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95B" w:rsidRDefault="0099095B">
      <w:pPr>
        <w:widowControl w:val="0"/>
        <w:pBdr>
          <w:top w:val="nil"/>
          <w:left w:val="nil"/>
          <w:bottom w:val="nil"/>
          <w:right w:val="nil"/>
          <w:between w:val="nil"/>
        </w:pBdr>
        <w:spacing w:line="276" w:lineRule="auto"/>
      </w:pP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01536/INFOEM/IP/RR/2025</w:t>
      </w:r>
    </w:p>
    <w:sdt>
      <w:sdtPr>
        <w:id w:val="763654437"/>
        <w:docPartObj>
          <w:docPartGallery w:val="Table of Contents"/>
          <w:docPartUnique/>
        </w:docPartObj>
      </w:sdtPr>
      <w:sdtEndPr/>
      <w:sdtContent>
        <w:p w:rsidR="0099095B" w:rsidRDefault="00037446">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r>
            <w:fldChar w:fldCharType="begin"/>
          </w:r>
          <w:r>
            <w:instrText xml:space="preserve"> TOC \h \u \z \t "Heading 1,1,Heading 2,2,Heading 3,3,"</w:instrText>
          </w:r>
          <w:r>
            <w:fldChar w:fldCharType="separate"/>
          </w:r>
          <w:hyperlink w:anchor="_heading=h.gjdgxs">
            <w:r>
              <w:rPr>
                <w:rFonts w:ascii="Palatino Linotype" w:eastAsia="Palatino Linotype" w:hAnsi="Palatino Linotype" w:cs="Palatino Linotype"/>
                <w:color w:val="000000"/>
                <w:sz w:val="22"/>
                <w:szCs w:val="22"/>
              </w:rPr>
              <w:t>A N T E C E D E N T E S</w:t>
            </w:r>
            <w:r>
              <w:rPr>
                <w:rFonts w:ascii="Palatino Linotype" w:eastAsia="Palatino Linotype" w:hAnsi="Palatino Linotype" w:cs="Palatino Linotype"/>
                <w:color w:val="000000"/>
                <w:sz w:val="22"/>
                <w:szCs w:val="22"/>
              </w:rPr>
              <w:tab/>
              <w:t>2</w:t>
            </w:r>
          </w:hyperlink>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0j0zll">
            <w:r w:rsidR="00037446">
              <w:rPr>
                <w:rFonts w:ascii="Palatino Linotype" w:eastAsia="Palatino Linotype" w:hAnsi="Palatino Linotype" w:cs="Palatino Linotype"/>
                <w:color w:val="000000"/>
                <w:sz w:val="22"/>
                <w:szCs w:val="22"/>
              </w:rPr>
              <w:t>I. Presentación de la solicitud de información</w:t>
            </w:r>
            <w:r w:rsidR="00037446">
              <w:rPr>
                <w:rFonts w:ascii="Palatino Linotype" w:eastAsia="Palatino Linotype" w:hAnsi="Palatino Linotype" w:cs="Palatino Linotype"/>
                <w:color w:val="000000"/>
                <w:sz w:val="22"/>
                <w:szCs w:val="22"/>
              </w:rPr>
              <w:tab/>
              <w:t>2</w:t>
            </w:r>
          </w:hyperlink>
        </w:p>
        <w:p w:rsidR="0099095B" w:rsidRDefault="00037446">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II. Prórroga</w:t>
          </w:r>
          <w:r>
            <w:rPr>
              <w:rFonts w:ascii="Palatino Linotype" w:eastAsia="Palatino Linotype" w:hAnsi="Palatino Linotype" w:cs="Palatino Linotype"/>
              <w:color w:val="000000"/>
              <w:sz w:val="22"/>
              <w:szCs w:val="22"/>
            </w:rPr>
            <w:tab/>
            <w:t>3</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et92p0">
            <w:r w:rsidR="00037446">
              <w:rPr>
                <w:rFonts w:ascii="Palatino Linotype" w:eastAsia="Palatino Linotype" w:hAnsi="Palatino Linotype" w:cs="Palatino Linotype"/>
                <w:color w:val="000000"/>
                <w:sz w:val="22"/>
                <w:szCs w:val="22"/>
              </w:rPr>
              <w:t>III. Respuesta del Sujeto Obligado</w:t>
            </w:r>
            <w:r w:rsidR="00037446">
              <w:rPr>
                <w:rFonts w:ascii="Palatino Linotype" w:eastAsia="Palatino Linotype" w:hAnsi="Palatino Linotype" w:cs="Palatino Linotype"/>
                <w:color w:val="000000"/>
                <w:sz w:val="22"/>
                <w:szCs w:val="22"/>
              </w:rPr>
              <w:tab/>
              <w:t>3</w:t>
            </w:r>
          </w:hyperlink>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tyjcwt">
            <w:r w:rsidR="00037446">
              <w:rPr>
                <w:rFonts w:ascii="Palatino Linotype" w:eastAsia="Palatino Linotype" w:hAnsi="Palatino Linotype" w:cs="Palatino Linotype"/>
                <w:color w:val="000000"/>
                <w:sz w:val="22"/>
                <w:szCs w:val="22"/>
              </w:rPr>
              <w:t>IV. Interposición del Recurso de Revisión</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10</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dy6vkm">
            <w:r w:rsidR="00037446">
              <w:rPr>
                <w:rFonts w:ascii="Palatino Linotype" w:eastAsia="Palatino Linotype" w:hAnsi="Palatino Linotype" w:cs="Palatino Linotype"/>
                <w:color w:val="000000"/>
                <w:sz w:val="22"/>
                <w:szCs w:val="22"/>
              </w:rPr>
              <w:t>V. Trámite del Recurso de Revisión ante el Instituto</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10</w:t>
          </w:r>
        </w:p>
        <w:p w:rsidR="0099095B" w:rsidRDefault="0043649E">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1t3h5sf">
            <w:r w:rsidR="00037446">
              <w:rPr>
                <w:rFonts w:ascii="Palatino Linotype" w:eastAsia="Palatino Linotype" w:hAnsi="Palatino Linotype" w:cs="Palatino Linotype"/>
                <w:color w:val="000000"/>
                <w:sz w:val="22"/>
                <w:szCs w:val="22"/>
              </w:rPr>
              <w:t>C O N S I D E R A N D O S</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13</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4d34og8">
            <w:r w:rsidR="00037446">
              <w:rPr>
                <w:rFonts w:ascii="Palatino Linotype" w:eastAsia="Palatino Linotype" w:hAnsi="Palatino Linotype" w:cs="Palatino Linotype"/>
                <w:color w:val="000000"/>
                <w:sz w:val="22"/>
                <w:szCs w:val="22"/>
              </w:rPr>
              <w:t>PRIMERO. Competencia</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13</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s8eyo1">
            <w:r w:rsidR="00037446">
              <w:rPr>
                <w:rFonts w:ascii="Palatino Linotype" w:eastAsia="Palatino Linotype" w:hAnsi="Palatino Linotype" w:cs="Palatino Linotype"/>
                <w:color w:val="000000"/>
                <w:sz w:val="22"/>
                <w:szCs w:val="22"/>
              </w:rPr>
              <w:t>SEGUNDO. Causales de improcedencia y sobreseimiento</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14</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17dp8vu">
            <w:r w:rsidR="00037446">
              <w:rPr>
                <w:rFonts w:ascii="Palatino Linotype" w:eastAsia="Palatino Linotype" w:hAnsi="Palatino Linotype" w:cs="Palatino Linotype"/>
                <w:color w:val="000000"/>
                <w:sz w:val="22"/>
                <w:szCs w:val="22"/>
              </w:rPr>
              <w:t>TERCERO. Determinación de la Controversia</w:t>
            </w:r>
            <w:r w:rsidR="00037446">
              <w:rPr>
                <w:rFonts w:ascii="Palatino Linotype" w:eastAsia="Palatino Linotype" w:hAnsi="Palatino Linotype" w:cs="Palatino Linotype"/>
                <w:color w:val="000000"/>
                <w:sz w:val="22"/>
                <w:szCs w:val="22"/>
              </w:rPr>
              <w:tab/>
              <w:t>15</w:t>
            </w:r>
          </w:hyperlink>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rdcrjn">
            <w:r w:rsidR="00037446">
              <w:rPr>
                <w:rFonts w:ascii="Palatino Linotype" w:eastAsia="Palatino Linotype" w:hAnsi="Palatino Linotype" w:cs="Palatino Linotype"/>
                <w:color w:val="000000"/>
                <w:sz w:val="22"/>
                <w:szCs w:val="22"/>
              </w:rPr>
              <w:t>CUARTO. Marco normativo aplicable en materia de transparencia y acceso a la información pública</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19</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6in1rg">
            <w:r w:rsidR="00037446">
              <w:rPr>
                <w:rFonts w:ascii="Palatino Linotype" w:eastAsia="Palatino Linotype" w:hAnsi="Palatino Linotype" w:cs="Palatino Linotype"/>
                <w:color w:val="000000"/>
                <w:sz w:val="22"/>
                <w:szCs w:val="22"/>
              </w:rPr>
              <w:t>QUINTO. Estudio de Fondo</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20</w:t>
          </w:r>
        </w:p>
        <w:p w:rsidR="0099095B" w:rsidRDefault="0043649E">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lnxbz9">
            <w:r w:rsidR="00037446">
              <w:rPr>
                <w:rFonts w:ascii="Palatino Linotype" w:eastAsia="Palatino Linotype" w:hAnsi="Palatino Linotype" w:cs="Palatino Linotype"/>
                <w:color w:val="000000"/>
                <w:sz w:val="22"/>
                <w:szCs w:val="22"/>
              </w:rPr>
              <w:t>SEXTO. Decisión</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3</w:t>
          </w:r>
          <w:r w:rsidR="00037446">
            <w:rPr>
              <w:rFonts w:ascii="Palatino Linotype" w:eastAsia="Palatino Linotype" w:hAnsi="Palatino Linotype" w:cs="Palatino Linotype"/>
              <w:sz w:val="22"/>
              <w:szCs w:val="22"/>
            </w:rPr>
            <w:t>4</w:t>
          </w:r>
        </w:p>
        <w:p w:rsidR="0099095B" w:rsidRDefault="0043649E">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35nkun2">
            <w:r w:rsidR="00037446">
              <w:rPr>
                <w:rFonts w:ascii="Palatino Linotype" w:eastAsia="Palatino Linotype" w:hAnsi="Palatino Linotype" w:cs="Palatino Linotype"/>
                <w:color w:val="000000"/>
                <w:sz w:val="22"/>
                <w:szCs w:val="22"/>
              </w:rPr>
              <w:t>R E S U E L V E</w:t>
            </w:r>
            <w:r w:rsidR="00037446">
              <w:rPr>
                <w:rFonts w:ascii="Palatino Linotype" w:eastAsia="Palatino Linotype" w:hAnsi="Palatino Linotype" w:cs="Palatino Linotype"/>
                <w:color w:val="000000"/>
                <w:sz w:val="22"/>
                <w:szCs w:val="22"/>
              </w:rPr>
              <w:tab/>
            </w:r>
          </w:hyperlink>
          <w:r w:rsidR="00037446">
            <w:rPr>
              <w:rFonts w:ascii="Palatino Linotype" w:eastAsia="Palatino Linotype" w:hAnsi="Palatino Linotype" w:cs="Palatino Linotype"/>
              <w:color w:val="000000"/>
              <w:sz w:val="22"/>
              <w:szCs w:val="22"/>
            </w:rPr>
            <w:t>3</w:t>
          </w:r>
          <w:r w:rsidR="00961904">
            <w:rPr>
              <w:rFonts w:ascii="Palatino Linotype" w:eastAsia="Palatino Linotype" w:hAnsi="Palatino Linotype" w:cs="Palatino Linotype"/>
              <w:sz w:val="22"/>
              <w:szCs w:val="22"/>
            </w:rPr>
            <w:t>4</w:t>
          </w:r>
        </w:p>
        <w:p w:rsidR="0099095B" w:rsidRDefault="00037446">
          <w:pPr>
            <w:spacing w:line="360" w:lineRule="auto"/>
            <w:ind w:right="-28"/>
            <w:jc w:val="center"/>
            <w:rPr>
              <w:rFonts w:ascii="Palatino Linotype" w:eastAsia="Palatino Linotype" w:hAnsi="Palatino Linotype" w:cs="Palatino Linotype"/>
              <w:sz w:val="22"/>
              <w:szCs w:val="22"/>
            </w:rPr>
          </w:pPr>
          <w:r>
            <w:fldChar w:fldCharType="end"/>
          </w:r>
        </w:p>
      </w:sdtContent>
    </w:sdt>
    <w:p w:rsidR="0099095B" w:rsidRDefault="00037446">
      <w:pPr>
        <w:spacing w:line="360" w:lineRule="auto"/>
        <w:ind w:right="-28"/>
        <w:jc w:val="both"/>
        <w:rPr>
          <w:rFonts w:ascii="Palatino Linotype" w:eastAsia="Palatino Linotype" w:hAnsi="Palatino Linotype" w:cs="Palatino Linotype"/>
          <w:sz w:val="22"/>
          <w:szCs w:val="22"/>
        </w:rPr>
      </w:pPr>
      <w:r>
        <w:br w:type="column"/>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veintiséis de marzo de dos mil veinticinco.</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bookmarkStart w:id="0" w:name="_GoBack"/>
      <w:r>
        <w:rPr>
          <w:rFonts w:ascii="Palatino Linotype" w:eastAsia="Palatino Linotype" w:hAnsi="Palatino Linotype" w:cs="Palatino Linotype"/>
          <w:b/>
          <w:color w:val="0D0D0D"/>
          <w:sz w:val="22"/>
          <w:szCs w:val="22"/>
        </w:rPr>
        <w:t>01536/INFOEM/IP/RR/2025</w:t>
      </w:r>
      <w:bookmarkEnd w:id="0"/>
      <w:r>
        <w:rPr>
          <w:rFonts w:ascii="Palatino Linotype" w:eastAsia="Palatino Linotype" w:hAnsi="Palatino Linotype" w:cs="Palatino Linotype"/>
          <w:sz w:val="22"/>
          <w:szCs w:val="22"/>
        </w:rPr>
        <w:t xml:space="preserve">, interpuesto por </w:t>
      </w:r>
      <w:r w:rsidR="0043649E" w:rsidRPr="0043649E">
        <w:rPr>
          <w:rFonts w:ascii="Palatino Linotype" w:eastAsia="Palatino Linotype" w:hAnsi="Palatino Linotype" w:cs="Palatino Linotype"/>
          <w:sz w:val="22"/>
          <w:szCs w:val="22"/>
          <w:highlight w:val="black"/>
        </w:rPr>
        <w:t>XXXXXXXXXXXXXXXX</w:t>
      </w:r>
      <w:r w:rsidRPr="000B42A1">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en lo sucesivo el Recurrente o Particular, en contra de la respuesta del Sujeto Obligado, </w:t>
      </w:r>
      <w:r w:rsidRPr="000B42A1">
        <w:rPr>
          <w:rFonts w:ascii="Palatino Linotype" w:eastAsia="Palatino Linotype" w:hAnsi="Palatino Linotype" w:cs="Palatino Linotype"/>
          <w:b/>
          <w:color w:val="000000"/>
          <w:sz w:val="22"/>
          <w:szCs w:val="22"/>
        </w:rPr>
        <w:t>Ayuntamiento de Ixtlahuaca</w:t>
      </w:r>
      <w:r w:rsidRPr="000B42A1">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a la solicitud de acceso a la información pública con número de folio 00005/IXTLAHUA/IP/2025, se emite la presente Resolución, con base en los Antecedentes y Considerandos que se exponen a continuación:</w:t>
      </w:r>
      <w:r w:rsidR="0043649E">
        <w:rPr>
          <w:rFonts w:ascii="Palatino Linotype" w:eastAsia="Palatino Linotype" w:hAnsi="Palatino Linotype" w:cs="Palatino Linotype"/>
          <w:sz w:val="22"/>
          <w:szCs w:val="22"/>
        </w:rPr>
        <w:t xml:space="preserve"> </w:t>
      </w:r>
    </w:p>
    <w:p w:rsidR="0099095B" w:rsidRDefault="0099095B">
      <w:pPr>
        <w:spacing w:line="360" w:lineRule="auto"/>
        <w:ind w:right="-28"/>
        <w:jc w:val="both"/>
        <w:rPr>
          <w:rFonts w:ascii="Palatino Linotype" w:eastAsia="Palatino Linotype" w:hAnsi="Palatino Linotype" w:cs="Palatino Linotype"/>
          <w:b/>
          <w:color w:val="0D0D0D"/>
          <w:sz w:val="22"/>
          <w:szCs w:val="22"/>
        </w:rPr>
      </w:pPr>
    </w:p>
    <w:p w:rsidR="0099095B" w:rsidRDefault="0099095B">
      <w:pPr>
        <w:spacing w:line="360" w:lineRule="auto"/>
        <w:ind w:right="-28"/>
        <w:jc w:val="both"/>
        <w:rPr>
          <w:rFonts w:ascii="Palatino Linotype" w:eastAsia="Palatino Linotype" w:hAnsi="Palatino Linotype" w:cs="Palatino Linotype"/>
          <w:b/>
          <w:color w:val="0D0D0D"/>
          <w:sz w:val="22"/>
          <w:szCs w:val="22"/>
        </w:rPr>
      </w:pPr>
    </w:p>
    <w:p w:rsidR="0099095B" w:rsidRDefault="00037446">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 N T E C E D E N T E S</w:t>
      </w:r>
    </w:p>
    <w:p w:rsidR="0099095B" w:rsidRDefault="0099095B">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99095B" w:rsidRDefault="00037446">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2"/>
          <w:szCs w:val="22"/>
        </w:rPr>
        <w:t>I. Presentación de la solicitud de información</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trece de enero de dos mil veinticinco, la Particular presentó una solicitud de acceso a la información pública, a través del Sistema de Acceso a la Información Mexiquense, en lo sucesivo el SAIMEX, ante el </w:t>
      </w:r>
      <w:r>
        <w:rPr>
          <w:rFonts w:ascii="Palatino Linotype" w:eastAsia="Palatino Linotype" w:hAnsi="Palatino Linotype" w:cs="Palatino Linotype"/>
          <w:color w:val="000000"/>
          <w:sz w:val="22"/>
          <w:szCs w:val="22"/>
        </w:rPr>
        <w:t xml:space="preserve">Ayuntamiento de Ixtlahuaca, </w:t>
      </w:r>
      <w:r>
        <w:rPr>
          <w:rFonts w:ascii="Palatino Linotype" w:eastAsia="Palatino Linotype" w:hAnsi="Palatino Linotype" w:cs="Palatino Linotype"/>
          <w:b/>
          <w:color w:val="000000"/>
          <w:sz w:val="22"/>
          <w:szCs w:val="22"/>
        </w:rPr>
        <w:t>ya que, si bien se presentó el tres de dicho mes y año, lo cierto es que fue inhábil, por lo que se tuvo por presentada el día hábil subsecuente,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mediante la cual requirió lo siguiente:</w:t>
      </w:r>
    </w:p>
    <w:p w:rsidR="0099095B" w:rsidRDefault="0099095B">
      <w:pPr>
        <w:tabs>
          <w:tab w:val="left" w:pos="4667"/>
        </w:tabs>
        <w:spacing w:line="360" w:lineRule="auto"/>
        <w:ind w:right="567"/>
        <w:jc w:val="both"/>
        <w:rPr>
          <w:rFonts w:ascii="Palatino Linotype" w:eastAsia="Palatino Linotype" w:hAnsi="Palatino Linotype" w:cs="Palatino Linotype"/>
          <w:b/>
          <w:i/>
        </w:rPr>
      </w:pPr>
    </w:p>
    <w:p w:rsidR="0099095B" w:rsidRDefault="00037446">
      <w:pPr>
        <w:tabs>
          <w:tab w:val="left" w:pos="4667"/>
        </w:tabs>
        <w:spacing w:line="360" w:lineRule="auto"/>
        <w:ind w:left="567" w:right="567"/>
        <w:jc w:val="both"/>
        <w:rPr>
          <w:rFonts w:ascii="Palatino Linotype" w:eastAsia="Palatino Linotype" w:hAnsi="Palatino Linotype" w:cs="Palatino Linotype"/>
          <w:b/>
          <w:i/>
        </w:rPr>
      </w:pPr>
      <w:bookmarkStart w:id="1" w:name="_heading=h.8t3c65hqo0q5" w:colFirst="0" w:colLast="0"/>
      <w:bookmarkEnd w:id="1"/>
      <w:r>
        <w:rPr>
          <w:rFonts w:ascii="Palatino Linotype" w:eastAsia="Palatino Linotype" w:hAnsi="Palatino Linotype" w:cs="Palatino Linotype"/>
          <w:b/>
          <w:i/>
        </w:rPr>
        <w:t>“DESCRIPCIÓN CLARA Y PRECISA DE LA INFORMACIÓN SOLICITADA:</w:t>
      </w:r>
    </w:p>
    <w:p w:rsidR="0099095B" w:rsidRDefault="00037446">
      <w:pPr>
        <w:spacing w:line="360" w:lineRule="auto"/>
        <w:ind w:left="567" w:right="567"/>
        <w:jc w:val="both"/>
        <w:rPr>
          <w:rFonts w:ascii="Palatino Linotype" w:eastAsia="Palatino Linotype" w:hAnsi="Palatino Linotype" w:cs="Palatino Linotype"/>
          <w:i/>
        </w:rPr>
      </w:pPr>
      <w:proofErr w:type="gramStart"/>
      <w:r>
        <w:rPr>
          <w:rFonts w:ascii="Palatino Linotype" w:eastAsia="Palatino Linotype" w:hAnsi="Palatino Linotype" w:cs="Palatino Linotype"/>
          <w:i/>
          <w:color w:val="000000"/>
        </w:rPr>
        <w:t>solicito</w:t>
      </w:r>
      <w:proofErr w:type="gram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 de cada uno de los regidores de la administración 2024-2027,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como sus sueldos. Sueldo de la Presidenta Guadalupe Díaz </w:t>
      </w:r>
      <w:proofErr w:type="spellStart"/>
      <w:r>
        <w:rPr>
          <w:rFonts w:ascii="Palatino Linotype" w:eastAsia="Palatino Linotype" w:hAnsi="Palatino Linotype" w:cs="Palatino Linotype"/>
          <w:i/>
          <w:color w:val="000000"/>
        </w:rPr>
        <w:t>Aviles</w:t>
      </w:r>
      <w:proofErr w:type="spellEnd"/>
      <w:r>
        <w:rPr>
          <w:rFonts w:ascii="Palatino Linotype" w:eastAsia="Palatino Linotype" w:hAnsi="Palatino Linotype" w:cs="Palatino Linotype"/>
          <w:i/>
          <w:color w:val="000000"/>
        </w:rPr>
        <w:t xml:space="preserve">, su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solicito la lista de los asesores de los regidores o personal que este en cada </w:t>
      </w:r>
      <w:proofErr w:type="spellStart"/>
      <w:r>
        <w:rPr>
          <w:rFonts w:ascii="Palatino Linotype" w:eastAsia="Palatino Linotype" w:hAnsi="Palatino Linotype" w:cs="Palatino Linotype"/>
          <w:i/>
          <w:color w:val="000000"/>
        </w:rPr>
        <w:t>regiduria</w:t>
      </w:r>
      <w:proofErr w:type="spellEnd"/>
      <w:r>
        <w:rPr>
          <w:rFonts w:ascii="Palatino Linotype" w:eastAsia="Palatino Linotype" w:hAnsi="Palatino Linotype" w:cs="Palatino Linotype"/>
          <w:i/>
          <w:color w:val="000000"/>
        </w:rPr>
        <w:t xml:space="preserve"> en apoyo de cada uno de los regidores. </w:t>
      </w:r>
      <w:r>
        <w:rPr>
          <w:rFonts w:ascii="Palatino Linotype" w:eastAsia="Palatino Linotype" w:hAnsi="Palatino Linotype" w:cs="Palatino Linotype"/>
          <w:i/>
          <w:color w:val="000000"/>
        </w:rPr>
        <w:lastRenderedPageBreak/>
        <w:t xml:space="preserve">Curriculum Vita de cada uno de los directores,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como su nombramiento, certificaciones en su caso, y salario mensual .Acta de cabildo de la sesión de instalación de la administración 2024-2027, solicito la lista de personal adscrito a la oficina de presidencia municipal,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como su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w:t>
      </w:r>
      <w:r>
        <w:rPr>
          <w:rFonts w:ascii="Palatino Linotype" w:eastAsia="Palatino Linotype" w:hAnsi="Palatino Linotype" w:cs="Palatino Linotype"/>
          <w:i/>
        </w:rPr>
        <w:t>” (Sic).</w:t>
      </w:r>
    </w:p>
    <w:p w:rsidR="0099095B" w:rsidRDefault="0099095B">
      <w:pPr>
        <w:spacing w:line="360" w:lineRule="auto"/>
        <w:ind w:left="567" w:right="567"/>
        <w:jc w:val="both"/>
        <w:rPr>
          <w:rFonts w:ascii="Palatino Linotype" w:eastAsia="Palatino Linotype" w:hAnsi="Palatino Linotype" w:cs="Palatino Linotype"/>
          <w:i/>
        </w:rPr>
      </w:pPr>
    </w:p>
    <w:p w:rsidR="0099095B" w:rsidRDefault="00037446">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Modalidad de Entrega</w:t>
      </w:r>
      <w:proofErr w:type="gramStart"/>
      <w:r>
        <w:rPr>
          <w:rFonts w:ascii="Palatino Linotype" w:eastAsia="Palatino Linotype" w:hAnsi="Palatino Linotype" w:cs="Palatino Linotype"/>
          <w:b/>
          <w:i/>
        </w:rPr>
        <w:t xml:space="preserve">:  </w:t>
      </w:r>
      <w:r>
        <w:rPr>
          <w:rFonts w:ascii="Palatino Linotype" w:eastAsia="Palatino Linotype" w:hAnsi="Palatino Linotype" w:cs="Palatino Linotype"/>
          <w:i/>
        </w:rPr>
        <w:t>A</w:t>
      </w:r>
      <w:proofErr w:type="gramEnd"/>
      <w:r>
        <w:rPr>
          <w:rFonts w:ascii="Palatino Linotype" w:eastAsia="Palatino Linotype" w:hAnsi="Palatino Linotype" w:cs="Palatino Linotype"/>
          <w:i/>
        </w:rPr>
        <w:t xml:space="preserve"> través de SAIMEX</w:t>
      </w:r>
    </w:p>
    <w:p w:rsidR="0099095B" w:rsidRDefault="0099095B">
      <w:pPr>
        <w:spacing w:line="360" w:lineRule="auto"/>
        <w:rPr>
          <w:rFonts w:ascii="Palatino Linotype" w:eastAsia="Palatino Linotype" w:hAnsi="Palatino Linotype" w:cs="Palatino Linotype"/>
          <w:b/>
          <w:sz w:val="22"/>
          <w:szCs w:val="22"/>
        </w:rPr>
      </w:pPr>
      <w:bookmarkStart w:id="2" w:name="_heading=h.4wwc4pl1bygu" w:colFirst="0" w:colLast="0"/>
      <w:bookmarkEnd w:id="2"/>
    </w:p>
    <w:p w:rsidR="0099095B" w:rsidRDefault="00037446">
      <w:pPr>
        <w:pBdr>
          <w:top w:val="nil"/>
          <w:left w:val="nil"/>
          <w:bottom w:val="nil"/>
          <w:right w:val="nil"/>
          <w:between w:val="nil"/>
        </w:pBdr>
        <w:spacing w:line="360" w:lineRule="auto"/>
        <w:ind w:right="-28"/>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II. Prórroga para atender la solicitud de información</w:t>
      </w:r>
    </w:p>
    <w:p w:rsidR="0099095B" w:rsidRDefault="00037446">
      <w:pPr>
        <w:pBdr>
          <w:top w:val="nil"/>
          <w:left w:val="nil"/>
          <w:bottom w:val="nil"/>
          <w:right w:val="nil"/>
          <w:between w:val="nil"/>
        </w:pBdr>
        <w:spacing w:line="360" w:lineRule="auto"/>
        <w:ind w:right="-28"/>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 </w:t>
      </w:r>
    </w:p>
    <w:p w:rsidR="0099095B" w:rsidRDefault="00037446">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treinta y uno de enero de dos mil veintitrés, el Sujeto Obligado, a través del SAIMEX, notificó una prórroga, por medio del oficio número PMI/DA/RH/0106/2025, suscrito por la Directora de Administración, dirigido a la Titular de la Unidad de Transparencia, por medio del cual le requirió una ampliación de término por siete días para atender la solicitud de información.</w:t>
      </w:r>
    </w:p>
    <w:p w:rsidR="0099095B" w:rsidRDefault="0099095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99095B" w:rsidRDefault="00037446">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este sentido, se le insta para que se abstenga de ampliar el plazo sin la aprobación del Comité de Transparencia.</w:t>
      </w:r>
    </w:p>
    <w:p w:rsidR="0099095B" w:rsidRDefault="0099095B">
      <w:pPr>
        <w:pBdr>
          <w:top w:val="nil"/>
          <w:left w:val="nil"/>
          <w:bottom w:val="nil"/>
          <w:right w:val="nil"/>
          <w:between w:val="nil"/>
        </w:pBdr>
        <w:spacing w:line="360" w:lineRule="auto"/>
        <w:ind w:right="-30"/>
        <w:jc w:val="both"/>
        <w:rPr>
          <w:rFonts w:ascii="Palatino Linotype" w:eastAsia="Palatino Linotype" w:hAnsi="Palatino Linotype" w:cs="Palatino Linotype"/>
          <w:b/>
          <w:color w:val="000000"/>
          <w:sz w:val="22"/>
          <w:szCs w:val="22"/>
        </w:rPr>
      </w:pPr>
    </w:p>
    <w:p w:rsidR="0099095B" w:rsidRDefault="00037446">
      <w:pPr>
        <w:pBdr>
          <w:top w:val="nil"/>
          <w:left w:val="nil"/>
          <w:bottom w:val="nil"/>
          <w:right w:val="nil"/>
          <w:between w:val="nil"/>
        </w:pBdr>
        <w:spacing w:line="360" w:lineRule="auto"/>
        <w:ind w:right="-3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III. Respuesta del Sujeto Obligado</w:t>
      </w:r>
    </w:p>
    <w:p w:rsidR="0099095B" w:rsidRDefault="0099095B">
      <w:pPr>
        <w:tabs>
          <w:tab w:val="left" w:pos="4667"/>
        </w:tabs>
        <w:spacing w:line="360" w:lineRule="auto"/>
        <w:ind w:right="567"/>
        <w:jc w:val="both"/>
        <w:rPr>
          <w:rFonts w:ascii="Palatino Linotype" w:eastAsia="Palatino Linotype" w:hAnsi="Palatino Linotype" w:cs="Palatino Linotype"/>
          <w:b/>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trece de febrero de dos mil veinticinco, 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Sujeto Obligado dio respuesta a la solicitud de acceso a la información a través del SAIMEX, por medio de la digitalización de los documentos siguientes:</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PMI/DA/RH/0183/2025, del doce de febrero de dos mil veinticinco, suscrito por la Directora de Administración, dirigido a la Titular de la Unidad de Transparencia, por medio del cual manifestó lo siguiente:</w:t>
      </w:r>
    </w:p>
    <w:p w:rsidR="0099095B" w:rsidRDefault="0003744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1.- Se remiten </w:t>
      </w:r>
      <w:proofErr w:type="spellStart"/>
      <w:r>
        <w:rPr>
          <w:rFonts w:ascii="Palatino Linotype" w:eastAsia="Palatino Linotype" w:hAnsi="Palatino Linotype" w:cs="Palatino Linotype"/>
          <w:i/>
        </w:rPr>
        <w:t>curriculums</w:t>
      </w:r>
      <w:proofErr w:type="spellEnd"/>
      <w:r>
        <w:rPr>
          <w:rFonts w:ascii="Palatino Linotype" w:eastAsia="Palatino Linotype" w:hAnsi="Palatino Linotype" w:cs="Palatino Linotype"/>
          <w:i/>
        </w:rPr>
        <w:t xml:space="preserve"> vitae correspondientes a los 9 Regidores y Presidenta Municipal, así como los sueldos correspondientes a cada uno en la siguiente tabla:</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drawing>
          <wp:inline distT="0" distB="0" distL="0" distR="0">
            <wp:extent cx="3589824" cy="1656367"/>
            <wp:effectExtent l="0" t="0" r="0" b="0"/>
            <wp:docPr id="14932185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89824" cy="1656367"/>
                    </a:xfrm>
                    <a:prstGeom prst="rect">
                      <a:avLst/>
                    </a:prstGeom>
                    <a:ln/>
                  </pic:spPr>
                </pic:pic>
              </a:graphicData>
            </a:graphic>
          </wp:inline>
        </w:drawing>
      </w:r>
    </w:p>
    <w:p w:rsidR="0099095B" w:rsidRDefault="0099095B">
      <w:pPr>
        <w:spacing w:line="360" w:lineRule="auto"/>
        <w:ind w:left="567" w:right="567"/>
        <w:jc w:val="both"/>
        <w:rPr>
          <w:rFonts w:ascii="Palatino Linotype" w:eastAsia="Palatino Linotype" w:hAnsi="Palatino Linotype" w:cs="Palatino Linotype"/>
          <w:i/>
          <w:sz w:val="22"/>
          <w:szCs w:val="22"/>
        </w:rPr>
      </w:pPr>
    </w:p>
    <w:p w:rsidR="0099095B" w:rsidRDefault="0003744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2.- Al día de hoy no se cuenta en la estructura nominal con asesores adscritos a las regidurías.</w:t>
      </w:r>
    </w:p>
    <w:p w:rsidR="0099095B" w:rsidRDefault="0099095B">
      <w:pPr>
        <w:spacing w:line="360" w:lineRule="auto"/>
        <w:ind w:left="567" w:right="567"/>
        <w:jc w:val="both"/>
        <w:rPr>
          <w:rFonts w:ascii="Palatino Linotype" w:eastAsia="Palatino Linotype" w:hAnsi="Palatino Linotype" w:cs="Palatino Linotype"/>
          <w:b/>
        </w:rPr>
      </w:pPr>
    </w:p>
    <w:p w:rsidR="0099095B" w:rsidRDefault="0003744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3.- Se remiten Currículums Vitae y Nombramientos de los titulares y encargados del despacho de las Unidades Administrativas del Ayuntamiento de Ixtlahuaca, en lo que respecta a las certificaciones hasta el día de la fecha solo cuentan con certificación en sus expedientes la Tesorería Municipal, la Directora de Medio Ambiente y el Director de Obras Públicas, mismas que se anexan, sin embargo de acuerdo al Artículo 32 de la Ley Orgánica Municipal del Estado de México, en su fracción V, el resto de los directores se encuentran dentro del tiempo estipulado para contar con la certificación correspondiente.</w:t>
      </w:r>
    </w:p>
    <w:p w:rsidR="0099095B" w:rsidRDefault="0099095B">
      <w:pPr>
        <w:spacing w:line="360" w:lineRule="auto"/>
        <w:ind w:right="-28"/>
        <w:jc w:val="both"/>
        <w:rPr>
          <w:rFonts w:ascii="Palatino Linotype" w:eastAsia="Palatino Linotype" w:hAnsi="Palatino Linotype" w:cs="Palatino Linotype"/>
          <w:i/>
          <w:sz w:val="22"/>
          <w:szCs w:val="22"/>
        </w:rPr>
      </w:pPr>
    </w:p>
    <w:p w:rsidR="0099095B" w:rsidRDefault="00037446">
      <w:pPr>
        <w:spacing w:line="360" w:lineRule="auto"/>
        <w:ind w:right="-28"/>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eastAsia="es-MX"/>
        </w:rPr>
        <w:lastRenderedPageBreak/>
        <w:drawing>
          <wp:inline distT="0" distB="0" distL="0" distR="0">
            <wp:extent cx="3815375" cy="2170926"/>
            <wp:effectExtent l="0" t="0" r="0" b="0"/>
            <wp:docPr id="1493218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815375" cy="2170926"/>
                    </a:xfrm>
                    <a:prstGeom prst="rect">
                      <a:avLst/>
                    </a:prstGeom>
                    <a:ln/>
                  </pic:spPr>
                </pic:pic>
              </a:graphicData>
            </a:graphic>
          </wp:inline>
        </w:drawing>
      </w:r>
    </w:p>
    <w:p w:rsidR="0099095B" w:rsidRDefault="0099095B">
      <w:pPr>
        <w:spacing w:line="360" w:lineRule="auto"/>
        <w:ind w:right="-28"/>
        <w:jc w:val="both"/>
        <w:rPr>
          <w:rFonts w:ascii="Palatino Linotype" w:eastAsia="Palatino Linotype" w:hAnsi="Palatino Linotype" w:cs="Palatino Linotype"/>
          <w:b/>
          <w:sz w:val="22"/>
          <w:szCs w:val="22"/>
        </w:rPr>
      </w:pPr>
    </w:p>
    <w:p w:rsidR="0099095B" w:rsidRDefault="00037446">
      <w:pPr>
        <w:spacing w:line="360" w:lineRule="auto"/>
        <w:ind w:left="708" w:right="567" w:hanging="141"/>
        <w:jc w:val="both"/>
        <w:rPr>
          <w:rFonts w:ascii="Palatino Linotype" w:eastAsia="Palatino Linotype" w:hAnsi="Palatino Linotype" w:cs="Palatino Linotype"/>
          <w:i/>
        </w:rPr>
      </w:pPr>
      <w:r>
        <w:rPr>
          <w:rFonts w:ascii="Palatino Linotype" w:eastAsia="Palatino Linotype" w:hAnsi="Palatino Linotype" w:cs="Palatino Linotype"/>
          <w:i/>
        </w:rPr>
        <w:t>3. Referente a las actas de cabildo, se le invita a dirigir su petición a la Secretaría del Ayuntamiento, lo anterior dado que dicha dependencia en la que cuenta con las atribuciones para los efectos solicitados.</w:t>
      </w:r>
    </w:p>
    <w:p w:rsidR="0099095B" w:rsidRDefault="0099095B">
      <w:pPr>
        <w:spacing w:line="360" w:lineRule="auto"/>
        <w:ind w:left="708" w:right="567" w:hanging="141"/>
        <w:jc w:val="both"/>
        <w:rPr>
          <w:rFonts w:ascii="Palatino Linotype" w:eastAsia="Palatino Linotype" w:hAnsi="Palatino Linotype" w:cs="Palatino Linotype"/>
          <w:i/>
        </w:rPr>
      </w:pPr>
    </w:p>
    <w:p w:rsidR="0099095B" w:rsidRDefault="00037446">
      <w:pPr>
        <w:spacing w:line="360" w:lineRule="auto"/>
        <w:ind w:left="708" w:right="567" w:hanging="141"/>
        <w:jc w:val="both"/>
        <w:rPr>
          <w:rFonts w:ascii="Palatino Linotype" w:eastAsia="Palatino Linotype" w:hAnsi="Palatino Linotype" w:cs="Palatino Linotype"/>
          <w:i/>
        </w:rPr>
      </w:pPr>
      <w:r>
        <w:rPr>
          <w:rFonts w:ascii="Palatino Linotype" w:eastAsia="Palatino Linotype" w:hAnsi="Palatino Linotype" w:cs="Palatino Linotype"/>
          <w:i/>
        </w:rPr>
        <w:t>4.- Se envía lista del personal adscrito a la presidencia municipal y currículum vitae.</w:t>
      </w:r>
    </w:p>
    <w:p w:rsidR="0099095B" w:rsidRDefault="0099095B">
      <w:pPr>
        <w:spacing w:line="360" w:lineRule="auto"/>
        <w:ind w:right="-28"/>
        <w:jc w:val="both"/>
        <w:rPr>
          <w:rFonts w:ascii="Palatino Linotype" w:eastAsia="Palatino Linotype" w:hAnsi="Palatino Linotype" w:cs="Palatino Linotype"/>
          <w:i/>
          <w:sz w:val="22"/>
          <w:szCs w:val="22"/>
        </w:rPr>
      </w:pPr>
    </w:p>
    <w:p w:rsidR="0099095B" w:rsidRDefault="00037446">
      <w:pPr>
        <w:spacing w:line="360" w:lineRule="auto"/>
        <w:ind w:right="-28"/>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eastAsia="es-MX"/>
        </w:rPr>
        <w:drawing>
          <wp:inline distT="0" distB="0" distL="0" distR="0">
            <wp:extent cx="3340735" cy="1365885"/>
            <wp:effectExtent l="0" t="0" r="0" b="0"/>
            <wp:docPr id="14932185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40735" cy="1365885"/>
                    </a:xfrm>
                    <a:prstGeom prst="rect">
                      <a:avLst/>
                    </a:prstGeom>
                    <a:ln/>
                  </pic:spPr>
                </pic:pic>
              </a:graphicData>
            </a:graphic>
          </wp:inline>
        </w:drawing>
      </w:r>
    </w:p>
    <w:p w:rsidR="0099095B" w:rsidRDefault="0099095B">
      <w:pPr>
        <w:spacing w:line="360" w:lineRule="auto"/>
        <w:ind w:right="-28"/>
        <w:jc w:val="center"/>
        <w:rPr>
          <w:rFonts w:ascii="Palatino Linotype" w:eastAsia="Palatino Linotype" w:hAnsi="Palatino Linotype" w:cs="Palatino Linotype"/>
          <w:i/>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 Ficha curricular de la Presidenta Municipal María Guadalupe Díaz </w:t>
      </w:r>
      <w:proofErr w:type="spellStart"/>
      <w:r>
        <w:rPr>
          <w:rFonts w:ascii="Palatino Linotype" w:eastAsia="Palatino Linotype" w:hAnsi="Palatino Linotype" w:cs="Palatino Linotype"/>
          <w:sz w:val="22"/>
          <w:szCs w:val="22"/>
        </w:rPr>
        <w:t>Avilez</w:t>
      </w:r>
      <w:proofErr w:type="spellEnd"/>
      <w:r>
        <w:rPr>
          <w:rFonts w:ascii="Palatino Linotype" w:eastAsia="Palatino Linotype" w:hAnsi="Palatino Linotype" w:cs="Palatino Linotype"/>
          <w:sz w:val="22"/>
          <w:szCs w:val="22"/>
        </w:rPr>
        <w:t>.</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Ficha curricular de la Primera Regidora Marisol Cruz Hernández.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iv) Ficha curricular del Segundo Regidor Héctor López Sánchez.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 Ficha curricular de la Tercera Regidora María de Jesús Galicia Ramos.</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vi</w:t>
      </w:r>
      <w:proofErr w:type="gramEnd"/>
      <w:r>
        <w:rPr>
          <w:rFonts w:ascii="Palatino Linotype" w:eastAsia="Palatino Linotype" w:hAnsi="Palatino Linotype" w:cs="Palatino Linotype"/>
          <w:sz w:val="22"/>
          <w:szCs w:val="22"/>
        </w:rPr>
        <w:t>) Ficha curricular del Cuarto Regidor Samuel Moreno Cruz.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vii) Ficha curricular de la Quinta Regidora Silvia Cruz Contreras.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viii) Ficha curricular del Sexto Regidor Javier Sebastián Pacheco.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ix) Ficha curricular de la Séptima Regidora </w:t>
      </w:r>
      <w:proofErr w:type="spellStart"/>
      <w:r>
        <w:rPr>
          <w:rFonts w:ascii="Palatino Linotype" w:eastAsia="Palatino Linotype" w:hAnsi="Palatino Linotype" w:cs="Palatino Linotype"/>
          <w:sz w:val="22"/>
          <w:szCs w:val="22"/>
        </w:rPr>
        <w:t>Jael</w:t>
      </w:r>
      <w:proofErr w:type="spellEnd"/>
      <w:r>
        <w:rPr>
          <w:rFonts w:ascii="Palatino Linotype" w:eastAsia="Palatino Linotype" w:hAnsi="Palatino Linotype" w:cs="Palatino Linotype"/>
          <w:sz w:val="22"/>
          <w:szCs w:val="22"/>
        </w:rPr>
        <w:t xml:space="preserve"> Miranda Beltrán.</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 Ficha curricular de la Octava Regidora </w:t>
      </w:r>
      <w:proofErr w:type="spellStart"/>
      <w:r>
        <w:rPr>
          <w:rFonts w:ascii="Palatino Linotype" w:eastAsia="Palatino Linotype" w:hAnsi="Palatino Linotype" w:cs="Palatino Linotype"/>
          <w:sz w:val="22"/>
          <w:szCs w:val="22"/>
        </w:rPr>
        <w:t>Eliuth</w:t>
      </w:r>
      <w:proofErr w:type="spellEnd"/>
      <w:r>
        <w:rPr>
          <w:rFonts w:ascii="Palatino Linotype" w:eastAsia="Palatino Linotype" w:hAnsi="Palatino Linotype" w:cs="Palatino Linotype"/>
          <w:sz w:val="22"/>
          <w:szCs w:val="22"/>
        </w:rPr>
        <w:t xml:space="preserve"> Columba Mancilla Dávila.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xi) Ficha curricular del Noveno Regidor Fredy Salinas Reyes.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xii) Ficha curricular del Director de Seguridad Pública, Desarrollo Vial y Tránsito, Francisco Pasten Robles.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xiii) Ficha curricular del Director de Obras Públicas, Eduardo Ramírez Peralta.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xiv) Ficha curricular del Director del Bienestar, Arnulfo Lázaro Serrano.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xv) Ficha curricular de la Directora de Educación y Cultura, Dulce Miriam Carrillo Almanza.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xvi) Ficha curricular de la Coordinadora de Protección Civil y Bomberos, Fabiola Gómez Hernández.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xvii) Ficha curricular del Director Jurídico Consultivo, José Luis Melquiades Ávila.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xviii) Ficha curricular de la Tesorera Municipal, Gabriela Juárez Torres.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xix) Ficha curricular de la Directora de la Mujer, Olivia Ambrosio Vilchis.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 Ficha curricular de la Titular de la Unidad de Información, Planeación, Programación y Evaluación, Griselda Trejo González.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xxi) Ficha curricular del Director de Servicios Públicos e Imagen Urbana, Benito de Jesús Hernández.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xxii) Ficha curricular de la Coordinadora de Comunicación Social, Aída Hernández Ángeles.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xxiii) Ficha curricular del Director del Campo, Juan Miranda González.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xxiv) Ficha curricular de la Directora de Medio Ambiente, Frida </w:t>
      </w:r>
      <w:proofErr w:type="spellStart"/>
      <w:r>
        <w:rPr>
          <w:rFonts w:ascii="Palatino Linotype" w:eastAsia="Palatino Linotype" w:hAnsi="Palatino Linotype" w:cs="Palatino Linotype"/>
          <w:sz w:val="22"/>
          <w:szCs w:val="22"/>
        </w:rPr>
        <w:t>Stefania</w:t>
      </w:r>
      <w:proofErr w:type="spellEnd"/>
      <w:r>
        <w:rPr>
          <w:rFonts w:ascii="Palatino Linotype" w:eastAsia="Palatino Linotype" w:hAnsi="Palatino Linotype" w:cs="Palatino Linotype"/>
          <w:sz w:val="22"/>
          <w:szCs w:val="22"/>
        </w:rPr>
        <w:t xml:space="preserve"> Silva Trejo.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xxv) Ficha curricular del Director de Desarrollo Territorial Sostenible, </w:t>
      </w:r>
      <w:proofErr w:type="spellStart"/>
      <w:r>
        <w:rPr>
          <w:rFonts w:ascii="Palatino Linotype" w:eastAsia="Palatino Linotype" w:hAnsi="Palatino Linotype" w:cs="Palatino Linotype"/>
          <w:sz w:val="22"/>
          <w:szCs w:val="22"/>
        </w:rPr>
        <w:t>Netzin</w:t>
      </w:r>
      <w:proofErr w:type="spellEnd"/>
      <w:r>
        <w:rPr>
          <w:rFonts w:ascii="Palatino Linotype" w:eastAsia="Palatino Linotype" w:hAnsi="Palatino Linotype" w:cs="Palatino Linotype"/>
          <w:sz w:val="22"/>
          <w:szCs w:val="22"/>
        </w:rPr>
        <w:t xml:space="preserve"> Felipe Valdez Mercado.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xxvi) Ficha curricular del Coordinador General Municipal de Mejora Regulatoria, Pedro Valdés Mancilla.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xxvi) Ficha curricular de la Directora del Instituto de la Juventud, </w:t>
      </w:r>
      <w:proofErr w:type="spellStart"/>
      <w:r>
        <w:rPr>
          <w:rFonts w:ascii="Palatino Linotype" w:eastAsia="Palatino Linotype" w:hAnsi="Palatino Linotype" w:cs="Palatino Linotype"/>
          <w:sz w:val="22"/>
          <w:szCs w:val="22"/>
        </w:rPr>
        <w:t>Anayeli</w:t>
      </w:r>
      <w:proofErr w:type="spellEnd"/>
      <w:r>
        <w:rPr>
          <w:rFonts w:ascii="Palatino Linotype" w:eastAsia="Palatino Linotype" w:hAnsi="Palatino Linotype" w:cs="Palatino Linotype"/>
          <w:sz w:val="22"/>
          <w:szCs w:val="22"/>
        </w:rPr>
        <w:t xml:space="preserve"> de Jesús Reyes.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xxvii) Ficha curricular del Director del Instituto Municipal de Cultura Física y Deporte, Gustavo Almanza Barrios.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xxviii) Ficha curricular del Director de Gobierno Municipal, Carlos Augusto Trujillo Barrientos.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xxix) Ficha curricular de la secretaria técnica, </w:t>
      </w:r>
      <w:proofErr w:type="spellStart"/>
      <w:r>
        <w:rPr>
          <w:rFonts w:ascii="Palatino Linotype" w:eastAsia="Palatino Linotype" w:hAnsi="Palatino Linotype" w:cs="Palatino Linotype"/>
          <w:sz w:val="22"/>
          <w:szCs w:val="22"/>
        </w:rPr>
        <w:t>Gricelt</w:t>
      </w:r>
      <w:proofErr w:type="spellEnd"/>
      <w:r>
        <w:rPr>
          <w:rFonts w:ascii="Palatino Linotype" w:eastAsia="Palatino Linotype" w:hAnsi="Palatino Linotype" w:cs="Palatino Linotype"/>
          <w:sz w:val="22"/>
          <w:szCs w:val="22"/>
        </w:rPr>
        <w:t xml:space="preserve"> Caballero Rebolledo.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 Ficha curricular del Director para la Atención de los Pueblos Originarios, Isaías Hernández Guzmán.</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xxxi) Ficha curricular del Contralor Municipal, Arturo Tapia Mateos.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xxxii) Ficha curricular del Síndico Municipal, Guadalupe Enrique Arenas Ortega.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xxxiii) Ficha curricular de la Directora de Administración, </w:t>
      </w:r>
      <w:proofErr w:type="spellStart"/>
      <w:r>
        <w:rPr>
          <w:rFonts w:ascii="Palatino Linotype" w:eastAsia="Palatino Linotype" w:hAnsi="Palatino Linotype" w:cs="Palatino Linotype"/>
          <w:sz w:val="22"/>
          <w:szCs w:val="22"/>
        </w:rPr>
        <w:t>Bianey</w:t>
      </w:r>
      <w:proofErr w:type="spellEnd"/>
      <w:r>
        <w:rPr>
          <w:rFonts w:ascii="Palatino Linotype" w:eastAsia="Palatino Linotype" w:hAnsi="Palatino Linotype" w:cs="Palatino Linotype"/>
          <w:sz w:val="22"/>
          <w:szCs w:val="22"/>
        </w:rPr>
        <w:t xml:space="preserve"> Domínguez Pérez.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xxxiv) Ficha curricular del Técnico Especializado Comisionado, Esteban Martínez Rayón.</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xxxv) Ficha curricular de la Técnico Operativo Secretaría, Angelina Alanís Andrés.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xxxvi) Ficha curricular de la Defensora Municipal de los Derechos Humanos, Norma Medina Enríquez.</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xxxvii) Ficha curricular de la Técnico Operativo Secretaría, Ana Lidia Pérez Nava.</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xxxviii) Ficha curricular de la Técnico Operativo Secretaría, Mariana Soto Mateo.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xxxix) Ficha curricular del Técnico Analista Administrativo, José Aurelio López Flores.</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xl) Nombramiento de la Titular de la Unidad de Transparencia y Acceso a la Información Pública, Alma Rosa Martínez Cruz,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xli) Nombramiento de la Directora del Instituto del Emprendedor, </w:t>
      </w:r>
      <w:proofErr w:type="spellStart"/>
      <w:r>
        <w:rPr>
          <w:rFonts w:ascii="Palatino Linotype" w:eastAsia="Palatino Linotype" w:hAnsi="Palatino Linotype" w:cs="Palatino Linotype"/>
          <w:sz w:val="22"/>
          <w:szCs w:val="22"/>
        </w:rPr>
        <w:t>Vianey</w:t>
      </w:r>
      <w:proofErr w:type="spellEnd"/>
      <w:r>
        <w:rPr>
          <w:rFonts w:ascii="Palatino Linotype" w:eastAsia="Palatino Linotype" w:hAnsi="Palatino Linotype" w:cs="Palatino Linotype"/>
          <w:sz w:val="22"/>
          <w:szCs w:val="22"/>
        </w:rPr>
        <w:t xml:space="preserve"> Matías Suárez,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xlii) Nombramiento de la Encargada del Despacho de la Secretaría Técnica </w:t>
      </w:r>
      <w:proofErr w:type="spellStart"/>
      <w:r>
        <w:rPr>
          <w:rFonts w:ascii="Palatino Linotype" w:eastAsia="Palatino Linotype" w:hAnsi="Palatino Linotype" w:cs="Palatino Linotype"/>
          <w:sz w:val="22"/>
          <w:szCs w:val="22"/>
        </w:rPr>
        <w:t>Grilcelt</w:t>
      </w:r>
      <w:proofErr w:type="spellEnd"/>
      <w:r>
        <w:rPr>
          <w:rFonts w:ascii="Palatino Linotype" w:eastAsia="Palatino Linotype" w:hAnsi="Palatino Linotype" w:cs="Palatino Linotype"/>
          <w:sz w:val="22"/>
          <w:szCs w:val="22"/>
        </w:rPr>
        <w:t xml:space="preserve"> Caballero Rebolledo,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xliii) Nombramiento del Director del Instituto Indigenista Isaías Hernández Guzmán,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xliv) Nombramiento del Director de Gobierno Municipal Carlos Augusto Trujillo Barrientos,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xlv) Nombramiento del Director del Instituto Municipal de Cultura Física y Deporte, Gustavo Almanza Barrios,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xlvi) Nombramiento de la Secretaria del Ayuntamiento Diana Vilchis Andrés,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xlvii) Nombramiento del Director de Impulso Social y Atención a Grupos Vulnerables,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xlviii) Nombramiento de la Titular de la Unidad de Información Planeación, Programación y Evaluación, Griselda Trejo González,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xlix) Nombramiento de la Titular de la Directora del Instituto Municipal de la Juventud, Ana </w:t>
      </w:r>
      <w:proofErr w:type="spellStart"/>
      <w:r>
        <w:rPr>
          <w:rFonts w:ascii="Palatino Linotype" w:eastAsia="Palatino Linotype" w:hAnsi="Palatino Linotype" w:cs="Palatino Linotype"/>
          <w:sz w:val="22"/>
          <w:szCs w:val="22"/>
        </w:rPr>
        <w:t>Yeli</w:t>
      </w:r>
      <w:proofErr w:type="spellEnd"/>
      <w:r>
        <w:rPr>
          <w:rFonts w:ascii="Palatino Linotype" w:eastAsia="Palatino Linotype" w:hAnsi="Palatino Linotype" w:cs="Palatino Linotype"/>
          <w:sz w:val="22"/>
          <w:szCs w:val="22"/>
        </w:rPr>
        <w:t xml:space="preserve"> de Jesús Reyes, del primero de enero de dos mil veinticinco. </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proofErr w:type="gramStart"/>
      <w:r>
        <w:rPr>
          <w:rFonts w:ascii="Palatino Linotype" w:eastAsia="Palatino Linotype" w:hAnsi="Palatino Linotype" w:cs="Palatino Linotype"/>
          <w:sz w:val="22"/>
          <w:szCs w:val="22"/>
        </w:rPr>
        <w:t>xlx</w:t>
      </w:r>
      <w:proofErr w:type="spellEnd"/>
      <w:proofErr w:type="gramEnd"/>
      <w:r>
        <w:rPr>
          <w:rFonts w:ascii="Palatino Linotype" w:eastAsia="Palatino Linotype" w:hAnsi="Palatino Linotype" w:cs="Palatino Linotype"/>
          <w:sz w:val="22"/>
          <w:szCs w:val="22"/>
        </w:rPr>
        <w:t>) Nombramiento del Director General Municipal de Mejora Regulatoria, Pedro Valdés Mancilla,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 Nombramiento de la Directora del Instituto de la Mujer, Olivia Ambrosio Vilchis,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Li) Nombramiento del Director de Planeación del Territorio, </w:t>
      </w:r>
      <w:proofErr w:type="spellStart"/>
      <w:r>
        <w:rPr>
          <w:rFonts w:ascii="Palatino Linotype" w:eastAsia="Palatino Linotype" w:hAnsi="Palatino Linotype" w:cs="Palatino Linotype"/>
          <w:sz w:val="22"/>
          <w:szCs w:val="22"/>
        </w:rPr>
        <w:t>Netzin</w:t>
      </w:r>
      <w:proofErr w:type="spellEnd"/>
      <w:r>
        <w:rPr>
          <w:rFonts w:ascii="Palatino Linotype" w:eastAsia="Palatino Linotype" w:hAnsi="Palatino Linotype" w:cs="Palatino Linotype"/>
          <w:sz w:val="22"/>
          <w:szCs w:val="22"/>
        </w:rPr>
        <w:t xml:space="preserve"> Felipe Valdez Mercado,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Lii</w:t>
      </w:r>
      <w:proofErr w:type="spellEnd"/>
      <w:r>
        <w:rPr>
          <w:rFonts w:ascii="Palatino Linotype" w:eastAsia="Palatino Linotype" w:hAnsi="Palatino Linotype" w:cs="Palatino Linotype"/>
          <w:sz w:val="22"/>
          <w:szCs w:val="22"/>
        </w:rPr>
        <w:t xml:space="preserve">) Nombramiento de la Directora de Medio Ambiente y Cuidado de Recursos Naturales, Frida </w:t>
      </w:r>
      <w:proofErr w:type="spellStart"/>
      <w:r>
        <w:rPr>
          <w:rFonts w:ascii="Palatino Linotype" w:eastAsia="Palatino Linotype" w:hAnsi="Palatino Linotype" w:cs="Palatino Linotype"/>
          <w:sz w:val="22"/>
          <w:szCs w:val="22"/>
        </w:rPr>
        <w:t>Stefanía</w:t>
      </w:r>
      <w:proofErr w:type="spellEnd"/>
      <w:r>
        <w:rPr>
          <w:rFonts w:ascii="Palatino Linotype" w:eastAsia="Palatino Linotype" w:hAnsi="Palatino Linotype" w:cs="Palatino Linotype"/>
          <w:sz w:val="22"/>
          <w:szCs w:val="22"/>
        </w:rPr>
        <w:t xml:space="preserve"> Silva Trejo,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Liii</w:t>
      </w:r>
      <w:proofErr w:type="spellEnd"/>
      <w:r>
        <w:rPr>
          <w:rFonts w:ascii="Palatino Linotype" w:eastAsia="Palatino Linotype" w:hAnsi="Palatino Linotype" w:cs="Palatino Linotype"/>
          <w:sz w:val="22"/>
          <w:szCs w:val="22"/>
        </w:rPr>
        <w:t>) Nombramiento del Director del Campo, Juan Miranda González,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Liv</w:t>
      </w:r>
      <w:proofErr w:type="spellEnd"/>
      <w:r>
        <w:rPr>
          <w:rFonts w:ascii="Palatino Linotype" w:eastAsia="Palatino Linotype" w:hAnsi="Palatino Linotype" w:cs="Palatino Linotype"/>
          <w:sz w:val="22"/>
          <w:szCs w:val="22"/>
        </w:rPr>
        <w:t>) Nombramiento de la Titular de la Coordinadora de Comunicación Social, Aída Hernández Ángeles,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Lv</w:t>
      </w:r>
      <w:proofErr w:type="spellEnd"/>
      <w:r>
        <w:rPr>
          <w:rFonts w:ascii="Palatino Linotype" w:eastAsia="Palatino Linotype" w:hAnsi="Palatino Linotype" w:cs="Palatino Linotype"/>
          <w:sz w:val="22"/>
          <w:szCs w:val="22"/>
        </w:rPr>
        <w:t>) Nombramiento del Director de Servicios Públicos e Imagen Urbana, Benito de Jesús Hernández,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lastRenderedPageBreak/>
        <w:t>Lvi</w:t>
      </w:r>
      <w:proofErr w:type="spellEnd"/>
      <w:r>
        <w:rPr>
          <w:rFonts w:ascii="Palatino Linotype" w:eastAsia="Palatino Linotype" w:hAnsi="Palatino Linotype" w:cs="Palatino Linotype"/>
          <w:sz w:val="22"/>
          <w:szCs w:val="22"/>
        </w:rPr>
        <w:t>) Nombramiento del Encargado del Despacho de la Dirección de Cultura, Turismo y Fomento Artesanal, Eduardo Ramírez Peralta,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Lvii</w:t>
      </w:r>
      <w:proofErr w:type="spellEnd"/>
      <w:r>
        <w:rPr>
          <w:rFonts w:ascii="Palatino Linotype" w:eastAsia="Palatino Linotype" w:hAnsi="Palatino Linotype" w:cs="Palatino Linotype"/>
          <w:sz w:val="22"/>
          <w:szCs w:val="22"/>
        </w:rPr>
        <w:t>) Nombramiento de la Tesorera Municipal, Gabriela Juárez Torres,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Lviii</w:t>
      </w:r>
      <w:proofErr w:type="spellEnd"/>
      <w:r>
        <w:rPr>
          <w:rFonts w:ascii="Palatino Linotype" w:eastAsia="Palatino Linotype" w:hAnsi="Palatino Linotype" w:cs="Palatino Linotype"/>
          <w:sz w:val="22"/>
          <w:szCs w:val="22"/>
        </w:rPr>
        <w:t>) Nombramiento del Director Jurídico Consultivo, José Luis Melquiades Ávila,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Lix</w:t>
      </w:r>
      <w:proofErr w:type="spellEnd"/>
      <w:r>
        <w:rPr>
          <w:rFonts w:ascii="Palatino Linotype" w:eastAsia="Palatino Linotype" w:hAnsi="Palatino Linotype" w:cs="Palatino Linotype"/>
          <w:sz w:val="22"/>
          <w:szCs w:val="22"/>
        </w:rPr>
        <w:t>) Nombramiento de la Titular de la Coordinadora Municipal de Protección Civil y Bomberos, Fabiola Gómez Hernández,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LX) Nombramiento de la Directora de Educación, Dulce Miriam Carrillo Almanza,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LXi</w:t>
      </w:r>
      <w:proofErr w:type="spellEnd"/>
      <w:r>
        <w:rPr>
          <w:rFonts w:ascii="Palatino Linotype" w:eastAsia="Palatino Linotype" w:hAnsi="Palatino Linotype" w:cs="Palatino Linotype"/>
          <w:sz w:val="22"/>
          <w:szCs w:val="22"/>
        </w:rPr>
        <w:t>) Nombramiento del Director de Seguridad Pública, Desarrollo Vial y Tránsito Municipal, Francisco Pasten Robles,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LXii</w:t>
      </w:r>
      <w:proofErr w:type="spellEnd"/>
      <w:r>
        <w:rPr>
          <w:rFonts w:ascii="Palatino Linotype" w:eastAsia="Palatino Linotype" w:hAnsi="Palatino Linotype" w:cs="Palatino Linotype"/>
          <w:sz w:val="22"/>
          <w:szCs w:val="22"/>
        </w:rPr>
        <w:t xml:space="preserve">) Nombramiento de la Titular de la Directora de Administración, </w:t>
      </w:r>
      <w:proofErr w:type="spellStart"/>
      <w:r>
        <w:rPr>
          <w:rFonts w:ascii="Palatino Linotype" w:eastAsia="Palatino Linotype" w:hAnsi="Palatino Linotype" w:cs="Palatino Linotype"/>
          <w:sz w:val="22"/>
          <w:szCs w:val="22"/>
        </w:rPr>
        <w:t>Bianey</w:t>
      </w:r>
      <w:proofErr w:type="spellEnd"/>
      <w:r>
        <w:rPr>
          <w:rFonts w:ascii="Palatino Linotype" w:eastAsia="Palatino Linotype" w:hAnsi="Palatino Linotype" w:cs="Palatino Linotype"/>
          <w:sz w:val="22"/>
          <w:szCs w:val="22"/>
        </w:rPr>
        <w:t xml:space="preserve"> Domínguez Pérez, del primero de enero de dos mil veinticinco.</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LXiii</w:t>
      </w:r>
      <w:proofErr w:type="spellEnd"/>
      <w:r>
        <w:rPr>
          <w:rFonts w:ascii="Palatino Linotype" w:eastAsia="Palatino Linotype" w:hAnsi="Palatino Linotype" w:cs="Palatino Linotype"/>
          <w:sz w:val="22"/>
          <w:szCs w:val="22"/>
        </w:rPr>
        <w:t xml:space="preserve">) Certificación de competencia laboral de Eduardo </w:t>
      </w:r>
      <w:proofErr w:type="gramStart"/>
      <w:r>
        <w:rPr>
          <w:rFonts w:ascii="Palatino Linotype" w:eastAsia="Palatino Linotype" w:hAnsi="Palatino Linotype" w:cs="Palatino Linotype"/>
          <w:sz w:val="22"/>
          <w:szCs w:val="22"/>
        </w:rPr>
        <w:t>Ramírez ,“</w:t>
      </w:r>
      <w:proofErr w:type="gramEnd"/>
      <w:r>
        <w:rPr>
          <w:rFonts w:ascii="Palatino Linotype" w:eastAsia="Palatino Linotype" w:hAnsi="Palatino Linotype" w:cs="Palatino Linotype"/>
          <w:sz w:val="22"/>
          <w:szCs w:val="22"/>
        </w:rPr>
        <w:t>Administrar la Obra Pública Municipal y Servicios relacionados con las mismas”, del treinta y uno de agosto de dos mil veintitrés.</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LXiv</w:t>
      </w:r>
      <w:proofErr w:type="spellEnd"/>
      <w:r>
        <w:rPr>
          <w:rFonts w:ascii="Palatino Linotype" w:eastAsia="Palatino Linotype" w:hAnsi="Palatino Linotype" w:cs="Palatino Linotype"/>
          <w:sz w:val="22"/>
          <w:szCs w:val="22"/>
        </w:rPr>
        <w:t>) Certificación de competencia laboral de Eduardo Ramírez Peralta, “Administrar la Obra Pública Municipal”, del treinta y uno de agosto de dos mil veintitrés.</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LXvi</w:t>
      </w:r>
      <w:proofErr w:type="spellEnd"/>
      <w:r>
        <w:rPr>
          <w:rFonts w:ascii="Palatino Linotype" w:eastAsia="Palatino Linotype" w:hAnsi="Palatino Linotype" w:cs="Palatino Linotype"/>
          <w:sz w:val="22"/>
          <w:szCs w:val="22"/>
        </w:rPr>
        <w:t xml:space="preserve">) Certificación de competencia laboral de Frida </w:t>
      </w:r>
      <w:proofErr w:type="spellStart"/>
      <w:r>
        <w:rPr>
          <w:rFonts w:ascii="Palatino Linotype" w:eastAsia="Palatino Linotype" w:hAnsi="Palatino Linotype" w:cs="Palatino Linotype"/>
          <w:sz w:val="22"/>
          <w:szCs w:val="22"/>
        </w:rPr>
        <w:t>Stefania</w:t>
      </w:r>
      <w:proofErr w:type="spellEnd"/>
      <w:r>
        <w:rPr>
          <w:rFonts w:ascii="Palatino Linotype" w:eastAsia="Palatino Linotype" w:hAnsi="Palatino Linotype" w:cs="Palatino Linotype"/>
          <w:sz w:val="22"/>
          <w:szCs w:val="22"/>
        </w:rPr>
        <w:t xml:space="preserve"> Silva Trejo, “Administrar las Políticas Municipales y Preservación del Medio Ambiente y el Desarrollo Sostenible”, del veintiocho de febrero de dos mil veintitrés.</w:t>
      </w:r>
    </w:p>
    <w:p w:rsidR="0099095B" w:rsidRDefault="00037446">
      <w:pPr>
        <w:spacing w:line="360" w:lineRule="auto"/>
        <w:ind w:right="-28"/>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LXvii</w:t>
      </w:r>
      <w:proofErr w:type="spellEnd"/>
      <w:r>
        <w:rPr>
          <w:rFonts w:ascii="Palatino Linotype" w:eastAsia="Palatino Linotype" w:hAnsi="Palatino Linotype" w:cs="Palatino Linotype"/>
          <w:sz w:val="22"/>
          <w:szCs w:val="22"/>
        </w:rPr>
        <w:t>) Certificación de competencia laboral de Gabriela Juárez Torres, “Administrar la Tesorería Municipal”, del veintinueve de noviembre de dos mil veintitrés.</w:t>
      </w:r>
    </w:p>
    <w:p w:rsidR="0099095B" w:rsidRDefault="0099095B">
      <w:pPr>
        <w:spacing w:line="360" w:lineRule="auto"/>
        <w:ind w:right="-28"/>
        <w:jc w:val="both"/>
        <w:rPr>
          <w:rFonts w:ascii="Palatino Linotype" w:eastAsia="Palatino Linotype" w:hAnsi="Palatino Linotype" w:cs="Palatino Linotype"/>
          <w:sz w:val="22"/>
          <w:szCs w:val="22"/>
        </w:rPr>
      </w:pPr>
    </w:p>
    <w:p w:rsidR="00961904" w:rsidRDefault="00961904">
      <w:pPr>
        <w:spacing w:line="360" w:lineRule="auto"/>
        <w:ind w:right="-28"/>
        <w:jc w:val="both"/>
        <w:rPr>
          <w:rFonts w:ascii="Palatino Linotype" w:eastAsia="Palatino Linotype" w:hAnsi="Palatino Linotype" w:cs="Palatino Linotype"/>
          <w:b/>
          <w:sz w:val="22"/>
          <w:szCs w:val="22"/>
        </w:rPr>
      </w:pPr>
    </w:p>
    <w:p w:rsidR="0099095B" w:rsidRDefault="00037446">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III. Interposición del Recurso de Revisión</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diecisiete de febrero de dos mil veinticinco, se recibió en este Instituto, a través del SAIMEX, el Recurso de Revisión interpuesto por la parte Recurrente, en contra de la respuesta del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en los siguientes términos:</w:t>
      </w:r>
    </w:p>
    <w:p w:rsidR="0099095B" w:rsidRDefault="0099095B">
      <w:pPr>
        <w:spacing w:line="360" w:lineRule="auto"/>
        <w:ind w:right="-28"/>
        <w:jc w:val="both"/>
        <w:rPr>
          <w:rFonts w:ascii="Palatino Linotype" w:eastAsia="Palatino Linotype" w:hAnsi="Palatino Linotype" w:cs="Palatino Linotype"/>
          <w:i/>
        </w:rPr>
      </w:pPr>
    </w:p>
    <w:p w:rsidR="0099095B" w:rsidRDefault="00037446">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ACTO IMPUGNADO</w:t>
      </w:r>
    </w:p>
    <w:p w:rsidR="0099095B" w:rsidRDefault="0003744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“respuesta a mi solicitud con número de folio 00005/IXTLAHUA/IP/2025.</w:t>
      </w:r>
      <w:r>
        <w:rPr>
          <w:rFonts w:ascii="Palatino Linotype" w:eastAsia="Palatino Linotype" w:hAnsi="Palatino Linotype" w:cs="Palatino Linotype"/>
          <w:i/>
        </w:rPr>
        <w:t>”</w:t>
      </w:r>
    </w:p>
    <w:p w:rsidR="0099095B" w:rsidRDefault="0099095B">
      <w:pPr>
        <w:tabs>
          <w:tab w:val="left" w:pos="4667"/>
        </w:tabs>
        <w:spacing w:line="360" w:lineRule="auto"/>
        <w:ind w:left="567" w:right="567"/>
        <w:jc w:val="both"/>
        <w:rPr>
          <w:rFonts w:ascii="Palatino Linotype" w:eastAsia="Palatino Linotype" w:hAnsi="Palatino Linotype" w:cs="Palatino Linotype"/>
          <w:i/>
        </w:rPr>
      </w:pPr>
    </w:p>
    <w:p w:rsidR="0099095B" w:rsidRDefault="00037446">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99095B" w:rsidRDefault="0003744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En la lista que refiere la contestación dada por el Ayuntamiento de Ixtlahuaca, hace falta El Órgano Interno de Control, así como la Dirección de Desarrollo Económico y Fomento Comercial e Industrial, en el caso del Titular del Órgano Interno de Control, no menciona su salario; en caso del o la Titular de la Dirección de Desarrollo Económico y Fomento Comercial e Industrial, no menciona ni salario, ni C.V.</w:t>
      </w:r>
      <w:r>
        <w:rPr>
          <w:rFonts w:ascii="Palatino Linotype" w:eastAsia="Palatino Linotype" w:hAnsi="Palatino Linotype" w:cs="Palatino Linotype"/>
          <w:i/>
        </w:rPr>
        <w:t>”(Sic).</w:t>
      </w:r>
    </w:p>
    <w:p w:rsidR="0099095B" w:rsidRDefault="0099095B">
      <w:pPr>
        <w:spacing w:line="360" w:lineRule="auto"/>
        <w:ind w:right="-28"/>
        <w:jc w:val="both"/>
        <w:rPr>
          <w:rFonts w:ascii="Palatino Linotype" w:eastAsia="Palatino Linotype" w:hAnsi="Palatino Linotype" w:cs="Palatino Linotype"/>
          <w:b/>
          <w:sz w:val="22"/>
          <w:szCs w:val="22"/>
        </w:rPr>
      </w:pPr>
    </w:p>
    <w:p w:rsidR="0099095B" w:rsidRDefault="00037446">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IV. Trámite del Recurso de Revisión ante el Instituto</w:t>
      </w:r>
    </w:p>
    <w:p w:rsidR="0099095B" w:rsidRDefault="0099095B">
      <w:pPr>
        <w:spacing w:line="360" w:lineRule="auto"/>
        <w:ind w:right="-28"/>
        <w:jc w:val="both"/>
        <w:rPr>
          <w:rFonts w:ascii="Palatino Linotype" w:eastAsia="Palatino Linotype" w:hAnsi="Palatino Linotype" w:cs="Palatino Linotype"/>
          <w:b/>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 xml:space="preserve">El diecisiete de febrero de dos mil veinticinco, el SAIMEX, asignó el número de expediente </w:t>
      </w:r>
      <w:r>
        <w:rPr>
          <w:rFonts w:ascii="Palatino Linotype" w:eastAsia="Palatino Linotype" w:hAnsi="Palatino Linotype" w:cs="Palatino Linotype"/>
          <w:b/>
          <w:sz w:val="22"/>
          <w:szCs w:val="22"/>
        </w:rPr>
        <w:t xml:space="preserve">01536/INFOEM/IP/RR/2025, </w:t>
      </w:r>
      <w:r>
        <w:rPr>
          <w:rFonts w:ascii="Palatino Linotype" w:eastAsia="Palatino Linotype" w:hAnsi="Palatino Linotype" w:cs="Palatino Linotype"/>
          <w:sz w:val="22"/>
          <w:szCs w:val="22"/>
        </w:rPr>
        <w:t xml:space="preserve">al Recurso de Revisión y lo turnó al Comisionado Ponente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 xml:space="preserve">El veinte de febrero de dos mil veinticinco, se acordó la admisión del Recurso de Revisión interpuesto por el Recurrente en contra del Sujeto Obligado, en términos del artículo 185, fracciones I y II de la Ley de Transparencia y Acceso a </w:t>
      </w:r>
      <w:r>
        <w:rPr>
          <w:rFonts w:ascii="Palatino Linotype" w:eastAsia="Palatino Linotype" w:hAnsi="Palatino Linotype" w:cs="Palatino Linotype"/>
          <w:sz w:val="22"/>
          <w:szCs w:val="22"/>
        </w:rPr>
        <w:lastRenderedPageBreak/>
        <w:t>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c) Informe Justificado.</w:t>
      </w:r>
      <w:r>
        <w:rPr>
          <w:rFonts w:ascii="Palatino Linotype" w:eastAsia="Palatino Linotype" w:hAnsi="Palatino Linotype" w:cs="Palatino Linotype"/>
          <w:sz w:val="22"/>
          <w:szCs w:val="22"/>
        </w:rPr>
        <w:t xml:space="preserve"> El veinticinco y veintiséis de febrero de dos mil veinticinco, se recibió en este Instituto, a través del SAIMEX, el Informe Justificado, por parte del Sujeto Obligado, por medio de la digitalización de los documentos siguientes: </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PMIX/UTAIPM/00223/2025, del veintiséis de marzo de la presente anualidad, suscrito por la Titular de la Unidad de Transparencia, dirigido al Director de Cumplimientos de este Instituto, a través del cual remite el oficio de turno girado a la Dirección de Administración, y la respuesta remitida por dicha área.</w:t>
      </w: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Oficio número PMIX/UTAIPM/00162/2025, del dieciocho de febrero de dos mil veinticinco, suscrito por la Titular de la Unidad de Transparencia, dirigido a la Directora de Administración, por medio del cual le requiere que proporcione su informe justificado.</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Oficio número PMI/DA/RH/0298/2025, del veinticinco de marzo de la presente anualidad, suscrito por la Directora de Administración, dirigido a la Titular de la Unidad de Transparencia, a través del cual manifiesta y expone esencialmente lo señalado en el oficio número PMI/DA/RH/0183/2025 remitido en respuesta, además de agregar los documentos siguientes:</w:t>
      </w:r>
    </w:p>
    <w:p w:rsidR="0099095B" w:rsidRDefault="0099095B">
      <w:pPr>
        <w:spacing w:line="360" w:lineRule="auto"/>
      </w:pPr>
    </w:p>
    <w:p w:rsidR="0099095B" w:rsidRDefault="00037446">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iv) Nombramiento del Director de Impulso Social y Atención a Grupos Vulnerables, Arnulfo Lázaro Serrano, del primero de enero de dos mil veinticinco.</w:t>
      </w: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v) Ficha curricular del Encargado del Despacho de la Dirección de Turismo y Fomento Artesanal, Ricardo </w:t>
      </w:r>
      <w:proofErr w:type="spellStart"/>
      <w:r>
        <w:rPr>
          <w:rFonts w:ascii="Palatino Linotype" w:eastAsia="Palatino Linotype" w:hAnsi="Palatino Linotype" w:cs="Palatino Linotype"/>
          <w:sz w:val="22"/>
          <w:szCs w:val="22"/>
        </w:rPr>
        <w:t>Vieyra</w:t>
      </w:r>
      <w:proofErr w:type="spellEnd"/>
      <w:r>
        <w:rPr>
          <w:rFonts w:ascii="Palatino Linotype" w:eastAsia="Palatino Linotype" w:hAnsi="Palatino Linotype" w:cs="Palatino Linotype"/>
          <w:sz w:val="22"/>
          <w:szCs w:val="22"/>
        </w:rPr>
        <w:t xml:space="preserve"> Martínez.</w:t>
      </w:r>
    </w:p>
    <w:p w:rsidR="0099095B" w:rsidRDefault="00037446">
      <w:pPr>
        <w:spacing w:line="360" w:lineRule="auto"/>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lastRenderedPageBreak/>
        <w:t>vi</w:t>
      </w:r>
      <w:proofErr w:type="gramEnd"/>
      <w:r>
        <w:rPr>
          <w:rFonts w:ascii="Palatino Linotype" w:eastAsia="Palatino Linotype" w:hAnsi="Palatino Linotype" w:cs="Palatino Linotype"/>
          <w:sz w:val="22"/>
          <w:szCs w:val="22"/>
        </w:rPr>
        <w:t>) Ficha curricular de la Coordinadora de Comunicación social Aida Hernández Ángeles.</w:t>
      </w:r>
    </w:p>
    <w:p w:rsidR="0099095B" w:rsidRDefault="00037446">
      <w:pPr>
        <w:spacing w:line="360" w:lineRule="auto"/>
        <w:ind w:left="708" w:hanging="708"/>
        <w:jc w:val="both"/>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vi</w:t>
      </w:r>
      <w:proofErr w:type="gramEnd"/>
      <w:r>
        <w:rPr>
          <w:rFonts w:ascii="Palatino Linotype" w:eastAsia="Palatino Linotype" w:hAnsi="Palatino Linotype" w:cs="Palatino Linotype"/>
          <w:sz w:val="22"/>
          <w:szCs w:val="22"/>
        </w:rPr>
        <w:t>) Ficha curricular de la Secretaria del Ayuntamiento, Diana Vilchis Andrés.</w:t>
      </w: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viii) Ficha curricular de la Encargada del Despacho de la Unidad de Transparencia y Acceso a la Información, Alma Rosa Martínez Cruz.</w:t>
      </w:r>
    </w:p>
    <w:p w:rsidR="0099095B" w:rsidRDefault="00037446">
      <w:pPr>
        <w:spacing w:line="360" w:lineRule="auto"/>
        <w:ind w:left="708" w:hanging="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ix) Ficha curricular de la Directora del Instituto del Emprendedor, </w:t>
      </w:r>
      <w:proofErr w:type="spellStart"/>
      <w:r>
        <w:rPr>
          <w:rFonts w:ascii="Palatino Linotype" w:eastAsia="Palatino Linotype" w:hAnsi="Palatino Linotype" w:cs="Palatino Linotype"/>
          <w:sz w:val="22"/>
          <w:szCs w:val="22"/>
        </w:rPr>
        <w:t>Vianey</w:t>
      </w:r>
      <w:proofErr w:type="spellEnd"/>
      <w:r>
        <w:rPr>
          <w:rFonts w:ascii="Palatino Linotype" w:eastAsia="Palatino Linotype" w:hAnsi="Palatino Linotype" w:cs="Palatino Linotype"/>
          <w:sz w:val="22"/>
          <w:szCs w:val="22"/>
        </w:rPr>
        <w:t xml:space="preserve"> Matías Suárez.</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d) Vista del informe justificado. </w:t>
      </w:r>
      <w:r>
        <w:rPr>
          <w:rFonts w:ascii="Palatino Linotype" w:eastAsia="Palatino Linotype" w:hAnsi="Palatino Linotype" w:cs="Palatino Linotype"/>
          <w:sz w:val="22"/>
          <w:szCs w:val="22"/>
        </w:rPr>
        <w:t xml:space="preserve">El dieciocho de marzo de dos mil veinticinco, se dictó acuerdo mediante el cual se puso a la vista de la Particular el Informe Justificado entregado por el Sujeto Obligado, el cual fue notificado, a través del SAIMEX el diecinueve de dicho mes y año. </w:t>
      </w:r>
    </w:p>
    <w:p w:rsidR="0099095B" w:rsidRDefault="0099095B">
      <w:pPr>
        <w:spacing w:line="360" w:lineRule="auto"/>
        <w:jc w:val="both"/>
        <w:rPr>
          <w:rFonts w:ascii="Palatino Linotype" w:eastAsia="Palatino Linotype" w:hAnsi="Palatino Linotype" w:cs="Palatino Linotype"/>
          <w:b/>
          <w:sz w:val="22"/>
          <w:szCs w:val="22"/>
        </w:rPr>
      </w:pPr>
    </w:p>
    <w:p w:rsidR="0099095B" w:rsidRDefault="00037446">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 Manifestaciones. </w:t>
      </w:r>
      <w:r>
        <w:rPr>
          <w:rFonts w:ascii="Palatino Linotype" w:eastAsia="Palatino Linotype" w:hAnsi="Palatino Linotype" w:cs="Palatino Linotype"/>
          <w:sz w:val="22"/>
          <w:szCs w:val="22"/>
        </w:rPr>
        <w:t>El diecinueve de marzo de dos mil veinticinco, el Recurrente presentó sus manifestaciones a través del SAIMEX, por medio de las cuales precisó que la información proporcionada a través del Informe Justificado, faltaba el salario e información curricular del Director de Desarrollo Económico, así como el sueldo del Titular del Órgano Interno de Control.</w:t>
      </w:r>
    </w:p>
    <w:p w:rsidR="0099095B" w:rsidRDefault="0099095B">
      <w:pPr>
        <w:spacing w:line="360" w:lineRule="auto"/>
        <w:jc w:val="both"/>
        <w:rPr>
          <w:rFonts w:ascii="Palatino Linotype" w:eastAsia="Palatino Linotype" w:hAnsi="Palatino Linotype" w:cs="Palatino Linotype"/>
          <w:b/>
          <w:sz w:val="22"/>
          <w:szCs w:val="22"/>
        </w:rPr>
      </w:pPr>
    </w:p>
    <w:p w:rsidR="0099095B" w:rsidRDefault="00037446">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f) Cierre de instrucción. </w:t>
      </w:r>
      <w:r>
        <w:rPr>
          <w:rFonts w:ascii="Palatino Linotype" w:eastAsia="Palatino Linotype" w:hAnsi="Palatino Linotype" w:cs="Palatino Linotype"/>
          <w:sz w:val="22"/>
          <w:szCs w:val="22"/>
        </w:rPr>
        <w:t>El veinticinco de marzo 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SAIMEX.</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En razón de que fue debidamente sustanciado el expediente electrónico y no existe diligencia pendiente de desahogo, se emite la resolución que conforme a Derecho proceda, de acuerdo a los siguientes:</w:t>
      </w:r>
    </w:p>
    <w:p w:rsidR="0099095B" w:rsidRDefault="0099095B">
      <w:pPr>
        <w:spacing w:line="360" w:lineRule="auto"/>
        <w:ind w:right="-28"/>
        <w:jc w:val="center"/>
        <w:rPr>
          <w:rFonts w:ascii="Palatino Linotype" w:eastAsia="Palatino Linotype" w:hAnsi="Palatino Linotype" w:cs="Palatino Linotype"/>
          <w:b/>
          <w:sz w:val="22"/>
          <w:szCs w:val="22"/>
        </w:rPr>
      </w:pPr>
    </w:p>
    <w:p w:rsidR="0099095B" w:rsidRDefault="00037446">
      <w:pPr>
        <w:spacing w:line="360" w:lineRule="auto"/>
        <w:ind w:right="-2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 O N S I D E R A N D O S</w:t>
      </w:r>
    </w:p>
    <w:p w:rsidR="0099095B" w:rsidRDefault="0099095B">
      <w:pPr>
        <w:spacing w:line="360" w:lineRule="auto"/>
        <w:ind w:right="-28"/>
        <w:jc w:val="center"/>
        <w:rPr>
          <w:rFonts w:ascii="Palatino Linotype" w:eastAsia="Palatino Linotype" w:hAnsi="Palatino Linotype" w:cs="Palatino Linotype"/>
          <w:b/>
          <w:sz w:val="22"/>
          <w:szCs w:val="22"/>
        </w:rPr>
      </w:pPr>
    </w:p>
    <w:p w:rsidR="0099095B" w:rsidRDefault="00037446">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PRIMERO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Competencia</w:t>
      </w:r>
    </w:p>
    <w:p w:rsidR="0099095B" w:rsidRDefault="0099095B">
      <w:pPr>
        <w:spacing w:line="360" w:lineRule="auto"/>
        <w:ind w:right="-28"/>
        <w:jc w:val="both"/>
        <w:rPr>
          <w:rFonts w:ascii="Palatino Linotype" w:eastAsia="Palatino Linotype" w:hAnsi="Palatino Linotype" w:cs="Palatino Linotype"/>
          <w:b/>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Pr>
          <w:rFonts w:ascii="Palatino Linotype" w:eastAsia="Palatino Linotype" w:hAnsi="Palatino Linotype" w:cs="Palatino Linotype"/>
          <w:color w:val="000000"/>
        </w:rPr>
        <w:t xml:space="preserve"> 7°, </w:t>
      </w:r>
      <w:r>
        <w:rPr>
          <w:rFonts w:ascii="Palatino Linotype" w:eastAsia="Palatino Linotype" w:hAnsi="Palatino Linotype" w:cs="Palatino Linotype"/>
          <w:color w:val="000000"/>
          <w:sz w:val="22"/>
          <w:szCs w:val="22"/>
        </w:rPr>
        <w:t>9°, fracciones I y XXIII y 11 del Reglamento Interior del Instituto de Transparencia, Acceso a la Información Pública y Protección de Datos Personales del Estado de México y Municipios.</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SEGUNDO. Causales de improcedencia y sobreseimiento</w:t>
      </w:r>
    </w:p>
    <w:p w:rsidR="0099095B" w:rsidRDefault="0099095B">
      <w:pPr>
        <w:spacing w:line="360" w:lineRule="auto"/>
        <w:ind w:right="-28"/>
        <w:jc w:val="both"/>
        <w:rPr>
          <w:rFonts w:ascii="Palatino Linotype" w:eastAsia="Palatino Linotype" w:hAnsi="Palatino Linotype" w:cs="Palatino Linotype"/>
          <w:b/>
          <w:color w:val="000000"/>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sz w:val="22"/>
          <w:szCs w:val="22"/>
        </w:rPr>
        <w:t>litis</w:t>
      </w:r>
      <w:proofErr w:type="spellEnd"/>
      <w:r>
        <w:rPr>
          <w:rFonts w:ascii="Palatino Linotype" w:eastAsia="Palatino Linotype" w:hAnsi="Palatino Linotype" w:cs="Palatino Linotype"/>
          <w:sz w:val="22"/>
          <w:szCs w:val="22"/>
        </w:rPr>
        <w:t>, es necesario estudiar las causales de improcedencia, para determinar lo que en Derecho proceda.</w:t>
      </w:r>
    </w:p>
    <w:p w:rsidR="0099095B" w:rsidRDefault="0099095B">
      <w:pPr>
        <w:spacing w:line="360" w:lineRule="auto"/>
        <w:jc w:val="both"/>
        <w:rPr>
          <w:rFonts w:ascii="Palatino Linotype" w:eastAsia="Palatino Linotype" w:hAnsi="Palatino Linotype" w:cs="Palatino Linotype"/>
          <w:b/>
          <w:color w:val="000000"/>
          <w:sz w:val="22"/>
          <w:szCs w:val="22"/>
        </w:rPr>
      </w:pPr>
    </w:p>
    <w:p w:rsidR="0099095B" w:rsidRDefault="00037446">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Causales de improcedencia</w:t>
      </w:r>
    </w:p>
    <w:p w:rsidR="0099095B" w:rsidRDefault="0099095B">
      <w:pPr>
        <w:spacing w:line="360" w:lineRule="auto"/>
        <w:jc w:val="both"/>
        <w:rPr>
          <w:rFonts w:ascii="Palatino Linotype" w:eastAsia="Palatino Linotype" w:hAnsi="Palatino Linotype" w:cs="Palatino Linotype"/>
          <w:b/>
          <w:color w:val="000000"/>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Pr>
          <w:rFonts w:ascii="Palatino Linotype" w:eastAsia="Palatino Linotype" w:hAnsi="Palatino Linotype" w:cs="Palatino Linotype"/>
          <w:color w:val="000000"/>
          <w:sz w:val="22"/>
          <w:szCs w:val="22"/>
        </w:rPr>
        <w:t>el medio de impugnación fue presentado en tiempo.</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widowControl w:val="0"/>
        <w:spacing w:line="360" w:lineRule="auto"/>
        <w:jc w:val="both"/>
        <w:rPr>
          <w:rFonts w:ascii="Palatino Linotype" w:eastAsia="Palatino Linotype" w:hAnsi="Palatino Linotype" w:cs="Palatino Linotype"/>
          <w:sz w:val="22"/>
          <w:szCs w:val="22"/>
        </w:rPr>
      </w:pPr>
      <w:bookmarkStart w:id="3" w:name="_heading=h.999rbgwf0p6e" w:colFirst="0" w:colLast="0"/>
      <w:bookmarkEnd w:id="3"/>
      <w:r>
        <w:rPr>
          <w:rFonts w:ascii="Palatino Linotype" w:eastAsia="Palatino Linotype" w:hAnsi="Palatino Linotype" w:cs="Palatino Linotype"/>
          <w:sz w:val="22"/>
          <w:szCs w:val="22"/>
        </w:rPr>
        <w:t xml:space="preserve">Asimismo, se actualiza la causal de procedencia del Recurso de Revisión señalada en el artículo 179, fracción V de la Ley en cita, </w:t>
      </w:r>
      <w:r>
        <w:rPr>
          <w:rFonts w:ascii="Palatino Linotype" w:eastAsia="Palatino Linotype" w:hAnsi="Palatino Linotype" w:cs="Palatino Linotype"/>
          <w:color w:val="000000"/>
          <w:sz w:val="22"/>
          <w:szCs w:val="22"/>
        </w:rPr>
        <w:t xml:space="preserve">pues el Recurrente se inconformó con </w:t>
      </w:r>
      <w:r>
        <w:rPr>
          <w:rFonts w:ascii="Palatino Linotype" w:eastAsia="Palatino Linotype" w:hAnsi="Palatino Linotype" w:cs="Palatino Linotype"/>
          <w:sz w:val="22"/>
          <w:szCs w:val="22"/>
        </w:rPr>
        <w:t>la entrega de información incompleta.</w:t>
      </w:r>
    </w:p>
    <w:p w:rsidR="0099095B" w:rsidRDefault="0099095B">
      <w:pPr>
        <w:spacing w:line="360" w:lineRule="auto"/>
        <w:jc w:val="both"/>
        <w:rPr>
          <w:rFonts w:ascii="Palatino Linotype" w:eastAsia="Palatino Linotype" w:hAnsi="Palatino Linotype" w:cs="Palatino Linotype"/>
          <w:b/>
          <w:color w:val="0D0D0D"/>
          <w:sz w:val="22"/>
          <w:szCs w:val="22"/>
        </w:rPr>
      </w:pPr>
    </w:p>
    <w:p w:rsidR="0099095B" w:rsidRDefault="00037446">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b/>
          <w:color w:val="0D0D0D"/>
          <w:sz w:val="22"/>
          <w:szCs w:val="22"/>
        </w:rPr>
        <w:t>Causales de sobreseimiento</w:t>
      </w:r>
    </w:p>
    <w:p w:rsidR="0099095B" w:rsidRDefault="0099095B">
      <w:pPr>
        <w:spacing w:line="360" w:lineRule="auto"/>
        <w:jc w:val="both"/>
        <w:rPr>
          <w:rFonts w:ascii="Palatino Linotype" w:eastAsia="Palatino Linotype" w:hAnsi="Palatino Linotype" w:cs="Palatino Linotype"/>
          <w:color w:val="0D0D0D"/>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ser de previo y especial pronunciamiento, este Instituto analiza si se actualiza alguna causal de sobreseimiento.</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TERCERO. Determinación de la Controversia</w:t>
      </w:r>
    </w:p>
    <w:p w:rsidR="0099095B" w:rsidRDefault="0099095B">
      <w:pPr>
        <w:tabs>
          <w:tab w:val="left" w:pos="4962"/>
        </w:tabs>
        <w:spacing w:line="360" w:lineRule="auto"/>
        <w:jc w:val="both"/>
        <w:rPr>
          <w:rFonts w:ascii="Palatino Linotype" w:eastAsia="Palatino Linotype" w:hAnsi="Palatino Linotype" w:cs="Palatino Linotype"/>
          <w:b/>
          <w:sz w:val="22"/>
          <w:szCs w:val="22"/>
        </w:rPr>
      </w:pPr>
    </w:p>
    <w:p w:rsidR="0099095B" w:rsidRDefault="00037446">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realizar un cuadro con la solicitud, la respuesta, la inconformidad planteada, y el Informe Justificado conforme a lo siguiente:</w:t>
      </w:r>
    </w:p>
    <w:p w:rsidR="0099095B" w:rsidRDefault="0099095B">
      <w:pPr>
        <w:widowControl w:val="0"/>
        <w:spacing w:line="360" w:lineRule="auto"/>
        <w:jc w:val="both"/>
        <w:rPr>
          <w:rFonts w:ascii="Palatino Linotype" w:eastAsia="Palatino Linotype" w:hAnsi="Palatino Linotype" w:cs="Palatino Linotype"/>
          <w:color w:val="000000"/>
          <w:sz w:val="22"/>
          <w:szCs w:val="22"/>
        </w:rPr>
      </w:pPr>
    </w:p>
    <w:tbl>
      <w:tblPr>
        <w:tblStyle w:val="a"/>
        <w:tblW w:w="90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2279"/>
        <w:gridCol w:w="1964"/>
        <w:gridCol w:w="1830"/>
      </w:tblGrid>
      <w:tr w:rsidR="0099095B">
        <w:trPr>
          <w:jc w:val="center"/>
        </w:trPr>
        <w:tc>
          <w:tcPr>
            <w:tcW w:w="2961" w:type="dxa"/>
            <w:shd w:val="clear" w:color="auto" w:fill="A5A5A5"/>
          </w:tcPr>
          <w:p w:rsidR="0099095B" w:rsidRDefault="00037446">
            <w:pPr>
              <w:widowControl w:val="0"/>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w:t>
            </w:r>
          </w:p>
        </w:tc>
        <w:tc>
          <w:tcPr>
            <w:tcW w:w="2279" w:type="dxa"/>
            <w:shd w:val="clear" w:color="auto" w:fill="A5A5A5"/>
          </w:tcPr>
          <w:p w:rsidR="0099095B" w:rsidRDefault="00037446">
            <w:pPr>
              <w:widowControl w:val="0"/>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c>
          <w:tcPr>
            <w:tcW w:w="1964" w:type="dxa"/>
            <w:shd w:val="clear" w:color="auto" w:fill="A5A5A5"/>
          </w:tcPr>
          <w:p w:rsidR="0099095B" w:rsidRDefault="00037446">
            <w:pPr>
              <w:widowControl w:val="0"/>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Agravio</w:t>
            </w:r>
          </w:p>
        </w:tc>
        <w:tc>
          <w:tcPr>
            <w:tcW w:w="1830" w:type="dxa"/>
            <w:shd w:val="clear" w:color="auto" w:fill="A5A5A5"/>
          </w:tcPr>
          <w:p w:rsidR="0099095B" w:rsidRDefault="00037446">
            <w:pPr>
              <w:widowControl w:val="0"/>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Informe Justificado</w:t>
            </w:r>
          </w:p>
        </w:tc>
      </w:tr>
      <w:tr w:rsidR="0099095B">
        <w:trPr>
          <w:jc w:val="center"/>
        </w:trPr>
        <w:tc>
          <w:tcPr>
            <w:tcW w:w="2961" w:type="dxa"/>
          </w:tcPr>
          <w:p w:rsidR="0099095B" w:rsidRDefault="00037446">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De la Actual administración Municipal 2025-2027, al trece de enero de dos mil veinticinco, los documentos que dieran cuenta de lo siguiente:</w:t>
            </w:r>
          </w:p>
          <w:p w:rsidR="0099095B" w:rsidRDefault="0099095B">
            <w:pPr>
              <w:widowControl w:val="0"/>
              <w:spacing w:line="360" w:lineRule="auto"/>
              <w:jc w:val="both"/>
              <w:rPr>
                <w:rFonts w:ascii="Palatino Linotype" w:eastAsia="Palatino Linotype" w:hAnsi="Palatino Linotype" w:cs="Palatino Linotype"/>
              </w:rPr>
            </w:pPr>
          </w:p>
          <w:p w:rsidR="0099095B" w:rsidRDefault="00037446">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i) De la presidenta Municipal y Regidores; Currículum Vitae y Sueldo:</w:t>
            </w:r>
          </w:p>
          <w:p w:rsidR="0099095B" w:rsidRDefault="0099095B">
            <w:pPr>
              <w:tabs>
                <w:tab w:val="left" w:pos="4962"/>
              </w:tabs>
              <w:spacing w:line="360" w:lineRule="auto"/>
              <w:ind w:right="-28"/>
              <w:jc w:val="both"/>
              <w:rPr>
                <w:rFonts w:ascii="Palatino Linotype" w:eastAsia="Palatino Linotype" w:hAnsi="Palatino Linotype" w:cs="Palatino Linotype"/>
              </w:rPr>
            </w:pPr>
          </w:p>
          <w:p w:rsidR="0099095B" w:rsidRDefault="00037446">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ii) Listado de asesores de regidores o personal adscrito a las regidurías:</w:t>
            </w:r>
          </w:p>
          <w:p w:rsidR="0099095B" w:rsidRDefault="0099095B">
            <w:pPr>
              <w:tabs>
                <w:tab w:val="left" w:pos="4962"/>
              </w:tabs>
              <w:spacing w:line="360" w:lineRule="auto"/>
              <w:ind w:right="-28"/>
              <w:jc w:val="both"/>
              <w:rPr>
                <w:rFonts w:ascii="Palatino Linotype" w:eastAsia="Palatino Linotype" w:hAnsi="Palatino Linotype" w:cs="Palatino Linotype"/>
              </w:rPr>
            </w:pPr>
          </w:p>
          <w:p w:rsidR="0099095B" w:rsidRDefault="0099095B">
            <w:pPr>
              <w:tabs>
                <w:tab w:val="left" w:pos="4962"/>
              </w:tabs>
              <w:spacing w:line="360" w:lineRule="auto"/>
              <w:ind w:right="-28"/>
              <w:jc w:val="both"/>
              <w:rPr>
                <w:rFonts w:ascii="Palatino Linotype" w:eastAsia="Palatino Linotype" w:hAnsi="Palatino Linotype" w:cs="Palatino Linotype"/>
              </w:rPr>
            </w:pPr>
          </w:p>
          <w:p w:rsidR="0099095B" w:rsidRDefault="00037446">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iii) Currículum vitae, nombramiento, certificaciones y salario mensual de los Directores de área:</w:t>
            </w:r>
          </w:p>
          <w:p w:rsidR="0099095B" w:rsidRDefault="0099095B">
            <w:pPr>
              <w:tabs>
                <w:tab w:val="left" w:pos="4962"/>
              </w:tabs>
              <w:spacing w:line="360" w:lineRule="auto"/>
              <w:ind w:right="-28"/>
              <w:jc w:val="both"/>
              <w:rPr>
                <w:rFonts w:ascii="Palatino Linotype" w:eastAsia="Palatino Linotype" w:hAnsi="Palatino Linotype" w:cs="Palatino Linotype"/>
              </w:rPr>
            </w:pPr>
          </w:p>
          <w:p w:rsidR="0099095B" w:rsidRDefault="0099095B">
            <w:pPr>
              <w:tabs>
                <w:tab w:val="left" w:pos="4962"/>
              </w:tabs>
              <w:spacing w:line="360" w:lineRule="auto"/>
              <w:ind w:right="-28"/>
              <w:jc w:val="both"/>
              <w:rPr>
                <w:rFonts w:ascii="Palatino Linotype" w:eastAsia="Palatino Linotype" w:hAnsi="Palatino Linotype" w:cs="Palatino Linotype"/>
              </w:rPr>
            </w:pPr>
          </w:p>
          <w:p w:rsidR="0099095B" w:rsidRDefault="00037446">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iv) Acta de Sesión de Instalación de Cabildo de la Administración 2025-2027:</w:t>
            </w:r>
          </w:p>
          <w:p w:rsidR="0099095B" w:rsidRDefault="0099095B">
            <w:pPr>
              <w:tabs>
                <w:tab w:val="left" w:pos="4962"/>
              </w:tabs>
              <w:spacing w:line="360" w:lineRule="auto"/>
              <w:ind w:right="-28"/>
              <w:jc w:val="both"/>
              <w:rPr>
                <w:rFonts w:ascii="Palatino Linotype" w:eastAsia="Palatino Linotype" w:hAnsi="Palatino Linotype" w:cs="Palatino Linotype"/>
              </w:rPr>
            </w:pPr>
          </w:p>
          <w:p w:rsidR="0099095B" w:rsidRDefault="00037446">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v) Personal Adscrito a la Oficina de Presidencia, y su Currículum Vitae.</w:t>
            </w:r>
          </w:p>
          <w:p w:rsidR="0099095B" w:rsidRDefault="0099095B">
            <w:pPr>
              <w:widowControl w:val="0"/>
              <w:spacing w:line="360" w:lineRule="auto"/>
              <w:jc w:val="both"/>
              <w:rPr>
                <w:rFonts w:ascii="Palatino Linotype" w:eastAsia="Palatino Linotype" w:hAnsi="Palatino Linotype" w:cs="Palatino Linotype"/>
              </w:rPr>
            </w:pPr>
          </w:p>
        </w:tc>
        <w:tc>
          <w:tcPr>
            <w:tcW w:w="2279" w:type="dxa"/>
          </w:tcPr>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 Sujeto Obligado por medio del Titular de la Dirección de Administración entregó lo siguiente:</w:t>
            </w:r>
          </w:p>
          <w:p w:rsidR="0099095B" w:rsidRDefault="0099095B">
            <w:pPr>
              <w:widowControl w:val="0"/>
              <w:spacing w:line="360" w:lineRule="auto"/>
              <w:jc w:val="both"/>
              <w:rPr>
                <w:rFonts w:ascii="Palatino Linotype" w:eastAsia="Palatino Linotype" w:hAnsi="Palatino Linotype" w:cs="Palatino Linotype"/>
              </w:rPr>
            </w:pPr>
          </w:p>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 Sueldo y ficha curricular de la Presidenta y Regidores;</w:t>
            </w:r>
          </w:p>
          <w:p w:rsidR="0099095B" w:rsidRDefault="0099095B">
            <w:pPr>
              <w:widowControl w:val="0"/>
              <w:spacing w:line="360" w:lineRule="auto"/>
              <w:jc w:val="both"/>
              <w:rPr>
                <w:rFonts w:ascii="Palatino Linotype" w:eastAsia="Palatino Linotype" w:hAnsi="Palatino Linotype" w:cs="Palatino Linotype"/>
              </w:rPr>
            </w:pPr>
          </w:p>
          <w:p w:rsidR="0099095B" w:rsidRDefault="0099095B">
            <w:pPr>
              <w:widowControl w:val="0"/>
              <w:spacing w:line="360" w:lineRule="auto"/>
              <w:jc w:val="both"/>
              <w:rPr>
                <w:rFonts w:ascii="Palatino Linotype" w:eastAsia="Palatino Linotype" w:hAnsi="Palatino Linotype" w:cs="Palatino Linotype"/>
              </w:rPr>
            </w:pPr>
          </w:p>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ii) Indicó que conforme a la nómina, los reidores no contaban con asesores.</w:t>
            </w:r>
          </w:p>
          <w:p w:rsidR="0099095B" w:rsidRDefault="0099095B">
            <w:pPr>
              <w:widowControl w:val="0"/>
              <w:spacing w:line="360" w:lineRule="auto"/>
              <w:jc w:val="both"/>
              <w:rPr>
                <w:rFonts w:ascii="Palatino Linotype" w:eastAsia="Palatino Linotype" w:hAnsi="Palatino Linotype" w:cs="Palatino Linotype"/>
              </w:rPr>
            </w:pPr>
          </w:p>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iii) Proporcionó diversas fichas curriculares, nombramientos, salario mensual y nombramientos de titulares de área.</w:t>
            </w:r>
          </w:p>
          <w:p w:rsidR="0099095B" w:rsidRDefault="0099095B">
            <w:pPr>
              <w:widowControl w:val="0"/>
              <w:spacing w:line="360" w:lineRule="auto"/>
              <w:jc w:val="both"/>
              <w:rPr>
                <w:rFonts w:ascii="Palatino Linotype" w:eastAsia="Palatino Linotype" w:hAnsi="Palatino Linotype" w:cs="Palatino Linotype"/>
              </w:rPr>
            </w:pPr>
          </w:p>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iv) Indicó que la información correspondía  las atribuciones de la Secretaría del Ayuntamiento.</w:t>
            </w:r>
          </w:p>
          <w:p w:rsidR="0099095B" w:rsidRDefault="0099095B">
            <w:pPr>
              <w:widowControl w:val="0"/>
              <w:spacing w:line="360" w:lineRule="auto"/>
              <w:jc w:val="both"/>
              <w:rPr>
                <w:rFonts w:ascii="Palatino Linotype" w:eastAsia="Palatino Linotype" w:hAnsi="Palatino Linotype" w:cs="Palatino Linotype"/>
              </w:rPr>
            </w:pPr>
          </w:p>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v) Proporcionó un listado de personal de la Oficina de </w:t>
            </w:r>
            <w:r>
              <w:rPr>
                <w:rFonts w:ascii="Palatino Linotype" w:eastAsia="Palatino Linotype" w:hAnsi="Palatino Linotype" w:cs="Palatino Linotype"/>
              </w:rPr>
              <w:lastRenderedPageBreak/>
              <w:t>Presidencia y sus fichas curriculares.</w:t>
            </w:r>
          </w:p>
        </w:tc>
        <w:tc>
          <w:tcPr>
            <w:tcW w:w="1964" w:type="dxa"/>
          </w:tcPr>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 agravió de la entrega de información incompleta, al precisar que no se le había </w:t>
            </w:r>
            <w:r>
              <w:rPr>
                <w:rFonts w:ascii="Palatino Linotype" w:eastAsia="Palatino Linotype" w:hAnsi="Palatino Linotype" w:cs="Palatino Linotype"/>
              </w:rPr>
              <w:lastRenderedPageBreak/>
              <w:t>proporcionado el salario del Titular del Órgano Interno de Control, así como el salario y CV del Director de Desarrollo Económico y Fomento Comercial e Industrial, lo cual actualiza la causal de procedencia establecida en el artículo 179, fracción V de la Ley de la materia.</w:t>
            </w:r>
          </w:p>
        </w:tc>
        <w:tc>
          <w:tcPr>
            <w:tcW w:w="1830" w:type="dxa"/>
          </w:tcPr>
          <w:p w:rsidR="0099095B" w:rsidRDefault="00037446">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Sujeto Obligado esencialmente ratificó su respuesta inicial, y proporcionó el </w:t>
            </w:r>
            <w:r>
              <w:rPr>
                <w:rFonts w:ascii="Palatino Linotype" w:eastAsia="Palatino Linotype" w:hAnsi="Palatino Linotype" w:cs="Palatino Linotype"/>
              </w:rPr>
              <w:lastRenderedPageBreak/>
              <w:t>nombramiento del Director de Turismo y Fomento Artesanal; y las fichas curriculares de  los titulares de la Secretaria del Ayuntamiento, Dirección de Turismo y Fomento Artesanal, Coordinación de Comunicación social, Unidad de Transparencia y Acceso a la Información, y Dirección del Instituto del Emprendedor.</w:t>
            </w:r>
          </w:p>
        </w:tc>
      </w:tr>
    </w:tbl>
    <w:p w:rsidR="0099095B" w:rsidRDefault="0099095B">
      <w:pPr>
        <w:tabs>
          <w:tab w:val="left" w:pos="4962"/>
        </w:tabs>
        <w:spacing w:line="360" w:lineRule="auto"/>
        <w:jc w:val="both"/>
        <w:rPr>
          <w:rFonts w:ascii="Palatino Linotype" w:eastAsia="Palatino Linotype" w:hAnsi="Palatino Linotype" w:cs="Palatino Linotype"/>
          <w:b/>
          <w:sz w:val="22"/>
          <w:szCs w:val="22"/>
        </w:rPr>
      </w:pP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w:t>
      </w:r>
      <w:r>
        <w:rPr>
          <w:rFonts w:ascii="Palatino Linotype" w:eastAsia="Palatino Linotype" w:hAnsi="Palatino Linotype" w:cs="Palatino Linotype"/>
          <w:sz w:val="22"/>
          <w:szCs w:val="22"/>
        </w:rPr>
        <w:t>la persona</w:t>
      </w:r>
      <w:r>
        <w:rPr>
          <w:rFonts w:ascii="Palatino Linotype" w:eastAsia="Palatino Linotype" w:hAnsi="Palatino Linotype" w:cs="Palatino Linotype"/>
          <w:color w:val="000000"/>
          <w:sz w:val="22"/>
          <w:szCs w:val="22"/>
        </w:rPr>
        <w:t xml:space="preserve"> Recurrente no se agravió de  las fichas curriculares, sueldos, nombramientos, certificaciones, y del listado de personal de la Oficina de Presidencia, información remitida en respuesta, sino de que no le entregaron </w:t>
      </w:r>
      <w:r>
        <w:rPr>
          <w:rFonts w:ascii="Palatino Linotype" w:eastAsia="Palatino Linotype" w:hAnsi="Palatino Linotype" w:cs="Palatino Linotype"/>
          <w:sz w:val="22"/>
          <w:szCs w:val="22"/>
        </w:rPr>
        <w:t>el</w:t>
      </w:r>
      <w:r>
        <w:rPr>
          <w:rFonts w:ascii="Palatino Linotype" w:eastAsia="Palatino Linotype" w:hAnsi="Palatino Linotype" w:cs="Palatino Linotype"/>
        </w:rPr>
        <w:t xml:space="preserve"> </w:t>
      </w:r>
      <w:r>
        <w:rPr>
          <w:rFonts w:ascii="Palatino Linotype" w:eastAsia="Palatino Linotype" w:hAnsi="Palatino Linotype" w:cs="Palatino Linotype"/>
          <w:sz w:val="22"/>
          <w:szCs w:val="22"/>
        </w:rPr>
        <w:t>salario del Titular del Órgano Interno de Control, así como el salario y CV del Director de Desarrollo Económico y Fomento Comercial e Industrial</w:t>
      </w:r>
      <w:r>
        <w:rPr>
          <w:rFonts w:ascii="Palatino Linotype" w:eastAsia="Palatino Linotype" w:hAnsi="Palatino Linotype" w:cs="Palatino Linotype"/>
          <w:color w:val="000000"/>
          <w:sz w:val="22"/>
          <w:szCs w:val="22"/>
        </w:rPr>
        <w:t>, por lo que, no se hará pronunciamiento alguno, respecto a dicha información,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w:t>
      </w:r>
      <w:r>
        <w:rPr>
          <w:rFonts w:ascii="Palatino Linotype" w:eastAsia="Palatino Linotype" w:hAnsi="Palatino Linotype" w:cs="Palatino Linotype"/>
          <w:b/>
          <w:color w:val="000000"/>
          <w:sz w:val="22"/>
          <w:szCs w:val="22"/>
        </w:rPr>
        <w:t>los actos que se hayan consentido tácitamente,</w:t>
      </w:r>
      <w:r>
        <w:rPr>
          <w:rFonts w:ascii="Palatino Linotype" w:eastAsia="Palatino Linotype" w:hAnsi="Palatino Linotype" w:cs="Palatino Linotype"/>
          <w:color w:val="000000"/>
          <w:sz w:val="22"/>
          <w:szCs w:val="22"/>
        </w:rPr>
        <w:t> entendiéndose por estos cuando el agravio no se haya promovido en el plazo señalado para el efecto.</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la misma manera resulta aplicable el criterio sostenido por el Poder Judicial de la Federación de rubro </w:t>
      </w:r>
      <w:r>
        <w:rPr>
          <w:rFonts w:ascii="Palatino Linotype" w:eastAsia="Palatino Linotype" w:hAnsi="Palatino Linotype" w:cs="Palatino Linotype"/>
          <w:b/>
          <w:color w:val="000000"/>
          <w:sz w:val="22"/>
          <w:szCs w:val="22"/>
        </w:rPr>
        <w:t>ACTOS CONSENTIDOS TÁCITAMENTE</w:t>
      </w:r>
      <w:r>
        <w:rPr>
          <w:rFonts w:ascii="Palatino Linotype" w:eastAsia="Palatino Linotype" w:hAnsi="Palatino Linotype" w:cs="Palatino Linotype"/>
          <w:color w:val="000000"/>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w:t>
      </w:r>
      <w:r>
        <w:rPr>
          <w:rFonts w:ascii="Palatino Linotype" w:eastAsia="Palatino Linotype" w:hAnsi="Palatino Linotype" w:cs="Palatino Linotype"/>
          <w:color w:val="000000"/>
          <w:sz w:val="22"/>
          <w:szCs w:val="22"/>
        </w:rPr>
        <w:lastRenderedPageBreak/>
        <w:t>especie, se válida la respuesta respecto de los puntos no controvertidos y se arriba a la conclusión de que estos quedaron firmes. </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resulta relevante traer a colación el Criterio de Interpretación, de la Segunda Época, con número de registro SO/001/2020, emitido por el Instituto Nacional de Transparencia, Acceso a la Información y Protección de Datos Personales, el cual establece que es improcedente entrar al análisis de las partes de la respuesta del Sujeto Obligado que no fueron impugnadas por </w:t>
      </w:r>
      <w:r>
        <w:rPr>
          <w:rFonts w:ascii="Palatino Linotype" w:eastAsia="Palatino Linotype" w:hAnsi="Palatino Linotype" w:cs="Palatino Linotype"/>
          <w:sz w:val="22"/>
          <w:szCs w:val="22"/>
        </w:rPr>
        <w:t>la persona</w:t>
      </w:r>
      <w:r>
        <w:rPr>
          <w:rFonts w:ascii="Palatino Linotype" w:eastAsia="Palatino Linotype" w:hAnsi="Palatino Linotype" w:cs="Palatino Linotype"/>
          <w:color w:val="000000"/>
          <w:sz w:val="22"/>
          <w:szCs w:val="22"/>
        </w:rPr>
        <w:t xml:space="preserve"> Recurrente; por lo que, en el presente caso, se tienen por consentidos las fichas curriculares, sueldos, nombramientos, certificaciones, y del listado de personal de la Oficina de Presidencia entregada, y únicamente se entrará al análisis del sueldo del Contralor Interno Municipal, y Ficha curricular y Sueldo del </w:t>
      </w:r>
      <w:r>
        <w:rPr>
          <w:rFonts w:ascii="Palatino Linotype" w:eastAsia="Palatino Linotype" w:hAnsi="Palatino Linotype" w:cs="Palatino Linotype"/>
          <w:sz w:val="22"/>
          <w:szCs w:val="22"/>
        </w:rPr>
        <w:t>Director de Desarrollo Económico y Fomento Comercial e Industrial</w:t>
      </w:r>
      <w:r>
        <w:rPr>
          <w:rFonts w:ascii="Palatino Linotype" w:eastAsia="Palatino Linotype" w:hAnsi="Palatino Linotype" w:cs="Palatino Linotype"/>
          <w:color w:val="000000"/>
          <w:sz w:val="22"/>
          <w:szCs w:val="22"/>
        </w:rPr>
        <w:t xml:space="preserve"> . </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Así, las cosas, una vez admitido y notificado el Recurso de Revisión a las partes, el Sujeto Obligado a través de sus unidades administrativas competentes, proporcionó el nombramiento del Director de Turismo y Fomento Artesanal; y las fichas curriculares de  los titulares de la Secretaria del Ayuntamiento, Dirección de Turismo y Fomento Artesanal, Coordinación de Comunicación social, Unidad de Transparencia y Acceso a la Información, y Dirección del Instituto del Emprendedor. Sobre lo cual el Ahora Recurrente insistió en que no se le habían proporcionado </w:t>
      </w:r>
      <w:r>
        <w:rPr>
          <w:rFonts w:ascii="Palatino Linotype" w:eastAsia="Palatino Linotype" w:hAnsi="Palatino Linotype" w:cs="Palatino Linotype"/>
          <w:color w:val="000000"/>
          <w:sz w:val="22"/>
          <w:szCs w:val="22"/>
        </w:rPr>
        <w:t xml:space="preserve">sueldo del Contralor Interno Municipal, y Ficha curricular y Sueldo del </w:t>
      </w:r>
      <w:r>
        <w:rPr>
          <w:rFonts w:ascii="Palatino Linotype" w:eastAsia="Palatino Linotype" w:hAnsi="Palatino Linotype" w:cs="Palatino Linotype"/>
          <w:sz w:val="22"/>
          <w:szCs w:val="22"/>
        </w:rPr>
        <w:t>Director de Desarrollo Económico y Fomento Comercial e Industrial</w:t>
      </w:r>
      <w:r>
        <w:rPr>
          <w:rFonts w:ascii="Palatino Linotype" w:eastAsia="Palatino Linotype" w:hAnsi="Palatino Linotype" w:cs="Palatino Linotype"/>
          <w:color w:val="000000"/>
          <w:sz w:val="22"/>
          <w:szCs w:val="22"/>
        </w:rPr>
        <w:t xml:space="preserve">. </w:t>
      </w:r>
    </w:p>
    <w:p w:rsidR="0099095B" w:rsidRDefault="0099095B">
      <w:pPr>
        <w:spacing w:line="360" w:lineRule="auto"/>
        <w:jc w:val="both"/>
        <w:rPr>
          <w:rFonts w:ascii="Palatino Linotype" w:eastAsia="Palatino Linotype" w:hAnsi="Palatino Linotype" w:cs="Palatino Linotype"/>
          <w:b/>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la respuesta proporcionada, el escrito recursal y el informe justificado; instrumentales que se toman en cuenta a efecto de resolver el presente medio de impugnación, conforme a lo </w:t>
      </w:r>
      <w:r>
        <w:rPr>
          <w:rFonts w:ascii="Palatino Linotype" w:eastAsia="Palatino Linotype" w:hAnsi="Palatino Linotype" w:cs="Palatino Linotype"/>
          <w:sz w:val="22"/>
          <w:szCs w:val="22"/>
        </w:rPr>
        <w:lastRenderedPageBreak/>
        <w:t xml:space="preserve">dispuesto por el artículo 185, fracción IV, de la Ley de Transparencia y Acceso a la Información Pública del Estado de México y Municipios. </w:t>
      </w:r>
    </w:p>
    <w:p w:rsidR="0099095B" w:rsidRDefault="0099095B">
      <w:pPr>
        <w:spacing w:line="360" w:lineRule="auto"/>
        <w:jc w:val="both"/>
        <w:rPr>
          <w:rFonts w:ascii="Palatino Linotype" w:eastAsia="Palatino Linotype" w:hAnsi="Palatino Linotype" w:cs="Palatino Linotype"/>
          <w:b/>
          <w:sz w:val="22"/>
          <w:szCs w:val="22"/>
        </w:rPr>
      </w:pPr>
    </w:p>
    <w:p w:rsidR="00961904" w:rsidRPr="00E654C9" w:rsidRDefault="00961904" w:rsidP="00961904">
      <w:pPr>
        <w:spacing w:line="360" w:lineRule="auto"/>
        <w:jc w:val="both"/>
        <w:rPr>
          <w:rFonts w:ascii="Palatino Linotype" w:eastAsia="Palatino Linotype" w:hAnsi="Palatino Linotype" w:cs="Palatino Linotype"/>
          <w:b/>
          <w:sz w:val="22"/>
          <w:szCs w:val="22"/>
        </w:rPr>
      </w:pPr>
      <w:r w:rsidRPr="00E654C9">
        <w:rPr>
          <w:rFonts w:ascii="Palatino Linotype" w:eastAsia="Palatino Linotype" w:hAnsi="Palatino Linotype" w:cs="Palatino Linotype"/>
          <w:b/>
          <w:sz w:val="22"/>
          <w:szCs w:val="22"/>
        </w:rPr>
        <w:t>CUARTO. Marco normativo aplicable en materia de transparencia y acceso a la información pública</w:t>
      </w:r>
    </w:p>
    <w:p w:rsidR="00961904" w:rsidRPr="00E654C9" w:rsidRDefault="00961904" w:rsidP="00961904">
      <w:pPr>
        <w:spacing w:line="360" w:lineRule="auto"/>
        <w:jc w:val="both"/>
        <w:rPr>
          <w:rFonts w:ascii="Palatino Linotype" w:eastAsia="Palatino Linotype" w:hAnsi="Palatino Linotype" w:cs="Palatino Linotype"/>
          <w:b/>
          <w:sz w:val="22"/>
          <w:szCs w:val="22"/>
        </w:rPr>
      </w:pPr>
    </w:p>
    <w:p w:rsidR="00961904" w:rsidRPr="00E654C9" w:rsidRDefault="00961904" w:rsidP="00961904">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61904" w:rsidRDefault="00961904" w:rsidP="00961904">
      <w:pPr>
        <w:spacing w:line="360" w:lineRule="auto"/>
        <w:jc w:val="both"/>
        <w:rPr>
          <w:rFonts w:ascii="Palatino Linotype" w:eastAsia="Palatino Linotype" w:hAnsi="Palatino Linotype" w:cs="Palatino Linotype"/>
          <w:sz w:val="22"/>
          <w:szCs w:val="22"/>
        </w:rPr>
      </w:pPr>
    </w:p>
    <w:p w:rsidR="00961904" w:rsidRPr="00E654C9" w:rsidRDefault="00961904" w:rsidP="00961904">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61904" w:rsidRPr="00E654C9" w:rsidRDefault="00961904" w:rsidP="00961904">
      <w:pPr>
        <w:spacing w:line="360" w:lineRule="auto"/>
        <w:jc w:val="both"/>
        <w:rPr>
          <w:rFonts w:ascii="Palatino Linotype" w:eastAsia="Palatino Linotype" w:hAnsi="Palatino Linotype" w:cs="Palatino Linotype"/>
          <w:sz w:val="22"/>
          <w:szCs w:val="22"/>
        </w:rPr>
      </w:pPr>
    </w:p>
    <w:p w:rsidR="00961904" w:rsidRPr="00E654C9" w:rsidRDefault="00961904" w:rsidP="00961904">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961904" w:rsidRPr="00E654C9" w:rsidRDefault="00961904" w:rsidP="00961904">
      <w:pPr>
        <w:spacing w:line="360" w:lineRule="auto"/>
        <w:jc w:val="both"/>
        <w:rPr>
          <w:rFonts w:ascii="Palatino Linotype" w:eastAsia="Palatino Linotype" w:hAnsi="Palatino Linotype" w:cs="Palatino Linotype"/>
          <w:sz w:val="22"/>
          <w:szCs w:val="22"/>
        </w:rPr>
      </w:pPr>
    </w:p>
    <w:p w:rsidR="00961904" w:rsidRPr="00E654C9" w:rsidRDefault="00961904" w:rsidP="00961904">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961904" w:rsidRPr="00E654C9" w:rsidRDefault="00961904" w:rsidP="00961904">
      <w:pPr>
        <w:spacing w:line="360" w:lineRule="auto"/>
        <w:jc w:val="both"/>
        <w:rPr>
          <w:rFonts w:ascii="Palatino Linotype" w:eastAsia="Palatino Linotype" w:hAnsi="Palatino Linotype" w:cs="Palatino Linotype"/>
          <w:sz w:val="22"/>
          <w:szCs w:val="22"/>
        </w:rPr>
      </w:pPr>
    </w:p>
    <w:p w:rsidR="00961904" w:rsidRPr="00E654C9" w:rsidRDefault="00961904" w:rsidP="00961904">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961904" w:rsidRPr="00E654C9" w:rsidRDefault="00961904" w:rsidP="00961904">
      <w:pPr>
        <w:spacing w:line="360" w:lineRule="auto"/>
        <w:jc w:val="both"/>
        <w:rPr>
          <w:rFonts w:ascii="Palatino Linotype" w:eastAsia="Palatino Linotype" w:hAnsi="Palatino Linotype" w:cs="Palatino Linotype"/>
          <w:sz w:val="22"/>
          <w:szCs w:val="22"/>
        </w:rPr>
      </w:pPr>
    </w:p>
    <w:p w:rsidR="00961904" w:rsidRPr="00E654C9" w:rsidRDefault="00961904" w:rsidP="00961904">
      <w:pPr>
        <w:spacing w:line="360" w:lineRule="auto"/>
        <w:jc w:val="both"/>
        <w:rPr>
          <w:rFonts w:ascii="Palatino Linotype" w:eastAsia="Palatino Linotype" w:hAnsi="Palatino Linotype" w:cs="Palatino Linotype"/>
          <w:sz w:val="22"/>
          <w:szCs w:val="22"/>
        </w:rPr>
      </w:pPr>
      <w:r w:rsidRPr="00E654C9">
        <w:rPr>
          <w:rFonts w:ascii="Palatino Linotype" w:eastAsia="Palatino Linotype" w:hAnsi="Palatino Linotype" w:cs="Palatino Linotype"/>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9095B" w:rsidRDefault="0099095B">
      <w:pPr>
        <w:spacing w:line="360" w:lineRule="auto"/>
        <w:jc w:val="both"/>
        <w:rPr>
          <w:rFonts w:ascii="Palatino Linotype" w:eastAsia="Palatino Linotype" w:hAnsi="Palatino Linotype" w:cs="Palatino Linotype"/>
          <w:b/>
          <w:sz w:val="22"/>
          <w:szCs w:val="22"/>
        </w:rPr>
      </w:pPr>
    </w:p>
    <w:p w:rsidR="0099095B" w:rsidRDefault="00037446">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QUINTO. Estudio de Fondo</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del agravio hecho valer por el ahora Recurrente, concerniente a la entrega de información incompleta, por lo que en principio, resulta importante recordar que el Particular requirió respecto de los Directores de área entre otras cosas su información curricular y Sueldo.</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Sobre el </w:t>
      </w:r>
      <w:r>
        <w:rPr>
          <w:rFonts w:ascii="Palatino Linotype" w:eastAsia="Palatino Linotype" w:hAnsi="Palatino Linotype" w:cs="Palatino Linotype"/>
          <w:b/>
          <w:sz w:val="22"/>
          <w:szCs w:val="22"/>
        </w:rPr>
        <w:t>Currículum Vitae</w:t>
      </w:r>
      <w:r>
        <w:rPr>
          <w:rFonts w:ascii="Palatino Linotype" w:eastAsia="Palatino Linotype" w:hAnsi="Palatino Linotype" w:cs="Palatino Linotype"/>
          <w:sz w:val="22"/>
          <w:szCs w:val="22"/>
        </w:rPr>
        <w:t>, es aquel documento que las personas elaboran con los datos de identificación y contacto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preparación académica</w:t>
      </w:r>
      <w:r>
        <w:rPr>
          <w:rFonts w:ascii="Palatino Linotype" w:eastAsia="Palatino Linotype" w:hAnsi="Palatino Linotype" w:cs="Palatino Linotype"/>
          <w:color w:val="000000"/>
          <w:sz w:val="22"/>
          <w:szCs w:val="22"/>
        </w:rPr>
        <w:t xml:space="preserve">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 anterior, se robustece con la fracción XXI, del artículo 92 de la Ley de Transparencia y Acceso a la Información Pública del Estado de México y Municipios, que establece que la </w:t>
      </w:r>
      <w:r>
        <w:rPr>
          <w:rFonts w:ascii="Palatino Linotype" w:eastAsia="Palatino Linotype" w:hAnsi="Palatino Linotype" w:cs="Palatino Linotype"/>
          <w:b/>
          <w:color w:val="000000"/>
          <w:sz w:val="22"/>
          <w:szCs w:val="22"/>
        </w:rPr>
        <w:lastRenderedPageBreak/>
        <w:t>información curricular</w:t>
      </w:r>
      <w:r>
        <w:rPr>
          <w:rFonts w:ascii="Palatino Linotype" w:eastAsia="Palatino Linotype" w:hAnsi="Palatino Linotype" w:cs="Palatino Linotype"/>
          <w:color w:val="000000"/>
          <w:sz w:val="22"/>
          <w:szCs w:val="22"/>
        </w:rPr>
        <w:t xml:space="preserve"> es información que deben de poner a disposición del público los sujetos obligados.</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widowControl w:val="0"/>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w:t>
      </w:r>
      <w:r>
        <w:rPr>
          <w:rFonts w:ascii="Palatino Linotype" w:eastAsia="Palatino Linotype" w:hAnsi="Palatino Linotype" w:cs="Palatino Linotype"/>
          <w:b/>
          <w:color w:val="000000"/>
          <w:sz w:val="22"/>
          <w:szCs w:val="22"/>
        </w:rPr>
        <w:t>nivel máximo de estudios concluido y comprobable, así como la experiencia laboral</w:t>
      </w:r>
      <w:r>
        <w:rPr>
          <w:rFonts w:ascii="Palatino Linotype" w:eastAsia="Palatino Linotype" w:hAnsi="Palatino Linotype" w:cs="Palatino Linotype"/>
          <w:color w:val="000000"/>
          <w:sz w:val="22"/>
          <w:szCs w:val="22"/>
        </w:rPr>
        <w:t xml:space="preserve">, concerniente a los tres últimos empleos, tal como se muestra a continuación: </w:t>
      </w:r>
    </w:p>
    <w:p w:rsidR="0099095B" w:rsidRDefault="0099095B">
      <w:pPr>
        <w:widowControl w:val="0"/>
        <w:spacing w:line="360" w:lineRule="auto"/>
        <w:ind w:right="-28"/>
        <w:jc w:val="center"/>
        <w:rPr>
          <w:rFonts w:ascii="Palatino Linotype" w:eastAsia="Palatino Linotype" w:hAnsi="Palatino Linotype" w:cs="Palatino Linotype"/>
          <w:color w:val="000000"/>
          <w:sz w:val="22"/>
          <w:szCs w:val="22"/>
        </w:rPr>
      </w:pPr>
    </w:p>
    <w:p w:rsidR="0099095B" w:rsidRDefault="00037446">
      <w:pPr>
        <w:widowControl w:val="0"/>
        <w:spacing w:line="360" w:lineRule="auto"/>
        <w:ind w:right="-2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sz w:val="22"/>
          <w:szCs w:val="22"/>
          <w:lang w:eastAsia="es-MX"/>
        </w:rPr>
        <w:drawing>
          <wp:inline distT="0" distB="0" distL="0" distR="0">
            <wp:extent cx="5290185" cy="1885950"/>
            <wp:effectExtent l="0" t="0" r="0" b="0"/>
            <wp:docPr id="1493218529" name="image1.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Tabla&#10;&#10;Descripción generada automáticamente"/>
                    <pic:cNvPicPr preferRelativeResize="0"/>
                  </pic:nvPicPr>
                  <pic:blipFill>
                    <a:blip r:embed="rId11"/>
                    <a:srcRect/>
                    <a:stretch>
                      <a:fillRect/>
                    </a:stretch>
                  </pic:blipFill>
                  <pic:spPr>
                    <a:xfrm>
                      <a:off x="0" y="0"/>
                      <a:ext cx="5290185" cy="1885950"/>
                    </a:xfrm>
                    <a:prstGeom prst="rect">
                      <a:avLst/>
                    </a:prstGeom>
                    <a:ln/>
                  </pic:spPr>
                </pic:pic>
              </a:graphicData>
            </a:graphic>
          </wp:inline>
        </w:drawing>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contexto, según Islas, Jorge (2016), en la “Ley General de Transparencia y Acceso a la Información Pública Comentada” (p. 244), refirió que el </w:t>
      </w:r>
      <w:r>
        <w:rPr>
          <w:rFonts w:ascii="Palatino Linotype" w:eastAsia="Palatino Linotype" w:hAnsi="Palatino Linotype" w:cs="Palatino Linotype"/>
          <w:b/>
          <w:color w:val="000000"/>
          <w:sz w:val="22"/>
          <w:szCs w:val="22"/>
        </w:rPr>
        <w:t xml:space="preserve">currículum vitae </w:t>
      </w:r>
      <w:r>
        <w:rPr>
          <w:rFonts w:ascii="Palatino Linotype" w:eastAsia="Palatino Linotype" w:hAnsi="Palatino Linotype" w:cs="Palatino Linotype"/>
          <w:color w:val="000000"/>
          <w:sz w:val="22"/>
          <w:szCs w:val="22"/>
        </w:rPr>
        <w:t>d</w:t>
      </w:r>
      <w:r>
        <w:rPr>
          <w:rFonts w:ascii="Palatino Linotype" w:eastAsia="Palatino Linotype" w:hAnsi="Palatino Linotype" w:cs="Palatino Linotype"/>
          <w:b/>
          <w:color w:val="000000"/>
          <w:sz w:val="22"/>
          <w:szCs w:val="22"/>
        </w:rPr>
        <w:t xml:space="preserve">e un servidor público, justifica que su formación académica resulta viable para el desempeño eficiente y </w:t>
      </w:r>
      <w:r>
        <w:rPr>
          <w:rFonts w:ascii="Palatino Linotype" w:eastAsia="Palatino Linotype" w:hAnsi="Palatino Linotype" w:cs="Palatino Linotype"/>
          <w:b/>
          <w:color w:val="000000"/>
          <w:sz w:val="22"/>
          <w:szCs w:val="22"/>
        </w:rPr>
        <w:lastRenderedPageBreak/>
        <w:t>correcto de su encargo; lo anterior, con el fin de acreditar que dichos trabajadores sean los más capacitados acordes al área solicitada.</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mismo sentido, el Criterio de Interpretación, de la Tercera de Época, con número de registro </w:t>
      </w:r>
      <w:r>
        <w:rPr>
          <w:rFonts w:ascii="Palatino Linotype" w:eastAsia="Palatino Linotype" w:hAnsi="Palatino Linotype" w:cs="Palatino Linotype"/>
          <w:color w:val="222222"/>
          <w:sz w:val="22"/>
          <w:szCs w:val="22"/>
        </w:rPr>
        <w:t>SO/007/2023</w:t>
      </w:r>
      <w:r>
        <w:rPr>
          <w:rFonts w:ascii="Palatino Linotype" w:eastAsia="Palatino Linotype" w:hAnsi="Palatino Linotype" w:cs="Palatino Linotype"/>
          <w:color w:val="000000"/>
          <w:sz w:val="22"/>
          <w:szCs w:val="22"/>
        </w:rPr>
        <w:t xml:space="preserve">, emitido por el Instituto Nacional de Transparencia, Acceso a la Información y Protección de Datos Personales, establece que una de las formas en que los ciudadanos pueden evaluar las aptitudes para desempeñar un cargo público determinado, es mediante la </w:t>
      </w:r>
      <w:r>
        <w:rPr>
          <w:rFonts w:ascii="Palatino Linotype" w:eastAsia="Palatino Linotype" w:hAnsi="Palatino Linotype" w:cs="Palatino Linotype"/>
          <w:b/>
          <w:color w:val="000000"/>
          <w:sz w:val="22"/>
          <w:szCs w:val="22"/>
        </w:rPr>
        <w:t xml:space="preserve">publicidad de ciertos datos contenidos en el </w:t>
      </w:r>
      <w:r>
        <w:rPr>
          <w:rFonts w:ascii="Palatino Linotype" w:eastAsia="Palatino Linotype" w:hAnsi="Palatino Linotype" w:cs="Palatino Linotype"/>
          <w:color w:val="000000"/>
          <w:sz w:val="22"/>
          <w:szCs w:val="22"/>
        </w:rPr>
        <w:t>currículum vitae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tales como,</w:t>
      </w:r>
      <w:r>
        <w:rPr>
          <w:rFonts w:ascii="Palatino Linotype" w:eastAsia="Palatino Linotype" w:hAnsi="Palatino Linotype" w:cs="Palatino Linotype"/>
          <w:b/>
          <w:color w:val="000000"/>
          <w:sz w:val="22"/>
          <w:szCs w:val="22"/>
        </w:rPr>
        <w:t xml:space="preserve"> la trayectoria académica, profesional, laboral, así como todos aquellos que acrediten su capacidad, habilidades pericia para ocupar el puesto público. </w:t>
      </w:r>
      <w:r>
        <w:rPr>
          <w:rFonts w:ascii="Palatino Linotype" w:eastAsia="Palatino Linotype" w:hAnsi="Palatino Linotype" w:cs="Palatino Linotype"/>
          <w:color w:val="000000"/>
          <w:sz w:val="22"/>
          <w:szCs w:val="22"/>
        </w:rPr>
        <w:t>Lo anterior, para favorecer la rendición de cuentas, pues la publicidad de lo anterior tiene como fin verificar el correcto desempeño de los sujetos obligados.</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Sobre </w:t>
      </w:r>
      <w:r>
        <w:rPr>
          <w:rFonts w:ascii="Palatino Linotype" w:eastAsia="Palatino Linotype" w:hAnsi="Palatino Linotype" w:cs="Palatino Linotype"/>
          <w:b/>
          <w:color w:val="000000"/>
          <w:sz w:val="22"/>
          <w:szCs w:val="22"/>
        </w:rPr>
        <w:t>el Sueldo</w:t>
      </w:r>
      <w:r>
        <w:rPr>
          <w:rFonts w:ascii="Palatino Linotype" w:eastAsia="Palatino Linotype" w:hAnsi="Palatino Linotype" w:cs="Palatino Linotype"/>
          <w:color w:val="000000"/>
          <w:sz w:val="22"/>
          <w:szCs w:val="22"/>
        </w:rPr>
        <w:t xml:space="preserve">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el artículo 4°, fracción VI, de la Ley del Trabajo de los Servidores Públicos del Estado y Municipios, establece que </w:t>
      </w:r>
      <w:r>
        <w:rPr>
          <w:rFonts w:ascii="Palatino Linotype" w:eastAsia="Palatino Linotype" w:hAnsi="Palatino Linotype" w:cs="Palatino Linotype"/>
          <w:b/>
          <w:color w:val="000000"/>
          <w:sz w:val="22"/>
          <w:szCs w:val="22"/>
        </w:rPr>
        <w:t>un servidor público</w:t>
      </w:r>
      <w:r>
        <w:rPr>
          <w:rFonts w:ascii="Palatino Linotype" w:eastAsia="Palatino Linotype" w:hAnsi="Palatino Linotype" w:cs="Palatino Linotype"/>
          <w:color w:val="000000"/>
          <w:sz w:val="22"/>
          <w:szCs w:val="22"/>
        </w:rPr>
        <w:t xml:space="preserve"> es toda persona física que preste a una institución pública un trabajo personal subordinado de carácter material o intelectual, o de ambos géneros, mediante el pago de un sueldo.</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Además, conforme a los artículos 356 de la Ley Federal del Trabajo y 138 de la Ley del Trabajo de los Servidores Públicos del Estado de México y Municipios, un sindicato es una asociación de </w:t>
      </w:r>
      <w:r>
        <w:rPr>
          <w:rFonts w:ascii="Palatino Linotype" w:eastAsia="Palatino Linotype" w:hAnsi="Palatino Linotype" w:cs="Palatino Linotype"/>
          <w:b/>
          <w:color w:val="000000"/>
          <w:sz w:val="22"/>
          <w:szCs w:val="22"/>
        </w:rPr>
        <w:t>servidores públicos</w:t>
      </w:r>
      <w:r>
        <w:rPr>
          <w:rFonts w:ascii="Palatino Linotype" w:eastAsia="Palatino Linotype" w:hAnsi="Palatino Linotype" w:cs="Palatino Linotype"/>
          <w:color w:val="000000"/>
          <w:sz w:val="22"/>
          <w:szCs w:val="22"/>
        </w:rPr>
        <w:t xml:space="preserve"> generales, constituida para el estudio, mejoramiento y defensa de sus intereses comunes.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Conforme a la normatividad analizada, se logra advertir la posibilidad del Sujeto Obligado, de contratar a trabajadores pertenecientes a un gremio; tan es así, que este Instituto localizó en el Tabulador de Sueldos del Ente Recurrido, de los ejercicios fiscales, dos mil veintidós y dos mil veintitrés, del cual se logra vislumbrar que cuenta con plazas sindicalizadas</w:t>
      </w:r>
    </w:p>
    <w:p w:rsidR="0099095B" w:rsidRDefault="0099095B">
      <w:pPr>
        <w:widowControl w:val="0"/>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el artículo 147 de la Constitución Política del Estado Libre y Soberano de México, que establece que los trabajadores al servicio del Estado, como los miembros de los ayuntamientos y demás servidores públicos municipales recibirán una retribución adecuada e irrenunciable por el desempeño de su empleo, cargo o comisión, </w:t>
      </w:r>
      <w:r>
        <w:rPr>
          <w:rFonts w:ascii="Palatino Linotype" w:eastAsia="Palatino Linotype" w:hAnsi="Palatino Linotype" w:cs="Palatino Linotype"/>
          <w:b/>
          <w:color w:val="000000"/>
          <w:sz w:val="22"/>
          <w:szCs w:val="22"/>
        </w:rPr>
        <w:t xml:space="preserve">que será determinada en el presupuesto de egresos que corresponda. </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Da la misma manera, el Glosario de Términos, del Manual para la Planeación, Programación y Presupuesto de Egresos Municipal para el ejercicio fiscal dos mil veinticuatro, establece que la remuneración es la percepción de un trabajador o retribución monetaria que se da en pago por su servicio o actividad desarrollada.</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resulta oportuno conocer la respuesta proporcionada por lo que es de señalar que de las constancias que obran en el expediente, se logra vislumbrar que el Sujeto Obligado turno la solicitud de información a la Dirección de administración;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 necesario traer al estudio los artículos 42, 43 fracción II, inciso h), 135 y 136 del Bando Municipal de Ixtlahuaca, dos mil veinticinco, en relación con el Manual General de Organización, en los que se establece que el Sujeto Obligado para el ejercicio de sus funciones contará con diversas unidades administrativas, entre otras la Dirección de Administración; Encargada de administrar los recursos materiales, económicos y humanos de servicios a las diversas áreas que conforman la Administración Pública Municipal, y en general cumplir con todas las atribuciones que le otorguen las disposiciones legales que regulen sus actividades. Además le corresponderá el ejercicio de diversas funciones entre otras las siguientes:</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Vigilar conjuntamente con la Coordinación de Recursos Humanos que se cumplan los acuerdos tomados, con los artículos de las diferentes leyes que regulen las prestaciones y obligaciones, tanto de los trabajadores de base, como de los sindicalizados;</w:t>
      </w:r>
    </w:p>
    <w:p w:rsidR="0099095B" w:rsidRDefault="00037446">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Aprobar conjuntamente con la Coordinación de Recursos Humanos la Nómina, verificando que las percepciones y deducciones sean las que determinan las diversas leyes vigentes; y</w:t>
      </w:r>
    </w:p>
    <w:p w:rsidR="0099095B" w:rsidRDefault="00037446">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Tener bajo propio resguardo la información del personal de carácter privado, haciendo cumplir la Ley de Protección de Datos Personales en Posesión de Sujetos Obligados del Estado de México y Municipios.</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advierte que el Sujeto Obligado cumplió con el procedimiento de búsqueda, pues turno la solicitud de información a la Dirección de Administración, que ve las cuestiones relacionadas con la administración y control de los expedientes del personal, en coordinación en el área de Recursos Humanos.</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Entrega de información incompleta</w:t>
      </w:r>
    </w:p>
    <w:p w:rsidR="0099095B" w:rsidRDefault="0099095B">
      <w:pPr>
        <w:spacing w:line="360" w:lineRule="auto"/>
        <w:ind w:right="-28"/>
        <w:jc w:val="both"/>
        <w:rPr>
          <w:rFonts w:ascii="Palatino Linotype" w:eastAsia="Palatino Linotype" w:hAnsi="Palatino Linotype" w:cs="Palatino Linotype"/>
          <w:b/>
          <w:sz w:val="22"/>
          <w:szCs w:val="22"/>
        </w:rPr>
      </w:pPr>
    </w:p>
    <w:p w:rsidR="0099095B" w:rsidRDefault="00037446">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En este sentido, el Sujeto Obligado a través de la Dirección de Administración, proporcionó diversos documentos que daban cuenta de lo solicitado es decir fichas curriculares y sueldos, sin embargo, el ahora Recurrente se agravió porque no le habían proporcionado el </w:t>
      </w:r>
      <w:r>
        <w:rPr>
          <w:rFonts w:ascii="Palatino Linotype" w:eastAsia="Palatino Linotype" w:hAnsi="Palatino Linotype" w:cs="Palatino Linotype"/>
          <w:color w:val="000000"/>
          <w:sz w:val="22"/>
          <w:szCs w:val="22"/>
        </w:rPr>
        <w:t xml:space="preserve">sueldo del Contralor Interno Municipal, y la Ficha curricular y el Sueldo del </w:t>
      </w:r>
      <w:r>
        <w:rPr>
          <w:rFonts w:ascii="Palatino Linotype" w:eastAsia="Palatino Linotype" w:hAnsi="Palatino Linotype" w:cs="Palatino Linotype"/>
          <w:sz w:val="22"/>
          <w:szCs w:val="22"/>
        </w:rPr>
        <w:t>Director de Desarrollo Económico y Fomento Comercial e Industrial</w:t>
      </w:r>
      <w:r>
        <w:rPr>
          <w:rFonts w:ascii="Palatino Linotype" w:eastAsia="Palatino Linotype" w:hAnsi="Palatino Linotype" w:cs="Palatino Linotype"/>
          <w:color w:val="000000"/>
          <w:sz w:val="22"/>
          <w:szCs w:val="22"/>
        </w:rPr>
        <w:t>.</w:t>
      </w:r>
    </w:p>
    <w:p w:rsidR="0099095B" w:rsidRDefault="0099095B">
      <w:pPr>
        <w:spacing w:line="360" w:lineRule="auto"/>
        <w:ind w:right="-28"/>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derivado del proceso electoral del dos de junio de dos mil veinticuatro, se eligieron a los nuevos ayuntamientos para el periodo 2025-2027, los cuales empezarían a ejercer sus funciones a partir del primero de enero de dos mil veinticinco, con el cual además se renovarían los titulares de las diversas unidades administrativas. </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localizó el Directorio de Servidores Públicos publicado en la página oficial del Ayuntamiento de Ixtlahuaca 2025-2027, a los titulares de dichas áreas, del cual al acceder se logró advertir lo siguiente:</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Arturo Tapia Mateos (Contralor Municipal); y</w:t>
      </w:r>
    </w:p>
    <w:p w:rsidR="0099095B" w:rsidRDefault="0003744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Graciela Hernández Dolores (Directora de Desarrollo Económico y Fomento Comercial e Industrial).</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center"/>
        <w:rPr>
          <w:rFonts w:ascii="Palatino Linotype" w:eastAsia="Palatino Linotype" w:hAnsi="Palatino Linotype" w:cs="Palatino Linotype"/>
          <w:sz w:val="22"/>
          <w:szCs w:val="22"/>
        </w:rPr>
      </w:pPr>
      <w:r>
        <w:rPr>
          <w:noProof/>
          <w:lang w:eastAsia="es-MX"/>
        </w:rPr>
        <w:drawing>
          <wp:inline distT="0" distB="0" distL="0" distR="0">
            <wp:extent cx="1465986" cy="2660496"/>
            <wp:effectExtent l="0" t="0" r="0" b="0"/>
            <wp:docPr id="14932185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6723" t="39498" r="29842" b="15141"/>
                    <a:stretch>
                      <a:fillRect/>
                    </a:stretch>
                  </pic:blipFill>
                  <pic:spPr>
                    <a:xfrm>
                      <a:off x="0" y="0"/>
                      <a:ext cx="1465986" cy="2660496"/>
                    </a:xfrm>
                    <a:prstGeom prst="rect">
                      <a:avLst/>
                    </a:prstGeom>
                    <a:ln/>
                  </pic:spPr>
                </pic:pic>
              </a:graphicData>
            </a:graphic>
          </wp:inline>
        </w:drawing>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noProof/>
          <w:sz w:val="22"/>
          <w:szCs w:val="22"/>
          <w:lang w:eastAsia="es-MX"/>
        </w:rPr>
        <w:drawing>
          <wp:inline distT="0" distB="0" distL="0" distR="0">
            <wp:extent cx="1317420" cy="2816667"/>
            <wp:effectExtent l="0" t="0" r="0" b="0"/>
            <wp:docPr id="14932185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317420" cy="2816667"/>
                    </a:xfrm>
                    <a:prstGeom prst="rect">
                      <a:avLst/>
                    </a:prstGeom>
                    <a:ln/>
                  </pic:spPr>
                </pic:pic>
              </a:graphicData>
            </a:graphic>
          </wp:inline>
        </w:drawing>
      </w:r>
      <w:r>
        <w:t xml:space="preserve"> </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Arturo Tapia Mateos (Contralor Municipal)</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se logró advertir que en respuesta, el Sujeto Obligado a través de la Dirección de Administración, proporcionó la ficha curricular del Contralor Interno, sobre lo cual el ahora Recurrente no se inconformó, sin embargo, omitió proporcionar los documentos con los cuales se diera cuenta de su sueldo.</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el artículo 1.8, fracción IX, del Código Administrativo del Estado de México, establece que para que un acto administrativo tenga validez, deberá guardar congruencia con lo solicitado. Además, resulta necesario traer por analogía, el Criterio de Interpretación, con clave de control SO/002/2017, de la Segunda Época, emitido por el Instituto Nacional de </w:t>
      </w:r>
      <w:r>
        <w:rPr>
          <w:rFonts w:ascii="Palatino Linotype" w:eastAsia="Palatino Linotype" w:hAnsi="Palatino Linotype" w:cs="Palatino Linotype"/>
          <w:sz w:val="22"/>
          <w:szCs w:val="22"/>
        </w:rPr>
        <w:lastRenderedPageBreak/>
        <w:t xml:space="preserve">Transparencia, Acceso a la Información y Protección de Datos Personales, del cual se desprende que todo acto administrativo debe apegarse al </w:t>
      </w:r>
      <w:r>
        <w:rPr>
          <w:rFonts w:ascii="Palatino Linotype" w:eastAsia="Palatino Linotype" w:hAnsi="Palatino Linotype" w:cs="Palatino Linotype"/>
          <w:b/>
          <w:sz w:val="22"/>
          <w:szCs w:val="22"/>
        </w:rPr>
        <w:t>Principio de Congruencia</w:t>
      </w:r>
      <w:r>
        <w:rPr>
          <w:rFonts w:ascii="Palatino Linotype" w:eastAsia="Palatino Linotype" w:hAnsi="Palatino Linotype" w:cs="Palatino Linotype"/>
          <w:sz w:val="22"/>
          <w:szCs w:val="22"/>
        </w:rPr>
        <w:t>, el cual implica que exista concordancia entre el requerimiento formulado y la respuesta entregada.</w:t>
      </w:r>
    </w:p>
    <w:p w:rsidR="0099095B" w:rsidRDefault="0099095B">
      <w:pPr>
        <w:widowControl w:val="0"/>
        <w:spacing w:line="360" w:lineRule="auto"/>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el Sujeto Obligado no atendió de manera completa este punto de la solicitud, pues no se pronunció sobre el sueldo que percibe el Contralor Interno, por lo que deberá proporcionar los documentos que den cuenta de dicha circunstancia.</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Graciela Hernández Dolores (Directora de Desarrollo Económico y Fomento Comercial e Industrial)</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Sujeto Obligado a través de su unidad administrativa competente si bien entregó diversa información sobre la información curricular y el sueldo de diversos directores, lo cierto es que omitió pronunciarse sobre la información de la Directora de Desarrollo Económico y Fomento Comercial e Industrial pues como ha quedado precisado, dicha área forma parte de las Unidades administrativas del Sujeto Obligado, por lo que deberá proporcionar los documentos que den cuenta de la información curricular y el sueldo que percibe.</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99095B" w:rsidRDefault="0099095B">
      <w:pPr>
        <w:spacing w:line="360" w:lineRule="auto"/>
        <w:jc w:val="both"/>
        <w:rPr>
          <w:rFonts w:ascii="Palatino Linotype" w:eastAsia="Palatino Linotype" w:hAnsi="Palatino Linotype" w:cs="Palatino Linotype"/>
          <w:color w:val="FF0000"/>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2"/>
          <w:szCs w:val="22"/>
        </w:rPr>
        <w:t>ad hoc</w:t>
      </w:r>
      <w:r>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documentación que contenga el sueldo y la información curricular requerida.</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Versión Pública</w:t>
      </w:r>
    </w:p>
    <w:p w:rsidR="0099095B" w:rsidRDefault="0099095B">
      <w:pPr>
        <w:spacing w:line="360" w:lineRule="auto"/>
        <w:ind w:right="-93"/>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no pasa desapercibido para este Instituto que los documentos que den cuenta de lo peticionado pudieran contener diversos datos susceptibles de clasificación, entre otros los siguientes:</w:t>
      </w:r>
    </w:p>
    <w:p w:rsidR="0099095B" w:rsidRDefault="0099095B">
      <w:pPr>
        <w:widowControl w:val="0"/>
        <w:tabs>
          <w:tab w:val="center" w:pos="4522"/>
        </w:tabs>
        <w:spacing w:line="360" w:lineRule="auto"/>
        <w:jc w:val="both"/>
        <w:rPr>
          <w:rFonts w:ascii="Palatino Linotype" w:eastAsia="Palatino Linotype" w:hAnsi="Palatino Linotype" w:cs="Palatino Linotype"/>
          <w:color w:val="000000"/>
          <w:sz w:val="22"/>
          <w:szCs w:val="22"/>
        </w:rPr>
      </w:pP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Clave Única de Registro de Población;</w:t>
      </w: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Registro Federal de Contribuyentes;</w:t>
      </w: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Código bidimensional o QR;</w:t>
      </w: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Número de seguridad social del Instituto de Seguridad Social del Estado de México y Municipios;</w:t>
      </w: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Deducciones personales;</w:t>
      </w: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Sellos digitales del emisor y del Servicio de Administración Tributaria y cadena original del complemento de certificación digital del órgano previamente señalado; y</w:t>
      </w:r>
    </w:p>
    <w:p w:rsidR="0099095B" w:rsidRDefault="00037446">
      <w:pPr>
        <w:numPr>
          <w:ilvl w:val="0"/>
          <w:numId w:val="3"/>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Fotografía de servidores públicos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la Ley General de Transparencia y Acceso a la Información Pública, en su artículo 116, dispone que se considera información confidencial la que contenga datos personales concernientes a una persona física identificada o identificable.</w:t>
      </w:r>
    </w:p>
    <w:p w:rsidR="0099095B" w:rsidRDefault="00037446">
      <w:pPr>
        <w:tabs>
          <w:tab w:val="left" w:pos="2145"/>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b/>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su parte, el artículo 24, fracción VI, de la Ley de Transparencia y Acceso a la Información Pública del Estado de México y Municipios, precisa que los Sujetos Obligados serán los </w:t>
      </w:r>
      <w:r>
        <w:rPr>
          <w:rFonts w:ascii="Palatino Linotype" w:eastAsia="Palatino Linotype" w:hAnsi="Palatino Linotype" w:cs="Palatino Linotype"/>
          <w:color w:val="000000"/>
          <w:sz w:val="22"/>
          <w:szCs w:val="22"/>
        </w:rPr>
        <w:lastRenderedPageBreak/>
        <w:t>responsables de proteger y resguardar la información clasificada como reservada o confidencial.</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términos de lo expuesto, la documentación y aquellos datos que se consideren confidenciales, serán una limitante del derecho de acceso a la información, siempre y cuando:</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numPr>
          <w:ilvl w:val="0"/>
          <w:numId w:val="4"/>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trate de datos personales o información privada; esto es, información concerniente a una persona física o jurídico colectiva y que esta sea identificada o identificable. </w:t>
      </w:r>
    </w:p>
    <w:p w:rsidR="0099095B" w:rsidRDefault="00037446">
      <w:pPr>
        <w:numPr>
          <w:ilvl w:val="0"/>
          <w:numId w:val="4"/>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Para la difusión de los datos, se requiera el consentimiento del titular. </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este sentido, un dato personal es cualquier información que pueda hacer a una persona física o jurídica colectiva identificada e identificable; por lo que, bajo esos parámetros, se </w:t>
      </w:r>
      <w:r>
        <w:rPr>
          <w:rFonts w:ascii="Palatino Linotype" w:eastAsia="Palatino Linotype" w:hAnsi="Palatino Linotype" w:cs="Palatino Linotype"/>
          <w:color w:val="000000"/>
          <w:sz w:val="22"/>
          <w:szCs w:val="22"/>
        </w:rPr>
        <w:lastRenderedPageBreak/>
        <w:t xml:space="preserve">deberá analizar los datos que actualicen la causal de información confidencial, respecto de los cuales se puede identificar el RFC, CURP, clave ISSEMYM, etc. </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numPr>
          <w:ilvl w:val="0"/>
          <w:numId w:val="5"/>
        </w:num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Fotografía de servidores públicos </w:t>
      </w:r>
    </w:p>
    <w:p w:rsidR="0099095B" w:rsidRDefault="0099095B">
      <w:pPr>
        <w:spacing w:line="360" w:lineRule="auto"/>
        <w:ind w:left="720"/>
        <w:jc w:val="both"/>
        <w:rPr>
          <w:rFonts w:ascii="Palatino Linotype" w:eastAsia="Palatino Linotype" w:hAnsi="Palatino Linotype" w:cs="Palatino Linotype"/>
          <w:b/>
          <w:color w:val="000000"/>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w:t>
      </w:r>
      <w:r>
        <w:rPr>
          <w:rFonts w:ascii="Palatino Linotype" w:eastAsia="Palatino Linotype" w:hAnsi="Palatino Linotype" w:cs="Palatino Linotype"/>
          <w:sz w:val="22"/>
          <w:szCs w:val="22"/>
        </w:rPr>
        <w:lastRenderedPageBreak/>
        <w:t>Pleno de este Instituto ya se ha pronunciado en el sentido de que la información que los haga identificados o identificables debe clasificarse como reservada).</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w:t>
      </w:r>
      <w:r>
        <w:rPr>
          <w:rFonts w:ascii="Palatino Linotype" w:eastAsia="Palatino Linotype" w:hAnsi="Palatino Linotype" w:cs="Palatino Linotype"/>
          <w:sz w:val="22"/>
          <w:szCs w:val="22"/>
        </w:rPr>
        <w:lastRenderedPageBreak/>
        <w:t>diferenciador para determinar la publicidad o clasificación el cargo o nivel jerárquico en el que se desempeñe el servidor público.</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99095B" w:rsidRDefault="0099095B">
      <w:pPr>
        <w:spacing w:line="360" w:lineRule="auto"/>
        <w:jc w:val="both"/>
        <w:rPr>
          <w:rFonts w:ascii="Palatino Linotype" w:eastAsia="Palatino Linotype" w:hAnsi="Palatino Linotype" w:cs="Palatino Linotype"/>
          <w:b/>
          <w:color w:val="000000"/>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Así, este Instituto considera que el Sujeto Obligado deberá proporcionar lo solicitado, en su caso,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99095B" w:rsidRDefault="0099095B">
      <w:pPr>
        <w:tabs>
          <w:tab w:val="left" w:pos="4962"/>
        </w:tabs>
        <w:spacing w:line="360" w:lineRule="auto"/>
        <w:jc w:val="both"/>
        <w:rPr>
          <w:rFonts w:ascii="Palatino Linotype" w:eastAsia="Palatino Linotype" w:hAnsi="Palatino Linotype" w:cs="Palatino Linotype"/>
          <w:sz w:val="22"/>
          <w:szCs w:val="22"/>
        </w:rPr>
      </w:pPr>
    </w:p>
    <w:p w:rsidR="0099095B" w:rsidRDefault="00037446">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99095B" w:rsidRDefault="0099095B">
      <w:pPr>
        <w:spacing w:line="360" w:lineRule="auto"/>
        <w:ind w:right="-93"/>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SEXTO. Decisión </w:t>
      </w:r>
    </w:p>
    <w:p w:rsidR="0099095B" w:rsidRDefault="0099095B">
      <w:pPr>
        <w:spacing w:line="360" w:lineRule="auto"/>
        <w:jc w:val="both"/>
        <w:rPr>
          <w:rFonts w:ascii="Palatino Linotype" w:eastAsia="Palatino Linotype" w:hAnsi="Palatino Linotype" w:cs="Palatino Linotype"/>
          <w:b/>
          <w:sz w:val="22"/>
          <w:szCs w:val="22"/>
        </w:rPr>
      </w:pPr>
    </w:p>
    <w:p w:rsidR="0099095B" w:rsidRDefault="00037446">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MODIFICAR</w:t>
      </w:r>
      <w:r>
        <w:rPr>
          <w:rFonts w:ascii="Palatino Linotype" w:eastAsia="Palatino Linotype" w:hAnsi="Palatino Linotype" w:cs="Palatino Linotype"/>
          <w:sz w:val="22"/>
          <w:szCs w:val="22"/>
        </w:rPr>
        <w:t xml:space="preserve"> la respuesta otorgada a la solicitud de información 00005/IXTLAHUA/IP/2025, a efecto de que, entregue los documentos que den cuenta del sueldo, y la información curricular faltante. </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Términos de la Resolución para conocimiento del Particular</w:t>
      </w:r>
    </w:p>
    <w:p w:rsidR="0099095B" w:rsidRDefault="0099095B">
      <w:pPr>
        <w:spacing w:line="360" w:lineRule="auto"/>
        <w:jc w:val="both"/>
        <w:rPr>
          <w:rFonts w:ascii="Palatino Linotype" w:eastAsia="Palatino Linotype" w:hAnsi="Palatino Linotype" w:cs="Palatino Linotype"/>
          <w:b/>
          <w:color w:val="000000"/>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Se le hace del conocimiento al Particular, que, en el presente caso, se le concede la razón, pues el Sujetó Obligado, si bien remitió entre otras cosas el sueldo y la información curricular de diversos directores de área</w:t>
      </w:r>
      <w:r>
        <w:rPr>
          <w:rFonts w:ascii="Palatino Linotype" w:eastAsia="Palatino Linotype" w:hAnsi="Palatino Linotype" w:cs="Palatino Linotype"/>
          <w:sz w:val="22"/>
          <w:szCs w:val="22"/>
        </w:rPr>
        <w:t xml:space="preserve">, lo cierto es que las entregó de manera incompleta, por lo que deberá proporcionar el sueldo y la información curricular de los directores de área faltantes. </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037446">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la labor de este Instituto de Transparencia, es apoyar a la población a acceder a la información pública y es garantizar la protección de los datos personales.</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99095B" w:rsidRDefault="0099095B">
      <w:pPr>
        <w:spacing w:line="360" w:lineRule="auto"/>
        <w:jc w:val="center"/>
        <w:rPr>
          <w:rFonts w:ascii="Palatino Linotype" w:eastAsia="Palatino Linotype" w:hAnsi="Palatino Linotype" w:cs="Palatino Linotype"/>
          <w:b/>
          <w:sz w:val="22"/>
          <w:szCs w:val="22"/>
        </w:rPr>
      </w:pPr>
    </w:p>
    <w:p w:rsidR="0099095B" w:rsidRDefault="00037446">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color w:val="000000"/>
          <w:sz w:val="22"/>
          <w:szCs w:val="22"/>
        </w:rPr>
        <w:t>MODIFICA</w:t>
      </w:r>
      <w:r>
        <w:rPr>
          <w:rFonts w:ascii="Palatino Linotype" w:eastAsia="Palatino Linotype" w:hAnsi="Palatino Linotype" w:cs="Palatino Linotype"/>
          <w:color w:val="000000"/>
          <w:sz w:val="22"/>
          <w:szCs w:val="22"/>
        </w:rPr>
        <w:t xml:space="preserve"> la respuesta entregada por el Sujeto Obligado, a la solicitud de información </w:t>
      </w:r>
      <w:r>
        <w:rPr>
          <w:rFonts w:ascii="Palatino Linotype" w:eastAsia="Palatino Linotype" w:hAnsi="Palatino Linotype" w:cs="Palatino Linotype"/>
          <w:sz w:val="22"/>
          <w:szCs w:val="22"/>
        </w:rPr>
        <w:t>00005/IXTLAHUA/IP/2025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el Particular, en términos de los considerandos QUINTO y SEXTO de la presente Resolución.</w:t>
      </w:r>
    </w:p>
    <w:p w:rsidR="0099095B" w:rsidRDefault="0099095B">
      <w:pPr>
        <w:spacing w:line="360" w:lineRule="auto"/>
        <w:jc w:val="both"/>
        <w:rPr>
          <w:rFonts w:ascii="Palatino Linotype" w:eastAsia="Palatino Linotype" w:hAnsi="Palatino Linotype" w:cs="Palatino Linotype"/>
          <w:b/>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Sujeto Obligado, a efecto de que previa búsqueda exhaustiva y razonable en todas las unidades administrativas competentes, entregue a través del SAIMEX, en su caso, en versión pública, los documentos con los que contara al trece de enero de dos mil veinticinco, que den cuenta lo siguiente:</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sueldo neto y bruto mensual vigente, del Contralor Municipal; y</w:t>
      </w:r>
    </w:p>
    <w:p w:rsidR="0099095B" w:rsidRDefault="00037446">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Curriculum, ficha curricular o documento análogo y sueldo bruto y neto mensual vigente, de la Directora de Desarrollo Económico y Fomento Comercial e Industrial.</w:t>
      </w:r>
    </w:p>
    <w:p w:rsidR="0099095B" w:rsidRDefault="0099095B">
      <w:pPr>
        <w:pBdr>
          <w:top w:val="nil"/>
          <w:left w:val="nil"/>
          <w:bottom w:val="nil"/>
          <w:right w:val="nil"/>
          <w:between w:val="nil"/>
        </w:pBdr>
        <w:spacing w:line="360" w:lineRule="auto"/>
        <w:ind w:left="1080"/>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rsidR="0099095B" w:rsidRDefault="0099095B">
      <w:pPr>
        <w:spacing w:line="360" w:lineRule="auto"/>
        <w:jc w:val="both"/>
        <w:rPr>
          <w:rFonts w:ascii="Palatino Linotype" w:eastAsia="Palatino Linotype" w:hAnsi="Palatino Linotype" w:cs="Palatino Linotype"/>
          <w:color w:val="000000"/>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9095B" w:rsidRDefault="0099095B">
      <w:pPr>
        <w:spacing w:line="360" w:lineRule="auto"/>
        <w:jc w:val="both"/>
        <w:rPr>
          <w:rFonts w:ascii="Palatino Linotype" w:eastAsia="Palatino Linotype" w:hAnsi="Palatino Linotype" w:cs="Palatino Linotype"/>
          <w:sz w:val="22"/>
          <w:szCs w:val="22"/>
        </w:rPr>
      </w:pP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 NOTIFÍQUESE POR SAIME</w:t>
      </w:r>
      <w:r>
        <w:rPr>
          <w:rFonts w:ascii="Palatino Linotype" w:eastAsia="Palatino Linotype" w:hAnsi="Palatino Linotype" w:cs="Palatino Linotype"/>
          <w:sz w:val="22"/>
          <w:szCs w:val="22"/>
        </w:rPr>
        <w:t>X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9095B" w:rsidRDefault="0003744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sidR="004C204E" w:rsidRPr="000B42A1">
        <w:rPr>
          <w:rFonts w:ascii="Palatino Linotype" w:eastAsia="Palatino Linotype" w:hAnsi="Palatino Linotype" w:cs="Palatino Linotype"/>
          <w:b/>
          <w:sz w:val="22"/>
          <w:szCs w:val="22"/>
        </w:rPr>
        <w:t>UNANIMIDAD</w:t>
      </w:r>
      <w:r w:rsidR="004C204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4C204E">
        <w:rPr>
          <w:rFonts w:ascii="Palatino Linotype" w:eastAsia="Palatino Linotype" w:hAnsi="Palatino Linotype" w:cs="Palatino Linotype"/>
          <w:sz w:val="22"/>
          <w:szCs w:val="22"/>
        </w:rPr>
        <w:t xml:space="preserve"> CON VOTO PARTICULAR</w:t>
      </w:r>
      <w:r>
        <w:rPr>
          <w:rFonts w:ascii="Palatino Linotype" w:eastAsia="Palatino Linotype" w:hAnsi="Palatino Linotype" w:cs="Palatino Linotype"/>
          <w:sz w:val="22"/>
          <w:szCs w:val="22"/>
        </w:rPr>
        <w:t>, EN LA DÉCIMA PRIMERA SESIÓN ORDINARIA, CELEBRADA EL VEINTISÉIS DE MARZO DE DOS MIL VEINTICINCO, ANTE EL SECRETARIO TÉCNICO DEL PLENO, ALEXIS TAPIA RAMÍREZ.</w:t>
      </w:r>
    </w:p>
    <w:p w:rsidR="0099095B" w:rsidRDefault="0099095B">
      <w:pPr>
        <w:spacing w:line="360" w:lineRule="auto"/>
        <w:ind w:right="-28"/>
        <w:jc w:val="both"/>
        <w:rPr>
          <w:rFonts w:ascii="Palatino Linotype" w:eastAsia="Palatino Linotype" w:hAnsi="Palatino Linotype" w:cs="Palatino Linotype"/>
          <w:sz w:val="22"/>
          <w:szCs w:val="22"/>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rPr>
          <w:rFonts w:ascii="Palatino Linotype" w:eastAsia="Palatino Linotype" w:hAnsi="Palatino Linotype" w:cs="Palatino Linotype"/>
        </w:rPr>
      </w:pPr>
    </w:p>
    <w:p w:rsidR="0099095B" w:rsidRDefault="0099095B">
      <w:pPr>
        <w:spacing w:line="360" w:lineRule="auto"/>
      </w:pPr>
    </w:p>
    <w:p w:rsidR="0099095B" w:rsidRDefault="0099095B">
      <w:pPr>
        <w:spacing w:line="360" w:lineRule="auto"/>
      </w:pPr>
    </w:p>
    <w:p w:rsidR="0099095B" w:rsidRDefault="0099095B">
      <w:pPr>
        <w:spacing w:line="360" w:lineRule="auto"/>
      </w:pPr>
    </w:p>
    <w:p w:rsidR="0099095B" w:rsidRDefault="0099095B">
      <w:pPr>
        <w:spacing w:line="360" w:lineRule="auto"/>
      </w:pPr>
    </w:p>
    <w:sectPr w:rsidR="0099095B">
      <w:headerReference w:type="even" r:id="rId14"/>
      <w:headerReference w:type="default" r:id="rId15"/>
      <w:footerReference w:type="default" r:id="rId16"/>
      <w:headerReference w:type="first" r:id="rId17"/>
      <w:footerReference w:type="first" r:id="rId18"/>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160" w:rsidRDefault="00CD5160">
      <w:r>
        <w:separator/>
      </w:r>
    </w:p>
  </w:endnote>
  <w:endnote w:type="continuationSeparator" w:id="0">
    <w:p w:rsidR="00CD5160" w:rsidRDefault="00CD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95B" w:rsidRDefault="0099095B">
    <w:pPr>
      <w:pBdr>
        <w:top w:val="nil"/>
        <w:left w:val="nil"/>
        <w:bottom w:val="nil"/>
        <w:right w:val="nil"/>
        <w:between w:val="nil"/>
      </w:pBdr>
      <w:tabs>
        <w:tab w:val="center" w:pos="4419"/>
        <w:tab w:val="right" w:pos="8838"/>
      </w:tabs>
      <w:jc w:val="right"/>
      <w:rPr>
        <w:color w:val="000000"/>
        <w:sz w:val="26"/>
        <w:szCs w:val="26"/>
      </w:rPr>
    </w:pPr>
  </w:p>
  <w:p w:rsidR="0099095B" w:rsidRDefault="0003744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3649E">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3649E">
      <w:rPr>
        <w:b/>
        <w:noProof/>
        <w:color w:val="000000"/>
        <w:sz w:val="24"/>
        <w:szCs w:val="24"/>
      </w:rPr>
      <w:t>37</w:t>
    </w:r>
    <w:r>
      <w:rPr>
        <w:b/>
        <w:color w:val="000000"/>
        <w:sz w:val="24"/>
        <w:szCs w:val="24"/>
      </w:rPr>
      <w:fldChar w:fldCharType="end"/>
    </w:r>
  </w:p>
  <w:p w:rsidR="0099095B" w:rsidRDefault="0099095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95B" w:rsidRDefault="0099095B">
    <w:pPr>
      <w:pBdr>
        <w:top w:val="nil"/>
        <w:left w:val="nil"/>
        <w:bottom w:val="nil"/>
        <w:right w:val="nil"/>
        <w:between w:val="nil"/>
      </w:pBdr>
      <w:tabs>
        <w:tab w:val="center" w:pos="4419"/>
        <w:tab w:val="right" w:pos="8838"/>
      </w:tabs>
      <w:jc w:val="right"/>
      <w:rPr>
        <w:color w:val="000000"/>
      </w:rPr>
    </w:pPr>
  </w:p>
  <w:p w:rsidR="0099095B" w:rsidRDefault="0099095B">
    <w:pPr>
      <w:pBdr>
        <w:top w:val="nil"/>
        <w:left w:val="nil"/>
        <w:bottom w:val="nil"/>
        <w:right w:val="nil"/>
        <w:between w:val="nil"/>
      </w:pBdr>
      <w:tabs>
        <w:tab w:val="center" w:pos="4419"/>
        <w:tab w:val="right" w:pos="8838"/>
      </w:tabs>
      <w:jc w:val="right"/>
      <w:rPr>
        <w:color w:val="000000"/>
      </w:rPr>
    </w:pPr>
  </w:p>
  <w:p w:rsidR="0099095B" w:rsidRDefault="0099095B">
    <w:pPr>
      <w:pBdr>
        <w:top w:val="nil"/>
        <w:left w:val="nil"/>
        <w:bottom w:val="nil"/>
        <w:right w:val="nil"/>
        <w:between w:val="nil"/>
      </w:pBdr>
      <w:tabs>
        <w:tab w:val="center" w:pos="4419"/>
        <w:tab w:val="right" w:pos="8838"/>
      </w:tabs>
      <w:jc w:val="right"/>
      <w:rPr>
        <w:color w:val="000000"/>
      </w:rPr>
    </w:pPr>
  </w:p>
  <w:p w:rsidR="0099095B" w:rsidRDefault="0003744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3649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3649E">
      <w:rPr>
        <w:b/>
        <w:noProof/>
        <w:color w:val="000000"/>
        <w:sz w:val="24"/>
        <w:szCs w:val="24"/>
      </w:rPr>
      <w:t>37</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160" w:rsidRDefault="00CD5160">
      <w:r>
        <w:separator/>
      </w:r>
    </w:p>
  </w:footnote>
  <w:footnote w:type="continuationSeparator" w:id="0">
    <w:p w:rsidR="00CD5160" w:rsidRDefault="00CD5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95B" w:rsidRDefault="0043649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95B" w:rsidRDefault="0043649E">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5"/>
          <w10:wrap anchorx="margin" anchory="margin"/>
        </v:shape>
      </w:pict>
    </w:r>
  </w:p>
  <w:tbl>
    <w:tblPr>
      <w:tblStyle w:val="a0"/>
      <w:tblW w:w="9461" w:type="dxa"/>
      <w:tblInd w:w="0" w:type="dxa"/>
      <w:tblLayout w:type="fixed"/>
      <w:tblLook w:val="0400" w:firstRow="0" w:lastRow="0" w:firstColumn="0" w:lastColumn="0" w:noHBand="0" w:noVBand="1"/>
    </w:tblPr>
    <w:tblGrid>
      <w:gridCol w:w="2268"/>
      <w:gridCol w:w="7193"/>
    </w:tblGrid>
    <w:tr w:rsidR="0099095B">
      <w:trPr>
        <w:trHeight w:val="70"/>
      </w:trPr>
      <w:tc>
        <w:tcPr>
          <w:tcW w:w="2268" w:type="dxa"/>
          <w:shd w:val="clear" w:color="auto" w:fill="auto"/>
        </w:tcPr>
        <w:p w:rsidR="0099095B" w:rsidRDefault="0099095B">
          <w:pPr>
            <w:tabs>
              <w:tab w:val="right" w:pos="4273"/>
            </w:tabs>
            <w:rPr>
              <w:rFonts w:ascii="Garamond" w:eastAsia="Garamond" w:hAnsi="Garamond" w:cs="Garamond"/>
              <w:sz w:val="16"/>
              <w:szCs w:val="16"/>
            </w:rPr>
          </w:pPr>
        </w:p>
      </w:tc>
      <w:tc>
        <w:tcPr>
          <w:tcW w:w="7193" w:type="dxa"/>
          <w:shd w:val="clear" w:color="auto" w:fill="auto"/>
        </w:tcPr>
        <w:p w:rsidR="0099095B" w:rsidRDefault="0099095B">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1"/>
            <w:tblW w:w="78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54"/>
            <w:gridCol w:w="4004"/>
          </w:tblGrid>
          <w:tr w:rsidR="0099095B">
            <w:trPr>
              <w:trHeight w:val="171"/>
            </w:trPr>
            <w:tc>
              <w:tcPr>
                <w:tcW w:w="3854" w:type="dxa"/>
                <w:vAlign w:val="bottom"/>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004" w:type="dxa"/>
              </w:tcPr>
              <w:p w:rsidR="0099095B" w:rsidRDefault="00037446">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01536/INFOEM/IP/RR/2025</w:t>
                </w:r>
              </w:p>
            </w:tc>
          </w:tr>
          <w:tr w:rsidR="0099095B">
            <w:trPr>
              <w:trHeight w:val="338"/>
            </w:trPr>
            <w:tc>
              <w:tcPr>
                <w:tcW w:w="3854" w:type="dxa"/>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4004" w:type="dxa"/>
              </w:tcPr>
              <w:p w:rsidR="0099095B" w:rsidRDefault="00037446">
                <w:pPr>
                  <w:tabs>
                    <w:tab w:val="right" w:pos="8838"/>
                  </w:tabs>
                  <w:ind w:left="-28" w:right="10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Ixtlahuaca</w:t>
                </w:r>
              </w:p>
            </w:tc>
          </w:tr>
          <w:tr w:rsidR="0099095B">
            <w:trPr>
              <w:trHeight w:val="338"/>
            </w:trPr>
            <w:tc>
              <w:tcPr>
                <w:tcW w:w="3854" w:type="dxa"/>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4004" w:type="dxa"/>
              </w:tcPr>
              <w:p w:rsidR="0099095B" w:rsidRDefault="00037446">
                <w:pPr>
                  <w:tabs>
                    <w:tab w:val="right" w:pos="8838"/>
                  </w:tabs>
                  <w:ind w:left="-28" w:right="-32"/>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Luis Gustavo Parra Noriega</w:t>
                </w:r>
              </w:p>
            </w:tc>
          </w:tr>
        </w:tbl>
        <w:p w:rsidR="0099095B" w:rsidRDefault="0099095B">
          <w:pPr>
            <w:tabs>
              <w:tab w:val="right" w:pos="8838"/>
            </w:tabs>
            <w:ind w:left="-28"/>
            <w:rPr>
              <w:rFonts w:ascii="Arial" w:eastAsia="Arial" w:hAnsi="Arial" w:cs="Arial"/>
              <w:b/>
            </w:rPr>
          </w:pPr>
        </w:p>
      </w:tc>
    </w:tr>
  </w:tbl>
  <w:p w:rsidR="0099095B" w:rsidRDefault="0099095B">
    <w:pPr>
      <w:pBdr>
        <w:top w:val="nil"/>
        <w:left w:val="nil"/>
        <w:bottom w:val="nil"/>
        <w:right w:val="nil"/>
        <w:between w:val="nil"/>
      </w:pBdr>
      <w:tabs>
        <w:tab w:val="center" w:pos="4419"/>
        <w:tab w:val="right" w:pos="8838"/>
      </w:tabs>
      <w:rPr>
        <w:color w:val="000000"/>
        <w:sz w:val="14"/>
        <w:szCs w:val="14"/>
      </w:rPr>
    </w:pPr>
  </w:p>
  <w:p w:rsidR="0099095B" w:rsidRDefault="0099095B">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95B" w:rsidRDefault="0099095B">
    <w:pPr>
      <w:widowControl w:val="0"/>
      <w:pBdr>
        <w:top w:val="nil"/>
        <w:left w:val="nil"/>
        <w:bottom w:val="nil"/>
        <w:right w:val="nil"/>
        <w:between w:val="nil"/>
      </w:pBdr>
      <w:spacing w:line="276" w:lineRule="auto"/>
      <w:rPr>
        <w:color w:val="000000"/>
        <w:sz w:val="14"/>
        <w:szCs w:val="14"/>
      </w:rPr>
    </w:pPr>
  </w:p>
  <w:tbl>
    <w:tblPr>
      <w:tblStyle w:val="a2"/>
      <w:tblW w:w="6945"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968"/>
      <w:gridCol w:w="2977"/>
    </w:tblGrid>
    <w:tr w:rsidR="0099095B">
      <w:trPr>
        <w:trHeight w:val="302"/>
      </w:trPr>
      <w:tc>
        <w:tcPr>
          <w:tcW w:w="3969" w:type="dxa"/>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977" w:type="dxa"/>
        </w:tcPr>
        <w:p w:rsidR="0099095B" w:rsidRDefault="00037446">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01536/INFOEM/IP/RR/2025</w:t>
          </w:r>
        </w:p>
      </w:tc>
    </w:tr>
    <w:tr w:rsidR="0099095B">
      <w:trPr>
        <w:trHeight w:val="110"/>
      </w:trPr>
      <w:tc>
        <w:tcPr>
          <w:tcW w:w="3969" w:type="dxa"/>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2977" w:type="dxa"/>
        </w:tcPr>
        <w:p w:rsidR="0099095B" w:rsidRDefault="0043649E">
          <w:pPr>
            <w:jc w:val="both"/>
            <w:rPr>
              <w:rFonts w:ascii="Palatino Linotype" w:eastAsia="Palatino Linotype" w:hAnsi="Palatino Linotype" w:cs="Palatino Linotype"/>
              <w:sz w:val="22"/>
              <w:szCs w:val="22"/>
            </w:rPr>
          </w:pPr>
          <w:r w:rsidRPr="0043649E">
            <w:rPr>
              <w:rFonts w:ascii="Palatino Linotype" w:eastAsia="Palatino Linotype" w:hAnsi="Palatino Linotype" w:cs="Palatino Linotype"/>
              <w:sz w:val="22"/>
              <w:szCs w:val="22"/>
              <w:highlight w:val="black"/>
            </w:rPr>
            <w:t>XXXXXXXXXXXXXXXX</w:t>
          </w:r>
        </w:p>
      </w:tc>
    </w:tr>
    <w:tr w:rsidR="0099095B">
      <w:trPr>
        <w:trHeight w:val="248"/>
      </w:trPr>
      <w:tc>
        <w:tcPr>
          <w:tcW w:w="3969" w:type="dxa"/>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977" w:type="dxa"/>
        </w:tcPr>
        <w:p w:rsidR="0099095B" w:rsidRDefault="00037446">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Ixtlahuaca</w:t>
          </w:r>
        </w:p>
      </w:tc>
    </w:tr>
    <w:tr w:rsidR="0099095B">
      <w:trPr>
        <w:trHeight w:val="248"/>
      </w:trPr>
      <w:tc>
        <w:tcPr>
          <w:tcW w:w="3969" w:type="dxa"/>
        </w:tcPr>
        <w:p w:rsidR="0099095B" w:rsidRDefault="0003744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2977" w:type="dxa"/>
        </w:tcPr>
        <w:p w:rsidR="0099095B" w:rsidRDefault="00037446">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99095B" w:rsidRDefault="0043649E">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aguaINFOEM" style="position:absolute;margin-left:-92.55pt;margin-top:-170.4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14D61"/>
    <w:multiLevelType w:val="multilevel"/>
    <w:tmpl w:val="7F16F6E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B9333D"/>
    <w:multiLevelType w:val="multilevel"/>
    <w:tmpl w:val="B290B54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56276E80"/>
    <w:multiLevelType w:val="multilevel"/>
    <w:tmpl w:val="EEF6DA8C"/>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90713F"/>
    <w:multiLevelType w:val="multilevel"/>
    <w:tmpl w:val="9340A70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C3968B1"/>
    <w:multiLevelType w:val="multilevel"/>
    <w:tmpl w:val="3926BA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5B"/>
    <w:rsid w:val="00037446"/>
    <w:rsid w:val="000B42A1"/>
    <w:rsid w:val="0043649E"/>
    <w:rsid w:val="00473491"/>
    <w:rsid w:val="004C204E"/>
    <w:rsid w:val="00634101"/>
    <w:rsid w:val="00743EAF"/>
    <w:rsid w:val="00961904"/>
    <w:rsid w:val="0099095B"/>
    <w:rsid w:val="00CD51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218A298-E0E6-4335-823E-70735E3BA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696"/>
    <w:rPr>
      <w:lang w:eastAsia="es-ES"/>
    </w:rPr>
  </w:style>
  <w:style w:type="paragraph" w:styleId="Ttulo1">
    <w:name w:val="heading 1"/>
    <w:basedOn w:val="Normal"/>
    <w:next w:val="Normal"/>
    <w:link w:val="Ttulo1Car"/>
    <w:uiPriority w:val="9"/>
    <w:qFormat/>
    <w:rsid w:val="00B416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416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4169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4169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4169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4169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4169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4169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4169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B41696"/>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4169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4169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4169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4169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4169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4169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4169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4169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41696"/>
    <w:rPr>
      <w:rFonts w:eastAsiaTheme="majorEastAsia" w:cstheme="majorBidi"/>
      <w:color w:val="272727" w:themeColor="text1" w:themeTint="D8"/>
    </w:rPr>
  </w:style>
  <w:style w:type="character" w:customStyle="1" w:styleId="PuestoCar">
    <w:name w:val="Puesto Car"/>
    <w:basedOn w:val="Fuentedeprrafopredeter"/>
    <w:link w:val="Puesto"/>
    <w:uiPriority w:val="10"/>
    <w:rsid w:val="00B4169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B4169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41696"/>
    <w:pPr>
      <w:spacing w:before="160"/>
      <w:jc w:val="center"/>
    </w:pPr>
    <w:rPr>
      <w:i/>
      <w:iCs/>
      <w:color w:val="404040" w:themeColor="text1" w:themeTint="BF"/>
    </w:rPr>
  </w:style>
  <w:style w:type="character" w:customStyle="1" w:styleId="CitaCar">
    <w:name w:val="Cita Car"/>
    <w:basedOn w:val="Fuentedeprrafopredeter"/>
    <w:link w:val="Cita"/>
    <w:uiPriority w:val="29"/>
    <w:rsid w:val="00B41696"/>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696"/>
    <w:pPr>
      <w:ind w:left="720"/>
      <w:contextualSpacing/>
    </w:pPr>
  </w:style>
  <w:style w:type="character" w:styleId="nfasisintenso">
    <w:name w:val="Intense Emphasis"/>
    <w:basedOn w:val="Fuentedeprrafopredeter"/>
    <w:uiPriority w:val="21"/>
    <w:qFormat/>
    <w:rsid w:val="00B41696"/>
    <w:rPr>
      <w:i/>
      <w:iCs/>
      <w:color w:val="2F5496" w:themeColor="accent1" w:themeShade="BF"/>
    </w:rPr>
  </w:style>
  <w:style w:type="paragraph" w:styleId="Citadestacada">
    <w:name w:val="Intense Quote"/>
    <w:basedOn w:val="Normal"/>
    <w:next w:val="Normal"/>
    <w:link w:val="CitadestacadaCar"/>
    <w:uiPriority w:val="30"/>
    <w:qFormat/>
    <w:rsid w:val="00B416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41696"/>
    <w:rPr>
      <w:i/>
      <w:iCs/>
      <w:color w:val="2F5496" w:themeColor="accent1" w:themeShade="BF"/>
    </w:rPr>
  </w:style>
  <w:style w:type="character" w:styleId="Referenciaintensa">
    <w:name w:val="Intense Reference"/>
    <w:basedOn w:val="Fuentedeprrafopredeter"/>
    <w:uiPriority w:val="32"/>
    <w:qFormat/>
    <w:rsid w:val="00B41696"/>
    <w:rPr>
      <w:b/>
      <w:bCs/>
      <w:smallCaps/>
      <w:color w:val="2F5496" w:themeColor="accent1" w:themeShade="BF"/>
      <w:spacing w:val="5"/>
    </w:rPr>
  </w:style>
  <w:style w:type="paragraph" w:styleId="Encabezado">
    <w:name w:val="header"/>
    <w:basedOn w:val="Normal"/>
    <w:link w:val="EncabezadoCar"/>
    <w:uiPriority w:val="99"/>
    <w:unhideWhenUsed/>
    <w:rsid w:val="00B41696"/>
    <w:pPr>
      <w:tabs>
        <w:tab w:val="center" w:pos="4419"/>
        <w:tab w:val="right" w:pos="8838"/>
      </w:tabs>
    </w:pPr>
  </w:style>
  <w:style w:type="character" w:customStyle="1" w:styleId="EncabezadoCar">
    <w:name w:val="Encabezado Car"/>
    <w:basedOn w:val="Fuentedeprrafopredeter"/>
    <w:link w:val="Encabezado"/>
    <w:uiPriority w:val="99"/>
    <w:rsid w:val="00B41696"/>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B41696"/>
    <w:pPr>
      <w:tabs>
        <w:tab w:val="center" w:pos="4419"/>
        <w:tab w:val="right" w:pos="8838"/>
      </w:tabs>
    </w:pPr>
  </w:style>
  <w:style w:type="character" w:customStyle="1" w:styleId="PiedepginaCar">
    <w:name w:val="Pie de página Car"/>
    <w:basedOn w:val="Fuentedeprrafopredeter"/>
    <w:link w:val="Piedepgina"/>
    <w:uiPriority w:val="99"/>
    <w:rsid w:val="00B41696"/>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41696"/>
  </w:style>
  <w:style w:type="table" w:styleId="Tablaconcuadrcula">
    <w:name w:val="Table Grid"/>
    <w:basedOn w:val="Tablanormal"/>
    <w:uiPriority w:val="39"/>
    <w:rsid w:val="00B4169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41696"/>
    <w:pPr>
      <w:spacing w:before="100" w:beforeAutospacing="1" w:after="100" w:afterAutospacing="1"/>
    </w:pPr>
    <w:rPr>
      <w:sz w:val="24"/>
      <w:szCs w:val="24"/>
      <w:lang w:eastAsia="es-MX"/>
    </w:rPr>
  </w:style>
  <w:style w:type="character" w:styleId="Hipervnculo">
    <w:name w:val="Hyperlink"/>
    <w:basedOn w:val="Fuentedeprrafopredeter"/>
    <w:uiPriority w:val="99"/>
    <w:unhideWhenUsed/>
    <w:rsid w:val="00B41696"/>
    <w:rPr>
      <w:color w:val="0563C1" w:themeColor="hyperlink"/>
      <w:u w:val="single"/>
    </w:rPr>
  </w:style>
  <w:style w:type="paragraph" w:styleId="Revisin">
    <w:name w:val="Revision"/>
    <w:hidden/>
    <w:uiPriority w:val="99"/>
    <w:semiHidden/>
    <w:rsid w:val="0056316A"/>
    <w:rPr>
      <w:lang w:eastAsia="es-ES"/>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trtaJ7ofhxQsjnZnKIgvZfhEQ==">CgMxLjAyDmguOHQzYzY1aHFvMHE1Mg5oLjR3d2M0cGwxYnlndTIOaC45OTlyYmd3ZjBwNmU4AHIhMVFpa3lmSmZRQzJOZlFWREpuUVUwaFVrejZhelpVcWRC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8635</Words>
  <Characters>47493</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INFOEM415</cp:lastModifiedBy>
  <cp:revision>4</cp:revision>
  <cp:lastPrinted>2025-03-27T23:39:00Z</cp:lastPrinted>
  <dcterms:created xsi:type="dcterms:W3CDTF">2025-03-27T23:39:00Z</dcterms:created>
  <dcterms:modified xsi:type="dcterms:W3CDTF">2025-04-09T18:53:00Z</dcterms:modified>
</cp:coreProperties>
</file>