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dieciséis de julio de dos mil veinticinco.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04104/INFOEM/IP/RR/2025</w:t>
      </w:r>
      <w:r w:rsidDel="00000000" w:rsidR="00000000" w:rsidRPr="00000000">
        <w:rPr>
          <w:rFonts w:ascii="Palatino Linotype" w:cs="Palatino Linotype" w:eastAsia="Palatino Linotype" w:hAnsi="Palatino Linotype"/>
          <w:sz w:val="22"/>
          <w:szCs w:val="22"/>
          <w:rtl w:val="0"/>
        </w:rPr>
        <w:t xml:space="preserve">, por</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interpuesto por</w:t>
      </w:r>
      <w:r w:rsidDel="00000000" w:rsidR="00000000" w:rsidRPr="00000000">
        <w:rPr>
          <w:rFonts w:ascii="Palatino Linotype" w:cs="Palatino Linotype" w:eastAsia="Palatino Linotype" w:hAnsi="Palatino Linotype"/>
          <w:b w:val="1"/>
          <w:sz w:val="22"/>
          <w:szCs w:val="22"/>
          <w:rtl w:val="0"/>
        </w:rPr>
        <w:t xml:space="preserve"> XXXXXXX XXXX XXXXXXXX,</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sz w:val="22"/>
          <w:szCs w:val="22"/>
          <w:rtl w:val="0"/>
        </w:rPr>
        <w:t xml:space="preserve">Ayuntamiento de Temamatla,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 </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sz w:val="22"/>
          <w:szCs w:val="22"/>
          <w:rtl w:val="0"/>
        </w:rPr>
        <w:t xml:space="preserve">diez de marzo de dos mil veinticinco</w:t>
      </w:r>
      <w:r w:rsidDel="00000000" w:rsidR="00000000" w:rsidRPr="00000000">
        <w:rPr>
          <w:rFonts w:ascii="Palatino Linotype" w:cs="Palatino Linotype" w:eastAsia="Palatino Linotype" w:hAnsi="Palatino Linotype"/>
          <w:sz w:val="22"/>
          <w:szCs w:val="22"/>
          <w:rtl w:val="0"/>
        </w:rPr>
        <w:t xml:space="preserve">, el Recurrente formuló una solicitud,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00090/TEMAMATL/IP/2025,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p>
    <w:p w:rsidR="00000000" w:rsidDel="00000000" w:rsidP="00000000" w:rsidRDefault="00000000" w:rsidRPr="00000000" w14:paraId="00000005">
      <w:pPr>
        <w:spacing w:before="240" w:lineRule="auto"/>
        <w:ind w:left="567" w:right="616"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“el terreno en donde se construyó el mercado le pertenece al municipio de Temamatla?, en caso de que si, en que año se compro? el terreno en donde se construyeron los baños publicos que se encuentran junto a casa de cultura le pertenece al municipio? en caso de que si, en que año se compro? quiero saber de que beneficios goza o xq le dan poder a la señora Imelda que trabaja en el mercado que tanto daño le ha hecho a los comerciantes. quiero saber en que se basan para dar los metros de piso a los comerciantes, xq no es lo mismo lo que le dan a los que venden alimentos y a los que venden ropa, ademas quiero saber que medidas de seguridad y sanidad estan tomando para la gente que vive dentro de los puestos de ropa que se encunetran frente a la iglesia, ya que en las noches paso y veo que ya duermen ahi.” (Sic)</w:t>
      </w:r>
    </w:p>
    <w:p w:rsidR="00000000" w:rsidDel="00000000" w:rsidP="00000000" w:rsidRDefault="00000000" w:rsidRPr="00000000" w14:paraId="00000006">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 SAIMEX.</w:t>
      </w:r>
    </w:p>
    <w:p w:rsidR="00000000" w:rsidDel="00000000" w:rsidP="00000000" w:rsidRDefault="00000000" w:rsidRPr="00000000" w14:paraId="000000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abril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en los siguientes términos:</w:t>
      </w:r>
    </w:p>
    <w:p w:rsidR="00000000" w:rsidDel="00000000" w:rsidP="00000000" w:rsidRDefault="00000000" w:rsidRPr="00000000" w14:paraId="0000000A">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“TEMAMATLA, ESTADO DE MÉXICO A 01 DE ABRIL DE 2025 DEPENDENCIA: UNIDAD DE TRANSPARENCIA Y ACCESO A LA INFORMACIÓN PÚBLICA OFICIO: TEMA/AYUNT/UTAIP/127R/2025 X XXXXX XXXXXXXXXXX En cumplimiento a lo ordenado por el artículo 53 fracción II, IV y V de la Ley de Transparencia y Acceso a la Información Pública del Estado de México y Municipios se emite la notificación que da respuesta a la solicitud; por lo anterior, se informa: Se anexa la información requerida dentro de la solicitud con número 00090/TEMAMATLA/IP/2025. Sin más por el momento a quedo atenta a sus órdenes. ATENTAMENTE LIC. LAURA MUCIÑO BRITO TITULAR DE LA UNIDAD DE TRANSPARENCIA Y ACCESO A LA INFORMACIÓN PÚBLICA DEL H. AYUNTAMIENTO DE TEMAMATLA, ESTADO DE MÉXICO.</w:t>
      </w:r>
    </w:p>
    <w:p w:rsidR="00000000" w:rsidDel="00000000" w:rsidP="00000000" w:rsidRDefault="00000000" w:rsidRPr="00000000" w14:paraId="0000000B">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C">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Derecho Claudia Jimenéz Maldonado”</w:t>
      </w:r>
    </w:p>
    <w:p w:rsidR="00000000" w:rsidDel="00000000" w:rsidP="00000000" w:rsidRDefault="00000000" w:rsidRPr="00000000" w14:paraId="0000000D">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adjuntó el documento electrónico que se describe a continuación:</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line="360" w:lineRule="auto"/>
        <w:ind w:left="567"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00090.pdf: </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line="360" w:lineRule="auto"/>
        <w:ind w:left="70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TEMA/AYUNT/UTAIP/127R/2025 suscrito por el Titular de la Unidad de Transparencia mediante el cual refiere que se anexa la respuesta a la solicitud.</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line="360" w:lineRule="auto"/>
        <w:ind w:left="70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Oficio TEMA/AYUNT/UTAIP/235/2025 suscrito por la Encargada de Despacho de la Unida de Transparencia y Acceso a la Información Pública enviado a la Síndico Municipal mediante el cual se solicita que de atención a la solicitud.</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after="240" w:line="360" w:lineRule="auto"/>
        <w:ind w:left="70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Oficio MT/SIND/32/2025 de la Síndico Municipal mediante el cual da contestación a los requerimientos del particular.</w:t>
      </w:r>
    </w:p>
    <w:p w:rsidR="00000000" w:rsidDel="00000000" w:rsidP="00000000" w:rsidRDefault="00000000" w:rsidRPr="00000000" w14:paraId="00000012">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siete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abril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w:t>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tabs>
          <w:tab w:val="left" w:leader="none" w:pos="2745"/>
        </w:tabs>
        <w:spacing w:before="24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720"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informacion que proporcinan no es legible al 100% y no responden todo” (Sic)</w:t>
      </w:r>
    </w:p>
    <w:p w:rsidR="00000000" w:rsidDel="00000000" w:rsidP="00000000" w:rsidRDefault="00000000" w:rsidRPr="00000000" w14:paraId="00000015">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6">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Y Razones o motivos de inconformidad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720" w:right="902" w:firstLine="0"/>
        <w:jc w:val="both"/>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“la informacion que proporcinan no es legible al 100% y no responden todo” (Sic)</w:t>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720"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Con fecha</w:t>
      </w:r>
      <w:r w:rsidDel="00000000" w:rsidR="00000000" w:rsidRPr="00000000">
        <w:rPr>
          <w:rFonts w:ascii="Palatino Linotype" w:cs="Palatino Linotype" w:eastAsia="Palatino Linotype" w:hAnsi="Palatino Linotype"/>
          <w:b w:val="1"/>
          <w:sz w:val="22"/>
          <w:szCs w:val="22"/>
          <w:rtl w:val="0"/>
        </w:rPr>
        <w:t xml:space="preserve"> diez de abril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sz w:val="22"/>
          <w:szCs w:val="22"/>
        </w:rPr>
      </w:pPr>
      <w:bookmarkStart w:colFirst="0" w:colLast="0" w:name="_heading=h.2s8eyo1" w:id="2"/>
      <w:bookmarkEnd w:id="2"/>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aprecia que, el Sujeto Obligado el </w:t>
      </w:r>
      <w:r w:rsidDel="00000000" w:rsidR="00000000" w:rsidRPr="00000000">
        <w:rPr>
          <w:rFonts w:ascii="Palatino Linotype" w:cs="Palatino Linotype" w:eastAsia="Palatino Linotype" w:hAnsi="Palatino Linotype"/>
          <w:b w:val="1"/>
          <w:sz w:val="22"/>
          <w:szCs w:val="22"/>
          <w:rtl w:val="0"/>
        </w:rPr>
        <w:t xml:space="preserve">catorce de abril de dos mil veinticinco</w:t>
      </w:r>
      <w:r w:rsidDel="00000000" w:rsidR="00000000" w:rsidRPr="00000000">
        <w:rPr>
          <w:rFonts w:ascii="Palatino Linotype" w:cs="Palatino Linotype" w:eastAsia="Palatino Linotype" w:hAnsi="Palatino Linotype"/>
          <w:sz w:val="22"/>
          <w:szCs w:val="22"/>
          <w:rtl w:val="0"/>
        </w:rPr>
        <w:t xml:space="preserve"> rindió su informe justificado a través del documento electrónico denominado </w:t>
      </w:r>
      <w:r w:rsidDel="00000000" w:rsidR="00000000" w:rsidRPr="00000000">
        <w:rPr>
          <w:rFonts w:ascii="Palatino Linotype" w:cs="Palatino Linotype" w:eastAsia="Palatino Linotype" w:hAnsi="Palatino Linotype"/>
          <w:b w:val="1"/>
          <w:sz w:val="22"/>
          <w:szCs w:val="22"/>
          <w:rtl w:val="0"/>
        </w:rPr>
        <w:t xml:space="preserve">MAN 90.pdf</w:t>
      </w:r>
      <w:r w:rsidDel="00000000" w:rsidR="00000000" w:rsidRPr="00000000">
        <w:rPr>
          <w:rFonts w:ascii="Palatino Linotype" w:cs="Palatino Linotype" w:eastAsia="Palatino Linotype" w:hAnsi="Palatino Linotype"/>
          <w:sz w:val="22"/>
          <w:szCs w:val="22"/>
          <w:rtl w:val="0"/>
        </w:rPr>
        <w:t xml:space="preserve">, mediante el cual ratifica su respuesta inicial proporcionado de forma legible el oficio </w:t>
      </w:r>
      <w:r w:rsidDel="00000000" w:rsidR="00000000" w:rsidRPr="00000000">
        <w:rPr>
          <w:rFonts w:ascii="Palatino Linotype" w:cs="Palatino Linotype" w:eastAsia="Palatino Linotype" w:hAnsi="Palatino Linotype"/>
          <w:b w:val="1"/>
          <w:sz w:val="22"/>
          <w:szCs w:val="22"/>
          <w:rtl w:val="0"/>
        </w:rPr>
        <w:t xml:space="preserve">MT/SIND/32/2025 </w:t>
      </w:r>
      <w:r w:rsidDel="00000000" w:rsidR="00000000" w:rsidRPr="00000000">
        <w:rPr>
          <w:rFonts w:ascii="Palatino Linotype" w:cs="Palatino Linotype" w:eastAsia="Palatino Linotype" w:hAnsi="Palatino Linotype"/>
          <w:sz w:val="22"/>
          <w:szCs w:val="22"/>
          <w:rtl w:val="0"/>
        </w:rPr>
        <w:t xml:space="preserve">de la Síndico Municipal mediante el cual da contestación a los requerimientos del particular. El contenido del informe justificado se puso a la vista del particular el </w:t>
      </w:r>
      <w:r w:rsidDel="00000000" w:rsidR="00000000" w:rsidRPr="00000000">
        <w:rPr>
          <w:rFonts w:ascii="Palatino Linotype" w:cs="Palatino Linotype" w:eastAsia="Palatino Linotype" w:hAnsi="Palatino Linotype"/>
          <w:b w:val="1"/>
          <w:sz w:val="22"/>
          <w:szCs w:val="22"/>
          <w:rtl w:val="0"/>
        </w:rPr>
        <w:t xml:space="preserve">tres de julio de dos mil veinticinco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Recurrente fue omiso en realizar manifestaciones, presentar pruebas o alegatos que a su derecho convinieran.</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 plazo.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julio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29">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2A">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2B">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2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6">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 </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de </w:t>
      </w:r>
      <w:r w:rsidDel="00000000" w:rsidR="00000000" w:rsidRPr="00000000">
        <w:rPr>
          <w:rFonts w:ascii="Palatino Linotype" w:cs="Palatino Linotype" w:eastAsia="Palatino Linotype" w:hAnsi="Palatino Linotype"/>
          <w:b w:val="1"/>
          <w:sz w:val="22"/>
          <w:szCs w:val="22"/>
          <w:rtl w:val="0"/>
        </w:rPr>
        <w:t xml:space="preserve">nueve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julio de dos mil veinticinco, </w:t>
      </w:r>
      <w:r w:rsidDel="00000000" w:rsidR="00000000" w:rsidRPr="00000000">
        <w:rPr>
          <w:rFonts w:ascii="Palatino Linotype" w:cs="Palatino Linotype" w:eastAsia="Palatino Linotype" w:hAnsi="Palatino Linotype"/>
          <w:sz w:val="22"/>
          <w:szCs w:val="22"/>
          <w:rtl w:val="0"/>
        </w:rPr>
        <w:t xml:space="preserve">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B">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sz w:val="22"/>
          <w:szCs w:val="22"/>
        </w:rPr>
      </w:pPr>
      <w:bookmarkStart w:colFirst="0" w:colLast="0" w:name="_heading=h.tyjcwt" w:id="3"/>
      <w:bookmarkEnd w:id="3"/>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día </w:t>
      </w:r>
      <w:r w:rsidDel="00000000" w:rsidR="00000000" w:rsidRPr="00000000">
        <w:rPr>
          <w:rFonts w:ascii="Palatino Linotype" w:cs="Palatino Linotype" w:eastAsia="Palatino Linotype" w:hAnsi="Palatino Linotype"/>
          <w:b w:val="1"/>
          <w:sz w:val="22"/>
          <w:szCs w:val="22"/>
          <w:rtl w:val="0"/>
        </w:rPr>
        <w:t xml:space="preserve">dos de abril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tuvo por presentado el día</w:t>
      </w:r>
      <w:r w:rsidDel="00000000" w:rsidR="00000000" w:rsidRPr="00000000">
        <w:rPr>
          <w:rFonts w:ascii="Palatino Linotype" w:cs="Palatino Linotype" w:eastAsia="Palatino Linotype" w:hAnsi="Palatino Linotype"/>
          <w:b w:val="1"/>
          <w:sz w:val="22"/>
          <w:szCs w:val="22"/>
          <w:rtl w:val="0"/>
        </w:rPr>
        <w:t xml:space="preserve"> siete de abril de dos mil veinticinco, </w:t>
      </w:r>
      <w:r w:rsidDel="00000000" w:rsidR="00000000" w:rsidRPr="00000000">
        <w:rPr>
          <w:rFonts w:ascii="Palatino Linotype" w:cs="Palatino Linotype" w:eastAsia="Palatino Linotype" w:hAnsi="Palatino Linotype"/>
          <w:sz w:val="22"/>
          <w:szCs w:val="22"/>
          <w:rtl w:val="0"/>
        </w:rPr>
        <w:t xml:space="preserve">esto es, al tercer día en el que tuvo conocimiento de la respuesta impugnada. </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4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V y IX de la ley de la materia, que a la letra dice:</w:t>
      </w:r>
    </w:p>
    <w:p w:rsidR="00000000" w:rsidDel="00000000" w:rsidP="00000000" w:rsidRDefault="00000000" w:rsidRPr="00000000" w14:paraId="00000043">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4">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5">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p>
    <w:p w:rsidR="00000000" w:rsidDel="00000000" w:rsidP="00000000" w:rsidRDefault="00000000" w:rsidRPr="00000000" w14:paraId="00000046">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7">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La entrega o puesta a disposición de información en un formato incomprensible y/o no accesible para el solicitante;</w:t>
      </w:r>
    </w:p>
    <w:p w:rsidR="00000000" w:rsidDel="00000000" w:rsidP="00000000" w:rsidRDefault="00000000" w:rsidRPr="00000000" w14:paraId="00000048">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como el informe justificado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D">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E">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F">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55">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1">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5">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B">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C">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al análisis de los agravios hechos valer por la parte Recurrente a efecto de determinar si se actualizan las causales de procedencia previstas en las fracciones V y IX del artículo 179 de la Ley de Transparencia y Acceso a la Información del Estado de México y Municipios, relativa a la entrega de información incompleta.</w:t>
      </w:r>
    </w:p>
    <w:p w:rsidR="00000000" w:rsidDel="00000000" w:rsidP="00000000" w:rsidRDefault="00000000" w:rsidRPr="00000000" w14:paraId="0000006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0">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es necesario precisar que el Recurrente solicitó la siguiente información:</w:t>
      </w:r>
    </w:p>
    <w:p w:rsidR="00000000" w:rsidDel="00000000" w:rsidP="00000000" w:rsidRDefault="00000000" w:rsidRPr="00000000" w14:paraId="00000071">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terreno en donde se construyó el mercado le pertenece al municipio de Temamatla?, </w:t>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qué año se compró? </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terreno en donde se construyeron los baños públicos que se encuentran junto a casa de cultura le pertenece al municipio? De ser positivo ¿En qué año se compró? </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Quiero saber de qué beneficios goza o por qué le dan poder a la señora XXXXX que trabaja en el mercado que tanto daño le ha hecho a los comerciantes. </w:t>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qué se basan para dar los metros de piso a los comerciantes? Porque no es lo mismo lo que le dan a los que venden alimentos y a los que venden ropa.</w:t>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¿Qué medidas de seguridad y sanidad están tomando para la gente que vive dentro de los puestos de ropa que se encuentran frente a la iglesia?, ya que en las noches paso y veo que ya duermen ahí. </w:t>
      </w:r>
    </w:p>
    <w:p w:rsidR="00000000" w:rsidDel="00000000" w:rsidP="00000000" w:rsidRDefault="00000000" w:rsidRPr="00000000" w14:paraId="0000007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lectura a la solicitud, se advierte que por cuanto hace a las manifestaciones realizadas por la persona solicitante consistentes en: “...</w:t>
      </w:r>
      <w:r w:rsidDel="00000000" w:rsidR="00000000" w:rsidRPr="00000000">
        <w:rPr>
          <w:rFonts w:ascii="Palatino Linotype" w:cs="Palatino Linotype" w:eastAsia="Palatino Linotype" w:hAnsi="Palatino Linotype"/>
          <w:i w:val="1"/>
          <w:sz w:val="22"/>
          <w:szCs w:val="22"/>
          <w:rtl w:val="0"/>
        </w:rPr>
        <w:t xml:space="preserve">quiero saber de que beneficios goza o xq le dan poder a la señora XXXXXX que trabaja en el mercado que tanto daño le ha hecho a los comerciantes.... “</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ademas quiero saber que medidas de seguridad y sanidad estan tomando para la gente que vive dentro de los puestos de ropa que se encunetran frente a la iglesia, ya que en las noches paso y veo que ya duermen ahi</w:t>
      </w:r>
      <w:r w:rsidDel="00000000" w:rsidR="00000000" w:rsidRPr="00000000">
        <w:rPr>
          <w:rFonts w:ascii="Palatino Linotype" w:cs="Palatino Linotype" w:eastAsia="Palatino Linotype" w:hAnsi="Palatino Linotype"/>
          <w:sz w:val="22"/>
          <w:szCs w:val="22"/>
          <w:rtl w:val="0"/>
        </w:rPr>
        <w:t xml:space="preserve">.” (Sic) se trata de cuestionamientos o interrogantes que no pueden ser atendidos a través de la vía del Derecho de Acceso a la Información Pública, </w:t>
      </w:r>
      <w:r w:rsidDel="00000000" w:rsidR="00000000" w:rsidRPr="00000000">
        <w:rPr>
          <w:rFonts w:ascii="Palatino Linotype" w:cs="Palatino Linotype" w:eastAsia="Palatino Linotype" w:hAnsi="Palatino Linotype"/>
          <w:b w:val="1"/>
          <w:sz w:val="22"/>
          <w:szCs w:val="22"/>
          <w:rtl w:val="0"/>
        </w:rPr>
        <w:t xml:space="preserve">debido a que se tratan de un ejercicio del derecho de petición de la parte Recurrente, toda vez que requiere un pronunciamiento específico encaminado a atender su inquietud.</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el derecho de toda persona a ser escuchado por quienes ejercen el poder público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C">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Miguel Carbonell en su libro </w:t>
      </w:r>
      <w:r w:rsidDel="00000000" w:rsidR="00000000" w:rsidRPr="00000000">
        <w:rPr>
          <w:rFonts w:ascii="Palatino Linotype" w:cs="Palatino Linotype" w:eastAsia="Palatino Linotype" w:hAnsi="Palatino Linotype"/>
          <w:i w:val="1"/>
          <w:sz w:val="22"/>
          <w:szCs w:val="22"/>
          <w:rtl w:val="0"/>
        </w:rPr>
        <w:t xml:space="preserve">“Los derechos fundamentales” </w:t>
      </w:r>
      <w:r w:rsidDel="00000000" w:rsidR="00000000" w:rsidRPr="00000000">
        <w:rPr>
          <w:rFonts w:ascii="Palatino Linotype" w:cs="Palatino Linotype" w:eastAsia="Palatino Linotype" w:hAnsi="Palatino Linotype"/>
          <w:sz w:val="22"/>
          <w:szCs w:val="22"/>
          <w:rtl w:val="0"/>
        </w:rPr>
        <w:t xml:space="preserve">refiere que el derecho de petición se ha entendido de dos distintitas maneras, a saber: como un derecho fundamental de participación política ya que permite a los particulares trasladar a las autoridades sus </w:t>
      </w:r>
      <w:r w:rsidDel="00000000" w:rsidR="00000000" w:rsidRPr="00000000">
        <w:rPr>
          <w:rFonts w:ascii="Palatino Linotype" w:cs="Palatino Linotype" w:eastAsia="Palatino Linotype" w:hAnsi="Palatino Linotype"/>
          <w:b w:val="1"/>
          <w:sz w:val="22"/>
          <w:szCs w:val="22"/>
          <w:rtl w:val="0"/>
        </w:rPr>
        <w:t xml:space="preserve">inquietudes, quejas</w:t>
      </w:r>
      <w:r w:rsidDel="00000000" w:rsidR="00000000" w:rsidRPr="00000000">
        <w:rPr>
          <w:rFonts w:ascii="Palatino Linotype" w:cs="Palatino Linotype" w:eastAsia="Palatino Linotype" w:hAnsi="Palatino Linotype"/>
          <w:sz w:val="22"/>
          <w:szCs w:val="22"/>
          <w:rtl w:val="0"/>
        </w:rPr>
        <w:t xml:space="preserve">, sugerencias y requerimientos en cualquier materia o asunto; y como una </w:t>
      </w:r>
      <w:r w:rsidDel="00000000" w:rsidR="00000000" w:rsidRPr="00000000">
        <w:rPr>
          <w:rFonts w:ascii="Palatino Linotype" w:cs="Palatino Linotype" w:eastAsia="Palatino Linotype" w:hAnsi="Palatino Linotype"/>
          <w:b w:val="1"/>
          <w:sz w:val="22"/>
          <w:szCs w:val="22"/>
          <w:rtl w:val="0"/>
        </w:rPr>
        <w:t xml:space="preserve">forma específica de la libertad de expresión</w:t>
      </w:r>
      <w:r w:rsidDel="00000000" w:rsidR="00000000" w:rsidRPr="00000000">
        <w:rPr>
          <w:rFonts w:ascii="Palatino Linotype" w:cs="Palatino Linotype" w:eastAsia="Palatino Linotype" w:hAnsi="Palatino Linotype"/>
          <w:sz w:val="22"/>
          <w:szCs w:val="22"/>
          <w:rtl w:val="0"/>
        </w:rPr>
        <w:t xml:space="preserve">, en tanto que permite expresarse frente a las autoridades. </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vertAlign w:val="superscript"/>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el autor anteriormente citado, indica que el </w:t>
      </w:r>
      <w:r w:rsidDel="00000000" w:rsidR="00000000" w:rsidRPr="00000000">
        <w:rPr>
          <w:rFonts w:ascii="Palatino Linotype" w:cs="Palatino Linotype" w:eastAsia="Palatino Linotype" w:hAnsi="Palatino Linotype"/>
          <w:b w:val="1"/>
          <w:sz w:val="22"/>
          <w:szCs w:val="22"/>
          <w:rtl w:val="0"/>
        </w:rPr>
        <w:t xml:space="preserve">derecho de acceso a la información pública</w:t>
      </w:r>
      <w:r w:rsidDel="00000000" w:rsidR="00000000" w:rsidRPr="00000000">
        <w:rPr>
          <w:rFonts w:ascii="Palatino Linotype" w:cs="Palatino Linotype" w:eastAsia="Palatino Linotype" w:hAnsi="Palatino Linotype"/>
          <w:sz w:val="22"/>
          <w:szCs w:val="22"/>
          <w:rtl w:val="0"/>
        </w:rPr>
        <w:t xml:space="preserve">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puede concluir que la distinción entre el </w:t>
      </w:r>
      <w:r w:rsidDel="00000000" w:rsidR="00000000" w:rsidRPr="00000000">
        <w:rPr>
          <w:rFonts w:ascii="Palatino Linotype" w:cs="Palatino Linotype" w:eastAsia="Palatino Linotype" w:hAnsi="Palatino Linotype"/>
          <w:b w:val="1"/>
          <w:sz w:val="22"/>
          <w:szCs w:val="22"/>
          <w:rtl w:val="0"/>
        </w:rPr>
        <w:t xml:space="preserve">derecho de petición</w:t>
      </w:r>
      <w:r w:rsidDel="00000000" w:rsidR="00000000" w:rsidRPr="00000000">
        <w:rPr>
          <w:rFonts w:ascii="Palatino Linotype" w:cs="Palatino Linotype" w:eastAsia="Palatino Linotype" w:hAnsi="Palatino Linotype"/>
          <w:sz w:val="22"/>
          <w:szCs w:val="22"/>
          <w:rtl w:val="0"/>
        </w:rPr>
        <w:t xml:space="preserve">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00000" w:rsidDel="00000000" w:rsidP="00000000" w:rsidRDefault="00000000" w:rsidRPr="00000000" w14:paraId="00000086">
      <w:pP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ello, de conformidad con lo que establece el artículo 12 de la Ley de Transparencia y Acceso a la Información Pública del Estado de México y Municipios, los sujetos obligados no se encuentran constreñidos a entregar información que no obra en sus archivos o generarla conforme al interés de los solicitantes, asimismo, el Criterio 03/17 emitido por el Instituto Nacional de Transparencia, Acceso a la Información y Protección de Datos Personales, establece lo siguiente: </w:t>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tiene que, la solicitud de información se relaciona con el ejercicio del derecho de petición, pues se tratan de expresiones y manifestaciones personales y particulares, de las cuales no se advierte que se requiera acceder a un documento en posesión de la autoridad, situación que, no es factible atenderse vía acceso a la información pública. </w:t>
      </w:r>
    </w:p>
    <w:p w:rsidR="00000000" w:rsidDel="00000000" w:rsidP="00000000" w:rsidRDefault="00000000" w:rsidRPr="00000000" w14:paraId="0000008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cuanto hace a los requerimientos relativos a: </w:t>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terreno en donde se construyó el mercado le pertenece al municipio de Temamatla? De ser positivo ¿En qué año se compró? </w:t>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terreno en donde se construyeron los baños públicos que se encuentran junto a casa de cultura le pertenece al municipio? De ser positivo ¿En qué año se compró? </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qué se basan para dar los metros de piso a los comerciantes? Porque no es lo mismo lo que le dan a los que venden alimentos y a los que venden ropa.</w:t>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trata de planteamientos que si bien se realizaron en forma de cuestionamientos, para este Organismo Garante no pasa desapercibido que,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 sólo de aquellos requerimientos que puedan encontrarse en un documento existente.</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sustento a lo anterior resulta aplicable el Criterio Orientador 16/17, emitido por el entonces Instituto Nacional de Transparencia, Acceso a la Información y Protección de Datos Personales, INAI, establece lo siguiente: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Expresión documental. </w:t>
      </w:r>
      <w:r w:rsidDel="00000000" w:rsidR="00000000" w:rsidRPr="00000000">
        <w:rPr>
          <w:rFonts w:ascii="Palatino Linotype" w:cs="Palatino Linotype" w:eastAsia="Palatino Linotype" w:hAnsi="Palatino Linotype"/>
          <w:i w:val="1"/>
          <w:sz w:val="22"/>
          <w:szCs w:val="22"/>
          <w:rtl w:val="0"/>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r w:rsidDel="00000000" w:rsidR="00000000" w:rsidRPr="00000000">
        <w:rPr>
          <w:rtl w:val="0"/>
        </w:rPr>
      </w:r>
    </w:p>
    <w:p w:rsidR="00000000" w:rsidDel="00000000" w:rsidP="00000000" w:rsidRDefault="00000000" w:rsidRPr="00000000" w14:paraId="0000009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567" w:right="63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18. Los sujetos obligados deberán documentar todo acto que derive del ejercicio de sus facultades, competencias o funciones, considerando desde su origen la eventual publicidad y reutilización de la información que generen.</w:t>
      </w: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en aras de garantizar el derecho de acceso a la información pública del Recurrente, dio atención a los requerimientos, turnando la solicitud a la Sindicatura Municipal, unidad administrativa que cuenta con las siguientes atribuciones, de acuerdo a la Ley Orgánica Municipal:</w:t>
      </w:r>
    </w:p>
    <w:p w:rsidR="00000000" w:rsidDel="00000000" w:rsidP="00000000" w:rsidRDefault="00000000" w:rsidRPr="00000000" w14:paraId="0000009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SEGUNDO</w:t>
      </w:r>
    </w:p>
    <w:p w:rsidR="00000000" w:rsidDel="00000000" w:rsidP="00000000" w:rsidRDefault="00000000" w:rsidRPr="00000000" w14:paraId="0000009E">
      <w:pP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Síndicos</w:t>
      </w:r>
    </w:p>
    <w:p w:rsidR="00000000" w:rsidDel="00000000" w:rsidP="00000000" w:rsidRDefault="00000000" w:rsidRPr="00000000" w14:paraId="0000009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52.-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 </w:t>
      </w:r>
    </w:p>
    <w:p w:rsidR="00000000" w:rsidDel="00000000" w:rsidP="00000000" w:rsidRDefault="00000000" w:rsidRPr="00000000" w14:paraId="000000A0">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1">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53.- Los síndicos tendrán las siguientes atribuciones:</w:t>
      </w:r>
    </w:p>
    <w:p w:rsidR="00000000" w:rsidDel="00000000" w:rsidP="00000000" w:rsidRDefault="00000000" w:rsidRPr="00000000" w14:paraId="000000A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rsidR="00000000" w:rsidDel="00000000" w:rsidP="00000000" w:rsidRDefault="00000000" w:rsidRPr="00000000" w14:paraId="000000A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Regularizar la propiedad de los bienes inmuebles municipales, para ello tendrán un plazo de ciento veinte días hábiles, contados a partir de la adquisición; </w:t>
      </w:r>
    </w:p>
    <w:p w:rsidR="00000000" w:rsidDel="00000000" w:rsidP="00000000" w:rsidRDefault="00000000" w:rsidRPr="00000000" w14:paraId="000000A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Inscribir los bienes inmuebles municipales en el Registro Público de la Propiedad, para iniciar los trámites correspondientes tendrán un plazo de ciento veinte días hábiles contados a partir de aquel en que concluyo el proceso de regularización;</w:t>
      </w:r>
    </w:p>
    <w:p w:rsidR="00000000" w:rsidDel="00000000" w:rsidP="00000000" w:rsidRDefault="00000000" w:rsidRPr="00000000" w14:paraId="000000A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Síndico Municipal tiene, entre sus atribuciones, la responsabilidad de intervenir en la elaboración del inventario general de los bienes muebles e inmuebles propiedad del municipio. Esta labor implica asegurar que dichos bienes se registren en un libro especial, con detalles como su valor, características de identificación, uso y destino.</w:t>
      </w:r>
    </w:p>
    <w:p w:rsidR="00000000" w:rsidDel="00000000" w:rsidP="00000000" w:rsidRDefault="00000000" w:rsidRPr="00000000" w14:paraId="000000A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les corresponde llevar a cabo la regularización de la propiedad de los bienes inmuebles municipales. Para cumplir con esta función, cuentan con un plazo de ciento veinte días hábiles contados a partir de la fecha de adquisición del bien, a fin de asegurar que la propiedad quede formalmente regularizada.</w:t>
      </w:r>
    </w:p>
    <w:p w:rsidR="00000000" w:rsidDel="00000000" w:rsidP="00000000" w:rsidRDefault="00000000" w:rsidRPr="00000000" w14:paraId="000000AB">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de las atribuciones que tiene la Sindicatura no se advierte fuente obligacional para generar, administrar o poseer información relacionada con la asignación de autorizaciones o permisos a comerciantes.</w:t>
      </w:r>
    </w:p>
    <w:p w:rsidR="00000000" w:rsidDel="00000000" w:rsidP="00000000" w:rsidRDefault="00000000" w:rsidRPr="00000000" w14:paraId="000000AD">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al haber turnado la solicitud a la Síndico Municipal, se advierte que el Sujeto Obligado incumplió con lo que disponen los artículos 151, 160, 162, 164, 165 y 166, de la Ley de Transparencia y Acceso a la Información Pública del Estado de México y Municipios:</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B1">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B2">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B3">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0B4">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ind w:right="19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Unidad de Transparencia al turnar la solicitud únicamente a la Sindicatura no siguió el procedimiento que establece el artículo 162 de la Ley de Transparencia Local, ya que no turnó la solicitud de información a todas las unidades Administrativas generadoras de la información.</w:t>
      </w:r>
    </w:p>
    <w:p w:rsidR="00000000" w:rsidDel="00000000" w:rsidP="00000000" w:rsidRDefault="00000000" w:rsidRPr="00000000" w14:paraId="000000B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 la respuesta, el Recurrente se inconformó por dos aspectos medulares, siendo los siguientes: </w:t>
      </w:r>
    </w:p>
    <w:p w:rsidR="00000000" w:rsidDel="00000000" w:rsidP="00000000" w:rsidRDefault="00000000" w:rsidRPr="00000000" w14:paraId="000000B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numPr>
          <w:ilvl w:val="0"/>
          <w:numId w:val="4"/>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información incompleta.</w:t>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información es ilegible;</w:t>
      </w:r>
    </w:p>
    <w:p w:rsidR="00000000" w:rsidDel="00000000" w:rsidP="00000000" w:rsidRDefault="00000000" w:rsidRPr="00000000" w14:paraId="000000BB">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agravio relacionado con la entrega de información incompleta, es importante puntualizar que, como ya se ha señalado en párrafos anteriores, del análisis a la solicitud de información presentada, se advierte que los requerimientos formulados por la persona solicitante no se circunscriben a la simple entrega de documentos o datos que obren en posesión del Sujeto Obligado, sino que, implican la emisión de opiniones, análisis o juicios de valor por parte del Sujeto Obligado.</w:t>
      </w:r>
    </w:p>
    <w:p w:rsidR="00000000" w:rsidDel="00000000" w:rsidP="00000000" w:rsidRDefault="00000000" w:rsidRPr="00000000" w14:paraId="000000BD">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tales requerimientos no constituyen una solicitud de acceso a información pública en los términos previstos por la legislación en la materia, sino que se asemejan más bien a una consulta o a un derecho de petición. Esto se traduce en que lo solicitado rebasa el marco del derecho de acceso a la información, el cual tiene como finalidad el proporcionar los documentos que se deriven del ejercicio de las facultades, atribuciones y competencias y que previamente obren en los archivos del Sujeto Obligado.</w:t>
      </w:r>
    </w:p>
    <w:p w:rsidR="00000000" w:rsidDel="00000000" w:rsidP="00000000" w:rsidRDefault="00000000" w:rsidRPr="00000000" w14:paraId="000000BF">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al no tratarse de información preexistente, en posesión del Sujeto Obligado, y al consistir en requerimientos de naturaleza subjetiva, los planteamientos realizados por la persona solicitante resultan inatendibles. </w:t>
      </w:r>
    </w:p>
    <w:p w:rsidR="00000000" w:rsidDel="00000000" w:rsidP="00000000" w:rsidRDefault="00000000" w:rsidRPr="00000000" w14:paraId="000000C1">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segundo agravio resulta fundado ya que el Oficio MT/SIND/32/2025 de la Síndico Municipal mediante el cual da contestación a los requerimientos del particular es parcialmente ilegible, se inserta imagen de referencia:</w:t>
      </w:r>
    </w:p>
    <w:p w:rsidR="00000000" w:rsidDel="00000000" w:rsidP="00000000" w:rsidRDefault="00000000" w:rsidRPr="00000000" w14:paraId="000000C3">
      <w:pPr>
        <w:spacing w:line="360" w:lineRule="auto"/>
        <w:ind w:right="51"/>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969136" cy="4470985"/>
            <wp:effectExtent b="0" l="0" r="0" t="0"/>
            <wp:docPr id="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969136" cy="447098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Tal y como se advierte, el documento remitido en respuesta es parcialmente ilegible; Sin embargo, a través del informe justificado se remitió el mismo oficio, ahora de forma que permite identificar su contenido, se inserta contenido:</w:t>
      </w:r>
    </w:p>
    <w:p w:rsidR="00000000" w:rsidDel="00000000" w:rsidP="00000000" w:rsidRDefault="00000000" w:rsidRPr="00000000" w14:paraId="000000C6">
      <w:pPr>
        <w:spacing w:line="360" w:lineRule="auto"/>
        <w:ind w:right="51"/>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300176" cy="5908727"/>
            <wp:effectExtent b="0" l="0" r="0" t="0"/>
            <wp:docPr id="2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300176" cy="5908727"/>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Tal y como se aprecia, el Sujeto Obligado a través del informe justificado remitió la información proporcionada en respuesta de forma legible, tan es así que permite identificado la siguiente información:</w:t>
      </w:r>
    </w:p>
    <w:p w:rsidR="00000000" w:rsidDel="00000000" w:rsidP="00000000" w:rsidRDefault="00000000" w:rsidRPr="00000000" w14:paraId="000000C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numPr>
          <w:ilvl w:val="0"/>
          <w:numId w:val="6"/>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bien inmueble donde se construyó el mercado pertenece al Municipio de Temamatla;</w:t>
      </w:r>
    </w:p>
    <w:p w:rsidR="00000000" w:rsidDel="00000000" w:rsidP="00000000" w:rsidRDefault="00000000" w:rsidRPr="00000000" w14:paraId="000000CA">
      <w:pPr>
        <w:numPr>
          <w:ilvl w:val="0"/>
          <w:numId w:val="6"/>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adquirió en el año 1986</w:t>
      </w:r>
    </w:p>
    <w:p w:rsidR="00000000" w:rsidDel="00000000" w:rsidP="00000000" w:rsidRDefault="00000000" w:rsidRPr="00000000" w14:paraId="000000CB">
      <w:pPr>
        <w:numPr>
          <w:ilvl w:val="0"/>
          <w:numId w:val="6"/>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bien inmueble donde se construyeron los sanitarios públicos que se encuentran junto a la casa de cultura no pertenece al Municipio, en consecuencia, no se tiene información de la fecha de adquisición.</w:t>
      </w:r>
    </w:p>
    <w:p w:rsidR="00000000" w:rsidDel="00000000" w:rsidP="00000000" w:rsidRDefault="00000000" w:rsidRPr="00000000" w14:paraId="000000C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advierte que el Sujeto Obligado da puntual contestación a los cuestionamientos formulados por el Recurrente a través de un documento ad hoc. Entonces, al existir un pronunciamiento de la Unidad Administrativa Competente y entregar la información solicitada es que no se puede dudar de la veracidad de la misma.</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por analogía el criterio 31-10 emitido por el entonces Instituto Federal de Acceso a la Información y Protección de Datos, que a la letra dice:</w:t>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Órgano Garante carece de facultades para dudar de la veracidad sobre la información proporcionada por el Sujeto Obligado.</w:t>
      </w:r>
    </w:p>
    <w:p w:rsidR="00000000" w:rsidDel="00000000" w:rsidP="00000000" w:rsidRDefault="00000000" w:rsidRPr="00000000" w14:paraId="000000D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lo que corresponde al requerimiento el documento base para asignar metros de piso a comerciantes, es necesario traer a contexto el Reglamento de la Dirección de Desarrollo Económico el cual es de orden público, interés general y observancia en todo el territorio municipal de Temamatla, por el que se regula todo lo relativo al comercio, espectáculos y diversiones públicas, anuncios, tianguis, mercados y vía pública.  </w:t>
      </w:r>
    </w:p>
    <w:p w:rsidR="00000000" w:rsidDel="00000000" w:rsidP="00000000" w:rsidRDefault="00000000" w:rsidRPr="00000000" w14:paraId="000000D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necesario precisar que el término comerciante corresponde a la persona que, teniendo la capacidad legal para ejercer el comercio hacen de él su ocupación ordinaria y dentro del Ayuntamiento de Temamatla se contemplan diversos tipos de comerciantes, a saber:</w:t>
      </w:r>
    </w:p>
    <w:p w:rsidR="00000000" w:rsidDel="00000000" w:rsidP="00000000" w:rsidRDefault="00000000" w:rsidRPr="00000000" w14:paraId="000000D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847340"/>
            <wp:effectExtent b="0" l="0" r="0" t="0"/>
            <wp:docPr id="2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284734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diferencias entre comerciante temporal, ambulante, fijo y semifijo radican en la regularidad y ubicación de la actividad comercial. El comerciante </w:t>
      </w:r>
      <w:r w:rsidDel="00000000" w:rsidR="00000000" w:rsidRPr="00000000">
        <w:rPr>
          <w:rFonts w:ascii="Palatino Linotype" w:cs="Palatino Linotype" w:eastAsia="Palatino Linotype" w:hAnsi="Palatino Linotype"/>
          <w:b w:val="1"/>
          <w:sz w:val="22"/>
          <w:szCs w:val="22"/>
          <w:rtl w:val="0"/>
        </w:rPr>
        <w:t xml:space="preserve">temporal</w:t>
      </w:r>
      <w:r w:rsidDel="00000000" w:rsidR="00000000" w:rsidRPr="00000000">
        <w:rPr>
          <w:rFonts w:ascii="Palatino Linotype" w:cs="Palatino Linotype" w:eastAsia="Palatino Linotype" w:hAnsi="Palatino Linotype"/>
          <w:sz w:val="22"/>
          <w:szCs w:val="22"/>
          <w:rtl w:val="0"/>
        </w:rPr>
        <w:t xml:space="preserve"> realiza su actividad únicamente en fechas específicas o durante eventos determinados, sin continuidad permanente. El comerciante </w:t>
      </w:r>
      <w:r w:rsidDel="00000000" w:rsidR="00000000" w:rsidRPr="00000000">
        <w:rPr>
          <w:rFonts w:ascii="Palatino Linotype" w:cs="Palatino Linotype" w:eastAsia="Palatino Linotype" w:hAnsi="Palatino Linotype"/>
          <w:b w:val="1"/>
          <w:sz w:val="22"/>
          <w:szCs w:val="22"/>
          <w:rtl w:val="0"/>
        </w:rPr>
        <w:t xml:space="preserve">ambulante</w:t>
      </w:r>
      <w:r w:rsidDel="00000000" w:rsidR="00000000" w:rsidRPr="00000000">
        <w:rPr>
          <w:rFonts w:ascii="Palatino Linotype" w:cs="Palatino Linotype" w:eastAsia="Palatino Linotype" w:hAnsi="Palatino Linotype"/>
          <w:sz w:val="22"/>
          <w:szCs w:val="22"/>
          <w:rtl w:val="0"/>
        </w:rPr>
        <w:t xml:space="preserve"> ejerce el comercio sin un lugar fijo, desplazándose continuamente por distintos puntos. El comerciante </w:t>
      </w:r>
      <w:r w:rsidDel="00000000" w:rsidR="00000000" w:rsidRPr="00000000">
        <w:rPr>
          <w:rFonts w:ascii="Palatino Linotype" w:cs="Palatino Linotype" w:eastAsia="Palatino Linotype" w:hAnsi="Palatino Linotype"/>
          <w:b w:val="1"/>
          <w:sz w:val="22"/>
          <w:szCs w:val="22"/>
          <w:rtl w:val="0"/>
        </w:rPr>
        <w:t xml:space="preserve">fijo</w:t>
      </w:r>
      <w:r w:rsidDel="00000000" w:rsidR="00000000" w:rsidRPr="00000000">
        <w:rPr>
          <w:rFonts w:ascii="Palatino Linotype" w:cs="Palatino Linotype" w:eastAsia="Palatino Linotype" w:hAnsi="Palatino Linotype"/>
          <w:sz w:val="22"/>
          <w:szCs w:val="22"/>
          <w:rtl w:val="0"/>
        </w:rPr>
        <w:t xml:space="preserve"> desarrolla su actividad en un sitio determinado y permanente, generalmente autorizado y con infraestructura estable. Por su parte, el comerciante </w:t>
      </w:r>
      <w:r w:rsidDel="00000000" w:rsidR="00000000" w:rsidRPr="00000000">
        <w:rPr>
          <w:rFonts w:ascii="Palatino Linotype" w:cs="Palatino Linotype" w:eastAsia="Palatino Linotype" w:hAnsi="Palatino Linotype"/>
          <w:b w:val="1"/>
          <w:sz w:val="22"/>
          <w:szCs w:val="22"/>
          <w:rtl w:val="0"/>
        </w:rPr>
        <w:t xml:space="preserve">semifijo</w:t>
      </w:r>
      <w:r w:rsidDel="00000000" w:rsidR="00000000" w:rsidRPr="00000000">
        <w:rPr>
          <w:rFonts w:ascii="Palatino Linotype" w:cs="Palatino Linotype" w:eastAsia="Palatino Linotype" w:hAnsi="Palatino Linotype"/>
          <w:sz w:val="22"/>
          <w:szCs w:val="22"/>
          <w:rtl w:val="0"/>
        </w:rPr>
        <w:t xml:space="preserve"> ocupa un lugar público de manera regular, pero con instalaciones desmontables o móviles, sin contar con un establecimiento permanente.</w:t>
      </w:r>
    </w:p>
    <w:p w:rsidR="00000000" w:rsidDel="00000000" w:rsidP="00000000" w:rsidRDefault="00000000" w:rsidRPr="00000000" w14:paraId="000000D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sentido, la normatividad en cita contempla también los términos </w:t>
      </w:r>
      <w:r w:rsidDel="00000000" w:rsidR="00000000" w:rsidRPr="00000000">
        <w:rPr>
          <w:rFonts w:ascii="Palatino Linotype" w:cs="Palatino Linotype" w:eastAsia="Palatino Linotype" w:hAnsi="Palatino Linotype"/>
          <w:b w:val="1"/>
          <w:sz w:val="22"/>
          <w:szCs w:val="22"/>
          <w:rtl w:val="0"/>
        </w:rPr>
        <w:t xml:space="preserve">Tianguis</w:t>
      </w:r>
      <w:r w:rsidDel="00000000" w:rsidR="00000000" w:rsidRPr="00000000">
        <w:rPr>
          <w:rFonts w:ascii="Palatino Linotype" w:cs="Palatino Linotype" w:eastAsia="Palatino Linotype" w:hAnsi="Palatino Linotype"/>
          <w:sz w:val="22"/>
          <w:szCs w:val="22"/>
          <w:rtl w:val="0"/>
        </w:rPr>
        <w:t xml:space="preserve"> corresponden a lugares autorizados y zonificados para la compra venta de mercancías lícitas en un día determinado y </w:t>
      </w:r>
      <w:r w:rsidDel="00000000" w:rsidR="00000000" w:rsidRPr="00000000">
        <w:rPr>
          <w:rFonts w:ascii="Palatino Linotype" w:cs="Palatino Linotype" w:eastAsia="Palatino Linotype" w:hAnsi="Palatino Linotype"/>
          <w:b w:val="1"/>
          <w:sz w:val="22"/>
          <w:szCs w:val="22"/>
          <w:rtl w:val="0"/>
        </w:rPr>
        <w:t xml:space="preserve">Tianguistas</w:t>
      </w:r>
      <w:r w:rsidDel="00000000" w:rsidR="00000000" w:rsidRPr="00000000">
        <w:rPr>
          <w:rFonts w:ascii="Palatino Linotype" w:cs="Palatino Linotype" w:eastAsia="Palatino Linotype" w:hAnsi="Palatino Linotype"/>
          <w:sz w:val="22"/>
          <w:szCs w:val="22"/>
          <w:rtl w:val="0"/>
        </w:rPr>
        <w:t xml:space="preserve"> como grupo organizado de comerciantes que acuden a vender mercancía en días y lugares previamente determinados por la Dirección de Desarrollo Económico.</w:t>
      </w:r>
    </w:p>
    <w:p w:rsidR="00000000" w:rsidDel="00000000" w:rsidP="00000000" w:rsidRDefault="00000000" w:rsidRPr="00000000" w14:paraId="000000E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anteriormente mencionados comparten un elemento de suma importancia, en todos los casos, requiere de un permiso o licencia, entendiendo este acto como la autorización de la autoridad competente para ejercer legalmente actividad comercial dentro del territorio municipal, como lo establece el Reglamento en mención:</w:t>
      </w:r>
    </w:p>
    <w:p w:rsidR="00000000" w:rsidDel="00000000" w:rsidP="00000000" w:rsidRDefault="00000000" w:rsidRPr="00000000" w14:paraId="000000E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E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776220"/>
            <wp:effectExtent b="0" l="0" r="0" t="0"/>
            <wp:docPr id="2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12130" cy="277622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572903" cy="4020111"/>
            <wp:effectExtent b="0" l="0" r="0" t="0"/>
            <wp:docPr id="2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572903" cy="4020111"/>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Tal y como lo establece la normatividad citada, para los Mercados Públicos Municipales, puestos fijos, semifijos, concentraciones comerciales, puestos temporales y ambulantes deben contar con el permiso, previo al cual, el interesado debe presentar un escrito en el que se contengan diversos datos, entre ellos el número de metros a ocupar.</w:t>
      </w:r>
    </w:p>
    <w:p w:rsidR="00000000" w:rsidDel="00000000" w:rsidP="00000000" w:rsidRDefault="00000000" w:rsidRPr="00000000" w14:paraId="000000E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si bien, el interesado es quién propone la información relativa al número de metros que ocupa su actividad comercial, lo cierto es que es la autoridad la encargada de su autorización la que se encarga de aprobar las solicitudes y emitir el permiso correspondiente. Por lo que se ORDENA realizar la búsqueda exhaustiva y razonable de la información a efecto de localizar y poner a disposición del Recurrente los documentos donde consten los criterios o forma de asignación de metros a comerciantes dentro del Municipio de Temamatla, vigentes al diez de marzo de dos mil veinticinco, los cuales de manera enunciativa más no limitativa puede obrar en reglamentos, manuales, lineamientos.</w:t>
      </w:r>
    </w:p>
    <w:p w:rsidR="00000000" w:rsidDel="00000000" w:rsidP="00000000" w:rsidRDefault="00000000" w:rsidRPr="00000000" w14:paraId="000000E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A">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Dicha información resulta ser de interés público, por ser considerada dentro de las obligaciones de transparencia común, de acuerdo a la Ley de Transparencia y Acceso a la Información Pública del Estado de México y Municipios, cuyo contenido es el siguiente:</w:t>
      </w:r>
    </w:p>
    <w:p w:rsidR="00000000" w:rsidDel="00000000" w:rsidP="00000000" w:rsidRDefault="00000000" w:rsidRPr="00000000" w14:paraId="000000EB">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spacing w:line="360" w:lineRule="auto"/>
        <w:ind w:left="567" w:right="616"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II</w:t>
      </w:r>
    </w:p>
    <w:p w:rsidR="00000000" w:rsidDel="00000000" w:rsidP="00000000" w:rsidRDefault="00000000" w:rsidRPr="00000000" w14:paraId="000000ED">
      <w:pPr>
        <w:spacing w:line="360" w:lineRule="auto"/>
        <w:ind w:left="567" w:right="616"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las Obligaciones de Transparencia Comunes</w:t>
      </w:r>
    </w:p>
    <w:p w:rsidR="00000000" w:rsidDel="00000000" w:rsidP="00000000" w:rsidRDefault="00000000" w:rsidRPr="00000000" w14:paraId="000000EE">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EF">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0">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marco normativo aplicable al sujeto obligado, en el que deberá incluirse leyes, códigos, reglamentos, decretos de creación, acuerdos, convenios, manuales de organización y procedimientos, reglas de operación, criterios, políticas, entre otros;</w:t>
      </w:r>
    </w:p>
    <w:p w:rsidR="00000000" w:rsidDel="00000000" w:rsidP="00000000" w:rsidRDefault="00000000" w:rsidRPr="00000000" w14:paraId="000000F1">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si como resultado de la búsqueda exhaustiva y razonable no se cuenta con la información que se ordena entregar, el Sujeto Obligado, bastará con que así lo haga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0F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F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bookmarkStart w:colFirst="0" w:colLast="0" w:name="_heading=h.wf581lgfgoxd" w:id="4"/>
      <w:bookmarkEnd w:id="4"/>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entregada por </w:t>
      </w:r>
      <w:r w:rsidDel="00000000" w:rsidR="00000000" w:rsidRPr="00000000">
        <w:rPr>
          <w:rFonts w:ascii="Palatino Linotype" w:cs="Palatino Linotype" w:eastAsia="Palatino Linotype" w:hAnsi="Palatino Linotype"/>
          <w:b w:val="1"/>
          <w:sz w:val="22"/>
          <w:szCs w:val="22"/>
          <w:rtl w:val="0"/>
        </w:rPr>
        <w:t xml:space="preserve">EL 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00090/TEMAMATL/IP/2025</w:t>
      </w:r>
      <w:r w:rsidDel="00000000" w:rsidR="00000000" w:rsidRPr="00000000">
        <w:rPr>
          <w:rFonts w:ascii="Palatino Linotype" w:cs="Palatino Linotype" w:eastAsia="Palatino Linotype" w:hAnsi="Palatino Linotype"/>
          <w:sz w:val="22"/>
          <w:szCs w:val="22"/>
          <w:rtl w:val="0"/>
        </w:rPr>
        <w:t xml:space="preserve">, por resultar parcialmente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el Recurso de Revisión </w:t>
      </w:r>
      <w:r w:rsidDel="00000000" w:rsidR="00000000" w:rsidRPr="00000000">
        <w:rPr>
          <w:rFonts w:ascii="Palatino Linotype" w:cs="Palatino Linotype" w:eastAsia="Palatino Linotype" w:hAnsi="Palatino Linotype"/>
          <w:b w:val="1"/>
          <w:sz w:val="22"/>
          <w:szCs w:val="22"/>
          <w:rtl w:val="0"/>
        </w:rPr>
        <w:t xml:space="preserve">04104/INFOEM/IP/RR/2025,</w:t>
      </w:r>
      <w:r w:rsidDel="00000000" w:rsidR="00000000" w:rsidRPr="00000000">
        <w:rPr>
          <w:rFonts w:ascii="Palatino Linotype" w:cs="Palatino Linotype" w:eastAsia="Palatino Linotype" w:hAnsi="Palatino Linotype"/>
          <w:sz w:val="22"/>
          <w:szCs w:val="22"/>
          <w:rtl w:val="0"/>
        </w:rPr>
        <w:t xml:space="preserve"> en términos del considerando </w:t>
      </w: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F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bookmarkStart w:colFirst="0" w:colLast="0" w:name="_heading=h.3dy6vkm" w:id="5"/>
      <w:bookmarkEnd w:id="5"/>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términos de los </w:t>
      </w:r>
      <w:r w:rsidDel="00000000" w:rsidR="00000000" w:rsidRPr="00000000">
        <w:rPr>
          <w:rFonts w:ascii="Palatino Linotype" w:cs="Palatino Linotype" w:eastAsia="Palatino Linotype" w:hAnsi="Palatino Linotype"/>
          <w:b w:val="1"/>
          <w:sz w:val="22"/>
          <w:szCs w:val="22"/>
          <w:rtl w:val="0"/>
        </w:rPr>
        <w:t xml:space="preserve">Considerandos Cuarto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 previa búsqueda exhaustiva y razonable, el o los documentos donde conste, la siguiente información: </w:t>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numPr>
          <w:ilvl w:val="0"/>
          <w:numId w:val="7"/>
        </w:numPr>
        <w:pBdr>
          <w:top w:space="0" w:sz="0" w:val="nil"/>
          <w:left w:space="0" w:sz="0" w:val="nil"/>
          <w:bottom w:space="0" w:sz="0" w:val="nil"/>
          <w:right w:space="0" w:sz="0" w:val="nil"/>
          <w:between w:space="0" w:sz="0" w:val="nil"/>
        </w:pBdr>
        <w:spacing w:line="360" w:lineRule="auto"/>
        <w:ind w:left="709" w:right="49" w:hanging="360"/>
        <w:jc w:val="both"/>
        <w:rPr>
          <w:rFonts w:ascii="Palatino Linotype" w:cs="Palatino Linotype" w:eastAsia="Palatino Linotype" w:hAnsi="Palatino Linotype"/>
          <w:b w:val="1"/>
          <w:i w:val="1"/>
          <w:sz w:val="22"/>
          <w:szCs w:val="22"/>
        </w:rPr>
      </w:pPr>
      <w:bookmarkStart w:colFirst="0" w:colLast="0" w:name="_heading=h.kc4zj077h7pb" w:id="6"/>
      <w:bookmarkEnd w:id="6"/>
      <w:r w:rsidDel="00000000" w:rsidR="00000000" w:rsidRPr="00000000">
        <w:rPr>
          <w:rFonts w:ascii="Palatino Linotype" w:cs="Palatino Linotype" w:eastAsia="Palatino Linotype" w:hAnsi="Palatino Linotype"/>
          <w:b w:val="1"/>
          <w:i w:val="1"/>
          <w:sz w:val="22"/>
          <w:szCs w:val="22"/>
          <w:rtl w:val="0"/>
        </w:rPr>
        <w:t xml:space="preserve">Documentos en los que se establezcan los parámetros para la distribución de los espacios asignados a comerciantes en el Municipio de Temamatla, vigentes al diez de marzo de dos mil veinticinco. </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ind w:left="426" w:right="4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E">
      <w:pPr>
        <w:spacing w:line="360" w:lineRule="auto"/>
        <w:ind w:left="360" w:right="61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no cuente con información que se ordena entregar, por no haberse generado, bastará con que así lo haga del conocimiento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0FF">
      <w:pPr>
        <w:spacing w:line="360" w:lineRule="auto"/>
        <w:ind w:left="360" w:right="61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bookmarkStart w:colFirst="0" w:colLast="0" w:name="_heading=h.3znysh7" w:id="7"/>
      <w:bookmarkEnd w:id="7"/>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0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DE JULIO DEL DOS MIL VEINTICINCO, ANTE EL SECRETARIO TÉCNICO DEL PLENO ALEXIS TAPIA RAMÍREZ.</w:t>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E">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18"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-1080129</wp:posOffset>
          </wp:positionH>
          <wp:positionV relativeFrom="paragraph">
            <wp:posOffset>-488309</wp:posOffset>
          </wp:positionV>
          <wp:extent cx="7809865" cy="10165715"/>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1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18">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04104/INFOEM/IP/RR/2025</w:t>
          </w:r>
        </w:p>
      </w:tc>
    </w:tr>
    <w:tr>
      <w:trPr>
        <w:cantSplit w:val="0"/>
        <w:trHeight w:val="228" w:hRule="atLeast"/>
        <w:tblHeader w:val="0"/>
      </w:trPr>
      <w:tc>
        <w:tcPr>
          <w:shd w:fill="auto" w:val="clear"/>
          <w:vAlign w:val="center"/>
        </w:tcPr>
        <w:p w:rsidR="00000000" w:rsidDel="00000000" w:rsidP="00000000" w:rsidRDefault="00000000" w:rsidRPr="00000000" w14:paraId="0000011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1A">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Temamatla</w:t>
          </w:r>
        </w:p>
      </w:tc>
    </w:tr>
    <w:tr>
      <w:trPr>
        <w:cantSplit w:val="0"/>
        <w:tblHeader w:val="0"/>
      </w:trPr>
      <w:tc>
        <w:tcPr>
          <w:shd w:fill="auto" w:val="clear"/>
          <w:vAlign w:val="center"/>
        </w:tcPr>
        <w:p w:rsidR="00000000" w:rsidDel="00000000" w:rsidP="00000000" w:rsidRDefault="00000000" w:rsidRPr="00000000" w14:paraId="0000011B">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1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w:t>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1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20">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04104/INFOEM/IP/RR/2025</w:t>
          </w:r>
        </w:p>
      </w:tc>
    </w:tr>
    <w:tr>
      <w:trPr>
        <w:cantSplit w:val="0"/>
        <w:trHeight w:val="130" w:hRule="atLeast"/>
        <w:tblHeader w:val="0"/>
      </w:trPr>
      <w:tc>
        <w:tcPr>
          <w:shd w:fill="auto" w:val="clear"/>
          <w:vAlign w:val="center"/>
        </w:tcPr>
        <w:p w:rsidR="00000000" w:rsidDel="00000000" w:rsidP="00000000" w:rsidRDefault="00000000" w:rsidRPr="00000000" w14:paraId="0000012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22">
          <w:pPr>
            <w:tabs>
              <w:tab w:val="left" w:leader="none" w:pos="3153"/>
            </w:tabs>
            <w:ind w:left="-45" w:firstLine="0"/>
            <w:jc w:val="both"/>
            <w:rPr>
              <w:rFonts w:ascii="Palatino Linotype" w:cs="Palatino Linotype" w:eastAsia="Palatino Linotype" w:hAnsi="Palatino Linotype"/>
              <w:b w:val="1"/>
              <w:sz w:val="22"/>
              <w:szCs w:val="22"/>
            </w:rPr>
          </w:pPr>
          <w:bookmarkStart w:colFirst="0" w:colLast="0" w:name="_heading=h.s5wyg9vbkzrm" w:id="8"/>
          <w:bookmarkEnd w:id="8"/>
          <w:r w:rsidDel="00000000" w:rsidR="00000000" w:rsidRPr="00000000">
            <w:rPr>
              <w:rFonts w:ascii="Palatino Linotype" w:cs="Palatino Linotype" w:eastAsia="Palatino Linotype" w:hAnsi="Palatino Linotype"/>
              <w:b w:val="1"/>
              <w:sz w:val="20"/>
              <w:szCs w:val="20"/>
              <w:rtl w:val="0"/>
            </w:rPr>
            <w:t xml:space="preserve">XXXXXXX XXXX XXXXXXXX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-4425311</wp:posOffset>
                </wp:positionH>
                <wp:positionV relativeFrom="paragraph">
                  <wp:posOffset>-361945</wp:posOffset>
                </wp:positionV>
                <wp:extent cx="7809865" cy="10165715"/>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rHeight w:val="228" w:hRule="atLeast"/>
        <w:tblHeader w:val="0"/>
      </w:trPr>
      <w:tc>
        <w:tcPr>
          <w:shd w:fill="auto" w:val="clear"/>
          <w:vAlign w:val="center"/>
        </w:tcPr>
        <w:p w:rsidR="00000000" w:rsidDel="00000000" w:rsidP="00000000" w:rsidRDefault="00000000" w:rsidRPr="00000000" w14:paraId="0000012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24">
          <w:pPr>
            <w:ind w:left="-4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Temamatla</w:t>
          </w:r>
        </w:p>
      </w:tc>
    </w:tr>
    <w:tr>
      <w:trPr>
        <w:cantSplit w:val="0"/>
        <w:tblHeader w:val="0"/>
      </w:trPr>
      <w:tc>
        <w:tcPr>
          <w:shd w:fill="auto" w:val="clear"/>
          <w:vAlign w:val="center"/>
        </w:tcPr>
        <w:p w:rsidR="00000000" w:rsidDel="00000000" w:rsidP="00000000" w:rsidRDefault="00000000" w:rsidRPr="00000000" w14:paraId="0000012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26">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1"/>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uiPriority w:val="9"/>
    <w:semiHidden w:val="1"/>
    <w:rsid w:val="003B73CD"/>
    <w:rPr>
      <w:b w:val="1"/>
      <w:bCs w:val="1"/>
      <w:sz w:val="28"/>
      <w:szCs w:val="28"/>
      <w:lang w:eastAsia="en-US" w:val="en-US"/>
    </w:rPr>
  </w:style>
  <w:style w:type="character" w:styleId="Ttulo5Car" w:customStyle="1">
    <w:name w:val="Título 5 Car"/>
    <w:basedOn w:val="Fuentedeprrafopredeter"/>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table" w:styleId="a" w:customStyle="1">
    <w:basedOn w:val="TableNormal2"/>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left w:w="115.0" w:type="dxa"/>
        <w:right w:w="115.0" w:type="dxa"/>
      </w:tblCellMar>
    </w:tbl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1"/>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305619"/>
    <w:rPr>
      <w:color w:val="605e5c"/>
      <w:shd w:color="auto" w:fill="e1dfdd" w:val="clear"/>
    </w:rPr>
  </w:style>
  <w:style w:type="paragraph" w:styleId="Listaconvietas">
    <w:name w:val="List Bullet"/>
    <w:basedOn w:val="Normal"/>
    <w:uiPriority w:val="99"/>
    <w:unhideWhenUsed w:val="1"/>
    <w:rsid w:val="001E28B4"/>
    <w:pPr>
      <w:numPr>
        <w:numId w:val="8"/>
      </w:numPr>
      <w:contextualSpacing w:val="1"/>
    </w:p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8te92/ZccbAprMFq0C9GP4wDqA==">CgMxLjAyCGguZ2pkZ3hzMgloLjMwajB6bGwyCWguMnM4ZXlvMTIIaC50eWpjd3QyDmgud2Y1ODFsZ2Znb3hkMgloLjNkeTZ2a20yDmgua2M0emowNzdoN3BiMgloLjN6bnlzaDcyDmguczV3eWc5dmJrenJtOAByITEtSzRhVzNERk8xYkwwQi1Lb3ZVOEJQZUdGQlpPR0hkOQ==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2025-08-07T22:32:00Z</dcterms:created>
  <dc:creator>iMac</dc:creator>
</cp:coreProperties>
</file>