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val="0"/>
          <w:caps w:val="0"/>
          <w:spacing w:val="0"/>
          <w:szCs w:val="22"/>
          <w:lang w:val="es-ES"/>
        </w:rPr>
        <w:id w:val="-1351494486"/>
        <w:docPartObj>
          <w:docPartGallery w:val="Table of Contents"/>
          <w:docPartUnique/>
        </w:docPartObj>
      </w:sdtPr>
      <w:sdtEndPr/>
      <w:sdtContent>
        <w:p w14:paraId="06E428BC" w14:textId="2D09A0C2" w:rsidR="00FE1919" w:rsidRPr="00FE1919" w:rsidRDefault="00FE1919">
          <w:pPr>
            <w:pStyle w:val="TtulodeTDC"/>
            <w:rPr>
              <w:b w:val="0"/>
              <w:bCs w:val="0"/>
            </w:rPr>
          </w:pPr>
          <w:r w:rsidRPr="00FE1919">
            <w:rPr>
              <w:b w:val="0"/>
              <w:bCs w:val="0"/>
              <w:lang w:val="es-ES"/>
            </w:rPr>
            <w:t xml:space="preserve">RESOLUCIÓN DEL RECURSO DE REVISIÓN </w:t>
          </w:r>
          <w:r w:rsidRPr="00FE1919">
            <w:rPr>
              <w:rFonts w:eastAsia="Calibri" w:cs="Tahoma"/>
              <w:b w:val="0"/>
              <w:bCs w:val="0"/>
            </w:rPr>
            <w:t>08426/INFOEM/IP/RR/2025</w:t>
          </w:r>
        </w:p>
        <w:p w14:paraId="0BB4DFB5" w14:textId="3ED395B2" w:rsidR="00FE1919" w:rsidRPr="00FE1919" w:rsidRDefault="00FE1919">
          <w:pPr>
            <w:pStyle w:val="TDC1"/>
            <w:tabs>
              <w:tab w:val="right" w:leader="dot" w:pos="9111"/>
            </w:tabs>
            <w:rPr>
              <w:rFonts w:ascii="Palatino Linotype" w:hAnsi="Palatino Linotype"/>
              <w:noProof/>
            </w:rPr>
          </w:pPr>
          <w:r w:rsidRPr="00FE1919">
            <w:rPr>
              <w:rFonts w:ascii="Palatino Linotype" w:hAnsi="Palatino Linotype"/>
            </w:rPr>
            <w:fldChar w:fldCharType="begin"/>
          </w:r>
          <w:r w:rsidRPr="00FE1919">
            <w:rPr>
              <w:rFonts w:ascii="Palatino Linotype" w:hAnsi="Palatino Linotype"/>
            </w:rPr>
            <w:instrText xml:space="preserve"> TOC \o "1-3" \h \z \u </w:instrText>
          </w:r>
          <w:r w:rsidRPr="00FE1919">
            <w:rPr>
              <w:rFonts w:ascii="Palatino Linotype" w:hAnsi="Palatino Linotype"/>
            </w:rPr>
            <w:fldChar w:fldCharType="separate"/>
          </w:r>
          <w:hyperlink w:anchor="_Toc206688674" w:history="1">
            <w:r w:rsidRPr="00FE1919">
              <w:rPr>
                <w:rStyle w:val="Hipervnculo"/>
                <w:rFonts w:ascii="Palatino Linotype" w:eastAsia="Calibri" w:hAnsi="Palatino Linotype"/>
                <w:noProof/>
              </w:rPr>
              <w:t>A N T E C E D E N T E S:</w:t>
            </w:r>
            <w:r w:rsidRPr="00FE1919">
              <w:rPr>
                <w:rFonts w:ascii="Palatino Linotype" w:hAnsi="Palatino Linotype"/>
                <w:noProof/>
                <w:webHidden/>
              </w:rPr>
              <w:tab/>
            </w:r>
            <w:r w:rsidRPr="00FE1919">
              <w:rPr>
                <w:rFonts w:ascii="Palatino Linotype" w:hAnsi="Palatino Linotype"/>
                <w:noProof/>
                <w:webHidden/>
              </w:rPr>
              <w:fldChar w:fldCharType="begin"/>
            </w:r>
            <w:r w:rsidRPr="00FE1919">
              <w:rPr>
                <w:rFonts w:ascii="Palatino Linotype" w:hAnsi="Palatino Linotype"/>
                <w:noProof/>
                <w:webHidden/>
              </w:rPr>
              <w:instrText xml:space="preserve"> PAGEREF _Toc206688674 \h </w:instrText>
            </w:r>
            <w:r w:rsidRPr="00FE1919">
              <w:rPr>
                <w:rFonts w:ascii="Palatino Linotype" w:hAnsi="Palatino Linotype"/>
                <w:noProof/>
                <w:webHidden/>
              </w:rPr>
            </w:r>
            <w:r w:rsidRPr="00FE1919">
              <w:rPr>
                <w:rFonts w:ascii="Palatino Linotype" w:hAnsi="Palatino Linotype"/>
                <w:noProof/>
                <w:webHidden/>
              </w:rPr>
              <w:fldChar w:fldCharType="separate"/>
            </w:r>
            <w:r w:rsidR="005D5039">
              <w:rPr>
                <w:rFonts w:ascii="Palatino Linotype" w:hAnsi="Palatino Linotype"/>
                <w:noProof/>
                <w:webHidden/>
              </w:rPr>
              <w:t>2</w:t>
            </w:r>
            <w:r w:rsidRPr="00FE1919">
              <w:rPr>
                <w:rFonts w:ascii="Palatino Linotype" w:hAnsi="Palatino Linotype"/>
                <w:noProof/>
                <w:webHidden/>
              </w:rPr>
              <w:fldChar w:fldCharType="end"/>
            </w:r>
          </w:hyperlink>
        </w:p>
        <w:p w14:paraId="34F6DE66" w14:textId="24E4060F" w:rsidR="00FE1919" w:rsidRPr="00FE1919" w:rsidRDefault="000C7A95">
          <w:pPr>
            <w:pStyle w:val="TDC2"/>
            <w:tabs>
              <w:tab w:val="right" w:leader="dot" w:pos="9111"/>
            </w:tabs>
            <w:rPr>
              <w:rFonts w:ascii="Palatino Linotype" w:hAnsi="Palatino Linotype"/>
              <w:noProof/>
            </w:rPr>
          </w:pPr>
          <w:hyperlink w:anchor="_Toc206688675" w:history="1">
            <w:r w:rsidR="00FE1919" w:rsidRPr="00FE1919">
              <w:rPr>
                <w:rStyle w:val="Hipervnculo"/>
                <w:rFonts w:ascii="Palatino Linotype" w:eastAsia="Times New Roman" w:hAnsi="Palatino Linotype"/>
                <w:noProof/>
                <w:lang w:eastAsia="es-ES"/>
              </w:rPr>
              <w:t>I. Presentación de la solicitud de información</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_Toc206688675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2</w:t>
            </w:r>
            <w:r w:rsidR="00FE1919" w:rsidRPr="00FE1919">
              <w:rPr>
                <w:rFonts w:ascii="Palatino Linotype" w:hAnsi="Palatino Linotype"/>
                <w:noProof/>
                <w:webHidden/>
              </w:rPr>
              <w:fldChar w:fldCharType="end"/>
            </w:r>
          </w:hyperlink>
        </w:p>
        <w:p w14:paraId="7DBEB901" w14:textId="306E3276" w:rsidR="00FE1919" w:rsidRPr="00FE1919" w:rsidRDefault="000C7A95">
          <w:pPr>
            <w:pStyle w:val="TDC2"/>
            <w:tabs>
              <w:tab w:val="right" w:leader="dot" w:pos="9111"/>
            </w:tabs>
            <w:rPr>
              <w:rFonts w:ascii="Palatino Linotype" w:hAnsi="Palatino Linotype"/>
              <w:noProof/>
            </w:rPr>
          </w:pPr>
          <w:hyperlink w:anchor="_Toc206688676" w:history="1">
            <w:r w:rsidR="00FE1919" w:rsidRPr="00FE1919">
              <w:rPr>
                <w:rStyle w:val="Hipervnculo"/>
                <w:rFonts w:ascii="Palatino Linotype" w:eastAsia="Calibri" w:hAnsi="Palatino Linotype"/>
                <w:noProof/>
              </w:rPr>
              <w:t>II. Respuesta del Sujeto Obligado</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_Toc206688676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2</w:t>
            </w:r>
            <w:r w:rsidR="00FE1919" w:rsidRPr="00FE1919">
              <w:rPr>
                <w:rFonts w:ascii="Palatino Linotype" w:hAnsi="Palatino Linotype"/>
                <w:noProof/>
                <w:webHidden/>
              </w:rPr>
              <w:fldChar w:fldCharType="end"/>
            </w:r>
          </w:hyperlink>
        </w:p>
        <w:p w14:paraId="18CC6648" w14:textId="5FF89559" w:rsidR="00FE1919" w:rsidRPr="00FE1919" w:rsidRDefault="000C7A95">
          <w:pPr>
            <w:pStyle w:val="TDC2"/>
            <w:tabs>
              <w:tab w:val="right" w:leader="dot" w:pos="9111"/>
            </w:tabs>
            <w:rPr>
              <w:rFonts w:ascii="Palatino Linotype" w:hAnsi="Palatino Linotype"/>
              <w:noProof/>
            </w:rPr>
          </w:pPr>
          <w:hyperlink w:anchor="_Toc206688677" w:history="1">
            <w:r w:rsidR="00FE1919" w:rsidRPr="00FE1919">
              <w:rPr>
                <w:rStyle w:val="Hipervnculo"/>
                <w:rFonts w:ascii="Palatino Linotype" w:eastAsia="Calibri" w:hAnsi="Palatino Linotype"/>
                <w:noProof/>
              </w:rPr>
              <w:t>III. Interposición del Recurso de Revisión</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_Toc206688677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4</w:t>
            </w:r>
            <w:r w:rsidR="00FE1919" w:rsidRPr="00FE1919">
              <w:rPr>
                <w:rFonts w:ascii="Palatino Linotype" w:hAnsi="Palatino Linotype"/>
                <w:noProof/>
                <w:webHidden/>
              </w:rPr>
              <w:fldChar w:fldCharType="end"/>
            </w:r>
          </w:hyperlink>
        </w:p>
        <w:p w14:paraId="747CA900" w14:textId="32A03C41" w:rsidR="00FE1919" w:rsidRPr="00FE1919" w:rsidRDefault="000C7A95">
          <w:pPr>
            <w:pStyle w:val="TDC2"/>
            <w:tabs>
              <w:tab w:val="right" w:leader="dot" w:pos="9111"/>
            </w:tabs>
            <w:rPr>
              <w:rFonts w:ascii="Palatino Linotype" w:hAnsi="Palatino Linotype"/>
              <w:noProof/>
            </w:rPr>
          </w:pPr>
          <w:hyperlink w:anchor="_Toc206688678" w:history="1">
            <w:r w:rsidR="00FE1919" w:rsidRPr="00FE1919">
              <w:rPr>
                <w:rStyle w:val="Hipervnculo"/>
                <w:rFonts w:ascii="Palatino Linotype" w:eastAsia="Calibri" w:hAnsi="Palatino Linotype"/>
                <w:noProof/>
              </w:rPr>
              <w:t>IV. Trámite del Recurso de Revisión ante este Instituto</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_Toc206688678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4</w:t>
            </w:r>
            <w:r w:rsidR="00FE1919" w:rsidRPr="00FE1919">
              <w:rPr>
                <w:rFonts w:ascii="Palatino Linotype" w:hAnsi="Palatino Linotype"/>
                <w:noProof/>
                <w:webHidden/>
              </w:rPr>
              <w:fldChar w:fldCharType="end"/>
            </w:r>
          </w:hyperlink>
        </w:p>
        <w:p w14:paraId="6D6C64D3" w14:textId="285FB90A" w:rsidR="00FE1919" w:rsidRPr="00FE1919" w:rsidRDefault="000C7A95">
          <w:pPr>
            <w:pStyle w:val="TDC1"/>
            <w:tabs>
              <w:tab w:val="right" w:leader="dot" w:pos="9111"/>
            </w:tabs>
            <w:rPr>
              <w:rFonts w:ascii="Palatino Linotype" w:hAnsi="Palatino Linotype"/>
              <w:noProof/>
            </w:rPr>
          </w:pPr>
          <w:hyperlink w:anchor="_Toc206688679" w:history="1">
            <w:r w:rsidR="00FE1919" w:rsidRPr="00FE1919">
              <w:rPr>
                <w:rStyle w:val="Hipervnculo"/>
                <w:rFonts w:ascii="Palatino Linotype" w:eastAsia="Times New Roman" w:hAnsi="Palatino Linotype"/>
                <w:noProof/>
                <w:lang w:val="es-ES" w:eastAsia="es-ES"/>
              </w:rPr>
              <w:t>C O N S I D E R A N D O S:</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_Toc206688679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6</w:t>
            </w:r>
            <w:r w:rsidR="00FE1919" w:rsidRPr="00FE1919">
              <w:rPr>
                <w:rFonts w:ascii="Palatino Linotype" w:hAnsi="Palatino Linotype"/>
                <w:noProof/>
                <w:webHidden/>
              </w:rPr>
              <w:fldChar w:fldCharType="end"/>
            </w:r>
          </w:hyperlink>
        </w:p>
        <w:p w14:paraId="7264EE5B" w14:textId="1B0C6C5F" w:rsidR="00FE1919" w:rsidRPr="00FE1919" w:rsidRDefault="000C7A95">
          <w:pPr>
            <w:pStyle w:val="TDC2"/>
            <w:tabs>
              <w:tab w:val="right" w:leader="dot" w:pos="9111"/>
            </w:tabs>
            <w:rPr>
              <w:rFonts w:ascii="Palatino Linotype" w:hAnsi="Palatino Linotype"/>
              <w:noProof/>
            </w:rPr>
          </w:pPr>
          <w:hyperlink w:anchor="_Toc206688680" w:history="1">
            <w:r w:rsidR="00FE1919" w:rsidRPr="00FE1919">
              <w:rPr>
                <w:rStyle w:val="Hipervnculo"/>
                <w:rFonts w:ascii="Palatino Linotype" w:eastAsia="Calibri" w:hAnsi="Palatino Linotype"/>
                <w:noProof/>
                <w:lang w:val="es-ES" w:eastAsia="es-MX"/>
              </w:rPr>
              <w:t xml:space="preserve">PRIMERO. </w:t>
            </w:r>
            <w:r w:rsidR="00FE1919" w:rsidRPr="00FE1919">
              <w:rPr>
                <w:rStyle w:val="Hipervnculo"/>
                <w:rFonts w:ascii="Palatino Linotype" w:eastAsia="Times New Roman" w:hAnsi="Palatino Linotype"/>
                <w:noProof/>
                <w:lang w:val="es-ES" w:eastAsia="es-ES"/>
              </w:rPr>
              <w:t>Competencia</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_Toc206688680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6</w:t>
            </w:r>
            <w:r w:rsidR="00FE1919" w:rsidRPr="00FE1919">
              <w:rPr>
                <w:rFonts w:ascii="Palatino Linotype" w:hAnsi="Palatino Linotype"/>
                <w:noProof/>
                <w:webHidden/>
              </w:rPr>
              <w:fldChar w:fldCharType="end"/>
            </w:r>
          </w:hyperlink>
        </w:p>
        <w:p w14:paraId="25191511" w14:textId="6280974F" w:rsidR="00FE1919" w:rsidRPr="00FE1919" w:rsidRDefault="000C7A95">
          <w:pPr>
            <w:pStyle w:val="TDC2"/>
            <w:tabs>
              <w:tab w:val="right" w:leader="dot" w:pos="9111"/>
            </w:tabs>
            <w:rPr>
              <w:rFonts w:ascii="Palatino Linotype" w:hAnsi="Palatino Linotype"/>
              <w:noProof/>
            </w:rPr>
          </w:pPr>
          <w:hyperlink w:anchor="_Toc206688681" w:history="1">
            <w:r w:rsidR="00FE1919" w:rsidRPr="00FE1919">
              <w:rPr>
                <w:rStyle w:val="Hipervnculo"/>
                <w:rFonts w:ascii="Palatino Linotype" w:eastAsia="Calibri" w:hAnsi="Palatino Linotype"/>
                <w:noProof/>
                <w:lang w:val="es-ES" w:eastAsia="es-MX"/>
              </w:rPr>
              <w:t xml:space="preserve">SEGUNDO. </w:t>
            </w:r>
            <w:r w:rsidR="00FE1919" w:rsidRPr="00FE1919">
              <w:rPr>
                <w:rStyle w:val="Hipervnculo"/>
                <w:rFonts w:ascii="Palatino Linotype" w:eastAsia="Times New Roman" w:hAnsi="Palatino Linotype"/>
                <w:noProof/>
                <w:lang w:val="es-ES" w:eastAsia="es-ES"/>
              </w:rPr>
              <w:t>Causales de improcedencia y sobreseimiento</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_Toc206688681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6</w:t>
            </w:r>
            <w:r w:rsidR="00FE1919" w:rsidRPr="00FE1919">
              <w:rPr>
                <w:rFonts w:ascii="Palatino Linotype" w:hAnsi="Palatino Linotype"/>
                <w:noProof/>
                <w:webHidden/>
              </w:rPr>
              <w:fldChar w:fldCharType="end"/>
            </w:r>
          </w:hyperlink>
        </w:p>
        <w:p w14:paraId="4E49F854" w14:textId="55CC5221" w:rsidR="00FE1919" w:rsidRPr="00FE1919" w:rsidRDefault="000C7A95">
          <w:pPr>
            <w:pStyle w:val="TDC2"/>
            <w:tabs>
              <w:tab w:val="right" w:leader="dot" w:pos="9111"/>
            </w:tabs>
            <w:rPr>
              <w:rFonts w:ascii="Palatino Linotype" w:hAnsi="Palatino Linotype"/>
              <w:noProof/>
            </w:rPr>
          </w:pPr>
          <w:hyperlink w:anchor="_Toc206688682" w:history="1">
            <w:r w:rsidR="00FE1919" w:rsidRPr="00FE1919">
              <w:rPr>
                <w:rStyle w:val="Hipervnculo"/>
                <w:rFonts w:ascii="Palatino Linotype" w:eastAsia="Times New Roman" w:hAnsi="Palatino Linotype"/>
                <w:noProof/>
                <w:lang w:eastAsia="es-ES"/>
              </w:rPr>
              <w:t>TERCERO. Determinación de la Controversia</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_Toc206688682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8</w:t>
            </w:r>
            <w:r w:rsidR="00FE1919" w:rsidRPr="00FE1919">
              <w:rPr>
                <w:rFonts w:ascii="Palatino Linotype" w:hAnsi="Palatino Linotype"/>
                <w:noProof/>
                <w:webHidden/>
              </w:rPr>
              <w:fldChar w:fldCharType="end"/>
            </w:r>
          </w:hyperlink>
        </w:p>
        <w:p w14:paraId="06C88F7A" w14:textId="5C3D61B0" w:rsidR="00FE1919" w:rsidRPr="00FE1919" w:rsidRDefault="000C7A95">
          <w:pPr>
            <w:pStyle w:val="TDC2"/>
            <w:tabs>
              <w:tab w:val="right" w:leader="dot" w:pos="9111"/>
            </w:tabs>
            <w:rPr>
              <w:rFonts w:ascii="Palatino Linotype" w:hAnsi="Palatino Linotype"/>
              <w:noProof/>
            </w:rPr>
          </w:pPr>
          <w:hyperlink w:anchor="_Toc206688683" w:history="1">
            <w:r w:rsidR="00FE1919" w:rsidRPr="00FE1919">
              <w:rPr>
                <w:rStyle w:val="Hipervnculo"/>
                <w:rFonts w:ascii="Palatino Linotype" w:eastAsia="Times New Roman" w:hAnsi="Palatino Linotype"/>
                <w:noProof/>
                <w:lang w:val="es-ES" w:eastAsia="es-ES"/>
              </w:rPr>
              <w:t xml:space="preserve">CUARTO. </w:t>
            </w:r>
            <w:r w:rsidR="00FE1919" w:rsidRPr="00FE1919">
              <w:rPr>
                <w:rStyle w:val="Hipervnculo"/>
                <w:rFonts w:ascii="Palatino Linotype" w:eastAsia="Times New Roman" w:hAnsi="Palatino Linotype"/>
                <w:noProof/>
                <w:lang w:eastAsia="es-ES"/>
              </w:rPr>
              <w:t>Marco normativo aplicable en materia de transparencia y acceso a la información pública</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_Toc206688683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9</w:t>
            </w:r>
            <w:r w:rsidR="00FE1919" w:rsidRPr="00FE1919">
              <w:rPr>
                <w:rFonts w:ascii="Palatino Linotype" w:hAnsi="Palatino Linotype"/>
                <w:noProof/>
                <w:webHidden/>
              </w:rPr>
              <w:fldChar w:fldCharType="end"/>
            </w:r>
          </w:hyperlink>
        </w:p>
        <w:p w14:paraId="5734F072" w14:textId="31BFFFE1" w:rsidR="00FE1919" w:rsidRPr="00FE1919" w:rsidRDefault="000C7A95">
          <w:pPr>
            <w:pStyle w:val="TDC2"/>
            <w:tabs>
              <w:tab w:val="right" w:leader="dot" w:pos="9111"/>
            </w:tabs>
            <w:rPr>
              <w:rFonts w:ascii="Palatino Linotype" w:hAnsi="Palatino Linotype"/>
              <w:noProof/>
            </w:rPr>
          </w:pPr>
          <w:hyperlink w:anchor="_Toc206688684" w:history="1">
            <w:r w:rsidR="00FE1919" w:rsidRPr="00FE1919">
              <w:rPr>
                <w:rStyle w:val="Hipervnculo"/>
                <w:rFonts w:ascii="Palatino Linotype" w:eastAsia="Times New Roman" w:hAnsi="Palatino Linotype"/>
                <w:noProof/>
                <w:lang w:eastAsia="es-ES"/>
              </w:rPr>
              <w:t>QUINTO. Estudio de Fondo</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_Toc206688684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10</w:t>
            </w:r>
            <w:r w:rsidR="00FE1919" w:rsidRPr="00FE1919">
              <w:rPr>
                <w:rFonts w:ascii="Palatino Linotype" w:hAnsi="Palatino Linotype"/>
                <w:noProof/>
                <w:webHidden/>
              </w:rPr>
              <w:fldChar w:fldCharType="end"/>
            </w:r>
          </w:hyperlink>
        </w:p>
        <w:p w14:paraId="24F916F0" w14:textId="4109C8C8" w:rsidR="00FE1919" w:rsidRPr="00FE1919" w:rsidRDefault="000C7A95">
          <w:pPr>
            <w:pStyle w:val="TDC2"/>
            <w:tabs>
              <w:tab w:val="right" w:leader="dot" w:pos="9111"/>
            </w:tabs>
            <w:rPr>
              <w:rFonts w:ascii="Palatino Linotype" w:hAnsi="Palatino Linotype"/>
              <w:noProof/>
            </w:rPr>
          </w:pPr>
          <w:hyperlink w:anchor="_Toc206688685" w:history="1">
            <w:r w:rsidR="00FE1919" w:rsidRPr="00FE1919">
              <w:rPr>
                <w:rStyle w:val="Hipervnculo"/>
                <w:rFonts w:ascii="Palatino Linotype" w:eastAsia="Calibri" w:hAnsi="Palatino Linotype"/>
                <w:noProof/>
              </w:rPr>
              <w:t>SEXTO. Decisión</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_Toc206688685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39</w:t>
            </w:r>
            <w:r w:rsidR="00FE1919" w:rsidRPr="00FE1919">
              <w:rPr>
                <w:rFonts w:ascii="Palatino Linotype" w:hAnsi="Palatino Linotype"/>
                <w:noProof/>
                <w:webHidden/>
              </w:rPr>
              <w:fldChar w:fldCharType="end"/>
            </w:r>
          </w:hyperlink>
        </w:p>
        <w:p w14:paraId="02F1C0A5" w14:textId="63D9A2D6" w:rsidR="00FE1919" w:rsidRPr="00FE1919" w:rsidRDefault="000C7A95">
          <w:pPr>
            <w:pStyle w:val="TDC1"/>
            <w:tabs>
              <w:tab w:val="right" w:leader="dot" w:pos="9111"/>
            </w:tabs>
            <w:rPr>
              <w:rFonts w:ascii="Palatino Linotype" w:hAnsi="Palatino Linotype"/>
              <w:noProof/>
            </w:rPr>
          </w:pPr>
          <w:hyperlink w:anchor="_Toc206688686" w:history="1">
            <w:r w:rsidR="00FE1919" w:rsidRPr="00FE1919">
              <w:rPr>
                <w:rStyle w:val="Hipervnculo"/>
                <w:rFonts w:ascii="Palatino Linotype" w:eastAsia="Calibri" w:hAnsi="Palatino Linotype"/>
                <w:noProof/>
              </w:rPr>
              <w:t>R E S U E L V E:</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_Toc206688686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40</w:t>
            </w:r>
            <w:r w:rsidR="00FE1919" w:rsidRPr="00FE1919">
              <w:rPr>
                <w:rFonts w:ascii="Palatino Linotype" w:hAnsi="Palatino Linotype"/>
                <w:noProof/>
                <w:webHidden/>
              </w:rPr>
              <w:fldChar w:fldCharType="end"/>
            </w:r>
          </w:hyperlink>
        </w:p>
        <w:p w14:paraId="0F782A0C" w14:textId="69301511" w:rsidR="00FE1919" w:rsidRPr="00FE1919" w:rsidRDefault="000C7A95">
          <w:pPr>
            <w:pStyle w:val="TDC2"/>
            <w:tabs>
              <w:tab w:val="right" w:leader="dot" w:pos="9111"/>
            </w:tabs>
            <w:rPr>
              <w:rFonts w:ascii="Palatino Linotype" w:hAnsi="Palatino Linotype"/>
              <w:noProof/>
            </w:rPr>
          </w:pPr>
          <w:hyperlink w:anchor="_Toc206688687" w:history="1">
            <w:r w:rsidR="00FE1919" w:rsidRPr="00FE1919">
              <w:rPr>
                <w:rStyle w:val="Hipervnculo"/>
                <w:rFonts w:ascii="Palatino Linotype" w:hAnsi="Palatino Linotype"/>
                <w:noProof/>
              </w:rPr>
              <w:t>PRIMERO.</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_Toc206688687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40</w:t>
            </w:r>
            <w:r w:rsidR="00FE1919" w:rsidRPr="00FE1919">
              <w:rPr>
                <w:rFonts w:ascii="Palatino Linotype" w:hAnsi="Palatino Linotype"/>
                <w:noProof/>
                <w:webHidden/>
              </w:rPr>
              <w:fldChar w:fldCharType="end"/>
            </w:r>
          </w:hyperlink>
        </w:p>
        <w:p w14:paraId="0FF1D95E" w14:textId="4BD6E000" w:rsidR="00FE1919" w:rsidRPr="00FE1919" w:rsidRDefault="000C7A95">
          <w:pPr>
            <w:pStyle w:val="TDC2"/>
            <w:tabs>
              <w:tab w:val="right" w:leader="dot" w:pos="9111"/>
            </w:tabs>
            <w:rPr>
              <w:rFonts w:ascii="Palatino Linotype" w:hAnsi="Palatino Linotype"/>
              <w:noProof/>
            </w:rPr>
          </w:pPr>
          <w:hyperlink w:anchor="_Toc206688688" w:history="1">
            <w:r w:rsidR="00FE1919" w:rsidRPr="00FE1919">
              <w:rPr>
                <w:rStyle w:val="Hipervnculo"/>
                <w:rFonts w:ascii="Palatino Linotype" w:hAnsi="Palatino Linotype"/>
                <w:noProof/>
              </w:rPr>
              <w:t>SEGUNDO.</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_Toc206688688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40</w:t>
            </w:r>
            <w:r w:rsidR="00FE1919" w:rsidRPr="00FE1919">
              <w:rPr>
                <w:rFonts w:ascii="Palatino Linotype" w:hAnsi="Palatino Linotype"/>
                <w:noProof/>
                <w:webHidden/>
              </w:rPr>
              <w:fldChar w:fldCharType="end"/>
            </w:r>
          </w:hyperlink>
        </w:p>
        <w:p w14:paraId="4C2CAECF" w14:textId="5E0D2F5E" w:rsidR="00FE1919" w:rsidRPr="00FE1919" w:rsidRDefault="000C7A95">
          <w:pPr>
            <w:pStyle w:val="TDC2"/>
            <w:tabs>
              <w:tab w:val="right" w:leader="dot" w:pos="9111"/>
            </w:tabs>
            <w:rPr>
              <w:rFonts w:ascii="Palatino Linotype" w:hAnsi="Palatino Linotype"/>
              <w:noProof/>
            </w:rPr>
          </w:pPr>
          <w:hyperlink w:anchor="_Toc206688689" w:history="1">
            <w:r w:rsidR="00FE1919" w:rsidRPr="00FE1919">
              <w:rPr>
                <w:rStyle w:val="Hipervnculo"/>
                <w:rFonts w:ascii="Palatino Linotype" w:hAnsi="Palatino Linotype"/>
                <w:noProof/>
              </w:rPr>
              <w:t>TERCERO.</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_Toc206688689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40</w:t>
            </w:r>
            <w:r w:rsidR="00FE1919" w:rsidRPr="00FE1919">
              <w:rPr>
                <w:rFonts w:ascii="Palatino Linotype" w:hAnsi="Palatino Linotype"/>
                <w:noProof/>
                <w:webHidden/>
              </w:rPr>
              <w:fldChar w:fldCharType="end"/>
            </w:r>
          </w:hyperlink>
        </w:p>
        <w:p w14:paraId="693B15DC" w14:textId="2893CDEA" w:rsidR="00FE1919" w:rsidRPr="00FE1919" w:rsidRDefault="000C7A95">
          <w:pPr>
            <w:pStyle w:val="TDC2"/>
            <w:tabs>
              <w:tab w:val="right" w:leader="dot" w:pos="9111"/>
            </w:tabs>
            <w:rPr>
              <w:rFonts w:ascii="Palatino Linotype" w:hAnsi="Palatino Linotype"/>
              <w:noProof/>
            </w:rPr>
          </w:pPr>
          <w:hyperlink w:anchor="_Toc206688690" w:history="1">
            <w:r w:rsidR="00FE1919" w:rsidRPr="00FE1919">
              <w:rPr>
                <w:rStyle w:val="Hipervnculo"/>
                <w:rFonts w:ascii="Palatino Linotype" w:hAnsi="Palatino Linotype"/>
                <w:noProof/>
              </w:rPr>
              <w:t>CUARTO.</w:t>
            </w:r>
            <w:r w:rsidR="00FE1919" w:rsidRPr="00FE1919">
              <w:rPr>
                <w:rFonts w:ascii="Palatino Linotype" w:hAnsi="Palatino Linotype"/>
                <w:noProof/>
                <w:webHidden/>
              </w:rPr>
              <w:tab/>
            </w:r>
            <w:r w:rsidR="00FE1919" w:rsidRPr="00FE1919">
              <w:rPr>
                <w:rFonts w:ascii="Palatino Linotype" w:hAnsi="Palatino Linotype"/>
                <w:noProof/>
                <w:webHidden/>
              </w:rPr>
              <w:fldChar w:fldCharType="begin"/>
            </w:r>
            <w:r w:rsidR="00FE1919" w:rsidRPr="00FE1919">
              <w:rPr>
                <w:rFonts w:ascii="Palatino Linotype" w:hAnsi="Palatino Linotype"/>
                <w:noProof/>
                <w:webHidden/>
              </w:rPr>
              <w:instrText xml:space="preserve"> PAGEREF _Toc206688690 \h </w:instrText>
            </w:r>
            <w:r w:rsidR="00FE1919" w:rsidRPr="00FE1919">
              <w:rPr>
                <w:rFonts w:ascii="Palatino Linotype" w:hAnsi="Palatino Linotype"/>
                <w:noProof/>
                <w:webHidden/>
              </w:rPr>
            </w:r>
            <w:r w:rsidR="00FE1919" w:rsidRPr="00FE1919">
              <w:rPr>
                <w:rFonts w:ascii="Palatino Linotype" w:hAnsi="Palatino Linotype"/>
                <w:noProof/>
                <w:webHidden/>
              </w:rPr>
              <w:fldChar w:fldCharType="separate"/>
            </w:r>
            <w:r w:rsidR="005D5039">
              <w:rPr>
                <w:rFonts w:ascii="Palatino Linotype" w:hAnsi="Palatino Linotype"/>
                <w:noProof/>
                <w:webHidden/>
              </w:rPr>
              <w:t>41</w:t>
            </w:r>
            <w:r w:rsidR="00FE1919" w:rsidRPr="00FE1919">
              <w:rPr>
                <w:rFonts w:ascii="Palatino Linotype" w:hAnsi="Palatino Linotype"/>
                <w:noProof/>
                <w:webHidden/>
              </w:rPr>
              <w:fldChar w:fldCharType="end"/>
            </w:r>
          </w:hyperlink>
        </w:p>
        <w:p w14:paraId="79FB7136" w14:textId="494F5636" w:rsidR="00FE1919" w:rsidRPr="00FE1919" w:rsidRDefault="00FE1919">
          <w:pPr>
            <w:rPr>
              <w:rFonts w:ascii="Palatino Linotype" w:hAnsi="Palatino Linotype"/>
            </w:rPr>
          </w:pPr>
          <w:r w:rsidRPr="00FE1919">
            <w:rPr>
              <w:rFonts w:ascii="Palatino Linotype" w:hAnsi="Palatino Linotype"/>
              <w:b/>
              <w:bCs/>
              <w:lang w:val="es-ES"/>
            </w:rPr>
            <w:fldChar w:fldCharType="end"/>
          </w:r>
        </w:p>
      </w:sdtContent>
    </w:sdt>
    <w:p w14:paraId="361AC84B" w14:textId="47826AD8" w:rsidR="00EC67E4" w:rsidRDefault="00FE1919" w:rsidP="00E12E55">
      <w:pPr>
        <w:spacing w:after="0" w:line="360" w:lineRule="auto"/>
        <w:rPr>
          <w:rFonts w:ascii="Palatino Linotype" w:eastAsia="Calibri" w:hAnsi="Palatino Linotype" w:cs="Tahoma"/>
          <w:bCs/>
          <w:color w:val="000000"/>
        </w:rPr>
      </w:pPr>
      <w:r>
        <w:rPr>
          <w:rFonts w:ascii="Palatino Linotype" w:eastAsia="Calibri" w:hAnsi="Palatino Linotype" w:cs="Tahoma"/>
          <w:bCs/>
          <w:color w:val="000000"/>
        </w:rPr>
        <w:br w:type="column"/>
      </w:r>
    </w:p>
    <w:p w14:paraId="3C82A2D6" w14:textId="10014F55" w:rsidR="00B811B2" w:rsidRPr="00963BA1" w:rsidRDefault="00B811B2" w:rsidP="00E12E55">
      <w:pPr>
        <w:spacing w:after="0" w:line="360" w:lineRule="auto"/>
        <w:rPr>
          <w:rFonts w:ascii="Palatino Linotype" w:eastAsia="Times New Roman" w:hAnsi="Palatino Linotype" w:cs="Tahoma"/>
          <w:bCs/>
          <w:lang w:eastAsia="es-ES"/>
        </w:rPr>
      </w:pPr>
      <w:r w:rsidRPr="00963BA1">
        <w:rPr>
          <w:rFonts w:ascii="Palatino Linotype" w:eastAsia="Calibri" w:hAnsi="Palatino Linotype" w:cs="Tahoma"/>
          <w:bCs/>
          <w:color w:val="000000"/>
        </w:rPr>
        <w:t xml:space="preserve">Resolución del Pleno del Instituto de Transparencia, Acceso a la Información Pública y </w:t>
      </w:r>
      <w:r w:rsidRPr="00963BA1">
        <w:rPr>
          <w:rFonts w:ascii="Palatino Linotype" w:eastAsia="Times New Roman" w:hAnsi="Palatino Linotype" w:cs="Tahoma"/>
          <w:bCs/>
          <w:lang w:eastAsia="es-ES"/>
        </w:rPr>
        <w:t xml:space="preserve">Protección de Datos Personales del Estado de México y Municipios, con domicilio en Metepec, Estado de México, de fecha </w:t>
      </w:r>
      <w:r w:rsidR="005E3B41">
        <w:rPr>
          <w:rFonts w:ascii="Palatino Linotype" w:eastAsia="Times New Roman" w:hAnsi="Palatino Linotype" w:cs="Tahoma"/>
          <w:bCs/>
          <w:lang w:eastAsia="es-ES"/>
        </w:rPr>
        <w:t>veinte de agosto de dos mil veinticinco</w:t>
      </w:r>
      <w:r w:rsidRPr="00963BA1">
        <w:rPr>
          <w:rFonts w:ascii="Palatino Linotype" w:eastAsia="Times New Roman" w:hAnsi="Palatino Linotype" w:cs="Tahoma"/>
          <w:bCs/>
          <w:lang w:eastAsia="es-ES"/>
        </w:rPr>
        <w:t xml:space="preserve">. </w:t>
      </w:r>
    </w:p>
    <w:p w14:paraId="7AADD16B" w14:textId="77777777" w:rsidR="00B811B2" w:rsidRPr="00963BA1" w:rsidRDefault="00B811B2" w:rsidP="00E12E55">
      <w:pPr>
        <w:spacing w:after="0" w:line="360" w:lineRule="auto"/>
        <w:rPr>
          <w:rFonts w:ascii="Palatino Linotype" w:eastAsia="Times New Roman" w:hAnsi="Palatino Linotype" w:cs="Tahoma"/>
          <w:b/>
          <w:bCs/>
          <w:lang w:eastAsia="es-ES"/>
        </w:rPr>
      </w:pPr>
    </w:p>
    <w:p w14:paraId="7947E25D" w14:textId="14B60739" w:rsidR="00B811B2" w:rsidRPr="00963BA1" w:rsidRDefault="00B811B2" w:rsidP="00E12E55">
      <w:pPr>
        <w:spacing w:after="0" w:line="360" w:lineRule="auto"/>
        <w:rPr>
          <w:rFonts w:ascii="Palatino Linotype" w:eastAsia="Calibri" w:hAnsi="Palatino Linotype" w:cs="Tahoma"/>
          <w:color w:val="0D0D0D"/>
        </w:rPr>
      </w:pPr>
      <w:r w:rsidRPr="00963BA1">
        <w:rPr>
          <w:rFonts w:ascii="Palatino Linotype" w:eastAsia="Times New Roman" w:hAnsi="Palatino Linotype" w:cs="Tahoma"/>
          <w:b/>
          <w:bCs/>
          <w:lang w:eastAsia="es-ES"/>
        </w:rPr>
        <w:t>VISTO</w:t>
      </w:r>
      <w:r w:rsidRPr="00963BA1">
        <w:rPr>
          <w:rFonts w:ascii="Palatino Linotype" w:eastAsia="Calibri" w:hAnsi="Palatino Linotype" w:cs="Tahoma"/>
          <w:bCs/>
          <w:color w:val="0D0D0D"/>
        </w:rPr>
        <w:t xml:space="preserve"> el expediente conformado con motivo del Recurso de Revisión </w:t>
      </w:r>
      <w:r w:rsidR="005E3B41" w:rsidRPr="00BD1081">
        <w:rPr>
          <w:rFonts w:ascii="Palatino Linotype" w:eastAsia="Calibri" w:hAnsi="Palatino Linotype" w:cs="Tahoma"/>
          <w:b/>
          <w:color w:val="000000"/>
        </w:rPr>
        <w:t>08426/INFOEM/IP/RR/2025</w:t>
      </w:r>
      <w:r w:rsidRPr="00963BA1">
        <w:rPr>
          <w:rFonts w:ascii="Palatino Linotype" w:eastAsia="Calibri" w:hAnsi="Palatino Linotype" w:cs="Tahoma"/>
          <w:color w:val="000000"/>
        </w:rPr>
        <w:t>, interpuesto</w:t>
      </w:r>
      <w:r w:rsidR="005E3B41">
        <w:rPr>
          <w:rFonts w:ascii="Palatino Linotype" w:eastAsia="Calibri" w:hAnsi="Palatino Linotype" w:cs="Tahoma"/>
          <w:color w:val="000000"/>
        </w:rPr>
        <w:t xml:space="preserve"> por la persona</w:t>
      </w:r>
      <w:r w:rsidR="00B57D1E">
        <w:rPr>
          <w:rFonts w:ascii="Palatino Linotype" w:eastAsia="Calibri" w:hAnsi="Palatino Linotype" w:cs="Tahoma"/>
        </w:rPr>
        <w:t xml:space="preserve"> </w:t>
      </w:r>
      <w:r w:rsidRPr="00963BA1">
        <w:rPr>
          <w:rFonts w:ascii="Palatino Linotype" w:eastAsia="Calibri" w:hAnsi="Palatino Linotype" w:cs="Tahoma"/>
          <w:color w:val="0D0D0D"/>
        </w:rPr>
        <w:t xml:space="preserve">Recurrente o Particular, en contra de la respuesta del </w:t>
      </w:r>
      <w:r w:rsidRPr="00963BA1">
        <w:rPr>
          <w:rFonts w:ascii="Palatino Linotype" w:eastAsia="Calibri" w:hAnsi="Palatino Linotype" w:cs="Tahoma"/>
          <w:color w:val="000000"/>
        </w:rPr>
        <w:t xml:space="preserve">Sujeto Obligado, el </w:t>
      </w:r>
      <w:r w:rsidRPr="00BD1081">
        <w:rPr>
          <w:rFonts w:ascii="Palatino Linotype" w:eastAsia="Calibri" w:hAnsi="Palatino Linotype" w:cs="Tahoma"/>
          <w:b/>
          <w:color w:val="000000"/>
        </w:rPr>
        <w:t xml:space="preserve">Ayuntamiento </w:t>
      </w:r>
      <w:r w:rsidR="005E3B41" w:rsidRPr="00BD1081">
        <w:rPr>
          <w:rFonts w:ascii="Palatino Linotype" w:eastAsia="Calibri" w:hAnsi="Palatino Linotype" w:cs="Tahoma"/>
          <w:b/>
          <w:color w:val="000000"/>
        </w:rPr>
        <w:t>de Toluca</w:t>
      </w:r>
      <w:r w:rsidRPr="00963BA1">
        <w:rPr>
          <w:rFonts w:ascii="Palatino Linotype" w:eastAsia="Calibri" w:hAnsi="Palatino Linotype" w:cs="Tahoma"/>
          <w:color w:val="000000"/>
        </w:rPr>
        <w:t>, a la solicitud de acceso a la información</w:t>
      </w:r>
      <w:r w:rsidR="00712A38">
        <w:rPr>
          <w:rFonts w:ascii="Palatino Linotype" w:eastAsia="Calibri" w:hAnsi="Palatino Linotype" w:cs="Tahoma"/>
          <w:color w:val="000000"/>
        </w:rPr>
        <w:t xml:space="preserve"> </w:t>
      </w:r>
      <w:r w:rsidR="005E3B41">
        <w:rPr>
          <w:rFonts w:ascii="Palatino Linotype" w:eastAsia="Calibri" w:hAnsi="Palatino Linotype" w:cs="Tahoma"/>
          <w:color w:val="000000"/>
        </w:rPr>
        <w:t>03132/TOLUCA/IP/2025</w:t>
      </w:r>
      <w:r w:rsidRPr="00963BA1">
        <w:rPr>
          <w:rFonts w:ascii="Palatino Linotype" w:eastAsia="Calibri" w:hAnsi="Palatino Linotype" w:cs="Tahoma"/>
          <w:color w:val="000000"/>
        </w:rPr>
        <w:t>, se emite la presente Resolución, con base en los Antecedentes y Considerandos que se exponen a continuación:</w:t>
      </w:r>
    </w:p>
    <w:p w14:paraId="55C40A96" w14:textId="77777777" w:rsidR="00B811B2" w:rsidRPr="00963BA1" w:rsidRDefault="00B811B2" w:rsidP="00E12E55">
      <w:pPr>
        <w:spacing w:after="0" w:line="360" w:lineRule="auto"/>
        <w:rPr>
          <w:rFonts w:ascii="Palatino Linotype" w:eastAsia="Calibri" w:hAnsi="Palatino Linotype" w:cs="Tahoma"/>
          <w:color w:val="000000"/>
        </w:rPr>
      </w:pPr>
    </w:p>
    <w:p w14:paraId="5CD6FF9F" w14:textId="77777777" w:rsidR="00B811B2" w:rsidRPr="00963BA1" w:rsidRDefault="00B811B2" w:rsidP="00FE1919">
      <w:pPr>
        <w:pStyle w:val="Ttulo1"/>
        <w:rPr>
          <w:rFonts w:eastAsia="Calibri"/>
        </w:rPr>
      </w:pPr>
      <w:bookmarkStart w:id="0" w:name="_Toc206688674"/>
      <w:r w:rsidRPr="00963BA1">
        <w:rPr>
          <w:rFonts w:eastAsia="Calibri"/>
        </w:rPr>
        <w:t>A N T E C E D E N T E S:</w:t>
      </w:r>
      <w:bookmarkEnd w:id="0"/>
    </w:p>
    <w:p w14:paraId="3F195C84" w14:textId="77777777" w:rsidR="00B811B2" w:rsidRPr="00963BA1" w:rsidRDefault="00B811B2" w:rsidP="00E12E55">
      <w:pPr>
        <w:spacing w:after="0" w:line="360" w:lineRule="auto"/>
        <w:rPr>
          <w:rFonts w:ascii="Palatino Linotype" w:eastAsia="Calibri" w:hAnsi="Palatino Linotype" w:cs="Times New Roman"/>
          <w:color w:val="000000"/>
        </w:rPr>
      </w:pPr>
    </w:p>
    <w:p w14:paraId="4AFF010E" w14:textId="77777777" w:rsidR="00B811B2" w:rsidRPr="00963BA1" w:rsidRDefault="00B811B2" w:rsidP="00FE1919">
      <w:pPr>
        <w:pStyle w:val="Ttulo2"/>
        <w:rPr>
          <w:rFonts w:eastAsia="Times New Roman"/>
          <w:lang w:eastAsia="es-ES"/>
        </w:rPr>
      </w:pPr>
      <w:bookmarkStart w:id="1" w:name="_Toc206688675"/>
      <w:r w:rsidRPr="00963BA1">
        <w:rPr>
          <w:rFonts w:eastAsia="Times New Roman"/>
          <w:lang w:eastAsia="es-ES"/>
        </w:rPr>
        <w:t>I. Presentación</w:t>
      </w:r>
      <w:r w:rsidR="003625C9" w:rsidRPr="00963BA1">
        <w:rPr>
          <w:rFonts w:eastAsia="Times New Roman"/>
          <w:lang w:eastAsia="es-ES"/>
        </w:rPr>
        <w:t xml:space="preserve"> de la solicitud de información</w:t>
      </w:r>
      <w:bookmarkEnd w:id="1"/>
    </w:p>
    <w:p w14:paraId="33D84C68" w14:textId="77777777" w:rsidR="00B811B2" w:rsidRPr="00963BA1" w:rsidRDefault="00B811B2" w:rsidP="00E12E55">
      <w:pPr>
        <w:tabs>
          <w:tab w:val="left" w:pos="567"/>
        </w:tabs>
        <w:spacing w:after="0" w:line="360" w:lineRule="auto"/>
        <w:rPr>
          <w:rFonts w:ascii="Palatino Linotype" w:eastAsia="Times New Roman" w:hAnsi="Palatino Linotype" w:cs="Tahoma"/>
          <w:lang w:eastAsia="es-ES"/>
        </w:rPr>
      </w:pPr>
    </w:p>
    <w:p w14:paraId="0BF7EEDA" w14:textId="0B75A344" w:rsidR="00B811B2" w:rsidRPr="00963BA1" w:rsidRDefault="00712A38" w:rsidP="00E12E55">
      <w:pPr>
        <w:spacing w:after="0" w:line="360" w:lineRule="auto"/>
        <w:rPr>
          <w:rFonts w:ascii="Palatino Linotype" w:eastAsia="Times New Roman" w:hAnsi="Palatino Linotype" w:cs="Tahoma"/>
          <w:lang w:eastAsia="es-ES"/>
        </w:rPr>
      </w:pPr>
      <w:r>
        <w:rPr>
          <w:rFonts w:ascii="Palatino Linotype" w:eastAsia="Times New Roman" w:hAnsi="Palatino Linotype" w:cs="Tahoma"/>
          <w:lang w:eastAsia="es-ES"/>
        </w:rPr>
        <w:t xml:space="preserve">Con fecha </w:t>
      </w:r>
      <w:r w:rsidR="005E3B41">
        <w:rPr>
          <w:rFonts w:ascii="Palatino Linotype" w:eastAsia="Times New Roman" w:hAnsi="Palatino Linotype" w:cs="Tahoma"/>
          <w:lang w:eastAsia="es-ES"/>
        </w:rPr>
        <w:t>veintinueve de mayo de dos mil veinticinco</w:t>
      </w:r>
      <w:r w:rsidR="004A2746">
        <w:rPr>
          <w:rFonts w:ascii="Palatino Linotype" w:eastAsia="Times New Roman" w:hAnsi="Palatino Linotype" w:cs="Tahoma"/>
          <w:lang w:eastAsia="es-ES"/>
        </w:rPr>
        <w:t>,</w:t>
      </w:r>
      <w:r w:rsidR="00B811B2" w:rsidRPr="00963BA1">
        <w:rPr>
          <w:rFonts w:ascii="Palatino Linotype" w:eastAsia="Times New Roman" w:hAnsi="Palatino Linotype" w:cs="Tahoma"/>
          <w:lang w:eastAsia="es-ES"/>
        </w:rPr>
        <w:t xml:space="preserve"> </w:t>
      </w:r>
      <w:r w:rsidR="005E3B41">
        <w:rPr>
          <w:rFonts w:ascii="Palatino Linotype" w:eastAsia="Times New Roman" w:hAnsi="Palatino Linotype" w:cs="Tahoma"/>
          <w:lang w:eastAsia="es-ES"/>
        </w:rPr>
        <w:t>la persona Recurrente</w:t>
      </w:r>
      <w:r w:rsidR="00B811B2" w:rsidRPr="00963BA1">
        <w:rPr>
          <w:rFonts w:ascii="Palatino Linotype" w:eastAsia="Times New Roman" w:hAnsi="Palatino Linotype" w:cs="Tahoma"/>
          <w:lang w:eastAsia="es-ES"/>
        </w:rPr>
        <w:t xml:space="preserve"> presentó una solicitud de acceso a la información pública, a través del Sistema de Acceso a la Información Mexiquense (SAIMEX), ante el </w:t>
      </w:r>
      <w:r w:rsidR="00B811B2" w:rsidRPr="00963BA1">
        <w:rPr>
          <w:rFonts w:ascii="Palatino Linotype" w:eastAsia="Calibri" w:hAnsi="Palatino Linotype" w:cs="Tahoma"/>
          <w:color w:val="000000"/>
        </w:rPr>
        <w:t xml:space="preserve">Ayuntamiento </w:t>
      </w:r>
      <w:r w:rsidR="005E3B41">
        <w:rPr>
          <w:rFonts w:ascii="Palatino Linotype" w:eastAsia="Calibri" w:hAnsi="Palatino Linotype" w:cs="Tahoma"/>
          <w:color w:val="000000"/>
        </w:rPr>
        <w:t>de Toluca</w:t>
      </w:r>
      <w:r w:rsidR="00B811B2" w:rsidRPr="00963BA1">
        <w:rPr>
          <w:rFonts w:ascii="Palatino Linotype" w:eastAsia="Calibri" w:hAnsi="Palatino Linotype" w:cs="Tahoma"/>
          <w:color w:val="000000"/>
        </w:rPr>
        <w:t xml:space="preserve">, en los siguientes términos: </w:t>
      </w:r>
    </w:p>
    <w:p w14:paraId="4192D618" w14:textId="77777777" w:rsidR="00B811B2" w:rsidRPr="00963BA1" w:rsidRDefault="00B811B2" w:rsidP="00E12E55">
      <w:pPr>
        <w:spacing w:after="0" w:line="360" w:lineRule="auto"/>
        <w:rPr>
          <w:rFonts w:ascii="Palatino Linotype" w:eastAsia="Calibri" w:hAnsi="Palatino Linotype" w:cs="Tahoma"/>
          <w:color w:val="000000"/>
        </w:rPr>
      </w:pPr>
    </w:p>
    <w:p w14:paraId="392C39B3" w14:textId="77777777" w:rsidR="00B811B2" w:rsidRPr="00963BA1" w:rsidRDefault="00B811B2" w:rsidP="00E12E55">
      <w:pPr>
        <w:tabs>
          <w:tab w:val="left" w:pos="4667"/>
        </w:tabs>
        <w:spacing w:after="0" w:line="360" w:lineRule="auto"/>
        <w:ind w:left="567" w:right="567"/>
        <w:rPr>
          <w:rFonts w:ascii="Palatino Linotype" w:eastAsia="Times New Roman" w:hAnsi="Palatino Linotype" w:cs="Tahoma"/>
          <w:b/>
          <w:i/>
          <w:iCs/>
          <w:sz w:val="20"/>
          <w:szCs w:val="20"/>
          <w:lang w:eastAsia="es-ES"/>
        </w:rPr>
      </w:pPr>
      <w:r w:rsidRPr="00963BA1">
        <w:rPr>
          <w:rFonts w:ascii="Palatino Linotype" w:eastAsia="Times New Roman" w:hAnsi="Palatino Linotype" w:cs="Tahoma"/>
          <w:b/>
          <w:i/>
          <w:iCs/>
          <w:sz w:val="20"/>
          <w:szCs w:val="20"/>
          <w:lang w:eastAsia="es-ES"/>
        </w:rPr>
        <w:t>“DESCRIPCIÓN CLARA Y PRECISA DE LA INFORMACIÓN SOLICITADA.</w:t>
      </w:r>
    </w:p>
    <w:p w14:paraId="70AE5FD7" w14:textId="3B999E81" w:rsidR="00B811B2" w:rsidRPr="00712A38" w:rsidRDefault="005E3B41" w:rsidP="00712A38">
      <w:pPr>
        <w:spacing w:after="0" w:line="360" w:lineRule="auto"/>
        <w:ind w:left="567" w:right="567"/>
        <w:rPr>
          <w:rFonts w:ascii="Palatino Linotype" w:eastAsia="Times New Roman" w:hAnsi="Palatino Linotype" w:cs="Arial"/>
          <w:bCs/>
          <w:i/>
          <w:iCs/>
          <w:sz w:val="20"/>
          <w:lang w:eastAsia="es-ES"/>
        </w:rPr>
      </w:pPr>
      <w:r w:rsidRPr="005E3B41">
        <w:rPr>
          <w:rFonts w:ascii="Palatino Linotype" w:eastAsia="Times New Roman" w:hAnsi="Palatino Linotype" w:cs="Arial"/>
          <w:bCs/>
          <w:i/>
          <w:iCs/>
          <w:sz w:val="20"/>
          <w:lang w:eastAsia="es-ES"/>
        </w:rPr>
        <w:t xml:space="preserve">Se solicita todas las licencias de </w:t>
      </w:r>
      <w:proofErr w:type="spellStart"/>
      <w:r w:rsidRPr="005E3B41">
        <w:rPr>
          <w:rFonts w:ascii="Palatino Linotype" w:eastAsia="Times New Roman" w:hAnsi="Palatino Linotype" w:cs="Arial"/>
          <w:bCs/>
          <w:i/>
          <w:iCs/>
          <w:sz w:val="20"/>
          <w:lang w:eastAsia="es-ES"/>
        </w:rPr>
        <w:t>duncionamiento</w:t>
      </w:r>
      <w:proofErr w:type="spellEnd"/>
      <w:r w:rsidRPr="005E3B41">
        <w:rPr>
          <w:rFonts w:ascii="Palatino Linotype" w:eastAsia="Times New Roman" w:hAnsi="Palatino Linotype" w:cs="Arial"/>
          <w:bCs/>
          <w:i/>
          <w:iCs/>
          <w:sz w:val="20"/>
          <w:lang w:eastAsia="es-ES"/>
        </w:rPr>
        <w:t xml:space="preserve"> </w:t>
      </w:r>
      <w:proofErr w:type="spellStart"/>
      <w:r w:rsidRPr="005E3B41">
        <w:rPr>
          <w:rFonts w:ascii="Palatino Linotype" w:eastAsia="Times New Roman" w:hAnsi="Palatino Linotype" w:cs="Arial"/>
          <w:bCs/>
          <w:i/>
          <w:iCs/>
          <w:sz w:val="20"/>
          <w:lang w:eastAsia="es-ES"/>
        </w:rPr>
        <w:t>otrogadas</w:t>
      </w:r>
      <w:proofErr w:type="spellEnd"/>
      <w:r w:rsidRPr="005E3B41">
        <w:rPr>
          <w:rFonts w:ascii="Palatino Linotype" w:eastAsia="Times New Roman" w:hAnsi="Palatino Linotype" w:cs="Arial"/>
          <w:bCs/>
          <w:i/>
          <w:iCs/>
          <w:sz w:val="20"/>
          <w:lang w:eastAsia="es-ES"/>
        </w:rPr>
        <w:t xml:space="preserve"> en los </w:t>
      </w:r>
      <w:proofErr w:type="spellStart"/>
      <w:r w:rsidRPr="005E3B41">
        <w:rPr>
          <w:rFonts w:ascii="Palatino Linotype" w:eastAsia="Times New Roman" w:hAnsi="Palatino Linotype" w:cs="Arial"/>
          <w:bCs/>
          <w:i/>
          <w:iCs/>
          <w:sz w:val="20"/>
          <w:lang w:eastAsia="es-ES"/>
        </w:rPr>
        <w:t>ultimos</w:t>
      </w:r>
      <w:proofErr w:type="spellEnd"/>
      <w:r w:rsidRPr="005E3B41">
        <w:rPr>
          <w:rFonts w:ascii="Palatino Linotype" w:eastAsia="Times New Roman" w:hAnsi="Palatino Linotype" w:cs="Arial"/>
          <w:bCs/>
          <w:i/>
          <w:iCs/>
          <w:sz w:val="20"/>
          <w:lang w:eastAsia="es-ES"/>
        </w:rPr>
        <w:t xml:space="preserve"> 4 años y el año 2025 el monto recaudado por ello</w:t>
      </w:r>
      <w:r w:rsidR="00B811B2" w:rsidRPr="00712A38">
        <w:rPr>
          <w:rFonts w:ascii="Palatino Linotype" w:eastAsia="Times New Roman" w:hAnsi="Palatino Linotype" w:cs="Arial"/>
          <w:bCs/>
          <w:i/>
          <w:iCs/>
          <w:sz w:val="20"/>
          <w:lang w:eastAsia="es-ES"/>
        </w:rPr>
        <w:t>” (Sic)</w:t>
      </w:r>
      <w:r w:rsidR="00950075">
        <w:rPr>
          <w:rFonts w:ascii="Palatino Linotype" w:eastAsia="Times New Roman" w:hAnsi="Palatino Linotype" w:cs="Arial"/>
          <w:bCs/>
          <w:i/>
          <w:iCs/>
          <w:sz w:val="20"/>
          <w:lang w:eastAsia="es-ES"/>
        </w:rPr>
        <w:t>.</w:t>
      </w:r>
      <w:r w:rsidR="00B811B2" w:rsidRPr="00712A38">
        <w:rPr>
          <w:rFonts w:ascii="Palatino Linotype" w:eastAsia="Times New Roman" w:hAnsi="Palatino Linotype" w:cs="Arial"/>
          <w:bCs/>
          <w:i/>
          <w:iCs/>
          <w:sz w:val="20"/>
          <w:lang w:eastAsia="es-ES"/>
        </w:rPr>
        <w:t xml:space="preserve"> </w:t>
      </w:r>
    </w:p>
    <w:p w14:paraId="6C9FB6CF" w14:textId="77777777" w:rsidR="00B811B2" w:rsidRPr="00963BA1" w:rsidRDefault="00B811B2" w:rsidP="00E12E55">
      <w:pPr>
        <w:tabs>
          <w:tab w:val="left" w:pos="4667"/>
        </w:tabs>
        <w:spacing w:after="0" w:line="360" w:lineRule="auto"/>
        <w:ind w:left="567" w:right="567"/>
        <w:rPr>
          <w:rFonts w:ascii="Palatino Linotype" w:eastAsia="Times New Roman" w:hAnsi="Palatino Linotype" w:cs="Tahoma"/>
          <w:b/>
          <w:bCs/>
          <w:i/>
          <w:iCs/>
          <w:sz w:val="20"/>
          <w:lang w:eastAsia="es-ES"/>
        </w:rPr>
      </w:pPr>
    </w:p>
    <w:p w14:paraId="46351F35" w14:textId="77777777" w:rsidR="00B811B2" w:rsidRPr="00963BA1" w:rsidRDefault="00B811B2" w:rsidP="00E12E55">
      <w:pPr>
        <w:tabs>
          <w:tab w:val="left" w:pos="4667"/>
        </w:tabs>
        <w:spacing w:after="0" w:line="360" w:lineRule="auto"/>
        <w:ind w:left="567" w:right="567"/>
        <w:rPr>
          <w:rFonts w:ascii="Palatino Linotype" w:eastAsia="Times New Roman" w:hAnsi="Palatino Linotype" w:cs="Tahoma"/>
          <w:b/>
          <w:bCs/>
          <w:i/>
          <w:iCs/>
          <w:sz w:val="20"/>
          <w:lang w:eastAsia="es-ES"/>
        </w:rPr>
      </w:pPr>
      <w:r w:rsidRPr="00963BA1">
        <w:rPr>
          <w:rFonts w:ascii="Palatino Linotype" w:eastAsia="Times New Roman" w:hAnsi="Palatino Linotype" w:cs="Tahoma"/>
          <w:b/>
          <w:bCs/>
          <w:i/>
          <w:iCs/>
          <w:sz w:val="20"/>
          <w:lang w:eastAsia="es-ES"/>
        </w:rPr>
        <w:t>“MODALIDAD DE ENTREGA</w:t>
      </w:r>
    </w:p>
    <w:p w14:paraId="7EFAFF67" w14:textId="77777777" w:rsidR="00B811B2" w:rsidRPr="00963BA1" w:rsidRDefault="00B811B2" w:rsidP="00E12E55">
      <w:pPr>
        <w:spacing w:after="0" w:line="360" w:lineRule="auto"/>
        <w:ind w:left="567" w:right="567"/>
        <w:rPr>
          <w:rFonts w:ascii="Palatino Linotype" w:eastAsia="Times New Roman" w:hAnsi="Palatino Linotype" w:cs="Arial"/>
          <w:bCs/>
          <w:i/>
          <w:iCs/>
          <w:sz w:val="20"/>
          <w:lang w:eastAsia="es-ES"/>
        </w:rPr>
      </w:pPr>
      <w:r w:rsidRPr="00963BA1">
        <w:rPr>
          <w:rFonts w:ascii="Palatino Linotype" w:eastAsia="Times New Roman" w:hAnsi="Palatino Linotype" w:cs="Arial"/>
          <w:bCs/>
          <w:i/>
          <w:iCs/>
          <w:sz w:val="20"/>
          <w:lang w:eastAsia="es-ES"/>
        </w:rPr>
        <w:t>A través del SAIMEX”</w:t>
      </w:r>
    </w:p>
    <w:p w14:paraId="7E2519BC" w14:textId="77777777" w:rsidR="00B811B2" w:rsidRDefault="00B811B2" w:rsidP="00E12E55">
      <w:pPr>
        <w:autoSpaceDE w:val="0"/>
        <w:autoSpaceDN w:val="0"/>
        <w:adjustRightInd w:val="0"/>
        <w:spacing w:after="0" w:line="360" w:lineRule="auto"/>
        <w:rPr>
          <w:rFonts w:ascii="Palatino Linotype" w:eastAsia="Calibri" w:hAnsi="Palatino Linotype" w:cs="Times New Roman"/>
          <w:b/>
          <w:bCs/>
          <w:color w:val="000000"/>
        </w:rPr>
      </w:pPr>
    </w:p>
    <w:p w14:paraId="7059434B" w14:textId="77777777" w:rsidR="00B811B2" w:rsidRPr="00963BA1" w:rsidRDefault="003C022F" w:rsidP="00FE1919">
      <w:pPr>
        <w:pStyle w:val="Ttulo2"/>
        <w:rPr>
          <w:rFonts w:eastAsia="Calibri"/>
        </w:rPr>
      </w:pPr>
      <w:bookmarkStart w:id="2" w:name="_Toc206688676"/>
      <w:r w:rsidRPr="003C022F">
        <w:rPr>
          <w:rFonts w:eastAsia="Calibri"/>
        </w:rPr>
        <w:t xml:space="preserve">II. </w:t>
      </w:r>
      <w:r w:rsidR="003625C9" w:rsidRPr="00963BA1">
        <w:rPr>
          <w:rFonts w:eastAsia="Calibri"/>
        </w:rPr>
        <w:t>Respuesta del Sujeto Obligado</w:t>
      </w:r>
      <w:bookmarkEnd w:id="2"/>
      <w:r w:rsidR="00B811B2" w:rsidRPr="00963BA1">
        <w:rPr>
          <w:rFonts w:eastAsia="Calibri"/>
        </w:rPr>
        <w:t xml:space="preserve"> </w:t>
      </w:r>
    </w:p>
    <w:p w14:paraId="2B779A25" w14:textId="77777777" w:rsidR="00B811B2" w:rsidRPr="00963BA1" w:rsidRDefault="00B811B2" w:rsidP="00E12E55">
      <w:pPr>
        <w:spacing w:after="0" w:line="360" w:lineRule="auto"/>
        <w:rPr>
          <w:rFonts w:ascii="Palatino Linotype" w:eastAsia="Calibri" w:hAnsi="Palatino Linotype" w:cs="Times New Roman"/>
          <w:color w:val="000000"/>
        </w:rPr>
      </w:pPr>
    </w:p>
    <w:p w14:paraId="266147B2" w14:textId="0784347E" w:rsidR="00A153C2" w:rsidRDefault="00B811B2" w:rsidP="00712A38">
      <w:pPr>
        <w:spacing w:after="0" w:line="360" w:lineRule="auto"/>
        <w:rPr>
          <w:rFonts w:ascii="Palatino Linotype" w:eastAsia="Calibri" w:hAnsi="Palatino Linotype" w:cs="Times New Roman"/>
          <w:color w:val="000000"/>
        </w:rPr>
      </w:pPr>
      <w:r w:rsidRPr="00963BA1">
        <w:rPr>
          <w:rFonts w:ascii="Palatino Linotype" w:eastAsia="Calibri" w:hAnsi="Palatino Linotype" w:cs="Times New Roman"/>
          <w:color w:val="000000"/>
        </w:rPr>
        <w:lastRenderedPageBreak/>
        <w:t>Con fecha</w:t>
      </w:r>
      <w:r w:rsidR="005E3B41">
        <w:rPr>
          <w:rFonts w:ascii="Palatino Linotype" w:eastAsia="Calibri" w:hAnsi="Palatino Linotype" w:cs="Times New Roman"/>
          <w:color w:val="000000"/>
        </w:rPr>
        <w:t xml:space="preserve"> diecinueve de junio de dos mil veinticinco</w:t>
      </w:r>
      <w:r w:rsidRPr="00963BA1">
        <w:rPr>
          <w:rFonts w:ascii="Palatino Linotype" w:eastAsia="Calibri" w:hAnsi="Palatino Linotype" w:cs="Times New Roman"/>
          <w:color w:val="000000"/>
        </w:rPr>
        <w:t xml:space="preserve">, el Sujeto Obligado notificó, a través del Sistema de Acceso a la Información Mexiquense (SAIMEX), </w:t>
      </w:r>
      <w:r w:rsidR="005E3B41">
        <w:rPr>
          <w:rFonts w:ascii="Palatino Linotype" w:eastAsia="Calibri" w:hAnsi="Palatino Linotype" w:cs="Times New Roman"/>
          <w:color w:val="000000"/>
        </w:rPr>
        <w:t xml:space="preserve">notificó </w:t>
      </w:r>
      <w:r w:rsidRPr="00963BA1">
        <w:rPr>
          <w:rFonts w:ascii="Palatino Linotype" w:eastAsia="Calibri" w:hAnsi="Palatino Linotype" w:cs="Times New Roman"/>
          <w:color w:val="000000"/>
        </w:rPr>
        <w:t xml:space="preserve">la respuesta a la solicitud de acceso a la información pública, </w:t>
      </w:r>
      <w:r w:rsidR="002266E7" w:rsidRPr="00963BA1">
        <w:rPr>
          <w:rFonts w:ascii="Palatino Linotype" w:eastAsia="Calibri" w:hAnsi="Palatino Linotype" w:cs="Times New Roman"/>
          <w:color w:val="000000"/>
        </w:rPr>
        <w:t xml:space="preserve">por medio </w:t>
      </w:r>
      <w:r w:rsidR="00712A38">
        <w:rPr>
          <w:rFonts w:ascii="Palatino Linotype" w:eastAsia="Calibri" w:hAnsi="Palatino Linotype" w:cs="Times New Roman"/>
          <w:color w:val="000000"/>
        </w:rPr>
        <w:t xml:space="preserve">del oficio número </w:t>
      </w:r>
      <w:r w:rsidR="005E3B41" w:rsidRPr="005E3B41">
        <w:rPr>
          <w:rFonts w:ascii="Palatino Linotype" w:eastAsia="Calibri" w:hAnsi="Palatino Linotype" w:cs="Times New Roman"/>
          <w:color w:val="000000"/>
        </w:rPr>
        <w:t>210010000/01033/2025</w:t>
      </w:r>
      <w:r w:rsidR="00712A38">
        <w:rPr>
          <w:rFonts w:ascii="Palatino Linotype" w:eastAsia="Calibri" w:hAnsi="Palatino Linotype" w:cs="Times New Roman"/>
          <w:color w:val="000000"/>
        </w:rPr>
        <w:t xml:space="preserve">, </w:t>
      </w:r>
      <w:r w:rsidR="00B57D1E">
        <w:rPr>
          <w:rFonts w:ascii="Palatino Linotype" w:eastAsia="Calibri" w:hAnsi="Palatino Linotype" w:cs="Times New Roman"/>
          <w:color w:val="000000"/>
        </w:rPr>
        <w:t xml:space="preserve">del </w:t>
      </w:r>
      <w:r w:rsidR="005E3B41">
        <w:rPr>
          <w:rFonts w:ascii="Palatino Linotype" w:eastAsia="Calibri" w:hAnsi="Palatino Linotype" w:cs="Times New Roman"/>
          <w:color w:val="000000"/>
        </w:rPr>
        <w:t>de la misma fecha de recepción</w:t>
      </w:r>
      <w:r w:rsidR="00712A38">
        <w:rPr>
          <w:rFonts w:ascii="Palatino Linotype" w:eastAsia="Calibri" w:hAnsi="Palatino Linotype" w:cs="Times New Roman"/>
          <w:color w:val="000000"/>
        </w:rPr>
        <w:t xml:space="preserve">, suscrito por </w:t>
      </w:r>
      <w:r w:rsidR="005E3B41">
        <w:rPr>
          <w:rFonts w:ascii="Palatino Linotype" w:eastAsia="Calibri" w:hAnsi="Palatino Linotype" w:cs="Times New Roman"/>
          <w:color w:val="000000"/>
        </w:rPr>
        <w:t>la</w:t>
      </w:r>
      <w:r w:rsidR="00D9165A">
        <w:rPr>
          <w:rFonts w:ascii="Palatino Linotype" w:eastAsia="Calibri" w:hAnsi="Palatino Linotype" w:cs="Times New Roman"/>
          <w:color w:val="000000"/>
        </w:rPr>
        <w:t xml:space="preserve"> Director</w:t>
      </w:r>
      <w:r w:rsidR="005E3B41">
        <w:rPr>
          <w:rFonts w:ascii="Palatino Linotype" w:eastAsia="Calibri" w:hAnsi="Palatino Linotype" w:cs="Times New Roman"/>
          <w:color w:val="000000"/>
        </w:rPr>
        <w:t>a General</w:t>
      </w:r>
      <w:r w:rsidR="00D9165A">
        <w:rPr>
          <w:rFonts w:ascii="Palatino Linotype" w:eastAsia="Calibri" w:hAnsi="Palatino Linotype" w:cs="Times New Roman"/>
          <w:color w:val="000000"/>
        </w:rPr>
        <w:t xml:space="preserve"> de Desarrollo Económico</w:t>
      </w:r>
      <w:r w:rsidR="00712A38">
        <w:rPr>
          <w:rFonts w:ascii="Palatino Linotype" w:eastAsia="Calibri" w:hAnsi="Palatino Linotype" w:cs="Times New Roman"/>
          <w:color w:val="000000"/>
        </w:rPr>
        <w:t xml:space="preserve">, dirigido </w:t>
      </w:r>
      <w:r w:rsidR="005E3B41">
        <w:rPr>
          <w:rFonts w:ascii="Palatino Linotype" w:eastAsia="Calibri" w:hAnsi="Palatino Linotype" w:cs="Times New Roman"/>
          <w:color w:val="000000"/>
        </w:rPr>
        <w:t>a la persona Solicitante</w:t>
      </w:r>
      <w:r w:rsidR="00712A38">
        <w:rPr>
          <w:rFonts w:ascii="Palatino Linotype" w:eastAsia="Calibri" w:hAnsi="Palatino Linotype" w:cs="Times New Roman"/>
          <w:color w:val="000000"/>
        </w:rPr>
        <w:t xml:space="preserve">, mediante el cual </w:t>
      </w:r>
      <w:r w:rsidR="00D9165A">
        <w:rPr>
          <w:rFonts w:ascii="Palatino Linotype" w:eastAsia="Calibri" w:hAnsi="Palatino Linotype" w:cs="Times New Roman"/>
          <w:color w:val="000000"/>
        </w:rPr>
        <w:t>precisa lo siguiente:</w:t>
      </w:r>
    </w:p>
    <w:p w14:paraId="7D0851B9" w14:textId="77777777" w:rsidR="00D9165A" w:rsidRDefault="00D9165A" w:rsidP="00712A38">
      <w:pPr>
        <w:spacing w:after="0" w:line="360" w:lineRule="auto"/>
        <w:rPr>
          <w:rFonts w:ascii="Palatino Linotype" w:eastAsia="Calibri" w:hAnsi="Palatino Linotype" w:cs="Times New Roman"/>
          <w:color w:val="000000"/>
        </w:rPr>
      </w:pPr>
    </w:p>
    <w:p w14:paraId="43343326" w14:textId="77777777" w:rsidR="00D9165A" w:rsidRPr="00D9165A" w:rsidRDefault="00D9165A" w:rsidP="00D9165A">
      <w:pPr>
        <w:spacing w:after="0" w:line="360" w:lineRule="auto"/>
        <w:ind w:left="567" w:right="567"/>
        <w:rPr>
          <w:rFonts w:ascii="Palatino Linotype" w:eastAsia="Calibri" w:hAnsi="Palatino Linotype" w:cs="Times New Roman"/>
          <w:i/>
          <w:color w:val="000000"/>
          <w:sz w:val="20"/>
        </w:rPr>
      </w:pPr>
      <w:r w:rsidRPr="00D9165A">
        <w:rPr>
          <w:rFonts w:ascii="Palatino Linotype" w:eastAsia="Calibri" w:hAnsi="Palatino Linotype" w:cs="Times New Roman"/>
          <w:i/>
          <w:color w:val="000000"/>
          <w:sz w:val="20"/>
        </w:rPr>
        <w:t>“…</w:t>
      </w:r>
    </w:p>
    <w:p w14:paraId="2DED83F3" w14:textId="77777777" w:rsidR="005E3B41" w:rsidRDefault="005E3B41" w:rsidP="00B57D1E">
      <w:pPr>
        <w:spacing w:after="0" w:line="360" w:lineRule="auto"/>
        <w:ind w:left="567" w:right="567"/>
        <w:rPr>
          <w:rFonts w:ascii="Palatino Linotype" w:eastAsia="Calibri" w:hAnsi="Palatino Linotype" w:cs="Times New Roman"/>
          <w:i/>
          <w:color w:val="000000"/>
          <w:sz w:val="20"/>
        </w:rPr>
      </w:pPr>
      <w:r>
        <w:rPr>
          <w:rFonts w:ascii="Palatino Linotype" w:eastAsia="Calibri" w:hAnsi="Palatino Linotype" w:cs="Times New Roman"/>
          <w:i/>
          <w:color w:val="000000"/>
          <w:sz w:val="20"/>
        </w:rPr>
        <w:t>N</w:t>
      </w:r>
      <w:r w:rsidRPr="005E3B41">
        <w:rPr>
          <w:rFonts w:ascii="Palatino Linotype" w:eastAsia="Calibri" w:hAnsi="Palatino Linotype" w:cs="Times New Roman"/>
          <w:i/>
          <w:color w:val="000000"/>
          <w:sz w:val="20"/>
        </w:rPr>
        <w:t xml:space="preserve">o obstante a lo anterior, y con la finalidad de respetar su derecho a la transparencia y máxima publicidad, se informa que durante los años 2021, 2022, 2023, 2024 y 2025 el Ayuntamiento de Toluca, Estado de México; han expedido 1864 licencias de funcionamiento, por lo que adjunto al presente como "Anexo SAIMEX 03132", el listado que contiene: registro, giro, tipo de giro, especificación, observaciones, tramite, fecha del trámite. </w:t>
      </w:r>
    </w:p>
    <w:p w14:paraId="72645E04" w14:textId="77777777" w:rsidR="005E3B41" w:rsidRDefault="005E3B41" w:rsidP="00B57D1E">
      <w:pPr>
        <w:spacing w:after="0" w:line="360" w:lineRule="auto"/>
        <w:ind w:left="567" w:right="567"/>
        <w:rPr>
          <w:rFonts w:ascii="Palatino Linotype" w:eastAsia="Calibri" w:hAnsi="Palatino Linotype" w:cs="Times New Roman"/>
          <w:i/>
          <w:color w:val="000000"/>
          <w:sz w:val="20"/>
        </w:rPr>
      </w:pPr>
    </w:p>
    <w:p w14:paraId="3D173E5A" w14:textId="0BEBDC05" w:rsidR="00B57D1E" w:rsidRDefault="005E3B41" w:rsidP="00B57D1E">
      <w:pPr>
        <w:spacing w:after="0" w:line="360" w:lineRule="auto"/>
        <w:ind w:left="567" w:right="567"/>
        <w:rPr>
          <w:rFonts w:ascii="Palatino Linotype" w:eastAsia="Calibri" w:hAnsi="Palatino Linotype" w:cs="Times New Roman"/>
          <w:i/>
          <w:color w:val="000000"/>
          <w:sz w:val="20"/>
        </w:rPr>
      </w:pPr>
      <w:r w:rsidRPr="005E3B41">
        <w:rPr>
          <w:rFonts w:ascii="Palatino Linotype" w:eastAsia="Calibri" w:hAnsi="Palatino Linotype" w:cs="Times New Roman"/>
          <w:i/>
          <w:color w:val="000000"/>
          <w:sz w:val="20"/>
        </w:rPr>
        <w:t>Por lo que respecta al "...monto recaudado..." esta dependencia no genera, administra ni posee, dicha información.</w:t>
      </w:r>
    </w:p>
    <w:p w14:paraId="4E0F501A" w14:textId="77777777" w:rsidR="00D9165A" w:rsidRPr="00D9165A" w:rsidRDefault="00D9165A" w:rsidP="00D9165A">
      <w:pPr>
        <w:spacing w:after="0" w:line="360" w:lineRule="auto"/>
        <w:ind w:left="567" w:right="567"/>
        <w:rPr>
          <w:rFonts w:ascii="Palatino Linotype" w:eastAsia="Calibri" w:hAnsi="Palatino Linotype" w:cs="Times New Roman"/>
          <w:i/>
          <w:color w:val="000000"/>
          <w:sz w:val="20"/>
        </w:rPr>
      </w:pPr>
      <w:r w:rsidRPr="00D9165A">
        <w:rPr>
          <w:rFonts w:ascii="Palatino Linotype" w:eastAsia="Calibri" w:hAnsi="Palatino Linotype" w:cs="Times New Roman"/>
          <w:i/>
          <w:color w:val="000000"/>
          <w:sz w:val="20"/>
        </w:rPr>
        <w:t>…”</w:t>
      </w:r>
    </w:p>
    <w:p w14:paraId="7B15648B" w14:textId="77777777" w:rsidR="005E3B41" w:rsidRDefault="005E3B41" w:rsidP="00E12E55">
      <w:pPr>
        <w:spacing w:after="0" w:line="360" w:lineRule="auto"/>
        <w:rPr>
          <w:rFonts w:ascii="Palatino Linotype" w:eastAsia="Calibri" w:hAnsi="Palatino Linotype" w:cs="Times New Roman"/>
          <w:b/>
          <w:color w:val="000000"/>
        </w:rPr>
      </w:pPr>
    </w:p>
    <w:p w14:paraId="4E4C8D4F" w14:textId="17B3D4C5" w:rsidR="005E3B41" w:rsidRPr="005E3B41" w:rsidRDefault="005E3B41" w:rsidP="00E12E55">
      <w:pPr>
        <w:spacing w:after="0" w:line="360" w:lineRule="auto"/>
        <w:rPr>
          <w:rFonts w:ascii="Palatino Linotype" w:eastAsia="Calibri" w:hAnsi="Palatino Linotype" w:cs="Times New Roman"/>
          <w:bCs/>
          <w:color w:val="000000"/>
        </w:rPr>
      </w:pPr>
      <w:r>
        <w:rPr>
          <w:rFonts w:ascii="Palatino Linotype" w:eastAsia="Calibri" w:hAnsi="Palatino Linotype" w:cs="Times New Roman"/>
          <w:bCs/>
          <w:color w:val="000000"/>
        </w:rPr>
        <w:t>El Sujeto Obligado adjuntó la digitalización de una relación, que contiene los siguientes rubros “Registro”, “Razón Social”, “Giro”, “Giro especificación”, “Observaciones”, tal  como se muestra a continuación:</w:t>
      </w:r>
    </w:p>
    <w:p w14:paraId="05445B77" w14:textId="77777777" w:rsidR="005E3B41" w:rsidRDefault="005E3B41" w:rsidP="00E12E55">
      <w:pPr>
        <w:spacing w:after="0" w:line="360" w:lineRule="auto"/>
        <w:rPr>
          <w:rFonts w:ascii="Palatino Linotype" w:eastAsia="Calibri" w:hAnsi="Palatino Linotype" w:cs="Times New Roman"/>
          <w:b/>
          <w:color w:val="000000"/>
        </w:rPr>
      </w:pPr>
    </w:p>
    <w:p w14:paraId="7F1E2BD5" w14:textId="04544028" w:rsidR="005E3B41" w:rsidRDefault="005E3B41" w:rsidP="00E12E55">
      <w:pPr>
        <w:spacing w:after="0" w:line="360" w:lineRule="auto"/>
        <w:rPr>
          <w:rFonts w:ascii="Palatino Linotype" w:eastAsia="Calibri" w:hAnsi="Palatino Linotype" w:cs="Times New Roman"/>
          <w:b/>
          <w:color w:val="000000"/>
        </w:rPr>
      </w:pPr>
      <w:r w:rsidRPr="005E3B41">
        <w:rPr>
          <w:rFonts w:ascii="Palatino Linotype" w:eastAsia="Calibri" w:hAnsi="Palatino Linotype" w:cs="Times New Roman"/>
          <w:b/>
          <w:noProof/>
          <w:color w:val="000000"/>
          <w:lang w:eastAsia="es-MX"/>
        </w:rPr>
        <w:drawing>
          <wp:inline distT="0" distB="0" distL="0" distR="0" wp14:anchorId="2F2DFDC6" wp14:editId="2319C544">
            <wp:extent cx="5791835" cy="1388745"/>
            <wp:effectExtent l="0" t="0" r="0" b="1905"/>
            <wp:docPr id="100121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292" name=""/>
                    <pic:cNvPicPr/>
                  </pic:nvPicPr>
                  <pic:blipFill>
                    <a:blip r:embed="rId8"/>
                    <a:stretch>
                      <a:fillRect/>
                    </a:stretch>
                  </pic:blipFill>
                  <pic:spPr>
                    <a:xfrm>
                      <a:off x="0" y="0"/>
                      <a:ext cx="5791835" cy="1388745"/>
                    </a:xfrm>
                    <a:prstGeom prst="rect">
                      <a:avLst/>
                    </a:prstGeom>
                  </pic:spPr>
                </pic:pic>
              </a:graphicData>
            </a:graphic>
          </wp:inline>
        </w:drawing>
      </w:r>
    </w:p>
    <w:p w14:paraId="4BAD085B" w14:textId="77777777" w:rsidR="005E3B41" w:rsidRDefault="005E3B41" w:rsidP="00E12E55">
      <w:pPr>
        <w:spacing w:after="0" w:line="360" w:lineRule="auto"/>
        <w:rPr>
          <w:rFonts w:ascii="Palatino Linotype" w:eastAsia="Calibri" w:hAnsi="Palatino Linotype" w:cs="Times New Roman"/>
          <w:b/>
          <w:color w:val="000000"/>
        </w:rPr>
      </w:pPr>
    </w:p>
    <w:p w14:paraId="3C80CB04" w14:textId="2A75AA97" w:rsidR="00B811B2" w:rsidRPr="00963BA1" w:rsidRDefault="00B811B2" w:rsidP="00FE1919">
      <w:pPr>
        <w:pStyle w:val="Ttulo2"/>
        <w:rPr>
          <w:rFonts w:eastAsia="Calibri"/>
        </w:rPr>
      </w:pPr>
      <w:bookmarkStart w:id="3" w:name="_Toc206688677"/>
      <w:r w:rsidRPr="00963BA1">
        <w:rPr>
          <w:rFonts w:eastAsia="Calibri"/>
        </w:rPr>
        <w:lastRenderedPageBreak/>
        <w:t>I</w:t>
      </w:r>
      <w:r w:rsidR="00B57D1E">
        <w:rPr>
          <w:rFonts w:eastAsia="Calibri"/>
        </w:rPr>
        <w:t>II</w:t>
      </w:r>
      <w:r w:rsidRPr="00963BA1">
        <w:rPr>
          <w:rFonts w:eastAsia="Calibri"/>
        </w:rPr>
        <w:t>. Interpo</w:t>
      </w:r>
      <w:r w:rsidR="003625C9" w:rsidRPr="00963BA1">
        <w:rPr>
          <w:rFonts w:eastAsia="Calibri"/>
        </w:rPr>
        <w:t>sición del Recurso de Revisión</w:t>
      </w:r>
      <w:bookmarkEnd w:id="3"/>
    </w:p>
    <w:p w14:paraId="33F91C90" w14:textId="77777777" w:rsidR="00B811B2" w:rsidRPr="00963BA1" w:rsidRDefault="00B811B2" w:rsidP="00E12E55">
      <w:pPr>
        <w:spacing w:after="0" w:line="360" w:lineRule="auto"/>
        <w:rPr>
          <w:rFonts w:ascii="Palatino Linotype" w:eastAsia="Calibri" w:hAnsi="Palatino Linotype" w:cs="Times New Roman"/>
          <w:bCs/>
          <w:color w:val="000000"/>
        </w:rPr>
      </w:pPr>
    </w:p>
    <w:p w14:paraId="76C99E6B" w14:textId="4783765E" w:rsidR="00B811B2" w:rsidRPr="00963BA1" w:rsidRDefault="00B811B2" w:rsidP="00E12E55">
      <w:pPr>
        <w:spacing w:after="0" w:line="360" w:lineRule="auto"/>
        <w:rPr>
          <w:rFonts w:ascii="Palatino Linotype" w:eastAsia="Calibri" w:hAnsi="Palatino Linotype" w:cs="Times New Roman"/>
          <w:bCs/>
          <w:color w:val="000000"/>
        </w:rPr>
      </w:pPr>
      <w:r w:rsidRPr="00963BA1">
        <w:rPr>
          <w:rFonts w:ascii="Palatino Linotype" w:eastAsia="Calibri" w:hAnsi="Palatino Linotype" w:cs="Times New Roman"/>
          <w:bCs/>
          <w:color w:val="000000"/>
        </w:rPr>
        <w:t xml:space="preserve">Con fecha </w:t>
      </w:r>
      <w:r w:rsidR="005E3B41">
        <w:rPr>
          <w:rFonts w:ascii="Palatino Linotype" w:eastAsia="Calibri" w:hAnsi="Palatino Linotype" w:cs="Times New Roman"/>
          <w:bCs/>
          <w:color w:val="000000"/>
        </w:rPr>
        <w:t>diez de julio de dos mil veinticinco</w:t>
      </w:r>
      <w:r w:rsidRPr="00963BA1">
        <w:rPr>
          <w:rFonts w:ascii="Palatino Linotype" w:eastAsia="Calibri" w:hAnsi="Palatino Linotype" w:cs="Times New Roman"/>
          <w:bCs/>
          <w:color w:val="000000"/>
        </w:rPr>
        <w:t xml:space="preserve">, se recibió en este Instituto, a través del </w:t>
      </w:r>
      <w:r w:rsidRPr="00963BA1">
        <w:rPr>
          <w:rFonts w:ascii="Palatino Linotype" w:eastAsia="Calibri" w:hAnsi="Palatino Linotype" w:cs="Times New Roman"/>
          <w:bCs/>
          <w:color w:val="000000"/>
          <w:lang w:val="es-ES"/>
        </w:rPr>
        <w:t>Sistema de Acceso a la Información Mexiquense (SAIMEX)</w:t>
      </w:r>
      <w:r w:rsidRPr="00963BA1">
        <w:rPr>
          <w:rFonts w:ascii="Palatino Linotype" w:eastAsia="Calibri" w:hAnsi="Palatino Linotype" w:cs="Times New Roman"/>
          <w:bCs/>
          <w:color w:val="000000"/>
        </w:rPr>
        <w:t xml:space="preserve">, Recurso de Revisión interpuesto por la </w:t>
      </w:r>
      <w:r w:rsidR="005E3B41">
        <w:rPr>
          <w:rFonts w:ascii="Palatino Linotype" w:eastAsia="Calibri" w:hAnsi="Palatino Linotype" w:cs="Times New Roman"/>
          <w:bCs/>
          <w:color w:val="000000"/>
        </w:rPr>
        <w:t xml:space="preserve">persona </w:t>
      </w:r>
      <w:r w:rsidRPr="00963BA1">
        <w:rPr>
          <w:rFonts w:ascii="Palatino Linotype" w:eastAsia="Calibri" w:hAnsi="Palatino Linotype" w:cs="Times New Roman"/>
          <w:bCs/>
          <w:color w:val="000000"/>
        </w:rPr>
        <w:t>Recurrente, en contra de la respuesta por el Sujeto Obligado, a la solicitud de información, en los siguientes términos:</w:t>
      </w:r>
    </w:p>
    <w:p w14:paraId="2FCF7478" w14:textId="77777777" w:rsidR="00B811B2" w:rsidRPr="00963BA1" w:rsidRDefault="00B811B2" w:rsidP="00E12E55">
      <w:pPr>
        <w:spacing w:after="0" w:line="360" w:lineRule="auto"/>
        <w:rPr>
          <w:rFonts w:ascii="Palatino Linotype" w:eastAsia="Calibri" w:hAnsi="Palatino Linotype" w:cs="Times New Roman"/>
          <w:bCs/>
          <w:color w:val="000000"/>
        </w:rPr>
      </w:pPr>
    </w:p>
    <w:p w14:paraId="44B3F456" w14:textId="77777777" w:rsidR="00B811B2" w:rsidRPr="00963BA1" w:rsidRDefault="00B811B2" w:rsidP="00E12E55">
      <w:pPr>
        <w:spacing w:after="0" w:line="360" w:lineRule="auto"/>
        <w:ind w:left="567" w:right="567"/>
        <w:rPr>
          <w:rFonts w:ascii="Palatino Linotype" w:eastAsia="Calibri" w:hAnsi="Palatino Linotype" w:cs="Times New Roman"/>
          <w:bCs/>
          <w:i/>
          <w:color w:val="000000"/>
          <w:sz w:val="20"/>
          <w:szCs w:val="20"/>
        </w:rPr>
      </w:pPr>
      <w:r w:rsidRPr="00963BA1">
        <w:rPr>
          <w:rFonts w:ascii="Palatino Linotype" w:eastAsia="Calibri" w:hAnsi="Palatino Linotype" w:cs="Times New Roman"/>
          <w:b/>
          <w:bCs/>
          <w:i/>
          <w:color w:val="000000"/>
          <w:sz w:val="20"/>
          <w:szCs w:val="20"/>
        </w:rPr>
        <w:t>“ACTO IMPUGNADO</w:t>
      </w:r>
    </w:p>
    <w:p w14:paraId="46B171CA" w14:textId="55E39E0E" w:rsidR="00B811B2" w:rsidRPr="00963BA1" w:rsidRDefault="005E3B41" w:rsidP="00E12E55">
      <w:pPr>
        <w:spacing w:after="0" w:line="360" w:lineRule="auto"/>
        <w:ind w:left="567" w:right="567"/>
        <w:rPr>
          <w:rFonts w:ascii="Palatino Linotype" w:eastAsia="Calibri" w:hAnsi="Palatino Linotype" w:cs="Times New Roman"/>
          <w:i/>
          <w:color w:val="000000"/>
          <w:sz w:val="20"/>
          <w:szCs w:val="20"/>
        </w:rPr>
      </w:pPr>
      <w:r w:rsidRPr="005E3B41">
        <w:rPr>
          <w:rFonts w:ascii="Palatino Linotype" w:eastAsia="Calibri" w:hAnsi="Palatino Linotype" w:cs="Times New Roman"/>
          <w:i/>
          <w:color w:val="000000"/>
          <w:sz w:val="20"/>
          <w:szCs w:val="20"/>
        </w:rPr>
        <w:t xml:space="preserve">La negativa de la </w:t>
      </w:r>
      <w:proofErr w:type="spellStart"/>
      <w:r w:rsidRPr="005E3B41">
        <w:rPr>
          <w:rFonts w:ascii="Palatino Linotype" w:eastAsia="Calibri" w:hAnsi="Palatino Linotype" w:cs="Times New Roman"/>
          <w:i/>
          <w:color w:val="000000"/>
          <w:sz w:val="20"/>
          <w:szCs w:val="20"/>
        </w:rPr>
        <w:t>informaicón</w:t>
      </w:r>
      <w:proofErr w:type="spellEnd"/>
      <w:r w:rsidRPr="005E3B41">
        <w:rPr>
          <w:rFonts w:ascii="Palatino Linotype" w:eastAsia="Calibri" w:hAnsi="Palatino Linotype" w:cs="Times New Roman"/>
          <w:i/>
          <w:color w:val="000000"/>
          <w:sz w:val="20"/>
          <w:szCs w:val="20"/>
        </w:rPr>
        <w:t xml:space="preserve"> no entrega lo solicitado</w:t>
      </w:r>
      <w:r w:rsidR="00B811B2" w:rsidRPr="00963BA1">
        <w:rPr>
          <w:rFonts w:ascii="Palatino Linotype" w:eastAsia="Calibri" w:hAnsi="Palatino Linotype" w:cs="Times New Roman"/>
          <w:i/>
          <w:color w:val="000000"/>
          <w:sz w:val="20"/>
          <w:szCs w:val="20"/>
        </w:rPr>
        <w:t>” (Sic.)</w:t>
      </w:r>
    </w:p>
    <w:p w14:paraId="20673777" w14:textId="77777777" w:rsidR="00B811B2" w:rsidRPr="00963BA1" w:rsidRDefault="00B811B2" w:rsidP="00E12E55">
      <w:pPr>
        <w:spacing w:after="0" w:line="360" w:lineRule="auto"/>
        <w:ind w:left="567" w:right="567"/>
        <w:rPr>
          <w:rFonts w:ascii="Palatino Linotype" w:eastAsia="Calibri" w:hAnsi="Palatino Linotype" w:cs="Times New Roman"/>
          <w:i/>
          <w:color w:val="000000"/>
          <w:sz w:val="20"/>
          <w:szCs w:val="20"/>
        </w:rPr>
      </w:pPr>
    </w:p>
    <w:p w14:paraId="32C784FB" w14:textId="77777777" w:rsidR="00B811B2" w:rsidRPr="00963BA1" w:rsidRDefault="00B811B2" w:rsidP="00E12E55">
      <w:pPr>
        <w:spacing w:after="0" w:line="360" w:lineRule="auto"/>
        <w:ind w:left="567" w:right="567"/>
        <w:rPr>
          <w:rFonts w:ascii="Palatino Linotype" w:eastAsia="Calibri" w:hAnsi="Palatino Linotype" w:cs="Times New Roman"/>
          <w:b/>
          <w:i/>
          <w:color w:val="000000"/>
          <w:sz w:val="20"/>
          <w:szCs w:val="20"/>
        </w:rPr>
      </w:pPr>
      <w:r w:rsidRPr="00963BA1">
        <w:rPr>
          <w:rFonts w:ascii="Palatino Linotype" w:eastAsia="Calibri" w:hAnsi="Palatino Linotype" w:cs="Times New Roman"/>
          <w:b/>
          <w:i/>
          <w:color w:val="000000"/>
          <w:sz w:val="20"/>
          <w:szCs w:val="20"/>
        </w:rPr>
        <w:t>“RAZONES O MOTIVOS DE LA INCONFORMIDAD</w:t>
      </w:r>
    </w:p>
    <w:p w14:paraId="2B45663B" w14:textId="32B3542F" w:rsidR="00B811B2" w:rsidRDefault="005E3B41" w:rsidP="00E12E55">
      <w:pPr>
        <w:spacing w:after="0" w:line="360" w:lineRule="auto"/>
        <w:ind w:left="567" w:right="567"/>
        <w:rPr>
          <w:rFonts w:ascii="Palatino Linotype" w:eastAsia="Calibri" w:hAnsi="Palatino Linotype" w:cs="Times New Roman"/>
          <w:i/>
          <w:color w:val="000000"/>
          <w:sz w:val="20"/>
          <w:szCs w:val="20"/>
        </w:rPr>
      </w:pPr>
      <w:r w:rsidRPr="005E3B41">
        <w:rPr>
          <w:rFonts w:ascii="Palatino Linotype" w:eastAsia="Calibri" w:hAnsi="Palatino Linotype" w:cs="Times New Roman"/>
          <w:i/>
          <w:color w:val="000000"/>
          <w:sz w:val="20"/>
          <w:szCs w:val="20"/>
        </w:rPr>
        <w:t xml:space="preserve">La negativa de la </w:t>
      </w:r>
      <w:proofErr w:type="spellStart"/>
      <w:r w:rsidRPr="005E3B41">
        <w:rPr>
          <w:rFonts w:ascii="Palatino Linotype" w:eastAsia="Calibri" w:hAnsi="Palatino Linotype" w:cs="Times New Roman"/>
          <w:i/>
          <w:color w:val="000000"/>
          <w:sz w:val="20"/>
          <w:szCs w:val="20"/>
        </w:rPr>
        <w:t>informaicón</w:t>
      </w:r>
      <w:proofErr w:type="spellEnd"/>
      <w:r w:rsidRPr="005E3B41">
        <w:rPr>
          <w:rFonts w:ascii="Palatino Linotype" w:eastAsia="Calibri" w:hAnsi="Palatino Linotype" w:cs="Times New Roman"/>
          <w:i/>
          <w:color w:val="000000"/>
          <w:sz w:val="20"/>
          <w:szCs w:val="20"/>
        </w:rPr>
        <w:t xml:space="preserve"> no entrega lo solicitado</w:t>
      </w:r>
      <w:r w:rsidR="00B811B2" w:rsidRPr="00963BA1">
        <w:rPr>
          <w:rFonts w:ascii="Palatino Linotype" w:eastAsia="Calibri" w:hAnsi="Palatino Linotype" w:cs="Times New Roman"/>
          <w:i/>
          <w:color w:val="000000"/>
          <w:sz w:val="20"/>
          <w:szCs w:val="20"/>
        </w:rPr>
        <w:t>” (Sic.)</w:t>
      </w:r>
    </w:p>
    <w:p w14:paraId="206F9F21" w14:textId="77777777" w:rsidR="008E3A41" w:rsidRDefault="008E3A41" w:rsidP="00E12E55">
      <w:pPr>
        <w:spacing w:after="0" w:line="360" w:lineRule="auto"/>
        <w:rPr>
          <w:rFonts w:ascii="Palatino Linotype" w:eastAsia="Calibri" w:hAnsi="Palatino Linotype" w:cs="Times New Roman"/>
          <w:color w:val="000000"/>
        </w:rPr>
      </w:pPr>
    </w:p>
    <w:p w14:paraId="75388994" w14:textId="77777777" w:rsidR="00B811B2" w:rsidRPr="00963BA1" w:rsidRDefault="00B57D1E" w:rsidP="00FE1919">
      <w:pPr>
        <w:pStyle w:val="Ttulo2"/>
        <w:rPr>
          <w:rFonts w:eastAsia="Calibri"/>
        </w:rPr>
      </w:pPr>
      <w:bookmarkStart w:id="4" w:name="_Toc206688678"/>
      <w:r>
        <w:rPr>
          <w:rFonts w:eastAsia="Calibri"/>
        </w:rPr>
        <w:t>I</w:t>
      </w:r>
      <w:r w:rsidR="00E56521">
        <w:rPr>
          <w:rFonts w:eastAsia="Calibri"/>
        </w:rPr>
        <w:t>V</w:t>
      </w:r>
      <w:r w:rsidR="00B811B2" w:rsidRPr="00963BA1">
        <w:rPr>
          <w:rFonts w:eastAsia="Calibri"/>
        </w:rPr>
        <w:t xml:space="preserve">. Trámite del Recurso de Revisión </w:t>
      </w:r>
      <w:r w:rsidR="003625C9" w:rsidRPr="00963BA1">
        <w:rPr>
          <w:rFonts w:eastAsia="Calibri"/>
        </w:rPr>
        <w:t>ante este Instituto</w:t>
      </w:r>
      <w:bookmarkEnd w:id="4"/>
    </w:p>
    <w:p w14:paraId="1502F5BE" w14:textId="77777777" w:rsidR="00B811B2" w:rsidRPr="00963BA1" w:rsidRDefault="00B811B2" w:rsidP="00E12E55">
      <w:pPr>
        <w:spacing w:after="0" w:line="360" w:lineRule="auto"/>
        <w:rPr>
          <w:rFonts w:ascii="Palatino Linotype" w:eastAsia="Calibri" w:hAnsi="Palatino Linotype" w:cs="Times New Roman"/>
          <w:b/>
          <w:bCs/>
          <w:color w:val="000000"/>
        </w:rPr>
      </w:pPr>
    </w:p>
    <w:p w14:paraId="2D9A40FB" w14:textId="4F385064" w:rsidR="00B811B2" w:rsidRPr="00963BA1" w:rsidRDefault="00B811B2" w:rsidP="00E12E55">
      <w:pPr>
        <w:spacing w:after="0" w:line="360" w:lineRule="auto"/>
        <w:rPr>
          <w:rFonts w:ascii="Palatino Linotype" w:eastAsia="Calibri" w:hAnsi="Palatino Linotype" w:cs="Times New Roman"/>
          <w:b/>
          <w:bCs/>
          <w:color w:val="000000"/>
        </w:rPr>
      </w:pPr>
      <w:r w:rsidRPr="00963BA1">
        <w:rPr>
          <w:rFonts w:ascii="Palatino Linotype" w:eastAsia="Calibri" w:hAnsi="Palatino Linotype" w:cs="Times New Roman"/>
          <w:b/>
          <w:bCs/>
          <w:color w:val="000000"/>
        </w:rPr>
        <w:t xml:space="preserve">a) Turno del Medio de Impugnación. </w:t>
      </w:r>
      <w:r w:rsidRPr="00963BA1">
        <w:rPr>
          <w:rFonts w:ascii="Palatino Linotype" w:eastAsia="Calibri" w:hAnsi="Palatino Linotype" w:cs="Times New Roman"/>
          <w:bCs/>
          <w:color w:val="000000"/>
        </w:rPr>
        <w:t xml:space="preserve">El </w:t>
      </w:r>
      <w:r w:rsidR="005E3B41">
        <w:rPr>
          <w:rFonts w:ascii="Palatino Linotype" w:eastAsia="Calibri" w:hAnsi="Palatino Linotype" w:cs="Times New Roman"/>
          <w:bCs/>
          <w:color w:val="000000"/>
        </w:rPr>
        <w:t>diez de julio de dos mil veinticinco</w:t>
      </w:r>
      <w:r w:rsidRPr="00963BA1">
        <w:rPr>
          <w:rFonts w:ascii="Palatino Linotype" w:eastAsia="Calibri" w:hAnsi="Palatino Linotype" w:cs="Times New Roman"/>
          <w:bCs/>
          <w:color w:val="000000"/>
        </w:rPr>
        <w:t xml:space="preserve">, el </w:t>
      </w:r>
      <w:r w:rsidRPr="00963BA1">
        <w:rPr>
          <w:rFonts w:ascii="Palatino Linotype" w:eastAsia="Calibri" w:hAnsi="Palatino Linotype" w:cs="Times New Roman"/>
          <w:color w:val="000000"/>
          <w:lang w:val="es-ES"/>
        </w:rPr>
        <w:t>Sistema de Acceso a la Información Mexiquense (SAIMEX),</w:t>
      </w:r>
      <w:r w:rsidRPr="00963BA1">
        <w:rPr>
          <w:rFonts w:ascii="Palatino Linotype" w:eastAsia="Calibri" w:hAnsi="Palatino Linotype" w:cs="Times New Roman"/>
          <w:bCs/>
          <w:color w:val="000000"/>
        </w:rPr>
        <w:t xml:space="preserve"> asignó el número de expediente </w:t>
      </w:r>
      <w:r w:rsidR="005E3B41">
        <w:rPr>
          <w:rFonts w:ascii="Palatino Linotype" w:eastAsia="Calibri" w:hAnsi="Palatino Linotype" w:cs="Times New Roman"/>
          <w:b/>
          <w:bCs/>
          <w:color w:val="000000"/>
        </w:rPr>
        <w:t>08426/INFOEM/IP/RR/2025</w:t>
      </w:r>
      <w:r w:rsidRPr="00963BA1">
        <w:rPr>
          <w:rFonts w:ascii="Palatino Linotype" w:eastAsia="Calibri" w:hAnsi="Palatino Linotype" w:cs="Times New Roman"/>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1BBB78D" w14:textId="77777777" w:rsidR="00B811B2" w:rsidRPr="00963BA1" w:rsidRDefault="00B811B2" w:rsidP="00E12E55">
      <w:pPr>
        <w:spacing w:after="0" w:line="360" w:lineRule="auto"/>
        <w:rPr>
          <w:rFonts w:ascii="Palatino Linotype" w:eastAsia="Calibri" w:hAnsi="Palatino Linotype" w:cs="Times New Roman"/>
          <w:bCs/>
          <w:color w:val="000000"/>
        </w:rPr>
      </w:pPr>
    </w:p>
    <w:p w14:paraId="697D51F2" w14:textId="785CE2F8" w:rsidR="00B811B2" w:rsidRPr="00963BA1" w:rsidRDefault="00B811B2" w:rsidP="00E12E55">
      <w:pPr>
        <w:spacing w:after="0" w:line="360" w:lineRule="auto"/>
        <w:rPr>
          <w:rFonts w:ascii="Palatino Linotype" w:eastAsia="Calibri" w:hAnsi="Palatino Linotype" w:cs="Times New Roman"/>
          <w:color w:val="000000"/>
        </w:rPr>
      </w:pPr>
      <w:r w:rsidRPr="00963BA1">
        <w:rPr>
          <w:rFonts w:ascii="Palatino Linotype" w:eastAsia="Calibri" w:hAnsi="Palatino Linotype" w:cs="Times New Roman"/>
          <w:b/>
          <w:bCs/>
          <w:color w:val="000000"/>
        </w:rPr>
        <w:t>b) Admisión del Recurso de Revisión</w:t>
      </w:r>
      <w:r w:rsidRPr="00963BA1">
        <w:rPr>
          <w:rFonts w:ascii="Palatino Linotype" w:eastAsia="Calibri" w:hAnsi="Palatino Linotype" w:cs="Times New Roman"/>
          <w:b/>
          <w:bCs/>
          <w:color w:val="000000"/>
          <w:lang w:val="es-ES_tradnl"/>
        </w:rPr>
        <w:t xml:space="preserve">. </w:t>
      </w:r>
      <w:r w:rsidRPr="00963BA1">
        <w:rPr>
          <w:rFonts w:ascii="Palatino Linotype" w:eastAsia="Calibri" w:hAnsi="Palatino Linotype" w:cs="Times New Roman"/>
          <w:bCs/>
          <w:color w:val="000000"/>
          <w:lang w:val="es-ES_tradnl"/>
        </w:rPr>
        <w:t xml:space="preserve">El </w:t>
      </w:r>
      <w:r w:rsidR="00224D13">
        <w:rPr>
          <w:rFonts w:ascii="Palatino Linotype" w:eastAsia="Calibri" w:hAnsi="Palatino Linotype" w:cs="Times New Roman"/>
          <w:bCs/>
          <w:color w:val="000000"/>
          <w:lang w:val="es-ES_tradnl"/>
        </w:rPr>
        <w:t>quince de julio</w:t>
      </w:r>
      <w:r w:rsidRPr="00963BA1">
        <w:rPr>
          <w:rFonts w:ascii="Palatino Linotype" w:eastAsia="Calibri" w:hAnsi="Palatino Linotype" w:cs="Times New Roman"/>
          <w:bCs/>
          <w:color w:val="000000"/>
          <w:lang w:val="es-ES_tradnl"/>
        </w:rPr>
        <w:t xml:space="preserve"> de dos mil </w:t>
      </w:r>
      <w:r w:rsidR="00224D13">
        <w:rPr>
          <w:rFonts w:ascii="Palatino Linotype" w:eastAsia="Calibri" w:hAnsi="Palatino Linotype" w:cs="Times New Roman"/>
          <w:bCs/>
          <w:color w:val="000000"/>
          <w:lang w:val="es-ES_tradnl"/>
        </w:rPr>
        <w:t>veinticinco</w:t>
      </w:r>
      <w:r w:rsidRPr="00963BA1">
        <w:rPr>
          <w:rFonts w:ascii="Palatino Linotype" w:eastAsia="Calibri" w:hAnsi="Palatino Linotype" w:cs="Times New Roman"/>
          <w:bCs/>
          <w:color w:val="000000"/>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224D13">
        <w:rPr>
          <w:rFonts w:ascii="Palatino Linotype" w:eastAsia="Calibri" w:hAnsi="Palatino Linotype" w:cs="Times New Roman"/>
          <w:bCs/>
          <w:color w:val="000000"/>
          <w:lang w:val="es-ES_tradnl"/>
        </w:rPr>
        <w:t>mismo día</w:t>
      </w:r>
      <w:r w:rsidRPr="00963BA1">
        <w:rPr>
          <w:rFonts w:ascii="Palatino Linotype" w:eastAsia="Calibri" w:hAnsi="Palatino Linotype" w:cs="Times New Roman"/>
          <w:bCs/>
          <w:color w:val="000000"/>
          <w:lang w:val="es-ES_tradnl"/>
        </w:rPr>
        <w:t xml:space="preserve">, a través del Sistema de Acceso a la Información Mexiquense (SAIMEX), en el que </w:t>
      </w:r>
      <w:r w:rsidRPr="00963BA1">
        <w:rPr>
          <w:rFonts w:ascii="Palatino Linotype" w:eastAsia="Calibri" w:hAnsi="Palatino Linotype" w:cs="Times New Roman"/>
          <w:bCs/>
          <w:color w:val="000000"/>
          <w:lang w:val="es-ES_tradnl"/>
        </w:rPr>
        <w:lastRenderedPageBreak/>
        <w:t>se les otorgó un plazo de siete días hábiles posteriores a la misma, para que manifestaran lo que a su derecho conviniera y formularan alegatos.</w:t>
      </w:r>
    </w:p>
    <w:p w14:paraId="07BD93D3" w14:textId="77777777" w:rsidR="00B811B2" w:rsidRPr="00963BA1" w:rsidRDefault="00B811B2" w:rsidP="00E12E55">
      <w:pPr>
        <w:spacing w:after="0" w:line="360" w:lineRule="auto"/>
        <w:rPr>
          <w:rFonts w:ascii="Palatino Linotype" w:eastAsia="Calibri" w:hAnsi="Palatino Linotype" w:cs="Times New Roman"/>
          <w:color w:val="000000"/>
        </w:rPr>
      </w:pPr>
    </w:p>
    <w:p w14:paraId="0EDCB024" w14:textId="1767F614" w:rsidR="003E0A35" w:rsidRDefault="00B811B2" w:rsidP="003E0A35">
      <w:pPr>
        <w:spacing w:after="0" w:line="360" w:lineRule="auto"/>
        <w:rPr>
          <w:rFonts w:ascii="Palatino Linotype" w:eastAsia="Calibri" w:hAnsi="Palatino Linotype" w:cs="Times New Roman"/>
          <w:color w:val="000000"/>
        </w:rPr>
      </w:pPr>
      <w:r w:rsidRPr="00963BA1">
        <w:rPr>
          <w:rFonts w:ascii="Palatino Linotype" w:eastAsia="Calibri" w:hAnsi="Palatino Linotype" w:cs="Times New Roman"/>
          <w:b/>
          <w:color w:val="000000"/>
        </w:rPr>
        <w:t>c) Informe Justificado</w:t>
      </w:r>
      <w:r w:rsidR="005577FB">
        <w:rPr>
          <w:rFonts w:ascii="Palatino Linotype" w:eastAsia="Calibri" w:hAnsi="Palatino Linotype" w:cs="Times New Roman"/>
          <w:b/>
          <w:color w:val="000000"/>
        </w:rPr>
        <w:t xml:space="preserve">. </w:t>
      </w:r>
      <w:r w:rsidR="003F08B6">
        <w:rPr>
          <w:rFonts w:ascii="Palatino Linotype" w:eastAsia="Calibri" w:hAnsi="Palatino Linotype" w:cs="Times New Roman"/>
          <w:color w:val="000000"/>
        </w:rPr>
        <w:t xml:space="preserve">El </w:t>
      </w:r>
      <w:r w:rsidR="00224D13">
        <w:rPr>
          <w:rFonts w:ascii="Palatino Linotype" w:eastAsia="Calibri" w:hAnsi="Palatino Linotype" w:cs="Times New Roman"/>
          <w:color w:val="000000"/>
        </w:rPr>
        <w:t>siete de agosto de dos mil veinticinco</w:t>
      </w:r>
      <w:r w:rsidR="003F08B6">
        <w:rPr>
          <w:rFonts w:ascii="Palatino Linotype" w:eastAsia="Calibri" w:hAnsi="Palatino Linotype" w:cs="Times New Roman"/>
          <w:color w:val="000000"/>
        </w:rPr>
        <w:t>, se recibió en este Instituto, el Informe Justificado del Ente Recurrido, a través del Sistema de Acceso a la Información Mexiquense (SAIMEX)</w:t>
      </w:r>
      <w:r w:rsidR="003E0A35">
        <w:rPr>
          <w:rFonts w:ascii="Palatino Linotype" w:eastAsia="Calibri" w:hAnsi="Palatino Linotype" w:cs="Times New Roman"/>
          <w:color w:val="000000"/>
        </w:rPr>
        <w:t>, por medio del oficio</w:t>
      </w:r>
      <w:r w:rsidR="00224D13">
        <w:rPr>
          <w:rFonts w:ascii="Palatino Linotype" w:eastAsia="Calibri" w:hAnsi="Palatino Linotype" w:cs="Times New Roman"/>
          <w:color w:val="000000"/>
        </w:rPr>
        <w:t xml:space="preserve"> sin</w:t>
      </w:r>
      <w:r w:rsidR="003E0A35">
        <w:rPr>
          <w:rFonts w:ascii="Palatino Linotype" w:eastAsia="Calibri" w:hAnsi="Palatino Linotype" w:cs="Times New Roman"/>
          <w:color w:val="000000"/>
        </w:rPr>
        <w:t xml:space="preserve"> número, </w:t>
      </w:r>
      <w:r w:rsidR="00224D13">
        <w:rPr>
          <w:rFonts w:ascii="Palatino Linotype" w:eastAsia="Calibri" w:hAnsi="Palatino Linotype" w:cs="Times New Roman"/>
          <w:color w:val="000000"/>
        </w:rPr>
        <w:t>de la misma fecha de recepción</w:t>
      </w:r>
      <w:r w:rsidR="003E0A35">
        <w:rPr>
          <w:rFonts w:ascii="Palatino Linotype" w:eastAsia="Calibri" w:hAnsi="Palatino Linotype" w:cs="Times New Roman"/>
          <w:color w:val="000000"/>
        </w:rPr>
        <w:t xml:space="preserve">, suscrito por el </w:t>
      </w:r>
      <w:r w:rsidR="00224D13">
        <w:rPr>
          <w:rFonts w:ascii="Palatino Linotype" w:eastAsia="Calibri" w:hAnsi="Palatino Linotype" w:cs="Times New Roman"/>
          <w:color w:val="000000"/>
        </w:rPr>
        <w:t>Titular de la Unidad de Transparencia y dirigido al Comisionado Ponente, por medio del cual ratifica la respuesta de la Dirección General de Desarrollo Económico.</w:t>
      </w:r>
    </w:p>
    <w:p w14:paraId="435E082E" w14:textId="77777777" w:rsidR="00B811B2" w:rsidRDefault="00B811B2" w:rsidP="00E12E55">
      <w:pPr>
        <w:spacing w:after="0" w:line="360" w:lineRule="auto"/>
        <w:rPr>
          <w:rFonts w:ascii="Palatino Linotype" w:eastAsia="Calibri" w:hAnsi="Palatino Linotype" w:cs="Times New Roman"/>
          <w:bCs/>
          <w:color w:val="000000"/>
        </w:rPr>
      </w:pPr>
    </w:p>
    <w:p w14:paraId="1EB823EA" w14:textId="52F0FFCE" w:rsidR="003E0A35" w:rsidRPr="003E0A35" w:rsidRDefault="00B811B2" w:rsidP="003E0A35">
      <w:pPr>
        <w:spacing w:after="0" w:line="360" w:lineRule="auto"/>
        <w:rPr>
          <w:rFonts w:ascii="Palatino Linotype" w:eastAsia="Calibri" w:hAnsi="Palatino Linotype" w:cs="Times New Roman"/>
          <w:b/>
          <w:bCs/>
          <w:color w:val="000000"/>
          <w:lang w:val="es-ES_tradnl"/>
        </w:rPr>
      </w:pPr>
      <w:r w:rsidRPr="00963BA1">
        <w:rPr>
          <w:rFonts w:ascii="Palatino Linotype" w:eastAsia="Times New Roman" w:hAnsi="Palatino Linotype" w:cs="Tahoma"/>
          <w:b/>
          <w:szCs w:val="24"/>
          <w:lang w:eastAsia="es-ES"/>
        </w:rPr>
        <w:t xml:space="preserve">d) </w:t>
      </w:r>
      <w:r w:rsidR="003E0A35" w:rsidRPr="003E0A35">
        <w:rPr>
          <w:rFonts w:ascii="Palatino Linotype" w:eastAsia="Times New Roman" w:hAnsi="Palatino Linotype" w:cs="Tahoma"/>
          <w:b/>
          <w:szCs w:val="24"/>
          <w:lang w:val="es-ES_tradnl" w:eastAsia="es-ES"/>
        </w:rPr>
        <w:t>Vista del Informe Justificado:</w:t>
      </w:r>
      <w:r w:rsidR="003E0A35" w:rsidRPr="003E0A35">
        <w:rPr>
          <w:rFonts w:ascii="Palatino Linotype" w:eastAsia="Times New Roman" w:hAnsi="Palatino Linotype" w:cs="Tahoma"/>
          <w:bCs/>
          <w:szCs w:val="24"/>
          <w:lang w:val="es-ES_tradnl" w:eastAsia="es-ES"/>
        </w:rPr>
        <w:t xml:space="preserve"> </w:t>
      </w:r>
      <w:r w:rsidR="003E0A35" w:rsidRPr="003E0A35">
        <w:rPr>
          <w:rFonts w:ascii="Palatino Linotype" w:eastAsia="Calibri" w:hAnsi="Palatino Linotype" w:cs="Times New Roman"/>
          <w:color w:val="000000"/>
          <w:lang w:val="es-ES_tradnl"/>
        </w:rPr>
        <w:t>El</w:t>
      </w:r>
      <w:r w:rsidR="001E2943">
        <w:rPr>
          <w:rFonts w:ascii="Palatino Linotype" w:eastAsia="Calibri" w:hAnsi="Palatino Linotype" w:cs="Times New Roman"/>
          <w:color w:val="000000"/>
          <w:lang w:val="es-ES_tradnl"/>
        </w:rPr>
        <w:t xml:space="preserve"> </w:t>
      </w:r>
      <w:r w:rsidR="004E65FF">
        <w:rPr>
          <w:rFonts w:ascii="Palatino Linotype" w:eastAsia="Calibri" w:hAnsi="Palatino Linotype" w:cs="Times New Roman"/>
          <w:color w:val="000000"/>
          <w:lang w:val="es-ES_tradnl"/>
        </w:rPr>
        <w:t>trece</w:t>
      </w:r>
      <w:r w:rsidR="00224D13">
        <w:rPr>
          <w:rFonts w:ascii="Palatino Linotype" w:eastAsia="Calibri" w:hAnsi="Palatino Linotype" w:cs="Times New Roman"/>
          <w:color w:val="000000"/>
          <w:lang w:val="es-ES_tradnl"/>
        </w:rPr>
        <w:t xml:space="preserve"> de agosto de dos mil veinticinco</w:t>
      </w:r>
      <w:r w:rsidR="003E0A35" w:rsidRPr="003E0A35">
        <w:rPr>
          <w:rFonts w:ascii="Palatino Linotype" w:eastAsia="Calibri" w:hAnsi="Palatino Linotype" w:cs="Times New Roman"/>
          <w:color w:val="000000"/>
          <w:lang w:val="es-ES_tradnl"/>
        </w:rPr>
        <w:t xml:space="preserve">, se dictó el acuerdo mediante el cual </w:t>
      </w:r>
      <w:r w:rsidR="003E0A35" w:rsidRPr="003E0A35">
        <w:rPr>
          <w:rFonts w:ascii="Palatino Linotype" w:eastAsia="Calibri" w:hAnsi="Palatino Linotype" w:cs="Times New Roman"/>
          <w:b/>
          <w:color w:val="000000"/>
          <w:lang w:val="es-ES_tradnl"/>
        </w:rPr>
        <w:t>se pusieron a la vista del Particular los Informes Justificados,</w:t>
      </w:r>
      <w:r w:rsidR="003E0A35" w:rsidRPr="003E0A35">
        <w:rPr>
          <w:rFonts w:ascii="Palatino Linotype" w:eastAsia="Calibri" w:hAnsi="Palatino Linotype" w:cs="Times New Roman"/>
          <w:color w:val="000000"/>
          <w:lang w:val="es-ES_tradnl"/>
        </w:rPr>
        <w:t xml:space="preserve"> entregados por el Sujeto Obligado, lo cual fue notificado a las partes, a través del Sistema de Acceso a la Información Mexiquense (SAIMEX), el mismo día de mes y año. </w:t>
      </w:r>
      <w:r w:rsidR="003E0A35" w:rsidRPr="003E0A35">
        <w:rPr>
          <w:rFonts w:ascii="Palatino Linotype" w:eastAsia="Calibri" w:hAnsi="Palatino Linotype" w:cs="Times New Roman"/>
          <w:b/>
          <w:bCs/>
          <w:color w:val="000000"/>
          <w:lang w:val="es-ES_tradnl"/>
        </w:rPr>
        <w:t>Cabe señalar que el Recurrente, fue omiso en realizar alguna manifestación que a su derecho conviniera y asistiera.</w:t>
      </w:r>
    </w:p>
    <w:p w14:paraId="1946914A" w14:textId="77777777" w:rsidR="003E0A35" w:rsidRPr="003E0A35" w:rsidRDefault="003E0A35" w:rsidP="003E0A35">
      <w:pPr>
        <w:spacing w:after="0" w:line="360" w:lineRule="auto"/>
        <w:rPr>
          <w:rFonts w:ascii="Palatino Linotype" w:eastAsia="Palatino Linotype" w:hAnsi="Palatino Linotype" w:cs="Palatino Linotype"/>
          <w:b/>
          <w:bCs/>
          <w:lang w:val="es-ES" w:eastAsia="es-MX"/>
        </w:rPr>
      </w:pPr>
    </w:p>
    <w:p w14:paraId="3BF9B007" w14:textId="7D6D713B" w:rsidR="00B811B2" w:rsidRPr="00963BA1" w:rsidRDefault="001E2943" w:rsidP="00E12E55">
      <w:pPr>
        <w:spacing w:after="0" w:line="360" w:lineRule="auto"/>
        <w:rPr>
          <w:rFonts w:ascii="Palatino Linotype" w:eastAsia="Times New Roman" w:hAnsi="Palatino Linotype" w:cs="Tahoma"/>
          <w:szCs w:val="24"/>
          <w:lang w:eastAsia="es-ES"/>
        </w:rPr>
      </w:pPr>
      <w:r>
        <w:rPr>
          <w:rFonts w:ascii="Palatino Linotype" w:eastAsia="Palatino Linotype" w:hAnsi="Palatino Linotype" w:cs="Palatino Linotype"/>
          <w:b/>
          <w:bCs/>
          <w:color w:val="000000"/>
          <w:lang w:val="es-ES"/>
        </w:rPr>
        <w:t>e</w:t>
      </w:r>
      <w:r w:rsidR="003E0A35" w:rsidRPr="003E0A35">
        <w:rPr>
          <w:rFonts w:ascii="Palatino Linotype" w:eastAsia="Palatino Linotype" w:hAnsi="Palatino Linotype" w:cs="Palatino Linotype"/>
          <w:b/>
          <w:bCs/>
          <w:color w:val="000000"/>
          <w:lang w:val="es-ES"/>
        </w:rPr>
        <w:t xml:space="preserve">) </w:t>
      </w:r>
      <w:r w:rsidR="00B811B2" w:rsidRPr="00963BA1">
        <w:rPr>
          <w:rFonts w:ascii="Palatino Linotype" w:eastAsia="Times New Roman" w:hAnsi="Palatino Linotype" w:cs="Tahoma"/>
          <w:b/>
          <w:szCs w:val="24"/>
          <w:lang w:eastAsia="es-ES"/>
        </w:rPr>
        <w:t>Cierre de instrucción.</w:t>
      </w:r>
      <w:r w:rsidR="00B811B2" w:rsidRPr="00963BA1">
        <w:rPr>
          <w:rFonts w:ascii="Palatino Linotype" w:eastAsia="Times New Roman" w:hAnsi="Palatino Linotype" w:cs="Tahoma"/>
          <w:szCs w:val="24"/>
          <w:lang w:eastAsia="es-ES"/>
        </w:rPr>
        <w:t xml:space="preserve"> El </w:t>
      </w:r>
      <w:r w:rsidR="00116460">
        <w:rPr>
          <w:rFonts w:ascii="Palatino Linotype" w:eastAsia="Times New Roman" w:hAnsi="Palatino Linotype" w:cs="Tahoma"/>
          <w:szCs w:val="24"/>
          <w:lang w:eastAsia="es-ES"/>
        </w:rPr>
        <w:t>veinte</w:t>
      </w:r>
      <w:r w:rsidR="00224D13">
        <w:rPr>
          <w:rFonts w:ascii="Palatino Linotype" w:eastAsia="Times New Roman" w:hAnsi="Palatino Linotype" w:cs="Tahoma"/>
          <w:szCs w:val="24"/>
          <w:lang w:eastAsia="es-ES"/>
        </w:rPr>
        <w:t xml:space="preserve"> de agosto de dos mil veinticinco</w:t>
      </w:r>
      <w:r w:rsidR="00B811B2" w:rsidRPr="00963BA1">
        <w:rPr>
          <w:rFonts w:ascii="Palatino Linotype" w:eastAsia="Times New Roman" w:hAnsi="Palatino Linotype"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B811B2" w:rsidRPr="00963BA1">
        <w:rPr>
          <w:rFonts w:ascii="Palatino Linotype" w:eastAsia="Palatino Linotype" w:hAnsi="Palatino Linotype" w:cs="Palatino Linotype"/>
          <w:color w:val="000000"/>
          <w:lang w:val="es-ES"/>
        </w:rPr>
        <w:t xml:space="preserve">acto que fue notificado a las partes, mediante el Sistema de Acceso a la Información Mexiquense (SAIMEX), </w:t>
      </w:r>
      <w:r w:rsidR="00B57D1E">
        <w:rPr>
          <w:rFonts w:ascii="Palatino Linotype" w:eastAsia="Palatino Linotype" w:hAnsi="Palatino Linotype" w:cs="Palatino Linotype"/>
          <w:color w:val="000000"/>
          <w:lang w:val="es-ES"/>
        </w:rPr>
        <w:t>el seis de dicho mes y año</w:t>
      </w:r>
      <w:r w:rsidR="00D10182">
        <w:rPr>
          <w:rFonts w:ascii="Palatino Linotype" w:eastAsia="Palatino Linotype" w:hAnsi="Palatino Linotype" w:cs="Palatino Linotype"/>
          <w:color w:val="000000"/>
          <w:lang w:val="es-ES"/>
        </w:rPr>
        <w:t>.</w:t>
      </w:r>
    </w:p>
    <w:p w14:paraId="74E2D34F" w14:textId="77777777" w:rsidR="00B811B2" w:rsidRPr="00963BA1" w:rsidRDefault="00B811B2" w:rsidP="00E12E55">
      <w:pPr>
        <w:spacing w:after="0" w:line="360" w:lineRule="auto"/>
        <w:rPr>
          <w:rFonts w:ascii="Palatino Linotype" w:eastAsia="Times New Roman" w:hAnsi="Palatino Linotype" w:cs="Tahoma"/>
          <w:szCs w:val="24"/>
          <w:lang w:eastAsia="es-ES"/>
        </w:rPr>
      </w:pPr>
    </w:p>
    <w:p w14:paraId="3CD16494" w14:textId="77777777" w:rsidR="00B811B2" w:rsidRPr="00963BA1" w:rsidRDefault="00B811B2" w:rsidP="00E12E55">
      <w:pPr>
        <w:spacing w:after="0" w:line="360" w:lineRule="auto"/>
        <w:rPr>
          <w:rFonts w:ascii="Palatino Linotype" w:eastAsia="Times New Roman" w:hAnsi="Palatino Linotype" w:cs="Tahoma"/>
          <w:szCs w:val="24"/>
          <w:lang w:eastAsia="es-ES"/>
        </w:rPr>
      </w:pPr>
      <w:r w:rsidRPr="00963BA1">
        <w:rPr>
          <w:rFonts w:ascii="Palatino Linotype" w:eastAsia="Times New Roman" w:hAnsi="Palatino Linotype" w:cs="Tahoma"/>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480C4460" w14:textId="77777777" w:rsidR="00B811B2" w:rsidRPr="00963BA1" w:rsidRDefault="00B811B2" w:rsidP="00E12E55">
      <w:pPr>
        <w:spacing w:after="0" w:line="360" w:lineRule="auto"/>
        <w:rPr>
          <w:rFonts w:ascii="Palatino Linotype" w:eastAsia="Times New Roman" w:hAnsi="Palatino Linotype" w:cs="Tahoma"/>
          <w:bCs/>
          <w:iCs/>
          <w:lang w:val="es-ES" w:eastAsia="es-ES"/>
        </w:rPr>
      </w:pPr>
    </w:p>
    <w:p w14:paraId="19A80313" w14:textId="77777777" w:rsidR="00B811B2" w:rsidRPr="00963BA1" w:rsidRDefault="00B811B2" w:rsidP="00FE1919">
      <w:pPr>
        <w:pStyle w:val="Ttulo1"/>
        <w:rPr>
          <w:rFonts w:eastAsia="Times New Roman"/>
          <w:lang w:val="es-ES" w:eastAsia="es-ES"/>
        </w:rPr>
      </w:pPr>
      <w:bookmarkStart w:id="5" w:name="_Toc206688679"/>
      <w:r w:rsidRPr="00963BA1">
        <w:rPr>
          <w:rFonts w:eastAsia="Times New Roman"/>
          <w:lang w:val="es-ES" w:eastAsia="es-ES"/>
        </w:rPr>
        <w:lastRenderedPageBreak/>
        <w:t>C O N S I D E R A N D O S:</w:t>
      </w:r>
      <w:bookmarkEnd w:id="5"/>
    </w:p>
    <w:p w14:paraId="5D8AAE77" w14:textId="77777777" w:rsidR="002266E7" w:rsidRPr="00963BA1" w:rsidRDefault="002266E7" w:rsidP="00E12E55">
      <w:pPr>
        <w:spacing w:after="0" w:line="360" w:lineRule="auto"/>
        <w:jc w:val="center"/>
        <w:rPr>
          <w:rFonts w:ascii="Palatino Linotype" w:eastAsia="Times New Roman" w:hAnsi="Palatino Linotype" w:cs="Tahoma"/>
          <w:b/>
          <w:lang w:val="es-ES" w:eastAsia="es-ES"/>
        </w:rPr>
      </w:pPr>
    </w:p>
    <w:p w14:paraId="2C53FEC5" w14:textId="77777777" w:rsidR="006A3EE8" w:rsidRPr="00963BA1" w:rsidRDefault="006A3EE8" w:rsidP="00FE1919">
      <w:pPr>
        <w:pStyle w:val="Ttulo2"/>
        <w:rPr>
          <w:rFonts w:eastAsia="Times New Roman"/>
          <w:lang w:val="es-ES" w:eastAsia="es-ES"/>
        </w:rPr>
      </w:pPr>
      <w:bookmarkStart w:id="6" w:name="_Toc206688680"/>
      <w:r w:rsidRPr="00963BA1">
        <w:rPr>
          <w:rFonts w:eastAsia="Calibri"/>
          <w:color w:val="000000"/>
          <w:lang w:val="es-ES" w:eastAsia="es-MX"/>
        </w:rPr>
        <w:t>PRIMERO</w:t>
      </w:r>
      <w:r w:rsidR="00EB692E">
        <w:rPr>
          <w:rFonts w:eastAsia="Calibri"/>
          <w:color w:val="000000"/>
          <w:lang w:val="es-ES" w:eastAsia="es-MX"/>
        </w:rPr>
        <w:t>.</w:t>
      </w:r>
      <w:r w:rsidR="00582149" w:rsidRPr="00963BA1">
        <w:rPr>
          <w:rFonts w:eastAsia="Calibri"/>
          <w:color w:val="000000"/>
          <w:lang w:val="es-ES" w:eastAsia="es-MX"/>
        </w:rPr>
        <w:t xml:space="preserve"> </w:t>
      </w:r>
      <w:r w:rsidR="00582149" w:rsidRPr="00963BA1">
        <w:rPr>
          <w:rFonts w:eastAsia="Times New Roman"/>
          <w:lang w:val="es-ES" w:eastAsia="es-ES"/>
        </w:rPr>
        <w:t>Competencia</w:t>
      </w:r>
      <w:bookmarkEnd w:id="6"/>
    </w:p>
    <w:p w14:paraId="2D61A8DB" w14:textId="77777777" w:rsidR="006A3EE8" w:rsidRPr="00963BA1" w:rsidRDefault="006A3EE8" w:rsidP="00E12E55">
      <w:pPr>
        <w:autoSpaceDE w:val="0"/>
        <w:autoSpaceDN w:val="0"/>
        <w:adjustRightInd w:val="0"/>
        <w:spacing w:after="0" w:line="360" w:lineRule="auto"/>
        <w:contextualSpacing/>
        <w:rPr>
          <w:rFonts w:ascii="Palatino Linotype" w:eastAsia="Times New Roman" w:hAnsi="Palatino Linotype" w:cs="Tahoma"/>
          <w:b/>
          <w:szCs w:val="24"/>
          <w:lang w:val="es-ES" w:eastAsia="es-ES"/>
        </w:rPr>
      </w:pPr>
    </w:p>
    <w:p w14:paraId="16979282" w14:textId="231A6A0F" w:rsidR="006A3EE8" w:rsidRPr="00963BA1" w:rsidRDefault="006A3EE8" w:rsidP="00E12E55">
      <w:pPr>
        <w:spacing w:after="0" w:line="360" w:lineRule="auto"/>
        <w:contextualSpacing/>
        <w:rPr>
          <w:rFonts w:ascii="Palatino Linotype" w:eastAsia="Times New Roman" w:hAnsi="Palatino Linotype" w:cs="Tahoma"/>
          <w:bCs/>
          <w:lang w:eastAsia="es-ES"/>
        </w:rPr>
      </w:pPr>
      <w:bookmarkStart w:id="7" w:name="_Hlk63334754"/>
      <w:r w:rsidRPr="00963BA1">
        <w:rPr>
          <w:rFonts w:ascii="Palatino Linotype" w:eastAsia="Times New Roman" w:hAnsi="Palatino Linotype"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224D13">
        <w:rPr>
          <w:rFonts w:ascii="Palatino Linotype" w:eastAsia="Times New Roman" w:hAnsi="Palatino Linotype" w:cs="Tahoma"/>
          <w:bCs/>
          <w:lang w:eastAsia="es-ES"/>
        </w:rPr>
        <w:t>noveno</w:t>
      </w:r>
      <w:r w:rsidRPr="00963BA1">
        <w:rPr>
          <w:rFonts w:ascii="Palatino Linotype" w:eastAsia="Times New Roman" w:hAnsi="Palatino Linotype" w:cs="Tahoma"/>
          <w:bCs/>
          <w:lang w:eastAsia="es-ES"/>
        </w:rPr>
        <w:t xml:space="preserve">, </w:t>
      </w:r>
      <w:r w:rsidR="00224D13">
        <w:rPr>
          <w:rFonts w:ascii="Palatino Linotype" w:eastAsia="Times New Roman" w:hAnsi="Palatino Linotype" w:cs="Tahoma"/>
          <w:bCs/>
          <w:lang w:eastAsia="es-ES"/>
        </w:rPr>
        <w:t>cuadragésimo y cuadragésimo primero</w:t>
      </w:r>
      <w:r w:rsidRPr="00963BA1">
        <w:rPr>
          <w:rFonts w:ascii="Palatino Linotype" w:eastAsia="Times New Roman" w:hAnsi="Palatino Linotype" w:cs="Tahoma"/>
          <w:bCs/>
          <w:lang w:eastAsia="es-ES"/>
        </w:rPr>
        <w:t>, fracciones I, II, III, IV y V de la Constitución Política del Estado Libre y Soberano de México; 13, 29, 36, fracciones I y II; 176, 178, 179, 181 párrafo tercero, 185, 188 y 189 de la Ley Transparencia y Acceso a la Información Pública del Estado de México y Municipios;</w:t>
      </w:r>
      <w:r w:rsidRPr="00963BA1">
        <w:rPr>
          <w:rFonts w:ascii="Palatino Linotype" w:eastAsia="Times New Roman" w:hAnsi="Palatino Linotype" w:cs="Times New Roman"/>
          <w:bCs/>
          <w:lang w:eastAsia="es-ES"/>
        </w:rPr>
        <w:t xml:space="preserve"> 7°, </w:t>
      </w:r>
      <w:r w:rsidRPr="00963BA1">
        <w:rPr>
          <w:rFonts w:ascii="Palatino Linotype" w:eastAsia="Times New Roman" w:hAnsi="Palatino Linotype" w:cs="Tahoma"/>
          <w:bCs/>
          <w:lang w:eastAsia="es-ES"/>
        </w:rPr>
        <w:t>9°, fracciones I y XXIII y 11 del Reglamento Interior del Instituto de Transparencia, Acceso a la Información Pública y Protección de Datos Personales del Estado de México y Municipios.</w:t>
      </w:r>
      <w:bookmarkEnd w:id="7"/>
    </w:p>
    <w:p w14:paraId="4FDC3A80" w14:textId="77777777" w:rsidR="006A3EE8" w:rsidRPr="00963BA1" w:rsidRDefault="006A3EE8" w:rsidP="00E12E55">
      <w:pPr>
        <w:autoSpaceDE w:val="0"/>
        <w:autoSpaceDN w:val="0"/>
        <w:adjustRightInd w:val="0"/>
        <w:spacing w:after="0" w:line="360" w:lineRule="auto"/>
        <w:contextualSpacing/>
        <w:rPr>
          <w:rFonts w:ascii="Palatino Linotype" w:eastAsia="Calibri" w:hAnsi="Palatino Linotype" w:cs="Tahoma"/>
          <w:b/>
          <w:color w:val="000000"/>
          <w:szCs w:val="24"/>
          <w:lang w:val="es-ES" w:eastAsia="es-MX"/>
        </w:rPr>
      </w:pPr>
    </w:p>
    <w:p w14:paraId="4EBD1FF5" w14:textId="77777777" w:rsidR="006A3EE8" w:rsidRPr="00963BA1" w:rsidRDefault="006A3EE8" w:rsidP="00FE1919">
      <w:pPr>
        <w:pStyle w:val="Ttulo2"/>
        <w:rPr>
          <w:rFonts w:eastAsia="Times New Roman"/>
          <w:lang w:val="es-ES" w:eastAsia="es-ES"/>
        </w:rPr>
      </w:pPr>
      <w:bookmarkStart w:id="8" w:name="_Toc206688681"/>
      <w:r w:rsidRPr="00963BA1">
        <w:rPr>
          <w:rFonts w:eastAsia="Calibri"/>
          <w:color w:val="000000"/>
          <w:lang w:val="es-ES" w:eastAsia="es-MX"/>
        </w:rPr>
        <w:t xml:space="preserve">SEGUNDO. </w:t>
      </w:r>
      <w:r w:rsidRPr="00963BA1">
        <w:rPr>
          <w:rFonts w:eastAsia="Times New Roman"/>
          <w:lang w:val="es-ES" w:eastAsia="es-ES"/>
        </w:rPr>
        <w:t>Causales de</w:t>
      </w:r>
      <w:r w:rsidR="00582149" w:rsidRPr="00963BA1">
        <w:rPr>
          <w:rFonts w:eastAsia="Times New Roman"/>
          <w:lang w:val="es-ES" w:eastAsia="es-ES"/>
        </w:rPr>
        <w:t xml:space="preserve"> improcedencia y sobreseimiento</w:t>
      </w:r>
      <w:bookmarkEnd w:id="8"/>
    </w:p>
    <w:p w14:paraId="487FE394" w14:textId="77777777" w:rsidR="006A3EE8" w:rsidRPr="00963BA1" w:rsidRDefault="006A3EE8" w:rsidP="00E12E55">
      <w:pPr>
        <w:autoSpaceDE w:val="0"/>
        <w:autoSpaceDN w:val="0"/>
        <w:adjustRightInd w:val="0"/>
        <w:spacing w:after="0" w:line="360" w:lineRule="auto"/>
        <w:contextualSpacing/>
        <w:rPr>
          <w:rFonts w:ascii="Palatino Linotype" w:eastAsia="Times New Roman" w:hAnsi="Palatino Linotype" w:cs="Tahoma"/>
          <w:szCs w:val="24"/>
          <w:lang w:val="es-ES" w:eastAsia="es-ES"/>
        </w:rPr>
      </w:pPr>
    </w:p>
    <w:p w14:paraId="6D4A7BFB" w14:textId="77777777" w:rsidR="006A3EE8" w:rsidRPr="00963BA1" w:rsidRDefault="006A3EE8" w:rsidP="00E12E55">
      <w:pPr>
        <w:autoSpaceDE w:val="0"/>
        <w:autoSpaceDN w:val="0"/>
        <w:adjustRightInd w:val="0"/>
        <w:spacing w:after="0" w:line="360" w:lineRule="auto"/>
        <w:contextualSpacing/>
        <w:rPr>
          <w:rFonts w:ascii="Palatino Linotype" w:eastAsia="Times New Roman" w:hAnsi="Palatino Linotype" w:cs="Tahoma"/>
          <w:szCs w:val="24"/>
          <w:lang w:val="es-ES" w:eastAsia="es-ES"/>
        </w:rPr>
      </w:pPr>
      <w:r w:rsidRPr="00963BA1">
        <w:rPr>
          <w:rFonts w:ascii="Palatino Linotype" w:eastAsia="Times New Roman" w:hAnsi="Palatino Linotype" w:cs="Tahoma"/>
          <w:szCs w:val="24"/>
          <w:lang w:val="es-ES" w:eastAsia="es-ES"/>
        </w:rPr>
        <w:t xml:space="preserve">De las constancias que forma parte del Recurso de Revisión que se analiza, se advierte que previo al estudio del fondo de la </w:t>
      </w:r>
      <w:proofErr w:type="spellStart"/>
      <w:r w:rsidRPr="00963BA1">
        <w:rPr>
          <w:rFonts w:ascii="Palatino Linotype" w:eastAsia="Times New Roman" w:hAnsi="Palatino Linotype" w:cs="Tahoma"/>
          <w:i/>
          <w:szCs w:val="24"/>
          <w:lang w:val="es-ES" w:eastAsia="es-ES"/>
        </w:rPr>
        <w:t>litis</w:t>
      </w:r>
      <w:proofErr w:type="spellEnd"/>
      <w:r w:rsidRPr="00963BA1">
        <w:rPr>
          <w:rFonts w:ascii="Palatino Linotype" w:eastAsia="Times New Roman" w:hAnsi="Palatino Linotype" w:cs="Tahoma"/>
          <w:szCs w:val="24"/>
          <w:lang w:val="es-ES" w:eastAsia="es-ES"/>
        </w:rPr>
        <w:t>, es necesario estudiar las causales de improcedencia y sobreseimiento que se adviertan, para determinar lo que en Derecho proceda.</w:t>
      </w:r>
    </w:p>
    <w:p w14:paraId="5D833681" w14:textId="77777777" w:rsidR="006A3EE8" w:rsidRPr="00963BA1" w:rsidRDefault="006A3EE8" w:rsidP="00E12E55">
      <w:pPr>
        <w:spacing w:after="0" w:line="360" w:lineRule="auto"/>
        <w:contextualSpacing/>
        <w:rPr>
          <w:rFonts w:ascii="Palatino Linotype" w:hAnsi="Palatino Linotype"/>
          <w:b/>
          <w:color w:val="000000" w:themeColor="text1"/>
          <w:lang w:val="es-ES"/>
        </w:rPr>
      </w:pPr>
    </w:p>
    <w:p w14:paraId="0DCEE97A" w14:textId="77777777" w:rsidR="006A3EE8" w:rsidRPr="00963BA1" w:rsidRDefault="006A3EE8" w:rsidP="00E12E55">
      <w:pPr>
        <w:spacing w:after="0" w:line="360" w:lineRule="auto"/>
        <w:contextualSpacing/>
        <w:rPr>
          <w:rFonts w:ascii="Palatino Linotype" w:hAnsi="Palatino Linotype"/>
          <w:b/>
          <w:color w:val="000000" w:themeColor="text1"/>
          <w:lang w:val="es-ES"/>
        </w:rPr>
      </w:pPr>
      <w:r w:rsidRPr="00963BA1">
        <w:rPr>
          <w:rFonts w:ascii="Palatino Linotype" w:hAnsi="Palatino Linotype"/>
          <w:b/>
          <w:color w:val="000000" w:themeColor="text1"/>
          <w:lang w:val="es-ES"/>
        </w:rPr>
        <w:t>Causales de improcedencia</w:t>
      </w:r>
    </w:p>
    <w:p w14:paraId="55DFB566" w14:textId="77777777" w:rsidR="006A3EE8" w:rsidRPr="00963BA1" w:rsidRDefault="006A3EE8" w:rsidP="00E12E55">
      <w:pPr>
        <w:spacing w:after="0" w:line="360" w:lineRule="auto"/>
        <w:contextualSpacing/>
        <w:rPr>
          <w:rFonts w:ascii="Palatino Linotype" w:hAnsi="Palatino Linotype"/>
          <w:color w:val="000000" w:themeColor="text1"/>
        </w:rPr>
      </w:pPr>
    </w:p>
    <w:p w14:paraId="023F0038" w14:textId="77777777" w:rsidR="006A3EE8" w:rsidRPr="00963BA1" w:rsidRDefault="006A3EE8" w:rsidP="00E12E55">
      <w:pPr>
        <w:spacing w:after="0" w:line="360" w:lineRule="auto"/>
        <w:contextualSpacing/>
        <w:rPr>
          <w:rFonts w:ascii="Palatino Linotype" w:eastAsia="Times New Roman" w:hAnsi="Palatino Linotype" w:cs="Tahoma"/>
          <w:lang w:eastAsia="es-ES"/>
        </w:rPr>
      </w:pPr>
      <w:r w:rsidRPr="00963BA1">
        <w:rPr>
          <w:rFonts w:ascii="Palatino Linotype" w:eastAsia="Times New Roman" w:hAnsi="Palatino Linotype" w:cs="Tahoma"/>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w:t>
      </w:r>
      <w:r w:rsidRPr="00963BA1">
        <w:rPr>
          <w:rFonts w:ascii="Palatino Linotype" w:eastAsia="Times New Roman" w:hAnsi="Palatino Linotype" w:cs="Tahoma"/>
          <w:lang w:eastAsia="es-ES"/>
        </w:rPr>
        <w:lastRenderedPageBreak/>
        <w:t>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5F828FA" w14:textId="77777777" w:rsidR="006A3EE8" w:rsidRPr="00963BA1" w:rsidRDefault="006A3EE8" w:rsidP="00E12E55">
      <w:pPr>
        <w:spacing w:after="0" w:line="360" w:lineRule="auto"/>
        <w:contextualSpacing/>
        <w:rPr>
          <w:rFonts w:ascii="Palatino Linotype" w:eastAsia="Times New Roman" w:hAnsi="Palatino Linotype" w:cs="Tahoma"/>
          <w:lang w:eastAsia="es-ES"/>
        </w:rPr>
      </w:pPr>
    </w:p>
    <w:p w14:paraId="5C48E759" w14:textId="77777777" w:rsidR="006A3EE8" w:rsidRPr="00963BA1" w:rsidRDefault="006A3EE8" w:rsidP="00E12E55">
      <w:pPr>
        <w:spacing w:after="0" w:line="360" w:lineRule="auto"/>
        <w:contextualSpacing/>
        <w:rPr>
          <w:rFonts w:ascii="Palatino Linotype" w:eastAsia="Times New Roman" w:hAnsi="Palatino Linotype" w:cs="Tahoma"/>
          <w:lang w:eastAsia="es-ES"/>
        </w:rPr>
      </w:pPr>
      <w:r w:rsidRPr="00963BA1">
        <w:rPr>
          <w:rFonts w:ascii="Palatino Linotype" w:eastAsia="Times New Roman" w:hAnsi="Palatino Linotype" w:cs="Tahoma"/>
          <w:lang w:eastAsia="es-ES"/>
        </w:rPr>
        <w:t>En el presente caso, </w:t>
      </w:r>
      <w:r w:rsidRPr="00963BA1">
        <w:rPr>
          <w:rFonts w:ascii="Palatino Linotype" w:eastAsia="Times New Roman" w:hAnsi="Palatino Linotype" w:cs="Tahoma"/>
          <w:b/>
          <w:bCs/>
          <w:lang w:eastAsia="es-ES"/>
        </w:rPr>
        <w:t>no se actualiza ninguna de las causales de improcedencia</w:t>
      </w:r>
      <w:r w:rsidRPr="00963BA1">
        <w:rPr>
          <w:rFonts w:ascii="Palatino Linotype" w:eastAsia="Times New Roman" w:hAnsi="Palatino Linotype" w:cs="Tahoma"/>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3E01AB8" w14:textId="77777777" w:rsidR="006A3EE8" w:rsidRPr="00963BA1" w:rsidRDefault="006A3EE8" w:rsidP="00E12E55">
      <w:pPr>
        <w:spacing w:after="0" w:line="360" w:lineRule="auto"/>
        <w:contextualSpacing/>
        <w:rPr>
          <w:rFonts w:ascii="Palatino Linotype" w:eastAsia="Times New Roman" w:hAnsi="Palatino Linotype" w:cs="Tahoma"/>
          <w:lang w:val="es-ES" w:eastAsia="es-ES"/>
        </w:rPr>
      </w:pPr>
    </w:p>
    <w:p w14:paraId="776DF96E" w14:textId="2E1FE5E2" w:rsidR="006A3EE8" w:rsidRPr="00963BA1" w:rsidRDefault="006A3EE8" w:rsidP="00E12E55">
      <w:pPr>
        <w:spacing w:after="0" w:line="360" w:lineRule="auto"/>
        <w:contextualSpacing/>
        <w:rPr>
          <w:rFonts w:ascii="Palatino Linotype" w:eastAsia="Times New Roman" w:hAnsi="Palatino Linotype" w:cs="Tahoma"/>
          <w:bCs/>
          <w:lang w:val="es-ES" w:eastAsia="es-ES"/>
        </w:rPr>
      </w:pPr>
      <w:r w:rsidRPr="00963BA1">
        <w:rPr>
          <w:rFonts w:ascii="Palatino Linotype" w:eastAsia="Times New Roman" w:hAnsi="Palatino Linotype" w:cs="Tahoma"/>
          <w:lang w:val="es-ES" w:eastAsia="es-ES"/>
        </w:rPr>
        <w:t xml:space="preserve">Conforme a lo anterior, se actualiza la causal de procedencia señalada </w:t>
      </w:r>
      <w:r w:rsidR="00EB692E">
        <w:rPr>
          <w:rFonts w:ascii="Palatino Linotype" w:eastAsia="Times New Roman" w:hAnsi="Palatino Linotype" w:cs="Tahoma"/>
          <w:lang w:val="es-ES" w:eastAsia="es-ES"/>
        </w:rPr>
        <w:t>en el artículo 179, fracción V</w:t>
      </w:r>
      <w:r w:rsidR="00224D13">
        <w:rPr>
          <w:rFonts w:ascii="Palatino Linotype" w:eastAsia="Times New Roman" w:hAnsi="Palatino Linotype" w:cs="Tahoma"/>
          <w:lang w:val="es-ES" w:eastAsia="es-ES"/>
        </w:rPr>
        <w:t>I</w:t>
      </w:r>
      <w:r w:rsidRPr="00963BA1">
        <w:rPr>
          <w:rFonts w:ascii="Palatino Linotype" w:eastAsia="Times New Roman" w:hAnsi="Palatino Linotype" w:cs="Tahoma"/>
          <w:lang w:val="es-ES" w:eastAsia="es-ES"/>
        </w:rPr>
        <w:t>, de la Ley de la materia</w:t>
      </w:r>
      <w:r w:rsidRPr="00963BA1">
        <w:rPr>
          <w:rFonts w:ascii="Palatino Linotype" w:eastAsia="Times New Roman" w:hAnsi="Palatino Linotype" w:cs="Tahoma"/>
          <w:bCs/>
          <w:lang w:val="es-ES" w:eastAsia="es-ES"/>
        </w:rPr>
        <w:t xml:space="preserve">, toda vez que el Solicitante se inconformó </w:t>
      </w:r>
      <w:r w:rsidR="00EB692E">
        <w:rPr>
          <w:rFonts w:ascii="Palatino Linotype" w:eastAsia="Times New Roman" w:hAnsi="Palatino Linotype" w:cs="Tahoma"/>
          <w:bCs/>
          <w:lang w:val="es-ES" w:eastAsia="es-ES"/>
        </w:rPr>
        <w:t xml:space="preserve">con la entrega de información </w:t>
      </w:r>
      <w:r w:rsidR="00224D13">
        <w:rPr>
          <w:rFonts w:ascii="Palatino Linotype" w:eastAsia="Times New Roman" w:hAnsi="Palatino Linotype" w:cs="Tahoma"/>
          <w:bCs/>
          <w:lang w:val="es-ES" w:eastAsia="es-ES"/>
        </w:rPr>
        <w:t>que no corresponde con lo solicitado.</w:t>
      </w:r>
    </w:p>
    <w:p w14:paraId="5106E313" w14:textId="77777777" w:rsidR="006A3EE8" w:rsidRPr="00963BA1" w:rsidRDefault="006A3EE8" w:rsidP="00E12E55">
      <w:pPr>
        <w:spacing w:after="0" w:line="360" w:lineRule="auto"/>
        <w:contextualSpacing/>
        <w:rPr>
          <w:rFonts w:ascii="Palatino Linotype" w:hAnsi="Palatino Linotype" w:cs="Tahoma"/>
          <w:color w:val="000000" w:themeColor="text1"/>
          <w:lang w:val="es-ES"/>
        </w:rPr>
      </w:pPr>
    </w:p>
    <w:p w14:paraId="10424252" w14:textId="77777777" w:rsidR="006A3EE8" w:rsidRPr="00963BA1" w:rsidRDefault="00582149" w:rsidP="00E12E55">
      <w:pPr>
        <w:spacing w:after="0" w:line="360" w:lineRule="auto"/>
        <w:contextualSpacing/>
        <w:rPr>
          <w:rFonts w:ascii="Palatino Linotype" w:eastAsia="Times New Roman" w:hAnsi="Palatino Linotype" w:cs="Tahoma"/>
          <w:bCs/>
          <w:color w:val="0D0D0D" w:themeColor="text1" w:themeTint="F2"/>
          <w:lang w:eastAsia="es-ES"/>
        </w:rPr>
      </w:pPr>
      <w:r w:rsidRPr="00963BA1">
        <w:rPr>
          <w:rFonts w:ascii="Palatino Linotype" w:eastAsia="Times New Roman" w:hAnsi="Palatino Linotype" w:cs="Tahoma"/>
          <w:b/>
          <w:bCs/>
          <w:color w:val="0D0D0D" w:themeColor="text1" w:themeTint="F2"/>
          <w:lang w:eastAsia="es-ES"/>
        </w:rPr>
        <w:t>Causales de sobreseimiento</w:t>
      </w:r>
    </w:p>
    <w:p w14:paraId="58F70546" w14:textId="77777777" w:rsidR="006A3EE8" w:rsidRPr="00963BA1" w:rsidRDefault="006A3EE8" w:rsidP="00E12E55">
      <w:pPr>
        <w:spacing w:after="0" w:line="360" w:lineRule="auto"/>
        <w:contextualSpacing/>
        <w:rPr>
          <w:rFonts w:ascii="Palatino Linotype" w:eastAsia="Times New Roman" w:hAnsi="Palatino Linotype" w:cs="Tahoma"/>
          <w:bCs/>
          <w:color w:val="0D0D0D" w:themeColor="text1" w:themeTint="F2"/>
          <w:lang w:eastAsia="es-ES"/>
        </w:rPr>
      </w:pPr>
    </w:p>
    <w:p w14:paraId="17924532" w14:textId="77777777" w:rsidR="006A3EE8" w:rsidRPr="00963BA1" w:rsidRDefault="006A3EE8" w:rsidP="00E12E55">
      <w:pPr>
        <w:spacing w:after="0" w:line="360" w:lineRule="auto"/>
        <w:contextualSpacing/>
        <w:rPr>
          <w:rFonts w:ascii="Palatino Linotype" w:eastAsia="Times New Roman" w:hAnsi="Palatino Linotype" w:cs="Tahoma"/>
          <w:bCs/>
          <w:color w:val="0D0D0D" w:themeColor="text1" w:themeTint="F2"/>
          <w:lang w:eastAsia="es-ES"/>
        </w:rPr>
      </w:pPr>
      <w:r w:rsidRPr="00963BA1">
        <w:rPr>
          <w:rFonts w:ascii="Palatino Linotype" w:eastAsia="Times New Roman" w:hAnsi="Palatino Linotype" w:cs="Tahoma"/>
          <w:bCs/>
          <w:color w:val="0D0D0D" w:themeColor="text1" w:themeTint="F2"/>
          <w:lang w:eastAsia="es-ES"/>
        </w:rPr>
        <w:t>Por ser de previo y especial pronunciamiento, este Instituto analiza si se actualiza alguna causal de sobreseimiento.</w:t>
      </w:r>
    </w:p>
    <w:p w14:paraId="61753ED1" w14:textId="77777777" w:rsidR="006A3EE8" w:rsidRPr="00963BA1" w:rsidRDefault="006A3EE8" w:rsidP="00E12E55">
      <w:pPr>
        <w:spacing w:after="0" w:line="360" w:lineRule="auto"/>
        <w:contextualSpacing/>
        <w:rPr>
          <w:rFonts w:ascii="Palatino Linotype" w:eastAsia="Times New Roman" w:hAnsi="Palatino Linotype" w:cs="Tahoma"/>
          <w:bCs/>
          <w:color w:val="0D0D0D" w:themeColor="text1" w:themeTint="F2"/>
          <w:lang w:eastAsia="es-ES"/>
        </w:rPr>
      </w:pPr>
    </w:p>
    <w:p w14:paraId="69F7C5D8" w14:textId="77777777" w:rsidR="006A3EE8" w:rsidRPr="00963BA1" w:rsidRDefault="006A3EE8" w:rsidP="00E12E55">
      <w:pPr>
        <w:spacing w:after="0" w:line="360" w:lineRule="auto"/>
        <w:contextualSpacing/>
        <w:rPr>
          <w:rFonts w:ascii="Palatino Linotype" w:eastAsia="Times New Roman" w:hAnsi="Palatino Linotype" w:cs="Tahoma"/>
          <w:szCs w:val="24"/>
          <w:lang w:eastAsia="es-ES"/>
        </w:rPr>
      </w:pPr>
      <w:r w:rsidRPr="00963BA1">
        <w:rPr>
          <w:rFonts w:ascii="Palatino Linotype" w:eastAsia="Times New Roman" w:hAnsi="Palatino Linotype" w:cs="Tahoma"/>
          <w:bCs/>
          <w:color w:val="0D0D0D" w:themeColor="text1" w:themeTint="F2"/>
          <w:lang w:eastAsia="es-ES"/>
        </w:rPr>
        <w:t>Sobre el tema, e</w:t>
      </w:r>
      <w:r w:rsidRPr="00963BA1">
        <w:rPr>
          <w:rFonts w:ascii="Palatino Linotype" w:eastAsia="Times New Roman" w:hAnsi="Palatino Linotype" w:cs="Tahoma"/>
          <w:szCs w:val="24"/>
          <w:lang w:eastAsia="es-ES"/>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w:t>
      </w:r>
      <w:r w:rsidRPr="00963BA1">
        <w:rPr>
          <w:rFonts w:ascii="Palatino Linotype" w:eastAsia="Times New Roman" w:hAnsi="Palatino Linotype" w:cs="Tahoma"/>
          <w:szCs w:val="24"/>
          <w:lang w:eastAsia="es-ES"/>
        </w:rPr>
        <w:lastRenderedPageBreak/>
        <w:t>haya fallecido, sobreviniera alguna causal de improcedencia, que el Sujeto Obligado hubiese modificado o revocado el acto impugnado o bien, haya quedado sin materia.</w:t>
      </w:r>
    </w:p>
    <w:p w14:paraId="616DDB37" w14:textId="77777777" w:rsidR="006A3EE8" w:rsidRPr="00963BA1" w:rsidRDefault="006A3EE8" w:rsidP="00E12E55">
      <w:pPr>
        <w:spacing w:after="0" w:line="360" w:lineRule="auto"/>
        <w:contextualSpacing/>
        <w:rPr>
          <w:rFonts w:ascii="Palatino Linotype" w:eastAsia="Times New Roman" w:hAnsi="Palatino Linotype" w:cs="Tahoma"/>
          <w:szCs w:val="24"/>
          <w:lang w:eastAsia="es-ES"/>
        </w:rPr>
      </w:pPr>
    </w:p>
    <w:p w14:paraId="4E7FAE76" w14:textId="77777777" w:rsidR="006A3EE8" w:rsidRPr="00963BA1" w:rsidRDefault="006A3EE8" w:rsidP="00E12E55">
      <w:pPr>
        <w:spacing w:after="0" w:line="360" w:lineRule="auto"/>
        <w:contextualSpacing/>
        <w:rPr>
          <w:rFonts w:ascii="Palatino Linotype" w:eastAsia="Times New Roman" w:hAnsi="Palatino Linotype" w:cs="Tahoma"/>
          <w:bCs/>
          <w:color w:val="0D0D0D" w:themeColor="text1" w:themeTint="F2"/>
          <w:lang w:eastAsia="es-ES"/>
        </w:rPr>
      </w:pPr>
      <w:r w:rsidRPr="00963BA1">
        <w:rPr>
          <w:rFonts w:ascii="Palatino Linotype" w:eastAsia="Times New Roman" w:hAnsi="Palatino Linotype" w:cs="Tahoma"/>
          <w:bCs/>
          <w:color w:val="0D0D0D" w:themeColor="text1" w:themeTint="F2"/>
          <w:lang w:eastAsia="es-ES"/>
        </w:rPr>
        <w:t xml:space="preserve">Por tales motivos, se considera procedente entrar al fondo del presente asunto. </w:t>
      </w:r>
    </w:p>
    <w:p w14:paraId="1354CAC6" w14:textId="77777777" w:rsidR="006A3EE8" w:rsidRPr="00C95561" w:rsidRDefault="006A3EE8" w:rsidP="00E12E55">
      <w:pPr>
        <w:spacing w:after="0" w:line="360" w:lineRule="auto"/>
        <w:contextualSpacing/>
        <w:rPr>
          <w:rFonts w:ascii="Palatino Linotype" w:eastAsia="Times New Roman" w:hAnsi="Palatino Linotype" w:cs="Tahoma"/>
          <w:b/>
          <w:bCs/>
          <w:iCs/>
          <w:lang w:val="es-ES" w:eastAsia="es-ES"/>
        </w:rPr>
      </w:pPr>
    </w:p>
    <w:p w14:paraId="36F3C29B" w14:textId="3C7373F4" w:rsidR="006A3EE8" w:rsidRPr="00C95561" w:rsidRDefault="006A3EE8" w:rsidP="00FE1919">
      <w:pPr>
        <w:pStyle w:val="Ttulo2"/>
        <w:rPr>
          <w:rFonts w:eastAsia="Times New Roman"/>
          <w:lang w:eastAsia="es-ES"/>
        </w:rPr>
      </w:pPr>
      <w:bookmarkStart w:id="9" w:name="_Toc206688682"/>
      <w:r w:rsidRPr="00C95561">
        <w:rPr>
          <w:rFonts w:eastAsia="Times New Roman"/>
          <w:lang w:eastAsia="es-ES"/>
        </w:rPr>
        <w:t>TERCERO. De</w:t>
      </w:r>
      <w:r w:rsidR="00582149" w:rsidRPr="00C95561">
        <w:rPr>
          <w:rFonts w:eastAsia="Times New Roman"/>
          <w:lang w:eastAsia="es-ES"/>
        </w:rPr>
        <w:t>terminación de la Controversia</w:t>
      </w:r>
      <w:bookmarkEnd w:id="9"/>
    </w:p>
    <w:p w14:paraId="407D8262" w14:textId="77777777" w:rsidR="004815BB" w:rsidRPr="005343AB" w:rsidRDefault="004815BB" w:rsidP="00E12E55">
      <w:pPr>
        <w:spacing w:after="0" w:line="360" w:lineRule="auto"/>
        <w:contextualSpacing/>
        <w:rPr>
          <w:rFonts w:ascii="Palatino Linotype" w:eastAsia="Times New Roman" w:hAnsi="Palatino Linotype" w:cs="Tahoma"/>
          <w:b/>
          <w:color w:val="FF0000"/>
          <w:szCs w:val="24"/>
          <w:lang w:eastAsia="es-ES"/>
        </w:rPr>
      </w:pPr>
    </w:p>
    <w:p w14:paraId="558645E0" w14:textId="5E4107A8" w:rsidR="001E2943" w:rsidRDefault="004B440B" w:rsidP="00E12E55">
      <w:pPr>
        <w:spacing w:after="0" w:line="360" w:lineRule="auto"/>
        <w:contextualSpacing/>
        <w:rPr>
          <w:rFonts w:ascii="Palatino Linotype" w:eastAsia="Times New Roman" w:hAnsi="Palatino Linotype" w:cs="Tahoma"/>
          <w:szCs w:val="24"/>
          <w:lang w:eastAsia="es-ES"/>
        </w:rPr>
      </w:pPr>
      <w:r w:rsidRPr="00AB4A1B">
        <w:rPr>
          <w:rFonts w:ascii="Palatino Linotype" w:eastAsia="Times New Roman" w:hAnsi="Palatino Linotype" w:cs="Tahoma"/>
          <w:szCs w:val="24"/>
          <w:lang w:eastAsia="es-ES"/>
        </w:rPr>
        <w:t>Una vez realizado el estudio de las constancias que obran en el expediente electrónico en el que se actúa, se advierte que el solicitante requirió</w:t>
      </w:r>
      <w:r w:rsidR="00AB4A1B" w:rsidRPr="00AB4A1B">
        <w:rPr>
          <w:rFonts w:ascii="Palatino Linotype" w:eastAsia="Times New Roman" w:hAnsi="Palatino Linotype" w:cs="Tahoma"/>
          <w:szCs w:val="24"/>
          <w:lang w:eastAsia="es-ES"/>
        </w:rPr>
        <w:t xml:space="preserve"> </w:t>
      </w:r>
      <w:r w:rsidR="00224D13">
        <w:rPr>
          <w:rFonts w:ascii="Palatino Linotype" w:eastAsia="Times New Roman" w:hAnsi="Palatino Linotype" w:cs="Tahoma"/>
          <w:szCs w:val="24"/>
          <w:lang w:eastAsia="es-ES"/>
        </w:rPr>
        <w:t>las</w:t>
      </w:r>
      <w:r w:rsidR="00EB692E">
        <w:rPr>
          <w:rFonts w:ascii="Palatino Linotype" w:eastAsia="Times New Roman" w:hAnsi="Palatino Linotype" w:cs="Tahoma"/>
          <w:szCs w:val="24"/>
          <w:lang w:eastAsia="es-ES"/>
        </w:rPr>
        <w:t xml:space="preserve"> licencias de funcionamiento </w:t>
      </w:r>
      <w:r w:rsidR="00224D13">
        <w:rPr>
          <w:rFonts w:ascii="Palatino Linotype" w:eastAsia="Times New Roman" w:hAnsi="Palatino Linotype" w:cs="Tahoma"/>
          <w:szCs w:val="24"/>
          <w:lang w:eastAsia="es-ES"/>
        </w:rPr>
        <w:t>emitidas del dos mil veintiuno al dos mil veinticinco.</w:t>
      </w:r>
    </w:p>
    <w:p w14:paraId="5CA840D1" w14:textId="77777777" w:rsidR="00224D13" w:rsidRDefault="00224D13" w:rsidP="00E12E55">
      <w:pPr>
        <w:spacing w:after="0" w:line="360" w:lineRule="auto"/>
        <w:contextualSpacing/>
        <w:rPr>
          <w:rFonts w:ascii="Palatino Linotype" w:eastAsia="Times New Roman" w:hAnsi="Palatino Linotype" w:cs="Tahoma"/>
          <w:szCs w:val="24"/>
          <w:lang w:eastAsia="es-ES"/>
        </w:rPr>
      </w:pPr>
    </w:p>
    <w:p w14:paraId="1B338283" w14:textId="6032769C" w:rsidR="004815BB" w:rsidRPr="005525E0" w:rsidRDefault="001E2943" w:rsidP="00E12E55">
      <w:pPr>
        <w:spacing w:after="0" w:line="360" w:lineRule="auto"/>
        <w:contextualSpacing/>
        <w:rPr>
          <w:rFonts w:ascii="Palatino Linotype" w:eastAsia="Calibri" w:hAnsi="Palatino Linotype" w:cs="Tahoma"/>
          <w:szCs w:val="24"/>
          <w:lang w:eastAsia="es-MX"/>
        </w:rPr>
      </w:pPr>
      <w:r w:rsidRPr="005525E0">
        <w:rPr>
          <w:rFonts w:ascii="Palatino Linotype" w:eastAsia="Times New Roman" w:hAnsi="Palatino Linotype" w:cs="Tahoma"/>
          <w:szCs w:val="24"/>
          <w:lang w:eastAsia="es-ES"/>
        </w:rPr>
        <w:t xml:space="preserve">En respuesta, el Sujeto Obligado </w:t>
      </w:r>
      <w:r>
        <w:rPr>
          <w:rFonts w:ascii="Palatino Linotype" w:eastAsia="Times New Roman" w:hAnsi="Palatino Linotype" w:cs="Tahoma"/>
          <w:szCs w:val="24"/>
          <w:lang w:eastAsia="es-ES"/>
        </w:rPr>
        <w:t xml:space="preserve">por medio de la Dirección </w:t>
      </w:r>
      <w:r w:rsidR="00224D13">
        <w:rPr>
          <w:rFonts w:ascii="Palatino Linotype" w:eastAsia="Times New Roman" w:hAnsi="Palatino Linotype" w:cs="Tahoma"/>
          <w:szCs w:val="24"/>
          <w:lang w:eastAsia="es-ES"/>
        </w:rPr>
        <w:t xml:space="preserve">General </w:t>
      </w:r>
      <w:r>
        <w:rPr>
          <w:rFonts w:ascii="Palatino Linotype" w:eastAsia="Times New Roman" w:hAnsi="Palatino Linotype" w:cs="Tahoma"/>
          <w:szCs w:val="24"/>
          <w:lang w:eastAsia="es-ES"/>
        </w:rPr>
        <w:t xml:space="preserve">de Desarrollo Económico </w:t>
      </w:r>
      <w:r w:rsidR="00224D13">
        <w:rPr>
          <w:rFonts w:ascii="Palatino Linotype" w:eastAsia="Times New Roman" w:hAnsi="Palatino Linotype" w:cs="Tahoma"/>
          <w:szCs w:val="24"/>
          <w:lang w:eastAsia="es-ES"/>
        </w:rPr>
        <w:t xml:space="preserve">señaló que durante el periodo solicitado había emitido mil ochocientas sesenta y cuatro licencias de funcionamiento y </w:t>
      </w:r>
      <w:r>
        <w:rPr>
          <w:rFonts w:ascii="Palatino Linotype" w:eastAsia="Times New Roman" w:hAnsi="Palatino Linotype" w:cs="Tahoma"/>
          <w:szCs w:val="24"/>
          <w:lang w:eastAsia="es-ES"/>
        </w:rPr>
        <w:t xml:space="preserve">proporcionó un listado </w:t>
      </w:r>
      <w:r w:rsidR="00224D13">
        <w:rPr>
          <w:rFonts w:ascii="Palatino Linotype" w:eastAsia="Times New Roman" w:hAnsi="Palatino Linotype" w:cs="Tahoma"/>
          <w:szCs w:val="24"/>
          <w:lang w:eastAsia="es-ES"/>
        </w:rPr>
        <w:t>con daos sobre dichas autorizaciones; además indicó que carecía de atribuciones para conocer del monto recaudado</w:t>
      </w:r>
      <w:r w:rsidR="002266E7" w:rsidRPr="005525E0">
        <w:rPr>
          <w:rFonts w:ascii="Palatino Linotype" w:eastAsia="Times New Roman" w:hAnsi="Palatino Linotype" w:cs="Tahoma"/>
          <w:szCs w:val="24"/>
          <w:lang w:eastAsia="es-ES"/>
        </w:rPr>
        <w:t xml:space="preserve">; </w:t>
      </w:r>
      <w:r w:rsidR="00453F79" w:rsidRPr="005525E0">
        <w:rPr>
          <w:rFonts w:ascii="Palatino Linotype" w:eastAsia="Calibri" w:hAnsi="Palatino Linotype" w:cs="Tahoma"/>
          <w:szCs w:val="24"/>
          <w:lang w:val="es-ES" w:eastAsia="es-MX"/>
        </w:rPr>
        <w:t>ante</w:t>
      </w:r>
      <w:r w:rsidR="004815BB" w:rsidRPr="005525E0">
        <w:rPr>
          <w:rFonts w:ascii="Palatino Linotype" w:eastAsia="Calibri" w:hAnsi="Palatino Linotype" w:cs="Tahoma"/>
          <w:szCs w:val="24"/>
          <w:lang w:val="es-ES" w:eastAsia="es-MX"/>
        </w:rPr>
        <w:t xml:space="preserve"> tal circunstancia el Particular se inconformó</w:t>
      </w:r>
      <w:r w:rsidR="004815BB" w:rsidRPr="005525E0">
        <w:rPr>
          <w:rFonts w:ascii="Palatino Linotype" w:eastAsia="Calibri" w:hAnsi="Palatino Linotype" w:cs="Tahoma"/>
          <w:szCs w:val="24"/>
          <w:lang w:val="x-none" w:eastAsia="es-MX"/>
        </w:rPr>
        <w:t xml:space="preserve"> </w:t>
      </w:r>
      <w:r w:rsidR="00EB692E">
        <w:rPr>
          <w:rFonts w:ascii="Palatino Linotype" w:eastAsia="Calibri" w:hAnsi="Palatino Linotype" w:cs="Tahoma"/>
          <w:szCs w:val="24"/>
          <w:lang w:eastAsia="es-MX"/>
        </w:rPr>
        <w:t xml:space="preserve">con la entrega de información </w:t>
      </w:r>
      <w:r w:rsidR="00224D13">
        <w:rPr>
          <w:rFonts w:ascii="Palatino Linotype" w:eastAsia="Calibri" w:hAnsi="Palatino Linotype" w:cs="Tahoma"/>
          <w:szCs w:val="24"/>
          <w:lang w:eastAsia="es-MX"/>
        </w:rPr>
        <w:t>que no corresponde con lo solicitado</w:t>
      </w:r>
      <w:r>
        <w:rPr>
          <w:rFonts w:ascii="Palatino Linotype" w:eastAsia="Calibri" w:hAnsi="Palatino Linotype" w:cs="Tahoma"/>
          <w:szCs w:val="24"/>
          <w:lang w:eastAsia="es-MX"/>
        </w:rPr>
        <w:t xml:space="preserve">, </w:t>
      </w:r>
      <w:r w:rsidR="00224D13">
        <w:rPr>
          <w:rFonts w:ascii="Palatino Linotype" w:eastAsia="Calibri" w:hAnsi="Palatino Linotype" w:cs="Tahoma"/>
          <w:szCs w:val="24"/>
          <w:lang w:eastAsia="es-MX"/>
        </w:rPr>
        <w:t>al señalar que no le entregaban lo peticionado</w:t>
      </w:r>
      <w:r w:rsidR="002266E7" w:rsidRPr="005525E0">
        <w:rPr>
          <w:rFonts w:ascii="Palatino Linotype" w:eastAsia="Calibri" w:hAnsi="Palatino Linotype" w:cs="Tahoma"/>
          <w:szCs w:val="24"/>
          <w:lang w:eastAsia="es-MX"/>
        </w:rPr>
        <w:t>,</w:t>
      </w:r>
      <w:r w:rsidR="004815BB" w:rsidRPr="005525E0">
        <w:rPr>
          <w:rFonts w:ascii="Palatino Linotype" w:eastAsia="Calibri" w:hAnsi="Palatino Linotype" w:cs="Tahoma"/>
          <w:szCs w:val="24"/>
          <w:lang w:val="es-ES" w:eastAsia="es-MX"/>
        </w:rPr>
        <w:t xml:space="preserve"> circunstancia que actualiza la causal de proced</w:t>
      </w:r>
      <w:r w:rsidR="00FD4194" w:rsidRPr="005525E0">
        <w:rPr>
          <w:rFonts w:ascii="Palatino Linotype" w:eastAsia="Calibri" w:hAnsi="Palatino Linotype" w:cs="Tahoma"/>
          <w:szCs w:val="24"/>
          <w:lang w:val="es-ES" w:eastAsia="es-MX"/>
        </w:rPr>
        <w:t xml:space="preserve">encia prevista en la </w:t>
      </w:r>
      <w:r w:rsidR="00EB692E">
        <w:rPr>
          <w:rFonts w:ascii="Palatino Linotype" w:eastAsia="Calibri" w:hAnsi="Palatino Linotype" w:cs="Tahoma"/>
          <w:szCs w:val="24"/>
          <w:lang w:val="es-ES" w:eastAsia="es-MX"/>
        </w:rPr>
        <w:t>fracción V</w:t>
      </w:r>
      <w:r w:rsidR="00224D13">
        <w:rPr>
          <w:rFonts w:ascii="Palatino Linotype" w:eastAsia="Calibri" w:hAnsi="Palatino Linotype" w:cs="Tahoma"/>
          <w:szCs w:val="24"/>
          <w:lang w:val="es-ES" w:eastAsia="es-MX"/>
        </w:rPr>
        <w:t>I</w:t>
      </w:r>
      <w:r w:rsidR="004815BB" w:rsidRPr="005525E0">
        <w:rPr>
          <w:rFonts w:ascii="Palatino Linotype" w:eastAsia="Calibri" w:hAnsi="Palatino Linotype" w:cs="Tahoma"/>
          <w:szCs w:val="24"/>
          <w:lang w:val="es-ES" w:eastAsia="es-MX"/>
        </w:rPr>
        <w:t xml:space="preserve">, del artículo 179 de la Ley de Transparencia y Acceso a la Información Pública del Estado de México y Municipios. Así las cosas, una vez admitido y notificado el Recurso a las partes, </w:t>
      </w:r>
      <w:r w:rsidR="00224D13">
        <w:rPr>
          <w:rFonts w:ascii="Palatino Linotype" w:eastAsia="Calibri" w:hAnsi="Palatino Linotype" w:cs="Tahoma"/>
          <w:szCs w:val="24"/>
          <w:lang w:val="es-ES" w:eastAsia="es-MX"/>
        </w:rPr>
        <w:t>el Ente Recurrido ratificó su respuesta inicial.</w:t>
      </w:r>
    </w:p>
    <w:p w14:paraId="222290CB" w14:textId="77777777" w:rsidR="004815BB" w:rsidRPr="005343AB" w:rsidRDefault="004815BB" w:rsidP="00E12E55">
      <w:pPr>
        <w:tabs>
          <w:tab w:val="left" w:pos="1695"/>
          <w:tab w:val="center" w:pos="4560"/>
        </w:tabs>
        <w:spacing w:after="0" w:line="360" w:lineRule="auto"/>
        <w:rPr>
          <w:rFonts w:ascii="Palatino Linotype" w:eastAsia="Times New Roman" w:hAnsi="Palatino Linotype" w:cs="Tahoma"/>
          <w:color w:val="FF0000"/>
          <w:szCs w:val="24"/>
          <w:lang w:eastAsia="es-ES"/>
        </w:rPr>
      </w:pPr>
    </w:p>
    <w:p w14:paraId="23196DE0" w14:textId="77777777" w:rsidR="0066560F" w:rsidRPr="005525E0" w:rsidRDefault="0066560F" w:rsidP="00E12E55">
      <w:pPr>
        <w:spacing w:after="0" w:line="360" w:lineRule="auto"/>
        <w:rPr>
          <w:rFonts w:ascii="Palatino Linotype" w:eastAsia="Calibri" w:hAnsi="Palatino Linotype" w:cs="Times New Roman"/>
        </w:rPr>
      </w:pPr>
      <w:r w:rsidRPr="005525E0">
        <w:rPr>
          <w:rFonts w:ascii="Palatino Linotype" w:eastAsia="Calibri" w:hAnsi="Palatino Linotype" w:cs="Times New Roman"/>
        </w:rPr>
        <w:t xml:space="preserve">Lo anterior, se desprende de las documentales que obran en el expediente de referencia, materia de la presente Resolución, consistentes en: la solicitud de acceso a la información; la respuesta del Sujeto Obligado y </w:t>
      </w:r>
      <w:r w:rsidRPr="005525E0">
        <w:rPr>
          <w:rFonts w:ascii="Palatino Linotype" w:eastAsia="Calibri" w:hAnsi="Palatino Linotype" w:cs="Times New Roman"/>
          <w:bCs/>
        </w:rPr>
        <w:t xml:space="preserve">el </w:t>
      </w:r>
      <w:r w:rsidRPr="005525E0">
        <w:rPr>
          <w:rFonts w:ascii="Palatino Linotype" w:eastAsia="Calibri" w:hAnsi="Palatino Linotype" w:cs="Times New Roman"/>
        </w:rPr>
        <w:t xml:space="preserve">escrito </w:t>
      </w:r>
      <w:proofErr w:type="spellStart"/>
      <w:r w:rsidRPr="005525E0">
        <w:rPr>
          <w:rFonts w:ascii="Palatino Linotype" w:eastAsia="Calibri" w:hAnsi="Palatino Linotype" w:cs="Times New Roman"/>
        </w:rPr>
        <w:t>recursal</w:t>
      </w:r>
      <w:proofErr w:type="spellEnd"/>
      <w:r w:rsidRPr="005525E0">
        <w:rPr>
          <w:rFonts w:ascii="Palatino Linotype" w:eastAsia="Calibri" w:hAnsi="Palatino Linotype" w:cs="Times New Roman"/>
        </w:rPr>
        <w:t>; instrumentales que se toman en cuenta a efecto de resolver el presente medio de impugnación, conforme a lo dispuesto por el artículo 185, fracción IV, de la Ley de Transparencia y Acceso a la Información Pública del Estado de México y Municipios.</w:t>
      </w:r>
    </w:p>
    <w:p w14:paraId="2198F1B5" w14:textId="77777777" w:rsidR="0066560F" w:rsidRPr="005343AB" w:rsidRDefault="0066560F" w:rsidP="00E12E55">
      <w:pPr>
        <w:tabs>
          <w:tab w:val="left" w:pos="1695"/>
          <w:tab w:val="center" w:pos="4560"/>
        </w:tabs>
        <w:spacing w:after="0" w:line="360" w:lineRule="auto"/>
        <w:rPr>
          <w:rFonts w:ascii="Palatino Linotype" w:eastAsia="Times New Roman" w:hAnsi="Palatino Linotype" w:cs="Tahoma"/>
          <w:color w:val="FF0000"/>
          <w:szCs w:val="24"/>
          <w:lang w:eastAsia="es-ES"/>
        </w:rPr>
      </w:pPr>
    </w:p>
    <w:p w14:paraId="037D839A" w14:textId="4276C85E" w:rsidR="00AE40BB" w:rsidRPr="005525E0" w:rsidRDefault="00AE40BB" w:rsidP="00FE1919">
      <w:pPr>
        <w:pStyle w:val="Ttulo2"/>
        <w:rPr>
          <w:rFonts w:eastAsia="Times New Roman"/>
          <w:lang w:eastAsia="es-ES"/>
        </w:rPr>
      </w:pPr>
      <w:bookmarkStart w:id="10" w:name="_Toc206688683"/>
      <w:r w:rsidRPr="005525E0">
        <w:rPr>
          <w:rFonts w:eastAsia="Times New Roman"/>
          <w:lang w:val="es-ES" w:eastAsia="es-ES"/>
        </w:rPr>
        <w:t xml:space="preserve">CUARTO. </w:t>
      </w:r>
      <w:r w:rsidRPr="005525E0">
        <w:rPr>
          <w:rFonts w:eastAsia="Times New Roman"/>
          <w:lang w:eastAsia="es-ES"/>
        </w:rPr>
        <w:t xml:space="preserve">Marco normativo aplicable en materia de transparencia y </w:t>
      </w:r>
      <w:r w:rsidR="00582149" w:rsidRPr="005525E0">
        <w:rPr>
          <w:rFonts w:eastAsia="Times New Roman"/>
          <w:lang w:eastAsia="es-ES"/>
        </w:rPr>
        <w:t>acceso a la información pública</w:t>
      </w:r>
      <w:bookmarkEnd w:id="10"/>
    </w:p>
    <w:p w14:paraId="012E4C11" w14:textId="77777777" w:rsidR="00AE40BB" w:rsidRPr="005525E0" w:rsidRDefault="00AE40BB" w:rsidP="00E12E55">
      <w:pPr>
        <w:autoSpaceDE w:val="0"/>
        <w:autoSpaceDN w:val="0"/>
        <w:adjustRightInd w:val="0"/>
        <w:spacing w:after="0" w:line="360" w:lineRule="auto"/>
        <w:contextualSpacing/>
        <w:rPr>
          <w:rFonts w:ascii="Palatino Linotype" w:eastAsia="Times New Roman" w:hAnsi="Palatino Linotype" w:cs="Tahoma"/>
          <w:bCs/>
          <w:iCs/>
          <w:lang w:val="es-ES" w:eastAsia="es-ES"/>
        </w:rPr>
      </w:pPr>
    </w:p>
    <w:p w14:paraId="6828E697" w14:textId="77777777" w:rsidR="00AE40BB" w:rsidRPr="005525E0" w:rsidRDefault="00AE40BB" w:rsidP="00E12E55">
      <w:pPr>
        <w:spacing w:after="0" w:line="360" w:lineRule="auto"/>
        <w:rPr>
          <w:rFonts w:ascii="Palatino Linotype" w:eastAsia="Times New Roman" w:hAnsi="Palatino Linotype" w:cs="Tahoma"/>
          <w:bCs/>
          <w:iCs/>
          <w:lang w:eastAsia="es-ES"/>
        </w:rPr>
      </w:pPr>
      <w:r w:rsidRPr="005525E0">
        <w:rPr>
          <w:rFonts w:ascii="Palatino Linotype" w:eastAsia="Times New Roman" w:hAnsi="Palatino Linotype" w:cs="Tahoma"/>
          <w:bCs/>
          <w:iCs/>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4231477" w14:textId="77777777" w:rsidR="00AE40BB" w:rsidRPr="005525E0" w:rsidRDefault="00AE40BB" w:rsidP="00E12E55">
      <w:pPr>
        <w:spacing w:after="0" w:line="360" w:lineRule="auto"/>
        <w:rPr>
          <w:rFonts w:ascii="Palatino Linotype" w:eastAsia="Times New Roman" w:hAnsi="Palatino Linotype" w:cs="Tahoma"/>
          <w:bCs/>
          <w:iCs/>
          <w:lang w:eastAsia="es-ES"/>
        </w:rPr>
      </w:pPr>
    </w:p>
    <w:p w14:paraId="50D4BD7F" w14:textId="77777777" w:rsidR="00AE40BB" w:rsidRPr="005525E0" w:rsidRDefault="00AE40BB" w:rsidP="00E12E55">
      <w:pPr>
        <w:spacing w:after="0" w:line="360" w:lineRule="auto"/>
        <w:rPr>
          <w:rFonts w:ascii="Palatino Linotype" w:eastAsia="Times New Roman" w:hAnsi="Palatino Linotype" w:cs="Tahoma"/>
          <w:bCs/>
          <w:iCs/>
          <w:lang w:eastAsia="es-ES"/>
        </w:rPr>
      </w:pPr>
      <w:r w:rsidRPr="005525E0">
        <w:rPr>
          <w:rFonts w:ascii="Palatino Linotype" w:eastAsia="Times New Roman" w:hAnsi="Palatino Linotype" w:cs="Tahoma"/>
          <w:bCs/>
          <w:iCs/>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C7687AF" w14:textId="77777777" w:rsidR="00AE40BB" w:rsidRPr="005525E0" w:rsidRDefault="00AE40BB" w:rsidP="00E12E55">
      <w:pPr>
        <w:spacing w:after="0" w:line="360" w:lineRule="auto"/>
        <w:rPr>
          <w:rFonts w:ascii="Palatino Linotype" w:eastAsia="Times New Roman" w:hAnsi="Palatino Linotype" w:cs="Tahoma"/>
          <w:bCs/>
          <w:iCs/>
          <w:lang w:eastAsia="es-ES"/>
        </w:rPr>
      </w:pPr>
    </w:p>
    <w:p w14:paraId="3A3FF02F" w14:textId="77777777" w:rsidR="00AE40BB" w:rsidRPr="005525E0" w:rsidRDefault="00AE40BB" w:rsidP="00E12E55">
      <w:pPr>
        <w:spacing w:after="0" w:line="360" w:lineRule="auto"/>
        <w:rPr>
          <w:rFonts w:ascii="Palatino Linotype" w:eastAsia="Times New Roman" w:hAnsi="Palatino Linotype" w:cs="Tahoma"/>
          <w:bCs/>
          <w:iCs/>
          <w:lang w:eastAsia="es-ES"/>
        </w:rPr>
      </w:pPr>
      <w:r w:rsidRPr="005525E0">
        <w:rPr>
          <w:rFonts w:ascii="Palatino Linotype" w:eastAsia="Times New Roman" w:hAnsi="Palatino Linotype" w:cs="Tahoma"/>
          <w:bCs/>
          <w:iCs/>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1EE09F9" w14:textId="77777777" w:rsidR="00AE40BB" w:rsidRPr="005525E0" w:rsidRDefault="00AE40BB" w:rsidP="00E12E55">
      <w:pPr>
        <w:spacing w:after="0" w:line="360" w:lineRule="auto"/>
        <w:rPr>
          <w:rFonts w:ascii="Palatino Linotype" w:eastAsia="Times New Roman" w:hAnsi="Palatino Linotype" w:cs="Tahoma"/>
          <w:bCs/>
          <w:iCs/>
          <w:lang w:eastAsia="es-ES"/>
        </w:rPr>
      </w:pPr>
    </w:p>
    <w:p w14:paraId="6401798F" w14:textId="77777777" w:rsidR="00AE40BB" w:rsidRPr="005525E0" w:rsidRDefault="00AE40BB" w:rsidP="00E12E55">
      <w:pPr>
        <w:spacing w:after="0" w:line="360" w:lineRule="auto"/>
        <w:rPr>
          <w:rFonts w:ascii="Palatino Linotype" w:eastAsia="Times New Roman" w:hAnsi="Palatino Linotype" w:cs="Tahoma"/>
          <w:bCs/>
          <w:iCs/>
          <w:lang w:eastAsia="es-ES"/>
        </w:rPr>
      </w:pPr>
      <w:r w:rsidRPr="005525E0">
        <w:rPr>
          <w:rFonts w:ascii="Palatino Linotype" w:eastAsia="Times New Roman" w:hAnsi="Palatino Linotype" w:cs="Tahoma"/>
          <w:bCs/>
          <w:iCs/>
          <w:lang w:eastAsia="es-ES"/>
        </w:rPr>
        <w:t>Por su parte, la Ley de Transparencia y Acceso a la Información Pública del Estado de México y Municipios (Reglamentaria del artículo 5° de la Constitución Local), establece lo siguiente:</w:t>
      </w:r>
    </w:p>
    <w:p w14:paraId="27A15691" w14:textId="77777777" w:rsidR="00AE40BB" w:rsidRPr="005525E0" w:rsidRDefault="00AE40BB" w:rsidP="00E12E55">
      <w:pPr>
        <w:spacing w:after="0" w:line="360" w:lineRule="auto"/>
        <w:rPr>
          <w:rFonts w:ascii="Palatino Linotype" w:eastAsia="Times New Roman" w:hAnsi="Palatino Linotype" w:cs="Tahoma"/>
          <w:bCs/>
          <w:iCs/>
          <w:lang w:eastAsia="es-ES"/>
        </w:rPr>
      </w:pPr>
    </w:p>
    <w:p w14:paraId="7382B690" w14:textId="77777777" w:rsidR="00AE40BB" w:rsidRPr="005525E0" w:rsidRDefault="00AE40BB" w:rsidP="00E12E55">
      <w:pPr>
        <w:spacing w:after="0" w:line="360" w:lineRule="auto"/>
        <w:rPr>
          <w:rFonts w:ascii="Palatino Linotype" w:eastAsia="Times New Roman" w:hAnsi="Palatino Linotype" w:cs="Tahoma"/>
          <w:bCs/>
          <w:iCs/>
          <w:lang w:eastAsia="es-ES"/>
        </w:rPr>
      </w:pPr>
      <w:r w:rsidRPr="005525E0">
        <w:rPr>
          <w:rFonts w:ascii="Palatino Linotype" w:eastAsia="Times New Roman" w:hAnsi="Palatino Linotype" w:cs="Tahoma"/>
          <w:bCs/>
          <w:iCs/>
          <w:lang w:eastAsia="es-ES"/>
        </w:rPr>
        <w:t>El artículo 12, que, quienes generen, recopilen, administren, manejen, procesen, archiven o conserven información pública serán responsables de la misma.</w:t>
      </w:r>
    </w:p>
    <w:p w14:paraId="78A2B3DC" w14:textId="77777777" w:rsidR="00AE40BB" w:rsidRPr="005525E0" w:rsidRDefault="00AE40BB" w:rsidP="00E12E55">
      <w:pPr>
        <w:spacing w:after="0" w:line="360" w:lineRule="auto"/>
        <w:rPr>
          <w:rFonts w:ascii="Palatino Linotype" w:eastAsia="Times New Roman" w:hAnsi="Palatino Linotype" w:cs="Tahoma"/>
          <w:bCs/>
          <w:iCs/>
          <w:lang w:eastAsia="es-ES"/>
        </w:rPr>
      </w:pPr>
    </w:p>
    <w:p w14:paraId="14DB0160" w14:textId="77777777" w:rsidR="00AE40BB" w:rsidRPr="005525E0" w:rsidRDefault="00AE40BB" w:rsidP="00E12E55">
      <w:pPr>
        <w:spacing w:after="0" w:line="360" w:lineRule="auto"/>
        <w:rPr>
          <w:rFonts w:ascii="Palatino Linotype" w:eastAsia="Times New Roman" w:hAnsi="Palatino Linotype" w:cs="Tahoma"/>
          <w:bCs/>
          <w:iCs/>
          <w:lang w:eastAsia="es-ES"/>
        </w:rPr>
      </w:pPr>
      <w:r w:rsidRPr="005525E0">
        <w:rPr>
          <w:rFonts w:ascii="Palatino Linotype" w:eastAsia="Times New Roman" w:hAnsi="Palatino Linotype" w:cs="Tahoma"/>
          <w:bCs/>
          <w:iCs/>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4944C597" w14:textId="77777777" w:rsidR="00AE40BB" w:rsidRPr="005525E0" w:rsidRDefault="00AE40BB" w:rsidP="00E12E55">
      <w:pPr>
        <w:spacing w:after="0" w:line="360" w:lineRule="auto"/>
        <w:rPr>
          <w:rFonts w:ascii="Palatino Linotype" w:eastAsia="Times New Roman" w:hAnsi="Palatino Linotype" w:cs="Tahoma"/>
          <w:bCs/>
          <w:iCs/>
          <w:lang w:eastAsia="es-ES"/>
        </w:rPr>
      </w:pPr>
      <w:r w:rsidRPr="005525E0">
        <w:rPr>
          <w:rFonts w:ascii="Palatino Linotype" w:eastAsia="Times New Roman" w:hAnsi="Palatino Linotype" w:cs="Tahoma"/>
          <w:bCs/>
          <w:iCs/>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E5D0732" w14:textId="77777777" w:rsidR="00B64774" w:rsidRDefault="00B64774" w:rsidP="00E12E55">
      <w:pPr>
        <w:spacing w:after="0" w:line="360" w:lineRule="auto"/>
        <w:contextualSpacing/>
        <w:rPr>
          <w:rFonts w:ascii="Palatino Linotype" w:eastAsia="Times New Roman" w:hAnsi="Palatino Linotype" w:cs="Tahoma"/>
          <w:b/>
          <w:color w:val="FF0000"/>
          <w:lang w:eastAsia="es-ES"/>
        </w:rPr>
      </w:pPr>
    </w:p>
    <w:p w14:paraId="01EA0519" w14:textId="77777777" w:rsidR="00EB692E" w:rsidRDefault="00EB692E" w:rsidP="00E12E55">
      <w:pPr>
        <w:spacing w:after="0" w:line="360" w:lineRule="auto"/>
        <w:rPr>
          <w:rFonts w:ascii="Palatino Linotype" w:eastAsia="Times New Roman" w:hAnsi="Palatino Linotype" w:cs="Tahoma"/>
          <w:b/>
          <w:color w:val="FF0000"/>
          <w:lang w:eastAsia="es-ES"/>
        </w:rPr>
      </w:pPr>
      <w:r w:rsidRPr="00EB692E">
        <w:rPr>
          <w:rFonts w:ascii="Palatino Linotype" w:eastAsia="Times New Roman" w:hAnsi="Palatino Linotype" w:cs="Tahoma"/>
          <w:bCs/>
          <w:iCs/>
          <w:lang w:eastAsia="es-ES"/>
        </w:rPr>
        <w:t>El artículo 92, fracción XXXII, que, la información sobre las concesiones, contratos, convenios, permisos, licencias o autorizaciones otorgados, corresponde a una Obligación Común de Transparencia para los Sujetos Obligados.</w:t>
      </w:r>
    </w:p>
    <w:p w14:paraId="09D25458" w14:textId="77777777" w:rsidR="00EB692E" w:rsidRPr="005343AB" w:rsidRDefault="00EB692E" w:rsidP="00E12E55">
      <w:pPr>
        <w:spacing w:after="0" w:line="360" w:lineRule="auto"/>
        <w:contextualSpacing/>
        <w:rPr>
          <w:rFonts w:ascii="Palatino Linotype" w:eastAsia="Times New Roman" w:hAnsi="Palatino Linotype" w:cs="Tahoma"/>
          <w:b/>
          <w:color w:val="FF0000"/>
          <w:lang w:eastAsia="es-ES"/>
        </w:rPr>
      </w:pPr>
    </w:p>
    <w:p w14:paraId="64FA79A7" w14:textId="0ECC8EE5" w:rsidR="00B64774" w:rsidRPr="005A6EF3" w:rsidRDefault="00582149" w:rsidP="00FE1919">
      <w:pPr>
        <w:pStyle w:val="Ttulo2"/>
        <w:rPr>
          <w:rFonts w:eastAsia="Times New Roman"/>
          <w:lang w:eastAsia="es-ES"/>
        </w:rPr>
      </w:pPr>
      <w:bookmarkStart w:id="11" w:name="_Toc206688684"/>
      <w:r w:rsidRPr="005A6EF3">
        <w:rPr>
          <w:rFonts w:eastAsia="Times New Roman"/>
          <w:lang w:eastAsia="es-ES"/>
        </w:rPr>
        <w:t>QUINTO. Estudio de Fondo</w:t>
      </w:r>
      <w:bookmarkEnd w:id="11"/>
    </w:p>
    <w:p w14:paraId="7819E9A6" w14:textId="77777777" w:rsidR="00142D9F" w:rsidRPr="005A6EF3" w:rsidRDefault="00142D9F" w:rsidP="00E12E55">
      <w:pPr>
        <w:spacing w:after="0" w:line="360" w:lineRule="auto"/>
        <w:contextualSpacing/>
        <w:rPr>
          <w:rFonts w:ascii="Palatino Linotype" w:eastAsia="Times New Roman" w:hAnsi="Palatino Linotype" w:cs="Tahoma"/>
          <w:b/>
          <w:lang w:eastAsia="es-ES"/>
        </w:rPr>
      </w:pPr>
    </w:p>
    <w:p w14:paraId="15258F1A" w14:textId="77777777" w:rsidR="00B64774" w:rsidRDefault="00B64774" w:rsidP="00E12E55">
      <w:pPr>
        <w:tabs>
          <w:tab w:val="left" w:pos="4962"/>
        </w:tabs>
        <w:spacing w:after="0" w:line="360" w:lineRule="auto"/>
        <w:contextualSpacing/>
        <w:rPr>
          <w:rFonts w:ascii="Palatino Linotype" w:eastAsia="Times New Roman" w:hAnsi="Palatino Linotype" w:cs="Times New Roman"/>
          <w:lang w:eastAsia="es-ES"/>
        </w:rPr>
      </w:pPr>
      <w:r w:rsidRPr="005A6EF3">
        <w:rPr>
          <w:rFonts w:ascii="Palatino Linotype" w:eastAsia="Times New Roman" w:hAnsi="Palatino Linotype" w:cs="Tahoma"/>
          <w:lang w:eastAsia="es-MX"/>
        </w:rPr>
        <w:t>Expuestas las posturas de las partes, se procede al análisis del agravio hecho valer por el ahora Recurrente, concerniente</w:t>
      </w:r>
      <w:r w:rsidR="005A6EF3">
        <w:rPr>
          <w:rFonts w:ascii="Palatino Linotype" w:eastAsia="Times New Roman" w:hAnsi="Palatino Linotype" w:cs="Tahoma"/>
          <w:lang w:eastAsia="es-MX"/>
        </w:rPr>
        <w:t xml:space="preserve"> la entrega de información </w:t>
      </w:r>
      <w:r w:rsidR="00EB692E">
        <w:rPr>
          <w:rFonts w:ascii="Palatino Linotype" w:eastAsia="Times New Roman" w:hAnsi="Palatino Linotype" w:cs="Tahoma"/>
          <w:lang w:eastAsia="es-MX"/>
        </w:rPr>
        <w:t>que no corresponde con lo solicitado</w:t>
      </w:r>
      <w:r w:rsidRPr="005A6EF3">
        <w:rPr>
          <w:rFonts w:ascii="Palatino Linotype" w:eastAsia="Times New Roman" w:hAnsi="Palatino Linotype" w:cs="Tahoma"/>
          <w:lang w:eastAsia="es-MX"/>
        </w:rPr>
        <w:t>, para lo cual resulta importante contextualizar la solicitud de información</w:t>
      </w:r>
      <w:r w:rsidR="00350B42" w:rsidRPr="005A6EF3">
        <w:rPr>
          <w:rFonts w:ascii="Palatino Linotype" w:eastAsia="Times New Roman" w:hAnsi="Palatino Linotype" w:cs="Times New Roman"/>
          <w:lang w:eastAsia="es-ES"/>
        </w:rPr>
        <w:t>.</w:t>
      </w:r>
    </w:p>
    <w:p w14:paraId="5CEF8D6B" w14:textId="77777777" w:rsidR="00EB692E" w:rsidRDefault="00EB692E" w:rsidP="00E12E55">
      <w:pPr>
        <w:tabs>
          <w:tab w:val="left" w:pos="4962"/>
        </w:tabs>
        <w:spacing w:after="0" w:line="360" w:lineRule="auto"/>
        <w:contextualSpacing/>
        <w:rPr>
          <w:rFonts w:ascii="Palatino Linotype" w:eastAsia="Times New Roman" w:hAnsi="Palatino Linotype" w:cs="Times New Roman"/>
          <w:lang w:eastAsia="es-ES"/>
        </w:rPr>
      </w:pPr>
    </w:p>
    <w:p w14:paraId="6D112BD1" w14:textId="77777777" w:rsidR="00EB692E" w:rsidRPr="00EB692E" w:rsidRDefault="00EB692E" w:rsidP="00EB692E">
      <w:pPr>
        <w:spacing w:after="0" w:line="360" w:lineRule="auto"/>
        <w:rPr>
          <w:rFonts w:ascii="Palatino Linotype" w:eastAsia="Times New Roman" w:hAnsi="Palatino Linotype" w:cs="Tahoma"/>
          <w:iCs/>
          <w:lang w:val="es-ES" w:eastAsia="es-ES"/>
        </w:rPr>
      </w:pPr>
      <w:r w:rsidRPr="00EB692E">
        <w:rPr>
          <w:rFonts w:ascii="Palatino Linotype" w:eastAsia="Times New Roman" w:hAnsi="Palatino Linotype" w:cs="Tahoma"/>
          <w:iCs/>
          <w:lang w:val="es-ES" w:eastAsia="es-ES"/>
        </w:rPr>
        <w:t xml:space="preserve">Respecto al tema, Eduardo López Sosa, Natalia López Sosa. (2014). “Derecho Administrativo Mexicano”. (p. 262), establece que la autorización, la licencia, o el permiso es el acto administrativo por medio de los cuales se otorga a un particular, por un órgano administrativo, la facultad o el derecho para realizar una actividad o para hacer alguna cosa. </w:t>
      </w:r>
    </w:p>
    <w:p w14:paraId="46CAEAFC" w14:textId="77777777" w:rsidR="00EB692E" w:rsidRPr="00EB692E" w:rsidRDefault="00EB692E" w:rsidP="00EB692E">
      <w:pPr>
        <w:spacing w:after="0" w:line="360" w:lineRule="auto"/>
        <w:rPr>
          <w:rFonts w:ascii="Palatino Linotype" w:eastAsia="Calibri" w:hAnsi="Palatino Linotype" w:cs="Times New Roman"/>
          <w:color w:val="000000"/>
          <w:lang w:val="es-ES"/>
        </w:rPr>
      </w:pPr>
    </w:p>
    <w:p w14:paraId="71A59B56" w14:textId="77777777" w:rsidR="00EB692E" w:rsidRPr="00EB692E" w:rsidRDefault="00EB692E" w:rsidP="00EB692E">
      <w:pPr>
        <w:spacing w:after="0" w:line="360" w:lineRule="auto"/>
        <w:rPr>
          <w:rFonts w:ascii="Palatino Linotype" w:eastAsia="Calibri" w:hAnsi="Palatino Linotype" w:cs="Tahoma"/>
          <w:bCs/>
        </w:rPr>
      </w:pPr>
      <w:r w:rsidRPr="00EB692E">
        <w:rPr>
          <w:rFonts w:ascii="Palatino Linotype" w:eastAsia="Times New Roman" w:hAnsi="Palatino Linotype" w:cs="Tahoma"/>
          <w:lang w:val="es-ES" w:eastAsia="es-ES"/>
        </w:rPr>
        <w:t xml:space="preserve">Sobre dichos documentos, </w:t>
      </w:r>
      <w:r w:rsidRPr="00EB692E">
        <w:rPr>
          <w:rFonts w:ascii="Palatino Linotype" w:eastAsia="Calibri" w:hAnsi="Palatino Linotype" w:cs="Tahoma"/>
          <w:bCs/>
        </w:rPr>
        <w:t xml:space="preserve">el artículo 31, fracciones, XXIV </w:t>
      </w:r>
      <w:proofErr w:type="spellStart"/>
      <w:r w:rsidRPr="00EB692E">
        <w:rPr>
          <w:rFonts w:ascii="Palatino Linotype" w:eastAsia="Calibri" w:hAnsi="Palatino Linotype" w:cs="Tahoma"/>
          <w:bCs/>
        </w:rPr>
        <w:t>Quáter</w:t>
      </w:r>
      <w:proofErr w:type="spellEnd"/>
      <w:r w:rsidRPr="00EB692E">
        <w:rPr>
          <w:rFonts w:ascii="Palatino Linotype" w:eastAsia="Calibri" w:hAnsi="Palatino Linotype" w:cs="Tahoma"/>
          <w:bCs/>
        </w:rPr>
        <w:t xml:space="preserve"> y XLIV, de la Ley Orgánica Municipal el Estado de México, establece que los Ayuntamientos, entre los que se encuentra el de </w:t>
      </w:r>
      <w:proofErr w:type="spellStart"/>
      <w:r w:rsidRPr="00EB692E">
        <w:rPr>
          <w:rFonts w:ascii="Palatino Linotype" w:eastAsia="Calibri" w:hAnsi="Palatino Linotype" w:cs="Tahoma"/>
          <w:bCs/>
        </w:rPr>
        <w:t>Papalotla</w:t>
      </w:r>
      <w:proofErr w:type="spellEnd"/>
      <w:r w:rsidRPr="00EB692E">
        <w:rPr>
          <w:rFonts w:ascii="Palatino Linotype" w:eastAsia="Calibri" w:hAnsi="Palatino Linotype" w:cs="Tahoma"/>
          <w:bCs/>
        </w:rPr>
        <w:t>, son los encargados de otorgar licencias para el funcionamiento de unidades económicas; así como, de crear el Registro Municipal de Unidades Económicas, donde se especifique la licencia de funcionamiento y las características que se determinen convenientes.</w:t>
      </w:r>
    </w:p>
    <w:p w14:paraId="7945319E" w14:textId="77777777" w:rsidR="00EB692E" w:rsidRPr="00EB692E" w:rsidRDefault="00EB692E" w:rsidP="00EB692E">
      <w:pPr>
        <w:spacing w:after="0" w:line="360" w:lineRule="auto"/>
        <w:rPr>
          <w:rFonts w:ascii="Palatino Linotype" w:eastAsia="Calibri" w:hAnsi="Palatino Linotype" w:cs="Tahoma"/>
          <w:bCs/>
        </w:rPr>
      </w:pPr>
    </w:p>
    <w:p w14:paraId="6E8D7282" w14:textId="77777777" w:rsidR="00EB692E" w:rsidRPr="00EB692E" w:rsidRDefault="00EB692E" w:rsidP="00EB692E">
      <w:pPr>
        <w:spacing w:after="0" w:line="360" w:lineRule="auto"/>
        <w:rPr>
          <w:rFonts w:ascii="Palatino Linotype" w:eastAsia="Calibri" w:hAnsi="Palatino Linotype" w:cs="Tahoma"/>
          <w:bCs/>
        </w:rPr>
      </w:pPr>
      <w:r w:rsidRPr="00EB692E">
        <w:rPr>
          <w:rFonts w:ascii="Palatino Linotype" w:eastAsia="Calibri" w:hAnsi="Palatino Linotype" w:cs="Tahoma"/>
          <w:bCs/>
        </w:rPr>
        <w:lastRenderedPageBreak/>
        <w:t xml:space="preserve">Para lograr lo anterior, los Ayuntamientos contarán con un Director de Desarrollo Económico o equivalente que impulsa la simplificación de trámites y reducción de plazos para el otorgamiento de permisos, </w:t>
      </w:r>
      <w:r w:rsidRPr="00EB692E">
        <w:rPr>
          <w:rFonts w:ascii="Palatino Linotype" w:eastAsia="Calibri" w:hAnsi="Palatino Linotype" w:cs="Tahoma"/>
          <w:b/>
          <w:bCs/>
        </w:rPr>
        <w:t>licencias</w:t>
      </w:r>
      <w:r w:rsidRPr="00EB692E">
        <w:rPr>
          <w:rFonts w:ascii="Palatino Linotype" w:eastAsia="Calibri" w:hAnsi="Palatino Linotype" w:cs="Tahoma"/>
          <w:bCs/>
        </w:rPr>
        <w:t xml:space="preserve"> y autorizaciones del orden municipal, así como de operar y actualizar el Registro Municipal de Unidades Económicas de los permisos o licencias de funcionamiento otorgadas, de conformidad con el artículo 96 </w:t>
      </w:r>
      <w:proofErr w:type="spellStart"/>
      <w:r w:rsidRPr="00EB692E">
        <w:rPr>
          <w:rFonts w:ascii="Palatino Linotype" w:eastAsia="Calibri" w:hAnsi="Palatino Linotype" w:cs="Tahoma"/>
          <w:bCs/>
        </w:rPr>
        <w:t>Quáter</w:t>
      </w:r>
      <w:proofErr w:type="spellEnd"/>
      <w:r w:rsidRPr="00EB692E">
        <w:rPr>
          <w:rFonts w:ascii="Palatino Linotype" w:eastAsia="Calibri" w:hAnsi="Palatino Linotype" w:cs="Tahoma"/>
          <w:bCs/>
        </w:rPr>
        <w:t xml:space="preserve"> de la Ley señalada en el párrafo anterior.</w:t>
      </w:r>
    </w:p>
    <w:p w14:paraId="436EC5A9" w14:textId="77777777" w:rsidR="00EB692E" w:rsidRPr="00EB692E" w:rsidRDefault="00EB692E" w:rsidP="00EB692E">
      <w:pPr>
        <w:spacing w:after="0" w:line="360" w:lineRule="auto"/>
        <w:rPr>
          <w:rFonts w:ascii="Palatino Linotype" w:eastAsia="Calibri" w:hAnsi="Palatino Linotype" w:cs="Tahoma"/>
          <w:bCs/>
        </w:rPr>
      </w:pPr>
    </w:p>
    <w:p w14:paraId="0BA1B58C" w14:textId="77777777" w:rsidR="00EB692E" w:rsidRPr="00EB692E" w:rsidRDefault="00EB692E" w:rsidP="00EB692E">
      <w:pPr>
        <w:spacing w:after="0" w:line="360" w:lineRule="auto"/>
        <w:rPr>
          <w:rFonts w:ascii="Palatino Linotype" w:eastAsia="Calibri" w:hAnsi="Palatino Linotype" w:cs="Tahoma"/>
          <w:bCs/>
        </w:rPr>
      </w:pPr>
      <w:r w:rsidRPr="00EB692E">
        <w:rPr>
          <w:rFonts w:ascii="Palatino Linotype" w:eastAsia="Calibri" w:hAnsi="Palatino Linotype" w:cs="Tahoma"/>
          <w:bCs/>
        </w:rPr>
        <w:t xml:space="preserve">En ese sentido, en el artículo 2°, fracciones XV y XXXVIII, 5°, fracción X, 7°, fracción V, 15, 16 y 33 de la Ley de Competitividad y Ordenamiento Comercial del Estado de México, la </w:t>
      </w:r>
      <w:r w:rsidRPr="00EB692E">
        <w:rPr>
          <w:rFonts w:ascii="Palatino Linotype" w:eastAsia="Calibri" w:hAnsi="Palatino Linotype" w:cs="Tahoma"/>
          <w:b/>
          <w:bCs/>
        </w:rPr>
        <w:t xml:space="preserve">licencia de funcionamiento, </w:t>
      </w:r>
      <w:r w:rsidRPr="00EB692E">
        <w:rPr>
          <w:rFonts w:ascii="Palatino Linotype" w:eastAsia="Calibri" w:hAnsi="Palatino Linotype" w:cs="Tahoma"/>
          <w:bCs/>
        </w:rPr>
        <w:t xml:space="preserve">es el acto administrativo emitido por </w:t>
      </w:r>
      <w:r w:rsidRPr="00EB692E">
        <w:rPr>
          <w:rFonts w:ascii="Palatino Linotype" w:eastAsia="Calibri" w:hAnsi="Palatino Linotype" w:cs="Tahoma"/>
          <w:b/>
          <w:bCs/>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EB692E">
        <w:rPr>
          <w:rFonts w:ascii="Palatino Linotype" w:eastAsia="Calibri" w:hAnsi="Palatino Linotype" w:cs="Tahoma"/>
          <w:bCs/>
        </w:rPr>
        <w:t xml:space="preserve"> </w:t>
      </w:r>
    </w:p>
    <w:p w14:paraId="55BE6478" w14:textId="77777777" w:rsidR="00EB692E" w:rsidRPr="00EB692E" w:rsidRDefault="00EB692E" w:rsidP="00EB692E">
      <w:pPr>
        <w:spacing w:after="0" w:line="360" w:lineRule="auto"/>
        <w:rPr>
          <w:rFonts w:ascii="Palatino Linotype" w:eastAsia="Calibri" w:hAnsi="Palatino Linotype" w:cs="Tahoma"/>
          <w:bCs/>
        </w:rPr>
      </w:pPr>
    </w:p>
    <w:p w14:paraId="04213AAC" w14:textId="77777777" w:rsidR="00EB692E" w:rsidRPr="00EB692E" w:rsidRDefault="00EB692E" w:rsidP="00EB692E">
      <w:pPr>
        <w:spacing w:after="0" w:line="360" w:lineRule="auto"/>
        <w:rPr>
          <w:rFonts w:ascii="Palatino Linotype" w:eastAsia="Calibri" w:hAnsi="Palatino Linotype" w:cs="Tahoma"/>
          <w:bCs/>
        </w:rPr>
      </w:pPr>
      <w:r w:rsidRPr="00EB692E">
        <w:rPr>
          <w:rFonts w:ascii="Palatino Linotype" w:eastAsia="Calibri" w:hAnsi="Palatino Linotype" w:cs="Tahoma"/>
          <w:bCs/>
        </w:rPr>
        <w:t>Por su parte, el artículo 2°, fracciones XXXIII, XXXIV y XXXV, de dicho ordenamiento jurídico, establece tres tipos de unidades económicas, a saber, las siguientes:</w:t>
      </w:r>
    </w:p>
    <w:p w14:paraId="09D47B41" w14:textId="77777777" w:rsidR="00EB692E" w:rsidRPr="00EB692E" w:rsidRDefault="00EB692E" w:rsidP="00EB692E">
      <w:pPr>
        <w:spacing w:after="0" w:line="360" w:lineRule="auto"/>
        <w:rPr>
          <w:rFonts w:ascii="Palatino Linotype" w:eastAsia="Calibri" w:hAnsi="Palatino Linotype" w:cs="Tahoma"/>
          <w:bCs/>
        </w:rPr>
      </w:pPr>
    </w:p>
    <w:p w14:paraId="37892AE1" w14:textId="77777777" w:rsidR="00EB692E" w:rsidRPr="00EB692E" w:rsidRDefault="00EB692E" w:rsidP="00EB692E">
      <w:pPr>
        <w:numPr>
          <w:ilvl w:val="0"/>
          <w:numId w:val="16"/>
        </w:numPr>
        <w:spacing w:after="0" w:line="360" w:lineRule="auto"/>
        <w:rPr>
          <w:rFonts w:ascii="Palatino Linotype" w:eastAsia="Calibri" w:hAnsi="Palatino Linotype" w:cs="Tahoma"/>
          <w:b/>
          <w:bCs/>
        </w:rPr>
      </w:pPr>
      <w:r w:rsidRPr="00EB692E">
        <w:rPr>
          <w:rFonts w:ascii="Palatino Linotype" w:eastAsia="Calibri" w:hAnsi="Palatino Linotype" w:cs="Tahoma"/>
          <w:b/>
          <w:bCs/>
        </w:rPr>
        <w:t xml:space="preserve">Bajo impacto: </w:t>
      </w:r>
      <w:r w:rsidRPr="00EB692E">
        <w:rPr>
          <w:rFonts w:ascii="Palatino Linotype" w:eastAsia="Calibri" w:hAnsi="Palatino Linotype" w:cs="Tahoma"/>
          <w:bCs/>
        </w:rPr>
        <w:t>A las autorizadas para la venta de bebidas alcohólicas en envase cerrado y no sean de consumo inmediato, así como, las que no estén en supuestos subsecuentes.</w:t>
      </w:r>
    </w:p>
    <w:p w14:paraId="243ED168" w14:textId="77777777" w:rsidR="00EB692E" w:rsidRPr="00EB692E" w:rsidRDefault="00EB692E" w:rsidP="00EB692E">
      <w:pPr>
        <w:spacing w:after="0" w:line="360" w:lineRule="auto"/>
        <w:ind w:left="720"/>
        <w:contextualSpacing/>
        <w:rPr>
          <w:rFonts w:ascii="Palatino Linotype" w:eastAsia="Calibri" w:hAnsi="Palatino Linotype" w:cs="Tahoma"/>
          <w:b/>
          <w:bCs/>
        </w:rPr>
      </w:pPr>
    </w:p>
    <w:p w14:paraId="18F44A31" w14:textId="77777777" w:rsidR="00EB692E" w:rsidRPr="00EB692E" w:rsidRDefault="00EB692E" w:rsidP="00EB692E">
      <w:pPr>
        <w:numPr>
          <w:ilvl w:val="0"/>
          <w:numId w:val="16"/>
        </w:numPr>
        <w:spacing w:after="0" w:line="360" w:lineRule="auto"/>
        <w:rPr>
          <w:rFonts w:ascii="Palatino Linotype" w:eastAsia="Calibri" w:hAnsi="Palatino Linotype" w:cs="Tahoma"/>
          <w:b/>
          <w:bCs/>
        </w:rPr>
      </w:pPr>
      <w:r w:rsidRPr="00EB692E">
        <w:rPr>
          <w:rFonts w:ascii="Palatino Linotype" w:eastAsia="Calibri" w:hAnsi="Palatino Linotype" w:cs="Tahoma"/>
          <w:b/>
          <w:bCs/>
        </w:rPr>
        <w:t xml:space="preserve">Mediano impacto: </w:t>
      </w:r>
      <w:r w:rsidRPr="00EB692E">
        <w:rPr>
          <w:rFonts w:ascii="Palatino Linotype" w:eastAsia="Calibri" w:hAnsi="Palatino Linotype" w:cs="Tahoma"/>
          <w:bCs/>
        </w:rPr>
        <w:t>A las que se les permite la venta de bebidas alcohólicas para consumo inmediato, siendo otra su actividad principal.</w:t>
      </w:r>
    </w:p>
    <w:p w14:paraId="6ECEF13F" w14:textId="77777777" w:rsidR="00EB692E" w:rsidRPr="00EB692E" w:rsidRDefault="00EB692E" w:rsidP="00EB692E">
      <w:pPr>
        <w:spacing w:after="0" w:line="360" w:lineRule="auto"/>
        <w:ind w:left="720"/>
        <w:contextualSpacing/>
        <w:rPr>
          <w:rFonts w:ascii="Palatino Linotype" w:eastAsia="Calibri" w:hAnsi="Palatino Linotype" w:cs="Tahoma"/>
          <w:b/>
          <w:bCs/>
        </w:rPr>
      </w:pPr>
    </w:p>
    <w:p w14:paraId="1409E79D" w14:textId="77777777" w:rsidR="00EB692E" w:rsidRPr="00EB692E" w:rsidRDefault="00EB692E" w:rsidP="00EB692E">
      <w:pPr>
        <w:numPr>
          <w:ilvl w:val="0"/>
          <w:numId w:val="16"/>
        </w:numPr>
        <w:spacing w:after="0" w:line="360" w:lineRule="auto"/>
        <w:rPr>
          <w:rFonts w:ascii="Palatino Linotype" w:eastAsia="Calibri" w:hAnsi="Palatino Linotype" w:cs="Tahoma"/>
          <w:b/>
          <w:bCs/>
        </w:rPr>
      </w:pPr>
      <w:r w:rsidRPr="00EB692E">
        <w:rPr>
          <w:rFonts w:ascii="Palatino Linotype" w:eastAsia="Calibri" w:hAnsi="Palatino Linotype" w:cs="Tahoma"/>
          <w:b/>
          <w:bCs/>
        </w:rPr>
        <w:t xml:space="preserve">Alto Impacto: </w:t>
      </w:r>
      <w:r w:rsidRPr="00EB692E">
        <w:rPr>
          <w:rFonts w:ascii="Palatino Linotype" w:eastAsia="Calibri" w:hAnsi="Palatino Linotype" w:cs="Tahoma"/>
          <w:bCs/>
        </w:rPr>
        <w:t>Aquellas que tienen como actividad principal, la venta de bebidas alcohólicas para consumo inmediato y las que requieran dictamen único de factibilidad.</w:t>
      </w:r>
    </w:p>
    <w:p w14:paraId="5B0730E6" w14:textId="77777777" w:rsidR="00EB692E" w:rsidRPr="00EB692E" w:rsidRDefault="00EB692E" w:rsidP="00EB692E">
      <w:pPr>
        <w:spacing w:after="0" w:line="360" w:lineRule="auto"/>
        <w:rPr>
          <w:rFonts w:ascii="Palatino Linotype" w:eastAsia="Calibri" w:hAnsi="Palatino Linotype" w:cs="Tahoma"/>
          <w:bCs/>
        </w:rPr>
      </w:pPr>
    </w:p>
    <w:p w14:paraId="3DEBD09B" w14:textId="77777777" w:rsidR="00EB692E" w:rsidRPr="00EB692E" w:rsidRDefault="00EB692E" w:rsidP="00EB692E">
      <w:pPr>
        <w:widowControl w:val="0"/>
        <w:spacing w:after="0" w:line="360" w:lineRule="auto"/>
        <w:rPr>
          <w:rFonts w:ascii="Palatino Linotype" w:eastAsia="Calibri" w:hAnsi="Palatino Linotype" w:cs="Tahoma"/>
          <w:bCs/>
        </w:rPr>
      </w:pPr>
      <w:r w:rsidRPr="00EB692E">
        <w:rPr>
          <w:rFonts w:ascii="Palatino Linotype" w:eastAsia="Calibri" w:hAnsi="Palatino Linotype" w:cs="Tahoma"/>
          <w:bCs/>
        </w:rPr>
        <w:lastRenderedPageBreak/>
        <w:t xml:space="preserve">En ese contexto, la operación de la </w:t>
      </w:r>
      <w:r w:rsidRPr="00EB692E">
        <w:rPr>
          <w:rFonts w:ascii="Palatino Linotype" w:eastAsia="Calibri" w:hAnsi="Palatino Linotype" w:cs="Tahoma"/>
          <w:b/>
          <w:bCs/>
        </w:rPr>
        <w:t xml:space="preserve">Ventanilla Única </w:t>
      </w:r>
      <w:r w:rsidRPr="00EB692E">
        <w:rPr>
          <w:rFonts w:ascii="Palatino Linotype" w:eastAsia="Calibri" w:hAnsi="Palatino Linotype" w:cs="Tahoma"/>
          <w:bCs/>
        </w:rPr>
        <w:t xml:space="preserve">y la expedición de las </w:t>
      </w:r>
      <w:r w:rsidRPr="00EB692E">
        <w:rPr>
          <w:rFonts w:ascii="Palatino Linotype" w:eastAsia="Calibri" w:hAnsi="Palatino Linotype" w:cs="Tahoma"/>
          <w:b/>
          <w:bCs/>
        </w:rPr>
        <w:t>licencias de funcionamiento</w:t>
      </w:r>
      <w:r w:rsidRPr="00EB692E">
        <w:rPr>
          <w:rFonts w:ascii="Palatino Linotype" w:eastAsia="Calibri" w:hAnsi="Palatino Linotype" w:cs="Tahoma"/>
          <w:bC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1AAE971D" w14:textId="77777777" w:rsidR="00EB692E" w:rsidRPr="00EB692E" w:rsidRDefault="00EB692E" w:rsidP="00EB692E">
      <w:pPr>
        <w:spacing w:after="0" w:line="360" w:lineRule="auto"/>
        <w:rPr>
          <w:rFonts w:ascii="Palatino Linotype" w:eastAsia="Calibri" w:hAnsi="Palatino Linotype" w:cs="Times New Roman"/>
          <w:color w:val="000000"/>
        </w:rPr>
      </w:pPr>
    </w:p>
    <w:p w14:paraId="36E7EDFB" w14:textId="0B969788" w:rsidR="00EB692E" w:rsidRPr="00EB692E" w:rsidRDefault="00EB692E" w:rsidP="00EB692E">
      <w:pPr>
        <w:spacing w:after="0" w:line="360" w:lineRule="auto"/>
        <w:rPr>
          <w:rFonts w:ascii="Palatino Linotype" w:eastAsia="Calibri" w:hAnsi="Palatino Linotype" w:cs="Tahoma"/>
          <w:bCs/>
          <w:color w:val="000000"/>
        </w:rPr>
      </w:pPr>
      <w:r w:rsidRPr="00EB692E">
        <w:rPr>
          <w:rFonts w:ascii="Palatino Linotype" w:eastAsia="Calibri" w:hAnsi="Palatino Linotype" w:cs="Tahoma"/>
          <w:bCs/>
          <w:color w:val="000000"/>
        </w:rPr>
        <w:t xml:space="preserve">En ese sentido, resulta necesario traer a colación el </w:t>
      </w:r>
      <w:r w:rsidR="00DB4289">
        <w:rPr>
          <w:rFonts w:ascii="Palatino Linotype" w:eastAsia="Calibri" w:hAnsi="Palatino Linotype" w:cs="Tahoma"/>
          <w:bCs/>
          <w:color w:val="000000"/>
        </w:rPr>
        <w:t>Bando Municipal</w:t>
      </w:r>
      <w:r w:rsidRPr="00EB692E">
        <w:rPr>
          <w:rFonts w:ascii="Palatino Linotype" w:eastAsia="Calibri" w:hAnsi="Palatino Linotype" w:cs="Tahoma"/>
          <w:bCs/>
          <w:color w:val="000000"/>
        </w:rPr>
        <w:t xml:space="preserve"> </w:t>
      </w:r>
      <w:r w:rsidR="005E3B41">
        <w:rPr>
          <w:rFonts w:ascii="Palatino Linotype" w:eastAsia="Calibri" w:hAnsi="Palatino Linotype" w:cs="Tahoma"/>
          <w:bCs/>
          <w:color w:val="000000"/>
        </w:rPr>
        <w:t>de Toluca</w:t>
      </w:r>
      <w:r w:rsidR="001C0591">
        <w:rPr>
          <w:rFonts w:ascii="Palatino Linotype" w:eastAsia="Calibri" w:hAnsi="Palatino Linotype" w:cs="Tahoma"/>
          <w:bCs/>
          <w:color w:val="000000"/>
        </w:rPr>
        <w:t xml:space="preserve">, dos mil </w:t>
      </w:r>
      <w:r w:rsidR="00DB4289">
        <w:rPr>
          <w:rFonts w:ascii="Palatino Linotype" w:eastAsia="Calibri" w:hAnsi="Palatino Linotype" w:cs="Tahoma"/>
          <w:bCs/>
          <w:color w:val="000000"/>
        </w:rPr>
        <w:t>veinticinco</w:t>
      </w:r>
      <w:r w:rsidRPr="00EB692E">
        <w:rPr>
          <w:rFonts w:ascii="Palatino Linotype" w:eastAsia="Calibri" w:hAnsi="Palatino Linotype" w:cs="Tahoma"/>
          <w:bCs/>
          <w:color w:val="000000"/>
        </w:rPr>
        <w:t>, que establece lo siguiente:</w:t>
      </w:r>
    </w:p>
    <w:p w14:paraId="7AA183BB" w14:textId="77777777" w:rsidR="00EB692E" w:rsidRPr="00EB692E" w:rsidRDefault="00EB692E" w:rsidP="00EB692E">
      <w:pPr>
        <w:spacing w:after="0" w:line="360" w:lineRule="auto"/>
        <w:rPr>
          <w:rFonts w:ascii="Palatino Linotype" w:eastAsia="Calibri" w:hAnsi="Palatino Linotype" w:cs="Times New Roman"/>
          <w:color w:val="000000"/>
        </w:rPr>
      </w:pPr>
    </w:p>
    <w:p w14:paraId="53EE1A34" w14:textId="4189A205" w:rsidR="00EB692E" w:rsidRPr="00EB692E" w:rsidRDefault="00EB692E" w:rsidP="00EB692E">
      <w:pPr>
        <w:numPr>
          <w:ilvl w:val="0"/>
          <w:numId w:val="17"/>
        </w:numPr>
        <w:spacing w:after="0" w:line="360" w:lineRule="auto"/>
        <w:contextualSpacing/>
        <w:rPr>
          <w:rFonts w:ascii="Palatino Linotype" w:eastAsia="Calibri" w:hAnsi="Palatino Linotype" w:cs="Times New Roman"/>
          <w:b/>
          <w:color w:val="000000"/>
        </w:rPr>
      </w:pPr>
      <w:r w:rsidRPr="00EB692E">
        <w:rPr>
          <w:rFonts w:ascii="Palatino Linotype" w:eastAsia="Calibri" w:hAnsi="Palatino Linotype" w:cs="Times New Roman"/>
          <w:b/>
          <w:color w:val="000000"/>
        </w:rPr>
        <w:t xml:space="preserve">(Artículo </w:t>
      </w:r>
      <w:r w:rsidR="00DB4289">
        <w:rPr>
          <w:rFonts w:ascii="Palatino Linotype" w:eastAsia="Calibri" w:hAnsi="Palatino Linotype" w:cs="Times New Roman"/>
          <w:b/>
          <w:color w:val="000000"/>
        </w:rPr>
        <w:t>68</w:t>
      </w:r>
      <w:r w:rsidRPr="00EB692E">
        <w:rPr>
          <w:rFonts w:ascii="Palatino Linotype" w:eastAsia="Calibri" w:hAnsi="Palatino Linotype" w:cs="Times New Roman"/>
          <w:b/>
          <w:color w:val="000000"/>
        </w:rPr>
        <w:t xml:space="preserve">): </w:t>
      </w:r>
      <w:r w:rsidRPr="00EB692E">
        <w:rPr>
          <w:rFonts w:ascii="Palatino Linotype" w:eastAsia="Calibri" w:hAnsi="Palatino Linotype" w:cs="Times New Roman"/>
          <w:color w:val="000000"/>
        </w:rPr>
        <w:t xml:space="preserve">Toda actividad </w:t>
      </w:r>
      <w:r w:rsidR="00DB4289" w:rsidRPr="00DB4289">
        <w:rPr>
          <w:rFonts w:ascii="Palatino Linotype" w:eastAsia="Calibri" w:hAnsi="Palatino Linotype" w:cs="Times New Roman"/>
          <w:color w:val="000000"/>
        </w:rPr>
        <w:t>comercial, industrial o de servicios</w:t>
      </w:r>
      <w:r w:rsidRPr="00EB692E">
        <w:rPr>
          <w:rFonts w:ascii="Palatino Linotype" w:eastAsia="Calibri" w:hAnsi="Palatino Linotype" w:cs="Times New Roman"/>
          <w:color w:val="000000"/>
        </w:rPr>
        <w:t xml:space="preserve"> que realicen las personas, podrán ejercerla si cuenta con </w:t>
      </w:r>
      <w:r w:rsidR="00DB4289">
        <w:rPr>
          <w:rFonts w:ascii="Palatino Linotype" w:eastAsia="Calibri" w:hAnsi="Palatino Linotype" w:cs="Times New Roman"/>
          <w:color w:val="000000"/>
        </w:rPr>
        <w:t>permiso o licencia emitida por la autoridad municipal competente.</w:t>
      </w:r>
    </w:p>
    <w:p w14:paraId="707028DC" w14:textId="77777777" w:rsidR="00EB692E" w:rsidRPr="00EB692E" w:rsidRDefault="00EB692E" w:rsidP="00EB692E">
      <w:pPr>
        <w:ind w:left="720"/>
        <w:contextualSpacing/>
        <w:rPr>
          <w:rFonts w:ascii="Palatino Linotype" w:eastAsia="Calibri" w:hAnsi="Palatino Linotype" w:cs="Times New Roman"/>
          <w:b/>
          <w:color w:val="000000"/>
        </w:rPr>
      </w:pPr>
    </w:p>
    <w:p w14:paraId="19DC7650" w14:textId="3B88C461" w:rsidR="00EB692E" w:rsidRPr="001C0591" w:rsidRDefault="00EB692E" w:rsidP="00CB0C15">
      <w:pPr>
        <w:numPr>
          <w:ilvl w:val="0"/>
          <w:numId w:val="17"/>
        </w:numPr>
        <w:spacing w:after="0" w:line="360" w:lineRule="auto"/>
        <w:contextualSpacing/>
        <w:rPr>
          <w:rFonts w:ascii="Palatino Linotype" w:eastAsia="Calibri" w:hAnsi="Palatino Linotype" w:cs="Times New Roman"/>
          <w:b/>
          <w:color w:val="000000"/>
        </w:rPr>
      </w:pPr>
      <w:r w:rsidRPr="001C0591">
        <w:rPr>
          <w:rFonts w:ascii="Palatino Linotype" w:eastAsia="Calibri" w:hAnsi="Palatino Linotype" w:cs="Times New Roman"/>
          <w:b/>
          <w:color w:val="000000"/>
        </w:rPr>
        <w:t xml:space="preserve">(Artículo </w:t>
      </w:r>
      <w:r w:rsidR="00DB4289">
        <w:rPr>
          <w:rFonts w:ascii="Palatino Linotype" w:eastAsia="Calibri" w:hAnsi="Palatino Linotype" w:cs="Times New Roman"/>
          <w:b/>
          <w:color w:val="000000"/>
        </w:rPr>
        <w:t>92, fracción XI</w:t>
      </w:r>
      <w:r w:rsidRPr="001C0591">
        <w:rPr>
          <w:rFonts w:ascii="Palatino Linotype" w:eastAsia="Calibri" w:hAnsi="Palatino Linotype" w:cs="Times New Roman"/>
          <w:b/>
          <w:color w:val="000000"/>
        </w:rPr>
        <w:t xml:space="preserve">): </w:t>
      </w:r>
      <w:r w:rsidR="00DB4289">
        <w:rPr>
          <w:rFonts w:ascii="Palatino Linotype" w:eastAsia="Calibri" w:hAnsi="Palatino Linotype" w:cs="Times New Roman"/>
          <w:color w:val="000000"/>
        </w:rPr>
        <w:t>La Dirección General de Desarrollo Económico tiene como atribuciones fundamentales la expedición de las licencias y permisos de funcionamiento.</w:t>
      </w:r>
    </w:p>
    <w:p w14:paraId="39B38E3D" w14:textId="77777777" w:rsidR="00EB692E" w:rsidRPr="001C0591" w:rsidRDefault="00EB692E" w:rsidP="001C0591">
      <w:pPr>
        <w:spacing w:after="0" w:line="360" w:lineRule="auto"/>
        <w:contextualSpacing/>
        <w:rPr>
          <w:rFonts w:ascii="Palatino Linotype" w:eastAsia="Calibri" w:hAnsi="Palatino Linotype" w:cs="Times New Roman"/>
          <w:b/>
          <w:color w:val="000000"/>
        </w:rPr>
      </w:pPr>
    </w:p>
    <w:p w14:paraId="38649653" w14:textId="2906C519" w:rsidR="00EB692E" w:rsidRPr="00CE1423" w:rsidRDefault="00CE1423" w:rsidP="00E12E55">
      <w:pPr>
        <w:tabs>
          <w:tab w:val="left" w:pos="4962"/>
        </w:tabs>
        <w:spacing w:after="0" w:line="360" w:lineRule="auto"/>
        <w:contextualSpacing/>
        <w:rPr>
          <w:rFonts w:ascii="Palatino Linotype" w:eastAsia="Times New Roman" w:hAnsi="Palatino Linotype" w:cs="Times New Roman"/>
          <w:lang w:eastAsia="es-ES"/>
        </w:rPr>
      </w:pPr>
      <w:r w:rsidRPr="00CE1423">
        <w:rPr>
          <w:rFonts w:ascii="Palatino Linotype" w:eastAsia="Times New Roman" w:hAnsi="Palatino Linotype" w:cs="Times New Roman"/>
          <w:lang w:eastAsia="es-ES"/>
        </w:rPr>
        <w:t xml:space="preserve">Además, se localizó el Registro Municipal de Trámites y Servicios del Ayuntamiento </w:t>
      </w:r>
      <w:r w:rsidR="005E3B41">
        <w:rPr>
          <w:rFonts w:ascii="Palatino Linotype" w:eastAsia="Times New Roman" w:hAnsi="Palatino Linotype" w:cs="Times New Roman"/>
          <w:lang w:eastAsia="es-ES"/>
        </w:rPr>
        <w:t>de Toluca</w:t>
      </w:r>
      <w:r w:rsidRPr="00CE1423">
        <w:rPr>
          <w:rFonts w:ascii="Palatino Linotype" w:eastAsia="Times New Roman" w:hAnsi="Palatino Linotype" w:cs="Times New Roman"/>
          <w:lang w:eastAsia="es-ES"/>
        </w:rPr>
        <w:t xml:space="preserve">, la cual contiene la Cédula de Información </w:t>
      </w:r>
      <w:r w:rsidR="00750B73">
        <w:rPr>
          <w:rFonts w:ascii="Palatino Linotype" w:eastAsia="Times New Roman" w:hAnsi="Palatino Linotype" w:cs="Times New Roman"/>
          <w:lang w:eastAsia="es-ES"/>
        </w:rPr>
        <w:t>de</w:t>
      </w:r>
      <w:r w:rsidR="00923A82">
        <w:rPr>
          <w:rFonts w:ascii="Palatino Linotype" w:eastAsia="Times New Roman" w:hAnsi="Palatino Linotype" w:cs="Times New Roman"/>
          <w:lang w:eastAsia="es-ES"/>
        </w:rPr>
        <w:t xml:space="preserve"> </w:t>
      </w:r>
      <w:r w:rsidR="00750B73">
        <w:rPr>
          <w:rFonts w:ascii="Palatino Linotype" w:eastAsia="Times New Roman" w:hAnsi="Palatino Linotype" w:cs="Times New Roman"/>
          <w:lang w:eastAsia="es-ES"/>
        </w:rPr>
        <w:t>l</w:t>
      </w:r>
      <w:r w:rsidR="00923A82">
        <w:rPr>
          <w:rFonts w:ascii="Palatino Linotype" w:eastAsia="Times New Roman" w:hAnsi="Palatino Linotype" w:cs="Times New Roman"/>
          <w:lang w:eastAsia="es-ES"/>
        </w:rPr>
        <w:t>os</w:t>
      </w:r>
      <w:r w:rsidR="00750B73">
        <w:rPr>
          <w:rFonts w:ascii="Palatino Linotype" w:eastAsia="Times New Roman" w:hAnsi="Palatino Linotype" w:cs="Times New Roman"/>
          <w:lang w:eastAsia="es-ES"/>
        </w:rPr>
        <w:t xml:space="preserve"> procedimiento</w:t>
      </w:r>
      <w:r w:rsidR="00923A82">
        <w:rPr>
          <w:rFonts w:ascii="Palatino Linotype" w:eastAsia="Times New Roman" w:hAnsi="Palatino Linotype" w:cs="Times New Roman"/>
          <w:lang w:eastAsia="es-ES"/>
        </w:rPr>
        <w:t>s</w:t>
      </w:r>
      <w:r w:rsidR="00750B73">
        <w:rPr>
          <w:rFonts w:ascii="Palatino Linotype" w:eastAsia="Times New Roman" w:hAnsi="Palatino Linotype" w:cs="Times New Roman"/>
          <w:lang w:eastAsia="es-ES"/>
        </w:rPr>
        <w:t xml:space="preserve"> denominado</w:t>
      </w:r>
      <w:r w:rsidR="00923A82">
        <w:rPr>
          <w:rFonts w:ascii="Palatino Linotype" w:eastAsia="Times New Roman" w:hAnsi="Palatino Linotype" w:cs="Times New Roman"/>
          <w:lang w:eastAsia="es-ES"/>
        </w:rPr>
        <w:t>s</w:t>
      </w:r>
      <w:r w:rsidRPr="00CE1423">
        <w:rPr>
          <w:rFonts w:ascii="Palatino Linotype" w:eastAsia="Times New Roman" w:hAnsi="Palatino Linotype" w:cs="Times New Roman"/>
          <w:lang w:eastAsia="es-ES"/>
        </w:rPr>
        <w:t xml:space="preserve"> “</w:t>
      </w:r>
      <w:r w:rsidR="00923A82">
        <w:rPr>
          <w:rFonts w:ascii="Palatino Linotype" w:eastAsia="Times New Roman" w:hAnsi="Palatino Linotype" w:cs="Times New Roman"/>
          <w:lang w:eastAsia="es-ES"/>
        </w:rPr>
        <w:t>Refrendo Anual de la Licencia de Funcionamiento</w:t>
      </w:r>
      <w:r w:rsidRPr="00CE1423">
        <w:rPr>
          <w:rFonts w:ascii="Palatino Linotype" w:eastAsia="Times New Roman" w:hAnsi="Palatino Linotype" w:cs="Times New Roman"/>
          <w:lang w:eastAsia="es-ES"/>
        </w:rPr>
        <w:t>”</w:t>
      </w:r>
      <w:r w:rsidR="00923A82">
        <w:rPr>
          <w:rFonts w:ascii="Palatino Linotype" w:eastAsia="Times New Roman" w:hAnsi="Palatino Linotype" w:cs="Times New Roman"/>
          <w:lang w:eastAsia="es-ES"/>
        </w:rPr>
        <w:t xml:space="preserve"> y “Expedición de Licencia de Funcionamiento para Giros de Bajo Impacto Mediante el </w:t>
      </w:r>
      <w:proofErr w:type="spellStart"/>
      <w:r w:rsidR="00923A82">
        <w:rPr>
          <w:rFonts w:ascii="Palatino Linotype" w:eastAsia="Times New Roman" w:hAnsi="Palatino Linotype" w:cs="Times New Roman"/>
          <w:lang w:eastAsia="es-ES"/>
        </w:rPr>
        <w:t>Sare</w:t>
      </w:r>
      <w:proofErr w:type="spellEnd"/>
      <w:r w:rsidR="00923A82">
        <w:rPr>
          <w:rFonts w:ascii="Palatino Linotype" w:eastAsia="Times New Roman" w:hAnsi="Palatino Linotype" w:cs="Times New Roman"/>
          <w:lang w:eastAsia="es-ES"/>
        </w:rPr>
        <w:t>”</w:t>
      </w:r>
      <w:r w:rsidRPr="00CE1423">
        <w:rPr>
          <w:rFonts w:ascii="Palatino Linotype" w:eastAsia="Times New Roman" w:hAnsi="Palatino Linotype" w:cs="Times New Roman"/>
          <w:lang w:eastAsia="es-ES"/>
        </w:rPr>
        <w:t xml:space="preserve">, </w:t>
      </w:r>
      <w:r w:rsidR="00923A82">
        <w:rPr>
          <w:rFonts w:ascii="Palatino Linotype" w:eastAsia="Times New Roman" w:hAnsi="Palatino Linotype" w:cs="Times New Roman"/>
          <w:lang w:eastAsia="es-ES"/>
        </w:rPr>
        <w:t>de los cuales se logra vislumbrar que la Licencia de funcionamiento es un documento expedido por la Dirección General de Desarrollo Económico, para el cual se tendrá que realizar el pago correspondiente en la Tesorería Municipal.</w:t>
      </w:r>
    </w:p>
    <w:p w14:paraId="63DCE1C8" w14:textId="45589A7B" w:rsidR="00923A82" w:rsidRDefault="00923A82" w:rsidP="00E12E55">
      <w:pPr>
        <w:tabs>
          <w:tab w:val="left" w:pos="4962"/>
        </w:tabs>
        <w:spacing w:after="0" w:line="360" w:lineRule="auto"/>
        <w:contextualSpacing/>
        <w:rPr>
          <w:rFonts w:ascii="Palatino Linotype" w:eastAsia="Times New Roman" w:hAnsi="Palatino Linotype" w:cs="Times New Roman"/>
          <w:color w:val="FF0000"/>
          <w:lang w:eastAsia="es-ES"/>
        </w:rPr>
      </w:pPr>
    </w:p>
    <w:p w14:paraId="6601D5E2" w14:textId="0114B83A" w:rsidR="00CE1423" w:rsidRDefault="00923A82" w:rsidP="00923A82">
      <w:pPr>
        <w:tabs>
          <w:tab w:val="left" w:pos="4962"/>
        </w:tabs>
        <w:spacing w:after="0" w:line="360" w:lineRule="auto"/>
        <w:contextualSpacing/>
        <w:rPr>
          <w:rFonts w:ascii="Palatino Linotype" w:hAnsi="Palatino Linotype" w:cs="Tahoma"/>
          <w:bCs/>
          <w:iCs/>
          <w:color w:val="000000" w:themeColor="text1"/>
          <w:lang w:val="es-ES"/>
        </w:rPr>
      </w:pPr>
      <w:r>
        <w:rPr>
          <w:rFonts w:ascii="Palatino Linotype" w:eastAsia="Times New Roman" w:hAnsi="Palatino Linotype" w:cs="Times New Roman"/>
          <w:color w:val="000000" w:themeColor="text1"/>
          <w:lang w:eastAsia="es-ES"/>
        </w:rPr>
        <w:t xml:space="preserve">Ahora bien, no pasa desapercibido que el Particular requirió la información del presente año y de los últimos </w:t>
      </w:r>
      <w:r w:rsidR="00284153">
        <w:rPr>
          <w:rFonts w:ascii="Palatino Linotype" w:eastAsia="Times New Roman" w:hAnsi="Palatino Linotype" w:cs="Times New Roman"/>
          <w:color w:val="000000" w:themeColor="text1"/>
          <w:lang w:eastAsia="es-ES"/>
        </w:rPr>
        <w:t>cuatro años</w:t>
      </w:r>
      <w:r>
        <w:rPr>
          <w:rFonts w:ascii="Palatino Linotype" w:eastAsia="Times New Roman" w:hAnsi="Palatino Linotype" w:cs="Times New Roman"/>
          <w:color w:val="000000" w:themeColor="text1"/>
          <w:lang w:eastAsia="es-ES"/>
        </w:rPr>
        <w:t xml:space="preserve">; por lo que, </w:t>
      </w:r>
      <w:r w:rsidR="00CE1423">
        <w:rPr>
          <w:rFonts w:ascii="Palatino Linotype" w:hAnsi="Palatino Linotype" w:cs="Tahoma"/>
          <w:bCs/>
          <w:iCs/>
          <w:color w:val="000000" w:themeColor="text1"/>
          <w:lang w:val="es-ES"/>
        </w:rPr>
        <w:t xml:space="preserve">se logra vislumbrar que la pretensión del ahora Recurrente </w:t>
      </w:r>
      <w:r w:rsidR="007F21F9">
        <w:rPr>
          <w:rFonts w:ascii="Palatino Linotype" w:hAnsi="Palatino Linotype" w:cs="Tahoma"/>
          <w:bCs/>
          <w:iCs/>
          <w:color w:val="000000" w:themeColor="text1"/>
          <w:lang w:val="es-ES"/>
        </w:rPr>
        <w:t>es obtener las licencias de funcionamiento emitid</w:t>
      </w:r>
      <w:r>
        <w:rPr>
          <w:rFonts w:ascii="Palatino Linotype" w:hAnsi="Palatino Linotype" w:cs="Tahoma"/>
          <w:bCs/>
          <w:iCs/>
          <w:color w:val="000000" w:themeColor="text1"/>
          <w:lang w:val="es-ES"/>
        </w:rPr>
        <w:t>a</w:t>
      </w:r>
      <w:r w:rsidR="007F21F9">
        <w:rPr>
          <w:rFonts w:ascii="Palatino Linotype" w:hAnsi="Palatino Linotype" w:cs="Tahoma"/>
          <w:bCs/>
          <w:iCs/>
          <w:color w:val="000000" w:themeColor="text1"/>
          <w:lang w:val="es-ES"/>
        </w:rPr>
        <w:t>s por la Dirección</w:t>
      </w:r>
      <w:r>
        <w:rPr>
          <w:rFonts w:ascii="Palatino Linotype" w:hAnsi="Palatino Linotype" w:cs="Tahoma"/>
          <w:bCs/>
          <w:iCs/>
          <w:color w:val="000000" w:themeColor="text1"/>
          <w:lang w:val="es-ES"/>
        </w:rPr>
        <w:t xml:space="preserve"> General</w:t>
      </w:r>
      <w:r w:rsidR="007F21F9">
        <w:rPr>
          <w:rFonts w:ascii="Palatino Linotype" w:hAnsi="Palatino Linotype" w:cs="Tahoma"/>
          <w:bCs/>
          <w:iCs/>
          <w:color w:val="000000" w:themeColor="text1"/>
          <w:lang w:val="es-ES"/>
        </w:rPr>
        <w:t xml:space="preserve"> de </w:t>
      </w:r>
      <w:r w:rsidR="007F21F9">
        <w:rPr>
          <w:rFonts w:ascii="Palatino Linotype" w:hAnsi="Palatino Linotype" w:cs="Tahoma"/>
          <w:bCs/>
          <w:iCs/>
          <w:color w:val="000000" w:themeColor="text1"/>
          <w:lang w:val="es-ES"/>
        </w:rPr>
        <w:lastRenderedPageBreak/>
        <w:t xml:space="preserve">Desarrollo Económico, del primero </w:t>
      </w:r>
      <w:r>
        <w:rPr>
          <w:rFonts w:ascii="Palatino Linotype" w:hAnsi="Palatino Linotype" w:cs="Tahoma"/>
          <w:bCs/>
          <w:iCs/>
          <w:color w:val="000000" w:themeColor="text1"/>
          <w:lang w:val="es-ES"/>
        </w:rPr>
        <w:t>de enero de dos mil veintiuno al</w:t>
      </w:r>
      <w:r w:rsidR="00750B73">
        <w:rPr>
          <w:rFonts w:ascii="Palatino Linotype" w:hAnsi="Palatino Linotype" w:cs="Tahoma"/>
          <w:bCs/>
          <w:iCs/>
          <w:color w:val="000000" w:themeColor="text1"/>
          <w:lang w:val="es-ES"/>
        </w:rPr>
        <w:t xml:space="preserve"> </w:t>
      </w:r>
      <w:r>
        <w:rPr>
          <w:rFonts w:ascii="Palatino Linotype" w:hAnsi="Palatino Linotype" w:cs="Tahoma"/>
          <w:bCs/>
          <w:iCs/>
          <w:color w:val="000000" w:themeColor="text1"/>
          <w:lang w:val="es-ES"/>
        </w:rPr>
        <w:t>veintinueve de mayo de dos mil veinticinco.</w:t>
      </w:r>
    </w:p>
    <w:p w14:paraId="6F773722" w14:textId="77777777" w:rsidR="00CE1423" w:rsidRDefault="00CE1423" w:rsidP="005A6EF3">
      <w:pPr>
        <w:spacing w:after="0" w:line="360" w:lineRule="auto"/>
        <w:contextualSpacing/>
        <w:rPr>
          <w:rFonts w:ascii="Palatino Linotype" w:hAnsi="Palatino Linotype" w:cs="Tahoma"/>
          <w:bCs/>
          <w:iCs/>
          <w:color w:val="000000" w:themeColor="text1"/>
          <w:lang w:val="es-ES"/>
        </w:rPr>
      </w:pPr>
    </w:p>
    <w:p w14:paraId="1AC521E5" w14:textId="60DBA868" w:rsidR="005A6EF3" w:rsidRPr="005A6EF3" w:rsidRDefault="007F21F9" w:rsidP="00923A82">
      <w:pPr>
        <w:spacing w:after="0" w:line="360" w:lineRule="auto"/>
        <w:contextualSpacing/>
        <w:rPr>
          <w:rFonts w:ascii="Palatino Linotype" w:hAnsi="Palatino Linotype" w:cs="Tahoma"/>
          <w:bCs/>
          <w:iCs/>
          <w:color w:val="000000" w:themeColor="text1"/>
          <w:lang w:val="es-ES"/>
        </w:rPr>
      </w:pPr>
      <w:r>
        <w:rPr>
          <w:rFonts w:ascii="Palatino Linotype" w:hAnsi="Palatino Linotype" w:cs="Tahoma"/>
          <w:bCs/>
          <w:iCs/>
          <w:color w:val="000000" w:themeColor="text1"/>
          <w:lang w:val="es-ES"/>
        </w:rPr>
        <w:t>Establecido lo anterior, se procede analizar la respuesta entregada, para lo cual,</w:t>
      </w:r>
      <w:r w:rsidR="005A6EF3" w:rsidRPr="00CE1423">
        <w:rPr>
          <w:rFonts w:ascii="Palatino Linotype" w:hAnsi="Palatino Linotype" w:cs="Tahoma"/>
          <w:bCs/>
          <w:iCs/>
          <w:color w:val="000000" w:themeColor="text1"/>
          <w:lang w:val="es-ES"/>
        </w:rPr>
        <w:t xml:space="preserve"> de las constancias que obran en el expediente, se logra vislumbrar que el Sujeto Obligado, turno la solicitud de información a la Dirección</w:t>
      </w:r>
      <w:r w:rsidR="00923A82">
        <w:rPr>
          <w:rFonts w:ascii="Palatino Linotype" w:hAnsi="Palatino Linotype" w:cs="Tahoma"/>
          <w:bCs/>
          <w:iCs/>
          <w:color w:val="000000" w:themeColor="text1"/>
          <w:lang w:val="es-ES"/>
        </w:rPr>
        <w:t xml:space="preserve"> </w:t>
      </w:r>
      <w:r w:rsidR="00923A82">
        <w:rPr>
          <w:rFonts w:ascii="Palatino Linotype" w:hAnsi="Palatino Linotype" w:cs="Tahoma"/>
          <w:bCs/>
          <w:iCs/>
          <w:color w:val="000000" w:themeColor="text1"/>
        </w:rPr>
        <w:t>General de</w:t>
      </w:r>
      <w:r w:rsidR="005A6EF3" w:rsidRPr="00CE1423">
        <w:rPr>
          <w:rFonts w:ascii="Palatino Linotype" w:hAnsi="Palatino Linotype" w:cs="Tahoma"/>
          <w:bCs/>
          <w:iCs/>
          <w:color w:val="000000" w:themeColor="text1"/>
          <w:lang w:val="x-none"/>
        </w:rPr>
        <w:t xml:space="preserve"> </w:t>
      </w:r>
      <w:r>
        <w:rPr>
          <w:rFonts w:ascii="Palatino Linotype" w:hAnsi="Palatino Linotype" w:cs="Tahoma"/>
          <w:bCs/>
          <w:iCs/>
          <w:color w:val="000000" w:themeColor="text1"/>
        </w:rPr>
        <w:t>Desarrollo Económico</w:t>
      </w:r>
      <w:r w:rsidR="005A6EF3" w:rsidRPr="00CE1423">
        <w:rPr>
          <w:rFonts w:ascii="Palatino Linotype" w:hAnsi="Palatino Linotype" w:cs="Tahoma"/>
          <w:bCs/>
          <w:iCs/>
          <w:color w:val="000000" w:themeColor="text1"/>
          <w:lang w:val="es-ES"/>
        </w:rPr>
        <w:t xml:space="preserve">, </w:t>
      </w:r>
      <w:r w:rsidR="005A6EF3" w:rsidRPr="00CE1423">
        <w:rPr>
          <w:rFonts w:ascii="Palatino Linotype" w:hAnsi="Palatino Linotype" w:cs="Tahoma"/>
          <w:bCs/>
          <w:iCs/>
          <w:color w:val="000000" w:themeColor="text1"/>
        </w:rPr>
        <w:t xml:space="preserve">por lo que, es necesario hacer referencia al </w:t>
      </w:r>
      <w:r w:rsidR="005A6EF3" w:rsidRPr="00CE1423">
        <w:rPr>
          <w:rFonts w:ascii="Palatino Linotype" w:hAnsi="Palatino Linotype" w:cs="Tahoma"/>
          <w:b/>
          <w:iCs/>
          <w:color w:val="000000" w:themeColor="text1"/>
        </w:rPr>
        <w:t xml:space="preserve">procedimiento de búsqueda </w:t>
      </w:r>
      <w:r w:rsidR="005A6EF3" w:rsidRPr="00CE1423">
        <w:rPr>
          <w:rFonts w:ascii="Palatino Linotype" w:hAnsi="Palatino Linotype" w:cs="Tahoma"/>
          <w:b/>
          <w:iCs/>
          <w:color w:val="000000" w:themeColor="text1"/>
          <w:lang w:val="es-ES"/>
        </w:rPr>
        <w:t>que deben de seguir los Sujetos Obligados para localizar la información</w:t>
      </w:r>
      <w:r w:rsidR="005A6EF3" w:rsidRPr="00CE1423">
        <w:rPr>
          <w:rFonts w:ascii="Palatino Linotype" w:hAnsi="Palatino Linotype" w:cs="Tahoma"/>
          <w:bCs/>
          <w:iCs/>
          <w:color w:val="000000" w:themeColor="text1"/>
          <w:lang w:val="es-ES"/>
        </w:rPr>
        <w:t xml:space="preserve">, el cual se encuentra previsto en </w:t>
      </w:r>
      <w:r w:rsidR="00923A82">
        <w:rPr>
          <w:rFonts w:ascii="Palatino Linotype" w:hAnsi="Palatino Linotype" w:cs="Tahoma"/>
          <w:bCs/>
          <w:iCs/>
          <w:color w:val="000000" w:themeColor="text1"/>
          <w:lang w:val="es-ES"/>
        </w:rPr>
        <w:t>el artículo</w:t>
      </w:r>
      <w:r w:rsidR="005A6EF3" w:rsidRPr="00CE1423">
        <w:rPr>
          <w:rFonts w:ascii="Palatino Linotype" w:hAnsi="Palatino Linotype" w:cs="Tahoma"/>
          <w:bCs/>
          <w:iCs/>
          <w:color w:val="000000" w:themeColor="text1"/>
          <w:lang w:val="es-ES"/>
        </w:rPr>
        <w:t xml:space="preserve"> 162 de la Ley de Transparencia y Acceso a la Información Pública del Estado de México y Municipios, </w:t>
      </w:r>
      <w:r w:rsidR="00923A82">
        <w:rPr>
          <w:rFonts w:ascii="Palatino Linotype" w:hAnsi="Palatino Linotype" w:cs="Tahoma"/>
          <w:bCs/>
          <w:iCs/>
          <w:color w:val="000000" w:themeColor="text1"/>
          <w:lang w:val="es-ES"/>
        </w:rPr>
        <w:t>el cual establece que las</w:t>
      </w:r>
      <w:r w:rsidR="005A6EF3" w:rsidRPr="005A6EF3">
        <w:rPr>
          <w:rFonts w:ascii="Palatino Linotype" w:hAnsi="Palatino Linotype" w:cs="Tahoma"/>
          <w:bCs/>
          <w:iCs/>
          <w:color w:val="000000" w:themeColor="text1"/>
          <w:lang w:val="es-ES"/>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923A82">
        <w:rPr>
          <w:rFonts w:ascii="Palatino Linotype" w:hAnsi="Palatino Linotype" w:cs="Tahoma"/>
          <w:bCs/>
          <w:iCs/>
          <w:color w:val="000000" w:themeColor="text1"/>
          <w:lang w:val="es-ES"/>
        </w:rPr>
        <w:t>.</w:t>
      </w:r>
    </w:p>
    <w:p w14:paraId="1C389D66" w14:textId="77777777" w:rsidR="005A6EF3" w:rsidRDefault="005A6EF3" w:rsidP="005A6EF3">
      <w:pPr>
        <w:spacing w:after="0" w:line="360" w:lineRule="auto"/>
        <w:contextualSpacing/>
        <w:rPr>
          <w:rFonts w:ascii="Palatino Linotype" w:hAnsi="Palatino Linotype" w:cs="Tahoma"/>
          <w:bCs/>
          <w:iCs/>
          <w:color w:val="000000" w:themeColor="text1"/>
          <w:lang w:val="es-ES"/>
        </w:rPr>
      </w:pPr>
    </w:p>
    <w:p w14:paraId="0B855C6A" w14:textId="0FBDB45C" w:rsidR="00284153" w:rsidRDefault="00284153" w:rsidP="005A6EF3">
      <w:pPr>
        <w:spacing w:after="0" w:line="360" w:lineRule="auto"/>
        <w:contextualSpacing/>
        <w:rPr>
          <w:rFonts w:ascii="Palatino Linotype" w:hAnsi="Palatino Linotype" w:cs="Tahoma"/>
          <w:bCs/>
          <w:iCs/>
          <w:color w:val="000000" w:themeColor="text1"/>
          <w:lang w:val="es-ES"/>
        </w:rPr>
      </w:pPr>
      <w:r>
        <w:rPr>
          <w:rFonts w:ascii="Palatino Linotype" w:hAnsi="Palatino Linotype" w:cs="Tahoma"/>
          <w:bCs/>
          <w:iCs/>
          <w:color w:val="000000" w:themeColor="text1"/>
          <w:lang w:val="es-ES"/>
        </w:rPr>
        <w:t>Así, a efecto de verificar si el Sujeto Obligado cumplió con el procedimiento de búsqueda es necesario traer a colación los artículos 3.2, numerales 2 y 11, 3.21, 3.23, 3.42 y 3.44 del Código Reglamentario Municipal de Toluca, el cual establece que el Sujeto Obligado cuenta con diversas unidades administrativas, entre las cuales se encuentran las siguientes:</w:t>
      </w:r>
    </w:p>
    <w:p w14:paraId="5B2E0FBD" w14:textId="77777777" w:rsidR="00284153" w:rsidRDefault="00284153" w:rsidP="005A6EF3">
      <w:pPr>
        <w:spacing w:after="0" w:line="360" w:lineRule="auto"/>
        <w:contextualSpacing/>
        <w:rPr>
          <w:rFonts w:ascii="Palatino Linotype" w:hAnsi="Palatino Linotype" w:cs="Tahoma"/>
          <w:bCs/>
          <w:iCs/>
          <w:color w:val="000000" w:themeColor="text1"/>
          <w:lang w:val="es-ES"/>
        </w:rPr>
      </w:pPr>
    </w:p>
    <w:p w14:paraId="5ED9C32C" w14:textId="35EBDEAE" w:rsidR="00284153" w:rsidRDefault="00284153" w:rsidP="00284153">
      <w:pPr>
        <w:pStyle w:val="Prrafodelista"/>
        <w:numPr>
          <w:ilvl w:val="0"/>
          <w:numId w:val="23"/>
        </w:numPr>
        <w:spacing w:after="0" w:line="360" w:lineRule="auto"/>
        <w:rPr>
          <w:rFonts w:ascii="Palatino Linotype" w:hAnsi="Palatino Linotype" w:cs="Tahoma"/>
          <w:bCs/>
          <w:iCs/>
          <w:color w:val="000000" w:themeColor="text1"/>
          <w:lang w:val="es-ES"/>
        </w:rPr>
      </w:pPr>
      <w:r>
        <w:rPr>
          <w:rFonts w:ascii="Palatino Linotype" w:hAnsi="Palatino Linotype" w:cs="Tahoma"/>
          <w:b/>
          <w:iCs/>
          <w:color w:val="000000" w:themeColor="text1"/>
          <w:lang w:val="es-ES"/>
        </w:rPr>
        <w:t xml:space="preserve">Dirección de Ingresos de la Tesorería Municipal: </w:t>
      </w:r>
      <w:r>
        <w:rPr>
          <w:rFonts w:ascii="Palatino Linotype" w:hAnsi="Palatino Linotype" w:cs="Tahoma"/>
          <w:bCs/>
          <w:iCs/>
          <w:color w:val="000000" w:themeColor="text1"/>
          <w:lang w:val="es-ES"/>
        </w:rPr>
        <w:t>Que se encarga de recaudar los ingresos públicos municipales; así como, de controlar, supervisar y reportar la cifra de ingresos recaudada y vigilar que las pólizas de ingresos contengan el soporte documental.</w:t>
      </w:r>
    </w:p>
    <w:p w14:paraId="566D59F3" w14:textId="77777777" w:rsidR="00284153" w:rsidRPr="00284153" w:rsidRDefault="00284153" w:rsidP="00284153">
      <w:pPr>
        <w:pStyle w:val="Prrafodelista"/>
        <w:spacing w:after="0" w:line="360" w:lineRule="auto"/>
        <w:rPr>
          <w:rFonts w:ascii="Palatino Linotype" w:hAnsi="Palatino Linotype" w:cs="Tahoma"/>
          <w:bCs/>
          <w:iCs/>
          <w:color w:val="000000" w:themeColor="text1"/>
          <w:lang w:val="es-ES"/>
        </w:rPr>
      </w:pPr>
    </w:p>
    <w:p w14:paraId="18FF382D" w14:textId="4C3804AD" w:rsidR="00284153" w:rsidRPr="00284153" w:rsidRDefault="00284153" w:rsidP="00284153">
      <w:pPr>
        <w:pStyle w:val="Prrafodelista"/>
        <w:numPr>
          <w:ilvl w:val="0"/>
          <w:numId w:val="23"/>
        </w:numPr>
        <w:spacing w:after="0" w:line="360" w:lineRule="auto"/>
        <w:rPr>
          <w:rFonts w:ascii="Palatino Linotype" w:hAnsi="Palatino Linotype" w:cs="Tahoma"/>
          <w:bCs/>
          <w:iCs/>
          <w:color w:val="000000" w:themeColor="text1"/>
          <w:lang w:val="es-ES"/>
        </w:rPr>
      </w:pPr>
      <w:r>
        <w:rPr>
          <w:rFonts w:ascii="Palatino Linotype" w:hAnsi="Palatino Linotype" w:cs="Tahoma"/>
          <w:b/>
          <w:iCs/>
          <w:color w:val="000000" w:themeColor="text1"/>
          <w:lang w:val="es-ES"/>
        </w:rPr>
        <w:t xml:space="preserve">Dirección de Atención al Comercio de la Dirección General de Desarrollo Económico: </w:t>
      </w:r>
      <w:r>
        <w:rPr>
          <w:rFonts w:ascii="Palatino Linotype" w:hAnsi="Palatino Linotype" w:cs="Tahoma"/>
          <w:bCs/>
          <w:iCs/>
          <w:color w:val="000000" w:themeColor="text1"/>
          <w:lang w:val="es-ES"/>
        </w:rPr>
        <w:t>Llevar a cabo el procedimiento de expedición, refrendo, desvinculación y revocación de licencia de funcionamiento.</w:t>
      </w:r>
    </w:p>
    <w:p w14:paraId="5A43A066" w14:textId="77777777" w:rsidR="00284153" w:rsidRPr="005A6EF3" w:rsidRDefault="00284153" w:rsidP="005A6EF3">
      <w:pPr>
        <w:spacing w:after="0" w:line="360" w:lineRule="auto"/>
        <w:contextualSpacing/>
        <w:rPr>
          <w:rFonts w:ascii="Palatino Linotype" w:hAnsi="Palatino Linotype" w:cs="Tahoma"/>
          <w:bCs/>
          <w:iCs/>
          <w:color w:val="000000" w:themeColor="text1"/>
          <w:lang w:val="es-ES"/>
        </w:rPr>
      </w:pPr>
    </w:p>
    <w:p w14:paraId="42FB1318" w14:textId="39D39CCB" w:rsidR="005A6EF3" w:rsidRDefault="005A6EF3" w:rsidP="005A6EF3">
      <w:pPr>
        <w:spacing w:after="0" w:line="360" w:lineRule="auto"/>
        <w:rPr>
          <w:rFonts w:ascii="Palatino Linotype" w:hAnsi="Palatino Linotype"/>
          <w:bCs/>
          <w:iCs/>
          <w:color w:val="000000" w:themeColor="text1"/>
        </w:rPr>
      </w:pPr>
      <w:r w:rsidRPr="005A6EF3">
        <w:rPr>
          <w:rFonts w:ascii="Palatino Linotype" w:hAnsi="Palatino Linotype"/>
          <w:bCs/>
          <w:iCs/>
          <w:color w:val="000000" w:themeColor="text1"/>
        </w:rPr>
        <w:t>De tal circunstancia</w:t>
      </w:r>
      <w:r w:rsidR="007F21F9">
        <w:rPr>
          <w:rFonts w:ascii="Palatino Linotype" w:hAnsi="Palatino Linotype"/>
          <w:bCs/>
          <w:iCs/>
          <w:color w:val="000000" w:themeColor="text1"/>
        </w:rPr>
        <w:t xml:space="preserve"> y conforme a lo analizado en párrafos anteriores,</w:t>
      </w:r>
      <w:r w:rsidRPr="005A6EF3">
        <w:rPr>
          <w:rFonts w:ascii="Palatino Linotype" w:hAnsi="Palatino Linotype"/>
          <w:bCs/>
          <w:iCs/>
          <w:color w:val="000000" w:themeColor="text1"/>
        </w:rPr>
        <w:t xml:space="preserve"> se advierte que el Sujeto Obligado, </w:t>
      </w:r>
      <w:r w:rsidR="00284153">
        <w:rPr>
          <w:rFonts w:ascii="Palatino Linotype" w:hAnsi="Palatino Linotype"/>
          <w:bCs/>
          <w:iCs/>
          <w:color w:val="000000" w:themeColor="text1"/>
        </w:rPr>
        <w:t xml:space="preserve">no </w:t>
      </w:r>
      <w:r w:rsidRPr="005A6EF3">
        <w:rPr>
          <w:rFonts w:ascii="Palatino Linotype" w:hAnsi="Palatino Linotype"/>
          <w:bCs/>
          <w:iCs/>
          <w:color w:val="000000" w:themeColor="text1"/>
        </w:rPr>
        <w:t xml:space="preserve">cumplió con el procedimiento de búsqueda previsto en el artículo 162 de la Ley de Transparencia y Acceso a la Información Pública del Estado de México y Municipios, toda vez </w:t>
      </w:r>
      <w:r w:rsidR="00284153" w:rsidRPr="005A6EF3">
        <w:rPr>
          <w:rFonts w:ascii="Palatino Linotype" w:hAnsi="Palatino Linotype"/>
          <w:bCs/>
          <w:iCs/>
          <w:color w:val="000000" w:themeColor="text1"/>
        </w:rPr>
        <w:t>que,</w:t>
      </w:r>
      <w:r w:rsidR="00284153">
        <w:rPr>
          <w:rFonts w:ascii="Palatino Linotype" w:hAnsi="Palatino Linotype"/>
          <w:bCs/>
          <w:iCs/>
          <w:color w:val="000000" w:themeColor="text1"/>
        </w:rPr>
        <w:t xml:space="preserve"> si bien</w:t>
      </w:r>
      <w:r w:rsidRPr="005A6EF3">
        <w:rPr>
          <w:rFonts w:ascii="Palatino Linotype" w:hAnsi="Palatino Linotype"/>
          <w:bCs/>
          <w:iCs/>
          <w:color w:val="000000" w:themeColor="text1"/>
        </w:rPr>
        <w:t xml:space="preserve"> turno la solicitud de información </w:t>
      </w:r>
      <w:r w:rsidR="007F21F9">
        <w:rPr>
          <w:rFonts w:ascii="Palatino Linotype" w:hAnsi="Palatino Linotype"/>
          <w:bCs/>
          <w:iCs/>
          <w:color w:val="000000" w:themeColor="text1"/>
        </w:rPr>
        <w:t xml:space="preserve">a la Dirección </w:t>
      </w:r>
      <w:r w:rsidR="00923A82">
        <w:rPr>
          <w:rFonts w:ascii="Palatino Linotype" w:hAnsi="Palatino Linotype"/>
          <w:bCs/>
          <w:iCs/>
          <w:color w:val="000000" w:themeColor="text1"/>
        </w:rPr>
        <w:t xml:space="preserve">General </w:t>
      </w:r>
      <w:r w:rsidR="007F21F9">
        <w:rPr>
          <w:rFonts w:ascii="Palatino Linotype" w:hAnsi="Palatino Linotype"/>
          <w:bCs/>
          <w:iCs/>
          <w:color w:val="000000" w:themeColor="text1"/>
        </w:rPr>
        <w:t xml:space="preserve">de Desarrollo Económico, </w:t>
      </w:r>
      <w:r w:rsidR="00284153">
        <w:rPr>
          <w:rFonts w:ascii="Palatino Linotype" w:hAnsi="Palatino Linotype"/>
          <w:bCs/>
          <w:iCs/>
          <w:color w:val="000000" w:themeColor="text1"/>
        </w:rPr>
        <w:t>omitió hacerlo a la Tesorería Municipal</w:t>
      </w:r>
      <w:r w:rsidR="00F6265D">
        <w:rPr>
          <w:rFonts w:ascii="Palatino Linotype" w:hAnsi="Palatino Linotype"/>
          <w:bCs/>
          <w:iCs/>
          <w:color w:val="000000" w:themeColor="text1"/>
        </w:rPr>
        <w:t>; sin menospreciar lo referido, se procede analizar la información entregada para atender cada punto de la solicitud.</w:t>
      </w:r>
    </w:p>
    <w:p w14:paraId="6B035DD1" w14:textId="77777777" w:rsidR="00F6265D" w:rsidRDefault="00F6265D" w:rsidP="005A6EF3">
      <w:pPr>
        <w:spacing w:after="0" w:line="360" w:lineRule="auto"/>
        <w:rPr>
          <w:rFonts w:ascii="Palatino Linotype" w:hAnsi="Palatino Linotype"/>
          <w:bCs/>
          <w:iCs/>
          <w:color w:val="000000" w:themeColor="text1"/>
        </w:rPr>
      </w:pPr>
    </w:p>
    <w:p w14:paraId="71CFDC4D" w14:textId="675BD901" w:rsidR="00F6265D" w:rsidRPr="00F6265D" w:rsidRDefault="00F6265D" w:rsidP="005A6EF3">
      <w:pPr>
        <w:spacing w:after="0" w:line="360" w:lineRule="auto"/>
        <w:rPr>
          <w:rFonts w:ascii="Palatino Linotype" w:hAnsi="Palatino Linotype"/>
          <w:b/>
          <w:iCs/>
          <w:color w:val="000000" w:themeColor="text1"/>
        </w:rPr>
      </w:pPr>
      <w:r w:rsidRPr="00F6265D">
        <w:rPr>
          <w:rFonts w:ascii="Palatino Linotype" w:hAnsi="Palatino Linotype"/>
          <w:b/>
          <w:iCs/>
          <w:color w:val="000000" w:themeColor="text1"/>
        </w:rPr>
        <w:t>Licencias de funcionamiento.</w:t>
      </w:r>
    </w:p>
    <w:p w14:paraId="35184CAC" w14:textId="77777777" w:rsidR="000B16A1" w:rsidRDefault="000B16A1" w:rsidP="00226F60">
      <w:pPr>
        <w:spacing w:after="0" w:line="360" w:lineRule="auto"/>
        <w:rPr>
          <w:rFonts w:ascii="Palatino Linotype" w:eastAsia="Calibri" w:hAnsi="Palatino Linotype" w:cs="Times New Roman"/>
          <w:b/>
        </w:rPr>
      </w:pPr>
    </w:p>
    <w:p w14:paraId="00422ADF" w14:textId="75E07011" w:rsidR="007F21F9" w:rsidRDefault="007F21F9" w:rsidP="00284153">
      <w:pPr>
        <w:spacing w:after="0" w:line="360" w:lineRule="auto"/>
        <w:rPr>
          <w:rFonts w:ascii="Palatino Linotype" w:eastAsia="Times New Roman" w:hAnsi="Palatino Linotype" w:cs="Tahoma"/>
          <w:bCs/>
          <w:lang w:eastAsia="es-ES"/>
        </w:rPr>
      </w:pPr>
      <w:r w:rsidRPr="007F21F9">
        <w:rPr>
          <w:rFonts w:ascii="Palatino Linotype" w:eastAsia="Times New Roman" w:hAnsi="Palatino Linotype" w:cs="Tahoma"/>
          <w:bCs/>
          <w:lang w:eastAsia="es-ES"/>
        </w:rPr>
        <w:t xml:space="preserve">Ahora bien, </w:t>
      </w:r>
      <w:r w:rsidR="00284153">
        <w:rPr>
          <w:rFonts w:ascii="Palatino Linotype" w:eastAsia="Times New Roman" w:hAnsi="Palatino Linotype" w:cs="Tahoma"/>
          <w:bCs/>
          <w:lang w:eastAsia="es-ES"/>
        </w:rPr>
        <w:t>la Dirección General de Desarrollo Económico señaló que del primero de enero de dos mil veintiuno al veintinueve de mayo de dos mil veinticinco había emitido un total de mil ochocientas sesenta y cuatro licencias y proporcionó un listado con datos de dichas autorizaciones</w:t>
      </w:r>
      <w:r w:rsidR="00750B73">
        <w:rPr>
          <w:rFonts w:ascii="Palatino Linotype" w:eastAsia="Times New Roman" w:hAnsi="Palatino Linotype" w:cs="Tahoma"/>
          <w:bCs/>
          <w:lang w:eastAsia="es-ES"/>
        </w:rPr>
        <w:t>; tal como se muestra a continuación:</w:t>
      </w:r>
    </w:p>
    <w:p w14:paraId="05734BF6" w14:textId="77777777" w:rsidR="00750B73" w:rsidRDefault="00750B73" w:rsidP="007F21F9">
      <w:pPr>
        <w:spacing w:after="0" w:line="360" w:lineRule="auto"/>
        <w:rPr>
          <w:rFonts w:ascii="Palatino Linotype" w:eastAsia="Times New Roman" w:hAnsi="Palatino Linotype" w:cs="Tahoma"/>
          <w:bCs/>
          <w:lang w:eastAsia="es-ES"/>
        </w:rPr>
      </w:pPr>
    </w:p>
    <w:p w14:paraId="328D505A" w14:textId="28F3EDD1" w:rsidR="00750B73" w:rsidRDefault="00284153" w:rsidP="007F21F9">
      <w:pPr>
        <w:spacing w:after="0" w:line="360" w:lineRule="auto"/>
        <w:rPr>
          <w:rFonts w:ascii="Palatino Linotype" w:eastAsia="Times New Roman" w:hAnsi="Palatino Linotype" w:cs="Tahoma"/>
          <w:bCs/>
          <w:lang w:val="x-none" w:eastAsia="es-ES"/>
        </w:rPr>
      </w:pPr>
      <w:r w:rsidRPr="005E3B41">
        <w:rPr>
          <w:rFonts w:ascii="Palatino Linotype" w:eastAsia="Calibri" w:hAnsi="Palatino Linotype" w:cs="Times New Roman"/>
          <w:b/>
          <w:noProof/>
          <w:color w:val="000000"/>
          <w:lang w:eastAsia="es-MX"/>
        </w:rPr>
        <w:drawing>
          <wp:inline distT="0" distB="0" distL="0" distR="0" wp14:anchorId="30F73568" wp14:editId="7A5024B6">
            <wp:extent cx="5791835" cy="1388745"/>
            <wp:effectExtent l="0" t="0" r="0" b="1905"/>
            <wp:docPr id="1426901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292" name=""/>
                    <pic:cNvPicPr/>
                  </pic:nvPicPr>
                  <pic:blipFill>
                    <a:blip r:embed="rId8"/>
                    <a:stretch>
                      <a:fillRect/>
                    </a:stretch>
                  </pic:blipFill>
                  <pic:spPr>
                    <a:xfrm>
                      <a:off x="0" y="0"/>
                      <a:ext cx="5791835" cy="1388745"/>
                    </a:xfrm>
                    <a:prstGeom prst="rect">
                      <a:avLst/>
                    </a:prstGeom>
                  </pic:spPr>
                </pic:pic>
              </a:graphicData>
            </a:graphic>
          </wp:inline>
        </w:drawing>
      </w:r>
    </w:p>
    <w:p w14:paraId="02796F4C" w14:textId="77777777" w:rsidR="00284153" w:rsidRDefault="00284153" w:rsidP="00750B73">
      <w:pPr>
        <w:spacing w:after="0" w:line="360" w:lineRule="auto"/>
        <w:rPr>
          <w:rFonts w:ascii="Palatino Linotype" w:eastAsia="Times New Roman" w:hAnsi="Palatino Linotype" w:cs="Tahoma"/>
          <w:bCs/>
          <w:iCs/>
          <w:lang w:eastAsia="es-ES"/>
        </w:rPr>
      </w:pPr>
    </w:p>
    <w:p w14:paraId="15A6F40F" w14:textId="7FBC8FD6" w:rsidR="00750B73" w:rsidRPr="00E92BEB" w:rsidRDefault="00750B73" w:rsidP="00750B73">
      <w:pPr>
        <w:spacing w:after="0" w:line="360" w:lineRule="auto"/>
        <w:rPr>
          <w:rFonts w:ascii="Palatino Linotype" w:eastAsia="Times New Roman" w:hAnsi="Palatino Linotype" w:cs="Tahoma"/>
          <w:bCs/>
          <w:iCs/>
          <w:lang w:eastAsia="es-ES"/>
        </w:rPr>
      </w:pPr>
      <w:r>
        <w:rPr>
          <w:rFonts w:ascii="Palatino Linotype" w:eastAsia="Times New Roman" w:hAnsi="Palatino Linotype" w:cs="Tahoma"/>
          <w:bCs/>
          <w:iCs/>
          <w:lang w:eastAsia="es-ES"/>
        </w:rPr>
        <w:t>As</w:t>
      </w:r>
      <w:r>
        <w:rPr>
          <w:rFonts w:ascii="Palatino Linotype" w:eastAsia="Times New Roman" w:hAnsi="Palatino Linotype" w:cs="Tahoma"/>
          <w:bCs/>
          <w:iCs/>
          <w:lang w:val="x-none" w:eastAsia="es-ES"/>
        </w:rPr>
        <w:t xml:space="preserve">í, se logra vislumbrar que el Sujeto Obligado si bien proporcionó información relacionada con lo peticionado, lo cierto es, que la pretensión del ahora Recurrente no es obtener un listado de </w:t>
      </w:r>
      <w:r>
        <w:rPr>
          <w:rFonts w:ascii="Palatino Linotype" w:eastAsia="Times New Roman" w:hAnsi="Palatino Linotype" w:cs="Tahoma"/>
          <w:bCs/>
          <w:iCs/>
          <w:lang w:eastAsia="es-ES"/>
        </w:rPr>
        <w:t>las autorizaciones emitidas</w:t>
      </w:r>
      <w:r>
        <w:rPr>
          <w:rFonts w:ascii="Palatino Linotype" w:eastAsia="Times New Roman" w:hAnsi="Palatino Linotype" w:cs="Tahoma"/>
          <w:bCs/>
          <w:iCs/>
          <w:lang w:val="x-none" w:eastAsia="es-ES"/>
        </w:rPr>
        <w:t xml:space="preserve">, sino que es acceder al documento fuente, lo cual se traduce, </w:t>
      </w:r>
      <w:r>
        <w:rPr>
          <w:rFonts w:ascii="Palatino Linotype" w:eastAsia="Times New Roman" w:hAnsi="Palatino Linotype" w:cs="Tahoma"/>
          <w:bCs/>
          <w:iCs/>
          <w:lang w:eastAsia="es-ES"/>
        </w:rPr>
        <w:t>en la licencia,</w:t>
      </w:r>
      <w:r>
        <w:rPr>
          <w:rFonts w:ascii="Palatino Linotype" w:eastAsia="Times New Roman" w:hAnsi="Palatino Linotype" w:cs="Tahoma"/>
          <w:bCs/>
          <w:iCs/>
          <w:lang w:val="x-none" w:eastAsia="es-ES"/>
        </w:rPr>
        <w:t xml:space="preserve"> como expresión documental.</w:t>
      </w:r>
    </w:p>
    <w:p w14:paraId="40ED8FCF" w14:textId="77777777" w:rsidR="00750B73" w:rsidRDefault="00750B73" w:rsidP="00750B73">
      <w:pPr>
        <w:spacing w:after="0" w:line="360" w:lineRule="auto"/>
        <w:rPr>
          <w:rFonts w:ascii="Palatino Linotype" w:eastAsia="Calibri" w:hAnsi="Palatino Linotype" w:cs="Tahoma"/>
          <w:lang w:val="es-ES" w:eastAsia="es-MX"/>
        </w:rPr>
      </w:pPr>
    </w:p>
    <w:p w14:paraId="74B2C00D" w14:textId="74D369B5" w:rsidR="00750B73" w:rsidRPr="0001113C" w:rsidRDefault="00750B73" w:rsidP="00750B73">
      <w:pPr>
        <w:spacing w:after="0" w:line="360" w:lineRule="auto"/>
        <w:rPr>
          <w:rFonts w:ascii="Palatino Linotype" w:eastAsia="Calibri" w:hAnsi="Palatino Linotype" w:cs="Tahoma"/>
          <w:lang w:val="es-ES" w:eastAsia="es-MX"/>
        </w:rPr>
      </w:pPr>
      <w:r>
        <w:rPr>
          <w:rFonts w:ascii="Palatino Linotype" w:eastAsia="Calibri" w:hAnsi="Palatino Linotype" w:cs="Tahoma"/>
          <w:lang w:val="es-ES" w:eastAsia="es-MX"/>
        </w:rPr>
        <w:lastRenderedPageBreak/>
        <w:t>D</w:t>
      </w:r>
      <w:r w:rsidRPr="0001113C">
        <w:rPr>
          <w:rFonts w:ascii="Palatino Linotype" w:eastAsia="Calibri" w:hAnsi="Palatino Linotype" w:cs="Tahoma"/>
          <w:lang w:val="es-ES" w:eastAsia="es-MX"/>
        </w:rPr>
        <w:t xml:space="preserve">icha situación, toma relevancia con el Criterio </w:t>
      </w:r>
      <w:r w:rsidR="00EA1710">
        <w:rPr>
          <w:rFonts w:ascii="Palatino Linotype" w:eastAsia="Calibri" w:hAnsi="Palatino Linotype" w:cs="Tahoma"/>
          <w:lang w:val="es-ES" w:eastAsia="es-MX"/>
        </w:rPr>
        <w:t>Orientador</w:t>
      </w:r>
      <w:r>
        <w:rPr>
          <w:rFonts w:ascii="Palatino Linotype" w:eastAsia="Calibri" w:hAnsi="Palatino Linotype" w:cs="Tahoma"/>
          <w:lang w:val="es-ES" w:eastAsia="es-MX"/>
        </w:rPr>
        <w:t xml:space="preserve">, con clave de control con </w:t>
      </w:r>
      <w:r w:rsidRPr="0001113C">
        <w:rPr>
          <w:rFonts w:ascii="Palatino Linotype" w:eastAsia="Calibri" w:hAnsi="Palatino Linotype" w:cs="Tahoma"/>
          <w:lang w:val="es-ES" w:eastAsia="es-MX"/>
        </w:rPr>
        <w:t>número SO/016/2017, de la Segunda Época</w:t>
      </w:r>
      <w:r w:rsidR="00EA1710">
        <w:rPr>
          <w:rFonts w:ascii="Palatino Linotype" w:eastAsia="Calibri" w:hAnsi="Palatino Linotype" w:cs="Tahoma"/>
          <w:lang w:val="es-ES" w:eastAsia="es-MX"/>
        </w:rPr>
        <w:t>, emitido por e</w:t>
      </w:r>
      <w:r w:rsidRPr="0001113C">
        <w:rPr>
          <w:rFonts w:ascii="Palatino Linotype" w:eastAsia="Calibri" w:hAnsi="Palatino Linotype" w:cs="Tahoma"/>
          <w:lang w:val="es-ES" w:eastAsia="es-MX"/>
        </w:rPr>
        <w:t xml:space="preserve">l </w:t>
      </w:r>
      <w:r w:rsidR="00EA1710">
        <w:rPr>
          <w:rFonts w:ascii="Palatino Linotype" w:eastAsia="Calibri" w:hAnsi="Palatino Linotype" w:cs="Tahoma"/>
          <w:lang w:val="es-ES" w:eastAsia="es-MX"/>
        </w:rPr>
        <w:t xml:space="preserve">entonces </w:t>
      </w:r>
      <w:r w:rsidRPr="0001113C">
        <w:rPr>
          <w:rFonts w:ascii="Palatino Linotype" w:eastAsia="Calibri" w:hAnsi="Palatino Linotype" w:cs="Tahoma"/>
          <w:lang w:val="es-ES" w:eastAsia="es-MX"/>
        </w:rPr>
        <w:t>Instituto Nacional de Trans</w:t>
      </w:r>
      <w:r>
        <w:rPr>
          <w:rFonts w:ascii="Palatino Linotype" w:eastAsia="Calibri" w:hAnsi="Palatino Linotype" w:cs="Tahoma"/>
          <w:lang w:val="es-ES" w:eastAsia="es-MX"/>
        </w:rPr>
        <w:t xml:space="preserve">parencia, Acceso </w:t>
      </w:r>
      <w:r w:rsidRPr="0001113C">
        <w:rPr>
          <w:rFonts w:ascii="Palatino Linotype" w:eastAsia="Calibri" w:hAnsi="Palatino Linotype" w:cs="Tahoma"/>
          <w:lang w:val="es-ES" w:eastAsia="es-MX"/>
        </w:rPr>
        <w:t>a la Información Pública y Protección de Datos Person</w:t>
      </w:r>
      <w:r>
        <w:rPr>
          <w:rFonts w:ascii="Palatino Linotype" w:eastAsia="Calibri" w:hAnsi="Palatino Linotype" w:cs="Tahoma"/>
          <w:lang w:val="es-ES" w:eastAsia="es-MX"/>
        </w:rPr>
        <w:t xml:space="preserve">ales, el cual dispone que si al </w:t>
      </w:r>
      <w:r w:rsidRPr="0001113C">
        <w:rPr>
          <w:rFonts w:ascii="Palatino Linotype" w:eastAsia="Calibri" w:hAnsi="Palatino Linotype" w:cs="Tahoma"/>
          <w:lang w:val="es-ES" w:eastAsia="es-MX"/>
        </w:rPr>
        <w:t>presentar una solicitud de información los particulares no identifiquen de forma precisa el</w:t>
      </w:r>
      <w:r w:rsidRPr="0001113C">
        <w:t xml:space="preserve"> </w:t>
      </w:r>
      <w:r w:rsidRPr="0001113C">
        <w:rPr>
          <w:rFonts w:ascii="Palatino Linotype" w:eastAsia="Calibri" w:hAnsi="Palatino Linotype" w:cs="Tahoma"/>
          <w:lang w:val="es-ES" w:eastAsia="es-MX"/>
        </w:rPr>
        <w:t>documento al cual pretenden acceder, no obstante, la respuesta de los sujetos obligados</w:t>
      </w:r>
      <w:r>
        <w:rPr>
          <w:rFonts w:ascii="Palatino Linotype" w:eastAsia="Calibri" w:hAnsi="Palatino Linotype" w:cs="Tahoma"/>
          <w:lang w:val="es-ES" w:eastAsia="es-MX"/>
        </w:rPr>
        <w:t xml:space="preserve"> </w:t>
      </w:r>
      <w:r w:rsidRPr="0001113C">
        <w:rPr>
          <w:rFonts w:ascii="Palatino Linotype" w:eastAsia="Calibri" w:hAnsi="Palatino Linotype" w:cs="Tahoma"/>
          <w:lang w:val="es-ES" w:eastAsia="es-MX"/>
        </w:rPr>
        <w:t>pudieran obrar en algún documento, estos deben prever ot</w:t>
      </w:r>
      <w:r>
        <w:rPr>
          <w:rFonts w:ascii="Palatino Linotype" w:eastAsia="Calibri" w:hAnsi="Palatino Linotype" w:cs="Tahoma"/>
          <w:lang w:val="es-ES" w:eastAsia="es-MX"/>
        </w:rPr>
        <w:t xml:space="preserve">orgar una expresión documental, </w:t>
      </w:r>
      <w:r w:rsidRPr="0001113C">
        <w:rPr>
          <w:rFonts w:ascii="Palatino Linotype" w:eastAsia="Calibri" w:hAnsi="Palatino Linotype" w:cs="Tahoma"/>
          <w:lang w:val="es-ES" w:eastAsia="es-MX"/>
        </w:rPr>
        <w:t>le Criterio en cita es de texto y rubro siguientes:</w:t>
      </w:r>
    </w:p>
    <w:p w14:paraId="087EBA59" w14:textId="77777777" w:rsidR="00750B73" w:rsidRPr="00224368" w:rsidRDefault="00750B73" w:rsidP="00750B73">
      <w:pPr>
        <w:spacing w:after="0" w:line="360" w:lineRule="auto"/>
        <w:ind w:left="567" w:right="567"/>
        <w:rPr>
          <w:rFonts w:ascii="Palatino Linotype" w:eastAsia="Calibri" w:hAnsi="Palatino Linotype" w:cs="Tahoma"/>
          <w:bCs/>
          <w:i/>
          <w:iCs/>
          <w:color w:val="000000"/>
          <w:sz w:val="20"/>
          <w:szCs w:val="20"/>
          <w:lang w:eastAsia="es-MX"/>
        </w:rPr>
      </w:pPr>
    </w:p>
    <w:p w14:paraId="00BF931F" w14:textId="77777777" w:rsidR="00750B73" w:rsidRDefault="00750B73" w:rsidP="00750B73">
      <w:pPr>
        <w:spacing w:after="0" w:line="360" w:lineRule="auto"/>
        <w:ind w:left="567" w:right="567"/>
        <w:rPr>
          <w:rFonts w:ascii="Palatino Linotype" w:eastAsia="Calibri" w:hAnsi="Palatino Linotype" w:cs="Tahoma"/>
          <w:bCs/>
          <w:i/>
          <w:iCs/>
          <w:color w:val="000000"/>
          <w:sz w:val="20"/>
          <w:szCs w:val="20"/>
          <w:lang w:eastAsia="es-MX"/>
        </w:rPr>
      </w:pPr>
      <w:r w:rsidRPr="00224368">
        <w:rPr>
          <w:rFonts w:ascii="Palatino Linotype" w:eastAsia="Calibri" w:hAnsi="Palatino Linotype" w:cs="Tahoma"/>
          <w:bCs/>
          <w:i/>
          <w:iCs/>
          <w:color w:val="000000"/>
          <w:sz w:val="20"/>
          <w:szCs w:val="20"/>
          <w:lang w:eastAsia="es-MX"/>
        </w:rPr>
        <w:t>“</w:t>
      </w:r>
      <w:r w:rsidRPr="00224368">
        <w:rPr>
          <w:rFonts w:ascii="Palatino Linotype" w:eastAsia="Calibri" w:hAnsi="Palatino Linotype" w:cs="Tahoma"/>
          <w:b/>
          <w:bCs/>
          <w:i/>
          <w:iCs/>
          <w:color w:val="000000"/>
          <w:sz w:val="20"/>
          <w:szCs w:val="20"/>
          <w:lang w:eastAsia="es-MX"/>
        </w:rPr>
        <w:t>Expresión documental.</w:t>
      </w:r>
      <w:r w:rsidRPr="00224368">
        <w:rPr>
          <w:rFonts w:ascii="Palatino Linotype" w:eastAsia="Calibri" w:hAnsi="Palatino Linotype" w:cs="Tahoma"/>
          <w:bCs/>
          <w:i/>
          <w:iCs/>
          <w:color w:val="000000"/>
          <w:sz w:val="20"/>
          <w:szCs w:val="20"/>
          <w:lang w:eastAsia="es-MX"/>
        </w:rPr>
        <w:t xml:space="preserve"> Cuando los particulares prese</w:t>
      </w:r>
      <w:r>
        <w:rPr>
          <w:rFonts w:ascii="Palatino Linotype" w:eastAsia="Calibri" w:hAnsi="Palatino Linotype" w:cs="Tahoma"/>
          <w:bCs/>
          <w:i/>
          <w:iCs/>
          <w:color w:val="000000"/>
          <w:sz w:val="20"/>
          <w:szCs w:val="20"/>
          <w:lang w:eastAsia="es-MX"/>
        </w:rPr>
        <w:t xml:space="preserve">nten solicitudes de acceso a la </w:t>
      </w:r>
      <w:r w:rsidRPr="00224368">
        <w:rPr>
          <w:rFonts w:ascii="Palatino Linotype" w:eastAsia="Calibri" w:hAnsi="Palatino Linotype" w:cs="Tahoma"/>
          <w:bCs/>
          <w:i/>
          <w:iCs/>
          <w:color w:val="000000"/>
          <w:sz w:val="20"/>
          <w:szCs w:val="20"/>
          <w:lang w:eastAsia="es-MX"/>
        </w:rPr>
        <w:t>información sin identificar de forma precisa la docume</w:t>
      </w:r>
      <w:r>
        <w:rPr>
          <w:rFonts w:ascii="Palatino Linotype" w:eastAsia="Calibri" w:hAnsi="Palatino Linotype" w:cs="Tahoma"/>
          <w:bCs/>
          <w:i/>
          <w:iCs/>
          <w:color w:val="000000"/>
          <w:sz w:val="20"/>
          <w:szCs w:val="20"/>
          <w:lang w:eastAsia="es-MX"/>
        </w:rPr>
        <w:t xml:space="preserve">ntación que pudiera contener la </w:t>
      </w:r>
      <w:r w:rsidRPr="00224368">
        <w:rPr>
          <w:rFonts w:ascii="Palatino Linotype" w:eastAsia="Calibri" w:hAnsi="Palatino Linotype" w:cs="Tahoma"/>
          <w:bCs/>
          <w:i/>
          <w:iCs/>
          <w:color w:val="000000"/>
          <w:sz w:val="20"/>
          <w:szCs w:val="20"/>
          <w:lang w:eastAsia="es-MX"/>
        </w:rPr>
        <w:t xml:space="preserve">información de su interés, o bien, la solicitud constituya </w:t>
      </w:r>
      <w:r>
        <w:rPr>
          <w:rFonts w:ascii="Palatino Linotype" w:eastAsia="Calibri" w:hAnsi="Palatino Linotype" w:cs="Tahoma"/>
          <w:bCs/>
          <w:i/>
          <w:iCs/>
          <w:color w:val="000000"/>
          <w:sz w:val="20"/>
          <w:szCs w:val="20"/>
          <w:lang w:eastAsia="es-MX"/>
        </w:rPr>
        <w:t xml:space="preserve">una consulta, pero la respuesta </w:t>
      </w:r>
      <w:r w:rsidRPr="00224368">
        <w:rPr>
          <w:rFonts w:ascii="Palatino Linotype" w:eastAsia="Calibri" w:hAnsi="Palatino Linotype" w:cs="Tahoma"/>
          <w:bCs/>
          <w:i/>
          <w:iCs/>
          <w:color w:val="000000"/>
          <w:sz w:val="20"/>
          <w:szCs w:val="20"/>
          <w:lang w:eastAsia="es-MX"/>
        </w:rPr>
        <w:t>pudiera obrar en algún documento en poder de los sujetos obligados, éstos deben dar a</w:t>
      </w:r>
      <w:r>
        <w:rPr>
          <w:rFonts w:ascii="Palatino Linotype" w:eastAsia="Calibri" w:hAnsi="Palatino Linotype" w:cs="Tahoma"/>
          <w:bCs/>
          <w:i/>
          <w:iCs/>
          <w:color w:val="000000"/>
          <w:sz w:val="20"/>
          <w:szCs w:val="20"/>
          <w:lang w:eastAsia="es-MX"/>
        </w:rPr>
        <w:t xml:space="preserve"> </w:t>
      </w:r>
      <w:r w:rsidRPr="00224368">
        <w:rPr>
          <w:rFonts w:ascii="Palatino Linotype" w:eastAsia="Calibri" w:hAnsi="Palatino Linotype" w:cs="Tahoma"/>
          <w:bCs/>
          <w:i/>
          <w:iCs/>
          <w:color w:val="000000"/>
          <w:sz w:val="20"/>
          <w:szCs w:val="20"/>
          <w:lang w:eastAsia="es-MX"/>
        </w:rPr>
        <w:t>dichas solicitudes una interpretación que les otorgue una expresión documental.”</w:t>
      </w:r>
    </w:p>
    <w:p w14:paraId="507BB4DF" w14:textId="77777777" w:rsidR="00750B73" w:rsidRPr="00224368" w:rsidRDefault="00750B73" w:rsidP="00750B73">
      <w:pPr>
        <w:spacing w:after="0" w:line="360" w:lineRule="auto"/>
        <w:ind w:left="567" w:right="567"/>
        <w:rPr>
          <w:rFonts w:ascii="Palatino Linotype" w:eastAsia="Calibri" w:hAnsi="Palatino Linotype" w:cs="Tahoma"/>
          <w:bCs/>
          <w:i/>
          <w:iCs/>
          <w:color w:val="000000"/>
          <w:sz w:val="20"/>
          <w:szCs w:val="20"/>
          <w:lang w:eastAsia="es-MX"/>
        </w:rPr>
      </w:pPr>
    </w:p>
    <w:p w14:paraId="34D6BA16" w14:textId="5D7626A3" w:rsidR="00750B73" w:rsidRPr="007A709E" w:rsidRDefault="00750B73" w:rsidP="00750B73">
      <w:pPr>
        <w:spacing w:after="0" w:line="360" w:lineRule="auto"/>
        <w:contextualSpacing/>
        <w:rPr>
          <w:rFonts w:ascii="Palatino Linotype" w:eastAsia="Calibri" w:hAnsi="Palatino Linotype" w:cs="Tahoma"/>
          <w:bCs/>
          <w:color w:val="0D0D0D"/>
          <w:lang w:val="es-ES"/>
        </w:rPr>
      </w:pPr>
      <w:r>
        <w:rPr>
          <w:rFonts w:ascii="Palatino Linotype" w:eastAsia="Calibri" w:hAnsi="Palatino Linotype" w:cs="Tahoma"/>
          <w:lang w:eastAsia="es-MX"/>
        </w:rPr>
        <w:t>As</w:t>
      </w:r>
      <w:r>
        <w:rPr>
          <w:rFonts w:ascii="Palatino Linotype" w:eastAsia="Calibri" w:hAnsi="Palatino Linotype" w:cs="Tahoma"/>
          <w:lang w:val="x-none" w:eastAsia="es-MX"/>
        </w:rPr>
        <w:t>í, se reitera que</w:t>
      </w:r>
      <w:r w:rsidRPr="00185160">
        <w:rPr>
          <w:rFonts w:ascii="Palatino Linotype" w:eastAsia="Calibri" w:hAnsi="Palatino Linotype" w:cs="Tahoma"/>
          <w:lang w:val="es-ES" w:eastAsia="es-MX"/>
        </w:rPr>
        <w:t xml:space="preserve"> la pretensión del Recurrente, no era obtener</w:t>
      </w:r>
      <w:r>
        <w:rPr>
          <w:rFonts w:ascii="Palatino Linotype" w:eastAsia="Calibri" w:hAnsi="Palatino Linotype" w:cs="Tahoma"/>
          <w:lang w:val="es-ES" w:eastAsia="es-MX"/>
        </w:rPr>
        <w:t xml:space="preserve"> un listado  </w:t>
      </w:r>
      <w:r w:rsidRPr="00185160">
        <w:rPr>
          <w:rFonts w:ascii="Palatino Linotype" w:eastAsia="Calibri" w:hAnsi="Palatino Linotype" w:cs="Tahoma"/>
          <w:lang w:val="es-ES" w:eastAsia="es-MX"/>
        </w:rPr>
        <w:t>relacionado con lo peticionado, sino la expresión documental</w:t>
      </w:r>
      <w:r>
        <w:rPr>
          <w:rFonts w:ascii="Palatino Linotype" w:eastAsia="Calibri" w:hAnsi="Palatino Linotype" w:cs="Tahoma"/>
          <w:lang w:val="es-ES" w:eastAsia="es-MX"/>
        </w:rPr>
        <w:t xml:space="preserve">, lo cual se materializa en </w:t>
      </w:r>
      <w:r w:rsidR="00EA1710">
        <w:rPr>
          <w:rFonts w:ascii="Palatino Linotype" w:eastAsia="Calibri" w:hAnsi="Palatino Linotype" w:cs="Tahoma"/>
          <w:lang w:val="es-ES" w:eastAsia="es-MX"/>
        </w:rPr>
        <w:t>las licencias de funcionamiento</w:t>
      </w:r>
      <w:r>
        <w:rPr>
          <w:rFonts w:ascii="Palatino Linotype" w:eastAsia="Calibri" w:hAnsi="Palatino Linotype" w:cs="Tahoma"/>
          <w:lang w:val="es-ES" w:eastAsia="es-MX"/>
        </w:rPr>
        <w:t>;</w:t>
      </w:r>
      <w:r w:rsidRPr="007A709E">
        <w:rPr>
          <w:rFonts w:ascii="Palatino Linotype" w:eastAsia="Calibri" w:hAnsi="Palatino Linotype" w:cs="Times New Roman"/>
          <w:color w:val="000000"/>
          <w:lang w:val="es-ES"/>
        </w:rPr>
        <w:t xml:space="preserve"> </w:t>
      </w:r>
      <w:r w:rsidRPr="007A709E">
        <w:rPr>
          <w:rFonts w:ascii="Palatino Linotype" w:eastAsia="Calibri" w:hAnsi="Palatino Linotype" w:cs="Tahoma"/>
          <w:bCs/>
          <w:color w:val="0D0D0D"/>
          <w:szCs w:val="24"/>
          <w:lang w:val="es-ES"/>
        </w:rPr>
        <w:t>d</w:t>
      </w:r>
      <w:proofErr w:type="spellStart"/>
      <w:r w:rsidRPr="007A709E">
        <w:rPr>
          <w:rFonts w:ascii="Palatino Linotype" w:eastAsia="Calibri" w:hAnsi="Palatino Linotype" w:cs="Tahoma"/>
          <w:bCs/>
          <w:iCs/>
          <w:color w:val="000000"/>
        </w:rPr>
        <w:t>icha</w:t>
      </w:r>
      <w:proofErr w:type="spellEnd"/>
      <w:r w:rsidRPr="007A709E">
        <w:rPr>
          <w:rFonts w:ascii="Palatino Linotype" w:eastAsia="Calibri" w:hAnsi="Palatino Linotype" w:cs="Tahoma"/>
          <w:bCs/>
          <w:iCs/>
          <w:color w:val="000000"/>
        </w:rPr>
        <w:t xml:space="preserve"> situación toma sustento en</w:t>
      </w:r>
      <w:r w:rsidRPr="007A709E">
        <w:rPr>
          <w:rFonts w:ascii="Palatino Linotype" w:eastAsia="Calibri" w:hAnsi="Palatino Linotype" w:cs="Tahoma"/>
          <w:bCs/>
          <w:color w:val="000000"/>
        </w:rPr>
        <w:t xml:space="preserve"> el</w:t>
      </w:r>
      <w:r w:rsidRPr="007A709E">
        <w:rPr>
          <w:rFonts w:ascii="Palatino Linotype" w:eastAsia="Calibri" w:hAnsi="Palatino Linotype" w:cs="Tahoma"/>
          <w:color w:val="000000"/>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CADB296" w14:textId="77777777" w:rsidR="00750B73" w:rsidRPr="007A709E" w:rsidRDefault="00750B73" w:rsidP="00750B73">
      <w:pPr>
        <w:spacing w:after="0" w:line="360" w:lineRule="auto"/>
        <w:contextualSpacing/>
        <w:rPr>
          <w:rFonts w:ascii="Palatino Linotype" w:eastAsia="Calibri" w:hAnsi="Palatino Linotype" w:cs="Tahoma"/>
          <w:bCs/>
          <w:iCs/>
          <w:color w:val="000000"/>
          <w:lang w:val="es-ES_tradnl"/>
        </w:rPr>
      </w:pPr>
    </w:p>
    <w:p w14:paraId="1EA9011B" w14:textId="77777777" w:rsidR="00750B73" w:rsidRDefault="00750B73" w:rsidP="00750B73">
      <w:pPr>
        <w:tabs>
          <w:tab w:val="left" w:pos="4962"/>
        </w:tabs>
        <w:spacing w:after="0" w:line="360" w:lineRule="auto"/>
        <w:contextualSpacing/>
        <w:rPr>
          <w:rFonts w:ascii="Palatino Linotype" w:eastAsia="Calibri" w:hAnsi="Palatino Linotype" w:cs="Tahoma"/>
          <w:color w:val="000000"/>
        </w:rPr>
      </w:pPr>
      <w:r w:rsidRPr="007A709E">
        <w:rPr>
          <w:rFonts w:ascii="Palatino Linotype" w:eastAsia="Calibri" w:hAnsi="Palatino Linotype" w:cs="Tahoma"/>
          <w:color w:val="000000"/>
        </w:rPr>
        <w:t xml:space="preserve">De esta manera, </w:t>
      </w:r>
      <w:r w:rsidRPr="007A709E">
        <w:rPr>
          <w:rFonts w:ascii="Palatino Linotype" w:eastAsia="Calibri" w:hAnsi="Palatino Linotype" w:cs="Tahoma"/>
          <w:color w:val="000000"/>
          <w:szCs w:val="24"/>
          <w:lang w:val="es-ES"/>
        </w:rPr>
        <w:t xml:space="preserve">el derecho de acceso a la información pública se satisface en aquellos casos en que se entregue el soporte documental en el que conste la información solicitada, sin necesidad de elaborar documentos </w:t>
      </w:r>
      <w:r w:rsidRPr="007A709E">
        <w:rPr>
          <w:rFonts w:ascii="Palatino Linotype" w:eastAsia="Calibri" w:hAnsi="Palatino Linotype" w:cs="Tahoma"/>
          <w:i/>
          <w:color w:val="000000"/>
        </w:rPr>
        <w:t>ad hoc</w:t>
      </w:r>
      <w:r w:rsidRPr="007A709E">
        <w:rPr>
          <w:rFonts w:ascii="Palatino Linotype" w:eastAsia="Calibri" w:hAnsi="Palatino Linotype" w:cs="Tahoma"/>
          <w:color w:val="000000"/>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49C2FC4" w14:textId="77777777" w:rsidR="002428C9" w:rsidRPr="007A709E" w:rsidRDefault="002428C9" w:rsidP="00750B73">
      <w:pPr>
        <w:tabs>
          <w:tab w:val="left" w:pos="4962"/>
        </w:tabs>
        <w:spacing w:after="0" w:line="360" w:lineRule="auto"/>
        <w:contextualSpacing/>
        <w:rPr>
          <w:rFonts w:ascii="Palatino Linotype" w:eastAsia="Calibri" w:hAnsi="Palatino Linotype" w:cs="Tahoma"/>
          <w:color w:val="000000"/>
        </w:rPr>
      </w:pPr>
    </w:p>
    <w:p w14:paraId="657CF544" w14:textId="77777777" w:rsidR="00EA1710" w:rsidRDefault="00750B73" w:rsidP="00EA1710">
      <w:pPr>
        <w:spacing w:after="0" w:line="360" w:lineRule="auto"/>
        <w:rPr>
          <w:rFonts w:ascii="Palatino Linotype" w:eastAsia="Calibri" w:hAnsi="Palatino Linotype" w:cs="Tahoma"/>
          <w:color w:val="000000"/>
          <w:lang w:eastAsia="es-MX"/>
        </w:rPr>
      </w:pPr>
      <w:r w:rsidRPr="007A709E">
        <w:rPr>
          <w:rFonts w:ascii="Palatino Linotype" w:eastAsia="Calibri" w:hAnsi="Palatino Linotype" w:cs="Tahoma"/>
          <w:color w:val="000000"/>
          <w:lang w:val="es-ES" w:eastAsia="es-MX"/>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2428C9" w:rsidRPr="002428C9">
        <w:rPr>
          <w:rFonts w:ascii="Palatino Linotype" w:eastAsia="Calibri" w:hAnsi="Palatino Linotype" w:cs="Tahoma"/>
          <w:color w:val="000000"/>
          <w:lang w:val="es-ES" w:eastAsia="es-MX"/>
        </w:rPr>
        <w:t xml:space="preserve"> </w:t>
      </w:r>
      <w:r w:rsidR="002428C9">
        <w:rPr>
          <w:rFonts w:ascii="Palatino Linotype" w:eastAsia="Calibri" w:hAnsi="Palatino Linotype" w:cs="Tahoma"/>
          <w:color w:val="000000"/>
          <w:lang w:val="es-ES" w:eastAsia="es-MX"/>
        </w:rPr>
        <w:t>lo cual no aconteció</w:t>
      </w:r>
      <w:r w:rsidR="002428C9">
        <w:rPr>
          <w:rFonts w:ascii="Palatino Linotype" w:eastAsia="Calibri" w:hAnsi="Palatino Linotype" w:cs="Tahoma"/>
          <w:color w:val="000000"/>
          <w:lang w:val="x-none" w:eastAsia="es-MX"/>
        </w:rPr>
        <w:t xml:space="preserve">, pues el Sujeto Obligado no proporcionó los documentos </w:t>
      </w:r>
      <w:r w:rsidR="002428C9">
        <w:rPr>
          <w:rFonts w:ascii="Palatino Linotype" w:eastAsia="Calibri" w:hAnsi="Palatino Linotype" w:cs="Tahoma"/>
          <w:color w:val="000000"/>
          <w:lang w:eastAsia="es-MX"/>
        </w:rPr>
        <w:t xml:space="preserve">fuente solicitados, lo cual da como resultado que el agravio sea </w:t>
      </w:r>
      <w:r w:rsidR="002428C9">
        <w:rPr>
          <w:rFonts w:ascii="Palatino Linotype" w:eastAsia="Calibri" w:hAnsi="Palatino Linotype" w:cs="Tahoma"/>
          <w:b/>
          <w:color w:val="000000"/>
          <w:lang w:eastAsia="es-MX"/>
        </w:rPr>
        <w:t xml:space="preserve">FUNDADO. </w:t>
      </w:r>
    </w:p>
    <w:p w14:paraId="1BFC0283" w14:textId="77777777" w:rsidR="00EA1710" w:rsidRDefault="00EA1710" w:rsidP="00EA1710">
      <w:pPr>
        <w:spacing w:after="0" w:line="360" w:lineRule="auto"/>
        <w:rPr>
          <w:rFonts w:ascii="Palatino Linotype" w:eastAsia="Calibri" w:hAnsi="Palatino Linotype" w:cs="Tahoma"/>
          <w:color w:val="000000"/>
          <w:lang w:eastAsia="es-MX"/>
        </w:rPr>
      </w:pPr>
    </w:p>
    <w:p w14:paraId="4423813C" w14:textId="2FBAFB78" w:rsidR="007F21F9" w:rsidRDefault="002428C9" w:rsidP="00EA1710">
      <w:pPr>
        <w:spacing w:after="0" w:line="360" w:lineRule="auto"/>
        <w:rPr>
          <w:rFonts w:ascii="Palatino Linotype" w:eastAsia="Calibri" w:hAnsi="Palatino Linotype" w:cs="Tahoma"/>
          <w:color w:val="000000"/>
        </w:rPr>
      </w:pPr>
      <w:r>
        <w:rPr>
          <w:rFonts w:ascii="Palatino Linotype" w:eastAsia="Calibri" w:hAnsi="Palatino Linotype" w:cs="Tahoma"/>
          <w:color w:val="000000"/>
        </w:rPr>
        <w:t xml:space="preserve">En ese contexto, este Instituto </w:t>
      </w:r>
      <w:r w:rsidR="00EA1710">
        <w:rPr>
          <w:rFonts w:ascii="Palatino Linotype" w:eastAsia="Calibri" w:hAnsi="Palatino Linotype" w:cs="Tahoma"/>
          <w:color w:val="000000"/>
        </w:rPr>
        <w:t>considera que para atender el requerimiento de información deberá proporcionar las mil ochocientas sesenta y cuatro licencias de funcionamiento señaladas en respuesta, para dar cumplimiento a los artículos 12 y 160 de la Ley de Transparencia y Acceso a la Información Pública del Estado de México y Municipios.</w:t>
      </w:r>
    </w:p>
    <w:p w14:paraId="2121B443" w14:textId="77777777" w:rsidR="00C228FB" w:rsidRDefault="00C228FB" w:rsidP="00C228FB">
      <w:pPr>
        <w:spacing w:after="0" w:line="360" w:lineRule="auto"/>
        <w:rPr>
          <w:rFonts w:ascii="Palatino Linotype" w:eastAsia="Times New Roman" w:hAnsi="Palatino Linotype" w:cs="Tahoma"/>
          <w:szCs w:val="24"/>
          <w:lang w:val="es-ES" w:eastAsia="es-ES"/>
        </w:rPr>
      </w:pPr>
    </w:p>
    <w:p w14:paraId="37399B82" w14:textId="4F3180A8" w:rsidR="00F6265D" w:rsidRDefault="00F6265D" w:rsidP="00C228FB">
      <w:pPr>
        <w:spacing w:after="0" w:line="360" w:lineRule="auto"/>
        <w:rPr>
          <w:rFonts w:ascii="Palatino Linotype" w:eastAsia="Times New Roman" w:hAnsi="Palatino Linotype" w:cs="Tahoma"/>
          <w:b/>
          <w:bCs/>
          <w:szCs w:val="24"/>
          <w:lang w:val="es-ES" w:eastAsia="es-ES"/>
        </w:rPr>
      </w:pPr>
      <w:r>
        <w:rPr>
          <w:rFonts w:ascii="Palatino Linotype" w:eastAsia="Times New Roman" w:hAnsi="Palatino Linotype" w:cs="Tahoma"/>
          <w:b/>
          <w:bCs/>
          <w:szCs w:val="24"/>
          <w:lang w:val="es-ES" w:eastAsia="es-ES"/>
        </w:rPr>
        <w:t>Monto recaudado</w:t>
      </w:r>
    </w:p>
    <w:p w14:paraId="594AE7A3" w14:textId="77777777" w:rsidR="00F6265D" w:rsidRDefault="00F6265D" w:rsidP="00C228FB">
      <w:pPr>
        <w:spacing w:after="0" w:line="360" w:lineRule="auto"/>
        <w:rPr>
          <w:rFonts w:ascii="Palatino Linotype" w:eastAsia="Times New Roman" w:hAnsi="Palatino Linotype" w:cs="Tahoma"/>
          <w:b/>
          <w:bCs/>
          <w:szCs w:val="24"/>
          <w:lang w:val="es-ES" w:eastAsia="es-ES"/>
        </w:rPr>
      </w:pPr>
    </w:p>
    <w:p w14:paraId="63F9BEAA" w14:textId="3BC7B9A9" w:rsidR="00F6265D" w:rsidRPr="00F6265D" w:rsidRDefault="00F6265D" w:rsidP="00F6265D">
      <w:pPr>
        <w:spacing w:after="0" w:line="360" w:lineRule="auto"/>
        <w:rPr>
          <w:rFonts w:ascii="Palatino Linotype" w:eastAsia="Palatino Linotype" w:hAnsi="Palatino Linotype" w:cs="Tahoma"/>
          <w:bCs/>
          <w:iCs/>
          <w:lang w:eastAsia="es-MX"/>
        </w:rPr>
      </w:pPr>
      <w:r>
        <w:rPr>
          <w:rFonts w:ascii="Palatino Linotype" w:eastAsia="Palatino Linotype" w:hAnsi="Palatino Linotype" w:cs="Tahoma"/>
          <w:bCs/>
          <w:iCs/>
          <w:lang w:eastAsia="es-MX"/>
        </w:rPr>
        <w:t>Sobre dicho punto,</w:t>
      </w:r>
      <w:r w:rsidRPr="00F6265D">
        <w:rPr>
          <w:rFonts w:ascii="Palatino Linotype" w:eastAsia="Palatino Linotype" w:hAnsi="Palatino Linotype" w:cs="Tahoma"/>
          <w:bCs/>
          <w:iCs/>
          <w:lang w:eastAsia="es-MX"/>
        </w:rPr>
        <w:t xml:space="preserve"> de las constancias que obran en el expediente, se logra vislumbrar que el Sujeto Obligado, omitió pronunciarse de manera expresa </w:t>
      </w:r>
      <w:r>
        <w:rPr>
          <w:rFonts w:ascii="Palatino Linotype" w:eastAsia="Palatino Linotype" w:hAnsi="Palatino Linotype" w:cs="Tahoma"/>
          <w:bCs/>
          <w:iCs/>
          <w:lang w:eastAsia="es-MX"/>
        </w:rPr>
        <w:t>sobre el monto recaudado por la expedición de licencias de funcionamiento, lo cual deriva de la falta de turno a la Tesorería Municipal, tal como lo refirió la Dirección General de Desarrollo Económico</w:t>
      </w:r>
      <w:r w:rsidRPr="00F6265D">
        <w:rPr>
          <w:rFonts w:ascii="Palatino Linotype" w:eastAsia="Palatino Linotype" w:hAnsi="Palatino Linotype" w:cs="Tahoma"/>
          <w:bCs/>
          <w:iCs/>
          <w:lang w:eastAsia="es-MX"/>
        </w:rPr>
        <w:t>; sobre el tema, el artículo 1.8, fracción XIII, del Código Administrativo del Estado de México, establece que para que tenga validez, todo acto administrativo deberá resolver todos los puntos propuestos por los interesados.</w:t>
      </w:r>
    </w:p>
    <w:p w14:paraId="7F1470D2" w14:textId="77777777" w:rsidR="00F6265D" w:rsidRPr="00F6265D" w:rsidRDefault="00F6265D" w:rsidP="00F6265D">
      <w:pPr>
        <w:spacing w:after="0" w:line="360" w:lineRule="auto"/>
        <w:rPr>
          <w:rFonts w:ascii="Palatino Linotype" w:eastAsia="Palatino Linotype" w:hAnsi="Palatino Linotype" w:cs="Tahoma"/>
          <w:bCs/>
          <w:iCs/>
          <w:lang w:eastAsia="es-MX"/>
        </w:rPr>
      </w:pPr>
    </w:p>
    <w:p w14:paraId="4E392C2A" w14:textId="77777777" w:rsidR="00F6265D" w:rsidRPr="00F6265D" w:rsidRDefault="00F6265D" w:rsidP="00F6265D">
      <w:pPr>
        <w:spacing w:after="0" w:line="360" w:lineRule="auto"/>
        <w:rPr>
          <w:rFonts w:ascii="Palatino Linotype" w:eastAsia="Palatino Linotype" w:hAnsi="Palatino Linotype" w:cs="Tahoma"/>
          <w:bCs/>
          <w:iCs/>
          <w:lang w:eastAsia="es-MX"/>
        </w:rPr>
      </w:pPr>
      <w:r w:rsidRPr="00F6265D">
        <w:rPr>
          <w:rFonts w:ascii="Palatino Linotype" w:eastAsia="Palatino Linotype" w:hAnsi="Palatino Linotype" w:cs="Tahoma"/>
          <w:bCs/>
          <w:iCs/>
          <w:lang w:eastAsia="es-MX"/>
        </w:rPr>
        <w:t xml:space="preserve">En ese sentido, el Criterio de Interpretación, con clave de control SO/002/2017, del Instituto Nacional de Transparencia, Acceso a la Información y Protección de Datos Personales, el cual establece que todo acto administrativo debe apegarse al </w:t>
      </w:r>
      <w:r w:rsidRPr="00F6265D">
        <w:rPr>
          <w:rFonts w:ascii="Palatino Linotype" w:eastAsia="Palatino Linotype" w:hAnsi="Palatino Linotype" w:cs="Tahoma"/>
          <w:b/>
          <w:bCs/>
          <w:iCs/>
          <w:lang w:eastAsia="es-MX"/>
        </w:rPr>
        <w:t xml:space="preserve">principio de exhaustividad, </w:t>
      </w:r>
      <w:r w:rsidRPr="00F6265D">
        <w:rPr>
          <w:rFonts w:ascii="Palatino Linotype" w:eastAsia="Palatino Linotype" w:hAnsi="Palatino Linotype" w:cs="Tahoma"/>
          <w:bCs/>
          <w:iCs/>
          <w:lang w:eastAsia="es-MX"/>
        </w:rPr>
        <w:t xml:space="preserve">entendiendo por éste que se pronuncie expresamente sobre cada uno de los puntos requeridos, lo cual en materia de transparencia y acceso a la información pública se traduce en que, las respuestas que emitan los sujetos obligados, deben guardar una relación lógica con lo </w:t>
      </w:r>
      <w:r w:rsidRPr="00F6265D">
        <w:rPr>
          <w:rFonts w:ascii="Palatino Linotype" w:eastAsia="Palatino Linotype" w:hAnsi="Palatino Linotype" w:cs="Tahoma"/>
          <w:bCs/>
          <w:iCs/>
          <w:lang w:eastAsia="es-MX"/>
        </w:rPr>
        <w:lastRenderedPageBreak/>
        <w:t>solicitado, analizando y decidiendo –de marea íntegra- sobre todos los puntos requeridos, a fin de satisfacer la solicitud correspondiente.</w:t>
      </w:r>
    </w:p>
    <w:p w14:paraId="0260151D" w14:textId="77777777" w:rsidR="00F6265D" w:rsidRPr="00F6265D" w:rsidRDefault="00F6265D" w:rsidP="00F6265D">
      <w:pPr>
        <w:spacing w:after="0" w:line="360" w:lineRule="auto"/>
        <w:rPr>
          <w:rFonts w:ascii="Palatino Linotype" w:eastAsia="Palatino Linotype" w:hAnsi="Palatino Linotype" w:cs="Tahoma"/>
          <w:bCs/>
          <w:iCs/>
          <w:lang w:eastAsia="es-MX"/>
        </w:rPr>
      </w:pPr>
    </w:p>
    <w:p w14:paraId="3D0B1FA8" w14:textId="0EBDA1DE" w:rsidR="00F6265D" w:rsidRDefault="00F6265D" w:rsidP="00F6265D">
      <w:pPr>
        <w:spacing w:after="0" w:line="360" w:lineRule="auto"/>
        <w:rPr>
          <w:rFonts w:ascii="Palatino Linotype" w:eastAsia="Palatino Linotype" w:hAnsi="Palatino Linotype" w:cs="Tahoma"/>
          <w:bCs/>
          <w:iCs/>
          <w:lang w:eastAsia="es-MX"/>
        </w:rPr>
      </w:pPr>
      <w:r w:rsidRPr="00F6265D">
        <w:rPr>
          <w:rFonts w:ascii="Palatino Linotype" w:eastAsia="Palatino Linotype" w:hAnsi="Palatino Linotype" w:cs="Tahoma"/>
          <w:bCs/>
          <w:iCs/>
          <w:noProof/>
          <w:lang w:eastAsia="es-MX"/>
        </w:rPr>
        <w:t xml:space="preserve">En esa tesitura, se concluye que el Sujeto Obligado no satisfizo el derecho de acceso a la información del Solicitante, pues </w:t>
      </w:r>
      <w:r>
        <w:rPr>
          <w:rFonts w:ascii="Palatino Linotype" w:eastAsia="Palatino Linotype" w:hAnsi="Palatino Linotype" w:cs="Tahoma"/>
          <w:bCs/>
          <w:iCs/>
          <w:noProof/>
          <w:lang w:eastAsia="es-MX"/>
        </w:rPr>
        <w:t xml:space="preserve">al no turnar la solicitud a la Tesorería Municipal, esta </w:t>
      </w:r>
      <w:r w:rsidRPr="00F6265D">
        <w:rPr>
          <w:rFonts w:ascii="Palatino Linotype" w:eastAsia="Palatino Linotype" w:hAnsi="Palatino Linotype" w:cs="Tahoma"/>
          <w:bCs/>
          <w:iCs/>
          <w:noProof/>
          <w:lang w:eastAsia="es-MX"/>
        </w:rPr>
        <w:t xml:space="preserve">no se pronunció respecto </w:t>
      </w:r>
      <w:r>
        <w:rPr>
          <w:rFonts w:ascii="Palatino Linotype" w:eastAsia="Palatino Linotype" w:hAnsi="Palatino Linotype" w:cs="Tahoma"/>
          <w:bCs/>
          <w:iCs/>
          <w:noProof/>
          <w:lang w:eastAsia="es-MX"/>
        </w:rPr>
        <w:t>a la información solicitada; lo cual toma relevancia, pues este Instituto revisó la Ley de Ingresos de los Municipios del Estado de México para los ejercicios fiscales dos mil veintiuno a dos mil veinticinco</w:t>
      </w:r>
      <w:r w:rsidR="005653F3">
        <w:rPr>
          <w:rFonts w:ascii="Palatino Linotype" w:eastAsia="Palatino Linotype" w:hAnsi="Palatino Linotype" w:cs="Tahoma"/>
          <w:bCs/>
          <w:iCs/>
          <w:noProof/>
          <w:lang w:eastAsia="es-MX"/>
        </w:rPr>
        <w:t>, así como el Código Financiero del Estado de México y localizó que el Ayuntamiento debe cobrar los derechos por la expedición o refrendo de licencias para vender bebidas alcohólicas al público en botella cerrado, o al copeo en general, en establecimientos comerciales, de servicios o de diversión y espectáculos públicos, tal omo se muesta en el siguiente ejeemplo:</w:t>
      </w:r>
    </w:p>
    <w:p w14:paraId="6255781D" w14:textId="77777777" w:rsidR="00F6265D" w:rsidRDefault="00F6265D" w:rsidP="00F6265D">
      <w:pPr>
        <w:spacing w:after="0" w:line="360" w:lineRule="auto"/>
        <w:rPr>
          <w:rFonts w:ascii="Palatino Linotype" w:eastAsia="Palatino Linotype" w:hAnsi="Palatino Linotype" w:cs="Tahoma"/>
          <w:bCs/>
          <w:iCs/>
          <w:lang w:eastAsia="es-MX"/>
        </w:rPr>
      </w:pPr>
    </w:p>
    <w:p w14:paraId="49F8DA00" w14:textId="39E253CC" w:rsidR="00DE4980" w:rsidRDefault="00DE4980" w:rsidP="00F6265D">
      <w:pPr>
        <w:spacing w:after="0" w:line="360" w:lineRule="auto"/>
        <w:rPr>
          <w:rFonts w:ascii="Palatino Linotype" w:eastAsia="Palatino Linotype" w:hAnsi="Palatino Linotype" w:cs="Tahoma"/>
          <w:bCs/>
          <w:iCs/>
          <w:lang w:eastAsia="es-MX"/>
        </w:rPr>
      </w:pPr>
      <w:r w:rsidRPr="00DE4980">
        <w:rPr>
          <w:rFonts w:ascii="Palatino Linotype" w:eastAsia="Palatino Linotype" w:hAnsi="Palatino Linotype" w:cs="Tahoma"/>
          <w:bCs/>
          <w:iCs/>
          <w:noProof/>
          <w:lang w:eastAsia="es-MX"/>
        </w:rPr>
        <w:drawing>
          <wp:inline distT="0" distB="0" distL="0" distR="0" wp14:anchorId="3AB57F05" wp14:editId="597143EE">
            <wp:extent cx="5791835" cy="3062605"/>
            <wp:effectExtent l="0" t="0" r="0" b="4445"/>
            <wp:docPr id="11303295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29564" name=""/>
                    <pic:cNvPicPr/>
                  </pic:nvPicPr>
                  <pic:blipFill>
                    <a:blip r:embed="rId9"/>
                    <a:stretch>
                      <a:fillRect/>
                    </a:stretch>
                  </pic:blipFill>
                  <pic:spPr>
                    <a:xfrm>
                      <a:off x="0" y="0"/>
                      <a:ext cx="5791835" cy="3062605"/>
                    </a:xfrm>
                    <a:prstGeom prst="rect">
                      <a:avLst/>
                    </a:prstGeom>
                  </pic:spPr>
                </pic:pic>
              </a:graphicData>
            </a:graphic>
          </wp:inline>
        </w:drawing>
      </w:r>
    </w:p>
    <w:p w14:paraId="54B313F6" w14:textId="77777777" w:rsidR="00F6265D" w:rsidRDefault="00F6265D" w:rsidP="00F6265D">
      <w:pPr>
        <w:spacing w:after="0" w:line="360" w:lineRule="auto"/>
        <w:rPr>
          <w:rFonts w:ascii="Palatino Linotype" w:eastAsia="Palatino Linotype" w:hAnsi="Palatino Linotype" w:cs="Tahoma"/>
          <w:bCs/>
          <w:iCs/>
          <w:lang w:eastAsia="es-MX"/>
        </w:rPr>
      </w:pPr>
    </w:p>
    <w:p w14:paraId="33FD211B" w14:textId="77777777" w:rsidR="00DE4980" w:rsidRDefault="00DE4980" w:rsidP="00F6265D">
      <w:pPr>
        <w:spacing w:after="0" w:line="360" w:lineRule="auto"/>
        <w:rPr>
          <w:rFonts w:ascii="Palatino Linotype" w:eastAsia="Palatino Linotype" w:hAnsi="Palatino Linotype" w:cs="Tahoma"/>
          <w:bCs/>
          <w:iCs/>
          <w:lang w:eastAsia="es-MX"/>
        </w:rPr>
      </w:pPr>
    </w:p>
    <w:p w14:paraId="594AE75C" w14:textId="403D8A6C" w:rsidR="00DE4980" w:rsidRPr="00DE4980" w:rsidRDefault="00DE4980" w:rsidP="00DE4980">
      <w:pPr>
        <w:spacing w:after="0" w:line="360" w:lineRule="auto"/>
        <w:rPr>
          <w:rFonts w:ascii="Palatino Linotype" w:eastAsia="Calibri" w:hAnsi="Palatino Linotype" w:cs="Times New Roman"/>
          <w:bCs/>
          <w:color w:val="000000"/>
        </w:rPr>
      </w:pPr>
      <w:r w:rsidRPr="00DE4980">
        <w:rPr>
          <w:rFonts w:ascii="Palatino Linotype" w:eastAsia="Calibri" w:hAnsi="Palatino Linotype" w:cs="Times New Roman"/>
          <w:bCs/>
          <w:color w:val="000000"/>
        </w:rPr>
        <w:lastRenderedPageBreak/>
        <w:t xml:space="preserve">Además, </w:t>
      </w:r>
      <w:r w:rsidRPr="00DE4980">
        <w:rPr>
          <w:rFonts w:ascii="Palatino Linotype" w:eastAsia="Times New Roman" w:hAnsi="Palatino Linotype" w:cs="Tahoma"/>
          <w:bCs/>
          <w:lang w:eastAsia="es-ES"/>
        </w:rPr>
        <w:t xml:space="preserve">las Políticas para la Integración del Informe Trimestral de los Sujetos de Fiscalización Municipales para el ejercicio fiscal </w:t>
      </w:r>
      <w:r>
        <w:rPr>
          <w:rFonts w:ascii="Palatino Linotype" w:eastAsia="Times New Roman" w:hAnsi="Palatino Linotype" w:cs="Tahoma"/>
          <w:bCs/>
          <w:lang w:eastAsia="es-ES"/>
        </w:rPr>
        <w:t>2021,</w:t>
      </w:r>
      <w:r w:rsidRPr="00DE4980">
        <w:rPr>
          <w:rFonts w:ascii="Palatino Linotype" w:eastAsia="Times New Roman" w:hAnsi="Palatino Linotype" w:cs="Tahoma"/>
          <w:bCs/>
          <w:lang w:eastAsia="es-ES"/>
        </w:rPr>
        <w:t xml:space="preserve"> los </w:t>
      </w:r>
      <w:r w:rsidRPr="00DE4980">
        <w:rPr>
          <w:rFonts w:ascii="Palatino Linotype" w:eastAsia="Calibri" w:hAnsi="Palatino Linotype" w:cs="Times New Roman"/>
          <w:bCs/>
          <w:color w:val="000000"/>
        </w:rPr>
        <w:t>Lineamientos para la Integración y Entrega del Informe Trimestral Municipal</w:t>
      </w:r>
      <w:r>
        <w:rPr>
          <w:rFonts w:ascii="Palatino Linotype" w:eastAsia="Calibri" w:hAnsi="Palatino Linotype" w:cs="Times New Roman"/>
          <w:bCs/>
          <w:color w:val="000000"/>
        </w:rPr>
        <w:t xml:space="preserve"> 2022, los </w:t>
      </w:r>
      <w:r w:rsidRPr="00DE4980">
        <w:rPr>
          <w:rFonts w:ascii="Palatino Linotype" w:eastAsia="Palatino Linotype" w:hAnsi="Palatino Linotype" w:cs="Tahoma"/>
          <w:bCs/>
          <w:iCs/>
          <w:lang w:eastAsia="es-MX"/>
        </w:rPr>
        <w:t>Lineamientos para la Integración y Entrega de los Informes Trimestrales Municipales del Ejercicio Fiscal</w:t>
      </w:r>
      <w:r>
        <w:rPr>
          <w:rFonts w:ascii="Palatino Linotype" w:eastAsia="Palatino Linotype" w:hAnsi="Palatino Linotype" w:cs="Tahoma"/>
          <w:bCs/>
          <w:iCs/>
          <w:lang w:eastAsia="es-MX"/>
        </w:rPr>
        <w:t xml:space="preserve"> 2023, los </w:t>
      </w:r>
      <w:r w:rsidRPr="00DE4980">
        <w:rPr>
          <w:rFonts w:ascii="Palatino Linotype" w:eastAsia="Palatino Linotype" w:hAnsi="Palatino Linotype" w:cs="Tahoma"/>
          <w:bCs/>
          <w:iCs/>
          <w:lang w:eastAsia="es-MX"/>
        </w:rPr>
        <w:t>Lineamientos para la integración, presentación y envío de los Informes Trimestrales Municipales del ejercicio fiscal 2024</w:t>
      </w:r>
      <w:r>
        <w:rPr>
          <w:rFonts w:ascii="Palatino Linotype" w:eastAsia="Palatino Linotype" w:hAnsi="Palatino Linotype" w:cs="Tahoma"/>
          <w:bCs/>
          <w:iCs/>
          <w:lang w:eastAsia="es-MX"/>
        </w:rPr>
        <w:t xml:space="preserve"> y los </w:t>
      </w:r>
      <w:r w:rsidRPr="00C24B6D">
        <w:rPr>
          <w:rFonts w:ascii="Palatino Linotype" w:eastAsia="Calibri" w:hAnsi="Palatino Linotype" w:cs="Tahoma"/>
          <w:bCs/>
          <w:color w:val="000000"/>
          <w:lang w:eastAsia="es-MX"/>
        </w:rPr>
        <w:t>Lineamientos para la integración y presentación de los Informes Trimestrales Estatales y Municipales del Ejercicio Fiscal 2025</w:t>
      </w:r>
      <w:r>
        <w:rPr>
          <w:rFonts w:ascii="Palatino Linotype" w:eastAsia="Calibri" w:hAnsi="Palatino Linotype" w:cs="Tahoma"/>
          <w:bCs/>
          <w:color w:val="000000"/>
          <w:lang w:eastAsia="es-MX"/>
        </w:rPr>
        <w:t>,</w:t>
      </w:r>
      <w:r w:rsidRPr="00DE4980">
        <w:rPr>
          <w:rFonts w:ascii="Palatino Linotype" w:eastAsia="Calibri" w:hAnsi="Palatino Linotype" w:cs="Times New Roman"/>
          <w:bCs/>
          <w:color w:val="000000"/>
        </w:rPr>
        <w:t xml:space="preserve"> entre los formatos que maneja, se advierte que se encuentran</w:t>
      </w:r>
      <w:r>
        <w:rPr>
          <w:rFonts w:ascii="Palatino Linotype" w:eastAsia="Calibri" w:hAnsi="Palatino Linotype" w:cs="Times New Roman"/>
          <w:bCs/>
          <w:color w:val="000000"/>
        </w:rPr>
        <w:t xml:space="preserve"> las</w:t>
      </w:r>
      <w:r w:rsidRPr="00DE4980">
        <w:rPr>
          <w:rFonts w:ascii="Palatino Linotype" w:eastAsia="Calibri" w:hAnsi="Palatino Linotype" w:cs="Times New Roman"/>
          <w:bCs/>
          <w:color w:val="000000"/>
        </w:rPr>
        <w:t xml:space="preserve"> Póliza</w:t>
      </w:r>
      <w:r>
        <w:rPr>
          <w:rFonts w:ascii="Palatino Linotype" w:eastAsia="Calibri" w:hAnsi="Palatino Linotype" w:cs="Times New Roman"/>
          <w:bCs/>
          <w:color w:val="000000"/>
        </w:rPr>
        <w:t>s</w:t>
      </w:r>
      <w:r w:rsidRPr="00DE4980">
        <w:rPr>
          <w:rFonts w:ascii="Palatino Linotype" w:eastAsia="Calibri" w:hAnsi="Palatino Linotype" w:cs="Times New Roman"/>
          <w:bCs/>
          <w:color w:val="000000"/>
        </w:rPr>
        <w:t xml:space="preserve"> de Ingresos</w:t>
      </w:r>
      <w:r>
        <w:rPr>
          <w:rFonts w:ascii="Palatino Linotype" w:eastAsia="Calibri" w:hAnsi="Palatino Linotype" w:cs="Times New Roman"/>
          <w:bCs/>
          <w:color w:val="000000"/>
        </w:rPr>
        <w:t>,</w:t>
      </w:r>
      <w:r w:rsidRPr="00DE4980">
        <w:rPr>
          <w:rFonts w:ascii="Palatino Linotype" w:eastAsia="Calibri" w:hAnsi="Palatino Linotype" w:cs="Times New Roman"/>
          <w:bCs/>
          <w:color w:val="000000"/>
        </w:rPr>
        <w:t xml:space="preserve"> con los documentos comprobatorios, en las cuales se deben registrar las entradas de dinero</w:t>
      </w:r>
      <w:r>
        <w:rPr>
          <w:rFonts w:ascii="Palatino Linotype" w:eastAsia="Calibri" w:hAnsi="Palatino Linotype" w:cs="Times New Roman"/>
          <w:bCs/>
          <w:color w:val="000000"/>
        </w:rPr>
        <w:t>.</w:t>
      </w:r>
    </w:p>
    <w:p w14:paraId="44DB868B" w14:textId="77777777" w:rsidR="00DE4980" w:rsidRDefault="00DE4980" w:rsidP="00F6265D">
      <w:pPr>
        <w:spacing w:after="0" w:line="360" w:lineRule="auto"/>
        <w:rPr>
          <w:rFonts w:ascii="Palatino Linotype" w:eastAsia="Palatino Linotype" w:hAnsi="Palatino Linotype" w:cs="Tahoma"/>
          <w:bCs/>
          <w:iCs/>
          <w:lang w:eastAsia="es-MX"/>
        </w:rPr>
      </w:pPr>
    </w:p>
    <w:p w14:paraId="40C8FCE8" w14:textId="5155F32A" w:rsidR="00F6265D" w:rsidRPr="00F6265D" w:rsidRDefault="00DE4980" w:rsidP="00F6265D">
      <w:pPr>
        <w:spacing w:after="0" w:line="360" w:lineRule="auto"/>
        <w:rPr>
          <w:rFonts w:ascii="Palatino Linotype" w:eastAsia="Times New Roman" w:hAnsi="Palatino Linotype" w:cs="Tahoma"/>
          <w:b/>
          <w:bCs/>
          <w:szCs w:val="24"/>
          <w:lang w:val="es-ES" w:eastAsia="es-ES"/>
        </w:rPr>
      </w:pPr>
      <w:r>
        <w:rPr>
          <w:rFonts w:ascii="Palatino Linotype" w:eastAsia="Palatino Linotype" w:hAnsi="Palatino Linotype" w:cs="Tahoma"/>
          <w:bCs/>
          <w:iCs/>
          <w:lang w:eastAsia="es-MX"/>
        </w:rPr>
        <w:t xml:space="preserve">De tal circunstancia, para </w:t>
      </w:r>
      <w:r w:rsidR="00F6265D" w:rsidRPr="00F6265D">
        <w:rPr>
          <w:rFonts w:ascii="Palatino Linotype" w:eastAsia="Palatino Linotype" w:hAnsi="Palatino Linotype" w:cs="Tahoma"/>
          <w:bCs/>
          <w:iCs/>
          <w:noProof/>
          <w:lang w:eastAsia="es-MX"/>
        </w:rPr>
        <w:t xml:space="preserve">atender el requerimiento de información, </w:t>
      </w:r>
      <w:r>
        <w:rPr>
          <w:rFonts w:ascii="Palatino Linotype" w:eastAsia="Palatino Linotype" w:hAnsi="Palatino Linotype" w:cs="Tahoma"/>
          <w:bCs/>
          <w:iCs/>
          <w:noProof/>
          <w:lang w:eastAsia="es-MX"/>
        </w:rPr>
        <w:t>la Tesorería Municipal</w:t>
      </w:r>
      <w:r w:rsidR="00F6265D" w:rsidRPr="00F6265D">
        <w:rPr>
          <w:rFonts w:ascii="Palatino Linotype" w:eastAsia="Palatino Linotype" w:hAnsi="Palatino Linotype" w:cs="Tahoma"/>
          <w:bCs/>
          <w:iCs/>
          <w:noProof/>
          <w:lang w:eastAsia="es-MX"/>
        </w:rPr>
        <w:t xml:space="preserve"> deberá realizar una búsqueda exhaustiva y razonable en sus archivos</w:t>
      </w:r>
      <w:r>
        <w:rPr>
          <w:rFonts w:ascii="Palatino Linotype" w:eastAsia="Palatino Linotype" w:hAnsi="Palatino Linotype" w:cs="Tahoma"/>
          <w:bCs/>
          <w:iCs/>
          <w:noProof/>
          <w:lang w:eastAsia="es-MX"/>
        </w:rPr>
        <w:t xml:space="preserve">, </w:t>
      </w:r>
      <w:r w:rsidR="00F6265D" w:rsidRPr="00F6265D">
        <w:rPr>
          <w:rFonts w:ascii="Palatino Linotype" w:eastAsia="Palatino Linotype" w:hAnsi="Palatino Linotype" w:cs="Tahoma"/>
          <w:bCs/>
          <w:iCs/>
          <w:noProof/>
          <w:lang w:eastAsia="es-MX"/>
        </w:rPr>
        <w:t>a efecto de proporcionar</w:t>
      </w:r>
      <w:r>
        <w:rPr>
          <w:rFonts w:ascii="Palatino Linotype" w:eastAsia="Palatino Linotype" w:hAnsi="Palatino Linotype" w:cs="Tahoma"/>
          <w:bCs/>
          <w:iCs/>
          <w:noProof/>
          <w:lang w:eastAsia="es-MX"/>
        </w:rPr>
        <w:t xml:space="preserve"> los documentos donde consten el monto recaudado por las licencias de funcionamiento referidas en respuesta, con el fin de dar cumplimiento a los arículos 12, 160 y 162 de la Ley de Transparencia y Acceso a la Información Pública del Estado de México y Municipios.</w:t>
      </w:r>
    </w:p>
    <w:p w14:paraId="4AC85557" w14:textId="77777777" w:rsidR="00F6265D" w:rsidRDefault="00F6265D" w:rsidP="00C228FB">
      <w:pPr>
        <w:spacing w:after="0" w:line="360" w:lineRule="auto"/>
        <w:rPr>
          <w:rFonts w:ascii="Palatino Linotype" w:eastAsia="Times New Roman" w:hAnsi="Palatino Linotype" w:cs="Tahoma"/>
          <w:szCs w:val="24"/>
          <w:lang w:val="es-ES" w:eastAsia="es-ES"/>
        </w:rPr>
      </w:pPr>
    </w:p>
    <w:p w14:paraId="519CF88D" w14:textId="33CC3F7E" w:rsidR="00EA1710" w:rsidRDefault="00C228FB" w:rsidP="002428C9">
      <w:pPr>
        <w:spacing w:after="0" w:line="360" w:lineRule="auto"/>
        <w:rPr>
          <w:rFonts w:ascii="Palatino Linotype" w:eastAsia="Times New Roman" w:hAnsi="Palatino Linotype" w:cs="Tahoma"/>
          <w:szCs w:val="24"/>
          <w:lang w:val="es-ES" w:eastAsia="es-ES"/>
        </w:rPr>
      </w:pPr>
      <w:r>
        <w:rPr>
          <w:rFonts w:ascii="Palatino Linotype" w:eastAsia="Times New Roman" w:hAnsi="Palatino Linotype" w:cs="Tahoma"/>
          <w:szCs w:val="24"/>
          <w:lang w:val="es-ES" w:eastAsia="es-ES"/>
        </w:rPr>
        <w:t xml:space="preserve">Ahora bien, </w:t>
      </w:r>
      <w:r w:rsidR="00EA1710">
        <w:rPr>
          <w:rFonts w:ascii="Palatino Linotype" w:eastAsia="Times New Roman" w:hAnsi="Palatino Linotype" w:cs="Tahoma"/>
          <w:szCs w:val="24"/>
          <w:lang w:val="es-ES" w:eastAsia="es-ES"/>
        </w:rPr>
        <w:t>no pasa desapercibido para este Instituto que el Sujeto Obligado señaló que el nombre del titular de la licencia era confidencial; además se revisaron las licencias localizadas en el Portal de Información Pública de Oficio Mexiquense y se logra vislumbrar que contienen los siguientes datos testados:</w:t>
      </w:r>
    </w:p>
    <w:p w14:paraId="1DF550C2" w14:textId="77777777" w:rsidR="00EA1710" w:rsidRDefault="00EA1710" w:rsidP="002428C9">
      <w:pPr>
        <w:spacing w:after="0" w:line="360" w:lineRule="auto"/>
        <w:rPr>
          <w:rFonts w:ascii="Palatino Linotype" w:eastAsia="Times New Roman" w:hAnsi="Palatino Linotype" w:cs="Tahoma"/>
          <w:szCs w:val="24"/>
          <w:lang w:val="es-ES" w:eastAsia="es-ES"/>
        </w:rPr>
      </w:pPr>
    </w:p>
    <w:p w14:paraId="0180BE33" w14:textId="47D02B79" w:rsidR="00EA1710" w:rsidRDefault="00EA1710" w:rsidP="00EA1710">
      <w:pPr>
        <w:pStyle w:val="Prrafodelista"/>
        <w:numPr>
          <w:ilvl w:val="0"/>
          <w:numId w:val="24"/>
        </w:numPr>
        <w:spacing w:after="0" w:line="360" w:lineRule="auto"/>
        <w:rPr>
          <w:rFonts w:ascii="Palatino Linotype" w:eastAsia="Times New Roman" w:hAnsi="Palatino Linotype" w:cs="Tahoma"/>
          <w:szCs w:val="24"/>
          <w:lang w:val="es-ES" w:eastAsia="es-ES"/>
        </w:rPr>
      </w:pPr>
      <w:r>
        <w:rPr>
          <w:rFonts w:ascii="Palatino Linotype" w:eastAsia="Times New Roman" w:hAnsi="Palatino Linotype" w:cs="Tahoma"/>
          <w:szCs w:val="24"/>
          <w:lang w:val="es-ES" w:eastAsia="es-ES"/>
        </w:rPr>
        <w:t>Nombre del titular de la Licencia;</w:t>
      </w:r>
    </w:p>
    <w:p w14:paraId="38211BCA" w14:textId="4857267A" w:rsidR="00EA1710" w:rsidRDefault="00EA1710" w:rsidP="00EA1710">
      <w:pPr>
        <w:pStyle w:val="Prrafodelista"/>
        <w:numPr>
          <w:ilvl w:val="0"/>
          <w:numId w:val="24"/>
        </w:numPr>
        <w:spacing w:after="0" w:line="360" w:lineRule="auto"/>
        <w:rPr>
          <w:rFonts w:ascii="Palatino Linotype" w:eastAsia="Times New Roman" w:hAnsi="Palatino Linotype" w:cs="Tahoma"/>
          <w:szCs w:val="24"/>
          <w:lang w:val="es-ES" w:eastAsia="es-ES"/>
        </w:rPr>
      </w:pPr>
      <w:r>
        <w:rPr>
          <w:rFonts w:ascii="Palatino Linotype" w:eastAsia="Times New Roman" w:hAnsi="Palatino Linotype" w:cs="Tahoma"/>
          <w:szCs w:val="24"/>
          <w:lang w:val="es-ES" w:eastAsia="es-ES"/>
        </w:rPr>
        <w:t>Clave catastral</w:t>
      </w:r>
      <w:r w:rsidR="000C664B">
        <w:rPr>
          <w:rFonts w:ascii="Palatino Linotype" w:eastAsia="Times New Roman" w:hAnsi="Palatino Linotype" w:cs="Tahoma"/>
          <w:szCs w:val="24"/>
          <w:lang w:val="es-ES" w:eastAsia="es-ES"/>
        </w:rPr>
        <w:t>, y</w:t>
      </w:r>
    </w:p>
    <w:p w14:paraId="2D17D60E" w14:textId="420C8DA7" w:rsidR="00EA1710" w:rsidRPr="00EA1710" w:rsidRDefault="00EA1710" w:rsidP="00EA1710">
      <w:pPr>
        <w:pStyle w:val="Prrafodelista"/>
        <w:numPr>
          <w:ilvl w:val="0"/>
          <w:numId w:val="24"/>
        </w:numPr>
        <w:spacing w:after="0" w:line="360" w:lineRule="auto"/>
        <w:rPr>
          <w:rFonts w:ascii="Palatino Linotype" w:eastAsia="Times New Roman" w:hAnsi="Palatino Linotype" w:cs="Tahoma"/>
          <w:szCs w:val="24"/>
          <w:lang w:val="es-ES" w:eastAsia="es-ES"/>
        </w:rPr>
      </w:pPr>
      <w:r>
        <w:rPr>
          <w:rFonts w:ascii="Palatino Linotype" w:eastAsia="Times New Roman" w:hAnsi="Palatino Linotype" w:cs="Tahoma"/>
          <w:szCs w:val="24"/>
          <w:lang w:val="es-ES" w:eastAsia="es-ES"/>
        </w:rPr>
        <w:t>Registro Federal de Contribuyentes.</w:t>
      </w:r>
    </w:p>
    <w:p w14:paraId="7F7EEFCF" w14:textId="77777777" w:rsidR="00EA1710" w:rsidRDefault="00EA1710" w:rsidP="002428C9">
      <w:pPr>
        <w:spacing w:after="0" w:line="360" w:lineRule="auto"/>
        <w:rPr>
          <w:rFonts w:ascii="Palatino Linotype" w:eastAsia="Times New Roman" w:hAnsi="Palatino Linotype" w:cs="Tahoma"/>
          <w:szCs w:val="24"/>
          <w:lang w:val="es-ES" w:eastAsia="es-ES"/>
        </w:rPr>
      </w:pPr>
    </w:p>
    <w:p w14:paraId="12BAF63F" w14:textId="77777777" w:rsidR="00EA1710" w:rsidRPr="00EA1710" w:rsidRDefault="00EA1710" w:rsidP="00EA1710">
      <w:pPr>
        <w:spacing w:after="0" w:line="360" w:lineRule="auto"/>
        <w:rPr>
          <w:rFonts w:ascii="Palatino Linotype" w:eastAsia="Palatino Linotype" w:hAnsi="Palatino Linotype" w:cs="Palatino Linotype"/>
          <w:lang w:eastAsia="es-MX"/>
        </w:rPr>
      </w:pPr>
      <w:r w:rsidRPr="00EA1710">
        <w:rPr>
          <w:rFonts w:ascii="Palatino Linotype" w:eastAsia="Palatino Linotype" w:hAnsi="Palatino Linotype" w:cs="Palatino Linotype"/>
          <w:lang w:eastAsia="es-MX"/>
        </w:rPr>
        <w:t xml:space="preserve">Por lo que, resulta procedente analizar si dichos datos son públicos o privados; en principio, cabe mencionar que el artículo 143, fracción I, de la Ley de Transparencia y Acceso a la </w:t>
      </w:r>
      <w:r w:rsidRPr="00EA1710">
        <w:rPr>
          <w:rFonts w:ascii="Palatino Linotype" w:eastAsia="Palatino Linotype" w:hAnsi="Palatino Linotype" w:cs="Palatino Linotype"/>
          <w:lang w:eastAsia="es-MX"/>
        </w:rPr>
        <w:lastRenderedPageBreak/>
        <w:t>Información Pública del Estado de México y Municipios, establece que la información privada y los datos personales, concernientes a una persona física o jurídica colectiva identificada o identificable son confidenciales.</w:t>
      </w:r>
    </w:p>
    <w:p w14:paraId="29858104" w14:textId="77777777" w:rsidR="00EA1710" w:rsidRPr="00EA1710" w:rsidRDefault="00EA1710" w:rsidP="00EA1710">
      <w:pPr>
        <w:spacing w:after="0" w:line="360" w:lineRule="auto"/>
        <w:rPr>
          <w:rFonts w:ascii="Palatino Linotype" w:eastAsia="Palatino Linotype" w:hAnsi="Palatino Linotype" w:cs="Palatino Linotype"/>
          <w:lang w:eastAsia="es-MX"/>
        </w:rPr>
      </w:pPr>
    </w:p>
    <w:p w14:paraId="01B33DCA" w14:textId="77777777" w:rsidR="00EA1710" w:rsidRPr="00EA1710" w:rsidRDefault="00EA1710" w:rsidP="00EA1710">
      <w:pPr>
        <w:spacing w:after="0" w:line="360" w:lineRule="auto"/>
        <w:rPr>
          <w:rFonts w:ascii="Palatino Linotype" w:eastAsia="Palatino Linotype" w:hAnsi="Palatino Linotype" w:cs="Palatino Linotype"/>
          <w:lang w:eastAsia="es-MX"/>
        </w:rPr>
      </w:pPr>
      <w:r w:rsidRPr="00EA1710">
        <w:rPr>
          <w:rFonts w:ascii="Palatino Linotype" w:eastAsia="Palatino Linotype" w:hAnsi="Palatino Linotype" w:cs="Palatino Linotype"/>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4561EDC" w14:textId="77777777" w:rsidR="00EA1710" w:rsidRPr="00EA1710" w:rsidRDefault="00EA1710" w:rsidP="00EA1710">
      <w:pPr>
        <w:spacing w:after="0" w:line="360" w:lineRule="auto"/>
        <w:rPr>
          <w:rFonts w:ascii="Palatino Linotype" w:eastAsia="Palatino Linotype" w:hAnsi="Palatino Linotype" w:cs="Palatino Linotype"/>
          <w:lang w:eastAsia="es-MX"/>
        </w:rPr>
      </w:pPr>
    </w:p>
    <w:p w14:paraId="06EACBC6" w14:textId="77777777" w:rsidR="00EA1710" w:rsidRPr="00EA1710" w:rsidRDefault="00EA1710" w:rsidP="00EA1710">
      <w:pPr>
        <w:spacing w:after="0" w:line="360" w:lineRule="auto"/>
        <w:rPr>
          <w:rFonts w:ascii="Palatino Linotype" w:eastAsia="Palatino Linotype" w:hAnsi="Palatino Linotype" w:cs="Palatino Linotype"/>
          <w:lang w:eastAsia="es-MX"/>
        </w:rPr>
      </w:pPr>
      <w:r w:rsidRPr="00EA1710">
        <w:rPr>
          <w:rFonts w:ascii="Palatino Linotype" w:eastAsia="Palatino Linotype" w:hAnsi="Palatino Linotype" w:cs="Palatino Linotype"/>
          <w:lang w:eastAsia="es-MX"/>
        </w:rPr>
        <w:t>En términos de lo expuesto, la documentación y aquellos datos que se consideren confidenciales, serán una limitante del derecho de acceso a la información, siempre y cuando:</w:t>
      </w:r>
    </w:p>
    <w:p w14:paraId="789819FB" w14:textId="77777777" w:rsidR="00EA1710" w:rsidRPr="00EA1710" w:rsidRDefault="00EA1710" w:rsidP="00EA1710">
      <w:pPr>
        <w:spacing w:after="0" w:line="360" w:lineRule="auto"/>
        <w:rPr>
          <w:rFonts w:ascii="Palatino Linotype" w:eastAsia="Palatino Linotype" w:hAnsi="Palatino Linotype" w:cs="Palatino Linotype"/>
          <w:lang w:eastAsia="es-MX"/>
        </w:rPr>
      </w:pPr>
    </w:p>
    <w:p w14:paraId="7E29B514" w14:textId="77777777" w:rsidR="00EA1710" w:rsidRPr="00EA1710" w:rsidRDefault="00EA1710" w:rsidP="00EA1710">
      <w:pPr>
        <w:numPr>
          <w:ilvl w:val="0"/>
          <w:numId w:val="25"/>
        </w:numPr>
        <w:spacing w:after="0" w:line="360" w:lineRule="auto"/>
        <w:ind w:left="567"/>
        <w:rPr>
          <w:rFonts w:ascii="Palatino Linotype" w:eastAsia="Palatino Linotype" w:hAnsi="Palatino Linotype" w:cs="Palatino Linotype"/>
          <w:lang w:eastAsia="es-MX"/>
        </w:rPr>
      </w:pPr>
      <w:r w:rsidRPr="00EA1710">
        <w:rPr>
          <w:rFonts w:ascii="Palatino Linotype" w:eastAsia="Palatino Linotype" w:hAnsi="Palatino Linotype" w:cs="Palatino Linotype"/>
          <w:color w:val="000000"/>
          <w:lang w:eastAsia="es-MX"/>
        </w:rPr>
        <w:t xml:space="preserve">Se trate de datos personales o información privada; esto es, información concerniente a una persona física o jurídico colectiva y que esta sea identificada o identificable. </w:t>
      </w:r>
    </w:p>
    <w:p w14:paraId="2114CD0F" w14:textId="77777777" w:rsidR="00EA1710" w:rsidRPr="00EA1710" w:rsidRDefault="00EA1710" w:rsidP="00EA1710">
      <w:pPr>
        <w:spacing w:after="0" w:line="360" w:lineRule="auto"/>
        <w:ind w:left="567"/>
        <w:rPr>
          <w:rFonts w:ascii="Palatino Linotype" w:eastAsia="Palatino Linotype" w:hAnsi="Palatino Linotype" w:cs="Palatino Linotype"/>
          <w:lang w:eastAsia="es-MX"/>
        </w:rPr>
      </w:pPr>
    </w:p>
    <w:p w14:paraId="360B779D" w14:textId="77777777" w:rsidR="00EA1710" w:rsidRPr="00EA1710" w:rsidRDefault="00EA1710" w:rsidP="00EA1710">
      <w:pPr>
        <w:numPr>
          <w:ilvl w:val="0"/>
          <w:numId w:val="25"/>
        </w:numPr>
        <w:spacing w:after="0" w:line="360" w:lineRule="auto"/>
        <w:ind w:left="567"/>
        <w:rPr>
          <w:rFonts w:ascii="Palatino Linotype" w:eastAsia="Palatino Linotype" w:hAnsi="Palatino Linotype" w:cs="Palatino Linotype"/>
          <w:lang w:eastAsia="es-MX"/>
        </w:rPr>
      </w:pPr>
      <w:r w:rsidRPr="00EA1710">
        <w:rPr>
          <w:rFonts w:ascii="Palatino Linotype" w:eastAsia="Palatino Linotype" w:hAnsi="Palatino Linotype" w:cs="Palatino Linotype"/>
          <w:color w:val="000000"/>
          <w:lang w:eastAsia="es-MX"/>
        </w:rPr>
        <w:t>Para la difusión de los datos, se requiera el consentimiento del titular.</w:t>
      </w:r>
    </w:p>
    <w:p w14:paraId="70F8A098" w14:textId="77777777" w:rsidR="00EA1710" w:rsidRPr="00EA1710" w:rsidRDefault="00EA1710" w:rsidP="00EA1710">
      <w:pPr>
        <w:spacing w:after="0" w:line="360" w:lineRule="auto"/>
        <w:rPr>
          <w:rFonts w:ascii="Palatino Linotype" w:eastAsia="Palatino Linotype" w:hAnsi="Palatino Linotype" w:cs="Palatino Linotype"/>
          <w:color w:val="000000"/>
          <w:lang w:eastAsia="es-MX"/>
        </w:rPr>
      </w:pPr>
    </w:p>
    <w:p w14:paraId="0D35C9E7" w14:textId="77777777" w:rsidR="00EA1710" w:rsidRPr="00EA1710" w:rsidRDefault="00EA1710" w:rsidP="00EA1710">
      <w:pPr>
        <w:spacing w:after="0" w:line="360" w:lineRule="auto"/>
        <w:rPr>
          <w:rFonts w:ascii="Palatino Linotype" w:eastAsia="Palatino Linotype" w:hAnsi="Palatino Linotype" w:cs="Palatino Linotype"/>
          <w:lang w:eastAsia="es-MX"/>
        </w:rPr>
      </w:pPr>
      <w:r w:rsidRPr="00EA1710">
        <w:rPr>
          <w:rFonts w:ascii="Palatino Linotype" w:eastAsia="Palatino Linotype" w:hAnsi="Palatino Linotype" w:cs="Palatino Linotype"/>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w:t>
      </w:r>
      <w:r w:rsidRPr="00EA1710">
        <w:rPr>
          <w:rFonts w:ascii="Palatino Linotype" w:eastAsia="Palatino Linotype" w:hAnsi="Palatino Linotype" w:cs="Palatino Linotype"/>
          <w:lang w:eastAsia="es-MX"/>
        </w:rPr>
        <w:lastRenderedPageBreak/>
        <w:t>(cuando su identidad pueda determinarse directa o indirectamente a través de cualquier documento informativo físico o electrónico), establecida en cualquier formato o modalidad.</w:t>
      </w:r>
    </w:p>
    <w:p w14:paraId="638F5EEF" w14:textId="77777777" w:rsidR="00EA1710" w:rsidRPr="00EA1710" w:rsidRDefault="00EA1710" w:rsidP="00EA1710">
      <w:pPr>
        <w:spacing w:after="0" w:line="360" w:lineRule="auto"/>
        <w:rPr>
          <w:rFonts w:ascii="Palatino Linotype" w:eastAsia="Palatino Linotype" w:hAnsi="Palatino Linotype" w:cs="Palatino Linotype"/>
          <w:lang w:eastAsia="es-MX"/>
        </w:rPr>
      </w:pPr>
    </w:p>
    <w:p w14:paraId="0E39E3A0" w14:textId="77777777" w:rsidR="00EA1710" w:rsidRPr="00EA1710" w:rsidRDefault="00EA1710" w:rsidP="00EA1710">
      <w:pPr>
        <w:spacing w:after="0" w:line="360" w:lineRule="auto"/>
        <w:rPr>
          <w:rFonts w:ascii="Palatino Linotype" w:eastAsia="Palatino Linotype" w:hAnsi="Palatino Linotype" w:cs="Palatino Linotype"/>
          <w:lang w:eastAsia="es-MX"/>
        </w:rPr>
      </w:pPr>
      <w:r w:rsidRPr="00EA1710">
        <w:rPr>
          <w:rFonts w:ascii="Palatino Linotype" w:eastAsia="Palatino Linotype" w:hAnsi="Palatino Linotype" w:cs="Palatino Linotype"/>
          <w:lang w:eastAsia="es-MX"/>
        </w:rPr>
        <w:t>Bajo ese contexto, se analizarán si los datos mencionados, deben ser considerados confidenciales, en términos del artículo 143, fracción I, de la Ley de Transparencia y Acceso a la Información Pública del Estado de México y Municipios, o públicos.</w:t>
      </w:r>
    </w:p>
    <w:p w14:paraId="24353828" w14:textId="77777777" w:rsidR="00655724" w:rsidRPr="00655724" w:rsidRDefault="00655724" w:rsidP="00655724">
      <w:pPr>
        <w:spacing w:after="0" w:line="360" w:lineRule="auto"/>
        <w:rPr>
          <w:rFonts w:ascii="Palatino Linotype" w:eastAsia="Times New Roman" w:hAnsi="Palatino Linotype" w:cs="Tahoma"/>
          <w:lang w:val="es-ES" w:eastAsia="es-ES"/>
        </w:rPr>
      </w:pPr>
    </w:p>
    <w:p w14:paraId="28B82296" w14:textId="77777777" w:rsidR="00655724" w:rsidRPr="00655724" w:rsidRDefault="00655724" w:rsidP="00655724">
      <w:pPr>
        <w:numPr>
          <w:ilvl w:val="0"/>
          <w:numId w:val="21"/>
        </w:numPr>
        <w:spacing w:after="0" w:line="360" w:lineRule="auto"/>
        <w:ind w:right="-93"/>
        <w:contextualSpacing/>
        <w:rPr>
          <w:rFonts w:ascii="Palatino Linotype" w:eastAsia="Calibri" w:hAnsi="Palatino Linotype" w:cs="Tahoma"/>
          <w:bCs/>
        </w:rPr>
      </w:pPr>
      <w:r w:rsidRPr="00655724">
        <w:rPr>
          <w:rFonts w:ascii="Palatino Linotype" w:eastAsia="Calibri" w:hAnsi="Palatino Linotype" w:cs="Tahoma"/>
          <w:b/>
          <w:bCs/>
        </w:rPr>
        <w:t>Nombre del titular de la Licencia de funcionamiento (persona física)</w:t>
      </w:r>
    </w:p>
    <w:p w14:paraId="3B1395FB" w14:textId="77777777" w:rsidR="00655724" w:rsidRPr="00655724" w:rsidRDefault="00655724" w:rsidP="00655724">
      <w:pPr>
        <w:spacing w:after="0" w:line="360" w:lineRule="auto"/>
        <w:rPr>
          <w:rFonts w:ascii="Palatino Linotype" w:eastAsia="Calibri" w:hAnsi="Palatino Linotype" w:cs="Tahoma"/>
          <w:bCs/>
          <w:lang w:val="es-ES"/>
        </w:rPr>
      </w:pPr>
    </w:p>
    <w:p w14:paraId="796D8E94" w14:textId="77777777" w:rsidR="00655724" w:rsidRPr="00655724" w:rsidRDefault="00655724" w:rsidP="00655724">
      <w:pPr>
        <w:spacing w:after="0" w:line="360" w:lineRule="auto"/>
        <w:ind w:right="-93"/>
        <w:rPr>
          <w:rFonts w:ascii="Palatino Linotype" w:eastAsia="Calibri" w:hAnsi="Palatino Linotype" w:cs="Tahoma"/>
          <w:b/>
          <w:bCs/>
          <w:lang w:val="es-ES_tradnl"/>
        </w:rPr>
      </w:pPr>
      <w:r w:rsidRPr="00655724">
        <w:rPr>
          <w:rFonts w:ascii="Palatino Linotype" w:eastAsia="Calibri" w:hAnsi="Palatino Linotype" w:cs="Tahoma"/>
          <w:bCs/>
        </w:rPr>
        <w:t xml:space="preserve">Al respecto, se considera que el nombre de una persona se integra </w:t>
      </w:r>
      <w:r w:rsidRPr="00655724">
        <w:rPr>
          <w:rFonts w:ascii="Palatino Linotype" w:eastAsia="Calibri" w:hAnsi="Palatino Linotype" w:cs="Tahoma"/>
          <w:bCs/>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55724">
        <w:rPr>
          <w:rFonts w:ascii="Palatino Linotype" w:eastAsia="Calibri" w:hAnsi="Palatino Linotype" w:cs="Tahoma"/>
          <w:bCs/>
          <w:i/>
          <w:lang w:val="es-ES_tradnl"/>
        </w:rPr>
        <w:t>per se</w:t>
      </w:r>
      <w:r w:rsidRPr="00655724">
        <w:rPr>
          <w:rFonts w:ascii="Palatino Linotype" w:eastAsia="Calibri" w:hAnsi="Palatino Linotype" w:cs="Tahoma"/>
          <w:bCs/>
          <w:lang w:val="es-ES_tradnl"/>
        </w:rPr>
        <w:t xml:space="preserve"> es un elemento que hace a una persona física identificada o identificable, por lo que, </w:t>
      </w:r>
      <w:r w:rsidRPr="00655724">
        <w:rPr>
          <w:rFonts w:ascii="Palatino Linotype" w:eastAsia="Calibri" w:hAnsi="Palatino Linotype" w:cs="Tahoma"/>
          <w:b/>
          <w:bCs/>
          <w:lang w:val="es-ES_tradnl"/>
        </w:rPr>
        <w:t>se considera un dato personal.</w:t>
      </w:r>
    </w:p>
    <w:p w14:paraId="7B03C025" w14:textId="77777777" w:rsidR="00655724" w:rsidRPr="00655724" w:rsidRDefault="00655724" w:rsidP="00655724">
      <w:pPr>
        <w:spacing w:after="0" w:line="360" w:lineRule="auto"/>
        <w:ind w:right="-93"/>
        <w:rPr>
          <w:rFonts w:ascii="Palatino Linotype" w:eastAsia="Calibri" w:hAnsi="Palatino Linotype" w:cs="Tahoma"/>
          <w:b/>
          <w:bCs/>
          <w:lang w:val="es-ES_tradnl"/>
        </w:rPr>
      </w:pPr>
    </w:p>
    <w:p w14:paraId="59EF395C" w14:textId="77777777" w:rsidR="00655724" w:rsidRPr="00655724" w:rsidRDefault="00655724" w:rsidP="00655724">
      <w:pPr>
        <w:spacing w:after="0" w:line="360" w:lineRule="auto"/>
        <w:rPr>
          <w:rFonts w:ascii="Palatino Linotype" w:eastAsia="Calibri" w:hAnsi="Palatino Linotype" w:cs="Tahoma"/>
          <w:bCs/>
          <w:lang w:val="es-ES_tradnl"/>
        </w:rPr>
      </w:pPr>
      <w:r w:rsidRPr="00655724">
        <w:rPr>
          <w:rFonts w:ascii="Palatino Linotype" w:eastAsia="Calibri" w:hAnsi="Palatino Linotype" w:cs="Tahoma"/>
          <w:bCs/>
          <w:lang w:val="es-ES_tradnl"/>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49786A3E" w14:textId="77777777" w:rsidR="00655724" w:rsidRPr="00655724" w:rsidRDefault="00655724" w:rsidP="00655724">
      <w:pPr>
        <w:spacing w:after="0" w:line="360" w:lineRule="auto"/>
        <w:rPr>
          <w:rFonts w:ascii="Palatino Linotype" w:eastAsia="Calibri" w:hAnsi="Palatino Linotype" w:cs="Tahoma"/>
          <w:bCs/>
          <w:sz w:val="20"/>
          <w:lang w:val="es-ES_tradnl"/>
        </w:rPr>
      </w:pPr>
    </w:p>
    <w:p w14:paraId="2B90B4FA" w14:textId="77777777" w:rsidR="00655724" w:rsidRPr="00655724" w:rsidRDefault="00655724" w:rsidP="00655724">
      <w:pPr>
        <w:spacing w:after="0" w:line="360" w:lineRule="auto"/>
        <w:ind w:left="567" w:right="567"/>
        <w:rPr>
          <w:rFonts w:ascii="Palatino Linotype" w:eastAsia="Calibri" w:hAnsi="Palatino Linotype" w:cs="Tahoma"/>
          <w:bCs/>
          <w:i/>
          <w:sz w:val="20"/>
          <w:lang w:eastAsia="es-MX"/>
        </w:rPr>
      </w:pPr>
      <w:r w:rsidRPr="00655724">
        <w:rPr>
          <w:rFonts w:ascii="Palatino Linotype" w:eastAsia="Calibri" w:hAnsi="Palatino Linotype" w:cs="Tahoma"/>
          <w:b/>
          <w:bCs/>
          <w:i/>
          <w:sz w:val="20"/>
          <w:lang w:eastAsia="es-MX"/>
        </w:rPr>
        <w:t>“Nombre del titular de una licencia que no involucre el aprovechamiento de bienes, servicios y/o recursos públicos, constituye un dato personal susceptible de clasificar como confidencial.</w:t>
      </w:r>
      <w:r w:rsidRPr="00655724">
        <w:rPr>
          <w:rFonts w:ascii="Palatino Linotype" w:eastAsia="Calibri" w:hAnsi="Palatino Linotype" w:cs="Tahoma"/>
          <w:bCs/>
          <w:i/>
          <w:sz w:val="20"/>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w:t>
      </w:r>
      <w:r w:rsidRPr="00655724">
        <w:rPr>
          <w:rFonts w:ascii="Palatino Linotype" w:eastAsia="Calibri" w:hAnsi="Palatino Linotype" w:cs="Tahoma"/>
          <w:bCs/>
          <w:i/>
          <w:sz w:val="20"/>
          <w:lang w:eastAsia="es-MX"/>
        </w:rPr>
        <w:lastRenderedPageBreak/>
        <w:t>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697B963C" w14:textId="77777777" w:rsidR="00655724" w:rsidRPr="00655724" w:rsidRDefault="00655724" w:rsidP="00655724">
      <w:pPr>
        <w:spacing w:after="0" w:line="360" w:lineRule="auto"/>
        <w:ind w:right="-93"/>
        <w:rPr>
          <w:rFonts w:ascii="Palatino Linotype" w:eastAsia="Calibri" w:hAnsi="Palatino Linotype" w:cs="Tahoma"/>
          <w:bCs/>
        </w:rPr>
      </w:pPr>
    </w:p>
    <w:p w14:paraId="453F7D93"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2FC13AF5" w14:textId="77777777" w:rsidR="00655724" w:rsidRPr="00655724" w:rsidRDefault="00655724" w:rsidP="00655724">
      <w:pPr>
        <w:spacing w:after="0" w:line="360" w:lineRule="auto"/>
        <w:ind w:right="-93"/>
        <w:rPr>
          <w:rFonts w:ascii="Palatino Linotype" w:eastAsia="Calibri" w:hAnsi="Palatino Linotype" w:cs="Tahoma"/>
          <w:bCs/>
        </w:rPr>
      </w:pPr>
    </w:p>
    <w:p w14:paraId="22FF9894" w14:textId="1704DC32" w:rsidR="00655724" w:rsidRPr="00655724" w:rsidRDefault="00655724" w:rsidP="00655724">
      <w:pPr>
        <w:spacing w:after="0" w:line="360" w:lineRule="auto"/>
        <w:ind w:right="-93"/>
        <w:rPr>
          <w:rFonts w:ascii="Palatino Linotype" w:eastAsia="Calibri" w:hAnsi="Palatino Linotype" w:cs="Tahoma"/>
          <w:bCs/>
          <w:lang w:val="es-ES_tradnl"/>
        </w:rPr>
      </w:pPr>
      <w:r w:rsidRPr="00655724">
        <w:rPr>
          <w:rFonts w:ascii="Palatino Linotype" w:eastAsia="Calibri" w:hAnsi="Palatino Linotype" w:cs="Tahoma"/>
          <w:bCs/>
          <w:lang w:val="es-ES_tradnl"/>
        </w:rPr>
        <w:t xml:space="preserve">No obstante, se considera que el nombre localizado en una licencia de funcionamiento, guarda cierto interés público, dado que cualquier actividad comercial, industrial o económica, es regulada por el Municipio </w:t>
      </w:r>
      <w:r w:rsidR="005E3B41">
        <w:rPr>
          <w:rFonts w:ascii="Palatino Linotype" w:eastAsia="Calibri" w:hAnsi="Palatino Linotype" w:cs="Tahoma"/>
          <w:bCs/>
          <w:lang w:val="es-ES_tradnl"/>
        </w:rPr>
        <w:t>de Toluca</w:t>
      </w:r>
      <w:r w:rsidRPr="00655724">
        <w:rPr>
          <w:rFonts w:ascii="Palatino Linotype" w:eastAsia="Calibri" w:hAnsi="Palatino Linotype" w:cs="Tahoma"/>
          <w:bCs/>
          <w:lang w:val="es-ES_tradnl"/>
        </w:rPr>
        <w:t xml:space="preserve"> dentro de su circunscripción territorial, pues ayuda a transparentar la gestión pública.</w:t>
      </w:r>
    </w:p>
    <w:p w14:paraId="428D3BDC" w14:textId="77777777" w:rsidR="00655724" w:rsidRPr="00655724" w:rsidRDefault="00655724" w:rsidP="00655724">
      <w:pPr>
        <w:spacing w:after="0" w:line="360" w:lineRule="auto"/>
        <w:ind w:right="-93"/>
        <w:rPr>
          <w:rFonts w:ascii="Palatino Linotype" w:eastAsia="Calibri" w:hAnsi="Palatino Linotype" w:cs="Tahoma"/>
          <w:bCs/>
        </w:rPr>
      </w:pPr>
    </w:p>
    <w:p w14:paraId="3F3E3572" w14:textId="22127B60"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lastRenderedPageBreak/>
        <w:t xml:space="preserve">Al respecto, cabe puntualizar que las licencias, tal como se estableció en párrafos anteriores, se refiere a los documentos que contienen la autorización por parte del Ayuntamiento </w:t>
      </w:r>
      <w:r w:rsidR="005E3B41">
        <w:rPr>
          <w:rFonts w:ascii="Palatino Linotype" w:eastAsia="Calibri" w:hAnsi="Palatino Linotype" w:cs="Tahoma"/>
          <w:bCs/>
        </w:rPr>
        <w:t>de Toluca</w:t>
      </w:r>
      <w:r w:rsidRPr="00655724">
        <w:rPr>
          <w:rFonts w:ascii="Palatino Linotype" w:eastAsia="Calibri" w:hAnsi="Palatino Linotype" w:cs="Tahoma"/>
          <w:bCs/>
        </w:rPr>
        <w:t xml:space="preserve">, a través de la </w:t>
      </w:r>
      <w:r w:rsidR="00EA1710">
        <w:rPr>
          <w:rFonts w:ascii="Palatino Linotype" w:eastAsia="Calibri" w:hAnsi="Palatino Linotype" w:cs="Tahoma"/>
          <w:bCs/>
        </w:rPr>
        <w:t>Dirección General de Desarrollo Económico</w:t>
      </w:r>
      <w:r w:rsidRPr="00655724">
        <w:rPr>
          <w:rFonts w:ascii="Palatino Linotype" w:eastAsia="Calibri" w:hAnsi="Palatino Linotype" w:cs="Tahoma"/>
          <w:bCs/>
        </w:rPr>
        <w:t>, para que un particular o persona jurídica colectiva pueda realizar una actividad económica, comercial o industrial, regulada por las Leyes respectivas.</w:t>
      </w:r>
    </w:p>
    <w:p w14:paraId="50953E0A" w14:textId="77777777" w:rsidR="00655724" w:rsidRPr="00655724" w:rsidRDefault="00655724" w:rsidP="00655724">
      <w:pPr>
        <w:spacing w:after="0" w:line="360" w:lineRule="auto"/>
        <w:ind w:right="-93"/>
        <w:rPr>
          <w:rFonts w:ascii="Palatino Linotype" w:eastAsia="Calibri" w:hAnsi="Palatino Linotype" w:cs="Tahoma"/>
          <w:bCs/>
        </w:rPr>
      </w:pPr>
    </w:p>
    <w:p w14:paraId="0879E77E"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 xml:space="preserve">En ese sentido, de acuerdo con el artículo 92, fracción XXXII de la Ley en cita, el legislador contempló como información de interés público y que debe estar disponible para consulta, aquellas licencias otorgadas, especificando </w:t>
      </w:r>
      <w:r w:rsidRPr="00655724">
        <w:rPr>
          <w:rFonts w:ascii="Palatino Linotype" w:eastAsia="Calibri" w:hAnsi="Palatino Linotype" w:cs="Tahoma"/>
          <w:b/>
          <w:bCs/>
        </w:rPr>
        <w:t>el nombre de su titular</w:t>
      </w:r>
      <w:r w:rsidRPr="00655724">
        <w:rPr>
          <w:rFonts w:ascii="Palatino Linotype" w:eastAsia="Calibri" w:hAnsi="Palatino Linotype" w:cs="Tahoma"/>
          <w:bCs/>
        </w:rPr>
        <w:t xml:space="preserve"> y las características principales. Lo anterior, en concordancia a lo establecido en la Ley General de Transparencia y Acceso a la Información Pública. </w:t>
      </w:r>
    </w:p>
    <w:p w14:paraId="47B288CA" w14:textId="77777777" w:rsidR="00655724" w:rsidRPr="00655724" w:rsidRDefault="00655724" w:rsidP="00655724">
      <w:pPr>
        <w:spacing w:after="0" w:line="360" w:lineRule="auto"/>
        <w:ind w:right="-93"/>
        <w:rPr>
          <w:rFonts w:ascii="Palatino Linotype" w:eastAsia="Calibri" w:hAnsi="Palatino Linotype" w:cs="Tahoma"/>
          <w:bCs/>
        </w:rPr>
      </w:pPr>
    </w:p>
    <w:p w14:paraId="27369A2E"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655724">
        <w:rPr>
          <w:rFonts w:ascii="Palatino Linotype" w:eastAsia="Times New Roman" w:hAnsi="Palatino Linotype" w:cs="Tahoma"/>
          <w:lang w:eastAsia="es-ES"/>
        </w:rPr>
        <w:t xml:space="preserve"> </w:t>
      </w:r>
      <w:r w:rsidRPr="00655724">
        <w:rPr>
          <w:rFonts w:ascii="Palatino Linotype" w:eastAsia="Calibri" w:hAnsi="Palatino Linotype" w:cs="Tahoma"/>
          <w:bCs/>
        </w:rPr>
        <w:t>Además, se incluyó el deber para los sujetos obligados de proporcionar, en la medida de lo posible, esta información con valor agregado, a efecto de facilitar su uso, comprensión y permitir evaluar su calidad, confiabilidad, oportunidad y veracidad.</w:t>
      </w:r>
    </w:p>
    <w:p w14:paraId="74C5A6A8" w14:textId="77777777" w:rsidR="00655724" w:rsidRPr="00655724" w:rsidRDefault="00655724" w:rsidP="00655724">
      <w:pPr>
        <w:spacing w:after="0" w:line="360" w:lineRule="auto"/>
        <w:ind w:right="-93"/>
        <w:rPr>
          <w:rFonts w:ascii="Palatino Linotype" w:eastAsia="Calibri" w:hAnsi="Palatino Linotype" w:cs="Tahoma"/>
          <w:bCs/>
        </w:rPr>
      </w:pPr>
    </w:p>
    <w:p w14:paraId="5D9773F7"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 xml:space="preserve">Toma sustento, dicha situación,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w:t>
      </w:r>
      <w:r w:rsidRPr="00655724">
        <w:rPr>
          <w:rFonts w:ascii="Palatino Linotype" w:eastAsia="Calibri" w:hAnsi="Palatino Linotype" w:cs="Tahoma"/>
          <w:bCs/>
        </w:rPr>
        <w:lastRenderedPageBreak/>
        <w:t>y preciso para todos los sujetos obligados del país, que permitan garantizar, el efectivo ejercicio del derecho de acceso a la información.</w:t>
      </w:r>
    </w:p>
    <w:p w14:paraId="1648AB2B" w14:textId="77777777" w:rsidR="00655724" w:rsidRPr="00655724" w:rsidRDefault="00655724" w:rsidP="00655724">
      <w:pPr>
        <w:spacing w:after="0" w:line="360" w:lineRule="auto"/>
        <w:ind w:right="-93"/>
        <w:rPr>
          <w:rFonts w:ascii="Palatino Linotype" w:eastAsia="Calibri" w:hAnsi="Palatino Linotype" w:cs="Tahoma"/>
          <w:bCs/>
        </w:rPr>
      </w:pPr>
    </w:p>
    <w:p w14:paraId="7CDB3B54"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Igualmente, se destacó que aún determinando causales de reserva en las leyes especiales diversas a la Ley General o las Estatales de Transparencia, todos los sujetos obligados deben de dar cumplimiento con todos los principios y procedimientos establecidos en la Ley General de Transparencia y Acceso a la Información Pública, así como con los recursos y criterios de la misma.</w:t>
      </w:r>
    </w:p>
    <w:p w14:paraId="017FF3E4" w14:textId="77777777" w:rsidR="00655724" w:rsidRPr="00655724" w:rsidRDefault="00655724" w:rsidP="00655724">
      <w:pPr>
        <w:spacing w:after="0" w:line="360" w:lineRule="auto"/>
        <w:ind w:right="-93"/>
        <w:rPr>
          <w:rFonts w:ascii="Palatino Linotype" w:eastAsia="Calibri" w:hAnsi="Palatino Linotype" w:cs="Tahoma"/>
          <w:bCs/>
        </w:rPr>
      </w:pPr>
    </w:p>
    <w:p w14:paraId="24BC145F"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persona física de una licencia de funcionamiento, por lo que no es dable, como se asienta en el Criterio Relevante, considerar que el nombre de los titulares estas, deba ser considerado confidencial, aún y cuando el mismo no involucre aprovechamiento de bienes o recursos públicos.</w:t>
      </w:r>
    </w:p>
    <w:p w14:paraId="5E66503C" w14:textId="77777777" w:rsidR="00655724" w:rsidRPr="00655724" w:rsidRDefault="00655724" w:rsidP="00655724">
      <w:pPr>
        <w:spacing w:after="0" w:line="360" w:lineRule="auto"/>
        <w:ind w:right="-93"/>
        <w:rPr>
          <w:rFonts w:ascii="Palatino Linotype" w:eastAsia="Calibri" w:hAnsi="Palatino Linotype" w:cs="Tahoma"/>
          <w:bCs/>
        </w:rPr>
      </w:pPr>
    </w:p>
    <w:p w14:paraId="1620FD55"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0AA3547D" w14:textId="77777777" w:rsidR="00655724" w:rsidRPr="00655724" w:rsidRDefault="00655724" w:rsidP="00655724">
      <w:pPr>
        <w:spacing w:after="0" w:line="360" w:lineRule="auto"/>
        <w:ind w:right="-93"/>
        <w:rPr>
          <w:rFonts w:ascii="Palatino Linotype" w:eastAsia="Calibri" w:hAnsi="Palatino Linotype" w:cs="Tahoma"/>
          <w:bCs/>
        </w:rPr>
      </w:pPr>
    </w:p>
    <w:p w14:paraId="36ECF223"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 xml:space="preserve">Ante tales circunstancias, se desprende que, en el caso concreto, sobreviene una </w:t>
      </w:r>
      <w:r w:rsidRPr="00655724">
        <w:rPr>
          <w:rFonts w:ascii="Palatino Linotype" w:eastAsia="Calibri" w:hAnsi="Palatino Linotype" w:cs="Tahoma"/>
          <w:b/>
          <w:bCs/>
        </w:rPr>
        <w:t>colisión de derechos fundamentales,</w:t>
      </w:r>
      <w:r w:rsidRPr="00655724">
        <w:rPr>
          <w:rFonts w:ascii="Palatino Linotype" w:eastAsia="Calibri" w:hAnsi="Palatino Linotype" w:cs="Tahoma"/>
          <w:bCs/>
        </w:rPr>
        <w:t xml:space="preserve"> esto es, por una parte, se tiene el derecho de acceso a la información del Particular para conocer el nombre de la persona a la cual se le otorgó una licencia para desarrollar determinada actividad, y por la otra, el derecho a la protección de los nombres de </w:t>
      </w:r>
      <w:r w:rsidRPr="00655724">
        <w:rPr>
          <w:rFonts w:ascii="Palatino Linotype" w:eastAsia="Calibri" w:hAnsi="Palatino Linotype" w:cs="Tahoma"/>
          <w:bCs/>
        </w:rPr>
        <w:lastRenderedPageBreak/>
        <w:t>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3B12016E" w14:textId="77777777" w:rsidR="00655724" w:rsidRPr="00655724" w:rsidRDefault="00655724" w:rsidP="00655724">
      <w:pPr>
        <w:spacing w:after="0" w:line="360" w:lineRule="auto"/>
        <w:ind w:right="-93"/>
        <w:rPr>
          <w:rFonts w:ascii="Palatino Linotype" w:eastAsia="Calibri" w:hAnsi="Palatino Linotype" w:cs="Tahoma"/>
          <w:bCs/>
        </w:rPr>
      </w:pPr>
    </w:p>
    <w:p w14:paraId="3CCDB533" w14:textId="77777777" w:rsid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3AAD3002" w14:textId="77777777" w:rsidR="00655724" w:rsidRPr="00655724" w:rsidRDefault="00655724" w:rsidP="00655724">
      <w:pPr>
        <w:spacing w:after="0" w:line="360" w:lineRule="auto"/>
        <w:ind w:right="-93"/>
        <w:rPr>
          <w:rFonts w:ascii="Palatino Linotype" w:eastAsia="Calibri" w:hAnsi="Palatino Linotype" w:cs="Tahoma"/>
          <w:bCs/>
        </w:rPr>
      </w:pPr>
    </w:p>
    <w:p w14:paraId="21178556"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 xml:space="preserve">Por cuanto hace a la colisión entre el derecho a la información y el derecho a la intimidad o a la vida privada, el Poder Judicial de la Federación ha sostenido la </w:t>
      </w:r>
      <w:r w:rsidRPr="00655724">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55724">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1E62E818" w14:textId="77777777" w:rsidR="00655724" w:rsidRPr="00655724" w:rsidRDefault="00655724" w:rsidP="00655724">
      <w:pPr>
        <w:spacing w:after="0" w:line="360" w:lineRule="auto"/>
        <w:rPr>
          <w:rFonts w:ascii="Palatino Linotype" w:eastAsia="Calibri" w:hAnsi="Palatino Linotype" w:cs="Tahoma"/>
          <w:bCs/>
        </w:rPr>
      </w:pPr>
    </w:p>
    <w:p w14:paraId="536EAEDE" w14:textId="77777777" w:rsidR="00655724" w:rsidRPr="00655724" w:rsidRDefault="00655724" w:rsidP="00655724">
      <w:pPr>
        <w:spacing w:line="360" w:lineRule="auto"/>
        <w:rPr>
          <w:rFonts w:ascii="Palatino Linotype" w:eastAsia="Times New Roman" w:hAnsi="Palatino Linotype" w:cs="Tahoma"/>
          <w:bCs/>
          <w:iCs/>
          <w:lang w:eastAsia="es-ES"/>
        </w:rPr>
      </w:pPr>
      <w:r w:rsidRPr="00655724">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655724">
        <w:rPr>
          <w:rFonts w:ascii="Palatino Linotype" w:eastAsia="Times New Roman" w:hAnsi="Palatino Linotype" w:cs="Tahoma"/>
          <w:bCs/>
          <w:iCs/>
          <w:lang w:eastAsia="es-ES"/>
        </w:rPr>
        <w:t xml:space="preserve"> Precisado lo anterior, resulta necesario realizar una ponderación de los dos intereses jurídicos tutelados que convergen en la controversia que se dirime; para lo cual, el artículo </w:t>
      </w:r>
      <w:r w:rsidRPr="00655724">
        <w:rPr>
          <w:rFonts w:ascii="Palatino Linotype" w:eastAsia="Calibri" w:hAnsi="Palatino Linotype" w:cs="Tahoma"/>
          <w:bCs/>
        </w:rPr>
        <w:t>184 de la Ley de Transparencia y Acceso a la Información Pública del Estado de México y Municipios</w:t>
      </w:r>
      <w:r w:rsidRPr="00655724">
        <w:rPr>
          <w:rFonts w:ascii="Palatino Linotype" w:eastAsia="Times New Roman" w:hAnsi="Palatino Linotype" w:cs="Tahoma"/>
          <w:bCs/>
          <w:iCs/>
          <w:lang w:eastAsia="es-E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583765CB" w14:textId="77777777" w:rsidR="00655724" w:rsidRPr="00655724" w:rsidRDefault="00655724" w:rsidP="00655724">
      <w:pPr>
        <w:spacing w:after="0" w:line="360" w:lineRule="auto"/>
        <w:ind w:right="49"/>
        <w:rPr>
          <w:rFonts w:ascii="Palatino Linotype" w:eastAsia="Times New Roman" w:hAnsi="Palatino Linotype" w:cs="Tahoma"/>
          <w:bCs/>
          <w:iCs/>
          <w:lang w:eastAsia="es-ES"/>
        </w:rPr>
      </w:pPr>
    </w:p>
    <w:p w14:paraId="60491335" w14:textId="77777777" w:rsidR="00655724" w:rsidRPr="00655724" w:rsidRDefault="00655724" w:rsidP="00655724">
      <w:pPr>
        <w:numPr>
          <w:ilvl w:val="0"/>
          <w:numId w:val="19"/>
        </w:numPr>
        <w:spacing w:after="0" w:line="360" w:lineRule="auto"/>
        <w:ind w:left="426" w:right="49" w:hanging="426"/>
        <w:contextualSpacing/>
        <w:rPr>
          <w:rFonts w:ascii="Palatino Linotype" w:eastAsia="Times New Roman" w:hAnsi="Palatino Linotype" w:cs="Tahoma"/>
          <w:bCs/>
          <w:iCs/>
          <w:lang w:eastAsia="es-ES"/>
        </w:rPr>
      </w:pPr>
      <w:r w:rsidRPr="00655724">
        <w:rPr>
          <w:rFonts w:ascii="Palatino Linotype" w:eastAsia="Times New Roman" w:hAnsi="Palatino Linotype" w:cs="Tahoma"/>
          <w:b/>
          <w:bCs/>
          <w:iCs/>
          <w:lang w:eastAsia="es-ES"/>
        </w:rPr>
        <w:t>Idoneidad:</w:t>
      </w:r>
      <w:r w:rsidRPr="00655724">
        <w:rPr>
          <w:rFonts w:ascii="Palatino Linotype" w:eastAsia="Times New Roman" w:hAnsi="Palatino Linotype" w:cs="Tahoma"/>
          <w:bCs/>
          <w:iCs/>
          <w:lang w:eastAsia="es-ES"/>
        </w:rPr>
        <w:t xml:space="preserve"> La legitimidad del derecho adoptado como preferente, que sea el adecuado para el logro de un fin constitucionalmente válido o apto para conseguir el fin pretendido;</w:t>
      </w:r>
    </w:p>
    <w:p w14:paraId="6E72B8C2" w14:textId="77777777" w:rsidR="00655724" w:rsidRPr="00655724" w:rsidRDefault="00655724" w:rsidP="00655724">
      <w:pPr>
        <w:spacing w:after="0" w:line="360" w:lineRule="auto"/>
        <w:ind w:left="426" w:right="49"/>
        <w:contextualSpacing/>
        <w:rPr>
          <w:rFonts w:ascii="Palatino Linotype" w:eastAsia="Times New Roman" w:hAnsi="Palatino Linotype" w:cs="Tahoma"/>
          <w:bCs/>
          <w:iCs/>
          <w:lang w:eastAsia="es-ES"/>
        </w:rPr>
      </w:pPr>
    </w:p>
    <w:p w14:paraId="4226E8E1" w14:textId="77777777" w:rsidR="00655724" w:rsidRPr="00655724" w:rsidRDefault="00655724" w:rsidP="00655724">
      <w:pPr>
        <w:numPr>
          <w:ilvl w:val="0"/>
          <w:numId w:val="19"/>
        </w:numPr>
        <w:spacing w:after="0" w:line="360" w:lineRule="auto"/>
        <w:ind w:left="426" w:right="49" w:hanging="426"/>
        <w:contextualSpacing/>
        <w:rPr>
          <w:rFonts w:ascii="Palatino Linotype" w:eastAsia="Times New Roman" w:hAnsi="Palatino Linotype" w:cs="Tahoma"/>
          <w:bCs/>
          <w:iCs/>
          <w:lang w:eastAsia="es-ES"/>
        </w:rPr>
      </w:pPr>
      <w:r w:rsidRPr="00655724">
        <w:rPr>
          <w:rFonts w:ascii="Palatino Linotype" w:eastAsia="Times New Roman" w:hAnsi="Palatino Linotype" w:cs="Tahoma"/>
          <w:b/>
          <w:bCs/>
          <w:iCs/>
          <w:lang w:eastAsia="es-ES"/>
        </w:rPr>
        <w:t>Necesidad:</w:t>
      </w:r>
      <w:r w:rsidRPr="00655724">
        <w:rPr>
          <w:rFonts w:ascii="Palatino Linotype" w:eastAsia="Times New Roman" w:hAnsi="Palatino Linotype" w:cs="Tahoma"/>
          <w:bCs/>
          <w:iCs/>
          <w:lang w:eastAsia="es-ES"/>
        </w:rPr>
        <w:t xml:space="preserve"> La falta de un medio alternativo menos lesivo a la apertura de la información, para satisfacer el interés público, y</w:t>
      </w:r>
    </w:p>
    <w:p w14:paraId="69C0EA0F" w14:textId="77777777" w:rsidR="00655724" w:rsidRPr="00655724" w:rsidRDefault="00655724" w:rsidP="00655724">
      <w:pPr>
        <w:spacing w:after="0" w:line="360" w:lineRule="auto"/>
        <w:ind w:left="426" w:right="49"/>
        <w:contextualSpacing/>
        <w:rPr>
          <w:rFonts w:ascii="Palatino Linotype" w:eastAsia="Times New Roman" w:hAnsi="Palatino Linotype" w:cs="Tahoma"/>
          <w:bCs/>
          <w:iCs/>
          <w:lang w:eastAsia="es-ES"/>
        </w:rPr>
      </w:pPr>
    </w:p>
    <w:p w14:paraId="28E037FD" w14:textId="77777777" w:rsidR="00655724" w:rsidRPr="00655724" w:rsidRDefault="00655724" w:rsidP="00655724">
      <w:pPr>
        <w:widowControl w:val="0"/>
        <w:numPr>
          <w:ilvl w:val="0"/>
          <w:numId w:val="19"/>
        </w:numPr>
        <w:spacing w:after="0" w:line="360" w:lineRule="auto"/>
        <w:ind w:left="425" w:right="51" w:hanging="425"/>
        <w:contextualSpacing/>
        <w:rPr>
          <w:rFonts w:ascii="Palatino Linotype" w:eastAsia="Times New Roman" w:hAnsi="Palatino Linotype" w:cs="Tahoma"/>
          <w:bCs/>
          <w:iCs/>
          <w:lang w:eastAsia="es-ES"/>
        </w:rPr>
      </w:pPr>
      <w:r w:rsidRPr="00655724">
        <w:rPr>
          <w:rFonts w:ascii="Palatino Linotype" w:eastAsia="Times New Roman" w:hAnsi="Palatino Linotype" w:cs="Tahoma"/>
          <w:b/>
          <w:bCs/>
          <w:iCs/>
          <w:lang w:eastAsia="es-ES"/>
        </w:rPr>
        <w:t>Proporcionalidad:</w:t>
      </w:r>
      <w:r w:rsidRPr="00655724">
        <w:rPr>
          <w:rFonts w:ascii="Palatino Linotype" w:eastAsia="Times New Roman" w:hAnsi="Palatino Linotype" w:cs="Tahoma"/>
          <w:bCs/>
          <w:iCs/>
          <w:lang w:eastAsia="es-ES"/>
        </w:rPr>
        <w:t xml:space="preserve"> El equilibrio entre perjuicio y beneficio a favor del interés público, a fin de que la decisión tomada represente un beneficio mayor al perjuicio que podría causar a la población.</w:t>
      </w:r>
    </w:p>
    <w:p w14:paraId="3CD0A606" w14:textId="77777777" w:rsidR="00655724" w:rsidRPr="00655724" w:rsidRDefault="00655724" w:rsidP="00655724">
      <w:pPr>
        <w:spacing w:after="0" w:line="360" w:lineRule="auto"/>
        <w:ind w:right="-93"/>
        <w:rPr>
          <w:rFonts w:ascii="Palatino Linotype" w:eastAsia="Calibri" w:hAnsi="Palatino Linotype" w:cs="Tahoma"/>
          <w:bCs/>
        </w:rPr>
      </w:pPr>
    </w:p>
    <w:p w14:paraId="2B7E081A" w14:textId="77777777" w:rsidR="00655724" w:rsidRPr="00655724" w:rsidRDefault="00655724" w:rsidP="00655724">
      <w:pPr>
        <w:spacing w:after="0" w:line="360" w:lineRule="auto"/>
        <w:ind w:right="-1"/>
        <w:rPr>
          <w:rFonts w:ascii="Palatino Linotype" w:eastAsia="Calibri" w:hAnsi="Palatino Linotype" w:cs="Tahoma"/>
          <w:lang w:eastAsia="es-ES"/>
        </w:rPr>
      </w:pPr>
      <w:r w:rsidRPr="00655724">
        <w:rPr>
          <w:rFonts w:ascii="Palatino Linotype" w:eastAsia="Calibri" w:hAnsi="Palatino Linotype" w:cs="Tahoma"/>
          <w:lang w:eastAsia="es-ES"/>
        </w:rPr>
        <w:t>En ese orden de ideas, resulta procedente analizar cada uno de los elementos referidos, partiendo de que, en el caso concreto, se estima como preferente el derecho de acceso a la información, bajo las consideraciones que se verterán a continuación.</w:t>
      </w:r>
    </w:p>
    <w:p w14:paraId="1D0991B5" w14:textId="77777777" w:rsidR="00655724" w:rsidRPr="00655724" w:rsidRDefault="00655724" w:rsidP="00655724">
      <w:pPr>
        <w:spacing w:after="0" w:line="360" w:lineRule="auto"/>
        <w:ind w:right="-1"/>
        <w:rPr>
          <w:rFonts w:ascii="Palatino Linotype" w:eastAsia="Calibri" w:hAnsi="Palatino Linotype" w:cs="Tahoma"/>
          <w:lang w:eastAsia="es-ES"/>
        </w:rPr>
      </w:pPr>
    </w:p>
    <w:p w14:paraId="13279271"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
          <w:bCs/>
          <w:iCs/>
          <w:lang w:eastAsia="es-ES"/>
        </w:rPr>
        <w:t>a) Idoneidad</w:t>
      </w:r>
      <w:r w:rsidRPr="00655724">
        <w:rPr>
          <w:rFonts w:ascii="Palatino Linotype" w:eastAsia="Calibri" w:hAnsi="Palatino Linotype" w:cs="Tahoma"/>
          <w:bCs/>
        </w:rPr>
        <w:t xml:space="preserve">. Existe un fin constitucionalmente válido para dar a conocer el nombre de aquellas personas físicas a quienes les fue otorgada una licencia para realizar una actividad económica, comercial o industrial en el Municipios del </w:t>
      </w:r>
      <w:r w:rsidR="00B57D1E">
        <w:rPr>
          <w:rFonts w:ascii="Palatino Linotype" w:eastAsia="Calibri" w:hAnsi="Palatino Linotype" w:cs="Tahoma"/>
          <w:bCs/>
        </w:rPr>
        <w:t>Malinalco</w:t>
      </w:r>
      <w:r w:rsidRPr="00655724">
        <w:rPr>
          <w:rFonts w:ascii="Palatino Linotype" w:eastAsia="Calibri" w:hAnsi="Palatino Linotype" w:cs="Tahoma"/>
          <w:bCs/>
        </w:rPr>
        <w:t>; dicho fin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la normatividad aplicable.</w:t>
      </w:r>
    </w:p>
    <w:p w14:paraId="7029A9AD" w14:textId="77777777" w:rsidR="00655724" w:rsidRPr="00655724" w:rsidRDefault="00655724" w:rsidP="00655724">
      <w:pPr>
        <w:spacing w:after="0" w:line="360" w:lineRule="auto"/>
        <w:ind w:right="-93"/>
        <w:rPr>
          <w:rFonts w:ascii="Palatino Linotype" w:eastAsia="Calibri" w:hAnsi="Palatino Linotype" w:cs="Tahoma"/>
          <w:bCs/>
        </w:rPr>
      </w:pPr>
    </w:p>
    <w:p w14:paraId="095F4DA2"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 xml:space="preserve">Al respecto, es de señalar que la </w:t>
      </w:r>
      <w:r w:rsidRPr="00655724">
        <w:rPr>
          <w:rFonts w:ascii="Palatino Linotype" w:eastAsia="Calibri" w:hAnsi="Palatino Linotype" w:cs="Tahoma"/>
          <w:b/>
          <w:bCs/>
        </w:rPr>
        <w:t xml:space="preserve">transparencia </w:t>
      </w:r>
      <w:r w:rsidRPr="00655724">
        <w:rPr>
          <w:rFonts w:ascii="Palatino Linotype" w:eastAsia="Calibri" w:hAnsi="Palatino Linotype" w:cs="Tahoma"/>
          <w:bCs/>
        </w:rPr>
        <w:t xml:space="preserve">está orientada a maximizar el uso social de la información de los organismos gubernamentales, misma que sirve para exigir cuentas a las autoridades; mientras que la </w:t>
      </w:r>
      <w:r w:rsidRPr="00655724">
        <w:rPr>
          <w:rFonts w:ascii="Palatino Linotype" w:eastAsia="Calibri" w:hAnsi="Palatino Linotype" w:cs="Tahoma"/>
          <w:b/>
          <w:bCs/>
        </w:rPr>
        <w:t>rendición de cuentas</w:t>
      </w:r>
      <w:r w:rsidRPr="00655724">
        <w:rPr>
          <w:rFonts w:ascii="Palatino Linotype" w:eastAsia="Calibri" w:hAnsi="Palatino Linotype" w:cs="Tahoma"/>
          <w:bCs/>
        </w:rPr>
        <w:t xml:space="preserve"> debe entenderse como la obligación de los funcionarios de responder por lo que hacen y la que atañe al poder de los ciudadanos para </w:t>
      </w:r>
      <w:r w:rsidRPr="00655724">
        <w:rPr>
          <w:rFonts w:ascii="Palatino Linotype" w:eastAsia="Calibri" w:hAnsi="Palatino Linotype" w:cs="Tahoma"/>
          <w:bCs/>
        </w:rPr>
        <w:lastRenderedPageBreak/>
        <w:t>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2831F607" w14:textId="77777777" w:rsidR="00655724" w:rsidRPr="00655724" w:rsidRDefault="00655724" w:rsidP="00655724">
      <w:pPr>
        <w:spacing w:after="0" w:line="360" w:lineRule="auto"/>
        <w:ind w:right="-93"/>
        <w:rPr>
          <w:rFonts w:ascii="Palatino Linotype" w:eastAsia="Calibri" w:hAnsi="Palatino Linotype" w:cs="Tahoma"/>
          <w:bCs/>
        </w:rPr>
      </w:pPr>
    </w:p>
    <w:p w14:paraId="1FB82A89" w14:textId="77777777" w:rsidR="00655724" w:rsidRPr="00655724" w:rsidRDefault="00655724" w:rsidP="00655724">
      <w:pPr>
        <w:spacing w:after="0" w:line="360" w:lineRule="auto"/>
        <w:ind w:right="-93"/>
        <w:rPr>
          <w:rFonts w:ascii="Palatino Linotype" w:eastAsia="Calibri" w:hAnsi="Palatino Linotype" w:cs="Tahoma"/>
          <w:b/>
          <w:bCs/>
        </w:rPr>
      </w:pPr>
      <w:r w:rsidRPr="00655724">
        <w:rPr>
          <w:rFonts w:ascii="Palatino Linotype" w:eastAsia="Calibri" w:hAnsi="Palatino Linotype" w:cs="Tahoma"/>
          <w:bCs/>
        </w:rPr>
        <w:t xml:space="preserve">En ese orden de ideas, la transparencia, al permitir y ayudar a la rendición de cuentas, funciona de doble manera, </w:t>
      </w:r>
      <w:r w:rsidRPr="00655724">
        <w:rPr>
          <w:rFonts w:ascii="Palatino Linotype" w:eastAsia="Calibri" w:hAnsi="Palatino Linotype" w:cs="Tahoma"/>
          <w:bCs/>
          <w:u w:val="single"/>
        </w:rPr>
        <w:t>capacitadora</w:t>
      </w:r>
      <w:r w:rsidRPr="00655724">
        <w:rPr>
          <w:rFonts w:ascii="Palatino Linotype" w:eastAsia="Calibri" w:hAnsi="Palatino Linotype" w:cs="Tahoma"/>
          <w:bCs/>
        </w:rPr>
        <w:t xml:space="preserve">, al permitir a la sociedad premiar o castigar el desempeño de los entes públicos, y cómo </w:t>
      </w:r>
      <w:r w:rsidRPr="00655724">
        <w:rPr>
          <w:rFonts w:ascii="Palatino Linotype" w:eastAsia="Calibri" w:hAnsi="Palatino Linotype" w:cs="Tahoma"/>
          <w:bCs/>
          <w:u w:val="single"/>
        </w:rPr>
        <w:t>inhibidora</w:t>
      </w:r>
      <w:r w:rsidRPr="00655724">
        <w:rPr>
          <w:rFonts w:ascii="Palatino Linotype" w:eastAsia="Calibri" w:hAnsi="Palatino Linotype" w:cs="Tahoma"/>
          <w:bCs/>
        </w:rPr>
        <w:t xml:space="preserve"> de conductas y acciones que atenten contra </w:t>
      </w:r>
      <w:r w:rsidRPr="00655724">
        <w:rPr>
          <w:rFonts w:ascii="Palatino Linotype" w:eastAsia="Calibri" w:hAnsi="Palatino Linotype" w:cs="Tahoma"/>
          <w:b/>
          <w:bCs/>
        </w:rPr>
        <w:t xml:space="preserve">el interés público. </w:t>
      </w:r>
    </w:p>
    <w:p w14:paraId="774481E3" w14:textId="77777777" w:rsidR="00655724" w:rsidRPr="00655724" w:rsidRDefault="00655724" w:rsidP="00655724">
      <w:pPr>
        <w:spacing w:after="0" w:line="360" w:lineRule="auto"/>
        <w:ind w:right="-93"/>
        <w:rPr>
          <w:rFonts w:ascii="Palatino Linotype" w:eastAsia="Calibri" w:hAnsi="Palatino Linotype" w:cs="Tahoma"/>
          <w:bCs/>
        </w:rPr>
      </w:pPr>
    </w:p>
    <w:p w14:paraId="1A37E38B" w14:textId="6C18B64F" w:rsidR="00655724" w:rsidRPr="00655724" w:rsidRDefault="00655724" w:rsidP="00655724">
      <w:pPr>
        <w:spacing w:after="0" w:line="360" w:lineRule="auto"/>
        <w:ind w:right="-93"/>
        <w:rPr>
          <w:rFonts w:ascii="Palatino Linotype" w:eastAsia="Calibri" w:hAnsi="Palatino Linotype" w:cs="Tahoma"/>
          <w:b/>
          <w:bCs/>
        </w:rPr>
      </w:pPr>
      <w:r w:rsidRPr="00655724">
        <w:rPr>
          <w:rFonts w:ascii="Palatino Linotype" w:eastAsia="Calibri" w:hAnsi="Palatino Linotype" w:cs="Tahoma"/>
          <w:bCs/>
        </w:rPr>
        <w:t xml:space="preserve">Ahora bien, tal como se estableció en párrafos anteriores, cualquier actividad comercial, industrial o económica, únicamente podrá ser llevada a cabo, bajo el amparo de una licencia de funcionamiento expedida, en el presente caso, por el Ayuntamiento </w:t>
      </w:r>
      <w:r w:rsidR="005E3B41">
        <w:rPr>
          <w:rFonts w:ascii="Palatino Linotype" w:eastAsia="Calibri" w:hAnsi="Palatino Linotype" w:cs="Tahoma"/>
          <w:bCs/>
        </w:rPr>
        <w:t>de Toluca</w:t>
      </w:r>
      <w:r w:rsidRPr="00655724">
        <w:rPr>
          <w:rFonts w:ascii="Palatino Linotype" w:eastAsia="Calibri" w:hAnsi="Palatino Linotype" w:cs="Tahoma"/>
          <w:bCs/>
        </w:rPr>
        <w:t>, siempre y cuando cumplan con los requisitos establecidos en la Ley de Competitividad y Ordenamiento Comercial del E</w:t>
      </w:r>
      <w:r w:rsidR="00FD64BE">
        <w:rPr>
          <w:rFonts w:ascii="Palatino Linotype" w:eastAsia="Calibri" w:hAnsi="Palatino Linotype" w:cs="Tahoma"/>
          <w:bCs/>
        </w:rPr>
        <w:t>stado de México, su Reglamento</w:t>
      </w:r>
      <w:r w:rsidRPr="00655724">
        <w:rPr>
          <w:rFonts w:ascii="Palatino Linotype" w:eastAsia="Calibri" w:hAnsi="Palatino Linotype" w:cs="Tahoma"/>
          <w:bCs/>
        </w:rPr>
        <w:t xml:space="preserve">, entre otras normatividades; en tal virtud, los nombres de las personas que tienen una autorización para poder realizar diversas unidades económicas, </w:t>
      </w:r>
      <w:r w:rsidRPr="00655724">
        <w:rPr>
          <w:rFonts w:ascii="Palatino Linotype" w:eastAsia="Calibri" w:hAnsi="Palatino Linotype" w:cs="Tahoma"/>
          <w:b/>
          <w:bCs/>
        </w:rPr>
        <w:t>se traduce en información que permite transparentar el otorgamiento por parte del Estado de dichos documentos a diversos particulares.</w:t>
      </w:r>
    </w:p>
    <w:p w14:paraId="6D210B8F" w14:textId="77777777" w:rsidR="00655724" w:rsidRPr="00655724" w:rsidRDefault="00655724" w:rsidP="00655724">
      <w:pPr>
        <w:spacing w:after="0" w:line="360" w:lineRule="auto"/>
        <w:ind w:right="-93"/>
        <w:rPr>
          <w:rFonts w:ascii="Palatino Linotype" w:eastAsia="Calibri" w:hAnsi="Palatino Linotype" w:cs="Tahoma"/>
          <w:bCs/>
        </w:rPr>
      </w:pPr>
    </w:p>
    <w:p w14:paraId="27C55267" w14:textId="77777777" w:rsidR="00655724" w:rsidRPr="00655724" w:rsidRDefault="00655724" w:rsidP="00655724">
      <w:pPr>
        <w:widowControl w:val="0"/>
        <w:spacing w:after="0" w:line="360" w:lineRule="auto"/>
        <w:ind w:right="-91"/>
        <w:rPr>
          <w:rFonts w:ascii="Palatino Linotype" w:eastAsia="Calibri" w:hAnsi="Palatino Linotype" w:cs="Tahoma"/>
          <w:bCs/>
        </w:rPr>
      </w:pPr>
      <w:r w:rsidRPr="00655724">
        <w:rPr>
          <w:rFonts w:ascii="Palatino Linotype" w:eastAsia="Calibri" w:hAnsi="Palatino Linotype" w:cs="Tahoma"/>
          <w:bCs/>
        </w:rPr>
        <w:t>En ese orden de ideas, la Suprema Corte de Justicia de la Nación, ha definido el acceso a la información como un derecho en sí mismo y como un medio o instrumento para el ejercicio de otros derechos,</w:t>
      </w:r>
      <w:r w:rsidRPr="00655724">
        <w:rPr>
          <w:rFonts w:ascii="Palatino Linotype" w:eastAsia="Calibri" w:hAnsi="Palatino Linotype" w:cs="Tahoma"/>
          <w:b/>
          <w:bCs/>
        </w:rPr>
        <w:t xml:space="preserve"> para que los gobernados ejerzan un control respecto del funcionamiento institucional de los poderes públicos, por lo que se constituye como una exigencia social de todo Estado de Derecho, y como un derecho colectivo o garantía social</w:t>
      </w:r>
      <w:r w:rsidRPr="00655724">
        <w:rPr>
          <w:rFonts w:ascii="Palatino Linotype" w:eastAsia="Calibri" w:hAnsi="Palatino Linotype" w:cs="Tahoma"/>
          <w:bCs/>
        </w:rPr>
        <w:t>, a fin de lograr la publicidad de los actos de gobierno y la transparencia de la administración pública. Lo anterior, a través de la jurisprudencia número P</w:t>
      </w:r>
      <w:proofErr w:type="gramStart"/>
      <w:r w:rsidRPr="00655724">
        <w:rPr>
          <w:rFonts w:ascii="Palatino Linotype" w:eastAsia="Calibri" w:hAnsi="Palatino Linotype" w:cs="Tahoma"/>
          <w:bCs/>
        </w:rPr>
        <w:t>./</w:t>
      </w:r>
      <w:proofErr w:type="gramEnd"/>
      <w:r w:rsidRPr="00655724">
        <w:rPr>
          <w:rFonts w:ascii="Palatino Linotype" w:eastAsia="Calibri" w:hAnsi="Palatino Linotype" w:cs="Tahoma"/>
          <w:bCs/>
        </w:rPr>
        <w:t>J. 54/2008, publicada en el Semanario Judicial de la Federación y su Gaceta, Tomo XXVII, página 743, Novena Época, en junio de dos mil ocho.</w:t>
      </w:r>
    </w:p>
    <w:p w14:paraId="57F71128" w14:textId="77777777" w:rsidR="00655724" w:rsidRPr="00655724" w:rsidRDefault="00655724" w:rsidP="00655724">
      <w:pPr>
        <w:spacing w:after="0" w:line="360" w:lineRule="auto"/>
        <w:ind w:right="-93"/>
        <w:rPr>
          <w:rFonts w:ascii="Palatino Linotype" w:eastAsia="Calibri" w:hAnsi="Palatino Linotype" w:cs="Tahoma"/>
          <w:bCs/>
        </w:rPr>
      </w:pPr>
    </w:p>
    <w:p w14:paraId="3C5A2045" w14:textId="77777777" w:rsid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lastRenderedPageBreak/>
        <w:t>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en las leyes respectivas.</w:t>
      </w:r>
    </w:p>
    <w:p w14:paraId="6894D0C1" w14:textId="77777777" w:rsidR="00655724" w:rsidRPr="00655724" w:rsidRDefault="00655724" w:rsidP="00655724">
      <w:pPr>
        <w:spacing w:after="0" w:line="360" w:lineRule="auto"/>
        <w:ind w:right="-93"/>
        <w:rPr>
          <w:rFonts w:ascii="Palatino Linotype" w:eastAsia="Calibri" w:hAnsi="Palatino Linotype" w:cs="Tahoma"/>
          <w:bCs/>
        </w:rPr>
      </w:pPr>
    </w:p>
    <w:p w14:paraId="30196637" w14:textId="77777777" w:rsidR="00655724" w:rsidRPr="00655724" w:rsidRDefault="00655724" w:rsidP="00655724">
      <w:pPr>
        <w:spacing w:after="0" w:line="360" w:lineRule="auto"/>
        <w:ind w:right="-93"/>
        <w:rPr>
          <w:rFonts w:ascii="Palatino Linotype" w:eastAsia="Calibri" w:hAnsi="Palatino Linotype" w:cs="Tahoma"/>
          <w:b/>
          <w:bCs/>
          <w:u w:val="single"/>
        </w:rPr>
      </w:pPr>
      <w:r w:rsidRPr="00655724">
        <w:rPr>
          <w:rFonts w:ascii="Palatino Linotype" w:eastAsia="Calibri" w:hAnsi="Palatino Linotype" w:cs="Tahoma"/>
          <w:bCs/>
        </w:rPr>
        <w:t xml:space="preserve">En ese orden de ideas, resulta necesario precisar, que en el artículo 21, fracción III de la Ley de Competitividad y Ordenamiento Comercial del Estado de México, </w:t>
      </w:r>
      <w:r w:rsidRPr="00655724">
        <w:rPr>
          <w:rFonts w:ascii="Palatino Linotype" w:eastAsia="Calibri" w:hAnsi="Palatino Linotype" w:cs="Tahoma"/>
          <w:b/>
          <w:bCs/>
          <w:u w:val="single"/>
        </w:rPr>
        <w:t xml:space="preserve">prevé que es obligación de los propietarios de establecimientos, tener en un lugar visible dentro de la unidad económica, el original o copia certificada de la licencia de funcionamiento. </w:t>
      </w:r>
    </w:p>
    <w:p w14:paraId="5973073F" w14:textId="77777777" w:rsidR="00655724" w:rsidRPr="00655724" w:rsidRDefault="00655724" w:rsidP="00655724">
      <w:pPr>
        <w:spacing w:after="0" w:line="360" w:lineRule="auto"/>
        <w:ind w:right="-93"/>
        <w:rPr>
          <w:rFonts w:ascii="Palatino Linotype" w:eastAsia="Calibri" w:hAnsi="Palatino Linotype" w:cs="Tahoma"/>
          <w:bCs/>
        </w:rPr>
      </w:pPr>
    </w:p>
    <w:p w14:paraId="2CE9EFBA" w14:textId="078AD89A" w:rsidR="00655724" w:rsidRDefault="00655724" w:rsidP="00655724">
      <w:pPr>
        <w:spacing w:after="0" w:line="360" w:lineRule="auto"/>
        <w:ind w:right="-93"/>
        <w:rPr>
          <w:rFonts w:ascii="Palatino Linotype" w:eastAsia="Calibri" w:hAnsi="Palatino Linotype" w:cs="Tahoma"/>
          <w:bCs/>
          <w:u w:val="single"/>
        </w:rPr>
      </w:pPr>
      <w:r w:rsidRPr="00655724">
        <w:rPr>
          <w:rFonts w:ascii="Palatino Linotype" w:eastAsia="Calibri" w:hAnsi="Palatino Linotype" w:cs="Tahoma"/>
          <w:bCs/>
        </w:rPr>
        <w:t xml:space="preserve">Por ende, otorgar el nombre de la persona autorizada, a través de una licencia de funcionamiento, </w:t>
      </w:r>
      <w:r w:rsidRPr="00655724">
        <w:rPr>
          <w:rFonts w:ascii="Palatino Linotype" w:eastAsia="Calibri" w:hAnsi="Palatino Linotype" w:cs="Tahoma"/>
          <w:bCs/>
          <w:u w:val="single"/>
        </w:rPr>
        <w:t xml:space="preserve">permite corroborar que la exhibida en el establecimiento comercial, fue emitida efectivamente por la autoridad competente, en el presente caso, por el Municipio </w:t>
      </w:r>
      <w:r w:rsidR="005E3B41">
        <w:rPr>
          <w:rFonts w:ascii="Palatino Linotype" w:eastAsia="Calibri" w:hAnsi="Palatino Linotype" w:cs="Tahoma"/>
          <w:bCs/>
          <w:u w:val="single"/>
        </w:rPr>
        <w:t>de Toluca</w:t>
      </w:r>
      <w:r w:rsidRPr="00655724">
        <w:rPr>
          <w:rFonts w:ascii="Palatino Linotype" w:eastAsia="Calibri" w:hAnsi="Palatino Linotype" w:cs="Tahoma"/>
          <w:bCs/>
          <w:u w:val="single"/>
        </w:rPr>
        <w:t>.</w:t>
      </w:r>
    </w:p>
    <w:p w14:paraId="259E855E" w14:textId="77777777" w:rsidR="00655724" w:rsidRPr="00655724" w:rsidRDefault="00655724" w:rsidP="00655724">
      <w:pPr>
        <w:spacing w:after="0" w:line="360" w:lineRule="auto"/>
        <w:ind w:right="-93"/>
        <w:rPr>
          <w:rFonts w:ascii="Palatino Linotype" w:eastAsia="Calibri" w:hAnsi="Palatino Linotype" w:cs="Tahoma"/>
          <w:bCs/>
          <w:u w:val="single"/>
        </w:rPr>
      </w:pPr>
    </w:p>
    <w:p w14:paraId="4D6F35F9"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3E766E98" w14:textId="77777777" w:rsidR="00655724" w:rsidRPr="00655724" w:rsidRDefault="00655724" w:rsidP="00655724">
      <w:pPr>
        <w:spacing w:after="0" w:line="360" w:lineRule="auto"/>
        <w:ind w:right="-93"/>
        <w:rPr>
          <w:rFonts w:ascii="Palatino Linotype" w:eastAsia="Calibri" w:hAnsi="Palatino Linotype" w:cs="Tahoma"/>
          <w:bCs/>
        </w:rPr>
      </w:pPr>
    </w:p>
    <w:p w14:paraId="607D8E97" w14:textId="5BF1061A" w:rsidR="00655724" w:rsidRPr="00655724" w:rsidRDefault="00655724" w:rsidP="00655724">
      <w:pPr>
        <w:spacing w:after="0" w:line="360" w:lineRule="auto"/>
        <w:ind w:right="-93"/>
        <w:rPr>
          <w:rFonts w:ascii="Palatino Linotype" w:eastAsia="Calibri" w:hAnsi="Palatino Linotype" w:cs="Tahoma"/>
          <w:b/>
          <w:bCs/>
        </w:rPr>
      </w:pPr>
      <w:r w:rsidRPr="00655724">
        <w:rPr>
          <w:rFonts w:ascii="Palatino Linotype" w:eastAsia="Calibri" w:hAnsi="Palatino Linotype" w:cs="Tahoma"/>
          <w:bCs/>
        </w:rPr>
        <w:t xml:space="preserve">Así, mediante la difusión de los nombres de aquellas personas que cuentan con la licencia de funcionamiento, permitiría una debida rendición de cuentas, pues es indispensable que se conozcan aquellos que están autorizados por parte del Municipio </w:t>
      </w:r>
      <w:r w:rsidR="005E3B41">
        <w:rPr>
          <w:rFonts w:ascii="Palatino Linotype" w:eastAsia="Calibri" w:hAnsi="Palatino Linotype" w:cs="Tahoma"/>
          <w:bCs/>
        </w:rPr>
        <w:t>de Toluca</w:t>
      </w:r>
      <w:r w:rsidRPr="00655724">
        <w:rPr>
          <w:rFonts w:ascii="Palatino Linotype" w:eastAsia="Calibri" w:hAnsi="Palatino Linotype" w:cs="Tahoma"/>
          <w:bCs/>
        </w:rPr>
        <w:t xml:space="preserve"> para realizar actividades económicas, mismas que se encuentran reguladas, por lo que, con ello se garantizaría que la sociedad tenga certeza de que </w:t>
      </w:r>
      <w:r w:rsidRPr="00655724">
        <w:rPr>
          <w:rFonts w:ascii="Palatino Linotype" w:eastAsia="Calibri" w:hAnsi="Palatino Linotype" w:cs="Tahoma"/>
          <w:b/>
          <w:bCs/>
        </w:rPr>
        <w:t>las autorizaciones colocadas en los establecimientos, fueron efectivamente emitidas por el sujeto obligado, y no funcionan fuera del marco de la normatividad aplicable.</w:t>
      </w:r>
    </w:p>
    <w:p w14:paraId="4BD41ABC" w14:textId="77777777" w:rsidR="00655724" w:rsidRPr="00655724" w:rsidRDefault="00655724" w:rsidP="00655724">
      <w:pPr>
        <w:spacing w:after="0" w:line="360" w:lineRule="auto"/>
        <w:ind w:right="-93"/>
        <w:rPr>
          <w:rFonts w:ascii="Palatino Linotype" w:eastAsia="Calibri" w:hAnsi="Palatino Linotype" w:cs="Tahoma"/>
          <w:bCs/>
        </w:rPr>
      </w:pPr>
    </w:p>
    <w:p w14:paraId="23127D02"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lastRenderedPageBreak/>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14:paraId="17527FFC" w14:textId="77777777" w:rsidR="00655724" w:rsidRPr="00655724" w:rsidRDefault="00655724" w:rsidP="00655724">
      <w:pPr>
        <w:spacing w:after="0" w:line="360" w:lineRule="auto"/>
        <w:ind w:right="-93"/>
        <w:rPr>
          <w:rFonts w:ascii="Palatino Linotype" w:eastAsia="Calibri" w:hAnsi="Palatino Linotype" w:cs="Tahoma"/>
          <w:bCs/>
        </w:rPr>
      </w:pPr>
    </w:p>
    <w:p w14:paraId="53049A3F"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Igualmente, permitiría el escrutinio de la actividad de la autoridad encargada de emitir dichas licencias, en tanto que la sociedad podría advertir si se autorizaron a quienes cumplen con los requisitos establecidos la normatividad aplicable e incluso si dicha licencia se encuentra vigente.</w:t>
      </w:r>
    </w:p>
    <w:p w14:paraId="729E4976" w14:textId="77777777" w:rsidR="00655724" w:rsidRPr="00655724" w:rsidRDefault="00655724" w:rsidP="00655724">
      <w:pPr>
        <w:spacing w:after="0" w:line="360" w:lineRule="auto"/>
        <w:ind w:right="-93"/>
        <w:rPr>
          <w:rFonts w:ascii="Palatino Linotype" w:eastAsia="Calibri" w:hAnsi="Palatino Linotype" w:cs="Tahoma"/>
          <w:b/>
          <w:lang w:eastAsia="es-ES"/>
        </w:rPr>
      </w:pPr>
    </w:p>
    <w:p w14:paraId="3D752742" w14:textId="77777777" w:rsidR="00655724" w:rsidRPr="00655724" w:rsidRDefault="00655724" w:rsidP="00655724">
      <w:pPr>
        <w:spacing w:after="0" w:line="360" w:lineRule="auto"/>
        <w:ind w:right="-93"/>
        <w:rPr>
          <w:rFonts w:ascii="Palatino Linotype" w:eastAsia="Calibri" w:hAnsi="Palatino Linotype" w:cs="Tahoma"/>
          <w:b/>
          <w:bCs/>
        </w:rPr>
      </w:pPr>
      <w:r w:rsidRPr="00655724">
        <w:rPr>
          <w:rFonts w:ascii="Palatino Linotype" w:eastAsia="Calibri" w:hAnsi="Palatino Linotype" w:cs="Tahoma"/>
          <w:b/>
          <w:lang w:eastAsia="es-ES"/>
        </w:rPr>
        <w:t>b) Necesidad.</w:t>
      </w:r>
      <w:r w:rsidRPr="00655724">
        <w:rPr>
          <w:rFonts w:ascii="Palatino Linotype" w:eastAsia="Calibri" w:hAnsi="Palatino Linotype" w:cs="Tahoma"/>
          <w:bCs/>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655724">
        <w:rPr>
          <w:rFonts w:ascii="Palatino Linotype" w:eastAsia="Calibri" w:hAnsi="Palatino Linotype" w:cs="Tahoma"/>
          <w:b/>
          <w:bCs/>
        </w:rPr>
        <w:t>como regulador de las actividades económicas del Municipio, además de que permite identificar a las personas que acceden al servicio quién es el responsable del local.</w:t>
      </w:r>
    </w:p>
    <w:p w14:paraId="526FDE53" w14:textId="77777777" w:rsidR="00655724" w:rsidRPr="00655724" w:rsidRDefault="00655724" w:rsidP="00655724">
      <w:pPr>
        <w:spacing w:after="0" w:line="360" w:lineRule="auto"/>
        <w:ind w:right="-93"/>
        <w:rPr>
          <w:rFonts w:ascii="Palatino Linotype" w:eastAsia="Calibri" w:hAnsi="Palatino Linotype" w:cs="Tahoma"/>
          <w:bCs/>
        </w:rPr>
      </w:pPr>
    </w:p>
    <w:p w14:paraId="28B0FDB4"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14:paraId="2901BD48" w14:textId="77777777" w:rsidR="00655724" w:rsidRPr="00655724" w:rsidRDefault="00655724" w:rsidP="00655724">
      <w:pPr>
        <w:spacing w:after="0" w:line="360" w:lineRule="auto"/>
        <w:ind w:right="-93"/>
        <w:rPr>
          <w:rFonts w:ascii="Palatino Linotype" w:eastAsia="Calibri" w:hAnsi="Palatino Linotype" w:cs="Tahoma"/>
          <w:bCs/>
        </w:rPr>
      </w:pPr>
    </w:p>
    <w:p w14:paraId="42C7334C" w14:textId="23CBDC44"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lastRenderedPageBreak/>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w:t>
      </w:r>
      <w:r w:rsidR="005E3B41">
        <w:rPr>
          <w:rFonts w:ascii="Palatino Linotype" w:eastAsia="Calibri" w:hAnsi="Palatino Linotype" w:cs="Tahoma"/>
          <w:bCs/>
        </w:rPr>
        <w:t>de Toluca</w:t>
      </w:r>
      <w:r w:rsidRPr="00655724">
        <w:rPr>
          <w:rFonts w:ascii="Palatino Linotype" w:eastAsia="Calibri" w:hAnsi="Palatino Linotype" w:cs="Tahoma"/>
          <w:bCs/>
        </w:rPr>
        <w:t xml:space="preserve">, a través de la </w:t>
      </w:r>
      <w:r w:rsidR="00EA1710">
        <w:rPr>
          <w:rFonts w:ascii="Palatino Linotype" w:eastAsia="Calibri" w:hAnsi="Palatino Linotype" w:cs="Tahoma"/>
          <w:bCs/>
        </w:rPr>
        <w:t>Dirección General de Desarrollo Económico</w:t>
      </w:r>
      <w:r w:rsidRPr="00655724">
        <w:rPr>
          <w:rFonts w:ascii="Palatino Linotype" w:eastAsia="Calibri" w:hAnsi="Palatino Linotype" w:cs="Tahoma"/>
          <w:bCs/>
        </w:rPr>
        <w:t>,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6F07B0AA" w14:textId="77777777" w:rsidR="00655724" w:rsidRPr="00655724" w:rsidRDefault="00655724" w:rsidP="00655724">
      <w:pPr>
        <w:spacing w:after="0" w:line="360" w:lineRule="auto"/>
        <w:ind w:right="-93"/>
        <w:rPr>
          <w:rFonts w:ascii="Palatino Linotype" w:eastAsia="Calibri" w:hAnsi="Palatino Linotype" w:cs="Tahoma"/>
          <w:bCs/>
        </w:rPr>
      </w:pPr>
    </w:p>
    <w:p w14:paraId="15116398"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En otras palabras, se considera que sólo con la difusión del nombre del titular de las licencias de funcionamiento, se podrían aportar los elementos necesarios a la ciudadanía para conocer que cualquier establecimiento comercial cuenta con la autorización emitida por el Ayuntamiento.</w:t>
      </w:r>
    </w:p>
    <w:p w14:paraId="57267F2E" w14:textId="77777777" w:rsidR="00655724" w:rsidRPr="00655724" w:rsidRDefault="00655724" w:rsidP="00655724">
      <w:pPr>
        <w:spacing w:after="0" w:line="360" w:lineRule="auto"/>
        <w:ind w:right="-93"/>
        <w:rPr>
          <w:rFonts w:ascii="Palatino Linotype" w:eastAsia="Calibri" w:hAnsi="Palatino Linotype" w:cs="Tahoma"/>
          <w:bCs/>
        </w:rPr>
      </w:pPr>
    </w:p>
    <w:p w14:paraId="7AE9F40E"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mismo, para atender asuntos relacionados con este,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7C44AFF3" w14:textId="77777777" w:rsidR="00655724" w:rsidRPr="00655724" w:rsidRDefault="00655724" w:rsidP="00655724">
      <w:pPr>
        <w:spacing w:after="0" w:line="360" w:lineRule="auto"/>
        <w:ind w:right="-93"/>
        <w:rPr>
          <w:rFonts w:ascii="Palatino Linotype" w:eastAsia="Calibri" w:hAnsi="Palatino Linotype" w:cs="Tahoma"/>
          <w:bCs/>
        </w:rPr>
      </w:pPr>
    </w:p>
    <w:p w14:paraId="721EE8A6"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Times New Roman" w:hAnsi="Palatino Linotype" w:cs="Tahoma"/>
          <w:b/>
          <w:lang w:eastAsia="es-ES"/>
        </w:rPr>
        <w:lastRenderedPageBreak/>
        <w:t>c) Proporcionalidad en sentido estricto</w:t>
      </w:r>
      <w:r w:rsidRPr="00655724">
        <w:rPr>
          <w:rFonts w:ascii="Palatino Linotype" w:eastAsia="Times New Roman" w:hAnsi="Palatino Linotype" w:cs="Tahoma"/>
          <w:lang w:eastAsia="es-ES"/>
        </w:rPr>
        <w:t xml:space="preserve">. </w:t>
      </w:r>
      <w:r w:rsidRPr="00655724">
        <w:rPr>
          <w:rFonts w:ascii="Palatino Linotype" w:eastAsia="Calibri" w:hAnsi="Palatino Linotype" w:cs="Tahoma"/>
          <w:bC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26D00D63" w14:textId="77777777" w:rsidR="00655724" w:rsidRPr="00655724" w:rsidRDefault="00655724" w:rsidP="00655724">
      <w:pPr>
        <w:spacing w:after="0" w:line="360" w:lineRule="auto"/>
        <w:ind w:right="-93"/>
        <w:rPr>
          <w:rFonts w:ascii="Palatino Linotype" w:eastAsia="Calibri" w:hAnsi="Palatino Linotype" w:cs="Tahoma"/>
          <w:bCs/>
        </w:rPr>
      </w:pPr>
    </w:p>
    <w:p w14:paraId="169E43CB"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509B7865" w14:textId="77777777" w:rsidR="00655724" w:rsidRPr="00655724" w:rsidRDefault="00655724" w:rsidP="00655724">
      <w:pPr>
        <w:spacing w:after="0" w:line="360" w:lineRule="auto"/>
        <w:ind w:right="-93"/>
        <w:rPr>
          <w:rFonts w:ascii="Palatino Linotype" w:eastAsia="Calibri" w:hAnsi="Palatino Linotype" w:cs="Tahoma"/>
          <w:bCs/>
        </w:rPr>
      </w:pPr>
    </w:p>
    <w:p w14:paraId="776696A0" w14:textId="33E7DAC9" w:rsidR="00655724" w:rsidRPr="00655724" w:rsidRDefault="00655724" w:rsidP="00655724">
      <w:pPr>
        <w:widowControl w:val="0"/>
        <w:spacing w:after="0" w:line="360" w:lineRule="auto"/>
        <w:ind w:right="-91"/>
        <w:rPr>
          <w:rFonts w:ascii="Palatino Linotype" w:eastAsia="Calibri" w:hAnsi="Palatino Linotype" w:cs="Tahoma"/>
          <w:bCs/>
        </w:rPr>
      </w:pPr>
      <w:r w:rsidRPr="00655724">
        <w:rPr>
          <w:rFonts w:ascii="Palatino Linotype" w:eastAsia="Calibri" w:hAnsi="Palatino Linotype" w:cs="Tahoma"/>
          <w:bCs/>
        </w:rPr>
        <w:t xml:space="preserve">Conforme a lo anterior, el </w:t>
      </w:r>
      <w:r w:rsidRPr="00655724">
        <w:rPr>
          <w:rFonts w:ascii="Palatino Linotype" w:eastAsia="Times New Roman" w:hAnsi="Palatino Linotype" w:cs="Tahoma"/>
          <w:lang w:val="es-ES_tradnl" w:eastAsia="es-ES"/>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w:t>
      </w:r>
      <w:r w:rsidR="005E3B41">
        <w:rPr>
          <w:rFonts w:ascii="Palatino Linotype" w:eastAsia="Times New Roman" w:hAnsi="Palatino Linotype" w:cs="Tahoma"/>
          <w:lang w:val="es-ES_tradnl" w:eastAsia="es-ES"/>
        </w:rPr>
        <w:t>de Toluca</w:t>
      </w:r>
      <w:r w:rsidRPr="00655724">
        <w:rPr>
          <w:rFonts w:ascii="Palatino Linotype" w:eastAsia="Times New Roman" w:hAnsi="Palatino Linotype" w:cs="Tahoma"/>
          <w:lang w:val="es-ES_tradnl" w:eastAsia="es-ES"/>
        </w:rPr>
        <w:t xml:space="preserve"> y permite a los usuarios del local comercial identificar al responsable del mismo.</w:t>
      </w:r>
    </w:p>
    <w:p w14:paraId="35AD7375" w14:textId="77777777" w:rsidR="00655724" w:rsidRPr="00655724" w:rsidRDefault="00655724" w:rsidP="00655724">
      <w:pPr>
        <w:spacing w:after="0" w:line="360" w:lineRule="auto"/>
        <w:ind w:right="-93"/>
        <w:rPr>
          <w:rFonts w:ascii="Palatino Linotype" w:eastAsia="Calibri" w:hAnsi="Palatino Linotype" w:cs="Tahoma"/>
          <w:bCs/>
        </w:rPr>
      </w:pPr>
    </w:p>
    <w:p w14:paraId="5A3328BE" w14:textId="1B13EB3A" w:rsid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 xml:space="preserve">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Ente Recurrido, a través de la </w:t>
      </w:r>
      <w:r w:rsidR="00EA1710">
        <w:rPr>
          <w:rFonts w:ascii="Palatino Linotype" w:eastAsia="Calibri" w:hAnsi="Palatino Linotype" w:cs="Tahoma"/>
          <w:bCs/>
        </w:rPr>
        <w:t>Dirección General de Desarrollo Económico</w:t>
      </w:r>
      <w:r w:rsidRPr="00655724">
        <w:rPr>
          <w:rFonts w:ascii="Palatino Linotype" w:eastAsia="Calibri" w:hAnsi="Palatino Linotype" w:cs="Tahoma"/>
          <w:bCs/>
        </w:rPr>
        <w:t>, como regulador de cualquier actividad económica, comercial o industrial dentro de su territorio; lo anterior, conforme a la Ley Orgánica Municipal el Estado de México, la Ley de Competitividad y Ordenamiento Comercial del Estado de México y su Reglamento</w:t>
      </w:r>
      <w:r>
        <w:rPr>
          <w:rFonts w:ascii="Palatino Linotype" w:eastAsia="Calibri" w:hAnsi="Palatino Linotype" w:cs="Tahoma"/>
          <w:bCs/>
        </w:rPr>
        <w:t xml:space="preserve"> y</w:t>
      </w:r>
      <w:r w:rsidRPr="00655724">
        <w:rPr>
          <w:rFonts w:ascii="Palatino Linotype" w:eastAsia="Calibri" w:hAnsi="Palatino Linotype" w:cs="Tahoma"/>
          <w:bCs/>
        </w:rPr>
        <w:t xml:space="preserve"> el Bando Municipal </w:t>
      </w:r>
      <w:r w:rsidR="005E3B41">
        <w:rPr>
          <w:rFonts w:ascii="Palatino Linotype" w:eastAsia="Calibri" w:hAnsi="Palatino Linotype" w:cs="Tahoma"/>
          <w:bCs/>
        </w:rPr>
        <w:t>de Toluca</w:t>
      </w:r>
      <w:r>
        <w:rPr>
          <w:rFonts w:ascii="Palatino Linotype" w:eastAsia="Calibri" w:hAnsi="Palatino Linotype" w:cs="Tahoma"/>
          <w:bCs/>
        </w:rPr>
        <w:t>.</w:t>
      </w:r>
    </w:p>
    <w:p w14:paraId="77AEE7AC" w14:textId="77777777" w:rsidR="00655724" w:rsidRPr="00655724" w:rsidRDefault="00655724" w:rsidP="00655724">
      <w:pPr>
        <w:spacing w:after="0" w:line="360" w:lineRule="auto"/>
        <w:ind w:right="-93"/>
        <w:rPr>
          <w:rFonts w:ascii="Palatino Linotype" w:eastAsia="Calibri" w:hAnsi="Palatino Linotype" w:cs="Tahoma"/>
          <w:bCs/>
        </w:rPr>
      </w:pPr>
    </w:p>
    <w:p w14:paraId="0BFAABD9" w14:textId="77777777" w:rsidR="00655724" w:rsidRPr="00655724" w:rsidRDefault="00655724" w:rsidP="00655724">
      <w:pPr>
        <w:spacing w:after="0" w:line="360" w:lineRule="auto"/>
        <w:ind w:right="-93"/>
        <w:rPr>
          <w:rFonts w:ascii="Palatino Linotype" w:eastAsia="Calibri" w:hAnsi="Palatino Linotype" w:cs="Tahoma"/>
          <w:bCs/>
        </w:rPr>
      </w:pPr>
      <w:r w:rsidRPr="00655724">
        <w:rPr>
          <w:rFonts w:ascii="Palatino Linotype" w:eastAsia="Calibri" w:hAnsi="Palatino Linotype" w:cs="Tahoma"/>
          <w:bCs/>
        </w:rPr>
        <w:t xml:space="preserve">Por todo lo expuesto, </w:t>
      </w:r>
      <w:r w:rsidRPr="00655724">
        <w:rPr>
          <w:rFonts w:ascii="Palatino Linotype" w:eastAsia="Calibri" w:hAnsi="Palatino Linotype" w:cs="Tahoma"/>
          <w:b/>
          <w:bCs/>
        </w:rPr>
        <w:t>dar a conocer el nombre de los titulares de licencias, prevalece sobre la protección de los datos personales confidenciales de dichas personas, en razón del interés público que reviste;</w:t>
      </w:r>
      <w:r w:rsidRPr="00655724">
        <w:rPr>
          <w:rFonts w:ascii="Palatino Linotype" w:eastAsia="Calibri" w:hAnsi="Palatino Linotype" w:cs="Tahoma"/>
          <w:bCs/>
        </w:rPr>
        <w:t xml:space="preserve"> por lo que, no resulta aplicable, en el presente caso, el artículo 143, fracción I, de la Ley de Transparencia y Acceso a la Información Pública del Estado de México y Municipios.</w:t>
      </w:r>
      <w:r w:rsidR="00FD64BE">
        <w:rPr>
          <w:rFonts w:ascii="Palatino Linotype" w:eastAsia="Calibri" w:hAnsi="Palatino Linotype" w:cs="Tahoma"/>
          <w:bCs/>
        </w:rPr>
        <w:t xml:space="preserve"> Lo cual guarda relevancia, pues el Sujeto Obligado dejo visible el dato.</w:t>
      </w:r>
    </w:p>
    <w:p w14:paraId="2A9F48C6" w14:textId="77777777" w:rsidR="00655724" w:rsidRDefault="00655724" w:rsidP="00655724">
      <w:pPr>
        <w:spacing w:after="0" w:line="360" w:lineRule="auto"/>
        <w:rPr>
          <w:rFonts w:ascii="Palatino Linotype" w:eastAsia="Times New Roman" w:hAnsi="Palatino Linotype" w:cs="Tahoma"/>
          <w:lang w:val="es-ES" w:eastAsia="es-ES"/>
        </w:rPr>
      </w:pPr>
    </w:p>
    <w:p w14:paraId="3BB79C76" w14:textId="77777777" w:rsidR="00655724" w:rsidRPr="0024716D" w:rsidRDefault="0024716D" w:rsidP="0024716D">
      <w:pPr>
        <w:pStyle w:val="Prrafodelista"/>
        <w:numPr>
          <w:ilvl w:val="0"/>
          <w:numId w:val="21"/>
        </w:numPr>
        <w:spacing w:after="0" w:line="360" w:lineRule="auto"/>
        <w:ind w:right="-93"/>
        <w:rPr>
          <w:rFonts w:ascii="Palatino Linotype" w:eastAsia="Calibri" w:hAnsi="Palatino Linotype" w:cs="Tahoma"/>
          <w:b/>
          <w:lang w:val="es-ES"/>
        </w:rPr>
      </w:pPr>
      <w:r w:rsidRPr="0024716D">
        <w:rPr>
          <w:rFonts w:ascii="Palatino Linotype" w:eastAsia="Calibri" w:hAnsi="Palatino Linotype" w:cs="Tahoma"/>
          <w:b/>
          <w:bCs/>
        </w:rPr>
        <w:t>Nombre de representante legal</w:t>
      </w:r>
    </w:p>
    <w:p w14:paraId="0DFA2E1E" w14:textId="77777777" w:rsidR="00655724" w:rsidRPr="00655724" w:rsidRDefault="00655724" w:rsidP="0024716D">
      <w:pPr>
        <w:spacing w:after="0" w:line="360" w:lineRule="auto"/>
        <w:ind w:right="-93"/>
        <w:rPr>
          <w:rFonts w:ascii="Palatino Linotype" w:eastAsia="Calibri" w:hAnsi="Palatino Linotype" w:cs="Tahoma"/>
          <w:bCs/>
          <w:lang w:val="es-ES"/>
        </w:rPr>
      </w:pPr>
    </w:p>
    <w:p w14:paraId="51C7E0CE" w14:textId="77777777" w:rsidR="0024716D" w:rsidRPr="0024716D" w:rsidRDefault="0024716D" w:rsidP="0024716D">
      <w:pPr>
        <w:spacing w:after="0" w:line="360" w:lineRule="auto"/>
        <w:contextualSpacing/>
        <w:rPr>
          <w:rFonts w:ascii="Palatino Linotype" w:eastAsia="Times New Roman" w:hAnsi="Palatino Linotype" w:cs="Tahoma"/>
          <w:lang w:val="es-ES" w:eastAsia="es-ES"/>
        </w:rPr>
      </w:pPr>
      <w:r w:rsidRPr="0024716D">
        <w:rPr>
          <w:rFonts w:ascii="Palatino Linotype" w:eastAsia="Times New Roman" w:hAnsi="Palatino Linotype" w:cs="Tahoma"/>
          <w:lang w:val="es-ES" w:eastAsia="es-ES"/>
        </w:rPr>
        <w:t xml:space="preserve">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w:t>
      </w:r>
      <w:r>
        <w:rPr>
          <w:rFonts w:ascii="Palatino Linotype" w:eastAsia="Times New Roman" w:hAnsi="Palatino Linotype" w:cs="Tahoma"/>
          <w:lang w:val="es-ES" w:eastAsia="es-ES"/>
        </w:rPr>
        <w:t xml:space="preserve">aceptar y recibir una </w:t>
      </w:r>
      <w:r w:rsidRPr="0024716D">
        <w:rPr>
          <w:rFonts w:ascii="Palatino Linotype" w:eastAsia="Times New Roman" w:hAnsi="Palatino Linotype" w:cs="Tahoma"/>
          <w:lang w:val="es-ES" w:eastAsia="es-ES"/>
        </w:rPr>
        <w:t>Licencia de Funcionamiento</w:t>
      </w:r>
      <w:r>
        <w:rPr>
          <w:rFonts w:ascii="Palatino Linotype" w:eastAsia="Times New Roman" w:hAnsi="Palatino Linotype" w:cs="Tahoma"/>
          <w:lang w:val="es-ES" w:eastAsia="es-ES"/>
        </w:rPr>
        <w:t>, a nombre de la persona moral</w:t>
      </w:r>
      <w:r w:rsidRPr="0024716D">
        <w:rPr>
          <w:rFonts w:ascii="Palatino Linotype" w:eastAsia="Times New Roman" w:hAnsi="Palatino Linotype" w:cs="Tahoma"/>
          <w:lang w:val="es-ES" w:eastAsia="es-ES"/>
        </w:rPr>
        <w:t>.</w:t>
      </w:r>
    </w:p>
    <w:p w14:paraId="7C08299B" w14:textId="77777777" w:rsidR="0024716D" w:rsidRDefault="0024716D" w:rsidP="0024716D">
      <w:pPr>
        <w:spacing w:after="0" w:line="360" w:lineRule="auto"/>
        <w:contextualSpacing/>
        <w:rPr>
          <w:rFonts w:ascii="Palatino Linotype" w:eastAsia="Times New Roman" w:hAnsi="Palatino Linotype" w:cs="Tahoma"/>
          <w:lang w:val="es-ES" w:eastAsia="es-ES"/>
        </w:rPr>
      </w:pPr>
    </w:p>
    <w:p w14:paraId="6031194A" w14:textId="77777777" w:rsidR="0024716D" w:rsidRPr="0024716D" w:rsidRDefault="0024716D" w:rsidP="0024716D">
      <w:pPr>
        <w:spacing w:after="0" w:line="360" w:lineRule="auto"/>
        <w:contextualSpacing/>
        <w:rPr>
          <w:rFonts w:ascii="Palatino Linotype" w:eastAsia="Times New Roman" w:hAnsi="Palatino Linotype" w:cs="Tahoma"/>
          <w:lang w:val="es-ES" w:eastAsia="es-ES"/>
        </w:rPr>
      </w:pPr>
      <w:r w:rsidRPr="0024716D">
        <w:rPr>
          <w:rFonts w:ascii="Palatino Linotype" w:eastAsia="Times New Roman" w:hAnsi="Palatino Linotype" w:cs="Tahoma"/>
          <w:lang w:val="es-ES" w:eastAsia="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56A420FF" w14:textId="77777777" w:rsidR="0024716D" w:rsidRPr="0024716D" w:rsidRDefault="0024716D" w:rsidP="0024716D">
      <w:pPr>
        <w:spacing w:after="0" w:line="360" w:lineRule="auto"/>
        <w:contextualSpacing/>
        <w:rPr>
          <w:rFonts w:ascii="Palatino Linotype" w:eastAsia="Times New Roman" w:hAnsi="Palatino Linotype" w:cs="Tahoma"/>
          <w:lang w:val="es-ES" w:eastAsia="es-ES"/>
        </w:rPr>
      </w:pPr>
    </w:p>
    <w:p w14:paraId="7192ACCD" w14:textId="77777777" w:rsidR="0024716D" w:rsidRPr="0024716D" w:rsidRDefault="0024716D" w:rsidP="0024716D">
      <w:pPr>
        <w:spacing w:after="0" w:line="360" w:lineRule="auto"/>
        <w:contextualSpacing/>
        <w:rPr>
          <w:rFonts w:ascii="Palatino Linotype" w:eastAsia="Times New Roman" w:hAnsi="Palatino Linotype" w:cs="Tahoma"/>
          <w:lang w:val="es-ES" w:eastAsia="es-ES"/>
        </w:rPr>
      </w:pPr>
      <w:r w:rsidRPr="0024716D">
        <w:rPr>
          <w:rFonts w:ascii="Palatino Linotype" w:eastAsia="Times New Roman" w:hAnsi="Palatino Linotype" w:cs="Tahoma"/>
          <w:lang w:val="es-ES" w:eastAsia="es-ES"/>
        </w:rPr>
        <w:t>En esa tesitura, la representación de las personas morales se realizará por medio de representantes o apoderados, y en el caso específico de las sociedades mercantiles, dicha representación se otorgará mediante instrumento público.</w:t>
      </w:r>
    </w:p>
    <w:p w14:paraId="22FC3055" w14:textId="77777777" w:rsidR="0024716D" w:rsidRPr="0024716D" w:rsidRDefault="0024716D" w:rsidP="0024716D">
      <w:pPr>
        <w:spacing w:after="0" w:line="360" w:lineRule="auto"/>
        <w:contextualSpacing/>
        <w:rPr>
          <w:rFonts w:ascii="Palatino Linotype" w:eastAsia="Times New Roman" w:hAnsi="Palatino Linotype" w:cs="Tahoma"/>
          <w:lang w:val="es-ES" w:eastAsia="es-ES"/>
        </w:rPr>
      </w:pPr>
    </w:p>
    <w:p w14:paraId="3FD6EA18" w14:textId="77777777" w:rsidR="0024716D" w:rsidRPr="0024716D" w:rsidRDefault="0024716D" w:rsidP="0024716D">
      <w:pPr>
        <w:spacing w:after="0" w:line="360" w:lineRule="auto"/>
        <w:contextualSpacing/>
        <w:rPr>
          <w:rFonts w:ascii="Palatino Linotype" w:eastAsia="Times New Roman" w:hAnsi="Palatino Linotype" w:cs="Tahoma"/>
          <w:lang w:val="es-ES" w:eastAsia="es-ES"/>
        </w:rPr>
      </w:pPr>
      <w:r w:rsidRPr="0024716D">
        <w:rPr>
          <w:rFonts w:ascii="Palatino Linotype" w:eastAsia="Times New Roman" w:hAnsi="Palatino Linotype" w:cs="Tahoma"/>
          <w:lang w:val="es-ES" w:eastAsia="es-ES"/>
        </w:rPr>
        <w:lastRenderedPageBreak/>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32DF83EB" w14:textId="77777777" w:rsidR="0024716D" w:rsidRPr="0024716D" w:rsidRDefault="0024716D" w:rsidP="0024716D">
      <w:pPr>
        <w:spacing w:after="0" w:line="360" w:lineRule="auto"/>
        <w:contextualSpacing/>
        <w:rPr>
          <w:rFonts w:ascii="Palatino Linotype" w:eastAsia="Times New Roman" w:hAnsi="Palatino Linotype" w:cs="Tahoma"/>
          <w:lang w:val="es-ES" w:eastAsia="es-ES"/>
        </w:rPr>
      </w:pPr>
    </w:p>
    <w:p w14:paraId="43D4A91C" w14:textId="77777777" w:rsidR="0024716D" w:rsidRPr="0024716D" w:rsidRDefault="0024716D" w:rsidP="0024716D">
      <w:pPr>
        <w:spacing w:after="0" w:line="360" w:lineRule="auto"/>
        <w:contextualSpacing/>
        <w:rPr>
          <w:rFonts w:ascii="Palatino Linotype" w:eastAsia="Times New Roman" w:hAnsi="Palatino Linotype" w:cs="Tahoma"/>
          <w:lang w:val="es-ES" w:eastAsia="es-ES"/>
        </w:rPr>
      </w:pPr>
      <w:r w:rsidRPr="0024716D">
        <w:rPr>
          <w:rFonts w:ascii="Palatino Linotype" w:eastAsia="Times New Roman" w:hAnsi="Palatino Linotype" w:cs="Tahoma"/>
          <w:lang w:val="es-ES" w:eastAsia="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24716D">
        <w:rPr>
          <w:rFonts w:ascii="Palatino Linotype" w:eastAsia="Times New Roman" w:hAnsi="Palatino Linotype" w:cs="Tahoma"/>
          <w:b/>
          <w:lang w:val="es-ES" w:eastAsia="es-ES"/>
        </w:rPr>
        <w:t xml:space="preserve">es público, </w:t>
      </w:r>
      <w:r w:rsidRPr="0024716D">
        <w:rPr>
          <w:rFonts w:ascii="Palatino Linotype" w:eastAsia="Times New Roman" w:hAnsi="Palatino Linotype" w:cs="Tahoma"/>
          <w:lang w:val="es-ES" w:eastAsia="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50686FBD" w14:textId="77777777" w:rsidR="0024716D" w:rsidRDefault="0024716D" w:rsidP="0024716D">
      <w:pPr>
        <w:spacing w:after="0" w:line="360" w:lineRule="auto"/>
        <w:contextualSpacing/>
        <w:rPr>
          <w:rFonts w:ascii="Palatino Linotype" w:eastAsia="Times New Roman" w:hAnsi="Palatino Linotype" w:cs="Tahoma"/>
          <w:lang w:val="es-ES" w:eastAsia="es-ES"/>
        </w:rPr>
      </w:pPr>
    </w:p>
    <w:p w14:paraId="519373F6" w14:textId="791C3C39" w:rsidR="0024716D" w:rsidRPr="0024716D" w:rsidRDefault="0024716D" w:rsidP="0024716D">
      <w:pPr>
        <w:spacing w:after="0" w:line="360" w:lineRule="auto"/>
        <w:contextualSpacing/>
        <w:rPr>
          <w:rFonts w:ascii="Palatino Linotype" w:eastAsia="Times New Roman" w:hAnsi="Palatino Linotype" w:cs="Tahoma"/>
          <w:color w:val="000000"/>
          <w:lang w:val="es-ES" w:eastAsia="es-ES"/>
        </w:rPr>
      </w:pPr>
      <w:r w:rsidRPr="0024716D">
        <w:rPr>
          <w:rFonts w:ascii="Palatino Linotype" w:eastAsia="Times New Roman" w:hAnsi="Palatino Linotype" w:cs="Tahoma"/>
          <w:color w:val="000000"/>
          <w:lang w:val="es-ES" w:eastAsia="es-ES"/>
        </w:rPr>
        <w:t xml:space="preserve">Lo anterior, se robustece con el </w:t>
      </w:r>
      <w:r w:rsidRPr="0024716D">
        <w:rPr>
          <w:rFonts w:ascii="Palatino Linotype" w:eastAsia="Calibri" w:hAnsi="Palatino Linotype" w:cs="Tahoma"/>
          <w:bCs/>
          <w:iCs/>
          <w:color w:val="000000"/>
          <w:lang w:val="es-ES"/>
        </w:rPr>
        <w:t xml:space="preserve">Criterio </w:t>
      </w:r>
      <w:r w:rsidR="00EA1710">
        <w:rPr>
          <w:rFonts w:ascii="Palatino Linotype" w:eastAsia="Calibri" w:hAnsi="Palatino Linotype" w:cs="Tahoma"/>
          <w:bCs/>
          <w:iCs/>
          <w:color w:val="000000"/>
          <w:lang w:val="es-ES"/>
        </w:rPr>
        <w:t>Orientador</w:t>
      </w:r>
      <w:r w:rsidRPr="0024716D">
        <w:rPr>
          <w:rFonts w:ascii="Palatino Linotype" w:eastAsia="Calibri" w:hAnsi="Palatino Linotype" w:cs="Tahoma"/>
          <w:bCs/>
          <w:iCs/>
          <w:color w:val="000000"/>
          <w:lang w:val="es-ES"/>
        </w:rPr>
        <w:t xml:space="preserve">, de la Segunda Época, con clave de control </w:t>
      </w:r>
      <w:r w:rsidRPr="0024716D">
        <w:rPr>
          <w:rFonts w:ascii="Palatino Linotype" w:eastAsia="Calibri" w:hAnsi="Palatino Linotype" w:cs="Tahoma"/>
          <w:bCs/>
          <w:iCs/>
          <w:color w:val="000000"/>
        </w:rPr>
        <w:t xml:space="preserve">SO/001/2019, </w:t>
      </w:r>
      <w:r w:rsidRPr="0024716D">
        <w:rPr>
          <w:rFonts w:ascii="Palatino Linotype" w:eastAsia="Calibri" w:hAnsi="Palatino Linotype" w:cs="Tahoma"/>
          <w:bCs/>
          <w:iCs/>
          <w:color w:val="000000"/>
          <w:lang w:val="es-ES"/>
        </w:rPr>
        <w:t>emitido por el</w:t>
      </w:r>
      <w:r w:rsidR="00EA1710">
        <w:rPr>
          <w:rFonts w:ascii="Palatino Linotype" w:eastAsia="Calibri" w:hAnsi="Palatino Linotype" w:cs="Tahoma"/>
          <w:bCs/>
          <w:iCs/>
          <w:color w:val="000000"/>
          <w:lang w:val="es-ES"/>
        </w:rPr>
        <w:t xml:space="preserve"> entonces</w:t>
      </w:r>
      <w:r w:rsidRPr="0024716D">
        <w:rPr>
          <w:rFonts w:ascii="Palatino Linotype" w:eastAsia="Calibri" w:hAnsi="Palatino Linotype" w:cs="Tahoma"/>
          <w:bCs/>
          <w:iCs/>
          <w:color w:val="000000"/>
          <w:lang w:val="es-ES"/>
        </w:rPr>
        <w:t xml:space="preserve"> Instituto Nacional de Transparencia, Acceso a la Información y Protección de Datos Personales</w:t>
      </w:r>
      <w:r w:rsidRPr="0024716D">
        <w:rPr>
          <w:rFonts w:ascii="Palatino Linotype" w:eastAsia="Times New Roman" w:hAnsi="Palatino Linotype" w:cs="Tahoma"/>
          <w:color w:val="000000"/>
          <w:lang w:val="es-ES" w:eastAsia="es-ES"/>
        </w:rPr>
        <w:t>, que establece lo siguiente:</w:t>
      </w:r>
    </w:p>
    <w:p w14:paraId="20D47717" w14:textId="77777777" w:rsidR="0024716D" w:rsidRPr="0024716D" w:rsidRDefault="0024716D" w:rsidP="0024716D">
      <w:pPr>
        <w:spacing w:after="0" w:line="360" w:lineRule="auto"/>
        <w:contextualSpacing/>
        <w:rPr>
          <w:rFonts w:ascii="Palatino Linotype" w:eastAsia="Times New Roman" w:hAnsi="Palatino Linotype" w:cs="Tahoma"/>
          <w:color w:val="000000"/>
          <w:lang w:val="es-ES" w:eastAsia="es-ES"/>
        </w:rPr>
      </w:pPr>
    </w:p>
    <w:p w14:paraId="11E97537" w14:textId="77777777" w:rsidR="0024716D" w:rsidRPr="0024716D" w:rsidRDefault="0024716D" w:rsidP="0024716D">
      <w:pPr>
        <w:spacing w:after="0" w:line="360" w:lineRule="auto"/>
        <w:ind w:left="567" w:right="567"/>
        <w:contextualSpacing/>
        <w:rPr>
          <w:rFonts w:ascii="Palatino Linotype" w:eastAsia="Times New Roman" w:hAnsi="Palatino Linotype" w:cs="Tahoma"/>
          <w:i/>
          <w:color w:val="000000"/>
          <w:sz w:val="20"/>
          <w:szCs w:val="20"/>
          <w:lang w:val="es-ES" w:eastAsia="es-ES"/>
        </w:rPr>
      </w:pPr>
      <w:r w:rsidRPr="0024716D">
        <w:rPr>
          <w:rFonts w:ascii="Palatino Linotype" w:eastAsia="Times New Roman" w:hAnsi="Palatino Linotype" w:cs="Tahoma"/>
          <w:b/>
          <w:i/>
          <w:color w:val="000000"/>
          <w:sz w:val="20"/>
          <w:szCs w:val="20"/>
          <w:lang w:eastAsia="es-ES"/>
        </w:rPr>
        <w:t>“Datos de identificación del representante o apoderado legal.</w:t>
      </w:r>
      <w:r w:rsidRPr="0024716D">
        <w:rPr>
          <w:rFonts w:ascii="Palatino Linotype" w:eastAsia="Times New Roman" w:hAnsi="Palatino Linotype" w:cs="Tahoma"/>
          <w:i/>
          <w:color w:val="000000"/>
          <w:sz w:val="20"/>
          <w:szCs w:val="20"/>
          <w:lang w:eastAsia="es-ES"/>
        </w:rPr>
        <w:t xml:space="preserve"> </w:t>
      </w:r>
      <w:r w:rsidRPr="0024716D">
        <w:rPr>
          <w:rFonts w:ascii="Palatino Linotype" w:eastAsia="Times New Roman" w:hAnsi="Palatino Linotype" w:cs="Tahoma"/>
          <w:b/>
          <w:i/>
          <w:color w:val="000000"/>
          <w:sz w:val="20"/>
          <w:szCs w:val="20"/>
          <w:lang w:eastAsia="es-ES"/>
        </w:rPr>
        <w:t xml:space="preserve">Naturaleza jurídica. </w:t>
      </w:r>
      <w:r w:rsidRPr="0024716D">
        <w:rPr>
          <w:rFonts w:ascii="Palatino Linotype" w:eastAsia="Times New Roman" w:hAnsi="Palatino Linotype" w:cs="Tahoma"/>
          <w:i/>
          <w:color w:val="000000"/>
          <w:sz w:val="20"/>
          <w:szCs w:val="20"/>
          <w:lang w:eastAsia="es-E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44279E0" w14:textId="77777777" w:rsidR="0024716D" w:rsidRPr="0024716D" w:rsidRDefault="0024716D" w:rsidP="0024716D">
      <w:pPr>
        <w:spacing w:after="0" w:line="360" w:lineRule="auto"/>
        <w:contextualSpacing/>
        <w:rPr>
          <w:rFonts w:ascii="Palatino Linotype" w:eastAsia="Times New Roman" w:hAnsi="Palatino Linotype" w:cs="Tahoma"/>
          <w:lang w:val="es-ES" w:eastAsia="es-ES"/>
        </w:rPr>
      </w:pPr>
    </w:p>
    <w:p w14:paraId="454A575F" w14:textId="77777777" w:rsidR="0024716D" w:rsidRDefault="0024716D" w:rsidP="0024716D">
      <w:pPr>
        <w:spacing w:after="0" w:line="360" w:lineRule="auto"/>
        <w:contextualSpacing/>
        <w:rPr>
          <w:rFonts w:ascii="Palatino Linotype" w:eastAsia="Times New Roman" w:hAnsi="Palatino Linotype" w:cs="Tahoma"/>
          <w:lang w:val="es-ES" w:eastAsia="es-ES"/>
        </w:rPr>
      </w:pPr>
      <w:r w:rsidRPr="0024716D">
        <w:rPr>
          <w:rFonts w:ascii="Palatino Linotype" w:eastAsia="Times New Roman" w:hAnsi="Palatino Linotype" w:cs="Tahoma"/>
          <w:lang w:val="es-ES" w:eastAsia="es-ES"/>
        </w:rPr>
        <w:t xml:space="preserve">Ante tales situaciones, el nombre del representante legal, de una persona jurídica colectiva a la cual se le emitió </w:t>
      </w:r>
      <w:r w:rsidR="00180D97">
        <w:rPr>
          <w:rFonts w:ascii="Palatino Linotype" w:eastAsia="Times New Roman" w:hAnsi="Palatino Linotype" w:cs="Tahoma"/>
          <w:lang w:val="es-ES" w:eastAsia="es-ES"/>
        </w:rPr>
        <w:t>una Licencia de Funcionamiento</w:t>
      </w:r>
      <w:r w:rsidRPr="0024716D">
        <w:rPr>
          <w:rFonts w:ascii="Palatino Linotype" w:eastAsia="Times New Roman" w:hAnsi="Palatino Linotype" w:cs="Tahoma"/>
          <w:lang w:val="es-ES" w:eastAsia="es-ES"/>
        </w:rPr>
        <w:t>, no es susceptible de ser clasificado como confidencial, en términos del artículo 143, fracción I</w:t>
      </w:r>
      <w:r>
        <w:rPr>
          <w:rFonts w:ascii="Palatino Linotype" w:eastAsia="Times New Roman" w:hAnsi="Palatino Linotype" w:cs="Tahoma"/>
          <w:lang w:val="es-ES" w:eastAsia="es-ES"/>
        </w:rPr>
        <w:t>,</w:t>
      </w:r>
      <w:r w:rsidRPr="0024716D">
        <w:rPr>
          <w:rFonts w:ascii="Palatino Linotype" w:eastAsia="Times New Roman" w:hAnsi="Palatino Linotype" w:cs="Tahoma"/>
          <w:lang w:val="es-ES" w:eastAsia="es-ES"/>
        </w:rPr>
        <w:t xml:space="preserve"> de la Ley Federal de Transparencia y Acceso a la Información Pública.</w:t>
      </w:r>
    </w:p>
    <w:p w14:paraId="5006BEE9" w14:textId="77777777" w:rsidR="0024716D" w:rsidRDefault="0024716D" w:rsidP="0024716D">
      <w:pPr>
        <w:spacing w:after="0" w:line="360" w:lineRule="auto"/>
        <w:contextualSpacing/>
        <w:rPr>
          <w:rFonts w:ascii="Palatino Linotype" w:eastAsia="Times New Roman" w:hAnsi="Palatino Linotype" w:cs="Tahoma"/>
          <w:lang w:val="es-ES" w:eastAsia="es-ES"/>
        </w:rPr>
      </w:pPr>
    </w:p>
    <w:p w14:paraId="422F53DB" w14:textId="77777777" w:rsidR="000C664B" w:rsidRDefault="000C664B" w:rsidP="000C664B">
      <w:pPr>
        <w:spacing w:after="0" w:line="360" w:lineRule="auto"/>
        <w:ind w:right="-93"/>
        <w:rPr>
          <w:rFonts w:ascii="Palatino Linotype" w:eastAsia="Calibri" w:hAnsi="Palatino Linotype" w:cs="Tahoma"/>
          <w:b/>
          <w:bCs/>
        </w:rPr>
      </w:pPr>
      <w:r>
        <w:rPr>
          <w:rFonts w:ascii="Palatino Linotype" w:eastAsia="Calibri" w:hAnsi="Palatino Linotype" w:cs="Tahoma"/>
          <w:b/>
          <w:bCs/>
        </w:rPr>
        <w:t>Persona Jurídico-Colectiva.</w:t>
      </w:r>
    </w:p>
    <w:p w14:paraId="2CB0DBC4" w14:textId="77777777" w:rsidR="000C664B" w:rsidRDefault="000C664B" w:rsidP="000C664B">
      <w:pPr>
        <w:spacing w:after="0" w:line="360" w:lineRule="auto"/>
        <w:ind w:right="-93"/>
        <w:rPr>
          <w:rFonts w:ascii="Palatino Linotype" w:eastAsia="Calibri" w:hAnsi="Palatino Linotype" w:cs="Tahoma"/>
          <w:b/>
          <w:bCs/>
        </w:rPr>
      </w:pPr>
    </w:p>
    <w:p w14:paraId="17EBB490" w14:textId="77777777" w:rsidR="000C664B" w:rsidRDefault="000C664B" w:rsidP="000C664B">
      <w:pPr>
        <w:spacing w:after="0" w:line="360" w:lineRule="auto"/>
        <w:rPr>
          <w:rFonts w:ascii="Palatino Linotype" w:eastAsia="Calibri" w:hAnsi="Palatino Linotype" w:cs="Tahoma"/>
          <w:bCs/>
        </w:rPr>
      </w:pPr>
      <w:r>
        <w:rPr>
          <w:rFonts w:ascii="Palatino Linotype" w:eastAsia="Calibri" w:hAnsi="Palatino Linotype" w:cs="Tahoma"/>
          <w:bCs/>
        </w:rPr>
        <w:t>Al respecto, se considera que la denominación o razón social de una persona moral, es pública, pues dichos datos se encuentran inscritos en el Registro Público del Comercio; lo anterior, toma sustento en el Criterio de interpretación, con clave de control SO/008/2019, de la Segunda Época, emitido por el Pleno del Instituto Nacional de Transparencia, Acceso a la Información y Protección de Datos Personales, el cual establece lo siguiente:</w:t>
      </w:r>
    </w:p>
    <w:p w14:paraId="487AC14B" w14:textId="77777777" w:rsidR="000C664B" w:rsidRDefault="000C664B" w:rsidP="000C664B">
      <w:pPr>
        <w:spacing w:after="0" w:line="360" w:lineRule="auto"/>
        <w:rPr>
          <w:rFonts w:ascii="Palatino Linotype" w:eastAsia="Calibri" w:hAnsi="Palatino Linotype" w:cs="Tahoma"/>
          <w:bCs/>
        </w:rPr>
      </w:pPr>
    </w:p>
    <w:p w14:paraId="285630F1" w14:textId="77777777" w:rsidR="000C664B" w:rsidRDefault="000C664B" w:rsidP="000C664B">
      <w:pPr>
        <w:spacing w:after="0" w:line="360" w:lineRule="auto"/>
        <w:ind w:left="567" w:right="567"/>
        <w:rPr>
          <w:rFonts w:ascii="Palatino Linotype" w:eastAsia="Calibri" w:hAnsi="Palatino Linotype" w:cs="Tahoma"/>
          <w:bCs/>
          <w:i/>
          <w:sz w:val="20"/>
          <w:szCs w:val="20"/>
        </w:rPr>
      </w:pPr>
      <w:r>
        <w:rPr>
          <w:rFonts w:ascii="Palatino Linotype" w:eastAsia="Calibri" w:hAnsi="Palatino Linotype" w:cs="Tahoma"/>
          <w:b/>
          <w:bCs/>
          <w:i/>
          <w:sz w:val="20"/>
          <w:szCs w:val="20"/>
        </w:rPr>
        <w:t xml:space="preserve">“Razón social y RFC de personas morales. </w:t>
      </w:r>
      <w:r>
        <w:rPr>
          <w:rFonts w:ascii="Palatino Linotype" w:eastAsia="Calibri" w:hAnsi="Palatino Linotype" w:cs="Tahoma"/>
          <w:bCs/>
          <w:i/>
          <w:sz w:val="20"/>
          <w:szCs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DA04719" w14:textId="77777777" w:rsidR="000C664B" w:rsidRDefault="000C664B" w:rsidP="000C664B">
      <w:pPr>
        <w:spacing w:after="0" w:line="360" w:lineRule="auto"/>
        <w:rPr>
          <w:rFonts w:ascii="Palatino Linotype" w:eastAsia="Calibri" w:hAnsi="Palatino Linotype" w:cs="Tahoma"/>
          <w:b/>
          <w:bCs/>
        </w:rPr>
      </w:pPr>
    </w:p>
    <w:p w14:paraId="58D450BD" w14:textId="77777777" w:rsidR="000C664B" w:rsidRDefault="000C664B" w:rsidP="000C664B">
      <w:pPr>
        <w:spacing w:after="0" w:line="360" w:lineRule="auto"/>
        <w:rPr>
          <w:rFonts w:ascii="Palatino Linotype" w:eastAsia="Calibri" w:hAnsi="Palatino Linotype" w:cs="Tahoma"/>
          <w:bCs/>
          <w:lang w:val="es-ES_tradnl"/>
        </w:rPr>
      </w:pPr>
      <w:r>
        <w:rPr>
          <w:rFonts w:ascii="Palatino Linotype" w:eastAsia="Calibri" w:hAnsi="Palatino Linotype" w:cs="Tahoma"/>
          <w:bCs/>
        </w:rPr>
        <w:t xml:space="preserve">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w:t>
      </w:r>
      <w:r>
        <w:rPr>
          <w:rFonts w:ascii="Palatino Linotype" w:eastAsia="Calibri" w:hAnsi="Palatino Linotype" w:cs="Tahoma"/>
          <w:bCs/>
          <w:lang w:val="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den de difundir los sujetos obligados en los portales de Internet y en la Plataforma Nacional de Transparencia –Lineamientos técnicos generales-, tal como se observa a continuación:</w:t>
      </w:r>
    </w:p>
    <w:p w14:paraId="642A4783" w14:textId="77777777" w:rsidR="000C664B" w:rsidRDefault="000C664B" w:rsidP="000C664B">
      <w:pPr>
        <w:spacing w:after="0" w:line="360" w:lineRule="auto"/>
        <w:rPr>
          <w:rFonts w:ascii="Palatino Linotype" w:eastAsia="Calibri" w:hAnsi="Palatino Linotype" w:cs="Tahoma"/>
          <w:bCs/>
          <w:lang w:val="es-ES_tradnl"/>
        </w:rPr>
      </w:pPr>
    </w:p>
    <w:p w14:paraId="45065929" w14:textId="00DA0FEA" w:rsidR="000C664B" w:rsidRDefault="000C664B" w:rsidP="000C664B">
      <w:pPr>
        <w:spacing w:after="0" w:line="360" w:lineRule="auto"/>
        <w:rPr>
          <w:rFonts w:ascii="Palatino Linotype" w:eastAsia="Calibri" w:hAnsi="Palatino Linotype" w:cs="Tahoma"/>
          <w:bCs/>
          <w:lang w:val="es-ES_tradnl"/>
        </w:rPr>
      </w:pPr>
      <w:r>
        <w:rPr>
          <w:noProof/>
          <w:lang w:eastAsia="es-MX"/>
        </w:rPr>
        <w:lastRenderedPageBreak/>
        <mc:AlternateContent>
          <mc:Choice Requires="wps">
            <w:drawing>
              <wp:anchor distT="0" distB="0" distL="114300" distR="114300" simplePos="0" relativeHeight="251659264" behindDoc="0" locked="0" layoutInCell="1" allowOverlap="1" wp14:anchorId="65B829F4" wp14:editId="0766766E">
                <wp:simplePos x="0" y="0"/>
                <wp:positionH relativeFrom="column">
                  <wp:posOffset>3849370</wp:posOffset>
                </wp:positionH>
                <wp:positionV relativeFrom="paragraph">
                  <wp:posOffset>774700</wp:posOffset>
                </wp:positionV>
                <wp:extent cx="933450" cy="457200"/>
                <wp:effectExtent l="19050" t="19050" r="38100" b="38100"/>
                <wp:wrapNone/>
                <wp:docPr id="10" name="Rectángulo 2"/>
                <wp:cNvGraphicFramePr/>
                <a:graphic xmlns:a="http://schemas.openxmlformats.org/drawingml/2006/main">
                  <a:graphicData uri="http://schemas.microsoft.com/office/word/2010/wordprocessingShape">
                    <wps:wsp>
                      <wps:cNvSpPr/>
                      <wps:spPr>
                        <a:xfrm>
                          <a:off x="0" y="0"/>
                          <a:ext cx="933450" cy="457200"/>
                        </a:xfrm>
                        <a:prstGeom prst="rect">
                          <a:avLst/>
                        </a:prstGeom>
                        <a:noFill/>
                        <a:ln w="571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F1447D7" id="Rectángulo 2" o:spid="_x0000_s1026" style="position:absolute;margin-left:303.1pt;margin-top:61pt;width:7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" filled="f" strokecolor="windowText" strokeweight="4.5pt"/>
            </w:pict>
          </mc:Fallback>
        </mc:AlternateContent>
      </w:r>
      <w:r>
        <w:rPr>
          <w:rFonts w:ascii="Times New Roman" w:eastAsia="Times New Roman" w:hAnsi="Times New Roman" w:cs="Times New Roman"/>
          <w:noProof/>
          <w:sz w:val="20"/>
          <w:szCs w:val="20"/>
          <w:lang w:eastAsia="es-MX"/>
        </w:rPr>
        <w:drawing>
          <wp:inline distT="0" distB="0" distL="0" distR="0" wp14:anchorId="652E7444" wp14:editId="2B55A501">
            <wp:extent cx="5743575" cy="1371600"/>
            <wp:effectExtent l="0" t="0" r="9525" b="0"/>
            <wp:docPr id="4772331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1371600"/>
                    </a:xfrm>
                    <a:prstGeom prst="rect">
                      <a:avLst/>
                    </a:prstGeom>
                    <a:noFill/>
                    <a:ln>
                      <a:noFill/>
                    </a:ln>
                  </pic:spPr>
                </pic:pic>
              </a:graphicData>
            </a:graphic>
          </wp:inline>
        </w:drawing>
      </w:r>
    </w:p>
    <w:p w14:paraId="1F975B4E" w14:textId="77777777" w:rsidR="000C664B" w:rsidRDefault="000C664B" w:rsidP="000C664B">
      <w:pPr>
        <w:spacing w:after="0" w:line="360" w:lineRule="auto"/>
        <w:rPr>
          <w:rFonts w:ascii="Palatino Linotype" w:eastAsia="Calibri" w:hAnsi="Palatino Linotype" w:cs="Tahoma"/>
          <w:bCs/>
          <w:lang w:val="es-ES_tradnl"/>
        </w:rPr>
      </w:pPr>
    </w:p>
    <w:p w14:paraId="0C9677E9" w14:textId="77777777" w:rsidR="000C664B" w:rsidRDefault="000C664B" w:rsidP="000C664B">
      <w:pPr>
        <w:spacing w:after="0" w:line="360" w:lineRule="auto"/>
        <w:rPr>
          <w:rFonts w:ascii="Palatino Linotype" w:eastAsia="Calibri" w:hAnsi="Palatino Linotype" w:cs="Tahoma"/>
          <w:bCs/>
          <w:lang w:val="es-ES_tradnl"/>
        </w:rPr>
      </w:pPr>
      <w:r>
        <w:rPr>
          <w:rFonts w:ascii="Palatino Linotype" w:eastAsia="Calibri" w:hAnsi="Palatino Linotype" w:cs="Tahoma"/>
          <w:bCs/>
          <w:lang w:val="es-ES_tradnl"/>
        </w:rPr>
        <w:t xml:space="preserve">Por lo tanto, </w:t>
      </w:r>
      <w:r>
        <w:rPr>
          <w:rFonts w:ascii="Palatino Linotype" w:eastAsia="Calibri" w:hAnsi="Palatino Linotype" w:cs="Tahoma"/>
          <w:b/>
          <w:bCs/>
          <w:lang w:val="es-ES_tradnl"/>
        </w:rPr>
        <w:t>no procede la clasificación del nombre de las personas morales localizadas en las licencias de funcionamiento</w:t>
      </w:r>
      <w:r>
        <w:rPr>
          <w:rFonts w:ascii="Palatino Linotype" w:eastAsia="Calibri" w:hAnsi="Palatino Linotype" w:cs="Tahoma"/>
          <w:bCs/>
          <w:lang w:val="es-ES_tradnl"/>
        </w:rPr>
        <w:t>, en términos del artículo 143, fracción I de la Ley de Transparencia y Acceso a la Información Pública del Estado de México y Municipios; situación que se robustece, con el hecho de que permite corroborar que la exhibida en el establecimiento comercial, fue emitida efectivamente por la autoridad competente y que su titular corresponde al establecimiento en cuestión.</w:t>
      </w:r>
    </w:p>
    <w:p w14:paraId="0382DE72" w14:textId="77777777" w:rsidR="000C664B" w:rsidRDefault="000C664B" w:rsidP="000C664B">
      <w:pPr>
        <w:spacing w:after="0" w:line="360" w:lineRule="auto"/>
        <w:rPr>
          <w:rFonts w:ascii="Palatino Linotype" w:eastAsia="Calibri" w:hAnsi="Palatino Linotype" w:cs="Tahoma"/>
          <w:bCs/>
        </w:rPr>
      </w:pPr>
    </w:p>
    <w:p w14:paraId="4E9C62C0" w14:textId="77777777" w:rsidR="000C664B" w:rsidRDefault="000C664B" w:rsidP="000C664B">
      <w:pPr>
        <w:numPr>
          <w:ilvl w:val="0"/>
          <w:numId w:val="26"/>
        </w:numPr>
        <w:spacing w:line="360" w:lineRule="auto"/>
        <w:ind w:right="-93"/>
        <w:contextualSpacing/>
        <w:rPr>
          <w:rFonts w:ascii="Palatino Linotype" w:eastAsia="Calibri" w:hAnsi="Palatino Linotype" w:cs="Tahoma"/>
          <w:b/>
          <w:bCs/>
        </w:rPr>
      </w:pPr>
      <w:r>
        <w:rPr>
          <w:rFonts w:ascii="Palatino Linotype" w:eastAsia="Calibri" w:hAnsi="Palatino Linotype" w:cs="Tahoma"/>
          <w:b/>
          <w:bCs/>
        </w:rPr>
        <w:t>Registro Federal de Contribuyentes (RFC)</w:t>
      </w:r>
    </w:p>
    <w:p w14:paraId="60854773" w14:textId="77777777" w:rsidR="000C664B" w:rsidRDefault="000C664B" w:rsidP="000C664B">
      <w:pPr>
        <w:spacing w:after="0" w:line="360" w:lineRule="auto"/>
        <w:ind w:right="-93"/>
        <w:rPr>
          <w:rFonts w:ascii="Palatino Linotype" w:eastAsia="Calibri" w:hAnsi="Palatino Linotype" w:cs="Tahoma"/>
          <w:bCs/>
        </w:rPr>
      </w:pPr>
    </w:p>
    <w:p w14:paraId="7412EF99" w14:textId="77777777" w:rsidR="000C664B" w:rsidRDefault="000C664B" w:rsidP="000C664B">
      <w:pPr>
        <w:spacing w:after="0" w:line="360" w:lineRule="auto"/>
        <w:ind w:right="-93"/>
        <w:rPr>
          <w:rFonts w:ascii="Palatino Linotype" w:eastAsia="Calibri" w:hAnsi="Palatino Linotype" w:cs="Tahoma"/>
          <w:b/>
          <w:bCs/>
        </w:rPr>
      </w:pPr>
      <w:r>
        <w:rPr>
          <w:rFonts w:ascii="Palatino Linotype" w:eastAsia="Calibri" w:hAnsi="Palatino Linotype" w:cs="Tahoma"/>
          <w:b/>
          <w:bCs/>
        </w:rPr>
        <w:t>Persona física.</w:t>
      </w:r>
    </w:p>
    <w:p w14:paraId="157EC535" w14:textId="77777777" w:rsidR="000C664B" w:rsidRDefault="000C664B" w:rsidP="000C664B">
      <w:pPr>
        <w:spacing w:after="0" w:line="360" w:lineRule="auto"/>
        <w:ind w:right="-93"/>
        <w:rPr>
          <w:rFonts w:ascii="Palatino Linotype" w:eastAsia="Calibri" w:hAnsi="Palatino Linotype" w:cs="Tahoma"/>
          <w:bCs/>
        </w:rPr>
      </w:pPr>
    </w:p>
    <w:p w14:paraId="3B604936" w14:textId="77777777" w:rsidR="000C664B" w:rsidRDefault="000C664B" w:rsidP="000C664B">
      <w:pPr>
        <w:spacing w:line="360" w:lineRule="auto"/>
        <w:contextualSpacing/>
        <w:rPr>
          <w:rFonts w:ascii="Palatino Linotype" w:eastAsia="Times New Roman" w:hAnsi="Palatino Linotype" w:cs="Tahoma"/>
          <w:lang w:eastAsia="es-MX"/>
        </w:rPr>
      </w:pPr>
      <w:r>
        <w:rPr>
          <w:rFonts w:ascii="Palatino Linotype" w:eastAsia="Times New Roman" w:hAnsi="Palatino Linotype" w:cs="Tahoma"/>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7E576FA" w14:textId="77777777" w:rsidR="000C664B" w:rsidRDefault="000C664B" w:rsidP="000C664B">
      <w:pPr>
        <w:spacing w:line="360" w:lineRule="auto"/>
        <w:contextualSpacing/>
        <w:rPr>
          <w:rFonts w:ascii="Palatino Linotype" w:eastAsia="Times New Roman" w:hAnsi="Palatino Linotype" w:cs="Tahoma"/>
          <w:lang w:eastAsia="es-MX"/>
        </w:rPr>
      </w:pPr>
    </w:p>
    <w:p w14:paraId="39125745" w14:textId="77777777" w:rsidR="000C664B" w:rsidRDefault="000C664B" w:rsidP="000C664B">
      <w:pPr>
        <w:widowControl w:val="0"/>
        <w:spacing w:line="360" w:lineRule="auto"/>
        <w:contextualSpacing/>
        <w:rPr>
          <w:rFonts w:ascii="Palatino Linotype" w:eastAsia="Times New Roman" w:hAnsi="Palatino Linotype" w:cs="Tahoma"/>
          <w:lang w:eastAsia="es-MX"/>
        </w:rPr>
      </w:pPr>
      <w:r>
        <w:rPr>
          <w:rFonts w:ascii="Palatino Linotype" w:eastAsia="Times New Roman" w:hAnsi="Palatino Linotype" w:cs="Tahoma"/>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Pr>
          <w:rFonts w:ascii="Palatino Linotype" w:eastAsia="Times New Roman" w:hAnsi="Palatino Linotype" w:cs="Tahoma"/>
          <w:lang w:eastAsia="es-MX"/>
        </w:rPr>
        <w:t>homoclave</w:t>
      </w:r>
      <w:proofErr w:type="spellEnd"/>
      <w:r>
        <w:rPr>
          <w:rFonts w:ascii="Palatino Linotype" w:eastAsia="Times New Roman" w:hAnsi="Palatino Linotype" w:cs="Tahoma"/>
          <w:lang w:eastAsia="es-MX"/>
        </w:rPr>
        <w:t xml:space="preserve"> que establece el sistema automático del Servicio de Administración </w:t>
      </w:r>
      <w:r>
        <w:rPr>
          <w:rFonts w:ascii="Palatino Linotype" w:eastAsia="Times New Roman" w:hAnsi="Palatino Linotype" w:cs="Tahoma"/>
          <w:lang w:eastAsia="es-MX"/>
        </w:rPr>
        <w:lastRenderedPageBreak/>
        <w:t>Tributaria.</w:t>
      </w:r>
    </w:p>
    <w:p w14:paraId="0FAAD50D" w14:textId="77777777" w:rsidR="000C664B" w:rsidRDefault="000C664B" w:rsidP="000C664B">
      <w:pPr>
        <w:spacing w:line="360" w:lineRule="auto"/>
        <w:contextualSpacing/>
        <w:rPr>
          <w:rFonts w:ascii="Palatino Linotype" w:eastAsia="Times New Roman" w:hAnsi="Palatino Linotype" w:cs="Tahoma"/>
          <w:lang w:eastAsia="es-MX"/>
        </w:rPr>
      </w:pPr>
    </w:p>
    <w:p w14:paraId="27BC052D" w14:textId="77777777" w:rsidR="000C664B" w:rsidRDefault="000C664B" w:rsidP="000C664B">
      <w:pPr>
        <w:spacing w:line="360" w:lineRule="auto"/>
        <w:contextualSpacing/>
        <w:rPr>
          <w:rFonts w:ascii="Palatino Linotype" w:eastAsia="Times New Roman" w:hAnsi="Palatino Linotype" w:cs="Tahoma"/>
          <w:lang w:eastAsia="es-MX"/>
        </w:rPr>
      </w:pPr>
      <w:r>
        <w:rPr>
          <w:rFonts w:ascii="Palatino Linotype" w:eastAsia="Times New Roman" w:hAnsi="Palatino Linotype" w:cs="Tahoma"/>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31F64B0" w14:textId="77777777" w:rsidR="000C664B" w:rsidRDefault="000C664B" w:rsidP="000C664B">
      <w:pPr>
        <w:spacing w:line="360" w:lineRule="auto"/>
        <w:contextualSpacing/>
        <w:rPr>
          <w:rFonts w:ascii="Palatino Linotype" w:eastAsia="Times New Roman" w:hAnsi="Palatino Linotype" w:cs="Tahoma"/>
          <w:lang w:eastAsia="es-MX"/>
        </w:rPr>
      </w:pPr>
    </w:p>
    <w:p w14:paraId="1666AFDF" w14:textId="77777777" w:rsidR="000C664B" w:rsidRDefault="000C664B" w:rsidP="000C664B">
      <w:pPr>
        <w:spacing w:line="360" w:lineRule="auto"/>
        <w:contextualSpacing/>
        <w:rPr>
          <w:rFonts w:ascii="Palatino Linotype" w:eastAsia="Times New Roman" w:hAnsi="Palatino Linotype" w:cs="Tahoma"/>
          <w:lang w:eastAsia="es-MX"/>
        </w:rPr>
      </w:pPr>
      <w:r>
        <w:rPr>
          <w:rFonts w:ascii="Palatino Linotype" w:eastAsia="Times New Roman" w:hAnsi="Palatino Linotype" w:cs="Tahoma"/>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C75C245" w14:textId="77777777" w:rsidR="000C664B" w:rsidRDefault="000C664B" w:rsidP="000C664B">
      <w:pPr>
        <w:spacing w:line="360" w:lineRule="auto"/>
        <w:contextualSpacing/>
        <w:rPr>
          <w:rFonts w:ascii="Palatino Linotype" w:eastAsia="Times New Roman" w:hAnsi="Palatino Linotype" w:cs="Tahoma"/>
          <w:lang w:eastAsia="es-MX"/>
        </w:rPr>
      </w:pPr>
    </w:p>
    <w:p w14:paraId="4CAABD1D" w14:textId="144FFC63" w:rsidR="000C664B" w:rsidRDefault="000C664B" w:rsidP="000C664B">
      <w:pPr>
        <w:widowControl w:val="0"/>
        <w:spacing w:after="0" w:line="360" w:lineRule="auto"/>
        <w:rPr>
          <w:rFonts w:ascii="Palatino Linotype" w:eastAsia="Calibri" w:hAnsi="Palatino Linotype" w:cs="Tahoma"/>
          <w:bCs/>
          <w:lang w:eastAsia="es-MX"/>
        </w:rPr>
      </w:pPr>
      <w:r>
        <w:rPr>
          <w:rFonts w:ascii="Palatino Linotype" w:eastAsia="Calibri" w:hAnsi="Palatino Linotype" w:cs="Tahoma"/>
          <w:bCs/>
          <w:lang w:eastAsia="es-MX"/>
        </w:rPr>
        <w:t>Lo anterior, resulta congruente con el Criterio Orientador, con clave de control SO/019/2017 emitido por el entonces Instituto Nacional de Transparencia, Acceso a la Información y Protección de Datos Personales, en el cual se señala lo siguiente:</w:t>
      </w:r>
    </w:p>
    <w:p w14:paraId="4D25D8AD" w14:textId="77777777" w:rsidR="000C664B" w:rsidRDefault="000C664B" w:rsidP="000C664B">
      <w:pPr>
        <w:spacing w:line="360" w:lineRule="auto"/>
        <w:contextualSpacing/>
        <w:rPr>
          <w:rFonts w:ascii="Palatino Linotype" w:eastAsia="Times New Roman" w:hAnsi="Palatino Linotype" w:cs="Tahoma"/>
          <w:sz w:val="20"/>
          <w:szCs w:val="20"/>
          <w:lang w:eastAsia="es-MX"/>
        </w:rPr>
      </w:pPr>
    </w:p>
    <w:p w14:paraId="3FF64834" w14:textId="77777777" w:rsidR="000C664B" w:rsidRDefault="000C664B" w:rsidP="000C664B">
      <w:pPr>
        <w:spacing w:after="0" w:line="360" w:lineRule="auto"/>
        <w:ind w:left="567" w:right="567"/>
        <w:contextualSpacing/>
        <w:rPr>
          <w:rFonts w:ascii="Palatino Linotype" w:eastAsia="Times New Roman" w:hAnsi="Palatino Linotype" w:cs="Tahoma"/>
          <w:i/>
          <w:sz w:val="20"/>
          <w:szCs w:val="20"/>
          <w:lang w:eastAsia="es-ES"/>
        </w:rPr>
      </w:pPr>
      <w:r>
        <w:rPr>
          <w:rFonts w:ascii="Palatino Linotype" w:eastAsia="Times New Roman" w:hAnsi="Palatino Linotype" w:cs="Tahoma"/>
          <w:b/>
          <w:i/>
          <w:sz w:val="20"/>
          <w:szCs w:val="20"/>
          <w:lang w:eastAsia="es-ES"/>
        </w:rPr>
        <w:t>“Registro Federal de Contribuyentes (RFC) de personas físicas.</w:t>
      </w:r>
      <w:r>
        <w:rPr>
          <w:rFonts w:ascii="Palatino Linotype" w:eastAsia="Times New Roman" w:hAnsi="Palatino Linotype" w:cs="Tahoma"/>
          <w:i/>
          <w:sz w:val="20"/>
          <w:szCs w:val="20"/>
          <w:lang w:eastAsia="es-ES"/>
        </w:rPr>
        <w:t xml:space="preserve"> El RFC es una clave de carácter fiscal, única e irrepetible, que permite identificar al titular, su edad y fecha de nacimiento, por lo que es un dato personal de carácter confidencial.”</w:t>
      </w:r>
    </w:p>
    <w:p w14:paraId="663CC72F" w14:textId="77777777" w:rsidR="000C664B" w:rsidRDefault="000C664B" w:rsidP="000C664B">
      <w:pPr>
        <w:spacing w:after="0" w:line="360" w:lineRule="auto"/>
        <w:ind w:left="567"/>
        <w:contextualSpacing/>
        <w:rPr>
          <w:rFonts w:ascii="Palatino Linotype" w:eastAsia="Times New Roman" w:hAnsi="Palatino Linotype" w:cs="Tahoma"/>
          <w:lang w:eastAsia="es-ES"/>
        </w:rPr>
      </w:pPr>
    </w:p>
    <w:p w14:paraId="44B23D2D" w14:textId="4CDD4FAA" w:rsidR="000C664B" w:rsidRDefault="000C664B" w:rsidP="000C664B">
      <w:pPr>
        <w:widowControl w:val="0"/>
        <w:spacing w:line="360" w:lineRule="auto"/>
        <w:contextualSpacing/>
        <w:rPr>
          <w:rFonts w:ascii="Palatino Linotype" w:eastAsia="Calibri" w:hAnsi="Palatino Linotype" w:cs="Tahoma"/>
          <w:bCs/>
        </w:rPr>
      </w:pPr>
      <w:r>
        <w:rPr>
          <w:rFonts w:ascii="Palatino Linotype" w:eastAsia="Times New Roman" w:hAnsi="Palatino Linotype" w:cs="Tahoma"/>
          <w:lang w:eastAsia="es-MX"/>
        </w:rPr>
        <w:t xml:space="preserve">De tal suerte, el Registro Federal de Contribuyentes de los titulares de licencias de funcionamiento no guarda relación con la transparencia de los recursos públicos, por lo que constituye un dato personal confidencial </w:t>
      </w:r>
      <w:r>
        <w:rPr>
          <w:rFonts w:ascii="Palatino Linotype" w:eastAsia="Times New Roman" w:hAnsi="Palatino Linotype" w:cs="Tahoma"/>
          <w:lang w:eastAsia="es-ES"/>
        </w:rPr>
        <w:t>al actualizar el supuesto normativo del artículo 143, fracción I, de la Ley de Transparencia y Acceso a la Información Pública del Estado de México y Municipios</w:t>
      </w:r>
      <w:r>
        <w:rPr>
          <w:rFonts w:ascii="Palatino Linotype" w:eastAsia="Times New Roman" w:hAnsi="Palatino Linotype" w:cs="Tahoma"/>
          <w:lang w:eastAsia="es-MX"/>
        </w:rPr>
        <w:t>.</w:t>
      </w:r>
    </w:p>
    <w:p w14:paraId="04E1BECB" w14:textId="77777777" w:rsidR="000C664B" w:rsidRDefault="000C664B" w:rsidP="000C664B">
      <w:pPr>
        <w:spacing w:after="0" w:line="360" w:lineRule="auto"/>
        <w:ind w:right="-93"/>
        <w:rPr>
          <w:rFonts w:ascii="Palatino Linotype" w:eastAsia="Calibri" w:hAnsi="Palatino Linotype" w:cs="Tahoma"/>
          <w:bCs/>
          <w:lang w:val="es-ES"/>
        </w:rPr>
      </w:pPr>
    </w:p>
    <w:p w14:paraId="6361243F" w14:textId="77777777" w:rsidR="000C664B" w:rsidRDefault="000C664B" w:rsidP="000C664B">
      <w:pPr>
        <w:spacing w:after="0" w:line="360" w:lineRule="auto"/>
        <w:ind w:right="-93"/>
        <w:rPr>
          <w:rFonts w:ascii="Palatino Linotype" w:eastAsia="Calibri" w:hAnsi="Palatino Linotype" w:cs="Tahoma"/>
          <w:b/>
          <w:lang w:val="es-ES"/>
        </w:rPr>
      </w:pPr>
      <w:r>
        <w:rPr>
          <w:rFonts w:ascii="Palatino Linotype" w:eastAsia="Calibri" w:hAnsi="Palatino Linotype" w:cs="Tahoma"/>
          <w:b/>
          <w:lang w:val="es-ES"/>
        </w:rPr>
        <w:t>Persona Moral</w:t>
      </w:r>
    </w:p>
    <w:p w14:paraId="20B86F10" w14:textId="77777777" w:rsidR="000C664B" w:rsidRDefault="000C664B" w:rsidP="000C664B">
      <w:pPr>
        <w:spacing w:after="0" w:line="360" w:lineRule="auto"/>
        <w:ind w:right="-93"/>
        <w:rPr>
          <w:rFonts w:ascii="Palatino Linotype" w:eastAsia="Calibri" w:hAnsi="Palatino Linotype" w:cs="Tahoma"/>
          <w:bCs/>
          <w:lang w:val="es-ES"/>
        </w:rPr>
      </w:pPr>
    </w:p>
    <w:p w14:paraId="5E897B0C" w14:textId="77777777" w:rsidR="000C664B" w:rsidRDefault="000C664B" w:rsidP="000C664B">
      <w:pPr>
        <w:spacing w:after="0" w:line="360" w:lineRule="auto"/>
        <w:ind w:right="-93"/>
        <w:rPr>
          <w:rFonts w:ascii="Palatino Linotype" w:eastAsia="Calibri" w:hAnsi="Palatino Linotype" w:cs="Tahoma"/>
          <w:bCs/>
          <w:lang w:val="es-ES_tradnl"/>
        </w:rPr>
      </w:pPr>
      <w:r>
        <w:rPr>
          <w:rFonts w:ascii="Palatino Linotype" w:eastAsia="Calibri" w:hAnsi="Palatino Linotype" w:cs="Tahoma"/>
          <w:bCs/>
          <w:lang w:val="es-E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Pr>
          <w:rFonts w:ascii="Palatino Linotype" w:eastAsia="Calibri" w:hAnsi="Palatino Linotype" w:cs="Tahoma"/>
          <w:bCs/>
          <w:lang w:val="es-ES_tradnl"/>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14:paraId="5B426B13" w14:textId="77777777" w:rsidR="000C664B" w:rsidRDefault="000C664B" w:rsidP="000C664B">
      <w:pPr>
        <w:spacing w:after="0" w:line="360" w:lineRule="auto"/>
        <w:ind w:right="-93"/>
        <w:rPr>
          <w:rFonts w:ascii="Palatino Linotype" w:eastAsia="Calibri" w:hAnsi="Palatino Linotype" w:cs="Tahoma"/>
          <w:bCs/>
          <w:lang w:val="es-ES_tradnl"/>
        </w:rPr>
      </w:pPr>
    </w:p>
    <w:p w14:paraId="1E12B170" w14:textId="77777777" w:rsidR="000C664B" w:rsidRDefault="000C664B" w:rsidP="000C664B">
      <w:pPr>
        <w:spacing w:after="0" w:line="360" w:lineRule="auto"/>
        <w:ind w:right="-93"/>
        <w:rPr>
          <w:rFonts w:ascii="Palatino Linotype" w:eastAsia="Calibri" w:hAnsi="Palatino Linotype" w:cs="Tahoma"/>
          <w:b/>
          <w:bCs/>
          <w:lang w:val="es-ES_tradnl"/>
        </w:rPr>
      </w:pPr>
      <w:r>
        <w:rPr>
          <w:rFonts w:ascii="Palatino Linotype" w:eastAsia="Calibri" w:hAnsi="Palatino Linotype" w:cs="Tahoma"/>
          <w:bCs/>
          <w:lang w:val="es-ES_tradnl"/>
        </w:rPr>
        <w:t xml:space="preserve">Derivado del trámite se obtiene, entre otros, la </w:t>
      </w:r>
      <w:r>
        <w:rPr>
          <w:rFonts w:ascii="Palatino Linotype" w:eastAsia="Calibri" w:hAnsi="Palatino Linotype" w:cs="Tahoma"/>
          <w:b/>
          <w:bCs/>
          <w:lang w:val="es-ES_tradnl"/>
        </w:rPr>
        <w:t>cédula de identificación fiscal o constancia de registro.</w:t>
      </w:r>
    </w:p>
    <w:p w14:paraId="4E2DE0FD" w14:textId="77777777" w:rsidR="000C664B" w:rsidRDefault="000C664B" w:rsidP="000C664B">
      <w:pPr>
        <w:spacing w:after="0" w:line="360" w:lineRule="auto"/>
        <w:ind w:right="-93"/>
        <w:rPr>
          <w:rFonts w:ascii="Palatino Linotype" w:eastAsia="Calibri" w:hAnsi="Palatino Linotype" w:cs="Tahoma"/>
          <w:bCs/>
          <w:lang w:val="es-ES"/>
        </w:rPr>
      </w:pPr>
    </w:p>
    <w:p w14:paraId="511D38CE" w14:textId="77777777" w:rsidR="000C664B" w:rsidRDefault="000C664B" w:rsidP="000C664B">
      <w:pPr>
        <w:widowControl w:val="0"/>
        <w:spacing w:after="0" w:line="360" w:lineRule="auto"/>
        <w:ind w:right="-91"/>
        <w:rPr>
          <w:rFonts w:ascii="Palatino Linotype" w:eastAsia="Calibri" w:hAnsi="Palatino Linotype" w:cs="Tahoma"/>
          <w:bCs/>
          <w:lang w:val="es-ES"/>
        </w:rPr>
      </w:pPr>
      <w:r>
        <w:rPr>
          <w:rFonts w:ascii="Palatino Linotype" w:eastAsia="Calibri" w:hAnsi="Palatino Linotype" w:cs="Tahoma"/>
          <w:bCs/>
          <w:lang w:val="es-ES"/>
        </w:rPr>
        <w:t>Por ende, la información correspondiente al Registro Federal de Contribuyentes de una persona moral da cuenta del cumplimiento o no en sus obligaciones fiscales; por tanto, no se actualiza su clasificación como confidencial.</w:t>
      </w:r>
    </w:p>
    <w:p w14:paraId="69190A14" w14:textId="77777777" w:rsidR="000C664B" w:rsidRDefault="000C664B" w:rsidP="000C664B">
      <w:pPr>
        <w:spacing w:after="0" w:line="360" w:lineRule="auto"/>
        <w:rPr>
          <w:rFonts w:ascii="Palatino Linotype" w:eastAsia="Calibri" w:hAnsi="Palatino Linotype" w:cs="Tahoma"/>
          <w:b/>
          <w:bCs/>
          <w:lang w:val="es-ES_tradnl"/>
        </w:rPr>
      </w:pPr>
    </w:p>
    <w:p w14:paraId="00A499E8" w14:textId="77777777" w:rsidR="000C664B" w:rsidRDefault="000C664B" w:rsidP="000C664B">
      <w:pPr>
        <w:spacing w:after="0" w:line="360" w:lineRule="auto"/>
        <w:ind w:right="-93"/>
        <w:rPr>
          <w:rFonts w:ascii="Palatino Linotype" w:eastAsia="Calibri" w:hAnsi="Palatino Linotype" w:cs="Tahoma"/>
          <w:bCs/>
          <w:lang w:val="es-ES"/>
        </w:rPr>
      </w:pPr>
      <w:r>
        <w:rPr>
          <w:rFonts w:ascii="Palatino Linotype" w:eastAsia="Calibri" w:hAnsi="Palatino Linotype" w:cs="Tahoma"/>
          <w:bCs/>
          <w:lang w:val="es-ES"/>
        </w:rPr>
        <w:t xml:space="preserve">Además, resulta aplicable el </w:t>
      </w:r>
      <w:r>
        <w:rPr>
          <w:rFonts w:ascii="Palatino Linotype" w:eastAsia="Calibri" w:hAnsi="Palatino Linotype" w:cs="Tahoma"/>
          <w:bCs/>
        </w:rPr>
        <w:t>Criterio de interpretación, con clave de control SO/008/2019, de la Segunda Época</w:t>
      </w:r>
      <w:r>
        <w:rPr>
          <w:rFonts w:ascii="Palatino Linotype" w:eastAsia="Calibri" w:hAnsi="Palatino Linotype" w:cs="Tahoma"/>
          <w:bCs/>
          <w:lang w:val="es-ES"/>
        </w:rPr>
        <w:t>,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14:paraId="45B0F754" w14:textId="77777777" w:rsidR="000C664B" w:rsidRDefault="000C664B" w:rsidP="000C664B">
      <w:pPr>
        <w:spacing w:after="0" w:line="360" w:lineRule="auto"/>
        <w:ind w:right="-93"/>
        <w:rPr>
          <w:rFonts w:ascii="Palatino Linotype" w:eastAsia="Calibri" w:hAnsi="Palatino Linotype" w:cs="Tahoma"/>
          <w:bCs/>
          <w:lang w:val="es-ES"/>
        </w:rPr>
      </w:pPr>
    </w:p>
    <w:p w14:paraId="310D2523" w14:textId="77777777" w:rsidR="000C664B" w:rsidRDefault="000C664B" w:rsidP="000C664B">
      <w:pPr>
        <w:spacing w:after="0" w:line="360" w:lineRule="auto"/>
        <w:ind w:right="-93"/>
        <w:rPr>
          <w:rFonts w:ascii="Palatino Linotype" w:eastAsia="Calibri" w:hAnsi="Palatino Linotype" w:cs="Tahoma"/>
          <w:bCs/>
          <w:lang w:val="es-ES_tradnl"/>
        </w:rPr>
      </w:pPr>
      <w:r>
        <w:rPr>
          <w:rFonts w:ascii="Palatino Linotype" w:eastAsia="Calibri" w:hAnsi="Palatino Linotype" w:cs="Tahoma"/>
          <w:bCs/>
          <w:lang w:val="es-ES"/>
        </w:rPr>
        <w:lastRenderedPageBreak/>
        <w:t>De tales circunstancias, el Registro Federal de Contribuyentes de personas</w:t>
      </w:r>
      <w:r>
        <w:rPr>
          <w:rFonts w:ascii="Palatino Linotype" w:eastAsia="Calibri" w:hAnsi="Palatino Linotype" w:cs="Tahoma"/>
          <w:bCs/>
          <w:lang w:val="es-ES_tradnl"/>
        </w:rPr>
        <w:t xml:space="preserve"> morales, no actualizan la causal de clasificación, prevista en el artículo 143, fracción I de la Ley de Transparencia y Acceso a la Información Pública del Estado de México y Municipios, al ser de naturaleza pública.</w:t>
      </w:r>
    </w:p>
    <w:p w14:paraId="605689ED" w14:textId="77777777" w:rsidR="000C664B" w:rsidRDefault="000C664B" w:rsidP="000C664B">
      <w:pPr>
        <w:spacing w:after="0" w:line="360" w:lineRule="auto"/>
        <w:ind w:right="-93"/>
        <w:rPr>
          <w:rFonts w:ascii="Palatino Linotype" w:eastAsia="Calibri" w:hAnsi="Palatino Linotype" w:cs="Tahoma"/>
          <w:bCs/>
        </w:rPr>
      </w:pPr>
    </w:p>
    <w:p w14:paraId="72F63D9C" w14:textId="77777777" w:rsidR="000C664B" w:rsidRDefault="000C664B" w:rsidP="000C664B">
      <w:pPr>
        <w:pStyle w:val="Prrafodelista"/>
        <w:numPr>
          <w:ilvl w:val="0"/>
          <w:numId w:val="26"/>
        </w:numPr>
        <w:spacing w:after="0" w:line="360" w:lineRule="auto"/>
        <w:ind w:right="-93"/>
        <w:rPr>
          <w:rFonts w:ascii="Palatino Linotype" w:eastAsia="Calibri" w:hAnsi="Palatino Linotype" w:cs="Tahoma"/>
          <w:b/>
          <w:bCs/>
        </w:rPr>
      </w:pPr>
      <w:r>
        <w:rPr>
          <w:rFonts w:ascii="Palatino Linotype" w:eastAsia="Calibri" w:hAnsi="Palatino Linotype" w:cs="Tahoma"/>
          <w:b/>
          <w:bCs/>
        </w:rPr>
        <w:t>Clave Catastral del inmueble autorizado en la licencia de funcionamiento, esto es, donde se encuentra el establecimiento comercial</w:t>
      </w:r>
    </w:p>
    <w:p w14:paraId="6BA674D1" w14:textId="77777777" w:rsidR="000C664B" w:rsidRDefault="000C664B" w:rsidP="000C664B">
      <w:pPr>
        <w:spacing w:after="0" w:line="360" w:lineRule="auto"/>
        <w:ind w:right="-93"/>
        <w:rPr>
          <w:rFonts w:ascii="Palatino Linotype" w:eastAsia="Calibri" w:hAnsi="Palatino Linotype" w:cs="Tahoma"/>
          <w:bCs/>
        </w:rPr>
      </w:pPr>
    </w:p>
    <w:p w14:paraId="6BDC6C89" w14:textId="77777777" w:rsidR="000C664B" w:rsidRDefault="000C664B" w:rsidP="000C664B">
      <w:pPr>
        <w:widowControl w:val="0"/>
        <w:spacing w:after="0" w:line="360" w:lineRule="auto"/>
        <w:ind w:right="-91"/>
        <w:rPr>
          <w:rFonts w:ascii="Palatino Linotype" w:eastAsia="Calibri" w:hAnsi="Palatino Linotype" w:cs="Tahoma"/>
          <w:bCs/>
          <w:lang w:val="es-ES"/>
        </w:rPr>
      </w:pPr>
      <w:r>
        <w:rPr>
          <w:rFonts w:ascii="Palatino Linotype" w:eastAsia="Calibri" w:hAnsi="Palatino Linotype" w:cs="Tahoma"/>
          <w:bCs/>
          <w:lang w:val="es-ES"/>
        </w:rPr>
        <w:t xml:space="preserve">En principio, resulta necesario señalar que de conformidad con el artículo 179, fracción I, del Código Financiero del Estado de México y Municipios, </w:t>
      </w:r>
      <w:r>
        <w:rPr>
          <w:rFonts w:ascii="Palatino Linotype" w:eastAsia="Calibri" w:hAnsi="Palatino Linotype" w:cs="Tahoma"/>
          <w:bCs/>
        </w:rPr>
        <w:t>se entiende por clave catastral, al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023CB24B" w14:textId="77777777" w:rsidR="000C664B" w:rsidRDefault="000C664B" w:rsidP="000C664B">
      <w:pPr>
        <w:spacing w:after="0" w:line="360" w:lineRule="auto"/>
        <w:ind w:right="-93"/>
        <w:rPr>
          <w:rFonts w:ascii="Palatino Linotype" w:eastAsia="Calibri" w:hAnsi="Palatino Linotype" w:cs="Tahoma"/>
          <w:bCs/>
          <w:lang w:val="es-ES"/>
        </w:rPr>
      </w:pPr>
    </w:p>
    <w:p w14:paraId="6D9097B9" w14:textId="77777777" w:rsidR="000C664B" w:rsidRDefault="000C664B" w:rsidP="000C664B">
      <w:pPr>
        <w:spacing w:after="0" w:line="360" w:lineRule="auto"/>
        <w:ind w:right="-93"/>
        <w:rPr>
          <w:rFonts w:ascii="Palatino Linotype" w:eastAsia="Calibri" w:hAnsi="Palatino Linotype" w:cs="Tahoma"/>
          <w:bCs/>
        </w:rPr>
      </w:pPr>
      <w:r>
        <w:rPr>
          <w:rFonts w:ascii="Palatino Linotype" w:eastAsia="Calibri" w:hAnsi="Palatino Linotype" w:cs="Tahoma"/>
          <w:bCs/>
        </w:rPr>
        <w:t xml:space="preserve">Conforme a lo descrito, se advierte que el dato en comento hace referencia a un predio determinado, en el presente caso, </w:t>
      </w:r>
      <w:r>
        <w:rPr>
          <w:rFonts w:ascii="Palatino Linotype" w:eastAsia="Calibri" w:hAnsi="Palatino Linotype" w:cs="Tahoma"/>
          <w:b/>
          <w:bCs/>
        </w:rPr>
        <w:t>de un establecimiento comercial,</w:t>
      </w:r>
      <w:r>
        <w:rPr>
          <w:rFonts w:ascii="Palatino Linotype" w:eastAsia="Calibri" w:hAnsi="Palatino Linotype" w:cs="Tahoma"/>
          <w:bCs/>
        </w:rPr>
        <w:t xml:space="preserve"> mismo que identifica el predio donde se realiza una actividad económica regulada por el Municipio, respecto del cual se expidió una licencia de funcionamiento.</w:t>
      </w:r>
    </w:p>
    <w:p w14:paraId="5F19820D" w14:textId="77777777" w:rsidR="000C664B" w:rsidRDefault="000C664B" w:rsidP="000C664B">
      <w:pPr>
        <w:spacing w:after="0" w:line="360" w:lineRule="auto"/>
        <w:ind w:right="-93"/>
        <w:rPr>
          <w:rFonts w:ascii="Palatino Linotype" w:eastAsia="Calibri" w:hAnsi="Palatino Linotype" w:cs="Tahoma"/>
          <w:bCs/>
          <w:lang w:val="es-ES"/>
        </w:rPr>
      </w:pPr>
    </w:p>
    <w:p w14:paraId="709F2894" w14:textId="77777777" w:rsidR="000C664B" w:rsidRDefault="000C664B" w:rsidP="000C664B">
      <w:pPr>
        <w:spacing w:after="0" w:line="360" w:lineRule="auto"/>
        <w:ind w:right="-93"/>
        <w:rPr>
          <w:rFonts w:ascii="Palatino Linotype" w:eastAsia="Calibri" w:hAnsi="Palatino Linotype" w:cs="Tahoma"/>
          <w:bCs/>
          <w:lang w:val="es-ES"/>
        </w:rPr>
      </w:pPr>
      <w:r>
        <w:rPr>
          <w:rFonts w:ascii="Palatino Linotype" w:eastAsia="Calibri" w:hAnsi="Palatino Linotype" w:cs="Tahoma"/>
          <w:bCs/>
          <w:lang w:val="es-ES"/>
        </w:rPr>
        <w:t xml:space="preserve">En ese orden de ideas, conforme a la página oficial del Instituto de Información e Investigación Geográfica, Estadística y Catastral del Estado de México, en su apartado de Preguntas </w:t>
      </w:r>
      <w:r>
        <w:rPr>
          <w:rFonts w:ascii="Palatino Linotype" w:eastAsia="Calibri" w:hAnsi="Palatino Linotype" w:cs="Tahoma"/>
          <w:bCs/>
          <w:lang w:val="es-ES"/>
        </w:rPr>
        <w:lastRenderedPageBreak/>
        <w:t xml:space="preserve">Frecuentes (consultada en la liga electrónica </w:t>
      </w:r>
      <w:hyperlink r:id="rId11" w:history="1">
        <w:r>
          <w:rPr>
            <w:rStyle w:val="Hipervnculo"/>
            <w:rFonts w:ascii="Palatino Linotype" w:eastAsia="Calibri" w:hAnsi="Palatino Linotype" w:cs="Tahoma"/>
            <w:bCs/>
            <w:lang w:val="es-ES"/>
          </w:rPr>
          <w:t>http://igecem.edomex.gob.mx/faqs</w:t>
        </w:r>
      </w:hyperlink>
      <w:r>
        <w:rPr>
          <w:rFonts w:ascii="Palatino Linotype" w:eastAsia="Calibri" w:hAnsi="Palatino Linotype" w:cs="Tahoma"/>
          <w:bCs/>
          <w:lang w:val="es-ES"/>
        </w:rPr>
        <w:t xml:space="preserve"> , el veintidós de marzo de dos mil veintitrés, a las trece horas), para obtener la información registrada en el Padrón Catastral Municipal, conociendo </w:t>
      </w:r>
      <w:r>
        <w:rPr>
          <w:rFonts w:ascii="Palatino Linotype" w:eastAsia="Calibri" w:hAnsi="Palatino Linotype" w:cs="Tahoma"/>
          <w:b/>
          <w:lang w:val="es-ES"/>
        </w:rPr>
        <w:t>la clave catastral de un predio</w:t>
      </w:r>
      <w:r>
        <w:rPr>
          <w:rFonts w:ascii="Palatino Linotype" w:eastAsia="Calibri" w:hAnsi="Palatino Linotype" w:cs="Tahoma"/>
          <w:bCs/>
          <w:lang w:val="es-ES"/>
        </w:rPr>
        <w:t xml:space="preserve">, se necesita acreditar el interés jurídico o legítimo respecto del inmueble; esto es, demostrar la propiedad, posesión, herencia, trámite judicial, entre otros. </w:t>
      </w:r>
    </w:p>
    <w:p w14:paraId="24E49946" w14:textId="77777777" w:rsidR="000C664B" w:rsidRDefault="000C664B" w:rsidP="000C664B">
      <w:pPr>
        <w:spacing w:after="0" w:line="360" w:lineRule="auto"/>
        <w:ind w:right="-93"/>
        <w:rPr>
          <w:rFonts w:ascii="Palatino Linotype" w:eastAsia="Calibri" w:hAnsi="Palatino Linotype" w:cs="Tahoma"/>
          <w:bCs/>
          <w:lang w:val="es-ES"/>
        </w:rPr>
      </w:pPr>
    </w:p>
    <w:p w14:paraId="70D8CE4B" w14:textId="77777777" w:rsidR="000C664B" w:rsidRDefault="000C664B" w:rsidP="000C664B">
      <w:pPr>
        <w:shd w:val="clear" w:color="auto" w:fill="FFFFFF"/>
        <w:spacing w:after="0" w:line="360" w:lineRule="auto"/>
        <w:rPr>
          <w:rFonts w:ascii="Palatino Linotype" w:eastAsia="Calibri" w:hAnsi="Palatino Linotype" w:cs="Tahoma"/>
          <w:bCs/>
          <w:lang w:val="es-ES"/>
        </w:rPr>
      </w:pPr>
      <w:r>
        <w:rPr>
          <w:rFonts w:ascii="Palatino Linotype" w:eastAsia="Calibri" w:hAnsi="Palatino Linotype" w:cs="Tahoma"/>
          <w:bCs/>
          <w:lang w:val="es-ES"/>
        </w:rPr>
        <w:t>De tales circunstancias, se colige que conocer la clave catastral de un inmueble, permite conocer mayores datos del catastro, pues para acceder a la misma, se necesita acreditar el interés legítimo o jurídico.</w:t>
      </w:r>
    </w:p>
    <w:p w14:paraId="486F1878" w14:textId="77777777" w:rsidR="000C664B" w:rsidRDefault="000C664B" w:rsidP="000C664B">
      <w:pPr>
        <w:shd w:val="clear" w:color="auto" w:fill="FFFFFF"/>
        <w:spacing w:after="0" w:line="360" w:lineRule="auto"/>
        <w:rPr>
          <w:rFonts w:ascii="Palatino Linotype" w:eastAsia="Calibri" w:hAnsi="Palatino Linotype" w:cs="Tahoma"/>
          <w:bCs/>
          <w:lang w:val="es-ES"/>
        </w:rPr>
      </w:pPr>
    </w:p>
    <w:p w14:paraId="690A8BEF" w14:textId="77777777" w:rsidR="000C664B" w:rsidRDefault="000C664B" w:rsidP="000C664B">
      <w:pPr>
        <w:spacing w:after="0" w:line="360" w:lineRule="auto"/>
        <w:ind w:right="-93"/>
        <w:rPr>
          <w:rFonts w:ascii="Palatino Linotype" w:eastAsia="Calibri" w:hAnsi="Palatino Linotype" w:cs="Tahoma"/>
          <w:bCs/>
        </w:rPr>
      </w:pPr>
      <w:r>
        <w:rPr>
          <w:rFonts w:ascii="Palatino Linotype" w:eastAsia="Calibri" w:hAnsi="Palatino Linotype" w:cs="Tahoma"/>
          <w:bCs/>
        </w:rPr>
        <w:t>En ese contexto, es dable afirmar que necesariamente la entrega de la clave catastral da cuenta del patrimonio de una persona específica; esto es, la expedición de la licencia de funcionamiento, está vinculada con la propiedad del inmueble autorizado, por lo que hacer pública la clave catastral permite acreditar que la ubicación del predio que tiene el establecimiento comercial.</w:t>
      </w:r>
    </w:p>
    <w:p w14:paraId="54A72F95" w14:textId="77777777" w:rsidR="000C664B" w:rsidRDefault="000C664B" w:rsidP="000C664B">
      <w:pPr>
        <w:spacing w:after="0" w:line="360" w:lineRule="auto"/>
        <w:ind w:right="-93"/>
        <w:rPr>
          <w:rFonts w:ascii="Palatino Linotype" w:eastAsia="Calibri" w:hAnsi="Palatino Linotype" w:cs="Tahoma"/>
          <w:bCs/>
          <w:lang w:val="es-ES"/>
        </w:rPr>
      </w:pPr>
    </w:p>
    <w:p w14:paraId="2CD94637" w14:textId="77777777" w:rsidR="000C664B" w:rsidRDefault="000C664B" w:rsidP="000C664B">
      <w:pPr>
        <w:spacing w:after="0" w:line="360" w:lineRule="auto"/>
        <w:ind w:right="-93"/>
        <w:rPr>
          <w:rFonts w:ascii="Palatino Linotype" w:eastAsia="Calibri" w:hAnsi="Palatino Linotype" w:cs="Tahoma"/>
          <w:bCs/>
          <w:lang w:val="es-ES"/>
        </w:rPr>
      </w:pPr>
      <w:r>
        <w:rPr>
          <w:rFonts w:ascii="Palatino Linotype" w:eastAsia="Calibri" w:hAnsi="Palatino Linotype" w:cs="Tahoma"/>
          <w:bCs/>
          <w:lang w:val="es-ES"/>
        </w:rPr>
        <w:t>Por lo tanto, la clave catastral localizada en una licencia de funcionamiento, es confidencial, pues si bien con dicho dato se acredita que el inmueble donde se realizan actividades económicas, industriales o comerciales, está debidamente registrado, también lo es que, que ayuda a identificar el domicilio particular o parte del patrimonio; por lo que, resulta procedente la clasificación, en términos del artículo 143, fracción I de la Ley de Transparencia y Acceso a la Información Pública del Estado de México y Municipios.</w:t>
      </w:r>
    </w:p>
    <w:p w14:paraId="7E143FFA" w14:textId="77777777" w:rsidR="00FD64BE" w:rsidRDefault="00FD64BE" w:rsidP="0024716D">
      <w:pPr>
        <w:spacing w:after="0" w:line="360" w:lineRule="auto"/>
        <w:contextualSpacing/>
        <w:rPr>
          <w:rFonts w:ascii="Palatino Linotype" w:eastAsia="Times New Roman" w:hAnsi="Palatino Linotype" w:cs="Tahoma"/>
          <w:lang w:val="es-ES" w:eastAsia="es-ES"/>
        </w:rPr>
      </w:pPr>
    </w:p>
    <w:p w14:paraId="08F2A05E" w14:textId="5DFB4BEE" w:rsidR="000C664B" w:rsidRPr="000C664B" w:rsidRDefault="000C664B" w:rsidP="000C664B">
      <w:pPr>
        <w:spacing w:line="360" w:lineRule="auto"/>
        <w:contextualSpacing/>
        <w:rPr>
          <w:rFonts w:ascii="Palatino Linotype" w:eastAsia="Palatino Linotype" w:hAnsi="Palatino Linotype" w:cs="Palatino Linotype"/>
          <w:color w:val="000000"/>
          <w:lang w:eastAsia="es-MX"/>
        </w:rPr>
      </w:pPr>
      <w:r w:rsidRPr="000C664B">
        <w:rPr>
          <w:rFonts w:ascii="Palatino Linotype" w:eastAsia="Palatino Linotype" w:hAnsi="Palatino Linotype" w:cs="Palatino Linotype"/>
          <w:color w:val="000000"/>
          <w:lang w:eastAsia="es-MX"/>
        </w:rPr>
        <w:t xml:space="preserve">Así, este Instituto considera que el Sujeto Obligado deberá proporcionar lo solicitado en versión pública, </w:t>
      </w:r>
      <w:r>
        <w:rPr>
          <w:rFonts w:ascii="Palatino Linotype" w:eastAsia="Palatino Linotype" w:hAnsi="Palatino Linotype" w:cs="Palatino Linotype"/>
          <w:color w:val="000000"/>
          <w:lang w:eastAsia="es-MX"/>
        </w:rPr>
        <w:t>en donde no podrá clasificar el nombre de los titulares de las licencias de funcionamiento</w:t>
      </w:r>
      <w:r w:rsidRPr="000C664B">
        <w:rPr>
          <w:rFonts w:ascii="Palatino Linotype" w:eastAsia="Palatino Linotype" w:hAnsi="Palatino Linotype" w:cs="Palatino Linotype"/>
          <w:color w:val="000000"/>
          <w:lang w:eastAsia="es-MX"/>
        </w:rPr>
        <w:t xml:space="preserve">; sobre dicha circunstancia, el artículo 3°, fracción XLV, relacionado con el 137, ambos de la Ley de Transparencia y Acceso a la Información Pública del Estado de México y </w:t>
      </w:r>
      <w:r w:rsidRPr="000C664B">
        <w:rPr>
          <w:rFonts w:ascii="Palatino Linotype" w:eastAsia="Palatino Linotype" w:hAnsi="Palatino Linotype" w:cs="Palatino Linotype"/>
          <w:color w:val="000000"/>
          <w:lang w:eastAsia="es-MX"/>
        </w:rPr>
        <w:lastRenderedPageBreak/>
        <w:t>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EFEFDEE" w14:textId="77777777" w:rsidR="000C664B" w:rsidRPr="000C664B" w:rsidRDefault="000C664B" w:rsidP="000C664B">
      <w:pPr>
        <w:tabs>
          <w:tab w:val="left" w:pos="7157"/>
        </w:tabs>
        <w:spacing w:line="360" w:lineRule="auto"/>
        <w:contextualSpacing/>
        <w:rPr>
          <w:rFonts w:ascii="Palatino Linotype" w:eastAsia="Palatino Linotype" w:hAnsi="Palatino Linotype" w:cs="Palatino Linotype"/>
          <w:color w:val="000000"/>
          <w:lang w:eastAsia="es-MX"/>
        </w:rPr>
      </w:pPr>
      <w:r w:rsidRPr="000C664B">
        <w:rPr>
          <w:rFonts w:ascii="Palatino Linotype" w:eastAsia="Palatino Linotype" w:hAnsi="Palatino Linotype" w:cs="Palatino Linotype"/>
          <w:color w:val="000000"/>
          <w:lang w:eastAsia="es-MX"/>
        </w:rPr>
        <w:tab/>
      </w:r>
    </w:p>
    <w:p w14:paraId="77606DBF" w14:textId="77777777" w:rsidR="000C664B" w:rsidRPr="000C664B" w:rsidRDefault="000C664B" w:rsidP="000C664B">
      <w:pPr>
        <w:spacing w:line="360" w:lineRule="auto"/>
        <w:contextualSpacing/>
        <w:rPr>
          <w:rFonts w:ascii="Palatino Linotype" w:eastAsia="Palatino Linotype" w:hAnsi="Palatino Linotype" w:cs="Palatino Linotype"/>
          <w:color w:val="000000"/>
          <w:lang w:eastAsia="es-MX"/>
        </w:rPr>
      </w:pPr>
      <w:r w:rsidRPr="000C664B">
        <w:rPr>
          <w:rFonts w:ascii="Palatino Linotype" w:eastAsia="Palatino Linotype" w:hAnsi="Palatino Linotype" w:cs="Palatino Linotype"/>
          <w:color w:val="000000"/>
          <w:lang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F22C939" w14:textId="77777777" w:rsidR="000C664B" w:rsidRDefault="000C664B" w:rsidP="0024716D">
      <w:pPr>
        <w:spacing w:after="0" w:line="360" w:lineRule="auto"/>
        <w:contextualSpacing/>
        <w:rPr>
          <w:rFonts w:ascii="Palatino Linotype" w:eastAsia="Times New Roman" w:hAnsi="Palatino Linotype" w:cs="Tahoma"/>
          <w:lang w:val="es-ES" w:eastAsia="es-ES"/>
        </w:rPr>
      </w:pPr>
    </w:p>
    <w:p w14:paraId="69E757B3" w14:textId="77777777" w:rsidR="00955212" w:rsidRPr="00735A7C" w:rsidRDefault="000B16A1" w:rsidP="00FE1919">
      <w:pPr>
        <w:pStyle w:val="Ttulo2"/>
        <w:rPr>
          <w:rFonts w:eastAsia="Calibri"/>
        </w:rPr>
      </w:pPr>
      <w:bookmarkStart w:id="12" w:name="_Toc206688685"/>
      <w:r w:rsidRPr="00735A7C">
        <w:rPr>
          <w:rFonts w:eastAsia="Calibri"/>
        </w:rPr>
        <w:t xml:space="preserve">SEXTO. </w:t>
      </w:r>
      <w:r w:rsidR="00582149" w:rsidRPr="00735A7C">
        <w:rPr>
          <w:rFonts w:eastAsia="Calibri"/>
        </w:rPr>
        <w:t>Decisión</w:t>
      </w:r>
      <w:bookmarkEnd w:id="12"/>
      <w:r w:rsidR="00955212" w:rsidRPr="00735A7C">
        <w:rPr>
          <w:rFonts w:eastAsia="Calibri"/>
        </w:rPr>
        <w:t xml:space="preserve"> </w:t>
      </w:r>
    </w:p>
    <w:p w14:paraId="6B1C4DDC" w14:textId="77777777" w:rsidR="00776EF1" w:rsidRDefault="00776EF1" w:rsidP="00E12E55">
      <w:pPr>
        <w:spacing w:after="0" w:line="360" w:lineRule="auto"/>
        <w:rPr>
          <w:rFonts w:ascii="Palatino Linotype" w:eastAsia="Calibri" w:hAnsi="Palatino Linotype" w:cs="Tahoma"/>
          <w:b/>
          <w:color w:val="FF0000"/>
        </w:rPr>
      </w:pPr>
    </w:p>
    <w:p w14:paraId="37E3D6FA" w14:textId="3ADD4085" w:rsidR="00776EF1" w:rsidRPr="00A27FFC" w:rsidRDefault="00776EF1" w:rsidP="000B16A1">
      <w:pPr>
        <w:widowControl w:val="0"/>
        <w:spacing w:after="0" w:line="360" w:lineRule="auto"/>
        <w:rPr>
          <w:rFonts w:ascii="Palatino Linotype" w:eastAsia="Calibri" w:hAnsi="Palatino Linotype" w:cs="Tahoma"/>
          <w:iCs/>
          <w:lang w:eastAsia="es-ES_tradnl"/>
        </w:rPr>
      </w:pPr>
      <w:r w:rsidRPr="00A27FFC">
        <w:rPr>
          <w:rFonts w:ascii="Palatino Linotype" w:eastAsia="Calibri" w:hAnsi="Palatino Linotype" w:cs="Tahoma"/>
        </w:rPr>
        <w:t xml:space="preserve">Con fundamento en el artículo 186, fracción III, de la Ley de Transparencia y Acceso a la Información Pública del Estado de México y Municipios, este Instituto considera procedente </w:t>
      </w:r>
      <w:r w:rsidR="00FD64BE">
        <w:rPr>
          <w:rFonts w:ascii="Palatino Linotype" w:eastAsia="Calibri" w:hAnsi="Palatino Linotype" w:cs="Tahoma"/>
          <w:b/>
        </w:rPr>
        <w:t>MODIFICAR</w:t>
      </w:r>
      <w:r w:rsidRPr="00A27FFC">
        <w:rPr>
          <w:rFonts w:ascii="Palatino Linotype" w:eastAsia="Calibri" w:hAnsi="Palatino Linotype" w:cs="Tahoma"/>
          <w:b/>
        </w:rPr>
        <w:t xml:space="preserve"> </w:t>
      </w:r>
      <w:r w:rsidRPr="00A27FFC">
        <w:rPr>
          <w:rFonts w:ascii="Palatino Linotype" w:eastAsia="Calibri" w:hAnsi="Palatino Linotype" w:cs="Tahoma"/>
          <w:bCs/>
        </w:rPr>
        <w:t>la</w:t>
      </w:r>
      <w:r w:rsidRPr="00A27FFC">
        <w:rPr>
          <w:rFonts w:ascii="Palatino Linotype" w:eastAsia="Calibri" w:hAnsi="Palatino Linotype" w:cs="Tahoma"/>
        </w:rPr>
        <w:t xml:space="preserve"> respuesta otorgada por el </w:t>
      </w:r>
      <w:r w:rsidR="00735A7C" w:rsidRPr="00A27FFC">
        <w:rPr>
          <w:rFonts w:ascii="Palatino Linotype" w:eastAsia="Calibri" w:hAnsi="Palatino Linotype" w:cs="Tahoma"/>
        </w:rPr>
        <w:t xml:space="preserve">Ayuntamiento </w:t>
      </w:r>
      <w:r w:rsidR="005E3B41">
        <w:rPr>
          <w:rFonts w:ascii="Palatino Linotype" w:eastAsia="Calibri" w:hAnsi="Palatino Linotype" w:cs="Tahoma"/>
        </w:rPr>
        <w:t>de Toluca</w:t>
      </w:r>
      <w:r w:rsidR="00735A7C" w:rsidRPr="00A27FFC">
        <w:rPr>
          <w:rFonts w:ascii="Palatino Linotype" w:eastAsia="Calibri" w:hAnsi="Palatino Linotype" w:cs="Tahoma"/>
        </w:rPr>
        <w:t>, a efecto de que</w:t>
      </w:r>
      <w:r w:rsidR="00180D97">
        <w:rPr>
          <w:rFonts w:ascii="Palatino Linotype" w:eastAsia="Calibri" w:hAnsi="Palatino Linotype" w:cs="Tahoma"/>
        </w:rPr>
        <w:t xml:space="preserve"> </w:t>
      </w:r>
      <w:r w:rsidRPr="00A27FFC">
        <w:rPr>
          <w:rFonts w:ascii="Palatino Linotype" w:eastAsia="Calibri" w:hAnsi="Palatino Linotype" w:cs="Tahoma"/>
        </w:rPr>
        <w:t xml:space="preserve">entregue, </w:t>
      </w:r>
      <w:r w:rsidR="00FD64BE">
        <w:rPr>
          <w:rFonts w:ascii="Palatino Linotype" w:eastAsia="Calibri" w:hAnsi="Palatino Linotype" w:cs="Tahoma"/>
          <w:iCs/>
          <w:lang w:eastAsia="es-ES_tradnl"/>
        </w:rPr>
        <w:t>en versión íntegra las licencias y permisos entregados en Informe Justificado.</w:t>
      </w:r>
    </w:p>
    <w:p w14:paraId="3ABAF795" w14:textId="77777777" w:rsidR="00955212" w:rsidRPr="00AF72BE" w:rsidRDefault="00955212" w:rsidP="00E12E55">
      <w:pPr>
        <w:tabs>
          <w:tab w:val="left" w:pos="4962"/>
        </w:tabs>
        <w:spacing w:after="0" w:line="360" w:lineRule="auto"/>
        <w:rPr>
          <w:rFonts w:ascii="Palatino Linotype" w:eastAsia="Calibri" w:hAnsi="Palatino Linotype" w:cs="Tahoma"/>
        </w:rPr>
      </w:pPr>
    </w:p>
    <w:p w14:paraId="31B8E2E6" w14:textId="77777777" w:rsidR="00955212" w:rsidRPr="00AF72BE" w:rsidRDefault="00955212" w:rsidP="00E12E55">
      <w:pPr>
        <w:spacing w:after="0" w:line="360" w:lineRule="auto"/>
        <w:rPr>
          <w:rFonts w:ascii="Palatino Linotype" w:eastAsia="Calibri" w:hAnsi="Palatino Linotype" w:cs="Tahoma"/>
          <w:b/>
        </w:rPr>
      </w:pPr>
      <w:r w:rsidRPr="00AF72BE">
        <w:rPr>
          <w:rFonts w:ascii="Palatino Linotype" w:eastAsia="Calibri" w:hAnsi="Palatino Linotype" w:cs="Tahoma"/>
          <w:b/>
        </w:rPr>
        <w:t>Términos de la Resolución p</w:t>
      </w:r>
      <w:r w:rsidR="00582149" w:rsidRPr="00AF72BE">
        <w:rPr>
          <w:rFonts w:ascii="Palatino Linotype" w:eastAsia="Calibri" w:hAnsi="Palatino Linotype" w:cs="Tahoma"/>
          <w:b/>
        </w:rPr>
        <w:t>ara conocimiento del Particular</w:t>
      </w:r>
    </w:p>
    <w:p w14:paraId="1CE56E3E" w14:textId="77777777" w:rsidR="00142D9F" w:rsidRPr="005A6EF3" w:rsidRDefault="00142D9F" w:rsidP="00E12E55">
      <w:pPr>
        <w:spacing w:after="0" w:line="360" w:lineRule="auto"/>
        <w:rPr>
          <w:rFonts w:ascii="Palatino Linotype" w:eastAsia="Calibri" w:hAnsi="Palatino Linotype" w:cs="Tahoma"/>
          <w:b/>
          <w:color w:val="FF0000"/>
        </w:rPr>
      </w:pPr>
    </w:p>
    <w:p w14:paraId="60222447" w14:textId="63628E5E" w:rsidR="00776EF1" w:rsidRPr="00E96EE8" w:rsidRDefault="00142D9F" w:rsidP="00776EF1">
      <w:pPr>
        <w:spacing w:after="0" w:line="360" w:lineRule="auto"/>
        <w:rPr>
          <w:rFonts w:ascii="Palatino Linotype" w:eastAsia="Calibri" w:hAnsi="Palatino Linotype" w:cs="Tahoma"/>
          <w:bCs/>
          <w:iCs/>
        </w:rPr>
      </w:pPr>
      <w:r w:rsidRPr="00E96EE8">
        <w:rPr>
          <w:rFonts w:ascii="Palatino Linotype" w:eastAsia="Calibri" w:hAnsi="Palatino Linotype" w:cs="Tahoma"/>
        </w:rPr>
        <w:t xml:space="preserve">Se le hace del conocimiento a la Particular, que, en el presente caso, se le concede la razón, pues el Ayuntamiento </w:t>
      </w:r>
      <w:r w:rsidR="005E3B41">
        <w:rPr>
          <w:rFonts w:ascii="Palatino Linotype" w:eastAsia="Calibri" w:hAnsi="Palatino Linotype" w:cs="Tahoma"/>
        </w:rPr>
        <w:t>de Toluca</w:t>
      </w:r>
      <w:r w:rsidRPr="00E96EE8">
        <w:rPr>
          <w:rFonts w:ascii="Palatino Linotype" w:eastAsia="Calibri" w:hAnsi="Palatino Linotype" w:cs="Tahoma"/>
        </w:rPr>
        <w:t xml:space="preserve">, </w:t>
      </w:r>
      <w:r w:rsidR="00180D97">
        <w:rPr>
          <w:rFonts w:ascii="Palatino Linotype" w:eastAsia="Calibri" w:hAnsi="Palatino Linotype" w:cs="Tahoma"/>
        </w:rPr>
        <w:t xml:space="preserve">no le proporcionó </w:t>
      </w:r>
      <w:r w:rsidR="00FD64BE">
        <w:rPr>
          <w:rFonts w:ascii="Palatino Linotype" w:eastAsia="Calibri" w:hAnsi="Palatino Linotype" w:cs="Tahoma"/>
        </w:rPr>
        <w:t>los documentos que daban cuenta</w:t>
      </w:r>
      <w:r w:rsidR="009514B4">
        <w:rPr>
          <w:rFonts w:ascii="Palatino Linotype" w:eastAsia="Calibri" w:hAnsi="Palatino Linotype" w:cs="Tahoma"/>
        </w:rPr>
        <w:t xml:space="preserve"> de lo solicitado</w:t>
      </w:r>
      <w:r w:rsidR="000C664B">
        <w:rPr>
          <w:rFonts w:ascii="Palatino Linotype" w:eastAsia="Calibri" w:hAnsi="Palatino Linotype" w:cs="Tahoma"/>
        </w:rPr>
        <w:t>, a saber, las licencias de funcionamiento</w:t>
      </w:r>
      <w:r w:rsidR="009514B4">
        <w:rPr>
          <w:rFonts w:ascii="Palatino Linotype" w:eastAsia="Calibri" w:hAnsi="Palatino Linotype" w:cs="Tahoma"/>
        </w:rPr>
        <w:t xml:space="preserve"> expedidas y el monto recaudado por esta</w:t>
      </w:r>
      <w:r w:rsidR="000C664B">
        <w:rPr>
          <w:rFonts w:ascii="Palatino Linotype" w:eastAsia="Calibri" w:hAnsi="Palatino Linotype" w:cs="Tahoma"/>
        </w:rPr>
        <w:t>, por lo que deberá darle acceso a las mismas en versión pública.</w:t>
      </w:r>
      <w:r w:rsidR="00FE1919">
        <w:rPr>
          <w:rFonts w:ascii="Palatino Linotype" w:eastAsia="Calibri" w:hAnsi="Palatino Linotype" w:cs="Tahoma"/>
        </w:rPr>
        <w:t xml:space="preserve"> </w:t>
      </w:r>
      <w:r w:rsidR="00776EF1" w:rsidRPr="00E96EE8">
        <w:rPr>
          <w:rFonts w:ascii="Palatino Linotype" w:eastAsia="Calibri" w:hAnsi="Palatino Linotype" w:cs="Tahoma"/>
          <w:bCs/>
          <w:iCs/>
        </w:rPr>
        <w:t>Finalmente, se le informa que la labor de este Instituto de Transparencia, Acceso a la Información Pública y Protección de Datos Personales del Estado de México y Municipios, es apoyar a la población a acceder a la información pública y garantizar la protección de sus datos personales.</w:t>
      </w:r>
    </w:p>
    <w:p w14:paraId="18D6972E" w14:textId="77777777" w:rsidR="00955212" w:rsidRPr="00E96EE8" w:rsidRDefault="00955212" w:rsidP="00E12E55">
      <w:pPr>
        <w:spacing w:after="0" w:line="360" w:lineRule="auto"/>
        <w:rPr>
          <w:rFonts w:ascii="Palatino Linotype" w:eastAsia="Calibri" w:hAnsi="Palatino Linotype" w:cs="Times New Roman"/>
        </w:rPr>
      </w:pPr>
    </w:p>
    <w:p w14:paraId="7B727BF3" w14:textId="77777777" w:rsidR="00955212" w:rsidRPr="00E96EE8" w:rsidRDefault="00955212" w:rsidP="00E12E55">
      <w:pPr>
        <w:spacing w:after="0" w:line="360" w:lineRule="auto"/>
        <w:rPr>
          <w:rFonts w:ascii="Palatino Linotype" w:eastAsia="Calibri" w:hAnsi="Palatino Linotype" w:cs="Times New Roman"/>
        </w:rPr>
      </w:pPr>
      <w:r w:rsidRPr="00E96EE8">
        <w:rPr>
          <w:rFonts w:ascii="Palatino Linotype" w:eastAsia="Calibri" w:hAnsi="Palatino Linotype" w:cs="Times New Roman"/>
        </w:rPr>
        <w:lastRenderedPageBreak/>
        <w:t>Por lo expuesto y fundado, este Pleno:</w:t>
      </w:r>
    </w:p>
    <w:p w14:paraId="720A1AFA" w14:textId="77777777" w:rsidR="00955212" w:rsidRPr="00E96EE8" w:rsidRDefault="00955212" w:rsidP="00E12E55">
      <w:pPr>
        <w:spacing w:after="0" w:line="360" w:lineRule="auto"/>
        <w:rPr>
          <w:rFonts w:ascii="Palatino Linotype" w:eastAsia="Calibri" w:hAnsi="Palatino Linotype" w:cs="Times New Roman"/>
          <w:b/>
          <w:bCs/>
        </w:rPr>
      </w:pPr>
    </w:p>
    <w:p w14:paraId="08B9D2D9" w14:textId="0D998AF9" w:rsidR="00955212" w:rsidRPr="00E96EE8" w:rsidRDefault="00955212" w:rsidP="00FE1919">
      <w:pPr>
        <w:pStyle w:val="Ttulo1"/>
        <w:rPr>
          <w:rFonts w:eastAsia="Calibri"/>
        </w:rPr>
      </w:pPr>
      <w:bookmarkStart w:id="13" w:name="_Toc206688686"/>
      <w:r w:rsidRPr="00E96EE8">
        <w:rPr>
          <w:rFonts w:eastAsia="Calibri"/>
        </w:rPr>
        <w:t>R E S U E L V E</w:t>
      </w:r>
      <w:r w:rsidR="00FE1919">
        <w:rPr>
          <w:rFonts w:eastAsia="Calibri"/>
        </w:rPr>
        <w:t>:</w:t>
      </w:r>
      <w:bookmarkEnd w:id="13"/>
    </w:p>
    <w:p w14:paraId="5BDA8335" w14:textId="77777777" w:rsidR="00955212" w:rsidRPr="00E96EE8" w:rsidRDefault="00955212" w:rsidP="00E12E55">
      <w:pPr>
        <w:spacing w:after="0" w:line="360" w:lineRule="auto"/>
        <w:rPr>
          <w:rFonts w:ascii="Palatino Linotype" w:eastAsia="Calibri" w:hAnsi="Palatino Linotype" w:cs="Times New Roman"/>
        </w:rPr>
      </w:pPr>
    </w:p>
    <w:p w14:paraId="68E860D1" w14:textId="0C9CF021" w:rsidR="00FA352C" w:rsidRPr="00E96EE8" w:rsidRDefault="00955212" w:rsidP="00E12E55">
      <w:pPr>
        <w:spacing w:after="0" w:line="360" w:lineRule="auto"/>
        <w:contextualSpacing/>
        <w:rPr>
          <w:rFonts w:ascii="Palatino Linotype" w:eastAsia="Times New Roman" w:hAnsi="Palatino Linotype" w:cs="Times New Roman"/>
          <w:b/>
          <w:bCs/>
          <w:lang w:eastAsia="es-ES"/>
        </w:rPr>
      </w:pPr>
      <w:bookmarkStart w:id="14" w:name="_Toc206688687"/>
      <w:r w:rsidRPr="00FE1919">
        <w:rPr>
          <w:rStyle w:val="Ttulo2Car"/>
        </w:rPr>
        <w:t>PRIMERO.</w:t>
      </w:r>
      <w:bookmarkEnd w:id="14"/>
      <w:r w:rsidRPr="00E96EE8">
        <w:rPr>
          <w:rFonts w:ascii="Palatino Linotype" w:eastAsia="Calibri" w:hAnsi="Palatino Linotype" w:cs="Tahoma"/>
          <w:bCs/>
          <w:iCs/>
        </w:rPr>
        <w:t xml:space="preserve"> Se </w:t>
      </w:r>
      <w:r w:rsidR="00FD64BE">
        <w:rPr>
          <w:rFonts w:ascii="Palatino Linotype" w:eastAsia="Calibri" w:hAnsi="Palatino Linotype" w:cs="Tahoma"/>
          <w:b/>
          <w:bCs/>
          <w:iCs/>
        </w:rPr>
        <w:t xml:space="preserve">MODIFICA </w:t>
      </w:r>
      <w:r w:rsidRPr="00E96EE8">
        <w:rPr>
          <w:rFonts w:ascii="Palatino Linotype" w:eastAsia="Calibri" w:hAnsi="Palatino Linotype" w:cs="Tahoma"/>
          <w:iCs/>
        </w:rPr>
        <w:t xml:space="preserve">la respuesta entregada por el Sujeto Obligado a la solicitud de acceso a la información </w:t>
      </w:r>
      <w:r w:rsidRPr="00E96EE8">
        <w:rPr>
          <w:rFonts w:ascii="Palatino Linotype" w:eastAsia="Calibri" w:hAnsi="Palatino Linotype" w:cs="Tahoma"/>
        </w:rPr>
        <w:t>con número de folio</w:t>
      </w:r>
      <w:r w:rsidR="00E96EE8" w:rsidRPr="00E96EE8">
        <w:rPr>
          <w:rFonts w:ascii="Verdana" w:hAnsi="Verdana"/>
          <w:b/>
          <w:bCs/>
        </w:rPr>
        <w:t xml:space="preserve"> </w:t>
      </w:r>
      <w:r w:rsidR="005E3B41">
        <w:rPr>
          <w:rFonts w:ascii="Palatino Linotype" w:eastAsia="Calibri" w:hAnsi="Palatino Linotype" w:cs="Tahoma"/>
          <w:bCs/>
          <w:lang w:eastAsia="es-ES"/>
        </w:rPr>
        <w:t>03132/TOLUCA/IP/2025</w:t>
      </w:r>
      <w:r w:rsidRPr="00180D97">
        <w:rPr>
          <w:rFonts w:ascii="Palatino Linotype" w:eastAsia="Calibri" w:hAnsi="Palatino Linotype" w:cs="Tahoma"/>
          <w:bCs/>
          <w:lang w:eastAsia="es-ES"/>
        </w:rPr>
        <w:t xml:space="preserve">, </w:t>
      </w:r>
      <w:r w:rsidR="00FA352C" w:rsidRPr="00180D97">
        <w:rPr>
          <w:rFonts w:ascii="Palatino Linotype" w:eastAsia="Calibri" w:hAnsi="Palatino Linotype" w:cs="Tahoma"/>
          <w:bCs/>
          <w:lang w:eastAsia="es-ES"/>
        </w:rPr>
        <w:t>po</w:t>
      </w:r>
      <w:r w:rsidR="00FA352C" w:rsidRPr="00180D97">
        <w:rPr>
          <w:rFonts w:ascii="Palatino Linotype" w:eastAsia="Times New Roman" w:hAnsi="Palatino Linotype" w:cs="Times New Roman"/>
          <w:bCs/>
          <w:lang w:eastAsia="es-ES"/>
        </w:rPr>
        <w:t>r</w:t>
      </w:r>
      <w:r w:rsidR="00FA352C" w:rsidRPr="00E96EE8">
        <w:rPr>
          <w:rFonts w:ascii="Palatino Linotype" w:eastAsia="Times New Roman" w:hAnsi="Palatino Linotype" w:cs="Times New Roman"/>
          <w:bCs/>
          <w:lang w:eastAsia="es-ES"/>
        </w:rPr>
        <w:t xml:space="preserve"> resultar </w:t>
      </w:r>
      <w:r w:rsidR="00FA352C" w:rsidRPr="00E96EE8">
        <w:rPr>
          <w:rFonts w:ascii="Palatino Linotype" w:eastAsia="Times New Roman" w:hAnsi="Palatino Linotype" w:cs="Times New Roman"/>
          <w:b/>
          <w:bCs/>
          <w:lang w:eastAsia="es-ES"/>
        </w:rPr>
        <w:t>FUNDADAS</w:t>
      </w:r>
      <w:r w:rsidR="00FA352C" w:rsidRPr="00E96EE8">
        <w:rPr>
          <w:rFonts w:ascii="Palatino Linotype" w:eastAsia="Times New Roman" w:hAnsi="Palatino Linotype" w:cs="Tahoma"/>
          <w:bCs/>
          <w:lang w:eastAsia="es-ES"/>
        </w:rPr>
        <w:t xml:space="preserve"> </w:t>
      </w:r>
      <w:r w:rsidR="00FA352C" w:rsidRPr="00E96EE8">
        <w:rPr>
          <w:rFonts w:ascii="Palatino Linotype" w:eastAsia="Calibri" w:hAnsi="Palatino Linotype" w:cs="Tahoma"/>
          <w:bCs/>
          <w:lang w:eastAsia="es-ES"/>
        </w:rPr>
        <w:t>las</w:t>
      </w:r>
      <w:r w:rsidR="00FA352C" w:rsidRPr="009514B4">
        <w:rPr>
          <w:rFonts w:ascii="Palatino Linotype" w:eastAsia="Calibri" w:hAnsi="Palatino Linotype" w:cs="Tahoma"/>
          <w:lang w:eastAsia="es-ES"/>
        </w:rPr>
        <w:t xml:space="preserve"> razones</w:t>
      </w:r>
      <w:r w:rsidR="00FA352C" w:rsidRPr="00E96EE8">
        <w:rPr>
          <w:rFonts w:ascii="Palatino Linotype" w:eastAsia="Calibri" w:hAnsi="Palatino Linotype" w:cs="Tahoma"/>
          <w:bCs/>
          <w:lang w:eastAsia="es-ES"/>
        </w:rPr>
        <w:t xml:space="preserve"> o motivos de inconformidad hechos valer por el Recurrente, en términos de los considerandos </w:t>
      </w:r>
      <w:r w:rsidR="00FA352C" w:rsidRPr="00E96EE8">
        <w:rPr>
          <w:rFonts w:ascii="Palatino Linotype" w:eastAsia="Calibri" w:hAnsi="Palatino Linotype" w:cs="Tahoma"/>
          <w:lang w:eastAsia="es-ES"/>
        </w:rPr>
        <w:t>QUINTO</w:t>
      </w:r>
      <w:r w:rsidR="00FA352C" w:rsidRPr="00E96EE8">
        <w:rPr>
          <w:rFonts w:ascii="Palatino Linotype" w:eastAsia="Calibri" w:hAnsi="Palatino Linotype" w:cs="Tahoma"/>
          <w:bCs/>
          <w:lang w:eastAsia="es-ES"/>
        </w:rPr>
        <w:t xml:space="preserve"> y </w:t>
      </w:r>
      <w:r w:rsidR="00FA352C" w:rsidRPr="00E96EE8">
        <w:rPr>
          <w:rFonts w:ascii="Palatino Linotype" w:eastAsia="Calibri" w:hAnsi="Palatino Linotype" w:cs="Tahoma"/>
          <w:lang w:eastAsia="es-ES"/>
        </w:rPr>
        <w:t>SEXTO</w:t>
      </w:r>
      <w:r w:rsidR="00FA352C" w:rsidRPr="00E96EE8">
        <w:rPr>
          <w:rFonts w:ascii="Palatino Linotype" w:eastAsia="Calibri" w:hAnsi="Palatino Linotype" w:cs="Tahoma"/>
          <w:b/>
          <w:lang w:eastAsia="es-ES"/>
        </w:rPr>
        <w:t xml:space="preserve"> </w:t>
      </w:r>
      <w:r w:rsidR="00FA352C" w:rsidRPr="00E96EE8">
        <w:rPr>
          <w:rFonts w:ascii="Palatino Linotype" w:eastAsia="Calibri" w:hAnsi="Palatino Linotype" w:cs="Tahoma"/>
          <w:bCs/>
          <w:lang w:eastAsia="es-ES"/>
        </w:rPr>
        <w:t>de la presente Resolución.</w:t>
      </w:r>
    </w:p>
    <w:p w14:paraId="35D72697" w14:textId="77777777" w:rsidR="00FA352C" w:rsidRPr="005A6EF3" w:rsidRDefault="00FA352C" w:rsidP="00E12E55">
      <w:pPr>
        <w:spacing w:after="0" w:line="360" w:lineRule="auto"/>
        <w:contextualSpacing/>
        <w:rPr>
          <w:rFonts w:ascii="Palatino Linotype" w:eastAsia="Times New Roman" w:hAnsi="Palatino Linotype" w:cs="Tahoma"/>
          <w:b/>
          <w:bCs/>
          <w:color w:val="FF0000"/>
          <w:lang w:eastAsia="es-ES"/>
        </w:rPr>
      </w:pPr>
    </w:p>
    <w:p w14:paraId="19F04194" w14:textId="1C116F80" w:rsidR="00FA352C" w:rsidRPr="00205F49" w:rsidRDefault="00FA352C" w:rsidP="00E12E55">
      <w:pPr>
        <w:spacing w:after="0" w:line="360" w:lineRule="auto"/>
        <w:contextualSpacing/>
        <w:rPr>
          <w:rFonts w:ascii="Palatino Linotype" w:eastAsia="Times New Roman" w:hAnsi="Palatino Linotype" w:cs="Tahoma"/>
          <w:iCs/>
          <w:lang w:eastAsia="es-ES"/>
        </w:rPr>
      </w:pPr>
      <w:bookmarkStart w:id="15" w:name="_Toc206688688"/>
      <w:r w:rsidRPr="00FE1919">
        <w:rPr>
          <w:rStyle w:val="Ttulo2Car"/>
        </w:rPr>
        <w:t>SEGUNDO.</w:t>
      </w:r>
      <w:bookmarkEnd w:id="15"/>
      <w:r w:rsidRPr="00205F49">
        <w:rPr>
          <w:rFonts w:ascii="Palatino Linotype" w:eastAsia="Times New Roman" w:hAnsi="Palatino Linotype" w:cs="Tahoma"/>
          <w:b/>
          <w:bCs/>
          <w:lang w:eastAsia="es-ES"/>
        </w:rPr>
        <w:t xml:space="preserve"> </w:t>
      </w:r>
      <w:r w:rsidRPr="00205F49">
        <w:rPr>
          <w:rFonts w:ascii="Palatino Linotype" w:eastAsia="Times New Roman" w:hAnsi="Palatino Linotype" w:cs="Tahoma"/>
          <w:lang w:eastAsia="es-ES"/>
        </w:rPr>
        <w:t xml:space="preserve">Se </w:t>
      </w:r>
      <w:r w:rsidRPr="00205F49">
        <w:rPr>
          <w:rFonts w:ascii="Palatino Linotype" w:eastAsia="Times New Roman" w:hAnsi="Palatino Linotype" w:cs="Tahoma"/>
          <w:b/>
          <w:lang w:eastAsia="es-ES"/>
        </w:rPr>
        <w:t>ORDENA</w:t>
      </w:r>
      <w:r w:rsidRPr="00205F49">
        <w:rPr>
          <w:rFonts w:ascii="Palatino Linotype" w:eastAsia="Times New Roman" w:hAnsi="Palatino Linotype" w:cs="Tahoma"/>
          <w:bCs/>
          <w:lang w:eastAsia="es-ES"/>
        </w:rPr>
        <w:t xml:space="preserve"> al</w:t>
      </w:r>
      <w:r w:rsidRPr="00205F49">
        <w:rPr>
          <w:rFonts w:ascii="Palatino Linotype" w:eastAsia="Times New Roman" w:hAnsi="Palatino Linotype" w:cs="Tahoma"/>
          <w:lang w:eastAsia="es-ES"/>
        </w:rPr>
        <w:t xml:space="preserve"> </w:t>
      </w:r>
      <w:r w:rsidRPr="00205F49">
        <w:rPr>
          <w:rFonts w:ascii="Palatino Linotype" w:eastAsia="Calibri" w:hAnsi="Palatino Linotype" w:cs="Tahoma"/>
          <w:lang w:eastAsia="es-ES"/>
        </w:rPr>
        <w:t>Sujeto Obligado,</w:t>
      </w:r>
      <w:r w:rsidRPr="00205F49">
        <w:rPr>
          <w:rFonts w:ascii="Palatino Linotype" w:eastAsia="Times New Roman" w:hAnsi="Palatino Linotype" w:cs="Tahoma"/>
          <w:b/>
          <w:lang w:eastAsia="es-ES"/>
        </w:rPr>
        <w:t xml:space="preserve"> </w:t>
      </w:r>
      <w:r w:rsidRPr="00205F49">
        <w:rPr>
          <w:rFonts w:ascii="Palatino Linotype" w:eastAsia="Times New Roman" w:hAnsi="Palatino Linotype" w:cs="Tahoma"/>
          <w:lang w:eastAsia="es-ES"/>
        </w:rPr>
        <w:t>a efecto de que</w:t>
      </w:r>
      <w:r w:rsidR="000479FF">
        <w:rPr>
          <w:rFonts w:ascii="Palatino Linotype" w:eastAsia="Times New Roman" w:hAnsi="Palatino Linotype" w:cs="Tahoma"/>
          <w:lang w:eastAsia="es-ES"/>
        </w:rPr>
        <w:t xml:space="preserve"> </w:t>
      </w:r>
      <w:r w:rsidR="00776EF1" w:rsidRPr="00205F49">
        <w:rPr>
          <w:rFonts w:ascii="Palatino Linotype" w:eastAsia="Calibri" w:hAnsi="Palatino Linotype" w:cs="Tahoma"/>
          <w:lang w:eastAsia="es-MX"/>
        </w:rPr>
        <w:t>entregue</w:t>
      </w:r>
      <w:r w:rsidR="000C664B">
        <w:rPr>
          <w:rFonts w:ascii="Palatino Linotype" w:eastAsia="Calibri" w:hAnsi="Palatino Linotype" w:cs="Tahoma"/>
          <w:lang w:eastAsia="es-MX"/>
        </w:rPr>
        <w:t xml:space="preserve"> previa búsqueda exhaustiva y razonable en los archivos de las unidades administrativas competentes</w:t>
      </w:r>
      <w:r w:rsidR="00776EF1" w:rsidRPr="00205F49">
        <w:rPr>
          <w:rFonts w:ascii="Palatino Linotype" w:eastAsia="Calibri" w:hAnsi="Palatino Linotype" w:cs="Tahoma"/>
        </w:rPr>
        <w:t xml:space="preserve">, a través del Sistema de Acceso a la Información Mexiquense (SAIMEX), en versión </w:t>
      </w:r>
      <w:r w:rsidR="000C664B">
        <w:rPr>
          <w:rFonts w:ascii="Palatino Linotype" w:eastAsia="Calibri" w:hAnsi="Palatino Linotype" w:cs="Tahoma"/>
        </w:rPr>
        <w:t>pública</w:t>
      </w:r>
      <w:r w:rsidR="00776EF1" w:rsidRPr="00205F49">
        <w:rPr>
          <w:rFonts w:ascii="Palatino Linotype" w:eastAsia="Calibri" w:hAnsi="Palatino Linotype" w:cs="Tahoma"/>
        </w:rPr>
        <w:t>, lo siguiente:</w:t>
      </w:r>
    </w:p>
    <w:p w14:paraId="311092A0" w14:textId="77777777" w:rsidR="00FA352C" w:rsidRPr="005A6EF3" w:rsidRDefault="00FA352C" w:rsidP="00E12E55">
      <w:pPr>
        <w:spacing w:after="0" w:line="360" w:lineRule="auto"/>
        <w:contextualSpacing/>
        <w:rPr>
          <w:rFonts w:ascii="Palatino Linotype" w:eastAsia="Times New Roman" w:hAnsi="Palatino Linotype" w:cs="Tahoma"/>
          <w:b/>
          <w:iCs/>
          <w:color w:val="FF0000"/>
          <w:lang w:eastAsia="es-ES"/>
        </w:rPr>
      </w:pPr>
    </w:p>
    <w:p w14:paraId="63D5BF04" w14:textId="760ADD3F" w:rsidR="00776EF1" w:rsidRPr="00AD0E14" w:rsidRDefault="00180D97" w:rsidP="003A30E4">
      <w:pPr>
        <w:pStyle w:val="Prrafodelista"/>
        <w:numPr>
          <w:ilvl w:val="0"/>
          <w:numId w:val="15"/>
        </w:numPr>
        <w:spacing w:after="0" w:line="360" w:lineRule="auto"/>
        <w:rPr>
          <w:rFonts w:ascii="Palatino Linotype" w:eastAsia="Times New Roman" w:hAnsi="Palatino Linotype" w:cs="Tahoma"/>
          <w:bCs/>
          <w:iCs/>
          <w:lang w:eastAsia="es-ES"/>
        </w:rPr>
      </w:pPr>
      <w:r>
        <w:rPr>
          <w:rFonts w:ascii="Palatino Linotype" w:eastAsia="Times New Roman" w:hAnsi="Palatino Linotype" w:cs="Tahoma"/>
          <w:iCs/>
          <w:lang w:eastAsia="es-ES"/>
        </w:rPr>
        <w:t>Las</w:t>
      </w:r>
      <w:r w:rsidR="000C664B">
        <w:rPr>
          <w:rFonts w:ascii="Palatino Linotype" w:eastAsia="Times New Roman" w:hAnsi="Palatino Linotype" w:cs="Tahoma"/>
          <w:iCs/>
          <w:lang w:eastAsia="es-ES"/>
        </w:rPr>
        <w:t xml:space="preserve"> mil ochocientas sesenta y cuatro</w:t>
      </w:r>
      <w:r>
        <w:rPr>
          <w:rFonts w:ascii="Palatino Linotype" w:eastAsia="Times New Roman" w:hAnsi="Palatino Linotype" w:cs="Tahoma"/>
          <w:iCs/>
          <w:lang w:eastAsia="es-ES"/>
        </w:rPr>
        <w:t xml:space="preserve"> </w:t>
      </w:r>
      <w:r w:rsidR="000C664B">
        <w:rPr>
          <w:rFonts w:ascii="Palatino Linotype" w:eastAsia="Calibri" w:hAnsi="Palatino Linotype" w:cs="Tahoma"/>
        </w:rPr>
        <w:t>l</w:t>
      </w:r>
      <w:r w:rsidR="000479FF">
        <w:rPr>
          <w:rFonts w:ascii="Palatino Linotype" w:eastAsia="Calibri" w:hAnsi="Palatino Linotype" w:cs="Tahoma"/>
        </w:rPr>
        <w:t>icencias</w:t>
      </w:r>
      <w:r w:rsidR="000C664B">
        <w:rPr>
          <w:rFonts w:ascii="Palatino Linotype" w:eastAsia="Calibri" w:hAnsi="Palatino Linotype" w:cs="Tahoma"/>
        </w:rPr>
        <w:t xml:space="preserve"> de funcionamiento </w:t>
      </w:r>
      <w:r w:rsidR="00CE420E">
        <w:rPr>
          <w:rFonts w:ascii="Palatino Linotype" w:eastAsia="Calibri" w:hAnsi="Palatino Linotype" w:cs="Tahoma"/>
        </w:rPr>
        <w:t>referidas en respuesta</w:t>
      </w:r>
      <w:r w:rsidR="003A30E4">
        <w:rPr>
          <w:rFonts w:ascii="Palatino Linotype" w:eastAsia="Calibri" w:hAnsi="Palatino Linotype" w:cs="Tahoma"/>
        </w:rPr>
        <w:t>.</w:t>
      </w:r>
    </w:p>
    <w:p w14:paraId="191E1147" w14:textId="1375DF24" w:rsidR="00AD0E14" w:rsidRPr="003A30E4" w:rsidRDefault="00AD0E14" w:rsidP="003A30E4">
      <w:pPr>
        <w:pStyle w:val="Prrafodelista"/>
        <w:numPr>
          <w:ilvl w:val="0"/>
          <w:numId w:val="15"/>
        </w:numPr>
        <w:spacing w:after="0" w:line="360" w:lineRule="auto"/>
        <w:rPr>
          <w:rFonts w:ascii="Palatino Linotype" w:eastAsia="Times New Roman" w:hAnsi="Palatino Linotype" w:cs="Tahoma"/>
          <w:bCs/>
          <w:iCs/>
          <w:lang w:eastAsia="es-ES"/>
        </w:rPr>
      </w:pPr>
      <w:r>
        <w:rPr>
          <w:rFonts w:ascii="Palatino Linotype" w:eastAsia="Times New Roman" w:hAnsi="Palatino Linotype" w:cs="Tahoma"/>
          <w:iCs/>
          <w:lang w:eastAsia="es-ES"/>
        </w:rPr>
        <w:t>Los documentos donde conste el monto recaudado por la expedición de las licencias que dan cuenta del punto anterior.</w:t>
      </w:r>
    </w:p>
    <w:p w14:paraId="0BE4B6BB" w14:textId="77777777" w:rsidR="00AD0E14" w:rsidRDefault="00AD0E14" w:rsidP="00AD0E14">
      <w:pPr>
        <w:spacing w:after="0" w:line="360" w:lineRule="auto"/>
        <w:rPr>
          <w:rFonts w:ascii="Palatino Linotype" w:eastAsia="Times New Roman" w:hAnsi="Palatino Linotype" w:cs="Tahoma"/>
          <w:bCs/>
          <w:iCs/>
          <w:lang w:eastAsia="es-ES"/>
        </w:rPr>
      </w:pPr>
    </w:p>
    <w:p w14:paraId="4807CB8A" w14:textId="77D31E55" w:rsidR="00AD0E14" w:rsidRPr="00AD0E14" w:rsidRDefault="00AD0E14" w:rsidP="00AD0E14">
      <w:pPr>
        <w:spacing w:after="0" w:line="360" w:lineRule="auto"/>
        <w:rPr>
          <w:rFonts w:ascii="Palatino Linotype" w:eastAsia="Palatino Linotype" w:hAnsi="Palatino Linotype" w:cs="Tahoma"/>
          <w:bCs/>
          <w:iCs/>
          <w:color w:val="000000"/>
          <w:lang w:eastAsia="es-ES"/>
        </w:rPr>
      </w:pPr>
      <w:r w:rsidRPr="00AD0E14">
        <w:rPr>
          <w:rFonts w:ascii="Palatino Linotype" w:eastAsia="Palatino Linotype" w:hAnsi="Palatino Linotype" w:cs="Palatino Linotype"/>
          <w:color w:val="000000"/>
          <w:lang w:eastAsia="es-MX"/>
        </w:rPr>
        <w:t xml:space="preserve">Además, </w:t>
      </w:r>
      <w:r w:rsidRPr="00AD0E14">
        <w:rPr>
          <w:rFonts w:ascii="Palatino Linotype" w:eastAsia="Palatino Linotype" w:hAnsi="Palatino Linotype" w:cs="Tahoma"/>
          <w:bCs/>
          <w:iCs/>
          <w:color w:val="000000"/>
          <w:lang w:eastAsia="es-ES"/>
        </w:rPr>
        <w:t xml:space="preserve">deberá proporcionar el Acuerdo de Clasificación donde el Comité de Transparencia, confirme la eliminación de los datos, </w:t>
      </w:r>
      <w:r>
        <w:rPr>
          <w:rFonts w:ascii="Palatino Linotype" w:eastAsia="Palatino Linotype" w:hAnsi="Palatino Linotype" w:cs="Tahoma"/>
          <w:bCs/>
          <w:iCs/>
          <w:color w:val="000000"/>
          <w:lang w:eastAsia="es-ES"/>
        </w:rPr>
        <w:t>tomando en consideración lo establecido en el</w:t>
      </w:r>
      <w:r w:rsidRPr="00AD0E14">
        <w:rPr>
          <w:rFonts w:ascii="Palatino Linotype" w:eastAsia="Palatino Linotype" w:hAnsi="Palatino Linotype" w:cs="Tahoma"/>
          <w:bCs/>
          <w:iCs/>
          <w:color w:val="000000"/>
          <w:lang w:eastAsia="es-ES"/>
        </w:rPr>
        <w:t xml:space="preserve"> Considerando QUINTO, en la versión pública, de conformidad con los artículos 49, fracciones II y VIII y 132, fracción II de la Ley de Transparencia y Acceso a la Información Pública del Estado de México y Municipios.</w:t>
      </w:r>
    </w:p>
    <w:p w14:paraId="79AEB163" w14:textId="77777777" w:rsidR="00AD0E14" w:rsidRPr="003A30E4" w:rsidRDefault="00AD0E14" w:rsidP="00AD0E14">
      <w:pPr>
        <w:spacing w:after="0" w:line="360" w:lineRule="auto"/>
        <w:rPr>
          <w:rFonts w:ascii="Palatino Linotype" w:eastAsia="Times New Roman" w:hAnsi="Palatino Linotype" w:cs="Tahoma"/>
          <w:bCs/>
          <w:iCs/>
          <w:lang w:eastAsia="es-ES"/>
        </w:rPr>
      </w:pPr>
    </w:p>
    <w:p w14:paraId="244F59F7" w14:textId="2ECF73D2" w:rsidR="009A3FE2" w:rsidRPr="003A30E4" w:rsidRDefault="009A3FE2" w:rsidP="00E12E55">
      <w:pPr>
        <w:spacing w:after="0" w:line="360" w:lineRule="auto"/>
        <w:rPr>
          <w:rFonts w:ascii="Palatino Linotype" w:eastAsia="Calibri" w:hAnsi="Palatino Linotype" w:cs="Tahoma"/>
        </w:rPr>
      </w:pPr>
      <w:bookmarkStart w:id="16" w:name="_Toc206688689"/>
      <w:r w:rsidRPr="00FE1919">
        <w:rPr>
          <w:rStyle w:val="Ttulo2Car"/>
        </w:rPr>
        <w:t>TERCERO.</w:t>
      </w:r>
      <w:bookmarkEnd w:id="16"/>
      <w:r w:rsidRPr="003A30E4">
        <w:rPr>
          <w:rFonts w:ascii="Palatino Linotype" w:eastAsia="Calibri" w:hAnsi="Palatino Linotype" w:cs="Tahoma"/>
          <w:b/>
          <w:bCs/>
          <w:lang w:eastAsia="es-ES"/>
        </w:rPr>
        <w:t xml:space="preserve"> </w:t>
      </w:r>
      <w:r w:rsidRPr="003A30E4">
        <w:rPr>
          <w:rFonts w:ascii="Palatino Linotype" w:eastAsia="Calibri" w:hAnsi="Palatino Linotype" w:cs="Tahoma"/>
          <w:b/>
        </w:rPr>
        <w:t>NOTIFÍQUESE</w:t>
      </w:r>
      <w:r w:rsidR="00FE1919">
        <w:rPr>
          <w:rFonts w:ascii="Palatino Linotype" w:eastAsia="Calibri" w:hAnsi="Palatino Linotype" w:cs="Tahoma"/>
          <w:b/>
        </w:rPr>
        <w:t xml:space="preserve"> VIA SAIMEX</w:t>
      </w:r>
      <w:r w:rsidRPr="003A30E4">
        <w:rPr>
          <w:rFonts w:ascii="Palatino Linotype" w:eastAsia="Calibri" w:hAnsi="Palatino Linotype" w:cs="Tahoma"/>
          <w:b/>
        </w:rPr>
        <w:t xml:space="preserve"> </w:t>
      </w:r>
      <w:r w:rsidRPr="003A30E4">
        <w:rPr>
          <w:rFonts w:ascii="Palatino Linotype" w:eastAsia="Calibri" w:hAnsi="Palatino Linotype" w:cs="Tahoma"/>
          <w:b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3A30E4">
        <w:rPr>
          <w:rFonts w:ascii="Palatino Linotype" w:eastAsia="Calibri" w:hAnsi="Palatino Linotype" w:cs="Tahoma"/>
          <w:bCs/>
        </w:rPr>
        <w:lastRenderedPageBreak/>
        <w:t>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33B25AF" w14:textId="77777777" w:rsidR="009A3FE2" w:rsidRDefault="009A3FE2" w:rsidP="00E12E55">
      <w:pPr>
        <w:spacing w:after="0" w:line="360" w:lineRule="auto"/>
        <w:contextualSpacing/>
        <w:rPr>
          <w:rFonts w:ascii="Palatino Linotype" w:eastAsia="Times New Roman" w:hAnsi="Palatino Linotype" w:cs="Tahoma"/>
          <w:lang w:eastAsia="es-ES"/>
        </w:rPr>
      </w:pPr>
    </w:p>
    <w:p w14:paraId="5F2172F4" w14:textId="77777777" w:rsidR="009A3FE2" w:rsidRPr="003A30E4" w:rsidRDefault="009A3FE2" w:rsidP="00E12E55">
      <w:pPr>
        <w:spacing w:after="0" w:line="360" w:lineRule="auto"/>
        <w:contextualSpacing/>
        <w:rPr>
          <w:rFonts w:ascii="Palatino Linotype" w:eastAsia="Times New Roman" w:hAnsi="Palatino Linotype" w:cs="Tahoma"/>
          <w:iCs/>
          <w:lang w:eastAsia="es-ES"/>
        </w:rPr>
      </w:pPr>
      <w:r w:rsidRPr="003A30E4">
        <w:rPr>
          <w:rFonts w:ascii="Palatino Linotype" w:eastAsia="Times New Roman" w:hAnsi="Palatino Linotype" w:cs="Tahoma"/>
          <w:iCs/>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143E651" w14:textId="77777777" w:rsidR="009A3FE2" w:rsidRPr="003A30E4" w:rsidRDefault="009A3FE2" w:rsidP="00E12E55">
      <w:pPr>
        <w:spacing w:after="0" w:line="360" w:lineRule="auto"/>
        <w:ind w:right="-93"/>
        <w:rPr>
          <w:rFonts w:ascii="Palatino Linotype" w:eastAsia="Calibri" w:hAnsi="Palatino Linotype" w:cs="Tahoma"/>
          <w:b/>
          <w:lang w:eastAsia="es-ES"/>
        </w:rPr>
      </w:pPr>
    </w:p>
    <w:p w14:paraId="44E76593" w14:textId="45A8E6B7" w:rsidR="009A3FE2" w:rsidRPr="003A30E4" w:rsidRDefault="009A3FE2" w:rsidP="00E12E55">
      <w:pPr>
        <w:spacing w:after="0" w:line="360" w:lineRule="auto"/>
        <w:ind w:right="-93"/>
        <w:rPr>
          <w:rFonts w:ascii="Palatino Linotype" w:eastAsia="Times New Roman" w:hAnsi="Palatino Linotype" w:cs="Tahoma"/>
          <w:lang w:eastAsia="es-ES"/>
        </w:rPr>
      </w:pPr>
      <w:bookmarkStart w:id="17" w:name="_Toc206688690"/>
      <w:r w:rsidRPr="00FE1919">
        <w:rPr>
          <w:rStyle w:val="Ttulo2Car"/>
        </w:rPr>
        <w:t>CUARTO.</w:t>
      </w:r>
      <w:bookmarkEnd w:id="17"/>
      <w:r w:rsidRPr="003A30E4">
        <w:rPr>
          <w:rFonts w:ascii="Palatino Linotype" w:eastAsia="Calibri" w:hAnsi="Palatino Linotype" w:cs="Tahoma"/>
          <w:lang w:eastAsia="es-ES"/>
        </w:rPr>
        <w:t xml:space="preserve"> </w:t>
      </w:r>
      <w:r w:rsidRPr="003A30E4">
        <w:rPr>
          <w:rFonts w:ascii="Palatino Linotype" w:eastAsia="Times New Roman" w:hAnsi="Palatino Linotype" w:cs="Tahoma"/>
          <w:b/>
          <w:lang w:eastAsia="es-ES"/>
        </w:rPr>
        <w:t>NOTIFÍQUESE</w:t>
      </w:r>
      <w:r w:rsidRPr="003A30E4">
        <w:rPr>
          <w:rFonts w:ascii="Palatino Linotype" w:eastAsia="Times New Roman" w:hAnsi="Palatino Linotype" w:cs="Tahoma"/>
          <w:lang w:eastAsia="es-ES"/>
        </w:rPr>
        <w:t xml:space="preserve"> </w:t>
      </w:r>
      <w:r w:rsidR="00FE1919" w:rsidRPr="00FE1919">
        <w:rPr>
          <w:rFonts w:ascii="Palatino Linotype" w:eastAsia="Times New Roman" w:hAnsi="Palatino Linotype" w:cs="Tahoma"/>
          <w:b/>
          <w:bCs/>
          <w:lang w:eastAsia="es-ES"/>
        </w:rPr>
        <w:t>VIA SAIMEX</w:t>
      </w:r>
      <w:r w:rsidR="00FE1919">
        <w:rPr>
          <w:rFonts w:ascii="Palatino Linotype" w:eastAsia="Times New Roman" w:hAnsi="Palatino Linotype" w:cs="Tahoma"/>
          <w:lang w:eastAsia="es-ES"/>
        </w:rPr>
        <w:t xml:space="preserve"> </w:t>
      </w:r>
      <w:r w:rsidRPr="003A30E4">
        <w:rPr>
          <w:rFonts w:ascii="Palatino Linotype" w:eastAsia="Times New Roman" w:hAnsi="Palatino Linotype" w:cs="Tahoma"/>
          <w:lang w:eastAsia="es-E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776EF1" w:rsidRPr="003A30E4">
        <w:rPr>
          <w:rFonts w:ascii="Palatino Linotype" w:eastAsia="Times New Roman" w:hAnsi="Palatino Linotype" w:cs="Tahoma"/>
          <w:lang w:eastAsia="es-ES"/>
        </w:rPr>
        <w:t>.</w:t>
      </w:r>
    </w:p>
    <w:p w14:paraId="7C30A26C" w14:textId="77777777" w:rsidR="009A3FE2" w:rsidRPr="003A30E4" w:rsidRDefault="009A3FE2" w:rsidP="00E12E55">
      <w:pPr>
        <w:spacing w:after="0" w:line="360" w:lineRule="auto"/>
        <w:contextualSpacing/>
        <w:rPr>
          <w:rFonts w:ascii="Palatino Linotype" w:eastAsia="Times New Roman" w:hAnsi="Palatino Linotype" w:cs="Tahoma"/>
          <w:lang w:eastAsia="es-ES"/>
        </w:rPr>
      </w:pPr>
    </w:p>
    <w:p w14:paraId="70D40A42" w14:textId="1C19AA7E" w:rsidR="00955212" w:rsidRPr="003A30E4" w:rsidRDefault="003A30E4" w:rsidP="00E12E55">
      <w:pPr>
        <w:spacing w:after="0" w:line="360" w:lineRule="auto"/>
        <w:rPr>
          <w:rFonts w:ascii="Palatino Linotype" w:eastAsia="Calibri" w:hAnsi="Palatino Linotype" w:cs="Times New Roman"/>
        </w:rPr>
      </w:pPr>
      <w:r>
        <w:rPr>
          <w:rFonts w:ascii="Palatino Linotype" w:eastAsia="Calibri" w:hAnsi="Palatino Linotype" w:cs="Times New Roman"/>
        </w:rPr>
        <w:t xml:space="preserve">ASÍ LO RESUELVE, POR </w:t>
      </w:r>
      <w:r w:rsidRPr="00BD1081">
        <w:rPr>
          <w:rFonts w:ascii="Palatino Linotype" w:eastAsia="Calibri" w:hAnsi="Palatino Linotype" w:cs="Times New Roman"/>
          <w:b/>
        </w:rPr>
        <w:t>UNANIMIDAD</w:t>
      </w:r>
      <w:r w:rsidR="00955212" w:rsidRPr="003A30E4">
        <w:rPr>
          <w:rFonts w:ascii="Palatino Linotype" w:eastAsia="Calibri" w:hAnsi="Palatino Linotype" w:cs="Times New Roman"/>
        </w:rPr>
        <w:t xml:space="preserve"> DE VOTOS EL PLENO DEL INSTITUTO DE TRANSPARENCIA, ACCESO A LA INFORMACIÓN PÚBLICA Y PROTECCIÓN DE DATOS PERSONALES DEL ESTADO DE MÉXICO Y MUNICIPIOS, CONFORMADO POR LOS COMISIONADOS JOSÉ MARTÍNEZ VILCHIS</w:t>
      </w:r>
      <w:r w:rsidR="00FE1919">
        <w:rPr>
          <w:rFonts w:ascii="Palatino Linotype" w:eastAsia="Calibri" w:hAnsi="Palatino Linotype" w:cs="Times New Roman"/>
        </w:rPr>
        <w:t xml:space="preserve"> (AUSENCIA JUSTIFICADA)</w:t>
      </w:r>
      <w:r w:rsidR="00955212" w:rsidRPr="003A30E4">
        <w:rPr>
          <w:rFonts w:ascii="Palatino Linotype" w:eastAsia="Calibri" w:hAnsi="Palatino Linotype" w:cs="Times New Roman"/>
        </w:rPr>
        <w:t>, MARÍA DEL ROSARIO MEJÍA AYALA, SHARON CRISTINA MORALES MARTÍNEZ, LUIS GUSTAVO PARRA NORIEGA</w:t>
      </w:r>
      <w:r w:rsidR="00FE1919">
        <w:rPr>
          <w:rFonts w:ascii="Palatino Linotype" w:eastAsia="Calibri" w:hAnsi="Palatino Linotype" w:cs="Times New Roman"/>
        </w:rPr>
        <w:t xml:space="preserve"> CON VOTO PARTICULAR</w:t>
      </w:r>
      <w:bookmarkStart w:id="18" w:name="_GoBack"/>
      <w:bookmarkEnd w:id="18"/>
      <w:r w:rsidR="00983244" w:rsidRPr="003A30E4">
        <w:rPr>
          <w:rFonts w:ascii="Palatino Linotype" w:eastAsia="Calibri" w:hAnsi="Palatino Linotype" w:cs="Times New Roman"/>
        </w:rPr>
        <w:t xml:space="preserve"> </w:t>
      </w:r>
      <w:r w:rsidR="00955212" w:rsidRPr="003A30E4">
        <w:rPr>
          <w:rFonts w:ascii="Palatino Linotype" w:eastAsia="Calibri" w:hAnsi="Palatino Linotype" w:cs="Times New Roman"/>
        </w:rPr>
        <w:t>Y GUADALUPE RAMÍ</w:t>
      </w:r>
      <w:r w:rsidR="00BC5004" w:rsidRPr="003A30E4">
        <w:rPr>
          <w:rFonts w:ascii="Palatino Linotype" w:eastAsia="Calibri" w:hAnsi="Palatino Linotype" w:cs="Times New Roman"/>
        </w:rPr>
        <w:t>REZ PEÑA</w:t>
      </w:r>
      <w:r>
        <w:rPr>
          <w:rFonts w:ascii="Palatino Linotype" w:eastAsia="Calibri" w:hAnsi="Palatino Linotype" w:cs="Times New Roman"/>
        </w:rPr>
        <w:t xml:space="preserve">, EN LA </w:t>
      </w:r>
      <w:r w:rsidR="009514B4">
        <w:rPr>
          <w:rFonts w:ascii="Palatino Linotype" w:eastAsia="Calibri" w:hAnsi="Palatino Linotype" w:cs="Times New Roman"/>
        </w:rPr>
        <w:t>VIGÉSI</w:t>
      </w:r>
      <w:r w:rsidR="00FE1919">
        <w:rPr>
          <w:rFonts w:ascii="Palatino Linotype" w:eastAsia="Calibri" w:hAnsi="Palatino Linotype" w:cs="Times New Roman"/>
        </w:rPr>
        <w:t>M</w:t>
      </w:r>
      <w:r w:rsidR="009514B4">
        <w:rPr>
          <w:rFonts w:ascii="Palatino Linotype" w:eastAsia="Calibri" w:hAnsi="Palatino Linotype" w:cs="Times New Roman"/>
        </w:rPr>
        <w:t>A NOVENA</w:t>
      </w:r>
      <w:r w:rsidR="00955212" w:rsidRPr="003A30E4">
        <w:rPr>
          <w:rFonts w:ascii="Palatino Linotype" w:eastAsia="Calibri" w:hAnsi="Palatino Linotype" w:cs="Times New Roman"/>
        </w:rPr>
        <w:t xml:space="preserve"> SESIÓ</w:t>
      </w:r>
      <w:r w:rsidR="0036122C" w:rsidRPr="003A30E4">
        <w:rPr>
          <w:rFonts w:ascii="Palatino Linotype" w:eastAsia="Calibri" w:hAnsi="Palatino Linotype" w:cs="Times New Roman"/>
        </w:rPr>
        <w:t>N ORD</w:t>
      </w:r>
      <w:r>
        <w:rPr>
          <w:rFonts w:ascii="Palatino Linotype" w:eastAsia="Calibri" w:hAnsi="Palatino Linotype" w:cs="Times New Roman"/>
        </w:rPr>
        <w:t xml:space="preserve">INARIA, CELEBRADA EL </w:t>
      </w:r>
      <w:r w:rsidR="009514B4">
        <w:rPr>
          <w:rFonts w:ascii="Palatino Linotype" w:eastAsia="Calibri" w:hAnsi="Palatino Linotype" w:cs="Times New Roman"/>
        </w:rPr>
        <w:t>VEINTE DE AGOSTO DE DOS MIL VEINTICINCO</w:t>
      </w:r>
      <w:r w:rsidR="00955212" w:rsidRPr="003A30E4">
        <w:rPr>
          <w:rFonts w:ascii="Palatino Linotype" w:eastAsia="Calibri" w:hAnsi="Palatino Linotype" w:cs="Times New Roman"/>
        </w:rPr>
        <w:t>, ANTE EL SECRETARIO TÉCNICO DEL PLENO, ALEXIS TAPIA RAMÍREZ.</w:t>
      </w:r>
    </w:p>
    <w:p w14:paraId="119A7E17" w14:textId="77777777" w:rsidR="00955212" w:rsidRPr="003A30E4" w:rsidRDefault="00955212" w:rsidP="00E12E55">
      <w:pPr>
        <w:spacing w:after="0" w:line="360" w:lineRule="auto"/>
        <w:jc w:val="center"/>
        <w:rPr>
          <w:rFonts w:ascii="Palatino Linotype" w:eastAsia="Calibri" w:hAnsi="Palatino Linotype" w:cs="Tahoma"/>
          <w:szCs w:val="20"/>
        </w:rPr>
      </w:pPr>
    </w:p>
    <w:p w14:paraId="6EE3F26C" w14:textId="77777777" w:rsidR="00F915D7" w:rsidRPr="003A30E4" w:rsidRDefault="00F915D7" w:rsidP="00E12E55">
      <w:pPr>
        <w:spacing w:after="0" w:line="360" w:lineRule="auto"/>
        <w:contextualSpacing/>
        <w:rPr>
          <w:rFonts w:ascii="Palatino Linotype" w:eastAsia="Times New Roman" w:hAnsi="Palatino Linotype" w:cs="Times New Roman"/>
          <w:lang w:eastAsia="es-ES"/>
        </w:rPr>
      </w:pPr>
    </w:p>
    <w:p w14:paraId="39D810AC" w14:textId="77777777" w:rsidR="00D06B83" w:rsidRPr="003A30E4" w:rsidRDefault="00D06B83" w:rsidP="00E12E55">
      <w:pPr>
        <w:tabs>
          <w:tab w:val="left" w:pos="4667"/>
        </w:tabs>
        <w:spacing w:after="0" w:line="360" w:lineRule="auto"/>
        <w:ind w:left="567" w:right="567"/>
        <w:rPr>
          <w:rFonts w:ascii="Palatino Linotype" w:eastAsia="Times New Roman" w:hAnsi="Palatino Linotype" w:cs="Tahoma"/>
          <w:b/>
          <w:bCs/>
          <w:i/>
          <w:iCs/>
          <w:sz w:val="20"/>
          <w:lang w:eastAsia="es-ES"/>
        </w:rPr>
      </w:pPr>
    </w:p>
    <w:p w14:paraId="31045EA4" w14:textId="77777777" w:rsidR="00D06B83" w:rsidRPr="003A30E4" w:rsidRDefault="00D06B83" w:rsidP="00E12E55">
      <w:pPr>
        <w:spacing w:after="0" w:line="360" w:lineRule="auto"/>
        <w:rPr>
          <w:rFonts w:ascii="Palatino Linotype" w:eastAsia="Calibri" w:hAnsi="Palatino Linotype" w:cs="Tahoma"/>
          <w:lang w:val="es-ES" w:eastAsia="es-MX"/>
        </w:rPr>
      </w:pPr>
    </w:p>
    <w:p w14:paraId="0FAF9059" w14:textId="77777777" w:rsidR="00605FFB" w:rsidRPr="003A30E4" w:rsidRDefault="00605FFB" w:rsidP="00E12E55">
      <w:pPr>
        <w:tabs>
          <w:tab w:val="left" w:pos="1230"/>
        </w:tabs>
        <w:spacing w:after="0" w:line="360" w:lineRule="auto"/>
        <w:rPr>
          <w:rFonts w:ascii="Palatino Linotype" w:eastAsia="Times New Roman" w:hAnsi="Palatino Linotype" w:cs="Tahoma"/>
          <w:lang w:eastAsia="es-MX"/>
        </w:rPr>
      </w:pPr>
    </w:p>
    <w:sectPr w:rsidR="00605FFB" w:rsidRPr="003A30E4" w:rsidSect="00655724">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1FE0A" w14:textId="77777777" w:rsidR="000C7A95" w:rsidRDefault="000C7A95" w:rsidP="00272F0D">
      <w:pPr>
        <w:spacing w:after="0" w:line="240" w:lineRule="auto"/>
      </w:pPr>
      <w:r>
        <w:separator/>
      </w:r>
    </w:p>
  </w:endnote>
  <w:endnote w:type="continuationSeparator" w:id="0">
    <w:p w14:paraId="35792792" w14:textId="77777777" w:rsidR="000C7A95" w:rsidRDefault="000C7A95" w:rsidP="0027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77D35AF" w14:textId="77777777" w:rsidR="003F08B6" w:rsidRDefault="003F08B6">
            <w:pPr>
              <w:pStyle w:val="Piedepgina1"/>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5039">
              <w:rPr>
                <w:b/>
                <w:bCs/>
                <w:noProof/>
              </w:rPr>
              <w:t>42</w:t>
            </w:r>
            <w:r>
              <w:rPr>
                <w:b/>
                <w:bCs/>
                <w:sz w:val="24"/>
                <w:szCs w:val="24"/>
              </w:rPr>
              <w:fldChar w:fldCharType="end"/>
            </w:r>
          </w:p>
        </w:sdtContent>
      </w:sdt>
    </w:sdtContent>
  </w:sdt>
  <w:p w14:paraId="19816C9E" w14:textId="77777777" w:rsidR="003F08B6" w:rsidRDefault="003F08B6">
    <w:pPr>
      <w:pStyle w:val="Piedepgina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07A57088" w14:textId="77777777" w:rsidR="003F08B6" w:rsidRDefault="003F08B6">
            <w:pPr>
              <w:pStyle w:val="Piedepgina1"/>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5039">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5039">
              <w:rPr>
                <w:b/>
                <w:bCs/>
                <w:noProof/>
              </w:rPr>
              <w:t>42</w:t>
            </w:r>
            <w:r>
              <w:rPr>
                <w:b/>
                <w:bCs/>
                <w:sz w:val="24"/>
                <w:szCs w:val="24"/>
              </w:rPr>
              <w:fldChar w:fldCharType="end"/>
            </w:r>
          </w:p>
        </w:sdtContent>
      </w:sdt>
    </w:sdtContent>
  </w:sdt>
  <w:p w14:paraId="70DAB6F1" w14:textId="77777777" w:rsidR="003F08B6" w:rsidRDefault="003F08B6">
    <w:pPr>
      <w:pStyle w:val="Piedepgina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22EE63E1" w14:textId="77777777" w:rsidR="003F08B6" w:rsidRDefault="003F08B6">
            <w:pPr>
              <w:pStyle w:val="Piedepgina1"/>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D503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D5039">
              <w:rPr>
                <w:b/>
                <w:bCs/>
                <w:noProof/>
              </w:rPr>
              <w:t>42</w:t>
            </w:r>
            <w:r>
              <w:rPr>
                <w:b/>
                <w:bCs/>
                <w:sz w:val="24"/>
                <w:szCs w:val="24"/>
              </w:rPr>
              <w:fldChar w:fldCharType="end"/>
            </w:r>
          </w:p>
        </w:sdtContent>
      </w:sdt>
    </w:sdtContent>
  </w:sdt>
  <w:p w14:paraId="2E7A783F" w14:textId="77777777" w:rsidR="003F08B6" w:rsidRDefault="003F08B6">
    <w:pPr>
      <w:pStyle w:val="Piedepgin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F7F47" w14:textId="77777777" w:rsidR="000C7A95" w:rsidRDefault="000C7A95" w:rsidP="00272F0D">
      <w:pPr>
        <w:spacing w:after="0" w:line="240" w:lineRule="auto"/>
      </w:pPr>
      <w:r>
        <w:separator/>
      </w:r>
    </w:p>
  </w:footnote>
  <w:footnote w:type="continuationSeparator" w:id="0">
    <w:p w14:paraId="2AB677F0" w14:textId="77777777" w:rsidR="000C7A95" w:rsidRDefault="000C7A95" w:rsidP="00272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3F08B6" w14:paraId="15B65470" w14:textId="77777777" w:rsidTr="00655724">
      <w:trPr>
        <w:trHeight w:val="141"/>
      </w:trPr>
      <w:tc>
        <w:tcPr>
          <w:tcW w:w="2404" w:type="dxa"/>
        </w:tcPr>
        <w:p w14:paraId="1AD0BE25" w14:textId="77777777" w:rsidR="003F08B6" w:rsidRPr="001B5FB6" w:rsidRDefault="003F08B6" w:rsidP="00655724">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551B5C72" w14:textId="77777777" w:rsidR="003F08B6" w:rsidRPr="00A8173F" w:rsidRDefault="003F08B6" w:rsidP="00655724">
          <w:pPr>
            <w:tabs>
              <w:tab w:val="right" w:pos="8838"/>
            </w:tabs>
            <w:ind w:left="-28" w:right="683"/>
            <w:rPr>
              <w:rFonts w:eastAsia="Calibri" w:cs="Tahoma"/>
            </w:rPr>
          </w:pPr>
          <w:r w:rsidRPr="00A8173F">
            <w:rPr>
              <w:rFonts w:eastAsia="Calibri" w:cs="Tahoma"/>
              <w:lang w:val="es-MX"/>
            </w:rPr>
            <w:t>04196/INFOEM/IP/RR/2020</w:t>
          </w:r>
        </w:p>
      </w:tc>
    </w:tr>
    <w:tr w:rsidR="003F08B6" w14:paraId="507A496B" w14:textId="77777777" w:rsidTr="00655724">
      <w:trPr>
        <w:trHeight w:val="276"/>
      </w:trPr>
      <w:tc>
        <w:tcPr>
          <w:tcW w:w="2404" w:type="dxa"/>
        </w:tcPr>
        <w:p w14:paraId="0ED20A0F" w14:textId="77777777" w:rsidR="003F08B6" w:rsidRPr="001B5FB6" w:rsidRDefault="003F08B6" w:rsidP="00655724">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AD88BDC" w14:textId="77777777" w:rsidR="003F08B6" w:rsidRPr="00A8173F" w:rsidRDefault="003F08B6" w:rsidP="00655724">
          <w:pPr>
            <w:tabs>
              <w:tab w:val="right" w:pos="8838"/>
            </w:tabs>
            <w:ind w:right="116"/>
            <w:rPr>
              <w:rFonts w:eastAsia="Calibri" w:cs="Tahoma"/>
              <w:lang w:val="es-MX"/>
            </w:rPr>
          </w:pPr>
          <w:r w:rsidRPr="00A8173F">
            <w:rPr>
              <w:rFonts w:eastAsia="Calibri" w:cs="Tahoma"/>
              <w:lang w:val="es-MX"/>
            </w:rPr>
            <w:t>Ayuntamiento de Chapultepec</w:t>
          </w:r>
        </w:p>
      </w:tc>
    </w:tr>
    <w:tr w:rsidR="003F08B6" w14:paraId="692B739C" w14:textId="77777777" w:rsidTr="00655724">
      <w:trPr>
        <w:trHeight w:val="276"/>
      </w:trPr>
      <w:tc>
        <w:tcPr>
          <w:tcW w:w="2404" w:type="dxa"/>
        </w:tcPr>
        <w:p w14:paraId="7E5F672F" w14:textId="77777777" w:rsidR="003F08B6" w:rsidRPr="001B5FB6" w:rsidRDefault="003F08B6" w:rsidP="00655724">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2D0663B2" w14:textId="77777777" w:rsidR="003F08B6" w:rsidRPr="00A8173F" w:rsidRDefault="003F08B6" w:rsidP="00655724">
          <w:pPr>
            <w:tabs>
              <w:tab w:val="right" w:pos="8838"/>
            </w:tabs>
            <w:ind w:right="-32"/>
            <w:rPr>
              <w:rFonts w:eastAsia="Calibri" w:cs="Tahoma"/>
              <w:lang w:val="es-MX"/>
            </w:rPr>
          </w:pPr>
          <w:r w:rsidRPr="00A8173F">
            <w:rPr>
              <w:rFonts w:eastAsia="Calibri" w:cs="Tahoma"/>
              <w:lang w:val="es-MX"/>
            </w:rPr>
            <w:t>Luis Gustavo Parra Noriega</w:t>
          </w:r>
        </w:p>
      </w:tc>
    </w:tr>
  </w:tbl>
  <w:p w14:paraId="42FF209B" w14:textId="77777777" w:rsidR="003F08B6" w:rsidRDefault="000C7A95">
    <w:pPr>
      <w:pStyle w:val="Encabezado1"/>
    </w:pPr>
    <w:r>
      <w:rPr>
        <w:noProof/>
      </w:rPr>
      <w:pict w14:anchorId="2C453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1C5B" w14:textId="77777777" w:rsidR="003F08B6" w:rsidRPr="004A705D" w:rsidRDefault="003F08B6">
    <w:pPr>
      <w:rPr>
        <w:sz w:val="18"/>
        <w:szCs w:val="18"/>
      </w:rPr>
    </w:pPr>
  </w:p>
  <w:tbl>
    <w:tblPr>
      <w:tblStyle w:val="Tablaconcuadrcula1"/>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3F08B6" w14:paraId="505D0574" w14:textId="77777777" w:rsidTr="00885A59">
      <w:trPr>
        <w:trHeight w:val="141"/>
      </w:trPr>
      <w:tc>
        <w:tcPr>
          <w:tcW w:w="2404" w:type="dxa"/>
        </w:tcPr>
        <w:p w14:paraId="1A059F4F" w14:textId="77777777" w:rsidR="003F08B6" w:rsidRPr="00272F0D" w:rsidRDefault="003F08B6" w:rsidP="00655724">
          <w:pPr>
            <w:tabs>
              <w:tab w:val="right" w:pos="8838"/>
            </w:tabs>
            <w:ind w:left="-395" w:right="-105" w:firstLine="395"/>
            <w:rPr>
              <w:rFonts w:ascii="Palatino Linotype" w:eastAsia="Calibri" w:hAnsi="Palatino Linotype" w:cs="Tahoma"/>
              <w:b/>
              <w:lang w:val="es-MX"/>
            </w:rPr>
          </w:pPr>
          <w:r w:rsidRPr="00272F0D">
            <w:rPr>
              <w:rFonts w:ascii="Palatino Linotype" w:eastAsia="Calibri" w:hAnsi="Palatino Linotype" w:cs="Tahoma"/>
              <w:b/>
              <w:lang w:val="es-MX"/>
            </w:rPr>
            <w:t>Recurso de Revisión:</w:t>
          </w:r>
        </w:p>
      </w:tc>
      <w:tc>
        <w:tcPr>
          <w:tcW w:w="4117" w:type="dxa"/>
        </w:tcPr>
        <w:p w14:paraId="64BD61C7" w14:textId="4113060E" w:rsidR="003F08B6" w:rsidRPr="00272F0D" w:rsidRDefault="005E3B41" w:rsidP="00655724">
          <w:pPr>
            <w:tabs>
              <w:tab w:val="right" w:pos="8838"/>
            </w:tabs>
            <w:ind w:left="-28" w:right="454"/>
            <w:rPr>
              <w:rFonts w:ascii="Palatino Linotype" w:eastAsia="Calibri" w:hAnsi="Palatino Linotype" w:cs="Tahoma"/>
            </w:rPr>
          </w:pPr>
          <w:r>
            <w:rPr>
              <w:rFonts w:ascii="Palatino Linotype" w:eastAsia="Calibri" w:hAnsi="Palatino Linotype" w:cs="Tahoma"/>
              <w:lang w:val="es-MX"/>
            </w:rPr>
            <w:t>08426/INFOEM/IP/RR/2025</w:t>
          </w:r>
        </w:p>
      </w:tc>
    </w:tr>
    <w:tr w:rsidR="003F08B6" w14:paraId="1BD4C5EA" w14:textId="77777777" w:rsidTr="00885A59">
      <w:trPr>
        <w:trHeight w:val="276"/>
      </w:trPr>
      <w:tc>
        <w:tcPr>
          <w:tcW w:w="2404" w:type="dxa"/>
        </w:tcPr>
        <w:p w14:paraId="1BA71E24"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Sujeto Obligado:</w:t>
          </w:r>
        </w:p>
      </w:tc>
      <w:tc>
        <w:tcPr>
          <w:tcW w:w="4117" w:type="dxa"/>
        </w:tcPr>
        <w:p w14:paraId="753C0D3D" w14:textId="7A158AB9" w:rsidR="003F08B6" w:rsidRPr="00272F0D" w:rsidRDefault="003F08B6" w:rsidP="00087350">
          <w:pPr>
            <w:tabs>
              <w:tab w:val="right" w:pos="8838"/>
            </w:tabs>
            <w:ind w:right="454"/>
            <w:rPr>
              <w:rFonts w:ascii="Palatino Linotype" w:eastAsia="Calibri" w:hAnsi="Palatino Linotype" w:cs="Tahoma"/>
              <w:lang w:val="es-MX"/>
            </w:rPr>
          </w:pPr>
          <w:r>
            <w:rPr>
              <w:rFonts w:ascii="Palatino Linotype" w:eastAsia="Calibri" w:hAnsi="Palatino Linotype" w:cs="Tahoma"/>
              <w:lang w:val="es-MX"/>
            </w:rPr>
            <w:t xml:space="preserve">Ayuntamiento </w:t>
          </w:r>
          <w:r w:rsidR="005E3B41">
            <w:rPr>
              <w:rFonts w:ascii="Palatino Linotype" w:eastAsia="Calibri" w:hAnsi="Palatino Linotype" w:cs="Tahoma"/>
              <w:lang w:val="es-MX"/>
            </w:rPr>
            <w:t>de Toluca</w:t>
          </w:r>
        </w:p>
      </w:tc>
    </w:tr>
    <w:tr w:rsidR="003F08B6" w14:paraId="522BFABB" w14:textId="77777777" w:rsidTr="00885A59">
      <w:trPr>
        <w:trHeight w:val="276"/>
      </w:trPr>
      <w:tc>
        <w:tcPr>
          <w:tcW w:w="2404" w:type="dxa"/>
        </w:tcPr>
        <w:p w14:paraId="4CB95316"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Comisionado Ponente:</w:t>
          </w:r>
        </w:p>
      </w:tc>
      <w:tc>
        <w:tcPr>
          <w:tcW w:w="4117" w:type="dxa"/>
        </w:tcPr>
        <w:p w14:paraId="7CB54BDB" w14:textId="77777777" w:rsidR="003F08B6" w:rsidRPr="00272F0D" w:rsidRDefault="003F08B6" w:rsidP="00655724">
          <w:pPr>
            <w:tabs>
              <w:tab w:val="right" w:pos="8838"/>
            </w:tabs>
            <w:ind w:right="454"/>
            <w:rPr>
              <w:rFonts w:ascii="Palatino Linotype" w:eastAsia="Calibri" w:hAnsi="Palatino Linotype" w:cs="Tahoma"/>
              <w:lang w:val="es-MX"/>
            </w:rPr>
          </w:pPr>
          <w:r w:rsidRPr="00272F0D">
            <w:rPr>
              <w:rFonts w:ascii="Palatino Linotype" w:eastAsia="Calibri" w:hAnsi="Palatino Linotype" w:cs="Tahoma"/>
              <w:lang w:val="es-MX"/>
            </w:rPr>
            <w:t>Luis Gustavo Parra Noriega</w:t>
          </w:r>
        </w:p>
      </w:tc>
    </w:tr>
  </w:tbl>
  <w:p w14:paraId="7C3EC09B" w14:textId="77777777" w:rsidR="003F08B6" w:rsidRDefault="000C7A95">
    <w:pPr>
      <w:pStyle w:val="Encabezado1"/>
    </w:pPr>
    <w:r>
      <w:rPr>
        <w:noProof/>
      </w:rPr>
      <w:pict w14:anchorId="76D9F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3F08B6" w:rsidRPr="005C106F" w14:paraId="55A2C253" w14:textId="77777777" w:rsidTr="00655724">
      <w:trPr>
        <w:trHeight w:val="1546"/>
      </w:trPr>
      <w:tc>
        <w:tcPr>
          <w:tcW w:w="2127" w:type="dxa"/>
          <w:shd w:val="clear" w:color="auto" w:fill="auto"/>
        </w:tcPr>
        <w:p w14:paraId="24690CA8" w14:textId="77777777" w:rsidR="003F08B6" w:rsidRPr="005C106F" w:rsidRDefault="003F08B6" w:rsidP="00655724">
          <w:pPr>
            <w:tabs>
              <w:tab w:val="right" w:pos="4273"/>
            </w:tabs>
            <w:rPr>
              <w:rFonts w:ascii="Garamond" w:eastAsia="Calibri" w:hAnsi="Garamond"/>
              <w:sz w:val="16"/>
              <w:szCs w:val="16"/>
            </w:rPr>
          </w:pPr>
        </w:p>
      </w:tc>
      <w:tc>
        <w:tcPr>
          <w:tcW w:w="6945" w:type="dxa"/>
          <w:shd w:val="clear" w:color="auto" w:fill="auto"/>
        </w:tcPr>
        <w:tbl>
          <w:tblPr>
            <w:tblStyle w:val="Tablaconcuadrcula1"/>
            <w:tblW w:w="5812" w:type="dxa"/>
            <w:tblInd w:w="1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408"/>
          </w:tblGrid>
          <w:tr w:rsidR="003F08B6" w14:paraId="65812575" w14:textId="77777777" w:rsidTr="00655724">
            <w:trPr>
              <w:trHeight w:val="141"/>
            </w:trPr>
            <w:tc>
              <w:tcPr>
                <w:tcW w:w="2404" w:type="dxa"/>
                <w:vAlign w:val="bottom"/>
              </w:tcPr>
              <w:p w14:paraId="6D175E4C"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Recurso de Revisión:</w:t>
                </w:r>
              </w:p>
            </w:tc>
            <w:tc>
              <w:tcPr>
                <w:tcW w:w="3408" w:type="dxa"/>
              </w:tcPr>
              <w:p w14:paraId="34897E93" w14:textId="77777777" w:rsidR="003F08B6" w:rsidRPr="00272F0D" w:rsidRDefault="003F08B6" w:rsidP="00655724">
                <w:pPr>
                  <w:tabs>
                    <w:tab w:val="right" w:pos="8838"/>
                  </w:tabs>
                  <w:ind w:left="-28" w:right="-107"/>
                  <w:rPr>
                    <w:rFonts w:ascii="Palatino Linotype" w:eastAsia="Calibri" w:hAnsi="Palatino Linotype" w:cs="Tahoma"/>
                    <w:lang w:val="es-MX"/>
                  </w:rPr>
                </w:pPr>
              </w:p>
              <w:p w14:paraId="19C995B6" w14:textId="44D9966B" w:rsidR="003F08B6" w:rsidRPr="00272F0D" w:rsidRDefault="005E3B41" w:rsidP="00655724">
                <w:pPr>
                  <w:tabs>
                    <w:tab w:val="right" w:pos="8838"/>
                  </w:tabs>
                  <w:ind w:left="-28" w:right="-107"/>
                  <w:rPr>
                    <w:rFonts w:ascii="Palatino Linotype" w:eastAsia="Calibri" w:hAnsi="Palatino Linotype" w:cs="Tahoma"/>
                  </w:rPr>
                </w:pPr>
                <w:r>
                  <w:rPr>
                    <w:rFonts w:ascii="Palatino Linotype" w:eastAsia="Calibri" w:hAnsi="Palatino Linotype" w:cs="Tahoma"/>
                    <w:lang w:val="es-MX"/>
                  </w:rPr>
                  <w:t>08426/INFOEM/IP/RR/2025</w:t>
                </w:r>
              </w:p>
            </w:tc>
          </w:tr>
          <w:tr w:rsidR="003F08B6" w14:paraId="17FAEDF9" w14:textId="77777777" w:rsidTr="00655724">
            <w:trPr>
              <w:trHeight w:val="141"/>
            </w:trPr>
            <w:tc>
              <w:tcPr>
                <w:tcW w:w="2404" w:type="dxa"/>
              </w:tcPr>
              <w:p w14:paraId="2686D824"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Recurrente:</w:t>
                </w:r>
              </w:p>
            </w:tc>
            <w:tc>
              <w:tcPr>
                <w:tcW w:w="3408" w:type="dxa"/>
              </w:tcPr>
              <w:p w14:paraId="1E1EA05E" w14:textId="54CC0EB1" w:rsidR="003F08B6" w:rsidRPr="00272F0D" w:rsidRDefault="003F08B6" w:rsidP="00655724">
                <w:pPr>
                  <w:tabs>
                    <w:tab w:val="right" w:pos="8838"/>
                  </w:tabs>
                  <w:ind w:right="-107"/>
                  <w:rPr>
                    <w:rFonts w:ascii="Palatino Linotype" w:eastAsia="Calibri" w:hAnsi="Palatino Linotype" w:cs="Tahoma"/>
                    <w:lang w:val="es-MX"/>
                  </w:rPr>
                </w:pPr>
              </w:p>
            </w:tc>
          </w:tr>
          <w:tr w:rsidR="003F08B6" w14:paraId="22C2F77D" w14:textId="77777777" w:rsidTr="00655724">
            <w:trPr>
              <w:trHeight w:val="276"/>
            </w:trPr>
            <w:tc>
              <w:tcPr>
                <w:tcW w:w="2404" w:type="dxa"/>
              </w:tcPr>
              <w:p w14:paraId="1088294D"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Sujeto Obligado:</w:t>
                </w:r>
              </w:p>
            </w:tc>
            <w:tc>
              <w:tcPr>
                <w:tcW w:w="3408" w:type="dxa"/>
              </w:tcPr>
              <w:p w14:paraId="52A51928" w14:textId="326B2DE2" w:rsidR="003F08B6" w:rsidRPr="00272F0D" w:rsidRDefault="003F08B6" w:rsidP="00087350">
                <w:pPr>
                  <w:tabs>
                    <w:tab w:val="right" w:pos="8838"/>
                  </w:tabs>
                  <w:ind w:right="-107"/>
                  <w:rPr>
                    <w:rFonts w:ascii="Palatino Linotype" w:eastAsia="Calibri" w:hAnsi="Palatino Linotype" w:cs="Tahoma"/>
                    <w:lang w:val="es-MX"/>
                  </w:rPr>
                </w:pPr>
                <w:r>
                  <w:rPr>
                    <w:rFonts w:ascii="Palatino Linotype" w:eastAsia="Calibri" w:hAnsi="Palatino Linotype" w:cs="Tahoma"/>
                    <w:lang w:val="es-MX"/>
                  </w:rPr>
                  <w:t xml:space="preserve">Ayuntamiento </w:t>
                </w:r>
                <w:r w:rsidR="005E3B41">
                  <w:rPr>
                    <w:rFonts w:ascii="Palatino Linotype" w:eastAsia="Calibri" w:hAnsi="Palatino Linotype" w:cs="Tahoma"/>
                    <w:lang w:val="es-MX"/>
                  </w:rPr>
                  <w:t>de Toluca</w:t>
                </w:r>
              </w:p>
            </w:tc>
          </w:tr>
          <w:tr w:rsidR="003F08B6" w14:paraId="23F961D5" w14:textId="77777777" w:rsidTr="00655724">
            <w:trPr>
              <w:trHeight w:val="276"/>
            </w:trPr>
            <w:tc>
              <w:tcPr>
                <w:tcW w:w="2404" w:type="dxa"/>
              </w:tcPr>
              <w:p w14:paraId="2C9D35BA"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Comisionado Ponente:</w:t>
                </w:r>
              </w:p>
            </w:tc>
            <w:tc>
              <w:tcPr>
                <w:tcW w:w="3408" w:type="dxa"/>
              </w:tcPr>
              <w:p w14:paraId="2622E6B5" w14:textId="77777777" w:rsidR="003F08B6" w:rsidRPr="00272F0D" w:rsidRDefault="003F08B6" w:rsidP="00655724">
                <w:pPr>
                  <w:tabs>
                    <w:tab w:val="right" w:pos="8838"/>
                  </w:tabs>
                  <w:ind w:right="-107"/>
                  <w:rPr>
                    <w:rFonts w:ascii="Palatino Linotype" w:eastAsia="Calibri" w:hAnsi="Palatino Linotype" w:cs="Tahoma"/>
                    <w:lang w:val="es-MX"/>
                  </w:rPr>
                </w:pPr>
                <w:r w:rsidRPr="00272F0D">
                  <w:rPr>
                    <w:rFonts w:ascii="Palatino Linotype" w:eastAsia="Calibri" w:hAnsi="Palatino Linotype" w:cs="Tahoma"/>
                    <w:lang w:val="es-MX"/>
                  </w:rPr>
                  <w:t>Luis Gustavo Parra Noriega</w:t>
                </w:r>
              </w:p>
            </w:tc>
          </w:tr>
        </w:tbl>
        <w:p w14:paraId="312AE512" w14:textId="77777777" w:rsidR="003F08B6" w:rsidRPr="005C106F" w:rsidRDefault="003F08B6" w:rsidP="00655724">
          <w:pPr>
            <w:tabs>
              <w:tab w:val="right" w:pos="8838"/>
            </w:tabs>
            <w:ind w:left="-28"/>
            <w:rPr>
              <w:rFonts w:ascii="Arial" w:eastAsia="Calibri" w:hAnsi="Arial" w:cs="Arial"/>
              <w:b/>
            </w:rPr>
          </w:pPr>
        </w:p>
      </w:tc>
    </w:tr>
  </w:tbl>
  <w:p w14:paraId="6005BB5F" w14:textId="77777777" w:rsidR="003F08B6" w:rsidRDefault="000C7A95">
    <w:pPr>
      <w:pStyle w:val="Encabezado1"/>
    </w:pPr>
    <w:r>
      <w:rPr>
        <w:noProof/>
      </w:rPr>
      <w:pict w14:anchorId="229C1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57708B"/>
    <w:multiLevelType w:val="hybridMultilevel"/>
    <w:tmpl w:val="E62A88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46B4308"/>
    <w:multiLevelType w:val="hybridMultilevel"/>
    <w:tmpl w:val="BE60E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B1C030C"/>
    <w:multiLevelType w:val="multilevel"/>
    <w:tmpl w:val="0BA2AE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B30F9F"/>
    <w:multiLevelType w:val="hybridMultilevel"/>
    <w:tmpl w:val="E732FF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3F64AE"/>
    <w:multiLevelType w:val="hybridMultilevel"/>
    <w:tmpl w:val="33361A2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A33296"/>
    <w:multiLevelType w:val="hybridMultilevel"/>
    <w:tmpl w:val="C070F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0982658"/>
    <w:multiLevelType w:val="hybridMultilevel"/>
    <w:tmpl w:val="73E23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C403C0"/>
    <w:multiLevelType w:val="hybridMultilevel"/>
    <w:tmpl w:val="37A2C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421DFA"/>
    <w:multiLevelType w:val="hybridMultilevel"/>
    <w:tmpl w:val="BDCCC124"/>
    <w:lvl w:ilvl="0" w:tplc="83E463E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0D5BA2"/>
    <w:multiLevelType w:val="hybridMultilevel"/>
    <w:tmpl w:val="3DC04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CC169F3"/>
    <w:multiLevelType w:val="hybridMultilevel"/>
    <w:tmpl w:val="97807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6A2788A"/>
    <w:multiLevelType w:val="hybridMultilevel"/>
    <w:tmpl w:val="1FB85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6"/>
  </w:num>
  <w:num w:numId="6">
    <w:abstractNumId w:val="17"/>
  </w:num>
  <w:num w:numId="7">
    <w:abstractNumId w:val="12"/>
  </w:num>
  <w:num w:numId="8">
    <w:abstractNumId w:val="2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21"/>
  </w:num>
  <w:num w:numId="13">
    <w:abstractNumId w:val="19"/>
  </w:num>
  <w:num w:numId="14">
    <w:abstractNumId w:val="7"/>
  </w:num>
  <w:num w:numId="15">
    <w:abstractNumId w:val="11"/>
  </w:num>
  <w:num w:numId="16">
    <w:abstractNumId w:val="5"/>
  </w:num>
  <w:num w:numId="17">
    <w:abstractNumId w:val="18"/>
  </w:num>
  <w:num w:numId="18">
    <w:abstractNumId w:val="20"/>
  </w:num>
  <w:num w:numId="19">
    <w:abstractNumId w:val="10"/>
  </w:num>
  <w:num w:numId="20">
    <w:abstractNumId w:val="3"/>
  </w:num>
  <w:num w:numId="21">
    <w:abstractNumId w:val="0"/>
  </w:num>
  <w:num w:numId="22">
    <w:abstractNumId w:val="15"/>
  </w:num>
  <w:num w:numId="23">
    <w:abstractNumId w:val="14"/>
  </w:num>
  <w:num w:numId="24">
    <w:abstractNumId w:val="2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DA"/>
    <w:rsid w:val="000142FE"/>
    <w:rsid w:val="00046884"/>
    <w:rsid w:val="000479FF"/>
    <w:rsid w:val="00055431"/>
    <w:rsid w:val="00057F10"/>
    <w:rsid w:val="00087350"/>
    <w:rsid w:val="000B09EF"/>
    <w:rsid w:val="000B16A1"/>
    <w:rsid w:val="000B7B34"/>
    <w:rsid w:val="000C10C5"/>
    <w:rsid w:val="000C3817"/>
    <w:rsid w:val="000C664B"/>
    <w:rsid w:val="000C7A95"/>
    <w:rsid w:val="000E6086"/>
    <w:rsid w:val="00100631"/>
    <w:rsid w:val="00116460"/>
    <w:rsid w:val="00124BD5"/>
    <w:rsid w:val="00127E00"/>
    <w:rsid w:val="00134478"/>
    <w:rsid w:val="00140C06"/>
    <w:rsid w:val="00142D9F"/>
    <w:rsid w:val="0015134B"/>
    <w:rsid w:val="0015444E"/>
    <w:rsid w:val="00160F77"/>
    <w:rsid w:val="0016171D"/>
    <w:rsid w:val="00171B63"/>
    <w:rsid w:val="00180D97"/>
    <w:rsid w:val="001A7F8E"/>
    <w:rsid w:val="001C0591"/>
    <w:rsid w:val="001E2943"/>
    <w:rsid w:val="001F05D6"/>
    <w:rsid w:val="00205F49"/>
    <w:rsid w:val="00224D13"/>
    <w:rsid w:val="002266E7"/>
    <w:rsid w:val="00226F60"/>
    <w:rsid w:val="002428C9"/>
    <w:rsid w:val="0024716D"/>
    <w:rsid w:val="00272F0D"/>
    <w:rsid w:val="00284153"/>
    <w:rsid w:val="002A1EB8"/>
    <w:rsid w:val="002A7803"/>
    <w:rsid w:val="00323A3B"/>
    <w:rsid w:val="003277C2"/>
    <w:rsid w:val="00350B42"/>
    <w:rsid w:val="00351433"/>
    <w:rsid w:val="00351747"/>
    <w:rsid w:val="00351ACC"/>
    <w:rsid w:val="00351C33"/>
    <w:rsid w:val="0036122C"/>
    <w:rsid w:val="003625C9"/>
    <w:rsid w:val="00383375"/>
    <w:rsid w:val="003A30E4"/>
    <w:rsid w:val="003B79E8"/>
    <w:rsid w:val="003C022F"/>
    <w:rsid w:val="003C3532"/>
    <w:rsid w:val="003C440B"/>
    <w:rsid w:val="003D14E9"/>
    <w:rsid w:val="003E0A35"/>
    <w:rsid w:val="003F08B6"/>
    <w:rsid w:val="00405956"/>
    <w:rsid w:val="004427DA"/>
    <w:rsid w:val="00453F79"/>
    <w:rsid w:val="00461418"/>
    <w:rsid w:val="00470D40"/>
    <w:rsid w:val="004815BB"/>
    <w:rsid w:val="00492F77"/>
    <w:rsid w:val="004A1856"/>
    <w:rsid w:val="004A2746"/>
    <w:rsid w:val="004A6B74"/>
    <w:rsid w:val="004B440B"/>
    <w:rsid w:val="004B7AC9"/>
    <w:rsid w:val="004E087B"/>
    <w:rsid w:val="004E65FF"/>
    <w:rsid w:val="00511E89"/>
    <w:rsid w:val="005128CE"/>
    <w:rsid w:val="0052368F"/>
    <w:rsid w:val="0052667E"/>
    <w:rsid w:val="005343AB"/>
    <w:rsid w:val="005525E0"/>
    <w:rsid w:val="005577FB"/>
    <w:rsid w:val="005653F3"/>
    <w:rsid w:val="00572616"/>
    <w:rsid w:val="00573CCB"/>
    <w:rsid w:val="00582149"/>
    <w:rsid w:val="005A163D"/>
    <w:rsid w:val="005A6EF3"/>
    <w:rsid w:val="005D5039"/>
    <w:rsid w:val="005E20B2"/>
    <w:rsid w:val="005E3B41"/>
    <w:rsid w:val="00605FFB"/>
    <w:rsid w:val="00606F97"/>
    <w:rsid w:val="006529DB"/>
    <w:rsid w:val="00655724"/>
    <w:rsid w:val="0066560F"/>
    <w:rsid w:val="006675AA"/>
    <w:rsid w:val="006A3EE8"/>
    <w:rsid w:val="006A7D3D"/>
    <w:rsid w:val="006D080C"/>
    <w:rsid w:val="00703706"/>
    <w:rsid w:val="00707111"/>
    <w:rsid w:val="00712A38"/>
    <w:rsid w:val="00723010"/>
    <w:rsid w:val="00731D29"/>
    <w:rsid w:val="00734ED2"/>
    <w:rsid w:val="00735A7C"/>
    <w:rsid w:val="00744123"/>
    <w:rsid w:val="00750B73"/>
    <w:rsid w:val="007578BD"/>
    <w:rsid w:val="00776EF1"/>
    <w:rsid w:val="00792F5D"/>
    <w:rsid w:val="007963B0"/>
    <w:rsid w:val="007A11B5"/>
    <w:rsid w:val="007A544B"/>
    <w:rsid w:val="007B3D77"/>
    <w:rsid w:val="007D782D"/>
    <w:rsid w:val="007E20B9"/>
    <w:rsid w:val="007E513C"/>
    <w:rsid w:val="007F21F9"/>
    <w:rsid w:val="007F6E6E"/>
    <w:rsid w:val="00826344"/>
    <w:rsid w:val="008300D9"/>
    <w:rsid w:val="00830FD4"/>
    <w:rsid w:val="00833BD9"/>
    <w:rsid w:val="008444AF"/>
    <w:rsid w:val="00862465"/>
    <w:rsid w:val="00885A59"/>
    <w:rsid w:val="00891E59"/>
    <w:rsid w:val="008B5B73"/>
    <w:rsid w:val="008D3CB9"/>
    <w:rsid w:val="008D47A9"/>
    <w:rsid w:val="008E3A41"/>
    <w:rsid w:val="008F17B2"/>
    <w:rsid w:val="008F6DE9"/>
    <w:rsid w:val="00923A82"/>
    <w:rsid w:val="00943A42"/>
    <w:rsid w:val="00950075"/>
    <w:rsid w:val="009514B4"/>
    <w:rsid w:val="00955212"/>
    <w:rsid w:val="00963BA1"/>
    <w:rsid w:val="00976198"/>
    <w:rsid w:val="00983244"/>
    <w:rsid w:val="009A3FE2"/>
    <w:rsid w:val="009F2290"/>
    <w:rsid w:val="00A153C2"/>
    <w:rsid w:val="00A203A5"/>
    <w:rsid w:val="00A27FFC"/>
    <w:rsid w:val="00A53059"/>
    <w:rsid w:val="00A62944"/>
    <w:rsid w:val="00A62CA7"/>
    <w:rsid w:val="00AB4A1B"/>
    <w:rsid w:val="00AB570E"/>
    <w:rsid w:val="00AD0E14"/>
    <w:rsid w:val="00AE40BB"/>
    <w:rsid w:val="00AF72BE"/>
    <w:rsid w:val="00B03109"/>
    <w:rsid w:val="00B15FDB"/>
    <w:rsid w:val="00B20FEF"/>
    <w:rsid w:val="00B348E9"/>
    <w:rsid w:val="00B57D1E"/>
    <w:rsid w:val="00B64774"/>
    <w:rsid w:val="00B811B2"/>
    <w:rsid w:val="00BB43C2"/>
    <w:rsid w:val="00BB5811"/>
    <w:rsid w:val="00BB6914"/>
    <w:rsid w:val="00BC5004"/>
    <w:rsid w:val="00BD1081"/>
    <w:rsid w:val="00C17A28"/>
    <w:rsid w:val="00C228FB"/>
    <w:rsid w:val="00C45F60"/>
    <w:rsid w:val="00C70784"/>
    <w:rsid w:val="00C71B61"/>
    <w:rsid w:val="00C874A9"/>
    <w:rsid w:val="00C95561"/>
    <w:rsid w:val="00CA7D89"/>
    <w:rsid w:val="00CE1423"/>
    <w:rsid w:val="00CE420E"/>
    <w:rsid w:val="00D06B83"/>
    <w:rsid w:val="00D10182"/>
    <w:rsid w:val="00D1110E"/>
    <w:rsid w:val="00D342CC"/>
    <w:rsid w:val="00D45CFF"/>
    <w:rsid w:val="00D85A13"/>
    <w:rsid w:val="00D9165A"/>
    <w:rsid w:val="00DB4289"/>
    <w:rsid w:val="00DE4980"/>
    <w:rsid w:val="00DF1B55"/>
    <w:rsid w:val="00E12E55"/>
    <w:rsid w:val="00E15580"/>
    <w:rsid w:val="00E47601"/>
    <w:rsid w:val="00E56521"/>
    <w:rsid w:val="00E56FBE"/>
    <w:rsid w:val="00E72256"/>
    <w:rsid w:val="00E76DC7"/>
    <w:rsid w:val="00E8546A"/>
    <w:rsid w:val="00E94FDA"/>
    <w:rsid w:val="00E96EE8"/>
    <w:rsid w:val="00EA1710"/>
    <w:rsid w:val="00EB500E"/>
    <w:rsid w:val="00EB692E"/>
    <w:rsid w:val="00EC67E4"/>
    <w:rsid w:val="00EC7F24"/>
    <w:rsid w:val="00F16D57"/>
    <w:rsid w:val="00F236C7"/>
    <w:rsid w:val="00F5685D"/>
    <w:rsid w:val="00F6265D"/>
    <w:rsid w:val="00F915D7"/>
    <w:rsid w:val="00F9510E"/>
    <w:rsid w:val="00FA0E51"/>
    <w:rsid w:val="00FA1C4E"/>
    <w:rsid w:val="00FA2CAD"/>
    <w:rsid w:val="00FA352C"/>
    <w:rsid w:val="00FC1D29"/>
    <w:rsid w:val="00FD4194"/>
    <w:rsid w:val="00FD64BE"/>
    <w:rsid w:val="00FE1919"/>
    <w:rsid w:val="00FE46BA"/>
    <w:rsid w:val="00FF5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9CC50"/>
  <w15:chartTrackingRefBased/>
  <w15:docId w15:val="{71D7B0D6-6067-411C-8A56-E71C458F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919"/>
  </w:style>
  <w:style w:type="paragraph" w:styleId="Ttulo1">
    <w:name w:val="heading 1"/>
    <w:basedOn w:val="Normal"/>
    <w:next w:val="Normal"/>
    <w:link w:val="Ttulo1Car"/>
    <w:uiPriority w:val="9"/>
    <w:qFormat/>
    <w:rsid w:val="00FE1919"/>
    <w:pPr>
      <w:keepNext/>
      <w:keepLines/>
      <w:spacing w:after="0" w:line="360" w:lineRule="auto"/>
      <w:jc w:val="center"/>
      <w:outlineLvl w:val="0"/>
    </w:pPr>
    <w:rPr>
      <w:rFonts w:ascii="Palatino Linotype" w:eastAsiaTheme="majorEastAsia" w:hAnsi="Palatino Linotype" w:cstheme="majorBidi"/>
      <w:b/>
      <w:bCs/>
      <w:caps/>
      <w:spacing w:val="4"/>
      <w:szCs w:val="28"/>
    </w:rPr>
  </w:style>
  <w:style w:type="paragraph" w:styleId="Ttulo2">
    <w:name w:val="heading 2"/>
    <w:basedOn w:val="Normal"/>
    <w:next w:val="Normal"/>
    <w:link w:val="Ttulo2Car"/>
    <w:uiPriority w:val="9"/>
    <w:unhideWhenUsed/>
    <w:qFormat/>
    <w:rsid w:val="00FE1919"/>
    <w:pPr>
      <w:keepNext/>
      <w:keepLines/>
      <w:spacing w:after="0" w:line="360" w:lineRule="auto"/>
      <w:outlineLvl w:val="1"/>
    </w:pPr>
    <w:rPr>
      <w:rFonts w:ascii="Palatino Linotype" w:eastAsiaTheme="majorEastAsia" w:hAnsi="Palatino Linotype" w:cstheme="majorBidi"/>
      <w:b/>
      <w:bCs/>
      <w:szCs w:val="28"/>
    </w:rPr>
  </w:style>
  <w:style w:type="paragraph" w:styleId="Ttulo3">
    <w:name w:val="heading 3"/>
    <w:basedOn w:val="Normal"/>
    <w:next w:val="Normal"/>
    <w:link w:val="Ttulo3Car"/>
    <w:uiPriority w:val="9"/>
    <w:semiHidden/>
    <w:unhideWhenUsed/>
    <w:qFormat/>
    <w:rsid w:val="00FE1919"/>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FE1919"/>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FE1919"/>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FE1919"/>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FE1919"/>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FE1919"/>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FE1919"/>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Encabezado"/>
    <w:link w:val="EncabezadoCar"/>
    <w:uiPriority w:val="99"/>
    <w:unhideWhenUsed/>
    <w:rsid w:val="00B811B2"/>
    <w:pPr>
      <w:tabs>
        <w:tab w:val="center" w:pos="4419"/>
        <w:tab w:val="right" w:pos="8838"/>
      </w:tabs>
      <w:spacing w:after="0" w:line="240" w:lineRule="auto"/>
    </w:pPr>
    <w:rPr>
      <w:rFonts w:ascii="Palatino Linotype" w:hAnsi="Palatino Linotype"/>
      <w:color w:val="000000"/>
    </w:rPr>
  </w:style>
  <w:style w:type="character" w:customStyle="1" w:styleId="EncabezadoCar">
    <w:name w:val="Encabezado Car"/>
    <w:basedOn w:val="Fuentedeprrafopredeter"/>
    <w:link w:val="Encabezado1"/>
    <w:uiPriority w:val="99"/>
    <w:rsid w:val="00B811B2"/>
    <w:rPr>
      <w:rFonts w:ascii="Palatino Linotype" w:hAnsi="Palatino Linotype"/>
      <w:color w:val="000000"/>
    </w:rPr>
  </w:style>
  <w:style w:type="paragraph" w:customStyle="1" w:styleId="Piedepgina1">
    <w:name w:val="Pie de página1"/>
    <w:basedOn w:val="Normal"/>
    <w:next w:val="Piedepgina"/>
    <w:link w:val="PiedepginaCar"/>
    <w:uiPriority w:val="99"/>
    <w:unhideWhenUsed/>
    <w:rsid w:val="00B811B2"/>
    <w:pPr>
      <w:tabs>
        <w:tab w:val="center" w:pos="4419"/>
        <w:tab w:val="right" w:pos="8838"/>
      </w:tabs>
      <w:spacing w:after="0" w:line="240" w:lineRule="auto"/>
    </w:pPr>
    <w:rPr>
      <w:rFonts w:ascii="Palatino Linotype" w:hAnsi="Palatino Linotype"/>
      <w:color w:val="000000"/>
    </w:rPr>
  </w:style>
  <w:style w:type="character" w:customStyle="1" w:styleId="PiedepginaCar">
    <w:name w:val="Pie de página Car"/>
    <w:basedOn w:val="Fuentedeprrafopredeter"/>
    <w:link w:val="Piedepgina1"/>
    <w:uiPriority w:val="99"/>
    <w:rsid w:val="00B811B2"/>
    <w:rPr>
      <w:rFonts w:ascii="Palatino Linotype" w:hAnsi="Palatino Linotype"/>
      <w:color w:val="000000"/>
    </w:rPr>
  </w:style>
  <w:style w:type="table" w:customStyle="1" w:styleId="Tablaconcuadrcula1">
    <w:name w:val="Tabla con cuadrícula1"/>
    <w:basedOn w:val="Tablanormal"/>
    <w:next w:val="Tablaconcuadrcula"/>
    <w:uiPriority w:val="39"/>
    <w:rsid w:val="00B811B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B811B2"/>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B811B2"/>
  </w:style>
  <w:style w:type="paragraph" w:styleId="Piedepgina">
    <w:name w:val="footer"/>
    <w:basedOn w:val="Normal"/>
    <w:link w:val="PiedepginaCar1"/>
    <w:uiPriority w:val="99"/>
    <w:semiHidden/>
    <w:unhideWhenUsed/>
    <w:rsid w:val="00B811B2"/>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B811B2"/>
  </w:style>
  <w:style w:type="table" w:styleId="Tablaconcuadrcula">
    <w:name w:val="Table Grid"/>
    <w:basedOn w:val="Tablanormal"/>
    <w:uiPriority w:val="39"/>
    <w:rsid w:val="00B8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0D40"/>
    <w:pPr>
      <w:ind w:left="720"/>
      <w:contextualSpacing/>
    </w:pPr>
  </w:style>
  <w:style w:type="character" w:styleId="Hipervnculo">
    <w:name w:val="Hyperlink"/>
    <w:basedOn w:val="Fuentedeprrafopredeter"/>
    <w:uiPriority w:val="99"/>
    <w:unhideWhenUsed/>
    <w:rsid w:val="00573CCB"/>
    <w:rPr>
      <w:color w:val="0563C1" w:themeColor="hyperlink"/>
      <w:u w:val="single"/>
    </w:rPr>
  </w:style>
  <w:style w:type="character" w:styleId="Hipervnculovisitado">
    <w:name w:val="FollowedHyperlink"/>
    <w:basedOn w:val="Fuentedeprrafopredeter"/>
    <w:uiPriority w:val="99"/>
    <w:semiHidden/>
    <w:unhideWhenUsed/>
    <w:rsid w:val="00573CCB"/>
    <w:rPr>
      <w:color w:val="954F72" w:themeColor="followedHyperlink"/>
      <w:u w:val="single"/>
    </w:rPr>
  </w:style>
  <w:style w:type="character" w:customStyle="1" w:styleId="Ttulo1Car">
    <w:name w:val="Título 1 Car"/>
    <w:basedOn w:val="Fuentedeprrafopredeter"/>
    <w:link w:val="Ttulo1"/>
    <w:uiPriority w:val="9"/>
    <w:rsid w:val="00FE1919"/>
    <w:rPr>
      <w:rFonts w:ascii="Palatino Linotype" w:eastAsiaTheme="majorEastAsia" w:hAnsi="Palatino Linotype" w:cstheme="majorBidi"/>
      <w:b/>
      <w:bCs/>
      <w:caps/>
      <w:spacing w:val="4"/>
      <w:szCs w:val="28"/>
    </w:rPr>
  </w:style>
  <w:style w:type="character" w:customStyle="1" w:styleId="Ttulo2Car">
    <w:name w:val="Título 2 Car"/>
    <w:basedOn w:val="Fuentedeprrafopredeter"/>
    <w:link w:val="Ttulo2"/>
    <w:uiPriority w:val="9"/>
    <w:rsid w:val="00FE1919"/>
    <w:rPr>
      <w:rFonts w:ascii="Palatino Linotype" w:eastAsiaTheme="majorEastAsia" w:hAnsi="Palatino Linotype" w:cstheme="majorBidi"/>
      <w:b/>
      <w:bCs/>
      <w:szCs w:val="28"/>
    </w:rPr>
  </w:style>
  <w:style w:type="character" w:customStyle="1" w:styleId="Ttulo3Car">
    <w:name w:val="Título 3 Car"/>
    <w:basedOn w:val="Fuentedeprrafopredeter"/>
    <w:link w:val="Ttulo3"/>
    <w:uiPriority w:val="9"/>
    <w:semiHidden/>
    <w:rsid w:val="00FE1919"/>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FE1919"/>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FE1919"/>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FE1919"/>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FE1919"/>
    <w:rPr>
      <w:i/>
      <w:iCs/>
    </w:rPr>
  </w:style>
  <w:style w:type="character" w:customStyle="1" w:styleId="Ttulo8Car">
    <w:name w:val="Título 8 Car"/>
    <w:basedOn w:val="Fuentedeprrafopredeter"/>
    <w:link w:val="Ttulo8"/>
    <w:uiPriority w:val="9"/>
    <w:semiHidden/>
    <w:rsid w:val="00FE1919"/>
    <w:rPr>
      <w:b/>
      <w:bCs/>
    </w:rPr>
  </w:style>
  <w:style w:type="character" w:customStyle="1" w:styleId="Ttulo9Car">
    <w:name w:val="Título 9 Car"/>
    <w:basedOn w:val="Fuentedeprrafopredeter"/>
    <w:link w:val="Ttulo9"/>
    <w:uiPriority w:val="9"/>
    <w:semiHidden/>
    <w:rsid w:val="00FE1919"/>
    <w:rPr>
      <w:i/>
      <w:iCs/>
    </w:rPr>
  </w:style>
  <w:style w:type="paragraph" w:styleId="Descripcin">
    <w:name w:val="caption"/>
    <w:basedOn w:val="Normal"/>
    <w:next w:val="Normal"/>
    <w:uiPriority w:val="35"/>
    <w:semiHidden/>
    <w:unhideWhenUsed/>
    <w:qFormat/>
    <w:rsid w:val="00FE1919"/>
    <w:rPr>
      <w:b/>
      <w:bCs/>
      <w:sz w:val="18"/>
      <w:szCs w:val="18"/>
    </w:rPr>
  </w:style>
  <w:style w:type="paragraph" w:styleId="Puesto">
    <w:name w:val="Title"/>
    <w:basedOn w:val="Normal"/>
    <w:next w:val="Normal"/>
    <w:link w:val="PuestoCar"/>
    <w:uiPriority w:val="10"/>
    <w:qFormat/>
    <w:rsid w:val="00FE191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uestoCar">
    <w:name w:val="Puesto Car"/>
    <w:basedOn w:val="Fuentedeprrafopredeter"/>
    <w:link w:val="Puesto"/>
    <w:uiPriority w:val="10"/>
    <w:rsid w:val="00FE1919"/>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FE1919"/>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FE1919"/>
    <w:rPr>
      <w:rFonts w:asciiTheme="majorHAnsi" w:eastAsiaTheme="majorEastAsia" w:hAnsiTheme="majorHAnsi" w:cstheme="majorBidi"/>
      <w:sz w:val="24"/>
      <w:szCs w:val="24"/>
    </w:rPr>
  </w:style>
  <w:style w:type="character" w:styleId="Textoennegrita">
    <w:name w:val="Strong"/>
    <w:basedOn w:val="Fuentedeprrafopredeter"/>
    <w:uiPriority w:val="22"/>
    <w:qFormat/>
    <w:rsid w:val="00FE1919"/>
    <w:rPr>
      <w:b/>
      <w:bCs/>
      <w:color w:val="auto"/>
    </w:rPr>
  </w:style>
  <w:style w:type="character" w:styleId="nfasis">
    <w:name w:val="Emphasis"/>
    <w:basedOn w:val="Fuentedeprrafopredeter"/>
    <w:uiPriority w:val="20"/>
    <w:qFormat/>
    <w:rsid w:val="00FE1919"/>
    <w:rPr>
      <w:i/>
      <w:iCs/>
      <w:color w:val="auto"/>
    </w:rPr>
  </w:style>
  <w:style w:type="paragraph" w:styleId="Sinespaciado">
    <w:name w:val="No Spacing"/>
    <w:uiPriority w:val="1"/>
    <w:qFormat/>
    <w:rsid w:val="00FE1919"/>
    <w:pPr>
      <w:spacing w:after="0" w:line="240" w:lineRule="auto"/>
    </w:pPr>
  </w:style>
  <w:style w:type="paragraph" w:styleId="Cita">
    <w:name w:val="Quote"/>
    <w:basedOn w:val="Normal"/>
    <w:next w:val="Normal"/>
    <w:link w:val="CitaCar"/>
    <w:uiPriority w:val="29"/>
    <w:qFormat/>
    <w:rsid w:val="00FE191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FE1919"/>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FE191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FE1919"/>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FE1919"/>
    <w:rPr>
      <w:i/>
      <w:iCs/>
      <w:color w:val="auto"/>
    </w:rPr>
  </w:style>
  <w:style w:type="character" w:styleId="nfasisintenso">
    <w:name w:val="Intense Emphasis"/>
    <w:basedOn w:val="Fuentedeprrafopredeter"/>
    <w:uiPriority w:val="21"/>
    <w:qFormat/>
    <w:rsid w:val="00FE1919"/>
    <w:rPr>
      <w:b/>
      <w:bCs/>
      <w:i/>
      <w:iCs/>
      <w:color w:val="auto"/>
    </w:rPr>
  </w:style>
  <w:style w:type="character" w:styleId="Referenciasutil">
    <w:name w:val="Subtle Reference"/>
    <w:basedOn w:val="Fuentedeprrafopredeter"/>
    <w:uiPriority w:val="31"/>
    <w:qFormat/>
    <w:rsid w:val="00FE1919"/>
    <w:rPr>
      <w:smallCaps/>
      <w:color w:val="auto"/>
      <w:u w:val="single" w:color="7F7F7F" w:themeColor="text1" w:themeTint="80"/>
    </w:rPr>
  </w:style>
  <w:style w:type="character" w:styleId="Referenciaintensa">
    <w:name w:val="Intense Reference"/>
    <w:basedOn w:val="Fuentedeprrafopredeter"/>
    <w:uiPriority w:val="32"/>
    <w:qFormat/>
    <w:rsid w:val="00FE1919"/>
    <w:rPr>
      <w:b/>
      <w:bCs/>
      <w:smallCaps/>
      <w:color w:val="auto"/>
      <w:u w:val="single"/>
    </w:rPr>
  </w:style>
  <w:style w:type="character" w:styleId="Ttulodellibro">
    <w:name w:val="Book Title"/>
    <w:basedOn w:val="Fuentedeprrafopredeter"/>
    <w:uiPriority w:val="33"/>
    <w:qFormat/>
    <w:rsid w:val="00FE1919"/>
    <w:rPr>
      <w:b/>
      <w:bCs/>
      <w:smallCaps/>
      <w:color w:val="auto"/>
    </w:rPr>
  </w:style>
  <w:style w:type="paragraph" w:styleId="TtulodeTDC">
    <w:name w:val="TOC Heading"/>
    <w:basedOn w:val="Ttulo1"/>
    <w:next w:val="Normal"/>
    <w:uiPriority w:val="39"/>
    <w:unhideWhenUsed/>
    <w:qFormat/>
    <w:rsid w:val="00FE1919"/>
    <w:pPr>
      <w:outlineLvl w:val="9"/>
    </w:pPr>
  </w:style>
  <w:style w:type="paragraph" w:styleId="TDC1">
    <w:name w:val="toc 1"/>
    <w:basedOn w:val="Normal"/>
    <w:next w:val="Normal"/>
    <w:autoRedefine/>
    <w:uiPriority w:val="39"/>
    <w:unhideWhenUsed/>
    <w:rsid w:val="00FE1919"/>
    <w:pPr>
      <w:spacing w:after="100"/>
    </w:pPr>
  </w:style>
  <w:style w:type="paragraph" w:styleId="TDC2">
    <w:name w:val="toc 2"/>
    <w:basedOn w:val="Normal"/>
    <w:next w:val="Normal"/>
    <w:autoRedefine/>
    <w:uiPriority w:val="39"/>
    <w:unhideWhenUsed/>
    <w:rsid w:val="00FE19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0552">
      <w:bodyDiv w:val="1"/>
      <w:marLeft w:val="0"/>
      <w:marRight w:val="0"/>
      <w:marTop w:val="0"/>
      <w:marBottom w:val="0"/>
      <w:divBdr>
        <w:top w:val="none" w:sz="0" w:space="0" w:color="auto"/>
        <w:left w:val="none" w:sz="0" w:space="0" w:color="auto"/>
        <w:bottom w:val="none" w:sz="0" w:space="0" w:color="auto"/>
        <w:right w:val="none" w:sz="0" w:space="0" w:color="auto"/>
      </w:divBdr>
    </w:div>
    <w:div w:id="183785761">
      <w:bodyDiv w:val="1"/>
      <w:marLeft w:val="0"/>
      <w:marRight w:val="0"/>
      <w:marTop w:val="0"/>
      <w:marBottom w:val="0"/>
      <w:divBdr>
        <w:top w:val="none" w:sz="0" w:space="0" w:color="auto"/>
        <w:left w:val="none" w:sz="0" w:space="0" w:color="auto"/>
        <w:bottom w:val="none" w:sz="0" w:space="0" w:color="auto"/>
        <w:right w:val="none" w:sz="0" w:space="0" w:color="auto"/>
      </w:divBdr>
    </w:div>
    <w:div w:id="191771285">
      <w:bodyDiv w:val="1"/>
      <w:marLeft w:val="0"/>
      <w:marRight w:val="0"/>
      <w:marTop w:val="0"/>
      <w:marBottom w:val="0"/>
      <w:divBdr>
        <w:top w:val="none" w:sz="0" w:space="0" w:color="auto"/>
        <w:left w:val="none" w:sz="0" w:space="0" w:color="auto"/>
        <w:bottom w:val="none" w:sz="0" w:space="0" w:color="auto"/>
        <w:right w:val="none" w:sz="0" w:space="0" w:color="auto"/>
      </w:divBdr>
    </w:div>
    <w:div w:id="216862848">
      <w:bodyDiv w:val="1"/>
      <w:marLeft w:val="0"/>
      <w:marRight w:val="0"/>
      <w:marTop w:val="0"/>
      <w:marBottom w:val="0"/>
      <w:divBdr>
        <w:top w:val="none" w:sz="0" w:space="0" w:color="auto"/>
        <w:left w:val="none" w:sz="0" w:space="0" w:color="auto"/>
        <w:bottom w:val="none" w:sz="0" w:space="0" w:color="auto"/>
        <w:right w:val="none" w:sz="0" w:space="0" w:color="auto"/>
      </w:divBdr>
    </w:div>
    <w:div w:id="286547059">
      <w:bodyDiv w:val="1"/>
      <w:marLeft w:val="0"/>
      <w:marRight w:val="0"/>
      <w:marTop w:val="0"/>
      <w:marBottom w:val="0"/>
      <w:divBdr>
        <w:top w:val="none" w:sz="0" w:space="0" w:color="auto"/>
        <w:left w:val="none" w:sz="0" w:space="0" w:color="auto"/>
        <w:bottom w:val="none" w:sz="0" w:space="0" w:color="auto"/>
        <w:right w:val="none" w:sz="0" w:space="0" w:color="auto"/>
      </w:divBdr>
    </w:div>
    <w:div w:id="424814406">
      <w:bodyDiv w:val="1"/>
      <w:marLeft w:val="0"/>
      <w:marRight w:val="0"/>
      <w:marTop w:val="0"/>
      <w:marBottom w:val="0"/>
      <w:divBdr>
        <w:top w:val="none" w:sz="0" w:space="0" w:color="auto"/>
        <w:left w:val="none" w:sz="0" w:space="0" w:color="auto"/>
        <w:bottom w:val="none" w:sz="0" w:space="0" w:color="auto"/>
        <w:right w:val="none" w:sz="0" w:space="0" w:color="auto"/>
      </w:divBdr>
    </w:div>
    <w:div w:id="524514738">
      <w:bodyDiv w:val="1"/>
      <w:marLeft w:val="0"/>
      <w:marRight w:val="0"/>
      <w:marTop w:val="0"/>
      <w:marBottom w:val="0"/>
      <w:divBdr>
        <w:top w:val="none" w:sz="0" w:space="0" w:color="auto"/>
        <w:left w:val="none" w:sz="0" w:space="0" w:color="auto"/>
        <w:bottom w:val="none" w:sz="0" w:space="0" w:color="auto"/>
        <w:right w:val="none" w:sz="0" w:space="0" w:color="auto"/>
      </w:divBdr>
    </w:div>
    <w:div w:id="575937842">
      <w:bodyDiv w:val="1"/>
      <w:marLeft w:val="0"/>
      <w:marRight w:val="0"/>
      <w:marTop w:val="0"/>
      <w:marBottom w:val="0"/>
      <w:divBdr>
        <w:top w:val="none" w:sz="0" w:space="0" w:color="auto"/>
        <w:left w:val="none" w:sz="0" w:space="0" w:color="auto"/>
        <w:bottom w:val="none" w:sz="0" w:space="0" w:color="auto"/>
        <w:right w:val="none" w:sz="0" w:space="0" w:color="auto"/>
      </w:divBdr>
    </w:div>
    <w:div w:id="733625622">
      <w:bodyDiv w:val="1"/>
      <w:marLeft w:val="0"/>
      <w:marRight w:val="0"/>
      <w:marTop w:val="0"/>
      <w:marBottom w:val="0"/>
      <w:divBdr>
        <w:top w:val="none" w:sz="0" w:space="0" w:color="auto"/>
        <w:left w:val="none" w:sz="0" w:space="0" w:color="auto"/>
        <w:bottom w:val="none" w:sz="0" w:space="0" w:color="auto"/>
        <w:right w:val="none" w:sz="0" w:space="0" w:color="auto"/>
      </w:divBdr>
    </w:div>
    <w:div w:id="771821797">
      <w:bodyDiv w:val="1"/>
      <w:marLeft w:val="0"/>
      <w:marRight w:val="0"/>
      <w:marTop w:val="0"/>
      <w:marBottom w:val="0"/>
      <w:divBdr>
        <w:top w:val="none" w:sz="0" w:space="0" w:color="auto"/>
        <w:left w:val="none" w:sz="0" w:space="0" w:color="auto"/>
        <w:bottom w:val="none" w:sz="0" w:space="0" w:color="auto"/>
        <w:right w:val="none" w:sz="0" w:space="0" w:color="auto"/>
      </w:divBdr>
    </w:div>
    <w:div w:id="871960659">
      <w:bodyDiv w:val="1"/>
      <w:marLeft w:val="0"/>
      <w:marRight w:val="0"/>
      <w:marTop w:val="0"/>
      <w:marBottom w:val="0"/>
      <w:divBdr>
        <w:top w:val="none" w:sz="0" w:space="0" w:color="auto"/>
        <w:left w:val="none" w:sz="0" w:space="0" w:color="auto"/>
        <w:bottom w:val="none" w:sz="0" w:space="0" w:color="auto"/>
        <w:right w:val="none" w:sz="0" w:space="0" w:color="auto"/>
      </w:divBdr>
    </w:div>
    <w:div w:id="1040976522">
      <w:bodyDiv w:val="1"/>
      <w:marLeft w:val="0"/>
      <w:marRight w:val="0"/>
      <w:marTop w:val="0"/>
      <w:marBottom w:val="0"/>
      <w:divBdr>
        <w:top w:val="none" w:sz="0" w:space="0" w:color="auto"/>
        <w:left w:val="none" w:sz="0" w:space="0" w:color="auto"/>
        <w:bottom w:val="none" w:sz="0" w:space="0" w:color="auto"/>
        <w:right w:val="none" w:sz="0" w:space="0" w:color="auto"/>
      </w:divBdr>
    </w:div>
    <w:div w:id="1084300171">
      <w:bodyDiv w:val="1"/>
      <w:marLeft w:val="0"/>
      <w:marRight w:val="0"/>
      <w:marTop w:val="0"/>
      <w:marBottom w:val="0"/>
      <w:divBdr>
        <w:top w:val="none" w:sz="0" w:space="0" w:color="auto"/>
        <w:left w:val="none" w:sz="0" w:space="0" w:color="auto"/>
        <w:bottom w:val="none" w:sz="0" w:space="0" w:color="auto"/>
        <w:right w:val="none" w:sz="0" w:space="0" w:color="auto"/>
      </w:divBdr>
    </w:div>
    <w:div w:id="1162234930">
      <w:bodyDiv w:val="1"/>
      <w:marLeft w:val="0"/>
      <w:marRight w:val="0"/>
      <w:marTop w:val="0"/>
      <w:marBottom w:val="0"/>
      <w:divBdr>
        <w:top w:val="none" w:sz="0" w:space="0" w:color="auto"/>
        <w:left w:val="none" w:sz="0" w:space="0" w:color="auto"/>
        <w:bottom w:val="none" w:sz="0" w:space="0" w:color="auto"/>
        <w:right w:val="none" w:sz="0" w:space="0" w:color="auto"/>
      </w:divBdr>
    </w:div>
    <w:div w:id="1298485367">
      <w:bodyDiv w:val="1"/>
      <w:marLeft w:val="0"/>
      <w:marRight w:val="0"/>
      <w:marTop w:val="0"/>
      <w:marBottom w:val="0"/>
      <w:divBdr>
        <w:top w:val="none" w:sz="0" w:space="0" w:color="auto"/>
        <w:left w:val="none" w:sz="0" w:space="0" w:color="auto"/>
        <w:bottom w:val="none" w:sz="0" w:space="0" w:color="auto"/>
        <w:right w:val="none" w:sz="0" w:space="0" w:color="auto"/>
      </w:divBdr>
    </w:div>
    <w:div w:id="1357925114">
      <w:bodyDiv w:val="1"/>
      <w:marLeft w:val="0"/>
      <w:marRight w:val="0"/>
      <w:marTop w:val="0"/>
      <w:marBottom w:val="0"/>
      <w:divBdr>
        <w:top w:val="none" w:sz="0" w:space="0" w:color="auto"/>
        <w:left w:val="none" w:sz="0" w:space="0" w:color="auto"/>
        <w:bottom w:val="none" w:sz="0" w:space="0" w:color="auto"/>
        <w:right w:val="none" w:sz="0" w:space="0" w:color="auto"/>
      </w:divBdr>
    </w:div>
    <w:div w:id="1363945658">
      <w:bodyDiv w:val="1"/>
      <w:marLeft w:val="0"/>
      <w:marRight w:val="0"/>
      <w:marTop w:val="0"/>
      <w:marBottom w:val="0"/>
      <w:divBdr>
        <w:top w:val="none" w:sz="0" w:space="0" w:color="auto"/>
        <w:left w:val="none" w:sz="0" w:space="0" w:color="auto"/>
        <w:bottom w:val="none" w:sz="0" w:space="0" w:color="auto"/>
        <w:right w:val="none" w:sz="0" w:space="0" w:color="auto"/>
      </w:divBdr>
    </w:div>
    <w:div w:id="1463843697">
      <w:bodyDiv w:val="1"/>
      <w:marLeft w:val="0"/>
      <w:marRight w:val="0"/>
      <w:marTop w:val="0"/>
      <w:marBottom w:val="0"/>
      <w:divBdr>
        <w:top w:val="none" w:sz="0" w:space="0" w:color="auto"/>
        <w:left w:val="none" w:sz="0" w:space="0" w:color="auto"/>
        <w:bottom w:val="none" w:sz="0" w:space="0" w:color="auto"/>
        <w:right w:val="none" w:sz="0" w:space="0" w:color="auto"/>
      </w:divBdr>
    </w:div>
    <w:div w:id="1501118906">
      <w:bodyDiv w:val="1"/>
      <w:marLeft w:val="0"/>
      <w:marRight w:val="0"/>
      <w:marTop w:val="0"/>
      <w:marBottom w:val="0"/>
      <w:divBdr>
        <w:top w:val="none" w:sz="0" w:space="0" w:color="auto"/>
        <w:left w:val="none" w:sz="0" w:space="0" w:color="auto"/>
        <w:bottom w:val="none" w:sz="0" w:space="0" w:color="auto"/>
        <w:right w:val="none" w:sz="0" w:space="0" w:color="auto"/>
      </w:divBdr>
    </w:div>
    <w:div w:id="1600913688">
      <w:bodyDiv w:val="1"/>
      <w:marLeft w:val="0"/>
      <w:marRight w:val="0"/>
      <w:marTop w:val="0"/>
      <w:marBottom w:val="0"/>
      <w:divBdr>
        <w:top w:val="none" w:sz="0" w:space="0" w:color="auto"/>
        <w:left w:val="none" w:sz="0" w:space="0" w:color="auto"/>
        <w:bottom w:val="none" w:sz="0" w:space="0" w:color="auto"/>
        <w:right w:val="none" w:sz="0" w:space="0" w:color="auto"/>
      </w:divBdr>
    </w:div>
    <w:div w:id="1775244014">
      <w:bodyDiv w:val="1"/>
      <w:marLeft w:val="0"/>
      <w:marRight w:val="0"/>
      <w:marTop w:val="0"/>
      <w:marBottom w:val="0"/>
      <w:divBdr>
        <w:top w:val="none" w:sz="0" w:space="0" w:color="auto"/>
        <w:left w:val="none" w:sz="0" w:space="0" w:color="auto"/>
        <w:bottom w:val="none" w:sz="0" w:space="0" w:color="auto"/>
        <w:right w:val="none" w:sz="0" w:space="0" w:color="auto"/>
      </w:divBdr>
    </w:div>
    <w:div w:id="1911386653">
      <w:bodyDiv w:val="1"/>
      <w:marLeft w:val="0"/>
      <w:marRight w:val="0"/>
      <w:marTop w:val="0"/>
      <w:marBottom w:val="0"/>
      <w:divBdr>
        <w:top w:val="none" w:sz="0" w:space="0" w:color="auto"/>
        <w:left w:val="none" w:sz="0" w:space="0" w:color="auto"/>
        <w:bottom w:val="none" w:sz="0" w:space="0" w:color="auto"/>
        <w:right w:val="none" w:sz="0" w:space="0" w:color="auto"/>
      </w:divBdr>
    </w:div>
    <w:div w:id="1919629045">
      <w:bodyDiv w:val="1"/>
      <w:marLeft w:val="0"/>
      <w:marRight w:val="0"/>
      <w:marTop w:val="0"/>
      <w:marBottom w:val="0"/>
      <w:divBdr>
        <w:top w:val="none" w:sz="0" w:space="0" w:color="auto"/>
        <w:left w:val="none" w:sz="0" w:space="0" w:color="auto"/>
        <w:bottom w:val="none" w:sz="0" w:space="0" w:color="auto"/>
        <w:right w:val="none" w:sz="0" w:space="0" w:color="auto"/>
      </w:divBdr>
    </w:div>
    <w:div w:id="1968776254">
      <w:bodyDiv w:val="1"/>
      <w:marLeft w:val="0"/>
      <w:marRight w:val="0"/>
      <w:marTop w:val="0"/>
      <w:marBottom w:val="0"/>
      <w:divBdr>
        <w:top w:val="none" w:sz="0" w:space="0" w:color="auto"/>
        <w:left w:val="none" w:sz="0" w:space="0" w:color="auto"/>
        <w:bottom w:val="none" w:sz="0" w:space="0" w:color="auto"/>
        <w:right w:val="none" w:sz="0" w:space="0" w:color="auto"/>
      </w:divBdr>
    </w:div>
    <w:div w:id="2066678812">
      <w:bodyDiv w:val="1"/>
      <w:marLeft w:val="0"/>
      <w:marRight w:val="0"/>
      <w:marTop w:val="0"/>
      <w:marBottom w:val="0"/>
      <w:divBdr>
        <w:top w:val="none" w:sz="0" w:space="0" w:color="auto"/>
        <w:left w:val="none" w:sz="0" w:space="0" w:color="auto"/>
        <w:bottom w:val="none" w:sz="0" w:space="0" w:color="auto"/>
        <w:right w:val="none" w:sz="0" w:space="0" w:color="auto"/>
      </w:divBdr>
    </w:div>
    <w:div w:id="20704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gecem.edomex.gob.mx/faq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3F9F2-79C7-47AE-A0BE-CF727045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11075</Words>
  <Characters>60916</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2025-08-22T17:13:00Z</cp:lastPrinted>
  <dcterms:created xsi:type="dcterms:W3CDTF">2025-08-22T17:12:00Z</dcterms:created>
  <dcterms:modified xsi:type="dcterms:W3CDTF">2025-08-22T17:13:00Z</dcterms:modified>
</cp:coreProperties>
</file>