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EA5" w:rsidRPr="00C60FEB" w:rsidRDefault="00F15EA5" w:rsidP="004B6733">
      <w:pPr>
        <w:spacing w:line="360" w:lineRule="auto"/>
        <w:ind w:right="-28"/>
        <w:jc w:val="both"/>
        <w:rPr>
          <w:rFonts w:ascii="Palatino Linotype" w:eastAsia="Palatino Linotype" w:hAnsi="Palatino Linotype" w:cs="Palatino Linotype"/>
          <w:color w:val="000000" w:themeColor="text1"/>
        </w:rPr>
      </w:pPr>
      <w:bookmarkStart w:id="0" w:name="_GoBack"/>
      <w:bookmarkEnd w:id="0"/>
      <w:r w:rsidRPr="00C60FE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255144">
        <w:rPr>
          <w:rFonts w:ascii="Palatino Linotype" w:eastAsia="Palatino Linotype" w:hAnsi="Palatino Linotype" w:cs="Palatino Linotype"/>
          <w:b/>
          <w:color w:val="000000" w:themeColor="text1"/>
        </w:rPr>
        <w:t>de fecha</w:t>
      </w:r>
      <w:r w:rsidRPr="00C60FEB">
        <w:rPr>
          <w:rFonts w:ascii="Palatino Linotype" w:eastAsia="Palatino Linotype" w:hAnsi="Palatino Linotype" w:cs="Palatino Linotype"/>
          <w:b/>
          <w:color w:val="000000" w:themeColor="text1"/>
        </w:rPr>
        <w:t xml:space="preserve"> diez </w:t>
      </w:r>
      <w:r w:rsidR="00255144">
        <w:rPr>
          <w:rFonts w:ascii="Palatino Linotype" w:eastAsia="Palatino Linotype" w:hAnsi="Palatino Linotype" w:cs="Palatino Linotype"/>
          <w:b/>
          <w:color w:val="000000" w:themeColor="text1"/>
        </w:rPr>
        <w:t xml:space="preserve">(10) </w:t>
      </w:r>
      <w:r w:rsidRPr="00C60FEB">
        <w:rPr>
          <w:rFonts w:ascii="Palatino Linotype" w:eastAsia="Palatino Linotype" w:hAnsi="Palatino Linotype" w:cs="Palatino Linotype"/>
          <w:b/>
          <w:color w:val="000000" w:themeColor="text1"/>
        </w:rPr>
        <w:t>de septiembre de dos mil veinticinco.</w:t>
      </w:r>
      <w:r w:rsidRPr="00C60FEB">
        <w:rPr>
          <w:rFonts w:ascii="Palatino Linotype" w:eastAsia="Palatino Linotype" w:hAnsi="Palatino Linotype" w:cs="Palatino Linotype"/>
          <w:color w:val="000000" w:themeColor="text1"/>
        </w:rPr>
        <w:t xml:space="preserve"> </w:t>
      </w:r>
    </w:p>
    <w:p w:rsidR="00F15EA5" w:rsidRPr="00C60FEB" w:rsidRDefault="00F15EA5" w:rsidP="004B6733">
      <w:pPr>
        <w:spacing w:line="360" w:lineRule="auto"/>
        <w:ind w:right="-28"/>
        <w:jc w:val="both"/>
        <w:rPr>
          <w:rFonts w:ascii="Palatino Linotype" w:eastAsia="Palatino Linotype" w:hAnsi="Palatino Linotype" w:cs="Palatino Linotype"/>
          <w:color w:val="000000" w:themeColor="text1"/>
        </w:rPr>
      </w:pPr>
    </w:p>
    <w:p w:rsidR="00F15EA5" w:rsidRPr="00C60FEB" w:rsidRDefault="00F15EA5" w:rsidP="004B6733">
      <w:pPr>
        <w:spacing w:line="360" w:lineRule="auto"/>
        <w:ind w:right="-28"/>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b/>
          <w:color w:val="000000" w:themeColor="text1"/>
        </w:rPr>
        <w:t>VISTO</w:t>
      </w:r>
      <w:r w:rsidRPr="00C60FEB">
        <w:rPr>
          <w:rFonts w:ascii="Palatino Linotype" w:eastAsia="Palatino Linotype" w:hAnsi="Palatino Linotype" w:cs="Palatino Linotype"/>
          <w:color w:val="000000" w:themeColor="text1"/>
        </w:rPr>
        <w:t xml:space="preserve"> el expediente electrónico formado con motivo del recurso de revisión </w:t>
      </w:r>
      <w:r w:rsidRPr="00C60FEB">
        <w:rPr>
          <w:rFonts w:ascii="Palatino Linotype" w:eastAsia="Palatino Linotype" w:hAnsi="Palatino Linotype" w:cs="Palatino Linotype"/>
          <w:b/>
          <w:color w:val="000000" w:themeColor="text1"/>
        </w:rPr>
        <w:t xml:space="preserve">03623/INFOEM/IP/RR/2025, </w:t>
      </w:r>
      <w:r w:rsidRPr="00C60FEB">
        <w:rPr>
          <w:rFonts w:ascii="Palatino Linotype" w:eastAsia="Palatino Linotype" w:hAnsi="Palatino Linotype" w:cs="Palatino Linotype"/>
          <w:color w:val="000000" w:themeColor="text1"/>
        </w:rPr>
        <w:t xml:space="preserve">promovido por </w:t>
      </w:r>
      <w:r w:rsidRPr="00C60FEB">
        <w:rPr>
          <w:rFonts w:ascii="Palatino Linotype" w:eastAsia="Palatino Linotype" w:hAnsi="Palatino Linotype" w:cs="Palatino Linotype"/>
          <w:b/>
          <w:bCs/>
          <w:color w:val="000000" w:themeColor="text1"/>
        </w:rPr>
        <w:t>un usuario del Sistema de Acceso a la Información Mexiquense (SAIMEX)</w:t>
      </w:r>
      <w:r w:rsidRPr="00C60FEB">
        <w:rPr>
          <w:rFonts w:ascii="Palatino Linotype" w:eastAsia="Palatino Linotype" w:hAnsi="Palatino Linotype" w:cs="Palatino Linotype"/>
          <w:b/>
          <w:color w:val="000000" w:themeColor="text1"/>
        </w:rPr>
        <w:t>,</w:t>
      </w:r>
      <w:r w:rsidRPr="00C60FEB">
        <w:rPr>
          <w:rFonts w:ascii="Palatino Linotype" w:eastAsia="Palatino Linotype" w:hAnsi="Palatino Linotype" w:cs="Palatino Linotype"/>
          <w:color w:val="000000" w:themeColor="text1"/>
        </w:rPr>
        <w:t xml:space="preserve"> </w:t>
      </w:r>
      <w:r w:rsidR="00255144">
        <w:rPr>
          <w:rFonts w:ascii="Palatino Linotype" w:eastAsia="Palatino Linotype" w:hAnsi="Palatino Linotype" w:cs="Palatino Linotype"/>
          <w:color w:val="000000" w:themeColor="text1"/>
        </w:rPr>
        <w:t xml:space="preserve">a </w:t>
      </w:r>
      <w:r w:rsidRPr="00C60FEB">
        <w:rPr>
          <w:rFonts w:ascii="Palatino Linotype" w:eastAsia="Palatino Linotype" w:hAnsi="Palatino Linotype" w:cs="Palatino Linotype"/>
          <w:color w:val="000000" w:themeColor="text1"/>
        </w:rPr>
        <w:t xml:space="preserve">quien en lo sucesivo se identificará como </w:t>
      </w:r>
      <w:r w:rsidRPr="00C60FEB">
        <w:rPr>
          <w:rFonts w:ascii="Palatino Linotype" w:eastAsia="Palatino Linotype" w:hAnsi="Palatino Linotype" w:cs="Palatino Linotype"/>
          <w:b/>
          <w:color w:val="000000" w:themeColor="text1"/>
        </w:rPr>
        <w:t>EL RECURRENTE</w:t>
      </w:r>
      <w:r w:rsidRPr="00C60FEB">
        <w:rPr>
          <w:rFonts w:ascii="Palatino Linotype" w:eastAsia="Palatino Linotype" w:hAnsi="Palatino Linotype" w:cs="Palatino Linotype"/>
          <w:color w:val="000000" w:themeColor="text1"/>
        </w:rPr>
        <w:t xml:space="preserve">, en contra de la respuesta del </w:t>
      </w:r>
      <w:r w:rsidRPr="00C60FEB">
        <w:rPr>
          <w:rFonts w:ascii="Palatino Linotype" w:eastAsia="Palatino Linotype" w:hAnsi="Palatino Linotype" w:cs="Palatino Linotype"/>
          <w:b/>
          <w:bCs/>
          <w:color w:val="000000" w:themeColor="text1"/>
        </w:rPr>
        <w:t>Sistema Municipal Para el Desarrollo Integral de la Familia de Huehuetoca</w:t>
      </w:r>
      <w:r w:rsidRPr="00C60FEB">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color w:val="000000" w:themeColor="text1"/>
        </w:rPr>
        <w:t xml:space="preserve">en </w:t>
      </w:r>
      <w:r w:rsidR="00255144">
        <w:rPr>
          <w:rFonts w:ascii="Palatino Linotype" w:eastAsia="Palatino Linotype" w:hAnsi="Palatino Linotype" w:cs="Palatino Linotype"/>
          <w:color w:val="000000" w:themeColor="text1"/>
        </w:rPr>
        <w:t>adelante</w:t>
      </w:r>
      <w:r w:rsidRPr="00C60FEB">
        <w:rPr>
          <w:rFonts w:ascii="Palatino Linotype" w:eastAsia="Palatino Linotype" w:hAnsi="Palatino Linotype" w:cs="Palatino Linotype"/>
          <w:color w:val="000000" w:themeColor="text1"/>
        </w:rPr>
        <w:t xml:space="preserve"> el</w:t>
      </w:r>
      <w:r w:rsidRPr="00C60FEB">
        <w:rPr>
          <w:rFonts w:ascii="Palatino Linotype" w:eastAsia="Palatino Linotype" w:hAnsi="Palatino Linotype" w:cs="Palatino Linotype"/>
          <w:b/>
          <w:color w:val="000000" w:themeColor="text1"/>
        </w:rPr>
        <w:t xml:space="preserve"> SUJETO OBLIGADO</w:t>
      </w:r>
      <w:r w:rsidRPr="00C60FEB">
        <w:rPr>
          <w:rFonts w:ascii="Palatino Linotype" w:eastAsia="Palatino Linotype" w:hAnsi="Palatino Linotype" w:cs="Palatino Linotype"/>
          <w:color w:val="000000" w:themeColor="text1"/>
        </w:rPr>
        <w:t>, por lo que se procede a dictar la presente resolución, con base en los siguientes:</w:t>
      </w:r>
    </w:p>
    <w:p w:rsidR="00F15EA5" w:rsidRPr="00C60FEB" w:rsidRDefault="00F15EA5" w:rsidP="004B6733">
      <w:pPr>
        <w:spacing w:line="360" w:lineRule="auto"/>
        <w:ind w:right="-28"/>
        <w:jc w:val="both"/>
        <w:rPr>
          <w:rFonts w:ascii="Palatino Linotype" w:eastAsia="Palatino Linotype" w:hAnsi="Palatino Linotype" w:cs="Palatino Linotype"/>
          <w:b/>
          <w:color w:val="000000" w:themeColor="text1"/>
        </w:rPr>
      </w:pPr>
    </w:p>
    <w:p w:rsidR="00F15EA5" w:rsidRPr="00C60FEB" w:rsidRDefault="00F15EA5" w:rsidP="004B6733">
      <w:pPr>
        <w:keepNext/>
        <w:keepLines/>
        <w:spacing w:line="360" w:lineRule="auto"/>
        <w:ind w:right="-28"/>
        <w:jc w:val="center"/>
        <w:rPr>
          <w:rFonts w:ascii="Palatino Linotype" w:eastAsia="Palatino Linotype" w:hAnsi="Palatino Linotype" w:cs="Palatino Linotype"/>
          <w:b/>
          <w:color w:val="000000" w:themeColor="text1"/>
        </w:rPr>
      </w:pPr>
      <w:bookmarkStart w:id="1" w:name="_heading=h.gjdgxs" w:colFirst="0" w:colLast="0"/>
      <w:bookmarkEnd w:id="1"/>
      <w:r w:rsidRPr="00C60FEB">
        <w:rPr>
          <w:rFonts w:ascii="Palatino Linotype" w:eastAsia="Palatino Linotype" w:hAnsi="Palatino Linotype" w:cs="Palatino Linotype"/>
          <w:b/>
          <w:color w:val="000000" w:themeColor="text1"/>
        </w:rPr>
        <w:t>A</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N</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T</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E</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C</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E</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D</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E</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N</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T</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E</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S</w:t>
      </w:r>
    </w:p>
    <w:p w:rsidR="00F15EA5" w:rsidRPr="00C60FEB" w:rsidRDefault="00F15EA5" w:rsidP="004B6733">
      <w:pPr>
        <w:spacing w:line="360" w:lineRule="auto"/>
        <w:ind w:right="-28"/>
        <w:rPr>
          <w:rFonts w:ascii="Palatino Linotype" w:eastAsia="Palatino Linotype" w:hAnsi="Palatino Linotype" w:cs="Palatino Linotype"/>
          <w:color w:val="000000" w:themeColor="text1"/>
        </w:rPr>
      </w:pPr>
    </w:p>
    <w:p w:rsidR="00F15EA5" w:rsidRPr="00C60FEB" w:rsidRDefault="00F15EA5" w:rsidP="004B6733">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t xml:space="preserve">El </w:t>
      </w:r>
      <w:r w:rsidRPr="00C60FEB">
        <w:rPr>
          <w:rFonts w:ascii="Palatino Linotype" w:eastAsia="Palatino Linotype" w:hAnsi="Palatino Linotype" w:cs="Palatino Linotype"/>
          <w:b/>
          <w:color w:val="000000" w:themeColor="text1"/>
        </w:rPr>
        <w:t xml:space="preserve">cuatro de </w:t>
      </w:r>
      <w:r w:rsidR="00EA3439" w:rsidRPr="00C60FEB">
        <w:rPr>
          <w:rFonts w:ascii="Palatino Linotype" w:eastAsia="Palatino Linotype" w:hAnsi="Palatino Linotype" w:cs="Palatino Linotype"/>
          <w:b/>
          <w:color w:val="000000" w:themeColor="text1"/>
        </w:rPr>
        <w:t xml:space="preserve">marzo </w:t>
      </w:r>
      <w:r w:rsidRPr="00C60FEB">
        <w:rPr>
          <w:rFonts w:ascii="Palatino Linotype" w:eastAsia="Palatino Linotype" w:hAnsi="Palatino Linotype" w:cs="Palatino Linotype"/>
          <w:b/>
          <w:color w:val="000000" w:themeColor="text1"/>
        </w:rPr>
        <w:t>dos mil veinticinco</w:t>
      </w:r>
      <w:r w:rsidRPr="00C60FEB">
        <w:rPr>
          <w:rFonts w:ascii="Palatino Linotype" w:eastAsia="Palatino Linotype" w:hAnsi="Palatino Linotype" w:cs="Palatino Linotype"/>
          <w:color w:val="000000" w:themeColor="text1"/>
        </w:rPr>
        <w:t xml:space="preserve">, </w:t>
      </w:r>
      <w:r w:rsidRPr="00C60FEB">
        <w:rPr>
          <w:rFonts w:ascii="Palatino Linotype" w:eastAsia="Palatino Linotype" w:hAnsi="Palatino Linotype" w:cs="Palatino Linotype"/>
          <w:b/>
          <w:color w:val="000000" w:themeColor="text1"/>
        </w:rPr>
        <w:t>EL RECURRENTE,</w:t>
      </w:r>
      <w:r w:rsidRPr="00C60FEB">
        <w:rPr>
          <w:rFonts w:ascii="Palatino Linotype" w:eastAsia="Palatino Linotype" w:hAnsi="Palatino Linotype" w:cs="Palatino Linotype"/>
          <w:color w:val="000000" w:themeColor="text1"/>
        </w:rPr>
        <w:t xml:space="preserve"> ante el </w:t>
      </w:r>
      <w:r w:rsidRPr="00C60FEB">
        <w:rPr>
          <w:rFonts w:ascii="Palatino Linotype" w:eastAsia="Palatino Linotype" w:hAnsi="Palatino Linotype" w:cs="Palatino Linotype"/>
          <w:b/>
          <w:color w:val="000000" w:themeColor="text1"/>
        </w:rPr>
        <w:t>SUJETO OBLIGADO</w:t>
      </w:r>
      <w:r w:rsidRPr="00C60FEB">
        <w:rPr>
          <w:rFonts w:ascii="Palatino Linotype" w:eastAsia="Palatino Linotype" w:hAnsi="Palatino Linotype" w:cs="Palatino Linotype"/>
          <w:color w:val="000000" w:themeColor="text1"/>
        </w:rPr>
        <w:t xml:space="preserve"> vía Sistema de Acceso a la Información Mexiquense (</w:t>
      </w:r>
      <w:r w:rsidRPr="00C60FEB">
        <w:rPr>
          <w:rFonts w:ascii="Palatino Linotype" w:eastAsia="Palatino Linotype" w:hAnsi="Palatino Linotype" w:cs="Palatino Linotype"/>
          <w:b/>
          <w:color w:val="000000" w:themeColor="text1"/>
        </w:rPr>
        <w:t>SAIMEX)</w:t>
      </w:r>
      <w:r w:rsidRPr="00C60FEB">
        <w:rPr>
          <w:rFonts w:ascii="Palatino Linotype" w:eastAsia="Palatino Linotype" w:hAnsi="Palatino Linotype" w:cs="Palatino Linotype"/>
          <w:color w:val="000000" w:themeColor="text1"/>
        </w:rPr>
        <w:t xml:space="preserve">, presentó la solicitud de información registrada con el número </w:t>
      </w:r>
      <w:r w:rsidRPr="00C60FEB">
        <w:rPr>
          <w:rFonts w:ascii="Palatino Linotype" w:eastAsia="Palatino Linotype" w:hAnsi="Palatino Linotype" w:cs="Palatino Linotype"/>
          <w:b/>
          <w:bCs/>
          <w:color w:val="000000" w:themeColor="text1"/>
        </w:rPr>
        <w:t>00030/DIFHUEHUET/IP/2025</w:t>
      </w:r>
      <w:r w:rsidRPr="00C60FEB">
        <w:rPr>
          <w:rFonts w:ascii="Palatino Linotype" w:eastAsia="Palatino Linotype" w:hAnsi="Palatino Linotype" w:cs="Palatino Linotype"/>
          <w:b/>
          <w:color w:val="000000" w:themeColor="text1"/>
        </w:rPr>
        <w:t xml:space="preserve">, </w:t>
      </w:r>
      <w:r w:rsidR="00255144">
        <w:rPr>
          <w:rFonts w:ascii="Palatino Linotype" w:eastAsia="Palatino Linotype" w:hAnsi="Palatino Linotype" w:cs="Palatino Linotype"/>
          <w:color w:val="000000" w:themeColor="text1"/>
        </w:rPr>
        <w:t>en la que se</w:t>
      </w:r>
      <w:r w:rsidRPr="00C60FEB">
        <w:rPr>
          <w:rFonts w:ascii="Palatino Linotype" w:eastAsia="Palatino Linotype" w:hAnsi="Palatino Linotype" w:cs="Palatino Linotype"/>
          <w:color w:val="000000" w:themeColor="text1"/>
        </w:rPr>
        <w:t xml:space="preserve"> solicitó lo siguiente:</w:t>
      </w:r>
    </w:p>
    <w:p w:rsidR="00F15EA5" w:rsidRPr="00C60FEB" w:rsidRDefault="00F15EA5" w:rsidP="004B6733">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F15EA5" w:rsidRPr="00C60FEB" w:rsidRDefault="00F15EA5" w:rsidP="004B6733">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C60FEB">
        <w:rPr>
          <w:rFonts w:ascii="Palatino Linotype" w:eastAsia="Palatino Linotype" w:hAnsi="Palatino Linotype" w:cs="Palatino Linotype"/>
          <w:i/>
          <w:color w:val="000000" w:themeColor="text1"/>
        </w:rPr>
        <w:t xml:space="preserve"> “Solicito del sistema municipal DIF de Huehuetoca me proporcione via oficio, quienes son las instituciones publicas o privadas que realizan donaciones al sistema municipal DIF” (Sic) </w:t>
      </w:r>
    </w:p>
    <w:p w:rsidR="00F15EA5" w:rsidRDefault="00F15EA5" w:rsidP="004B6733">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255144" w:rsidRPr="00C60FEB" w:rsidRDefault="00255144" w:rsidP="004B6733">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F15EA5" w:rsidRPr="00C60FEB" w:rsidRDefault="00F15EA5" w:rsidP="004B6733">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t>Se señaló como modalidad de entrega a través de SAIMEX.</w:t>
      </w:r>
    </w:p>
    <w:p w:rsidR="00F15EA5" w:rsidRPr="00C60FEB" w:rsidRDefault="00F15EA5" w:rsidP="004B6733">
      <w:pPr>
        <w:ind w:right="-28"/>
        <w:rPr>
          <w:rFonts w:ascii="Palatino Linotype" w:eastAsia="Palatino Linotype" w:hAnsi="Palatino Linotype" w:cs="Palatino Linotype"/>
          <w:color w:val="000000" w:themeColor="text1"/>
        </w:rPr>
      </w:pPr>
    </w:p>
    <w:p w:rsidR="00F15EA5" w:rsidRPr="00C60FEB" w:rsidRDefault="00F15EA5" w:rsidP="004B6733">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lastRenderedPageBreak/>
        <w:t xml:space="preserve">El </w:t>
      </w:r>
      <w:r w:rsidRPr="00C60FEB">
        <w:rPr>
          <w:rFonts w:ascii="Palatino Linotype" w:eastAsia="Palatino Linotype" w:hAnsi="Palatino Linotype" w:cs="Palatino Linotype"/>
          <w:b/>
          <w:color w:val="000000" w:themeColor="text1"/>
        </w:rPr>
        <w:t>veintiséis de marzo de dos mil veinticinco</w:t>
      </w:r>
      <w:r w:rsidRPr="00C60FEB">
        <w:rPr>
          <w:rFonts w:ascii="Palatino Linotype" w:eastAsia="Palatino Linotype" w:hAnsi="Palatino Linotype" w:cs="Palatino Linotype"/>
          <w:color w:val="000000" w:themeColor="text1"/>
        </w:rPr>
        <w:t xml:space="preserve">, el </w:t>
      </w:r>
      <w:r w:rsidRPr="00C60FEB">
        <w:rPr>
          <w:rFonts w:ascii="Palatino Linotype" w:eastAsia="Palatino Linotype" w:hAnsi="Palatino Linotype" w:cs="Palatino Linotype"/>
          <w:b/>
          <w:color w:val="000000" w:themeColor="text1"/>
        </w:rPr>
        <w:t>SUJETO OBLIGADO</w:t>
      </w:r>
      <w:r w:rsidRPr="00C60FEB">
        <w:rPr>
          <w:rFonts w:ascii="Palatino Linotype" w:eastAsia="Palatino Linotype" w:hAnsi="Palatino Linotype" w:cs="Palatino Linotype"/>
          <w:b/>
          <w:i/>
          <w:color w:val="000000" w:themeColor="text1"/>
        </w:rPr>
        <w:t xml:space="preserve"> </w:t>
      </w:r>
      <w:r w:rsidRPr="00C60FEB">
        <w:rPr>
          <w:rFonts w:ascii="Palatino Linotype" w:eastAsia="Palatino Linotype" w:hAnsi="Palatino Linotype" w:cs="Palatino Linotype"/>
          <w:color w:val="000000" w:themeColor="text1"/>
        </w:rPr>
        <w:t>dio respuesta a las solicitud de información en el siguiente sentido:</w:t>
      </w:r>
    </w:p>
    <w:p w:rsidR="00F15EA5" w:rsidRPr="00C60FEB" w:rsidRDefault="00F15EA5" w:rsidP="004B6733">
      <w:pPr>
        <w:spacing w:line="360" w:lineRule="auto"/>
        <w:ind w:right="-28"/>
        <w:jc w:val="both"/>
        <w:rPr>
          <w:rFonts w:ascii="Palatino Linotype" w:eastAsia="Palatino Linotype" w:hAnsi="Palatino Linotype" w:cs="Palatino Linotype"/>
          <w:color w:val="000000" w:themeColor="text1"/>
        </w:rPr>
      </w:pPr>
    </w:p>
    <w:tbl>
      <w:tblPr>
        <w:tblW w:w="7781" w:type="dxa"/>
        <w:jc w:val="center"/>
        <w:tblCellSpacing w:w="0" w:type="dxa"/>
        <w:tblCellMar>
          <w:left w:w="0" w:type="dxa"/>
          <w:right w:w="0" w:type="dxa"/>
        </w:tblCellMar>
        <w:tblLook w:val="04A0" w:firstRow="1" w:lastRow="0" w:firstColumn="1" w:lastColumn="0" w:noHBand="0" w:noVBand="1"/>
      </w:tblPr>
      <w:tblGrid>
        <w:gridCol w:w="7781"/>
      </w:tblGrid>
      <w:tr w:rsidR="004B6733" w:rsidRPr="00C60FEB" w:rsidTr="00F15EA5">
        <w:trPr>
          <w:trHeight w:val="317"/>
          <w:tblCellSpacing w:w="0" w:type="dxa"/>
          <w:jc w:val="center"/>
        </w:trPr>
        <w:tc>
          <w:tcPr>
            <w:tcW w:w="0" w:type="auto"/>
            <w:vAlign w:val="center"/>
            <w:hideMark/>
          </w:tcPr>
          <w:p w:rsidR="00F15EA5" w:rsidRPr="00C60FEB" w:rsidRDefault="00F15EA5" w:rsidP="004B6733">
            <w:pPr>
              <w:ind w:right="-28"/>
              <w:jc w:val="right"/>
              <w:rPr>
                <w:rFonts w:ascii="Palatino Linotype" w:hAnsi="Palatino Linotype"/>
                <w:i/>
                <w:color w:val="000000" w:themeColor="text1"/>
              </w:rPr>
            </w:pPr>
            <w:r w:rsidRPr="00C60FEB">
              <w:rPr>
                <w:rFonts w:ascii="Palatino Linotype" w:hAnsi="Palatino Linotype"/>
                <w:i/>
                <w:color w:val="000000" w:themeColor="text1"/>
              </w:rPr>
              <w:t>“l Para el Desarrollo Integral de la Familia de Huehuetoca, México a 26 de Marzo de 2025</w:t>
            </w:r>
          </w:p>
        </w:tc>
      </w:tr>
      <w:tr w:rsidR="004B6733" w:rsidRPr="00C60FEB" w:rsidTr="00F15EA5">
        <w:trPr>
          <w:trHeight w:val="317"/>
          <w:tblCellSpacing w:w="0" w:type="dxa"/>
          <w:jc w:val="center"/>
        </w:trPr>
        <w:tc>
          <w:tcPr>
            <w:tcW w:w="0" w:type="auto"/>
            <w:vAlign w:val="center"/>
            <w:hideMark/>
          </w:tcPr>
          <w:p w:rsidR="00F15EA5" w:rsidRPr="00C60FEB" w:rsidRDefault="00F15EA5" w:rsidP="004B6733">
            <w:pPr>
              <w:ind w:right="-28"/>
              <w:jc w:val="right"/>
              <w:rPr>
                <w:rFonts w:ascii="Palatino Linotype" w:hAnsi="Palatino Linotype"/>
                <w:i/>
                <w:color w:val="000000" w:themeColor="text1"/>
              </w:rPr>
            </w:pPr>
            <w:r w:rsidRPr="00C60FEB">
              <w:rPr>
                <w:rFonts w:ascii="Palatino Linotype" w:hAnsi="Palatino Linotype"/>
                <w:i/>
                <w:color w:val="000000" w:themeColor="text1"/>
              </w:rPr>
              <w:t>Nombre del solicitante: C. Solicitante</w:t>
            </w:r>
          </w:p>
        </w:tc>
      </w:tr>
      <w:tr w:rsidR="004B6733" w:rsidRPr="00C60FEB" w:rsidTr="00F15EA5">
        <w:trPr>
          <w:trHeight w:val="317"/>
          <w:tblCellSpacing w:w="0" w:type="dxa"/>
          <w:jc w:val="center"/>
        </w:trPr>
        <w:tc>
          <w:tcPr>
            <w:tcW w:w="0" w:type="auto"/>
            <w:vAlign w:val="center"/>
            <w:hideMark/>
          </w:tcPr>
          <w:p w:rsidR="00F15EA5" w:rsidRPr="00C60FEB" w:rsidRDefault="00F15EA5" w:rsidP="004B6733">
            <w:pPr>
              <w:ind w:right="-28"/>
              <w:jc w:val="right"/>
              <w:rPr>
                <w:rFonts w:ascii="Palatino Linotype" w:hAnsi="Palatino Linotype"/>
                <w:i/>
                <w:color w:val="000000" w:themeColor="text1"/>
              </w:rPr>
            </w:pPr>
            <w:r w:rsidRPr="00C60FEB">
              <w:rPr>
                <w:rFonts w:ascii="Palatino Linotype" w:hAnsi="Palatino Linotype"/>
                <w:i/>
                <w:color w:val="000000" w:themeColor="text1"/>
              </w:rPr>
              <w:t>Folio de la solicitud: 00030/DIFHUEHUET/IP/2025</w:t>
            </w:r>
          </w:p>
        </w:tc>
      </w:tr>
      <w:tr w:rsidR="004B6733" w:rsidRPr="00C60FEB" w:rsidTr="00F15EA5">
        <w:trPr>
          <w:trHeight w:val="475"/>
          <w:tblCellSpacing w:w="0" w:type="dxa"/>
          <w:jc w:val="center"/>
        </w:trPr>
        <w:tc>
          <w:tcPr>
            <w:tcW w:w="0" w:type="auto"/>
            <w:vAlign w:val="center"/>
            <w:hideMark/>
          </w:tcPr>
          <w:p w:rsidR="00F15EA5" w:rsidRPr="00C60FEB" w:rsidRDefault="00F15EA5" w:rsidP="004B6733">
            <w:pPr>
              <w:ind w:right="-28"/>
              <w:jc w:val="right"/>
              <w:rPr>
                <w:rFonts w:ascii="Palatino Linotype" w:hAnsi="Palatino Linotype"/>
                <w:i/>
                <w:color w:val="000000" w:themeColor="text1"/>
              </w:rPr>
            </w:pPr>
          </w:p>
        </w:tc>
      </w:tr>
      <w:tr w:rsidR="004B6733" w:rsidRPr="00C60FEB" w:rsidTr="00F15EA5">
        <w:trPr>
          <w:trHeight w:val="158"/>
          <w:tblCellSpacing w:w="0" w:type="dxa"/>
          <w:jc w:val="center"/>
        </w:trPr>
        <w:tc>
          <w:tcPr>
            <w:tcW w:w="0" w:type="auto"/>
            <w:vAlign w:val="center"/>
            <w:hideMark/>
          </w:tcPr>
          <w:p w:rsidR="00F15EA5" w:rsidRPr="00C60FEB" w:rsidRDefault="00F15EA5" w:rsidP="004B6733">
            <w:pPr>
              <w:ind w:right="-28"/>
              <w:jc w:val="center"/>
              <w:rPr>
                <w:rFonts w:ascii="Palatino Linotype" w:hAnsi="Palatino Linotype"/>
                <w:i/>
                <w:color w:val="000000" w:themeColor="text1"/>
              </w:rPr>
            </w:pPr>
          </w:p>
        </w:tc>
      </w:tr>
      <w:tr w:rsidR="004B6733" w:rsidRPr="00C60FEB" w:rsidTr="00F15EA5">
        <w:trPr>
          <w:trHeight w:val="396"/>
          <w:tblCellSpacing w:w="0" w:type="dxa"/>
          <w:jc w:val="center"/>
        </w:trPr>
        <w:tc>
          <w:tcPr>
            <w:tcW w:w="0" w:type="auto"/>
            <w:vAlign w:val="center"/>
            <w:hideMark/>
          </w:tcPr>
          <w:p w:rsidR="00F15EA5" w:rsidRPr="00C60FEB" w:rsidRDefault="00F15EA5" w:rsidP="004B6733">
            <w:pPr>
              <w:ind w:right="-28"/>
              <w:rPr>
                <w:rFonts w:ascii="Palatino Linotype" w:hAnsi="Palatino Linotype"/>
                <w:i/>
                <w:color w:val="000000" w:themeColor="text1"/>
              </w:rPr>
            </w:pPr>
          </w:p>
        </w:tc>
      </w:tr>
      <w:tr w:rsidR="004B6733" w:rsidRPr="00C60FEB" w:rsidTr="00F15EA5">
        <w:trPr>
          <w:trHeight w:val="158"/>
          <w:tblCellSpacing w:w="0" w:type="dxa"/>
          <w:jc w:val="center"/>
        </w:trPr>
        <w:tc>
          <w:tcPr>
            <w:tcW w:w="0" w:type="auto"/>
            <w:vAlign w:val="center"/>
            <w:hideMark/>
          </w:tcPr>
          <w:p w:rsidR="00F15EA5" w:rsidRPr="00C60FEB" w:rsidRDefault="00F15EA5" w:rsidP="004B6733">
            <w:pPr>
              <w:ind w:right="-28"/>
              <w:rPr>
                <w:rFonts w:ascii="Palatino Linotype" w:hAnsi="Palatino Linotype"/>
                <w:i/>
                <w:color w:val="000000" w:themeColor="text1"/>
              </w:rPr>
            </w:pPr>
            <w:r w:rsidRPr="00C60FEB">
              <w:rPr>
                <w:rFonts w:ascii="Palatino Linotype" w:hAnsi="Palatino Linotype"/>
                <w:i/>
                <w:color w:val="000000" w:themeColor="text1"/>
              </w:rPr>
              <w:t>buena tarde, envió información solicitada</w:t>
            </w:r>
          </w:p>
        </w:tc>
      </w:tr>
      <w:tr w:rsidR="004B6733" w:rsidRPr="00C60FEB" w:rsidTr="00F15EA5">
        <w:trPr>
          <w:trHeight w:val="396"/>
          <w:tblCellSpacing w:w="0" w:type="dxa"/>
          <w:jc w:val="center"/>
        </w:trPr>
        <w:tc>
          <w:tcPr>
            <w:tcW w:w="0" w:type="auto"/>
            <w:vAlign w:val="center"/>
            <w:hideMark/>
          </w:tcPr>
          <w:p w:rsidR="00F15EA5" w:rsidRPr="00C60FEB" w:rsidRDefault="00F15EA5" w:rsidP="004B6733">
            <w:pPr>
              <w:ind w:right="-28"/>
              <w:rPr>
                <w:rFonts w:ascii="Palatino Linotype" w:hAnsi="Palatino Linotype"/>
                <w:i/>
                <w:color w:val="000000" w:themeColor="text1"/>
              </w:rPr>
            </w:pPr>
          </w:p>
        </w:tc>
      </w:tr>
      <w:tr w:rsidR="004B6733" w:rsidRPr="00C60FEB" w:rsidTr="00F15EA5">
        <w:trPr>
          <w:trHeight w:val="158"/>
          <w:tblCellSpacing w:w="0" w:type="dxa"/>
          <w:jc w:val="center"/>
        </w:trPr>
        <w:tc>
          <w:tcPr>
            <w:tcW w:w="0" w:type="auto"/>
            <w:vAlign w:val="center"/>
            <w:hideMark/>
          </w:tcPr>
          <w:p w:rsidR="00F15EA5" w:rsidRPr="00C60FEB" w:rsidRDefault="00F15EA5" w:rsidP="004B6733">
            <w:pPr>
              <w:ind w:right="-28"/>
              <w:jc w:val="center"/>
              <w:rPr>
                <w:rFonts w:ascii="Palatino Linotype" w:hAnsi="Palatino Linotype"/>
                <w:i/>
                <w:color w:val="000000" w:themeColor="text1"/>
              </w:rPr>
            </w:pPr>
          </w:p>
        </w:tc>
      </w:tr>
      <w:tr w:rsidR="004B6733" w:rsidRPr="00C60FEB" w:rsidTr="00F15EA5">
        <w:trPr>
          <w:trHeight w:val="158"/>
          <w:tblCellSpacing w:w="0" w:type="dxa"/>
          <w:jc w:val="center"/>
        </w:trPr>
        <w:tc>
          <w:tcPr>
            <w:tcW w:w="0" w:type="auto"/>
            <w:vAlign w:val="center"/>
            <w:hideMark/>
          </w:tcPr>
          <w:p w:rsidR="00F15EA5" w:rsidRPr="00C60FEB" w:rsidRDefault="00F15EA5" w:rsidP="004B6733">
            <w:pPr>
              <w:ind w:right="-28"/>
              <w:rPr>
                <w:rFonts w:ascii="Palatino Linotype" w:hAnsi="Palatino Linotype"/>
                <w:i/>
                <w:color w:val="000000" w:themeColor="text1"/>
              </w:rPr>
            </w:pPr>
          </w:p>
        </w:tc>
      </w:tr>
      <w:tr w:rsidR="004B6733" w:rsidRPr="00C60FEB" w:rsidTr="00F15EA5">
        <w:trPr>
          <w:trHeight w:val="158"/>
          <w:tblCellSpacing w:w="0" w:type="dxa"/>
          <w:jc w:val="center"/>
        </w:trPr>
        <w:tc>
          <w:tcPr>
            <w:tcW w:w="0" w:type="auto"/>
            <w:vAlign w:val="center"/>
            <w:hideMark/>
          </w:tcPr>
          <w:p w:rsidR="00F15EA5" w:rsidRPr="00C60FEB" w:rsidRDefault="00F15EA5" w:rsidP="004B6733">
            <w:pPr>
              <w:ind w:right="-28"/>
              <w:rPr>
                <w:rFonts w:ascii="Palatino Linotype" w:hAnsi="Palatino Linotype"/>
                <w:i/>
                <w:color w:val="000000" w:themeColor="text1"/>
              </w:rPr>
            </w:pPr>
            <w:r w:rsidRPr="00C60FEB">
              <w:rPr>
                <w:rFonts w:ascii="Palatino Linotype" w:hAnsi="Palatino Linotype"/>
                <w:i/>
                <w:color w:val="000000" w:themeColor="text1"/>
              </w:rPr>
              <w:t>ATENTAMENTE</w:t>
            </w:r>
          </w:p>
        </w:tc>
      </w:tr>
      <w:tr w:rsidR="004B6733" w:rsidRPr="00C60FEB" w:rsidTr="00F15EA5">
        <w:trPr>
          <w:trHeight w:val="237"/>
          <w:tblCellSpacing w:w="0" w:type="dxa"/>
          <w:jc w:val="center"/>
        </w:trPr>
        <w:tc>
          <w:tcPr>
            <w:tcW w:w="0" w:type="auto"/>
            <w:vAlign w:val="center"/>
            <w:hideMark/>
          </w:tcPr>
          <w:p w:rsidR="00F15EA5" w:rsidRPr="00C60FEB" w:rsidRDefault="00F15EA5" w:rsidP="004B6733">
            <w:pPr>
              <w:ind w:right="-28"/>
              <w:rPr>
                <w:rFonts w:ascii="Palatino Linotype" w:hAnsi="Palatino Linotype"/>
                <w:i/>
                <w:color w:val="000000" w:themeColor="text1"/>
              </w:rPr>
            </w:pPr>
          </w:p>
        </w:tc>
      </w:tr>
      <w:tr w:rsidR="00F15EA5" w:rsidRPr="00C60FEB" w:rsidTr="00F15EA5">
        <w:trPr>
          <w:trHeight w:val="158"/>
          <w:tblCellSpacing w:w="0" w:type="dxa"/>
          <w:jc w:val="center"/>
        </w:trPr>
        <w:tc>
          <w:tcPr>
            <w:tcW w:w="0" w:type="auto"/>
            <w:vAlign w:val="center"/>
            <w:hideMark/>
          </w:tcPr>
          <w:p w:rsidR="00F15EA5" w:rsidRPr="00C60FEB" w:rsidRDefault="00F15EA5" w:rsidP="004B6733">
            <w:pPr>
              <w:ind w:right="-28"/>
              <w:rPr>
                <w:rFonts w:ascii="Palatino Linotype" w:hAnsi="Palatino Linotype"/>
                <w:i/>
                <w:color w:val="000000" w:themeColor="text1"/>
              </w:rPr>
            </w:pPr>
            <w:r w:rsidRPr="00C60FEB">
              <w:rPr>
                <w:rFonts w:ascii="Palatino Linotype" w:hAnsi="Palatino Linotype"/>
                <w:i/>
                <w:color w:val="000000" w:themeColor="text1"/>
              </w:rPr>
              <w:t>C. Janeth Olivia Maldonado Cervantes”</w:t>
            </w:r>
          </w:p>
        </w:tc>
      </w:tr>
    </w:tbl>
    <w:p w:rsidR="00F15EA5" w:rsidRDefault="00F15EA5" w:rsidP="004B6733">
      <w:pPr>
        <w:spacing w:line="360" w:lineRule="auto"/>
        <w:ind w:right="-28"/>
        <w:jc w:val="both"/>
        <w:rPr>
          <w:rFonts w:ascii="Palatino Linotype" w:eastAsia="Palatino Linotype" w:hAnsi="Palatino Linotype" w:cs="Palatino Linotype"/>
          <w:color w:val="000000" w:themeColor="text1"/>
        </w:rPr>
      </w:pPr>
    </w:p>
    <w:p w:rsidR="00255144" w:rsidRPr="00C60FEB" w:rsidRDefault="00255144" w:rsidP="004B6733">
      <w:pPr>
        <w:spacing w:line="360" w:lineRule="auto"/>
        <w:ind w:right="-28"/>
        <w:jc w:val="both"/>
        <w:rPr>
          <w:rFonts w:ascii="Palatino Linotype" w:eastAsia="Palatino Linotype" w:hAnsi="Palatino Linotype" w:cs="Palatino Linotype"/>
          <w:color w:val="000000" w:themeColor="text1"/>
        </w:rPr>
      </w:pPr>
    </w:p>
    <w:p w:rsidR="00F15EA5" w:rsidRPr="00C60FEB" w:rsidRDefault="00F15EA5" w:rsidP="004B6733">
      <w:pPr>
        <w:pStyle w:val="Prrafodelista"/>
        <w:numPr>
          <w:ilvl w:val="0"/>
          <w:numId w:val="2"/>
        </w:numPr>
        <w:pBdr>
          <w:top w:val="nil"/>
          <w:left w:val="nil"/>
          <w:bottom w:val="nil"/>
          <w:right w:val="nil"/>
          <w:between w:val="nil"/>
        </w:pBdr>
        <w:spacing w:line="360" w:lineRule="auto"/>
        <w:ind w:left="0" w:right="-28"/>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t xml:space="preserve">A la respuesta se adjuntó el archivo electrónico denominado </w:t>
      </w:r>
      <w:hyperlink r:id="rId8" w:tgtFrame="_blank" w:history="1">
        <w:r w:rsidRPr="00C60FEB">
          <w:rPr>
            <w:rStyle w:val="Hipervnculo"/>
            <w:rFonts w:ascii="Palatino Linotype" w:eastAsia="Palatino Linotype" w:hAnsi="Palatino Linotype" w:cs="Palatino Linotype"/>
            <w:b/>
            <w:bCs/>
            <w:color w:val="000000" w:themeColor="text1"/>
          </w:rPr>
          <w:t>RESPUESTA 00030-DIFHUEHUET-IP-2025.pdf</w:t>
        </w:r>
      </w:hyperlink>
      <w:r w:rsidRPr="00C60FEB">
        <w:rPr>
          <w:rFonts w:ascii="Palatino Linotype" w:eastAsia="Palatino Linotype" w:hAnsi="Palatino Linotype" w:cs="Palatino Linotype"/>
          <w:color w:val="000000" w:themeColor="text1"/>
        </w:rPr>
        <w:t xml:space="preserve">, en el que se encuentra el </w:t>
      </w:r>
      <w:r w:rsidR="000703C5" w:rsidRPr="00C60FEB">
        <w:rPr>
          <w:rFonts w:ascii="Palatino Linotype" w:eastAsia="Palatino Linotype" w:hAnsi="Palatino Linotype" w:cs="Palatino Linotype"/>
          <w:color w:val="000000" w:themeColor="text1"/>
        </w:rPr>
        <w:t>oficio</w:t>
      </w:r>
      <w:r w:rsidRPr="00C60FEB">
        <w:rPr>
          <w:rFonts w:ascii="Palatino Linotype" w:eastAsia="Palatino Linotype" w:hAnsi="Palatino Linotype" w:cs="Palatino Linotype"/>
          <w:color w:val="000000" w:themeColor="text1"/>
        </w:rPr>
        <w:t xml:space="preserve"> denominado SMDIF/DIR/0019/03-2025, </w:t>
      </w:r>
      <w:r w:rsidR="000703C5" w:rsidRPr="00C60FEB">
        <w:rPr>
          <w:rFonts w:ascii="Palatino Linotype" w:eastAsia="Palatino Linotype" w:hAnsi="Palatino Linotype" w:cs="Palatino Linotype"/>
          <w:color w:val="000000" w:themeColor="text1"/>
        </w:rPr>
        <w:t xml:space="preserve"> de fecha veinticinco de marzo de dos mil veinticinco, suscrito por la Directora del Sistema Municipal para el Desarrollo Integral de la Familia, quien señaló las Ayudas extraordinarias que ofrecen. </w:t>
      </w:r>
    </w:p>
    <w:p w:rsidR="00F15EA5" w:rsidRPr="00C60FEB" w:rsidRDefault="00F15EA5" w:rsidP="004B6733">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C60FEB">
        <w:rPr>
          <w:rFonts w:ascii="Palatino Linotype" w:eastAsia="Palatino Linotype" w:hAnsi="Palatino Linotype" w:cs="Palatino Linotype"/>
          <w:i/>
          <w:color w:val="000000" w:themeColor="text1"/>
        </w:rPr>
        <w:t xml:space="preserve"> </w:t>
      </w:r>
    </w:p>
    <w:p w:rsidR="00F15EA5" w:rsidRPr="00C60FEB" w:rsidRDefault="00F15EA5" w:rsidP="004B6733">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t xml:space="preserve">El </w:t>
      </w:r>
      <w:r w:rsidR="000703C5" w:rsidRPr="00C60FEB">
        <w:rPr>
          <w:rFonts w:ascii="Palatino Linotype" w:eastAsia="Palatino Linotype" w:hAnsi="Palatino Linotype" w:cs="Palatino Linotype"/>
          <w:b/>
          <w:color w:val="000000" w:themeColor="text1"/>
        </w:rPr>
        <w:t>veintisiete de marzo</w:t>
      </w:r>
      <w:r w:rsidRPr="00C60FEB">
        <w:rPr>
          <w:rFonts w:ascii="Palatino Linotype" w:eastAsia="Palatino Linotype" w:hAnsi="Palatino Linotype" w:cs="Palatino Linotype"/>
          <w:b/>
          <w:color w:val="000000" w:themeColor="text1"/>
        </w:rPr>
        <w:t xml:space="preserve"> de dos mil veinticinco</w:t>
      </w:r>
      <w:r w:rsidRPr="00C60FEB">
        <w:rPr>
          <w:rFonts w:ascii="Palatino Linotype" w:eastAsia="Palatino Linotype" w:hAnsi="Palatino Linotype" w:cs="Palatino Linotype"/>
          <w:color w:val="000000" w:themeColor="text1"/>
        </w:rPr>
        <w:t xml:space="preserve">, </w:t>
      </w:r>
      <w:r w:rsidRPr="00C60FEB">
        <w:rPr>
          <w:rFonts w:ascii="Palatino Linotype" w:eastAsia="Palatino Linotype" w:hAnsi="Palatino Linotype" w:cs="Palatino Linotype"/>
          <w:b/>
          <w:color w:val="000000" w:themeColor="text1"/>
        </w:rPr>
        <w:t>EL RECURRENTE</w:t>
      </w:r>
      <w:r w:rsidRPr="00C60FEB">
        <w:rPr>
          <w:rFonts w:ascii="Palatino Linotype" w:eastAsia="Palatino Linotype" w:hAnsi="Palatino Linotype" w:cs="Palatino Linotype"/>
          <w:color w:val="000000" w:themeColor="text1"/>
        </w:rPr>
        <w:t xml:space="preserve"> interpuso el recurso de revisión, en contra de la respuesta, señalando como:</w:t>
      </w:r>
    </w:p>
    <w:p w:rsidR="00F15EA5" w:rsidRPr="00C60FEB" w:rsidRDefault="00F15EA5" w:rsidP="004B6733">
      <w:pPr>
        <w:spacing w:line="360" w:lineRule="auto"/>
        <w:ind w:right="-28"/>
        <w:jc w:val="both"/>
        <w:rPr>
          <w:rFonts w:ascii="Palatino Linotype" w:eastAsia="Palatino Linotype" w:hAnsi="Palatino Linotype" w:cs="Palatino Linotype"/>
          <w:color w:val="000000" w:themeColor="text1"/>
        </w:rPr>
      </w:pPr>
    </w:p>
    <w:p w:rsidR="00F15EA5" w:rsidRPr="00255144" w:rsidRDefault="00F15EA5" w:rsidP="00255144">
      <w:pPr>
        <w:pStyle w:val="Prrafodelista"/>
        <w:numPr>
          <w:ilvl w:val="0"/>
          <w:numId w:val="2"/>
        </w:numPr>
        <w:spacing w:line="360" w:lineRule="auto"/>
        <w:ind w:right="-28"/>
        <w:jc w:val="both"/>
        <w:rPr>
          <w:rFonts w:ascii="Palatino Linotype" w:eastAsia="Palatino Linotype" w:hAnsi="Palatino Linotype" w:cs="Palatino Linotype"/>
          <w:i/>
          <w:color w:val="000000" w:themeColor="text1"/>
        </w:rPr>
      </w:pPr>
      <w:r w:rsidRPr="00255144">
        <w:rPr>
          <w:rFonts w:ascii="Palatino Linotype" w:eastAsia="Palatino Linotype" w:hAnsi="Palatino Linotype" w:cs="Palatino Linotype"/>
          <w:b/>
          <w:color w:val="000000" w:themeColor="text1"/>
        </w:rPr>
        <w:lastRenderedPageBreak/>
        <w:t>Acto impugnado</w:t>
      </w:r>
      <w:r w:rsidRPr="00255144">
        <w:rPr>
          <w:rFonts w:ascii="Palatino Linotype" w:eastAsia="Palatino Linotype" w:hAnsi="Palatino Linotype" w:cs="Palatino Linotype"/>
          <w:b/>
          <w:i/>
          <w:color w:val="000000" w:themeColor="text1"/>
        </w:rPr>
        <w:t>:</w:t>
      </w:r>
      <w:r w:rsidRPr="00255144">
        <w:rPr>
          <w:rFonts w:ascii="Palatino Linotype" w:eastAsia="Palatino Linotype" w:hAnsi="Palatino Linotype" w:cs="Palatino Linotype"/>
          <w:i/>
          <w:color w:val="000000" w:themeColor="text1"/>
        </w:rPr>
        <w:t xml:space="preserve"> "</w:t>
      </w:r>
      <w:r w:rsidR="000703C5" w:rsidRPr="00255144">
        <w:rPr>
          <w:rFonts w:ascii="Palatino Linotype" w:eastAsia="Palatino Linotype" w:hAnsi="Palatino Linotype" w:cs="Palatino Linotype"/>
          <w:i/>
          <w:color w:val="000000" w:themeColor="text1"/>
        </w:rPr>
        <w:t>No se dio contestación a lo que se requirió, ya que se solicito, las instituciones publicas o privadas que realizan donaciones, y contestaron con los programas sociales con los que cuentan, solicito la transparencia de esta información.</w:t>
      </w:r>
      <w:r w:rsidRPr="00255144">
        <w:rPr>
          <w:rFonts w:ascii="Palatino Linotype" w:eastAsia="Palatino Linotype" w:hAnsi="Palatino Linotype" w:cs="Palatino Linotype"/>
          <w:i/>
          <w:color w:val="000000" w:themeColor="text1"/>
        </w:rPr>
        <w:t>" (Sic)</w:t>
      </w:r>
    </w:p>
    <w:p w:rsidR="00F15EA5" w:rsidRPr="00C60FEB" w:rsidRDefault="00F15EA5" w:rsidP="004B6733">
      <w:pPr>
        <w:spacing w:line="360" w:lineRule="auto"/>
        <w:ind w:right="-28"/>
        <w:jc w:val="both"/>
        <w:rPr>
          <w:rFonts w:ascii="Palatino Linotype" w:eastAsia="Palatino Linotype" w:hAnsi="Palatino Linotype" w:cs="Palatino Linotype"/>
          <w:color w:val="000000" w:themeColor="text1"/>
        </w:rPr>
      </w:pPr>
    </w:p>
    <w:p w:rsidR="00F15EA5" w:rsidRPr="00255144" w:rsidRDefault="00F15EA5" w:rsidP="00255144">
      <w:pPr>
        <w:pStyle w:val="Prrafodelista"/>
        <w:numPr>
          <w:ilvl w:val="0"/>
          <w:numId w:val="2"/>
        </w:numPr>
        <w:spacing w:line="360" w:lineRule="auto"/>
        <w:ind w:right="-28"/>
        <w:jc w:val="both"/>
        <w:rPr>
          <w:rFonts w:ascii="Palatino Linotype" w:eastAsia="Palatino Linotype" w:hAnsi="Palatino Linotype" w:cs="Palatino Linotype"/>
          <w:color w:val="000000" w:themeColor="text1"/>
        </w:rPr>
      </w:pPr>
      <w:r w:rsidRPr="00255144">
        <w:rPr>
          <w:rFonts w:ascii="Palatino Linotype" w:eastAsia="Palatino Linotype" w:hAnsi="Palatino Linotype" w:cs="Palatino Linotype"/>
          <w:b/>
          <w:color w:val="000000" w:themeColor="text1"/>
        </w:rPr>
        <w:t>Razones o Motivos de inconformidad: “</w:t>
      </w:r>
      <w:r w:rsidR="000703C5" w:rsidRPr="00255144">
        <w:rPr>
          <w:rFonts w:ascii="Palatino Linotype" w:eastAsia="Palatino Linotype" w:hAnsi="Palatino Linotype" w:cs="Palatino Linotype"/>
          <w:i/>
          <w:color w:val="000000" w:themeColor="text1"/>
        </w:rPr>
        <w:t>No se dio contestación a lo que se requirió, ya que se solicito, las instituciones publicas o privadas que realizan donaciones, y contestaron con los programas sociales con los que cuentan, solicito la transparencia de esta información.</w:t>
      </w:r>
      <w:r w:rsidRPr="00255144">
        <w:rPr>
          <w:rFonts w:ascii="Palatino Linotype" w:eastAsia="Palatino Linotype" w:hAnsi="Palatino Linotype" w:cs="Palatino Linotype"/>
          <w:i/>
          <w:color w:val="000000" w:themeColor="text1"/>
        </w:rPr>
        <w:t>” (Sic)</w:t>
      </w:r>
      <w:r w:rsidRPr="00255144">
        <w:rPr>
          <w:rFonts w:ascii="Palatino Linotype" w:eastAsia="Palatino Linotype" w:hAnsi="Palatino Linotype" w:cs="Palatino Linotype"/>
          <w:color w:val="000000" w:themeColor="text1"/>
        </w:rPr>
        <w:t xml:space="preserve">. </w:t>
      </w:r>
    </w:p>
    <w:p w:rsidR="00F15EA5" w:rsidRPr="00C60FEB" w:rsidRDefault="00F15EA5" w:rsidP="004B6733">
      <w:pPr>
        <w:spacing w:line="360" w:lineRule="auto"/>
        <w:ind w:right="-28"/>
        <w:jc w:val="both"/>
        <w:rPr>
          <w:rFonts w:ascii="Palatino Linotype" w:eastAsia="Palatino Linotype" w:hAnsi="Palatino Linotype" w:cs="Palatino Linotype"/>
          <w:color w:val="000000" w:themeColor="text1"/>
        </w:rPr>
      </w:pPr>
    </w:p>
    <w:p w:rsidR="00F15EA5" w:rsidRPr="00C60FEB" w:rsidRDefault="00F15EA5" w:rsidP="004B6733">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C60FEB">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60FEB">
        <w:rPr>
          <w:rFonts w:ascii="Palatino Linotype" w:eastAsia="Palatino Linotype" w:hAnsi="Palatino Linotype" w:cs="Palatino Linotype"/>
          <w:color w:val="000000" w:themeColor="text1"/>
        </w:rPr>
        <w:t xml:space="preserve">se turnó a la </w:t>
      </w:r>
      <w:r w:rsidRPr="00C60FEB">
        <w:rPr>
          <w:rFonts w:ascii="Palatino Linotype" w:eastAsia="Palatino Linotype" w:hAnsi="Palatino Linotype" w:cs="Palatino Linotype"/>
          <w:b/>
          <w:color w:val="000000" w:themeColor="text1"/>
        </w:rPr>
        <w:t xml:space="preserve">Comisionada María del Rosario Mejía Ayala, </w:t>
      </w:r>
      <w:r w:rsidR="00255144">
        <w:rPr>
          <w:rFonts w:ascii="Palatino Linotype" w:eastAsia="Palatino Linotype" w:hAnsi="Palatino Linotype" w:cs="Palatino Linotype"/>
          <w:color w:val="000000" w:themeColor="text1"/>
        </w:rPr>
        <w:t xml:space="preserve">para </w:t>
      </w:r>
      <w:r w:rsidRPr="00C60FEB">
        <w:rPr>
          <w:rFonts w:ascii="Palatino Linotype" w:eastAsia="Palatino Linotype" w:hAnsi="Palatino Linotype" w:cs="Palatino Linotype"/>
          <w:color w:val="000000" w:themeColor="text1"/>
        </w:rPr>
        <w:t xml:space="preserve">su análisis. </w:t>
      </w:r>
    </w:p>
    <w:p w:rsidR="00F15EA5" w:rsidRPr="00C60FEB" w:rsidRDefault="00F15EA5" w:rsidP="004B6733">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F15EA5" w:rsidRPr="00C60FEB" w:rsidRDefault="00255144" w:rsidP="004B6733">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w:t>
      </w:r>
      <w:r w:rsidR="00F15EA5" w:rsidRPr="00C60FEB">
        <w:rPr>
          <w:rFonts w:ascii="Palatino Linotype" w:eastAsia="Palatino Linotype" w:hAnsi="Palatino Linotype" w:cs="Palatino Linotype"/>
          <w:color w:val="000000" w:themeColor="text1"/>
        </w:rPr>
        <w:t xml:space="preserve"> Ponente con fundamento en lo dispuesto por el artículo 185 fracción II de la ley de la materia, a través del acuerdo de admisión del </w:t>
      </w:r>
      <w:r w:rsidR="00F15EA5" w:rsidRPr="00C60FEB">
        <w:rPr>
          <w:rFonts w:ascii="Palatino Linotype" w:eastAsia="Palatino Linotype" w:hAnsi="Palatino Linotype" w:cs="Palatino Linotype"/>
          <w:b/>
          <w:color w:val="000000" w:themeColor="text1"/>
        </w:rPr>
        <w:t>primero de abril de dos mil veinticinco</w:t>
      </w:r>
      <w:r w:rsidR="00F15EA5" w:rsidRPr="00C60FEB">
        <w:rPr>
          <w:rFonts w:ascii="Palatino Linotype" w:eastAsia="Palatino Linotype" w:hAnsi="Palatino Linotype" w:cs="Palatino Linotype"/>
          <w:color w:val="000000" w:themeColor="text1"/>
        </w:rPr>
        <w:t xml:space="preserve">, puso a disposición de las partes el expediente electrónico vía </w:t>
      </w:r>
      <w:r w:rsidR="00F15EA5" w:rsidRPr="00C60FEB">
        <w:rPr>
          <w:rFonts w:ascii="Palatino Linotype" w:eastAsia="Palatino Linotype" w:hAnsi="Palatino Linotype" w:cs="Palatino Linotype"/>
          <w:b/>
          <w:color w:val="000000" w:themeColor="text1"/>
        </w:rPr>
        <w:t xml:space="preserve">SAIMEX </w:t>
      </w:r>
      <w:r w:rsidR="00F15EA5" w:rsidRPr="00C60FEB">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00F15EA5" w:rsidRPr="00C60FEB">
        <w:rPr>
          <w:rFonts w:ascii="Palatino Linotype" w:eastAsia="Palatino Linotype" w:hAnsi="Palatino Linotype" w:cs="Palatino Linotype"/>
          <w:b/>
          <w:color w:val="000000" w:themeColor="text1"/>
        </w:rPr>
        <w:t>SUJETO OBLIGADO</w:t>
      </w:r>
      <w:r w:rsidR="00F15EA5" w:rsidRPr="00C60FEB">
        <w:rPr>
          <w:rFonts w:ascii="Palatino Linotype" w:eastAsia="Palatino Linotype" w:hAnsi="Palatino Linotype" w:cs="Palatino Linotype"/>
          <w:color w:val="000000" w:themeColor="text1"/>
        </w:rPr>
        <w:t xml:space="preserve"> presentara el informe justificado procedente. </w:t>
      </w:r>
    </w:p>
    <w:p w:rsidR="00F15EA5" w:rsidRPr="00C60FEB" w:rsidRDefault="00F15EA5" w:rsidP="004B6733">
      <w:pPr>
        <w:pBdr>
          <w:top w:val="nil"/>
          <w:left w:val="nil"/>
          <w:bottom w:val="nil"/>
          <w:right w:val="nil"/>
          <w:between w:val="nil"/>
        </w:pBdr>
        <w:spacing w:line="360" w:lineRule="auto"/>
        <w:ind w:right="-28"/>
        <w:rPr>
          <w:rFonts w:ascii="Palatino Linotype" w:eastAsia="Palatino Linotype" w:hAnsi="Palatino Linotype" w:cs="Palatino Linotype"/>
          <w:color w:val="000000" w:themeColor="text1"/>
        </w:rPr>
      </w:pPr>
    </w:p>
    <w:p w:rsidR="00F15EA5" w:rsidRPr="00C60FEB" w:rsidRDefault="00F15EA5" w:rsidP="004B6733">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t xml:space="preserve">De las constancias que obran en el expediente electrónico SAIMEX, se advierte que el Recurrente no señaló manifestaciones que a su derecho convinieran; por su parte, el Sujeto Obligado </w:t>
      </w:r>
      <w:r w:rsidR="000703C5" w:rsidRPr="00C60FEB">
        <w:rPr>
          <w:rFonts w:ascii="Palatino Linotype" w:eastAsia="Palatino Linotype" w:hAnsi="Palatino Linotype" w:cs="Palatino Linotype"/>
          <w:color w:val="000000" w:themeColor="text1"/>
        </w:rPr>
        <w:t>no entregó su informe justificado.</w:t>
      </w:r>
    </w:p>
    <w:p w:rsidR="000703C5" w:rsidRPr="00C60FEB" w:rsidRDefault="000703C5" w:rsidP="004B6733">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F15EA5" w:rsidRPr="00C60FEB" w:rsidRDefault="00255144" w:rsidP="004B6733">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La Comisionada</w:t>
      </w:r>
      <w:r w:rsidR="00F15EA5" w:rsidRPr="00C60FEB">
        <w:rPr>
          <w:rFonts w:ascii="Palatino Linotype" w:eastAsia="Palatino Linotype" w:hAnsi="Palatino Linotype" w:cs="Palatino Linotype"/>
          <w:color w:val="000000" w:themeColor="text1"/>
        </w:rPr>
        <w:t xml:space="preserve"> Ponente decretó el cierre de instrucción mediante el acuerdo del </w:t>
      </w:r>
      <w:r w:rsidR="000703C5" w:rsidRPr="00C60FEB">
        <w:rPr>
          <w:rFonts w:ascii="Palatino Linotype" w:eastAsia="Palatino Linotype" w:hAnsi="Palatino Linotype" w:cs="Palatino Linotype"/>
          <w:b/>
          <w:color w:val="000000" w:themeColor="text1"/>
        </w:rPr>
        <w:t>veintitrés</w:t>
      </w:r>
      <w:r w:rsidR="00F15EA5" w:rsidRPr="00C60FEB">
        <w:rPr>
          <w:rFonts w:ascii="Palatino Linotype" w:eastAsia="Palatino Linotype" w:hAnsi="Palatino Linotype" w:cs="Palatino Linotype"/>
          <w:b/>
          <w:color w:val="000000" w:themeColor="text1"/>
        </w:rPr>
        <w:t xml:space="preserve"> de abril de dos mil veinticinco.</w:t>
      </w:r>
    </w:p>
    <w:p w:rsidR="00321B56" w:rsidRPr="00C60FEB" w:rsidRDefault="00321B56" w:rsidP="004B6733">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321B56" w:rsidRPr="00C60FEB" w:rsidRDefault="00321B56" w:rsidP="004B6733">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t>El</w:t>
      </w:r>
      <w:r w:rsidRPr="00C60FEB">
        <w:rPr>
          <w:rFonts w:ascii="Palatino Linotype" w:eastAsia="Palatino Linotype" w:hAnsi="Palatino Linotype" w:cs="Palatino Linotype"/>
          <w:b/>
          <w:color w:val="000000" w:themeColor="text1"/>
        </w:rPr>
        <w:t xml:space="preserve"> cuatro de agosto de dos mil veinticinco, </w:t>
      </w:r>
      <w:r w:rsidRPr="00C60FEB">
        <w:rPr>
          <w:rFonts w:ascii="Palatino Linotype" w:eastAsia="Palatino Linotype" w:hAnsi="Palatino Linotype" w:cs="Palatino Linotype"/>
          <w:color w:val="000000" w:themeColor="text1"/>
        </w:rPr>
        <w:t>se notificó el acuerdo mediante el cual se aprobó la ampliación de plazo para emitir resolución.</w:t>
      </w:r>
      <w:r w:rsidRPr="00C60FEB">
        <w:rPr>
          <w:rFonts w:ascii="Palatino Linotype" w:eastAsia="Palatino Linotype" w:hAnsi="Palatino Linotype" w:cs="Palatino Linotype"/>
          <w:b/>
          <w:color w:val="000000" w:themeColor="text1"/>
        </w:rPr>
        <w:t xml:space="preserve"> </w:t>
      </w:r>
    </w:p>
    <w:p w:rsidR="00F15EA5" w:rsidRPr="00C60FEB" w:rsidRDefault="00F15EA5" w:rsidP="004B6733">
      <w:pPr>
        <w:spacing w:line="360" w:lineRule="auto"/>
        <w:ind w:right="-28"/>
        <w:rPr>
          <w:rFonts w:ascii="Palatino Linotype" w:eastAsia="Palatino Linotype" w:hAnsi="Palatino Linotype" w:cs="Palatino Linotype"/>
          <w:color w:val="000000" w:themeColor="text1"/>
        </w:rPr>
      </w:pPr>
    </w:p>
    <w:p w:rsidR="00F15EA5" w:rsidRPr="00C60FEB" w:rsidRDefault="00F15EA5" w:rsidP="004B6733">
      <w:pPr>
        <w:spacing w:line="360" w:lineRule="auto"/>
        <w:ind w:right="-28"/>
        <w:jc w:val="center"/>
        <w:rPr>
          <w:rFonts w:ascii="Palatino Linotype" w:eastAsia="Palatino Linotype" w:hAnsi="Palatino Linotype" w:cs="Palatino Linotype"/>
          <w:color w:val="000000" w:themeColor="text1"/>
        </w:rPr>
      </w:pPr>
      <w:bookmarkStart w:id="2" w:name="_heading=h.30j0zll" w:colFirst="0" w:colLast="0"/>
      <w:bookmarkEnd w:id="2"/>
      <w:r w:rsidRPr="00C60FEB">
        <w:rPr>
          <w:rFonts w:ascii="Palatino Linotype" w:eastAsia="Palatino Linotype" w:hAnsi="Palatino Linotype" w:cs="Palatino Linotype"/>
          <w:b/>
          <w:color w:val="000000" w:themeColor="text1"/>
        </w:rPr>
        <w:t>C</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O</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N</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S</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I</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D</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E</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R</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A</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N</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D</w:t>
      </w:r>
      <w:r w:rsidR="00255144">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b/>
          <w:color w:val="000000" w:themeColor="text1"/>
        </w:rPr>
        <w:t>O</w:t>
      </w:r>
      <w:r w:rsidR="00255144">
        <w:rPr>
          <w:rFonts w:ascii="Palatino Linotype" w:eastAsia="Palatino Linotype" w:hAnsi="Palatino Linotype" w:cs="Palatino Linotype"/>
          <w:b/>
          <w:color w:val="000000" w:themeColor="text1"/>
        </w:rPr>
        <w:t xml:space="preserve"> </w:t>
      </w:r>
    </w:p>
    <w:p w:rsidR="00F15EA5" w:rsidRPr="00C60FEB" w:rsidRDefault="00F15EA5" w:rsidP="004B6733">
      <w:pPr>
        <w:spacing w:line="360" w:lineRule="auto"/>
        <w:ind w:right="-28"/>
        <w:jc w:val="center"/>
        <w:rPr>
          <w:rFonts w:ascii="Palatino Linotype" w:eastAsia="Palatino Linotype" w:hAnsi="Palatino Linotype" w:cs="Palatino Linotype"/>
          <w:color w:val="000000" w:themeColor="text1"/>
        </w:rPr>
      </w:pPr>
    </w:p>
    <w:p w:rsidR="00F15EA5" w:rsidRPr="00C60FEB" w:rsidRDefault="00F15EA5" w:rsidP="004B6733">
      <w:pPr>
        <w:spacing w:line="360" w:lineRule="auto"/>
        <w:ind w:right="-28"/>
        <w:jc w:val="both"/>
        <w:rPr>
          <w:rFonts w:ascii="Palatino Linotype" w:eastAsia="Palatino Linotype" w:hAnsi="Palatino Linotype" w:cs="Palatino Linotype"/>
          <w:b/>
          <w:color w:val="000000" w:themeColor="text1"/>
        </w:rPr>
      </w:pPr>
      <w:bookmarkStart w:id="3" w:name="_heading=h.1fob9te" w:colFirst="0" w:colLast="0"/>
      <w:bookmarkEnd w:id="3"/>
      <w:r w:rsidRPr="00C60FEB">
        <w:rPr>
          <w:rFonts w:ascii="Palatino Linotype" w:eastAsia="Palatino Linotype" w:hAnsi="Palatino Linotype" w:cs="Palatino Linotype"/>
          <w:b/>
          <w:color w:val="000000" w:themeColor="text1"/>
        </w:rPr>
        <w:t>PRIMERO. De la competencia</w:t>
      </w:r>
    </w:p>
    <w:p w:rsidR="00F15EA5" w:rsidRPr="00C60FEB" w:rsidRDefault="00F15EA5" w:rsidP="004B6733">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F15EA5" w:rsidRPr="00C60FEB" w:rsidRDefault="00F15EA5" w:rsidP="004B6733">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F15EA5" w:rsidRPr="00C60FEB" w:rsidRDefault="00F15EA5" w:rsidP="004B6733">
      <w:pPr>
        <w:keepNext/>
        <w:keepLines/>
        <w:spacing w:line="360" w:lineRule="auto"/>
        <w:ind w:right="-28"/>
        <w:rPr>
          <w:rFonts w:ascii="Palatino Linotype" w:eastAsia="Palatino Linotype" w:hAnsi="Palatino Linotype" w:cs="Palatino Linotype"/>
          <w:b/>
          <w:color w:val="000000" w:themeColor="text1"/>
        </w:rPr>
      </w:pPr>
      <w:bookmarkStart w:id="4" w:name="_heading=h.3znysh7" w:colFirst="0" w:colLast="0"/>
      <w:bookmarkEnd w:id="4"/>
      <w:r w:rsidRPr="00C60FEB">
        <w:rPr>
          <w:rFonts w:ascii="Palatino Linotype" w:eastAsia="Palatino Linotype" w:hAnsi="Palatino Linotype" w:cs="Palatino Linotype"/>
          <w:b/>
          <w:color w:val="000000" w:themeColor="text1"/>
        </w:rPr>
        <w:t>SEGUNDO. De la oportunidad y procedencia.</w:t>
      </w:r>
    </w:p>
    <w:p w:rsidR="00F15EA5" w:rsidRPr="00C60FEB" w:rsidRDefault="00F15EA5" w:rsidP="004B6733">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t xml:space="preserve">El medio de impugnación fue presentado a través del </w:t>
      </w:r>
      <w:r w:rsidRPr="00C60FEB">
        <w:rPr>
          <w:rFonts w:ascii="Palatino Linotype" w:eastAsia="Palatino Linotype" w:hAnsi="Palatino Linotype" w:cs="Palatino Linotype"/>
          <w:b/>
          <w:color w:val="000000" w:themeColor="text1"/>
        </w:rPr>
        <w:t>SAIMEX,</w:t>
      </w:r>
      <w:r w:rsidRPr="00C60FE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C60FEB">
        <w:rPr>
          <w:rFonts w:ascii="Palatino Linotype" w:eastAsia="Palatino Linotype" w:hAnsi="Palatino Linotype" w:cs="Palatino Linotype"/>
          <w:b/>
          <w:color w:val="000000" w:themeColor="text1"/>
        </w:rPr>
        <w:t>SUJETO OBLIGADO</w:t>
      </w:r>
      <w:r w:rsidRPr="00C60FEB">
        <w:rPr>
          <w:rFonts w:ascii="Palatino Linotype" w:eastAsia="Palatino Linotype" w:hAnsi="Palatino Linotype" w:cs="Palatino Linotype"/>
          <w:color w:val="000000" w:themeColor="text1"/>
        </w:rPr>
        <w:t xml:space="preserve"> entregó respuesta a la solicitud el </w:t>
      </w:r>
      <w:r w:rsidR="00321B56" w:rsidRPr="00C60FEB">
        <w:rPr>
          <w:rFonts w:ascii="Palatino Linotype" w:eastAsia="Palatino Linotype" w:hAnsi="Palatino Linotype" w:cs="Palatino Linotype"/>
          <w:b/>
          <w:color w:val="000000" w:themeColor="text1"/>
        </w:rPr>
        <w:t>veintiséis</w:t>
      </w:r>
      <w:r w:rsidRPr="00C60FEB">
        <w:rPr>
          <w:rFonts w:ascii="Palatino Linotype" w:eastAsia="Palatino Linotype" w:hAnsi="Palatino Linotype" w:cs="Palatino Linotype"/>
          <w:b/>
          <w:color w:val="000000" w:themeColor="text1"/>
        </w:rPr>
        <w:t xml:space="preserve"> de marzo de dos mil veinticinco</w:t>
      </w:r>
      <w:r w:rsidRPr="00C60FEB">
        <w:rPr>
          <w:rFonts w:ascii="Palatino Linotype" w:eastAsia="Palatino Linotype" w:hAnsi="Palatino Linotype" w:cs="Palatino Linotype"/>
          <w:color w:val="000000" w:themeColor="text1"/>
        </w:rPr>
        <w:t xml:space="preserve">, de tal forma que el plazo para interponer el recurso de revisión </w:t>
      </w:r>
      <w:r w:rsidRPr="00C60FEB">
        <w:rPr>
          <w:rFonts w:ascii="Palatino Linotype" w:eastAsia="Palatino Linotype" w:hAnsi="Palatino Linotype" w:cs="Palatino Linotype"/>
          <w:color w:val="000000" w:themeColor="text1"/>
        </w:rPr>
        <w:lastRenderedPageBreak/>
        <w:t xml:space="preserve">transcurrió del </w:t>
      </w:r>
      <w:r w:rsidR="00321B56" w:rsidRPr="00C60FEB">
        <w:rPr>
          <w:rFonts w:ascii="Palatino Linotype" w:eastAsia="Palatino Linotype" w:hAnsi="Palatino Linotype" w:cs="Palatino Linotype"/>
          <w:b/>
          <w:color w:val="000000" w:themeColor="text1"/>
        </w:rPr>
        <w:t>veintisiete de marzo al veintitrés</w:t>
      </w:r>
      <w:r w:rsidRPr="00C60FEB">
        <w:rPr>
          <w:rFonts w:ascii="Palatino Linotype" w:eastAsia="Palatino Linotype" w:hAnsi="Palatino Linotype" w:cs="Palatino Linotype"/>
          <w:b/>
          <w:color w:val="000000" w:themeColor="text1"/>
        </w:rPr>
        <w:t xml:space="preserve"> de abril de dos mil veinticinco</w:t>
      </w:r>
      <w:r w:rsidRPr="00C60FEB">
        <w:rPr>
          <w:rFonts w:ascii="Palatino Linotype" w:eastAsia="Palatino Linotype" w:hAnsi="Palatino Linotype" w:cs="Palatino Linotype"/>
          <w:color w:val="000000" w:themeColor="text1"/>
        </w:rPr>
        <w:t xml:space="preserve">; en consecuencia, presentó su inconformidad el día </w:t>
      </w:r>
      <w:r w:rsidR="00321B56" w:rsidRPr="00C60FEB">
        <w:rPr>
          <w:rFonts w:ascii="Palatino Linotype" w:eastAsia="Palatino Linotype" w:hAnsi="Palatino Linotype" w:cs="Palatino Linotype"/>
          <w:b/>
          <w:color w:val="000000" w:themeColor="text1"/>
        </w:rPr>
        <w:t>veintisiete de marzo</w:t>
      </w:r>
      <w:r w:rsidRPr="00C60FEB">
        <w:rPr>
          <w:rFonts w:ascii="Palatino Linotype" w:eastAsia="Palatino Linotype" w:hAnsi="Palatino Linotype" w:cs="Palatino Linotype"/>
          <w:b/>
          <w:color w:val="000000" w:themeColor="text1"/>
        </w:rPr>
        <w:t xml:space="preserve"> de dos mil veinticinco</w:t>
      </w:r>
      <w:r w:rsidRPr="00C60FEB">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C60FEB">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60FEB">
        <w:rPr>
          <w:rFonts w:ascii="Palatino Linotype" w:eastAsia="Palatino Linotype" w:hAnsi="Palatino Linotype" w:cs="Palatino Linotype"/>
          <w:color w:val="000000" w:themeColor="text1"/>
        </w:rPr>
        <w:t>vigente.</w:t>
      </w:r>
    </w:p>
    <w:p w:rsidR="00321B56" w:rsidRPr="00C60FEB" w:rsidRDefault="00321B56" w:rsidP="004B6733">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321B56" w:rsidRPr="00C60FEB" w:rsidRDefault="00321B56" w:rsidP="004B6733">
      <w:pPr>
        <w:numPr>
          <w:ilvl w:val="0"/>
          <w:numId w:val="1"/>
        </w:numPr>
        <w:spacing w:line="360" w:lineRule="auto"/>
        <w:ind w:left="0" w:right="-28" w:firstLine="0"/>
        <w:contextualSpacing/>
        <w:jc w:val="both"/>
        <w:rPr>
          <w:rFonts w:ascii="Palatino Linotype" w:eastAsia="Calibri" w:hAnsi="Palatino Linotype" w:cs="Arial"/>
          <w:color w:val="000000" w:themeColor="text1"/>
          <w:lang w:val="es-ES_tradnl" w:eastAsia="es-ES"/>
        </w:rPr>
      </w:pPr>
      <w:r w:rsidRPr="00C60FEB">
        <w:rPr>
          <w:rFonts w:ascii="Palatino Linotype" w:eastAsia="Calibri" w:hAnsi="Palatino Linotype" w:cs="Arial"/>
          <w:color w:val="000000" w:themeColor="text1"/>
          <w:lang w:val="es-ES_tradnl" w:eastAsia="es-ES"/>
        </w:rPr>
        <w:t xml:space="preserve">Por otra parte, de la revisión al expediente electrónico del </w:t>
      </w:r>
      <w:r w:rsidRPr="00C60FEB">
        <w:rPr>
          <w:rFonts w:ascii="Palatino Linotype" w:eastAsia="Calibri" w:hAnsi="Palatino Linotype" w:cs="Arial"/>
          <w:b/>
          <w:color w:val="000000" w:themeColor="text1"/>
          <w:lang w:val="es-ES_tradnl" w:eastAsia="es-ES"/>
        </w:rPr>
        <w:t>SAIMEX</w:t>
      </w:r>
      <w:r w:rsidRPr="00C60FEB">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21B56" w:rsidRPr="00C60FEB" w:rsidRDefault="00321B56" w:rsidP="004B6733">
      <w:pPr>
        <w:pStyle w:val="Prrafodelista"/>
        <w:ind w:left="0" w:right="-28"/>
        <w:rPr>
          <w:rFonts w:ascii="Palatino Linotype" w:eastAsia="Calibri" w:hAnsi="Palatino Linotype" w:cs="Arial"/>
          <w:color w:val="000000" w:themeColor="text1"/>
          <w:lang w:val="es-ES_tradnl" w:eastAsia="es-ES"/>
        </w:rPr>
      </w:pPr>
    </w:p>
    <w:p w:rsidR="00321B56" w:rsidRPr="00C60FEB" w:rsidRDefault="00321B56" w:rsidP="004B6733">
      <w:pPr>
        <w:numPr>
          <w:ilvl w:val="0"/>
          <w:numId w:val="1"/>
        </w:numPr>
        <w:spacing w:line="360" w:lineRule="auto"/>
        <w:ind w:left="0" w:right="-28" w:firstLine="0"/>
        <w:contextualSpacing/>
        <w:jc w:val="both"/>
        <w:rPr>
          <w:rFonts w:ascii="Palatino Linotype" w:eastAsia="Calibri" w:hAnsi="Palatino Linotype" w:cs="Arial"/>
          <w:color w:val="000000" w:themeColor="text1"/>
          <w:lang w:val="es-ES_tradnl" w:eastAsia="es-ES"/>
        </w:rPr>
      </w:pPr>
      <w:r w:rsidRPr="00C60FEB">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C60FEB">
        <w:rPr>
          <w:rFonts w:ascii="Palatino Linotype" w:eastAsia="Calibri" w:hAnsi="Palatino Linotype" w:cs="Arial"/>
          <w:bCs/>
          <w:color w:val="000000" w:themeColor="text1"/>
          <w:lang w:val="es-ES" w:eastAsia="es-ES"/>
        </w:rPr>
        <w:t xml:space="preserve">5, párrafos vigésimo, vigésimo primero y vigésimo </w:t>
      </w:r>
      <w:r w:rsidR="004B6733" w:rsidRPr="00C60FEB">
        <w:rPr>
          <w:rFonts w:ascii="Palatino Linotype" w:eastAsia="Calibri" w:hAnsi="Palatino Linotype" w:cs="Arial"/>
          <w:bCs/>
          <w:color w:val="000000" w:themeColor="text1"/>
          <w:lang w:val="es-ES" w:eastAsia="es-ES"/>
        </w:rPr>
        <w:t>segundo</w:t>
      </w:r>
      <w:r w:rsidRPr="00C60FEB">
        <w:rPr>
          <w:rFonts w:ascii="Palatino Linotype" w:eastAsia="Calibri" w:hAnsi="Palatino Linotype" w:cs="Arial"/>
          <w:bCs/>
          <w:color w:val="000000" w:themeColor="text1"/>
          <w:lang w:val="es-ES" w:eastAsia="es-ES"/>
        </w:rPr>
        <w:t> fracciones IV y V </w:t>
      </w:r>
      <w:r w:rsidRPr="00C60FEB">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21B56" w:rsidRPr="00C60FEB" w:rsidRDefault="00321B56" w:rsidP="004B6733">
      <w:pPr>
        <w:pStyle w:val="Prrafodelista"/>
        <w:ind w:left="0" w:right="-28"/>
        <w:rPr>
          <w:rFonts w:ascii="Palatino Linotype" w:eastAsia="Calibri" w:hAnsi="Palatino Linotype" w:cs="Arial"/>
          <w:color w:val="000000" w:themeColor="text1"/>
          <w:lang w:val="es-ES_tradnl" w:eastAsia="es-ES"/>
        </w:rPr>
      </w:pPr>
    </w:p>
    <w:p w:rsidR="00321B56" w:rsidRPr="00C60FEB" w:rsidRDefault="00321B56" w:rsidP="004B6733">
      <w:pPr>
        <w:numPr>
          <w:ilvl w:val="0"/>
          <w:numId w:val="1"/>
        </w:numPr>
        <w:spacing w:line="360" w:lineRule="auto"/>
        <w:ind w:left="0" w:right="-28" w:firstLine="0"/>
        <w:contextualSpacing/>
        <w:jc w:val="both"/>
        <w:rPr>
          <w:rFonts w:ascii="Palatino Linotype" w:eastAsia="Calibri" w:hAnsi="Palatino Linotype" w:cs="Arial"/>
          <w:color w:val="000000" w:themeColor="text1"/>
          <w:lang w:val="es-ES_tradnl" w:eastAsia="es-ES"/>
        </w:rPr>
      </w:pPr>
      <w:r w:rsidRPr="00C60FEB">
        <w:rPr>
          <w:rFonts w:ascii="Palatino Linotype" w:eastAsia="Calibri" w:hAnsi="Palatino Linotype" w:cs="Arial"/>
          <w:color w:val="000000" w:themeColor="text1"/>
          <w:lang w:val="es-ES_tradnl"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21B56" w:rsidRPr="00C60FEB" w:rsidRDefault="00321B56" w:rsidP="004B6733">
      <w:pPr>
        <w:pStyle w:val="Prrafodelista"/>
        <w:ind w:left="0" w:right="-28"/>
        <w:rPr>
          <w:rFonts w:ascii="Palatino Linotype" w:eastAsia="Calibri" w:hAnsi="Palatino Linotype" w:cs="Arial"/>
          <w:color w:val="000000" w:themeColor="text1"/>
          <w:lang w:val="es-ES_tradnl" w:eastAsia="es-ES"/>
        </w:rPr>
      </w:pPr>
    </w:p>
    <w:p w:rsidR="00321B56" w:rsidRPr="00C60FEB" w:rsidRDefault="00321B56" w:rsidP="004B6733">
      <w:pPr>
        <w:numPr>
          <w:ilvl w:val="0"/>
          <w:numId w:val="1"/>
        </w:numPr>
        <w:spacing w:line="360" w:lineRule="auto"/>
        <w:ind w:left="0" w:right="-28" w:firstLine="0"/>
        <w:contextualSpacing/>
        <w:jc w:val="both"/>
        <w:rPr>
          <w:rFonts w:ascii="Palatino Linotype" w:eastAsia="Calibri" w:hAnsi="Palatino Linotype" w:cs="Arial"/>
          <w:color w:val="000000" w:themeColor="text1"/>
          <w:lang w:val="es-ES_tradnl" w:eastAsia="es-ES"/>
        </w:rPr>
      </w:pPr>
      <w:r w:rsidRPr="00C60FEB">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21B56" w:rsidRPr="00C60FEB" w:rsidRDefault="00321B56" w:rsidP="004B6733">
      <w:pPr>
        <w:pStyle w:val="Prrafodelista"/>
        <w:ind w:left="0" w:right="-28"/>
        <w:rPr>
          <w:rFonts w:ascii="Palatino Linotype" w:eastAsia="Calibri" w:hAnsi="Palatino Linotype" w:cs="Arial"/>
          <w:color w:val="000000" w:themeColor="text1"/>
          <w:lang w:val="es-ES_tradnl" w:eastAsia="es-ES"/>
        </w:rPr>
      </w:pPr>
    </w:p>
    <w:p w:rsidR="00321B56" w:rsidRPr="00C60FEB" w:rsidRDefault="00321B56" w:rsidP="004B6733">
      <w:pPr>
        <w:numPr>
          <w:ilvl w:val="0"/>
          <w:numId w:val="1"/>
        </w:numPr>
        <w:spacing w:line="360" w:lineRule="auto"/>
        <w:ind w:left="0" w:right="-28" w:firstLine="0"/>
        <w:contextualSpacing/>
        <w:jc w:val="both"/>
        <w:rPr>
          <w:rFonts w:ascii="Palatino Linotype" w:eastAsia="Calibri" w:hAnsi="Palatino Linotype" w:cs="Arial"/>
          <w:color w:val="000000" w:themeColor="text1"/>
          <w:lang w:val="es-ES_tradnl" w:eastAsia="es-ES"/>
        </w:rPr>
      </w:pPr>
      <w:r w:rsidRPr="00C60FEB">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F15EA5" w:rsidRPr="00C60FEB" w:rsidRDefault="00F15EA5" w:rsidP="004B6733">
      <w:pPr>
        <w:pStyle w:val="Prrafodelista"/>
        <w:ind w:left="0" w:right="-28"/>
        <w:rPr>
          <w:rFonts w:ascii="Palatino Linotype" w:eastAsia="Palatino Linotype" w:hAnsi="Palatino Linotype" w:cs="Palatino Linotype"/>
          <w:color w:val="000000" w:themeColor="text1"/>
        </w:rPr>
      </w:pPr>
    </w:p>
    <w:p w:rsidR="00F15EA5" w:rsidRPr="00C60FEB" w:rsidRDefault="00F15EA5" w:rsidP="004B6733">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21B56" w:rsidRPr="00C60FEB" w:rsidRDefault="00321B56" w:rsidP="004B6733">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F15EA5" w:rsidRPr="00C60FEB" w:rsidRDefault="00F15EA5" w:rsidP="004B6733">
      <w:pPr>
        <w:spacing w:line="360" w:lineRule="auto"/>
        <w:ind w:right="-28"/>
        <w:jc w:val="both"/>
        <w:rPr>
          <w:rFonts w:ascii="Palatino Linotype" w:eastAsia="Palatino Linotype" w:hAnsi="Palatino Linotype" w:cs="Palatino Linotype"/>
          <w:b/>
          <w:color w:val="000000" w:themeColor="text1"/>
        </w:rPr>
      </w:pPr>
      <w:bookmarkStart w:id="5" w:name="_heading=h.2et92p0" w:colFirst="0" w:colLast="0"/>
      <w:bookmarkEnd w:id="5"/>
      <w:r w:rsidRPr="00C60FEB">
        <w:rPr>
          <w:rFonts w:ascii="Palatino Linotype" w:eastAsia="Palatino Linotype" w:hAnsi="Palatino Linotype" w:cs="Palatino Linotype"/>
          <w:b/>
          <w:color w:val="000000" w:themeColor="text1"/>
        </w:rPr>
        <w:t>TERCERO. Planteamiento de la Litis.</w:t>
      </w:r>
    </w:p>
    <w:p w:rsidR="00F15EA5" w:rsidRPr="00C60FEB" w:rsidRDefault="00F15EA5" w:rsidP="004B6733">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t xml:space="preserve">El particular solicitó </w:t>
      </w:r>
      <w:r w:rsidR="00321B56" w:rsidRPr="00C60FEB">
        <w:rPr>
          <w:rFonts w:ascii="Palatino Linotype" w:eastAsia="Palatino Linotype" w:hAnsi="Palatino Linotype" w:cs="Palatino Linotype"/>
          <w:color w:val="000000" w:themeColor="text1"/>
        </w:rPr>
        <w:t xml:space="preserve">conocer las instituciones públicas o privadas que realizan donaciones al Sistema Municipal Para el Desarrollo Integral de la Familia de Huehuetoca.  </w:t>
      </w:r>
      <w:r w:rsidRPr="00C60FEB">
        <w:rPr>
          <w:rFonts w:ascii="Palatino Linotype" w:eastAsia="Palatino Linotype" w:hAnsi="Palatino Linotype" w:cs="Palatino Linotype"/>
          <w:color w:val="000000" w:themeColor="text1"/>
        </w:rPr>
        <w:t xml:space="preserve"> </w:t>
      </w:r>
    </w:p>
    <w:p w:rsidR="00F15EA5" w:rsidRPr="00C60FEB" w:rsidRDefault="00F15EA5" w:rsidP="004B6733">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lastRenderedPageBreak/>
        <w:t xml:space="preserve">En respuesta, el </w:t>
      </w:r>
      <w:r w:rsidR="00321B56" w:rsidRPr="00C60FEB">
        <w:rPr>
          <w:rFonts w:ascii="Palatino Linotype" w:eastAsia="Palatino Linotype" w:hAnsi="Palatino Linotype" w:cs="Palatino Linotype"/>
          <w:color w:val="000000" w:themeColor="text1"/>
        </w:rPr>
        <w:t xml:space="preserve">Sujeto Obligado señaló las ayudas extraordinarias que ofrece el Sistema Municipal Para el Desarrollo Integral de la Familia de Huehuetoca. </w:t>
      </w:r>
      <w:r w:rsidRPr="00C60FEB">
        <w:rPr>
          <w:rFonts w:ascii="Palatino Linotype" w:eastAsia="Palatino Linotype" w:hAnsi="Palatino Linotype" w:cs="Palatino Linotype"/>
          <w:color w:val="000000" w:themeColor="text1"/>
        </w:rPr>
        <w:t>Posteriormente, el particular se inconformó, de forma medular, po</w:t>
      </w:r>
      <w:r w:rsidR="00321B56" w:rsidRPr="00C60FEB">
        <w:rPr>
          <w:rFonts w:ascii="Palatino Linotype" w:eastAsia="Palatino Linotype" w:hAnsi="Palatino Linotype" w:cs="Palatino Linotype"/>
          <w:color w:val="000000" w:themeColor="text1"/>
        </w:rPr>
        <w:t xml:space="preserve">r la negativa de la información y la entrega de información que no corresponde con lo solicitado. </w:t>
      </w:r>
      <w:r w:rsidRPr="00C60FEB">
        <w:rPr>
          <w:rFonts w:ascii="Palatino Linotype" w:eastAsia="Palatino Linotype" w:hAnsi="Palatino Linotype" w:cs="Palatino Linotype"/>
          <w:color w:val="000000" w:themeColor="text1"/>
        </w:rPr>
        <w:t xml:space="preserve"> </w:t>
      </w:r>
    </w:p>
    <w:p w:rsidR="00F15EA5" w:rsidRPr="00C60FEB" w:rsidRDefault="00F15EA5" w:rsidP="004B6733">
      <w:pPr>
        <w:spacing w:line="360" w:lineRule="auto"/>
        <w:ind w:right="-28"/>
        <w:jc w:val="both"/>
        <w:rPr>
          <w:rFonts w:ascii="Palatino Linotype" w:eastAsia="Palatino Linotype" w:hAnsi="Palatino Linotype" w:cs="Palatino Linotype"/>
          <w:color w:val="000000" w:themeColor="text1"/>
        </w:rPr>
      </w:pPr>
    </w:p>
    <w:p w:rsidR="00F15EA5" w:rsidRPr="00C60FEB" w:rsidRDefault="00F15EA5" w:rsidP="004B6733">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actualizan las causales de procedencia previstas en el artículo 179, fracción I</w:t>
      </w:r>
      <w:r w:rsidR="00321B56" w:rsidRPr="00C60FEB">
        <w:rPr>
          <w:rFonts w:ascii="Palatino Linotype" w:eastAsia="Palatino Linotype" w:hAnsi="Palatino Linotype" w:cs="Palatino Linotype"/>
          <w:color w:val="000000" w:themeColor="text1"/>
        </w:rPr>
        <w:t xml:space="preserve"> y VI</w:t>
      </w:r>
      <w:r w:rsidRPr="00C60FEB">
        <w:rPr>
          <w:rFonts w:ascii="Palatino Linotype" w:eastAsia="Palatino Linotype" w:hAnsi="Palatino Linotype" w:cs="Palatino Linotype"/>
          <w:color w:val="000000" w:themeColor="text1"/>
        </w:rPr>
        <w:t xml:space="preserve"> de la Ley de Transparencia y Acceso a la Información Pública del Estado de México y Municipios; que establece</w:t>
      </w:r>
      <w:r w:rsidR="00F41A70" w:rsidRPr="00C60FEB">
        <w:rPr>
          <w:rFonts w:ascii="Palatino Linotype" w:eastAsia="Palatino Linotype" w:hAnsi="Palatino Linotype" w:cs="Palatino Linotype"/>
          <w:color w:val="000000" w:themeColor="text1"/>
        </w:rPr>
        <w:t xml:space="preserve"> la negativa de la información y la entrega de la información que no corresponde con los solicitado. </w:t>
      </w:r>
    </w:p>
    <w:p w:rsidR="00F15EA5" w:rsidRPr="00C60FEB" w:rsidRDefault="00F15EA5" w:rsidP="004B6733">
      <w:pPr>
        <w:spacing w:line="360" w:lineRule="auto"/>
        <w:ind w:right="-28"/>
        <w:jc w:val="both"/>
        <w:rPr>
          <w:rFonts w:ascii="Palatino Linotype" w:eastAsia="Palatino Linotype" w:hAnsi="Palatino Linotype" w:cs="Palatino Linotype"/>
          <w:color w:val="000000" w:themeColor="text1"/>
        </w:rPr>
      </w:pPr>
    </w:p>
    <w:p w:rsidR="00F15EA5" w:rsidRPr="00C60FEB" w:rsidRDefault="00F15EA5" w:rsidP="004B6733">
      <w:pPr>
        <w:keepNext/>
        <w:keepLines/>
        <w:spacing w:line="360" w:lineRule="auto"/>
        <w:ind w:right="-28"/>
        <w:rPr>
          <w:rFonts w:ascii="Palatino Linotype" w:eastAsia="Palatino Linotype" w:hAnsi="Palatino Linotype" w:cs="Palatino Linotype"/>
          <w:b/>
          <w:color w:val="000000" w:themeColor="text1"/>
        </w:rPr>
      </w:pPr>
      <w:bookmarkStart w:id="6" w:name="_heading=h.tyjcwt" w:colFirst="0" w:colLast="0"/>
      <w:bookmarkEnd w:id="6"/>
      <w:r w:rsidRPr="00C60FEB">
        <w:rPr>
          <w:rFonts w:ascii="Palatino Linotype" w:eastAsia="Palatino Linotype" w:hAnsi="Palatino Linotype" w:cs="Palatino Linotype"/>
          <w:b/>
          <w:color w:val="000000" w:themeColor="text1"/>
        </w:rPr>
        <w:t>CUARTO. Del estudio y resolución del recurso de revisión.</w:t>
      </w:r>
    </w:p>
    <w:p w:rsidR="00F15EA5" w:rsidRPr="00C60FEB" w:rsidRDefault="00F15EA5" w:rsidP="004B6733">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F41A70" w:rsidRPr="00C60FEB" w:rsidRDefault="00F41A70" w:rsidP="004B6733">
      <w:pPr>
        <w:spacing w:line="360" w:lineRule="auto"/>
        <w:ind w:right="-28"/>
        <w:jc w:val="both"/>
        <w:rPr>
          <w:rFonts w:ascii="Palatino Linotype" w:eastAsia="Palatino Linotype" w:hAnsi="Palatino Linotype" w:cs="Palatino Linotype"/>
          <w:color w:val="000000" w:themeColor="text1"/>
        </w:rPr>
      </w:pPr>
    </w:p>
    <w:p w:rsidR="00F41A70" w:rsidRPr="00C60FEB" w:rsidRDefault="00F15EA5" w:rsidP="004B6733">
      <w:pPr>
        <w:numPr>
          <w:ilvl w:val="0"/>
          <w:numId w:val="1"/>
        </w:numPr>
        <w:spacing w:line="360" w:lineRule="auto"/>
        <w:ind w:left="0" w:right="-28" w:firstLine="0"/>
        <w:jc w:val="both"/>
        <w:rPr>
          <w:rFonts w:ascii="Palatino Linotype" w:eastAsia="Palatino Linotype" w:hAnsi="Palatino Linotype" w:cs="Palatino Linotype"/>
          <w:color w:val="000000" w:themeColor="text1"/>
        </w:rPr>
      </w:pPr>
      <w:bookmarkStart w:id="7" w:name="_heading=h.1t3h5sf" w:colFirst="0" w:colLast="0"/>
      <w:bookmarkEnd w:id="7"/>
      <w:r w:rsidRPr="00C60FEB">
        <w:rPr>
          <w:rFonts w:ascii="Palatino Linotype" w:eastAsia="Palatino Linotype" w:hAnsi="Palatino Linotype" w:cs="Palatino Linotype"/>
          <w:color w:val="000000" w:themeColor="text1"/>
        </w:rPr>
        <w:t xml:space="preserve">En este caso, el particular solicitó </w:t>
      </w:r>
      <w:r w:rsidR="00F41A70" w:rsidRPr="00C60FEB">
        <w:rPr>
          <w:rFonts w:ascii="Palatino Linotype" w:eastAsia="Palatino Linotype" w:hAnsi="Palatino Linotype" w:cs="Palatino Linotype"/>
          <w:color w:val="000000" w:themeColor="text1"/>
        </w:rPr>
        <w:t xml:space="preserve">conocer las instituciones públicas o privadas que realizan donaciones al Sistema Municipal Para el Desarrollo Integral de la Familia de Huehuetoca.   </w:t>
      </w:r>
    </w:p>
    <w:p w:rsidR="00F15EA5" w:rsidRPr="00C60FEB" w:rsidRDefault="00F15EA5" w:rsidP="004B6733">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themeColor="text1"/>
        </w:rPr>
      </w:pPr>
    </w:p>
    <w:p w:rsidR="005913B0" w:rsidRPr="00C60FEB" w:rsidRDefault="005913B0" w:rsidP="004B6733">
      <w:pPr>
        <w:pStyle w:val="Prrafodelista"/>
        <w:numPr>
          <w:ilvl w:val="0"/>
          <w:numId w:val="1"/>
        </w:numPr>
        <w:spacing w:line="360" w:lineRule="auto"/>
        <w:ind w:left="0" w:right="-28" w:firstLine="0"/>
        <w:jc w:val="both"/>
        <w:rPr>
          <w:rFonts w:ascii="Palatino Linotype" w:eastAsia="MS Mincho" w:hAnsi="Palatino Linotype"/>
          <w:color w:val="000000" w:themeColor="text1"/>
        </w:rPr>
      </w:pPr>
      <w:r w:rsidRPr="00C60FEB">
        <w:rPr>
          <w:rFonts w:ascii="Palatino Linotype" w:eastAsia="MS Mincho" w:hAnsi="Palatino Linotype"/>
          <w:color w:val="000000" w:themeColor="text1"/>
        </w:rPr>
        <w:t xml:space="preserve">Al respecto, para determinar la naturaleza de la información solicitada, conviene señalar que el artículo 7.610 del Código Civil del Estado de México establece que la donación es un </w:t>
      </w:r>
      <w:r w:rsidRPr="00C60FEB">
        <w:rPr>
          <w:rFonts w:ascii="Palatino Linotype" w:eastAsia="MS Mincho" w:hAnsi="Palatino Linotype"/>
          <w:color w:val="000000" w:themeColor="text1"/>
        </w:rPr>
        <w:lastRenderedPageBreak/>
        <w:t xml:space="preserve">contrato, por virtud del cual una persona llamada donante, transfiere, en forma gratuita, una parte de sus bienes presentes, a otra llamada donataria quien, acepta dicha liberalidad. </w:t>
      </w:r>
    </w:p>
    <w:p w:rsidR="005913B0" w:rsidRPr="00C60FEB" w:rsidRDefault="005913B0" w:rsidP="004B6733">
      <w:pPr>
        <w:pStyle w:val="Prrafodelista"/>
        <w:spacing w:line="360" w:lineRule="auto"/>
        <w:ind w:left="0" w:right="-28"/>
        <w:jc w:val="both"/>
        <w:rPr>
          <w:rFonts w:ascii="Palatino Linotype" w:eastAsia="MS Mincho" w:hAnsi="Palatino Linotype"/>
          <w:color w:val="000000" w:themeColor="text1"/>
        </w:rPr>
      </w:pPr>
    </w:p>
    <w:p w:rsidR="00F41A70" w:rsidRPr="00C60FEB" w:rsidRDefault="005913B0" w:rsidP="004B6733">
      <w:pPr>
        <w:pStyle w:val="Prrafodelista"/>
        <w:numPr>
          <w:ilvl w:val="0"/>
          <w:numId w:val="1"/>
        </w:numPr>
        <w:spacing w:line="360" w:lineRule="auto"/>
        <w:ind w:left="0" w:right="-28" w:firstLine="0"/>
        <w:jc w:val="both"/>
        <w:rPr>
          <w:rFonts w:ascii="Palatino Linotype" w:eastAsia="MS Mincho" w:hAnsi="Palatino Linotype"/>
          <w:color w:val="000000" w:themeColor="text1"/>
        </w:rPr>
      </w:pPr>
      <w:r w:rsidRPr="00C60FEB">
        <w:rPr>
          <w:rFonts w:ascii="Palatino Linotype" w:eastAsia="MS Mincho" w:hAnsi="Palatino Linotype"/>
          <w:color w:val="000000" w:themeColor="text1"/>
        </w:rPr>
        <w:t>Se identifican 3 clases de donaciones, de conformidad al artículo 7.611 del referido código, la donación pura, condicional y con carga o remuneratoria, esta solo puede tener lugar entre personas vivas, puede ser verbal o escrita. Para efectos de determinar si la donación puede ser verbal u obligatoriamente debe existir documento soporte, estamos a lo contemplado en los artículos 7.618 y 7.619 que a la letra señalan:</w:t>
      </w:r>
    </w:p>
    <w:p w:rsidR="0042537B" w:rsidRPr="00C60FEB" w:rsidRDefault="0042537B" w:rsidP="004B6733">
      <w:pPr>
        <w:spacing w:line="360" w:lineRule="auto"/>
        <w:ind w:right="-28"/>
        <w:rPr>
          <w:rFonts w:ascii="Palatino Linotype" w:hAnsi="Palatino Linotype" w:cs="Arial"/>
          <w:bCs/>
          <w:i/>
          <w:iCs/>
          <w:color w:val="000000" w:themeColor="text1"/>
          <w:lang w:eastAsia="es-ES"/>
        </w:rPr>
      </w:pPr>
      <w:r w:rsidRPr="00C60FEB">
        <w:rPr>
          <w:rFonts w:ascii="Palatino Linotype" w:hAnsi="Palatino Linotype" w:cs="Arial"/>
          <w:bCs/>
          <w:i/>
          <w:iCs/>
          <w:color w:val="000000" w:themeColor="text1"/>
          <w:lang w:eastAsia="es-ES"/>
        </w:rPr>
        <w:t>Donación verbal</w:t>
      </w:r>
    </w:p>
    <w:p w:rsidR="0042537B" w:rsidRPr="00C60FEB" w:rsidRDefault="0042537B" w:rsidP="004B6733">
      <w:pPr>
        <w:spacing w:line="360" w:lineRule="auto"/>
        <w:ind w:right="-28"/>
        <w:rPr>
          <w:rFonts w:ascii="Palatino Linotype" w:hAnsi="Palatino Linotype" w:cs="Arial"/>
          <w:bCs/>
          <w:i/>
          <w:iCs/>
          <w:color w:val="000000" w:themeColor="text1"/>
          <w:lang w:eastAsia="es-ES"/>
        </w:rPr>
      </w:pPr>
      <w:r w:rsidRPr="00C60FEB">
        <w:rPr>
          <w:rFonts w:ascii="Palatino Linotype" w:hAnsi="Palatino Linotype" w:cs="Arial"/>
          <w:bCs/>
          <w:i/>
          <w:iCs/>
          <w:color w:val="000000" w:themeColor="text1"/>
          <w:lang w:eastAsia="es-ES"/>
        </w:rPr>
        <w:t xml:space="preserve">Artículo 7.618. Sólo puede hacerse donación verbal de bienes muebles, cuyo valor no exceda de cien veces el valor diario de la Unidad de Medida y Actualización vigente, debe hacerse por escrito. Si excede de la suma mencionada la donación deberá hacerse en escritura pública. </w:t>
      </w:r>
    </w:p>
    <w:p w:rsidR="0042537B" w:rsidRPr="00C60FEB" w:rsidRDefault="0042537B" w:rsidP="004B6733">
      <w:pPr>
        <w:spacing w:line="360" w:lineRule="auto"/>
        <w:ind w:right="-28"/>
        <w:rPr>
          <w:rFonts w:ascii="Palatino Linotype" w:hAnsi="Palatino Linotype" w:cs="Arial"/>
          <w:bCs/>
          <w:i/>
          <w:iCs/>
          <w:color w:val="000000" w:themeColor="text1"/>
          <w:lang w:eastAsia="es-ES"/>
        </w:rPr>
      </w:pPr>
    </w:p>
    <w:p w:rsidR="0042537B" w:rsidRPr="00C60FEB" w:rsidRDefault="0042537B" w:rsidP="004B6733">
      <w:pPr>
        <w:spacing w:line="360" w:lineRule="auto"/>
        <w:ind w:right="-28"/>
        <w:rPr>
          <w:rFonts w:ascii="Palatino Linotype" w:hAnsi="Palatino Linotype" w:cs="Arial"/>
          <w:bCs/>
          <w:i/>
          <w:iCs/>
          <w:color w:val="000000" w:themeColor="text1"/>
          <w:lang w:eastAsia="es-ES"/>
        </w:rPr>
      </w:pPr>
      <w:r w:rsidRPr="00C60FEB">
        <w:rPr>
          <w:rFonts w:ascii="Palatino Linotype" w:hAnsi="Palatino Linotype" w:cs="Arial"/>
          <w:bCs/>
          <w:i/>
          <w:iCs/>
          <w:color w:val="000000" w:themeColor="text1"/>
          <w:lang w:eastAsia="es-ES"/>
        </w:rPr>
        <w:t>Donación que requiere forma escrita</w:t>
      </w:r>
    </w:p>
    <w:p w:rsidR="0042537B" w:rsidRPr="00C60FEB" w:rsidRDefault="0042537B" w:rsidP="004B6733">
      <w:pPr>
        <w:spacing w:line="360" w:lineRule="auto"/>
        <w:ind w:right="-28"/>
        <w:rPr>
          <w:rFonts w:ascii="Palatino Linotype" w:hAnsi="Palatino Linotype" w:cs="Arial"/>
          <w:bCs/>
          <w:i/>
          <w:iCs/>
          <w:color w:val="000000" w:themeColor="text1"/>
          <w:lang w:eastAsia="es-ES"/>
        </w:rPr>
      </w:pPr>
      <w:r w:rsidRPr="00C60FEB">
        <w:rPr>
          <w:rFonts w:ascii="Palatino Linotype" w:hAnsi="Palatino Linotype" w:cs="Arial"/>
          <w:bCs/>
          <w:i/>
          <w:iCs/>
          <w:color w:val="000000" w:themeColor="text1"/>
          <w:lang w:eastAsia="es-ES"/>
        </w:rPr>
        <w:t>Artículo 7.619. Si el valor de los muebles excede de la cantidad señalada en el artículo anterior, pero no excede de quinientas veces el valor diario de la Unidad de Medida y Actualización vigente, debe hacerse por escrito. Si excede de la suma mencionada la donación deberá hacerse en escritura pública.</w:t>
      </w:r>
    </w:p>
    <w:p w:rsidR="0042537B" w:rsidRPr="00C60FEB" w:rsidRDefault="0042537B" w:rsidP="004B6733">
      <w:pPr>
        <w:pStyle w:val="Prrafodelista"/>
        <w:spacing w:line="360" w:lineRule="auto"/>
        <w:ind w:left="0" w:right="-28"/>
        <w:jc w:val="both"/>
        <w:rPr>
          <w:rFonts w:ascii="Palatino Linotype" w:eastAsia="MS Mincho" w:hAnsi="Palatino Linotype"/>
          <w:color w:val="000000" w:themeColor="text1"/>
        </w:rPr>
      </w:pPr>
    </w:p>
    <w:p w:rsidR="0042537B" w:rsidRPr="00C60FEB" w:rsidRDefault="0042537B" w:rsidP="004B6733">
      <w:pPr>
        <w:pStyle w:val="Prrafodelista"/>
        <w:numPr>
          <w:ilvl w:val="0"/>
          <w:numId w:val="1"/>
        </w:numPr>
        <w:spacing w:line="360" w:lineRule="auto"/>
        <w:ind w:left="0" w:right="-28" w:firstLine="0"/>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t xml:space="preserve">En este contexto, los Sujetos Obligados, se encuentran con la capacidad de signar contratos y convenios, a través de la persona designada para esos efectos. Por cuanto refiere a la naturaleza de las donaciones en el Patrimonio del Sujeto Obligado, se puede advertir que la “Ley que Crea los Organismos Públicos Descentralizados de Asistencia Social, de Carácter Municipal, denominados ‘Sistemas Municipales para el Desarrollo Integral de la Familia’”, </w:t>
      </w:r>
      <w:r w:rsidRPr="00C60FEB">
        <w:rPr>
          <w:rFonts w:ascii="Palatino Linotype" w:eastAsia="Palatino Linotype" w:hAnsi="Palatino Linotype" w:cs="Palatino Linotype"/>
          <w:color w:val="000000" w:themeColor="text1"/>
        </w:rPr>
        <w:lastRenderedPageBreak/>
        <w:t>contempla en su artículo 4° que las donaciones forman parte del patrimonio de estos organismos públicos:</w:t>
      </w:r>
    </w:p>
    <w:p w:rsidR="0042537B" w:rsidRPr="00C60FEB" w:rsidRDefault="0042537B" w:rsidP="004B6733">
      <w:pPr>
        <w:spacing w:line="360" w:lineRule="auto"/>
        <w:ind w:right="-28"/>
        <w:rPr>
          <w:rFonts w:ascii="Palatino Linotype" w:hAnsi="Palatino Linotype" w:cs="Arial"/>
          <w:bCs/>
          <w:i/>
          <w:iCs/>
          <w:color w:val="000000" w:themeColor="text1"/>
          <w:lang w:eastAsia="es-ES"/>
        </w:rPr>
      </w:pPr>
      <w:r w:rsidRPr="00C60FEB">
        <w:rPr>
          <w:rFonts w:ascii="Palatino Linotype" w:hAnsi="Palatino Linotype" w:cs="Arial"/>
          <w:bCs/>
          <w:i/>
          <w:iCs/>
          <w:color w:val="000000" w:themeColor="text1"/>
          <w:lang w:eastAsia="es-ES"/>
        </w:rPr>
        <w:t>Artículo 4.- El Patrimonio de los Organismos Públicos Descentralizados Municipales, se</w:t>
      </w:r>
    </w:p>
    <w:p w:rsidR="0042537B" w:rsidRPr="00C60FEB" w:rsidRDefault="0042537B" w:rsidP="004B6733">
      <w:pPr>
        <w:spacing w:line="360" w:lineRule="auto"/>
        <w:ind w:right="-28"/>
        <w:rPr>
          <w:rFonts w:ascii="Palatino Linotype" w:hAnsi="Palatino Linotype" w:cs="Arial"/>
          <w:bCs/>
          <w:i/>
          <w:iCs/>
          <w:color w:val="000000" w:themeColor="text1"/>
          <w:lang w:eastAsia="es-ES"/>
        </w:rPr>
      </w:pPr>
      <w:r w:rsidRPr="00C60FEB">
        <w:rPr>
          <w:rFonts w:ascii="Palatino Linotype" w:hAnsi="Palatino Linotype" w:cs="Arial"/>
          <w:bCs/>
          <w:i/>
          <w:iCs/>
          <w:color w:val="000000" w:themeColor="text1"/>
          <w:lang w:eastAsia="es-ES"/>
        </w:rPr>
        <w:t>integrará con los siguientes recursos:</w:t>
      </w:r>
    </w:p>
    <w:p w:rsidR="0042537B" w:rsidRPr="00C60FEB" w:rsidRDefault="0042537B" w:rsidP="004B6733">
      <w:pPr>
        <w:spacing w:line="360" w:lineRule="auto"/>
        <w:ind w:right="-28"/>
        <w:rPr>
          <w:rFonts w:ascii="Palatino Linotype" w:hAnsi="Palatino Linotype" w:cs="Arial"/>
          <w:bCs/>
          <w:i/>
          <w:iCs/>
          <w:color w:val="000000" w:themeColor="text1"/>
          <w:lang w:eastAsia="es-ES"/>
        </w:rPr>
      </w:pPr>
      <w:r w:rsidRPr="00C60FEB">
        <w:rPr>
          <w:rFonts w:ascii="Palatino Linotype" w:hAnsi="Palatino Linotype" w:cs="Arial"/>
          <w:bCs/>
          <w:i/>
          <w:iCs/>
          <w:color w:val="000000" w:themeColor="text1"/>
          <w:lang w:eastAsia="es-ES"/>
        </w:rPr>
        <w:t>I al II …</w:t>
      </w:r>
    </w:p>
    <w:p w:rsidR="0042537B" w:rsidRPr="00C60FEB" w:rsidRDefault="0042537B" w:rsidP="004B6733">
      <w:pPr>
        <w:spacing w:line="360" w:lineRule="auto"/>
        <w:ind w:right="-28"/>
        <w:rPr>
          <w:rFonts w:ascii="Palatino Linotype" w:hAnsi="Palatino Linotype" w:cs="Arial"/>
          <w:bCs/>
          <w:i/>
          <w:iCs/>
          <w:color w:val="000000" w:themeColor="text1"/>
          <w:lang w:eastAsia="es-ES"/>
        </w:rPr>
      </w:pPr>
      <w:r w:rsidRPr="00C60FEB">
        <w:rPr>
          <w:rFonts w:ascii="Palatino Linotype" w:hAnsi="Palatino Linotype" w:cs="Arial"/>
          <w:bCs/>
          <w:i/>
          <w:iCs/>
          <w:color w:val="000000" w:themeColor="text1"/>
          <w:lang w:eastAsia="es-ES"/>
        </w:rPr>
        <w:t>III. Las aportaciones, donaciones, legados y las liberalidades que reciba de personas físicas o</w:t>
      </w:r>
    </w:p>
    <w:p w:rsidR="0042537B" w:rsidRPr="00C60FEB" w:rsidRDefault="0042537B" w:rsidP="004B6733">
      <w:pPr>
        <w:spacing w:line="360" w:lineRule="auto"/>
        <w:ind w:right="-28"/>
        <w:rPr>
          <w:rFonts w:ascii="Palatino Linotype" w:hAnsi="Palatino Linotype" w:cs="Arial"/>
          <w:bCs/>
          <w:i/>
          <w:iCs/>
          <w:color w:val="000000" w:themeColor="text1"/>
          <w:lang w:eastAsia="es-ES"/>
        </w:rPr>
      </w:pPr>
      <w:r w:rsidRPr="00C60FEB">
        <w:rPr>
          <w:rFonts w:ascii="Palatino Linotype" w:hAnsi="Palatino Linotype" w:cs="Arial"/>
          <w:bCs/>
          <w:i/>
          <w:iCs/>
          <w:color w:val="000000" w:themeColor="text1"/>
          <w:lang w:eastAsia="es-ES"/>
        </w:rPr>
        <w:t>morales;</w:t>
      </w:r>
    </w:p>
    <w:p w:rsidR="0042537B" w:rsidRPr="00C60FEB" w:rsidRDefault="0042537B" w:rsidP="004B6733">
      <w:pPr>
        <w:spacing w:line="360" w:lineRule="auto"/>
        <w:ind w:right="-28"/>
        <w:rPr>
          <w:rFonts w:ascii="Palatino Linotype" w:hAnsi="Palatino Linotype" w:cs="Arial"/>
          <w:bCs/>
          <w:i/>
          <w:iCs/>
          <w:color w:val="000000" w:themeColor="text1"/>
          <w:lang w:eastAsia="es-ES"/>
        </w:rPr>
      </w:pPr>
      <w:r w:rsidRPr="00C60FEB">
        <w:rPr>
          <w:rFonts w:ascii="Palatino Linotype" w:hAnsi="Palatino Linotype" w:cs="Arial"/>
          <w:bCs/>
          <w:i/>
          <w:iCs/>
          <w:color w:val="000000" w:themeColor="text1"/>
          <w:lang w:eastAsia="es-ES"/>
        </w:rPr>
        <w:t>IV al VI</w:t>
      </w:r>
    </w:p>
    <w:p w:rsidR="0042537B" w:rsidRPr="00C60FEB" w:rsidRDefault="0042537B" w:rsidP="004B6733">
      <w:pPr>
        <w:spacing w:line="360" w:lineRule="auto"/>
        <w:ind w:right="-28"/>
        <w:rPr>
          <w:rFonts w:ascii="Palatino Linotype" w:hAnsi="Palatino Linotype" w:cs="Tahoma"/>
          <w:b/>
          <w:color w:val="000000" w:themeColor="text1"/>
          <w:lang w:val="es-ES"/>
        </w:rPr>
      </w:pPr>
    </w:p>
    <w:p w:rsidR="0042537B" w:rsidRPr="00C60FEB" w:rsidRDefault="0042537B" w:rsidP="004B6733">
      <w:pPr>
        <w:pStyle w:val="Prrafodelista"/>
        <w:numPr>
          <w:ilvl w:val="0"/>
          <w:numId w:val="1"/>
        </w:numPr>
        <w:spacing w:line="360" w:lineRule="auto"/>
        <w:ind w:left="0" w:right="-28" w:firstLine="0"/>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t>De manera particular, se atribuye a la Junta de Gobierno, de conformidad a lo contemplado en el artículo 13, fracción XI de la Ley en referencia:</w:t>
      </w:r>
    </w:p>
    <w:p w:rsidR="0042537B" w:rsidRPr="00C60FEB" w:rsidRDefault="0042537B" w:rsidP="004B6733">
      <w:pPr>
        <w:spacing w:line="360" w:lineRule="auto"/>
        <w:ind w:right="-28"/>
        <w:rPr>
          <w:rFonts w:ascii="Palatino Linotype" w:hAnsi="Palatino Linotype" w:cs="Arial"/>
          <w:bCs/>
          <w:i/>
          <w:iCs/>
          <w:color w:val="000000" w:themeColor="text1"/>
          <w:lang w:eastAsia="es-ES"/>
        </w:rPr>
      </w:pPr>
      <w:r w:rsidRPr="00C60FEB">
        <w:rPr>
          <w:rFonts w:ascii="Palatino Linotype" w:hAnsi="Palatino Linotype" w:cs="Arial"/>
          <w:bCs/>
          <w:i/>
          <w:iCs/>
          <w:color w:val="000000" w:themeColor="text1"/>
          <w:lang w:eastAsia="es-ES"/>
        </w:rPr>
        <w:t>Artículo 13.- La Junta de Gobierno tendrá las siguientes facultades y obligaciones:</w:t>
      </w:r>
    </w:p>
    <w:p w:rsidR="0042537B" w:rsidRPr="00C60FEB" w:rsidRDefault="0042537B" w:rsidP="004B6733">
      <w:pPr>
        <w:spacing w:line="360" w:lineRule="auto"/>
        <w:ind w:right="-28"/>
        <w:rPr>
          <w:rFonts w:ascii="Palatino Linotype" w:hAnsi="Palatino Linotype" w:cs="Arial"/>
          <w:bCs/>
          <w:i/>
          <w:iCs/>
          <w:color w:val="000000" w:themeColor="text1"/>
          <w:lang w:eastAsia="es-ES"/>
        </w:rPr>
      </w:pPr>
      <w:r w:rsidRPr="00C60FEB">
        <w:rPr>
          <w:rFonts w:ascii="Palatino Linotype" w:hAnsi="Palatino Linotype" w:cs="Arial"/>
          <w:bCs/>
          <w:i/>
          <w:iCs/>
          <w:color w:val="000000" w:themeColor="text1"/>
          <w:lang w:eastAsia="es-ES"/>
        </w:rPr>
        <w:t>I al X…</w:t>
      </w:r>
    </w:p>
    <w:p w:rsidR="0042537B" w:rsidRPr="00C60FEB" w:rsidRDefault="0042537B" w:rsidP="004B6733">
      <w:pPr>
        <w:spacing w:line="360" w:lineRule="auto"/>
        <w:ind w:right="-28"/>
        <w:rPr>
          <w:rFonts w:ascii="Palatino Linotype" w:hAnsi="Palatino Linotype" w:cs="Arial"/>
          <w:bCs/>
          <w:i/>
          <w:iCs/>
          <w:color w:val="000000" w:themeColor="text1"/>
          <w:lang w:eastAsia="es-ES"/>
        </w:rPr>
      </w:pPr>
      <w:r w:rsidRPr="00C60FEB">
        <w:rPr>
          <w:rFonts w:ascii="Palatino Linotype" w:hAnsi="Palatino Linotype" w:cs="Arial"/>
          <w:bCs/>
          <w:i/>
          <w:iCs/>
          <w:color w:val="000000" w:themeColor="text1"/>
          <w:lang w:eastAsia="es-ES"/>
        </w:rPr>
        <w:t xml:space="preserve">XI. Autorizar la contratación de créditos, así como la aceptación de herencias, legados o </w:t>
      </w:r>
      <w:r w:rsidRPr="00C60FEB">
        <w:rPr>
          <w:rFonts w:ascii="Palatino Linotype" w:hAnsi="Palatino Linotype" w:cs="Arial"/>
          <w:b/>
          <w:bCs/>
          <w:i/>
          <w:iCs/>
          <w:color w:val="000000" w:themeColor="text1"/>
          <w:lang w:eastAsia="es-ES"/>
        </w:rPr>
        <w:t>donaciones,</w:t>
      </w:r>
      <w:r w:rsidRPr="00C60FEB">
        <w:rPr>
          <w:rFonts w:ascii="Palatino Linotype" w:hAnsi="Palatino Linotype" w:cs="Arial"/>
          <w:bCs/>
          <w:i/>
          <w:iCs/>
          <w:color w:val="000000" w:themeColor="text1"/>
          <w:lang w:eastAsia="es-ES"/>
        </w:rPr>
        <w:t xml:space="preserve"> cuando éstas sean condicionadas o se refieran a bienes en litigio;</w:t>
      </w:r>
    </w:p>
    <w:p w:rsidR="0042537B" w:rsidRPr="00C60FEB" w:rsidRDefault="0042537B" w:rsidP="004B6733">
      <w:pPr>
        <w:spacing w:line="360" w:lineRule="auto"/>
        <w:ind w:right="-28"/>
        <w:rPr>
          <w:rFonts w:ascii="Palatino Linotype" w:hAnsi="Palatino Linotype" w:cs="Arial"/>
          <w:bCs/>
          <w:i/>
          <w:iCs/>
          <w:color w:val="000000" w:themeColor="text1"/>
          <w:lang w:eastAsia="es-ES"/>
        </w:rPr>
      </w:pPr>
      <w:r w:rsidRPr="00C60FEB">
        <w:rPr>
          <w:rFonts w:ascii="Palatino Linotype" w:hAnsi="Palatino Linotype" w:cs="Arial"/>
          <w:bCs/>
          <w:i/>
          <w:iCs/>
          <w:color w:val="000000" w:themeColor="text1"/>
          <w:lang w:eastAsia="es-ES"/>
        </w:rPr>
        <w:t>XII….</w:t>
      </w:r>
    </w:p>
    <w:p w:rsidR="0042537B" w:rsidRPr="00C60FEB" w:rsidRDefault="0042537B" w:rsidP="004B6733">
      <w:pPr>
        <w:spacing w:line="360" w:lineRule="auto"/>
        <w:ind w:right="-28"/>
        <w:rPr>
          <w:rFonts w:ascii="Palatino Linotype" w:hAnsi="Palatino Linotype" w:cs="Arial"/>
          <w:bCs/>
          <w:i/>
          <w:iCs/>
          <w:color w:val="000000" w:themeColor="text1"/>
          <w:lang w:eastAsia="es-ES"/>
        </w:rPr>
      </w:pPr>
    </w:p>
    <w:p w:rsidR="00F15EA5" w:rsidRPr="00C60FEB" w:rsidRDefault="0042537B" w:rsidP="004B6733">
      <w:pPr>
        <w:pStyle w:val="Prrafodelista"/>
        <w:numPr>
          <w:ilvl w:val="0"/>
          <w:numId w:val="1"/>
        </w:numPr>
        <w:spacing w:line="360" w:lineRule="auto"/>
        <w:ind w:left="0" w:right="-28" w:firstLine="0"/>
        <w:jc w:val="both"/>
        <w:rPr>
          <w:rFonts w:ascii="Palatino Linotype" w:eastAsia="MS Mincho" w:hAnsi="Palatino Linotype"/>
          <w:color w:val="000000" w:themeColor="text1"/>
        </w:rPr>
      </w:pPr>
      <w:r w:rsidRPr="00C60FEB">
        <w:rPr>
          <w:rFonts w:ascii="Palatino Linotype" w:eastAsia="MS Mincho" w:hAnsi="Palatino Linotype"/>
          <w:color w:val="000000" w:themeColor="text1"/>
        </w:rPr>
        <w:t xml:space="preserve">Ahora bien, </w:t>
      </w:r>
      <w:r w:rsidR="00F15EA5" w:rsidRPr="00C60FEB">
        <w:rPr>
          <w:rFonts w:ascii="Palatino Linotype" w:eastAsia="MS Mincho" w:hAnsi="Palatino Linotype"/>
          <w:color w:val="000000" w:themeColor="text1"/>
        </w:rPr>
        <w:t xml:space="preserve">debemos mencionar que el acceso a la información es un derecho humano constitucional y convencionalmente reconocido y para tal efecto </w:t>
      </w:r>
      <w:r w:rsidR="00F15EA5" w:rsidRPr="00C60FEB">
        <w:rPr>
          <w:rFonts w:ascii="Palatino Linotype" w:eastAsia="Calibri" w:hAnsi="Palatino Linotype"/>
          <w:color w:val="000000" w:themeColor="text1"/>
          <w:lang w:val="es-ES"/>
        </w:rPr>
        <w:t xml:space="preserve">el párrafo tercero del artículo primero de la Constitución Política de los Estados Unidos Mexicanos establece que el deber de todas las autoridades, </w:t>
      </w:r>
      <w:r w:rsidR="00F15EA5" w:rsidRPr="00C60FEB">
        <w:rPr>
          <w:rFonts w:ascii="Palatino Linotype" w:eastAsia="Calibri" w:hAnsi="Palatino Linotype"/>
          <w:i/>
          <w:color w:val="000000" w:themeColor="text1"/>
          <w:lang w:val="es-ES"/>
        </w:rPr>
        <w:t xml:space="preserve">en el ámbito de sus atribuciones, de promover, respetar, proteger y </w:t>
      </w:r>
      <w:r w:rsidR="00F15EA5" w:rsidRPr="00C60FEB">
        <w:rPr>
          <w:rFonts w:ascii="Palatino Linotype" w:eastAsia="Calibri" w:hAnsi="Palatino Linotype"/>
          <w:b/>
          <w:i/>
          <w:color w:val="000000" w:themeColor="text1"/>
          <w:lang w:val="es-ES"/>
        </w:rPr>
        <w:t>garantizar</w:t>
      </w:r>
      <w:r w:rsidR="00F15EA5" w:rsidRPr="00C60FEB">
        <w:rPr>
          <w:rFonts w:ascii="Palatino Linotype" w:eastAsia="Calibri" w:hAnsi="Palatino Linotype"/>
          <w:i/>
          <w:color w:val="000000" w:themeColor="text1"/>
          <w:lang w:val="es-ES"/>
        </w:rPr>
        <w:t xml:space="preserve"> los derechos humanos. </w:t>
      </w:r>
      <w:r w:rsidR="00F15EA5" w:rsidRPr="00C60FEB">
        <w:rPr>
          <w:rFonts w:ascii="Palatino Linotype" w:eastAsia="Calibri" w:hAnsi="Palatino Linotype"/>
          <w:b/>
          <w:i/>
          <w:color w:val="000000" w:themeColor="text1"/>
          <w:lang w:val="es-ES"/>
        </w:rPr>
        <w:t>En cuanto al derecho de acceso a la información, la Ley de Transparencia y Acceso a la Información Pública del Estado de México y Municipios prevé establece que e</w:t>
      </w:r>
      <w:r w:rsidR="00F15EA5" w:rsidRPr="00C60FEB">
        <w:rPr>
          <w:rFonts w:ascii="Palatino Linotype" w:hAnsi="Palatino Linotype"/>
          <w:i/>
          <w:color w:val="000000" w:themeColor="text1"/>
        </w:rPr>
        <w:t xml:space="preserve">l procedimiento de acceso a la información es la garantía primaria del derecho en cuestión y se rige por los </w:t>
      </w:r>
      <w:r w:rsidR="00F15EA5" w:rsidRPr="00C60FEB">
        <w:rPr>
          <w:rFonts w:ascii="Palatino Linotype" w:hAnsi="Palatino Linotype"/>
          <w:i/>
          <w:color w:val="000000" w:themeColor="text1"/>
        </w:rPr>
        <w:lastRenderedPageBreak/>
        <w:t>principios de simplicidad, rapidez y gratuidad del procedimiento, auxilio y orientación a los particulares</w:t>
      </w:r>
      <w:r w:rsidR="00F15EA5" w:rsidRPr="00C60FEB">
        <w:rPr>
          <w:rStyle w:val="Refdenotaalpie"/>
          <w:rFonts w:ascii="Palatino Linotype" w:hAnsi="Palatino Linotype"/>
          <w:i/>
          <w:color w:val="000000" w:themeColor="text1"/>
        </w:rPr>
        <w:footnoteReference w:id="1"/>
      </w:r>
      <w:r w:rsidR="00F15EA5" w:rsidRPr="00C60FEB">
        <w:rPr>
          <w:rFonts w:ascii="Palatino Linotype" w:hAnsi="Palatino Linotype"/>
          <w:i/>
          <w:color w:val="000000" w:themeColor="text1"/>
        </w:rPr>
        <w:t xml:space="preserve">, </w:t>
      </w:r>
      <w:r w:rsidR="00F15EA5" w:rsidRPr="00C60FEB">
        <w:rPr>
          <w:rFonts w:ascii="Palatino Linotype" w:hAnsi="Palatino Linotype"/>
          <w:color w:val="000000" w:themeColor="text1"/>
        </w:rPr>
        <w:t>asimismo establece</w:t>
      </w:r>
      <w:r w:rsidR="00F15EA5" w:rsidRPr="00C60FEB">
        <w:rPr>
          <w:rFonts w:ascii="Palatino Linotype" w:hAnsi="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F15EA5" w:rsidRPr="00C60FEB" w:rsidRDefault="00F15EA5" w:rsidP="004B6733">
      <w:pPr>
        <w:pStyle w:val="Prrafodelista"/>
        <w:ind w:left="0" w:right="-28"/>
        <w:rPr>
          <w:rFonts w:ascii="Palatino Linotype" w:eastAsia="Calibri" w:hAnsi="Palatino Linotype" w:cs="Arial"/>
          <w:color w:val="000000" w:themeColor="text1"/>
        </w:rPr>
      </w:pPr>
    </w:p>
    <w:p w:rsidR="00F15EA5" w:rsidRPr="00C60FEB" w:rsidRDefault="00F15EA5" w:rsidP="004B6733">
      <w:pPr>
        <w:pStyle w:val="Prrafodelista"/>
        <w:numPr>
          <w:ilvl w:val="0"/>
          <w:numId w:val="1"/>
        </w:numPr>
        <w:spacing w:line="360" w:lineRule="auto"/>
        <w:ind w:left="0" w:right="-28" w:firstLine="0"/>
        <w:jc w:val="both"/>
        <w:rPr>
          <w:rFonts w:ascii="Palatino Linotype" w:eastAsia="Calibri" w:hAnsi="Palatino Linotype" w:cs="Arial"/>
          <w:color w:val="000000" w:themeColor="text1"/>
        </w:rPr>
      </w:pPr>
      <w:r w:rsidRPr="00C60FEB">
        <w:rPr>
          <w:rFonts w:ascii="Palatino Linotype" w:hAnsi="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F15EA5" w:rsidRPr="00C60FEB" w:rsidRDefault="00F15EA5" w:rsidP="004B6733">
      <w:pPr>
        <w:pStyle w:val="Prrafodelista"/>
        <w:ind w:left="0" w:right="-28"/>
        <w:rPr>
          <w:rFonts w:ascii="Palatino Linotype" w:hAnsi="Palatino Linotype"/>
          <w:color w:val="000000" w:themeColor="text1"/>
        </w:rPr>
      </w:pPr>
    </w:p>
    <w:p w:rsidR="00F15EA5" w:rsidRPr="00C60FEB" w:rsidRDefault="00F15EA5" w:rsidP="004B6733">
      <w:pPr>
        <w:pStyle w:val="Prrafodelista"/>
        <w:numPr>
          <w:ilvl w:val="0"/>
          <w:numId w:val="1"/>
        </w:numPr>
        <w:spacing w:line="360" w:lineRule="auto"/>
        <w:ind w:left="0" w:right="-28" w:firstLine="0"/>
        <w:jc w:val="both"/>
        <w:rPr>
          <w:rFonts w:ascii="Palatino Linotype" w:eastAsia="Calibri" w:hAnsi="Palatino Linotype" w:cs="Arial"/>
          <w:color w:val="000000" w:themeColor="text1"/>
        </w:rPr>
      </w:pPr>
      <w:r w:rsidRPr="00C60FEB">
        <w:rPr>
          <w:rFonts w:ascii="Palatino Linotype" w:hAnsi="Palatino Linotype"/>
          <w:color w:val="000000" w:themeColor="text1"/>
        </w:rPr>
        <w:t xml:space="preserve">Es así que, su obligación es </w:t>
      </w:r>
      <w:r w:rsidRPr="00C60FEB">
        <w:rPr>
          <w:rFonts w:ascii="Palatino Linotype" w:hAnsi="Palatino Linotype"/>
          <w:i/>
          <w:color w:val="000000" w:themeColor="text1"/>
        </w:rPr>
        <w:t>realizar, con efectividad, los trámites internos necesarios para la atención de las solicitudes de información</w:t>
      </w:r>
      <w:r w:rsidRPr="00C60FEB">
        <w:rPr>
          <w:rStyle w:val="Refdenotaalpie"/>
          <w:rFonts w:ascii="Palatino Linotype" w:hAnsi="Palatino Linotype"/>
          <w:color w:val="000000" w:themeColor="text1"/>
        </w:rPr>
        <w:footnoteReference w:id="2"/>
      </w:r>
      <w:r w:rsidRPr="00C60FEB">
        <w:rPr>
          <w:rFonts w:ascii="Palatino Linotype" w:hAnsi="Palatino Linotype"/>
          <w:color w:val="000000" w:themeColor="text1"/>
        </w:rPr>
        <w:t>, es decir, deben otorgar respuestas concisas, contundentes y sobre todo que den la certeza de los actos que realizan.</w:t>
      </w:r>
    </w:p>
    <w:p w:rsidR="00F15EA5" w:rsidRPr="00C60FEB" w:rsidRDefault="00F15EA5" w:rsidP="004B6733">
      <w:pPr>
        <w:pStyle w:val="Prrafodelista"/>
        <w:ind w:left="0" w:right="-28"/>
        <w:rPr>
          <w:rFonts w:ascii="Palatino Linotype" w:eastAsia="Calibri" w:hAnsi="Palatino Linotype" w:cs="Arial"/>
          <w:color w:val="000000" w:themeColor="text1"/>
        </w:rPr>
      </w:pPr>
    </w:p>
    <w:p w:rsidR="00F15EA5" w:rsidRPr="00C60FEB" w:rsidRDefault="00F15EA5" w:rsidP="004B6733">
      <w:pPr>
        <w:pStyle w:val="Prrafodelista"/>
        <w:numPr>
          <w:ilvl w:val="0"/>
          <w:numId w:val="1"/>
        </w:numPr>
        <w:spacing w:line="360" w:lineRule="auto"/>
        <w:ind w:left="0" w:right="-28" w:firstLine="0"/>
        <w:jc w:val="both"/>
        <w:rPr>
          <w:rFonts w:ascii="Palatino Linotype" w:eastAsia="MS Mincho" w:hAnsi="Palatino Linotype"/>
          <w:color w:val="000000" w:themeColor="text1"/>
        </w:rPr>
      </w:pPr>
      <w:r w:rsidRPr="00C60FEB">
        <w:rPr>
          <w:rFonts w:ascii="Palatino Linotype" w:eastAsia="Palatino Linotype" w:hAnsi="Palatino Linotype" w:cs="Palatino Linotype"/>
          <w:color w:val="000000" w:themeColor="text1"/>
        </w:rPr>
        <w:t xml:space="preserve">Al respecto, es menester hacer referencia a lo establecido en los artículos 50, 53 fracciones II, IV y V, 58, 59 fracciones I y II, y 162 </w:t>
      </w:r>
      <w:r w:rsidRPr="00C60FEB">
        <w:rPr>
          <w:rFonts w:ascii="Palatino Linotype" w:eastAsia="Arial Unicode MS" w:hAnsi="Palatino Linotype" w:cs="Arial"/>
          <w:color w:val="000000" w:themeColor="text1"/>
          <w:lang w:eastAsia="en-US"/>
        </w:rPr>
        <w:t>de la Ley de Transparencia y Acceso a la Información del Estado de México y Municipios, que a la letra estipulan lo siguiente:</w:t>
      </w:r>
    </w:p>
    <w:p w:rsidR="00F15EA5" w:rsidRPr="00C60FEB" w:rsidRDefault="00F15EA5" w:rsidP="004B6733">
      <w:pPr>
        <w:spacing w:line="360" w:lineRule="auto"/>
        <w:ind w:right="-28"/>
        <w:jc w:val="both"/>
        <w:rPr>
          <w:rFonts w:ascii="Palatino Linotype" w:eastAsia="Arial Unicode MS" w:hAnsi="Palatino Linotype" w:cs="Arial"/>
          <w:color w:val="000000" w:themeColor="text1"/>
          <w:lang w:eastAsia="en-US"/>
        </w:rPr>
      </w:pPr>
    </w:p>
    <w:p w:rsidR="00F15EA5" w:rsidRPr="00C60FEB" w:rsidRDefault="00F15EA5" w:rsidP="004B6733">
      <w:pPr>
        <w:ind w:right="-28"/>
        <w:jc w:val="both"/>
        <w:rPr>
          <w:rFonts w:ascii="Palatino Linotype" w:eastAsia="Palatino Linotype" w:hAnsi="Palatino Linotype" w:cs="Palatino Linotype"/>
          <w:i/>
          <w:iCs/>
          <w:color w:val="000000" w:themeColor="text1"/>
        </w:rPr>
      </w:pPr>
      <w:r w:rsidRPr="00C60FEB">
        <w:rPr>
          <w:rFonts w:ascii="Palatino Linotype" w:eastAsia="Palatino Linotype" w:hAnsi="Palatino Linotype" w:cs="Palatino Linotype"/>
          <w:b/>
          <w:i/>
          <w:iCs/>
          <w:color w:val="000000" w:themeColor="text1"/>
        </w:rPr>
        <w:lastRenderedPageBreak/>
        <w:t xml:space="preserve">Artículo 50. </w:t>
      </w:r>
      <w:r w:rsidRPr="00C60FEB">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F15EA5" w:rsidRPr="00C60FEB" w:rsidRDefault="00F15EA5" w:rsidP="004B6733">
      <w:pPr>
        <w:ind w:right="-28"/>
        <w:jc w:val="both"/>
        <w:rPr>
          <w:rFonts w:ascii="Palatino Linotype" w:eastAsia="Palatino Linotype" w:hAnsi="Palatino Linotype" w:cs="Palatino Linotype"/>
          <w:i/>
          <w:iCs/>
          <w:color w:val="000000" w:themeColor="text1"/>
        </w:rPr>
      </w:pPr>
    </w:p>
    <w:p w:rsidR="00F15EA5" w:rsidRPr="00C60FEB" w:rsidRDefault="00F15EA5" w:rsidP="004B6733">
      <w:pPr>
        <w:ind w:right="-28"/>
        <w:jc w:val="both"/>
        <w:rPr>
          <w:rFonts w:ascii="Palatino Linotype" w:eastAsia="Palatino Linotype" w:hAnsi="Palatino Linotype" w:cs="Palatino Linotype"/>
          <w:i/>
          <w:iCs/>
          <w:color w:val="000000" w:themeColor="text1"/>
        </w:rPr>
      </w:pPr>
      <w:r w:rsidRPr="00C60FEB">
        <w:rPr>
          <w:rFonts w:ascii="Palatino Linotype" w:eastAsia="Palatino Linotype" w:hAnsi="Palatino Linotype" w:cs="Palatino Linotype"/>
          <w:b/>
          <w:i/>
          <w:iCs/>
          <w:color w:val="000000" w:themeColor="text1"/>
        </w:rPr>
        <w:t xml:space="preserve">Artículo 53. </w:t>
      </w:r>
      <w:r w:rsidRPr="00C60FEB">
        <w:rPr>
          <w:rFonts w:ascii="Palatino Linotype" w:eastAsia="Palatino Linotype" w:hAnsi="Palatino Linotype" w:cs="Palatino Linotype"/>
          <w:i/>
          <w:iCs/>
          <w:color w:val="000000" w:themeColor="text1"/>
        </w:rPr>
        <w:t>Las Unidades de Transparencia tendrán las siguientes funciones:</w:t>
      </w:r>
    </w:p>
    <w:p w:rsidR="00F15EA5" w:rsidRPr="00C60FEB" w:rsidRDefault="00F15EA5" w:rsidP="004B6733">
      <w:pPr>
        <w:ind w:right="-28"/>
        <w:jc w:val="both"/>
        <w:rPr>
          <w:rFonts w:ascii="Palatino Linotype" w:eastAsia="Palatino Linotype" w:hAnsi="Palatino Linotype" w:cs="Palatino Linotype"/>
          <w:i/>
          <w:iCs/>
          <w:color w:val="000000" w:themeColor="text1"/>
        </w:rPr>
      </w:pPr>
      <w:r w:rsidRPr="00C60FEB">
        <w:rPr>
          <w:rFonts w:ascii="Palatino Linotype" w:eastAsia="Palatino Linotype" w:hAnsi="Palatino Linotype" w:cs="Palatino Linotype"/>
          <w:i/>
          <w:iCs/>
          <w:color w:val="000000" w:themeColor="text1"/>
        </w:rPr>
        <w:t>(…)</w:t>
      </w:r>
    </w:p>
    <w:p w:rsidR="00F15EA5" w:rsidRPr="00C60FEB" w:rsidRDefault="00F15EA5" w:rsidP="004B6733">
      <w:pPr>
        <w:ind w:right="-28"/>
        <w:jc w:val="both"/>
        <w:rPr>
          <w:rFonts w:ascii="Palatino Linotype" w:eastAsia="Palatino Linotype" w:hAnsi="Palatino Linotype" w:cs="Palatino Linotype"/>
          <w:i/>
          <w:iCs/>
          <w:color w:val="000000" w:themeColor="text1"/>
        </w:rPr>
      </w:pPr>
      <w:r w:rsidRPr="00C60FEB">
        <w:rPr>
          <w:rFonts w:ascii="Palatino Linotype" w:eastAsia="Palatino Linotype" w:hAnsi="Palatino Linotype" w:cs="Palatino Linotype"/>
          <w:b/>
          <w:bCs/>
          <w:i/>
          <w:iCs/>
          <w:color w:val="000000" w:themeColor="text1"/>
        </w:rPr>
        <w:t>II.</w:t>
      </w:r>
      <w:r w:rsidRPr="00C60FEB">
        <w:rPr>
          <w:rFonts w:ascii="Palatino Linotype" w:eastAsia="Palatino Linotype" w:hAnsi="Palatino Linotype" w:cs="Palatino Linotype"/>
          <w:i/>
          <w:iCs/>
          <w:color w:val="000000" w:themeColor="text1"/>
        </w:rPr>
        <w:t xml:space="preserve"> Recibir, tramitar y dar respuesta a las solicitudes de acceso a la información;</w:t>
      </w:r>
    </w:p>
    <w:p w:rsidR="00F15EA5" w:rsidRPr="00C60FEB" w:rsidRDefault="00F15EA5" w:rsidP="004B6733">
      <w:pPr>
        <w:ind w:right="-28"/>
        <w:jc w:val="both"/>
        <w:rPr>
          <w:rFonts w:ascii="Palatino Linotype" w:eastAsia="Palatino Linotype" w:hAnsi="Palatino Linotype" w:cs="Palatino Linotype"/>
          <w:i/>
          <w:iCs/>
          <w:color w:val="000000" w:themeColor="text1"/>
        </w:rPr>
      </w:pPr>
      <w:r w:rsidRPr="00C60FEB">
        <w:rPr>
          <w:rFonts w:ascii="Palatino Linotype" w:eastAsia="Palatino Linotype" w:hAnsi="Palatino Linotype" w:cs="Palatino Linotype"/>
          <w:i/>
          <w:iCs/>
          <w:color w:val="000000" w:themeColor="text1"/>
        </w:rPr>
        <w:t>(…)</w:t>
      </w:r>
    </w:p>
    <w:p w:rsidR="00F15EA5" w:rsidRPr="00C60FEB" w:rsidRDefault="00F15EA5" w:rsidP="004B6733">
      <w:pPr>
        <w:ind w:right="-28"/>
        <w:jc w:val="both"/>
        <w:rPr>
          <w:rFonts w:ascii="Palatino Linotype" w:eastAsia="Palatino Linotype" w:hAnsi="Palatino Linotype" w:cs="Palatino Linotype"/>
          <w:i/>
          <w:iCs/>
          <w:color w:val="000000" w:themeColor="text1"/>
        </w:rPr>
      </w:pPr>
      <w:r w:rsidRPr="00C60FEB">
        <w:rPr>
          <w:rFonts w:ascii="Palatino Linotype" w:eastAsia="Palatino Linotype" w:hAnsi="Palatino Linotype" w:cs="Palatino Linotype"/>
          <w:b/>
          <w:bCs/>
          <w:i/>
          <w:iCs/>
          <w:color w:val="000000" w:themeColor="text1"/>
        </w:rPr>
        <w:t>IV.</w:t>
      </w:r>
      <w:r w:rsidRPr="00C60FEB">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F15EA5" w:rsidRPr="00C60FEB" w:rsidRDefault="00F15EA5" w:rsidP="004B6733">
      <w:pPr>
        <w:ind w:right="-28"/>
        <w:jc w:val="both"/>
        <w:rPr>
          <w:rFonts w:ascii="Palatino Linotype" w:eastAsia="Palatino Linotype" w:hAnsi="Palatino Linotype" w:cs="Palatino Linotype"/>
          <w:i/>
          <w:iCs/>
          <w:color w:val="000000" w:themeColor="text1"/>
        </w:rPr>
      </w:pPr>
      <w:r w:rsidRPr="00C60FEB">
        <w:rPr>
          <w:rFonts w:ascii="Palatino Linotype" w:eastAsia="Palatino Linotype" w:hAnsi="Palatino Linotype" w:cs="Palatino Linotype"/>
          <w:b/>
          <w:bCs/>
          <w:i/>
          <w:iCs/>
          <w:color w:val="000000" w:themeColor="text1"/>
        </w:rPr>
        <w:t>V.</w:t>
      </w:r>
      <w:r w:rsidRPr="00C60FEB">
        <w:rPr>
          <w:rFonts w:ascii="Palatino Linotype" w:eastAsia="Palatino Linotype" w:hAnsi="Palatino Linotype" w:cs="Palatino Linotype"/>
          <w:i/>
          <w:iCs/>
          <w:color w:val="000000" w:themeColor="text1"/>
        </w:rPr>
        <w:t xml:space="preserve"> Entregar, en su caso, a los particulares la información solicitada;</w:t>
      </w:r>
    </w:p>
    <w:p w:rsidR="00F15EA5" w:rsidRPr="00C60FEB" w:rsidRDefault="00F15EA5" w:rsidP="004B6733">
      <w:pPr>
        <w:ind w:right="-28"/>
        <w:jc w:val="both"/>
        <w:rPr>
          <w:rFonts w:ascii="Palatino Linotype" w:eastAsia="Palatino Linotype" w:hAnsi="Palatino Linotype" w:cs="Palatino Linotype"/>
          <w:i/>
          <w:iCs/>
          <w:color w:val="000000" w:themeColor="text1"/>
        </w:rPr>
      </w:pPr>
      <w:r w:rsidRPr="00C60FEB">
        <w:rPr>
          <w:rFonts w:ascii="Palatino Linotype" w:eastAsia="Palatino Linotype" w:hAnsi="Palatino Linotype" w:cs="Palatino Linotype"/>
          <w:i/>
          <w:iCs/>
          <w:color w:val="000000" w:themeColor="text1"/>
        </w:rPr>
        <w:t>(…)</w:t>
      </w:r>
    </w:p>
    <w:p w:rsidR="00F15EA5" w:rsidRPr="00C60FEB" w:rsidRDefault="00F15EA5" w:rsidP="004B6733">
      <w:pPr>
        <w:ind w:right="-28"/>
        <w:jc w:val="both"/>
        <w:rPr>
          <w:rFonts w:ascii="Palatino Linotype" w:eastAsia="Palatino Linotype" w:hAnsi="Palatino Linotype" w:cs="Palatino Linotype"/>
          <w:i/>
          <w:iCs/>
          <w:color w:val="000000" w:themeColor="text1"/>
        </w:rPr>
      </w:pPr>
    </w:p>
    <w:p w:rsidR="00F15EA5" w:rsidRPr="00C60FEB" w:rsidRDefault="00F15EA5" w:rsidP="004B6733">
      <w:pPr>
        <w:ind w:right="-28"/>
        <w:jc w:val="both"/>
        <w:rPr>
          <w:rFonts w:ascii="Palatino Linotype" w:eastAsia="Palatino Linotype" w:hAnsi="Palatino Linotype" w:cs="Palatino Linotype"/>
          <w:i/>
          <w:iCs/>
          <w:color w:val="000000" w:themeColor="text1"/>
        </w:rPr>
      </w:pPr>
      <w:r w:rsidRPr="00C60FEB">
        <w:rPr>
          <w:rFonts w:ascii="Palatino Linotype" w:eastAsia="Palatino Linotype" w:hAnsi="Palatino Linotype" w:cs="Palatino Linotype"/>
          <w:b/>
          <w:i/>
          <w:iCs/>
          <w:color w:val="000000" w:themeColor="text1"/>
        </w:rPr>
        <w:t xml:space="preserve">Artículo 58. </w:t>
      </w:r>
      <w:r w:rsidRPr="00C60FEB">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F15EA5" w:rsidRPr="00C60FEB" w:rsidRDefault="00F15EA5" w:rsidP="004B6733">
      <w:pPr>
        <w:ind w:right="-28"/>
        <w:jc w:val="both"/>
        <w:rPr>
          <w:rFonts w:ascii="Palatino Linotype" w:eastAsia="Palatino Linotype" w:hAnsi="Palatino Linotype" w:cs="Palatino Linotype"/>
          <w:i/>
          <w:iCs/>
          <w:color w:val="000000" w:themeColor="text1"/>
        </w:rPr>
      </w:pPr>
    </w:p>
    <w:p w:rsidR="00F15EA5" w:rsidRPr="00C60FEB" w:rsidRDefault="00F15EA5" w:rsidP="004B6733">
      <w:pPr>
        <w:ind w:right="-28"/>
        <w:jc w:val="both"/>
        <w:rPr>
          <w:rFonts w:ascii="Palatino Linotype" w:eastAsia="Palatino Linotype" w:hAnsi="Palatino Linotype" w:cs="Palatino Linotype"/>
          <w:i/>
          <w:iCs/>
          <w:color w:val="000000" w:themeColor="text1"/>
        </w:rPr>
      </w:pPr>
      <w:r w:rsidRPr="00C60FEB">
        <w:rPr>
          <w:rFonts w:ascii="Palatino Linotype" w:eastAsia="Palatino Linotype" w:hAnsi="Palatino Linotype" w:cs="Palatino Linotype"/>
          <w:b/>
          <w:i/>
          <w:iCs/>
          <w:color w:val="000000" w:themeColor="text1"/>
        </w:rPr>
        <w:t xml:space="preserve">Artículo 59. </w:t>
      </w:r>
      <w:r w:rsidRPr="00C60FEB">
        <w:rPr>
          <w:rFonts w:ascii="Palatino Linotype" w:eastAsia="Palatino Linotype" w:hAnsi="Palatino Linotype" w:cs="Palatino Linotype"/>
          <w:i/>
          <w:iCs/>
          <w:color w:val="000000" w:themeColor="text1"/>
        </w:rPr>
        <w:t>Los servidores públicos habilitados tendrán las funciones siguientes:</w:t>
      </w:r>
    </w:p>
    <w:p w:rsidR="00F15EA5" w:rsidRPr="00C60FEB" w:rsidRDefault="00F15EA5" w:rsidP="004B6733">
      <w:pPr>
        <w:ind w:right="-28"/>
        <w:jc w:val="both"/>
        <w:rPr>
          <w:rFonts w:ascii="Palatino Linotype" w:eastAsia="Palatino Linotype" w:hAnsi="Palatino Linotype" w:cs="Palatino Linotype"/>
          <w:i/>
          <w:iCs/>
          <w:color w:val="000000" w:themeColor="text1"/>
        </w:rPr>
      </w:pPr>
    </w:p>
    <w:p w:rsidR="00F15EA5" w:rsidRPr="00C60FEB" w:rsidRDefault="00F15EA5" w:rsidP="004B6733">
      <w:pPr>
        <w:ind w:right="-28"/>
        <w:jc w:val="both"/>
        <w:rPr>
          <w:rFonts w:ascii="Palatino Linotype" w:eastAsia="Palatino Linotype" w:hAnsi="Palatino Linotype" w:cs="Palatino Linotype"/>
          <w:i/>
          <w:iCs/>
          <w:color w:val="000000" w:themeColor="text1"/>
        </w:rPr>
      </w:pPr>
      <w:r w:rsidRPr="00C60FEB">
        <w:rPr>
          <w:rFonts w:ascii="Palatino Linotype" w:eastAsia="Palatino Linotype" w:hAnsi="Palatino Linotype" w:cs="Palatino Linotype"/>
          <w:b/>
          <w:bCs/>
          <w:i/>
          <w:iCs/>
          <w:color w:val="000000" w:themeColor="text1"/>
        </w:rPr>
        <w:t>I.</w:t>
      </w:r>
      <w:r w:rsidRPr="00C60FEB">
        <w:rPr>
          <w:rFonts w:ascii="Palatino Linotype" w:eastAsia="Palatino Linotype" w:hAnsi="Palatino Linotype" w:cs="Palatino Linotype"/>
          <w:i/>
          <w:iCs/>
          <w:color w:val="000000" w:themeColor="text1"/>
        </w:rPr>
        <w:t xml:space="preserve"> Localizar la información que le solicite la Unidad de Transparencia;</w:t>
      </w:r>
    </w:p>
    <w:p w:rsidR="00F15EA5" w:rsidRPr="00C60FEB" w:rsidRDefault="00F15EA5" w:rsidP="004B6733">
      <w:pPr>
        <w:ind w:right="-28"/>
        <w:jc w:val="both"/>
        <w:rPr>
          <w:rFonts w:ascii="Palatino Linotype" w:eastAsia="Palatino Linotype" w:hAnsi="Palatino Linotype" w:cs="Palatino Linotype"/>
          <w:i/>
          <w:iCs/>
          <w:color w:val="000000" w:themeColor="text1"/>
        </w:rPr>
      </w:pPr>
      <w:r w:rsidRPr="00C60FEB">
        <w:rPr>
          <w:rFonts w:ascii="Palatino Linotype" w:eastAsia="Palatino Linotype" w:hAnsi="Palatino Linotype" w:cs="Palatino Linotype"/>
          <w:b/>
          <w:bCs/>
          <w:i/>
          <w:iCs/>
          <w:color w:val="000000" w:themeColor="text1"/>
        </w:rPr>
        <w:t>II.</w:t>
      </w:r>
      <w:r w:rsidRPr="00C60FEB">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F15EA5" w:rsidRPr="00C60FEB" w:rsidRDefault="00F15EA5" w:rsidP="004B6733">
      <w:pPr>
        <w:ind w:right="-28"/>
        <w:jc w:val="both"/>
        <w:rPr>
          <w:rFonts w:ascii="Palatino Linotype" w:eastAsia="Palatino Linotype" w:hAnsi="Palatino Linotype" w:cs="Palatino Linotype"/>
          <w:i/>
          <w:iCs/>
          <w:color w:val="000000" w:themeColor="text1"/>
        </w:rPr>
      </w:pPr>
      <w:r w:rsidRPr="00C60FEB">
        <w:rPr>
          <w:rFonts w:ascii="Palatino Linotype" w:eastAsia="Palatino Linotype" w:hAnsi="Palatino Linotype" w:cs="Palatino Linotype"/>
          <w:i/>
          <w:iCs/>
          <w:color w:val="000000" w:themeColor="text1"/>
        </w:rPr>
        <w:t>(...)</w:t>
      </w:r>
    </w:p>
    <w:p w:rsidR="00F15EA5" w:rsidRPr="00C60FEB" w:rsidRDefault="00F15EA5" w:rsidP="004B6733">
      <w:pPr>
        <w:ind w:right="-28"/>
        <w:jc w:val="both"/>
        <w:rPr>
          <w:rFonts w:ascii="Palatino Linotype" w:eastAsia="Palatino Linotype" w:hAnsi="Palatino Linotype" w:cs="Palatino Linotype"/>
          <w:i/>
          <w:iCs/>
          <w:color w:val="000000" w:themeColor="text1"/>
        </w:rPr>
      </w:pPr>
    </w:p>
    <w:p w:rsidR="00F15EA5" w:rsidRPr="00C60FEB" w:rsidRDefault="00F15EA5" w:rsidP="004B6733">
      <w:pPr>
        <w:ind w:right="-28"/>
        <w:jc w:val="both"/>
        <w:rPr>
          <w:rFonts w:ascii="Palatino Linotype" w:eastAsia="Palatino Linotype" w:hAnsi="Palatino Linotype" w:cs="Palatino Linotype"/>
          <w:i/>
          <w:iCs/>
          <w:color w:val="000000" w:themeColor="text1"/>
        </w:rPr>
      </w:pPr>
      <w:r w:rsidRPr="00C60FEB">
        <w:rPr>
          <w:rFonts w:ascii="Palatino Linotype" w:eastAsia="Palatino Linotype" w:hAnsi="Palatino Linotype" w:cs="Palatino Linotype"/>
          <w:b/>
          <w:i/>
          <w:iCs/>
          <w:color w:val="000000" w:themeColor="text1"/>
        </w:rPr>
        <w:t xml:space="preserve">Artículo 162. </w:t>
      </w:r>
      <w:r w:rsidRPr="00C60FEB">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F15EA5" w:rsidRPr="00C60FEB" w:rsidRDefault="00F15EA5" w:rsidP="004B6733">
      <w:pPr>
        <w:spacing w:line="360" w:lineRule="auto"/>
        <w:ind w:right="-28"/>
        <w:jc w:val="both"/>
        <w:rPr>
          <w:rFonts w:ascii="Palatino Linotype" w:eastAsia="Palatino Linotype" w:hAnsi="Palatino Linotype" w:cs="Palatino Linotype"/>
          <w:color w:val="000000" w:themeColor="text1"/>
        </w:rPr>
      </w:pPr>
    </w:p>
    <w:p w:rsidR="00F15EA5" w:rsidRPr="00C60FEB" w:rsidRDefault="00F15EA5" w:rsidP="004B6733">
      <w:pPr>
        <w:pStyle w:val="Prrafodelista"/>
        <w:numPr>
          <w:ilvl w:val="0"/>
          <w:numId w:val="1"/>
        </w:numPr>
        <w:spacing w:line="360" w:lineRule="auto"/>
        <w:ind w:left="0" w:right="-28" w:firstLine="0"/>
        <w:jc w:val="both"/>
        <w:rPr>
          <w:rFonts w:ascii="Palatino Linotype" w:eastAsia="Arial Unicode MS" w:hAnsi="Palatino Linotype" w:cs="Arial"/>
          <w:color w:val="000000" w:themeColor="text1"/>
          <w:lang w:eastAsia="en-US"/>
        </w:rPr>
      </w:pPr>
      <w:r w:rsidRPr="00C60FEB">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w:t>
      </w:r>
      <w:r w:rsidRPr="00C60FEB">
        <w:rPr>
          <w:rFonts w:ascii="Palatino Linotype" w:eastAsia="Arial Unicode MS" w:hAnsi="Palatino Linotype" w:cs="Arial"/>
          <w:color w:val="000000" w:themeColor="text1"/>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w:t>
      </w:r>
      <w:r w:rsidRPr="00C60FEB">
        <w:rPr>
          <w:rFonts w:ascii="Palatino Linotype" w:eastAsia="Arial Unicode MS" w:hAnsi="Palatino Linotype" w:cs="Arial"/>
          <w:color w:val="000000" w:themeColor="text1"/>
          <w:lang w:eastAsia="en-US"/>
        </w:rPr>
        <w:lastRenderedPageBreak/>
        <w:t xml:space="preserve">Unidades de Transparencia localizando la información solicitada y proporcionando la misma que obre en sus archivos. Asimismo, es una obligación de </w:t>
      </w:r>
      <w:r w:rsidR="00255144" w:rsidRPr="00C60FEB">
        <w:rPr>
          <w:rFonts w:ascii="Palatino Linotype" w:eastAsia="Arial Unicode MS" w:hAnsi="Palatino Linotype" w:cs="Arial"/>
          <w:color w:val="000000" w:themeColor="text1"/>
          <w:lang w:eastAsia="en-US"/>
        </w:rPr>
        <w:t>las</w:t>
      </w:r>
      <w:r w:rsidRPr="00C60FEB">
        <w:rPr>
          <w:rFonts w:ascii="Palatino Linotype" w:eastAsia="Arial Unicode MS" w:hAnsi="Palatino Linotype" w:cs="Arial"/>
          <w:color w:val="000000" w:themeColor="text1"/>
          <w:lang w:eastAsia="en-US"/>
        </w:rPr>
        <w:t xml:space="preserve"> Unidades de Transparencia turnar a todas las áreas que se consideren competentes para que realicen una búsqueda exhaustiva y razonable de la información solicitada a fin de que ésta sea entregada a los solicitantes.</w:t>
      </w:r>
    </w:p>
    <w:p w:rsidR="00F15EA5" w:rsidRPr="00C60FEB" w:rsidRDefault="00F15EA5" w:rsidP="004B6733">
      <w:pPr>
        <w:pStyle w:val="Prrafodelista"/>
        <w:spacing w:line="360" w:lineRule="auto"/>
        <w:ind w:left="0" w:right="-28"/>
        <w:jc w:val="both"/>
        <w:rPr>
          <w:rFonts w:ascii="Palatino Linotype" w:eastAsia="Arial Unicode MS" w:hAnsi="Palatino Linotype" w:cs="Arial"/>
          <w:color w:val="000000" w:themeColor="text1"/>
          <w:lang w:eastAsia="en-US"/>
        </w:rPr>
      </w:pPr>
    </w:p>
    <w:p w:rsidR="00F15EA5" w:rsidRPr="00C60FEB" w:rsidRDefault="00F15EA5" w:rsidP="004B6733">
      <w:pPr>
        <w:pStyle w:val="Prrafodelista"/>
        <w:numPr>
          <w:ilvl w:val="0"/>
          <w:numId w:val="1"/>
        </w:numPr>
        <w:spacing w:line="360" w:lineRule="auto"/>
        <w:ind w:left="0" w:right="-28" w:firstLine="0"/>
        <w:jc w:val="both"/>
        <w:rPr>
          <w:rFonts w:ascii="Palatino Linotype" w:eastAsia="Arial Unicode MS" w:hAnsi="Palatino Linotype" w:cs="Arial"/>
          <w:color w:val="000000" w:themeColor="text1"/>
          <w:lang w:eastAsia="en-US"/>
        </w:rPr>
      </w:pPr>
      <w:r w:rsidRPr="00C60FEB">
        <w:rPr>
          <w:rFonts w:ascii="Palatino Linotype" w:eastAsia="Arial Unicode MS" w:hAnsi="Palatino Linotype" w:cs="Arial"/>
          <w:color w:val="000000" w:themeColor="text1"/>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F15EA5" w:rsidRPr="00C60FEB" w:rsidRDefault="00F15EA5" w:rsidP="004B6733">
      <w:pPr>
        <w:pStyle w:val="Prrafodelista"/>
        <w:ind w:left="0" w:right="-28"/>
        <w:rPr>
          <w:rFonts w:ascii="Palatino Linotype" w:eastAsia="Arial Unicode MS" w:hAnsi="Palatino Linotype" w:cs="Arial"/>
          <w:color w:val="000000" w:themeColor="text1"/>
          <w:lang w:eastAsia="en-US"/>
        </w:rPr>
      </w:pPr>
    </w:p>
    <w:p w:rsidR="00F15EA5" w:rsidRPr="00C60FEB" w:rsidRDefault="00F15EA5" w:rsidP="004B6733">
      <w:pPr>
        <w:pStyle w:val="Prrafodelista"/>
        <w:numPr>
          <w:ilvl w:val="0"/>
          <w:numId w:val="1"/>
        </w:numPr>
        <w:spacing w:line="360" w:lineRule="auto"/>
        <w:ind w:left="0" w:right="-28" w:firstLine="0"/>
        <w:jc w:val="both"/>
        <w:rPr>
          <w:rFonts w:ascii="Palatino Linotype" w:eastAsia="Arial Unicode MS" w:hAnsi="Palatino Linotype" w:cs="Arial"/>
          <w:i/>
          <w:color w:val="000000" w:themeColor="text1"/>
          <w:lang w:eastAsia="en-US"/>
        </w:rPr>
      </w:pPr>
      <w:r w:rsidRPr="00C60FEB">
        <w:rPr>
          <w:rFonts w:ascii="Palatino Linotype" w:eastAsia="Palatino Linotype" w:hAnsi="Palatino Linotype" w:cs="Palatino Linotype"/>
          <w:color w:val="000000" w:themeColor="text1"/>
        </w:rPr>
        <w:t xml:space="preserve">En el presente caso, la respuesta fue emitida por </w:t>
      </w:r>
      <w:r w:rsidR="0042537B" w:rsidRPr="00C60FEB">
        <w:rPr>
          <w:rFonts w:ascii="Palatino Linotype" w:eastAsia="Palatino Linotype" w:hAnsi="Palatino Linotype" w:cs="Palatino Linotype"/>
          <w:color w:val="000000" w:themeColor="text1"/>
        </w:rPr>
        <w:t xml:space="preserve">la Directora del Sistema Municipal DIF, sin embargo, </w:t>
      </w:r>
      <w:r w:rsidR="004C0A94" w:rsidRPr="00C60FEB">
        <w:rPr>
          <w:rFonts w:ascii="Palatino Linotype" w:eastAsia="Palatino Linotype" w:hAnsi="Palatino Linotype" w:cs="Palatino Linotype"/>
          <w:color w:val="000000" w:themeColor="text1"/>
        </w:rPr>
        <w:t>debe considerarse que la solicitud debió turnar a Tesorería, quien de acuerdo con la Ley que Crea los Organismos Públicos Descentralizados de Asistencia Social, de Carácter Municipal, denominados “Sistemas municipales para el Desarrollo Integral de la Familia”</w:t>
      </w:r>
      <w:r w:rsidR="006F4C2D" w:rsidRPr="00C60FEB">
        <w:rPr>
          <w:rFonts w:ascii="Palatino Linotype" w:eastAsia="Palatino Linotype" w:hAnsi="Palatino Linotype" w:cs="Palatino Linotype"/>
          <w:color w:val="000000" w:themeColor="text1"/>
        </w:rPr>
        <w:t xml:space="preserve">, será el área responsable del manejo del presupuesto del Sistema Municipal y de la administración de los recursos que conforman el patrimonio del organismo, lo cual hará en coordinación con el Director, debiendo información los estados financieros mensualmente a la Junta de Gobierno o cuando ésta y la presidencia los soliciten, asimismo, se advierten entre sus atribuciones las siguiente: </w:t>
      </w:r>
    </w:p>
    <w:p w:rsidR="006F4C2D" w:rsidRPr="00C60FEB" w:rsidRDefault="006F4C2D" w:rsidP="004B6733">
      <w:pPr>
        <w:pStyle w:val="Prrafodelista"/>
        <w:spacing w:line="360" w:lineRule="auto"/>
        <w:ind w:left="0" w:right="-28"/>
        <w:jc w:val="both"/>
        <w:rPr>
          <w:rFonts w:ascii="Palatino Linotype" w:eastAsia="Arial Unicode MS" w:hAnsi="Palatino Linotype" w:cs="Arial"/>
          <w:i/>
          <w:color w:val="000000" w:themeColor="text1"/>
          <w:lang w:eastAsia="en-US"/>
        </w:rPr>
      </w:pPr>
      <w:r w:rsidRPr="00C60FEB">
        <w:rPr>
          <w:rFonts w:ascii="Palatino Linotype" w:eastAsia="Arial Unicode MS" w:hAnsi="Palatino Linotype" w:cs="Arial"/>
          <w:i/>
          <w:color w:val="000000" w:themeColor="text1"/>
          <w:lang w:eastAsia="en-US"/>
        </w:rPr>
        <w:t xml:space="preserve">“I. Administrar los recursos que conforman el patrimonio del organismo de conformidad con lo establecido en las disposiciones legales aplicables; </w:t>
      </w:r>
    </w:p>
    <w:p w:rsidR="006F4C2D" w:rsidRPr="00C60FEB" w:rsidRDefault="006F4C2D" w:rsidP="004B6733">
      <w:pPr>
        <w:pStyle w:val="Prrafodelista"/>
        <w:spacing w:line="360" w:lineRule="auto"/>
        <w:ind w:left="0" w:right="-28"/>
        <w:jc w:val="both"/>
        <w:rPr>
          <w:rFonts w:ascii="Palatino Linotype" w:eastAsia="Arial Unicode MS" w:hAnsi="Palatino Linotype" w:cs="Arial"/>
          <w:i/>
          <w:color w:val="000000" w:themeColor="text1"/>
          <w:lang w:eastAsia="en-US"/>
        </w:rPr>
      </w:pPr>
      <w:r w:rsidRPr="00C60FEB">
        <w:rPr>
          <w:rFonts w:ascii="Palatino Linotype" w:eastAsia="Arial Unicode MS" w:hAnsi="Palatino Linotype" w:cs="Arial"/>
          <w:i/>
          <w:color w:val="000000" w:themeColor="text1"/>
          <w:lang w:eastAsia="en-US"/>
        </w:rPr>
        <w:t>II. Llevar los libros y registros contables, financieros y administrativos de los ingresos, egresos e inventarios;</w:t>
      </w:r>
    </w:p>
    <w:p w:rsidR="006F4C2D" w:rsidRPr="00C60FEB" w:rsidRDefault="006F4C2D" w:rsidP="004B6733">
      <w:pPr>
        <w:pStyle w:val="Prrafodelista"/>
        <w:spacing w:line="360" w:lineRule="auto"/>
        <w:ind w:left="0" w:right="-28"/>
        <w:jc w:val="both"/>
        <w:rPr>
          <w:rFonts w:ascii="Palatino Linotype" w:eastAsia="Arial Unicode MS" w:hAnsi="Palatino Linotype" w:cs="Arial"/>
          <w:i/>
          <w:color w:val="000000" w:themeColor="text1"/>
          <w:lang w:eastAsia="en-US"/>
        </w:rPr>
      </w:pPr>
      <w:r w:rsidRPr="00C60FEB">
        <w:rPr>
          <w:rFonts w:ascii="Palatino Linotype" w:eastAsia="Arial Unicode MS" w:hAnsi="Palatino Linotype" w:cs="Arial"/>
          <w:i/>
          <w:color w:val="000000" w:themeColor="text1"/>
          <w:lang w:eastAsia="en-US"/>
        </w:rPr>
        <w:lastRenderedPageBreak/>
        <w:t xml:space="preserve">III. Proporcionar oportunamente a la Junta de Gobierno todos los datos e informes que sean necesarios para la formulación del Presupuesto de Egresos del organismo, vigilando que se ajuste a las disposiciones legales aplicables; </w:t>
      </w:r>
    </w:p>
    <w:p w:rsidR="006F4C2D" w:rsidRPr="00C60FEB" w:rsidRDefault="006F4C2D" w:rsidP="004B6733">
      <w:pPr>
        <w:pStyle w:val="Prrafodelista"/>
        <w:spacing w:line="360" w:lineRule="auto"/>
        <w:ind w:left="0" w:right="-28"/>
        <w:jc w:val="both"/>
        <w:rPr>
          <w:rFonts w:ascii="Palatino Linotype" w:eastAsia="Arial Unicode MS" w:hAnsi="Palatino Linotype" w:cs="Arial"/>
          <w:i/>
          <w:color w:val="000000" w:themeColor="text1"/>
          <w:lang w:eastAsia="en-US"/>
        </w:rPr>
      </w:pPr>
      <w:r w:rsidRPr="00C60FEB">
        <w:rPr>
          <w:rFonts w:ascii="Palatino Linotype" w:eastAsia="Arial Unicode MS" w:hAnsi="Palatino Linotype" w:cs="Arial"/>
          <w:i/>
          <w:color w:val="000000" w:themeColor="text1"/>
          <w:lang w:eastAsia="en-US"/>
        </w:rPr>
        <w:t xml:space="preserve">IV. Presentar anualmente a la Junta de Gobierno un informe de la situación contable financiera de la Tesorería del Organismo; </w:t>
      </w:r>
    </w:p>
    <w:p w:rsidR="006F4C2D" w:rsidRPr="00C60FEB" w:rsidRDefault="006F4C2D" w:rsidP="004B6733">
      <w:pPr>
        <w:pStyle w:val="Prrafodelista"/>
        <w:spacing w:line="360" w:lineRule="auto"/>
        <w:ind w:left="0" w:right="-28"/>
        <w:jc w:val="both"/>
        <w:rPr>
          <w:rFonts w:ascii="Palatino Linotype" w:eastAsia="Arial Unicode MS" w:hAnsi="Palatino Linotype" w:cs="Arial"/>
          <w:i/>
          <w:color w:val="000000" w:themeColor="text1"/>
          <w:lang w:eastAsia="en-US"/>
        </w:rPr>
      </w:pPr>
      <w:r w:rsidRPr="00C60FEB">
        <w:rPr>
          <w:rFonts w:ascii="Palatino Linotype" w:eastAsia="Arial Unicode MS" w:hAnsi="Palatino Linotype" w:cs="Arial"/>
          <w:i/>
          <w:color w:val="000000" w:themeColor="text1"/>
          <w:lang w:eastAsia="en-US"/>
        </w:rPr>
        <w:t xml:space="preserve">V. Contestar oportunamente los pliegos de observaciones y responsabilidades que haga el Órgano Superior de Fiscalización del Estado de México, así como atender en tiempo y forma las solicitudes de información que éste requiera, informando al Consejo Directivo. </w:t>
      </w:r>
    </w:p>
    <w:p w:rsidR="006F4C2D" w:rsidRPr="00C60FEB" w:rsidRDefault="006F4C2D" w:rsidP="004B6733">
      <w:pPr>
        <w:pStyle w:val="Prrafodelista"/>
        <w:spacing w:line="360" w:lineRule="auto"/>
        <w:ind w:left="0" w:right="-28"/>
        <w:jc w:val="both"/>
        <w:rPr>
          <w:rFonts w:ascii="Palatino Linotype" w:eastAsia="Arial Unicode MS" w:hAnsi="Palatino Linotype" w:cs="Arial"/>
          <w:i/>
          <w:color w:val="000000" w:themeColor="text1"/>
          <w:lang w:eastAsia="en-US"/>
        </w:rPr>
      </w:pPr>
      <w:r w:rsidRPr="00C60FEB">
        <w:rPr>
          <w:rFonts w:ascii="Palatino Linotype" w:eastAsia="Arial Unicode MS" w:hAnsi="Palatino Linotype" w:cs="Arial"/>
          <w:i/>
          <w:color w:val="000000" w:themeColor="text1"/>
          <w:lang w:eastAsia="en-US"/>
        </w:rPr>
        <w:t xml:space="preserve">VI. Certificar los documentos a su cuidado, por acuerdo expreso de la Junta de Gobierno y cuando se trate de documentación presentada ante el Órgano Superior de Fiscalización del Estado de México; </w:t>
      </w:r>
    </w:p>
    <w:p w:rsidR="006F4C2D" w:rsidRPr="00C60FEB" w:rsidRDefault="006F4C2D" w:rsidP="004B6733">
      <w:pPr>
        <w:pStyle w:val="Prrafodelista"/>
        <w:spacing w:line="360" w:lineRule="auto"/>
        <w:ind w:left="0" w:right="-28"/>
        <w:jc w:val="both"/>
        <w:rPr>
          <w:rFonts w:ascii="Palatino Linotype" w:eastAsia="Arial Unicode MS" w:hAnsi="Palatino Linotype" w:cs="Arial"/>
          <w:i/>
          <w:color w:val="000000" w:themeColor="text1"/>
          <w:lang w:eastAsia="en-US"/>
        </w:rPr>
      </w:pPr>
      <w:r w:rsidRPr="00C60FEB">
        <w:rPr>
          <w:rFonts w:ascii="Palatino Linotype" w:eastAsia="Arial Unicode MS" w:hAnsi="Palatino Linotype" w:cs="Arial"/>
          <w:i/>
          <w:color w:val="000000" w:themeColor="text1"/>
          <w:lang w:eastAsia="en-US"/>
        </w:rPr>
        <w:t xml:space="preserve">VII. Integrar y autorizar con su firma, la documentación que deba presentarse al Órgano Superior de Fiscalización del Estado de México; y </w:t>
      </w:r>
    </w:p>
    <w:p w:rsidR="006F4C2D" w:rsidRPr="00C60FEB" w:rsidRDefault="006F4C2D" w:rsidP="004B6733">
      <w:pPr>
        <w:pStyle w:val="Prrafodelista"/>
        <w:spacing w:line="360" w:lineRule="auto"/>
        <w:ind w:left="0" w:right="-28"/>
        <w:jc w:val="both"/>
        <w:rPr>
          <w:rFonts w:ascii="Palatino Linotype" w:eastAsia="Arial Unicode MS" w:hAnsi="Palatino Linotype" w:cs="Arial"/>
          <w:i/>
          <w:color w:val="000000" w:themeColor="text1"/>
          <w:lang w:eastAsia="en-US"/>
        </w:rPr>
      </w:pPr>
      <w:r w:rsidRPr="00C60FEB">
        <w:rPr>
          <w:rFonts w:ascii="Palatino Linotype" w:eastAsia="Arial Unicode MS" w:hAnsi="Palatino Linotype" w:cs="Arial"/>
          <w:i/>
          <w:color w:val="000000" w:themeColor="text1"/>
          <w:lang w:eastAsia="en-US"/>
        </w:rPr>
        <w:t>VIII. Las demás que le confieran los ordenamientos legales y la Junta de Gobierno.”</w:t>
      </w:r>
    </w:p>
    <w:p w:rsidR="00F15EA5" w:rsidRPr="00C60FEB" w:rsidRDefault="00F15EA5" w:rsidP="004B6733">
      <w:pPr>
        <w:pStyle w:val="Prrafodelista"/>
        <w:ind w:left="0" w:right="-28"/>
        <w:rPr>
          <w:rFonts w:ascii="Palatino Linotype" w:hAnsi="Palatino Linotype"/>
          <w:color w:val="000000" w:themeColor="text1"/>
        </w:rPr>
      </w:pPr>
    </w:p>
    <w:p w:rsidR="00F15EA5" w:rsidRPr="00255144" w:rsidRDefault="006F4C2D" w:rsidP="004B6733">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t xml:space="preserve">Así, se puede concluir que las donaciones, </w:t>
      </w:r>
      <w:r w:rsidR="002B52DA" w:rsidRPr="00C60FEB">
        <w:rPr>
          <w:rFonts w:ascii="Palatino Linotype" w:eastAsia="Palatino Linotype" w:hAnsi="Palatino Linotype" w:cs="Palatino Linotype"/>
          <w:color w:val="000000" w:themeColor="text1"/>
        </w:rPr>
        <w:t xml:space="preserve">al formar parte de los bienes y patrimonio del Sistema Municipal, se advierte que tanto la Junta de Gobierno, como la Tesorería tienen atribuciones para conocer de la información solicitada, por lo tanto, la solicitud se deberá turnar a las áreas correspondientes. Por otro lado, recordemos que el Recurrente no señaló temporalidad de la cual se requería información, por lo tanto, se deberá atender </w:t>
      </w:r>
      <w:r w:rsidR="003047BD" w:rsidRPr="00C60FEB">
        <w:rPr>
          <w:rFonts w:ascii="Palatino Linotype" w:eastAsia="Palatino Linotype" w:hAnsi="Palatino Linotype" w:cs="Palatino Linotype"/>
          <w:color w:val="000000" w:themeColor="text1"/>
        </w:rPr>
        <w:t xml:space="preserve">criterio orientador </w:t>
      </w:r>
      <w:r w:rsidR="003047BD" w:rsidRPr="00C60FEB">
        <w:rPr>
          <w:rFonts w:ascii="Palatino Linotype" w:hAnsi="Palatino Linotype" w:cs="Arial"/>
          <w:color w:val="000000" w:themeColor="text1"/>
        </w:rPr>
        <w:t xml:space="preserve">número 9/13 emitido por el entonces Instituto Federal de Acceso a la Información Pública, que establece que cuando en la solicitud no se precise el periodo del que se requiere información, se deberá interpretar que el requerimiento de refiere al del año inmediato anterior contado a partir de la fecha en que se presentó la solicitud. </w:t>
      </w:r>
    </w:p>
    <w:p w:rsidR="00255144" w:rsidRPr="00C60FEB" w:rsidRDefault="00255144" w:rsidP="00255144">
      <w:pPr>
        <w:spacing w:line="360" w:lineRule="auto"/>
        <w:ind w:right="-28"/>
        <w:jc w:val="both"/>
        <w:rPr>
          <w:rFonts w:ascii="Palatino Linotype" w:eastAsia="Palatino Linotype" w:hAnsi="Palatino Linotype" w:cs="Palatino Linotype"/>
          <w:color w:val="000000" w:themeColor="text1"/>
        </w:rPr>
      </w:pPr>
    </w:p>
    <w:p w:rsidR="00F15EA5" w:rsidRPr="00C60FEB" w:rsidRDefault="00F15EA5" w:rsidP="004B6733">
      <w:pPr>
        <w:numPr>
          <w:ilvl w:val="0"/>
          <w:numId w:val="1"/>
        </w:numPr>
        <w:pBdr>
          <w:top w:val="nil"/>
          <w:left w:val="nil"/>
          <w:bottom w:val="nil"/>
          <w:right w:val="nil"/>
          <w:between w:val="nil"/>
        </w:pBdr>
        <w:tabs>
          <w:tab w:val="left" w:pos="426"/>
        </w:tabs>
        <w:spacing w:line="360" w:lineRule="auto"/>
        <w:ind w:left="0" w:right="-28" w:firstLine="0"/>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color w:val="000000" w:themeColor="text1"/>
        </w:rPr>
        <w:lastRenderedPageBreak/>
        <w:t xml:space="preserve">Por lo tanto, en consecuencia y en mérito de lo expuesto en líneas anteriores, resultan fundadas las razones o motivos de inconformidad hechos valer por el </w:t>
      </w:r>
      <w:r w:rsidRPr="00C60FEB">
        <w:rPr>
          <w:rFonts w:ascii="Palatino Linotype" w:eastAsia="Palatino Linotype" w:hAnsi="Palatino Linotype" w:cs="Palatino Linotype"/>
          <w:b/>
          <w:color w:val="000000" w:themeColor="text1"/>
        </w:rPr>
        <w:t>RECURRENTE</w:t>
      </w:r>
      <w:r w:rsidRPr="00C60FEB">
        <w:rPr>
          <w:rFonts w:ascii="Palatino Linotype" w:eastAsia="Palatino Linotype" w:hAnsi="Palatino Linotype" w:cs="Palatino Linotype"/>
          <w:color w:val="000000" w:themeColor="text1"/>
        </w:rPr>
        <w:t xml:space="preserve"> dentro del recurso de revisión </w:t>
      </w:r>
      <w:r w:rsidR="003047BD" w:rsidRPr="00C60FEB">
        <w:rPr>
          <w:rFonts w:ascii="Palatino Linotype" w:eastAsia="Palatino Linotype" w:hAnsi="Palatino Linotype" w:cs="Palatino Linotype"/>
          <w:b/>
          <w:color w:val="000000" w:themeColor="text1"/>
        </w:rPr>
        <w:t>03623</w:t>
      </w:r>
      <w:r w:rsidRPr="00C60FEB">
        <w:rPr>
          <w:rFonts w:ascii="Palatino Linotype" w:eastAsia="Palatino Linotype" w:hAnsi="Palatino Linotype" w:cs="Palatino Linotype"/>
          <w:b/>
          <w:color w:val="000000" w:themeColor="text1"/>
        </w:rPr>
        <w:t>/INFOEM/IP/RR/2025</w:t>
      </w:r>
      <w:r w:rsidRPr="00C60FEB">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C60FEB">
        <w:rPr>
          <w:rFonts w:ascii="Palatino Linotype" w:eastAsia="Palatino Linotype" w:hAnsi="Palatino Linotype" w:cs="Palatino Linotype"/>
          <w:b/>
          <w:color w:val="000000" w:themeColor="text1"/>
        </w:rPr>
        <w:t>REVOCA</w:t>
      </w:r>
      <w:r w:rsidRPr="00C60FEB">
        <w:rPr>
          <w:rFonts w:ascii="Palatino Linotype" w:eastAsia="Palatino Linotype" w:hAnsi="Palatino Linotype" w:cs="Palatino Linotype"/>
          <w:color w:val="000000" w:themeColor="text1"/>
        </w:rPr>
        <w:t xml:space="preserve"> la respuesta a la solicitud de información número </w:t>
      </w:r>
      <w:r w:rsidR="003047BD" w:rsidRPr="00C60FEB">
        <w:rPr>
          <w:rFonts w:ascii="Palatino Linotype" w:eastAsia="Palatino Linotype" w:hAnsi="Palatino Linotype" w:cs="Palatino Linotype"/>
          <w:b/>
          <w:bCs/>
          <w:color w:val="000000" w:themeColor="text1"/>
        </w:rPr>
        <w:t>00030/DIFHUEHUET/IP/2025</w:t>
      </w:r>
      <w:r w:rsidRPr="00C60FEB">
        <w:rPr>
          <w:rFonts w:ascii="Palatino Linotype" w:eastAsia="Palatino Linotype" w:hAnsi="Palatino Linotype" w:cs="Palatino Linotype"/>
          <w:color w:val="000000" w:themeColor="text1"/>
        </w:rPr>
        <w:t>.</w:t>
      </w:r>
      <w:bookmarkStart w:id="8" w:name="_heading=h.2s8eyo1" w:colFirst="0" w:colLast="0"/>
      <w:bookmarkEnd w:id="8"/>
    </w:p>
    <w:p w:rsidR="00F15EA5" w:rsidRPr="00C60FEB" w:rsidRDefault="00F15EA5" w:rsidP="004B6733">
      <w:pPr>
        <w:pStyle w:val="Prrafodelista"/>
        <w:ind w:left="0" w:right="-28"/>
        <w:rPr>
          <w:rFonts w:ascii="Palatino Linotype" w:eastAsia="Palatino Linotype" w:hAnsi="Palatino Linotype" w:cs="Palatino Linotype"/>
          <w:color w:val="000000" w:themeColor="text1"/>
        </w:rPr>
      </w:pPr>
    </w:p>
    <w:p w:rsidR="00F15EA5" w:rsidRPr="00C60FEB" w:rsidRDefault="00F15EA5" w:rsidP="004B6733">
      <w:pPr>
        <w:pStyle w:val="Prrafodelista"/>
        <w:tabs>
          <w:tab w:val="left" w:pos="426"/>
        </w:tabs>
        <w:spacing w:line="360" w:lineRule="auto"/>
        <w:ind w:left="0" w:right="-28"/>
        <w:jc w:val="both"/>
        <w:outlineLvl w:val="1"/>
        <w:rPr>
          <w:rFonts w:ascii="Palatino Linotype" w:hAnsi="Palatino Linotype"/>
          <w:b/>
          <w:bCs/>
          <w:color w:val="000000" w:themeColor="text1"/>
        </w:rPr>
      </w:pPr>
      <w:bookmarkStart w:id="9" w:name="_Toc89350464"/>
      <w:bookmarkStart w:id="10" w:name="_Toc94119619"/>
      <w:r w:rsidRPr="00C60FEB">
        <w:rPr>
          <w:rFonts w:ascii="Palatino Linotype" w:hAnsi="Palatino Linotype"/>
          <w:b/>
          <w:bCs/>
          <w:color w:val="000000" w:themeColor="text1"/>
        </w:rPr>
        <w:t>QUINTO. De la versión pública.</w:t>
      </w:r>
      <w:bookmarkEnd w:id="9"/>
      <w:bookmarkEnd w:id="10"/>
    </w:p>
    <w:p w:rsidR="00F15EA5" w:rsidRPr="00C60FEB" w:rsidRDefault="00F15EA5" w:rsidP="004B6733">
      <w:pPr>
        <w:pStyle w:val="Prrafodelista"/>
        <w:numPr>
          <w:ilvl w:val="0"/>
          <w:numId w:val="1"/>
        </w:numPr>
        <w:tabs>
          <w:tab w:val="left" w:pos="0"/>
        </w:tabs>
        <w:spacing w:line="360" w:lineRule="auto"/>
        <w:ind w:left="0" w:right="-28" w:firstLine="0"/>
        <w:jc w:val="both"/>
        <w:rPr>
          <w:rFonts w:ascii="Palatino Linotype" w:hAnsi="Palatino Linotype"/>
          <w:color w:val="000000" w:themeColor="text1"/>
        </w:rPr>
      </w:pPr>
      <w:r w:rsidRPr="00C60FEB">
        <w:rPr>
          <w:rFonts w:ascii="Palatino Linotype" w:hAnsi="Palatino Linotype"/>
          <w:color w:val="000000" w:themeColor="text1"/>
        </w:rPr>
        <w:t>Debe destacarse que, debido a la naturaleza de la información solicitada</w:t>
      </w:r>
      <w:r w:rsidRPr="00C60FEB">
        <w:rPr>
          <w:rFonts w:ascii="Palatino Linotype" w:hAnsi="Palatino Linotype"/>
          <w:b/>
          <w:color w:val="000000" w:themeColor="text1"/>
        </w:rPr>
        <w:t xml:space="preserve"> </w:t>
      </w:r>
      <w:r w:rsidRPr="00C60FEB">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F15EA5" w:rsidRPr="00C60FEB" w:rsidRDefault="00F15EA5" w:rsidP="004B6733">
      <w:pPr>
        <w:pStyle w:val="Prrafodelista"/>
        <w:tabs>
          <w:tab w:val="left" w:pos="426"/>
        </w:tabs>
        <w:spacing w:line="360" w:lineRule="auto"/>
        <w:ind w:left="0" w:right="-28"/>
        <w:jc w:val="both"/>
        <w:rPr>
          <w:rFonts w:ascii="Palatino Linotype" w:hAnsi="Palatino Linotype"/>
          <w:color w:val="000000" w:themeColor="text1"/>
        </w:rPr>
      </w:pPr>
    </w:p>
    <w:p w:rsidR="00F15EA5" w:rsidRPr="00C60FEB" w:rsidRDefault="00F15EA5" w:rsidP="004B6733">
      <w:pPr>
        <w:pStyle w:val="Prrafodelista"/>
        <w:numPr>
          <w:ilvl w:val="0"/>
          <w:numId w:val="1"/>
        </w:numPr>
        <w:tabs>
          <w:tab w:val="left" w:pos="0"/>
        </w:tabs>
        <w:spacing w:line="360" w:lineRule="auto"/>
        <w:ind w:left="0" w:right="-28" w:firstLine="0"/>
        <w:jc w:val="both"/>
        <w:rPr>
          <w:rFonts w:ascii="Palatino Linotype" w:hAnsi="Palatino Linotype"/>
          <w:color w:val="000000" w:themeColor="text1"/>
        </w:rPr>
      </w:pPr>
      <w:r w:rsidRPr="00C60FEB">
        <w:rPr>
          <w:rFonts w:ascii="Palatino Linotype" w:hAnsi="Palatino Linotype"/>
          <w:color w:val="000000" w:themeColor="text1"/>
        </w:rPr>
        <w:t xml:space="preserve">La </w:t>
      </w:r>
      <w:r w:rsidRPr="00C60FEB">
        <w:rPr>
          <w:rFonts w:ascii="Palatino Linotype" w:eastAsia="MS Mincho" w:hAnsi="Palatino Linotype"/>
          <w:color w:val="000000" w:themeColor="text1"/>
        </w:rPr>
        <w:t>clasificación total o parcial de la información requerida, mediante solicitud de acceso a la información pública, constituye una restricción al derecho humano de acceso a la información</w:t>
      </w:r>
      <w:r w:rsidRPr="00C60FEB">
        <w:rPr>
          <w:rFonts w:ascii="Palatino Linotype" w:hAnsi="Palatino Linotype" w:cs="Arial"/>
          <w:color w:val="000000" w:themeColor="text1"/>
        </w:rPr>
        <w:t>, por lo que es menester reiterar los mismos:</w:t>
      </w:r>
    </w:p>
    <w:p w:rsidR="00F15EA5" w:rsidRPr="00C60FEB" w:rsidRDefault="00F15EA5" w:rsidP="004B6733">
      <w:pPr>
        <w:pStyle w:val="Prrafodelista"/>
        <w:tabs>
          <w:tab w:val="left" w:pos="426"/>
        </w:tabs>
        <w:spacing w:line="360" w:lineRule="auto"/>
        <w:ind w:left="0" w:right="-28"/>
        <w:jc w:val="both"/>
        <w:rPr>
          <w:rFonts w:ascii="Palatino Linotype" w:hAnsi="Palatino Linotype"/>
          <w:color w:val="000000" w:themeColor="text1"/>
        </w:rPr>
      </w:pPr>
    </w:p>
    <w:tbl>
      <w:tblPr>
        <w:tblStyle w:val="Tabladecuadrcula6concolores"/>
        <w:tblW w:w="9918" w:type="dxa"/>
        <w:tblLook w:val="04A0" w:firstRow="1" w:lastRow="0" w:firstColumn="1" w:lastColumn="0" w:noHBand="0" w:noVBand="1"/>
      </w:tblPr>
      <w:tblGrid>
        <w:gridCol w:w="2547"/>
        <w:gridCol w:w="7371"/>
      </w:tblGrid>
      <w:tr w:rsidR="004B6733" w:rsidRPr="00C60FEB" w:rsidTr="002551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F15EA5" w:rsidRPr="00C60FEB" w:rsidRDefault="00F15EA5" w:rsidP="004B6733">
            <w:pPr>
              <w:spacing w:line="276" w:lineRule="auto"/>
              <w:ind w:right="-28"/>
              <w:rPr>
                <w:rFonts w:ascii="Palatino Linotype" w:hAnsi="Palatino Linotype"/>
              </w:rPr>
            </w:pPr>
            <w:r w:rsidRPr="00C60FEB">
              <w:rPr>
                <w:rFonts w:ascii="Palatino Linotype" w:hAnsi="Palatino Linotype" w:cstheme="majorBidi"/>
                <w:b w:val="0"/>
              </w:rPr>
              <w:t>a) Requisitos previos.</w:t>
            </w:r>
          </w:p>
        </w:tc>
        <w:tc>
          <w:tcPr>
            <w:tcW w:w="7371" w:type="dxa"/>
          </w:tcPr>
          <w:p w:rsidR="00F15EA5" w:rsidRPr="00C60FEB" w:rsidRDefault="00F15EA5" w:rsidP="004B6733">
            <w:pPr>
              <w:spacing w:line="276" w:lineRule="auto"/>
              <w:ind w:right="-28"/>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C60FEB">
              <w:rPr>
                <w:rFonts w:ascii="Palatino Linotype" w:hAnsi="Palatino Linotype" w:cs="Arial"/>
              </w:rPr>
              <w:t xml:space="preserve">Los artículos 100 y 122 de la Ley Estatal y de la Ley General, respectivamente, señalan que si los </w:t>
            </w:r>
            <w:r w:rsidRPr="00C60FEB">
              <w:rPr>
                <w:rFonts w:ascii="Palatino Linotype" w:hAnsi="Palatino Linotype" w:cs="Arial"/>
                <w:b w:val="0"/>
              </w:rPr>
              <w:t>Sujetos Obligados</w:t>
            </w:r>
            <w:r w:rsidRPr="00C60FEB">
              <w:rPr>
                <w:rFonts w:ascii="Palatino Linotype" w:hAnsi="Palatino Linotype" w:cs="Arial"/>
              </w:rPr>
              <w:t xml:space="preserve"> determinan que la información actualiza alguno de los supuestos de clasificación, es deber de los titulares de las áreas proponer su clasificación y no del Comité de Transparencia. </w:t>
            </w:r>
          </w:p>
          <w:p w:rsidR="00F15EA5" w:rsidRPr="00C60FEB" w:rsidRDefault="00F15EA5" w:rsidP="004B6733">
            <w:pPr>
              <w:spacing w:line="276" w:lineRule="auto"/>
              <w:ind w:right="-28"/>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C60FEB">
              <w:rPr>
                <w:rFonts w:ascii="Palatino Linotype" w:hAnsi="Palatino Linotype" w:cs="Arial"/>
              </w:rPr>
              <w:lastRenderedPageBreak/>
              <w:t>Al hacerlo tienen que precisar de qué información se trata, señalando el supuesto de clasificación (confidencialidad o reserva).</w:t>
            </w:r>
          </w:p>
          <w:p w:rsidR="00F15EA5" w:rsidRPr="00C60FEB" w:rsidRDefault="00F15EA5" w:rsidP="004B6733">
            <w:pPr>
              <w:spacing w:line="276" w:lineRule="auto"/>
              <w:ind w:right="-28"/>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C60FEB">
              <w:rPr>
                <w:rFonts w:ascii="Palatino Linotype" w:hAnsi="Palatino Linotype" w:cs="Arial"/>
              </w:rPr>
              <w:t>Además, se debe señalar el procedimiento, de los tres que establecen los artículos 132 y 106 de la Ley Estatal y General, respectivamente.</w:t>
            </w:r>
          </w:p>
          <w:p w:rsidR="00F15EA5" w:rsidRPr="00C60FEB" w:rsidRDefault="00F15EA5" w:rsidP="004B6733">
            <w:pPr>
              <w:spacing w:line="276" w:lineRule="auto"/>
              <w:ind w:right="-28"/>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C60FEB">
              <w:rPr>
                <w:rFonts w:ascii="Palatino Linotype" w:hAnsi="Palatino Linotype" w:cs="Arial"/>
              </w:rPr>
              <w:t xml:space="preserve">El último de estos requisitos previos consiste en que no se pueden emitir acuerdos de carácter general ni particular, esto es, </w:t>
            </w:r>
            <w:r w:rsidRPr="00C60FEB">
              <w:rPr>
                <w:rFonts w:ascii="Palatino Linotype" w:hAnsi="Palatino Linotype" w:cs="Arial"/>
                <w:b w:val="0"/>
                <w:u w:val="single"/>
              </w:rPr>
              <w:t xml:space="preserve">no se puede hacer un acuerdo para clasificar de manera general todos los documentos de un expediente o área,  </w:t>
            </w:r>
            <w:r w:rsidRPr="00C60FEB">
              <w:rPr>
                <w:rFonts w:ascii="Palatino Linotype" w:hAnsi="Palatino Linotype" w:cs="Arial"/>
              </w:rPr>
              <w:t>sin individualizar su análisis y tampoco se puede hacer un acuerdo por cada dato que se vaya a clasificar dentro de un documento con diez datos, por ejemplo, susceptibles de ser clasificados.</w:t>
            </w:r>
          </w:p>
        </w:tc>
      </w:tr>
      <w:tr w:rsidR="004B6733" w:rsidRPr="00C60FEB" w:rsidTr="00255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F15EA5" w:rsidRPr="00C60FEB" w:rsidRDefault="00F15EA5" w:rsidP="004B6733">
            <w:pPr>
              <w:spacing w:line="276" w:lineRule="auto"/>
              <w:ind w:right="-28"/>
              <w:rPr>
                <w:rFonts w:ascii="Palatino Linotype" w:hAnsi="Palatino Linotype"/>
              </w:rPr>
            </w:pPr>
            <w:r w:rsidRPr="00C60FEB">
              <w:rPr>
                <w:rFonts w:ascii="Palatino Linotype" w:hAnsi="Palatino Linotype" w:cstheme="majorBidi"/>
                <w:b w:val="0"/>
              </w:rPr>
              <w:lastRenderedPageBreak/>
              <w:t>b) Supuestos de clasificación.</w:t>
            </w:r>
          </w:p>
        </w:tc>
        <w:tc>
          <w:tcPr>
            <w:tcW w:w="7371" w:type="dxa"/>
          </w:tcPr>
          <w:p w:rsidR="00F15EA5" w:rsidRPr="00C60FEB" w:rsidRDefault="00F15EA5" w:rsidP="004B6733">
            <w:pPr>
              <w:spacing w:line="276" w:lineRule="auto"/>
              <w:ind w:right="-28"/>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60FEB">
              <w:rPr>
                <w:rFonts w:ascii="Palatino Linotype" w:hAnsi="Palatino Linotype" w:cs="Arial"/>
              </w:rPr>
              <w:t>Las disposiciones constitucionales y legales en la materia establecen los dos supuestos generales para clasificar la información: por reserva y por confidencialidad.</w:t>
            </w:r>
          </w:p>
          <w:p w:rsidR="00F15EA5" w:rsidRPr="00C60FEB" w:rsidRDefault="00F15EA5" w:rsidP="004B6733">
            <w:pPr>
              <w:spacing w:line="276" w:lineRule="auto"/>
              <w:ind w:right="-28"/>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60FEB">
              <w:rPr>
                <w:rFonts w:ascii="Palatino Linotype" w:hAnsi="Palatino Linotype" w:cs="Arial"/>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15EA5" w:rsidRPr="00C60FEB" w:rsidRDefault="00F15EA5" w:rsidP="004B6733">
            <w:pPr>
              <w:spacing w:line="276" w:lineRule="auto"/>
              <w:ind w:right="-28"/>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60FEB">
              <w:rPr>
                <w:rFonts w:ascii="Palatino Linotype" w:hAnsi="Palatino Linotype" w:cs="Arial"/>
              </w:rPr>
              <w:t xml:space="preserve">El </w:t>
            </w:r>
            <w:r w:rsidRPr="00C60FEB">
              <w:rPr>
                <w:rFonts w:ascii="Palatino Linotype" w:hAnsi="Palatino Linotype" w:cs="Arial"/>
                <w:b/>
              </w:rPr>
              <w:t>SUJETO OBLIGADO</w:t>
            </w:r>
            <w:r w:rsidRPr="00C60FEB">
              <w:rPr>
                <w:rFonts w:ascii="Palatino Linotype" w:hAnsi="Palatino Linotype" w:cs="Aria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B6733" w:rsidRPr="00C60FEB" w:rsidTr="00255144">
        <w:tc>
          <w:tcPr>
            <w:cnfStyle w:val="001000000000" w:firstRow="0" w:lastRow="0" w:firstColumn="1" w:lastColumn="0" w:oddVBand="0" w:evenVBand="0" w:oddHBand="0" w:evenHBand="0" w:firstRowFirstColumn="0" w:firstRowLastColumn="0" w:lastRowFirstColumn="0" w:lastRowLastColumn="0"/>
            <w:tcW w:w="2547" w:type="dxa"/>
          </w:tcPr>
          <w:p w:rsidR="00F15EA5" w:rsidRPr="00C60FEB" w:rsidRDefault="00F15EA5" w:rsidP="004B6733">
            <w:pPr>
              <w:spacing w:line="276" w:lineRule="auto"/>
              <w:ind w:right="-28"/>
              <w:rPr>
                <w:rFonts w:ascii="Palatino Linotype" w:hAnsi="Palatino Linotype"/>
              </w:rPr>
            </w:pPr>
            <w:r w:rsidRPr="00C60FEB">
              <w:rPr>
                <w:rFonts w:ascii="Palatino Linotype" w:hAnsi="Palatino Linotype" w:cstheme="majorBidi"/>
                <w:b w:val="0"/>
              </w:rPr>
              <w:lastRenderedPageBreak/>
              <w:t>c) Formalidades para emitir el acuerdo de clasificación.</w:t>
            </w:r>
          </w:p>
        </w:tc>
        <w:tc>
          <w:tcPr>
            <w:tcW w:w="7371" w:type="dxa"/>
          </w:tcPr>
          <w:p w:rsidR="00F15EA5" w:rsidRPr="00C60FEB" w:rsidRDefault="00F15EA5" w:rsidP="004B6733">
            <w:pPr>
              <w:spacing w:line="276" w:lineRule="auto"/>
              <w:ind w:right="-28"/>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C60FEB">
              <w:rPr>
                <w:rFonts w:ascii="Palatino Linotype" w:hAnsi="Palatino Linotype" w:cs="Arial"/>
              </w:rPr>
              <w:t xml:space="preserve">El Comité de Transparencia, según lo dispuesto en los artículos cuenta con las facultades para aprobar, modificar o revocar la clasificación de la información que haya propuesto. </w:t>
            </w:r>
          </w:p>
          <w:p w:rsidR="00F15EA5" w:rsidRPr="00C60FEB" w:rsidRDefault="00F15EA5" w:rsidP="004B6733">
            <w:pPr>
              <w:spacing w:line="276" w:lineRule="auto"/>
              <w:ind w:right="-28"/>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C60FEB">
              <w:rPr>
                <w:rFonts w:ascii="Palatino Linotype" w:hAnsi="Palatino Linotype" w:cs="Arial"/>
              </w:rPr>
              <w:t xml:space="preserve">Es necesario que </w:t>
            </w:r>
            <w:r w:rsidRPr="00C60FEB">
              <w:rPr>
                <w:rFonts w:ascii="Palatino Linotype" w:hAnsi="Palatino Linotype" w:cs="Arial"/>
                <w:b/>
                <w:u w:val="single"/>
              </w:rPr>
              <w:t>el acto reúna con los requisitos elementales</w:t>
            </w:r>
            <w:r w:rsidRPr="00C60FEB">
              <w:rPr>
                <w:rFonts w:ascii="Palatino Linotype" w:hAnsi="Palatino Linotype" w:cs="Arial"/>
              </w:rPr>
              <w:t>, entre ellos, que la autoridad que va a emitir el acto de autoridad sea la legalmente facultada para ello.</w:t>
            </w:r>
          </w:p>
          <w:p w:rsidR="00F15EA5" w:rsidRPr="00C60FEB" w:rsidRDefault="00F15EA5" w:rsidP="004B6733">
            <w:pPr>
              <w:spacing w:line="276" w:lineRule="auto"/>
              <w:ind w:right="-28"/>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60FEB">
              <w:rPr>
                <w:rFonts w:ascii="Palatino Linotype" w:hAnsi="Palatino Linotype" w:cs="Arial"/>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B6733" w:rsidRPr="00C60FEB" w:rsidTr="00255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F15EA5" w:rsidRPr="00C60FEB" w:rsidRDefault="00F15EA5" w:rsidP="004B6733">
            <w:pPr>
              <w:spacing w:line="276" w:lineRule="auto"/>
              <w:ind w:right="-28"/>
              <w:rPr>
                <w:rFonts w:ascii="Palatino Linotype" w:hAnsi="Palatino Linotype"/>
                <w:b w:val="0"/>
              </w:rPr>
            </w:pPr>
          </w:p>
          <w:p w:rsidR="00F15EA5" w:rsidRPr="00C60FEB" w:rsidRDefault="00F15EA5" w:rsidP="004B6733">
            <w:pPr>
              <w:spacing w:line="276" w:lineRule="auto"/>
              <w:ind w:right="-28"/>
              <w:jc w:val="both"/>
              <w:rPr>
                <w:rFonts w:ascii="Palatino Linotype" w:hAnsi="Palatino Linotype"/>
                <w:b w:val="0"/>
              </w:rPr>
            </w:pPr>
            <w:r w:rsidRPr="00C60FEB">
              <w:rPr>
                <w:rFonts w:ascii="Palatino Linotype" w:hAnsi="Palatino Linotype" w:cs="Arial"/>
                <w:b w:val="0"/>
              </w:rPr>
              <w:t xml:space="preserve">d) Requisitos de fondo del acuerdo de clasificación. </w:t>
            </w:r>
          </w:p>
        </w:tc>
        <w:tc>
          <w:tcPr>
            <w:tcW w:w="7371" w:type="dxa"/>
          </w:tcPr>
          <w:p w:rsidR="00F15EA5" w:rsidRPr="00C60FEB" w:rsidRDefault="00F15EA5" w:rsidP="004B6733">
            <w:pPr>
              <w:spacing w:line="276" w:lineRule="auto"/>
              <w:ind w:right="-28"/>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60FE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60FEB">
              <w:rPr>
                <w:rFonts w:ascii="Palatino Linotype" w:hAnsi="Palatino Linotype" w:cs="Arial"/>
                <w:b/>
              </w:rPr>
              <w:t>Sujetos Obligados</w:t>
            </w:r>
            <w:r w:rsidRPr="00C60FEB">
              <w:rPr>
                <w:rFonts w:ascii="Palatino Linotype" w:hAnsi="Palatino Linotype" w:cs="Arial"/>
              </w:rPr>
              <w:t xml:space="preserve">, por lo que deberán fundar y motivar debidamente la clasificación. </w:t>
            </w:r>
          </w:p>
          <w:p w:rsidR="00F15EA5" w:rsidRPr="00C60FEB" w:rsidRDefault="00F15EA5" w:rsidP="004B6733">
            <w:pPr>
              <w:spacing w:line="276" w:lineRule="auto"/>
              <w:ind w:right="-28"/>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60FEB">
              <w:rPr>
                <w:rFonts w:ascii="Palatino Linotype" w:hAnsi="Palatino Linotype" w:cs="Arial"/>
              </w:rPr>
              <w:t xml:space="preserve">De lo anterior, se desprende que para una correcta </w:t>
            </w:r>
            <w:r w:rsidRPr="00C60FEB">
              <w:rPr>
                <w:rFonts w:ascii="Palatino Linotype" w:hAnsi="Palatino Linotype" w:cs="Arial"/>
                <w:b/>
              </w:rPr>
              <w:t>clasificación total o parcial</w:t>
            </w:r>
            <w:r w:rsidRPr="00C60FEB">
              <w:rPr>
                <w:rFonts w:ascii="Palatino Linotype" w:hAnsi="Palatino Linotype" w:cs="Aria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15EA5" w:rsidRPr="00C60FEB" w:rsidRDefault="00F15EA5" w:rsidP="004B6733">
            <w:pPr>
              <w:spacing w:line="276" w:lineRule="auto"/>
              <w:ind w:right="-28"/>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60FEB">
              <w:rPr>
                <w:rFonts w:ascii="Palatino Linotype" w:hAnsi="Palatino Linotype" w:cs="Arial"/>
              </w:rPr>
              <w:t xml:space="preserve">Así, en un acto de autoridad se cumple con la debida fundamentación cuando se cita el precepto legal aplicable al caso concreto y la debida motivación cuando se expresan las razones, </w:t>
            </w:r>
            <w:r w:rsidRPr="00C60FEB">
              <w:rPr>
                <w:rFonts w:ascii="Palatino Linotype" w:hAnsi="Palatino Linotype" w:cs="Arial"/>
              </w:rPr>
              <w:lastRenderedPageBreak/>
              <w:t>motivos o circunstancias que tomó en cuenta la autoridad para adecuar el hecho a los fundamentos de derecho. De este modo, la persona que se sienta afectada pueda impugnar la decisión, permitiéndole una real y auténtica defensa.</w:t>
            </w:r>
          </w:p>
          <w:p w:rsidR="00F15EA5" w:rsidRPr="00C60FEB" w:rsidRDefault="00F15EA5" w:rsidP="004B6733">
            <w:pPr>
              <w:spacing w:line="276" w:lineRule="auto"/>
              <w:ind w:right="-28"/>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60FEB">
              <w:rPr>
                <w:rFonts w:ascii="Palatino Linotype" w:hAnsi="Palatino Linotype" w:cs="Arial"/>
              </w:rPr>
              <w:t>En ese mismo sentido, el numeral trigésimo tercero fracción V de los Lineamientos Generales, precisa que para motivar la clasificación se deben acreditar las circunstancias de tiempo, modo y lugar.</w:t>
            </w:r>
          </w:p>
          <w:p w:rsidR="00F15EA5" w:rsidRPr="00C60FEB" w:rsidRDefault="00F15EA5" w:rsidP="004B6733">
            <w:pPr>
              <w:spacing w:line="276" w:lineRule="auto"/>
              <w:ind w:right="-28"/>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C60FEB">
              <w:rPr>
                <w:rFonts w:ascii="Palatino Linotype" w:hAnsi="Palatino Linotype" w:cs="Arial"/>
              </w:rPr>
              <w:t xml:space="preserve">Ahora bien, </w:t>
            </w:r>
            <w:r w:rsidRPr="00C60FEB">
              <w:rPr>
                <w:rFonts w:ascii="Palatino Linotype" w:hAnsi="Palatino Linotype" w:cs="Arial"/>
                <w:b/>
                <w:u w:val="single"/>
              </w:rPr>
              <w:t>para cada caso además de fundar y motivar</w:t>
            </w:r>
            <w:r w:rsidRPr="00C60FEB">
              <w:rPr>
                <w:rFonts w:ascii="Palatino Linotype" w:hAnsi="Palatino Linotype" w:cs="Arial"/>
              </w:rPr>
              <w:t xml:space="preserve">, se debe identificar con claridad que datos contenidos en las documentales que son susceptibles de suprimirse, por ejemplo; </w:t>
            </w:r>
            <w:r w:rsidRPr="00C60FEB">
              <w:rPr>
                <w:rFonts w:ascii="Palatino Linotype" w:hAnsi="Palatino Linotype" w:cs="Arial"/>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B6733" w:rsidRPr="00C60FEB" w:rsidTr="00255144">
        <w:tc>
          <w:tcPr>
            <w:cnfStyle w:val="001000000000" w:firstRow="0" w:lastRow="0" w:firstColumn="1" w:lastColumn="0" w:oddVBand="0" w:evenVBand="0" w:oddHBand="0" w:evenHBand="0" w:firstRowFirstColumn="0" w:firstRowLastColumn="0" w:lastRowFirstColumn="0" w:lastRowLastColumn="0"/>
            <w:tcW w:w="2547" w:type="dxa"/>
          </w:tcPr>
          <w:p w:rsidR="00F15EA5" w:rsidRPr="00C60FEB" w:rsidRDefault="00F15EA5" w:rsidP="004B6733">
            <w:pPr>
              <w:spacing w:line="276" w:lineRule="auto"/>
              <w:ind w:right="-28"/>
              <w:jc w:val="both"/>
              <w:rPr>
                <w:rFonts w:ascii="Palatino Linotype" w:hAnsi="Palatino Linotype" w:cs="Arial"/>
              </w:rPr>
            </w:pPr>
            <w:r w:rsidRPr="00C60FEB">
              <w:rPr>
                <w:rFonts w:ascii="Palatino Linotype" w:eastAsia="MS Gothic" w:hAnsi="Palatino Linotype"/>
                <w:b w:val="0"/>
              </w:rPr>
              <w:lastRenderedPageBreak/>
              <w:t xml:space="preserve">e) Condiciones especiales de la clasificación de la información como confidencial. </w:t>
            </w:r>
          </w:p>
          <w:p w:rsidR="00F15EA5" w:rsidRPr="00C60FEB" w:rsidRDefault="00F15EA5" w:rsidP="004B6733">
            <w:pPr>
              <w:spacing w:line="276" w:lineRule="auto"/>
              <w:ind w:right="-28"/>
              <w:rPr>
                <w:rFonts w:ascii="Palatino Linotype" w:hAnsi="Palatino Linotype"/>
              </w:rPr>
            </w:pPr>
          </w:p>
        </w:tc>
        <w:tc>
          <w:tcPr>
            <w:tcW w:w="7371" w:type="dxa"/>
          </w:tcPr>
          <w:p w:rsidR="00F15EA5" w:rsidRPr="00C60FEB" w:rsidRDefault="00F15EA5" w:rsidP="004B6733">
            <w:pPr>
              <w:spacing w:line="276" w:lineRule="auto"/>
              <w:ind w:right="-28"/>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C60FEB">
              <w:rPr>
                <w:rFonts w:ascii="Palatino Linotype" w:hAnsi="Palatino Linotype" w:cs="Arial"/>
              </w:rPr>
              <w:t xml:space="preserve">Los artículos 148 y 120 de la Ley Estatal y de la Ley General, respectivamente, establecen que aun tratándose de datos personales, se podrán proporcionar, incluso sin solicitar el consentimiento de su titular. </w:t>
            </w:r>
          </w:p>
          <w:p w:rsidR="00F15EA5" w:rsidRPr="00C60FEB" w:rsidRDefault="00F15EA5" w:rsidP="004B6733">
            <w:pPr>
              <w:spacing w:line="276" w:lineRule="auto"/>
              <w:ind w:right="-28"/>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C60FEB">
              <w:rPr>
                <w:rFonts w:ascii="Palatino Linotype" w:hAnsi="Palatino Linotype" w:cs="Aria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15EA5" w:rsidRPr="00C60FEB" w:rsidRDefault="00F15EA5" w:rsidP="004B6733">
            <w:pPr>
              <w:spacing w:line="276" w:lineRule="auto"/>
              <w:ind w:right="-28"/>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60FEB">
              <w:rPr>
                <w:rFonts w:ascii="Palatino Linotype" w:hAnsi="Palatino Linotype" w:cs="Arial"/>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15EA5" w:rsidRDefault="00F15EA5" w:rsidP="004B6733">
      <w:pPr>
        <w:spacing w:line="360" w:lineRule="auto"/>
        <w:ind w:right="-28"/>
        <w:jc w:val="both"/>
        <w:rPr>
          <w:rFonts w:ascii="Palatino Linotype" w:eastAsia="Palatino Linotype" w:hAnsi="Palatino Linotype" w:cs="Palatino Linotype"/>
          <w:color w:val="000000" w:themeColor="text1"/>
        </w:rPr>
      </w:pPr>
    </w:p>
    <w:p w:rsidR="00255144" w:rsidRPr="00C60FEB" w:rsidRDefault="00255144" w:rsidP="004B6733">
      <w:pPr>
        <w:spacing w:line="360" w:lineRule="auto"/>
        <w:ind w:right="-28"/>
        <w:jc w:val="both"/>
        <w:rPr>
          <w:rFonts w:ascii="Palatino Linotype" w:eastAsia="Palatino Linotype" w:hAnsi="Palatino Linotype" w:cs="Palatino Linotype"/>
          <w:color w:val="000000" w:themeColor="text1"/>
        </w:rPr>
      </w:pPr>
    </w:p>
    <w:p w:rsidR="00F15EA5" w:rsidRDefault="00F15EA5" w:rsidP="009D286D">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36432B">
        <w:rPr>
          <w:rFonts w:ascii="Palatino Linotype" w:eastAsia="Palatino Linotype" w:hAnsi="Palatino Linotype" w:cs="Palatino Linotype"/>
          <w:color w:val="000000" w:themeColor="text1"/>
        </w:rPr>
        <w:lastRenderedPageBreak/>
        <w:t xml:space="preserve">Por lo anteriormente expuesto y fundado, este </w:t>
      </w:r>
      <w:r w:rsidRPr="0036432B">
        <w:rPr>
          <w:rFonts w:ascii="Palatino Linotype" w:eastAsia="Palatino Linotype" w:hAnsi="Palatino Linotype" w:cs="Palatino Linotype"/>
          <w:b/>
          <w:color w:val="000000" w:themeColor="text1"/>
        </w:rPr>
        <w:t>ÓRGANO GARANTE</w:t>
      </w:r>
      <w:r w:rsidRPr="0036432B">
        <w:rPr>
          <w:rFonts w:ascii="Palatino Linotype" w:eastAsia="Palatino Linotype" w:hAnsi="Palatino Linotype" w:cs="Palatino Linotype"/>
          <w:color w:val="000000" w:themeColor="text1"/>
        </w:rPr>
        <w:t xml:space="preserve"> emite los siguientes:</w:t>
      </w:r>
      <w:r w:rsidR="00255144" w:rsidRPr="0036432B">
        <w:rPr>
          <w:rFonts w:ascii="Palatino Linotype" w:eastAsia="Palatino Linotype" w:hAnsi="Palatino Linotype" w:cs="Palatino Linotype"/>
          <w:color w:val="000000" w:themeColor="text1"/>
        </w:rPr>
        <w:t xml:space="preserve"> </w:t>
      </w:r>
    </w:p>
    <w:p w:rsidR="0036432B" w:rsidRPr="0036432B" w:rsidRDefault="0036432B" w:rsidP="0036432B">
      <w:pPr>
        <w:spacing w:line="360" w:lineRule="auto"/>
        <w:ind w:right="-28"/>
        <w:jc w:val="both"/>
        <w:rPr>
          <w:rFonts w:ascii="Palatino Linotype" w:eastAsia="Palatino Linotype" w:hAnsi="Palatino Linotype" w:cs="Palatino Linotype"/>
          <w:color w:val="000000" w:themeColor="text1"/>
        </w:rPr>
      </w:pPr>
    </w:p>
    <w:p w:rsidR="00F15EA5" w:rsidRPr="00C60FEB" w:rsidRDefault="00F15EA5" w:rsidP="004B6733">
      <w:pPr>
        <w:keepNext/>
        <w:keepLines/>
        <w:spacing w:line="360" w:lineRule="auto"/>
        <w:ind w:right="-28"/>
        <w:jc w:val="center"/>
        <w:rPr>
          <w:rFonts w:ascii="Palatino Linotype" w:eastAsia="Palatino Linotype" w:hAnsi="Palatino Linotype" w:cs="Palatino Linotype"/>
          <w:b/>
          <w:color w:val="000000" w:themeColor="text1"/>
        </w:rPr>
      </w:pPr>
      <w:bookmarkStart w:id="11" w:name="_heading=h.17dp8vu" w:colFirst="0" w:colLast="0"/>
      <w:bookmarkEnd w:id="11"/>
      <w:r w:rsidRPr="00C60FEB">
        <w:rPr>
          <w:rFonts w:ascii="Palatino Linotype" w:eastAsia="Palatino Linotype" w:hAnsi="Palatino Linotype" w:cs="Palatino Linotype"/>
          <w:b/>
          <w:color w:val="000000" w:themeColor="text1"/>
        </w:rPr>
        <w:t>R E S O L U T I V O S</w:t>
      </w:r>
    </w:p>
    <w:p w:rsidR="00F15EA5" w:rsidRPr="00C60FEB" w:rsidRDefault="00F15EA5" w:rsidP="004B6733">
      <w:pPr>
        <w:keepNext/>
        <w:keepLines/>
        <w:spacing w:line="360" w:lineRule="auto"/>
        <w:ind w:right="-28"/>
        <w:jc w:val="center"/>
        <w:rPr>
          <w:rFonts w:ascii="Palatino Linotype" w:eastAsia="Palatino Linotype" w:hAnsi="Palatino Linotype" w:cs="Palatino Linotype"/>
          <w:b/>
          <w:color w:val="000000" w:themeColor="text1"/>
        </w:rPr>
      </w:pPr>
    </w:p>
    <w:p w:rsidR="00F15EA5" w:rsidRPr="00C60FEB" w:rsidRDefault="00F15EA5" w:rsidP="004B6733">
      <w:pPr>
        <w:spacing w:line="360" w:lineRule="auto"/>
        <w:ind w:right="-28"/>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b/>
          <w:color w:val="000000" w:themeColor="text1"/>
        </w:rPr>
        <w:t>PRIMERO</w:t>
      </w:r>
      <w:r w:rsidRPr="00C60FEB">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003047BD" w:rsidRPr="00C60FEB">
        <w:rPr>
          <w:rFonts w:ascii="Palatino Linotype" w:eastAsia="Palatino Linotype" w:hAnsi="Palatino Linotype" w:cs="Palatino Linotype"/>
          <w:b/>
          <w:color w:val="000000" w:themeColor="text1"/>
        </w:rPr>
        <w:t>03623</w:t>
      </w:r>
      <w:r w:rsidRPr="00C60FEB">
        <w:rPr>
          <w:rFonts w:ascii="Palatino Linotype" w:eastAsia="Palatino Linotype" w:hAnsi="Palatino Linotype" w:cs="Palatino Linotype"/>
          <w:b/>
          <w:color w:val="000000" w:themeColor="text1"/>
        </w:rPr>
        <w:t>/INFOEM/IP/RR/2025</w:t>
      </w:r>
      <w:r w:rsidRPr="00C60FEB">
        <w:rPr>
          <w:rFonts w:ascii="Palatino Linotype" w:eastAsia="Palatino Linotype" w:hAnsi="Palatino Linotype" w:cs="Palatino Linotype"/>
          <w:color w:val="000000" w:themeColor="text1"/>
        </w:rPr>
        <w:t>,</w:t>
      </w:r>
      <w:r w:rsidRPr="00C60FEB">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color w:val="000000" w:themeColor="text1"/>
        </w:rPr>
        <w:t>en términos de los Considerandos</w:t>
      </w:r>
      <w:r w:rsidRPr="00C60FEB">
        <w:rPr>
          <w:rFonts w:ascii="Palatino Linotype" w:eastAsia="Palatino Linotype" w:hAnsi="Palatino Linotype" w:cs="Palatino Linotype"/>
          <w:b/>
          <w:color w:val="000000" w:themeColor="text1"/>
        </w:rPr>
        <w:t xml:space="preserve"> Cuarto y Quinto </w:t>
      </w:r>
      <w:r w:rsidRPr="00C60FEB">
        <w:rPr>
          <w:rFonts w:ascii="Palatino Linotype" w:eastAsia="Palatino Linotype" w:hAnsi="Palatino Linotype" w:cs="Palatino Linotype"/>
          <w:color w:val="000000" w:themeColor="text1"/>
        </w:rPr>
        <w:t xml:space="preserve">de la presente resolución. </w:t>
      </w:r>
    </w:p>
    <w:p w:rsidR="00F15EA5" w:rsidRPr="00C60FEB" w:rsidRDefault="00F15EA5" w:rsidP="004B6733">
      <w:pPr>
        <w:spacing w:line="360" w:lineRule="auto"/>
        <w:ind w:right="-28"/>
        <w:jc w:val="both"/>
        <w:rPr>
          <w:rFonts w:ascii="Palatino Linotype" w:eastAsia="Palatino Linotype" w:hAnsi="Palatino Linotype" w:cs="Palatino Linotype"/>
          <w:color w:val="000000" w:themeColor="text1"/>
        </w:rPr>
      </w:pPr>
    </w:p>
    <w:p w:rsidR="00F15EA5" w:rsidRPr="00C60FEB" w:rsidRDefault="00F15EA5" w:rsidP="004B6733">
      <w:pPr>
        <w:spacing w:line="360" w:lineRule="auto"/>
        <w:ind w:right="-28"/>
        <w:jc w:val="both"/>
        <w:rPr>
          <w:rFonts w:ascii="Palatino Linotype" w:eastAsia="Palatino Linotype" w:hAnsi="Palatino Linotype" w:cs="Palatino Linotype"/>
          <w:color w:val="000000" w:themeColor="text1"/>
        </w:rPr>
      </w:pPr>
      <w:bookmarkStart w:id="12" w:name="_heading=h.3rdcrjn" w:colFirst="0" w:colLast="0"/>
      <w:bookmarkEnd w:id="12"/>
      <w:r w:rsidRPr="00C60FEB">
        <w:rPr>
          <w:rFonts w:ascii="Palatino Linotype" w:eastAsia="Palatino Linotype" w:hAnsi="Palatino Linotype" w:cs="Palatino Linotype"/>
          <w:b/>
          <w:color w:val="000000" w:themeColor="text1"/>
        </w:rPr>
        <w:t xml:space="preserve">SEGUNDO. </w:t>
      </w:r>
      <w:r w:rsidRPr="00C60FEB">
        <w:rPr>
          <w:rFonts w:ascii="Palatino Linotype" w:eastAsia="Palatino Linotype" w:hAnsi="Palatino Linotype" w:cs="Palatino Linotype"/>
          <w:color w:val="000000" w:themeColor="text1"/>
        </w:rPr>
        <w:t xml:space="preserve">Se </w:t>
      </w:r>
      <w:r w:rsidRPr="00C60FEB">
        <w:rPr>
          <w:rFonts w:ascii="Palatino Linotype" w:eastAsia="Palatino Linotype" w:hAnsi="Palatino Linotype" w:cs="Palatino Linotype"/>
          <w:b/>
          <w:color w:val="000000" w:themeColor="text1"/>
        </w:rPr>
        <w:t xml:space="preserve">REVOCA </w:t>
      </w:r>
      <w:r w:rsidRPr="00C60FEB">
        <w:rPr>
          <w:rFonts w:ascii="Palatino Linotype" w:eastAsia="Palatino Linotype" w:hAnsi="Palatino Linotype" w:cs="Palatino Linotype"/>
          <w:color w:val="000000" w:themeColor="text1"/>
        </w:rPr>
        <w:t xml:space="preserve">la respuesta emitida por el </w:t>
      </w:r>
      <w:r w:rsidR="003047BD" w:rsidRPr="00C60FEB">
        <w:rPr>
          <w:rFonts w:ascii="Palatino Linotype" w:eastAsia="Palatino Linotype" w:hAnsi="Palatino Linotype" w:cs="Palatino Linotype"/>
          <w:b/>
          <w:bCs/>
          <w:color w:val="000000" w:themeColor="text1"/>
        </w:rPr>
        <w:t>Sistema Municipal Para el Desarrollo Integral de la Familia de Huehuetoca</w:t>
      </w:r>
      <w:r w:rsidRPr="00C60FEB">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color w:val="000000" w:themeColor="text1"/>
        </w:rPr>
        <w:t xml:space="preserve">y se </w:t>
      </w:r>
      <w:r w:rsidRPr="00C60FEB">
        <w:rPr>
          <w:rFonts w:ascii="Palatino Linotype" w:eastAsia="Palatino Linotype" w:hAnsi="Palatino Linotype" w:cs="Palatino Linotype"/>
          <w:b/>
          <w:color w:val="000000" w:themeColor="text1"/>
        </w:rPr>
        <w:t>ORDENA</w:t>
      </w:r>
      <w:r w:rsidRPr="00C60FEB">
        <w:rPr>
          <w:rFonts w:ascii="Palatino Linotype" w:eastAsia="Palatino Linotype" w:hAnsi="Palatino Linotype" w:cs="Palatino Linotype"/>
          <w:color w:val="000000" w:themeColor="text1"/>
        </w:rPr>
        <w:t xml:space="preserve"> entregar vía Sistema de Acceso a la Información Mexiquense </w:t>
      </w:r>
      <w:r w:rsidRPr="00C60FEB">
        <w:rPr>
          <w:rFonts w:ascii="Palatino Linotype" w:eastAsia="Palatino Linotype" w:hAnsi="Palatino Linotype" w:cs="Palatino Linotype"/>
          <w:b/>
          <w:color w:val="000000" w:themeColor="text1"/>
        </w:rPr>
        <w:t xml:space="preserve">(SAIMEX), </w:t>
      </w:r>
      <w:r w:rsidRPr="00C60FEB">
        <w:rPr>
          <w:rFonts w:ascii="Palatino Linotype" w:eastAsia="Palatino Linotype" w:hAnsi="Palatino Linotype" w:cs="Palatino Linotype"/>
          <w:color w:val="000000" w:themeColor="text1"/>
        </w:rPr>
        <w:t>de ser procedente en versión pública</w:t>
      </w:r>
      <w:r w:rsidRPr="00C60FEB">
        <w:rPr>
          <w:rFonts w:ascii="Palatino Linotype" w:eastAsia="Palatino Linotype" w:hAnsi="Palatino Linotype" w:cs="Palatino Linotype"/>
          <w:b/>
          <w:color w:val="000000" w:themeColor="text1"/>
        </w:rPr>
        <w:t xml:space="preserve">, </w:t>
      </w:r>
      <w:r w:rsidRPr="00C60FEB">
        <w:rPr>
          <w:rFonts w:ascii="Palatino Linotype" w:eastAsia="Palatino Linotype" w:hAnsi="Palatino Linotype" w:cs="Palatino Linotype"/>
          <w:color w:val="000000" w:themeColor="text1"/>
        </w:rPr>
        <w:t>la siguiente información:</w:t>
      </w:r>
    </w:p>
    <w:p w:rsidR="00F15EA5" w:rsidRPr="00C60FEB" w:rsidRDefault="00F15EA5" w:rsidP="004B6733">
      <w:pPr>
        <w:pBdr>
          <w:top w:val="nil"/>
          <w:left w:val="nil"/>
          <w:bottom w:val="nil"/>
          <w:right w:val="nil"/>
          <w:between w:val="nil"/>
        </w:pBdr>
        <w:tabs>
          <w:tab w:val="left" w:pos="993"/>
        </w:tabs>
        <w:spacing w:line="360" w:lineRule="auto"/>
        <w:ind w:right="-28"/>
        <w:jc w:val="both"/>
        <w:rPr>
          <w:rFonts w:ascii="Palatino Linotype" w:eastAsia="Palatino Linotype" w:hAnsi="Palatino Linotype" w:cs="Palatino Linotype"/>
          <w:color w:val="000000" w:themeColor="text1"/>
        </w:rPr>
      </w:pPr>
    </w:p>
    <w:p w:rsidR="00F15EA5" w:rsidRPr="00C60FEB" w:rsidRDefault="003047BD" w:rsidP="00255144">
      <w:pPr>
        <w:pStyle w:val="Prrafodelista"/>
        <w:numPr>
          <w:ilvl w:val="1"/>
          <w:numId w:val="1"/>
        </w:numPr>
        <w:pBdr>
          <w:top w:val="nil"/>
          <w:left w:val="nil"/>
          <w:bottom w:val="nil"/>
          <w:right w:val="nil"/>
          <w:between w:val="nil"/>
        </w:pBdr>
        <w:tabs>
          <w:tab w:val="left" w:pos="993"/>
        </w:tabs>
        <w:spacing w:line="360" w:lineRule="auto"/>
        <w:ind w:left="0" w:right="-28" w:firstLine="0"/>
        <w:jc w:val="both"/>
        <w:rPr>
          <w:rFonts w:ascii="Palatino Linotype" w:eastAsia="Palatino Linotype" w:hAnsi="Palatino Linotype" w:cs="Palatino Linotype"/>
          <w:b/>
          <w:color w:val="000000" w:themeColor="text1"/>
        </w:rPr>
      </w:pPr>
      <w:r w:rsidRPr="00C60FEB">
        <w:rPr>
          <w:rFonts w:ascii="Palatino Linotype" w:hAnsi="Palatino Linotype"/>
          <w:b/>
          <w:color w:val="000000" w:themeColor="text1"/>
        </w:rPr>
        <w:t xml:space="preserve">Soporte documental donde conste </w:t>
      </w:r>
      <w:r w:rsidR="00456550" w:rsidRPr="00C60FEB">
        <w:rPr>
          <w:rFonts w:ascii="Palatino Linotype" w:hAnsi="Palatino Linotype"/>
          <w:b/>
          <w:color w:val="000000" w:themeColor="text1"/>
        </w:rPr>
        <w:t xml:space="preserve">el nombre de la o las instituciones públicas o privadas que realizaron donaciones al Sistema </w:t>
      </w:r>
      <w:r w:rsidR="00456550" w:rsidRPr="00C60FEB">
        <w:rPr>
          <w:rFonts w:ascii="Palatino Linotype" w:hAnsi="Palatino Linotype"/>
          <w:b/>
          <w:bCs/>
          <w:color w:val="000000" w:themeColor="text1"/>
        </w:rPr>
        <w:t xml:space="preserve">Municipal Para el Desarrollo Integral de la Familia de Huehuetoca, del cuatro de marzo de dos mil veinticuatro al cuatro de marzo de dos mil veinticinco. </w:t>
      </w:r>
    </w:p>
    <w:p w:rsidR="00F15EA5" w:rsidRPr="00C60FEB" w:rsidRDefault="00F15EA5" w:rsidP="004B6733">
      <w:pPr>
        <w:pStyle w:val="Prrafodelista"/>
        <w:pBdr>
          <w:top w:val="nil"/>
          <w:left w:val="nil"/>
          <w:bottom w:val="nil"/>
          <w:right w:val="nil"/>
          <w:between w:val="nil"/>
        </w:pBdr>
        <w:tabs>
          <w:tab w:val="left" w:pos="993"/>
        </w:tabs>
        <w:spacing w:line="360" w:lineRule="auto"/>
        <w:ind w:left="0" w:right="-28"/>
        <w:jc w:val="both"/>
        <w:rPr>
          <w:rFonts w:ascii="Palatino Linotype" w:eastAsia="Palatino Linotype" w:hAnsi="Palatino Linotype" w:cs="Palatino Linotype"/>
          <w:b/>
          <w:color w:val="000000" w:themeColor="text1"/>
        </w:rPr>
      </w:pPr>
    </w:p>
    <w:p w:rsidR="00F15EA5" w:rsidRPr="00C60FEB" w:rsidRDefault="00F15EA5" w:rsidP="004B6733">
      <w:pPr>
        <w:tabs>
          <w:tab w:val="left" w:pos="8080"/>
        </w:tabs>
        <w:spacing w:line="360" w:lineRule="auto"/>
        <w:ind w:right="-28"/>
        <w:contextualSpacing/>
        <w:jc w:val="both"/>
        <w:rPr>
          <w:rFonts w:ascii="Palatino Linotype" w:hAnsi="Palatino Linotype"/>
          <w:b/>
          <w:color w:val="000000" w:themeColor="text1"/>
        </w:rPr>
      </w:pPr>
      <w:r w:rsidRPr="00C60FEB">
        <w:rPr>
          <w:rFonts w:ascii="Palatino Linotype" w:hAnsi="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w:t>
      </w:r>
      <w:r w:rsidRPr="00C60FEB">
        <w:rPr>
          <w:rFonts w:ascii="Palatino Linotype" w:hAnsi="Palatino Linotype"/>
          <w:color w:val="000000" w:themeColor="text1"/>
        </w:rPr>
        <w:lastRenderedPageBreak/>
        <w:t xml:space="preserve">objeto de las versiones públicas que se formulen y se pongan a disposición de </w:t>
      </w:r>
      <w:r w:rsidRPr="00C60FEB">
        <w:rPr>
          <w:rFonts w:ascii="Palatino Linotype" w:hAnsi="Palatino Linotype"/>
          <w:b/>
          <w:color w:val="000000" w:themeColor="text1"/>
        </w:rPr>
        <w:t>EL RECURRENTE.</w:t>
      </w:r>
    </w:p>
    <w:p w:rsidR="00F15EA5" w:rsidRPr="00C60FEB" w:rsidRDefault="00F15EA5" w:rsidP="004B6733">
      <w:pPr>
        <w:tabs>
          <w:tab w:val="left" w:pos="8080"/>
        </w:tabs>
        <w:spacing w:line="360" w:lineRule="auto"/>
        <w:ind w:right="-28"/>
        <w:contextualSpacing/>
        <w:jc w:val="both"/>
        <w:rPr>
          <w:rFonts w:ascii="Palatino Linotype" w:hAnsi="Palatino Linotype"/>
          <w:b/>
          <w:color w:val="000000" w:themeColor="text1"/>
        </w:rPr>
      </w:pPr>
    </w:p>
    <w:p w:rsidR="00F15EA5" w:rsidRPr="00C60FEB" w:rsidRDefault="00F15EA5" w:rsidP="004B6733">
      <w:pPr>
        <w:tabs>
          <w:tab w:val="left" w:pos="0"/>
        </w:tabs>
        <w:spacing w:line="360" w:lineRule="auto"/>
        <w:ind w:right="-28"/>
        <w:jc w:val="both"/>
        <w:rPr>
          <w:rFonts w:ascii="Palatino Linotype" w:hAnsi="Palatino Linotype"/>
          <w:color w:val="000000" w:themeColor="text1"/>
        </w:rPr>
      </w:pPr>
      <w:r w:rsidRPr="00C60FEB">
        <w:rPr>
          <w:rFonts w:ascii="Palatino Linotype" w:hAnsi="Palatino Linotype"/>
          <w:color w:val="000000" w:themeColor="text1"/>
        </w:rPr>
        <w:t>Para el caso de la información qu</w:t>
      </w:r>
      <w:r w:rsidR="00456550" w:rsidRPr="00C60FEB">
        <w:rPr>
          <w:rFonts w:ascii="Palatino Linotype" w:hAnsi="Palatino Linotype"/>
          <w:color w:val="000000" w:themeColor="text1"/>
        </w:rPr>
        <w:t>e se ordena</w:t>
      </w:r>
      <w:r w:rsidRPr="00C60FEB">
        <w:rPr>
          <w:rFonts w:ascii="Palatino Linotype" w:hAnsi="Palatino Linotype"/>
          <w:color w:val="000000" w:themeColor="text1"/>
        </w:rPr>
        <w:t xml:space="preserve"> </w:t>
      </w:r>
      <w:r w:rsidR="00456550" w:rsidRPr="00C60FEB">
        <w:rPr>
          <w:rFonts w:ascii="Palatino Linotype" w:hAnsi="Palatino Linotype"/>
          <w:color w:val="000000" w:themeColor="text1"/>
        </w:rPr>
        <w:t>no haya sido generada porque no se realizaron donaciones en el periodo que se ordena</w:t>
      </w:r>
      <w:r w:rsidRPr="00C60FEB">
        <w:rPr>
          <w:rFonts w:ascii="Palatino Linotype" w:hAnsi="Palatino Linotype"/>
          <w:color w:val="000000" w:themeColor="text1"/>
        </w:rPr>
        <w:t>, bastará que así se lo haga saber el Sujeto Obligado a la parte Recurrente de manera fundada y motivada en términos de lo señalado por el segundo párrafo del artículo 19 de la Ley en la materia.</w:t>
      </w:r>
    </w:p>
    <w:p w:rsidR="00F15EA5" w:rsidRPr="00C60FEB" w:rsidRDefault="00F15EA5" w:rsidP="004B6733">
      <w:pPr>
        <w:spacing w:line="360" w:lineRule="auto"/>
        <w:ind w:right="-28"/>
        <w:jc w:val="both"/>
        <w:rPr>
          <w:rFonts w:ascii="Palatino Linotype" w:eastAsia="Palatino Linotype" w:hAnsi="Palatino Linotype" w:cs="Palatino Linotype"/>
          <w:b/>
          <w:color w:val="000000" w:themeColor="text1"/>
        </w:rPr>
      </w:pPr>
    </w:p>
    <w:p w:rsidR="00F15EA5" w:rsidRPr="00C60FEB" w:rsidRDefault="00F15EA5" w:rsidP="004B6733">
      <w:pPr>
        <w:tabs>
          <w:tab w:val="left" w:pos="8080"/>
        </w:tabs>
        <w:spacing w:line="360" w:lineRule="auto"/>
        <w:ind w:right="-28"/>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b/>
          <w:color w:val="000000" w:themeColor="text1"/>
        </w:rPr>
        <w:t xml:space="preserve">TERCERO. Notifíquese </w:t>
      </w:r>
      <w:r w:rsidRPr="00C60FEB">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C60FEB">
        <w:rPr>
          <w:rFonts w:ascii="Palatino Linotype" w:eastAsia="Palatino Linotype" w:hAnsi="Palatino Linotype" w:cs="Palatino Linotype"/>
          <w:b/>
          <w:color w:val="000000" w:themeColor="text1"/>
        </w:rPr>
        <w:t>dé cumplimiento a lo ordenado dentro del</w:t>
      </w:r>
      <w:r w:rsidRPr="00C60FEB">
        <w:rPr>
          <w:rFonts w:ascii="Palatino Linotype" w:eastAsia="Palatino Linotype" w:hAnsi="Palatino Linotype" w:cs="Palatino Linotype"/>
          <w:color w:val="000000" w:themeColor="text1"/>
        </w:rPr>
        <w:t xml:space="preserve"> </w:t>
      </w:r>
      <w:r w:rsidRPr="00C60FEB">
        <w:rPr>
          <w:rFonts w:ascii="Palatino Linotype" w:eastAsia="Palatino Linotype" w:hAnsi="Palatino Linotype" w:cs="Palatino Linotype"/>
          <w:b/>
          <w:color w:val="000000" w:themeColor="text1"/>
        </w:rPr>
        <w:t>plazo de diez días hábiles</w:t>
      </w:r>
      <w:r w:rsidRPr="00C60FEB">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15EA5" w:rsidRPr="00C60FEB" w:rsidRDefault="00F15EA5" w:rsidP="004B6733">
      <w:pPr>
        <w:tabs>
          <w:tab w:val="left" w:pos="8080"/>
        </w:tabs>
        <w:spacing w:line="360" w:lineRule="auto"/>
        <w:ind w:right="-28"/>
        <w:jc w:val="both"/>
        <w:rPr>
          <w:rFonts w:ascii="Palatino Linotype" w:eastAsia="Palatino Linotype" w:hAnsi="Palatino Linotype" w:cs="Palatino Linotype"/>
          <w:color w:val="000000" w:themeColor="text1"/>
        </w:rPr>
      </w:pPr>
    </w:p>
    <w:p w:rsidR="00F15EA5" w:rsidRPr="00C60FEB" w:rsidRDefault="00F15EA5" w:rsidP="004B6733">
      <w:pPr>
        <w:shd w:val="clear" w:color="auto" w:fill="FFFFFF"/>
        <w:spacing w:line="360" w:lineRule="auto"/>
        <w:ind w:right="-28"/>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b/>
          <w:color w:val="000000" w:themeColor="text1"/>
        </w:rPr>
        <w:t>CUARTO. Notifíquese al RECURRENTE</w:t>
      </w:r>
      <w:r w:rsidRPr="00C60FEB">
        <w:rPr>
          <w:rFonts w:ascii="Palatino Linotype" w:eastAsia="Palatino Linotype" w:hAnsi="Palatino Linotype" w:cs="Palatino Linotype"/>
          <w:color w:val="000000" w:themeColor="text1"/>
        </w:rPr>
        <w:t xml:space="preserve"> la presente resolución vía SAIMEX.</w:t>
      </w:r>
    </w:p>
    <w:p w:rsidR="00F15EA5" w:rsidRPr="00C60FEB" w:rsidRDefault="00F15EA5" w:rsidP="004B6733">
      <w:pPr>
        <w:shd w:val="clear" w:color="auto" w:fill="FFFFFF"/>
        <w:spacing w:line="360" w:lineRule="auto"/>
        <w:ind w:right="-28"/>
        <w:jc w:val="both"/>
        <w:rPr>
          <w:rFonts w:ascii="Palatino Linotype" w:eastAsia="Palatino Linotype" w:hAnsi="Palatino Linotype" w:cs="Palatino Linotype"/>
          <w:b/>
          <w:color w:val="000000" w:themeColor="text1"/>
        </w:rPr>
      </w:pPr>
    </w:p>
    <w:p w:rsidR="00F15EA5" w:rsidRPr="00C60FEB" w:rsidRDefault="00F15EA5" w:rsidP="004B6733">
      <w:pPr>
        <w:spacing w:line="360" w:lineRule="auto"/>
        <w:ind w:right="-28"/>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b/>
          <w:color w:val="000000" w:themeColor="text1"/>
        </w:rPr>
        <w:t>QUINTO.</w:t>
      </w:r>
      <w:r w:rsidRPr="00C60FEB">
        <w:rPr>
          <w:rFonts w:ascii="Palatino Linotype" w:eastAsia="Palatino Linotype" w:hAnsi="Palatino Linotype" w:cs="Palatino Linotype"/>
          <w:color w:val="000000" w:themeColor="text1"/>
        </w:rPr>
        <w:t xml:space="preserve"> Se hace del conocimiento del </w:t>
      </w:r>
      <w:r w:rsidRPr="00C60FEB">
        <w:rPr>
          <w:rFonts w:ascii="Palatino Linotype" w:eastAsia="Palatino Linotype" w:hAnsi="Palatino Linotype" w:cs="Palatino Linotype"/>
          <w:b/>
          <w:color w:val="000000" w:themeColor="text1"/>
        </w:rPr>
        <w:t>RECURRENTE</w:t>
      </w:r>
      <w:r w:rsidRPr="00C60FE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F15EA5" w:rsidRPr="00C60FEB" w:rsidRDefault="00F15EA5" w:rsidP="004B6733">
      <w:pPr>
        <w:spacing w:line="360" w:lineRule="auto"/>
        <w:ind w:right="-28"/>
        <w:jc w:val="both"/>
        <w:rPr>
          <w:rFonts w:ascii="Palatino Linotype" w:eastAsia="Palatino Linotype" w:hAnsi="Palatino Linotype" w:cs="Palatino Linotype"/>
          <w:color w:val="000000" w:themeColor="text1"/>
        </w:rPr>
      </w:pPr>
      <w:r w:rsidRPr="00C60FEB">
        <w:rPr>
          <w:rFonts w:ascii="Palatino Linotype" w:eastAsia="Palatino Linotype" w:hAnsi="Palatino Linotype" w:cs="Palatino Linotype"/>
          <w:b/>
          <w:color w:val="000000" w:themeColor="text1"/>
        </w:rPr>
        <w:lastRenderedPageBreak/>
        <w:t xml:space="preserve">SEXTO. </w:t>
      </w:r>
      <w:r w:rsidRPr="00C60FEB">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15EA5" w:rsidRPr="00C60FEB" w:rsidRDefault="00F15EA5" w:rsidP="004B6733">
      <w:pPr>
        <w:spacing w:line="360" w:lineRule="auto"/>
        <w:ind w:right="-28"/>
        <w:jc w:val="both"/>
        <w:rPr>
          <w:rFonts w:ascii="Palatino Linotype" w:eastAsia="Palatino Linotype" w:hAnsi="Palatino Linotype" w:cs="Palatino Linotype"/>
          <w:color w:val="000000" w:themeColor="text1"/>
        </w:rPr>
      </w:pPr>
    </w:p>
    <w:p w:rsidR="009A2508" w:rsidRPr="00444783" w:rsidRDefault="00C60FEB" w:rsidP="009A2508">
      <w:pPr>
        <w:spacing w:line="360" w:lineRule="auto"/>
        <w:ind w:right="49"/>
        <w:jc w:val="both"/>
        <w:rPr>
          <w:rFonts w:ascii="Palatino Linotype" w:eastAsia="Palatino Linotype" w:hAnsi="Palatino Linotype" w:cs="Palatino Linotype"/>
        </w:rPr>
      </w:pPr>
      <w:r w:rsidRPr="00C60FE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9A2508" w:rsidRPr="00C60FEB">
        <w:rPr>
          <w:rFonts w:ascii="Palatino Linotype" w:eastAsia="Palatino Linotype" w:hAnsi="Palatino Linotype" w:cs="Palatino Linotype"/>
        </w:rPr>
        <w:t>.</w:t>
      </w:r>
    </w:p>
    <w:p w:rsidR="00F15EA5" w:rsidRPr="004B6733" w:rsidRDefault="00F15EA5" w:rsidP="004B6733">
      <w:pPr>
        <w:spacing w:line="360" w:lineRule="auto"/>
        <w:ind w:right="-28"/>
        <w:rPr>
          <w:rFonts w:ascii="Palatino Linotype" w:eastAsia="Palatino Linotype" w:hAnsi="Palatino Linotype" w:cs="Palatino Linotype"/>
          <w:color w:val="000000" w:themeColor="text1"/>
        </w:rPr>
      </w:pPr>
    </w:p>
    <w:p w:rsidR="00F15EA5" w:rsidRPr="004B6733" w:rsidRDefault="00F15EA5" w:rsidP="004B6733">
      <w:pPr>
        <w:spacing w:line="360" w:lineRule="auto"/>
        <w:ind w:right="-28"/>
        <w:rPr>
          <w:rFonts w:ascii="Palatino Linotype" w:eastAsia="Palatino Linotype" w:hAnsi="Palatino Linotype" w:cs="Palatino Linotype"/>
          <w:color w:val="000000" w:themeColor="text1"/>
        </w:rPr>
      </w:pPr>
    </w:p>
    <w:p w:rsidR="00F15EA5" w:rsidRPr="004B6733" w:rsidRDefault="00F15EA5" w:rsidP="004B6733">
      <w:pPr>
        <w:spacing w:line="360" w:lineRule="auto"/>
        <w:ind w:right="-28"/>
        <w:rPr>
          <w:rFonts w:ascii="Palatino Linotype" w:eastAsia="Palatino Linotype" w:hAnsi="Palatino Linotype" w:cs="Palatino Linotype"/>
          <w:color w:val="000000" w:themeColor="text1"/>
        </w:rPr>
      </w:pPr>
    </w:p>
    <w:p w:rsidR="00F15EA5" w:rsidRPr="004B6733" w:rsidRDefault="00F15EA5" w:rsidP="004B6733">
      <w:pPr>
        <w:spacing w:line="360" w:lineRule="auto"/>
        <w:ind w:right="-28"/>
        <w:rPr>
          <w:rFonts w:ascii="Palatino Linotype" w:eastAsia="Palatino Linotype" w:hAnsi="Palatino Linotype" w:cs="Palatino Linotype"/>
          <w:color w:val="000000" w:themeColor="text1"/>
        </w:rPr>
      </w:pPr>
    </w:p>
    <w:p w:rsidR="00F15EA5" w:rsidRPr="004B6733" w:rsidRDefault="00F15EA5" w:rsidP="004B6733">
      <w:pPr>
        <w:spacing w:line="360" w:lineRule="auto"/>
        <w:ind w:right="-28"/>
        <w:rPr>
          <w:rFonts w:ascii="Palatino Linotype" w:eastAsia="Palatino Linotype" w:hAnsi="Palatino Linotype" w:cs="Palatino Linotype"/>
          <w:color w:val="000000" w:themeColor="text1"/>
        </w:rPr>
      </w:pPr>
    </w:p>
    <w:p w:rsidR="00F15EA5" w:rsidRPr="004B6733" w:rsidRDefault="00F15EA5" w:rsidP="004B6733">
      <w:pPr>
        <w:spacing w:line="360" w:lineRule="auto"/>
        <w:ind w:right="-28"/>
        <w:rPr>
          <w:rFonts w:ascii="Palatino Linotype" w:eastAsia="Palatino Linotype" w:hAnsi="Palatino Linotype" w:cs="Palatino Linotype"/>
          <w:color w:val="000000" w:themeColor="text1"/>
        </w:rPr>
      </w:pPr>
    </w:p>
    <w:p w:rsidR="00F15EA5" w:rsidRPr="004B6733" w:rsidRDefault="00F15EA5" w:rsidP="004B6733">
      <w:pPr>
        <w:spacing w:line="360" w:lineRule="auto"/>
        <w:ind w:right="-28"/>
        <w:rPr>
          <w:rFonts w:ascii="Palatino Linotype" w:eastAsia="Palatino Linotype" w:hAnsi="Palatino Linotype" w:cs="Palatino Linotype"/>
          <w:color w:val="000000" w:themeColor="text1"/>
        </w:rPr>
      </w:pPr>
    </w:p>
    <w:p w:rsidR="00F15EA5" w:rsidRPr="004B6733" w:rsidRDefault="00F15EA5" w:rsidP="004B6733">
      <w:pPr>
        <w:spacing w:line="360" w:lineRule="auto"/>
        <w:ind w:right="-28"/>
        <w:rPr>
          <w:rFonts w:ascii="Palatino Linotype" w:eastAsia="Palatino Linotype" w:hAnsi="Palatino Linotype" w:cs="Palatino Linotype"/>
          <w:color w:val="000000" w:themeColor="text1"/>
        </w:rPr>
      </w:pPr>
    </w:p>
    <w:p w:rsidR="00F15EA5" w:rsidRPr="004B6733" w:rsidRDefault="00F15EA5" w:rsidP="004B6733">
      <w:pPr>
        <w:ind w:right="-28"/>
        <w:rPr>
          <w:rFonts w:ascii="Palatino Linotype" w:hAnsi="Palatino Linotype"/>
          <w:color w:val="000000" w:themeColor="text1"/>
        </w:rPr>
      </w:pPr>
    </w:p>
    <w:p w:rsidR="00F15EA5" w:rsidRPr="004B6733" w:rsidRDefault="00F15EA5" w:rsidP="004B6733">
      <w:pPr>
        <w:ind w:right="-28"/>
        <w:rPr>
          <w:rFonts w:ascii="Palatino Linotype" w:hAnsi="Palatino Linotype"/>
          <w:color w:val="000000" w:themeColor="text1"/>
        </w:rPr>
      </w:pPr>
    </w:p>
    <w:p w:rsidR="00F15EA5" w:rsidRPr="004B6733" w:rsidRDefault="00F15EA5" w:rsidP="004B6733">
      <w:pPr>
        <w:ind w:right="-28"/>
        <w:rPr>
          <w:rFonts w:ascii="Palatino Linotype" w:hAnsi="Palatino Linotype"/>
          <w:color w:val="000000" w:themeColor="text1"/>
        </w:rPr>
      </w:pPr>
    </w:p>
    <w:p w:rsidR="00F15EA5" w:rsidRPr="004B6733" w:rsidRDefault="00F15EA5" w:rsidP="004B6733">
      <w:pPr>
        <w:ind w:right="-28"/>
        <w:rPr>
          <w:rFonts w:ascii="Palatino Linotype" w:hAnsi="Palatino Linotype"/>
          <w:color w:val="000000" w:themeColor="text1"/>
        </w:rPr>
      </w:pPr>
    </w:p>
    <w:p w:rsidR="00F15EA5" w:rsidRPr="004B6733" w:rsidRDefault="00F15EA5" w:rsidP="004B6733">
      <w:pPr>
        <w:ind w:right="-28"/>
        <w:rPr>
          <w:rFonts w:ascii="Palatino Linotype" w:hAnsi="Palatino Linotype"/>
          <w:color w:val="000000" w:themeColor="text1"/>
        </w:rPr>
      </w:pPr>
    </w:p>
    <w:p w:rsidR="0032368D" w:rsidRPr="004B6733" w:rsidRDefault="0032368D" w:rsidP="004B6733">
      <w:pPr>
        <w:ind w:right="-28"/>
        <w:rPr>
          <w:rFonts w:ascii="Palatino Linotype" w:hAnsi="Palatino Linotype"/>
          <w:color w:val="000000" w:themeColor="text1"/>
        </w:rPr>
      </w:pPr>
    </w:p>
    <w:sectPr w:rsidR="0032368D" w:rsidRPr="004B6733" w:rsidSect="00255144">
      <w:headerReference w:type="even" r:id="rId9"/>
      <w:headerReference w:type="default" r:id="rId10"/>
      <w:footerReference w:type="default" r:id="rId11"/>
      <w:headerReference w:type="first" r:id="rId12"/>
      <w:footerReference w:type="first" r:id="rId13"/>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38F" w:rsidRDefault="0031338F" w:rsidP="00F15EA5">
      <w:r>
        <w:separator/>
      </w:r>
    </w:p>
  </w:endnote>
  <w:endnote w:type="continuationSeparator" w:id="0">
    <w:p w:rsidR="0031338F" w:rsidRDefault="0031338F" w:rsidP="00F1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C2D" w:rsidRDefault="006F4C2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6432B">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6432B">
      <w:rPr>
        <w:b/>
        <w:noProof/>
        <w:color w:val="000000"/>
      </w:rPr>
      <w:t>21</w:t>
    </w:r>
    <w:r>
      <w:rPr>
        <w:b/>
        <w:color w:val="000000"/>
      </w:rPr>
      <w:fldChar w:fldCharType="end"/>
    </w:r>
  </w:p>
  <w:p w:rsidR="006F4C2D" w:rsidRDefault="006F4C2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C2D" w:rsidRDefault="006F4C2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6432B">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6432B">
      <w:rPr>
        <w:b/>
        <w:noProof/>
        <w:color w:val="000000"/>
      </w:rPr>
      <w:t>21</w:t>
    </w:r>
    <w:r>
      <w:rPr>
        <w:b/>
        <w:color w:val="000000"/>
      </w:rPr>
      <w:fldChar w:fldCharType="end"/>
    </w:r>
  </w:p>
  <w:p w:rsidR="006F4C2D" w:rsidRDefault="006F4C2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38F" w:rsidRDefault="0031338F" w:rsidP="00F15EA5">
      <w:r>
        <w:separator/>
      </w:r>
    </w:p>
  </w:footnote>
  <w:footnote w:type="continuationSeparator" w:id="0">
    <w:p w:rsidR="0031338F" w:rsidRDefault="0031338F" w:rsidP="00F15EA5">
      <w:r>
        <w:continuationSeparator/>
      </w:r>
    </w:p>
  </w:footnote>
  <w:footnote w:id="1">
    <w:p w:rsidR="006F4C2D" w:rsidRDefault="006F4C2D" w:rsidP="00F15EA5">
      <w:pPr>
        <w:pStyle w:val="Textonotapie"/>
      </w:pPr>
      <w:r>
        <w:rPr>
          <w:rStyle w:val="Refdenotaalpie"/>
        </w:rPr>
        <w:footnoteRef/>
      </w:r>
      <w:r>
        <w:t xml:space="preserve"> Artículo 150. Ley de Transparencia y Acceso a la Información Pública del Estado de México y Municipios.</w:t>
      </w:r>
    </w:p>
    <w:p w:rsidR="006F4C2D" w:rsidRDefault="006F4C2D" w:rsidP="00F15EA5">
      <w:pPr>
        <w:pStyle w:val="Textonotapie"/>
      </w:pPr>
      <w:r>
        <w:t>Artículo 151. Ibídem.</w:t>
      </w:r>
    </w:p>
  </w:footnote>
  <w:footnote w:id="2">
    <w:p w:rsidR="006F4C2D" w:rsidRDefault="006F4C2D" w:rsidP="00F15EA5">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C2D" w:rsidRDefault="0031338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00" w:firstRow="0" w:lastRow="0" w:firstColumn="0" w:lastColumn="0" w:noHBand="0" w:noVBand="1"/>
    </w:tblPr>
    <w:tblGrid>
      <w:gridCol w:w="2268"/>
      <w:gridCol w:w="8080"/>
    </w:tblGrid>
    <w:tr w:rsidR="006F4C2D" w:rsidTr="00CF26E9">
      <w:trPr>
        <w:trHeight w:val="1435"/>
      </w:trPr>
      <w:tc>
        <w:tcPr>
          <w:tcW w:w="2268" w:type="dxa"/>
          <w:shd w:val="clear" w:color="auto" w:fill="auto"/>
        </w:tcPr>
        <w:p w:rsidR="006F4C2D" w:rsidRDefault="006F4C2D">
          <w:pPr>
            <w:tabs>
              <w:tab w:val="right" w:pos="4273"/>
            </w:tabs>
            <w:rPr>
              <w:rFonts w:ascii="Garamond" w:eastAsia="Garamond" w:hAnsi="Garamond" w:cs="Garamond"/>
              <w:sz w:val="16"/>
              <w:szCs w:val="16"/>
            </w:rPr>
          </w:pPr>
        </w:p>
      </w:tc>
      <w:tc>
        <w:tcPr>
          <w:tcW w:w="8080" w:type="dxa"/>
          <w:shd w:val="clear" w:color="auto" w:fill="auto"/>
        </w:tcPr>
        <w:tbl>
          <w:tblPr>
            <w:tblW w:w="7654" w:type="dxa"/>
            <w:tblInd w:w="318" w:type="dxa"/>
            <w:tblLayout w:type="fixed"/>
            <w:tblLook w:val="0400" w:firstRow="0" w:lastRow="0" w:firstColumn="0" w:lastColumn="0" w:noHBand="0" w:noVBand="1"/>
          </w:tblPr>
          <w:tblGrid>
            <w:gridCol w:w="2687"/>
            <w:gridCol w:w="4967"/>
          </w:tblGrid>
          <w:tr w:rsidR="006F4C2D" w:rsidTr="00255144">
            <w:trPr>
              <w:trHeight w:val="150"/>
            </w:trPr>
            <w:tc>
              <w:tcPr>
                <w:tcW w:w="2687" w:type="dxa"/>
                <w:shd w:val="clear" w:color="auto" w:fill="auto"/>
              </w:tcPr>
              <w:p w:rsidR="006F4C2D" w:rsidRPr="00CF26E9" w:rsidRDefault="006F4C2D" w:rsidP="00CF26E9">
                <w:pPr>
                  <w:tabs>
                    <w:tab w:val="right" w:pos="8838"/>
                  </w:tabs>
                  <w:ind w:right="-105"/>
                  <w:rPr>
                    <w:rFonts w:ascii="Palatino Linotype" w:eastAsia="Palatino Linotype" w:hAnsi="Palatino Linotype" w:cs="Palatino Linotype"/>
                    <w:b/>
                  </w:rPr>
                </w:pPr>
                <w:r w:rsidRPr="00CF26E9">
                  <w:rPr>
                    <w:rFonts w:ascii="Palatino Linotype" w:eastAsia="Palatino Linotype" w:hAnsi="Palatino Linotype" w:cs="Palatino Linotype"/>
                    <w:b/>
                  </w:rPr>
                  <w:t>Recurso de Revisión:</w:t>
                </w:r>
              </w:p>
            </w:tc>
            <w:tc>
              <w:tcPr>
                <w:tcW w:w="4967" w:type="dxa"/>
                <w:shd w:val="clear" w:color="auto" w:fill="auto"/>
              </w:tcPr>
              <w:p w:rsidR="006F4C2D" w:rsidRPr="00CF26E9" w:rsidRDefault="006F4C2D" w:rsidP="00255144">
                <w:pPr>
                  <w:tabs>
                    <w:tab w:val="right" w:pos="8838"/>
                  </w:tabs>
                  <w:ind w:left="-108" w:right="-102"/>
                  <w:rPr>
                    <w:rFonts w:ascii="Palatino Linotype" w:eastAsia="Palatino Linotype" w:hAnsi="Palatino Linotype" w:cs="Palatino Linotype"/>
                  </w:rPr>
                </w:pPr>
                <w:r w:rsidRPr="00CF26E9">
                  <w:rPr>
                    <w:rFonts w:ascii="Palatino Linotype" w:eastAsia="Palatino Linotype" w:hAnsi="Palatino Linotype" w:cs="Palatino Linotype"/>
                  </w:rPr>
                  <w:t>03623/INFOEM/IP/RR/2025</w:t>
                </w:r>
              </w:p>
            </w:tc>
          </w:tr>
          <w:tr w:rsidR="006F4C2D" w:rsidTr="00255144">
            <w:trPr>
              <w:trHeight w:val="295"/>
            </w:trPr>
            <w:tc>
              <w:tcPr>
                <w:tcW w:w="2687" w:type="dxa"/>
                <w:shd w:val="clear" w:color="auto" w:fill="auto"/>
              </w:tcPr>
              <w:p w:rsidR="006F4C2D" w:rsidRPr="00CF26E9" w:rsidRDefault="006F4C2D" w:rsidP="00CF26E9">
                <w:pPr>
                  <w:tabs>
                    <w:tab w:val="right" w:pos="8838"/>
                  </w:tabs>
                  <w:ind w:right="-105"/>
                  <w:rPr>
                    <w:rFonts w:ascii="Palatino Linotype" w:eastAsia="Palatino Linotype" w:hAnsi="Palatino Linotype" w:cs="Palatino Linotype"/>
                    <w:b/>
                  </w:rPr>
                </w:pPr>
                <w:r w:rsidRPr="00CF26E9">
                  <w:rPr>
                    <w:rFonts w:ascii="Palatino Linotype" w:eastAsia="Palatino Linotype" w:hAnsi="Palatino Linotype" w:cs="Palatino Linotype"/>
                    <w:b/>
                  </w:rPr>
                  <w:t>Sujeto Obligado:</w:t>
                </w:r>
              </w:p>
            </w:tc>
            <w:tc>
              <w:tcPr>
                <w:tcW w:w="4967" w:type="dxa"/>
                <w:shd w:val="clear" w:color="auto" w:fill="auto"/>
              </w:tcPr>
              <w:p w:rsidR="006F4C2D" w:rsidRPr="00CF26E9" w:rsidRDefault="006F4C2D" w:rsidP="00255144">
                <w:pPr>
                  <w:tabs>
                    <w:tab w:val="left" w:pos="2834"/>
                    <w:tab w:val="right" w:pos="8838"/>
                  </w:tabs>
                  <w:ind w:left="-108" w:right="-102"/>
                  <w:rPr>
                    <w:rFonts w:ascii="Palatino Linotype" w:eastAsia="Palatino Linotype" w:hAnsi="Palatino Linotype" w:cs="Palatino Linotype"/>
                  </w:rPr>
                </w:pPr>
                <w:r w:rsidRPr="00CF26E9">
                  <w:rPr>
                    <w:rFonts w:ascii="Palatino Linotype" w:eastAsia="Palatino Linotype" w:hAnsi="Palatino Linotype" w:cs="Palatino Linotype"/>
                    <w:bCs/>
                  </w:rPr>
                  <w:t>Sistema Municipal Para el Desarrollo Integral de la Familia de Huehuetoca</w:t>
                </w:r>
              </w:p>
            </w:tc>
          </w:tr>
          <w:tr w:rsidR="006F4C2D" w:rsidTr="00255144">
            <w:trPr>
              <w:trHeight w:val="295"/>
            </w:trPr>
            <w:tc>
              <w:tcPr>
                <w:tcW w:w="2687" w:type="dxa"/>
                <w:shd w:val="clear" w:color="auto" w:fill="auto"/>
              </w:tcPr>
              <w:p w:rsidR="006F4C2D" w:rsidRPr="00CF26E9" w:rsidRDefault="006F4C2D" w:rsidP="00CF26E9">
                <w:pPr>
                  <w:tabs>
                    <w:tab w:val="right" w:pos="8838"/>
                  </w:tabs>
                  <w:ind w:right="-105"/>
                  <w:rPr>
                    <w:rFonts w:ascii="Palatino Linotype" w:eastAsia="Palatino Linotype" w:hAnsi="Palatino Linotype" w:cs="Palatino Linotype"/>
                    <w:b/>
                  </w:rPr>
                </w:pPr>
                <w:r w:rsidRPr="00CF26E9">
                  <w:rPr>
                    <w:rFonts w:ascii="Palatino Linotype" w:eastAsia="Palatino Linotype" w:hAnsi="Palatino Linotype" w:cs="Palatino Linotype"/>
                    <w:b/>
                  </w:rPr>
                  <w:t>Comisionado ponente:</w:t>
                </w:r>
              </w:p>
            </w:tc>
            <w:tc>
              <w:tcPr>
                <w:tcW w:w="4967" w:type="dxa"/>
                <w:shd w:val="clear" w:color="auto" w:fill="auto"/>
              </w:tcPr>
              <w:p w:rsidR="006F4C2D" w:rsidRPr="00CF26E9" w:rsidRDefault="006F4C2D" w:rsidP="00255144">
                <w:pPr>
                  <w:tabs>
                    <w:tab w:val="right" w:pos="8838"/>
                  </w:tabs>
                  <w:ind w:left="-108" w:right="171"/>
                  <w:rPr>
                    <w:rFonts w:ascii="Palatino Linotype" w:eastAsia="Palatino Linotype" w:hAnsi="Palatino Linotype" w:cs="Palatino Linotype"/>
                  </w:rPr>
                </w:pPr>
                <w:r w:rsidRPr="00CF26E9">
                  <w:rPr>
                    <w:rFonts w:ascii="Palatino Linotype" w:eastAsia="Palatino Linotype" w:hAnsi="Palatino Linotype" w:cs="Palatino Linotype"/>
                  </w:rPr>
                  <w:t>María del Rosario Mejía Ayala</w:t>
                </w:r>
              </w:p>
              <w:p w:rsidR="006F4C2D" w:rsidRPr="00CF26E9" w:rsidRDefault="006F4C2D" w:rsidP="00255144">
                <w:pPr>
                  <w:tabs>
                    <w:tab w:val="right" w:pos="8838"/>
                  </w:tabs>
                  <w:ind w:left="-108" w:right="171"/>
                  <w:rPr>
                    <w:rFonts w:ascii="Palatino Linotype" w:eastAsia="Palatino Linotype" w:hAnsi="Palatino Linotype" w:cs="Palatino Linotype"/>
                  </w:rPr>
                </w:pPr>
              </w:p>
            </w:tc>
          </w:tr>
        </w:tbl>
        <w:p w:rsidR="006F4C2D" w:rsidRDefault="006F4C2D">
          <w:pPr>
            <w:tabs>
              <w:tab w:val="right" w:pos="8838"/>
            </w:tabs>
            <w:ind w:left="-28"/>
            <w:jc w:val="both"/>
            <w:rPr>
              <w:rFonts w:ascii="Arial" w:eastAsia="Arial" w:hAnsi="Arial" w:cs="Arial"/>
              <w:b/>
              <w:sz w:val="22"/>
              <w:szCs w:val="22"/>
            </w:rPr>
          </w:pPr>
        </w:p>
      </w:tc>
    </w:tr>
  </w:tbl>
  <w:p w:rsidR="006F4C2D" w:rsidRDefault="0031338F">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20.5pt;width:589.8pt;height:768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00" w:firstRow="0" w:lastRow="0" w:firstColumn="0" w:lastColumn="0" w:noHBand="0" w:noVBand="1"/>
    </w:tblPr>
    <w:tblGrid>
      <w:gridCol w:w="2268"/>
      <w:gridCol w:w="7797"/>
    </w:tblGrid>
    <w:tr w:rsidR="006F4C2D" w:rsidTr="00CF26E9">
      <w:trPr>
        <w:trHeight w:val="1435"/>
      </w:trPr>
      <w:tc>
        <w:tcPr>
          <w:tcW w:w="2268" w:type="dxa"/>
          <w:shd w:val="clear" w:color="auto" w:fill="auto"/>
        </w:tcPr>
        <w:p w:rsidR="006F4C2D" w:rsidRDefault="006F4C2D">
          <w:pPr>
            <w:tabs>
              <w:tab w:val="right" w:pos="4273"/>
            </w:tabs>
            <w:rPr>
              <w:rFonts w:ascii="Garamond" w:eastAsia="Garamond" w:hAnsi="Garamond" w:cs="Garamond"/>
              <w:sz w:val="22"/>
              <w:szCs w:val="22"/>
            </w:rPr>
          </w:pPr>
        </w:p>
      </w:tc>
      <w:tc>
        <w:tcPr>
          <w:tcW w:w="7797" w:type="dxa"/>
          <w:shd w:val="clear" w:color="auto" w:fill="auto"/>
        </w:tcPr>
        <w:tbl>
          <w:tblPr>
            <w:tblW w:w="7507" w:type="dxa"/>
            <w:tblInd w:w="176" w:type="dxa"/>
            <w:tblLayout w:type="fixed"/>
            <w:tblLook w:val="0400" w:firstRow="0" w:lastRow="0" w:firstColumn="0" w:lastColumn="0" w:noHBand="0" w:noVBand="1"/>
          </w:tblPr>
          <w:tblGrid>
            <w:gridCol w:w="2687"/>
            <w:gridCol w:w="4820"/>
          </w:tblGrid>
          <w:tr w:rsidR="006F4C2D" w:rsidTr="00255144">
            <w:trPr>
              <w:trHeight w:val="144"/>
            </w:trPr>
            <w:tc>
              <w:tcPr>
                <w:tcW w:w="2687" w:type="dxa"/>
                <w:shd w:val="clear" w:color="auto" w:fill="auto"/>
              </w:tcPr>
              <w:p w:rsidR="006F4C2D" w:rsidRPr="00CF26E9" w:rsidRDefault="006F4C2D" w:rsidP="00CF26E9">
                <w:pPr>
                  <w:tabs>
                    <w:tab w:val="right" w:pos="8838"/>
                  </w:tabs>
                  <w:ind w:left="-264" w:right="-105" w:firstLine="195"/>
                  <w:rPr>
                    <w:rFonts w:ascii="Palatino Linotype" w:eastAsia="Palatino Linotype" w:hAnsi="Palatino Linotype" w:cs="Palatino Linotype"/>
                    <w:b/>
                  </w:rPr>
                </w:pPr>
                <w:r w:rsidRPr="00CF26E9">
                  <w:rPr>
                    <w:rFonts w:ascii="Palatino Linotype" w:eastAsia="Palatino Linotype" w:hAnsi="Palatino Linotype" w:cs="Palatino Linotype"/>
                    <w:b/>
                  </w:rPr>
                  <w:t>Recurso de Revisión:</w:t>
                </w:r>
              </w:p>
            </w:tc>
            <w:tc>
              <w:tcPr>
                <w:tcW w:w="4820" w:type="dxa"/>
                <w:shd w:val="clear" w:color="auto" w:fill="auto"/>
              </w:tcPr>
              <w:p w:rsidR="006F4C2D" w:rsidRPr="00CF26E9" w:rsidRDefault="006F4C2D" w:rsidP="00CF26E9">
                <w:pPr>
                  <w:tabs>
                    <w:tab w:val="right" w:pos="8838"/>
                  </w:tabs>
                  <w:ind w:left="-74" w:right="884"/>
                  <w:jc w:val="both"/>
                  <w:rPr>
                    <w:rFonts w:ascii="Palatino Linotype" w:eastAsia="Palatino Linotype" w:hAnsi="Palatino Linotype" w:cs="Palatino Linotype"/>
                  </w:rPr>
                </w:pPr>
                <w:r w:rsidRPr="00CF26E9">
                  <w:rPr>
                    <w:rFonts w:ascii="Palatino Linotype" w:eastAsia="Palatino Linotype" w:hAnsi="Palatino Linotype" w:cs="Palatino Linotype"/>
                  </w:rPr>
                  <w:t>03623/INFOEM/IP/RR/2025</w:t>
                </w:r>
              </w:p>
            </w:tc>
          </w:tr>
          <w:tr w:rsidR="006F4C2D" w:rsidTr="00255144">
            <w:trPr>
              <w:trHeight w:val="144"/>
            </w:trPr>
            <w:tc>
              <w:tcPr>
                <w:tcW w:w="2687" w:type="dxa"/>
                <w:shd w:val="clear" w:color="auto" w:fill="auto"/>
              </w:tcPr>
              <w:p w:rsidR="006F4C2D" w:rsidRPr="00CF26E9" w:rsidRDefault="006F4C2D" w:rsidP="00CF26E9">
                <w:pPr>
                  <w:tabs>
                    <w:tab w:val="right" w:pos="8838"/>
                  </w:tabs>
                  <w:ind w:left="-74" w:right="-105"/>
                  <w:rPr>
                    <w:rFonts w:ascii="Palatino Linotype" w:eastAsia="Palatino Linotype" w:hAnsi="Palatino Linotype" w:cs="Palatino Linotype"/>
                    <w:b/>
                  </w:rPr>
                </w:pPr>
                <w:r w:rsidRPr="00CF26E9">
                  <w:rPr>
                    <w:rFonts w:ascii="Palatino Linotype" w:eastAsia="Palatino Linotype" w:hAnsi="Palatino Linotype" w:cs="Palatino Linotype"/>
                    <w:b/>
                  </w:rPr>
                  <w:t>Recurrente:</w:t>
                </w:r>
              </w:p>
            </w:tc>
            <w:tc>
              <w:tcPr>
                <w:tcW w:w="4820" w:type="dxa"/>
                <w:shd w:val="clear" w:color="auto" w:fill="auto"/>
              </w:tcPr>
              <w:p w:rsidR="006F4C2D" w:rsidRPr="00CF26E9" w:rsidRDefault="006F4C2D" w:rsidP="00CF26E9">
                <w:pPr>
                  <w:tabs>
                    <w:tab w:val="left" w:pos="3122"/>
                    <w:tab w:val="right" w:pos="8838"/>
                  </w:tabs>
                  <w:ind w:left="-74" w:right="-105"/>
                  <w:jc w:val="both"/>
                  <w:rPr>
                    <w:rFonts w:ascii="Palatino Linotype" w:eastAsia="Palatino Linotype" w:hAnsi="Palatino Linotype" w:cs="Palatino Linotype"/>
                  </w:rPr>
                </w:pPr>
              </w:p>
            </w:tc>
          </w:tr>
          <w:tr w:rsidR="006F4C2D" w:rsidTr="00255144">
            <w:trPr>
              <w:trHeight w:val="283"/>
            </w:trPr>
            <w:tc>
              <w:tcPr>
                <w:tcW w:w="2687" w:type="dxa"/>
                <w:shd w:val="clear" w:color="auto" w:fill="auto"/>
              </w:tcPr>
              <w:p w:rsidR="006F4C2D" w:rsidRPr="00CF26E9" w:rsidRDefault="006F4C2D" w:rsidP="00CF26E9">
                <w:pPr>
                  <w:tabs>
                    <w:tab w:val="right" w:pos="8838"/>
                  </w:tabs>
                  <w:ind w:left="-74" w:right="-105"/>
                  <w:rPr>
                    <w:rFonts w:ascii="Palatino Linotype" w:eastAsia="Palatino Linotype" w:hAnsi="Palatino Linotype" w:cs="Palatino Linotype"/>
                    <w:b/>
                  </w:rPr>
                </w:pPr>
                <w:r w:rsidRPr="00CF26E9">
                  <w:rPr>
                    <w:rFonts w:ascii="Palatino Linotype" w:eastAsia="Palatino Linotype" w:hAnsi="Palatino Linotype" w:cs="Palatino Linotype"/>
                    <w:b/>
                  </w:rPr>
                  <w:t>Sujeto Obligado:</w:t>
                </w:r>
              </w:p>
            </w:tc>
            <w:tc>
              <w:tcPr>
                <w:tcW w:w="4820" w:type="dxa"/>
                <w:shd w:val="clear" w:color="auto" w:fill="auto"/>
              </w:tcPr>
              <w:p w:rsidR="006F4C2D" w:rsidRPr="00CF26E9" w:rsidRDefault="006F4C2D" w:rsidP="00CF26E9">
                <w:pPr>
                  <w:tabs>
                    <w:tab w:val="right" w:pos="8838"/>
                  </w:tabs>
                  <w:ind w:left="-74" w:right="-105"/>
                  <w:jc w:val="both"/>
                  <w:rPr>
                    <w:rFonts w:ascii="Palatino Linotype" w:eastAsia="Palatino Linotype" w:hAnsi="Palatino Linotype" w:cs="Palatino Linotype"/>
                  </w:rPr>
                </w:pPr>
                <w:r w:rsidRPr="00CF26E9">
                  <w:rPr>
                    <w:rFonts w:ascii="Palatino Linotype" w:eastAsia="Palatino Linotype" w:hAnsi="Palatino Linotype" w:cs="Palatino Linotype"/>
                    <w:bCs/>
                  </w:rPr>
                  <w:t>Sistema Municipal Para el Desarrollo Integral de la Familia de Huehuetoca</w:t>
                </w:r>
              </w:p>
            </w:tc>
          </w:tr>
          <w:tr w:rsidR="006F4C2D" w:rsidTr="00255144">
            <w:trPr>
              <w:trHeight w:val="283"/>
            </w:trPr>
            <w:tc>
              <w:tcPr>
                <w:tcW w:w="2687" w:type="dxa"/>
                <w:shd w:val="clear" w:color="auto" w:fill="auto"/>
              </w:tcPr>
              <w:p w:rsidR="006F4C2D" w:rsidRPr="00CF26E9" w:rsidRDefault="006F4C2D" w:rsidP="00CF26E9">
                <w:pPr>
                  <w:tabs>
                    <w:tab w:val="right" w:pos="8838"/>
                  </w:tabs>
                  <w:ind w:left="-74" w:right="-105"/>
                  <w:rPr>
                    <w:rFonts w:ascii="Palatino Linotype" w:eastAsia="Palatino Linotype" w:hAnsi="Palatino Linotype" w:cs="Palatino Linotype"/>
                    <w:b/>
                  </w:rPr>
                </w:pPr>
                <w:r w:rsidRPr="00CF26E9">
                  <w:rPr>
                    <w:rFonts w:ascii="Palatino Linotype" w:eastAsia="Palatino Linotype" w:hAnsi="Palatino Linotype" w:cs="Palatino Linotype"/>
                    <w:b/>
                  </w:rPr>
                  <w:t>Comisionado ponente:</w:t>
                </w:r>
              </w:p>
            </w:tc>
            <w:tc>
              <w:tcPr>
                <w:tcW w:w="4820" w:type="dxa"/>
                <w:shd w:val="clear" w:color="auto" w:fill="auto"/>
              </w:tcPr>
              <w:p w:rsidR="006F4C2D" w:rsidRPr="00CF26E9" w:rsidRDefault="006F4C2D" w:rsidP="00CF26E9">
                <w:pPr>
                  <w:tabs>
                    <w:tab w:val="right" w:pos="8838"/>
                  </w:tabs>
                  <w:ind w:left="-74" w:right="-105"/>
                  <w:jc w:val="both"/>
                  <w:rPr>
                    <w:rFonts w:ascii="Palatino Linotype" w:eastAsia="Palatino Linotype" w:hAnsi="Palatino Linotype" w:cs="Palatino Linotype"/>
                  </w:rPr>
                </w:pPr>
                <w:r w:rsidRPr="00CF26E9">
                  <w:rPr>
                    <w:rFonts w:ascii="Palatino Linotype" w:eastAsia="Palatino Linotype" w:hAnsi="Palatino Linotype" w:cs="Palatino Linotype"/>
                  </w:rPr>
                  <w:t>María del Rosario Mejía Ayala</w:t>
                </w:r>
              </w:p>
              <w:p w:rsidR="006F4C2D" w:rsidRPr="00CF26E9" w:rsidRDefault="006F4C2D" w:rsidP="00CF26E9">
                <w:pPr>
                  <w:tabs>
                    <w:tab w:val="right" w:pos="8838"/>
                  </w:tabs>
                  <w:ind w:left="-74" w:right="-105"/>
                  <w:jc w:val="both"/>
                  <w:rPr>
                    <w:rFonts w:ascii="Palatino Linotype" w:eastAsia="Palatino Linotype" w:hAnsi="Palatino Linotype" w:cs="Palatino Linotype"/>
                  </w:rPr>
                </w:pPr>
              </w:p>
            </w:tc>
          </w:tr>
        </w:tbl>
        <w:p w:rsidR="006F4C2D" w:rsidRDefault="006F4C2D">
          <w:pPr>
            <w:tabs>
              <w:tab w:val="right" w:pos="8838"/>
            </w:tabs>
            <w:ind w:left="-28"/>
            <w:jc w:val="both"/>
            <w:rPr>
              <w:rFonts w:ascii="Arial" w:eastAsia="Arial" w:hAnsi="Arial" w:cs="Arial"/>
              <w:b/>
              <w:sz w:val="22"/>
              <w:szCs w:val="22"/>
            </w:rPr>
          </w:pPr>
        </w:p>
      </w:tc>
    </w:tr>
  </w:tbl>
  <w:p w:rsidR="006F4C2D" w:rsidRDefault="0031338F">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17.6pt;width:589.8pt;height:768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D106BF"/>
    <w:multiLevelType w:val="hybridMultilevel"/>
    <w:tmpl w:val="6F16F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5"/>
    <w:rsid w:val="000703C5"/>
    <w:rsid w:val="00114339"/>
    <w:rsid w:val="00202C68"/>
    <w:rsid w:val="00255144"/>
    <w:rsid w:val="002B52DA"/>
    <w:rsid w:val="003047BD"/>
    <w:rsid w:val="0031338F"/>
    <w:rsid w:val="00321B56"/>
    <w:rsid w:val="0032368D"/>
    <w:rsid w:val="0036432B"/>
    <w:rsid w:val="0042537B"/>
    <w:rsid w:val="00456550"/>
    <w:rsid w:val="004B6733"/>
    <w:rsid w:val="004C0A94"/>
    <w:rsid w:val="005913B0"/>
    <w:rsid w:val="006F4C2D"/>
    <w:rsid w:val="009964D7"/>
    <w:rsid w:val="009A2508"/>
    <w:rsid w:val="009F5218"/>
    <w:rsid w:val="00AE2B83"/>
    <w:rsid w:val="00BA0B02"/>
    <w:rsid w:val="00C375FC"/>
    <w:rsid w:val="00C60FEB"/>
    <w:rsid w:val="00CF26E9"/>
    <w:rsid w:val="00E0636D"/>
    <w:rsid w:val="00EA3439"/>
    <w:rsid w:val="00F15EA5"/>
    <w:rsid w:val="00F41A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51B1C76-A222-4083-854C-EC4006F1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EA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F15E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5EA5"/>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15EA5"/>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F15EA5"/>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F15EA5"/>
    <w:rPr>
      <w:rFonts w:ascii="Times New Roman" w:eastAsia="Times New Roman" w:hAnsi="Times New Roman" w:cs="Times New Roman"/>
      <w:sz w:val="24"/>
      <w:szCs w:val="24"/>
      <w:lang w:eastAsia="es-MX"/>
    </w:rPr>
  </w:style>
  <w:style w:type="table" w:styleId="Tabladecuadrcula6concolores">
    <w:name w:val="Grid Table 6 Colorful"/>
    <w:basedOn w:val="Tablanormal"/>
    <w:uiPriority w:val="51"/>
    <w:rsid w:val="00F15E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5EA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15EA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F15EA5"/>
    <w:rPr>
      <w:vertAlign w:val="superscript"/>
    </w:rPr>
  </w:style>
  <w:style w:type="paragraph" w:styleId="Piedepgina">
    <w:name w:val="footer"/>
    <w:basedOn w:val="Normal"/>
    <w:link w:val="PiedepginaCar"/>
    <w:uiPriority w:val="99"/>
    <w:unhideWhenUsed/>
    <w:rsid w:val="00F15EA5"/>
    <w:pPr>
      <w:tabs>
        <w:tab w:val="center" w:pos="4419"/>
        <w:tab w:val="right" w:pos="8838"/>
      </w:tabs>
    </w:pPr>
  </w:style>
  <w:style w:type="character" w:customStyle="1" w:styleId="PiedepginaCar">
    <w:name w:val="Pie de página Car"/>
    <w:basedOn w:val="Fuentedeprrafopredeter"/>
    <w:link w:val="Piedepgina"/>
    <w:uiPriority w:val="99"/>
    <w:rsid w:val="00F15EA5"/>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79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93769.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75BD-1224-404B-AFEC-4818156F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21</Pages>
  <Words>4849</Words>
  <Characters>26672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10</cp:revision>
  <cp:lastPrinted>2025-09-11T15:49:00Z</cp:lastPrinted>
  <dcterms:created xsi:type="dcterms:W3CDTF">2025-09-04T16:38:00Z</dcterms:created>
  <dcterms:modified xsi:type="dcterms:W3CDTF">2025-09-23T18:52:00Z</dcterms:modified>
</cp:coreProperties>
</file>