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50931188"/>
        <w:docPartObj>
          <w:docPartGallery w:val="Table of Contents"/>
          <w:docPartUnique/>
        </w:docPartObj>
      </w:sdtPr>
      <w:sdtEndPr>
        <w:rPr>
          <w:b/>
          <w:bCs/>
        </w:rPr>
      </w:sdtEndPr>
      <w:sdtContent>
        <w:p w14:paraId="20B1A93F" w14:textId="3DF552E6" w:rsidR="00D82E69" w:rsidRPr="00FB17B9" w:rsidRDefault="00D82E69" w:rsidP="00FB17B9">
          <w:pPr>
            <w:pStyle w:val="TtulodeTDC"/>
            <w:rPr>
              <w:color w:val="auto"/>
            </w:rPr>
          </w:pPr>
          <w:r w:rsidRPr="00FB17B9">
            <w:rPr>
              <w:color w:val="auto"/>
              <w:lang w:val="es-ES"/>
            </w:rPr>
            <w:t>Contenido</w:t>
          </w:r>
        </w:p>
        <w:p w14:paraId="4DBF48EA" w14:textId="36CD2062" w:rsidR="00FB17B9" w:rsidRPr="00FB17B9" w:rsidRDefault="00D82E69" w:rsidP="00FB17B9">
          <w:pPr>
            <w:pStyle w:val="TDC1"/>
            <w:tabs>
              <w:tab w:val="right" w:leader="dot" w:pos="9034"/>
            </w:tabs>
            <w:rPr>
              <w:rFonts w:asciiTheme="minorHAnsi" w:eastAsiaTheme="minorEastAsia" w:hAnsiTheme="minorHAnsi" w:cstheme="minorBidi"/>
              <w:noProof/>
            </w:rPr>
          </w:pPr>
          <w:r w:rsidRPr="00FB17B9">
            <w:rPr>
              <w:b/>
              <w:bCs/>
              <w:lang w:val="es-ES"/>
            </w:rPr>
            <w:fldChar w:fldCharType="begin"/>
          </w:r>
          <w:r w:rsidRPr="00FB17B9">
            <w:rPr>
              <w:b/>
              <w:bCs/>
              <w:lang w:val="es-ES"/>
            </w:rPr>
            <w:instrText xml:space="preserve"> TOC \o "1-3" \h \z \u </w:instrText>
          </w:r>
          <w:r w:rsidRPr="00FB17B9">
            <w:rPr>
              <w:b/>
              <w:bCs/>
              <w:lang w:val="es-ES"/>
            </w:rPr>
            <w:fldChar w:fldCharType="separate"/>
          </w:r>
          <w:hyperlink w:anchor="_Toc205933136" w:history="1">
            <w:r w:rsidR="00FB17B9" w:rsidRPr="00FB17B9">
              <w:rPr>
                <w:rStyle w:val="Hipervnculo"/>
                <w:noProof/>
                <w:color w:val="auto"/>
              </w:rPr>
              <w:t>ANTECEDENTES</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_Toc205933136 \h </w:instrText>
            </w:r>
            <w:r w:rsidR="00FB17B9" w:rsidRPr="00FB17B9">
              <w:rPr>
                <w:noProof/>
                <w:webHidden/>
              </w:rPr>
            </w:r>
            <w:r w:rsidR="00FB17B9" w:rsidRPr="00FB17B9">
              <w:rPr>
                <w:noProof/>
                <w:webHidden/>
              </w:rPr>
              <w:fldChar w:fldCharType="separate"/>
            </w:r>
            <w:r w:rsidR="00217081">
              <w:rPr>
                <w:noProof/>
                <w:webHidden/>
              </w:rPr>
              <w:t>1</w:t>
            </w:r>
            <w:r w:rsidR="00FB17B9" w:rsidRPr="00FB17B9">
              <w:rPr>
                <w:noProof/>
                <w:webHidden/>
              </w:rPr>
              <w:fldChar w:fldCharType="end"/>
            </w:r>
          </w:hyperlink>
        </w:p>
        <w:p w14:paraId="3E5D128C" w14:textId="7068555D" w:rsidR="00FB17B9" w:rsidRPr="00FB17B9" w:rsidRDefault="00A75D90" w:rsidP="00FB17B9">
          <w:pPr>
            <w:pStyle w:val="TDC2"/>
            <w:rPr>
              <w:rFonts w:asciiTheme="minorHAnsi" w:eastAsiaTheme="minorEastAsia" w:hAnsiTheme="minorHAnsi" w:cstheme="minorBidi"/>
              <w:noProof/>
            </w:rPr>
          </w:pPr>
          <w:hyperlink w:anchor="_Toc205933137" w:history="1">
            <w:r w:rsidR="00FB17B9" w:rsidRPr="00FB17B9">
              <w:rPr>
                <w:rStyle w:val="Hipervnculo"/>
                <w:noProof/>
                <w:color w:val="auto"/>
              </w:rPr>
              <w:t>DE LAS SOLICITUDES DE INFORMACIÓN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_Toc205933137 \h </w:instrText>
            </w:r>
            <w:r w:rsidR="00FB17B9" w:rsidRPr="00FB17B9">
              <w:rPr>
                <w:noProof/>
                <w:webHidden/>
              </w:rPr>
            </w:r>
            <w:r w:rsidR="00FB17B9" w:rsidRPr="00FB17B9">
              <w:rPr>
                <w:noProof/>
                <w:webHidden/>
              </w:rPr>
              <w:fldChar w:fldCharType="separate"/>
            </w:r>
            <w:r w:rsidR="00217081">
              <w:rPr>
                <w:noProof/>
                <w:webHidden/>
              </w:rPr>
              <w:t>1</w:t>
            </w:r>
            <w:r w:rsidR="00FB17B9" w:rsidRPr="00FB17B9">
              <w:rPr>
                <w:noProof/>
                <w:webHidden/>
              </w:rPr>
              <w:fldChar w:fldCharType="end"/>
            </w:r>
          </w:hyperlink>
        </w:p>
        <w:p w14:paraId="139D6106" w14:textId="11A130DD" w:rsidR="00FB17B9" w:rsidRPr="00FB17B9" w:rsidRDefault="00A75D90" w:rsidP="00FB17B9">
          <w:pPr>
            <w:pStyle w:val="TDC3"/>
            <w:rPr>
              <w:rFonts w:asciiTheme="minorHAnsi" w:eastAsiaTheme="minorEastAsia" w:hAnsiTheme="minorHAnsi" w:cstheme="minorBidi"/>
              <w:noProof/>
            </w:rPr>
          </w:pPr>
          <w:hyperlink w:anchor="_Toc205933138" w:history="1">
            <w:r w:rsidR="00FB17B9" w:rsidRPr="00FB17B9">
              <w:rPr>
                <w:rStyle w:val="Hipervnculo"/>
                <w:noProof/>
                <w:color w:val="auto"/>
              </w:rPr>
              <w:t>a) Solicitudes de información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_Toc205933138 \h </w:instrText>
            </w:r>
            <w:r w:rsidR="00FB17B9" w:rsidRPr="00FB17B9">
              <w:rPr>
                <w:noProof/>
                <w:webHidden/>
              </w:rPr>
            </w:r>
            <w:r w:rsidR="00FB17B9" w:rsidRPr="00FB17B9">
              <w:rPr>
                <w:noProof/>
                <w:webHidden/>
              </w:rPr>
              <w:fldChar w:fldCharType="separate"/>
            </w:r>
            <w:r w:rsidR="00217081">
              <w:rPr>
                <w:noProof/>
                <w:webHidden/>
              </w:rPr>
              <w:t>1</w:t>
            </w:r>
            <w:r w:rsidR="00FB17B9" w:rsidRPr="00FB17B9">
              <w:rPr>
                <w:noProof/>
                <w:webHidden/>
              </w:rPr>
              <w:fldChar w:fldCharType="end"/>
            </w:r>
          </w:hyperlink>
        </w:p>
        <w:p w14:paraId="179FE6B1" w14:textId="1B804103" w:rsidR="00FB17B9" w:rsidRPr="00FB17B9" w:rsidRDefault="00A75D90" w:rsidP="00FB17B9">
          <w:pPr>
            <w:pStyle w:val="TDC3"/>
            <w:rPr>
              <w:rFonts w:asciiTheme="minorHAnsi" w:eastAsiaTheme="minorEastAsia" w:hAnsiTheme="minorHAnsi" w:cstheme="minorBidi"/>
              <w:noProof/>
            </w:rPr>
          </w:pPr>
          <w:hyperlink w:anchor="_Toc205933139" w:history="1">
            <w:r w:rsidR="00FB17B9" w:rsidRPr="00FB17B9">
              <w:rPr>
                <w:rStyle w:val="Hipervnculo"/>
                <w:noProof/>
                <w:color w:val="auto"/>
              </w:rPr>
              <w:t>b) Turno de las solicitudes de información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_Toc205933139 \h </w:instrText>
            </w:r>
            <w:r w:rsidR="00FB17B9" w:rsidRPr="00FB17B9">
              <w:rPr>
                <w:noProof/>
                <w:webHidden/>
              </w:rPr>
            </w:r>
            <w:r w:rsidR="00FB17B9" w:rsidRPr="00FB17B9">
              <w:rPr>
                <w:noProof/>
                <w:webHidden/>
              </w:rPr>
              <w:fldChar w:fldCharType="separate"/>
            </w:r>
            <w:r w:rsidR="00217081">
              <w:rPr>
                <w:noProof/>
                <w:webHidden/>
              </w:rPr>
              <w:t>2</w:t>
            </w:r>
            <w:r w:rsidR="00FB17B9" w:rsidRPr="00FB17B9">
              <w:rPr>
                <w:noProof/>
                <w:webHidden/>
              </w:rPr>
              <w:fldChar w:fldCharType="end"/>
            </w:r>
          </w:hyperlink>
        </w:p>
        <w:p w14:paraId="6C61E106" w14:textId="1ED3D22F" w:rsidR="00FB17B9" w:rsidRPr="00FB17B9" w:rsidRDefault="00A75D90" w:rsidP="00FB17B9">
          <w:pPr>
            <w:pStyle w:val="TDC3"/>
            <w:rPr>
              <w:rFonts w:asciiTheme="minorHAnsi" w:eastAsiaTheme="minorEastAsia" w:hAnsiTheme="minorHAnsi" w:cstheme="minorBidi"/>
              <w:noProof/>
            </w:rPr>
          </w:pPr>
          <w:hyperlink w:anchor="_Toc205933140" w:history="1">
            <w:r w:rsidR="00FB17B9" w:rsidRPr="00FB17B9">
              <w:rPr>
                <w:rStyle w:val="Hipervnculo"/>
                <w:noProof/>
                <w:color w:val="auto"/>
              </w:rPr>
              <w:t>c) Respuestas del Sujeto Obligado</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_Toc205933140 \h </w:instrText>
            </w:r>
            <w:r w:rsidR="00FB17B9" w:rsidRPr="00FB17B9">
              <w:rPr>
                <w:noProof/>
                <w:webHidden/>
              </w:rPr>
            </w:r>
            <w:r w:rsidR="00FB17B9" w:rsidRPr="00FB17B9">
              <w:rPr>
                <w:noProof/>
                <w:webHidden/>
              </w:rPr>
              <w:fldChar w:fldCharType="separate"/>
            </w:r>
            <w:r w:rsidR="00217081">
              <w:rPr>
                <w:noProof/>
                <w:webHidden/>
              </w:rPr>
              <w:t>2</w:t>
            </w:r>
            <w:r w:rsidR="00FB17B9" w:rsidRPr="00FB17B9">
              <w:rPr>
                <w:noProof/>
                <w:webHidden/>
              </w:rPr>
              <w:fldChar w:fldCharType="end"/>
            </w:r>
          </w:hyperlink>
        </w:p>
        <w:p w14:paraId="0202A363" w14:textId="159A9C1D" w:rsidR="00FB17B9" w:rsidRPr="00FB17B9" w:rsidRDefault="00A75D90" w:rsidP="00FB17B9">
          <w:pPr>
            <w:pStyle w:val="TDC2"/>
            <w:rPr>
              <w:rFonts w:asciiTheme="minorHAnsi" w:eastAsiaTheme="minorEastAsia" w:hAnsiTheme="minorHAnsi" w:cstheme="minorBidi"/>
              <w:noProof/>
            </w:rPr>
          </w:pPr>
          <w:hyperlink w:anchor="_Toc205933141" w:history="1">
            <w:r w:rsidR="00FB17B9" w:rsidRPr="00FB17B9">
              <w:rPr>
                <w:rStyle w:val="Hipervnculo"/>
                <w:noProof/>
                <w:color w:val="auto"/>
              </w:rPr>
              <w:t>DE LOS RECURSOS DE REVISIÓN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_Toc205933141 \h </w:instrText>
            </w:r>
            <w:r w:rsidR="00FB17B9" w:rsidRPr="00FB17B9">
              <w:rPr>
                <w:noProof/>
                <w:webHidden/>
              </w:rPr>
            </w:r>
            <w:r w:rsidR="00FB17B9" w:rsidRPr="00FB17B9">
              <w:rPr>
                <w:noProof/>
                <w:webHidden/>
              </w:rPr>
              <w:fldChar w:fldCharType="separate"/>
            </w:r>
            <w:r w:rsidR="00217081">
              <w:rPr>
                <w:noProof/>
                <w:webHidden/>
              </w:rPr>
              <w:t>5</w:t>
            </w:r>
            <w:r w:rsidR="00FB17B9" w:rsidRPr="00FB17B9">
              <w:rPr>
                <w:noProof/>
                <w:webHidden/>
              </w:rPr>
              <w:fldChar w:fldCharType="end"/>
            </w:r>
          </w:hyperlink>
        </w:p>
        <w:p w14:paraId="3A42B859" w14:textId="5C98AAB9" w:rsidR="00FB17B9" w:rsidRPr="00FB17B9" w:rsidRDefault="00A75D90" w:rsidP="00FB17B9">
          <w:pPr>
            <w:pStyle w:val="TDC3"/>
            <w:rPr>
              <w:rFonts w:asciiTheme="minorHAnsi" w:eastAsiaTheme="minorEastAsia" w:hAnsiTheme="minorHAnsi" w:cstheme="minorBidi"/>
              <w:noProof/>
            </w:rPr>
          </w:pPr>
          <w:hyperlink w:anchor="_Toc205933142" w:history="1">
            <w:r w:rsidR="00FB17B9" w:rsidRPr="00FB17B9">
              <w:rPr>
                <w:rStyle w:val="Hipervnculo"/>
                <w:noProof/>
                <w:color w:val="auto"/>
              </w:rPr>
              <w:t>a) Interposición de los Recursos de Revisión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_Toc205933142 \h </w:instrText>
            </w:r>
            <w:r w:rsidR="00FB17B9" w:rsidRPr="00FB17B9">
              <w:rPr>
                <w:noProof/>
                <w:webHidden/>
              </w:rPr>
            </w:r>
            <w:r w:rsidR="00FB17B9" w:rsidRPr="00FB17B9">
              <w:rPr>
                <w:noProof/>
                <w:webHidden/>
              </w:rPr>
              <w:fldChar w:fldCharType="separate"/>
            </w:r>
            <w:r w:rsidR="00217081">
              <w:rPr>
                <w:noProof/>
                <w:webHidden/>
              </w:rPr>
              <w:t>5</w:t>
            </w:r>
            <w:r w:rsidR="00FB17B9" w:rsidRPr="00FB17B9">
              <w:rPr>
                <w:noProof/>
                <w:webHidden/>
              </w:rPr>
              <w:fldChar w:fldCharType="end"/>
            </w:r>
          </w:hyperlink>
        </w:p>
        <w:p w14:paraId="2CA70EB2" w14:textId="6CDC250C" w:rsidR="00FB17B9" w:rsidRPr="00FB17B9" w:rsidRDefault="00A75D90" w:rsidP="00FB17B9">
          <w:pPr>
            <w:pStyle w:val="TDC3"/>
            <w:rPr>
              <w:rFonts w:asciiTheme="minorHAnsi" w:eastAsiaTheme="minorEastAsia" w:hAnsiTheme="minorHAnsi" w:cstheme="minorBidi"/>
              <w:noProof/>
            </w:rPr>
          </w:pPr>
          <w:hyperlink w:anchor="_Toc205933143" w:history="1">
            <w:r w:rsidR="00FB17B9" w:rsidRPr="00FB17B9">
              <w:rPr>
                <w:rStyle w:val="Hipervnculo"/>
                <w:noProof/>
                <w:color w:val="auto"/>
              </w:rPr>
              <w:t>b) Turno de los Recursos de Revisión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_Toc205933143 \h </w:instrText>
            </w:r>
            <w:r w:rsidR="00FB17B9" w:rsidRPr="00FB17B9">
              <w:rPr>
                <w:noProof/>
                <w:webHidden/>
              </w:rPr>
            </w:r>
            <w:r w:rsidR="00FB17B9" w:rsidRPr="00FB17B9">
              <w:rPr>
                <w:noProof/>
                <w:webHidden/>
              </w:rPr>
              <w:fldChar w:fldCharType="separate"/>
            </w:r>
            <w:r w:rsidR="00217081">
              <w:rPr>
                <w:noProof/>
                <w:webHidden/>
              </w:rPr>
              <w:t>7</w:t>
            </w:r>
            <w:r w:rsidR="00FB17B9" w:rsidRPr="00FB17B9">
              <w:rPr>
                <w:noProof/>
                <w:webHidden/>
              </w:rPr>
              <w:fldChar w:fldCharType="end"/>
            </w:r>
          </w:hyperlink>
        </w:p>
        <w:p w14:paraId="1FEB7D69" w14:textId="0B8465FA" w:rsidR="00FB17B9" w:rsidRPr="00FB17B9" w:rsidRDefault="00A75D90" w:rsidP="00FB17B9">
          <w:pPr>
            <w:pStyle w:val="TDC3"/>
            <w:rPr>
              <w:rFonts w:asciiTheme="minorHAnsi" w:eastAsiaTheme="minorEastAsia" w:hAnsiTheme="minorHAnsi" w:cstheme="minorBidi"/>
              <w:noProof/>
            </w:rPr>
          </w:pPr>
          <w:hyperlink w:anchor="_Toc205933144" w:history="1">
            <w:r w:rsidR="00FB17B9" w:rsidRPr="00FB17B9">
              <w:rPr>
                <w:rStyle w:val="Hipervnculo"/>
                <w:noProof/>
                <w:color w:val="auto"/>
              </w:rPr>
              <w:t>c) Admisión de los Recursos de Revisión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_Toc205933144 \h </w:instrText>
            </w:r>
            <w:r w:rsidR="00FB17B9" w:rsidRPr="00FB17B9">
              <w:rPr>
                <w:noProof/>
                <w:webHidden/>
              </w:rPr>
            </w:r>
            <w:r w:rsidR="00FB17B9" w:rsidRPr="00FB17B9">
              <w:rPr>
                <w:noProof/>
                <w:webHidden/>
              </w:rPr>
              <w:fldChar w:fldCharType="separate"/>
            </w:r>
            <w:r w:rsidR="00217081">
              <w:rPr>
                <w:noProof/>
                <w:webHidden/>
              </w:rPr>
              <w:t>7</w:t>
            </w:r>
            <w:r w:rsidR="00FB17B9" w:rsidRPr="00FB17B9">
              <w:rPr>
                <w:noProof/>
                <w:webHidden/>
              </w:rPr>
              <w:fldChar w:fldCharType="end"/>
            </w:r>
          </w:hyperlink>
        </w:p>
        <w:p w14:paraId="2836E835" w14:textId="7E8A29B5" w:rsidR="00FB17B9" w:rsidRPr="00FB17B9" w:rsidRDefault="00A75D90" w:rsidP="00FB17B9">
          <w:pPr>
            <w:pStyle w:val="TDC3"/>
            <w:rPr>
              <w:rFonts w:asciiTheme="minorHAnsi" w:eastAsiaTheme="minorEastAsia" w:hAnsiTheme="minorHAnsi" w:cstheme="minorBidi"/>
              <w:noProof/>
            </w:rPr>
          </w:pPr>
          <w:hyperlink w:anchor="_Toc205933145" w:history="1">
            <w:r w:rsidR="00FB17B9" w:rsidRPr="00FB17B9">
              <w:rPr>
                <w:rStyle w:val="Hipervnculo"/>
                <w:noProof/>
                <w:color w:val="auto"/>
              </w:rPr>
              <w:t>d) Informes Justificados del Sujeto Obligado</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_Toc205933145 \h </w:instrText>
            </w:r>
            <w:r w:rsidR="00FB17B9" w:rsidRPr="00FB17B9">
              <w:rPr>
                <w:noProof/>
                <w:webHidden/>
              </w:rPr>
            </w:r>
            <w:r w:rsidR="00FB17B9" w:rsidRPr="00FB17B9">
              <w:rPr>
                <w:noProof/>
                <w:webHidden/>
              </w:rPr>
              <w:fldChar w:fldCharType="separate"/>
            </w:r>
            <w:r w:rsidR="00217081">
              <w:rPr>
                <w:noProof/>
                <w:webHidden/>
              </w:rPr>
              <w:t>7</w:t>
            </w:r>
            <w:r w:rsidR="00FB17B9" w:rsidRPr="00FB17B9">
              <w:rPr>
                <w:noProof/>
                <w:webHidden/>
              </w:rPr>
              <w:fldChar w:fldCharType="end"/>
            </w:r>
          </w:hyperlink>
        </w:p>
        <w:p w14:paraId="5D770288" w14:textId="350E834A" w:rsidR="00FB17B9" w:rsidRPr="00FB17B9" w:rsidRDefault="00A75D90" w:rsidP="00FB17B9">
          <w:pPr>
            <w:pStyle w:val="TDC3"/>
            <w:rPr>
              <w:rFonts w:asciiTheme="minorHAnsi" w:eastAsiaTheme="minorEastAsia" w:hAnsiTheme="minorHAnsi" w:cstheme="minorBidi"/>
              <w:noProof/>
            </w:rPr>
          </w:pPr>
          <w:hyperlink w:anchor="_Toc205933146" w:history="1">
            <w:r w:rsidR="00FB17B9" w:rsidRPr="00FB17B9">
              <w:rPr>
                <w:rStyle w:val="Hipervnculo"/>
                <w:noProof/>
                <w:color w:val="auto"/>
              </w:rPr>
              <w:t>e) Manifestaciones de la Parte Recurrente</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_Toc205933146 \h </w:instrText>
            </w:r>
            <w:r w:rsidR="00FB17B9" w:rsidRPr="00FB17B9">
              <w:rPr>
                <w:noProof/>
                <w:webHidden/>
              </w:rPr>
            </w:r>
            <w:r w:rsidR="00FB17B9" w:rsidRPr="00FB17B9">
              <w:rPr>
                <w:noProof/>
                <w:webHidden/>
              </w:rPr>
              <w:fldChar w:fldCharType="separate"/>
            </w:r>
            <w:r w:rsidR="00217081">
              <w:rPr>
                <w:noProof/>
                <w:webHidden/>
              </w:rPr>
              <w:t>8</w:t>
            </w:r>
            <w:r w:rsidR="00FB17B9" w:rsidRPr="00FB17B9">
              <w:rPr>
                <w:noProof/>
                <w:webHidden/>
              </w:rPr>
              <w:fldChar w:fldCharType="end"/>
            </w:r>
          </w:hyperlink>
        </w:p>
        <w:p w14:paraId="39A90DF9" w14:textId="2BB045B3" w:rsidR="00FB17B9" w:rsidRPr="00FB17B9" w:rsidRDefault="00A75D90" w:rsidP="00FB17B9">
          <w:pPr>
            <w:pStyle w:val="TDC3"/>
            <w:rPr>
              <w:rFonts w:asciiTheme="minorHAnsi" w:eastAsiaTheme="minorEastAsia" w:hAnsiTheme="minorHAnsi" w:cstheme="minorBidi"/>
              <w:noProof/>
            </w:rPr>
          </w:pPr>
          <w:hyperlink w:anchor="_Toc205933147" w:history="1">
            <w:r w:rsidR="00FB17B9" w:rsidRPr="00FB17B9">
              <w:rPr>
                <w:rStyle w:val="Hipervnculo"/>
                <w:noProof/>
                <w:color w:val="auto"/>
              </w:rPr>
              <w:t>f) Acumulación de los Recursos de Revisión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_Toc205933147 \h </w:instrText>
            </w:r>
            <w:r w:rsidR="00FB17B9" w:rsidRPr="00FB17B9">
              <w:rPr>
                <w:noProof/>
                <w:webHidden/>
              </w:rPr>
            </w:r>
            <w:r w:rsidR="00FB17B9" w:rsidRPr="00FB17B9">
              <w:rPr>
                <w:noProof/>
                <w:webHidden/>
              </w:rPr>
              <w:fldChar w:fldCharType="separate"/>
            </w:r>
            <w:r w:rsidR="00217081">
              <w:rPr>
                <w:noProof/>
                <w:webHidden/>
              </w:rPr>
              <w:t>8</w:t>
            </w:r>
            <w:r w:rsidR="00FB17B9" w:rsidRPr="00FB17B9">
              <w:rPr>
                <w:noProof/>
                <w:webHidden/>
              </w:rPr>
              <w:fldChar w:fldCharType="end"/>
            </w:r>
          </w:hyperlink>
        </w:p>
        <w:p w14:paraId="2589D8E2" w14:textId="573D8E02" w:rsidR="00FB17B9" w:rsidRPr="00FB17B9" w:rsidRDefault="00A75D90" w:rsidP="00FB17B9">
          <w:pPr>
            <w:pStyle w:val="TDC3"/>
            <w:rPr>
              <w:rFonts w:asciiTheme="minorHAnsi" w:eastAsiaTheme="minorEastAsia" w:hAnsiTheme="minorHAnsi" w:cstheme="minorBidi"/>
              <w:noProof/>
            </w:rPr>
          </w:pPr>
          <w:hyperlink w:anchor="_Toc205933148" w:history="1">
            <w:r w:rsidR="00FB17B9" w:rsidRPr="00FB17B9">
              <w:rPr>
                <w:rStyle w:val="Hipervnculo"/>
                <w:noProof/>
                <w:color w:val="auto"/>
              </w:rPr>
              <w:t>g) Ampliación de Plazo para Resolver</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_Toc205933148 \h </w:instrText>
            </w:r>
            <w:r w:rsidR="00FB17B9" w:rsidRPr="00FB17B9">
              <w:rPr>
                <w:noProof/>
                <w:webHidden/>
              </w:rPr>
            </w:r>
            <w:r w:rsidR="00FB17B9" w:rsidRPr="00FB17B9">
              <w:rPr>
                <w:noProof/>
                <w:webHidden/>
              </w:rPr>
              <w:fldChar w:fldCharType="separate"/>
            </w:r>
            <w:r w:rsidR="00217081">
              <w:rPr>
                <w:noProof/>
                <w:webHidden/>
              </w:rPr>
              <w:t>9</w:t>
            </w:r>
            <w:r w:rsidR="00FB17B9" w:rsidRPr="00FB17B9">
              <w:rPr>
                <w:noProof/>
                <w:webHidden/>
              </w:rPr>
              <w:fldChar w:fldCharType="end"/>
            </w:r>
          </w:hyperlink>
        </w:p>
        <w:p w14:paraId="34521E42" w14:textId="21F8F5F5" w:rsidR="00FB17B9" w:rsidRPr="00FB17B9" w:rsidRDefault="00A75D90" w:rsidP="00FB17B9">
          <w:pPr>
            <w:pStyle w:val="TDC3"/>
            <w:rPr>
              <w:rFonts w:asciiTheme="minorHAnsi" w:eastAsiaTheme="minorEastAsia" w:hAnsiTheme="minorHAnsi" w:cstheme="minorBidi"/>
              <w:noProof/>
            </w:rPr>
          </w:pPr>
          <w:hyperlink w:anchor="_Toc205933149" w:history="1">
            <w:r w:rsidR="00FB17B9" w:rsidRPr="00FB17B9">
              <w:rPr>
                <w:rStyle w:val="Hipervnculo"/>
                <w:noProof/>
                <w:color w:val="auto"/>
              </w:rPr>
              <w:t>h) Cierre de instrucción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_Toc205933149 \h </w:instrText>
            </w:r>
            <w:r w:rsidR="00FB17B9" w:rsidRPr="00FB17B9">
              <w:rPr>
                <w:noProof/>
                <w:webHidden/>
              </w:rPr>
            </w:r>
            <w:r w:rsidR="00FB17B9" w:rsidRPr="00FB17B9">
              <w:rPr>
                <w:noProof/>
                <w:webHidden/>
              </w:rPr>
              <w:fldChar w:fldCharType="separate"/>
            </w:r>
            <w:r w:rsidR="00217081">
              <w:rPr>
                <w:noProof/>
                <w:webHidden/>
              </w:rPr>
              <w:t>12</w:t>
            </w:r>
            <w:r w:rsidR="00FB17B9" w:rsidRPr="00FB17B9">
              <w:rPr>
                <w:noProof/>
                <w:webHidden/>
              </w:rPr>
              <w:fldChar w:fldCharType="end"/>
            </w:r>
          </w:hyperlink>
        </w:p>
        <w:p w14:paraId="4D5FA0BE" w14:textId="6ED711B7" w:rsidR="00FB17B9" w:rsidRPr="00FB17B9" w:rsidRDefault="00A75D90" w:rsidP="00FB17B9">
          <w:pPr>
            <w:pStyle w:val="TDC1"/>
            <w:tabs>
              <w:tab w:val="right" w:leader="dot" w:pos="9034"/>
            </w:tabs>
            <w:rPr>
              <w:rFonts w:asciiTheme="minorHAnsi" w:eastAsiaTheme="minorEastAsia" w:hAnsiTheme="minorHAnsi" w:cstheme="minorBidi"/>
              <w:noProof/>
            </w:rPr>
          </w:pPr>
          <w:hyperlink w:anchor="_Toc205933150" w:history="1">
            <w:r w:rsidR="00FB17B9" w:rsidRPr="00FB17B9">
              <w:rPr>
                <w:rStyle w:val="Hipervnculo"/>
                <w:noProof/>
                <w:color w:val="auto"/>
              </w:rPr>
              <w:t>CONSIDERANDOS</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_Toc205933150 \h </w:instrText>
            </w:r>
            <w:r w:rsidR="00FB17B9" w:rsidRPr="00FB17B9">
              <w:rPr>
                <w:noProof/>
                <w:webHidden/>
              </w:rPr>
            </w:r>
            <w:r w:rsidR="00FB17B9" w:rsidRPr="00FB17B9">
              <w:rPr>
                <w:noProof/>
                <w:webHidden/>
              </w:rPr>
              <w:fldChar w:fldCharType="separate"/>
            </w:r>
            <w:r w:rsidR="00217081">
              <w:rPr>
                <w:noProof/>
                <w:webHidden/>
              </w:rPr>
              <w:t>12</w:t>
            </w:r>
            <w:r w:rsidR="00FB17B9" w:rsidRPr="00FB17B9">
              <w:rPr>
                <w:noProof/>
                <w:webHidden/>
              </w:rPr>
              <w:fldChar w:fldCharType="end"/>
            </w:r>
          </w:hyperlink>
        </w:p>
        <w:p w14:paraId="68A67FE6" w14:textId="6BC0F101" w:rsidR="00FB17B9" w:rsidRPr="00FB17B9" w:rsidRDefault="00A75D90" w:rsidP="00FB17B9">
          <w:pPr>
            <w:pStyle w:val="TDC2"/>
            <w:rPr>
              <w:rFonts w:asciiTheme="minorHAnsi" w:eastAsiaTheme="minorEastAsia" w:hAnsiTheme="minorHAnsi" w:cstheme="minorBidi"/>
              <w:noProof/>
            </w:rPr>
          </w:pPr>
          <w:hyperlink w:anchor="_Toc205933151" w:history="1">
            <w:r w:rsidR="00FB17B9" w:rsidRPr="00FB17B9">
              <w:rPr>
                <w:rStyle w:val="Hipervnculo"/>
                <w:noProof/>
                <w:color w:val="auto"/>
              </w:rPr>
              <w:t>PRIMERO. Procedibilidad</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_Toc205933151 \h </w:instrText>
            </w:r>
            <w:r w:rsidR="00FB17B9" w:rsidRPr="00FB17B9">
              <w:rPr>
                <w:noProof/>
                <w:webHidden/>
              </w:rPr>
            </w:r>
            <w:r w:rsidR="00FB17B9" w:rsidRPr="00FB17B9">
              <w:rPr>
                <w:noProof/>
                <w:webHidden/>
              </w:rPr>
              <w:fldChar w:fldCharType="separate"/>
            </w:r>
            <w:r w:rsidR="00217081">
              <w:rPr>
                <w:noProof/>
                <w:webHidden/>
              </w:rPr>
              <w:t>12</w:t>
            </w:r>
            <w:r w:rsidR="00FB17B9" w:rsidRPr="00FB17B9">
              <w:rPr>
                <w:noProof/>
                <w:webHidden/>
              </w:rPr>
              <w:fldChar w:fldCharType="end"/>
            </w:r>
          </w:hyperlink>
        </w:p>
        <w:p w14:paraId="56858374" w14:textId="5B46CF99" w:rsidR="00FB17B9" w:rsidRPr="00FB17B9" w:rsidRDefault="00A75D90" w:rsidP="00FB17B9">
          <w:pPr>
            <w:pStyle w:val="TDC3"/>
            <w:rPr>
              <w:rFonts w:asciiTheme="minorHAnsi" w:eastAsiaTheme="minorEastAsia" w:hAnsiTheme="minorHAnsi" w:cstheme="minorBidi"/>
              <w:noProof/>
            </w:rPr>
          </w:pPr>
          <w:hyperlink w:anchor="_Toc205933152" w:history="1">
            <w:r w:rsidR="00FB17B9" w:rsidRPr="00FB17B9">
              <w:rPr>
                <w:rStyle w:val="Hipervnculo"/>
                <w:noProof/>
                <w:color w:val="auto"/>
              </w:rPr>
              <w:t>a) Competencia del Instituto</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_Toc205933152 \h </w:instrText>
            </w:r>
            <w:r w:rsidR="00FB17B9" w:rsidRPr="00FB17B9">
              <w:rPr>
                <w:noProof/>
                <w:webHidden/>
              </w:rPr>
            </w:r>
            <w:r w:rsidR="00FB17B9" w:rsidRPr="00FB17B9">
              <w:rPr>
                <w:noProof/>
                <w:webHidden/>
              </w:rPr>
              <w:fldChar w:fldCharType="separate"/>
            </w:r>
            <w:r w:rsidR="00217081">
              <w:rPr>
                <w:noProof/>
                <w:webHidden/>
              </w:rPr>
              <w:t>12</w:t>
            </w:r>
            <w:r w:rsidR="00FB17B9" w:rsidRPr="00FB17B9">
              <w:rPr>
                <w:noProof/>
                <w:webHidden/>
              </w:rPr>
              <w:fldChar w:fldCharType="end"/>
            </w:r>
          </w:hyperlink>
        </w:p>
        <w:p w14:paraId="5B10DE5E" w14:textId="28D9D3A7" w:rsidR="00FB17B9" w:rsidRPr="00FB17B9" w:rsidRDefault="00A75D90" w:rsidP="00FB17B9">
          <w:pPr>
            <w:pStyle w:val="TDC3"/>
            <w:rPr>
              <w:rFonts w:asciiTheme="minorHAnsi" w:eastAsiaTheme="minorEastAsia" w:hAnsiTheme="minorHAnsi" w:cstheme="minorBidi"/>
              <w:noProof/>
            </w:rPr>
          </w:pPr>
          <w:hyperlink w:anchor="_Toc205933153" w:history="1">
            <w:r w:rsidR="00FB17B9" w:rsidRPr="00FB17B9">
              <w:rPr>
                <w:rStyle w:val="Hipervnculo"/>
                <w:noProof/>
                <w:color w:val="auto"/>
              </w:rPr>
              <w:t>b) Legitimidad de la parte recurrente</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_Toc205933153 \h </w:instrText>
            </w:r>
            <w:r w:rsidR="00FB17B9" w:rsidRPr="00FB17B9">
              <w:rPr>
                <w:noProof/>
                <w:webHidden/>
              </w:rPr>
            </w:r>
            <w:r w:rsidR="00FB17B9" w:rsidRPr="00FB17B9">
              <w:rPr>
                <w:noProof/>
                <w:webHidden/>
              </w:rPr>
              <w:fldChar w:fldCharType="separate"/>
            </w:r>
            <w:r w:rsidR="00217081">
              <w:rPr>
                <w:noProof/>
                <w:webHidden/>
              </w:rPr>
              <w:t>13</w:t>
            </w:r>
            <w:r w:rsidR="00FB17B9" w:rsidRPr="00FB17B9">
              <w:rPr>
                <w:noProof/>
                <w:webHidden/>
              </w:rPr>
              <w:fldChar w:fldCharType="end"/>
            </w:r>
          </w:hyperlink>
        </w:p>
        <w:p w14:paraId="312FA533" w14:textId="5723087E" w:rsidR="00FB17B9" w:rsidRPr="00FB17B9" w:rsidRDefault="00A75D90" w:rsidP="00FB17B9">
          <w:pPr>
            <w:pStyle w:val="TDC3"/>
            <w:rPr>
              <w:rFonts w:asciiTheme="minorHAnsi" w:eastAsiaTheme="minorEastAsia" w:hAnsiTheme="minorHAnsi" w:cstheme="minorBidi"/>
              <w:noProof/>
            </w:rPr>
          </w:pPr>
          <w:hyperlink w:anchor="_Toc205933154" w:history="1">
            <w:r w:rsidR="00FB17B9" w:rsidRPr="00FB17B9">
              <w:rPr>
                <w:rStyle w:val="Hipervnculo"/>
                <w:noProof/>
                <w:color w:val="auto"/>
              </w:rPr>
              <w:t>c) Plazo para interponer los recursos</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_Toc205933154 \h </w:instrText>
            </w:r>
            <w:r w:rsidR="00FB17B9" w:rsidRPr="00FB17B9">
              <w:rPr>
                <w:noProof/>
                <w:webHidden/>
              </w:rPr>
            </w:r>
            <w:r w:rsidR="00FB17B9" w:rsidRPr="00FB17B9">
              <w:rPr>
                <w:noProof/>
                <w:webHidden/>
              </w:rPr>
              <w:fldChar w:fldCharType="separate"/>
            </w:r>
            <w:r w:rsidR="00217081">
              <w:rPr>
                <w:noProof/>
                <w:webHidden/>
              </w:rPr>
              <w:t>13</w:t>
            </w:r>
            <w:r w:rsidR="00FB17B9" w:rsidRPr="00FB17B9">
              <w:rPr>
                <w:noProof/>
                <w:webHidden/>
              </w:rPr>
              <w:fldChar w:fldCharType="end"/>
            </w:r>
          </w:hyperlink>
        </w:p>
        <w:p w14:paraId="0BE16255" w14:textId="35B6C087" w:rsidR="00FB17B9" w:rsidRPr="00FB17B9" w:rsidRDefault="00A75D90" w:rsidP="00FB17B9">
          <w:pPr>
            <w:pStyle w:val="TDC3"/>
            <w:rPr>
              <w:rFonts w:asciiTheme="minorHAnsi" w:eastAsiaTheme="minorEastAsia" w:hAnsiTheme="minorHAnsi" w:cstheme="minorBidi"/>
              <w:noProof/>
            </w:rPr>
          </w:pPr>
          <w:hyperlink w:anchor="_Toc205933155" w:history="1">
            <w:r w:rsidR="00FB17B9" w:rsidRPr="00FB17B9">
              <w:rPr>
                <w:rStyle w:val="Hipervnculo"/>
                <w:noProof/>
                <w:color w:val="auto"/>
              </w:rPr>
              <w:t>d) Causal de Procedencia</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_Toc205933155 \h </w:instrText>
            </w:r>
            <w:r w:rsidR="00FB17B9" w:rsidRPr="00FB17B9">
              <w:rPr>
                <w:noProof/>
                <w:webHidden/>
              </w:rPr>
            </w:r>
            <w:r w:rsidR="00FB17B9" w:rsidRPr="00FB17B9">
              <w:rPr>
                <w:noProof/>
                <w:webHidden/>
              </w:rPr>
              <w:fldChar w:fldCharType="separate"/>
            </w:r>
            <w:r w:rsidR="00217081">
              <w:rPr>
                <w:noProof/>
                <w:webHidden/>
              </w:rPr>
              <w:t>14</w:t>
            </w:r>
            <w:r w:rsidR="00FB17B9" w:rsidRPr="00FB17B9">
              <w:rPr>
                <w:noProof/>
                <w:webHidden/>
              </w:rPr>
              <w:fldChar w:fldCharType="end"/>
            </w:r>
          </w:hyperlink>
        </w:p>
        <w:p w14:paraId="60861152" w14:textId="4DAB8A56" w:rsidR="00FB17B9" w:rsidRPr="00FB17B9" w:rsidRDefault="00A75D90" w:rsidP="00FB17B9">
          <w:pPr>
            <w:pStyle w:val="TDC3"/>
            <w:rPr>
              <w:rFonts w:asciiTheme="minorHAnsi" w:eastAsiaTheme="minorEastAsia" w:hAnsiTheme="minorHAnsi" w:cstheme="minorBidi"/>
              <w:noProof/>
            </w:rPr>
          </w:pPr>
          <w:hyperlink w:anchor="_Toc205933156" w:history="1">
            <w:r w:rsidR="00FB17B9" w:rsidRPr="00FB17B9">
              <w:rPr>
                <w:rStyle w:val="Hipervnculo"/>
                <w:noProof/>
                <w:color w:val="auto"/>
              </w:rPr>
              <w:t>e) Requisitos formales para la interposición del recurso</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_Toc205933156 \h </w:instrText>
            </w:r>
            <w:r w:rsidR="00FB17B9" w:rsidRPr="00FB17B9">
              <w:rPr>
                <w:noProof/>
                <w:webHidden/>
              </w:rPr>
            </w:r>
            <w:r w:rsidR="00FB17B9" w:rsidRPr="00FB17B9">
              <w:rPr>
                <w:noProof/>
                <w:webHidden/>
              </w:rPr>
              <w:fldChar w:fldCharType="separate"/>
            </w:r>
            <w:r w:rsidR="00217081">
              <w:rPr>
                <w:noProof/>
                <w:webHidden/>
              </w:rPr>
              <w:t>14</w:t>
            </w:r>
            <w:r w:rsidR="00FB17B9" w:rsidRPr="00FB17B9">
              <w:rPr>
                <w:noProof/>
                <w:webHidden/>
              </w:rPr>
              <w:fldChar w:fldCharType="end"/>
            </w:r>
          </w:hyperlink>
        </w:p>
        <w:p w14:paraId="12536AB5" w14:textId="423D990D" w:rsidR="00FB17B9" w:rsidRPr="00FB17B9" w:rsidRDefault="00A75D90" w:rsidP="00FB17B9">
          <w:pPr>
            <w:pStyle w:val="TDC3"/>
            <w:rPr>
              <w:rFonts w:asciiTheme="minorHAnsi" w:eastAsiaTheme="minorEastAsia" w:hAnsiTheme="minorHAnsi" w:cstheme="minorBidi"/>
              <w:noProof/>
            </w:rPr>
          </w:pPr>
          <w:hyperlink w:anchor="_Toc205933157" w:history="1">
            <w:r w:rsidR="00FB17B9" w:rsidRPr="00FB17B9">
              <w:rPr>
                <w:rStyle w:val="Hipervnculo"/>
                <w:noProof/>
                <w:color w:val="auto"/>
              </w:rPr>
              <w:t>f) Acumulación de los Recursos de Revisión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_Toc205933157 \h </w:instrText>
            </w:r>
            <w:r w:rsidR="00FB17B9" w:rsidRPr="00FB17B9">
              <w:rPr>
                <w:noProof/>
                <w:webHidden/>
              </w:rPr>
            </w:r>
            <w:r w:rsidR="00FB17B9" w:rsidRPr="00FB17B9">
              <w:rPr>
                <w:noProof/>
                <w:webHidden/>
              </w:rPr>
              <w:fldChar w:fldCharType="separate"/>
            </w:r>
            <w:r w:rsidR="00217081">
              <w:rPr>
                <w:noProof/>
                <w:webHidden/>
              </w:rPr>
              <w:t>14</w:t>
            </w:r>
            <w:r w:rsidR="00FB17B9" w:rsidRPr="00FB17B9">
              <w:rPr>
                <w:noProof/>
                <w:webHidden/>
              </w:rPr>
              <w:fldChar w:fldCharType="end"/>
            </w:r>
          </w:hyperlink>
        </w:p>
        <w:p w14:paraId="25315528" w14:textId="093A9CB8" w:rsidR="00FB17B9" w:rsidRPr="00FB17B9" w:rsidRDefault="00A75D90" w:rsidP="00FB17B9">
          <w:pPr>
            <w:pStyle w:val="TDC2"/>
            <w:rPr>
              <w:rFonts w:asciiTheme="minorHAnsi" w:eastAsiaTheme="minorEastAsia" w:hAnsiTheme="minorHAnsi" w:cstheme="minorBidi"/>
              <w:noProof/>
            </w:rPr>
          </w:pPr>
          <w:hyperlink w:anchor="_Toc205933158" w:history="1">
            <w:r w:rsidR="00FB17B9" w:rsidRPr="00FB17B9">
              <w:rPr>
                <w:rStyle w:val="Hipervnculo"/>
                <w:noProof/>
                <w:color w:val="auto"/>
              </w:rPr>
              <w:t>SEGUNDO. Estudio de Fondo</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_Toc205933158 \h </w:instrText>
            </w:r>
            <w:r w:rsidR="00FB17B9" w:rsidRPr="00FB17B9">
              <w:rPr>
                <w:noProof/>
                <w:webHidden/>
              </w:rPr>
            </w:r>
            <w:r w:rsidR="00FB17B9" w:rsidRPr="00FB17B9">
              <w:rPr>
                <w:noProof/>
                <w:webHidden/>
              </w:rPr>
              <w:fldChar w:fldCharType="separate"/>
            </w:r>
            <w:r w:rsidR="00217081">
              <w:rPr>
                <w:noProof/>
                <w:webHidden/>
              </w:rPr>
              <w:t>15</w:t>
            </w:r>
            <w:r w:rsidR="00FB17B9" w:rsidRPr="00FB17B9">
              <w:rPr>
                <w:noProof/>
                <w:webHidden/>
              </w:rPr>
              <w:fldChar w:fldCharType="end"/>
            </w:r>
          </w:hyperlink>
        </w:p>
        <w:p w14:paraId="709CAA3B" w14:textId="5DD9ACBA" w:rsidR="00FB17B9" w:rsidRPr="00FB17B9" w:rsidRDefault="00A75D90" w:rsidP="00FB17B9">
          <w:pPr>
            <w:pStyle w:val="TDC3"/>
            <w:rPr>
              <w:rFonts w:asciiTheme="minorHAnsi" w:eastAsiaTheme="minorEastAsia" w:hAnsiTheme="minorHAnsi" w:cstheme="minorBidi"/>
              <w:noProof/>
            </w:rPr>
          </w:pPr>
          <w:hyperlink w:anchor="_Toc205933159" w:history="1">
            <w:r w:rsidR="00FB17B9" w:rsidRPr="00FB17B9">
              <w:rPr>
                <w:rStyle w:val="Hipervnculo"/>
                <w:noProof/>
                <w:color w:val="auto"/>
              </w:rPr>
              <w:t>a) Mandato de transparencia y responsabilidad del Sujeto Obligado</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_Toc205933159 \h </w:instrText>
            </w:r>
            <w:r w:rsidR="00FB17B9" w:rsidRPr="00FB17B9">
              <w:rPr>
                <w:noProof/>
                <w:webHidden/>
              </w:rPr>
            </w:r>
            <w:r w:rsidR="00FB17B9" w:rsidRPr="00FB17B9">
              <w:rPr>
                <w:noProof/>
                <w:webHidden/>
              </w:rPr>
              <w:fldChar w:fldCharType="separate"/>
            </w:r>
            <w:r w:rsidR="00217081">
              <w:rPr>
                <w:noProof/>
                <w:webHidden/>
              </w:rPr>
              <w:t>15</w:t>
            </w:r>
            <w:r w:rsidR="00FB17B9" w:rsidRPr="00FB17B9">
              <w:rPr>
                <w:noProof/>
                <w:webHidden/>
              </w:rPr>
              <w:fldChar w:fldCharType="end"/>
            </w:r>
          </w:hyperlink>
        </w:p>
        <w:p w14:paraId="453B9D4F" w14:textId="7CC04F5B" w:rsidR="00FB17B9" w:rsidRPr="00FB17B9" w:rsidRDefault="00A75D90" w:rsidP="00FB17B9">
          <w:pPr>
            <w:pStyle w:val="TDC3"/>
            <w:rPr>
              <w:rFonts w:asciiTheme="minorHAnsi" w:eastAsiaTheme="minorEastAsia" w:hAnsiTheme="minorHAnsi" w:cstheme="minorBidi"/>
              <w:noProof/>
            </w:rPr>
          </w:pPr>
          <w:hyperlink w:anchor="_Toc205933160" w:history="1">
            <w:r w:rsidR="00FB17B9" w:rsidRPr="00FB17B9">
              <w:rPr>
                <w:rStyle w:val="Hipervnculo"/>
                <w:noProof/>
                <w:color w:val="auto"/>
              </w:rPr>
              <w:t>b) Controversia a resolver</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_Toc205933160 \h </w:instrText>
            </w:r>
            <w:r w:rsidR="00FB17B9" w:rsidRPr="00FB17B9">
              <w:rPr>
                <w:noProof/>
                <w:webHidden/>
              </w:rPr>
            </w:r>
            <w:r w:rsidR="00FB17B9" w:rsidRPr="00FB17B9">
              <w:rPr>
                <w:noProof/>
                <w:webHidden/>
              </w:rPr>
              <w:fldChar w:fldCharType="separate"/>
            </w:r>
            <w:r w:rsidR="00217081">
              <w:rPr>
                <w:noProof/>
                <w:webHidden/>
              </w:rPr>
              <w:t>17</w:t>
            </w:r>
            <w:r w:rsidR="00FB17B9" w:rsidRPr="00FB17B9">
              <w:rPr>
                <w:noProof/>
                <w:webHidden/>
              </w:rPr>
              <w:fldChar w:fldCharType="end"/>
            </w:r>
          </w:hyperlink>
        </w:p>
        <w:p w14:paraId="1B0EAD8D" w14:textId="57140779" w:rsidR="00FB17B9" w:rsidRPr="00FB17B9" w:rsidRDefault="00A75D90" w:rsidP="00FB17B9">
          <w:pPr>
            <w:pStyle w:val="TDC3"/>
            <w:rPr>
              <w:rFonts w:asciiTheme="minorHAnsi" w:eastAsiaTheme="minorEastAsia" w:hAnsiTheme="minorHAnsi" w:cstheme="minorBidi"/>
              <w:noProof/>
            </w:rPr>
          </w:pPr>
          <w:hyperlink w:anchor="_Toc205933161" w:history="1">
            <w:r w:rsidR="00FB17B9" w:rsidRPr="00FB17B9">
              <w:rPr>
                <w:rStyle w:val="Hipervnculo"/>
                <w:noProof/>
                <w:color w:val="auto"/>
              </w:rPr>
              <w:t>c) Estudio de la controversia</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_Toc205933161 \h </w:instrText>
            </w:r>
            <w:r w:rsidR="00FB17B9" w:rsidRPr="00FB17B9">
              <w:rPr>
                <w:noProof/>
                <w:webHidden/>
              </w:rPr>
            </w:r>
            <w:r w:rsidR="00FB17B9" w:rsidRPr="00FB17B9">
              <w:rPr>
                <w:noProof/>
                <w:webHidden/>
              </w:rPr>
              <w:fldChar w:fldCharType="separate"/>
            </w:r>
            <w:r w:rsidR="00217081">
              <w:rPr>
                <w:noProof/>
                <w:webHidden/>
              </w:rPr>
              <w:t>19</w:t>
            </w:r>
            <w:r w:rsidR="00FB17B9" w:rsidRPr="00FB17B9">
              <w:rPr>
                <w:noProof/>
                <w:webHidden/>
              </w:rPr>
              <w:fldChar w:fldCharType="end"/>
            </w:r>
          </w:hyperlink>
        </w:p>
        <w:p w14:paraId="1D24C980" w14:textId="77E55B54" w:rsidR="00FB17B9" w:rsidRPr="00FB17B9" w:rsidRDefault="00A75D90" w:rsidP="00FB17B9">
          <w:pPr>
            <w:pStyle w:val="TDC3"/>
            <w:rPr>
              <w:rFonts w:asciiTheme="minorHAnsi" w:eastAsiaTheme="minorEastAsia" w:hAnsiTheme="minorHAnsi" w:cstheme="minorBidi"/>
              <w:noProof/>
            </w:rPr>
          </w:pPr>
          <w:hyperlink w:anchor="_Toc205933162" w:history="1">
            <w:r w:rsidR="00FB17B9" w:rsidRPr="00FB17B9">
              <w:rPr>
                <w:rStyle w:val="Hipervnculo"/>
                <w:noProof/>
                <w:color w:val="auto"/>
              </w:rPr>
              <w:t>d) Versión pública</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_Toc205933162 \h </w:instrText>
            </w:r>
            <w:r w:rsidR="00FB17B9" w:rsidRPr="00FB17B9">
              <w:rPr>
                <w:noProof/>
                <w:webHidden/>
              </w:rPr>
            </w:r>
            <w:r w:rsidR="00FB17B9" w:rsidRPr="00FB17B9">
              <w:rPr>
                <w:noProof/>
                <w:webHidden/>
              </w:rPr>
              <w:fldChar w:fldCharType="separate"/>
            </w:r>
            <w:r w:rsidR="00217081">
              <w:rPr>
                <w:noProof/>
                <w:webHidden/>
              </w:rPr>
              <w:t>28</w:t>
            </w:r>
            <w:r w:rsidR="00FB17B9" w:rsidRPr="00FB17B9">
              <w:rPr>
                <w:noProof/>
                <w:webHidden/>
              </w:rPr>
              <w:fldChar w:fldCharType="end"/>
            </w:r>
          </w:hyperlink>
        </w:p>
        <w:p w14:paraId="2752EDB9" w14:textId="1FE8217F" w:rsidR="00FB17B9" w:rsidRPr="00FB17B9" w:rsidRDefault="00A75D90" w:rsidP="00FB17B9">
          <w:pPr>
            <w:pStyle w:val="TDC3"/>
            <w:rPr>
              <w:rFonts w:asciiTheme="minorHAnsi" w:eastAsiaTheme="minorEastAsia" w:hAnsiTheme="minorHAnsi" w:cstheme="minorBidi"/>
              <w:noProof/>
            </w:rPr>
          </w:pPr>
          <w:hyperlink w:anchor="_Toc205933163" w:history="1">
            <w:r w:rsidR="00FB17B9" w:rsidRPr="00FB17B9">
              <w:rPr>
                <w:rStyle w:val="Hipervnculo"/>
                <w:noProof/>
                <w:color w:val="auto"/>
              </w:rPr>
              <w:t>e) Conclusión</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_Toc205933163 \h </w:instrText>
            </w:r>
            <w:r w:rsidR="00FB17B9" w:rsidRPr="00FB17B9">
              <w:rPr>
                <w:noProof/>
                <w:webHidden/>
              </w:rPr>
            </w:r>
            <w:r w:rsidR="00FB17B9" w:rsidRPr="00FB17B9">
              <w:rPr>
                <w:noProof/>
                <w:webHidden/>
              </w:rPr>
              <w:fldChar w:fldCharType="separate"/>
            </w:r>
            <w:r w:rsidR="00217081">
              <w:rPr>
                <w:noProof/>
                <w:webHidden/>
              </w:rPr>
              <w:t>44</w:t>
            </w:r>
            <w:r w:rsidR="00FB17B9" w:rsidRPr="00FB17B9">
              <w:rPr>
                <w:noProof/>
                <w:webHidden/>
              </w:rPr>
              <w:fldChar w:fldCharType="end"/>
            </w:r>
          </w:hyperlink>
        </w:p>
        <w:p w14:paraId="33768ADB" w14:textId="03E1A507" w:rsidR="00FB17B9" w:rsidRPr="00FB17B9" w:rsidRDefault="00A75D90" w:rsidP="00FB17B9">
          <w:pPr>
            <w:pStyle w:val="TDC1"/>
            <w:tabs>
              <w:tab w:val="right" w:leader="dot" w:pos="9034"/>
            </w:tabs>
            <w:rPr>
              <w:rFonts w:asciiTheme="minorHAnsi" w:eastAsiaTheme="minorEastAsia" w:hAnsiTheme="minorHAnsi" w:cstheme="minorBidi"/>
              <w:noProof/>
            </w:rPr>
          </w:pPr>
          <w:hyperlink w:anchor="_Toc205933164" w:history="1">
            <w:r w:rsidR="00FB17B9" w:rsidRPr="00FB17B9">
              <w:rPr>
                <w:rStyle w:val="Hipervnculo"/>
                <w:noProof/>
                <w:color w:val="auto"/>
              </w:rPr>
              <w:t>RESUELVE</w:t>
            </w:r>
            <w:r w:rsidR="00FB17B9" w:rsidRPr="00FB17B9">
              <w:rPr>
                <w:noProof/>
                <w:webHidden/>
              </w:rPr>
              <w:tab/>
            </w:r>
            <w:r w:rsidR="00FB17B9" w:rsidRPr="00FB17B9">
              <w:rPr>
                <w:noProof/>
                <w:webHidden/>
              </w:rPr>
              <w:fldChar w:fldCharType="begin"/>
            </w:r>
            <w:r w:rsidR="00FB17B9" w:rsidRPr="00FB17B9">
              <w:rPr>
                <w:noProof/>
                <w:webHidden/>
              </w:rPr>
              <w:instrText xml:space="preserve"> PAGEREF _Toc205933164 \h </w:instrText>
            </w:r>
            <w:r w:rsidR="00FB17B9" w:rsidRPr="00FB17B9">
              <w:rPr>
                <w:noProof/>
                <w:webHidden/>
              </w:rPr>
            </w:r>
            <w:r w:rsidR="00FB17B9" w:rsidRPr="00FB17B9">
              <w:rPr>
                <w:noProof/>
                <w:webHidden/>
              </w:rPr>
              <w:fldChar w:fldCharType="separate"/>
            </w:r>
            <w:r w:rsidR="00217081">
              <w:rPr>
                <w:noProof/>
                <w:webHidden/>
              </w:rPr>
              <w:t>44</w:t>
            </w:r>
            <w:r w:rsidR="00FB17B9" w:rsidRPr="00FB17B9">
              <w:rPr>
                <w:noProof/>
                <w:webHidden/>
              </w:rPr>
              <w:fldChar w:fldCharType="end"/>
            </w:r>
          </w:hyperlink>
        </w:p>
        <w:p w14:paraId="5AB6A190" w14:textId="438E8634" w:rsidR="00D82E69" w:rsidRPr="00FB17B9" w:rsidRDefault="00D82E69" w:rsidP="00FB17B9">
          <w:r w:rsidRPr="00FB17B9">
            <w:rPr>
              <w:b/>
              <w:bCs/>
              <w:lang w:val="es-ES"/>
            </w:rPr>
            <w:fldChar w:fldCharType="end"/>
          </w:r>
        </w:p>
      </w:sdtContent>
    </w:sdt>
    <w:p w14:paraId="15A2C5E2" w14:textId="77777777" w:rsidR="00617A93" w:rsidRPr="00FB17B9" w:rsidRDefault="00617A93" w:rsidP="00FB17B9">
      <w:pPr>
        <w:sectPr w:rsidR="00617A93" w:rsidRPr="00FB17B9">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208E24C1" w14:textId="69A12483" w:rsidR="00617A93" w:rsidRPr="00FB17B9" w:rsidRDefault="006350FD" w:rsidP="00FB17B9">
      <w:r w:rsidRPr="00FB17B9">
        <w:lastRenderedPageBreak/>
        <w:t xml:space="preserve">Resolución del Pleno del Instituto de Transparencia, Acceso a la Información Pública y Protección de Datos Personales del Estado de México y Municipios, con domicilio en Metepec, Estado de México, del </w:t>
      </w:r>
      <w:r w:rsidR="00C84A30" w:rsidRPr="00FB17B9">
        <w:rPr>
          <w:b/>
        </w:rPr>
        <w:t>trece de agosto</w:t>
      </w:r>
      <w:r w:rsidRPr="00FB17B9">
        <w:rPr>
          <w:b/>
        </w:rPr>
        <w:t xml:space="preserve"> de dos mil veinticinco.</w:t>
      </w:r>
    </w:p>
    <w:p w14:paraId="0824B5B1" w14:textId="77777777" w:rsidR="00617A93" w:rsidRPr="00FB17B9" w:rsidRDefault="00617A93" w:rsidP="00FB17B9"/>
    <w:p w14:paraId="035AF5E9" w14:textId="4E09BBE3" w:rsidR="00617A93" w:rsidRPr="00FB17B9" w:rsidRDefault="006350FD" w:rsidP="00FB17B9">
      <w:r w:rsidRPr="00FB17B9">
        <w:rPr>
          <w:b/>
        </w:rPr>
        <w:t xml:space="preserve">VISTOS </w:t>
      </w:r>
      <w:r w:rsidRPr="00FB17B9">
        <w:t xml:space="preserve">los expedientes formados con motivo de los Recursos de Revisión </w:t>
      </w:r>
      <w:r w:rsidR="00145E5F" w:rsidRPr="00FB17B9">
        <w:rPr>
          <w:b/>
        </w:rPr>
        <w:t>03492/INFOEM/IP/RR/2025</w:t>
      </w:r>
      <w:r w:rsidRPr="00FB17B9">
        <w:rPr>
          <w:b/>
        </w:rPr>
        <w:t xml:space="preserve"> y </w:t>
      </w:r>
      <w:r w:rsidR="00145E5F" w:rsidRPr="00FB17B9">
        <w:rPr>
          <w:b/>
        </w:rPr>
        <w:t>03493/INFOEM/IP/RR/2025</w:t>
      </w:r>
      <w:r w:rsidRPr="00FB17B9">
        <w:rPr>
          <w:b/>
        </w:rPr>
        <w:t xml:space="preserve"> </w:t>
      </w:r>
      <w:r w:rsidRPr="00FB17B9">
        <w:t xml:space="preserve">acumulados interpuestos por </w:t>
      </w:r>
      <w:bookmarkStart w:id="2" w:name="_GoBack"/>
      <w:r w:rsidR="00ED0077">
        <w:rPr>
          <w:b/>
        </w:rPr>
        <w:t>XXXXXX XXXXXXX XXXXXX</w:t>
      </w:r>
      <w:bookmarkEnd w:id="2"/>
      <w:r w:rsidRPr="00FB17B9">
        <w:t xml:space="preserve">, a quien en lo subsecuente se le denominará </w:t>
      </w:r>
      <w:r w:rsidRPr="00FB17B9">
        <w:rPr>
          <w:b/>
        </w:rPr>
        <w:t>LA PARTE RECURRENTE</w:t>
      </w:r>
      <w:r w:rsidRPr="00FB17B9">
        <w:t xml:space="preserve">, en contra de las respuestas emitidas por el </w:t>
      </w:r>
      <w:r w:rsidR="00943DCB" w:rsidRPr="00FB17B9">
        <w:rPr>
          <w:b/>
        </w:rPr>
        <w:t>Ayuntamiento de Texcalyacac</w:t>
      </w:r>
      <w:r w:rsidRPr="00FB17B9">
        <w:t xml:space="preserve">, en adelante </w:t>
      </w:r>
      <w:r w:rsidRPr="00FB17B9">
        <w:rPr>
          <w:b/>
        </w:rPr>
        <w:t>EL SUJETO OBLIGADO</w:t>
      </w:r>
      <w:r w:rsidRPr="00FB17B9">
        <w:t>, se emite la presente Resolución con base en los Antecedentes y Considerandos que se exponen a continuación:</w:t>
      </w:r>
    </w:p>
    <w:p w14:paraId="53989E5F" w14:textId="77777777" w:rsidR="00617A93" w:rsidRPr="00FB17B9" w:rsidRDefault="00617A93" w:rsidP="00FB17B9"/>
    <w:p w14:paraId="21007B3B" w14:textId="77777777" w:rsidR="00617A93" w:rsidRPr="00FB17B9" w:rsidRDefault="006350FD" w:rsidP="00FB17B9">
      <w:pPr>
        <w:pStyle w:val="Ttulo1"/>
      </w:pPr>
      <w:bookmarkStart w:id="3" w:name="_Toc205933136"/>
      <w:r w:rsidRPr="00FB17B9">
        <w:t>ANTECEDENTES</w:t>
      </w:r>
      <w:bookmarkEnd w:id="3"/>
    </w:p>
    <w:p w14:paraId="2A843C4F" w14:textId="77777777" w:rsidR="00617A93" w:rsidRPr="00FB17B9" w:rsidRDefault="00617A93" w:rsidP="00FB17B9"/>
    <w:p w14:paraId="2E0A6D2E" w14:textId="77777777" w:rsidR="00617A93" w:rsidRPr="00FB17B9" w:rsidRDefault="006350FD" w:rsidP="00FB17B9">
      <w:pPr>
        <w:pStyle w:val="Ttulo2"/>
        <w:jc w:val="left"/>
      </w:pPr>
      <w:bookmarkStart w:id="4" w:name="_Toc205933137"/>
      <w:r w:rsidRPr="00FB17B9">
        <w:t>DE LAS SOLICITUDES DE INFORMACIÓN</w:t>
      </w:r>
      <w:bookmarkEnd w:id="4"/>
    </w:p>
    <w:p w14:paraId="610B4651" w14:textId="77777777" w:rsidR="00617A93" w:rsidRPr="00FB17B9" w:rsidRDefault="006350FD" w:rsidP="00FB17B9">
      <w:pPr>
        <w:pStyle w:val="Ttulo3"/>
      </w:pPr>
      <w:bookmarkStart w:id="5" w:name="_Toc205933138"/>
      <w:r w:rsidRPr="00FB17B9">
        <w:t>a) Solicitudes de información</w:t>
      </w:r>
      <w:bookmarkEnd w:id="5"/>
    </w:p>
    <w:p w14:paraId="08956BA5" w14:textId="0D7556EA" w:rsidR="00617A93" w:rsidRPr="00FB17B9" w:rsidRDefault="006350FD" w:rsidP="00FB17B9">
      <w:pPr>
        <w:spacing w:after="240"/>
      </w:pPr>
      <w:r w:rsidRPr="00FB17B9">
        <w:t>E</w:t>
      </w:r>
      <w:r w:rsidR="00DE552E" w:rsidRPr="00FB17B9">
        <w:t>l</w:t>
      </w:r>
      <w:r w:rsidR="00F153F3" w:rsidRPr="00FB17B9">
        <w:t xml:space="preserve"> </w:t>
      </w:r>
      <w:r w:rsidR="00145E5F" w:rsidRPr="00FB17B9">
        <w:rPr>
          <w:b/>
        </w:rPr>
        <w:t>doce</w:t>
      </w:r>
      <w:r w:rsidRPr="00FB17B9">
        <w:rPr>
          <w:b/>
        </w:rPr>
        <w:t xml:space="preserve"> de marzo dos mil veinticinco,</w:t>
      </w:r>
      <w:r w:rsidRPr="00FB17B9">
        <w:t xml:space="preserve"> </w:t>
      </w:r>
      <w:r w:rsidRPr="00FB17B9">
        <w:rPr>
          <w:b/>
        </w:rPr>
        <w:t>LA PARTE RECURRENTE</w:t>
      </w:r>
      <w:r w:rsidRPr="00FB17B9">
        <w:t xml:space="preserve"> presentó las solicitudes de acceso a la información pública ante </w:t>
      </w:r>
      <w:r w:rsidRPr="00FB17B9">
        <w:rPr>
          <w:b/>
        </w:rPr>
        <w:t>EL</w:t>
      </w:r>
      <w:r w:rsidRPr="00FB17B9">
        <w:t xml:space="preserve"> </w:t>
      </w:r>
      <w:r w:rsidRPr="00FB17B9">
        <w:rPr>
          <w:b/>
        </w:rPr>
        <w:t>SUJETO OBLIGADO</w:t>
      </w:r>
      <w:r w:rsidRPr="00FB17B9">
        <w:t>, a través del Sistema de Acceso a la Información</w:t>
      </w:r>
      <w:r w:rsidRPr="00FB17B9">
        <w:rPr>
          <w:b/>
        </w:rPr>
        <w:t xml:space="preserve"> </w:t>
      </w:r>
      <w:r w:rsidRPr="00FB17B9">
        <w:t>(SAIMEX). Dichas solicitudes quedaron registradas con el número de folio</w:t>
      </w:r>
      <w:r w:rsidRPr="00FB17B9">
        <w:rPr>
          <w:b/>
        </w:rPr>
        <w:t xml:space="preserve"> </w:t>
      </w:r>
      <w:r w:rsidR="00110B08" w:rsidRPr="00FB17B9">
        <w:rPr>
          <w:b/>
        </w:rPr>
        <w:t xml:space="preserve">00019/TEXCALYA/IP/2025 </w:t>
      </w:r>
      <w:r w:rsidRPr="00FB17B9">
        <w:rPr>
          <w:b/>
        </w:rPr>
        <w:t>y</w:t>
      </w:r>
      <w:r w:rsidR="00110B08" w:rsidRPr="00FB17B9">
        <w:rPr>
          <w:b/>
        </w:rPr>
        <w:t xml:space="preserve"> 00018/TEXCALYA/IP/2025</w:t>
      </w:r>
      <w:r w:rsidRPr="00FB17B9">
        <w:rPr>
          <w:b/>
        </w:rPr>
        <w:t>,</w:t>
      </w:r>
      <w:r w:rsidRPr="00FB17B9">
        <w:t xml:space="preserve"> en ella</w:t>
      </w:r>
      <w:r w:rsidR="00DE552E" w:rsidRPr="00FB17B9">
        <w:t>s</w:t>
      </w:r>
      <w:r w:rsidRPr="00FB17B9">
        <w:t xml:space="preserve"> se requirió la siguiente información:</w:t>
      </w:r>
    </w:p>
    <w:tbl>
      <w:tblPr>
        <w:tblStyle w:val="a2"/>
        <w:tblW w:w="823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4845"/>
      </w:tblGrid>
      <w:tr w:rsidR="00FB17B9" w:rsidRPr="00FB17B9" w14:paraId="666F04F1" w14:textId="77777777">
        <w:trPr>
          <w:trHeight w:val="731"/>
          <w:tblHeader/>
          <w:jc w:val="center"/>
        </w:trPr>
        <w:tc>
          <w:tcPr>
            <w:tcW w:w="3392" w:type="dxa"/>
            <w:shd w:val="clear" w:color="auto" w:fill="000000"/>
            <w:tcMar>
              <w:top w:w="100" w:type="dxa"/>
              <w:left w:w="100" w:type="dxa"/>
              <w:bottom w:w="100" w:type="dxa"/>
              <w:right w:w="100" w:type="dxa"/>
            </w:tcMar>
          </w:tcPr>
          <w:p w14:paraId="674F40BA" w14:textId="77777777" w:rsidR="00617A93" w:rsidRPr="00FB17B9" w:rsidRDefault="006350FD" w:rsidP="00FB17B9">
            <w:pPr>
              <w:widowControl w:val="0"/>
              <w:pBdr>
                <w:top w:val="nil"/>
                <w:left w:val="nil"/>
                <w:bottom w:val="nil"/>
                <w:right w:val="nil"/>
                <w:between w:val="nil"/>
              </w:pBdr>
              <w:jc w:val="center"/>
              <w:rPr>
                <w:rFonts w:ascii="Palatino Linotype" w:eastAsia="Palatino Linotype" w:hAnsi="Palatino Linotype" w:cs="Palatino Linotype"/>
                <w:b/>
              </w:rPr>
            </w:pPr>
            <w:r w:rsidRPr="00FB17B9">
              <w:rPr>
                <w:rFonts w:ascii="Palatino Linotype" w:eastAsia="Palatino Linotype" w:hAnsi="Palatino Linotype" w:cs="Palatino Linotype"/>
                <w:b/>
              </w:rPr>
              <w:t>Número de Folio de la Solicitud</w:t>
            </w:r>
          </w:p>
        </w:tc>
        <w:tc>
          <w:tcPr>
            <w:tcW w:w="4845" w:type="dxa"/>
            <w:shd w:val="clear" w:color="auto" w:fill="000000"/>
            <w:tcMar>
              <w:top w:w="100" w:type="dxa"/>
              <w:left w:w="100" w:type="dxa"/>
              <w:bottom w:w="100" w:type="dxa"/>
              <w:right w:w="100" w:type="dxa"/>
            </w:tcMar>
          </w:tcPr>
          <w:p w14:paraId="66730AB7" w14:textId="77777777" w:rsidR="00617A93" w:rsidRPr="00FB17B9" w:rsidRDefault="006350FD" w:rsidP="00FB17B9">
            <w:pPr>
              <w:widowControl w:val="0"/>
              <w:pBdr>
                <w:top w:val="nil"/>
                <w:left w:val="nil"/>
                <w:bottom w:val="nil"/>
                <w:right w:val="nil"/>
                <w:between w:val="nil"/>
              </w:pBdr>
              <w:jc w:val="center"/>
              <w:rPr>
                <w:rFonts w:ascii="Palatino Linotype" w:eastAsia="Palatino Linotype" w:hAnsi="Palatino Linotype" w:cs="Palatino Linotype"/>
                <w:b/>
              </w:rPr>
            </w:pPr>
            <w:r w:rsidRPr="00FB17B9">
              <w:rPr>
                <w:rFonts w:ascii="Palatino Linotype" w:eastAsia="Palatino Linotype" w:hAnsi="Palatino Linotype" w:cs="Palatino Linotype"/>
                <w:b/>
              </w:rPr>
              <w:t xml:space="preserve">Solicitud </w:t>
            </w:r>
          </w:p>
        </w:tc>
      </w:tr>
      <w:tr w:rsidR="00FB17B9" w:rsidRPr="00FB17B9" w14:paraId="3B4D82A9" w14:textId="77777777">
        <w:trPr>
          <w:trHeight w:val="711"/>
          <w:jc w:val="center"/>
        </w:trPr>
        <w:tc>
          <w:tcPr>
            <w:tcW w:w="3392" w:type="dxa"/>
            <w:tcMar>
              <w:top w:w="100" w:type="dxa"/>
              <w:left w:w="100" w:type="dxa"/>
              <w:bottom w:w="100" w:type="dxa"/>
              <w:right w:w="100" w:type="dxa"/>
            </w:tcMar>
            <w:vAlign w:val="center"/>
          </w:tcPr>
          <w:p w14:paraId="4C1D720F" w14:textId="4BBECEC1" w:rsidR="00617A93" w:rsidRPr="00FB17B9" w:rsidRDefault="00110B08" w:rsidP="00FB17B9">
            <w:pPr>
              <w:widowControl w:val="0"/>
              <w:pBdr>
                <w:top w:val="nil"/>
                <w:left w:val="nil"/>
                <w:bottom w:val="nil"/>
                <w:right w:val="nil"/>
                <w:between w:val="nil"/>
              </w:pBdr>
              <w:jc w:val="center"/>
              <w:rPr>
                <w:rFonts w:ascii="Palatino Linotype" w:eastAsia="Palatino Linotype" w:hAnsi="Palatino Linotype" w:cs="Palatino Linotype"/>
                <w:b/>
              </w:rPr>
            </w:pPr>
            <w:r w:rsidRPr="00FB17B9">
              <w:rPr>
                <w:rFonts w:ascii="Palatino Linotype" w:eastAsia="Palatino Linotype" w:hAnsi="Palatino Linotype" w:cs="Palatino Linotype"/>
                <w:b/>
              </w:rPr>
              <w:t>00019/TEXCALYA/IP/2025</w:t>
            </w:r>
          </w:p>
        </w:tc>
        <w:tc>
          <w:tcPr>
            <w:tcW w:w="4845" w:type="dxa"/>
            <w:tcMar>
              <w:top w:w="100" w:type="dxa"/>
              <w:left w:w="100" w:type="dxa"/>
              <w:bottom w:w="100" w:type="dxa"/>
              <w:right w:w="100" w:type="dxa"/>
            </w:tcMar>
          </w:tcPr>
          <w:p w14:paraId="20AD817E" w14:textId="3812D761" w:rsidR="00617A93" w:rsidRPr="00FB17B9" w:rsidRDefault="006350FD" w:rsidP="00FB17B9">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FB17B9">
              <w:rPr>
                <w:rFonts w:ascii="Palatino Linotype" w:eastAsia="Palatino Linotype" w:hAnsi="Palatino Linotype" w:cs="Palatino Linotype"/>
                <w:i/>
                <w:sz w:val="20"/>
                <w:szCs w:val="20"/>
              </w:rPr>
              <w:t>“</w:t>
            </w:r>
            <w:r w:rsidR="00110B08" w:rsidRPr="00FB17B9">
              <w:rPr>
                <w:rFonts w:ascii="Palatino Linotype" w:eastAsia="Palatino Linotype" w:hAnsi="Palatino Linotype" w:cs="Palatino Linotype"/>
                <w:i/>
                <w:sz w:val="20"/>
                <w:szCs w:val="20"/>
              </w:rPr>
              <w:t>Solicito el recibos de nomina de las quincenas enero de la secretaria particular del ayuntamiento, en su versión pública y cuales son sus atribuciones dentro del ayuntamiento.</w:t>
            </w:r>
            <w:r w:rsidRPr="00FB17B9">
              <w:rPr>
                <w:rFonts w:ascii="Palatino Linotype" w:eastAsia="Palatino Linotype" w:hAnsi="Palatino Linotype" w:cs="Palatino Linotype"/>
                <w:i/>
                <w:sz w:val="20"/>
                <w:szCs w:val="20"/>
              </w:rPr>
              <w:t>” (Sic)</w:t>
            </w:r>
          </w:p>
        </w:tc>
      </w:tr>
      <w:tr w:rsidR="00617A93" w:rsidRPr="00FB17B9" w14:paraId="7CFB1341" w14:textId="77777777">
        <w:trPr>
          <w:trHeight w:val="711"/>
          <w:jc w:val="center"/>
        </w:trPr>
        <w:tc>
          <w:tcPr>
            <w:tcW w:w="3392" w:type="dxa"/>
            <w:tcMar>
              <w:top w:w="100" w:type="dxa"/>
              <w:left w:w="100" w:type="dxa"/>
              <w:bottom w:w="100" w:type="dxa"/>
              <w:right w:w="100" w:type="dxa"/>
            </w:tcMar>
            <w:vAlign w:val="center"/>
          </w:tcPr>
          <w:p w14:paraId="279A569A" w14:textId="47D1E17B" w:rsidR="00617A93" w:rsidRPr="00FB17B9" w:rsidRDefault="00110B08" w:rsidP="00FB17B9">
            <w:pPr>
              <w:widowControl w:val="0"/>
              <w:pBdr>
                <w:top w:val="nil"/>
                <w:left w:val="nil"/>
                <w:bottom w:val="nil"/>
                <w:right w:val="nil"/>
                <w:between w:val="nil"/>
              </w:pBdr>
              <w:jc w:val="both"/>
              <w:rPr>
                <w:rFonts w:ascii="Palatino Linotype" w:eastAsia="Palatino Linotype" w:hAnsi="Palatino Linotype" w:cs="Palatino Linotype"/>
                <w:b/>
              </w:rPr>
            </w:pPr>
            <w:r w:rsidRPr="00FB17B9">
              <w:rPr>
                <w:rFonts w:ascii="Palatino Linotype" w:eastAsia="Palatino Linotype" w:hAnsi="Palatino Linotype" w:cs="Palatino Linotype"/>
                <w:b/>
              </w:rPr>
              <w:lastRenderedPageBreak/>
              <w:t>00018/TEXCALYA/IP/2025</w:t>
            </w:r>
          </w:p>
        </w:tc>
        <w:tc>
          <w:tcPr>
            <w:tcW w:w="4845" w:type="dxa"/>
            <w:tcMar>
              <w:top w:w="100" w:type="dxa"/>
              <w:left w:w="100" w:type="dxa"/>
              <w:bottom w:w="100" w:type="dxa"/>
              <w:right w:w="100" w:type="dxa"/>
            </w:tcMar>
          </w:tcPr>
          <w:p w14:paraId="66F9172D" w14:textId="16386839" w:rsidR="00617A93" w:rsidRPr="00FB17B9" w:rsidRDefault="006350FD" w:rsidP="00FB17B9">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FB17B9">
              <w:rPr>
                <w:rFonts w:ascii="Palatino Linotype" w:eastAsia="Palatino Linotype" w:hAnsi="Palatino Linotype" w:cs="Palatino Linotype"/>
                <w:i/>
                <w:sz w:val="20"/>
                <w:szCs w:val="20"/>
              </w:rPr>
              <w:t>“</w:t>
            </w:r>
            <w:r w:rsidR="00145E5F" w:rsidRPr="00FB17B9">
              <w:rPr>
                <w:rFonts w:ascii="Palatino Linotype" w:eastAsia="Palatino Linotype" w:hAnsi="Palatino Linotype" w:cs="Palatino Linotype"/>
                <w:i/>
                <w:sz w:val="20"/>
                <w:szCs w:val="20"/>
              </w:rPr>
              <w:t>Solicito los recibo de nomina del tesorero de las quincenas de enero 2025 y sus funciones dentro del ayuntamiento 2025-2027, aclarando que sea en versión publica y exhortando que no realice fundamentaciones sin sentido, toda vez que es un servidor público y su información es pública, con excepciones que marca la ley, además de adjuntar su experiencia para estar en cargo como tesorero como lo marca el articulo 32 de la ley orgánica municipal vigente</w:t>
            </w:r>
            <w:r w:rsidRPr="00FB17B9">
              <w:rPr>
                <w:rFonts w:ascii="Palatino Linotype" w:eastAsia="Palatino Linotype" w:hAnsi="Palatino Linotype" w:cs="Palatino Linotype"/>
                <w:i/>
                <w:sz w:val="20"/>
                <w:szCs w:val="20"/>
              </w:rPr>
              <w:t>” (Sic)</w:t>
            </w:r>
          </w:p>
        </w:tc>
      </w:tr>
    </w:tbl>
    <w:p w14:paraId="471E92C2" w14:textId="77777777" w:rsidR="00617A93" w:rsidRPr="00FB17B9" w:rsidRDefault="00617A93" w:rsidP="00FB17B9">
      <w:pPr>
        <w:spacing w:after="240"/>
      </w:pPr>
    </w:p>
    <w:p w14:paraId="7AF0F6E9" w14:textId="77777777" w:rsidR="00617A93" w:rsidRPr="00FB17B9" w:rsidRDefault="006350FD" w:rsidP="00FB17B9">
      <w:pPr>
        <w:tabs>
          <w:tab w:val="left" w:pos="4667"/>
        </w:tabs>
        <w:ind w:left="567" w:right="567"/>
      </w:pPr>
      <w:r w:rsidRPr="00FB17B9">
        <w:rPr>
          <w:b/>
        </w:rPr>
        <w:t>Modalidad de entrega</w:t>
      </w:r>
      <w:r w:rsidRPr="00FB17B9">
        <w:t>: a</w:t>
      </w:r>
      <w:r w:rsidRPr="00FB17B9">
        <w:rPr>
          <w:i/>
        </w:rPr>
        <w:t xml:space="preserve"> través del </w:t>
      </w:r>
      <w:r w:rsidRPr="00FB17B9">
        <w:rPr>
          <w:b/>
          <w:i/>
        </w:rPr>
        <w:t>SAIMEX</w:t>
      </w:r>
      <w:r w:rsidRPr="00FB17B9">
        <w:rPr>
          <w:i/>
        </w:rPr>
        <w:t>.</w:t>
      </w:r>
    </w:p>
    <w:p w14:paraId="093D5211" w14:textId="1BF9015B" w:rsidR="00617A93" w:rsidRPr="00FB17B9" w:rsidRDefault="00617A93" w:rsidP="00FB17B9">
      <w:pPr>
        <w:ind w:right="-28"/>
        <w:rPr>
          <w:i/>
        </w:rPr>
      </w:pPr>
    </w:p>
    <w:p w14:paraId="165F2EB3" w14:textId="5150793A" w:rsidR="00145E5F" w:rsidRPr="00FB17B9" w:rsidRDefault="00145E5F" w:rsidP="00FB17B9">
      <w:pPr>
        <w:pStyle w:val="Ttulo3"/>
      </w:pPr>
      <w:bookmarkStart w:id="6" w:name="_Toc165402856"/>
      <w:bookmarkStart w:id="7" w:name="_Toc202897012"/>
      <w:bookmarkStart w:id="8" w:name="_Toc205933139"/>
      <w:r w:rsidRPr="00FB17B9">
        <w:t>b) Turno de las solicitudes de información</w:t>
      </w:r>
      <w:bookmarkEnd w:id="6"/>
      <w:bookmarkEnd w:id="7"/>
      <w:bookmarkEnd w:id="8"/>
    </w:p>
    <w:p w14:paraId="5C8F354F" w14:textId="38DC287B" w:rsidR="00145E5F" w:rsidRPr="00FB17B9" w:rsidRDefault="00145E5F" w:rsidP="00FB17B9">
      <w:r w:rsidRPr="00FB17B9">
        <w:t xml:space="preserve">En cumplimiento al artículo 162 de la Ley de Transparencia y Acceso a la Información Pública del Estado de México y Municipios, el </w:t>
      </w:r>
      <w:r w:rsidR="007E3D9A" w:rsidRPr="00FB17B9">
        <w:rPr>
          <w:b/>
        </w:rPr>
        <w:t>veinticinco</w:t>
      </w:r>
      <w:r w:rsidRPr="00FB17B9">
        <w:rPr>
          <w:b/>
        </w:rPr>
        <w:t xml:space="preserve"> de marzo de dos mil veinticinco,</w:t>
      </w:r>
      <w:r w:rsidRPr="00FB17B9">
        <w:t xml:space="preserve"> la Titular de la Unidad de Transparencia del </w:t>
      </w:r>
      <w:r w:rsidRPr="00FB17B9">
        <w:rPr>
          <w:b/>
        </w:rPr>
        <w:t>SUJETO OBLIGADO</w:t>
      </w:r>
      <w:r w:rsidRPr="00FB17B9">
        <w:t xml:space="preserve"> turnó la</w:t>
      </w:r>
      <w:r w:rsidR="007E3D9A" w:rsidRPr="00FB17B9">
        <w:t>s</w:t>
      </w:r>
      <w:r w:rsidRPr="00FB17B9">
        <w:t xml:space="preserve"> solicitud</w:t>
      </w:r>
      <w:r w:rsidR="007E3D9A" w:rsidRPr="00FB17B9">
        <w:t>es</w:t>
      </w:r>
      <w:r w:rsidRPr="00FB17B9">
        <w:t xml:space="preserve"> de información al servidor público habilitado que estimó pertinente.</w:t>
      </w:r>
    </w:p>
    <w:p w14:paraId="5059A2D5" w14:textId="77777777" w:rsidR="00145E5F" w:rsidRPr="00FB17B9" w:rsidRDefault="00145E5F" w:rsidP="00FB17B9">
      <w:pPr>
        <w:ind w:right="-28"/>
        <w:rPr>
          <w:i/>
        </w:rPr>
      </w:pPr>
    </w:p>
    <w:p w14:paraId="10820EC0" w14:textId="5EE428E9" w:rsidR="00617A93" w:rsidRPr="00FB17B9" w:rsidRDefault="00145E5F" w:rsidP="00FB17B9">
      <w:pPr>
        <w:pStyle w:val="Ttulo3"/>
      </w:pPr>
      <w:bookmarkStart w:id="9" w:name="_Toc201576376"/>
      <w:bookmarkStart w:id="10" w:name="_Toc205933140"/>
      <w:r w:rsidRPr="00FB17B9">
        <w:t>c</w:t>
      </w:r>
      <w:r w:rsidR="00F153F3" w:rsidRPr="00FB17B9">
        <w:t xml:space="preserve">) </w:t>
      </w:r>
      <w:bookmarkEnd w:id="9"/>
      <w:r w:rsidR="006350FD" w:rsidRPr="00FB17B9">
        <w:t>Respuestas del Sujeto Obligado</w:t>
      </w:r>
      <w:bookmarkEnd w:id="10"/>
    </w:p>
    <w:p w14:paraId="687C948B" w14:textId="670CF5FD" w:rsidR="00617A93" w:rsidRPr="00FB17B9" w:rsidRDefault="006350FD" w:rsidP="00FB17B9">
      <w:pPr>
        <w:pBdr>
          <w:top w:val="nil"/>
          <w:left w:val="nil"/>
          <w:bottom w:val="nil"/>
          <w:right w:val="nil"/>
          <w:between w:val="nil"/>
        </w:pBdr>
        <w:spacing w:after="240"/>
      </w:pPr>
      <w:r w:rsidRPr="00FB17B9">
        <w:t xml:space="preserve">El </w:t>
      </w:r>
      <w:r w:rsidR="007E3D9A" w:rsidRPr="00FB17B9">
        <w:rPr>
          <w:b/>
        </w:rPr>
        <w:t>veinticinco</w:t>
      </w:r>
      <w:r w:rsidRPr="00FB17B9">
        <w:rPr>
          <w:b/>
        </w:rPr>
        <w:t xml:space="preserve"> de marzo de dos mil veinticinco</w:t>
      </w:r>
      <w:r w:rsidR="00F153F3" w:rsidRPr="00FB17B9">
        <w:t xml:space="preserve">, </w:t>
      </w:r>
      <w:r w:rsidRPr="00FB17B9">
        <w:t>l</w:t>
      </w:r>
      <w:r w:rsidR="007E3D9A" w:rsidRPr="00FB17B9">
        <w:t>a</w:t>
      </w:r>
      <w:r w:rsidRPr="00FB17B9">
        <w:t xml:space="preserve"> Titular de la Unidad de Transparencia del </w:t>
      </w:r>
      <w:r w:rsidRPr="00FB17B9">
        <w:rPr>
          <w:b/>
        </w:rPr>
        <w:t>SUJETO OBLIGADO</w:t>
      </w:r>
      <w:r w:rsidRPr="00FB17B9">
        <w:t xml:space="preserve"> notificó las siguientes respuestas a través del </w:t>
      </w:r>
      <w:r w:rsidRPr="00FB17B9">
        <w:rPr>
          <w:b/>
        </w:rPr>
        <w:t>SAIMEX</w:t>
      </w:r>
      <w:r w:rsidRPr="00FB17B9">
        <w:t xml:space="preserve"> en los siguientes términos:</w:t>
      </w:r>
    </w:p>
    <w:p w14:paraId="7745CA5E" w14:textId="6FB721A9" w:rsidR="00C84A30" w:rsidRPr="00FB17B9" w:rsidRDefault="00C84A30" w:rsidP="00FB17B9">
      <w:pPr>
        <w:pBdr>
          <w:top w:val="nil"/>
          <w:left w:val="nil"/>
          <w:bottom w:val="nil"/>
          <w:right w:val="nil"/>
          <w:between w:val="nil"/>
        </w:pBdr>
        <w:spacing w:after="240"/>
      </w:pPr>
    </w:p>
    <w:p w14:paraId="5F934F3F" w14:textId="77777777" w:rsidR="00C84A30" w:rsidRPr="00FB17B9" w:rsidRDefault="00C84A30" w:rsidP="00FB17B9">
      <w:pPr>
        <w:pBdr>
          <w:top w:val="nil"/>
          <w:left w:val="nil"/>
          <w:bottom w:val="nil"/>
          <w:right w:val="nil"/>
          <w:between w:val="nil"/>
        </w:pBdr>
        <w:spacing w:after="240"/>
      </w:pPr>
    </w:p>
    <w:p w14:paraId="0E5B8C90" w14:textId="4EE8FCE9" w:rsidR="00617A93" w:rsidRPr="00FB17B9" w:rsidRDefault="007E3D9A" w:rsidP="00FB17B9">
      <w:pPr>
        <w:pBdr>
          <w:top w:val="nil"/>
          <w:left w:val="nil"/>
          <w:bottom w:val="nil"/>
          <w:right w:val="nil"/>
          <w:between w:val="nil"/>
        </w:pBdr>
        <w:spacing w:after="240"/>
        <w:rPr>
          <w:b/>
        </w:rPr>
      </w:pPr>
      <w:r w:rsidRPr="00FB17B9">
        <w:rPr>
          <w:b/>
        </w:rPr>
        <w:lastRenderedPageBreak/>
        <w:t>00019/TEXCALYA/IP/2025</w:t>
      </w:r>
    </w:p>
    <w:p w14:paraId="2B1336B0" w14:textId="77777777" w:rsidR="007E3D9A" w:rsidRPr="00FB17B9" w:rsidRDefault="006350FD" w:rsidP="00FB17B9">
      <w:pPr>
        <w:pStyle w:val="Puesto"/>
        <w:ind w:left="851" w:right="822" w:firstLine="0"/>
        <w:rPr>
          <w:color w:val="auto"/>
        </w:rPr>
      </w:pPr>
      <w:r w:rsidRPr="00FB17B9">
        <w:rPr>
          <w:color w:val="auto"/>
        </w:rPr>
        <w:t>“</w:t>
      </w:r>
      <w:r w:rsidR="007E3D9A" w:rsidRPr="00FB17B9">
        <w:rPr>
          <w:color w:val="auto"/>
        </w:rPr>
        <w:t>Folio de la solicitud: 00019/TEXCALYA/IP/2025</w:t>
      </w:r>
    </w:p>
    <w:p w14:paraId="720E9996" w14:textId="77777777" w:rsidR="007E3D9A" w:rsidRPr="00FB17B9" w:rsidRDefault="007E3D9A" w:rsidP="00FB17B9">
      <w:pPr>
        <w:pStyle w:val="Puesto"/>
        <w:ind w:left="851" w:right="822" w:firstLine="0"/>
        <w:rPr>
          <w:color w:val="auto"/>
        </w:rPr>
      </w:pPr>
      <w:r w:rsidRPr="00FB17B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AD6D98" w14:textId="77777777" w:rsidR="005D65B0" w:rsidRPr="00FB17B9" w:rsidRDefault="005D65B0" w:rsidP="00FB17B9"/>
    <w:p w14:paraId="1256133F" w14:textId="61C23240" w:rsidR="007E3D9A" w:rsidRPr="00FB17B9" w:rsidRDefault="007E3D9A" w:rsidP="00FB17B9">
      <w:pPr>
        <w:pStyle w:val="Puesto"/>
        <w:ind w:left="851" w:right="822" w:firstLine="0"/>
        <w:rPr>
          <w:color w:val="auto"/>
        </w:rPr>
      </w:pPr>
      <w:r w:rsidRPr="00FB17B9">
        <w:rPr>
          <w:color w:val="auto"/>
        </w:rPr>
        <w:t>Ciudadano Solicitante PRESENTE En atención a su solicitud comento a usted lo siguiente con el agrado de saludarle se adjunta la respuesta del Servidor Público Habilitado para dar respuesta a su solicitud de información : De lo anterior y en cumplimiento a lo señalado en los artículos 4,11,59 Fracción II, 166,173 Fracción I de la Ley de Trasparencia y Acceso a la información Pública del estado de México y municipios, me permito informar que: la administración pública Municipal transita a un nuevo modelo de gestión, orientado a la generación de resultados de valor para la ciudadanía que garantice la eficacia y eficiencia en el desempeño de cada uno de las funciones de las áreas del ayuntamiento. Es por ello que; La secretaria particular: entre sus funciones están las de: • Contribuir a la atención de los asuntos de la presidenta Municipal. • Organizar y coordinar las actividades de la oficina y del despacho de los asuntos. • Realizar el seguimiento de os asuntos emanados de la presidenta municipal, verificando que su ejecución se realice conforme a lo indicado por la particular. • Desempeñar oportunamente los asuntos y/o comisiones que le sean encomendados que sean encomendados por la titular de la presidencia municipal. • Coordinar las acciones inherentes a eventos oficiales en los que deba participar la titular de la presidencia municipal. • Recibir las peticiones que sean dirigidas a la presidencia municipal y turnarlas al área respectiva verificando que sean atendidas con oportunidad. • Controlar la correspondencia y documentación dirigida a la presidencia municipal y mantener permanente informada a la titular sobre los avances. • Desarrollar las demás funciones inherentes al área.</w:t>
      </w:r>
    </w:p>
    <w:p w14:paraId="3352564F" w14:textId="77777777" w:rsidR="005D65B0" w:rsidRPr="00FB17B9" w:rsidRDefault="005D65B0" w:rsidP="00FB17B9"/>
    <w:p w14:paraId="16EE69C1" w14:textId="0B2D0D3D" w:rsidR="00617A93" w:rsidRPr="00FB17B9" w:rsidRDefault="007E3D9A" w:rsidP="00FB17B9">
      <w:pPr>
        <w:pStyle w:val="Puesto"/>
        <w:spacing w:after="240"/>
        <w:ind w:left="851" w:right="822" w:firstLine="0"/>
        <w:rPr>
          <w:color w:val="auto"/>
        </w:rPr>
      </w:pPr>
      <w:r w:rsidRPr="00FB17B9">
        <w:rPr>
          <w:color w:val="auto"/>
        </w:rPr>
        <w:t>ATENTAMENTE</w:t>
      </w:r>
      <w:r w:rsidR="006350FD" w:rsidRPr="00FB17B9">
        <w:rPr>
          <w:color w:val="auto"/>
        </w:rPr>
        <w:t>” (Sic)</w:t>
      </w:r>
    </w:p>
    <w:p w14:paraId="1D3A30BE" w14:textId="3452A2B4" w:rsidR="004B749F" w:rsidRPr="00FB17B9" w:rsidRDefault="006350FD" w:rsidP="00FB17B9">
      <w:pPr>
        <w:spacing w:after="240"/>
        <w:ind w:right="-28"/>
        <w:rPr>
          <w:i/>
        </w:rPr>
      </w:pPr>
      <w:r w:rsidRPr="00FB17B9">
        <w:t xml:space="preserve">Asimismo, </w:t>
      </w:r>
      <w:r w:rsidRPr="00FB17B9">
        <w:rPr>
          <w:b/>
        </w:rPr>
        <w:t xml:space="preserve">EL SUJETO OBLIGADO </w:t>
      </w:r>
      <w:r w:rsidR="00F153F3" w:rsidRPr="00FB17B9">
        <w:t xml:space="preserve">adjuntó a su respuesta </w:t>
      </w:r>
      <w:r w:rsidR="00B438A0" w:rsidRPr="00FB17B9">
        <w:t>e</w:t>
      </w:r>
      <w:r w:rsidRPr="00FB17B9">
        <w:t>l</w:t>
      </w:r>
      <w:r w:rsidR="00C84A30" w:rsidRPr="00FB17B9">
        <w:t xml:space="preserve"> archivo </w:t>
      </w:r>
      <w:r w:rsidRPr="00FB17B9">
        <w:t>electrónico</w:t>
      </w:r>
      <w:r w:rsidR="00B438A0" w:rsidRPr="00FB17B9">
        <w:t xml:space="preserve"> denominado </w:t>
      </w:r>
      <w:r w:rsidR="004B749F" w:rsidRPr="00FB17B9">
        <w:rPr>
          <w:b/>
          <w:i/>
        </w:rPr>
        <w:t>“</w:t>
      </w:r>
      <w:r w:rsidR="007E3D9A" w:rsidRPr="00FB17B9">
        <w:rPr>
          <w:b/>
          <w:i/>
        </w:rPr>
        <w:t>Tesoreria.pdf</w:t>
      </w:r>
      <w:r w:rsidR="004B749F" w:rsidRPr="00FB17B9">
        <w:rPr>
          <w:b/>
          <w:i/>
        </w:rPr>
        <w:t xml:space="preserve">”, </w:t>
      </w:r>
      <w:r w:rsidR="00CC4A76" w:rsidRPr="00FB17B9">
        <w:t xml:space="preserve">el que consiste en el oficio </w:t>
      </w:r>
      <w:r w:rsidR="00B438A0" w:rsidRPr="00FB17B9">
        <w:t>TM</w:t>
      </w:r>
      <w:r w:rsidR="00C84A30" w:rsidRPr="00FB17B9">
        <w:t>-TEXCA/0090/03/2025</w:t>
      </w:r>
      <w:r w:rsidR="00CC4A76" w:rsidRPr="00FB17B9">
        <w:t xml:space="preserve">, del </w:t>
      </w:r>
      <w:r w:rsidR="00C84A30" w:rsidRPr="00FB17B9">
        <w:t>dieciocho</w:t>
      </w:r>
      <w:r w:rsidR="00B438A0" w:rsidRPr="00FB17B9">
        <w:t xml:space="preserve"> </w:t>
      </w:r>
      <w:r w:rsidR="00CC4A76" w:rsidRPr="00FB17B9">
        <w:t xml:space="preserve">de marzo de dos mil veinticinco, </w:t>
      </w:r>
      <w:r w:rsidR="00B438A0" w:rsidRPr="00FB17B9">
        <w:t>dirigido a</w:t>
      </w:r>
      <w:r w:rsidR="00C84A30" w:rsidRPr="00FB17B9">
        <w:t xml:space="preserve"> </w:t>
      </w:r>
      <w:r w:rsidR="00B438A0" w:rsidRPr="00FB17B9">
        <w:t>l</w:t>
      </w:r>
      <w:r w:rsidR="00C84A30" w:rsidRPr="00FB17B9">
        <w:t>a Jefa de la Unidad</w:t>
      </w:r>
      <w:r w:rsidR="00B438A0" w:rsidRPr="00FB17B9">
        <w:t xml:space="preserve"> de Transparencia </w:t>
      </w:r>
      <w:r w:rsidR="00CC4A76" w:rsidRPr="00FB17B9">
        <w:t xml:space="preserve">mediante el cual el </w:t>
      </w:r>
      <w:r w:rsidR="00B438A0" w:rsidRPr="00FB17B9">
        <w:t xml:space="preserve">Tesorero </w:t>
      </w:r>
      <w:r w:rsidR="00551D45" w:rsidRPr="00FB17B9">
        <w:t>Municipal de manera sustancial</w:t>
      </w:r>
      <w:r w:rsidR="00CC4A76" w:rsidRPr="00FB17B9">
        <w:t xml:space="preserve"> </w:t>
      </w:r>
      <w:r w:rsidR="00C84A30" w:rsidRPr="00FB17B9">
        <w:t xml:space="preserve">informa lo siguiente: </w:t>
      </w:r>
      <w:r w:rsidR="00C84A30" w:rsidRPr="00FB17B9">
        <w:rPr>
          <w:i/>
        </w:rPr>
        <w:t xml:space="preserve">“…esta </w:t>
      </w:r>
      <w:r w:rsidR="00C84A30" w:rsidRPr="00FB17B9">
        <w:rPr>
          <w:i/>
        </w:rPr>
        <w:lastRenderedPageBreak/>
        <w:t>autoridad ha determinado que la información solicitada consistente en los "recibos de nóminas" no podrán ser entregados en copias o documentos digitales, sin embargo, estará disponible para su consulta presencial en su versión pública, garantizando así el acceso a la información sin vulnerar derechos protegidos, de conformidad con lo establecido en el artículo en el 164 de la Ley de Transparencia y Acceso a la Información Pública del Estado de México y Municipios..</w:t>
      </w:r>
      <w:r w:rsidR="00551D45" w:rsidRPr="00FB17B9">
        <w:rPr>
          <w:i/>
        </w:rPr>
        <w:t>.</w:t>
      </w:r>
      <w:r w:rsidR="00C84A30" w:rsidRPr="00FB17B9">
        <w:rPr>
          <w:i/>
        </w:rPr>
        <w:t>”</w:t>
      </w:r>
      <w:r w:rsidR="00C84A30" w:rsidRPr="00FB17B9">
        <w:t xml:space="preserve"> (Sic)</w:t>
      </w:r>
    </w:p>
    <w:p w14:paraId="5FC208D3" w14:textId="26C071D5" w:rsidR="00617A93" w:rsidRPr="00FB17B9" w:rsidRDefault="00C84A30" w:rsidP="00FB17B9">
      <w:pPr>
        <w:pBdr>
          <w:top w:val="nil"/>
          <w:left w:val="nil"/>
          <w:bottom w:val="nil"/>
          <w:right w:val="nil"/>
          <w:between w:val="nil"/>
        </w:pBdr>
        <w:spacing w:after="240"/>
        <w:rPr>
          <w:b/>
        </w:rPr>
      </w:pPr>
      <w:r w:rsidRPr="00FB17B9">
        <w:rPr>
          <w:b/>
        </w:rPr>
        <w:t>00018/TEXCALYA/IP/2025</w:t>
      </w:r>
    </w:p>
    <w:p w14:paraId="346D1156" w14:textId="77777777" w:rsidR="00C84A30" w:rsidRPr="00FB17B9" w:rsidRDefault="006350FD" w:rsidP="00FB17B9">
      <w:pPr>
        <w:pStyle w:val="Puesto"/>
        <w:ind w:left="851" w:right="822" w:firstLine="0"/>
        <w:rPr>
          <w:color w:val="auto"/>
        </w:rPr>
      </w:pPr>
      <w:r w:rsidRPr="00FB17B9">
        <w:rPr>
          <w:color w:val="auto"/>
        </w:rPr>
        <w:t>“</w:t>
      </w:r>
      <w:r w:rsidR="00C84A30" w:rsidRPr="00FB17B9">
        <w:rPr>
          <w:color w:val="auto"/>
        </w:rPr>
        <w:t>Folio de la solicitud: 00018/TEXCALYA/IP/2025</w:t>
      </w:r>
    </w:p>
    <w:p w14:paraId="792A787F" w14:textId="77777777" w:rsidR="00C84A30" w:rsidRPr="00FB17B9" w:rsidRDefault="00C84A30" w:rsidP="00FB17B9">
      <w:pPr>
        <w:pStyle w:val="Puesto"/>
        <w:ind w:left="851" w:right="822" w:firstLine="0"/>
        <w:rPr>
          <w:color w:val="auto"/>
        </w:rPr>
      </w:pPr>
      <w:r w:rsidRPr="00FB17B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C5D25D" w14:textId="77777777" w:rsidR="005D65B0" w:rsidRPr="00FB17B9" w:rsidRDefault="005D65B0" w:rsidP="00FB17B9"/>
    <w:p w14:paraId="2364DC47" w14:textId="45D4360D" w:rsidR="00C84A30" w:rsidRPr="00FB17B9" w:rsidRDefault="00C84A30" w:rsidP="00FB17B9">
      <w:pPr>
        <w:pStyle w:val="Puesto"/>
        <w:ind w:left="851" w:right="822" w:firstLine="0"/>
        <w:rPr>
          <w:color w:val="auto"/>
        </w:rPr>
      </w:pPr>
      <w:r w:rsidRPr="00FB17B9">
        <w:rPr>
          <w:color w:val="auto"/>
        </w:rPr>
        <w:t>Ciudadano Solicitante PRESENTE En atención a su solicitud comento a usted lo siguiente con el agrado de saludarle se adjunta la respuesta del Servidor Público Habilitado para dar respuesta a su solicitud de información .</w:t>
      </w:r>
    </w:p>
    <w:p w14:paraId="7DE3327C" w14:textId="77777777" w:rsidR="005D65B0" w:rsidRPr="00FB17B9" w:rsidRDefault="005D65B0" w:rsidP="00FB17B9"/>
    <w:p w14:paraId="6F6354E0" w14:textId="77777777" w:rsidR="00C84A30" w:rsidRPr="00FB17B9" w:rsidRDefault="00C84A30" w:rsidP="00FB17B9">
      <w:pPr>
        <w:pStyle w:val="Puesto"/>
        <w:ind w:left="851" w:right="822" w:firstLine="0"/>
        <w:rPr>
          <w:color w:val="auto"/>
        </w:rPr>
      </w:pPr>
      <w:r w:rsidRPr="00FB17B9">
        <w:rPr>
          <w:color w:val="auto"/>
        </w:rPr>
        <w:t>ATENTAMENTE</w:t>
      </w:r>
    </w:p>
    <w:p w14:paraId="5824266E" w14:textId="77777777" w:rsidR="005D65B0" w:rsidRPr="00FB17B9" w:rsidRDefault="005D65B0" w:rsidP="00FB17B9"/>
    <w:p w14:paraId="59F9F285" w14:textId="1F386FFC" w:rsidR="00617A93" w:rsidRPr="00FB17B9" w:rsidRDefault="00C84A30" w:rsidP="00FB17B9">
      <w:pPr>
        <w:pStyle w:val="Puesto"/>
        <w:ind w:left="851" w:right="822" w:firstLine="0"/>
        <w:rPr>
          <w:color w:val="auto"/>
        </w:rPr>
      </w:pPr>
      <w:r w:rsidRPr="00FB17B9">
        <w:rPr>
          <w:color w:val="auto"/>
        </w:rPr>
        <w:t>. Ilhuilxochiltl Tenorio Martínez</w:t>
      </w:r>
      <w:r w:rsidR="006350FD" w:rsidRPr="00FB17B9">
        <w:rPr>
          <w:color w:val="auto"/>
        </w:rPr>
        <w:t>” (Sic)</w:t>
      </w:r>
    </w:p>
    <w:p w14:paraId="532CE8AB" w14:textId="77777777" w:rsidR="00C84A30" w:rsidRPr="00FB17B9" w:rsidRDefault="00C84A30" w:rsidP="00FB17B9"/>
    <w:p w14:paraId="2947D535" w14:textId="3EEFE74D" w:rsidR="00162D58" w:rsidRPr="00FB17B9" w:rsidRDefault="00551D45" w:rsidP="00FB17B9">
      <w:pPr>
        <w:ind w:right="-28"/>
      </w:pPr>
      <w:r w:rsidRPr="00FB17B9">
        <w:t xml:space="preserve">Asimismo, </w:t>
      </w:r>
      <w:r w:rsidRPr="00FB17B9">
        <w:rPr>
          <w:b/>
        </w:rPr>
        <w:t xml:space="preserve">EL SUJETO OBLIGADO </w:t>
      </w:r>
      <w:r w:rsidRPr="00FB17B9">
        <w:t xml:space="preserve">adjuntó a su respuesta el archivos electrónico denominado </w:t>
      </w:r>
      <w:r w:rsidRPr="00FB17B9">
        <w:rPr>
          <w:b/>
          <w:i/>
        </w:rPr>
        <w:t>“</w:t>
      </w:r>
      <w:r w:rsidR="00C84A30" w:rsidRPr="00FB17B9">
        <w:rPr>
          <w:b/>
          <w:i/>
        </w:rPr>
        <w:t>Oficio Tesorería .pdf</w:t>
      </w:r>
      <w:r w:rsidRPr="00FB17B9">
        <w:rPr>
          <w:b/>
          <w:i/>
        </w:rPr>
        <w:t xml:space="preserve">”, </w:t>
      </w:r>
      <w:r w:rsidRPr="00FB17B9">
        <w:t>el que consiste en el oficio TM</w:t>
      </w:r>
      <w:r w:rsidR="000D5DD8" w:rsidRPr="00FB17B9">
        <w:t>-TEXCA/0091/03/2025</w:t>
      </w:r>
      <w:r w:rsidRPr="00FB17B9">
        <w:t xml:space="preserve">, del </w:t>
      </w:r>
      <w:r w:rsidR="000D5DD8" w:rsidRPr="00FB17B9">
        <w:t>dieciocho de marzo</w:t>
      </w:r>
      <w:r w:rsidRPr="00FB17B9">
        <w:t xml:space="preserve"> de marzo de dos mil veinticinco, dirigido a</w:t>
      </w:r>
      <w:r w:rsidR="000D5DD8" w:rsidRPr="00FB17B9">
        <w:t xml:space="preserve"> </w:t>
      </w:r>
      <w:r w:rsidRPr="00FB17B9">
        <w:t>l</w:t>
      </w:r>
      <w:r w:rsidR="000D5DD8" w:rsidRPr="00FB17B9">
        <w:t>a</w:t>
      </w:r>
      <w:r w:rsidRPr="00FB17B9">
        <w:t xml:space="preserve"> </w:t>
      </w:r>
      <w:r w:rsidR="000D5DD8" w:rsidRPr="00FB17B9">
        <w:t xml:space="preserve">Jefa </w:t>
      </w:r>
      <w:r w:rsidRPr="00FB17B9">
        <w:t xml:space="preserve">de la Unidad de Transparencia mediante el cual el Tesorero Municipal de manera sustancial </w:t>
      </w:r>
      <w:r w:rsidR="00040BFE" w:rsidRPr="00FB17B9">
        <w:t xml:space="preserve">informa </w:t>
      </w:r>
      <w:r w:rsidR="004D7B60" w:rsidRPr="00FB17B9">
        <w:t xml:space="preserve">que por cuanto hace a los recibos de nómina solicitados, la información requerida estará disponible para consulta presencial durante cinco días hábiles, contados a partir de la notificación de la presente determinación, en lo que respecta a las funciones informa que están consagradas en el artículo 95 de la Ley Orgánica Municipal del Estado de México y finalmente respecto a la </w:t>
      </w:r>
      <w:r w:rsidR="004D7B60" w:rsidRPr="00FB17B9">
        <w:lastRenderedPageBreak/>
        <w:t>experiencia para estar en el cargo de Tesorero, le informo que se está cumpliendo con los requisitos que establece el artículo 32 de la Ley Orgánica Municipal del Estado de México, además que el mismo artículo otorga un plazo de 6 meses para poder cumplir en el caso de que falte algún requisito para ocupar el cargo.</w:t>
      </w:r>
      <w:r w:rsidR="004D7B60" w:rsidRPr="00FB17B9">
        <w:cr/>
      </w:r>
    </w:p>
    <w:p w14:paraId="24F0F08E" w14:textId="129BD450" w:rsidR="00F44A35" w:rsidRPr="00FB17B9" w:rsidRDefault="00F44A35" w:rsidP="00FB17B9">
      <w:pPr>
        <w:pStyle w:val="Ttulo2"/>
        <w:jc w:val="left"/>
      </w:pPr>
      <w:bookmarkStart w:id="11" w:name="_Toc202897014"/>
      <w:bookmarkStart w:id="12" w:name="_Toc205933141"/>
      <w:r w:rsidRPr="00FB17B9">
        <w:t>DE LOS RECURSOS DE REVISIÓN</w:t>
      </w:r>
      <w:bookmarkEnd w:id="11"/>
      <w:bookmarkEnd w:id="12"/>
    </w:p>
    <w:p w14:paraId="31B70830" w14:textId="77777777" w:rsidR="00617A93" w:rsidRPr="00FB17B9" w:rsidRDefault="006350FD" w:rsidP="00FB17B9">
      <w:pPr>
        <w:pStyle w:val="Ttulo3"/>
      </w:pPr>
      <w:bookmarkStart w:id="13" w:name="_Toc205933142"/>
      <w:r w:rsidRPr="00FB17B9">
        <w:t>a) Interposición de los Recursos de Revisión</w:t>
      </w:r>
      <w:bookmarkEnd w:id="13"/>
    </w:p>
    <w:p w14:paraId="55C1F586" w14:textId="65012514" w:rsidR="00617A93" w:rsidRPr="00FB17B9" w:rsidRDefault="006350FD" w:rsidP="00FB17B9">
      <w:pPr>
        <w:spacing w:after="240"/>
        <w:ind w:right="-28"/>
      </w:pPr>
      <w:r w:rsidRPr="00FB17B9">
        <w:t xml:space="preserve">El </w:t>
      </w:r>
      <w:r w:rsidR="00040BFE" w:rsidRPr="00FB17B9">
        <w:rPr>
          <w:b/>
        </w:rPr>
        <w:t>veintic</w:t>
      </w:r>
      <w:r w:rsidR="004D7B60" w:rsidRPr="00FB17B9">
        <w:rPr>
          <w:b/>
        </w:rPr>
        <w:t>inco de marzo</w:t>
      </w:r>
      <w:r w:rsidRPr="00FB17B9">
        <w:rPr>
          <w:b/>
        </w:rPr>
        <w:t xml:space="preserve"> de dos mil veinticinco,</w:t>
      </w:r>
      <w:r w:rsidRPr="00FB17B9">
        <w:t xml:space="preserve"> </w:t>
      </w:r>
      <w:r w:rsidRPr="00FB17B9">
        <w:rPr>
          <w:b/>
        </w:rPr>
        <w:t>LA PARTE RECURRENTE</w:t>
      </w:r>
      <w:r w:rsidRPr="00FB17B9">
        <w:t xml:space="preserve"> interpuso los recursos de revisión en contra de las respuestas del </w:t>
      </w:r>
      <w:r w:rsidRPr="00FB17B9">
        <w:rPr>
          <w:b/>
        </w:rPr>
        <w:t>SUJETO OBLIGADO</w:t>
      </w:r>
      <w:r w:rsidRPr="00FB17B9">
        <w:t xml:space="preserve">, mismos que fueron registrados en </w:t>
      </w:r>
      <w:r w:rsidRPr="00FB17B9">
        <w:rPr>
          <w:b/>
        </w:rPr>
        <w:t>EL SAIMEX</w:t>
      </w:r>
      <w:r w:rsidRPr="00FB17B9">
        <w:t xml:space="preserve"> con los números de expediente </w:t>
      </w:r>
      <w:r w:rsidR="004D7B60" w:rsidRPr="00FB17B9">
        <w:rPr>
          <w:b/>
        </w:rPr>
        <w:t>034</w:t>
      </w:r>
      <w:r w:rsidR="00412D7E" w:rsidRPr="00FB17B9">
        <w:rPr>
          <w:b/>
        </w:rPr>
        <w:t xml:space="preserve">92/INFOEM/IP/RR/2025 </w:t>
      </w:r>
      <w:r w:rsidRPr="00FB17B9">
        <w:t xml:space="preserve">y </w:t>
      </w:r>
      <w:r w:rsidR="004D7B60" w:rsidRPr="00FB17B9">
        <w:rPr>
          <w:b/>
        </w:rPr>
        <w:t>03493</w:t>
      </w:r>
      <w:r w:rsidR="00412D7E" w:rsidRPr="00FB17B9">
        <w:rPr>
          <w:b/>
        </w:rPr>
        <w:t xml:space="preserve">/INFOEM/IP/RR/2025 </w:t>
      </w:r>
      <w:r w:rsidR="00631335" w:rsidRPr="00FB17B9">
        <w:t xml:space="preserve">en los </w:t>
      </w:r>
      <w:r w:rsidR="005C4247" w:rsidRPr="00FB17B9">
        <w:t xml:space="preserve">cuales </w:t>
      </w:r>
      <w:r w:rsidR="00631335" w:rsidRPr="00FB17B9">
        <w:t>manif</w:t>
      </w:r>
      <w:r w:rsidR="005C4247" w:rsidRPr="00FB17B9">
        <w:t>i</w:t>
      </w:r>
      <w:r w:rsidR="00631335" w:rsidRPr="00FB17B9">
        <w:t>est</w:t>
      </w:r>
      <w:r w:rsidR="005C4247" w:rsidRPr="00FB17B9">
        <w:t>a</w:t>
      </w:r>
      <w:r w:rsidR="00631335" w:rsidRPr="00FB17B9">
        <w:t xml:space="preserve"> lo siguiente</w:t>
      </w:r>
      <w:r w:rsidRPr="00FB17B9">
        <w:t>:</w:t>
      </w:r>
    </w:p>
    <w:tbl>
      <w:tblPr>
        <w:tblStyle w:val="5"/>
        <w:tblW w:w="7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2268"/>
        <w:gridCol w:w="2410"/>
      </w:tblGrid>
      <w:tr w:rsidR="00FB17B9" w:rsidRPr="00FB17B9" w14:paraId="7B3CEC34" w14:textId="77777777" w:rsidTr="003C69CD">
        <w:trPr>
          <w:trHeight w:val="250"/>
          <w:tblHeader/>
          <w:jc w:val="center"/>
        </w:trPr>
        <w:tc>
          <w:tcPr>
            <w:tcW w:w="2967" w:type="dxa"/>
            <w:shd w:val="clear" w:color="auto" w:fill="000000" w:themeFill="text1"/>
            <w:tcMar>
              <w:top w:w="100" w:type="dxa"/>
              <w:left w:w="100" w:type="dxa"/>
              <w:bottom w:w="100" w:type="dxa"/>
              <w:right w:w="100" w:type="dxa"/>
            </w:tcMar>
          </w:tcPr>
          <w:p w14:paraId="7636077E" w14:textId="77777777" w:rsidR="005C4247" w:rsidRPr="00FB17B9" w:rsidRDefault="005C4247" w:rsidP="00FB17B9">
            <w:pPr>
              <w:widowControl w:val="0"/>
              <w:pBdr>
                <w:top w:val="nil"/>
                <w:left w:val="nil"/>
                <w:bottom w:val="nil"/>
                <w:right w:val="nil"/>
                <w:between w:val="nil"/>
              </w:pBdr>
              <w:jc w:val="center"/>
              <w:rPr>
                <w:rFonts w:ascii="Palatino Linotype" w:eastAsia="Palatino Linotype" w:hAnsi="Palatino Linotype" w:cs="Palatino Linotype"/>
                <w:b/>
              </w:rPr>
            </w:pPr>
            <w:r w:rsidRPr="00FB17B9">
              <w:rPr>
                <w:rFonts w:ascii="Palatino Linotype" w:eastAsia="Palatino Linotype" w:hAnsi="Palatino Linotype" w:cs="Palatino Linotype"/>
                <w:b/>
              </w:rPr>
              <w:t>Número Recurso</w:t>
            </w:r>
          </w:p>
        </w:tc>
        <w:tc>
          <w:tcPr>
            <w:tcW w:w="2268" w:type="dxa"/>
            <w:shd w:val="clear" w:color="auto" w:fill="000000" w:themeFill="text1"/>
            <w:tcMar>
              <w:top w:w="100" w:type="dxa"/>
              <w:left w:w="100" w:type="dxa"/>
              <w:bottom w:w="100" w:type="dxa"/>
              <w:right w:w="100" w:type="dxa"/>
            </w:tcMar>
          </w:tcPr>
          <w:p w14:paraId="11CA5381" w14:textId="77777777" w:rsidR="005C4247" w:rsidRPr="00FB17B9" w:rsidRDefault="005C4247" w:rsidP="00FB17B9">
            <w:pPr>
              <w:widowControl w:val="0"/>
              <w:pBdr>
                <w:top w:val="nil"/>
                <w:left w:val="nil"/>
                <w:bottom w:val="nil"/>
                <w:right w:val="nil"/>
                <w:between w:val="nil"/>
              </w:pBdr>
              <w:jc w:val="center"/>
              <w:rPr>
                <w:rFonts w:ascii="Palatino Linotype" w:eastAsia="Palatino Linotype" w:hAnsi="Palatino Linotype" w:cs="Palatino Linotype"/>
                <w:b/>
              </w:rPr>
            </w:pPr>
            <w:r w:rsidRPr="00FB17B9">
              <w:rPr>
                <w:rFonts w:ascii="Palatino Linotype" w:eastAsia="Palatino Linotype" w:hAnsi="Palatino Linotype" w:cs="Palatino Linotype"/>
                <w:b/>
              </w:rPr>
              <w:t xml:space="preserve">Acto Impugnado </w:t>
            </w:r>
          </w:p>
        </w:tc>
        <w:tc>
          <w:tcPr>
            <w:tcW w:w="2410" w:type="dxa"/>
            <w:shd w:val="clear" w:color="auto" w:fill="000000" w:themeFill="text1"/>
          </w:tcPr>
          <w:p w14:paraId="19F2308A" w14:textId="77777777" w:rsidR="005C4247" w:rsidRPr="00FB17B9" w:rsidRDefault="005C4247" w:rsidP="00FB17B9">
            <w:pPr>
              <w:widowControl w:val="0"/>
              <w:pBdr>
                <w:top w:val="nil"/>
                <w:left w:val="nil"/>
                <w:bottom w:val="nil"/>
                <w:right w:val="nil"/>
                <w:between w:val="nil"/>
              </w:pBdr>
              <w:jc w:val="center"/>
              <w:rPr>
                <w:rFonts w:ascii="Palatino Linotype" w:eastAsia="Palatino Linotype" w:hAnsi="Palatino Linotype" w:cs="Palatino Linotype"/>
                <w:b/>
              </w:rPr>
            </w:pPr>
            <w:r w:rsidRPr="00FB17B9">
              <w:rPr>
                <w:rFonts w:ascii="Palatino Linotype" w:eastAsia="Palatino Linotype" w:hAnsi="Palatino Linotype" w:cs="Palatino Linotype"/>
                <w:b/>
              </w:rPr>
              <w:t xml:space="preserve">Razones o Motivos de Inconformidad </w:t>
            </w:r>
          </w:p>
        </w:tc>
      </w:tr>
      <w:tr w:rsidR="00FB17B9" w:rsidRPr="00FB17B9" w14:paraId="762524CF" w14:textId="77777777" w:rsidTr="003C69CD">
        <w:trPr>
          <w:trHeight w:val="711"/>
          <w:jc w:val="center"/>
        </w:trPr>
        <w:tc>
          <w:tcPr>
            <w:tcW w:w="2967" w:type="dxa"/>
            <w:tcMar>
              <w:top w:w="100" w:type="dxa"/>
              <w:left w:w="100" w:type="dxa"/>
              <w:bottom w:w="100" w:type="dxa"/>
              <w:right w:w="100" w:type="dxa"/>
            </w:tcMar>
            <w:vAlign w:val="center"/>
          </w:tcPr>
          <w:p w14:paraId="6B3E916E" w14:textId="2F5E4059" w:rsidR="005C4247" w:rsidRPr="00FB17B9" w:rsidRDefault="005C4247" w:rsidP="00FB17B9">
            <w:pPr>
              <w:widowControl w:val="0"/>
              <w:pBdr>
                <w:top w:val="nil"/>
                <w:left w:val="nil"/>
                <w:bottom w:val="nil"/>
                <w:right w:val="nil"/>
                <w:between w:val="nil"/>
              </w:pBdr>
              <w:jc w:val="center"/>
              <w:rPr>
                <w:rFonts w:ascii="Palatino Linotype" w:eastAsia="Palatino Linotype" w:hAnsi="Palatino Linotype" w:cs="Palatino Linotype"/>
              </w:rPr>
            </w:pPr>
            <w:r w:rsidRPr="00FB17B9">
              <w:rPr>
                <w:rFonts w:ascii="Palatino Linotype" w:hAnsi="Palatino Linotype"/>
                <w:b/>
              </w:rPr>
              <w:t>03492/INFOEM/IP/RR/2025</w:t>
            </w:r>
          </w:p>
        </w:tc>
        <w:tc>
          <w:tcPr>
            <w:tcW w:w="2268" w:type="dxa"/>
            <w:tcMar>
              <w:top w:w="100" w:type="dxa"/>
              <w:left w:w="100" w:type="dxa"/>
              <w:bottom w:w="100" w:type="dxa"/>
              <w:right w:w="100" w:type="dxa"/>
            </w:tcMar>
            <w:vAlign w:val="center"/>
          </w:tcPr>
          <w:p w14:paraId="5A5E239E" w14:textId="11AC508D" w:rsidR="005C4247" w:rsidRPr="00FB17B9" w:rsidRDefault="005C4247" w:rsidP="00FB17B9">
            <w:pPr>
              <w:widowControl w:val="0"/>
              <w:pBdr>
                <w:top w:val="nil"/>
                <w:left w:val="nil"/>
                <w:bottom w:val="nil"/>
                <w:right w:val="nil"/>
                <w:between w:val="nil"/>
              </w:pBdr>
              <w:jc w:val="both"/>
              <w:rPr>
                <w:rFonts w:ascii="Palatino Linotype" w:eastAsia="Palatino Linotype" w:hAnsi="Palatino Linotype" w:cs="Palatino Linotype"/>
                <w:i/>
                <w:sz w:val="19"/>
                <w:szCs w:val="19"/>
              </w:rPr>
            </w:pPr>
            <w:r w:rsidRPr="00FB17B9">
              <w:rPr>
                <w:rFonts w:ascii="Palatino Linotype" w:eastAsia="Palatino Linotype" w:hAnsi="Palatino Linotype" w:cs="Palatino Linotype"/>
                <w:i/>
                <w:sz w:val="19"/>
                <w:szCs w:val="19"/>
              </w:rPr>
              <w:t>“Solicito el recibos de nomina de las quincenas enero de la secretaria particular del ayuntamiento, en su versión pública y cuales son sus atribuciones dentro del ayuntamiento.” (Sic)</w:t>
            </w:r>
          </w:p>
        </w:tc>
        <w:tc>
          <w:tcPr>
            <w:tcW w:w="2410" w:type="dxa"/>
            <w:vAlign w:val="center"/>
          </w:tcPr>
          <w:p w14:paraId="68894B93" w14:textId="019B1681" w:rsidR="005C4247" w:rsidRPr="00FB17B9" w:rsidRDefault="005C4247" w:rsidP="00FB17B9">
            <w:pPr>
              <w:widowControl w:val="0"/>
              <w:pBdr>
                <w:top w:val="nil"/>
                <w:left w:val="nil"/>
                <w:bottom w:val="nil"/>
                <w:right w:val="nil"/>
                <w:between w:val="nil"/>
              </w:pBdr>
              <w:jc w:val="both"/>
              <w:rPr>
                <w:rFonts w:ascii="Palatino Linotype" w:eastAsia="Palatino Linotype" w:hAnsi="Palatino Linotype" w:cs="Palatino Linotype"/>
                <w:i/>
                <w:sz w:val="20"/>
              </w:rPr>
            </w:pPr>
            <w:r w:rsidRPr="00FB17B9">
              <w:rPr>
                <w:rFonts w:ascii="Palatino Linotype" w:eastAsia="Palatino Linotype" w:hAnsi="Palatino Linotype" w:cs="Palatino Linotype"/>
                <w:i/>
                <w:sz w:val="20"/>
              </w:rPr>
              <w:t xml:space="preserve">“Se le están solicitando los recibos de nomina de la secretaria particular en su versión pública y pone como escusa que contiene datos financieros que ponen en riesgo la integridad del tesorero, cuando desde un inicio se le solicitaron en versión publica y además son de la secretaria particular, no de tesorero y es una negativa de información pública que manda cada trimestre al OSFEM y su fundamento no tiene razón de ser, por lo que pido INFOEM, LE EXIGA LA ENTREGA </w:t>
            </w:r>
            <w:r w:rsidRPr="00FB17B9">
              <w:rPr>
                <w:rFonts w:ascii="Palatino Linotype" w:eastAsia="Palatino Linotype" w:hAnsi="Palatino Linotype" w:cs="Palatino Linotype"/>
                <w:i/>
                <w:sz w:val="20"/>
              </w:rPr>
              <w:lastRenderedPageBreak/>
              <w:t>DE LA INFORMACION SOLICITADA.” (Sic)</w:t>
            </w:r>
          </w:p>
        </w:tc>
      </w:tr>
      <w:tr w:rsidR="005C4247" w:rsidRPr="00FB17B9" w14:paraId="7DF64EB6" w14:textId="77777777" w:rsidTr="003C69CD">
        <w:trPr>
          <w:trHeight w:val="711"/>
          <w:jc w:val="center"/>
        </w:trPr>
        <w:tc>
          <w:tcPr>
            <w:tcW w:w="2967" w:type="dxa"/>
            <w:tcMar>
              <w:top w:w="100" w:type="dxa"/>
              <w:left w:w="100" w:type="dxa"/>
              <w:bottom w:w="100" w:type="dxa"/>
              <w:right w:w="100" w:type="dxa"/>
            </w:tcMar>
            <w:vAlign w:val="center"/>
          </w:tcPr>
          <w:p w14:paraId="0A02144F" w14:textId="5C6D770E" w:rsidR="005C4247" w:rsidRPr="00FB17B9" w:rsidRDefault="005C4247" w:rsidP="00FB17B9">
            <w:pPr>
              <w:widowControl w:val="0"/>
              <w:pBdr>
                <w:top w:val="nil"/>
                <w:left w:val="nil"/>
                <w:bottom w:val="nil"/>
                <w:right w:val="nil"/>
                <w:between w:val="nil"/>
              </w:pBdr>
              <w:jc w:val="center"/>
              <w:rPr>
                <w:rFonts w:ascii="Palatino Linotype" w:eastAsia="Palatino Linotype" w:hAnsi="Palatino Linotype" w:cs="Palatino Linotype"/>
                <w:b/>
              </w:rPr>
            </w:pPr>
            <w:r w:rsidRPr="00FB17B9">
              <w:rPr>
                <w:rFonts w:ascii="Palatino Linotype" w:hAnsi="Palatino Linotype"/>
                <w:b/>
              </w:rPr>
              <w:lastRenderedPageBreak/>
              <w:t>03493/INFOEM/IP/RR/2025</w:t>
            </w:r>
          </w:p>
        </w:tc>
        <w:tc>
          <w:tcPr>
            <w:tcW w:w="2268" w:type="dxa"/>
            <w:tcMar>
              <w:top w:w="100" w:type="dxa"/>
              <w:left w:w="100" w:type="dxa"/>
              <w:bottom w:w="100" w:type="dxa"/>
              <w:right w:w="100" w:type="dxa"/>
            </w:tcMar>
          </w:tcPr>
          <w:p w14:paraId="0CD1DEF6" w14:textId="1CA4B9DD" w:rsidR="005C4247" w:rsidRPr="00FB17B9" w:rsidRDefault="005C4247" w:rsidP="00FB17B9">
            <w:pPr>
              <w:widowControl w:val="0"/>
              <w:pBdr>
                <w:top w:val="nil"/>
                <w:left w:val="nil"/>
                <w:bottom w:val="nil"/>
                <w:right w:val="nil"/>
                <w:between w:val="nil"/>
              </w:pBdr>
              <w:jc w:val="both"/>
              <w:rPr>
                <w:rFonts w:ascii="Palatino Linotype" w:eastAsia="Palatino Linotype" w:hAnsi="Palatino Linotype" w:cs="Palatino Linotype"/>
                <w:i/>
                <w:sz w:val="19"/>
                <w:szCs w:val="19"/>
              </w:rPr>
            </w:pPr>
            <w:r w:rsidRPr="00FB17B9">
              <w:rPr>
                <w:rFonts w:ascii="Palatino Linotype" w:eastAsia="Palatino Linotype" w:hAnsi="Palatino Linotype" w:cs="Palatino Linotype"/>
                <w:i/>
                <w:sz w:val="19"/>
                <w:szCs w:val="19"/>
              </w:rPr>
              <w:t>“Solicito los recibo de nomina del tesorero de las quincenas de enero 2025 y sus funciones dentro del ayuntamiento 2025-2027, aclarando que sea en versión publica y exhortando que no realice fundamentaciones sin sentido, toda vez que es un servidor público y su información es pública, con excepciones que marca la ley, además de adjuntar su experiencia para estar en cargo como tesorero como lo marca el articulo 32 de la ley orgánica municipal vigente” (Sic)</w:t>
            </w:r>
          </w:p>
        </w:tc>
        <w:tc>
          <w:tcPr>
            <w:tcW w:w="2410" w:type="dxa"/>
          </w:tcPr>
          <w:p w14:paraId="6A63490C" w14:textId="2E2B65B5" w:rsidR="005C4247" w:rsidRPr="00FB17B9" w:rsidRDefault="005C4247" w:rsidP="00FB17B9">
            <w:pPr>
              <w:widowControl w:val="0"/>
              <w:pBdr>
                <w:top w:val="nil"/>
                <w:left w:val="nil"/>
                <w:bottom w:val="nil"/>
                <w:right w:val="nil"/>
                <w:between w:val="nil"/>
              </w:pBdr>
              <w:jc w:val="both"/>
              <w:rPr>
                <w:rFonts w:ascii="Palatino Linotype" w:eastAsia="Palatino Linotype" w:hAnsi="Palatino Linotype" w:cs="Palatino Linotype"/>
                <w:i/>
                <w:sz w:val="20"/>
              </w:rPr>
            </w:pPr>
            <w:r w:rsidRPr="00FB17B9">
              <w:rPr>
                <w:rFonts w:ascii="Palatino Linotype" w:eastAsia="Palatino Linotype" w:hAnsi="Palatino Linotype" w:cs="Palatino Linotype"/>
                <w:i/>
                <w:sz w:val="20"/>
              </w:rPr>
              <w:t xml:space="preserve">“El motivo de inconformidad, es que deje en claro que no realizara fundamentaciones sin sentido, dejando en claro al INFOEM, que la información solicitada es en su versión pública, por lo que el tesorero municipal, volviendo hacer mención " que se pone información con la situación financiera y coloca en riesgo la integridad de la persona que funge como tesorero del Ayuntamiento de Texcalyacac, Estado de México" además que cambia la modalidad de la entrega sin fundamentos claros, por lo que solicito al INFOEM le deje en claro que es un servidor público, y que la entrega de la información no lo pone en riesgo, por es información pública y fue en la modalidad que se le solicito, ahora bien se pregunto por su experiencia, no que mencionara que tiene 6 meses para subsanar algún requisito, que eso ni la ley lo menciona, solo dice que </w:t>
            </w:r>
            <w:r w:rsidRPr="00FB17B9">
              <w:rPr>
                <w:rFonts w:ascii="Palatino Linotype" w:eastAsia="Palatino Linotype" w:hAnsi="Palatino Linotype" w:cs="Palatino Linotype"/>
                <w:i/>
                <w:sz w:val="20"/>
              </w:rPr>
              <w:lastRenderedPageBreak/>
              <w:t>en 6 meses debe presentar su certificación.” (Sic)</w:t>
            </w:r>
          </w:p>
        </w:tc>
      </w:tr>
    </w:tbl>
    <w:p w14:paraId="2D521EB7" w14:textId="79B9ACCC" w:rsidR="005C4247" w:rsidRPr="00FB17B9" w:rsidRDefault="005C4247" w:rsidP="00FB17B9">
      <w:pPr>
        <w:spacing w:after="240"/>
        <w:ind w:right="-28"/>
      </w:pPr>
    </w:p>
    <w:p w14:paraId="09DA9A04" w14:textId="77777777" w:rsidR="00617A93" w:rsidRPr="00FB17B9" w:rsidRDefault="006350FD" w:rsidP="00FB17B9">
      <w:pPr>
        <w:pStyle w:val="Ttulo3"/>
      </w:pPr>
      <w:bookmarkStart w:id="14" w:name="_Toc205933143"/>
      <w:r w:rsidRPr="00FB17B9">
        <w:t>b) Turno de los Recursos de Revisión</w:t>
      </w:r>
      <w:bookmarkEnd w:id="14"/>
    </w:p>
    <w:p w14:paraId="22533C9C" w14:textId="3E5B0C08" w:rsidR="00617A93" w:rsidRPr="00FB17B9" w:rsidRDefault="006350FD" w:rsidP="00FB17B9">
      <w:pPr>
        <w:spacing w:after="240"/>
      </w:pPr>
      <w:r w:rsidRPr="00FB17B9">
        <w:t>Con fundamento en el artículo 185, fracción I de la Ley de Transparencia y Acceso a la Información Pública del Estado de México y Municipios, e</w:t>
      </w:r>
      <w:r w:rsidR="00412D7E" w:rsidRPr="00FB17B9">
        <w:t>l</w:t>
      </w:r>
      <w:r w:rsidRPr="00FB17B9">
        <w:t xml:space="preserve"> </w:t>
      </w:r>
      <w:r w:rsidR="00D33781" w:rsidRPr="00FB17B9">
        <w:rPr>
          <w:b/>
        </w:rPr>
        <w:t>veinticinco de marzo</w:t>
      </w:r>
      <w:r w:rsidR="00412D7E" w:rsidRPr="00FB17B9">
        <w:rPr>
          <w:b/>
        </w:rPr>
        <w:t xml:space="preserve"> </w:t>
      </w:r>
      <w:r w:rsidRPr="00FB17B9">
        <w:rPr>
          <w:b/>
        </w:rPr>
        <w:t>de dos mil veinticinco</w:t>
      </w:r>
      <w:r w:rsidRPr="00FB17B9">
        <w:t xml:space="preserve"> se turnaron los recursos de revisión a través del </w:t>
      </w:r>
      <w:r w:rsidRPr="00FB17B9">
        <w:rPr>
          <w:b/>
        </w:rPr>
        <w:t>SAIMEX</w:t>
      </w:r>
      <w:r w:rsidRPr="00FB17B9">
        <w:t xml:space="preserve"> de la siguiente manera; el recurso de revisión </w:t>
      </w:r>
      <w:r w:rsidR="005C4247" w:rsidRPr="00FB17B9">
        <w:rPr>
          <w:b/>
        </w:rPr>
        <w:t>034</w:t>
      </w:r>
      <w:r w:rsidR="00412D7E" w:rsidRPr="00FB17B9">
        <w:rPr>
          <w:b/>
        </w:rPr>
        <w:t xml:space="preserve">92/INFOEM/IP/RR/2025 </w:t>
      </w:r>
      <w:r w:rsidRPr="00FB17B9">
        <w:t xml:space="preserve">a la </w:t>
      </w:r>
      <w:r w:rsidRPr="00FB17B9">
        <w:rPr>
          <w:b/>
        </w:rPr>
        <w:t>Comisionada Sharon Cristina Morales Martínez</w:t>
      </w:r>
      <w:r w:rsidRPr="00FB17B9">
        <w:t xml:space="preserve"> y el recurso de revisión </w:t>
      </w:r>
      <w:r w:rsidR="00412D7E" w:rsidRPr="00FB17B9">
        <w:rPr>
          <w:b/>
        </w:rPr>
        <w:t>0</w:t>
      </w:r>
      <w:r w:rsidR="005C4247" w:rsidRPr="00FB17B9">
        <w:rPr>
          <w:b/>
        </w:rPr>
        <w:t>3</w:t>
      </w:r>
      <w:r w:rsidR="00412D7E" w:rsidRPr="00FB17B9">
        <w:rPr>
          <w:b/>
        </w:rPr>
        <w:t>49</w:t>
      </w:r>
      <w:r w:rsidR="005C4247" w:rsidRPr="00FB17B9">
        <w:rPr>
          <w:b/>
        </w:rPr>
        <w:t>3</w:t>
      </w:r>
      <w:r w:rsidR="00412D7E" w:rsidRPr="00FB17B9">
        <w:rPr>
          <w:b/>
        </w:rPr>
        <w:t xml:space="preserve">/INFOEM/IP/RR/2025 </w:t>
      </w:r>
      <w:r w:rsidRPr="00FB17B9">
        <w:t xml:space="preserve">a la </w:t>
      </w:r>
      <w:r w:rsidRPr="00FB17B9">
        <w:rPr>
          <w:b/>
        </w:rPr>
        <w:t xml:space="preserve">Comisionada </w:t>
      </w:r>
      <w:r w:rsidR="005C4247" w:rsidRPr="00FB17B9">
        <w:rPr>
          <w:b/>
        </w:rPr>
        <w:t>María del Rosario Mejía Ayala</w:t>
      </w:r>
      <w:r w:rsidRPr="00FB17B9">
        <w:rPr>
          <w:b/>
        </w:rPr>
        <w:t xml:space="preserve"> </w:t>
      </w:r>
      <w:r w:rsidRPr="00FB17B9">
        <w:t xml:space="preserve">a efecto de decretar su admisión o desechamiento. </w:t>
      </w:r>
    </w:p>
    <w:p w14:paraId="7DB1D921" w14:textId="77777777" w:rsidR="00617A93" w:rsidRPr="00FB17B9" w:rsidRDefault="006350FD" w:rsidP="00FB17B9">
      <w:pPr>
        <w:pStyle w:val="Ttulo3"/>
      </w:pPr>
      <w:bookmarkStart w:id="15" w:name="_Toc205933144"/>
      <w:r w:rsidRPr="00FB17B9">
        <w:t>c) Admisión de los Recursos de Revisión</w:t>
      </w:r>
      <w:bookmarkEnd w:id="15"/>
    </w:p>
    <w:p w14:paraId="2AE3B01D" w14:textId="0EAA6860" w:rsidR="00617A93" w:rsidRPr="00FB17B9" w:rsidRDefault="006350FD" w:rsidP="00FB17B9">
      <w:r w:rsidRPr="00FB17B9">
        <w:t xml:space="preserve">En fechas </w:t>
      </w:r>
      <w:r w:rsidR="00D33781" w:rsidRPr="00FB17B9">
        <w:rPr>
          <w:b/>
        </w:rPr>
        <w:t>veintiséis de marzo</w:t>
      </w:r>
      <w:r w:rsidRPr="00FB17B9">
        <w:rPr>
          <w:b/>
        </w:rPr>
        <w:t xml:space="preserve"> </w:t>
      </w:r>
      <w:r w:rsidR="00D33781" w:rsidRPr="00FB17B9">
        <w:rPr>
          <w:b/>
        </w:rPr>
        <w:t xml:space="preserve">y dos de abril </w:t>
      </w:r>
      <w:r w:rsidRPr="00FB17B9">
        <w:rPr>
          <w:b/>
        </w:rPr>
        <w:t xml:space="preserve">dos mil veinticinco, </w:t>
      </w:r>
      <w:r w:rsidRPr="00FB17B9">
        <w:t>se acordó la admisión a trámite de los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A72F368" w14:textId="77777777" w:rsidR="00D33781" w:rsidRPr="00FB17B9" w:rsidRDefault="00D33781" w:rsidP="00FB17B9"/>
    <w:p w14:paraId="129598E5" w14:textId="77777777" w:rsidR="00617A93" w:rsidRPr="00FB17B9" w:rsidRDefault="006350FD" w:rsidP="00FB17B9">
      <w:pPr>
        <w:pStyle w:val="Ttulo3"/>
      </w:pPr>
      <w:bookmarkStart w:id="16" w:name="_Toc205933145"/>
      <w:r w:rsidRPr="00FB17B9">
        <w:t>d) Informes Justificados del Sujeto Obligado</w:t>
      </w:r>
      <w:bookmarkEnd w:id="16"/>
    </w:p>
    <w:p w14:paraId="4F5736DF" w14:textId="18BF8536" w:rsidR="00DF0ED0" w:rsidRPr="00FB17B9" w:rsidRDefault="00D33781" w:rsidP="00FB17B9">
      <w:pPr>
        <w:spacing w:after="240"/>
        <w:rPr>
          <w:rFonts w:eastAsia="Calibri" w:cs="Tahoma"/>
          <w:lang w:eastAsia="en-US"/>
        </w:rPr>
      </w:pPr>
      <w:r w:rsidRPr="00FB17B9">
        <w:rPr>
          <w:rFonts w:cs="Tahoma"/>
          <w:bCs/>
          <w:szCs w:val="24"/>
        </w:rPr>
        <w:t>E</w:t>
      </w:r>
      <w:r w:rsidR="00CF4EA5" w:rsidRPr="00FB17B9">
        <w:rPr>
          <w:rFonts w:cs="Tahoma"/>
          <w:bCs/>
          <w:szCs w:val="24"/>
        </w:rPr>
        <w:t xml:space="preserve">l </w:t>
      </w:r>
      <w:r w:rsidR="00CF4EA5" w:rsidRPr="00FB17B9">
        <w:rPr>
          <w:rFonts w:cs="Tahoma"/>
          <w:b/>
          <w:bCs/>
          <w:szCs w:val="24"/>
        </w:rPr>
        <w:t>treinta y uno de marzo</w:t>
      </w:r>
      <w:r w:rsidRPr="00FB17B9">
        <w:rPr>
          <w:rFonts w:cs="Tahoma"/>
          <w:bCs/>
          <w:szCs w:val="24"/>
        </w:rPr>
        <w:t xml:space="preserve"> </w:t>
      </w:r>
      <w:r w:rsidRPr="00FB17B9">
        <w:rPr>
          <w:rFonts w:cs="Tahoma"/>
          <w:b/>
          <w:szCs w:val="24"/>
        </w:rPr>
        <w:t>de dos mil veinticinco EL SUJETO OBLIGADO</w:t>
      </w:r>
      <w:r w:rsidRPr="00FB17B9">
        <w:rPr>
          <w:rFonts w:cs="Tahoma"/>
          <w:bCs/>
          <w:szCs w:val="24"/>
        </w:rPr>
        <w:t xml:space="preserve"> rindió </w:t>
      </w:r>
      <w:r w:rsidR="00CF4EA5" w:rsidRPr="00FB17B9">
        <w:rPr>
          <w:rFonts w:cs="Tahoma"/>
          <w:bCs/>
          <w:szCs w:val="24"/>
        </w:rPr>
        <w:t xml:space="preserve">únicamente </w:t>
      </w:r>
      <w:r w:rsidRPr="00FB17B9">
        <w:rPr>
          <w:rFonts w:cs="Tahoma"/>
          <w:bCs/>
          <w:szCs w:val="24"/>
        </w:rPr>
        <w:t>su informe justificado</w:t>
      </w:r>
      <w:r w:rsidR="00CF4EA5" w:rsidRPr="00FB17B9">
        <w:rPr>
          <w:rFonts w:cs="Tahoma"/>
          <w:bCs/>
          <w:szCs w:val="24"/>
        </w:rPr>
        <w:t xml:space="preserve"> para el Recurso de Revisión </w:t>
      </w:r>
      <w:r w:rsidR="00CF4EA5" w:rsidRPr="00FB17B9">
        <w:rPr>
          <w:rFonts w:cs="Tahoma"/>
          <w:b/>
          <w:bCs/>
          <w:szCs w:val="24"/>
        </w:rPr>
        <w:t>03492/INFOEM/IP/RR/2025</w:t>
      </w:r>
      <w:r w:rsidR="002036B3" w:rsidRPr="00FB17B9">
        <w:rPr>
          <w:rFonts w:cs="Tahoma"/>
          <w:bCs/>
          <w:szCs w:val="24"/>
        </w:rPr>
        <w:t xml:space="preserve"> a </w:t>
      </w:r>
      <w:r w:rsidR="00DF0ED0" w:rsidRPr="00FB17B9">
        <w:rPr>
          <w:rFonts w:cs="Tahoma"/>
          <w:bCs/>
          <w:szCs w:val="24"/>
        </w:rPr>
        <w:t>través del SAIMEX</w:t>
      </w:r>
      <w:r w:rsidR="00DF0ED0" w:rsidRPr="00FB17B9">
        <w:rPr>
          <w:rFonts w:eastAsia="Calibri" w:cs="Tahoma"/>
          <w:lang w:eastAsia="en-US"/>
        </w:rPr>
        <w:t>:</w:t>
      </w:r>
    </w:p>
    <w:p w14:paraId="02767335" w14:textId="77777777" w:rsidR="00DF0ED0" w:rsidRPr="00FB17B9" w:rsidRDefault="00DF0ED0" w:rsidP="00FB17B9">
      <w:pPr>
        <w:spacing w:after="240"/>
        <w:ind w:right="-28"/>
      </w:pPr>
      <w:r w:rsidRPr="00FB17B9">
        <w:lastRenderedPageBreak/>
        <w:t xml:space="preserve">Asimismo, </w:t>
      </w:r>
      <w:r w:rsidRPr="00FB17B9">
        <w:rPr>
          <w:b/>
        </w:rPr>
        <w:t xml:space="preserve">EL SUJETO OBLIGADO </w:t>
      </w:r>
      <w:r w:rsidRPr="00FB17B9">
        <w:t>adjuntó los siguientes archivos electrónicos:</w:t>
      </w:r>
    </w:p>
    <w:p w14:paraId="414E0C89" w14:textId="406CEFB3" w:rsidR="00D33781" w:rsidRPr="00FB17B9" w:rsidRDefault="00D33781" w:rsidP="00FB17B9">
      <w:pPr>
        <w:pStyle w:val="Prrafodelista"/>
        <w:numPr>
          <w:ilvl w:val="0"/>
          <w:numId w:val="2"/>
        </w:numPr>
      </w:pPr>
      <w:r w:rsidRPr="00FB17B9">
        <w:rPr>
          <w:b/>
          <w:i/>
        </w:rPr>
        <w:t>“</w:t>
      </w:r>
      <w:r w:rsidR="00554A34" w:rsidRPr="00FB17B9">
        <w:rPr>
          <w:b/>
          <w:i/>
        </w:rPr>
        <w:t>Recibo nomina secretaria part.pdf</w:t>
      </w:r>
      <w:r w:rsidRPr="00FB17B9">
        <w:rPr>
          <w:b/>
          <w:i/>
        </w:rPr>
        <w:t>”</w:t>
      </w:r>
      <w:r w:rsidRPr="00FB17B9">
        <w:t>, el</w:t>
      </w:r>
      <w:r w:rsidR="003C69CD" w:rsidRPr="00FB17B9">
        <w:t xml:space="preserve"> que consiste en el</w:t>
      </w:r>
      <w:r w:rsidRPr="00FB17B9">
        <w:t xml:space="preserve"> oficio </w:t>
      </w:r>
      <w:r w:rsidR="003C69CD" w:rsidRPr="00FB17B9">
        <w:t>de</w:t>
      </w:r>
      <w:r w:rsidRPr="00FB17B9">
        <w:t xml:space="preserve"> número </w:t>
      </w:r>
      <w:r w:rsidR="003C69CD" w:rsidRPr="00FB17B9">
        <w:t>TM-TEXCA/0119/03/2025 del veintiocho de marzo de dos mil veinticinco, dirigido a la Jefa</w:t>
      </w:r>
      <w:r w:rsidRPr="00FB17B9">
        <w:t xml:space="preserve"> de Transparencia, mediante el cual </w:t>
      </w:r>
      <w:r w:rsidR="003C69CD" w:rsidRPr="00FB17B9">
        <w:t>el Tesorero Municipal remite la información requerida.</w:t>
      </w:r>
    </w:p>
    <w:p w14:paraId="1C1E55B3" w14:textId="39D13359" w:rsidR="003C69CD" w:rsidRPr="00FB17B9" w:rsidRDefault="00D33781" w:rsidP="00FB17B9">
      <w:pPr>
        <w:pStyle w:val="Prrafodelista"/>
        <w:numPr>
          <w:ilvl w:val="0"/>
          <w:numId w:val="2"/>
        </w:numPr>
        <w:spacing w:after="240"/>
        <w:ind w:right="-28"/>
        <w:rPr>
          <w:rFonts w:cs="Tahoma"/>
          <w:bCs/>
          <w:szCs w:val="24"/>
        </w:rPr>
      </w:pPr>
      <w:r w:rsidRPr="00FB17B9">
        <w:rPr>
          <w:b/>
          <w:i/>
        </w:rPr>
        <w:t>“</w:t>
      </w:r>
      <w:r w:rsidR="00554A34" w:rsidRPr="00FB17B9">
        <w:rPr>
          <w:b/>
          <w:i/>
        </w:rPr>
        <w:t>Documento 3.pdf</w:t>
      </w:r>
      <w:r w:rsidRPr="00FB17B9">
        <w:rPr>
          <w:b/>
          <w:i/>
        </w:rPr>
        <w:t xml:space="preserve">”, </w:t>
      </w:r>
      <w:r w:rsidRPr="00FB17B9">
        <w:t xml:space="preserve">el que consiste </w:t>
      </w:r>
      <w:r w:rsidR="00A357C5" w:rsidRPr="00FB17B9">
        <w:t xml:space="preserve">en dos recibos de nómina </w:t>
      </w:r>
      <w:r w:rsidR="003C69CD" w:rsidRPr="00FB17B9">
        <w:t xml:space="preserve">de la Secretaría particular </w:t>
      </w:r>
      <w:r w:rsidR="00A357C5" w:rsidRPr="00FB17B9">
        <w:t xml:space="preserve">en versión pública </w:t>
      </w:r>
      <w:r w:rsidR="003C69CD" w:rsidRPr="00FB17B9">
        <w:t>correspondientes al</w:t>
      </w:r>
      <w:r w:rsidR="00A357C5" w:rsidRPr="00FB17B9">
        <w:t xml:space="preserve"> mes de enero de dos mil </w:t>
      </w:r>
      <w:r w:rsidR="003C69CD" w:rsidRPr="00FB17B9">
        <w:t xml:space="preserve">veinticinco. </w:t>
      </w:r>
    </w:p>
    <w:p w14:paraId="4B64985C" w14:textId="03915664" w:rsidR="00D33781" w:rsidRPr="00FB17B9" w:rsidRDefault="00D33781" w:rsidP="00FB17B9">
      <w:pPr>
        <w:spacing w:after="240"/>
        <w:ind w:right="-28"/>
        <w:rPr>
          <w:rFonts w:cs="Tahoma"/>
          <w:bCs/>
          <w:szCs w:val="24"/>
        </w:rPr>
      </w:pPr>
      <w:r w:rsidRPr="00FB17B9">
        <w:rPr>
          <w:rFonts w:cs="Tahoma"/>
          <w:bCs/>
          <w:szCs w:val="24"/>
        </w:rPr>
        <w:t xml:space="preserve">Esta información fue puesta a la vista de </w:t>
      </w:r>
      <w:r w:rsidRPr="00FB17B9">
        <w:rPr>
          <w:rFonts w:cs="Tahoma"/>
          <w:b/>
          <w:szCs w:val="24"/>
        </w:rPr>
        <w:t xml:space="preserve">LA PARTE RECURRENTE </w:t>
      </w:r>
      <w:r w:rsidRPr="00FB17B9">
        <w:rPr>
          <w:rFonts w:cs="Tahoma"/>
          <w:bCs/>
          <w:szCs w:val="24"/>
        </w:rPr>
        <w:t xml:space="preserve">el </w:t>
      </w:r>
      <w:r w:rsidR="003C69CD" w:rsidRPr="00FB17B9">
        <w:rPr>
          <w:rFonts w:cs="Tahoma"/>
          <w:b/>
          <w:szCs w:val="24"/>
        </w:rPr>
        <w:t>primero de abril</w:t>
      </w:r>
      <w:r w:rsidRPr="00FB17B9">
        <w:rPr>
          <w:rFonts w:cs="Tahoma"/>
          <w:b/>
          <w:szCs w:val="24"/>
        </w:rPr>
        <w:t xml:space="preserve"> de dos mil veinticinco</w:t>
      </w:r>
      <w:r w:rsidRPr="00FB17B9">
        <w:rPr>
          <w:rFonts w:cs="Tahoma"/>
          <w:bCs/>
          <w:szCs w:val="24"/>
        </w:rPr>
        <w:t xml:space="preserve"> para que, en un plazo de tres días hábiles, manifestara lo que a su derecho conviniera, de conformidad con lo establecido en el </w:t>
      </w:r>
      <w:r w:rsidRPr="00FB17B9">
        <w:rPr>
          <w:rFonts w:cs="Arial"/>
        </w:rPr>
        <w:t>artículo 185, fracción III de la Ley de Transparencia y Acceso a la Información Pública del Estado de México y Municipios</w:t>
      </w:r>
      <w:r w:rsidRPr="00FB17B9">
        <w:rPr>
          <w:rFonts w:cs="Tahoma"/>
          <w:bCs/>
          <w:szCs w:val="24"/>
        </w:rPr>
        <w:t>.</w:t>
      </w:r>
    </w:p>
    <w:p w14:paraId="74F68555" w14:textId="77777777" w:rsidR="00617A93" w:rsidRPr="00FB17B9" w:rsidRDefault="006350FD" w:rsidP="00FB17B9">
      <w:pPr>
        <w:pStyle w:val="Ttulo3"/>
      </w:pPr>
      <w:bookmarkStart w:id="17" w:name="_Toc205933146"/>
      <w:r w:rsidRPr="00FB17B9">
        <w:t>e) Manifestaciones de la Parte Recurrente</w:t>
      </w:r>
      <w:bookmarkEnd w:id="17"/>
    </w:p>
    <w:p w14:paraId="3065FFC5" w14:textId="7F8E0A25" w:rsidR="00617A93" w:rsidRPr="00FB17B9" w:rsidRDefault="006350FD" w:rsidP="00FB17B9">
      <w:pPr>
        <w:spacing w:after="240"/>
      </w:pPr>
      <w:r w:rsidRPr="00FB17B9">
        <w:rPr>
          <w:b/>
        </w:rPr>
        <w:t xml:space="preserve">LA PARTE RECURRENTE </w:t>
      </w:r>
      <w:r w:rsidRPr="00FB17B9">
        <w:t xml:space="preserve">realizó </w:t>
      </w:r>
      <w:r w:rsidR="003C69CD" w:rsidRPr="00FB17B9">
        <w:t xml:space="preserve">sus manifestaciones únicamente en lo que respecta al recurso de revisión </w:t>
      </w:r>
      <w:r w:rsidR="003C69CD" w:rsidRPr="00FB17B9">
        <w:rPr>
          <w:b/>
        </w:rPr>
        <w:t>03493/INFOEM/IP/RR/2025</w:t>
      </w:r>
      <w:r w:rsidR="003C69CD" w:rsidRPr="00FB17B9">
        <w:t xml:space="preserve">, el </w:t>
      </w:r>
      <w:r w:rsidR="003C69CD" w:rsidRPr="00FB17B9">
        <w:rPr>
          <w:b/>
        </w:rPr>
        <w:t>seis de mayo de dos mil veinticinco</w:t>
      </w:r>
      <w:r w:rsidR="003C69CD" w:rsidRPr="00FB17B9">
        <w:t xml:space="preserve">, a través del documento denominado </w:t>
      </w:r>
      <w:r w:rsidR="003C69CD" w:rsidRPr="00FB17B9">
        <w:rPr>
          <w:b/>
          <w:i/>
        </w:rPr>
        <w:t>“Continuidad al proceso.docx”</w:t>
      </w:r>
      <w:r w:rsidR="003C69CD" w:rsidRPr="00FB17B9">
        <w:t>, mediante el cual manifestó lo siguiente:</w:t>
      </w:r>
    </w:p>
    <w:p w14:paraId="46DB2C74" w14:textId="3C174895" w:rsidR="003C69CD" w:rsidRPr="00FB17B9" w:rsidRDefault="003C69CD" w:rsidP="00FB17B9">
      <w:pPr>
        <w:spacing w:after="240" w:line="240" w:lineRule="auto"/>
        <w:ind w:left="851" w:right="822"/>
        <w:rPr>
          <w:i/>
        </w:rPr>
      </w:pPr>
      <w:r w:rsidRPr="00FB17B9">
        <w:rPr>
          <w:i/>
        </w:rPr>
        <w:t>“Con la finalidad de retrasar la entrega de información por parte del Sujeto Obligado, solicito al INFOEM, pueda dar continuidad al proceso, toda vez que se ha negado la información solicitada, con argumentos, que carecen de lógica, toda vez que la ley establece como entregar la información en su versión pública.” (Sic)</w:t>
      </w:r>
    </w:p>
    <w:p w14:paraId="54120600" w14:textId="77777777" w:rsidR="00617A93" w:rsidRPr="00FB17B9" w:rsidRDefault="006350FD" w:rsidP="00FB17B9">
      <w:pPr>
        <w:pStyle w:val="Ttulo3"/>
      </w:pPr>
      <w:bookmarkStart w:id="18" w:name="_Toc205933147"/>
      <w:r w:rsidRPr="00FB17B9">
        <w:t>f) Acumulación de los Recursos de Revisión</w:t>
      </w:r>
      <w:bookmarkEnd w:id="18"/>
    </w:p>
    <w:p w14:paraId="527D1B3F" w14:textId="2953CAE5" w:rsidR="00617A93" w:rsidRPr="00FB17B9" w:rsidRDefault="006350FD" w:rsidP="00FB17B9">
      <w:pPr>
        <w:spacing w:after="240"/>
      </w:pPr>
      <w:bookmarkStart w:id="19" w:name="_heading=h.clbfurdaqgid" w:colFirst="0" w:colLast="0"/>
      <w:bookmarkEnd w:id="19"/>
      <w:r w:rsidRPr="00FB17B9">
        <w:t xml:space="preserve">Por economía procesal y con la finalidad de evitar resoluciones contradictorias, mediante acuerdo del </w:t>
      </w:r>
      <w:r w:rsidR="00DF0ED0" w:rsidRPr="00FB17B9">
        <w:rPr>
          <w:b/>
        </w:rPr>
        <w:t>dos de abril</w:t>
      </w:r>
      <w:r w:rsidRPr="00FB17B9">
        <w:rPr>
          <w:b/>
        </w:rPr>
        <w:t xml:space="preserve"> de dos mil veinticinco</w:t>
      </w:r>
      <w:r w:rsidRPr="00FB17B9">
        <w:t xml:space="preserve">, el Pleno de este Instituto determinó </w:t>
      </w:r>
      <w:r w:rsidR="009E7AF4" w:rsidRPr="00FB17B9">
        <w:t xml:space="preserve">en la </w:t>
      </w:r>
      <w:r w:rsidR="009E7AF4" w:rsidRPr="00FB17B9">
        <w:rPr>
          <w:b/>
        </w:rPr>
        <w:t xml:space="preserve">Décima </w:t>
      </w:r>
      <w:r w:rsidR="00412D7E" w:rsidRPr="00FB17B9">
        <w:rPr>
          <w:b/>
        </w:rPr>
        <w:t>S</w:t>
      </w:r>
      <w:r w:rsidR="00DF0ED0" w:rsidRPr="00FB17B9">
        <w:rPr>
          <w:b/>
        </w:rPr>
        <w:t>egunda</w:t>
      </w:r>
      <w:r w:rsidR="009E7AF4" w:rsidRPr="00FB17B9">
        <w:rPr>
          <w:b/>
        </w:rPr>
        <w:t xml:space="preserve"> Sesión Ordinaria</w:t>
      </w:r>
      <w:r w:rsidR="009E7AF4" w:rsidRPr="00FB17B9">
        <w:t xml:space="preserve"> </w:t>
      </w:r>
      <w:r w:rsidRPr="00FB17B9">
        <w:t>acumular los Recursos de Revisión</w:t>
      </w:r>
      <w:r w:rsidR="00DF0ED0" w:rsidRPr="00FB17B9">
        <w:rPr>
          <w:b/>
        </w:rPr>
        <w:t xml:space="preserve"> </w:t>
      </w:r>
      <w:r w:rsidR="00DF0ED0" w:rsidRPr="00FB17B9">
        <w:rPr>
          <w:b/>
        </w:rPr>
        <w:lastRenderedPageBreak/>
        <w:t>034</w:t>
      </w:r>
      <w:r w:rsidR="00412D7E" w:rsidRPr="00FB17B9">
        <w:rPr>
          <w:b/>
        </w:rPr>
        <w:t>9</w:t>
      </w:r>
      <w:r w:rsidR="00DF0ED0" w:rsidRPr="00FB17B9">
        <w:rPr>
          <w:b/>
        </w:rPr>
        <w:t>3</w:t>
      </w:r>
      <w:r w:rsidR="009E7AF4" w:rsidRPr="00FB17B9">
        <w:rPr>
          <w:b/>
        </w:rPr>
        <w:t>/INFOEM/IP/RR/2025 al 0</w:t>
      </w:r>
      <w:r w:rsidR="00DF0ED0" w:rsidRPr="00FB17B9">
        <w:rPr>
          <w:b/>
        </w:rPr>
        <w:t>3492</w:t>
      </w:r>
      <w:r w:rsidRPr="00FB17B9">
        <w:rPr>
          <w:b/>
        </w:rPr>
        <w:t xml:space="preserve">/INFOEM/IP/RR/2025 </w:t>
      </w:r>
      <w:r w:rsidRPr="00FB17B9">
        <w:t>por ser este el más antiguo, acordando la elaboración del proyecto de resolución por parte de la Comisionada Sharon Cristina Morales Martínez.</w:t>
      </w:r>
    </w:p>
    <w:p w14:paraId="066F915E" w14:textId="77777777" w:rsidR="00617A93" w:rsidRPr="00FB17B9" w:rsidRDefault="006350FD" w:rsidP="00FB17B9">
      <w:pPr>
        <w:pStyle w:val="Ttulo3"/>
      </w:pPr>
      <w:bookmarkStart w:id="20" w:name="_Toc205933148"/>
      <w:r w:rsidRPr="00FB17B9">
        <w:t>g) Ampliación de Plazo para Resolver</w:t>
      </w:r>
      <w:bookmarkEnd w:id="20"/>
    </w:p>
    <w:p w14:paraId="01287F52" w14:textId="7ED0B8B4" w:rsidR="00617A93" w:rsidRPr="00FB17B9" w:rsidRDefault="006350FD" w:rsidP="00FB17B9">
      <w:pPr>
        <w:spacing w:after="240"/>
      </w:pPr>
      <w:r w:rsidRPr="00FB17B9">
        <w:t xml:space="preserve">El </w:t>
      </w:r>
      <w:r w:rsidR="00DF0ED0" w:rsidRPr="00FB17B9">
        <w:rPr>
          <w:b/>
        </w:rPr>
        <w:t>seis de agosto</w:t>
      </w:r>
      <w:r w:rsidRPr="00FB17B9">
        <w:rPr>
          <w:b/>
        </w:rPr>
        <w:t xml:space="preserve"> de dos mil veinticinco</w:t>
      </w:r>
      <w:r w:rsidRPr="00FB17B9">
        <w:t>, se notificó el acuerdo de ampliación de plazo para resolver el presente Recurso de Revisión, previsto en el artículo 181, tercer párrafo de la Ley de Transparencia y Acceso a la Información Pública del Estado de México y Municipios.</w:t>
      </w:r>
    </w:p>
    <w:p w14:paraId="30AE1004" w14:textId="77777777" w:rsidR="005D65B0" w:rsidRPr="00FB17B9" w:rsidRDefault="005D65B0" w:rsidP="00FB17B9">
      <w:pPr>
        <w:rPr>
          <w:rFonts w:eastAsia="Times New Roman" w:cs="Arial"/>
          <w:szCs w:val="20"/>
        </w:rPr>
      </w:pPr>
      <w:r w:rsidRPr="00FB17B9">
        <w:rPr>
          <w:rFonts w:eastAsia="Times New Roman" w:cs="Arial"/>
          <w:szCs w:val="2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0A923AD" w14:textId="77777777" w:rsidR="005D65B0" w:rsidRPr="00FB17B9" w:rsidRDefault="005D65B0" w:rsidP="00FB17B9">
      <w:pPr>
        <w:rPr>
          <w:rFonts w:eastAsia="Times New Roman" w:cs="Arial"/>
          <w:szCs w:val="20"/>
        </w:rPr>
      </w:pPr>
    </w:p>
    <w:p w14:paraId="13CA5C7F" w14:textId="77777777" w:rsidR="005D65B0" w:rsidRPr="00FB17B9" w:rsidRDefault="005D65B0" w:rsidP="00FB17B9">
      <w:pPr>
        <w:rPr>
          <w:rFonts w:eastAsia="Times New Roman" w:cs="Arial"/>
          <w:szCs w:val="20"/>
        </w:rPr>
      </w:pPr>
      <w:r w:rsidRPr="00FB17B9">
        <w:rPr>
          <w:rFonts w:eastAsia="Times New Roman" w:cs="Arial"/>
          <w:szCs w:val="20"/>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54B33E6" w14:textId="77777777" w:rsidR="005D65B0" w:rsidRPr="00FB17B9" w:rsidRDefault="005D65B0" w:rsidP="00FB17B9">
      <w:pPr>
        <w:rPr>
          <w:rFonts w:eastAsia="Times New Roman" w:cs="Arial"/>
          <w:szCs w:val="20"/>
        </w:rPr>
      </w:pPr>
    </w:p>
    <w:p w14:paraId="4112EE7F" w14:textId="77777777" w:rsidR="005D65B0" w:rsidRPr="00FB17B9" w:rsidRDefault="005D65B0" w:rsidP="00FB17B9">
      <w:pPr>
        <w:rPr>
          <w:rFonts w:eastAsia="Times New Roman" w:cs="Arial"/>
          <w:szCs w:val="20"/>
        </w:rPr>
      </w:pPr>
      <w:r w:rsidRPr="00FB17B9">
        <w:rPr>
          <w:rFonts w:eastAsia="Times New Roman" w:cs="Arial"/>
          <w:szCs w:val="2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E546637" w14:textId="77777777" w:rsidR="005D65B0" w:rsidRPr="00FB17B9" w:rsidRDefault="005D65B0" w:rsidP="00FB17B9">
      <w:pPr>
        <w:rPr>
          <w:rFonts w:eastAsia="Times New Roman" w:cs="Arial"/>
          <w:szCs w:val="20"/>
        </w:rPr>
      </w:pPr>
    </w:p>
    <w:p w14:paraId="56E20AEB" w14:textId="77777777" w:rsidR="005D65B0" w:rsidRPr="00FB17B9" w:rsidRDefault="005D65B0" w:rsidP="00FB17B9">
      <w:pPr>
        <w:rPr>
          <w:rFonts w:eastAsia="Times New Roman" w:cs="Arial"/>
          <w:szCs w:val="20"/>
        </w:rPr>
      </w:pPr>
      <w:r w:rsidRPr="00FB17B9">
        <w:rPr>
          <w:rFonts w:eastAsia="Times New Roman" w:cs="Arial"/>
          <w:szCs w:val="20"/>
        </w:rPr>
        <w:t>Por ello, excepcionalmente, si un asunto es resuelto con posterioridad a los plazos señalados por la norma, debe analizarse la razonabilidad del tiempo necesario para su resolución, atentos a los siguientes criterios:</w:t>
      </w:r>
    </w:p>
    <w:p w14:paraId="38C9C964" w14:textId="77777777" w:rsidR="005D65B0" w:rsidRPr="00FB17B9" w:rsidRDefault="005D65B0" w:rsidP="00FB17B9">
      <w:pPr>
        <w:rPr>
          <w:rFonts w:eastAsia="Times New Roman" w:cs="Arial"/>
          <w:szCs w:val="20"/>
        </w:rPr>
      </w:pPr>
    </w:p>
    <w:p w14:paraId="303FCA03" w14:textId="77777777" w:rsidR="005D65B0" w:rsidRPr="00FB17B9" w:rsidRDefault="005D65B0" w:rsidP="00FB17B9">
      <w:pPr>
        <w:numPr>
          <w:ilvl w:val="0"/>
          <w:numId w:val="13"/>
        </w:numPr>
        <w:spacing w:after="160" w:line="278" w:lineRule="auto"/>
        <w:jc w:val="left"/>
        <w:rPr>
          <w:rFonts w:eastAsia="Times New Roman" w:cs="Arial"/>
          <w:szCs w:val="20"/>
        </w:rPr>
      </w:pPr>
      <w:r w:rsidRPr="00FB17B9">
        <w:rPr>
          <w:rFonts w:eastAsia="Times New Roman" w:cs="Arial"/>
          <w:b/>
          <w:szCs w:val="20"/>
        </w:rPr>
        <w:t>Complejidad del asunto:</w:t>
      </w:r>
      <w:r w:rsidRPr="00FB17B9">
        <w:rPr>
          <w:rFonts w:eastAsia="Times New Roman" w:cs="Arial"/>
          <w:szCs w:val="20"/>
        </w:rPr>
        <w:t xml:space="preserve"> La complejidad de la prueba, la pluralidad de sujetos procesales, el tiempo transcurrido, las características y contexto del recurso.</w:t>
      </w:r>
    </w:p>
    <w:p w14:paraId="1A358FE9" w14:textId="77777777" w:rsidR="005D65B0" w:rsidRPr="00FB17B9" w:rsidRDefault="005D65B0" w:rsidP="00FB17B9">
      <w:pPr>
        <w:numPr>
          <w:ilvl w:val="0"/>
          <w:numId w:val="13"/>
        </w:numPr>
        <w:spacing w:after="160" w:line="278" w:lineRule="auto"/>
        <w:jc w:val="left"/>
        <w:rPr>
          <w:rFonts w:eastAsia="Times New Roman" w:cs="Arial"/>
          <w:szCs w:val="20"/>
        </w:rPr>
      </w:pPr>
      <w:r w:rsidRPr="00FB17B9">
        <w:rPr>
          <w:rFonts w:eastAsia="Times New Roman" w:cs="Arial"/>
          <w:b/>
          <w:szCs w:val="20"/>
        </w:rPr>
        <w:t>Actividad Procesal del interesado:</w:t>
      </w:r>
      <w:r w:rsidRPr="00FB17B9">
        <w:rPr>
          <w:rFonts w:eastAsia="Times New Roman" w:cs="Arial"/>
          <w:szCs w:val="20"/>
        </w:rPr>
        <w:t xml:space="preserve"> Acciones u omisiones del interesado.</w:t>
      </w:r>
    </w:p>
    <w:p w14:paraId="13DEA7AD" w14:textId="77777777" w:rsidR="005D65B0" w:rsidRPr="00FB17B9" w:rsidRDefault="005D65B0" w:rsidP="00FB17B9">
      <w:pPr>
        <w:numPr>
          <w:ilvl w:val="0"/>
          <w:numId w:val="13"/>
        </w:numPr>
        <w:spacing w:after="160" w:line="278" w:lineRule="auto"/>
        <w:jc w:val="left"/>
        <w:rPr>
          <w:rFonts w:eastAsia="Times New Roman" w:cs="Arial"/>
          <w:szCs w:val="20"/>
        </w:rPr>
      </w:pPr>
      <w:r w:rsidRPr="00FB17B9">
        <w:rPr>
          <w:rFonts w:eastAsia="Times New Roman" w:cs="Arial"/>
          <w:b/>
          <w:szCs w:val="20"/>
        </w:rPr>
        <w:t>Conducta de la Autoridad:</w:t>
      </w:r>
      <w:r w:rsidRPr="00FB17B9">
        <w:rPr>
          <w:rFonts w:eastAsia="Times New Roman" w:cs="Arial"/>
          <w:szCs w:val="20"/>
        </w:rPr>
        <w:t xml:space="preserve"> Las Acciones u omisiones realizadas en el procedimiento. Así como si la autoridad actuó con la debida diligencia.</w:t>
      </w:r>
    </w:p>
    <w:p w14:paraId="5FD35D01" w14:textId="77777777" w:rsidR="005D65B0" w:rsidRPr="00FB17B9" w:rsidRDefault="005D65B0" w:rsidP="00FB17B9">
      <w:pPr>
        <w:numPr>
          <w:ilvl w:val="0"/>
          <w:numId w:val="13"/>
        </w:numPr>
        <w:spacing w:after="160" w:line="278" w:lineRule="auto"/>
        <w:jc w:val="left"/>
        <w:rPr>
          <w:rFonts w:eastAsia="Times New Roman" w:cs="Arial"/>
          <w:szCs w:val="20"/>
        </w:rPr>
      </w:pPr>
      <w:r w:rsidRPr="00FB17B9">
        <w:rPr>
          <w:rFonts w:eastAsia="Times New Roman" w:cs="Arial"/>
          <w:b/>
          <w:szCs w:val="20"/>
        </w:rPr>
        <w:t xml:space="preserve">La afectación generada en la situación jurídica de la persona involucrada en el proceso: </w:t>
      </w:r>
      <w:r w:rsidRPr="00FB17B9">
        <w:rPr>
          <w:rFonts w:eastAsia="Times New Roman" w:cs="Arial"/>
          <w:szCs w:val="20"/>
        </w:rPr>
        <w:t>Violación a sus derechos humanos.</w:t>
      </w:r>
    </w:p>
    <w:p w14:paraId="4AA3E24E" w14:textId="77777777" w:rsidR="005D65B0" w:rsidRPr="00FB17B9" w:rsidRDefault="005D65B0" w:rsidP="00FB17B9">
      <w:pPr>
        <w:rPr>
          <w:rFonts w:eastAsia="Times New Roman" w:cs="Arial"/>
          <w:szCs w:val="20"/>
        </w:rPr>
      </w:pPr>
    </w:p>
    <w:p w14:paraId="0C2D963E" w14:textId="77777777" w:rsidR="005D65B0" w:rsidRPr="00FB17B9" w:rsidRDefault="005D65B0" w:rsidP="00FB17B9">
      <w:pPr>
        <w:rPr>
          <w:rFonts w:eastAsia="Times New Roman" w:cs="Arial"/>
          <w:szCs w:val="20"/>
        </w:rPr>
      </w:pPr>
      <w:r w:rsidRPr="00FB17B9">
        <w:rPr>
          <w:rFonts w:eastAsia="Times New Roman" w:cs="Arial"/>
          <w:szCs w:val="2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E97C13" w14:textId="77777777" w:rsidR="005D65B0" w:rsidRPr="00FB17B9" w:rsidRDefault="005D65B0" w:rsidP="00FB17B9">
      <w:pPr>
        <w:rPr>
          <w:rFonts w:eastAsia="Times New Roman" w:cs="Arial"/>
          <w:szCs w:val="20"/>
        </w:rPr>
      </w:pPr>
    </w:p>
    <w:p w14:paraId="5749BD8B" w14:textId="77777777" w:rsidR="005D65B0" w:rsidRPr="00FB17B9" w:rsidRDefault="005D65B0" w:rsidP="00FB17B9">
      <w:pPr>
        <w:rPr>
          <w:rFonts w:eastAsia="Times New Roman" w:cs="Arial"/>
          <w:szCs w:val="20"/>
        </w:rPr>
      </w:pPr>
      <w:r w:rsidRPr="00FB17B9">
        <w:rPr>
          <w:rFonts w:eastAsia="Times New Roman" w:cs="Arial"/>
          <w:szCs w:val="20"/>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42F952C4" w14:textId="77777777" w:rsidR="005D65B0" w:rsidRPr="00FB17B9" w:rsidRDefault="005D65B0" w:rsidP="00FB17B9">
      <w:pPr>
        <w:rPr>
          <w:rFonts w:eastAsia="Times New Roman" w:cs="Arial"/>
          <w:szCs w:val="20"/>
        </w:rPr>
      </w:pPr>
    </w:p>
    <w:p w14:paraId="71E8F7CD" w14:textId="77777777" w:rsidR="005D65B0" w:rsidRPr="00FB17B9" w:rsidRDefault="005D65B0" w:rsidP="00FB17B9">
      <w:pPr>
        <w:rPr>
          <w:rFonts w:eastAsia="Times New Roman" w:cs="Arial"/>
          <w:szCs w:val="20"/>
        </w:rPr>
      </w:pPr>
      <w:r w:rsidRPr="00FB17B9">
        <w:rPr>
          <w:rFonts w:eastAsia="Times New Roman" w:cs="Arial"/>
          <w:szCs w:val="20"/>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776212" w14:textId="77777777" w:rsidR="005D65B0" w:rsidRPr="00FB17B9" w:rsidRDefault="005D65B0" w:rsidP="00FB17B9">
      <w:pPr>
        <w:rPr>
          <w:rFonts w:eastAsia="Times New Roman" w:cs="Arial"/>
          <w:szCs w:val="20"/>
        </w:rPr>
      </w:pPr>
    </w:p>
    <w:p w14:paraId="2BFA03EA" w14:textId="77777777" w:rsidR="005D65B0" w:rsidRPr="00FB17B9" w:rsidRDefault="005D65B0" w:rsidP="00FB17B9">
      <w:pPr>
        <w:rPr>
          <w:rFonts w:eastAsia="Times New Roman" w:cs="Arial"/>
          <w:szCs w:val="20"/>
        </w:rPr>
      </w:pPr>
      <w:r w:rsidRPr="00FB17B9">
        <w:rPr>
          <w:rFonts w:eastAsia="Times New Roman" w:cs="Arial"/>
          <w:szCs w:val="20"/>
        </w:rPr>
        <w:t>Al respecto, también son de considerar los criterios sostenidos por el Cuarto Tribunal Colegiado en Materia Administrativa del Primer Circuito, cuyos rubros y datos de identificación son los siguientes:</w:t>
      </w:r>
    </w:p>
    <w:p w14:paraId="3174E467" w14:textId="77777777" w:rsidR="005D65B0" w:rsidRPr="00FB17B9" w:rsidRDefault="005D65B0" w:rsidP="00FB17B9">
      <w:pPr>
        <w:rPr>
          <w:rFonts w:eastAsia="Times New Roman" w:cs="Arial"/>
          <w:szCs w:val="20"/>
        </w:rPr>
      </w:pPr>
    </w:p>
    <w:p w14:paraId="6C6B0654" w14:textId="77777777" w:rsidR="005D65B0" w:rsidRPr="00FB17B9" w:rsidRDefault="005D65B0" w:rsidP="00FB17B9">
      <w:pPr>
        <w:spacing w:line="240" w:lineRule="auto"/>
        <w:ind w:left="567" w:right="567"/>
        <w:contextualSpacing/>
        <w:rPr>
          <w:rFonts w:eastAsia="Times New Roman" w:cs="Times New Roman"/>
          <w:i/>
          <w:kern w:val="28"/>
          <w:szCs w:val="56"/>
        </w:rPr>
      </w:pPr>
      <w:r w:rsidRPr="00FB17B9">
        <w:rPr>
          <w:rFonts w:eastAsia="Times New Roman" w:cs="Times New Roman"/>
          <w:i/>
          <w:kern w:val="28"/>
          <w:szCs w:val="56"/>
        </w:rPr>
        <w:t>“</w:t>
      </w:r>
      <w:r w:rsidRPr="00FB17B9">
        <w:rPr>
          <w:rFonts w:eastAsia="Times New Roman" w:cs="Times New Roman"/>
          <w:b/>
          <w:i/>
          <w:kern w:val="28"/>
          <w:szCs w:val="56"/>
        </w:rPr>
        <w:t>PLAZO RAZONABLE PARA RESOLVER. DIMENSIÓN Y EFECTOS DE ESTE CONCEPTO CUANDO SE ADUCE EXCESIVA CARGA DE TRABAJO</w:t>
      </w:r>
      <w:r w:rsidRPr="00FB17B9">
        <w:rPr>
          <w:rFonts w:eastAsia="Times New Roman" w:cs="Times New Roman"/>
          <w:i/>
          <w:kern w:val="28"/>
          <w:szCs w:val="56"/>
        </w:rPr>
        <w:t>.” consultable en el Semanario Judicial de la Federación y su gaceta, con el registro digital 2002351.</w:t>
      </w:r>
    </w:p>
    <w:p w14:paraId="60DEA638" w14:textId="77777777" w:rsidR="005D65B0" w:rsidRPr="00FB17B9" w:rsidRDefault="005D65B0" w:rsidP="00FB17B9">
      <w:pPr>
        <w:ind w:left="851" w:right="616"/>
        <w:rPr>
          <w:rFonts w:eastAsia="Times New Roman" w:cs="Arial"/>
          <w:i/>
          <w:szCs w:val="20"/>
        </w:rPr>
      </w:pPr>
    </w:p>
    <w:p w14:paraId="589BAD26" w14:textId="77777777" w:rsidR="005D65B0" w:rsidRPr="00FB17B9" w:rsidRDefault="005D65B0" w:rsidP="00FB17B9">
      <w:pPr>
        <w:spacing w:line="240" w:lineRule="auto"/>
        <w:ind w:left="567" w:right="567"/>
        <w:contextualSpacing/>
        <w:rPr>
          <w:rFonts w:eastAsia="Times New Roman" w:cs="Arial"/>
          <w:kern w:val="28"/>
          <w:szCs w:val="56"/>
        </w:rPr>
      </w:pPr>
      <w:r w:rsidRPr="00FB17B9">
        <w:rPr>
          <w:rFonts w:eastAsia="Times New Roman" w:cs="Arial"/>
          <w:i/>
          <w:kern w:val="28"/>
          <w:szCs w:val="56"/>
        </w:rPr>
        <w:t>“</w:t>
      </w:r>
      <w:r w:rsidRPr="00FB17B9">
        <w:rPr>
          <w:rFonts w:eastAsia="Times New Roman" w:cs="Arial"/>
          <w:b/>
          <w:i/>
          <w:kern w:val="28"/>
          <w:szCs w:val="56"/>
        </w:rPr>
        <w:t xml:space="preserve">PLAZO RAZONABLE </w:t>
      </w:r>
      <w:r w:rsidRPr="00FB17B9">
        <w:rPr>
          <w:rFonts w:eastAsia="Times New Roman" w:cs="Times New Roman"/>
          <w:b/>
          <w:i/>
          <w:kern w:val="28"/>
          <w:szCs w:val="56"/>
        </w:rPr>
        <w:t>PARA</w:t>
      </w:r>
      <w:r w:rsidRPr="00FB17B9">
        <w:rPr>
          <w:rFonts w:eastAsia="Times New Roman" w:cs="Arial"/>
          <w:b/>
          <w:i/>
          <w:kern w:val="28"/>
          <w:szCs w:val="56"/>
        </w:rPr>
        <w:t xml:space="preserve"> RESOLVER. CONCEPTO Y ELEMENTOS QUE LO INTEGRAN A LA LUZ DEL DERECHO INTERNACIONAL DE LOS DERECHOS HUMANOS</w:t>
      </w:r>
      <w:r w:rsidRPr="00FB17B9">
        <w:rPr>
          <w:rFonts w:eastAsia="Times New Roman" w:cs="Arial"/>
          <w:i/>
          <w:kern w:val="28"/>
          <w:szCs w:val="56"/>
        </w:rPr>
        <w:t>.”, visible en el Semanario Judicial de la Federación y su gaceta, con el registro digital 2002350.</w:t>
      </w:r>
    </w:p>
    <w:p w14:paraId="674E7FD7" w14:textId="77777777" w:rsidR="005D65B0" w:rsidRPr="00FB17B9" w:rsidRDefault="005D65B0" w:rsidP="00FB17B9">
      <w:pPr>
        <w:rPr>
          <w:rFonts w:eastAsia="Times New Roman" w:cs="Arial"/>
          <w:szCs w:val="20"/>
        </w:rPr>
      </w:pPr>
    </w:p>
    <w:p w14:paraId="0B426009" w14:textId="77777777" w:rsidR="005D65B0" w:rsidRPr="00FB17B9" w:rsidRDefault="005D65B0" w:rsidP="00FB17B9">
      <w:pPr>
        <w:rPr>
          <w:rFonts w:eastAsia="Times New Roman" w:cs="Arial"/>
          <w:szCs w:val="20"/>
        </w:rPr>
      </w:pPr>
      <w:r w:rsidRPr="00FB17B9">
        <w:rPr>
          <w:rFonts w:eastAsia="Times New Roman" w:cs="Arial"/>
          <w:szCs w:val="20"/>
        </w:rPr>
        <w:t xml:space="preserve">Por ello, este organismo garante </w:t>
      </w:r>
      <w:r w:rsidRPr="00FB17B9">
        <w:rPr>
          <w:rFonts w:eastAsia="Times New Roman" w:cs="Tahoma"/>
          <w:lang w:eastAsia="es-ES"/>
        </w:rPr>
        <w:t>comprometido</w:t>
      </w:r>
      <w:r w:rsidRPr="00FB17B9">
        <w:rPr>
          <w:rFonts w:eastAsia="Times New Roman" w:cs="Arial"/>
          <w:szCs w:val="20"/>
        </w:rPr>
        <w:t xml:space="preserve"> con la tutela de los derechos humanos confiados señala que este exceso del plazo legal para resolver el asunto resulta de carácter excepcional. </w:t>
      </w:r>
    </w:p>
    <w:p w14:paraId="47043F5A" w14:textId="7D9EA655" w:rsidR="005D65B0" w:rsidRPr="00FB17B9" w:rsidRDefault="005D65B0" w:rsidP="00FB17B9">
      <w:pPr>
        <w:rPr>
          <w:rFonts w:eastAsia="Times New Roman" w:cs="Arial"/>
          <w:szCs w:val="20"/>
        </w:rPr>
      </w:pPr>
    </w:p>
    <w:p w14:paraId="09A91ACC" w14:textId="77777777" w:rsidR="00617A93" w:rsidRPr="00FB17B9" w:rsidRDefault="006350FD" w:rsidP="00FB17B9">
      <w:pPr>
        <w:pStyle w:val="Ttulo3"/>
      </w:pPr>
      <w:bookmarkStart w:id="21" w:name="_Toc205933149"/>
      <w:r w:rsidRPr="00FB17B9">
        <w:lastRenderedPageBreak/>
        <w:t>h) Cierre de instrucción</w:t>
      </w:r>
      <w:bookmarkEnd w:id="21"/>
      <w:r w:rsidRPr="00FB17B9">
        <w:t xml:space="preserve"> </w:t>
      </w:r>
    </w:p>
    <w:p w14:paraId="3775CBD1" w14:textId="22AAEAEF" w:rsidR="00617A93" w:rsidRPr="00FB17B9" w:rsidRDefault="006350FD" w:rsidP="00FB17B9">
      <w:pPr>
        <w:spacing w:after="240"/>
      </w:pPr>
      <w:r w:rsidRPr="00FB17B9">
        <w:t xml:space="preserve">Al no existir diligencias pendientes por desahogar, el </w:t>
      </w:r>
      <w:r w:rsidR="00DF0ED0" w:rsidRPr="00FB17B9">
        <w:rPr>
          <w:b/>
        </w:rPr>
        <w:t>doce de agosto</w:t>
      </w:r>
      <w:r w:rsidRPr="00FB17B9">
        <w:rPr>
          <w:b/>
        </w:rPr>
        <w:t xml:space="preserve"> dos mil veinticinco,</w:t>
      </w:r>
      <w:r w:rsidRPr="00FB17B9">
        <w:t xml:space="preserve"> la </w:t>
      </w:r>
      <w:r w:rsidRPr="00FB17B9">
        <w:rPr>
          <w:b/>
        </w:rPr>
        <w:t xml:space="preserve">Comisionada Sharon Cristina Morales Martínez </w:t>
      </w:r>
      <w:r w:rsidRPr="00FB17B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FB17B9">
        <w:rPr>
          <w:b/>
        </w:rPr>
        <w:t>SAIMEX</w:t>
      </w:r>
      <w:r w:rsidRPr="00FB17B9">
        <w:t>.</w:t>
      </w:r>
    </w:p>
    <w:p w14:paraId="00B25A3E" w14:textId="77777777" w:rsidR="00617A93" w:rsidRPr="00FB17B9" w:rsidRDefault="006350FD" w:rsidP="00FB17B9">
      <w:pPr>
        <w:pStyle w:val="Ttulo1"/>
        <w:spacing w:after="240"/>
      </w:pPr>
      <w:bookmarkStart w:id="22" w:name="_Toc205933150"/>
      <w:r w:rsidRPr="00FB17B9">
        <w:t>CONSIDERANDOS</w:t>
      </w:r>
      <w:bookmarkEnd w:id="22"/>
    </w:p>
    <w:p w14:paraId="12CE91F9" w14:textId="77777777" w:rsidR="00617A93" w:rsidRPr="00FB17B9" w:rsidRDefault="006350FD" w:rsidP="00FB17B9">
      <w:pPr>
        <w:pStyle w:val="Ttulo2"/>
      </w:pPr>
      <w:bookmarkStart w:id="23" w:name="_Toc205933151"/>
      <w:r w:rsidRPr="00FB17B9">
        <w:t>PRIMERO. Procedibilidad</w:t>
      </w:r>
      <w:bookmarkEnd w:id="23"/>
    </w:p>
    <w:p w14:paraId="19C2AA1E" w14:textId="77777777" w:rsidR="00617A93" w:rsidRPr="00FB17B9" w:rsidRDefault="006350FD" w:rsidP="00FB17B9">
      <w:pPr>
        <w:pStyle w:val="Ttulo3"/>
      </w:pPr>
      <w:bookmarkStart w:id="24" w:name="_Toc205933152"/>
      <w:r w:rsidRPr="00FB17B9">
        <w:t>a) Competencia del Instituto</w:t>
      </w:r>
      <w:bookmarkEnd w:id="24"/>
    </w:p>
    <w:p w14:paraId="5C04FE43" w14:textId="77777777" w:rsidR="00617A93" w:rsidRPr="00FB17B9" w:rsidRDefault="006350FD" w:rsidP="00FB17B9">
      <w:pPr>
        <w:spacing w:after="240"/>
      </w:pPr>
      <w:r w:rsidRPr="00FB17B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9B477A" w14:textId="77777777" w:rsidR="00617A93" w:rsidRPr="00FB17B9" w:rsidRDefault="006350FD" w:rsidP="00FB17B9">
      <w:pPr>
        <w:pStyle w:val="Ttulo3"/>
      </w:pPr>
      <w:bookmarkStart w:id="25" w:name="_Toc205933153"/>
      <w:r w:rsidRPr="00FB17B9">
        <w:lastRenderedPageBreak/>
        <w:t>b) Legitimidad de la parte recurrente</w:t>
      </w:r>
      <w:bookmarkEnd w:id="25"/>
    </w:p>
    <w:p w14:paraId="4E11E5D1" w14:textId="77777777" w:rsidR="00617A93" w:rsidRPr="00FB17B9" w:rsidRDefault="006350FD" w:rsidP="00FB17B9">
      <w:r w:rsidRPr="00FB17B9">
        <w:t>El recurso de revisión fue interpuesto por parte legítima, ya que se presentó por la misma persona que formuló la solicitud de acceso a la Información Pública,</w:t>
      </w:r>
      <w:r w:rsidRPr="00FB17B9">
        <w:rPr>
          <w:b/>
        </w:rPr>
        <w:t xml:space="preserve"> </w:t>
      </w:r>
      <w:r w:rsidRPr="00FB17B9">
        <w:t>debido a que los datos de acceso</w:t>
      </w:r>
      <w:r w:rsidRPr="00FB17B9">
        <w:rPr>
          <w:b/>
        </w:rPr>
        <w:t xml:space="preserve"> SAIMEX</w:t>
      </w:r>
      <w:r w:rsidRPr="00FB17B9">
        <w:t xml:space="preserve"> son personales e irrepetibles.</w:t>
      </w:r>
    </w:p>
    <w:p w14:paraId="1FAA5C3E" w14:textId="77777777" w:rsidR="00617A93" w:rsidRPr="00FB17B9" w:rsidRDefault="00617A93" w:rsidP="00FB17B9"/>
    <w:p w14:paraId="65A17DC7" w14:textId="77777777" w:rsidR="00617A93" w:rsidRPr="00FB17B9" w:rsidRDefault="006350FD" w:rsidP="00FB17B9">
      <w:pPr>
        <w:pStyle w:val="Ttulo3"/>
      </w:pPr>
      <w:bookmarkStart w:id="26" w:name="_Toc205933154"/>
      <w:r w:rsidRPr="00FB17B9">
        <w:t>c) Plazo para interponer los recursos</w:t>
      </w:r>
      <w:bookmarkEnd w:id="26"/>
    </w:p>
    <w:p w14:paraId="7F633187" w14:textId="6BD34B1C" w:rsidR="00617A93" w:rsidRPr="00FB17B9" w:rsidRDefault="006350FD" w:rsidP="00FB17B9">
      <w:pPr>
        <w:spacing w:after="240"/>
      </w:pPr>
      <w:bookmarkStart w:id="27" w:name="_heading=h.2jxsxqh" w:colFirst="0" w:colLast="0"/>
      <w:bookmarkEnd w:id="27"/>
      <w:r w:rsidRPr="00FB17B9">
        <w:rPr>
          <w:b/>
        </w:rPr>
        <w:t>EL SUJETO OBLIGADO</w:t>
      </w:r>
      <w:r w:rsidRPr="00FB17B9">
        <w:t xml:space="preserve"> notificó las respuestas a las solicitudes de acceso a la Información Pública el </w:t>
      </w:r>
      <w:r w:rsidR="00DF0ED0" w:rsidRPr="00FB17B9">
        <w:rPr>
          <w:b/>
        </w:rPr>
        <w:t xml:space="preserve">veinticinco </w:t>
      </w:r>
      <w:r w:rsidRPr="00FB17B9">
        <w:rPr>
          <w:b/>
        </w:rPr>
        <w:t xml:space="preserve">de marzo de dos mil veinticinco </w:t>
      </w:r>
      <w:r w:rsidRPr="00FB17B9">
        <w:t xml:space="preserve">y los recursos que nos ocupan se interpusieron el </w:t>
      </w:r>
      <w:r w:rsidR="0084178A" w:rsidRPr="00FB17B9">
        <w:rPr>
          <w:b/>
        </w:rPr>
        <w:t>veinticinco de marzo</w:t>
      </w:r>
      <w:r w:rsidRPr="00FB17B9">
        <w:rPr>
          <w:b/>
        </w:rPr>
        <w:t xml:space="preserve"> de dos mil veinticinco</w:t>
      </w:r>
      <w:r w:rsidR="002C7442" w:rsidRPr="00FB17B9">
        <w:t>; por lo tanto, éstos</w:t>
      </w:r>
      <w:r w:rsidRPr="00FB17B9">
        <w:t xml:space="preserve"> se encuentra</w:t>
      </w:r>
      <w:r w:rsidR="002C7442" w:rsidRPr="00FB17B9">
        <w:t>n</w:t>
      </w:r>
      <w:r w:rsidRPr="00FB17B9">
        <w:t xml:space="preserve"> dentro del margen temporal previsto en el artículo 178 de la Ley de Transparencia y Acceso a la Información Pública del Estado de México y Municipios.</w:t>
      </w:r>
    </w:p>
    <w:p w14:paraId="04E4FCE8" w14:textId="77777777" w:rsidR="0084178A" w:rsidRPr="00FB17B9" w:rsidRDefault="0084178A" w:rsidP="00FB17B9">
      <w:r w:rsidRPr="00FB17B9">
        <w:t xml:space="preserve">Ahora bien se advierte que el medio de impugnación que nos ocupa, se interpuso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FB17B9">
        <w:rPr>
          <w:b/>
        </w:rPr>
        <w:t>LA PARTE RECURRENTE</w:t>
      </w:r>
      <w:r w:rsidRPr="00FB17B9">
        <w:t xml:space="preserve"> tenga conocimiento de la respuesta impugnada; sin embargo, no prohíbe que el Recurso de Revisión, se presente el mismo día en que aquélla fue notificada.</w:t>
      </w:r>
    </w:p>
    <w:p w14:paraId="5FC6FF1C" w14:textId="77777777" w:rsidR="0084178A" w:rsidRPr="00FB17B9" w:rsidRDefault="0084178A" w:rsidP="00FB17B9">
      <w:r w:rsidRPr="00FB17B9">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035C32A" w14:textId="77777777" w:rsidR="0084178A" w:rsidRPr="00FB17B9" w:rsidRDefault="0084178A" w:rsidP="00FB17B9">
      <w:pPr>
        <w:tabs>
          <w:tab w:val="left" w:pos="851"/>
        </w:tabs>
        <w:spacing w:line="240" w:lineRule="auto"/>
        <w:ind w:left="851" w:right="901"/>
        <w:rPr>
          <w:sz w:val="24"/>
          <w:szCs w:val="24"/>
        </w:rPr>
      </w:pPr>
    </w:p>
    <w:p w14:paraId="598D14F9" w14:textId="77777777" w:rsidR="0084178A" w:rsidRPr="00FB17B9" w:rsidRDefault="0084178A" w:rsidP="00FB17B9">
      <w:pPr>
        <w:pStyle w:val="Puesto"/>
        <w:ind w:left="851" w:right="822" w:firstLine="0"/>
        <w:rPr>
          <w:color w:val="auto"/>
        </w:rPr>
      </w:pPr>
      <w:r w:rsidRPr="00FB17B9">
        <w:rPr>
          <w:b/>
          <w:color w:val="auto"/>
        </w:rPr>
        <w:t xml:space="preserve">“RECURSO DE RECLAMACIÓN. SU INTERPOSICIÓN NO ES EXTEMPORÁNEA SI SE REALIZA ANTES DE QUE INICIE EL PLAZO PARA HACERLO. </w:t>
      </w:r>
      <w:r w:rsidRPr="00FB17B9">
        <w:rPr>
          <w:color w:val="auto"/>
        </w:rPr>
        <w:t xml:space="preserve">Conforme al artículo 104, párrafo segundo, de la Ley de Amparo, el recurso de reclamación podrá interponerse por cualquiera de las partes, </w:t>
      </w:r>
      <w:r w:rsidRPr="00FB17B9">
        <w:rPr>
          <w:color w:val="auto"/>
        </w:rPr>
        <w:lastRenderedPageBreak/>
        <w:t>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46A71E5" w14:textId="77777777" w:rsidR="0084178A" w:rsidRPr="00FB17B9" w:rsidRDefault="0084178A" w:rsidP="00FB17B9">
      <w:pPr>
        <w:tabs>
          <w:tab w:val="left" w:pos="851"/>
        </w:tabs>
        <w:spacing w:line="240" w:lineRule="auto"/>
        <w:ind w:left="851" w:right="901"/>
        <w:rPr>
          <w:sz w:val="24"/>
          <w:szCs w:val="24"/>
        </w:rPr>
      </w:pPr>
    </w:p>
    <w:p w14:paraId="52A02513" w14:textId="77777777" w:rsidR="0084178A" w:rsidRPr="00FB17B9" w:rsidRDefault="0084178A" w:rsidP="00FB17B9">
      <w:pPr>
        <w:spacing w:after="240"/>
      </w:pPr>
      <w:r w:rsidRPr="00FB17B9">
        <w:t>Por lo tanto, en aras de privilegiar el derecho de acceso a la información se entra al estudio del presente Recurso de Revisión, sin que la fecha en que se presentó afecte la Resolución.</w:t>
      </w:r>
    </w:p>
    <w:p w14:paraId="31D70335" w14:textId="77777777" w:rsidR="00617A93" w:rsidRPr="00FB17B9" w:rsidRDefault="006350FD" w:rsidP="00FB17B9">
      <w:pPr>
        <w:pStyle w:val="Ttulo3"/>
      </w:pPr>
      <w:bookmarkStart w:id="28" w:name="_Toc205933155"/>
      <w:r w:rsidRPr="00FB17B9">
        <w:t>d) Causal de Procedencia</w:t>
      </w:r>
      <w:bookmarkEnd w:id="28"/>
    </w:p>
    <w:p w14:paraId="20A2D1FC" w14:textId="797367F6" w:rsidR="00617A93" w:rsidRPr="00FB17B9" w:rsidRDefault="006350FD" w:rsidP="00FB17B9">
      <w:r w:rsidRPr="00FB17B9">
        <w:t>Resulta procedente la interposición de los recursos de revisión, ya que se actualizan las causales de procedencia señalada</w:t>
      </w:r>
      <w:r w:rsidR="002C7442" w:rsidRPr="00FB17B9">
        <w:t xml:space="preserve">s en el artículo 179, fracción </w:t>
      </w:r>
      <w:r w:rsidR="006B2B7D" w:rsidRPr="00FB17B9">
        <w:t>I</w:t>
      </w:r>
      <w:r w:rsidRPr="00FB17B9">
        <w:t xml:space="preserve"> de la Ley de Transparencia y Acceso a la Información Pública del Estado de México y Municipios.</w:t>
      </w:r>
    </w:p>
    <w:p w14:paraId="215E8033" w14:textId="77777777" w:rsidR="00617A93" w:rsidRPr="00FB17B9" w:rsidRDefault="00617A93" w:rsidP="00FB17B9"/>
    <w:p w14:paraId="4168DB3A" w14:textId="77777777" w:rsidR="00617A93" w:rsidRPr="00FB17B9" w:rsidRDefault="006350FD" w:rsidP="00FB17B9">
      <w:pPr>
        <w:pStyle w:val="Ttulo3"/>
      </w:pPr>
      <w:bookmarkStart w:id="29" w:name="_Toc205933156"/>
      <w:r w:rsidRPr="00FB17B9">
        <w:t>e) Requisitos formales para la interposición del recurso</w:t>
      </w:r>
      <w:bookmarkEnd w:id="29"/>
    </w:p>
    <w:p w14:paraId="7E8549FD" w14:textId="77777777" w:rsidR="0084178A" w:rsidRPr="00FB17B9" w:rsidRDefault="0084178A" w:rsidP="00FB17B9">
      <w:pPr>
        <w:rPr>
          <w:rFonts w:cs="Arial"/>
        </w:rPr>
      </w:pPr>
      <w:bookmarkStart w:id="30" w:name="_heading=h.sep7dsa0usew" w:colFirst="0" w:colLast="0"/>
      <w:bookmarkEnd w:id="30"/>
      <w:r w:rsidRPr="00FB17B9">
        <w:rPr>
          <w:rFonts w:cs="Arial"/>
          <w:b/>
          <w:bCs/>
        </w:rPr>
        <w:t xml:space="preserve">LA PARTE RECURRENTE </w:t>
      </w:r>
      <w:r w:rsidRPr="00FB17B9">
        <w:rPr>
          <w:rFonts w:cs="Arial"/>
        </w:rPr>
        <w:t xml:space="preserve">acreditó todos y cada uno de los elementos formales exigidos por el artículo 180 de la misma normatividad. </w:t>
      </w:r>
    </w:p>
    <w:p w14:paraId="4C31ABF5" w14:textId="77777777" w:rsidR="00617A93" w:rsidRPr="00FB17B9" w:rsidRDefault="00617A93" w:rsidP="00FB17B9"/>
    <w:p w14:paraId="24E7E6E9" w14:textId="77777777" w:rsidR="00617A93" w:rsidRPr="00FB17B9" w:rsidRDefault="006350FD" w:rsidP="00FB17B9">
      <w:pPr>
        <w:pStyle w:val="Ttulo3"/>
      </w:pPr>
      <w:bookmarkStart w:id="31" w:name="_Toc205933157"/>
      <w:r w:rsidRPr="00FB17B9">
        <w:t>f) Acumulación de los Recursos de Revisión</w:t>
      </w:r>
      <w:bookmarkEnd w:id="31"/>
    </w:p>
    <w:p w14:paraId="6F92370F" w14:textId="52F9194F" w:rsidR="00617A93" w:rsidRPr="00FB17B9" w:rsidRDefault="006350FD" w:rsidP="00FB17B9">
      <w:r w:rsidRPr="00FB17B9">
        <w:t xml:space="preserve">De las constancias que obran en los expedientes acumulados, se advierte que el recurso de revisión </w:t>
      </w:r>
      <w:r w:rsidR="0084178A" w:rsidRPr="00FB17B9">
        <w:rPr>
          <w:b/>
        </w:rPr>
        <w:t>034</w:t>
      </w:r>
      <w:r w:rsidR="006B2B7D" w:rsidRPr="00FB17B9">
        <w:rPr>
          <w:b/>
        </w:rPr>
        <w:t>92</w:t>
      </w:r>
      <w:r w:rsidR="002C7442" w:rsidRPr="00FB17B9">
        <w:rPr>
          <w:b/>
        </w:rPr>
        <w:t>/INFOEM/IP/RR/2025 y 0</w:t>
      </w:r>
      <w:r w:rsidR="0084178A" w:rsidRPr="00FB17B9">
        <w:rPr>
          <w:b/>
        </w:rPr>
        <w:t>3493</w:t>
      </w:r>
      <w:r w:rsidRPr="00FB17B9">
        <w:rPr>
          <w:b/>
        </w:rPr>
        <w:t xml:space="preserve">/INFOEM/IP/RR/2025 </w:t>
      </w:r>
      <w:r w:rsidRPr="00FB17B9">
        <w:t xml:space="preserve">fueron presentados por la misma </w:t>
      </w:r>
      <w:r w:rsidRPr="00FB17B9">
        <w:rPr>
          <w:b/>
        </w:rPr>
        <w:t>PARTE RECURRENTE</w:t>
      </w:r>
      <w:r w:rsidRPr="00FB17B9">
        <w:t xml:space="preserve"> respecto de actos u omisiones similares, realizados por el mismo </w:t>
      </w:r>
      <w:r w:rsidRPr="00FB17B9">
        <w:rPr>
          <w:b/>
        </w:rPr>
        <w:t>SUJETO OBLIGADO</w:t>
      </w:r>
      <w:r w:rsidRPr="00FB17B9">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5757200D" w14:textId="77777777" w:rsidR="00617A93" w:rsidRPr="00FB17B9" w:rsidRDefault="00617A93" w:rsidP="00FB17B9"/>
    <w:p w14:paraId="44757840" w14:textId="77777777" w:rsidR="00617A93" w:rsidRPr="00FB17B9" w:rsidRDefault="006350FD" w:rsidP="00FB17B9">
      <w:pPr>
        <w:pStyle w:val="Ttulo2"/>
      </w:pPr>
      <w:bookmarkStart w:id="32" w:name="_Toc205933158"/>
      <w:r w:rsidRPr="00FB17B9">
        <w:t>SEGUNDO. Estudio de Fondo</w:t>
      </w:r>
      <w:bookmarkEnd w:id="32"/>
    </w:p>
    <w:p w14:paraId="69930DCF" w14:textId="77777777" w:rsidR="00617A93" w:rsidRPr="00FB17B9" w:rsidRDefault="006350FD" w:rsidP="00FB17B9">
      <w:pPr>
        <w:pStyle w:val="Ttulo3"/>
      </w:pPr>
      <w:bookmarkStart w:id="33" w:name="_Toc205933159"/>
      <w:r w:rsidRPr="00FB17B9">
        <w:t>a) Mandato de transparencia y responsabilidad del Sujeto Obligado</w:t>
      </w:r>
      <w:bookmarkEnd w:id="33"/>
    </w:p>
    <w:p w14:paraId="4985A0E1" w14:textId="77777777" w:rsidR="00617A93" w:rsidRPr="00FB17B9" w:rsidRDefault="006350FD" w:rsidP="00FB17B9">
      <w:pPr>
        <w:spacing w:after="240"/>
      </w:pPr>
      <w:r w:rsidRPr="00FB17B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679BA0C" w14:textId="77777777" w:rsidR="00617A93" w:rsidRPr="00FB17B9" w:rsidRDefault="006350FD" w:rsidP="00FB17B9">
      <w:pPr>
        <w:spacing w:line="240" w:lineRule="auto"/>
        <w:ind w:left="567" w:right="539"/>
        <w:rPr>
          <w:b/>
          <w:i/>
        </w:rPr>
      </w:pPr>
      <w:r w:rsidRPr="00FB17B9">
        <w:rPr>
          <w:b/>
          <w:i/>
        </w:rPr>
        <w:t>Constitución Política de los Estados Unidos Mexicanos</w:t>
      </w:r>
    </w:p>
    <w:p w14:paraId="26E31DD3" w14:textId="77777777" w:rsidR="00617A93" w:rsidRPr="00FB17B9" w:rsidRDefault="006350FD" w:rsidP="00FB17B9">
      <w:pPr>
        <w:spacing w:line="240" w:lineRule="auto"/>
        <w:ind w:left="567" w:right="539"/>
        <w:rPr>
          <w:b/>
          <w:i/>
        </w:rPr>
      </w:pPr>
      <w:r w:rsidRPr="00FB17B9">
        <w:rPr>
          <w:b/>
          <w:i/>
        </w:rPr>
        <w:t>“Artículo 6.</w:t>
      </w:r>
    </w:p>
    <w:p w14:paraId="71FBFBB8" w14:textId="77777777" w:rsidR="00617A93" w:rsidRPr="00FB17B9" w:rsidRDefault="006350FD" w:rsidP="00FB17B9">
      <w:pPr>
        <w:spacing w:line="240" w:lineRule="auto"/>
        <w:ind w:left="567" w:right="539"/>
        <w:rPr>
          <w:i/>
        </w:rPr>
      </w:pPr>
      <w:r w:rsidRPr="00FB17B9">
        <w:rPr>
          <w:i/>
        </w:rPr>
        <w:t>(…)</w:t>
      </w:r>
    </w:p>
    <w:p w14:paraId="6AF4BA67" w14:textId="77777777" w:rsidR="00617A93" w:rsidRPr="00FB17B9" w:rsidRDefault="006350FD" w:rsidP="00FB17B9">
      <w:pPr>
        <w:spacing w:line="240" w:lineRule="auto"/>
        <w:ind w:left="567" w:right="539"/>
        <w:rPr>
          <w:i/>
        </w:rPr>
      </w:pPr>
      <w:r w:rsidRPr="00FB17B9">
        <w:rPr>
          <w:i/>
        </w:rPr>
        <w:t>Para efectos de lo dispuesto en el presente artículo se observará lo siguiente:</w:t>
      </w:r>
    </w:p>
    <w:p w14:paraId="499FE54C" w14:textId="77777777" w:rsidR="00617A93" w:rsidRPr="00FB17B9" w:rsidRDefault="006350FD" w:rsidP="00FB17B9">
      <w:pPr>
        <w:spacing w:line="240" w:lineRule="auto"/>
        <w:ind w:left="567" w:right="539"/>
        <w:rPr>
          <w:b/>
          <w:i/>
        </w:rPr>
      </w:pPr>
      <w:r w:rsidRPr="00FB17B9">
        <w:rPr>
          <w:b/>
          <w:i/>
        </w:rPr>
        <w:t>A</w:t>
      </w:r>
      <w:r w:rsidRPr="00FB17B9">
        <w:rPr>
          <w:i/>
        </w:rPr>
        <w:t xml:space="preserve">. </w:t>
      </w:r>
      <w:r w:rsidRPr="00FB17B9">
        <w:rPr>
          <w:b/>
          <w:i/>
        </w:rPr>
        <w:t>Para el ejercicio del derecho de acceso a la información</w:t>
      </w:r>
      <w:r w:rsidRPr="00FB17B9">
        <w:rPr>
          <w:i/>
        </w:rPr>
        <w:t xml:space="preserve">, la Federación y </w:t>
      </w:r>
      <w:r w:rsidRPr="00FB17B9">
        <w:rPr>
          <w:b/>
          <w:i/>
        </w:rPr>
        <w:t>las entidades federativas, en el ámbito de sus respectivas competencias, se regirán por los siguientes principios y bases:</w:t>
      </w:r>
    </w:p>
    <w:p w14:paraId="162C7366" w14:textId="77777777" w:rsidR="00617A93" w:rsidRPr="00FB17B9" w:rsidRDefault="006350FD" w:rsidP="00FB17B9">
      <w:pPr>
        <w:spacing w:line="240" w:lineRule="auto"/>
        <w:ind w:left="567" w:right="539"/>
        <w:rPr>
          <w:i/>
        </w:rPr>
      </w:pPr>
      <w:r w:rsidRPr="00FB17B9">
        <w:rPr>
          <w:b/>
          <w:i/>
        </w:rPr>
        <w:t xml:space="preserve">I. </w:t>
      </w:r>
      <w:r w:rsidRPr="00FB17B9">
        <w:rPr>
          <w:b/>
          <w:i/>
        </w:rPr>
        <w:tab/>
        <w:t>Toda la información en posesión de cualquier</w:t>
      </w:r>
      <w:r w:rsidRPr="00FB17B9">
        <w:rPr>
          <w:i/>
        </w:rPr>
        <w:t xml:space="preserve"> </w:t>
      </w:r>
      <w:r w:rsidRPr="00FB17B9">
        <w:rPr>
          <w:b/>
          <w:i/>
        </w:rPr>
        <w:t>autoridad</w:t>
      </w:r>
      <w:r w:rsidRPr="00FB17B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B17B9">
        <w:rPr>
          <w:b/>
          <w:i/>
        </w:rPr>
        <w:t>municipal</w:t>
      </w:r>
      <w:r w:rsidRPr="00FB17B9">
        <w:rPr>
          <w:i/>
        </w:rPr>
        <w:t xml:space="preserve">, </w:t>
      </w:r>
      <w:r w:rsidRPr="00FB17B9">
        <w:rPr>
          <w:b/>
          <w:i/>
        </w:rPr>
        <w:t>es pública</w:t>
      </w:r>
      <w:r w:rsidRPr="00FB17B9">
        <w:rPr>
          <w:i/>
        </w:rPr>
        <w:t xml:space="preserve"> y sólo podrá ser reservada temporalmente por razones de interés público y seguridad nacional, en los términos que fijen las leyes. </w:t>
      </w:r>
      <w:r w:rsidRPr="00FB17B9">
        <w:rPr>
          <w:b/>
          <w:i/>
        </w:rPr>
        <w:t>En la interpretación de este derecho deberá prevalecer el principio de máxima publicidad. Los sujetos obligados deberán documentar todo acto que derive del ejercicio de sus facultades, competencias o funciones</w:t>
      </w:r>
      <w:r w:rsidRPr="00FB17B9">
        <w:rPr>
          <w:i/>
        </w:rPr>
        <w:t>, la ley determinará los supuestos específicos bajo los cuales procederá la declaración de inexistencia de la información.”</w:t>
      </w:r>
    </w:p>
    <w:p w14:paraId="4253BAEA" w14:textId="77777777" w:rsidR="00617A93" w:rsidRPr="00FB17B9" w:rsidRDefault="00617A93" w:rsidP="00FB17B9">
      <w:pPr>
        <w:spacing w:line="240" w:lineRule="auto"/>
        <w:ind w:left="567" w:right="539"/>
        <w:rPr>
          <w:b/>
          <w:i/>
        </w:rPr>
      </w:pPr>
    </w:p>
    <w:p w14:paraId="213678F4" w14:textId="77777777" w:rsidR="00617A93" w:rsidRPr="00FB17B9" w:rsidRDefault="006350FD" w:rsidP="00FB17B9">
      <w:pPr>
        <w:spacing w:line="240" w:lineRule="auto"/>
        <w:ind w:left="567" w:right="539"/>
        <w:rPr>
          <w:b/>
          <w:i/>
        </w:rPr>
      </w:pPr>
      <w:r w:rsidRPr="00FB17B9">
        <w:rPr>
          <w:b/>
          <w:i/>
        </w:rPr>
        <w:t>Constitución Política del Estado Libre y Soberano de México</w:t>
      </w:r>
    </w:p>
    <w:p w14:paraId="41CAE93B" w14:textId="77777777" w:rsidR="00617A93" w:rsidRPr="00FB17B9" w:rsidRDefault="006350FD" w:rsidP="00FB17B9">
      <w:pPr>
        <w:spacing w:line="240" w:lineRule="auto"/>
        <w:ind w:left="567" w:right="539"/>
        <w:rPr>
          <w:i/>
        </w:rPr>
      </w:pPr>
      <w:r w:rsidRPr="00FB17B9">
        <w:rPr>
          <w:b/>
          <w:i/>
        </w:rPr>
        <w:t>“Artículo 5</w:t>
      </w:r>
      <w:r w:rsidRPr="00FB17B9">
        <w:rPr>
          <w:i/>
        </w:rPr>
        <w:t xml:space="preserve">.- </w:t>
      </w:r>
    </w:p>
    <w:p w14:paraId="206245F1" w14:textId="77777777" w:rsidR="00617A93" w:rsidRPr="00FB17B9" w:rsidRDefault="006350FD" w:rsidP="00FB17B9">
      <w:pPr>
        <w:spacing w:line="240" w:lineRule="auto"/>
        <w:ind w:left="567" w:right="539"/>
        <w:rPr>
          <w:i/>
        </w:rPr>
      </w:pPr>
      <w:r w:rsidRPr="00FB17B9">
        <w:rPr>
          <w:i/>
        </w:rPr>
        <w:t>(…)</w:t>
      </w:r>
    </w:p>
    <w:p w14:paraId="7521E94B" w14:textId="77777777" w:rsidR="00617A93" w:rsidRPr="00FB17B9" w:rsidRDefault="006350FD" w:rsidP="00FB17B9">
      <w:pPr>
        <w:spacing w:line="240" w:lineRule="auto"/>
        <w:ind w:left="567" w:right="539"/>
        <w:rPr>
          <w:i/>
        </w:rPr>
      </w:pPr>
      <w:r w:rsidRPr="00FB17B9">
        <w:rPr>
          <w:b/>
          <w:i/>
        </w:rPr>
        <w:t>El derecho a la información será garantizado por el Estado. La ley establecerá las previsiones que permitan asegurar la protección, el respeto y la difusión de este derecho</w:t>
      </w:r>
      <w:r w:rsidRPr="00FB17B9">
        <w:rPr>
          <w:i/>
        </w:rPr>
        <w:t>.</w:t>
      </w:r>
    </w:p>
    <w:p w14:paraId="30FFCBAC" w14:textId="77777777" w:rsidR="00617A93" w:rsidRPr="00FB17B9" w:rsidRDefault="006350FD" w:rsidP="00FB17B9">
      <w:pPr>
        <w:spacing w:line="240" w:lineRule="auto"/>
        <w:ind w:left="567" w:right="539"/>
        <w:rPr>
          <w:i/>
        </w:rPr>
      </w:pPr>
      <w:r w:rsidRPr="00FB17B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354ED6" w14:textId="77777777" w:rsidR="00617A93" w:rsidRPr="00FB17B9" w:rsidRDefault="006350FD" w:rsidP="00FB17B9">
      <w:pPr>
        <w:spacing w:line="240" w:lineRule="auto"/>
        <w:ind w:left="567" w:right="539"/>
        <w:rPr>
          <w:i/>
        </w:rPr>
      </w:pPr>
      <w:r w:rsidRPr="00FB17B9">
        <w:rPr>
          <w:b/>
          <w:i/>
        </w:rPr>
        <w:lastRenderedPageBreak/>
        <w:t>Este derecho se regirá por los principios y bases siguientes</w:t>
      </w:r>
      <w:r w:rsidRPr="00FB17B9">
        <w:rPr>
          <w:i/>
        </w:rPr>
        <w:t>:</w:t>
      </w:r>
    </w:p>
    <w:p w14:paraId="781E6146" w14:textId="77777777" w:rsidR="00617A93" w:rsidRPr="00FB17B9" w:rsidRDefault="006350FD" w:rsidP="00FB17B9">
      <w:pPr>
        <w:spacing w:line="240" w:lineRule="auto"/>
        <w:ind w:left="567" w:right="539"/>
        <w:rPr>
          <w:i/>
        </w:rPr>
      </w:pPr>
      <w:r w:rsidRPr="00FB17B9">
        <w:rPr>
          <w:b/>
          <w:i/>
        </w:rPr>
        <w:t>I. Toda la información en posesión de cualquier autoridad, entidad, órgano y organismos de los</w:t>
      </w:r>
      <w:r w:rsidRPr="00FB17B9">
        <w:rPr>
          <w:i/>
        </w:rPr>
        <w:t xml:space="preserve"> Poderes Ejecutivo, Legislativo y Judicial, órganos autónomos, partidos políticos, fideicomisos y fondos públicos estatales y </w:t>
      </w:r>
      <w:r w:rsidRPr="00FB17B9">
        <w:rPr>
          <w:b/>
          <w:i/>
        </w:rPr>
        <w:t>municipales</w:t>
      </w:r>
      <w:r w:rsidRPr="00FB17B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B17B9">
        <w:rPr>
          <w:b/>
          <w:i/>
        </w:rPr>
        <w:t>es pública</w:t>
      </w:r>
      <w:r w:rsidRPr="00FB17B9">
        <w:rPr>
          <w:i/>
        </w:rPr>
        <w:t xml:space="preserve"> y sólo podrá ser reservada temporalmente por razones previstas en la Constitución Política de los Estados Unidos Mexicanos de interés público y seguridad, en los términos que fijen las leyes. </w:t>
      </w:r>
      <w:r w:rsidRPr="00FB17B9">
        <w:rPr>
          <w:b/>
          <w:i/>
        </w:rPr>
        <w:t>En la interpretación de este derecho deberá prevalecer el principio de máxima publicidad</w:t>
      </w:r>
      <w:r w:rsidRPr="00FB17B9">
        <w:rPr>
          <w:i/>
        </w:rPr>
        <w:t xml:space="preserve">. </w:t>
      </w:r>
      <w:r w:rsidRPr="00FB17B9">
        <w:rPr>
          <w:b/>
          <w:i/>
        </w:rPr>
        <w:t>Los sujetos obligados deberán documentar todo acto que derive del ejercicio de sus facultades, competencias o funciones</w:t>
      </w:r>
      <w:r w:rsidRPr="00FB17B9">
        <w:rPr>
          <w:i/>
        </w:rPr>
        <w:t>, la ley determinará los supuestos específicos bajo los cuales procederá la declaración de inexistencia de la información.”</w:t>
      </w:r>
    </w:p>
    <w:p w14:paraId="4086AC19" w14:textId="77777777" w:rsidR="00617A93" w:rsidRPr="00FB17B9" w:rsidRDefault="00617A93" w:rsidP="00FB17B9"/>
    <w:p w14:paraId="098503B1" w14:textId="77777777" w:rsidR="00617A93" w:rsidRPr="00FB17B9" w:rsidRDefault="006350FD" w:rsidP="00FB17B9">
      <w:pPr>
        <w:rPr>
          <w:i/>
        </w:rPr>
      </w:pPr>
      <w:r w:rsidRPr="00FB17B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B17B9">
        <w:rPr>
          <w:i/>
        </w:rPr>
        <w:t>por los principios de simplicidad, rapidez, gratuidad del procedimiento, auxilio y orientación a los particulares.</w:t>
      </w:r>
    </w:p>
    <w:p w14:paraId="4EEB5127" w14:textId="77777777" w:rsidR="00617A93" w:rsidRPr="00FB17B9" w:rsidRDefault="00617A93" w:rsidP="00FB17B9">
      <w:pPr>
        <w:rPr>
          <w:i/>
        </w:rPr>
      </w:pPr>
    </w:p>
    <w:p w14:paraId="34951352" w14:textId="77777777" w:rsidR="00617A93" w:rsidRPr="00FB17B9" w:rsidRDefault="006350FD" w:rsidP="00FB17B9">
      <w:pPr>
        <w:rPr>
          <w:i/>
        </w:rPr>
      </w:pPr>
      <w:r w:rsidRPr="00FB17B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612F592" w14:textId="77777777" w:rsidR="00617A93" w:rsidRPr="00FB17B9" w:rsidRDefault="00617A93" w:rsidP="00FB17B9"/>
    <w:p w14:paraId="3063D881" w14:textId="77777777" w:rsidR="00617A93" w:rsidRPr="00FB17B9" w:rsidRDefault="006350FD" w:rsidP="00FB17B9">
      <w:r w:rsidRPr="00FB17B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1758703" w14:textId="77777777" w:rsidR="00617A93" w:rsidRPr="00FB17B9" w:rsidRDefault="00617A93" w:rsidP="00FB17B9"/>
    <w:p w14:paraId="14C92FC5" w14:textId="77777777" w:rsidR="00617A93" w:rsidRPr="00FB17B9" w:rsidRDefault="006350FD" w:rsidP="00FB17B9">
      <w:r w:rsidRPr="00FB17B9">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53A5C75" w14:textId="77777777" w:rsidR="00617A93" w:rsidRPr="00FB17B9" w:rsidRDefault="00617A93" w:rsidP="00FB17B9"/>
    <w:p w14:paraId="2AF9A2D9" w14:textId="77777777" w:rsidR="00617A93" w:rsidRPr="00FB17B9" w:rsidRDefault="006350FD" w:rsidP="00FB17B9">
      <w:pPr>
        <w:spacing w:after="240"/>
      </w:pPr>
      <w:r w:rsidRPr="00FB17B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5E932B7" w14:textId="77777777" w:rsidR="00617A93" w:rsidRPr="00FB17B9" w:rsidRDefault="006350FD" w:rsidP="00FB17B9">
      <w:pPr>
        <w:spacing w:after="240"/>
      </w:pPr>
      <w:bookmarkStart w:id="34" w:name="_heading=h.2xcytpi" w:colFirst="0" w:colLast="0"/>
      <w:bookmarkEnd w:id="34"/>
      <w:r w:rsidRPr="00FB17B9">
        <w:t xml:space="preserve">Con base en lo anterior, se considera que </w:t>
      </w:r>
      <w:r w:rsidRPr="00FB17B9">
        <w:rPr>
          <w:b/>
        </w:rPr>
        <w:t>EL</w:t>
      </w:r>
      <w:r w:rsidRPr="00FB17B9">
        <w:t xml:space="preserve"> </w:t>
      </w:r>
      <w:r w:rsidRPr="00FB17B9">
        <w:rPr>
          <w:b/>
        </w:rPr>
        <w:t>SUJETO OBLIGADO</w:t>
      </w:r>
      <w:r w:rsidRPr="00FB17B9">
        <w:t xml:space="preserve"> se encontraba compelido a atender la solicitud de acceso a la información realizada por </w:t>
      </w:r>
      <w:r w:rsidRPr="00FB17B9">
        <w:rPr>
          <w:b/>
        </w:rPr>
        <w:t>LA PARTE RECURRENTE</w:t>
      </w:r>
      <w:r w:rsidRPr="00FB17B9">
        <w:t>.</w:t>
      </w:r>
    </w:p>
    <w:p w14:paraId="1E4B6A71" w14:textId="77777777" w:rsidR="00617A93" w:rsidRPr="00FB17B9" w:rsidRDefault="006350FD" w:rsidP="00FB17B9">
      <w:pPr>
        <w:pStyle w:val="Ttulo3"/>
      </w:pPr>
      <w:bookmarkStart w:id="35" w:name="_Toc205933160"/>
      <w:r w:rsidRPr="00FB17B9">
        <w:t>b) Controversia a resolver</w:t>
      </w:r>
      <w:bookmarkEnd w:id="35"/>
    </w:p>
    <w:p w14:paraId="4E3F25A6" w14:textId="7D1F572E" w:rsidR="00617A93" w:rsidRPr="00FB17B9" w:rsidRDefault="006350FD" w:rsidP="00FB17B9">
      <w:pPr>
        <w:spacing w:after="240"/>
      </w:pPr>
      <w:r w:rsidRPr="00FB17B9">
        <w:t xml:space="preserve">Con el objeto de ilustrar la controversia planteada, resulta conveniente precisar que, una vez realizado el estudio de las constancias que integran el expediente en que se actúa, se desprende que </w:t>
      </w:r>
      <w:r w:rsidRPr="00FB17B9">
        <w:rPr>
          <w:b/>
        </w:rPr>
        <w:t>LA PARTE RECURRENTE</w:t>
      </w:r>
      <w:r w:rsidRPr="00FB17B9">
        <w:t xml:space="preserve"> solicitó al </w:t>
      </w:r>
      <w:r w:rsidR="00152C03" w:rsidRPr="00FB17B9">
        <w:t>Ayuntamiento de Texcalyacac</w:t>
      </w:r>
      <w:r w:rsidR="002C7442" w:rsidRPr="00FB17B9">
        <w:t xml:space="preserve"> </w:t>
      </w:r>
      <w:r w:rsidRPr="00FB17B9">
        <w:t xml:space="preserve">como </w:t>
      </w:r>
      <w:r w:rsidRPr="00FB17B9">
        <w:rPr>
          <w:b/>
        </w:rPr>
        <w:t>SUJETO OBLIGADO</w:t>
      </w:r>
      <w:r w:rsidRPr="00FB17B9">
        <w:t xml:space="preserve"> lo siguiente: </w:t>
      </w:r>
    </w:p>
    <w:p w14:paraId="3660738D" w14:textId="585DB48D" w:rsidR="001615B3" w:rsidRPr="00FB17B9" w:rsidRDefault="001615B3" w:rsidP="00FB17B9">
      <w:pPr>
        <w:spacing w:after="240"/>
      </w:pPr>
      <w:r w:rsidRPr="00FB17B9">
        <w:t>De la Secretaría Particular:</w:t>
      </w:r>
    </w:p>
    <w:p w14:paraId="67943EC6" w14:textId="46865FDF" w:rsidR="00617A93" w:rsidRPr="00FB17B9" w:rsidRDefault="006350FD" w:rsidP="00FB17B9">
      <w:pPr>
        <w:pBdr>
          <w:top w:val="nil"/>
          <w:left w:val="nil"/>
          <w:bottom w:val="nil"/>
          <w:right w:val="nil"/>
          <w:between w:val="nil"/>
        </w:pBdr>
        <w:tabs>
          <w:tab w:val="left" w:pos="4962"/>
        </w:tabs>
        <w:spacing w:after="240"/>
        <w:ind w:left="851"/>
      </w:pPr>
      <w:r w:rsidRPr="00FB17B9">
        <w:lastRenderedPageBreak/>
        <w:t xml:space="preserve">1.- </w:t>
      </w:r>
      <w:r w:rsidR="00152C03" w:rsidRPr="00FB17B9">
        <w:t>Los recibos de nómina de la</w:t>
      </w:r>
      <w:r w:rsidR="001615B3" w:rsidRPr="00FB17B9">
        <w:t xml:space="preserve"> primera y segunda </w:t>
      </w:r>
      <w:r w:rsidR="00152C03" w:rsidRPr="00FB17B9">
        <w:t>quincenas de</w:t>
      </w:r>
      <w:r w:rsidR="000D026A" w:rsidRPr="00FB17B9">
        <w:t>l mes de enero de 2025</w:t>
      </w:r>
      <w:r w:rsidRPr="00FB17B9">
        <w:t>.</w:t>
      </w:r>
    </w:p>
    <w:p w14:paraId="7E2E1CCE" w14:textId="561B07B4" w:rsidR="002C7442" w:rsidRPr="00FB17B9" w:rsidRDefault="002C7442" w:rsidP="00FB17B9">
      <w:pPr>
        <w:pBdr>
          <w:top w:val="nil"/>
          <w:left w:val="nil"/>
          <w:bottom w:val="nil"/>
          <w:right w:val="nil"/>
          <w:between w:val="nil"/>
        </w:pBdr>
        <w:tabs>
          <w:tab w:val="left" w:pos="4962"/>
        </w:tabs>
        <w:spacing w:after="240"/>
        <w:ind w:left="851"/>
      </w:pPr>
      <w:r w:rsidRPr="00FB17B9">
        <w:t xml:space="preserve">2.- </w:t>
      </w:r>
      <w:r w:rsidR="000D026A" w:rsidRPr="00FB17B9">
        <w:t>Las atribuciones de la Secretaría Particular en el Ayuntamiento</w:t>
      </w:r>
      <w:r w:rsidR="006A7AD1" w:rsidRPr="00FB17B9">
        <w:t>.</w:t>
      </w:r>
    </w:p>
    <w:p w14:paraId="66036CFD" w14:textId="6483F489" w:rsidR="000D026A" w:rsidRPr="00FB17B9" w:rsidRDefault="000D026A" w:rsidP="00FB17B9">
      <w:pPr>
        <w:pBdr>
          <w:top w:val="nil"/>
          <w:left w:val="nil"/>
          <w:bottom w:val="nil"/>
          <w:right w:val="nil"/>
          <w:between w:val="nil"/>
        </w:pBdr>
        <w:tabs>
          <w:tab w:val="left" w:pos="4962"/>
        </w:tabs>
        <w:spacing w:after="240"/>
      </w:pPr>
      <w:r w:rsidRPr="00FB17B9">
        <w:t>De la Tesorería Municipal:</w:t>
      </w:r>
    </w:p>
    <w:p w14:paraId="6D8369DE" w14:textId="77777777" w:rsidR="000D026A" w:rsidRPr="00FB17B9" w:rsidRDefault="000D026A" w:rsidP="00FB17B9">
      <w:pPr>
        <w:pBdr>
          <w:top w:val="nil"/>
          <w:left w:val="nil"/>
          <w:bottom w:val="nil"/>
          <w:right w:val="nil"/>
          <w:between w:val="nil"/>
        </w:pBdr>
        <w:tabs>
          <w:tab w:val="left" w:pos="4962"/>
        </w:tabs>
        <w:spacing w:after="240"/>
        <w:ind w:left="851"/>
      </w:pPr>
      <w:r w:rsidRPr="00FB17B9">
        <w:t>1.- Los recibos de nómina de la primera y segunda quincenas del mes de enero de 2025.</w:t>
      </w:r>
    </w:p>
    <w:p w14:paraId="6581602F" w14:textId="7D43177E" w:rsidR="000D026A" w:rsidRPr="00FB17B9" w:rsidRDefault="000D026A" w:rsidP="00FB17B9">
      <w:pPr>
        <w:pBdr>
          <w:top w:val="nil"/>
          <w:left w:val="nil"/>
          <w:bottom w:val="nil"/>
          <w:right w:val="nil"/>
          <w:between w:val="nil"/>
        </w:pBdr>
        <w:tabs>
          <w:tab w:val="left" w:pos="4962"/>
        </w:tabs>
        <w:spacing w:after="240"/>
        <w:ind w:left="851"/>
      </w:pPr>
      <w:r w:rsidRPr="00FB17B9">
        <w:t>2.- Las atribuciones de la Tesorería Municipal en el Ayuntamiento.</w:t>
      </w:r>
    </w:p>
    <w:p w14:paraId="2D2B38BB" w14:textId="463E7E2F" w:rsidR="000D026A" w:rsidRPr="00FB17B9" w:rsidRDefault="000D026A" w:rsidP="00FB17B9">
      <w:pPr>
        <w:pBdr>
          <w:top w:val="nil"/>
          <w:left w:val="nil"/>
          <w:bottom w:val="nil"/>
          <w:right w:val="nil"/>
          <w:between w:val="nil"/>
        </w:pBdr>
        <w:tabs>
          <w:tab w:val="left" w:pos="4962"/>
        </w:tabs>
        <w:spacing w:after="240"/>
        <w:ind w:left="851"/>
      </w:pPr>
      <w:r w:rsidRPr="00FB17B9">
        <w:t xml:space="preserve">3.- </w:t>
      </w:r>
      <w:r w:rsidR="00FE59A4" w:rsidRPr="00FB17B9">
        <w:t>La experiencia para el cargo establecida en el artículo 32 de la Ley Orgánica Municipal.</w:t>
      </w:r>
    </w:p>
    <w:p w14:paraId="3D391A3B" w14:textId="31DAA9C3" w:rsidR="00617A93" w:rsidRPr="00FB17B9" w:rsidRDefault="006350FD" w:rsidP="00FB17B9">
      <w:pPr>
        <w:spacing w:after="240"/>
      </w:pPr>
      <w:r w:rsidRPr="00FB17B9">
        <w:t xml:space="preserve">A través de los oficios </w:t>
      </w:r>
      <w:r w:rsidR="00FE59A4" w:rsidRPr="00FB17B9">
        <w:t xml:space="preserve">TM-TEXCA/0090/03/2025 y TM-TEXCA/0091/03/2025 </w:t>
      </w:r>
      <w:r w:rsidR="006A7AD1" w:rsidRPr="00FB17B9">
        <w:t xml:space="preserve">el </w:t>
      </w:r>
      <w:r w:rsidR="006B2B7D" w:rsidRPr="00FB17B9">
        <w:t>Tesorero Municipal</w:t>
      </w:r>
      <w:r w:rsidR="006A7AD1" w:rsidRPr="00FB17B9">
        <w:t xml:space="preserve"> </w:t>
      </w:r>
      <w:r w:rsidR="006B2B7D" w:rsidRPr="00FB17B9">
        <w:t>refirió de manera sustancial que</w:t>
      </w:r>
      <w:r w:rsidR="00FE59A4" w:rsidRPr="00FB17B9">
        <w:t xml:space="preserve"> por cuanto hace a los recibos de nómina se encontraban a disposición del particular </w:t>
      </w:r>
      <w:r w:rsidR="0065554C" w:rsidRPr="00FB17B9">
        <w:t xml:space="preserve">en consulta directa ello en razón a que </w:t>
      </w:r>
      <w:r w:rsidR="00FE59A4" w:rsidRPr="00FB17B9">
        <w:t>contiene</w:t>
      </w:r>
      <w:r w:rsidR="0065554C" w:rsidRPr="00FB17B9">
        <w:t>n</w:t>
      </w:r>
      <w:r w:rsidR="00FE59A4" w:rsidRPr="00FB17B9">
        <w:t xml:space="preserve"> información relacionada con la situación financiera y patrimonial que coloca en riesgo la integridad de la</w:t>
      </w:r>
      <w:r w:rsidR="0065554C" w:rsidRPr="00FB17B9">
        <w:t>s</w:t>
      </w:r>
      <w:r w:rsidR="00FE59A4" w:rsidRPr="00FB17B9">
        <w:t xml:space="preserve"> persona</w:t>
      </w:r>
      <w:r w:rsidR="0065554C" w:rsidRPr="00FB17B9">
        <w:t>s</w:t>
      </w:r>
      <w:r w:rsidR="00FE59A4" w:rsidRPr="00FB17B9">
        <w:t xml:space="preserve"> que funge</w:t>
      </w:r>
      <w:r w:rsidR="0065554C" w:rsidRPr="00FB17B9">
        <w:t>n</w:t>
      </w:r>
      <w:r w:rsidR="00FE59A4" w:rsidRPr="00FB17B9">
        <w:t xml:space="preserve"> como </w:t>
      </w:r>
      <w:r w:rsidR="0065554C" w:rsidRPr="00FB17B9">
        <w:t xml:space="preserve">Secretaria Particular y </w:t>
      </w:r>
      <w:r w:rsidR="00FE59A4" w:rsidRPr="00FB17B9">
        <w:t xml:space="preserve">Tesorero del Ayuntamiento de Texcalyacac, </w:t>
      </w:r>
      <w:r w:rsidR="0065554C" w:rsidRPr="00FB17B9">
        <w:t>remitió las funciones de ambos y por cuanto hace a la experiencia para ocupar el cargo señalada en el artículo 32 de la Ley Orgánica Municipal se está cumpliendo con los requisitos</w:t>
      </w:r>
      <w:r w:rsidRPr="00FB17B9">
        <w:t>.</w:t>
      </w:r>
    </w:p>
    <w:p w14:paraId="589602A2" w14:textId="60512DC1" w:rsidR="0065554C" w:rsidRPr="00FB17B9" w:rsidRDefault="0065554C" w:rsidP="00FB17B9">
      <w:pPr>
        <w:tabs>
          <w:tab w:val="left" w:pos="4962"/>
        </w:tabs>
      </w:pPr>
      <w:r w:rsidRPr="00FB17B9">
        <w:t xml:space="preserve">Ante la respuesta del </w:t>
      </w:r>
      <w:r w:rsidRPr="00FB17B9">
        <w:rPr>
          <w:b/>
        </w:rPr>
        <w:t>SUJETO OBLIGADO</w:t>
      </w:r>
      <w:r w:rsidRPr="00FB17B9">
        <w:t xml:space="preserve">, se interpuso el presente Recurso mediante el cual </w:t>
      </w:r>
      <w:r w:rsidRPr="00FB17B9">
        <w:rPr>
          <w:b/>
        </w:rPr>
        <w:t>LA PARTE RECURRENTE</w:t>
      </w:r>
      <w:r w:rsidRPr="00FB17B9">
        <w:t xml:space="preserve"> se inconformó de manera sustancial de la negativa de la información.</w:t>
      </w:r>
    </w:p>
    <w:p w14:paraId="4C08A5F9" w14:textId="77777777" w:rsidR="00B950A7" w:rsidRPr="00FB17B9" w:rsidRDefault="0065554C" w:rsidP="00FB17B9">
      <w:pPr>
        <w:tabs>
          <w:tab w:val="left" w:pos="4962"/>
        </w:tabs>
      </w:pPr>
      <w:r w:rsidRPr="00FB17B9">
        <w:lastRenderedPageBreak/>
        <w:t>Es preciso señalar que mediante informe justificado</w:t>
      </w:r>
      <w:r w:rsidR="00B950A7" w:rsidRPr="00FB17B9">
        <w:t xml:space="preserve"> únicamente para el recurso de revisión </w:t>
      </w:r>
      <w:r w:rsidR="00B950A7" w:rsidRPr="00FB17B9">
        <w:rPr>
          <w:b/>
        </w:rPr>
        <w:t>03492/INFOEM/IP/RR/2025</w:t>
      </w:r>
      <w:r w:rsidR="00B950A7" w:rsidRPr="00FB17B9">
        <w:t>, remitió los recibos de nómina de la primera y segunda quincenas del mes de enero en versión pública de la Secretaría Particular.</w:t>
      </w:r>
    </w:p>
    <w:p w14:paraId="1B8E756F" w14:textId="77777777" w:rsidR="00B950A7" w:rsidRPr="00FB17B9" w:rsidRDefault="00B950A7" w:rsidP="00FB17B9">
      <w:pPr>
        <w:tabs>
          <w:tab w:val="left" w:pos="4962"/>
        </w:tabs>
      </w:pPr>
    </w:p>
    <w:p w14:paraId="0DEFE69C" w14:textId="341928BB" w:rsidR="0065554C" w:rsidRPr="00FB17B9" w:rsidRDefault="00B950A7" w:rsidP="00FB17B9">
      <w:pPr>
        <w:tabs>
          <w:tab w:val="left" w:pos="4962"/>
        </w:tabs>
      </w:pPr>
      <w:r w:rsidRPr="00FB17B9">
        <w:t>P</w:t>
      </w:r>
      <w:r w:rsidR="0065554C" w:rsidRPr="00FB17B9">
        <w:t xml:space="preserve">or su parte </w:t>
      </w:r>
      <w:r w:rsidR="0065554C" w:rsidRPr="00FB17B9">
        <w:rPr>
          <w:b/>
        </w:rPr>
        <w:t xml:space="preserve">LA RECURRENTE </w:t>
      </w:r>
      <w:r w:rsidR="0065554C" w:rsidRPr="00FB17B9">
        <w:t xml:space="preserve">realizó </w:t>
      </w:r>
      <w:r w:rsidRPr="00FB17B9">
        <w:t xml:space="preserve">sus manifestaciones únicamente para el recurso </w:t>
      </w:r>
      <w:r w:rsidRPr="00FB17B9">
        <w:rPr>
          <w:b/>
        </w:rPr>
        <w:t xml:space="preserve">03493/INFOEM/IP/RR/2025, </w:t>
      </w:r>
      <w:r w:rsidRPr="00FB17B9">
        <w:t>mediante el cual solicita al instituto continuar con el proceso a fin de que se ordene se entregue la información peticionada</w:t>
      </w:r>
      <w:r w:rsidR="0065554C" w:rsidRPr="00FB17B9">
        <w:t>.</w:t>
      </w:r>
    </w:p>
    <w:p w14:paraId="443C61EE" w14:textId="77777777" w:rsidR="00B950A7" w:rsidRPr="00FB17B9" w:rsidRDefault="00B950A7" w:rsidP="00FB17B9">
      <w:pPr>
        <w:tabs>
          <w:tab w:val="left" w:pos="4962"/>
        </w:tabs>
      </w:pPr>
    </w:p>
    <w:p w14:paraId="62058BBF" w14:textId="172741DA" w:rsidR="00617A93" w:rsidRPr="00FB17B9" w:rsidRDefault="00EC67C0" w:rsidP="00FB17B9">
      <w:pPr>
        <w:tabs>
          <w:tab w:val="left" w:pos="4962"/>
        </w:tabs>
        <w:spacing w:after="240"/>
      </w:pPr>
      <w:r w:rsidRPr="00FB17B9">
        <w:t>P</w:t>
      </w:r>
      <w:r w:rsidR="006350FD" w:rsidRPr="00FB17B9">
        <w:t xml:space="preserve">or lo tanto, el estudio del presente medio de impugnación se centrará en el análisis de las documentales remitidas para determinar si se colma o no con la pretensión del particular o deviene fundado el argumento del recurrente respecto a que se le </w:t>
      </w:r>
      <w:r w:rsidR="00B950A7" w:rsidRPr="00FB17B9">
        <w:t xml:space="preserve">negó la entrega </w:t>
      </w:r>
      <w:r w:rsidR="00CC62A8" w:rsidRPr="00FB17B9">
        <w:t>de la información</w:t>
      </w:r>
      <w:r w:rsidR="006350FD" w:rsidRPr="00FB17B9">
        <w:t>.</w:t>
      </w:r>
    </w:p>
    <w:p w14:paraId="09CEF755" w14:textId="77777777" w:rsidR="00617A93" w:rsidRPr="00FB17B9" w:rsidRDefault="006350FD" w:rsidP="00FB17B9">
      <w:pPr>
        <w:pStyle w:val="Ttulo3"/>
      </w:pPr>
      <w:bookmarkStart w:id="36" w:name="_Toc205933161"/>
      <w:r w:rsidRPr="00FB17B9">
        <w:t>c) Estudio de la controversia</w:t>
      </w:r>
      <w:bookmarkEnd w:id="36"/>
    </w:p>
    <w:p w14:paraId="19EE318E" w14:textId="0E8D4CEC" w:rsidR="00D81AF6" w:rsidRPr="00FB17B9" w:rsidRDefault="006350FD" w:rsidP="00FB17B9">
      <w:pPr>
        <w:spacing w:after="240"/>
      </w:pPr>
      <w:r w:rsidRPr="00FB17B9">
        <w:t xml:space="preserve">Ahora bien, </w:t>
      </w:r>
      <w:r w:rsidR="00D81AF6" w:rsidRPr="00FB17B9">
        <w:t xml:space="preserve">es importante establecer que en la interposición del presente recurso </w:t>
      </w:r>
      <w:r w:rsidR="00D81AF6" w:rsidRPr="00FB17B9">
        <w:rPr>
          <w:b/>
        </w:rPr>
        <w:t>LA PARTE RECURRENTE</w:t>
      </w:r>
      <w:r w:rsidR="00D81AF6" w:rsidRPr="00FB17B9">
        <w:t xml:space="preserve"> se inconformó únicamente sobre la negativa de la información, del cambio de modalidad de la entrega de los recibos de nómina solicitados además de la experiencia que debe cumplir el tesorero municipal conforme a la ley. Ante tal situación, se advierte que </w:t>
      </w:r>
      <w:r w:rsidR="00D81AF6" w:rsidRPr="00FB17B9">
        <w:rPr>
          <w:b/>
        </w:rPr>
        <w:t>LA PARTE RECURRENTE</w:t>
      </w:r>
      <w:r w:rsidR="00D81AF6" w:rsidRPr="00FB17B9">
        <w:t xml:space="preserve"> no se inconformó sobre las atribuciones de la Secretaría Particular y la Tesorería Municipal en el Ayuntamiento; por lo cual, se presume que dicha información ha sido consentida por el propio solicitante.</w:t>
      </w:r>
    </w:p>
    <w:p w14:paraId="32686253" w14:textId="77777777" w:rsidR="00D81AF6" w:rsidRPr="00FB17B9" w:rsidRDefault="00D81AF6" w:rsidP="00FB17B9">
      <w:pPr>
        <w:spacing w:after="240"/>
      </w:pPr>
      <w:r w:rsidRPr="00FB17B9">
        <w:t>Sirve de sustento, la tesis jurisprudencial número VI.2o. J/21, publicada en el Semanario Judicial de la Federación y su Gaceta bajo el número de registro 204707 que a la letra dice:</w:t>
      </w:r>
    </w:p>
    <w:p w14:paraId="6990E723" w14:textId="77777777" w:rsidR="00D81AF6" w:rsidRPr="00FB17B9" w:rsidRDefault="00D81AF6" w:rsidP="00FB17B9">
      <w:pPr>
        <w:spacing w:after="240"/>
      </w:pPr>
    </w:p>
    <w:p w14:paraId="76A3A2A7" w14:textId="0107D013" w:rsidR="00D81AF6" w:rsidRPr="00FB17B9" w:rsidRDefault="00D81AF6" w:rsidP="00FB17B9">
      <w:pPr>
        <w:spacing w:after="240" w:line="240" w:lineRule="auto"/>
        <w:ind w:left="851" w:right="822"/>
      </w:pPr>
      <w:r w:rsidRPr="00FB17B9">
        <w:rPr>
          <w:b/>
          <w:i/>
        </w:rPr>
        <w:lastRenderedPageBreak/>
        <w:t xml:space="preserve">ACTOS CONSENTIDOS TACITAMENTE. </w:t>
      </w:r>
      <w:r w:rsidRPr="00FB17B9">
        <w:rPr>
          <w:i/>
        </w:rPr>
        <w:t>“Se presumen así, para los efectos del amparo, los actos del orden civil y administrativo, que no hubieren sido reclamados en esa vía dentro de los plazos que la ley señala”.</w:t>
      </w:r>
    </w:p>
    <w:p w14:paraId="6FCF101E" w14:textId="29BF25AF" w:rsidR="00CF6B0C" w:rsidRPr="00FB17B9" w:rsidRDefault="00D81AF6" w:rsidP="00FB17B9">
      <w:pPr>
        <w:spacing w:after="240"/>
      </w:pPr>
      <w:r w:rsidRPr="00FB17B9">
        <w:t>Precisado lo anterior y en el contexto de la información solicitada</w:t>
      </w:r>
      <w:r w:rsidR="00CF6B0C" w:rsidRPr="00FB17B9">
        <w:t xml:space="preserve"> es conveniente referir lo previsto por el Bando Municipal del ayuntamiento de Texcalyacac 2025 que refiere lo siguiente:</w:t>
      </w:r>
    </w:p>
    <w:p w14:paraId="75AA38FE" w14:textId="3FFD7403" w:rsidR="00CF6B0C" w:rsidRPr="00FB17B9" w:rsidRDefault="00CF6B0C" w:rsidP="00FB17B9">
      <w:pPr>
        <w:spacing w:after="240" w:line="240" w:lineRule="auto"/>
        <w:ind w:left="851" w:right="822"/>
        <w:rPr>
          <w:i/>
        </w:rPr>
      </w:pPr>
      <w:r w:rsidRPr="00FB17B9">
        <w:rPr>
          <w:b/>
          <w:i/>
        </w:rPr>
        <w:t xml:space="preserve">Artículo 45.- </w:t>
      </w:r>
      <w:r w:rsidRPr="00FB17B9">
        <w:rPr>
          <w:i/>
        </w:rPr>
        <w:t>Para el despacho de los asuntos municipales, el Ayuntamiento se auxiliará de las dependencias y las entidades de la administración pública municipal que considere necesarias, las cuales estarán subordinadas a la Presidenta Municipal, mismas que a continuación se enlistan:</w:t>
      </w:r>
    </w:p>
    <w:p w14:paraId="79585C52" w14:textId="37877040" w:rsidR="00CF6B0C" w:rsidRPr="00FB17B9" w:rsidRDefault="00CF6B0C" w:rsidP="00FB17B9">
      <w:pPr>
        <w:spacing w:after="240" w:line="240" w:lineRule="auto"/>
        <w:ind w:left="851" w:right="822"/>
        <w:rPr>
          <w:i/>
        </w:rPr>
      </w:pPr>
      <w:r w:rsidRPr="00FB17B9">
        <w:rPr>
          <w:i/>
        </w:rPr>
        <w:t>CENTRALIZADAS</w:t>
      </w:r>
    </w:p>
    <w:p w14:paraId="0FA6E9D7" w14:textId="7EC120F6" w:rsidR="00CF6B0C" w:rsidRPr="00FB17B9" w:rsidRDefault="00CF6B0C" w:rsidP="00FB17B9">
      <w:pPr>
        <w:spacing w:after="240" w:line="240" w:lineRule="auto"/>
        <w:ind w:left="851" w:right="822"/>
        <w:rPr>
          <w:i/>
        </w:rPr>
      </w:pPr>
      <w:r w:rsidRPr="00FB17B9">
        <w:rPr>
          <w:i/>
        </w:rPr>
        <w:t>(…)</w:t>
      </w:r>
    </w:p>
    <w:p w14:paraId="521A6CA3" w14:textId="100E5C58" w:rsidR="00CF6B0C" w:rsidRPr="00FB17B9" w:rsidRDefault="00CF6B0C" w:rsidP="00FB17B9">
      <w:pPr>
        <w:spacing w:line="240" w:lineRule="auto"/>
        <w:ind w:left="851" w:right="822"/>
        <w:rPr>
          <w:b/>
          <w:i/>
        </w:rPr>
      </w:pPr>
      <w:r w:rsidRPr="00FB17B9">
        <w:rPr>
          <w:b/>
          <w:i/>
        </w:rPr>
        <w:t>Tesorería Municipal</w:t>
      </w:r>
    </w:p>
    <w:p w14:paraId="11F945EF" w14:textId="53484A62" w:rsidR="00CF6B0C" w:rsidRPr="00FB17B9" w:rsidRDefault="00CF6B0C" w:rsidP="00FB17B9">
      <w:pPr>
        <w:spacing w:before="240" w:line="240" w:lineRule="auto"/>
        <w:ind w:left="851" w:right="822"/>
        <w:rPr>
          <w:i/>
        </w:rPr>
      </w:pPr>
      <w:r w:rsidRPr="00FB17B9">
        <w:rPr>
          <w:i/>
        </w:rPr>
        <w:t>(…)</w:t>
      </w:r>
    </w:p>
    <w:p w14:paraId="4BF4F6A5" w14:textId="493DDB8A" w:rsidR="00CF6B0C" w:rsidRPr="00FB17B9" w:rsidRDefault="00CF6B0C" w:rsidP="00FB17B9">
      <w:pPr>
        <w:spacing w:before="240" w:line="240" w:lineRule="auto"/>
        <w:ind w:left="851" w:right="822"/>
        <w:rPr>
          <w:b/>
          <w:i/>
        </w:rPr>
      </w:pPr>
      <w:r w:rsidRPr="00FB17B9">
        <w:rPr>
          <w:b/>
          <w:i/>
        </w:rPr>
        <w:t>ÁREAS STAFF DE LA PRESIDENCIA MUNICIPAL</w:t>
      </w:r>
    </w:p>
    <w:p w14:paraId="651C1B2A" w14:textId="3887A619" w:rsidR="00CF6B0C" w:rsidRPr="00FB17B9" w:rsidRDefault="00CF6B0C" w:rsidP="00FB17B9">
      <w:pPr>
        <w:spacing w:before="240" w:line="240" w:lineRule="auto"/>
        <w:ind w:left="851" w:right="822"/>
        <w:rPr>
          <w:b/>
          <w:i/>
        </w:rPr>
      </w:pPr>
      <w:r w:rsidRPr="00FB17B9">
        <w:rPr>
          <w:b/>
          <w:i/>
        </w:rPr>
        <w:t>Secretaría Particular</w:t>
      </w:r>
    </w:p>
    <w:p w14:paraId="46FBE174" w14:textId="34FA3D58" w:rsidR="00CF6B0C" w:rsidRPr="00FB17B9" w:rsidRDefault="00CF6B0C" w:rsidP="00FB17B9">
      <w:pPr>
        <w:spacing w:before="240" w:after="240" w:line="240" w:lineRule="auto"/>
        <w:ind w:left="851" w:right="822"/>
        <w:rPr>
          <w:i/>
        </w:rPr>
      </w:pPr>
      <w:r w:rsidRPr="00FB17B9">
        <w:rPr>
          <w:i/>
        </w:rPr>
        <w:t>(…)</w:t>
      </w:r>
    </w:p>
    <w:p w14:paraId="2FFE870A" w14:textId="1D435F9F" w:rsidR="00D81AF6" w:rsidRPr="00FB17B9" w:rsidRDefault="006C319E" w:rsidP="00FB17B9">
      <w:r w:rsidRPr="00FB17B9">
        <w:t xml:space="preserve">De lo transcrito </w:t>
      </w:r>
      <w:r w:rsidR="00CF6B0C" w:rsidRPr="00FB17B9">
        <w:t>se advierte que el Ayuntamiento para el despacho y cumplimiento de sus atribuciones se auxiliará de diversas unidades administrativas subordinadas a</w:t>
      </w:r>
      <w:r w:rsidRPr="00FB17B9">
        <w:t xml:space="preserve"> </w:t>
      </w:r>
      <w:r w:rsidR="00CF6B0C" w:rsidRPr="00FB17B9">
        <w:t>l</w:t>
      </w:r>
      <w:r w:rsidRPr="00FB17B9">
        <w:t>a</w:t>
      </w:r>
      <w:r w:rsidR="00CF6B0C" w:rsidRPr="00FB17B9">
        <w:t xml:space="preserve"> </w:t>
      </w:r>
      <w:r w:rsidRPr="00FB17B9">
        <w:t>P</w:t>
      </w:r>
      <w:r w:rsidR="00CF6B0C" w:rsidRPr="00FB17B9">
        <w:t xml:space="preserve">residente </w:t>
      </w:r>
      <w:r w:rsidRPr="00FB17B9">
        <w:t>Municipal.</w:t>
      </w:r>
    </w:p>
    <w:p w14:paraId="528F6033" w14:textId="77777777" w:rsidR="00D81AF6" w:rsidRPr="00FB17B9" w:rsidRDefault="00D81AF6" w:rsidP="00FB17B9"/>
    <w:p w14:paraId="60530FB4" w14:textId="3C19BE20" w:rsidR="00D81AF6" w:rsidRPr="00FB17B9" w:rsidRDefault="003C3B56" w:rsidP="00FB17B9">
      <w:pPr>
        <w:spacing w:after="240"/>
      </w:pPr>
      <w:r w:rsidRPr="00FB17B9">
        <w:t xml:space="preserve">Así en relación </w:t>
      </w:r>
      <w:r w:rsidR="006C319E" w:rsidRPr="00FB17B9">
        <w:t xml:space="preserve">a los recibos de nómina peticionados </w:t>
      </w:r>
      <w:r w:rsidR="00D81AF6" w:rsidRPr="00FB17B9">
        <w:t xml:space="preserve">es importante establecer que </w:t>
      </w:r>
      <w:r w:rsidR="00D81AF6" w:rsidRPr="00FB17B9">
        <w:rPr>
          <w:b/>
        </w:rPr>
        <w:t xml:space="preserve">EL SUJETO OBLIGADO </w:t>
      </w:r>
      <w:r w:rsidR="00D81AF6" w:rsidRPr="00FB17B9">
        <w:t>asumió contar con la información peticionada informando que la mi</w:t>
      </w:r>
      <w:r w:rsidR="006C319E" w:rsidRPr="00FB17B9">
        <w:t>s</w:t>
      </w:r>
      <w:r w:rsidR="00D81AF6" w:rsidRPr="00FB17B9">
        <w:t xml:space="preserve">ma </w:t>
      </w:r>
      <w:r w:rsidR="006C319E" w:rsidRPr="00FB17B9">
        <w:t>se encontraba disponible en consulta directa</w:t>
      </w:r>
      <w:r w:rsidR="00D81AF6" w:rsidRPr="00FB17B9">
        <w:t xml:space="preserve">, razón por la que en el presente asunto, se obviara el estudio jurídico de la naturaleza y/o competencia de la misma, lo anterior es así, ya que el </w:t>
      </w:r>
      <w:r w:rsidR="00D81AF6" w:rsidRPr="00FB17B9">
        <w:lastRenderedPageBreak/>
        <w:t xml:space="preserve">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09735137" w14:textId="77777777" w:rsidR="00D81AF6" w:rsidRPr="00FB17B9" w:rsidRDefault="00D81AF6" w:rsidP="00FB17B9">
      <w:pPr>
        <w:pStyle w:val="Puesto"/>
        <w:spacing w:after="240"/>
        <w:ind w:left="851" w:right="822" w:firstLine="0"/>
        <w:rPr>
          <w:color w:val="auto"/>
        </w:rPr>
      </w:pPr>
      <w:r w:rsidRPr="00FB17B9">
        <w:rPr>
          <w:b/>
          <w:color w:val="auto"/>
        </w:rPr>
        <w:t>Artículo 12. Quienes generen, recopilen, administren, manejen, procesen, archiven o conserven información pública serán responsables de la misma</w:t>
      </w:r>
      <w:r w:rsidRPr="00FB17B9">
        <w:rPr>
          <w:color w:val="auto"/>
        </w:rPr>
        <w:t xml:space="preserve"> en los términos de las disposiciones jurídicas aplicables. </w:t>
      </w:r>
    </w:p>
    <w:p w14:paraId="38181CA6" w14:textId="0DCE5E09" w:rsidR="00D81AF6" w:rsidRPr="00FB17B9" w:rsidRDefault="00D81AF6" w:rsidP="00FB17B9">
      <w:pPr>
        <w:spacing w:after="240"/>
      </w:pPr>
      <w:r w:rsidRPr="00FB17B9">
        <w:rPr>
          <w:b/>
        </w:rPr>
        <w:t>Los sujetos obligados sólo proporcionarán la información pública que se les requiera y que obre en sus archivos y en el estado en que ésta se encuentre.</w:t>
      </w:r>
      <w:r w:rsidRPr="00FB17B9">
        <w:t xml:space="preserve"> La obligación de proporcionar información no comprende el procesamiento de la misma, ni el presentarla conforme al interés del solicitante; no estarán obligados a generarla, resumirla, efectuar cálculos o practicar investigaciones.</w:t>
      </w:r>
    </w:p>
    <w:p w14:paraId="7F16607D" w14:textId="40C2CA64" w:rsidR="000A3ADB" w:rsidRPr="00FB17B9" w:rsidRDefault="006C319E" w:rsidP="00FB17B9">
      <w:pPr>
        <w:spacing w:after="240"/>
        <w:ind w:right="-93"/>
      </w:pPr>
      <w:r w:rsidRPr="00FB17B9">
        <w:t xml:space="preserve">Establecido esto recordemos que </w:t>
      </w:r>
      <w:r w:rsidR="003C3B56" w:rsidRPr="00FB17B9">
        <w:t xml:space="preserve">del análisis a las documentales remitidas en el expediente que se actúa, </w:t>
      </w:r>
      <w:r w:rsidRPr="00FB17B9">
        <w:t xml:space="preserve">únicamente por cuanto hace al </w:t>
      </w:r>
      <w:r w:rsidR="003C3B56" w:rsidRPr="00FB17B9">
        <w:t>recurso de revisión 03492/INFOEM/IP/RR/2025 remitió en informe justificado dos recibos de nómina correspondientes a la primera y segunda quin</w:t>
      </w:r>
      <w:r w:rsidR="00BF7745" w:rsidRPr="00FB17B9">
        <w:t xml:space="preserve">cenas del mes de enero del 2025, respecto de los cuales </w:t>
      </w:r>
      <w:r w:rsidR="003C3B56" w:rsidRPr="00FB17B9">
        <w:t>no</w:t>
      </w:r>
      <w:r w:rsidR="00BF7745" w:rsidRPr="00FB17B9">
        <w:t xml:space="preserve"> se pudo tomar por valido el de la primera quincena del mes de enero, </w:t>
      </w:r>
      <w:r w:rsidR="003C3B56" w:rsidRPr="00FB17B9">
        <w:t>pues se advierte se testo el RFC del Ayuntamiento tal y como se parecía en la siguiente imagen:</w:t>
      </w:r>
    </w:p>
    <w:p w14:paraId="4CE99C07" w14:textId="51F7BD15" w:rsidR="006C319E" w:rsidRPr="00FB17B9" w:rsidRDefault="003C3B56" w:rsidP="00FB17B9">
      <w:pPr>
        <w:spacing w:after="240"/>
        <w:ind w:right="-93"/>
        <w:jc w:val="center"/>
      </w:pPr>
      <w:r w:rsidRPr="00FB17B9">
        <w:rPr>
          <w:noProof/>
        </w:rPr>
        <mc:AlternateContent>
          <mc:Choice Requires="wps">
            <w:drawing>
              <wp:anchor distT="0" distB="0" distL="114300" distR="114300" simplePos="0" relativeHeight="251659264" behindDoc="0" locked="0" layoutInCell="1" allowOverlap="1" wp14:anchorId="281DB1B0" wp14:editId="48AB6AD6">
                <wp:simplePos x="0" y="0"/>
                <wp:positionH relativeFrom="margin">
                  <wp:align>left</wp:align>
                </wp:positionH>
                <wp:positionV relativeFrom="paragraph">
                  <wp:posOffset>507365</wp:posOffset>
                </wp:positionV>
                <wp:extent cx="516835" cy="247650"/>
                <wp:effectExtent l="0" t="19050" r="36195" b="38100"/>
                <wp:wrapNone/>
                <wp:docPr id="2" name="Flecha derecha 2"/>
                <wp:cNvGraphicFramePr/>
                <a:graphic xmlns:a="http://schemas.openxmlformats.org/drawingml/2006/main">
                  <a:graphicData uri="http://schemas.microsoft.com/office/word/2010/wordprocessingShape">
                    <wps:wsp>
                      <wps:cNvSpPr/>
                      <wps:spPr>
                        <a:xfrm>
                          <a:off x="0" y="0"/>
                          <a:ext cx="516835" cy="2476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5172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0;margin-top:39.95pt;width:40.7pt;height:19.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" adj="16425" fillcolor="red" strokecolor="red" strokeweight="1pt">
                <w10:wrap anchorx="margin"/>
              </v:shape>
            </w:pict>
          </mc:Fallback>
        </mc:AlternateContent>
      </w:r>
      <w:r w:rsidRPr="00FB17B9">
        <w:rPr>
          <w:noProof/>
        </w:rPr>
        <w:drawing>
          <wp:inline distT="0" distB="0" distL="0" distR="0" wp14:anchorId="0E4D2CD3" wp14:editId="3A92A4E7">
            <wp:extent cx="4483100" cy="1541623"/>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61252" cy="1568497"/>
                    </a:xfrm>
                    <a:prstGeom prst="rect">
                      <a:avLst/>
                    </a:prstGeom>
                  </pic:spPr>
                </pic:pic>
              </a:graphicData>
            </a:graphic>
          </wp:inline>
        </w:drawing>
      </w:r>
    </w:p>
    <w:p w14:paraId="30479F8B" w14:textId="77777777" w:rsidR="00BF7745" w:rsidRPr="00FB17B9" w:rsidRDefault="00BF7745" w:rsidP="00FB17B9">
      <w:pPr>
        <w:spacing w:after="240"/>
        <w:ind w:right="-93"/>
      </w:pPr>
      <w:r w:rsidRPr="00FB17B9">
        <w:lastRenderedPageBreak/>
        <w:t xml:space="preserve">Situación que no se advierte en el correspondiente a la segunda quincena del mes de enero de dos mil quince, temporalidad solicitada por </w:t>
      </w:r>
      <w:r w:rsidRPr="00FB17B9">
        <w:rPr>
          <w:b/>
        </w:rPr>
        <w:t>LA PARTE RECURRENTE</w:t>
      </w:r>
      <w:r w:rsidRPr="00FB17B9">
        <w:t>, tal y como se puede apreciar en la siguiente imagen:</w:t>
      </w:r>
    </w:p>
    <w:p w14:paraId="46C071DC" w14:textId="55AB3ABC" w:rsidR="00BF7745" w:rsidRPr="00FB17B9" w:rsidRDefault="00BF7745" w:rsidP="00FB17B9">
      <w:pPr>
        <w:spacing w:after="240"/>
        <w:ind w:right="-93"/>
        <w:jc w:val="center"/>
      </w:pPr>
      <w:r w:rsidRPr="00FB17B9">
        <w:rPr>
          <w:noProof/>
        </w:rPr>
        <mc:AlternateContent>
          <mc:Choice Requires="wps">
            <w:drawing>
              <wp:anchor distT="0" distB="0" distL="114300" distR="114300" simplePos="0" relativeHeight="251661312" behindDoc="0" locked="0" layoutInCell="1" allowOverlap="1" wp14:anchorId="24F91152" wp14:editId="0D5521F2">
                <wp:simplePos x="0" y="0"/>
                <wp:positionH relativeFrom="margin">
                  <wp:posOffset>-88900</wp:posOffset>
                </wp:positionH>
                <wp:positionV relativeFrom="paragraph">
                  <wp:posOffset>494665</wp:posOffset>
                </wp:positionV>
                <wp:extent cx="516835" cy="247650"/>
                <wp:effectExtent l="0" t="19050" r="36195" b="38100"/>
                <wp:wrapNone/>
                <wp:docPr id="7" name="Flecha derecha 7"/>
                <wp:cNvGraphicFramePr/>
                <a:graphic xmlns:a="http://schemas.openxmlformats.org/drawingml/2006/main">
                  <a:graphicData uri="http://schemas.microsoft.com/office/word/2010/wordprocessingShape">
                    <wps:wsp>
                      <wps:cNvSpPr/>
                      <wps:spPr>
                        <a:xfrm>
                          <a:off x="0" y="0"/>
                          <a:ext cx="516835" cy="2476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FFBAC2C" id="Flecha derecha 7" o:spid="_x0000_s1026" type="#_x0000_t13" style="position:absolute;margin-left:-7pt;margin-top:38.95pt;width:40.7pt;height:1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" adj="16425" fillcolor="red" strokecolor="red" strokeweight="1pt">
                <w10:wrap anchorx="margin"/>
              </v:shape>
            </w:pict>
          </mc:Fallback>
        </mc:AlternateContent>
      </w:r>
      <w:r w:rsidRPr="00FB17B9">
        <w:rPr>
          <w:noProof/>
        </w:rPr>
        <w:drawing>
          <wp:inline distT="0" distB="0" distL="0" distR="0" wp14:anchorId="37F33ABA" wp14:editId="2627A975">
            <wp:extent cx="5048250" cy="161986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71370" cy="1627280"/>
                    </a:xfrm>
                    <a:prstGeom prst="rect">
                      <a:avLst/>
                    </a:prstGeom>
                  </pic:spPr>
                </pic:pic>
              </a:graphicData>
            </a:graphic>
          </wp:inline>
        </w:drawing>
      </w:r>
    </w:p>
    <w:p w14:paraId="39139335" w14:textId="4C623070" w:rsidR="006C319E" w:rsidRPr="00FB17B9" w:rsidRDefault="003D5D2F" w:rsidP="00FB17B9">
      <w:pPr>
        <w:spacing w:after="240"/>
        <w:ind w:right="-93"/>
      </w:pPr>
      <w:r w:rsidRPr="00FB17B9">
        <w:t>Es así que el Registro Federal de Contribuyentes tratándose de Sujetos Obligados encuadra dentro de las fronteras conceptuales del interés general y el alcance público, al tratarse de un elemento que, en el caso en particular abona a la transparencia y la rendición de cuentas, por lo que este Instituto desvirtúa la clasificación realizada, relacionada con el RFC del Ayuntamiento de Texcalyacac pues este opera con recursos públicos que invariablemente son de interés social.</w:t>
      </w:r>
    </w:p>
    <w:p w14:paraId="6FA64568" w14:textId="12E88F3A" w:rsidR="003D5D2F" w:rsidRPr="00FB17B9" w:rsidRDefault="003D5D2F" w:rsidP="00FB17B9">
      <w:pPr>
        <w:spacing w:after="240"/>
        <w:ind w:right="-93"/>
      </w:pPr>
      <w:r w:rsidRPr="00FB17B9">
        <w:t xml:space="preserve">No pasa desapercibido referir que de las documentales remitidas </w:t>
      </w:r>
      <w:r w:rsidR="004F349D" w:rsidRPr="00FB17B9">
        <w:t xml:space="preserve">vía informe justificado </w:t>
      </w:r>
      <w:r w:rsidRPr="00FB17B9">
        <w:t>en versión pública, se omitió la entrega del acuerdo que sustente dicha versión pública por lo que es importante recorda</w:t>
      </w:r>
      <w:r w:rsidR="004F349D" w:rsidRPr="00FB17B9">
        <w:t>r</w:t>
      </w:r>
      <w:r w:rsidRPr="00FB17B9">
        <w:t xml:space="preserve"> que las versiones públicas que elabore </w:t>
      </w:r>
      <w:r w:rsidRPr="00FB17B9">
        <w:rPr>
          <w:b/>
        </w:rPr>
        <w:t>EL SUJETO OBLIGADO</w:t>
      </w:r>
      <w:r w:rsidRPr="00FB17B9">
        <w:t xml:space="preserve"> deben cumplir con las formalidades exigidas en la Ley, por lo que para tal efecto deberá emitir el </w:t>
      </w:r>
      <w:r w:rsidRPr="00FB17B9">
        <w:rPr>
          <w:b/>
        </w:rPr>
        <w:t>Acuerdo del Comité de Transparencia</w:t>
      </w:r>
      <w:r w:rsidRPr="00FB17B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w:t>
      </w:r>
      <w:r w:rsidRPr="00FB17B9">
        <w:lastRenderedPageBreak/>
        <w:t xml:space="preserve">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 </w:t>
      </w:r>
    </w:p>
    <w:p w14:paraId="522762FE" w14:textId="35B58394" w:rsidR="004F349D" w:rsidRPr="00FB17B9" w:rsidRDefault="004F349D" w:rsidP="00FB17B9">
      <w:r w:rsidRPr="00FB17B9">
        <w:t xml:space="preserve">En razón de lo anterior se determina ordenar la entrega de los </w:t>
      </w:r>
      <w:r w:rsidR="004D4C57" w:rsidRPr="00FB17B9">
        <w:t xml:space="preserve">recibos de nómina del Tesorero Municipal </w:t>
      </w:r>
      <w:r w:rsidR="00DF3620" w:rsidRPr="00FB17B9">
        <w:t xml:space="preserve">correspondientes a la primera y segunda quincenas de enero 2025 </w:t>
      </w:r>
      <w:r w:rsidR="004D4C57" w:rsidRPr="00FB17B9">
        <w:t xml:space="preserve">y </w:t>
      </w:r>
      <w:r w:rsidR="00BF7745" w:rsidRPr="00FB17B9">
        <w:t xml:space="preserve">el recibo de nómina remitido </w:t>
      </w:r>
      <w:r w:rsidR="004D4C57" w:rsidRPr="00FB17B9">
        <w:t xml:space="preserve">en informe justificado </w:t>
      </w:r>
      <w:r w:rsidR="00BF7745" w:rsidRPr="00FB17B9">
        <w:t xml:space="preserve">correspondiente a la primera </w:t>
      </w:r>
      <w:r w:rsidR="00DF3620" w:rsidRPr="00FB17B9">
        <w:t>quincena del mes de enero</w:t>
      </w:r>
      <w:r w:rsidR="00BF7745" w:rsidRPr="00FB17B9">
        <w:t xml:space="preserve"> </w:t>
      </w:r>
      <w:r w:rsidR="004D4C57" w:rsidRPr="00FB17B9">
        <w:t>de la Secretaria Particular en correcta versión pública</w:t>
      </w:r>
      <w:r w:rsidRPr="00FB17B9">
        <w:t xml:space="preserve">, debiendo </w:t>
      </w:r>
      <w:r w:rsidRPr="00FB17B9">
        <w:rPr>
          <w:b/>
        </w:rPr>
        <w:t>EL SUJETO OBLIGADO</w:t>
      </w:r>
      <w:r w:rsidRPr="00FB17B9">
        <w:t xml:space="preserve"> entregar el acuerdo que sustente la versión pública de los dichos documentos.</w:t>
      </w:r>
    </w:p>
    <w:p w14:paraId="5C77430F" w14:textId="77777777" w:rsidR="00BF7745" w:rsidRPr="00FB17B9" w:rsidRDefault="00BF7745" w:rsidP="00FB17B9"/>
    <w:p w14:paraId="096B0DFD" w14:textId="2E4F535C" w:rsidR="00DF3620" w:rsidRPr="00FB17B9" w:rsidRDefault="004562BA" w:rsidP="00FB17B9">
      <w:pPr>
        <w:ind w:right="-93"/>
      </w:pPr>
      <w:r w:rsidRPr="00FB17B9">
        <w:t>Finalmente,</w:t>
      </w:r>
      <w:r w:rsidR="004D4C57" w:rsidRPr="00FB17B9">
        <w:t xml:space="preserve"> por cuanto hace a la </w:t>
      </w:r>
      <w:r w:rsidR="00085ABC" w:rsidRPr="00FB17B9">
        <w:t>parte del requerimiento de adjuntar la experiencia en el cargo como Tesorero como</w:t>
      </w:r>
      <w:r w:rsidR="005E0FA8" w:rsidRPr="00FB17B9">
        <w:t xml:space="preserve"> lo marca el artículo 32 de la Ley Orgánica M</w:t>
      </w:r>
      <w:r w:rsidR="00085ABC" w:rsidRPr="00FB17B9">
        <w:t>unicipal</w:t>
      </w:r>
      <w:r w:rsidR="00DF3620" w:rsidRPr="00FB17B9">
        <w:t xml:space="preserve"> es preciso referir lo establecido en el propio artículo el cual refiere lo siguiente:</w:t>
      </w:r>
    </w:p>
    <w:p w14:paraId="6B966D38" w14:textId="6B18884E" w:rsidR="00DF3620" w:rsidRPr="00FB17B9" w:rsidRDefault="00DF3620" w:rsidP="00FB17B9">
      <w:pPr>
        <w:ind w:right="-93"/>
      </w:pPr>
    </w:p>
    <w:p w14:paraId="771A59DA" w14:textId="77777777" w:rsidR="00DF3620" w:rsidRPr="00FB17B9" w:rsidRDefault="00DF3620" w:rsidP="00FB17B9">
      <w:pPr>
        <w:spacing w:line="240" w:lineRule="auto"/>
        <w:ind w:left="851" w:right="822"/>
        <w:rPr>
          <w:i/>
        </w:rPr>
      </w:pPr>
      <w:r w:rsidRPr="00FB17B9">
        <w:rPr>
          <w:b/>
          <w:i/>
        </w:rPr>
        <w:t>Artículo 32.-</w:t>
      </w:r>
      <w:r w:rsidRPr="00FB17B9">
        <w:rPr>
          <w:i/>
        </w:rPr>
        <w:t xml:space="preserv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1CA30709" w14:textId="77777777" w:rsidR="00DF3620" w:rsidRPr="00FB17B9" w:rsidRDefault="00DF3620" w:rsidP="00FB17B9">
      <w:pPr>
        <w:spacing w:line="240" w:lineRule="auto"/>
        <w:ind w:left="851" w:right="822"/>
        <w:rPr>
          <w:i/>
        </w:rPr>
      </w:pPr>
      <w:r w:rsidRPr="00FB17B9">
        <w:rPr>
          <w:i/>
        </w:rPr>
        <w:t xml:space="preserve">I. Ser persona ciudadana del Estado, en pleno uso de sus derechos; </w:t>
      </w:r>
    </w:p>
    <w:p w14:paraId="7230D01B" w14:textId="77777777" w:rsidR="00DF3620" w:rsidRPr="00FB17B9" w:rsidRDefault="00DF3620" w:rsidP="00FB17B9">
      <w:pPr>
        <w:spacing w:line="240" w:lineRule="auto"/>
        <w:ind w:left="851" w:right="822"/>
        <w:rPr>
          <w:i/>
        </w:rPr>
      </w:pPr>
      <w:r w:rsidRPr="00FB17B9">
        <w:rPr>
          <w:i/>
        </w:rPr>
        <w:t xml:space="preserve">II. No estar inhabilitada o inhabilitado para desempeñar cargo, empleo, o comisión pública; </w:t>
      </w:r>
    </w:p>
    <w:p w14:paraId="59CA522F" w14:textId="77777777" w:rsidR="00DF3620" w:rsidRPr="00FB17B9" w:rsidRDefault="00DF3620" w:rsidP="00FB17B9">
      <w:pPr>
        <w:spacing w:line="240" w:lineRule="auto"/>
        <w:ind w:left="851" w:right="822"/>
        <w:rPr>
          <w:b/>
          <w:i/>
        </w:rPr>
      </w:pPr>
      <w:r w:rsidRPr="00FB17B9">
        <w:rPr>
          <w:b/>
          <w:i/>
        </w:rPr>
        <w:t xml:space="preserve">III. Contar con título profesional o acreditar experiencia mínima de un año en la materia, ante la o el Presidente o el Ayuntamiento, cuando sea el caso, para el desempeño de los cargos que así lo requieran; </w:t>
      </w:r>
    </w:p>
    <w:p w14:paraId="72A02D6D" w14:textId="77777777" w:rsidR="00DF3620" w:rsidRPr="00FB17B9" w:rsidRDefault="00DF3620" w:rsidP="00FB17B9">
      <w:pPr>
        <w:spacing w:line="240" w:lineRule="auto"/>
        <w:ind w:left="851" w:right="822"/>
        <w:rPr>
          <w:i/>
        </w:rPr>
      </w:pPr>
      <w:r w:rsidRPr="00FB17B9">
        <w:rPr>
          <w:i/>
        </w:rPr>
        <w:t xml:space="preserve">IV. Contar con certificación de competencia laboral en la materia del cargo que se desempeñará, expedida por institución con reconocimiento de validez oficial. Este </w:t>
      </w:r>
      <w:r w:rsidRPr="00FB17B9">
        <w:rPr>
          <w:i/>
        </w:rPr>
        <w:lastRenderedPageBreak/>
        <w:t xml:space="preserve">requisito deberá acreditarse dentro de los seis meses siguientes a la fecha en que inicien sus funciones; </w:t>
      </w:r>
    </w:p>
    <w:p w14:paraId="215FB7D0" w14:textId="77777777" w:rsidR="00DF3620" w:rsidRPr="00FB17B9" w:rsidRDefault="00DF3620" w:rsidP="00FB17B9">
      <w:pPr>
        <w:spacing w:line="240" w:lineRule="auto"/>
        <w:ind w:left="851" w:right="822"/>
        <w:rPr>
          <w:i/>
        </w:rPr>
      </w:pPr>
      <w:r w:rsidRPr="00FB17B9">
        <w:rPr>
          <w:i/>
        </w:rPr>
        <w:t xml:space="preserve">V. No estar condenada o condenado por sentencia ejecutoriada por el delito de violencia política contra las mujeres en razón de género;  </w:t>
      </w:r>
    </w:p>
    <w:p w14:paraId="7900596E" w14:textId="701B72D6" w:rsidR="00DF3620" w:rsidRPr="00FB17B9" w:rsidRDefault="00DF3620" w:rsidP="00FB17B9">
      <w:pPr>
        <w:spacing w:line="240" w:lineRule="auto"/>
        <w:ind w:left="851" w:right="822"/>
        <w:rPr>
          <w:i/>
        </w:rPr>
      </w:pPr>
      <w:r w:rsidRPr="00FB17B9">
        <w:rPr>
          <w:i/>
        </w:rPr>
        <w:t>VI. No estar inscrito en el Registro de Deudores Alimentarios Morosos en el Estado, ni en otra entidad federativa, y</w:t>
      </w:r>
    </w:p>
    <w:p w14:paraId="1AC19304" w14:textId="77777777" w:rsidR="00DF3620" w:rsidRPr="00FB17B9" w:rsidRDefault="00DF3620" w:rsidP="00FB17B9">
      <w:pPr>
        <w:spacing w:line="240" w:lineRule="auto"/>
        <w:ind w:left="851" w:right="822"/>
        <w:rPr>
          <w:i/>
        </w:rPr>
      </w:pPr>
      <w:r w:rsidRPr="00FB17B9">
        <w:rPr>
          <w:i/>
        </w:rPr>
        <w:t xml:space="preserve">VII. No estar condenada o condenado por sentencia ejecutoriada por delitos de violencia familiar, contra la libertad sexual o de violencia de género. Vencido el plazo a que se refiere la fracción </w:t>
      </w:r>
    </w:p>
    <w:p w14:paraId="01488A9D" w14:textId="0F31CDEF" w:rsidR="00DF3620" w:rsidRPr="00FB17B9" w:rsidRDefault="00DF3620" w:rsidP="00FB17B9">
      <w:pPr>
        <w:spacing w:line="240" w:lineRule="auto"/>
        <w:ind w:left="851" w:right="822"/>
        <w:rPr>
          <w:i/>
        </w:rPr>
      </w:pPr>
      <w:r w:rsidRPr="00FB17B9">
        <w:rPr>
          <w:i/>
        </w:rPr>
        <w:t>IV, la o el Presidente Municipal informará al Cabildo sobre el cumplimiento de dicha certificación laboral para que, en su caso, el Ayuntamiento tome las medidas correspondientes respecto de aquellos servidores públicos que no hubiesen cumplido.</w:t>
      </w:r>
    </w:p>
    <w:p w14:paraId="1D73BCB6" w14:textId="77777777" w:rsidR="00DF3620" w:rsidRPr="00FB17B9" w:rsidRDefault="00DF3620" w:rsidP="00FB17B9">
      <w:pPr>
        <w:ind w:right="-93"/>
      </w:pPr>
    </w:p>
    <w:p w14:paraId="217658C7" w14:textId="77777777" w:rsidR="005E0FA8" w:rsidRPr="00FB17B9" w:rsidRDefault="005E0FA8" w:rsidP="00FB17B9">
      <w:pPr>
        <w:ind w:right="-93"/>
      </w:pPr>
      <w:r w:rsidRPr="00FB17B9">
        <w:t>Disposición legal que establece como requisito contar con título profesional o acreditar experiencia mínima de un año en la materia, así en ese sentido es de referir lo previsto también por el artículo 96 de la propia Ley Orgánica Municipal que establece lo siguiente:</w:t>
      </w:r>
    </w:p>
    <w:p w14:paraId="50D89527" w14:textId="77777777" w:rsidR="005E0FA8" w:rsidRPr="00FB17B9" w:rsidRDefault="005E0FA8" w:rsidP="00FB17B9">
      <w:pPr>
        <w:ind w:right="-93"/>
      </w:pPr>
    </w:p>
    <w:p w14:paraId="05858B5C" w14:textId="77777777" w:rsidR="005E0FA8" w:rsidRPr="00FB17B9" w:rsidRDefault="005E0FA8" w:rsidP="00FB17B9">
      <w:pPr>
        <w:spacing w:line="240" w:lineRule="auto"/>
        <w:ind w:left="851" w:right="822"/>
        <w:rPr>
          <w:i/>
        </w:rPr>
      </w:pPr>
      <w:r w:rsidRPr="00FB17B9">
        <w:rPr>
          <w:b/>
        </w:rPr>
        <w:t>Artículo 96.-</w:t>
      </w:r>
      <w:r w:rsidRPr="00FB17B9">
        <w:t xml:space="preserve"> </w:t>
      </w:r>
      <w:r w:rsidRPr="00FB17B9">
        <w:rPr>
          <w:i/>
        </w:rPr>
        <w:t xml:space="preserve">Para ser tesorero municipal se requiere, además de los requisitos del artículos 32 de esta Ley: </w:t>
      </w:r>
    </w:p>
    <w:p w14:paraId="03D7E1EE" w14:textId="77777777" w:rsidR="005E0FA8" w:rsidRPr="00FB17B9" w:rsidRDefault="005E0FA8" w:rsidP="00FB17B9">
      <w:pPr>
        <w:spacing w:line="240" w:lineRule="auto"/>
        <w:ind w:left="851" w:right="822"/>
        <w:rPr>
          <w:b/>
          <w:i/>
        </w:rPr>
      </w:pPr>
      <w:r w:rsidRPr="00FB17B9">
        <w:rPr>
          <w:i/>
        </w:rPr>
        <w:t xml:space="preserve">I. Tener los conocimientos suficientes para poder desempeñar el cargo, a juicio del Ayuntamiento; contar con título profesional en las áreas jurídicas, económicas o contables administrativas, </w:t>
      </w:r>
      <w:r w:rsidRPr="00FB17B9">
        <w:rPr>
          <w:b/>
          <w:i/>
        </w:rPr>
        <w:t xml:space="preserve">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6BA02230" w14:textId="0C031CBD" w:rsidR="005E0FA8" w:rsidRPr="00FB17B9" w:rsidRDefault="005E0FA8" w:rsidP="00FB17B9">
      <w:pPr>
        <w:spacing w:line="240" w:lineRule="auto"/>
        <w:ind w:left="851" w:right="822"/>
        <w:rPr>
          <w:i/>
        </w:rPr>
      </w:pPr>
      <w:r w:rsidRPr="00FB17B9">
        <w:rPr>
          <w:i/>
        </w:rPr>
        <w:t>El requisito de la certificación de competencia laboral, deberá acreditarse dentro de los seis meses siguientes a la fecha en que inicie funciones.</w:t>
      </w:r>
    </w:p>
    <w:p w14:paraId="49E70611" w14:textId="77777777" w:rsidR="005E0FA8" w:rsidRPr="00FB17B9" w:rsidRDefault="005E0FA8" w:rsidP="00FB17B9">
      <w:pPr>
        <w:ind w:right="-93"/>
      </w:pPr>
    </w:p>
    <w:p w14:paraId="4EB56816" w14:textId="12CF6EFD" w:rsidR="00085ABC" w:rsidRPr="00FB17B9" w:rsidRDefault="005E0FA8" w:rsidP="00FB17B9">
      <w:pPr>
        <w:ind w:right="-93"/>
      </w:pPr>
      <w:r w:rsidRPr="00FB17B9">
        <w:t xml:space="preserve">Así en razón a la experiencia mínima que establece el precepto normativo, </w:t>
      </w:r>
      <w:r w:rsidR="00085ABC" w:rsidRPr="00FB17B9">
        <w:t xml:space="preserve">es referir que se estima prudente señalar que el currículum pudiera ser el documento que colme la protección de </w:t>
      </w:r>
      <w:r w:rsidR="00085ABC" w:rsidRPr="00FB17B9">
        <w:rPr>
          <w:b/>
        </w:rPr>
        <w:t xml:space="preserve">LA PARTE </w:t>
      </w:r>
      <w:r w:rsidR="00DF3620" w:rsidRPr="00FB17B9">
        <w:rPr>
          <w:b/>
        </w:rPr>
        <w:t>RECURRENTE</w:t>
      </w:r>
      <w:r w:rsidR="00085ABC" w:rsidRPr="00FB17B9">
        <w:t xml:space="preserve">, pues este refiere a las características, requisitos, cualidades o aptitudes que deberá tener el aspirante a desempeñar un puesto, en este caso, el del docente en </w:t>
      </w:r>
      <w:r w:rsidR="00085ABC" w:rsidRPr="00FB17B9">
        <w:lastRenderedPageBreak/>
        <w:t>cierta categoría, información que bien puede constar en el currículum vitae, ello en atención a que, el concepto “currículum” corresponde a una locución latina cuyo significado es “carrera de vida”, se usa como locución nominal masculina para designar la relación de los datos personales, formación académica, actividad laboral y méritos de una persona.” (Sic).</w:t>
      </w:r>
    </w:p>
    <w:p w14:paraId="206703F0" w14:textId="77777777" w:rsidR="00085ABC" w:rsidRPr="00FB17B9" w:rsidRDefault="00085ABC" w:rsidP="00FB17B9">
      <w:pPr>
        <w:ind w:right="-93"/>
      </w:pPr>
    </w:p>
    <w:p w14:paraId="2B0ECFE7" w14:textId="77777777" w:rsidR="00085ABC" w:rsidRPr="00FB17B9" w:rsidRDefault="00085ABC" w:rsidP="00FB17B9">
      <w:pPr>
        <w:ind w:right="-93"/>
      </w:pPr>
      <w:r w:rsidRPr="00FB17B9">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724A8FDB" w14:textId="77777777" w:rsidR="00085ABC" w:rsidRPr="00FB17B9" w:rsidRDefault="00085ABC" w:rsidP="00FB17B9">
      <w:pPr>
        <w:ind w:right="-93"/>
      </w:pPr>
    </w:p>
    <w:p w14:paraId="317DB494" w14:textId="77777777" w:rsidR="00085ABC" w:rsidRPr="00FB17B9" w:rsidRDefault="00085ABC" w:rsidP="00FB17B9">
      <w:pPr>
        <w:ind w:right="-93"/>
      </w:pPr>
      <w:r w:rsidRPr="00FB17B9">
        <w:t>Por su lado, la Real Academia Española, lo define como a continuación se cita: “Relación de los títulos, honores, cargos, trabajos realizados, datos biográficos, etc, que califican a una persona” (Sic)</w:t>
      </w:r>
    </w:p>
    <w:p w14:paraId="3E855A85" w14:textId="77777777" w:rsidR="00085ABC" w:rsidRPr="00FB17B9" w:rsidRDefault="00085ABC" w:rsidP="00FB17B9">
      <w:pPr>
        <w:ind w:right="-93"/>
      </w:pPr>
    </w:p>
    <w:p w14:paraId="1CEE8878" w14:textId="77777777" w:rsidR="00085ABC" w:rsidRPr="00FB17B9" w:rsidRDefault="00085ABC" w:rsidP="00FB17B9">
      <w:pPr>
        <w:ind w:right="-93"/>
      </w:pPr>
      <w:r w:rsidRPr="00FB17B9">
        <w:t xml:space="preserve">Desde esta perspectiva, a través del currículum vite la persona solicitante puede advertir los estudios realizados o bien el nivel académico, así como la experiencia laboral de los servidores públicos que se encuentran adscritos al </w:t>
      </w:r>
      <w:r w:rsidRPr="00FB17B9">
        <w:rPr>
          <w:b/>
        </w:rPr>
        <w:t>SUJETO OBLIGADO</w:t>
      </w:r>
      <w:r w:rsidRPr="00FB17B9">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05F62981" w14:textId="77777777" w:rsidR="00085ABC" w:rsidRPr="00FB17B9" w:rsidRDefault="00085ABC" w:rsidP="00FB17B9">
      <w:pPr>
        <w:ind w:right="-93"/>
      </w:pPr>
    </w:p>
    <w:p w14:paraId="4FA2FF65" w14:textId="77777777" w:rsidR="00085ABC" w:rsidRPr="00FB17B9" w:rsidRDefault="00085ABC" w:rsidP="00FB17B9">
      <w:pPr>
        <w:spacing w:line="240" w:lineRule="auto"/>
        <w:ind w:left="851" w:right="539"/>
        <w:rPr>
          <w:i/>
        </w:rPr>
      </w:pPr>
      <w:r w:rsidRPr="00FB17B9">
        <w:rPr>
          <w:i/>
        </w:rPr>
        <w:t>“</w:t>
      </w:r>
      <w:r w:rsidRPr="00FB17B9">
        <w:rPr>
          <w:rStyle w:val="PuestoCar"/>
          <w:b/>
        </w:rPr>
        <w:t>Currículum Vitae de servidores públicos</w:t>
      </w:r>
      <w:r w:rsidRPr="00FB17B9">
        <w:rPr>
          <w:i/>
        </w:rPr>
        <w:t xml:space="preserve">. Es obligación de los sujetos obligados otorgar acceso a versiones públicas de los mismos ante una solicitud de acceso. Uno de los objetivos de la Ley Federal de Transparencia y Acceso a la Información Pública </w:t>
      </w:r>
      <w:r w:rsidRPr="00FB17B9">
        <w:rPr>
          <w:i/>
        </w:rPr>
        <w:lastRenderedPageBreak/>
        <w:t>Gubernamental, de acuerdo con su artículo 4, fracción IV, es favorecer la rendición de cuentas a las personas, de manera que puedan valorar el desempeño de los sujetos obligados. Si bien en el currículum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currículum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currículum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3B2CB51C" w14:textId="77777777" w:rsidR="00085ABC" w:rsidRPr="00FB17B9" w:rsidRDefault="00085ABC" w:rsidP="00FB17B9">
      <w:pPr>
        <w:ind w:right="-93"/>
      </w:pPr>
    </w:p>
    <w:p w14:paraId="3D2CD0D5" w14:textId="77777777" w:rsidR="00085ABC" w:rsidRPr="00FB17B9" w:rsidRDefault="00085ABC" w:rsidP="00FB17B9">
      <w:pPr>
        <w:ind w:right="-93"/>
        <w:rPr>
          <w:rFonts w:cs="Tahoma"/>
          <w:bCs/>
        </w:rPr>
      </w:pPr>
      <w:r w:rsidRPr="00FB17B9">
        <w:rPr>
          <w:rFonts w:cs="Tahoma"/>
          <w:bCs/>
        </w:rPr>
        <w:t>Ahora bien, dada la naturaleza de la información solicitada, resulta congruente hacer mención que, de conformidad a la Ley de Transparencia y Acceso a la Información Pública del Estado de México y Municipios, artículo 92, fracción XXI, es obligación de transparencia común de los Sujetos Obligados, hacer pública la información relativa a la información curricular de los servidores públicos de mandos medio y superior.</w:t>
      </w:r>
    </w:p>
    <w:p w14:paraId="7B54572A" w14:textId="77777777" w:rsidR="00085ABC" w:rsidRPr="00FB17B9" w:rsidRDefault="00085ABC" w:rsidP="00FB17B9">
      <w:pPr>
        <w:ind w:right="-93"/>
        <w:rPr>
          <w:rFonts w:cs="Tahoma"/>
          <w:bCs/>
        </w:rPr>
      </w:pPr>
    </w:p>
    <w:p w14:paraId="6DA0D3A7" w14:textId="77777777" w:rsidR="00085ABC" w:rsidRPr="00FB17B9" w:rsidRDefault="00085ABC" w:rsidP="00FB17B9">
      <w:pPr>
        <w:spacing w:line="240" w:lineRule="auto"/>
        <w:ind w:left="567" w:right="539"/>
        <w:rPr>
          <w:i/>
        </w:rPr>
      </w:pPr>
      <w:r w:rsidRPr="00FB17B9">
        <w:rPr>
          <w:b/>
          <w:i/>
        </w:rPr>
        <w:t>Ley de Transparencia y Acceso a la Información Pública del Estado de México y Municipios</w:t>
      </w:r>
      <w:r w:rsidRPr="00FB17B9">
        <w:rPr>
          <w:i/>
        </w:rPr>
        <w:t xml:space="preserve"> </w:t>
      </w:r>
    </w:p>
    <w:p w14:paraId="4DE48F00" w14:textId="77777777" w:rsidR="00085ABC" w:rsidRPr="00FB17B9" w:rsidRDefault="00085ABC" w:rsidP="00FB17B9">
      <w:pPr>
        <w:spacing w:line="240" w:lineRule="auto"/>
        <w:ind w:left="567" w:right="539"/>
        <w:rPr>
          <w:i/>
        </w:rPr>
      </w:pPr>
      <w:r w:rsidRPr="00FB17B9">
        <w:rPr>
          <w:i/>
        </w:rPr>
        <w:t>“</w:t>
      </w:r>
      <w:r w:rsidRPr="00FB17B9">
        <w:rPr>
          <w:b/>
          <w:i/>
        </w:rPr>
        <w:t>Artículo 92. Los</w:t>
      </w:r>
      <w:r w:rsidRPr="00FB17B9">
        <w:rPr>
          <w:i/>
        </w:rPr>
        <w:t xml:space="preserve">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44ECB0A" w14:textId="77777777" w:rsidR="00085ABC" w:rsidRPr="00FB17B9" w:rsidRDefault="00085ABC" w:rsidP="00FB17B9">
      <w:pPr>
        <w:spacing w:line="240" w:lineRule="auto"/>
        <w:ind w:left="567" w:right="539"/>
        <w:rPr>
          <w:i/>
        </w:rPr>
      </w:pPr>
      <w:r w:rsidRPr="00FB17B9">
        <w:rPr>
          <w:i/>
        </w:rPr>
        <w:t xml:space="preserve">(…) </w:t>
      </w:r>
    </w:p>
    <w:p w14:paraId="6DD028E1" w14:textId="77777777" w:rsidR="00085ABC" w:rsidRPr="00FB17B9" w:rsidRDefault="00085ABC" w:rsidP="00FB17B9">
      <w:pPr>
        <w:spacing w:line="240" w:lineRule="auto"/>
        <w:ind w:left="567" w:right="539"/>
        <w:rPr>
          <w:rFonts w:cs="Tahoma"/>
          <w:bCs/>
        </w:rPr>
      </w:pPr>
      <w:r w:rsidRPr="00FB17B9">
        <w:rPr>
          <w:b/>
          <w:i/>
        </w:rPr>
        <w:t>XXI. La información curricular,</w:t>
      </w:r>
      <w:r w:rsidRPr="00FB17B9">
        <w:rPr>
          <w:i/>
        </w:rPr>
        <w:t xml:space="preserve"> desde el nivel de jefe de departamento o equivalente, hasta el titular del sujeto obligado, así como, en su caso, las sanciones administrativas de que haya sido objeto; (Énfasis añadido)”</w:t>
      </w:r>
    </w:p>
    <w:p w14:paraId="65BD2F4E" w14:textId="77777777" w:rsidR="00085ABC" w:rsidRPr="00FB17B9" w:rsidRDefault="00085ABC" w:rsidP="00FB17B9">
      <w:pPr>
        <w:ind w:right="-93"/>
        <w:rPr>
          <w:rFonts w:cs="Tahoma"/>
          <w:bCs/>
        </w:rPr>
      </w:pPr>
    </w:p>
    <w:p w14:paraId="25CCAF03" w14:textId="77777777" w:rsidR="00085ABC" w:rsidRPr="00FB17B9" w:rsidRDefault="00085ABC" w:rsidP="00FB17B9">
      <w:pPr>
        <w:ind w:right="-93"/>
        <w:rPr>
          <w:rFonts w:cs="Tahoma"/>
          <w:bCs/>
        </w:rPr>
      </w:pPr>
      <w:r w:rsidRPr="00FB17B9">
        <w:lastRenderedPageBreak/>
        <w:t xml:space="preserve">De lo anterior se tiene que, </w:t>
      </w:r>
      <w:r w:rsidRPr="00FB17B9">
        <w:rPr>
          <w:b/>
        </w:rPr>
        <w:t>EL SUJETO OBLIGADO</w:t>
      </w:r>
      <w:r w:rsidRPr="00FB17B9">
        <w:t xml:space="preserve"> cuenta con fuente obligacional para generar, administrar y poseer la información requerida por el Particular, además,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3862BA3E" w14:textId="77777777" w:rsidR="00085ABC" w:rsidRPr="00FB17B9" w:rsidRDefault="00085ABC" w:rsidP="00FB17B9">
      <w:pPr>
        <w:ind w:right="-93"/>
        <w:rPr>
          <w:rFonts w:cs="Tahoma"/>
          <w:bCs/>
        </w:rPr>
      </w:pPr>
    </w:p>
    <w:p w14:paraId="3E8FA02F" w14:textId="77777777" w:rsidR="00085ABC" w:rsidRPr="00FB17B9" w:rsidRDefault="00085ABC" w:rsidP="00FB17B9">
      <w:pPr>
        <w:spacing w:line="240" w:lineRule="auto"/>
        <w:ind w:left="567" w:right="539"/>
        <w:rPr>
          <w:i/>
        </w:rPr>
      </w:pPr>
      <w:r w:rsidRPr="00FB17B9">
        <w:rPr>
          <w:b/>
          <w:i/>
        </w:rPr>
        <w:t>XVII. La información curricular</w:t>
      </w:r>
      <w:r w:rsidRPr="00FB17B9">
        <w:rPr>
          <w:i/>
        </w:rPr>
        <w:t xml:space="preserve"> desde el nivel de jefe de departamento o equivalente hasta el titular del sujeto obligado, así como, en su caso, las sanciones administrativas de que haya sido objeto</w:t>
      </w:r>
    </w:p>
    <w:p w14:paraId="270105BD" w14:textId="77777777" w:rsidR="00085ABC" w:rsidRPr="00FB17B9" w:rsidRDefault="00085ABC" w:rsidP="00FB17B9">
      <w:pPr>
        <w:spacing w:line="240" w:lineRule="auto"/>
        <w:ind w:left="567" w:right="539"/>
        <w:rPr>
          <w:i/>
        </w:rPr>
      </w:pPr>
      <w:r w:rsidRPr="00FB17B9">
        <w:rPr>
          <w:i/>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6D45F541" w14:textId="77777777" w:rsidR="00085ABC" w:rsidRPr="00FB17B9" w:rsidRDefault="00085ABC" w:rsidP="00FB17B9">
      <w:pPr>
        <w:spacing w:line="240" w:lineRule="auto"/>
        <w:ind w:left="567" w:right="539"/>
        <w:rPr>
          <w:i/>
        </w:rPr>
      </w:pPr>
    </w:p>
    <w:p w14:paraId="2FDEB766" w14:textId="77777777" w:rsidR="00085ABC" w:rsidRPr="00FB17B9" w:rsidRDefault="00085ABC" w:rsidP="00FB17B9">
      <w:pPr>
        <w:spacing w:line="240" w:lineRule="auto"/>
        <w:ind w:left="567" w:right="539"/>
        <w:rPr>
          <w:b/>
          <w:i/>
        </w:rPr>
      </w:pPr>
      <w:r w:rsidRPr="00FB17B9">
        <w:rPr>
          <w:b/>
          <w:i/>
        </w:rPr>
        <w:t xml:space="preserve">Criterios sustantivos de contenido </w:t>
      </w:r>
    </w:p>
    <w:p w14:paraId="0E2E9667" w14:textId="77777777" w:rsidR="00085ABC" w:rsidRPr="00FB17B9" w:rsidRDefault="00085ABC" w:rsidP="00FB17B9">
      <w:pPr>
        <w:spacing w:line="240" w:lineRule="auto"/>
        <w:ind w:left="567" w:right="539"/>
        <w:rPr>
          <w:b/>
          <w:i/>
        </w:rPr>
      </w:pPr>
      <w:r w:rsidRPr="00FB17B9">
        <w:rPr>
          <w:b/>
          <w:i/>
        </w:rPr>
        <w:t xml:space="preserve">Criterio 1 Ejercicio </w:t>
      </w:r>
    </w:p>
    <w:p w14:paraId="2C4CB8CC" w14:textId="77777777" w:rsidR="00085ABC" w:rsidRPr="00FB17B9" w:rsidRDefault="00085ABC" w:rsidP="00FB17B9">
      <w:pPr>
        <w:spacing w:line="240" w:lineRule="auto"/>
        <w:ind w:left="567" w:right="539"/>
        <w:rPr>
          <w:b/>
          <w:i/>
        </w:rPr>
      </w:pPr>
      <w:r w:rsidRPr="00FB17B9">
        <w:rPr>
          <w:b/>
          <w:i/>
        </w:rPr>
        <w:t xml:space="preserve">Criterio 2 Periodo que se informa (fecha de inicio y fecha de término con el formato día/mes/año) </w:t>
      </w:r>
    </w:p>
    <w:p w14:paraId="165A399C" w14:textId="77777777" w:rsidR="00085ABC" w:rsidRPr="00FB17B9" w:rsidRDefault="00085ABC" w:rsidP="00FB17B9">
      <w:pPr>
        <w:spacing w:line="240" w:lineRule="auto"/>
        <w:ind w:left="567" w:right="539"/>
        <w:rPr>
          <w:b/>
          <w:i/>
        </w:rPr>
      </w:pPr>
      <w:r w:rsidRPr="00FB17B9">
        <w:rPr>
          <w:b/>
          <w:i/>
        </w:rPr>
        <w:t xml:space="preserve">Criterio 3 Denominación del puesto (de acuerdo con el catálogo que en su caso regule la actividad del sujeto obligado) </w:t>
      </w:r>
    </w:p>
    <w:p w14:paraId="1E60E4CC" w14:textId="77777777" w:rsidR="00085ABC" w:rsidRPr="00FB17B9" w:rsidRDefault="00085ABC" w:rsidP="00FB17B9">
      <w:pPr>
        <w:spacing w:line="240" w:lineRule="auto"/>
        <w:ind w:left="567" w:right="539"/>
        <w:rPr>
          <w:b/>
          <w:i/>
        </w:rPr>
      </w:pPr>
      <w:r w:rsidRPr="00FB17B9">
        <w:rPr>
          <w:b/>
          <w:i/>
        </w:rPr>
        <w:t xml:space="preserve">Criterio 4 Denominación del cargo (de conformidad con nombramiento otorgado) </w:t>
      </w:r>
    </w:p>
    <w:p w14:paraId="063638C2" w14:textId="77777777" w:rsidR="00085ABC" w:rsidRPr="00FB17B9" w:rsidRDefault="00085ABC" w:rsidP="00FB17B9">
      <w:pPr>
        <w:spacing w:line="240" w:lineRule="auto"/>
        <w:ind w:left="567" w:right="539"/>
        <w:rPr>
          <w:b/>
          <w:i/>
        </w:rPr>
      </w:pPr>
      <w:r w:rsidRPr="00FB17B9">
        <w:rPr>
          <w:b/>
          <w:i/>
        </w:rPr>
        <w:t xml:space="preserve">Criterio 5 Nombre del servidor(a) público(a), integrante y/o, miembro del sujeto obligado, y/o persona que desempeñe un empleo, cargo o comisión y/o ejerza actos de autoridad (nombre[s], primer apellido, segundo apellido) </w:t>
      </w:r>
    </w:p>
    <w:p w14:paraId="692C2B5D" w14:textId="77777777" w:rsidR="00085ABC" w:rsidRPr="00FB17B9" w:rsidRDefault="00085ABC" w:rsidP="00FB17B9">
      <w:pPr>
        <w:spacing w:line="240" w:lineRule="auto"/>
        <w:ind w:left="567" w:right="539"/>
        <w:rPr>
          <w:b/>
          <w:i/>
        </w:rPr>
      </w:pPr>
      <w:r w:rsidRPr="00FB17B9">
        <w:rPr>
          <w:b/>
          <w:i/>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5E887429" w14:textId="77777777" w:rsidR="00085ABC" w:rsidRPr="00FB17B9" w:rsidRDefault="00085ABC" w:rsidP="00FB17B9">
      <w:pPr>
        <w:spacing w:line="240" w:lineRule="auto"/>
        <w:ind w:left="567" w:right="539"/>
        <w:rPr>
          <w:b/>
          <w:i/>
        </w:rPr>
      </w:pPr>
      <w:r w:rsidRPr="00FB17B9">
        <w:rPr>
          <w:b/>
          <w:i/>
        </w:rPr>
        <w:t xml:space="preserve">Criterio 7 Escolaridad, nivel máximo de estudios concluido y comprobable (catálogo): </w:t>
      </w:r>
      <w:r w:rsidRPr="00FB17B9">
        <w:rPr>
          <w:b/>
          <w:i/>
        </w:rPr>
        <w:lastRenderedPageBreak/>
        <w:t xml:space="preserve">Ninguno/Primaria/Secundaria/Bachillerato/Carreratécnica/Licenciatura/Maestría/Doctorado/Posdoctorado/Especialización </w:t>
      </w:r>
    </w:p>
    <w:p w14:paraId="33DD3FE2" w14:textId="77777777" w:rsidR="00085ABC" w:rsidRPr="00FB17B9" w:rsidRDefault="00085ABC" w:rsidP="00FB17B9">
      <w:pPr>
        <w:spacing w:line="240" w:lineRule="auto"/>
        <w:ind w:left="567" w:right="539"/>
        <w:rPr>
          <w:i/>
        </w:rPr>
      </w:pPr>
      <w:r w:rsidRPr="00FB17B9">
        <w:rPr>
          <w:b/>
          <w:i/>
        </w:rPr>
        <w:t>Criterio 8 Carrera genérica, en su caso</w:t>
      </w:r>
    </w:p>
    <w:p w14:paraId="49E885A9" w14:textId="77777777" w:rsidR="00085ABC" w:rsidRPr="00FB17B9" w:rsidRDefault="00085ABC" w:rsidP="00FB17B9">
      <w:pPr>
        <w:ind w:right="-93"/>
      </w:pPr>
    </w:p>
    <w:p w14:paraId="785C85F3" w14:textId="6E1366DA" w:rsidR="00085ABC" w:rsidRPr="00FB17B9" w:rsidRDefault="00085ABC" w:rsidP="00FB17B9">
      <w:pPr>
        <w:ind w:right="-93"/>
      </w:pPr>
      <w:r w:rsidRPr="00FB17B9">
        <w:t xml:space="preserve">En ese sentido, bajo los argumentos expuestos con antelación, podemos dilucidar que, el documento que </w:t>
      </w:r>
      <w:r w:rsidR="00CA0DE1" w:rsidRPr="00FB17B9">
        <w:t xml:space="preserve">pudiera </w:t>
      </w:r>
      <w:r w:rsidRPr="00FB17B9">
        <w:t>acredita</w:t>
      </w:r>
      <w:r w:rsidR="00CA0DE1" w:rsidRPr="00FB17B9">
        <w:t>r</w:t>
      </w:r>
      <w:r w:rsidRPr="00FB17B9">
        <w:t xml:space="preserve"> la experiencia laboral y profesional de los servidores públicos es </w:t>
      </w:r>
      <w:r w:rsidR="00CA0DE1" w:rsidRPr="00FB17B9">
        <w:t xml:space="preserve">de manera enunciativa más no limitativa </w:t>
      </w:r>
      <w:r w:rsidRPr="00FB17B9">
        <w:t>el curr</w:t>
      </w:r>
      <w:r w:rsidR="005D65B0" w:rsidRPr="00FB17B9">
        <w:t>í</w:t>
      </w:r>
      <w:r w:rsidRPr="00FB17B9">
        <w:t xml:space="preserve">culum, por lo que es procedente </w:t>
      </w:r>
      <w:r w:rsidR="00CA0DE1" w:rsidRPr="00FB17B9">
        <w:t>ordenar la entrega de o de los documentos donde conste la experiencia laboral del Tesorero Municipal.</w:t>
      </w:r>
    </w:p>
    <w:p w14:paraId="1A7E4A15" w14:textId="77777777" w:rsidR="00B603C0" w:rsidRPr="00FB17B9" w:rsidRDefault="00B603C0" w:rsidP="00FB17B9">
      <w:pPr>
        <w:autoSpaceDE w:val="0"/>
        <w:autoSpaceDN w:val="0"/>
        <w:adjustRightInd w:val="0"/>
        <w:ind w:right="50"/>
        <w:rPr>
          <w:rFonts w:cs="Arial"/>
          <w:b/>
        </w:rPr>
      </w:pPr>
    </w:p>
    <w:p w14:paraId="08F29692" w14:textId="2EAB60D7" w:rsidR="00B603C0" w:rsidRPr="00FB17B9" w:rsidRDefault="00CA0DE1" w:rsidP="00FB17B9">
      <w:pPr>
        <w:rPr>
          <w:b/>
        </w:rPr>
      </w:pPr>
      <w:r w:rsidRPr="00FB17B9">
        <w:t xml:space="preserve">Por lo que </w:t>
      </w:r>
      <w:r w:rsidR="00B603C0" w:rsidRPr="00FB17B9">
        <w:t xml:space="preserve">en atención a todo lo antes descrito este Órgano Garante considera que </w:t>
      </w:r>
      <w:r w:rsidR="00B603C0" w:rsidRPr="00FB17B9">
        <w:rPr>
          <w:b/>
        </w:rPr>
        <w:t>EL SUJETO OBLIGADO</w:t>
      </w:r>
      <w:r w:rsidR="00B603C0" w:rsidRPr="00FB17B9">
        <w:t xml:space="preserve"> no satisfizo correctamente el derecho de acceso a la información </w:t>
      </w:r>
      <w:r w:rsidR="00B603C0" w:rsidRPr="00FB17B9">
        <w:rPr>
          <w:b/>
        </w:rPr>
        <w:t>LA PARTE RECURRENTE</w:t>
      </w:r>
      <w:r w:rsidR="00B603C0" w:rsidRPr="00FB17B9">
        <w:t xml:space="preserve">, por lo que, </w:t>
      </w:r>
      <w:r w:rsidR="00B603C0" w:rsidRPr="00FB17B9">
        <w:rPr>
          <w:b/>
        </w:rPr>
        <w:t xml:space="preserve">al incumplir dicho principio, </w:t>
      </w:r>
      <w:r w:rsidR="00B603C0" w:rsidRPr="00FB17B9">
        <w:t xml:space="preserve">da como resultado que los agravios sean </w:t>
      </w:r>
      <w:r w:rsidR="00B603C0" w:rsidRPr="00FB17B9">
        <w:rPr>
          <w:b/>
        </w:rPr>
        <w:t xml:space="preserve">FUNDADOS </w:t>
      </w:r>
      <w:r w:rsidR="00B603C0" w:rsidRPr="00FB17B9">
        <w:t xml:space="preserve">y suficientes para </w:t>
      </w:r>
      <w:r w:rsidR="00B603C0" w:rsidRPr="00FB17B9">
        <w:rPr>
          <w:b/>
        </w:rPr>
        <w:t>MODIFICAR</w:t>
      </w:r>
      <w:r w:rsidR="00B603C0" w:rsidRPr="00FB17B9">
        <w:t xml:space="preserve"> las respuestas.</w:t>
      </w:r>
    </w:p>
    <w:p w14:paraId="5D87209A" w14:textId="77777777" w:rsidR="00B603C0" w:rsidRPr="00FB17B9" w:rsidRDefault="00B603C0" w:rsidP="00FB17B9">
      <w:pPr>
        <w:rPr>
          <w:b/>
        </w:rPr>
      </w:pPr>
    </w:p>
    <w:p w14:paraId="1AF444FB" w14:textId="0215FC06" w:rsidR="00CA0DE1" w:rsidRPr="00FB17B9" w:rsidRDefault="00B603C0" w:rsidP="00FB17B9">
      <w:pPr>
        <w:ind w:right="113"/>
      </w:pPr>
      <w:r w:rsidRPr="00FB17B9">
        <w:t xml:space="preserve">En consecuencia, se determina ordenar la entrega </w:t>
      </w:r>
      <w:r w:rsidR="00CA0DE1" w:rsidRPr="00FB17B9">
        <w:t xml:space="preserve">de los recibos de nómina remitidos en informe justificado en </w:t>
      </w:r>
      <w:r w:rsidR="00CA0DE1" w:rsidRPr="00FB17B9">
        <w:rPr>
          <w:b/>
        </w:rPr>
        <w:t>correcta versión pública</w:t>
      </w:r>
      <w:r w:rsidR="00CA0DE1" w:rsidRPr="00FB17B9">
        <w:t xml:space="preserve">, los recibos de nómina correspondientes a la primera y segunda quincena de enero de 2025 del Tesorero Municipal y del o los documentos donde conste su experiencia laboral de ser procedente en versión pública debiendo </w:t>
      </w:r>
      <w:r w:rsidR="00CA0DE1" w:rsidRPr="00FB17B9">
        <w:rPr>
          <w:b/>
        </w:rPr>
        <w:t>EL SUJETO OBLIGADO</w:t>
      </w:r>
      <w:r w:rsidR="00CA0DE1" w:rsidRPr="00FB17B9">
        <w:t xml:space="preserve"> entregar el acuerdo que sustente la versión pública de los dichos documentos.</w:t>
      </w:r>
    </w:p>
    <w:p w14:paraId="5D0627D1" w14:textId="77777777" w:rsidR="00CE2D2D" w:rsidRPr="00FB17B9" w:rsidRDefault="00CE2D2D" w:rsidP="00FB17B9">
      <w:pPr>
        <w:ind w:right="113"/>
      </w:pPr>
    </w:p>
    <w:p w14:paraId="6ED7D765" w14:textId="77777777" w:rsidR="004F2204" w:rsidRPr="00FB17B9" w:rsidRDefault="004F2204" w:rsidP="00FB17B9">
      <w:pPr>
        <w:pStyle w:val="Ttulo3"/>
      </w:pPr>
      <w:bookmarkStart w:id="37" w:name="_Toc202897033"/>
      <w:bookmarkStart w:id="38" w:name="_Toc205933162"/>
      <w:r w:rsidRPr="00FB17B9">
        <w:t>d) Versión pública</w:t>
      </w:r>
      <w:bookmarkEnd w:id="37"/>
      <w:bookmarkEnd w:id="38"/>
    </w:p>
    <w:p w14:paraId="46EF5F97" w14:textId="77777777" w:rsidR="00BF29D7" w:rsidRPr="00FB17B9" w:rsidRDefault="00BF29D7" w:rsidP="00FB17B9">
      <w:r w:rsidRPr="00FB17B9">
        <w:t xml:space="preserve">Para el caso de que el o los documentos de los cuales se ordena su entrega contengan datos personales susceptibles de ser testados, deberán ser entregados en </w:t>
      </w:r>
      <w:r w:rsidRPr="00FB17B9">
        <w:rPr>
          <w:b/>
        </w:rPr>
        <w:t>versión pública</w:t>
      </w:r>
      <w:r w:rsidRPr="00FB17B9">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FB17B9">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832EDCF" w14:textId="77777777" w:rsidR="00BF29D7" w:rsidRPr="00FB17B9" w:rsidRDefault="00BF29D7" w:rsidP="00FB17B9"/>
    <w:p w14:paraId="04DA02C2" w14:textId="77777777" w:rsidR="00BF29D7" w:rsidRPr="00FB17B9" w:rsidRDefault="00BF29D7" w:rsidP="00FB17B9">
      <w:r w:rsidRPr="00FB17B9">
        <w:t>A este respecto, los artículos 3, fracciones IX, XX, XXI y XLV; 51 y 52 de la Ley de Transparencia y Acceso a la Información Pública del Estado de México y Municipios establecen:</w:t>
      </w:r>
    </w:p>
    <w:p w14:paraId="6BE2D516" w14:textId="77777777" w:rsidR="00BF29D7" w:rsidRPr="00FB17B9" w:rsidRDefault="00BF29D7" w:rsidP="00FB17B9"/>
    <w:p w14:paraId="7815B0CA" w14:textId="77777777" w:rsidR="00BF29D7" w:rsidRPr="00FB17B9" w:rsidRDefault="00BF29D7" w:rsidP="00FB17B9">
      <w:pPr>
        <w:pStyle w:val="Puesto"/>
        <w:tabs>
          <w:tab w:val="left" w:pos="8222"/>
        </w:tabs>
        <w:ind w:left="851" w:right="822" w:firstLine="0"/>
        <w:rPr>
          <w:color w:val="auto"/>
        </w:rPr>
      </w:pPr>
      <w:r w:rsidRPr="00FB17B9">
        <w:rPr>
          <w:b/>
          <w:color w:val="auto"/>
        </w:rPr>
        <w:t xml:space="preserve">“Artículo 3. </w:t>
      </w:r>
      <w:r w:rsidRPr="00FB17B9">
        <w:rPr>
          <w:color w:val="auto"/>
        </w:rPr>
        <w:t xml:space="preserve">Para los efectos de la presente Ley se entenderá por: </w:t>
      </w:r>
    </w:p>
    <w:p w14:paraId="732C22B3" w14:textId="77777777" w:rsidR="00BF29D7" w:rsidRPr="00FB17B9" w:rsidRDefault="00BF29D7" w:rsidP="00FB17B9">
      <w:pPr>
        <w:pStyle w:val="Puesto"/>
        <w:tabs>
          <w:tab w:val="left" w:pos="8222"/>
        </w:tabs>
        <w:ind w:left="851" w:right="822" w:firstLine="0"/>
        <w:rPr>
          <w:color w:val="auto"/>
        </w:rPr>
      </w:pPr>
      <w:r w:rsidRPr="00FB17B9">
        <w:rPr>
          <w:b/>
          <w:color w:val="auto"/>
        </w:rPr>
        <w:t>IX.</w:t>
      </w:r>
      <w:r w:rsidRPr="00FB17B9">
        <w:rPr>
          <w:color w:val="auto"/>
        </w:rPr>
        <w:t xml:space="preserve"> </w:t>
      </w:r>
      <w:r w:rsidRPr="00FB17B9">
        <w:rPr>
          <w:b/>
          <w:color w:val="auto"/>
        </w:rPr>
        <w:t xml:space="preserve">Datos personales: </w:t>
      </w:r>
      <w:r w:rsidRPr="00FB17B9">
        <w:rPr>
          <w:color w:val="auto"/>
        </w:rPr>
        <w:t xml:space="preserve">La información concerniente a una persona, identificada o identificable según lo dispuesto por la Ley de Protección de Datos Personales del Estado de México; </w:t>
      </w:r>
    </w:p>
    <w:p w14:paraId="42B70125" w14:textId="77777777" w:rsidR="00BF29D7" w:rsidRPr="00FB17B9" w:rsidRDefault="00BF29D7" w:rsidP="00FB17B9">
      <w:pPr>
        <w:pStyle w:val="Puesto"/>
        <w:tabs>
          <w:tab w:val="left" w:pos="8222"/>
        </w:tabs>
        <w:ind w:left="851" w:right="822" w:firstLine="0"/>
        <w:rPr>
          <w:color w:val="auto"/>
        </w:rPr>
      </w:pPr>
      <w:r w:rsidRPr="00FB17B9">
        <w:rPr>
          <w:b/>
          <w:color w:val="auto"/>
        </w:rPr>
        <w:t>XX.</w:t>
      </w:r>
      <w:r w:rsidRPr="00FB17B9">
        <w:rPr>
          <w:color w:val="auto"/>
        </w:rPr>
        <w:t xml:space="preserve"> </w:t>
      </w:r>
      <w:r w:rsidRPr="00FB17B9">
        <w:rPr>
          <w:b/>
          <w:color w:val="auto"/>
        </w:rPr>
        <w:t>Información clasificada:</w:t>
      </w:r>
      <w:r w:rsidRPr="00FB17B9">
        <w:rPr>
          <w:color w:val="auto"/>
        </w:rPr>
        <w:t xml:space="preserve"> Aquella considerada por la presente Ley como reservada o confidencial; </w:t>
      </w:r>
    </w:p>
    <w:p w14:paraId="01B3CE46" w14:textId="77777777" w:rsidR="00BF29D7" w:rsidRPr="00FB17B9" w:rsidRDefault="00BF29D7" w:rsidP="00FB17B9">
      <w:pPr>
        <w:pStyle w:val="Puesto"/>
        <w:tabs>
          <w:tab w:val="left" w:pos="8222"/>
        </w:tabs>
        <w:ind w:left="851" w:right="822" w:firstLine="0"/>
        <w:rPr>
          <w:color w:val="auto"/>
        </w:rPr>
      </w:pPr>
    </w:p>
    <w:p w14:paraId="69FD0122" w14:textId="77777777" w:rsidR="00BF29D7" w:rsidRPr="00FB17B9" w:rsidRDefault="00BF29D7" w:rsidP="00FB17B9">
      <w:pPr>
        <w:pStyle w:val="Puesto"/>
        <w:tabs>
          <w:tab w:val="left" w:pos="8222"/>
        </w:tabs>
        <w:ind w:left="851" w:right="822" w:firstLine="0"/>
        <w:rPr>
          <w:color w:val="auto"/>
        </w:rPr>
      </w:pPr>
      <w:r w:rsidRPr="00FB17B9">
        <w:rPr>
          <w:b/>
          <w:color w:val="auto"/>
        </w:rPr>
        <w:t>XXI.</w:t>
      </w:r>
      <w:r w:rsidRPr="00FB17B9">
        <w:rPr>
          <w:color w:val="auto"/>
        </w:rPr>
        <w:t xml:space="preserve"> </w:t>
      </w:r>
      <w:r w:rsidRPr="00FB17B9">
        <w:rPr>
          <w:b/>
          <w:color w:val="auto"/>
        </w:rPr>
        <w:t>Información confidencial</w:t>
      </w:r>
      <w:r w:rsidRPr="00FB17B9">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F827E73" w14:textId="77777777" w:rsidR="00BF29D7" w:rsidRPr="00FB17B9" w:rsidRDefault="00BF29D7" w:rsidP="00FB17B9">
      <w:pPr>
        <w:pStyle w:val="Puesto"/>
        <w:tabs>
          <w:tab w:val="left" w:pos="8222"/>
        </w:tabs>
        <w:ind w:left="851" w:right="822" w:firstLine="0"/>
        <w:rPr>
          <w:color w:val="auto"/>
        </w:rPr>
      </w:pPr>
      <w:r w:rsidRPr="00FB17B9">
        <w:rPr>
          <w:b/>
          <w:color w:val="auto"/>
        </w:rPr>
        <w:t>XLV. Versión pública:</w:t>
      </w:r>
      <w:r w:rsidRPr="00FB17B9">
        <w:rPr>
          <w:color w:val="auto"/>
        </w:rPr>
        <w:t xml:space="preserve"> Documento en el que se elimine, suprime o borra la información clasificada como reservada o confidencial para permitir su acceso. </w:t>
      </w:r>
    </w:p>
    <w:p w14:paraId="2C39F6D1" w14:textId="77777777" w:rsidR="00BF29D7" w:rsidRPr="00FB17B9" w:rsidRDefault="00BF29D7" w:rsidP="00FB17B9">
      <w:pPr>
        <w:pStyle w:val="Puesto"/>
        <w:tabs>
          <w:tab w:val="left" w:pos="8222"/>
        </w:tabs>
        <w:ind w:left="851" w:right="822" w:firstLine="0"/>
        <w:rPr>
          <w:color w:val="auto"/>
        </w:rPr>
      </w:pPr>
    </w:p>
    <w:p w14:paraId="46BE7F20" w14:textId="77777777" w:rsidR="00BF29D7" w:rsidRPr="00FB17B9" w:rsidRDefault="00BF29D7" w:rsidP="00FB17B9">
      <w:pPr>
        <w:pStyle w:val="Puesto"/>
        <w:tabs>
          <w:tab w:val="left" w:pos="8222"/>
        </w:tabs>
        <w:ind w:left="851" w:right="822" w:firstLine="0"/>
        <w:rPr>
          <w:color w:val="auto"/>
        </w:rPr>
      </w:pPr>
      <w:r w:rsidRPr="00FB17B9">
        <w:rPr>
          <w:b/>
          <w:color w:val="auto"/>
        </w:rPr>
        <w:t>Artículo 51.</w:t>
      </w:r>
      <w:r w:rsidRPr="00FB17B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B17B9">
        <w:rPr>
          <w:b/>
          <w:color w:val="auto"/>
        </w:rPr>
        <w:t xml:space="preserve">y tendrá la responsabilidad de verificar en cada caso que la misma no sea confidencial o reservada. </w:t>
      </w:r>
      <w:r w:rsidRPr="00FB17B9">
        <w:rPr>
          <w:color w:val="auto"/>
        </w:rPr>
        <w:t>Dicha Unidad contará con las facultades internas necesarias para gestionar la atención a las solicitudes de información en los términos de la Ley General y la presente Ley.</w:t>
      </w:r>
    </w:p>
    <w:p w14:paraId="151FC83E" w14:textId="77777777" w:rsidR="00BF29D7" w:rsidRPr="00FB17B9" w:rsidRDefault="00BF29D7" w:rsidP="00FB17B9">
      <w:pPr>
        <w:pStyle w:val="Puesto"/>
        <w:tabs>
          <w:tab w:val="left" w:pos="8222"/>
        </w:tabs>
        <w:ind w:left="851" w:right="822" w:firstLine="0"/>
        <w:rPr>
          <w:color w:val="auto"/>
        </w:rPr>
      </w:pPr>
    </w:p>
    <w:p w14:paraId="7F51AF49" w14:textId="77777777" w:rsidR="00BF29D7" w:rsidRPr="00FB17B9" w:rsidRDefault="00BF29D7" w:rsidP="00FB17B9">
      <w:pPr>
        <w:pStyle w:val="Puesto"/>
        <w:tabs>
          <w:tab w:val="left" w:pos="8222"/>
        </w:tabs>
        <w:ind w:left="851" w:right="822" w:firstLine="0"/>
        <w:rPr>
          <w:color w:val="auto"/>
        </w:rPr>
      </w:pPr>
      <w:r w:rsidRPr="00FB17B9">
        <w:rPr>
          <w:b/>
          <w:color w:val="auto"/>
        </w:rPr>
        <w:t>Artículo 52.</w:t>
      </w:r>
      <w:r w:rsidRPr="00FB17B9">
        <w:rPr>
          <w:color w:val="auto"/>
        </w:rPr>
        <w:t xml:space="preserve"> Las solicitudes de acceso a la información y las respuestas que se les dé, incluyendo, en su caso, </w:t>
      </w:r>
      <w:r w:rsidRPr="00FB17B9">
        <w:rPr>
          <w:color w:val="auto"/>
          <w:u w:val="single"/>
        </w:rPr>
        <w:t xml:space="preserve">la información entregada, así como las resoluciones a los recursos que en su caso se promuevan serán públicas, y de ser el caso que contenga </w:t>
      </w:r>
      <w:r w:rsidRPr="00FB17B9">
        <w:rPr>
          <w:color w:val="auto"/>
          <w:u w:val="single"/>
        </w:rPr>
        <w:lastRenderedPageBreak/>
        <w:t>datos personales que deban ser protegidos se podrá dar su acceso en su versión pública</w:t>
      </w:r>
      <w:r w:rsidRPr="00FB17B9">
        <w:rPr>
          <w:color w:val="auto"/>
        </w:rPr>
        <w:t>, siempre y cuando la resolución de referencia se someta a un proceso de disociación, es decir, no haga identificable al titular de tales datos personales.” (Énfasis añadido)</w:t>
      </w:r>
    </w:p>
    <w:p w14:paraId="7BBE8FA2" w14:textId="77777777" w:rsidR="00BF29D7" w:rsidRPr="00FB17B9" w:rsidRDefault="00BF29D7" w:rsidP="00FB17B9"/>
    <w:p w14:paraId="58992D77" w14:textId="77777777" w:rsidR="00BF29D7" w:rsidRPr="00FB17B9" w:rsidRDefault="00BF29D7" w:rsidP="00FB17B9">
      <w:pPr>
        <w:spacing w:after="240"/>
      </w:pPr>
      <w:r w:rsidRPr="00FB17B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7721290" w14:textId="77777777" w:rsidR="00BF29D7" w:rsidRPr="00FB17B9" w:rsidRDefault="00BF29D7" w:rsidP="00FB17B9">
      <w:pPr>
        <w:pStyle w:val="Puesto"/>
        <w:ind w:left="851" w:right="822" w:firstLine="0"/>
        <w:rPr>
          <w:color w:val="auto"/>
        </w:rPr>
      </w:pPr>
      <w:r w:rsidRPr="00FB17B9">
        <w:rPr>
          <w:b/>
          <w:color w:val="auto"/>
        </w:rPr>
        <w:t>“Artículo 22.</w:t>
      </w:r>
      <w:r w:rsidRPr="00FB17B9">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E3EDA1B" w14:textId="77777777" w:rsidR="00BF29D7" w:rsidRPr="00FB17B9" w:rsidRDefault="00BF29D7" w:rsidP="00FB17B9">
      <w:pPr>
        <w:ind w:left="851" w:right="822"/>
      </w:pPr>
    </w:p>
    <w:p w14:paraId="0C4215B4" w14:textId="77777777" w:rsidR="00BF29D7" w:rsidRPr="00FB17B9" w:rsidRDefault="00BF29D7" w:rsidP="00FB17B9">
      <w:pPr>
        <w:pStyle w:val="Puesto"/>
        <w:spacing w:after="240"/>
        <w:ind w:left="851" w:right="822" w:firstLine="0"/>
        <w:rPr>
          <w:color w:val="auto"/>
        </w:rPr>
      </w:pPr>
      <w:r w:rsidRPr="00FB17B9">
        <w:rPr>
          <w:b/>
          <w:color w:val="auto"/>
        </w:rPr>
        <w:t>Artículo 38.</w:t>
      </w:r>
      <w:r w:rsidRPr="00FB17B9">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B17B9">
        <w:rPr>
          <w:b/>
          <w:color w:val="auto"/>
        </w:rPr>
        <w:t>”</w:t>
      </w:r>
      <w:r w:rsidRPr="00FB17B9">
        <w:rPr>
          <w:color w:val="auto"/>
        </w:rPr>
        <w:t xml:space="preserve"> </w:t>
      </w:r>
    </w:p>
    <w:p w14:paraId="5E475056" w14:textId="77777777" w:rsidR="00BF29D7" w:rsidRPr="00FB17B9" w:rsidRDefault="00BF29D7" w:rsidP="00FB17B9">
      <w:pPr>
        <w:spacing w:after="240"/>
      </w:pPr>
      <w:r w:rsidRPr="00FB17B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0E1EB0D" w14:textId="77777777" w:rsidR="00BF29D7" w:rsidRPr="00FB17B9" w:rsidRDefault="00BF29D7" w:rsidP="00FB17B9">
      <w:r w:rsidRPr="00FB17B9">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B17B9">
        <w:rPr>
          <w:b/>
        </w:rPr>
        <w:t>EL SUJETO OBLIGADO,</w:t>
      </w:r>
      <w:r w:rsidRPr="00FB17B9">
        <w:t xml:space="preserve"> por lo que, todo dato personal susceptible de clasificación debe ser protegido.</w:t>
      </w:r>
    </w:p>
    <w:p w14:paraId="26033C93" w14:textId="77777777" w:rsidR="00BF29D7" w:rsidRPr="00FB17B9" w:rsidRDefault="00BF29D7" w:rsidP="00FB17B9"/>
    <w:p w14:paraId="653787C6" w14:textId="77777777" w:rsidR="00BF29D7" w:rsidRPr="00FB17B9" w:rsidRDefault="00BF29D7" w:rsidP="00FB17B9">
      <w:r w:rsidRPr="00FB17B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6976EDB" w14:textId="77777777" w:rsidR="00F44A35" w:rsidRPr="00FB17B9" w:rsidRDefault="00F44A35" w:rsidP="00FB17B9"/>
    <w:p w14:paraId="7F2D8738" w14:textId="77777777" w:rsidR="00BF29D7" w:rsidRPr="00FB17B9" w:rsidRDefault="00BF29D7" w:rsidP="00FB17B9">
      <w:r w:rsidRPr="00FB17B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A9686E" w14:textId="77777777" w:rsidR="00BF29D7" w:rsidRPr="00FB17B9" w:rsidRDefault="00BF29D7" w:rsidP="00FB17B9"/>
    <w:p w14:paraId="4E180BD1" w14:textId="77777777" w:rsidR="00BF29D7" w:rsidRPr="00FB17B9" w:rsidRDefault="00BF29D7" w:rsidP="00FB17B9">
      <w:pPr>
        <w:pStyle w:val="Puesto"/>
        <w:ind w:left="851" w:right="822" w:firstLine="0"/>
        <w:rPr>
          <w:b/>
          <w:color w:val="auto"/>
        </w:rPr>
      </w:pPr>
      <w:r w:rsidRPr="00FB17B9">
        <w:rPr>
          <w:b/>
          <w:color w:val="auto"/>
        </w:rPr>
        <w:t>Ley de Transparencia y Acceso a la Información Pública del Estado de México y Municipios</w:t>
      </w:r>
    </w:p>
    <w:p w14:paraId="0B8A3230" w14:textId="77777777" w:rsidR="00BF29D7" w:rsidRPr="00FB17B9" w:rsidRDefault="00BF29D7" w:rsidP="00FB17B9">
      <w:pPr>
        <w:spacing w:line="240" w:lineRule="auto"/>
        <w:ind w:left="851" w:right="822"/>
      </w:pPr>
    </w:p>
    <w:p w14:paraId="4FB40612" w14:textId="77777777" w:rsidR="00BF29D7" w:rsidRPr="00FB17B9" w:rsidRDefault="00BF29D7" w:rsidP="00FB17B9">
      <w:pPr>
        <w:pStyle w:val="Puesto"/>
        <w:ind w:left="851" w:right="822" w:firstLine="0"/>
        <w:rPr>
          <w:color w:val="auto"/>
        </w:rPr>
      </w:pPr>
      <w:r w:rsidRPr="00FB17B9">
        <w:rPr>
          <w:b/>
          <w:color w:val="auto"/>
        </w:rPr>
        <w:t xml:space="preserve">“Artículo 49. </w:t>
      </w:r>
      <w:r w:rsidRPr="00FB17B9">
        <w:rPr>
          <w:color w:val="auto"/>
        </w:rPr>
        <w:t>Los Comités de Transparencia tendrán las siguientes atribuciones:</w:t>
      </w:r>
    </w:p>
    <w:p w14:paraId="4859C7F1" w14:textId="77777777" w:rsidR="00BF29D7" w:rsidRPr="00FB17B9" w:rsidRDefault="00BF29D7" w:rsidP="00FB17B9">
      <w:pPr>
        <w:pStyle w:val="Puesto"/>
        <w:ind w:left="851" w:right="822" w:firstLine="0"/>
        <w:rPr>
          <w:color w:val="auto"/>
        </w:rPr>
      </w:pPr>
      <w:r w:rsidRPr="00FB17B9">
        <w:rPr>
          <w:b/>
          <w:color w:val="auto"/>
        </w:rPr>
        <w:t>VIII.</w:t>
      </w:r>
      <w:r w:rsidRPr="00FB17B9">
        <w:rPr>
          <w:color w:val="auto"/>
        </w:rPr>
        <w:t xml:space="preserve"> Aprobar, modificar o revocar la clasificación de la información;</w:t>
      </w:r>
    </w:p>
    <w:p w14:paraId="37583581" w14:textId="77777777" w:rsidR="00BF29D7" w:rsidRPr="00FB17B9" w:rsidRDefault="00BF29D7" w:rsidP="00FB17B9">
      <w:pPr>
        <w:pStyle w:val="Puesto"/>
        <w:ind w:left="851" w:right="822" w:firstLine="0"/>
        <w:rPr>
          <w:color w:val="auto"/>
        </w:rPr>
      </w:pPr>
    </w:p>
    <w:p w14:paraId="4E095E3E" w14:textId="77777777" w:rsidR="00BF29D7" w:rsidRPr="00FB17B9" w:rsidRDefault="00BF29D7" w:rsidP="00FB17B9">
      <w:pPr>
        <w:pStyle w:val="Puesto"/>
        <w:ind w:left="851" w:right="822" w:firstLine="0"/>
        <w:rPr>
          <w:color w:val="auto"/>
        </w:rPr>
      </w:pPr>
      <w:r w:rsidRPr="00FB17B9">
        <w:rPr>
          <w:b/>
          <w:color w:val="auto"/>
        </w:rPr>
        <w:lastRenderedPageBreak/>
        <w:t>Artículo 132.</w:t>
      </w:r>
      <w:r w:rsidRPr="00FB17B9">
        <w:rPr>
          <w:color w:val="auto"/>
        </w:rPr>
        <w:t xml:space="preserve"> La clasificación de la información se llevará a cabo en el momento en que:</w:t>
      </w:r>
    </w:p>
    <w:p w14:paraId="58715C32" w14:textId="77777777" w:rsidR="00BF29D7" w:rsidRPr="00FB17B9" w:rsidRDefault="00BF29D7" w:rsidP="00FB17B9">
      <w:pPr>
        <w:pStyle w:val="Puesto"/>
        <w:ind w:left="851" w:right="822" w:firstLine="0"/>
        <w:rPr>
          <w:color w:val="auto"/>
        </w:rPr>
      </w:pPr>
      <w:r w:rsidRPr="00FB17B9">
        <w:rPr>
          <w:b/>
          <w:color w:val="auto"/>
        </w:rPr>
        <w:t>I.</w:t>
      </w:r>
      <w:r w:rsidRPr="00FB17B9">
        <w:rPr>
          <w:color w:val="auto"/>
        </w:rPr>
        <w:t xml:space="preserve"> Se reciba una solicitud de acceso a la información;</w:t>
      </w:r>
    </w:p>
    <w:p w14:paraId="0FEAC4AE" w14:textId="77777777" w:rsidR="00BF29D7" w:rsidRPr="00FB17B9" w:rsidRDefault="00BF29D7" w:rsidP="00FB17B9">
      <w:pPr>
        <w:pStyle w:val="Puesto"/>
        <w:ind w:left="851" w:right="822" w:firstLine="0"/>
        <w:rPr>
          <w:color w:val="auto"/>
        </w:rPr>
      </w:pPr>
      <w:r w:rsidRPr="00FB17B9">
        <w:rPr>
          <w:b/>
          <w:color w:val="auto"/>
        </w:rPr>
        <w:t>II.</w:t>
      </w:r>
      <w:r w:rsidRPr="00FB17B9">
        <w:rPr>
          <w:color w:val="auto"/>
        </w:rPr>
        <w:t xml:space="preserve"> Se determine mediante resolución de autoridad competente; o</w:t>
      </w:r>
    </w:p>
    <w:p w14:paraId="3C880ADF" w14:textId="77777777" w:rsidR="00BF29D7" w:rsidRPr="00FB17B9" w:rsidRDefault="00BF29D7" w:rsidP="00FB17B9">
      <w:pPr>
        <w:pStyle w:val="Puesto"/>
        <w:ind w:left="851" w:right="822" w:firstLine="0"/>
        <w:rPr>
          <w:b/>
          <w:color w:val="auto"/>
        </w:rPr>
      </w:pPr>
      <w:r w:rsidRPr="00FB17B9">
        <w:rPr>
          <w:b/>
          <w:color w:val="auto"/>
        </w:rPr>
        <w:t>III.</w:t>
      </w:r>
      <w:r w:rsidRPr="00FB17B9">
        <w:rPr>
          <w:color w:val="auto"/>
        </w:rPr>
        <w:t xml:space="preserve"> Se generen versiones públicas para dar cumplimiento a las obligaciones de transparencia previstas en esta Ley.</w:t>
      </w:r>
      <w:r w:rsidRPr="00FB17B9">
        <w:rPr>
          <w:b/>
          <w:color w:val="auto"/>
        </w:rPr>
        <w:t>”</w:t>
      </w:r>
    </w:p>
    <w:p w14:paraId="4A15E7AD" w14:textId="77777777" w:rsidR="00BF29D7" w:rsidRPr="00FB17B9" w:rsidRDefault="00BF29D7" w:rsidP="00FB17B9">
      <w:pPr>
        <w:pStyle w:val="Puesto"/>
        <w:ind w:left="851" w:right="822" w:firstLine="0"/>
        <w:rPr>
          <w:color w:val="auto"/>
        </w:rPr>
      </w:pPr>
    </w:p>
    <w:p w14:paraId="4565A972" w14:textId="77777777" w:rsidR="00BF29D7" w:rsidRPr="00FB17B9" w:rsidRDefault="00BF29D7" w:rsidP="00FB17B9">
      <w:pPr>
        <w:pStyle w:val="Puesto"/>
        <w:ind w:left="851" w:right="822" w:firstLine="0"/>
        <w:rPr>
          <w:color w:val="auto"/>
        </w:rPr>
      </w:pPr>
      <w:r w:rsidRPr="00FB17B9">
        <w:rPr>
          <w:b/>
          <w:color w:val="auto"/>
        </w:rPr>
        <w:t>“Segundo. -</w:t>
      </w:r>
      <w:r w:rsidRPr="00FB17B9">
        <w:rPr>
          <w:color w:val="auto"/>
        </w:rPr>
        <w:t xml:space="preserve"> Para efectos de los presentes Lineamientos Generales, se entenderá por:</w:t>
      </w:r>
    </w:p>
    <w:p w14:paraId="68224CD5" w14:textId="77777777" w:rsidR="00BF29D7" w:rsidRPr="00FB17B9" w:rsidRDefault="00BF29D7" w:rsidP="00FB17B9">
      <w:pPr>
        <w:pStyle w:val="Puesto"/>
        <w:ind w:left="851" w:right="822" w:firstLine="0"/>
        <w:rPr>
          <w:color w:val="auto"/>
        </w:rPr>
      </w:pPr>
      <w:r w:rsidRPr="00FB17B9">
        <w:rPr>
          <w:b/>
          <w:color w:val="auto"/>
        </w:rPr>
        <w:t>XVIII.</w:t>
      </w:r>
      <w:r w:rsidRPr="00FB17B9">
        <w:rPr>
          <w:color w:val="auto"/>
        </w:rPr>
        <w:t xml:space="preserve">  </w:t>
      </w:r>
      <w:r w:rsidRPr="00FB17B9">
        <w:rPr>
          <w:b/>
          <w:color w:val="auto"/>
        </w:rPr>
        <w:t>Versión pública:</w:t>
      </w:r>
      <w:r w:rsidRPr="00FB17B9">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EA8018" w14:textId="77777777" w:rsidR="00BF29D7" w:rsidRPr="00FB17B9" w:rsidRDefault="00BF29D7" w:rsidP="00FB17B9">
      <w:pPr>
        <w:pStyle w:val="Puesto"/>
        <w:ind w:left="851" w:right="822" w:firstLine="0"/>
        <w:rPr>
          <w:color w:val="auto"/>
        </w:rPr>
      </w:pPr>
    </w:p>
    <w:p w14:paraId="6D40BDBB" w14:textId="77777777" w:rsidR="00BF29D7" w:rsidRPr="00FB17B9" w:rsidRDefault="00BF29D7" w:rsidP="00FB17B9">
      <w:pPr>
        <w:pStyle w:val="Puesto"/>
        <w:ind w:left="851" w:right="822" w:firstLine="0"/>
        <w:rPr>
          <w:b/>
          <w:color w:val="auto"/>
        </w:rPr>
      </w:pPr>
      <w:r w:rsidRPr="00FB17B9">
        <w:rPr>
          <w:b/>
          <w:color w:val="auto"/>
        </w:rPr>
        <w:t>Lineamientos Generales en materia de Clasificación y Desclasificación de la Información</w:t>
      </w:r>
    </w:p>
    <w:p w14:paraId="24ADF550" w14:textId="77777777" w:rsidR="00BF29D7" w:rsidRPr="00FB17B9" w:rsidRDefault="00BF29D7" w:rsidP="00FB17B9">
      <w:pPr>
        <w:pStyle w:val="Puesto"/>
        <w:ind w:left="851" w:right="822" w:firstLine="0"/>
        <w:rPr>
          <w:color w:val="auto"/>
        </w:rPr>
      </w:pPr>
      <w:r w:rsidRPr="00FB17B9">
        <w:rPr>
          <w:b/>
          <w:color w:val="auto"/>
        </w:rPr>
        <w:t>Cuarto.</w:t>
      </w:r>
      <w:r w:rsidRPr="00FB17B9">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A8B150" w14:textId="77777777" w:rsidR="00BF29D7" w:rsidRPr="00FB17B9" w:rsidRDefault="00BF29D7" w:rsidP="00FB17B9">
      <w:pPr>
        <w:pStyle w:val="Puesto"/>
        <w:ind w:left="851" w:right="822" w:firstLine="0"/>
        <w:rPr>
          <w:color w:val="auto"/>
        </w:rPr>
      </w:pPr>
      <w:r w:rsidRPr="00FB17B9">
        <w:rPr>
          <w:color w:val="auto"/>
        </w:rPr>
        <w:t>Los sujetos obligados deberán aplicar, de manera estricta, las excepciones al derecho de acceso a la información y sólo podrán invocarlas cuando acrediten su procedencia.</w:t>
      </w:r>
    </w:p>
    <w:p w14:paraId="22A72D32" w14:textId="77777777" w:rsidR="00BF29D7" w:rsidRPr="00FB17B9" w:rsidRDefault="00BF29D7" w:rsidP="00FB17B9">
      <w:pPr>
        <w:pStyle w:val="Puesto"/>
        <w:ind w:left="851" w:right="822" w:firstLine="0"/>
        <w:rPr>
          <w:color w:val="auto"/>
        </w:rPr>
      </w:pPr>
    </w:p>
    <w:p w14:paraId="027D968F" w14:textId="77777777" w:rsidR="00BF29D7" w:rsidRPr="00FB17B9" w:rsidRDefault="00BF29D7" w:rsidP="00FB17B9">
      <w:pPr>
        <w:pStyle w:val="Puesto"/>
        <w:ind w:left="851" w:right="822" w:firstLine="0"/>
        <w:rPr>
          <w:color w:val="auto"/>
        </w:rPr>
      </w:pPr>
      <w:r w:rsidRPr="00FB17B9">
        <w:rPr>
          <w:b/>
          <w:color w:val="auto"/>
        </w:rPr>
        <w:t>Quinto.</w:t>
      </w:r>
      <w:r w:rsidRPr="00FB17B9">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0592B0" w14:textId="77777777" w:rsidR="00BF29D7" w:rsidRPr="00FB17B9" w:rsidRDefault="00BF29D7" w:rsidP="00FB17B9">
      <w:pPr>
        <w:pStyle w:val="Puesto"/>
        <w:ind w:left="851" w:right="822" w:firstLine="0"/>
        <w:rPr>
          <w:color w:val="auto"/>
        </w:rPr>
      </w:pPr>
    </w:p>
    <w:p w14:paraId="1BD94043" w14:textId="77777777" w:rsidR="00BF29D7" w:rsidRPr="00FB17B9" w:rsidRDefault="00BF29D7" w:rsidP="00FB17B9">
      <w:pPr>
        <w:pStyle w:val="Puesto"/>
        <w:ind w:left="851" w:right="822" w:firstLine="0"/>
        <w:rPr>
          <w:color w:val="auto"/>
        </w:rPr>
      </w:pPr>
      <w:r w:rsidRPr="00FB17B9">
        <w:rPr>
          <w:b/>
          <w:color w:val="auto"/>
        </w:rPr>
        <w:t>Sexto.</w:t>
      </w:r>
      <w:r w:rsidRPr="00FB17B9">
        <w:rPr>
          <w:color w:val="auto"/>
        </w:rPr>
        <w:t xml:space="preserve"> Se deroga.</w:t>
      </w:r>
    </w:p>
    <w:p w14:paraId="7882F80B" w14:textId="77777777" w:rsidR="00BF29D7" w:rsidRPr="00FB17B9" w:rsidRDefault="00BF29D7" w:rsidP="00FB17B9">
      <w:pPr>
        <w:pStyle w:val="Puesto"/>
        <w:ind w:left="851" w:right="822" w:firstLine="0"/>
        <w:rPr>
          <w:color w:val="auto"/>
        </w:rPr>
      </w:pPr>
    </w:p>
    <w:p w14:paraId="5372B68E" w14:textId="77777777" w:rsidR="00BF29D7" w:rsidRPr="00FB17B9" w:rsidRDefault="00BF29D7" w:rsidP="00FB17B9">
      <w:pPr>
        <w:pStyle w:val="Puesto"/>
        <w:ind w:left="851" w:right="822" w:firstLine="0"/>
        <w:rPr>
          <w:color w:val="auto"/>
        </w:rPr>
      </w:pPr>
      <w:r w:rsidRPr="00FB17B9">
        <w:rPr>
          <w:b/>
          <w:color w:val="auto"/>
        </w:rPr>
        <w:t>Séptimo.</w:t>
      </w:r>
      <w:r w:rsidRPr="00FB17B9">
        <w:rPr>
          <w:color w:val="auto"/>
        </w:rPr>
        <w:t xml:space="preserve"> La clasificación de la información se llevará a cabo en el momento en que:</w:t>
      </w:r>
    </w:p>
    <w:p w14:paraId="72D24976" w14:textId="77777777" w:rsidR="00BF29D7" w:rsidRPr="00FB17B9" w:rsidRDefault="00BF29D7" w:rsidP="00FB17B9">
      <w:pPr>
        <w:pStyle w:val="Puesto"/>
        <w:ind w:left="851" w:right="822" w:firstLine="0"/>
        <w:rPr>
          <w:color w:val="auto"/>
        </w:rPr>
      </w:pPr>
      <w:r w:rsidRPr="00FB17B9">
        <w:rPr>
          <w:b/>
          <w:color w:val="auto"/>
        </w:rPr>
        <w:t>I.</w:t>
      </w:r>
      <w:r w:rsidRPr="00FB17B9">
        <w:rPr>
          <w:color w:val="auto"/>
        </w:rPr>
        <w:t xml:space="preserve">        Se reciba una solicitud de acceso a la información;</w:t>
      </w:r>
    </w:p>
    <w:p w14:paraId="085938F2" w14:textId="77777777" w:rsidR="00BF29D7" w:rsidRPr="00FB17B9" w:rsidRDefault="00BF29D7" w:rsidP="00FB17B9">
      <w:pPr>
        <w:pStyle w:val="Puesto"/>
        <w:ind w:left="851" w:right="822" w:firstLine="0"/>
        <w:rPr>
          <w:color w:val="auto"/>
        </w:rPr>
      </w:pPr>
      <w:r w:rsidRPr="00FB17B9">
        <w:rPr>
          <w:b/>
          <w:color w:val="auto"/>
        </w:rPr>
        <w:t>II.</w:t>
      </w:r>
      <w:r w:rsidRPr="00FB17B9">
        <w:rPr>
          <w:color w:val="auto"/>
        </w:rPr>
        <w:t xml:space="preserve">       Se determine mediante resolución del Comité de Transparencia, el órgano garante competente, o en cumplimiento a una sentencia del Poder Judicial; o</w:t>
      </w:r>
    </w:p>
    <w:p w14:paraId="61EA3FCE" w14:textId="77777777" w:rsidR="00BF29D7" w:rsidRPr="00FB17B9" w:rsidRDefault="00BF29D7" w:rsidP="00FB17B9">
      <w:pPr>
        <w:pStyle w:val="Puesto"/>
        <w:ind w:left="851" w:right="822" w:firstLine="0"/>
        <w:rPr>
          <w:color w:val="auto"/>
        </w:rPr>
      </w:pPr>
      <w:r w:rsidRPr="00FB17B9">
        <w:rPr>
          <w:b/>
          <w:color w:val="auto"/>
        </w:rPr>
        <w:lastRenderedPageBreak/>
        <w:t>III.</w:t>
      </w:r>
      <w:r w:rsidRPr="00FB17B9">
        <w:rPr>
          <w:color w:val="auto"/>
        </w:rPr>
        <w:t xml:space="preserve">      Se generen versiones públicas para dar cumplimiento a las obligaciones de transparencia previstas en la Ley General, la Ley Federal y las correspondientes de las entidades federativas.</w:t>
      </w:r>
    </w:p>
    <w:p w14:paraId="729E9BE6" w14:textId="77777777" w:rsidR="00BF29D7" w:rsidRPr="00FB17B9" w:rsidRDefault="00BF29D7" w:rsidP="00FB17B9">
      <w:pPr>
        <w:pStyle w:val="Puesto"/>
        <w:ind w:left="851" w:right="822" w:firstLine="0"/>
        <w:rPr>
          <w:color w:val="auto"/>
        </w:rPr>
      </w:pPr>
      <w:r w:rsidRPr="00FB17B9">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9CFAD22" w14:textId="77777777" w:rsidR="00BF29D7" w:rsidRPr="00FB17B9" w:rsidRDefault="00BF29D7" w:rsidP="00FB17B9">
      <w:pPr>
        <w:pStyle w:val="Puesto"/>
        <w:ind w:left="851" w:right="822" w:firstLine="0"/>
        <w:rPr>
          <w:color w:val="auto"/>
        </w:rPr>
      </w:pPr>
    </w:p>
    <w:p w14:paraId="3F31BE74" w14:textId="77777777" w:rsidR="00BF29D7" w:rsidRPr="00FB17B9" w:rsidRDefault="00BF29D7" w:rsidP="00FB17B9">
      <w:pPr>
        <w:pStyle w:val="Puesto"/>
        <w:ind w:left="851" w:right="822" w:firstLine="0"/>
        <w:rPr>
          <w:color w:val="auto"/>
        </w:rPr>
      </w:pPr>
      <w:r w:rsidRPr="00FB17B9">
        <w:rPr>
          <w:b/>
          <w:color w:val="auto"/>
        </w:rPr>
        <w:t>Octavo.</w:t>
      </w:r>
      <w:r w:rsidRPr="00FB17B9">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643E75" w14:textId="77777777" w:rsidR="00BF29D7" w:rsidRPr="00FB17B9" w:rsidRDefault="00BF29D7" w:rsidP="00FB17B9">
      <w:pPr>
        <w:pStyle w:val="Puesto"/>
        <w:ind w:left="851" w:right="822" w:firstLine="0"/>
        <w:rPr>
          <w:color w:val="auto"/>
        </w:rPr>
      </w:pPr>
      <w:r w:rsidRPr="00FB17B9">
        <w:rPr>
          <w:color w:val="auto"/>
        </w:rPr>
        <w:t>Para motivar la clasificación se deberán señalar las razones o circunstancias especiales que lo llevaron a concluir que el caso particular se ajusta al supuesto previsto por la norma legal invocada como fundamento.</w:t>
      </w:r>
    </w:p>
    <w:p w14:paraId="39B9DF77" w14:textId="77777777" w:rsidR="00F44A35" w:rsidRPr="00FB17B9" w:rsidRDefault="00F44A35" w:rsidP="00FB17B9"/>
    <w:p w14:paraId="0ABCF1F0" w14:textId="77777777" w:rsidR="00BF29D7" w:rsidRPr="00FB17B9" w:rsidRDefault="00BF29D7" w:rsidP="00FB17B9">
      <w:pPr>
        <w:pStyle w:val="Puesto"/>
        <w:ind w:left="851" w:right="822" w:firstLine="0"/>
        <w:rPr>
          <w:color w:val="auto"/>
        </w:rPr>
      </w:pPr>
      <w:r w:rsidRPr="00FB17B9">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D9A392A" w14:textId="77777777" w:rsidR="00BF29D7" w:rsidRPr="00FB17B9" w:rsidRDefault="00BF29D7" w:rsidP="00FB17B9">
      <w:pPr>
        <w:pStyle w:val="Puesto"/>
        <w:ind w:left="851" w:right="822" w:firstLine="0"/>
        <w:rPr>
          <w:color w:val="auto"/>
        </w:rPr>
      </w:pPr>
    </w:p>
    <w:p w14:paraId="708FC3D7" w14:textId="77777777" w:rsidR="00BF29D7" w:rsidRPr="00FB17B9" w:rsidRDefault="00BF29D7" w:rsidP="00FB17B9">
      <w:pPr>
        <w:pStyle w:val="Puesto"/>
        <w:ind w:left="851" w:right="822" w:firstLine="0"/>
        <w:rPr>
          <w:color w:val="auto"/>
        </w:rPr>
      </w:pPr>
      <w:r w:rsidRPr="00FB17B9">
        <w:rPr>
          <w:b/>
          <w:color w:val="auto"/>
        </w:rPr>
        <w:t>Noveno.</w:t>
      </w:r>
      <w:r w:rsidRPr="00FB17B9">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59092A" w14:textId="77777777" w:rsidR="00BF29D7" w:rsidRPr="00FB17B9" w:rsidRDefault="00BF29D7" w:rsidP="00FB17B9">
      <w:pPr>
        <w:pStyle w:val="Puesto"/>
        <w:ind w:left="851" w:right="822" w:firstLine="0"/>
        <w:rPr>
          <w:color w:val="auto"/>
        </w:rPr>
      </w:pPr>
    </w:p>
    <w:p w14:paraId="30C1660D" w14:textId="77777777" w:rsidR="00BF29D7" w:rsidRPr="00FB17B9" w:rsidRDefault="00BF29D7" w:rsidP="00FB17B9">
      <w:pPr>
        <w:pStyle w:val="Puesto"/>
        <w:ind w:left="851" w:right="822" w:firstLine="0"/>
        <w:rPr>
          <w:color w:val="auto"/>
        </w:rPr>
      </w:pPr>
      <w:r w:rsidRPr="00FB17B9">
        <w:rPr>
          <w:b/>
          <w:color w:val="auto"/>
        </w:rPr>
        <w:t>Décimo.</w:t>
      </w:r>
      <w:r w:rsidRPr="00FB17B9">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674D9BE" w14:textId="77777777" w:rsidR="00BF29D7" w:rsidRPr="00FB17B9" w:rsidRDefault="00BF29D7" w:rsidP="00FB17B9">
      <w:pPr>
        <w:pStyle w:val="Puesto"/>
        <w:ind w:left="851" w:right="822" w:firstLine="0"/>
        <w:rPr>
          <w:color w:val="auto"/>
        </w:rPr>
      </w:pPr>
      <w:r w:rsidRPr="00FB17B9">
        <w:rPr>
          <w:color w:val="auto"/>
        </w:rPr>
        <w:t>En ausencia de los titulares de las áreas, la información será clasificada o desclasificada por la persona que lo supla, en términos de la normativa que rija la actuación del sujeto obligado.</w:t>
      </w:r>
    </w:p>
    <w:p w14:paraId="4BD1F968" w14:textId="77777777" w:rsidR="00BF29D7" w:rsidRPr="00FB17B9" w:rsidRDefault="00BF29D7" w:rsidP="00FB17B9">
      <w:pPr>
        <w:spacing w:line="240" w:lineRule="auto"/>
        <w:ind w:left="851" w:right="822"/>
      </w:pPr>
    </w:p>
    <w:p w14:paraId="5159EB23" w14:textId="77777777" w:rsidR="00BF29D7" w:rsidRPr="00FB17B9" w:rsidRDefault="00BF29D7" w:rsidP="00FB17B9">
      <w:pPr>
        <w:pStyle w:val="Puesto"/>
        <w:ind w:left="851" w:right="822" w:firstLine="0"/>
        <w:rPr>
          <w:b/>
          <w:color w:val="auto"/>
        </w:rPr>
      </w:pPr>
      <w:r w:rsidRPr="00FB17B9">
        <w:rPr>
          <w:b/>
          <w:color w:val="auto"/>
        </w:rPr>
        <w:t>Décimo primero.</w:t>
      </w:r>
      <w:r w:rsidRPr="00FB17B9">
        <w:rPr>
          <w:color w:val="auto"/>
        </w:rPr>
        <w:t xml:space="preserve"> En el intercambio de información entre sujetos obligados para el ejercicio de sus atribuciones, los documentos que se encuentren clasificados deberán </w:t>
      </w:r>
      <w:r w:rsidRPr="00FB17B9">
        <w:rPr>
          <w:color w:val="auto"/>
        </w:rPr>
        <w:lastRenderedPageBreak/>
        <w:t>llevar la leyenda correspondiente de conformidad con lo dispuesto en el Capítulo VIII de los presentes lineamientos.</w:t>
      </w:r>
      <w:r w:rsidRPr="00FB17B9">
        <w:rPr>
          <w:b/>
          <w:color w:val="auto"/>
        </w:rPr>
        <w:t>”</w:t>
      </w:r>
    </w:p>
    <w:p w14:paraId="019E8E30" w14:textId="77777777" w:rsidR="00BF29D7" w:rsidRPr="00FB17B9" w:rsidRDefault="00BF29D7" w:rsidP="00FB17B9"/>
    <w:p w14:paraId="173A17FA" w14:textId="3AC16D34" w:rsidR="0046610D" w:rsidRPr="00FB17B9" w:rsidRDefault="00BF29D7" w:rsidP="00FB17B9">
      <w:r w:rsidRPr="00FB17B9">
        <w:t xml:space="preserve">Consecuentemente, se destaca que la versión pública que elabore </w:t>
      </w:r>
      <w:r w:rsidRPr="00FB17B9">
        <w:rPr>
          <w:b/>
        </w:rPr>
        <w:t>EL SUJETO OBLIGADO</w:t>
      </w:r>
      <w:r w:rsidRPr="00FB17B9">
        <w:t xml:space="preserve"> debe cumplir con las formalidades exigidas en la Ley, por lo que para tal efecto emitirá el </w:t>
      </w:r>
      <w:r w:rsidRPr="00FB17B9">
        <w:rPr>
          <w:b/>
        </w:rPr>
        <w:t>Acuerdo del Comité de Transparencia</w:t>
      </w:r>
      <w:r w:rsidRPr="00FB17B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ABEA2DC" w14:textId="77777777" w:rsidR="00F44A35" w:rsidRPr="00FB17B9" w:rsidRDefault="00F44A35" w:rsidP="00FB17B9"/>
    <w:p w14:paraId="3C3A8DB4" w14:textId="77777777" w:rsidR="00CA0DE1" w:rsidRPr="00FB17B9" w:rsidRDefault="00CA0DE1" w:rsidP="00FB17B9">
      <w:r w:rsidRPr="00FB17B9">
        <w:t>Es importante señalar que, para el caso en concreto, se deben tomar en consideración los siguientes datos que de manera enunciativa más no limitativa se pudieran clasificar como confidenciales:</w:t>
      </w:r>
    </w:p>
    <w:p w14:paraId="2D5B094F" w14:textId="77777777" w:rsidR="00CA0DE1" w:rsidRPr="00FB17B9" w:rsidRDefault="00CA0DE1" w:rsidP="00FB17B9"/>
    <w:p w14:paraId="1880EA27" w14:textId="77777777" w:rsidR="00CA0DE1" w:rsidRPr="00FB17B9" w:rsidRDefault="00CA0DE1" w:rsidP="00FB17B9">
      <w:pPr>
        <w:numPr>
          <w:ilvl w:val="0"/>
          <w:numId w:val="11"/>
        </w:numPr>
        <w:pBdr>
          <w:top w:val="nil"/>
          <w:left w:val="nil"/>
          <w:bottom w:val="nil"/>
          <w:right w:val="nil"/>
          <w:between w:val="nil"/>
        </w:pBdr>
        <w:spacing w:after="160" w:line="259" w:lineRule="auto"/>
        <w:jc w:val="left"/>
      </w:pPr>
      <w:r w:rsidRPr="00FB17B9">
        <w:rPr>
          <w:b/>
        </w:rPr>
        <w:t>Registro Federal de Contribuyentes</w:t>
      </w:r>
      <w:r w:rsidRPr="00FB17B9">
        <w:t xml:space="preserve"> </w:t>
      </w:r>
      <w:r w:rsidRPr="00FB17B9">
        <w:rPr>
          <w:b/>
        </w:rPr>
        <w:t>de las personas físicas</w:t>
      </w:r>
    </w:p>
    <w:p w14:paraId="24A39477" w14:textId="77777777" w:rsidR="00CA0DE1" w:rsidRPr="00FB17B9" w:rsidRDefault="00CA0DE1" w:rsidP="00FB17B9">
      <w:pPr>
        <w:pBdr>
          <w:top w:val="nil"/>
          <w:left w:val="nil"/>
          <w:bottom w:val="nil"/>
          <w:right w:val="nil"/>
          <w:between w:val="nil"/>
        </w:pBdr>
        <w:ind w:left="720"/>
      </w:pPr>
    </w:p>
    <w:p w14:paraId="328358D9" w14:textId="77777777" w:rsidR="00CA0DE1" w:rsidRPr="00FB17B9" w:rsidRDefault="00CA0DE1" w:rsidP="00FB17B9">
      <w:r w:rsidRPr="00FB17B9">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w:t>
      </w:r>
      <w:r w:rsidRPr="00FB17B9">
        <w:lastRenderedPageBreak/>
        <w:t>nombre, posterior la fecha de nacimiento año/mes/día y finalmente la homoclave; la cual, para su obtención es necesario acreditar personalidad, fecha de nacimiento entre otros con documentos oficiales.</w:t>
      </w:r>
    </w:p>
    <w:p w14:paraId="73F43879" w14:textId="77777777" w:rsidR="00CA0DE1" w:rsidRPr="00FB17B9" w:rsidRDefault="00CA0DE1" w:rsidP="00FB17B9"/>
    <w:p w14:paraId="7B276A45" w14:textId="77777777" w:rsidR="00CA0DE1" w:rsidRPr="00FB17B9" w:rsidRDefault="00CA0DE1" w:rsidP="00FB17B9">
      <w:pPr>
        <w:rPr>
          <w:b/>
        </w:rPr>
      </w:pPr>
      <w:r w:rsidRPr="00FB17B9">
        <w:t>Al respecto, es aplicable el Criterio 19/17 de la Segunda Época, emitido por el Instituto Nacional de Transparencia, Acceso a la Información y Protección de Datos Personales, que dice:</w:t>
      </w:r>
      <w:r w:rsidRPr="00FB17B9">
        <w:rPr>
          <w:b/>
        </w:rPr>
        <w:t xml:space="preserve"> </w:t>
      </w:r>
    </w:p>
    <w:p w14:paraId="3224E40F" w14:textId="77777777" w:rsidR="00CA0DE1" w:rsidRPr="00FB17B9" w:rsidRDefault="00CA0DE1" w:rsidP="00FB17B9">
      <w:pPr>
        <w:rPr>
          <w:b/>
        </w:rPr>
      </w:pPr>
    </w:p>
    <w:p w14:paraId="4C4DEB31"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b/>
          <w:i/>
          <w:kern w:val="28"/>
          <w:szCs w:val="56"/>
        </w:rPr>
        <w:t>Registro Federal de Contribuyentes (RFC) de personas físicas.</w:t>
      </w:r>
      <w:r w:rsidRPr="00FB17B9">
        <w:rPr>
          <w:i/>
          <w:kern w:val="28"/>
          <w:szCs w:val="56"/>
        </w:rPr>
        <w:t xml:space="preserve"> El RFC es una clave de carácter fiscal, única e irrepetible, que permite identificar al titular, su edad y fecha de nacimiento, por lo que es un dato personal de carácter confidencial.</w:t>
      </w:r>
    </w:p>
    <w:p w14:paraId="6444852D" w14:textId="77777777" w:rsidR="00CA0DE1" w:rsidRPr="00FB17B9" w:rsidRDefault="00CA0DE1" w:rsidP="00FB17B9">
      <w:pPr>
        <w:spacing w:line="240" w:lineRule="auto"/>
        <w:ind w:left="567" w:right="567"/>
        <w:contextualSpacing/>
        <w:rPr>
          <w:i/>
          <w:kern w:val="28"/>
          <w:szCs w:val="56"/>
        </w:rPr>
      </w:pPr>
      <w:r w:rsidRPr="00FB17B9">
        <w:rPr>
          <w:i/>
          <w:kern w:val="28"/>
          <w:szCs w:val="56"/>
        </w:rPr>
        <w:t xml:space="preserve"> (Énfasis añadido)</w:t>
      </w:r>
    </w:p>
    <w:p w14:paraId="33B5E90A" w14:textId="77777777" w:rsidR="00CA0DE1" w:rsidRPr="00FB17B9" w:rsidRDefault="00CA0DE1" w:rsidP="00FB17B9">
      <w:pPr>
        <w:ind w:left="851" w:right="899"/>
      </w:pPr>
    </w:p>
    <w:p w14:paraId="64B9E85E" w14:textId="77777777" w:rsidR="00CA0DE1" w:rsidRPr="00FB17B9" w:rsidRDefault="00CA0DE1" w:rsidP="00FB17B9">
      <w:r w:rsidRPr="00FB17B9">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B143FC8" w14:textId="77777777" w:rsidR="00CA0DE1" w:rsidRPr="00FB17B9" w:rsidRDefault="00CA0DE1" w:rsidP="00FB17B9"/>
    <w:p w14:paraId="62DFA921" w14:textId="77777777" w:rsidR="00CA0DE1" w:rsidRPr="00FB17B9" w:rsidRDefault="00CA0DE1" w:rsidP="00FB17B9">
      <w:pPr>
        <w:numPr>
          <w:ilvl w:val="0"/>
          <w:numId w:val="11"/>
        </w:numPr>
        <w:pBdr>
          <w:top w:val="nil"/>
          <w:left w:val="nil"/>
          <w:bottom w:val="nil"/>
          <w:right w:val="nil"/>
          <w:between w:val="nil"/>
        </w:pBdr>
        <w:spacing w:after="160" w:line="259" w:lineRule="auto"/>
        <w:jc w:val="left"/>
      </w:pPr>
      <w:r w:rsidRPr="00FB17B9">
        <w:rPr>
          <w:b/>
        </w:rPr>
        <w:t>Clave Única de Registro de Población</w:t>
      </w:r>
    </w:p>
    <w:p w14:paraId="39685026" w14:textId="77777777" w:rsidR="00CA0DE1" w:rsidRPr="00FB17B9" w:rsidRDefault="00CA0DE1" w:rsidP="00FB17B9">
      <w:pPr>
        <w:pBdr>
          <w:top w:val="nil"/>
          <w:left w:val="nil"/>
          <w:bottom w:val="nil"/>
          <w:right w:val="nil"/>
          <w:between w:val="nil"/>
        </w:pBdr>
        <w:ind w:left="720"/>
      </w:pPr>
    </w:p>
    <w:p w14:paraId="71D790A0" w14:textId="77777777" w:rsidR="00CA0DE1" w:rsidRPr="00FB17B9" w:rsidRDefault="00CA0DE1" w:rsidP="00FB17B9">
      <w:r w:rsidRPr="00FB17B9">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5D44D9F" w14:textId="77777777" w:rsidR="00CA0DE1" w:rsidRPr="00FB17B9" w:rsidRDefault="00CA0DE1" w:rsidP="00FB17B9"/>
    <w:p w14:paraId="6CB2C492" w14:textId="77777777" w:rsidR="00CA0DE1" w:rsidRPr="00FB17B9" w:rsidRDefault="00CA0DE1" w:rsidP="00FB17B9">
      <w:r w:rsidRPr="00FB17B9">
        <w:lastRenderedPageBreak/>
        <w:t>Lo anterior, tiene sustento en los artículos 86 y 91 de la Ley General de Población, la cual señala lo siguiente:</w:t>
      </w:r>
    </w:p>
    <w:p w14:paraId="212BFFF7" w14:textId="77777777" w:rsidR="00CA0DE1" w:rsidRPr="00FB17B9" w:rsidRDefault="00CA0DE1" w:rsidP="00FB17B9"/>
    <w:p w14:paraId="30076200"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b/>
          <w:i/>
          <w:kern w:val="28"/>
          <w:szCs w:val="56"/>
        </w:rPr>
        <w:t xml:space="preserve">Artículo 86. </w:t>
      </w:r>
      <w:r w:rsidRPr="00FB17B9">
        <w:rPr>
          <w:i/>
          <w:kern w:val="28"/>
          <w:szCs w:val="56"/>
        </w:rPr>
        <w:t>El Registro Nacional de Población tiene como finalidad registrar a cada una de las personas que integran la población del país, con los datos que permitan certificar y acreditar fehacientemente su identidad.</w:t>
      </w:r>
    </w:p>
    <w:p w14:paraId="2647677A" w14:textId="77777777" w:rsidR="00CA0DE1" w:rsidRPr="00FB17B9" w:rsidRDefault="00CA0DE1" w:rsidP="00FB17B9">
      <w:pPr>
        <w:spacing w:line="240" w:lineRule="auto"/>
        <w:ind w:left="567" w:right="567"/>
        <w:contextualSpacing/>
        <w:rPr>
          <w:i/>
          <w:kern w:val="28"/>
          <w:szCs w:val="56"/>
        </w:rPr>
      </w:pPr>
      <w:r w:rsidRPr="00FB17B9">
        <w:rPr>
          <w:b/>
          <w:i/>
          <w:kern w:val="28"/>
          <w:szCs w:val="56"/>
        </w:rPr>
        <w:t xml:space="preserve">Artículo 91. </w:t>
      </w:r>
      <w:r w:rsidRPr="00FB17B9">
        <w:rPr>
          <w:b/>
          <w:i/>
          <w:kern w:val="28"/>
          <w:szCs w:val="56"/>
          <w:u w:val="single"/>
        </w:rPr>
        <w:t>Al incorporar a una persona en el Registro Nacional de Población</w:t>
      </w:r>
      <w:r w:rsidRPr="00FB17B9">
        <w:rPr>
          <w:i/>
          <w:kern w:val="28"/>
          <w:szCs w:val="56"/>
        </w:rPr>
        <w:t xml:space="preserve">, se le asignará una clave </w:t>
      </w:r>
      <w:r w:rsidRPr="00FB17B9">
        <w:rPr>
          <w:b/>
          <w:i/>
          <w:kern w:val="28"/>
          <w:szCs w:val="56"/>
          <w:u w:val="single"/>
        </w:rPr>
        <w:t>que se denominará Clave Única de Registro de Población</w:t>
      </w:r>
      <w:r w:rsidRPr="00FB17B9">
        <w:rPr>
          <w:i/>
          <w:kern w:val="28"/>
          <w:szCs w:val="56"/>
        </w:rPr>
        <w:t xml:space="preserve">. </w:t>
      </w:r>
      <w:r w:rsidRPr="00FB17B9">
        <w:rPr>
          <w:b/>
          <w:i/>
          <w:kern w:val="28"/>
          <w:szCs w:val="56"/>
          <w:u w:val="single"/>
        </w:rPr>
        <w:t>Esta servirá para</w:t>
      </w:r>
      <w:r w:rsidRPr="00FB17B9">
        <w:rPr>
          <w:i/>
          <w:kern w:val="28"/>
          <w:szCs w:val="56"/>
        </w:rPr>
        <w:t xml:space="preserve"> registrarla e </w:t>
      </w:r>
      <w:r w:rsidRPr="00FB17B9">
        <w:rPr>
          <w:b/>
          <w:i/>
          <w:kern w:val="28"/>
          <w:szCs w:val="56"/>
          <w:u w:val="single"/>
        </w:rPr>
        <w:t>identificarla en forma individual</w:t>
      </w:r>
      <w:r w:rsidRPr="00FB17B9">
        <w:rPr>
          <w:i/>
          <w:kern w:val="28"/>
          <w:szCs w:val="56"/>
        </w:rPr>
        <w:t xml:space="preserve">.” </w:t>
      </w:r>
    </w:p>
    <w:p w14:paraId="1C59861E" w14:textId="77777777" w:rsidR="00CA0DE1" w:rsidRPr="00FB17B9" w:rsidRDefault="00CA0DE1" w:rsidP="00FB17B9">
      <w:pPr>
        <w:spacing w:line="240" w:lineRule="auto"/>
        <w:ind w:left="567" w:right="567"/>
        <w:contextualSpacing/>
        <w:rPr>
          <w:i/>
          <w:kern w:val="28"/>
          <w:szCs w:val="56"/>
        </w:rPr>
      </w:pPr>
      <w:r w:rsidRPr="00FB17B9">
        <w:rPr>
          <w:i/>
          <w:kern w:val="28"/>
          <w:szCs w:val="56"/>
        </w:rPr>
        <w:t>(Énfasis añadido)</w:t>
      </w:r>
    </w:p>
    <w:p w14:paraId="317AFBB9" w14:textId="77777777" w:rsidR="00CA0DE1" w:rsidRPr="00FB17B9" w:rsidRDefault="00CA0DE1" w:rsidP="00FB17B9"/>
    <w:p w14:paraId="5617C558" w14:textId="77777777" w:rsidR="00CA0DE1" w:rsidRPr="00FB17B9" w:rsidRDefault="00CA0DE1" w:rsidP="00FB17B9">
      <w:r w:rsidRPr="00FB17B9">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68FA9257" w14:textId="77777777" w:rsidR="00CA0DE1" w:rsidRPr="00FB17B9" w:rsidRDefault="00CA0DE1" w:rsidP="00FB17B9"/>
    <w:p w14:paraId="6FCCF77B" w14:textId="77777777" w:rsidR="00CA0DE1" w:rsidRPr="00FB17B9" w:rsidRDefault="00CA0DE1" w:rsidP="00FB17B9">
      <w:r w:rsidRPr="00FB17B9">
        <w:t>Al respecto, el Instituto Nacional de Transparencia, Acceso a la Información y Protección de Datos Personales (INAI), a través del Criterio 18/17 de la Segunda Época, señala literalmente lo siguiente:</w:t>
      </w:r>
    </w:p>
    <w:p w14:paraId="253F2EC2" w14:textId="77777777" w:rsidR="00CA0DE1" w:rsidRPr="00FB17B9" w:rsidRDefault="00CA0DE1" w:rsidP="00FB17B9"/>
    <w:p w14:paraId="03F192BC"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b/>
          <w:i/>
          <w:kern w:val="28"/>
          <w:szCs w:val="56"/>
        </w:rPr>
        <w:t>Clave Única de Registro de Población (CURP). La Clave Única de Registro de Población</w:t>
      </w:r>
      <w:r w:rsidRPr="00FB17B9">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596E9FF" w14:textId="77777777" w:rsidR="00CA0DE1" w:rsidRPr="00FB17B9" w:rsidRDefault="00CA0DE1" w:rsidP="00FB17B9">
      <w:pPr>
        <w:spacing w:line="240" w:lineRule="auto"/>
        <w:ind w:left="567" w:right="567"/>
        <w:contextualSpacing/>
        <w:rPr>
          <w:i/>
          <w:kern w:val="28"/>
          <w:szCs w:val="56"/>
        </w:rPr>
      </w:pPr>
      <w:r w:rsidRPr="00FB17B9">
        <w:rPr>
          <w:i/>
          <w:kern w:val="28"/>
          <w:szCs w:val="56"/>
        </w:rPr>
        <w:lastRenderedPageBreak/>
        <w:t xml:space="preserve"> (Énfasis añadido)</w:t>
      </w:r>
    </w:p>
    <w:p w14:paraId="699BC236" w14:textId="77777777" w:rsidR="00CA0DE1" w:rsidRPr="00FB17B9" w:rsidRDefault="00CA0DE1" w:rsidP="00FB17B9">
      <w:pPr>
        <w:ind w:left="851" w:right="902"/>
      </w:pPr>
    </w:p>
    <w:p w14:paraId="17768502" w14:textId="77777777" w:rsidR="00CA0DE1" w:rsidRPr="00FB17B9" w:rsidRDefault="00CA0DE1" w:rsidP="00FB17B9">
      <w:r w:rsidRPr="00FB17B9">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8D96D14" w14:textId="77777777" w:rsidR="00CA0DE1" w:rsidRPr="00FB17B9" w:rsidRDefault="00CA0DE1" w:rsidP="00FB17B9"/>
    <w:p w14:paraId="083A5975" w14:textId="77777777" w:rsidR="00CA0DE1" w:rsidRPr="00FB17B9" w:rsidRDefault="00CA0DE1" w:rsidP="00FB17B9">
      <w:pPr>
        <w:numPr>
          <w:ilvl w:val="0"/>
          <w:numId w:val="11"/>
        </w:numPr>
        <w:pBdr>
          <w:top w:val="nil"/>
          <w:left w:val="nil"/>
          <w:bottom w:val="nil"/>
          <w:right w:val="nil"/>
          <w:between w:val="nil"/>
        </w:pBdr>
        <w:spacing w:after="160" w:line="259" w:lineRule="auto"/>
        <w:jc w:val="left"/>
        <w:rPr>
          <w:b/>
        </w:rPr>
      </w:pPr>
      <w:r w:rsidRPr="00FB17B9">
        <w:rPr>
          <w:b/>
        </w:rPr>
        <w:t>Clave de cualquier tipo de seguridad social</w:t>
      </w:r>
    </w:p>
    <w:p w14:paraId="41869207" w14:textId="77777777" w:rsidR="00CA0DE1" w:rsidRPr="00FB17B9" w:rsidRDefault="00CA0DE1" w:rsidP="00FB17B9"/>
    <w:p w14:paraId="629CFD0B" w14:textId="77777777" w:rsidR="00CA0DE1" w:rsidRPr="00FB17B9" w:rsidRDefault="00CA0DE1" w:rsidP="00FB17B9">
      <w:r w:rsidRPr="00FB17B9">
        <w:t xml:space="preserve">Por cuanto hace a la </w:t>
      </w:r>
      <w:r w:rsidRPr="00FB17B9">
        <w:rPr>
          <w:b/>
        </w:rPr>
        <w:t>Clave de cualquier tipo de seguridad social</w:t>
      </w:r>
      <w:r w:rsidRPr="00FB17B9">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BA47B6B" w14:textId="77777777" w:rsidR="00CA0DE1" w:rsidRPr="00FB17B9" w:rsidRDefault="00CA0DE1" w:rsidP="00FB17B9"/>
    <w:p w14:paraId="301F8B58" w14:textId="77777777" w:rsidR="00CA0DE1" w:rsidRPr="00FB17B9" w:rsidRDefault="00CA0DE1" w:rsidP="00FB17B9">
      <w:pPr>
        <w:numPr>
          <w:ilvl w:val="0"/>
          <w:numId w:val="11"/>
        </w:numPr>
        <w:pBdr>
          <w:top w:val="nil"/>
          <w:left w:val="nil"/>
          <w:bottom w:val="nil"/>
          <w:right w:val="nil"/>
          <w:between w:val="nil"/>
        </w:pBdr>
        <w:spacing w:after="160" w:line="259" w:lineRule="auto"/>
        <w:jc w:val="left"/>
        <w:rPr>
          <w:b/>
        </w:rPr>
      </w:pPr>
      <w:r w:rsidRPr="00FB17B9">
        <w:rPr>
          <w:b/>
        </w:rPr>
        <w:t>Número de cuenta bancaria de los particulares</w:t>
      </w:r>
    </w:p>
    <w:p w14:paraId="45316FC8" w14:textId="77777777" w:rsidR="00CA0DE1" w:rsidRPr="00FB17B9" w:rsidRDefault="00CA0DE1" w:rsidP="00FB17B9">
      <w:pPr>
        <w:pBdr>
          <w:top w:val="nil"/>
          <w:left w:val="nil"/>
          <w:bottom w:val="nil"/>
          <w:right w:val="nil"/>
          <w:between w:val="nil"/>
        </w:pBdr>
        <w:ind w:left="720"/>
        <w:rPr>
          <w:b/>
        </w:rPr>
      </w:pPr>
    </w:p>
    <w:p w14:paraId="149A2A12" w14:textId="3EFB9B3D" w:rsidR="00CA0DE1" w:rsidRPr="00FB17B9" w:rsidRDefault="00CA0DE1" w:rsidP="00FB17B9">
      <w:r w:rsidRPr="00FB17B9">
        <w:t xml:space="preserve">Por otro lado, es importante señalar que por cuanto hace </w:t>
      </w:r>
      <w:r w:rsidR="004562BA" w:rsidRPr="00FB17B9">
        <w:t>al número</w:t>
      </w:r>
      <w:r w:rsidRPr="00FB17B9">
        <w:t xml:space="preserve"> de cuenta bancaria de los particulares debe ser clasificado como confidencial con fundamento en las fracciones I y II del </w:t>
      </w:r>
      <w:r w:rsidRPr="00FB17B9">
        <w:lastRenderedPageBreak/>
        <w:t>artículo 143 de la Ley de la Materia de la Entidad; en razón de que, con su difusión se estaría poniendo en riesgo la seguridad de su titular.</w:t>
      </w:r>
    </w:p>
    <w:p w14:paraId="794CA2EB" w14:textId="77777777" w:rsidR="00CA0DE1" w:rsidRPr="00FB17B9" w:rsidRDefault="00CA0DE1" w:rsidP="00FB17B9">
      <w:pPr>
        <w:ind w:right="50"/>
      </w:pPr>
    </w:p>
    <w:p w14:paraId="0C12FBEC" w14:textId="77777777" w:rsidR="00CA0DE1" w:rsidRPr="00FB17B9" w:rsidRDefault="00CA0DE1" w:rsidP="00FB17B9">
      <w:pPr>
        <w:ind w:right="51"/>
      </w:pPr>
      <w:r w:rsidRPr="00FB17B9">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F574B99" w14:textId="77777777" w:rsidR="00CA0DE1" w:rsidRPr="00FB17B9" w:rsidRDefault="00CA0DE1" w:rsidP="00FB17B9">
      <w:pPr>
        <w:ind w:right="51"/>
      </w:pPr>
    </w:p>
    <w:p w14:paraId="62FC15A1" w14:textId="77777777" w:rsidR="00CA0DE1" w:rsidRPr="00FB17B9" w:rsidRDefault="00CA0DE1" w:rsidP="00FB17B9">
      <w:pPr>
        <w:ind w:right="50"/>
      </w:pPr>
      <w:r w:rsidRPr="00FB17B9">
        <w:t>Lo anterior encuentra sustento en el criterio 10/17 emitido por el Instituto Nacional de Transparencia y Acceso a la Información Pública del Estado de México y Municipios, que a la letra dicen:</w:t>
      </w:r>
    </w:p>
    <w:p w14:paraId="7BD6B4A6" w14:textId="77777777" w:rsidR="00CA0DE1" w:rsidRPr="00FB17B9" w:rsidRDefault="00CA0DE1" w:rsidP="00FB17B9">
      <w:pPr>
        <w:ind w:right="50"/>
      </w:pPr>
    </w:p>
    <w:p w14:paraId="76DD4B79" w14:textId="77777777" w:rsidR="00CA0DE1" w:rsidRPr="00FB17B9" w:rsidRDefault="00CA0DE1" w:rsidP="00FB17B9">
      <w:pPr>
        <w:spacing w:line="240" w:lineRule="auto"/>
        <w:ind w:left="567" w:right="567"/>
        <w:contextualSpacing/>
        <w:rPr>
          <w:i/>
          <w:kern w:val="28"/>
          <w:szCs w:val="56"/>
        </w:rPr>
      </w:pPr>
      <w:r w:rsidRPr="00FB17B9">
        <w:rPr>
          <w:b/>
          <w:i/>
          <w:kern w:val="28"/>
          <w:szCs w:val="56"/>
        </w:rPr>
        <w:t>“Cuentas bancarias y/o CLABE interbancaria de personas físicas y morales privadas.</w:t>
      </w:r>
      <w:r w:rsidRPr="00FB17B9">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2A554E0" w14:textId="77777777" w:rsidR="00CA0DE1" w:rsidRPr="00FB17B9" w:rsidRDefault="00CA0DE1" w:rsidP="00FB17B9">
      <w:pPr>
        <w:ind w:left="851" w:right="1134"/>
        <w:jc w:val="center"/>
        <w:rPr>
          <w:b/>
          <w:i/>
        </w:rPr>
      </w:pPr>
    </w:p>
    <w:p w14:paraId="3BB5C8DA" w14:textId="77777777" w:rsidR="00CA0DE1" w:rsidRPr="00FB17B9" w:rsidRDefault="00CA0DE1" w:rsidP="00FB17B9">
      <w:pPr>
        <w:numPr>
          <w:ilvl w:val="0"/>
          <w:numId w:val="11"/>
        </w:numPr>
        <w:pBdr>
          <w:top w:val="nil"/>
          <w:left w:val="nil"/>
          <w:bottom w:val="nil"/>
          <w:right w:val="nil"/>
          <w:between w:val="nil"/>
        </w:pBdr>
        <w:spacing w:after="160" w:line="259" w:lineRule="auto"/>
        <w:jc w:val="left"/>
        <w:rPr>
          <w:b/>
        </w:rPr>
      </w:pPr>
      <w:r w:rsidRPr="00FB17B9">
        <w:rPr>
          <w:b/>
        </w:rPr>
        <w:t>Número de empleado de servidores públicos o su equivalente</w:t>
      </w:r>
    </w:p>
    <w:p w14:paraId="47E724DE" w14:textId="77777777" w:rsidR="00CA0DE1" w:rsidRPr="00FB17B9" w:rsidRDefault="00CA0DE1" w:rsidP="00FB17B9"/>
    <w:p w14:paraId="097E320B" w14:textId="77777777" w:rsidR="00CA0DE1" w:rsidRPr="00FB17B9" w:rsidRDefault="00CA0DE1" w:rsidP="00FB17B9">
      <w:r w:rsidRPr="00FB17B9">
        <w:t xml:space="preserve">Por otro lado, es necesario precisar que el </w:t>
      </w:r>
      <w:r w:rsidRPr="00FB17B9">
        <w:rPr>
          <w:b/>
        </w:rPr>
        <w:t>número de empleado de servidores públicos o su equivalente</w:t>
      </w:r>
      <w:r w:rsidRPr="00FB17B9">
        <w:t xml:space="preserve">, con independencia del nombre que reciba, constituye un instrumento de control </w:t>
      </w:r>
      <w:r w:rsidRPr="00FB17B9">
        <w:lastRenderedPageBreak/>
        <w:t xml:space="preserve">interno que permite a las dependencias y entidades identificar a sus trabajadores y a estos les facilita la realización de gestiones en su carácter de empleado. </w:t>
      </w:r>
    </w:p>
    <w:p w14:paraId="495277DC" w14:textId="77777777" w:rsidR="00CA0DE1" w:rsidRPr="00FB17B9" w:rsidRDefault="00CA0DE1" w:rsidP="00FB17B9">
      <w:pPr>
        <w:pBdr>
          <w:top w:val="nil"/>
          <w:left w:val="nil"/>
          <w:bottom w:val="nil"/>
          <w:right w:val="nil"/>
          <w:between w:val="nil"/>
        </w:pBdr>
        <w:spacing w:before="240" w:after="240"/>
        <w:ind w:right="49"/>
      </w:pPr>
      <w:r w:rsidRPr="00FB17B9">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BCCFEAC" w14:textId="77777777" w:rsidR="00CA0DE1" w:rsidRPr="00FB17B9" w:rsidRDefault="00CA0DE1" w:rsidP="00FB17B9">
      <w:pPr>
        <w:pBdr>
          <w:top w:val="nil"/>
          <w:left w:val="nil"/>
          <w:bottom w:val="nil"/>
          <w:right w:val="nil"/>
          <w:between w:val="nil"/>
        </w:pBdr>
        <w:spacing w:before="240" w:after="240"/>
        <w:ind w:right="49"/>
      </w:pPr>
      <w:r w:rsidRPr="00FB17B9">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0252FED4"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b/>
          <w:i/>
          <w:kern w:val="28"/>
          <w:szCs w:val="56"/>
        </w:rPr>
        <w:t>Número de empleado.</w:t>
      </w:r>
      <w:r w:rsidRPr="00FB17B9">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4506C5AF" w14:textId="77777777" w:rsidR="00CA0DE1" w:rsidRPr="00FB17B9" w:rsidRDefault="00CA0DE1" w:rsidP="00FB17B9">
      <w:pPr>
        <w:spacing w:line="240" w:lineRule="auto"/>
        <w:ind w:left="567" w:right="567"/>
        <w:contextualSpacing/>
        <w:rPr>
          <w:i/>
          <w:kern w:val="28"/>
          <w:szCs w:val="56"/>
        </w:rPr>
      </w:pPr>
    </w:p>
    <w:p w14:paraId="2FDAAD09" w14:textId="77777777" w:rsidR="00CA0DE1" w:rsidRPr="00FB17B9" w:rsidRDefault="00CA0DE1" w:rsidP="00FB17B9">
      <w:pPr>
        <w:pBdr>
          <w:top w:val="nil"/>
          <w:left w:val="nil"/>
          <w:bottom w:val="nil"/>
          <w:right w:val="nil"/>
          <w:between w:val="nil"/>
        </w:pBdr>
        <w:ind w:right="49"/>
      </w:pPr>
      <w:r w:rsidRPr="00FB17B9">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32CF04F" w14:textId="77777777" w:rsidR="00CA0DE1" w:rsidRPr="00FB17B9" w:rsidRDefault="00CA0DE1" w:rsidP="00FB17B9">
      <w:pPr>
        <w:pBdr>
          <w:top w:val="nil"/>
          <w:left w:val="nil"/>
          <w:bottom w:val="nil"/>
          <w:right w:val="nil"/>
          <w:between w:val="nil"/>
        </w:pBdr>
        <w:rPr>
          <w:b/>
        </w:rPr>
      </w:pPr>
    </w:p>
    <w:p w14:paraId="1E0BEFD3" w14:textId="77777777" w:rsidR="00CA0DE1" w:rsidRPr="00FB17B9" w:rsidRDefault="00CA0DE1" w:rsidP="00FB17B9">
      <w:pPr>
        <w:numPr>
          <w:ilvl w:val="0"/>
          <w:numId w:val="11"/>
        </w:numPr>
        <w:pBdr>
          <w:top w:val="nil"/>
          <w:left w:val="nil"/>
          <w:bottom w:val="nil"/>
          <w:right w:val="nil"/>
          <w:between w:val="nil"/>
        </w:pBdr>
        <w:spacing w:after="160" w:line="259" w:lineRule="auto"/>
        <w:jc w:val="left"/>
        <w:rPr>
          <w:b/>
        </w:rPr>
      </w:pPr>
      <w:r w:rsidRPr="00FB17B9">
        <w:rPr>
          <w:b/>
        </w:rPr>
        <w:t>Código bidimensional o Qr</w:t>
      </w:r>
    </w:p>
    <w:p w14:paraId="4AFC457F" w14:textId="77777777" w:rsidR="00CA0DE1" w:rsidRPr="00FB17B9" w:rsidRDefault="00CA0DE1" w:rsidP="00FB17B9">
      <w:pPr>
        <w:pBdr>
          <w:top w:val="nil"/>
          <w:left w:val="nil"/>
          <w:bottom w:val="nil"/>
          <w:right w:val="nil"/>
          <w:between w:val="nil"/>
        </w:pBdr>
        <w:rPr>
          <w:b/>
        </w:rPr>
      </w:pPr>
    </w:p>
    <w:p w14:paraId="4B02FCCA" w14:textId="77777777" w:rsidR="00CA0DE1" w:rsidRPr="00FB17B9" w:rsidRDefault="00CA0DE1" w:rsidP="00FB17B9">
      <w:pPr>
        <w:pBdr>
          <w:top w:val="nil"/>
          <w:left w:val="nil"/>
          <w:bottom w:val="nil"/>
          <w:right w:val="nil"/>
          <w:between w:val="nil"/>
        </w:pBdr>
        <w:ind w:right="49"/>
        <w:rPr>
          <w:lang w:eastAsia="en-US"/>
        </w:rPr>
      </w:pPr>
      <w:r w:rsidRPr="00FB17B9">
        <w:rPr>
          <w:lang w:eastAsia="en-US"/>
        </w:rPr>
        <w:t xml:space="preserve">En principio, resulta necesario señalar que los comprobantes fiscales digitales por Internet, deben de incluir un código </w:t>
      </w:r>
      <w:r w:rsidRPr="00FB17B9">
        <w:t>bidimensional</w:t>
      </w:r>
      <w:r w:rsidRPr="00FB17B9">
        <w:rPr>
          <w:lang w:eastAsia="en-US"/>
        </w:rPr>
        <w:t xml:space="preserve"> conforme al formato </w:t>
      </w:r>
      <w:r w:rsidRPr="00FB17B9">
        <w:rPr>
          <w:i/>
          <w:lang w:eastAsia="en-US"/>
        </w:rPr>
        <w:t>QR Code (Quick Response Code)</w:t>
      </w:r>
      <w:r w:rsidRPr="00FB17B9">
        <w:rPr>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FB17B9">
          <w:rPr>
            <w:u w:val="single"/>
            <w:lang w:eastAsia="en-US"/>
          </w:rPr>
          <w:t>http://dof.gob.mx/nota_detalle.php?codigo=5492254&amp;fecha=28/07/2017</w:t>
        </w:r>
      </w:hyperlink>
      <w:r w:rsidRPr="00FB17B9">
        <w:rPr>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4CA8C18D" w14:textId="77777777" w:rsidR="00CA0DE1" w:rsidRPr="00FB17B9" w:rsidRDefault="00CA0DE1" w:rsidP="00FB17B9">
      <w:pPr>
        <w:spacing w:after="160"/>
        <w:contextualSpacing/>
        <w:rPr>
          <w:lang w:eastAsia="en-US"/>
        </w:rPr>
      </w:pPr>
      <w:r w:rsidRPr="00FB17B9">
        <w:rPr>
          <w:lang w:eastAsia="en-US"/>
        </w:rPr>
        <w:t xml:space="preserve"> </w:t>
      </w:r>
    </w:p>
    <w:p w14:paraId="011614D8" w14:textId="77777777" w:rsidR="00CA0DE1" w:rsidRPr="00FB17B9" w:rsidRDefault="00CA0DE1" w:rsidP="00FB17B9">
      <w:pPr>
        <w:pBdr>
          <w:top w:val="nil"/>
          <w:left w:val="nil"/>
          <w:bottom w:val="nil"/>
          <w:right w:val="nil"/>
          <w:between w:val="nil"/>
        </w:pBdr>
        <w:ind w:right="49"/>
        <w:rPr>
          <w:lang w:eastAsia="en-US"/>
        </w:rPr>
      </w:pPr>
      <w:r w:rsidRPr="00FB17B9">
        <w:rPr>
          <w:lang w:eastAsia="en-US"/>
        </w:rPr>
        <w:t xml:space="preserve">De tales circunstancias, se considera que dicho dato actualiza la causal de clasificación prevista en el artículo </w:t>
      </w:r>
      <w:r w:rsidRPr="00FB17B9">
        <w:t>143</w:t>
      </w:r>
      <w:r w:rsidRPr="00FB17B9">
        <w:rPr>
          <w:lang w:eastAsia="en-US"/>
        </w:rPr>
        <w:t>, fracción I de la Ley de la materia, toda vez que da acceso al Registro Federal de Contribuyentes de los servidores públicos del Sujeto Obligado, datos que tal como se señaló previamente, son clasificados.</w:t>
      </w:r>
    </w:p>
    <w:p w14:paraId="472A550C" w14:textId="77777777" w:rsidR="00CA0DE1" w:rsidRPr="00FB17B9" w:rsidRDefault="00CA0DE1" w:rsidP="00FB17B9">
      <w:pPr>
        <w:spacing w:after="160"/>
        <w:contextualSpacing/>
        <w:rPr>
          <w:lang w:eastAsia="en-US"/>
        </w:rPr>
      </w:pPr>
    </w:p>
    <w:p w14:paraId="3E0D7824" w14:textId="77777777" w:rsidR="00CA0DE1" w:rsidRPr="00FB17B9" w:rsidRDefault="00CA0DE1" w:rsidP="00FB17B9">
      <w:pPr>
        <w:numPr>
          <w:ilvl w:val="0"/>
          <w:numId w:val="11"/>
        </w:numPr>
        <w:pBdr>
          <w:top w:val="nil"/>
          <w:left w:val="nil"/>
          <w:bottom w:val="nil"/>
          <w:right w:val="nil"/>
          <w:between w:val="nil"/>
        </w:pBdr>
        <w:spacing w:after="160" w:line="259" w:lineRule="auto"/>
        <w:rPr>
          <w:b/>
        </w:rPr>
      </w:pPr>
      <w:r w:rsidRPr="00FB17B9">
        <w:rPr>
          <w:b/>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25C6C6A9" w14:textId="77777777" w:rsidR="00CA0DE1" w:rsidRPr="00FB17B9" w:rsidRDefault="00CA0DE1" w:rsidP="00FB17B9">
      <w:pPr>
        <w:pBdr>
          <w:top w:val="nil"/>
          <w:left w:val="nil"/>
          <w:bottom w:val="nil"/>
          <w:right w:val="nil"/>
          <w:between w:val="nil"/>
        </w:pBdr>
        <w:ind w:left="720"/>
        <w:rPr>
          <w:b/>
        </w:rPr>
      </w:pPr>
    </w:p>
    <w:p w14:paraId="55C0031B" w14:textId="77777777" w:rsidR="00CA0DE1" w:rsidRPr="00FB17B9" w:rsidRDefault="00CA0DE1" w:rsidP="00FB17B9">
      <w:pPr>
        <w:pBdr>
          <w:top w:val="nil"/>
          <w:left w:val="nil"/>
          <w:bottom w:val="nil"/>
          <w:right w:val="nil"/>
          <w:between w:val="nil"/>
        </w:pBdr>
        <w:ind w:right="49"/>
      </w:pPr>
      <w:r w:rsidRPr="00FB17B9">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w:t>
      </w:r>
      <w:r w:rsidRPr="00FB17B9">
        <w:lastRenderedPageBreak/>
        <w:t>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244081D" w14:textId="77777777" w:rsidR="00CA0DE1" w:rsidRPr="00FB17B9" w:rsidRDefault="00CA0DE1" w:rsidP="00FB17B9">
      <w:pPr>
        <w:pBdr>
          <w:top w:val="nil"/>
          <w:left w:val="nil"/>
          <w:bottom w:val="nil"/>
          <w:right w:val="nil"/>
          <w:between w:val="nil"/>
        </w:pBdr>
        <w:ind w:right="49"/>
      </w:pPr>
    </w:p>
    <w:p w14:paraId="46F80A31" w14:textId="77777777" w:rsidR="00CA0DE1" w:rsidRPr="00FB17B9" w:rsidRDefault="00CA0DE1" w:rsidP="00FB17B9">
      <w:pPr>
        <w:pBdr>
          <w:top w:val="nil"/>
          <w:left w:val="nil"/>
          <w:bottom w:val="nil"/>
          <w:right w:val="nil"/>
          <w:between w:val="nil"/>
        </w:pBdr>
        <w:ind w:right="49"/>
      </w:pPr>
      <w:r w:rsidRPr="00FB17B9">
        <w:t>Las cadenas originales y sellos que se agregan a las facturas,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4ABC27B"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p>
    <w:p w14:paraId="3C50C9DE" w14:textId="77777777" w:rsidR="00CA0DE1" w:rsidRPr="00FB17B9" w:rsidRDefault="00CA0DE1" w:rsidP="00FB17B9">
      <w:pPr>
        <w:spacing w:line="240" w:lineRule="auto"/>
        <w:ind w:left="567" w:right="567"/>
        <w:contextualSpacing/>
        <w:rPr>
          <w:i/>
          <w:kern w:val="28"/>
          <w:szCs w:val="56"/>
        </w:rPr>
      </w:pPr>
      <w:r w:rsidRPr="00FB17B9">
        <w:rPr>
          <w:i/>
          <w:kern w:val="28"/>
          <w:szCs w:val="56"/>
        </w:rPr>
        <w:t>Elementos utilizados en la generación de Sellos Digitales:</w:t>
      </w:r>
    </w:p>
    <w:p w14:paraId="025D13AF"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i/>
          <w:kern w:val="28"/>
          <w:szCs w:val="56"/>
        </w:rPr>
        <w:tab/>
        <w:t>Cadena Original, el elemento a sellar, en este caso de un comprobante fiscal digital a través de Internet.</w:t>
      </w:r>
    </w:p>
    <w:p w14:paraId="47C8BF5F"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i/>
          <w:kern w:val="28"/>
          <w:szCs w:val="56"/>
        </w:rPr>
        <w:tab/>
        <w:t>Certificado de Sello Digital y su correspondiente clave privada.</w:t>
      </w:r>
    </w:p>
    <w:p w14:paraId="7B626C16"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i/>
          <w:kern w:val="28"/>
          <w:szCs w:val="56"/>
        </w:rPr>
        <w:tab/>
        <w:t>Algoritmos de criptografía de clave pública para firma electrónica avanzada.</w:t>
      </w:r>
    </w:p>
    <w:p w14:paraId="09D99144"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r w:rsidRPr="00FB17B9">
        <w:rPr>
          <w:i/>
          <w:kern w:val="28"/>
          <w:szCs w:val="56"/>
        </w:rPr>
        <w:tab/>
        <w:t>Especificaciones de conversión de la firma electrónica avanzada a Base 64.</w:t>
      </w:r>
    </w:p>
    <w:p w14:paraId="7AA6882F" w14:textId="77777777" w:rsidR="00CA0DE1" w:rsidRPr="00FB17B9" w:rsidRDefault="00CA0DE1" w:rsidP="00FB17B9">
      <w:pPr>
        <w:spacing w:line="240" w:lineRule="auto"/>
        <w:ind w:left="567" w:right="567"/>
        <w:contextualSpacing/>
        <w:rPr>
          <w:i/>
          <w:kern w:val="28"/>
          <w:szCs w:val="56"/>
        </w:rPr>
      </w:pPr>
      <w:r w:rsidRPr="00FB17B9">
        <w:rPr>
          <w:i/>
          <w:kern w:val="28"/>
          <w:szCs w:val="56"/>
        </w:rPr>
        <w:t>Para la generación de sellos digitales se utiliza criptografía de clave pública aplicada a una cadena original.</w:t>
      </w:r>
    </w:p>
    <w:p w14:paraId="61C372E6" w14:textId="77777777" w:rsidR="00CA0DE1" w:rsidRPr="00FB17B9" w:rsidRDefault="00CA0DE1" w:rsidP="00FB17B9">
      <w:pPr>
        <w:spacing w:line="240" w:lineRule="auto"/>
        <w:ind w:left="567" w:right="567"/>
        <w:contextualSpacing/>
        <w:rPr>
          <w:i/>
          <w:kern w:val="28"/>
          <w:szCs w:val="56"/>
        </w:rPr>
      </w:pPr>
      <w:r w:rsidRPr="00FB17B9">
        <w:rPr>
          <w:i/>
          <w:kern w:val="28"/>
          <w:szCs w:val="56"/>
        </w:rPr>
        <w:t>Criptografía de la Clave Pública</w:t>
      </w:r>
    </w:p>
    <w:p w14:paraId="221BDD43" w14:textId="77777777" w:rsidR="00CA0DE1" w:rsidRPr="00FB17B9" w:rsidRDefault="00CA0DE1" w:rsidP="00FB17B9">
      <w:pPr>
        <w:spacing w:line="240" w:lineRule="auto"/>
        <w:ind w:left="567" w:right="567"/>
        <w:contextualSpacing/>
        <w:rPr>
          <w:i/>
          <w:kern w:val="28"/>
          <w:szCs w:val="56"/>
        </w:rPr>
      </w:pPr>
      <w:r w:rsidRPr="00FB17B9">
        <w:rPr>
          <w:i/>
          <w:kern w:val="28"/>
          <w:szCs w:val="56"/>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220428E9" w14:textId="77777777" w:rsidR="00CA0DE1" w:rsidRPr="00FB17B9" w:rsidRDefault="00CA0DE1" w:rsidP="00FB17B9">
      <w:pPr>
        <w:spacing w:line="240" w:lineRule="auto"/>
        <w:ind w:left="567" w:right="567"/>
        <w:contextualSpacing/>
        <w:rPr>
          <w:i/>
          <w:kern w:val="28"/>
          <w:szCs w:val="56"/>
        </w:rPr>
      </w:pPr>
      <w:r w:rsidRPr="00FB17B9">
        <w:rPr>
          <w:i/>
          <w:kern w:val="28"/>
          <w:szCs w:val="56"/>
        </w:rPr>
        <w:t>…”</w:t>
      </w:r>
    </w:p>
    <w:p w14:paraId="14A236C2" w14:textId="77777777" w:rsidR="00CA0DE1" w:rsidRPr="00FB17B9" w:rsidRDefault="00CA0DE1" w:rsidP="00FB17B9">
      <w:pPr>
        <w:spacing w:line="240" w:lineRule="auto"/>
        <w:ind w:left="567" w:right="567"/>
        <w:contextualSpacing/>
        <w:rPr>
          <w:i/>
          <w:kern w:val="28"/>
          <w:szCs w:val="56"/>
        </w:rPr>
      </w:pPr>
    </w:p>
    <w:p w14:paraId="2E1B683A" w14:textId="77777777" w:rsidR="00CA0DE1" w:rsidRPr="00FB17B9" w:rsidRDefault="00CA0DE1" w:rsidP="00FB17B9">
      <w:pPr>
        <w:pBdr>
          <w:top w:val="nil"/>
          <w:left w:val="nil"/>
          <w:bottom w:val="nil"/>
          <w:right w:val="nil"/>
          <w:between w:val="nil"/>
        </w:pBdr>
        <w:ind w:right="49"/>
      </w:pPr>
      <w:r w:rsidRPr="00FB17B9">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w:t>
      </w:r>
      <w:r w:rsidRPr="00FB17B9">
        <w:lastRenderedPageBreak/>
        <w:t xml:space="preserve">corroborar la legitimidad de la factura, de ser el caso, por lo que guardan el carácter de público. </w:t>
      </w:r>
    </w:p>
    <w:p w14:paraId="6C7A31F0" w14:textId="77777777" w:rsidR="00CA0DE1" w:rsidRPr="00FB17B9" w:rsidRDefault="00CA0DE1" w:rsidP="00FB17B9">
      <w:pPr>
        <w:pBdr>
          <w:top w:val="nil"/>
          <w:left w:val="nil"/>
          <w:bottom w:val="nil"/>
          <w:right w:val="nil"/>
          <w:between w:val="nil"/>
        </w:pBdr>
        <w:ind w:right="49"/>
      </w:pPr>
    </w:p>
    <w:p w14:paraId="26DABF39" w14:textId="77777777" w:rsidR="00CA0DE1" w:rsidRPr="00FB17B9" w:rsidRDefault="00CA0DE1" w:rsidP="00FB17B9">
      <w:pPr>
        <w:pBdr>
          <w:top w:val="nil"/>
          <w:left w:val="nil"/>
          <w:bottom w:val="nil"/>
          <w:right w:val="nil"/>
          <w:between w:val="nil"/>
        </w:pBdr>
        <w:ind w:right="49"/>
      </w:pPr>
      <w:r w:rsidRPr="00FB17B9">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30E6AB13" w14:textId="77777777" w:rsidR="00CA0DE1" w:rsidRPr="00FB17B9" w:rsidRDefault="00CA0DE1" w:rsidP="00FB17B9">
      <w:pPr>
        <w:pBdr>
          <w:top w:val="nil"/>
          <w:left w:val="nil"/>
          <w:bottom w:val="nil"/>
          <w:right w:val="nil"/>
          <w:between w:val="nil"/>
        </w:pBdr>
        <w:ind w:right="49"/>
      </w:pPr>
    </w:p>
    <w:p w14:paraId="1C3DC8AD" w14:textId="77777777" w:rsidR="00CA0DE1" w:rsidRPr="00FB17B9" w:rsidRDefault="00CA0DE1" w:rsidP="00FB17B9">
      <w:pPr>
        <w:spacing w:after="160"/>
      </w:pPr>
      <w:r w:rsidRPr="00FB17B9">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09486759" w14:textId="77777777" w:rsidR="00CA0DE1" w:rsidRPr="00FB17B9" w:rsidRDefault="00CA0DE1" w:rsidP="00FB17B9">
      <w:pPr>
        <w:spacing w:after="160"/>
        <w:jc w:val="center"/>
      </w:pPr>
      <w:r w:rsidRPr="00FB17B9">
        <w:rPr>
          <w:noProof/>
        </w:rPr>
        <w:drawing>
          <wp:inline distT="0" distB="0" distL="0" distR="0" wp14:anchorId="73A09A05" wp14:editId="7341AE6B">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39B17449" w14:textId="77777777" w:rsidR="00CA0DE1" w:rsidRPr="00FB17B9" w:rsidRDefault="00CA0DE1" w:rsidP="00FB17B9">
      <w:pPr>
        <w:tabs>
          <w:tab w:val="left" w:pos="4962"/>
        </w:tabs>
        <w:spacing w:after="160"/>
      </w:pPr>
    </w:p>
    <w:p w14:paraId="67C6DBC6" w14:textId="77777777" w:rsidR="00CA0DE1" w:rsidRPr="00FB17B9" w:rsidRDefault="00CA0DE1" w:rsidP="00FB17B9">
      <w:r w:rsidRPr="00FB17B9">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w:t>
      </w:r>
      <w:r w:rsidRPr="00FB17B9">
        <w:lastRenderedPageBreak/>
        <w:t>Estado de México y Municipios. Máxime que permite corroborar la legitimidad a la factura, pues amparan la utilización de los certificados de sellos digitales válidos.</w:t>
      </w:r>
    </w:p>
    <w:p w14:paraId="52EA312A" w14:textId="77777777" w:rsidR="00CA0DE1" w:rsidRPr="00FB17B9" w:rsidRDefault="00CA0DE1" w:rsidP="00FB17B9"/>
    <w:p w14:paraId="7D6D0A38" w14:textId="77777777" w:rsidR="00CA0DE1" w:rsidRPr="00FB17B9" w:rsidRDefault="00CA0DE1" w:rsidP="00FB17B9">
      <w:r w:rsidRPr="00FB17B9">
        <w:t xml:space="preserve">Ahora bien, por lo que hace </w:t>
      </w:r>
      <w:r w:rsidRPr="00FB17B9">
        <w:rPr>
          <w:b/>
        </w:rPr>
        <w:t>Folio Fiscal</w:t>
      </w:r>
      <w:r w:rsidRPr="00FB17B9">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B2E111C" w14:textId="77777777" w:rsidR="00CA0DE1" w:rsidRPr="00FB17B9" w:rsidRDefault="00CA0DE1" w:rsidP="00FB17B9">
      <w:pPr>
        <w:spacing w:after="160"/>
      </w:pPr>
      <w:r w:rsidRPr="00FB17B9">
        <w:t xml:space="preserve"> </w:t>
      </w:r>
    </w:p>
    <w:p w14:paraId="1153484D" w14:textId="77777777" w:rsidR="00CA0DE1" w:rsidRPr="00FB17B9" w:rsidRDefault="00CA0DE1" w:rsidP="00FB17B9">
      <w:pPr>
        <w:spacing w:after="160"/>
        <w:jc w:val="center"/>
      </w:pPr>
      <w:r w:rsidRPr="00FB17B9">
        <w:rPr>
          <w:noProof/>
        </w:rPr>
        <w:drawing>
          <wp:inline distT="0" distB="0" distL="0" distR="0" wp14:anchorId="39CD41C6" wp14:editId="126108FF">
            <wp:extent cx="4438650" cy="102870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43095F61" w14:textId="77777777" w:rsidR="00CA0DE1" w:rsidRPr="00FB17B9" w:rsidRDefault="00CA0DE1" w:rsidP="00FB17B9">
      <w:pPr>
        <w:spacing w:after="240"/>
      </w:pPr>
      <w:r w:rsidRPr="00FB17B9">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99CE8EC" w14:textId="77777777" w:rsidR="00CA0DE1" w:rsidRPr="00FB17B9" w:rsidRDefault="00CA0DE1" w:rsidP="00FB17B9">
      <w:pPr>
        <w:spacing w:after="240"/>
      </w:pPr>
      <w:r w:rsidRPr="00FB17B9">
        <w:t xml:space="preserve">Ahora bien, por lo que hace al </w:t>
      </w:r>
      <w:r w:rsidRPr="00FB17B9">
        <w:rPr>
          <w:b/>
        </w:rPr>
        <w:t>número de serie y folio interno</w:t>
      </w:r>
      <w:r w:rsidRPr="00FB17B9">
        <w:t xml:space="preserve">, la Guía de llenado del CFDI global Versión 3.3 del CFDI, emitida por el Servicio de Administración Tributaria, prevé que es el número que utiliza el contribuyente para control interno de su información; mientras que </w:t>
      </w:r>
      <w:r w:rsidRPr="00FB17B9">
        <w:lastRenderedPageBreak/>
        <w:t>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58B76B19" w14:textId="7662596C" w:rsidR="00617A93" w:rsidRPr="00FB17B9" w:rsidRDefault="00E61D58" w:rsidP="00FB17B9">
      <w:pPr>
        <w:pStyle w:val="Ttulo3"/>
        <w:spacing w:line="360" w:lineRule="auto"/>
      </w:pPr>
      <w:bookmarkStart w:id="39" w:name="_Toc205933163"/>
      <w:r w:rsidRPr="00FB17B9">
        <w:t>e</w:t>
      </w:r>
      <w:r w:rsidR="006350FD" w:rsidRPr="00FB17B9">
        <w:t>) Conclusión</w:t>
      </w:r>
      <w:bookmarkEnd w:id="39"/>
    </w:p>
    <w:p w14:paraId="24B3258C" w14:textId="3DCBD1AC" w:rsidR="00B603C0" w:rsidRPr="00FB17B9" w:rsidRDefault="00B603C0" w:rsidP="00FB17B9">
      <w:pPr>
        <w:widowControl w:val="0"/>
        <w:tabs>
          <w:tab w:val="left" w:pos="1701"/>
          <w:tab w:val="left" w:pos="1843"/>
        </w:tabs>
        <w:spacing w:after="240"/>
      </w:pPr>
      <w:r w:rsidRPr="00FB17B9">
        <w:t xml:space="preserve">En conclusión y con base en lo anteriormente expuesto, este Instituto estima que las razones o motivos de inconformidad hechos valer por </w:t>
      </w:r>
      <w:r w:rsidRPr="00FB17B9">
        <w:rPr>
          <w:b/>
        </w:rPr>
        <w:t xml:space="preserve">LA PARTE RECURRENTE </w:t>
      </w:r>
      <w:r w:rsidRPr="00FB17B9">
        <w:t xml:space="preserve">devienen </w:t>
      </w:r>
      <w:r w:rsidRPr="00FB17B9">
        <w:rPr>
          <w:b/>
        </w:rPr>
        <w:t>fundadas</w:t>
      </w:r>
      <w:r w:rsidRPr="00FB17B9">
        <w:t xml:space="preserve"> y suficientes para </w:t>
      </w:r>
      <w:r w:rsidRPr="00FB17B9">
        <w:rPr>
          <w:b/>
        </w:rPr>
        <w:t xml:space="preserve">MODIFICAR </w:t>
      </w:r>
      <w:r w:rsidRPr="00FB17B9">
        <w:t xml:space="preserve">las respuestas del </w:t>
      </w:r>
      <w:r w:rsidRPr="00FB17B9">
        <w:rPr>
          <w:b/>
        </w:rPr>
        <w:t>SUJETO OBLIGADO</w:t>
      </w:r>
      <w:r w:rsidRPr="00FB17B9">
        <w:t xml:space="preserve"> y ordenarle la entrega de la información descrita en el presente Considerando.</w:t>
      </w:r>
    </w:p>
    <w:p w14:paraId="4ECEFEA3" w14:textId="77777777" w:rsidR="00617A93" w:rsidRPr="00FB17B9" w:rsidRDefault="006350FD" w:rsidP="00FB17B9">
      <w:pPr>
        <w:spacing w:after="240"/>
        <w:ind w:right="-93"/>
      </w:pPr>
      <w:r w:rsidRPr="00FB17B9">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6875AA" w14:textId="77777777" w:rsidR="00617A93" w:rsidRPr="00FB17B9" w:rsidRDefault="006350FD" w:rsidP="00FB17B9">
      <w:pPr>
        <w:pStyle w:val="Ttulo1"/>
        <w:spacing w:after="240"/>
      </w:pPr>
      <w:bookmarkStart w:id="40" w:name="_Toc205933164"/>
      <w:r w:rsidRPr="00FB17B9">
        <w:t>RESUELVE</w:t>
      </w:r>
      <w:bookmarkEnd w:id="40"/>
    </w:p>
    <w:p w14:paraId="0BBD8783" w14:textId="16A7F6B1" w:rsidR="00B603C0" w:rsidRPr="00FB17B9" w:rsidRDefault="00B603C0" w:rsidP="00FB17B9">
      <w:pPr>
        <w:widowControl w:val="0"/>
        <w:rPr>
          <w:rFonts w:eastAsia="Calibri" w:cs="Tahoma"/>
          <w:bCs/>
          <w:lang w:eastAsia="en-US"/>
        </w:rPr>
      </w:pPr>
      <w:r w:rsidRPr="00FB17B9">
        <w:rPr>
          <w:b/>
          <w:bCs/>
        </w:rPr>
        <w:t>PRIMERO.</w:t>
      </w:r>
      <w:r w:rsidRPr="00FB17B9">
        <w:t xml:space="preserve"> </w:t>
      </w:r>
      <w:r w:rsidRPr="00FB17B9">
        <w:rPr>
          <w:rFonts w:cs="Tahoma"/>
        </w:rPr>
        <w:t xml:space="preserve">Se </w:t>
      </w:r>
      <w:r w:rsidRPr="00FB17B9">
        <w:rPr>
          <w:rFonts w:cs="Tahoma"/>
          <w:b/>
          <w:bCs/>
        </w:rPr>
        <w:t>MODIFICAN</w:t>
      </w:r>
      <w:r w:rsidRPr="00FB17B9">
        <w:rPr>
          <w:rFonts w:cs="Tahoma"/>
        </w:rPr>
        <w:t xml:space="preserve"> las respuestas entregadas por </w:t>
      </w:r>
      <w:r w:rsidRPr="00FB17B9">
        <w:rPr>
          <w:rFonts w:cs="Tahoma"/>
          <w:b/>
        </w:rPr>
        <w:t>EL</w:t>
      </w:r>
      <w:r w:rsidRPr="00FB17B9">
        <w:rPr>
          <w:rFonts w:cs="Tahoma"/>
        </w:rPr>
        <w:t xml:space="preserve"> </w:t>
      </w:r>
      <w:r w:rsidRPr="00FB17B9">
        <w:rPr>
          <w:rFonts w:cs="Tahoma"/>
          <w:b/>
          <w:bCs/>
        </w:rPr>
        <w:t>SUJETO OBLIGADO</w:t>
      </w:r>
      <w:r w:rsidRPr="00FB17B9">
        <w:rPr>
          <w:rFonts w:cs="Tahoma"/>
        </w:rPr>
        <w:t xml:space="preserve"> en las solicitudes de información </w:t>
      </w:r>
      <w:r w:rsidR="00822F44" w:rsidRPr="00FB17B9">
        <w:rPr>
          <w:rFonts w:cs="Tahoma"/>
          <w:b/>
          <w:bCs/>
        </w:rPr>
        <w:t>00019/TEXCALYA/IP/2025</w:t>
      </w:r>
      <w:r w:rsidRPr="00FB17B9">
        <w:rPr>
          <w:rFonts w:cs="Tahoma"/>
          <w:b/>
          <w:bCs/>
        </w:rPr>
        <w:t xml:space="preserve"> y </w:t>
      </w:r>
      <w:r w:rsidR="00822F44" w:rsidRPr="00FB17B9">
        <w:rPr>
          <w:rFonts w:cs="Tahoma"/>
          <w:b/>
          <w:bCs/>
        </w:rPr>
        <w:t>00018/TEXCALYA/IP/2025</w:t>
      </w:r>
      <w:r w:rsidRPr="00FB17B9">
        <w:rPr>
          <w:rFonts w:cs="Tahoma"/>
          <w:bCs/>
        </w:rPr>
        <w:t xml:space="preserve">, </w:t>
      </w:r>
      <w:r w:rsidRPr="00FB17B9">
        <w:rPr>
          <w:rFonts w:eastAsia="Calibri" w:cs="Tahoma"/>
          <w:bCs/>
          <w:lang w:eastAsia="en-US"/>
        </w:rPr>
        <w:t xml:space="preserve">por resultar </w:t>
      </w:r>
      <w:r w:rsidRPr="00FB17B9">
        <w:rPr>
          <w:rFonts w:eastAsia="Calibri" w:cs="Tahoma"/>
          <w:b/>
          <w:bCs/>
          <w:lang w:eastAsia="en-US"/>
        </w:rPr>
        <w:t>FUNDADAS</w:t>
      </w:r>
      <w:r w:rsidRPr="00FB17B9">
        <w:rPr>
          <w:rFonts w:eastAsia="Calibri" w:cs="Tahoma"/>
          <w:bCs/>
          <w:lang w:eastAsia="en-US"/>
        </w:rPr>
        <w:t xml:space="preserve"> las razones o motivos de inconformidad hechos valer por </w:t>
      </w:r>
      <w:r w:rsidRPr="00FB17B9">
        <w:rPr>
          <w:rFonts w:eastAsia="Calibri" w:cs="Tahoma"/>
          <w:b/>
          <w:lang w:eastAsia="en-US"/>
        </w:rPr>
        <w:t>LA PARTE RECURRENTE</w:t>
      </w:r>
      <w:r w:rsidRPr="00FB17B9">
        <w:rPr>
          <w:rFonts w:eastAsia="Calibri" w:cs="Tahoma"/>
          <w:bCs/>
          <w:lang w:eastAsia="en-US"/>
        </w:rPr>
        <w:t xml:space="preserve"> en los Recursos de Revisión </w:t>
      </w:r>
      <w:r w:rsidR="00822F44" w:rsidRPr="00FB17B9">
        <w:rPr>
          <w:rFonts w:eastAsia="Calibri"/>
          <w:b/>
          <w:lang w:eastAsia="en-US"/>
        </w:rPr>
        <w:t>034</w:t>
      </w:r>
      <w:r w:rsidRPr="00FB17B9">
        <w:rPr>
          <w:rFonts w:eastAsia="Calibri"/>
          <w:b/>
          <w:lang w:eastAsia="en-US"/>
        </w:rPr>
        <w:t>92/INFOEM/IP/RR/2025 y 0</w:t>
      </w:r>
      <w:r w:rsidR="00822F44" w:rsidRPr="00FB17B9">
        <w:rPr>
          <w:rFonts w:eastAsia="Calibri"/>
          <w:b/>
          <w:lang w:eastAsia="en-US"/>
        </w:rPr>
        <w:t>34</w:t>
      </w:r>
      <w:r w:rsidRPr="00FB17B9">
        <w:rPr>
          <w:rFonts w:eastAsia="Calibri"/>
          <w:b/>
          <w:lang w:eastAsia="en-US"/>
        </w:rPr>
        <w:t>9</w:t>
      </w:r>
      <w:r w:rsidR="00822F44" w:rsidRPr="00FB17B9">
        <w:rPr>
          <w:rFonts w:eastAsia="Calibri"/>
          <w:b/>
          <w:lang w:eastAsia="en-US"/>
        </w:rPr>
        <w:t>3</w:t>
      </w:r>
      <w:r w:rsidRPr="00FB17B9">
        <w:rPr>
          <w:rFonts w:eastAsia="Calibri"/>
          <w:b/>
          <w:lang w:eastAsia="en-US"/>
        </w:rPr>
        <w:t>/INFOEM/IP/RR/2025,</w:t>
      </w:r>
      <w:r w:rsidRPr="00FB17B9">
        <w:rPr>
          <w:rFonts w:cs="Tahoma"/>
          <w:b/>
        </w:rPr>
        <w:t xml:space="preserve"> </w:t>
      </w:r>
      <w:r w:rsidRPr="00FB17B9">
        <w:rPr>
          <w:rFonts w:eastAsia="Calibri" w:cs="Tahoma"/>
          <w:bCs/>
          <w:lang w:eastAsia="en-US"/>
        </w:rPr>
        <w:t xml:space="preserve">en términos del considerando </w:t>
      </w:r>
      <w:r w:rsidRPr="00FB17B9">
        <w:rPr>
          <w:rFonts w:eastAsia="Calibri" w:cs="Tahoma"/>
          <w:b/>
          <w:lang w:eastAsia="en-US"/>
        </w:rPr>
        <w:t>SEGUNDO</w:t>
      </w:r>
      <w:r w:rsidRPr="00FB17B9">
        <w:rPr>
          <w:rFonts w:eastAsia="Calibri" w:cs="Tahoma"/>
          <w:bCs/>
          <w:lang w:eastAsia="en-US"/>
        </w:rPr>
        <w:t xml:space="preserve"> de la presente Resolución.</w:t>
      </w:r>
    </w:p>
    <w:p w14:paraId="7CA4F2D8" w14:textId="77777777" w:rsidR="00617A93" w:rsidRPr="00FB17B9" w:rsidRDefault="00617A93" w:rsidP="00FB17B9">
      <w:pPr>
        <w:widowControl w:val="0"/>
      </w:pPr>
    </w:p>
    <w:p w14:paraId="3C33B500" w14:textId="1C25ACFA" w:rsidR="00C71D39" w:rsidRPr="00FB17B9" w:rsidRDefault="00C71D39" w:rsidP="00FB17B9">
      <w:pPr>
        <w:ind w:right="-93"/>
        <w:rPr>
          <w:rFonts w:eastAsia="Calibri" w:cs="Tahoma"/>
          <w:bCs/>
          <w:lang w:eastAsia="en-US"/>
        </w:rPr>
      </w:pPr>
      <w:r w:rsidRPr="00FB17B9">
        <w:rPr>
          <w:rFonts w:eastAsia="Calibri" w:cs="Tahoma"/>
          <w:b/>
          <w:bCs/>
          <w:lang w:eastAsia="en-US"/>
        </w:rPr>
        <w:lastRenderedPageBreak/>
        <w:t>SEGUNDO.</w:t>
      </w:r>
      <w:r w:rsidRPr="00FB17B9">
        <w:rPr>
          <w:rFonts w:eastAsia="Calibri" w:cs="Tahoma"/>
        </w:rPr>
        <w:t xml:space="preserve"> Se </w:t>
      </w:r>
      <w:r w:rsidRPr="00FB17B9">
        <w:rPr>
          <w:rFonts w:eastAsia="Calibri" w:cs="Tahoma"/>
          <w:b/>
        </w:rPr>
        <w:t xml:space="preserve">ORDENA </w:t>
      </w:r>
      <w:r w:rsidRPr="00FB17B9">
        <w:rPr>
          <w:rFonts w:eastAsia="Calibri" w:cs="Tahoma"/>
        </w:rPr>
        <w:t xml:space="preserve">al </w:t>
      </w:r>
      <w:r w:rsidRPr="00FB17B9">
        <w:rPr>
          <w:rFonts w:eastAsia="Calibri" w:cs="Tahoma"/>
          <w:b/>
          <w:bCs/>
        </w:rPr>
        <w:t>SUJETO OBLIGADO</w:t>
      </w:r>
      <w:r w:rsidR="00822F44" w:rsidRPr="00FB17B9">
        <w:rPr>
          <w:rFonts w:eastAsia="Calibri" w:cs="Tahoma"/>
        </w:rPr>
        <w:t>, a efecto de qu</w:t>
      </w:r>
      <w:r w:rsidRPr="00FB17B9">
        <w:rPr>
          <w:rFonts w:eastAsia="Calibri" w:cs="Tahoma"/>
        </w:rPr>
        <w:t xml:space="preserve">e </w:t>
      </w:r>
      <w:r w:rsidRPr="00FB17B9">
        <w:rPr>
          <w:rFonts w:eastAsia="Calibri" w:cs="Tahoma"/>
          <w:bCs/>
          <w:lang w:eastAsia="en-US"/>
        </w:rPr>
        <w:t xml:space="preserve">entregue a través del </w:t>
      </w:r>
      <w:r w:rsidRPr="00FB17B9">
        <w:rPr>
          <w:rFonts w:eastAsia="Calibri" w:cs="Tahoma"/>
          <w:b/>
          <w:bCs/>
          <w:lang w:eastAsia="en-US"/>
        </w:rPr>
        <w:t>SAIMEX</w:t>
      </w:r>
      <w:r w:rsidRPr="00FB17B9">
        <w:rPr>
          <w:rFonts w:eastAsia="Calibri" w:cs="Tahoma"/>
          <w:bCs/>
          <w:lang w:eastAsia="en-US"/>
        </w:rPr>
        <w:t xml:space="preserve">, </w:t>
      </w:r>
      <w:r w:rsidR="003213C5" w:rsidRPr="00FB17B9">
        <w:rPr>
          <w:rFonts w:eastAsia="Calibri" w:cs="Tahoma"/>
          <w:bCs/>
          <w:lang w:eastAsia="en-US"/>
        </w:rPr>
        <w:t xml:space="preserve">de ser procedente en </w:t>
      </w:r>
      <w:r w:rsidR="003213C5" w:rsidRPr="00FB17B9">
        <w:rPr>
          <w:rFonts w:eastAsia="Calibri" w:cs="Tahoma"/>
          <w:b/>
          <w:bCs/>
          <w:lang w:eastAsia="en-US"/>
        </w:rPr>
        <w:t xml:space="preserve">versión púbica </w:t>
      </w:r>
      <w:r w:rsidRPr="00FB17B9">
        <w:rPr>
          <w:rFonts w:eastAsia="Calibri" w:cs="Tahoma"/>
          <w:bCs/>
          <w:lang w:eastAsia="en-US"/>
        </w:rPr>
        <w:t>lo siguiente:</w:t>
      </w:r>
    </w:p>
    <w:p w14:paraId="795DAF21" w14:textId="77777777" w:rsidR="005D65B0" w:rsidRPr="00FB17B9" w:rsidRDefault="005D65B0" w:rsidP="00FB17B9">
      <w:pPr>
        <w:ind w:right="-93"/>
        <w:rPr>
          <w:rFonts w:eastAsia="Calibri" w:cs="Tahoma"/>
          <w:bCs/>
          <w:lang w:eastAsia="en-US"/>
        </w:rPr>
      </w:pPr>
    </w:p>
    <w:p w14:paraId="27E5E7E4" w14:textId="34FC51C8" w:rsidR="00B77812" w:rsidRPr="00FB17B9" w:rsidRDefault="00B77812" w:rsidP="00FB17B9">
      <w:pPr>
        <w:spacing w:line="240" w:lineRule="auto"/>
        <w:ind w:left="851" w:right="822"/>
        <w:rPr>
          <w:rFonts w:eastAsia="Calibri" w:cs="Tahoma"/>
          <w:i/>
          <w:iCs/>
          <w:lang w:eastAsia="es-ES_tradnl"/>
        </w:rPr>
      </w:pPr>
      <w:r w:rsidRPr="00FB17B9">
        <w:rPr>
          <w:rFonts w:eastAsia="Calibri" w:cs="Tahoma"/>
          <w:b/>
          <w:i/>
          <w:iCs/>
          <w:lang w:eastAsia="es-ES_tradnl"/>
        </w:rPr>
        <w:t>1.-</w:t>
      </w:r>
      <w:r w:rsidRPr="00FB17B9">
        <w:rPr>
          <w:rFonts w:eastAsia="Calibri" w:cs="Tahoma"/>
          <w:i/>
          <w:iCs/>
          <w:lang w:eastAsia="es-ES_tradnl"/>
        </w:rPr>
        <w:t xml:space="preserve"> </w:t>
      </w:r>
      <w:r w:rsidR="005E0FA8" w:rsidRPr="00FB17B9">
        <w:rPr>
          <w:rFonts w:eastAsia="Calibri" w:cs="Tahoma"/>
          <w:i/>
          <w:iCs/>
          <w:lang w:eastAsia="es-ES_tradnl"/>
        </w:rPr>
        <w:t xml:space="preserve">El </w:t>
      </w:r>
      <w:r w:rsidR="00822F44" w:rsidRPr="00FB17B9">
        <w:rPr>
          <w:rFonts w:eastAsia="Calibri" w:cs="Tahoma"/>
          <w:i/>
          <w:iCs/>
          <w:lang w:eastAsia="es-ES_tradnl"/>
        </w:rPr>
        <w:t xml:space="preserve">recibo de nómina </w:t>
      </w:r>
      <w:r w:rsidR="003213C5" w:rsidRPr="00FB17B9">
        <w:rPr>
          <w:rFonts w:eastAsia="Calibri" w:cs="Tahoma"/>
          <w:i/>
          <w:iCs/>
          <w:lang w:eastAsia="es-ES_tradnl"/>
        </w:rPr>
        <w:t xml:space="preserve">de la titular de la Secretaría Particular, </w:t>
      </w:r>
      <w:r w:rsidR="00822F44" w:rsidRPr="00FB17B9">
        <w:rPr>
          <w:rFonts w:eastAsia="Calibri" w:cs="Tahoma"/>
          <w:i/>
          <w:iCs/>
          <w:lang w:eastAsia="es-ES_tradnl"/>
        </w:rPr>
        <w:t xml:space="preserve">remitidos </w:t>
      </w:r>
      <w:r w:rsidR="003213C5" w:rsidRPr="00FB17B9">
        <w:rPr>
          <w:rFonts w:eastAsia="Calibri" w:cs="Tahoma"/>
          <w:i/>
          <w:iCs/>
          <w:lang w:eastAsia="es-ES_tradnl"/>
        </w:rPr>
        <w:t xml:space="preserve">en </w:t>
      </w:r>
      <w:r w:rsidR="00822F44" w:rsidRPr="00FB17B9">
        <w:rPr>
          <w:rFonts w:eastAsia="Calibri" w:cs="Tahoma"/>
          <w:i/>
          <w:iCs/>
          <w:lang w:eastAsia="es-ES_tradnl"/>
        </w:rPr>
        <w:t xml:space="preserve">informe justificado </w:t>
      </w:r>
      <w:r w:rsidR="00822F44" w:rsidRPr="00FB17B9">
        <w:rPr>
          <w:rFonts w:eastAsia="Calibri" w:cs="Tahoma"/>
          <w:b/>
          <w:i/>
          <w:iCs/>
          <w:lang w:eastAsia="es-ES_tradnl"/>
        </w:rPr>
        <w:t>en correcta versión pública</w:t>
      </w:r>
      <w:r w:rsidR="00761B70" w:rsidRPr="00FB17B9">
        <w:rPr>
          <w:rFonts w:eastAsia="Calibri" w:cs="Tahoma"/>
          <w:i/>
          <w:iCs/>
          <w:lang w:eastAsia="es-ES_tradnl"/>
        </w:rPr>
        <w:t xml:space="preserve"> correspondiente a la primera quincena de enero de </w:t>
      </w:r>
      <w:r w:rsidR="003213C5" w:rsidRPr="00FB17B9">
        <w:rPr>
          <w:rFonts w:eastAsia="Calibri" w:cs="Tahoma"/>
          <w:i/>
          <w:iCs/>
          <w:lang w:eastAsia="es-ES_tradnl"/>
        </w:rPr>
        <w:t>2025</w:t>
      </w:r>
      <w:r w:rsidR="00822F44" w:rsidRPr="00FB17B9">
        <w:rPr>
          <w:rFonts w:eastAsia="Calibri" w:cs="Tahoma"/>
          <w:i/>
          <w:iCs/>
          <w:lang w:eastAsia="es-ES_tradnl"/>
        </w:rPr>
        <w:t>.</w:t>
      </w:r>
    </w:p>
    <w:p w14:paraId="2FB91B3C" w14:textId="4A06CE44" w:rsidR="00B77812" w:rsidRPr="00FB17B9" w:rsidRDefault="003213C5" w:rsidP="00FB17B9">
      <w:pPr>
        <w:spacing w:line="240" w:lineRule="auto"/>
        <w:ind w:left="851" w:right="822"/>
        <w:rPr>
          <w:rFonts w:eastAsia="Calibri" w:cs="Tahoma"/>
          <w:i/>
          <w:iCs/>
          <w:lang w:eastAsia="es-ES_tradnl"/>
        </w:rPr>
      </w:pPr>
      <w:r w:rsidRPr="00FB17B9">
        <w:rPr>
          <w:rFonts w:eastAsia="Calibri" w:cs="Tahoma"/>
          <w:b/>
          <w:i/>
          <w:iCs/>
          <w:lang w:eastAsia="es-ES_tradnl"/>
        </w:rPr>
        <w:t>2</w:t>
      </w:r>
      <w:r w:rsidR="00B77812" w:rsidRPr="00FB17B9">
        <w:rPr>
          <w:rFonts w:eastAsia="Calibri" w:cs="Tahoma"/>
          <w:b/>
          <w:i/>
          <w:iCs/>
          <w:lang w:eastAsia="es-ES_tradnl"/>
        </w:rPr>
        <w:t>.-</w:t>
      </w:r>
      <w:r w:rsidR="00B77812" w:rsidRPr="00FB17B9">
        <w:rPr>
          <w:rFonts w:eastAsia="Calibri" w:cs="Tahoma"/>
          <w:i/>
          <w:iCs/>
          <w:lang w:eastAsia="es-ES_tradnl"/>
        </w:rPr>
        <w:t xml:space="preserve"> </w:t>
      </w:r>
      <w:r w:rsidR="00822F44" w:rsidRPr="00FB17B9">
        <w:rPr>
          <w:rFonts w:eastAsia="Calibri" w:cs="Tahoma"/>
          <w:i/>
          <w:iCs/>
          <w:lang w:eastAsia="es-ES_tradnl"/>
        </w:rPr>
        <w:t>Los recibos de nómina del Tesorero Municipal correspondientes a la primera y segunda quincenas de enero 2025</w:t>
      </w:r>
      <w:r w:rsidR="00B77812" w:rsidRPr="00FB17B9">
        <w:rPr>
          <w:rFonts w:eastAsia="Calibri" w:cs="Tahoma"/>
          <w:i/>
          <w:iCs/>
          <w:lang w:eastAsia="es-ES_tradnl"/>
        </w:rPr>
        <w:t>.</w:t>
      </w:r>
    </w:p>
    <w:p w14:paraId="4B5DB22D" w14:textId="0223E112" w:rsidR="00822F44" w:rsidRPr="00FB17B9" w:rsidRDefault="003213C5" w:rsidP="00FB17B9">
      <w:pPr>
        <w:spacing w:line="240" w:lineRule="auto"/>
        <w:ind w:left="851" w:right="822"/>
        <w:rPr>
          <w:rFonts w:eastAsia="Calibri" w:cs="Tahoma"/>
          <w:b/>
          <w:i/>
          <w:iCs/>
          <w:lang w:eastAsia="es-ES_tradnl"/>
        </w:rPr>
      </w:pPr>
      <w:r w:rsidRPr="00FB17B9">
        <w:rPr>
          <w:rFonts w:eastAsia="Calibri" w:cs="Tahoma"/>
          <w:b/>
          <w:i/>
          <w:iCs/>
          <w:lang w:eastAsia="es-ES_tradnl"/>
        </w:rPr>
        <w:t>3</w:t>
      </w:r>
      <w:r w:rsidR="00822F44" w:rsidRPr="00FB17B9">
        <w:rPr>
          <w:rFonts w:eastAsia="Calibri" w:cs="Tahoma"/>
          <w:b/>
          <w:i/>
          <w:iCs/>
          <w:lang w:eastAsia="es-ES_tradnl"/>
        </w:rPr>
        <w:t>.-</w:t>
      </w:r>
      <w:r w:rsidR="00822F44" w:rsidRPr="00FB17B9">
        <w:rPr>
          <w:rFonts w:eastAsia="Calibri" w:cs="Tahoma"/>
          <w:i/>
          <w:iCs/>
          <w:lang w:eastAsia="es-ES_tradnl"/>
        </w:rPr>
        <w:t xml:space="preserve"> El o los documentos donde conste la experiencia laboral del Tesorero Municipal</w:t>
      </w:r>
      <w:r w:rsidR="00822F44" w:rsidRPr="00FB17B9">
        <w:rPr>
          <w:rFonts w:eastAsia="Calibri" w:cs="Tahoma"/>
          <w:b/>
          <w:i/>
          <w:iCs/>
          <w:lang w:eastAsia="es-ES_tradnl"/>
        </w:rPr>
        <w:t>.</w:t>
      </w:r>
    </w:p>
    <w:p w14:paraId="4EE9A535" w14:textId="77777777" w:rsidR="00C71D39" w:rsidRPr="00FB17B9" w:rsidRDefault="00C71D39" w:rsidP="00FB17B9">
      <w:pPr>
        <w:pStyle w:val="Prrafodelista"/>
        <w:tabs>
          <w:tab w:val="left" w:pos="4962"/>
        </w:tabs>
        <w:spacing w:line="240" w:lineRule="auto"/>
        <w:ind w:left="709" w:right="1106"/>
        <w:rPr>
          <w:rFonts w:eastAsia="Calibri" w:cs="Tahoma"/>
          <w:b/>
          <w:i/>
          <w:iCs/>
          <w:lang w:eastAsia="es-ES_tradnl"/>
        </w:rPr>
      </w:pPr>
    </w:p>
    <w:p w14:paraId="7473B007" w14:textId="77777777" w:rsidR="00C71D39" w:rsidRPr="00FB17B9" w:rsidRDefault="00C71D39" w:rsidP="00FB17B9">
      <w:r w:rsidRPr="00FB17B9">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391CB62" w14:textId="77777777" w:rsidR="003213C5" w:rsidRPr="00FB17B9" w:rsidRDefault="003213C5" w:rsidP="00FB17B9"/>
    <w:p w14:paraId="1534EB37" w14:textId="5707319A" w:rsidR="00C71D39" w:rsidRPr="00FB17B9" w:rsidRDefault="003213C5" w:rsidP="00FB17B9">
      <w:pPr>
        <w:spacing w:line="240" w:lineRule="auto"/>
        <w:ind w:left="709" w:right="1106"/>
        <w:rPr>
          <w:rFonts w:eastAsia="Calibri" w:cs="Tahoma"/>
          <w:i/>
          <w:iCs/>
          <w:lang w:eastAsia="es-ES_tradnl"/>
        </w:rPr>
      </w:pPr>
      <w:r w:rsidRPr="00FB17B9">
        <w:rPr>
          <w:rFonts w:eastAsia="Calibri" w:cs="Tahoma"/>
          <w:b/>
          <w:i/>
          <w:iCs/>
          <w:lang w:eastAsia="es-ES_tradnl"/>
        </w:rPr>
        <w:t>4.-</w:t>
      </w:r>
      <w:r w:rsidRPr="00FB17B9">
        <w:rPr>
          <w:rFonts w:eastAsia="Calibri" w:cs="Tahoma"/>
          <w:i/>
          <w:iCs/>
          <w:lang w:eastAsia="es-ES_tradnl"/>
        </w:rPr>
        <w:t xml:space="preserve"> El acuerdo que sustente la versión pública de los recibos de nómina de la titular de la Secretaría Particular, remitidos en informe justificado, correspondiente a la segunda quincena de enero de 2025. </w:t>
      </w:r>
    </w:p>
    <w:p w14:paraId="21AEA237" w14:textId="77777777" w:rsidR="003213C5" w:rsidRPr="00FB17B9" w:rsidRDefault="003213C5" w:rsidP="00FB17B9">
      <w:pPr>
        <w:spacing w:line="240" w:lineRule="auto"/>
        <w:ind w:left="709" w:right="1106"/>
        <w:rPr>
          <w:rFonts w:eastAsia="Calibri" w:cs="Tahoma"/>
          <w:bCs/>
          <w:i/>
          <w:iCs/>
          <w:lang w:eastAsia="en-US"/>
        </w:rPr>
      </w:pPr>
    </w:p>
    <w:p w14:paraId="243E56F4" w14:textId="21220817" w:rsidR="0046610D" w:rsidRPr="00FB17B9" w:rsidRDefault="0046610D" w:rsidP="00FB17B9">
      <w:r w:rsidRPr="00FB17B9">
        <w:rPr>
          <w:b/>
          <w:bCs/>
        </w:rPr>
        <w:t>TERCERO</w:t>
      </w:r>
      <w:r w:rsidRPr="00FB17B9">
        <w:rPr>
          <w:rFonts w:eastAsia="Calibri" w:cs="Tahoma"/>
          <w:b/>
          <w:bCs/>
          <w:lang w:eastAsia="en-US"/>
        </w:rPr>
        <w:t>.</w:t>
      </w:r>
      <w:r w:rsidRPr="00FB17B9">
        <w:rPr>
          <w:rFonts w:eastAsia="Calibri" w:cs="Tahoma"/>
        </w:rPr>
        <w:t xml:space="preserve"> </w:t>
      </w:r>
      <w:r w:rsidRPr="00FB17B9">
        <w:rPr>
          <w:b/>
        </w:rPr>
        <w:t xml:space="preserve">Notifíquese </w:t>
      </w:r>
      <w:r w:rsidRPr="00FB17B9">
        <w:t xml:space="preserve">vía Sistema de Acceso a la Información Mexiquense </w:t>
      </w:r>
      <w:r w:rsidRPr="00FB17B9">
        <w:rPr>
          <w:b/>
        </w:rPr>
        <w:t>(SAIMEX)</w:t>
      </w:r>
      <w:r w:rsidRPr="00FB17B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1F32A1" w14:textId="069A9D65" w:rsidR="00617A93" w:rsidRPr="00FB17B9" w:rsidRDefault="00617A93" w:rsidP="00FB17B9"/>
    <w:p w14:paraId="3E6B35BE" w14:textId="10E4E888" w:rsidR="0046610D" w:rsidRPr="00FB17B9" w:rsidRDefault="00B77812" w:rsidP="00FB17B9">
      <w:pPr>
        <w:rPr>
          <w:b/>
        </w:rPr>
      </w:pPr>
      <w:r w:rsidRPr="00FB17B9">
        <w:rPr>
          <w:b/>
          <w:bCs/>
        </w:rPr>
        <w:lastRenderedPageBreak/>
        <w:t>CUAR</w:t>
      </w:r>
      <w:r w:rsidR="0046610D" w:rsidRPr="00FB17B9">
        <w:rPr>
          <w:b/>
          <w:bCs/>
        </w:rPr>
        <w:t>TO.</w:t>
      </w:r>
      <w:r w:rsidR="0046610D" w:rsidRPr="00FB17B9">
        <w:t xml:space="preserve"> Notifíquese a </w:t>
      </w:r>
      <w:r w:rsidR="0046610D" w:rsidRPr="00FB17B9">
        <w:rPr>
          <w:b/>
          <w:bCs/>
        </w:rPr>
        <w:t>LA PARTE RECURRENTE</w:t>
      </w:r>
      <w:r w:rsidR="0046610D" w:rsidRPr="00FB17B9">
        <w:t xml:space="preserve"> la presente resolución vía Sistema de Acceso a la Información Mexiquense </w:t>
      </w:r>
      <w:r w:rsidR="0046610D" w:rsidRPr="00FB17B9">
        <w:rPr>
          <w:b/>
        </w:rPr>
        <w:t>(SAIMEX).</w:t>
      </w:r>
    </w:p>
    <w:p w14:paraId="242DCC88" w14:textId="77777777" w:rsidR="00C22C53" w:rsidRPr="00FB17B9" w:rsidRDefault="00C22C53" w:rsidP="00FB17B9">
      <w:pPr>
        <w:rPr>
          <w:b/>
        </w:rPr>
      </w:pPr>
    </w:p>
    <w:p w14:paraId="4B8B3AE9" w14:textId="03934203" w:rsidR="0046610D" w:rsidRPr="00FB17B9" w:rsidRDefault="00B77812" w:rsidP="00FB17B9">
      <w:r w:rsidRPr="00FB17B9">
        <w:rPr>
          <w:b/>
          <w:bCs/>
        </w:rPr>
        <w:t>QUINT</w:t>
      </w:r>
      <w:r w:rsidR="0046610D" w:rsidRPr="00FB17B9">
        <w:rPr>
          <w:b/>
          <w:bCs/>
        </w:rPr>
        <w:t>O</w:t>
      </w:r>
      <w:r w:rsidR="0046610D" w:rsidRPr="00FB17B9">
        <w:t xml:space="preserve">. Hágase del conocimiento a </w:t>
      </w:r>
      <w:r w:rsidR="0046610D" w:rsidRPr="00FB17B9">
        <w:rPr>
          <w:b/>
          <w:bCs/>
        </w:rPr>
        <w:t>LA PARTE RECURRENTE</w:t>
      </w:r>
      <w:r w:rsidR="0046610D" w:rsidRPr="00FB17B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5FD0CA" w14:textId="77777777" w:rsidR="0046610D" w:rsidRPr="00FB17B9" w:rsidRDefault="0046610D" w:rsidP="00FB17B9"/>
    <w:p w14:paraId="71D9AE8B" w14:textId="37A92309" w:rsidR="0046610D" w:rsidRPr="00FB17B9" w:rsidRDefault="00B77812" w:rsidP="00FB17B9">
      <w:r w:rsidRPr="00FB17B9">
        <w:rPr>
          <w:b/>
          <w:bCs/>
        </w:rPr>
        <w:t>SEXT</w:t>
      </w:r>
      <w:r w:rsidR="0046610D" w:rsidRPr="00FB17B9">
        <w:rPr>
          <w:b/>
          <w:bCs/>
        </w:rPr>
        <w:t>O.</w:t>
      </w:r>
      <w:r w:rsidR="0046610D" w:rsidRPr="00FB17B9">
        <w:t xml:space="preserve"> De conformidad con el artículo 198 de la Ley de Transparencia y Acceso a la Información Pública del Estado de México y Municipios, el </w:t>
      </w:r>
      <w:r w:rsidR="0046610D" w:rsidRPr="00FB17B9">
        <w:rPr>
          <w:b/>
          <w:bCs/>
        </w:rPr>
        <w:t>SUJETO OBLIGADO</w:t>
      </w:r>
      <w:r w:rsidR="0046610D" w:rsidRPr="00FB17B9">
        <w:t xml:space="preserve"> podrá solicitar una ampliación de plazo de manera fundada y motivada, para el cumplimiento de la presente resolución.</w:t>
      </w:r>
    </w:p>
    <w:p w14:paraId="729DAF33" w14:textId="77777777" w:rsidR="00F44A35" w:rsidRPr="00FB17B9" w:rsidRDefault="00F44A35" w:rsidP="00FB17B9"/>
    <w:p w14:paraId="3C4491C9" w14:textId="77777777" w:rsidR="005D65B0" w:rsidRPr="00FB17B9" w:rsidRDefault="005D65B0" w:rsidP="00FB17B9">
      <w:pPr>
        <w:ind w:right="-93"/>
      </w:pPr>
      <w:r w:rsidRPr="00FB17B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061D1CCB" w14:textId="57ABCBDC" w:rsidR="00B55BDE" w:rsidRPr="00FB17B9" w:rsidRDefault="006350FD" w:rsidP="00FB17B9">
      <w:pPr>
        <w:rPr>
          <w:sz w:val="20"/>
          <w:szCs w:val="20"/>
        </w:rPr>
      </w:pPr>
      <w:r w:rsidRPr="00FB17B9">
        <w:rPr>
          <w:sz w:val="20"/>
          <w:szCs w:val="20"/>
        </w:rPr>
        <w:t>SCMM/AGZ/DEMF/CMP</w:t>
      </w:r>
    </w:p>
    <w:p w14:paraId="74B8915C" w14:textId="77777777" w:rsidR="00B55BDE" w:rsidRPr="00FB17B9" w:rsidRDefault="00B55BDE" w:rsidP="00FB17B9">
      <w:pPr>
        <w:rPr>
          <w:sz w:val="20"/>
          <w:szCs w:val="20"/>
        </w:rPr>
      </w:pPr>
      <w:r w:rsidRPr="00FB17B9">
        <w:rPr>
          <w:sz w:val="20"/>
          <w:szCs w:val="20"/>
        </w:rPr>
        <w:br w:type="page"/>
      </w:r>
    </w:p>
    <w:p w14:paraId="229C0D02" w14:textId="77777777" w:rsidR="00617A93" w:rsidRPr="00FB17B9" w:rsidRDefault="00617A93" w:rsidP="00FB17B9">
      <w:pPr>
        <w:rPr>
          <w:sz w:val="20"/>
          <w:szCs w:val="20"/>
        </w:rPr>
      </w:pPr>
    </w:p>
    <w:p w14:paraId="25E64AA0" w14:textId="77777777" w:rsidR="00617A93" w:rsidRPr="00FB17B9" w:rsidRDefault="00617A93" w:rsidP="00FB17B9"/>
    <w:p w14:paraId="0EC9A7EA" w14:textId="77777777" w:rsidR="00617A93" w:rsidRPr="00FB17B9" w:rsidRDefault="00617A93" w:rsidP="00FB17B9">
      <w:pPr>
        <w:ind w:right="-93"/>
      </w:pPr>
    </w:p>
    <w:p w14:paraId="693B70A5" w14:textId="77777777" w:rsidR="00617A93" w:rsidRPr="00FB17B9" w:rsidRDefault="00617A93" w:rsidP="00FB17B9">
      <w:pPr>
        <w:ind w:right="-93"/>
      </w:pPr>
    </w:p>
    <w:p w14:paraId="285D47B7" w14:textId="77777777" w:rsidR="00617A93" w:rsidRPr="00FB17B9" w:rsidRDefault="00617A93" w:rsidP="00FB17B9">
      <w:pPr>
        <w:ind w:right="-93"/>
      </w:pPr>
    </w:p>
    <w:p w14:paraId="1D950A81" w14:textId="77777777" w:rsidR="00617A93" w:rsidRPr="00FB17B9" w:rsidRDefault="00617A93" w:rsidP="00FB17B9">
      <w:pPr>
        <w:ind w:right="-93"/>
      </w:pPr>
    </w:p>
    <w:p w14:paraId="79C0B43A" w14:textId="77777777" w:rsidR="00617A93" w:rsidRPr="00FB17B9" w:rsidRDefault="00617A93" w:rsidP="00FB17B9">
      <w:pPr>
        <w:tabs>
          <w:tab w:val="center" w:pos="4568"/>
        </w:tabs>
        <w:ind w:right="-93"/>
      </w:pPr>
    </w:p>
    <w:p w14:paraId="70CF0C34" w14:textId="77777777" w:rsidR="00617A93" w:rsidRPr="00FB17B9" w:rsidRDefault="00617A93" w:rsidP="00FB17B9">
      <w:pPr>
        <w:tabs>
          <w:tab w:val="center" w:pos="4568"/>
        </w:tabs>
        <w:ind w:right="-93"/>
      </w:pPr>
    </w:p>
    <w:p w14:paraId="52141FE6" w14:textId="77777777" w:rsidR="00617A93" w:rsidRPr="00FB17B9" w:rsidRDefault="00617A93" w:rsidP="00FB17B9">
      <w:pPr>
        <w:tabs>
          <w:tab w:val="center" w:pos="4568"/>
        </w:tabs>
        <w:ind w:right="-93"/>
      </w:pPr>
    </w:p>
    <w:p w14:paraId="6918A1E1" w14:textId="77777777" w:rsidR="00617A93" w:rsidRPr="00FB17B9" w:rsidRDefault="00617A93" w:rsidP="00FB17B9">
      <w:pPr>
        <w:tabs>
          <w:tab w:val="center" w:pos="4568"/>
        </w:tabs>
        <w:ind w:right="-93"/>
      </w:pPr>
    </w:p>
    <w:p w14:paraId="71072115" w14:textId="77777777" w:rsidR="00617A93" w:rsidRPr="00FB17B9" w:rsidRDefault="00617A93" w:rsidP="00FB17B9">
      <w:pPr>
        <w:tabs>
          <w:tab w:val="center" w:pos="4568"/>
        </w:tabs>
        <w:ind w:right="-93"/>
      </w:pPr>
    </w:p>
    <w:p w14:paraId="398D157F" w14:textId="77777777" w:rsidR="00617A93" w:rsidRPr="00FB17B9" w:rsidRDefault="00617A93" w:rsidP="00FB17B9">
      <w:pPr>
        <w:tabs>
          <w:tab w:val="center" w:pos="4568"/>
        </w:tabs>
        <w:ind w:right="-93"/>
      </w:pPr>
    </w:p>
    <w:p w14:paraId="747E6E25" w14:textId="77777777" w:rsidR="00617A93" w:rsidRPr="00FB17B9" w:rsidRDefault="00617A93" w:rsidP="00FB17B9">
      <w:pPr>
        <w:tabs>
          <w:tab w:val="center" w:pos="4568"/>
        </w:tabs>
        <w:ind w:right="-93"/>
      </w:pPr>
    </w:p>
    <w:p w14:paraId="31546672" w14:textId="77777777" w:rsidR="00617A93" w:rsidRPr="00FB17B9" w:rsidRDefault="00617A93" w:rsidP="00FB17B9">
      <w:pPr>
        <w:tabs>
          <w:tab w:val="center" w:pos="4568"/>
        </w:tabs>
        <w:ind w:right="-93"/>
      </w:pPr>
    </w:p>
    <w:p w14:paraId="0DEAF790" w14:textId="77777777" w:rsidR="00617A93" w:rsidRPr="00FB17B9" w:rsidRDefault="00617A93" w:rsidP="00FB17B9">
      <w:pPr>
        <w:tabs>
          <w:tab w:val="center" w:pos="4568"/>
        </w:tabs>
        <w:ind w:right="-93"/>
      </w:pPr>
    </w:p>
    <w:p w14:paraId="0A28021E" w14:textId="77777777" w:rsidR="00617A93" w:rsidRPr="00FB17B9" w:rsidRDefault="00617A93" w:rsidP="00FB17B9">
      <w:pPr>
        <w:tabs>
          <w:tab w:val="center" w:pos="4568"/>
        </w:tabs>
        <w:ind w:right="-93"/>
      </w:pPr>
    </w:p>
    <w:p w14:paraId="3BE5F238" w14:textId="77777777" w:rsidR="00617A93" w:rsidRPr="00FB17B9" w:rsidRDefault="00617A93" w:rsidP="00FB17B9">
      <w:pPr>
        <w:tabs>
          <w:tab w:val="center" w:pos="4568"/>
        </w:tabs>
        <w:ind w:right="-93"/>
      </w:pPr>
    </w:p>
    <w:p w14:paraId="7F8A2675" w14:textId="77777777" w:rsidR="00617A93" w:rsidRPr="00FB17B9" w:rsidRDefault="00617A93" w:rsidP="00FB17B9">
      <w:pPr>
        <w:tabs>
          <w:tab w:val="center" w:pos="4568"/>
        </w:tabs>
        <w:ind w:right="-93"/>
      </w:pPr>
    </w:p>
    <w:p w14:paraId="71F247B8" w14:textId="77777777" w:rsidR="00617A93" w:rsidRPr="00FB17B9" w:rsidRDefault="00617A93" w:rsidP="00FB17B9">
      <w:pPr>
        <w:tabs>
          <w:tab w:val="center" w:pos="4568"/>
        </w:tabs>
        <w:ind w:right="-93"/>
      </w:pPr>
    </w:p>
    <w:p w14:paraId="76B6495D" w14:textId="77777777" w:rsidR="00617A93" w:rsidRPr="00FB17B9" w:rsidRDefault="00617A93" w:rsidP="00FB17B9">
      <w:pPr>
        <w:tabs>
          <w:tab w:val="center" w:pos="4568"/>
        </w:tabs>
        <w:ind w:right="-93"/>
      </w:pPr>
    </w:p>
    <w:p w14:paraId="4A2967CD" w14:textId="77777777" w:rsidR="00617A93" w:rsidRPr="00FB17B9" w:rsidRDefault="00617A93" w:rsidP="00FB17B9">
      <w:pPr>
        <w:tabs>
          <w:tab w:val="center" w:pos="4568"/>
        </w:tabs>
        <w:ind w:right="-93"/>
      </w:pPr>
    </w:p>
    <w:p w14:paraId="317FF66B" w14:textId="77777777" w:rsidR="00617A93" w:rsidRPr="00FB17B9" w:rsidRDefault="00617A93" w:rsidP="00FB17B9">
      <w:pPr>
        <w:tabs>
          <w:tab w:val="center" w:pos="4568"/>
        </w:tabs>
        <w:ind w:right="-93"/>
      </w:pPr>
    </w:p>
    <w:p w14:paraId="151D43A3" w14:textId="77777777" w:rsidR="00617A93" w:rsidRPr="00FB17B9" w:rsidRDefault="00617A93" w:rsidP="00FB17B9"/>
    <w:sectPr w:rsidR="00617A93" w:rsidRPr="00FB17B9">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617BC" w14:textId="77777777" w:rsidR="00A75D90" w:rsidRDefault="00A75D90">
      <w:pPr>
        <w:spacing w:line="240" w:lineRule="auto"/>
      </w:pPr>
      <w:r>
        <w:separator/>
      </w:r>
    </w:p>
  </w:endnote>
  <w:endnote w:type="continuationSeparator" w:id="0">
    <w:p w14:paraId="20B9D0F4" w14:textId="77777777" w:rsidR="00A75D90" w:rsidRDefault="00A75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86788" w14:textId="77777777" w:rsidR="00205D95" w:rsidRDefault="00205D95">
    <w:pPr>
      <w:tabs>
        <w:tab w:val="center" w:pos="4550"/>
        <w:tab w:val="left" w:pos="5818"/>
      </w:tabs>
      <w:ind w:right="260"/>
      <w:jc w:val="right"/>
      <w:rPr>
        <w:color w:val="071320"/>
        <w:sz w:val="24"/>
        <w:szCs w:val="24"/>
      </w:rPr>
    </w:pPr>
  </w:p>
  <w:p w14:paraId="07F89491" w14:textId="77777777" w:rsidR="00205D95" w:rsidRDefault="00205D9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7E26" w14:textId="4AFF8C68" w:rsidR="00205D95" w:rsidRDefault="00205D95">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ED0077">
      <w:rPr>
        <w:noProof/>
        <w:sz w:val="24"/>
        <w:szCs w:val="24"/>
      </w:rPr>
      <w:t>45</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ED0077">
      <w:rPr>
        <w:noProof/>
        <w:sz w:val="24"/>
        <w:szCs w:val="24"/>
      </w:rPr>
      <w:t>49</w:t>
    </w:r>
    <w:r>
      <w:rPr>
        <w:sz w:val="24"/>
        <w:szCs w:val="24"/>
      </w:rPr>
      <w:fldChar w:fldCharType="end"/>
    </w:r>
  </w:p>
  <w:p w14:paraId="314B61C1" w14:textId="77777777" w:rsidR="00205D95" w:rsidRDefault="00205D9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0BE74" w14:textId="77777777" w:rsidR="00A75D90" w:rsidRDefault="00A75D90">
      <w:pPr>
        <w:spacing w:line="240" w:lineRule="auto"/>
      </w:pPr>
      <w:r>
        <w:separator/>
      </w:r>
    </w:p>
  </w:footnote>
  <w:footnote w:type="continuationSeparator" w:id="0">
    <w:p w14:paraId="3D4B2290" w14:textId="77777777" w:rsidR="00A75D90" w:rsidRDefault="00A75D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F358" w14:textId="77777777" w:rsidR="00205D95" w:rsidRDefault="00205D95">
    <w:pPr>
      <w:widowControl w:val="0"/>
      <w:pBdr>
        <w:top w:val="nil"/>
        <w:left w:val="nil"/>
        <w:bottom w:val="nil"/>
        <w:right w:val="nil"/>
        <w:between w:val="nil"/>
      </w:pBdr>
      <w:spacing w:line="276" w:lineRule="auto"/>
      <w:jc w:val="left"/>
      <w:rPr>
        <w:rFonts w:ascii="Aptos" w:eastAsia="Aptos" w:hAnsi="Aptos" w:cs="Aptos"/>
        <w:i/>
        <w:color w:val="000000"/>
        <w:sz w:val="20"/>
        <w:szCs w:val="20"/>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085176A" wp14:editId="3CE039BD">
          <wp:simplePos x="0" y="0"/>
          <wp:positionH relativeFrom="margin">
            <wp:posOffset>-1324609</wp:posOffset>
          </wp:positionH>
          <wp:positionV relativeFrom="margin">
            <wp:posOffset>-1800859</wp:posOffset>
          </wp:positionV>
          <wp:extent cx="8426450" cy="109728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05D95" w14:paraId="6DFB6173" w14:textId="77777777">
      <w:trPr>
        <w:trHeight w:val="144"/>
        <w:jc w:val="right"/>
      </w:trPr>
      <w:tc>
        <w:tcPr>
          <w:tcW w:w="2727" w:type="dxa"/>
        </w:tcPr>
        <w:p w14:paraId="7D9D15D6" w14:textId="77777777" w:rsidR="00205D95" w:rsidRDefault="00205D95">
          <w:pPr>
            <w:tabs>
              <w:tab w:val="right" w:pos="8838"/>
            </w:tabs>
            <w:ind w:left="-74" w:right="-105"/>
            <w:rPr>
              <w:b/>
            </w:rPr>
          </w:pPr>
          <w:r>
            <w:rPr>
              <w:b/>
            </w:rPr>
            <w:t>Recurso de Revisión:</w:t>
          </w:r>
        </w:p>
      </w:tc>
      <w:tc>
        <w:tcPr>
          <w:tcW w:w="3402" w:type="dxa"/>
        </w:tcPr>
        <w:p w14:paraId="0E5BACA8" w14:textId="56669EEB" w:rsidR="00205D95" w:rsidRDefault="00205D95" w:rsidP="003C426C">
          <w:pPr>
            <w:tabs>
              <w:tab w:val="right" w:pos="8838"/>
            </w:tabs>
            <w:ind w:left="-74" w:right="-105"/>
          </w:pPr>
          <w:r>
            <w:tab/>
          </w:r>
          <w:r w:rsidRPr="00145E5F">
            <w:t>03492/INFOEM/IP/RR/2025</w:t>
          </w:r>
          <w:r>
            <w:t xml:space="preserve"> y acumulado</w:t>
          </w:r>
        </w:p>
      </w:tc>
    </w:tr>
    <w:tr w:rsidR="00205D95" w14:paraId="0D2E4786" w14:textId="77777777">
      <w:trPr>
        <w:trHeight w:val="283"/>
        <w:jc w:val="right"/>
      </w:trPr>
      <w:tc>
        <w:tcPr>
          <w:tcW w:w="2727" w:type="dxa"/>
        </w:tcPr>
        <w:p w14:paraId="5FD6705C" w14:textId="77777777" w:rsidR="00205D95" w:rsidRDefault="00205D95">
          <w:pPr>
            <w:tabs>
              <w:tab w:val="right" w:pos="8838"/>
            </w:tabs>
            <w:ind w:left="-74" w:right="-105"/>
            <w:rPr>
              <w:b/>
            </w:rPr>
          </w:pPr>
          <w:r>
            <w:rPr>
              <w:b/>
            </w:rPr>
            <w:t>Sujeto Obligado:</w:t>
          </w:r>
        </w:p>
      </w:tc>
      <w:tc>
        <w:tcPr>
          <w:tcW w:w="3402" w:type="dxa"/>
        </w:tcPr>
        <w:p w14:paraId="40A175BA" w14:textId="42E8D61C" w:rsidR="00205D95" w:rsidRDefault="00205D95">
          <w:pPr>
            <w:tabs>
              <w:tab w:val="left" w:pos="2834"/>
              <w:tab w:val="right" w:pos="8838"/>
            </w:tabs>
            <w:ind w:left="-108" w:right="-105"/>
          </w:pPr>
          <w:r w:rsidRPr="00943DCB">
            <w:t>Ayuntamiento de Texcalyacac</w:t>
          </w:r>
        </w:p>
      </w:tc>
    </w:tr>
    <w:tr w:rsidR="00205D95" w14:paraId="076C3B24" w14:textId="77777777">
      <w:trPr>
        <w:trHeight w:val="283"/>
        <w:jc w:val="right"/>
      </w:trPr>
      <w:tc>
        <w:tcPr>
          <w:tcW w:w="2727" w:type="dxa"/>
        </w:tcPr>
        <w:p w14:paraId="437AA92F" w14:textId="77777777" w:rsidR="00205D95" w:rsidRDefault="00205D95">
          <w:pPr>
            <w:tabs>
              <w:tab w:val="right" w:pos="8838"/>
            </w:tabs>
            <w:ind w:left="-74" w:right="-105"/>
            <w:rPr>
              <w:b/>
            </w:rPr>
          </w:pPr>
          <w:r>
            <w:rPr>
              <w:b/>
            </w:rPr>
            <w:t>Comisionada Ponente:</w:t>
          </w:r>
        </w:p>
      </w:tc>
      <w:tc>
        <w:tcPr>
          <w:tcW w:w="3402" w:type="dxa"/>
        </w:tcPr>
        <w:p w14:paraId="53B9512E" w14:textId="77777777" w:rsidR="00205D95" w:rsidRDefault="00205D95">
          <w:pPr>
            <w:tabs>
              <w:tab w:val="right" w:pos="8838"/>
            </w:tabs>
            <w:ind w:left="-108" w:right="-105"/>
          </w:pPr>
          <w:r>
            <w:t>Sharon Cristina Morales Martínez</w:t>
          </w:r>
        </w:p>
      </w:tc>
    </w:tr>
  </w:tbl>
  <w:p w14:paraId="5E2576FE" w14:textId="77777777" w:rsidR="00205D95" w:rsidRDefault="00205D95">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2F924" w14:textId="77777777" w:rsidR="00205D95" w:rsidRDefault="00A75D90">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113E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41.35pt;width:663.5pt;height:12in;z-index:-251658240;mso-position-horizontal:absolute;mso-position-horizontal-relative:margin;mso-position-vertical:absolute;mso-position-vertical-relative:margin">
          <v:imagedata r:id="rId1" o:title="image1"/>
          <w10:wrap anchorx="margin" anchory="margin"/>
        </v:shape>
      </w:pict>
    </w:r>
  </w:p>
  <w:tbl>
    <w:tblPr>
      <w:tblStyle w:val="a4"/>
      <w:tblW w:w="6660" w:type="dxa"/>
      <w:tblInd w:w="2552" w:type="dxa"/>
      <w:tblLayout w:type="fixed"/>
      <w:tblLook w:val="0400" w:firstRow="0" w:lastRow="0" w:firstColumn="0" w:lastColumn="0" w:noHBand="0" w:noVBand="1"/>
    </w:tblPr>
    <w:tblGrid>
      <w:gridCol w:w="283"/>
      <w:gridCol w:w="6377"/>
    </w:tblGrid>
    <w:tr w:rsidR="00205D95" w14:paraId="5B303E83" w14:textId="77777777">
      <w:trPr>
        <w:trHeight w:val="1435"/>
      </w:trPr>
      <w:tc>
        <w:tcPr>
          <w:tcW w:w="283" w:type="dxa"/>
        </w:tcPr>
        <w:p w14:paraId="2F7CC2FB" w14:textId="77777777" w:rsidR="00205D95" w:rsidRDefault="00205D95">
          <w:pPr>
            <w:tabs>
              <w:tab w:val="right" w:pos="4273"/>
            </w:tabs>
            <w:rPr>
              <w:rFonts w:ascii="Garamond" w:eastAsia="Garamond" w:hAnsi="Garamond" w:cs="Garamond"/>
            </w:rPr>
          </w:pPr>
        </w:p>
      </w:tc>
      <w:tc>
        <w:tcPr>
          <w:tcW w:w="6378" w:type="dxa"/>
        </w:tcPr>
        <w:p w14:paraId="6050D60C" w14:textId="77777777" w:rsidR="00205D95" w:rsidRDefault="00205D95">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05D95" w14:paraId="34F3A1C2" w14:textId="77777777">
            <w:trPr>
              <w:trHeight w:val="144"/>
            </w:trPr>
            <w:tc>
              <w:tcPr>
                <w:tcW w:w="2727" w:type="dxa"/>
              </w:tcPr>
              <w:p w14:paraId="18307369" w14:textId="77777777" w:rsidR="00205D95" w:rsidRDefault="00205D95">
                <w:pPr>
                  <w:tabs>
                    <w:tab w:val="right" w:pos="8838"/>
                  </w:tabs>
                  <w:ind w:left="-74" w:right="-105"/>
                  <w:rPr>
                    <w:b/>
                  </w:rPr>
                </w:pPr>
                <w:bookmarkStart w:id="0" w:name="_heading=h.1pxezwc" w:colFirst="0" w:colLast="0"/>
                <w:bookmarkEnd w:id="0"/>
                <w:r>
                  <w:rPr>
                    <w:b/>
                  </w:rPr>
                  <w:t>Recurso de Revisión:</w:t>
                </w:r>
              </w:p>
            </w:tc>
            <w:tc>
              <w:tcPr>
                <w:tcW w:w="3402" w:type="dxa"/>
              </w:tcPr>
              <w:p w14:paraId="15C84FF3" w14:textId="246F0291" w:rsidR="00205D95" w:rsidRDefault="00205D95" w:rsidP="003C426C">
                <w:pPr>
                  <w:tabs>
                    <w:tab w:val="right" w:pos="8838"/>
                  </w:tabs>
                  <w:ind w:left="-74" w:right="-105"/>
                </w:pPr>
                <w:r>
                  <w:tab/>
                </w:r>
                <w:r w:rsidRPr="00145E5F">
                  <w:t>03492/INFOEM/IP/RR/2025</w:t>
                </w:r>
                <w:r>
                  <w:t xml:space="preserve"> y acumulado</w:t>
                </w:r>
              </w:p>
            </w:tc>
            <w:tc>
              <w:tcPr>
                <w:tcW w:w="3402" w:type="dxa"/>
              </w:tcPr>
              <w:p w14:paraId="40AFD7B9" w14:textId="77777777" w:rsidR="00205D95" w:rsidRDefault="00205D95">
                <w:pPr>
                  <w:tabs>
                    <w:tab w:val="right" w:pos="8838"/>
                  </w:tabs>
                  <w:ind w:left="-74" w:right="-105"/>
                </w:pPr>
              </w:p>
            </w:tc>
          </w:tr>
          <w:tr w:rsidR="00205D95" w14:paraId="0EC24D72" w14:textId="77777777">
            <w:trPr>
              <w:trHeight w:val="144"/>
            </w:trPr>
            <w:tc>
              <w:tcPr>
                <w:tcW w:w="2727" w:type="dxa"/>
              </w:tcPr>
              <w:p w14:paraId="0191693F" w14:textId="77777777" w:rsidR="00205D95" w:rsidRDefault="00205D95">
                <w:pPr>
                  <w:tabs>
                    <w:tab w:val="right" w:pos="8838"/>
                  </w:tabs>
                  <w:ind w:left="-74" w:right="-105"/>
                  <w:rPr>
                    <w:b/>
                  </w:rPr>
                </w:pPr>
                <w:bookmarkStart w:id="1" w:name="_heading=h.49x2ik5" w:colFirst="0" w:colLast="0"/>
                <w:bookmarkEnd w:id="1"/>
                <w:r>
                  <w:rPr>
                    <w:b/>
                  </w:rPr>
                  <w:t>Recurrente:</w:t>
                </w:r>
              </w:p>
            </w:tc>
            <w:tc>
              <w:tcPr>
                <w:tcW w:w="3402" w:type="dxa"/>
              </w:tcPr>
              <w:p w14:paraId="427F3A3A" w14:textId="56009D0F" w:rsidR="00205D95" w:rsidRDefault="00ED0077">
                <w:pPr>
                  <w:tabs>
                    <w:tab w:val="left" w:pos="3122"/>
                    <w:tab w:val="right" w:pos="8838"/>
                  </w:tabs>
                  <w:ind w:left="-105" w:right="-105"/>
                </w:pPr>
                <w:r>
                  <w:t>XXXXXX XXXXXXX XXXXXX</w:t>
                </w:r>
              </w:p>
            </w:tc>
            <w:tc>
              <w:tcPr>
                <w:tcW w:w="3402" w:type="dxa"/>
              </w:tcPr>
              <w:p w14:paraId="25E9A095" w14:textId="77777777" w:rsidR="00205D95" w:rsidRDefault="00205D95">
                <w:pPr>
                  <w:tabs>
                    <w:tab w:val="left" w:pos="3122"/>
                    <w:tab w:val="right" w:pos="8838"/>
                  </w:tabs>
                  <w:ind w:left="-105" w:right="-105"/>
                </w:pPr>
              </w:p>
            </w:tc>
          </w:tr>
          <w:tr w:rsidR="00205D95" w14:paraId="26EEDA96" w14:textId="77777777">
            <w:trPr>
              <w:trHeight w:val="283"/>
            </w:trPr>
            <w:tc>
              <w:tcPr>
                <w:tcW w:w="2727" w:type="dxa"/>
              </w:tcPr>
              <w:p w14:paraId="4F21D5AC" w14:textId="77777777" w:rsidR="00205D95" w:rsidRDefault="00205D95">
                <w:pPr>
                  <w:tabs>
                    <w:tab w:val="right" w:pos="8838"/>
                  </w:tabs>
                  <w:ind w:left="-74" w:right="-105"/>
                  <w:rPr>
                    <w:b/>
                  </w:rPr>
                </w:pPr>
                <w:r>
                  <w:rPr>
                    <w:b/>
                  </w:rPr>
                  <w:t>Sujeto Obligado:</w:t>
                </w:r>
              </w:p>
            </w:tc>
            <w:tc>
              <w:tcPr>
                <w:tcW w:w="3402" w:type="dxa"/>
              </w:tcPr>
              <w:p w14:paraId="600EF75B" w14:textId="7C0C64C7" w:rsidR="00205D95" w:rsidRDefault="00205D95">
                <w:pPr>
                  <w:tabs>
                    <w:tab w:val="left" w:pos="2834"/>
                    <w:tab w:val="right" w:pos="8838"/>
                  </w:tabs>
                  <w:ind w:left="-108" w:right="-105"/>
                </w:pPr>
                <w:r w:rsidRPr="00943DCB">
                  <w:t>Ayuntamiento de Texcalyacac</w:t>
                </w:r>
              </w:p>
            </w:tc>
            <w:tc>
              <w:tcPr>
                <w:tcW w:w="3402" w:type="dxa"/>
              </w:tcPr>
              <w:p w14:paraId="39345006" w14:textId="77777777" w:rsidR="00205D95" w:rsidRDefault="00205D95">
                <w:pPr>
                  <w:tabs>
                    <w:tab w:val="left" w:pos="2834"/>
                    <w:tab w:val="right" w:pos="8838"/>
                  </w:tabs>
                  <w:ind w:left="-108" w:right="-105"/>
                </w:pPr>
              </w:p>
            </w:tc>
          </w:tr>
          <w:tr w:rsidR="00205D95" w14:paraId="20B4C4CF" w14:textId="77777777">
            <w:trPr>
              <w:trHeight w:val="283"/>
            </w:trPr>
            <w:tc>
              <w:tcPr>
                <w:tcW w:w="2727" w:type="dxa"/>
              </w:tcPr>
              <w:p w14:paraId="34446F41" w14:textId="77777777" w:rsidR="00205D95" w:rsidRDefault="00205D95">
                <w:pPr>
                  <w:tabs>
                    <w:tab w:val="right" w:pos="8838"/>
                  </w:tabs>
                  <w:ind w:left="-74" w:right="-105"/>
                  <w:rPr>
                    <w:b/>
                  </w:rPr>
                </w:pPr>
                <w:r>
                  <w:rPr>
                    <w:b/>
                  </w:rPr>
                  <w:t>Comisionada Ponente:</w:t>
                </w:r>
              </w:p>
            </w:tc>
            <w:tc>
              <w:tcPr>
                <w:tcW w:w="3402" w:type="dxa"/>
              </w:tcPr>
              <w:p w14:paraId="406CE462" w14:textId="77777777" w:rsidR="00205D95" w:rsidRDefault="00205D95">
                <w:pPr>
                  <w:tabs>
                    <w:tab w:val="right" w:pos="8838"/>
                  </w:tabs>
                  <w:ind w:left="-108" w:right="-105"/>
                </w:pPr>
                <w:r>
                  <w:t>Sharon Cristina Morales Martínez</w:t>
                </w:r>
              </w:p>
            </w:tc>
            <w:tc>
              <w:tcPr>
                <w:tcW w:w="3402" w:type="dxa"/>
              </w:tcPr>
              <w:p w14:paraId="2C82604A" w14:textId="77777777" w:rsidR="00205D95" w:rsidRDefault="00205D95">
                <w:pPr>
                  <w:tabs>
                    <w:tab w:val="right" w:pos="8838"/>
                  </w:tabs>
                  <w:ind w:left="-108" w:right="-105"/>
                </w:pPr>
              </w:p>
            </w:tc>
          </w:tr>
        </w:tbl>
        <w:p w14:paraId="51EF0F71" w14:textId="77777777" w:rsidR="00205D95" w:rsidRDefault="00205D95">
          <w:pPr>
            <w:tabs>
              <w:tab w:val="right" w:pos="8838"/>
            </w:tabs>
            <w:ind w:left="-28"/>
            <w:rPr>
              <w:rFonts w:ascii="Arial" w:eastAsia="Arial" w:hAnsi="Arial" w:cs="Arial"/>
              <w:b/>
            </w:rPr>
          </w:pPr>
        </w:p>
      </w:tc>
    </w:tr>
  </w:tbl>
  <w:p w14:paraId="64DB06F9" w14:textId="77777777" w:rsidR="00205D95" w:rsidRDefault="00205D95">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BD00CF"/>
    <w:multiLevelType w:val="hybridMultilevel"/>
    <w:tmpl w:val="4BF0B83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DE90E46"/>
    <w:multiLevelType w:val="multilevel"/>
    <w:tmpl w:val="A118BB9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54AF00D2"/>
    <w:multiLevelType w:val="hybridMultilevel"/>
    <w:tmpl w:val="AC06E84C"/>
    <w:lvl w:ilvl="0" w:tplc="28CC7DFC">
      <w:start w:val="7"/>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FA38A1"/>
    <w:multiLevelType w:val="hybridMultilevel"/>
    <w:tmpl w:val="7DD4C78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2591B7E"/>
    <w:multiLevelType w:val="hybridMultilevel"/>
    <w:tmpl w:val="B4E072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0"/>
  </w:num>
  <w:num w:numId="8">
    <w:abstractNumId w:val="10"/>
  </w:num>
  <w:num w:numId="9">
    <w:abstractNumId w:val="11"/>
  </w:num>
  <w:num w:numId="10">
    <w:abstractNumId w:val="1"/>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93"/>
    <w:rsid w:val="000000B4"/>
    <w:rsid w:val="0000372C"/>
    <w:rsid w:val="00040BFE"/>
    <w:rsid w:val="000776B2"/>
    <w:rsid w:val="00085ABC"/>
    <w:rsid w:val="000A3ADB"/>
    <w:rsid w:val="000D026A"/>
    <w:rsid w:val="000D5DD8"/>
    <w:rsid w:val="00110B08"/>
    <w:rsid w:val="00140F53"/>
    <w:rsid w:val="00145E5F"/>
    <w:rsid w:val="00152C03"/>
    <w:rsid w:val="001615B3"/>
    <w:rsid w:val="00162D58"/>
    <w:rsid w:val="00163902"/>
    <w:rsid w:val="00185A1E"/>
    <w:rsid w:val="0019278F"/>
    <w:rsid w:val="0019288B"/>
    <w:rsid w:val="001D1553"/>
    <w:rsid w:val="002028A8"/>
    <w:rsid w:val="002036B3"/>
    <w:rsid w:val="00205D95"/>
    <w:rsid w:val="00217081"/>
    <w:rsid w:val="0025295E"/>
    <w:rsid w:val="00274607"/>
    <w:rsid w:val="002C7442"/>
    <w:rsid w:val="002D7811"/>
    <w:rsid w:val="003213C5"/>
    <w:rsid w:val="00334936"/>
    <w:rsid w:val="00337CB5"/>
    <w:rsid w:val="003410FE"/>
    <w:rsid w:val="003B4818"/>
    <w:rsid w:val="003B6EFC"/>
    <w:rsid w:val="003C3B56"/>
    <w:rsid w:val="003C426C"/>
    <w:rsid w:val="003C4479"/>
    <w:rsid w:val="003C69CD"/>
    <w:rsid w:val="003D5121"/>
    <w:rsid w:val="003D5D2F"/>
    <w:rsid w:val="003F138B"/>
    <w:rsid w:val="00412D7E"/>
    <w:rsid w:val="00437FA3"/>
    <w:rsid w:val="004562BA"/>
    <w:rsid w:val="0046610D"/>
    <w:rsid w:val="004B749F"/>
    <w:rsid w:val="004C0228"/>
    <w:rsid w:val="004D4C57"/>
    <w:rsid w:val="004D7B60"/>
    <w:rsid w:val="004F2204"/>
    <w:rsid w:val="004F349D"/>
    <w:rsid w:val="00551D45"/>
    <w:rsid w:val="00554A34"/>
    <w:rsid w:val="00557456"/>
    <w:rsid w:val="005C4247"/>
    <w:rsid w:val="005D65B0"/>
    <w:rsid w:val="005E0FA8"/>
    <w:rsid w:val="005F7FCD"/>
    <w:rsid w:val="0060000E"/>
    <w:rsid w:val="00617A93"/>
    <w:rsid w:val="00631335"/>
    <w:rsid w:val="006350FD"/>
    <w:rsid w:val="0065554C"/>
    <w:rsid w:val="006A27EC"/>
    <w:rsid w:val="006A7AD1"/>
    <w:rsid w:val="006B2B7D"/>
    <w:rsid w:val="006C319E"/>
    <w:rsid w:val="006D0837"/>
    <w:rsid w:val="00761B70"/>
    <w:rsid w:val="007B7DB3"/>
    <w:rsid w:val="007C0865"/>
    <w:rsid w:val="007E3D9A"/>
    <w:rsid w:val="00822F44"/>
    <w:rsid w:val="0084178A"/>
    <w:rsid w:val="00860E46"/>
    <w:rsid w:val="00865A9E"/>
    <w:rsid w:val="00867A01"/>
    <w:rsid w:val="008834DE"/>
    <w:rsid w:val="008D2378"/>
    <w:rsid w:val="00922180"/>
    <w:rsid w:val="00943315"/>
    <w:rsid w:val="00943DCB"/>
    <w:rsid w:val="0095450E"/>
    <w:rsid w:val="009610DE"/>
    <w:rsid w:val="009B05B3"/>
    <w:rsid w:val="009E7AF4"/>
    <w:rsid w:val="00A357C5"/>
    <w:rsid w:val="00A75D90"/>
    <w:rsid w:val="00B3181C"/>
    <w:rsid w:val="00B438A0"/>
    <w:rsid w:val="00B55BDE"/>
    <w:rsid w:val="00B603C0"/>
    <w:rsid w:val="00B64743"/>
    <w:rsid w:val="00B77812"/>
    <w:rsid w:val="00B950A7"/>
    <w:rsid w:val="00BA4B94"/>
    <w:rsid w:val="00BC1DED"/>
    <w:rsid w:val="00BF29D7"/>
    <w:rsid w:val="00BF7745"/>
    <w:rsid w:val="00C2122C"/>
    <w:rsid w:val="00C22C53"/>
    <w:rsid w:val="00C71D39"/>
    <w:rsid w:val="00C84A30"/>
    <w:rsid w:val="00CA0DE1"/>
    <w:rsid w:val="00CA54D1"/>
    <w:rsid w:val="00CC4A76"/>
    <w:rsid w:val="00CC62A8"/>
    <w:rsid w:val="00CE2D2D"/>
    <w:rsid w:val="00CF4EA5"/>
    <w:rsid w:val="00CF6B0C"/>
    <w:rsid w:val="00D33781"/>
    <w:rsid w:val="00D81AF6"/>
    <w:rsid w:val="00D82E69"/>
    <w:rsid w:val="00DA16A5"/>
    <w:rsid w:val="00DC3119"/>
    <w:rsid w:val="00DE552E"/>
    <w:rsid w:val="00DF0ED0"/>
    <w:rsid w:val="00DF3620"/>
    <w:rsid w:val="00E317B2"/>
    <w:rsid w:val="00E61D58"/>
    <w:rsid w:val="00E6664F"/>
    <w:rsid w:val="00EC67C0"/>
    <w:rsid w:val="00ED0077"/>
    <w:rsid w:val="00F153F3"/>
    <w:rsid w:val="00F44A35"/>
    <w:rsid w:val="00FB17B9"/>
    <w:rsid w:val="00FE59A4"/>
    <w:rsid w:val="00FF6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86D931"/>
  <w15:docId w15:val="{E378BE5A-B84E-40AB-825B-24266E5D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Títul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5">
    <w:name w:val="5"/>
    <w:basedOn w:val="Tablanormal"/>
    <w:rsid w:val="00130537"/>
    <w:pPr>
      <w:spacing w:line="240" w:lineRule="auto"/>
      <w:jc w:val="left"/>
    </w:pPr>
    <w:rPr>
      <w:rFonts w:ascii="Arial" w:eastAsia="Arial" w:hAnsi="Arial" w:cs="Arial"/>
    </w:rPr>
    <w:tblPr>
      <w:tblStyleRowBandSize w:val="1"/>
      <w:tblStyleColBandSize w:val="1"/>
      <w:tblInd w:w="0" w:type="nil"/>
      <w:tblCellMar>
        <w:top w:w="100" w:type="dxa"/>
        <w:left w:w="115" w:type="dxa"/>
        <w:bottom w:w="100" w:type="dxa"/>
        <w:right w:w="115" w:type="dxa"/>
      </w:tblCellMar>
    </w:tblPr>
  </w:style>
  <w:style w:type="paragraph" w:styleId="Subttulo">
    <w:name w:val="Subtitle"/>
    <w:basedOn w:val="Normal"/>
    <w:next w:val="Normal"/>
    <w:uiPriority w:val="11"/>
    <w:qFormat/>
    <w:rPr>
      <w:color w:val="595959"/>
      <w:sz w:val="28"/>
      <w:szCs w:val="28"/>
    </w:rPr>
  </w:style>
  <w:style w:type="table" w:customStyle="1" w:styleId="a2">
    <w:basedOn w:val="TableNormal0"/>
    <w:pPr>
      <w:spacing w:line="240" w:lineRule="auto"/>
      <w:jc w:val="left"/>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gsZWwcm5mKctdaUMvrQO6IsA==">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200012-4788-47C4-BE48-6E737730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49</Pages>
  <Words>13108</Words>
  <Characters>72099</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cp:lastPrinted>2025-08-15T16:00:00Z</cp:lastPrinted>
  <dcterms:created xsi:type="dcterms:W3CDTF">2025-08-11T23:01:00Z</dcterms:created>
  <dcterms:modified xsi:type="dcterms:W3CDTF">2025-09-24T19:55:00Z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