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191D1" w14:textId="3D63F03A" w:rsidR="007E6F01" w:rsidRPr="00223FC4" w:rsidRDefault="00F34DA2">
      <w:pPr>
        <w:spacing w:after="0"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B05D13" w:rsidRPr="00223FC4">
        <w:rPr>
          <w:rFonts w:ascii="Palatino Linotype" w:eastAsia="Palatino Linotype" w:hAnsi="Palatino Linotype" w:cs="Palatino Linotype"/>
        </w:rPr>
        <w:t>uno</w:t>
      </w:r>
      <w:r w:rsidRPr="00223FC4">
        <w:rPr>
          <w:rFonts w:ascii="Palatino Linotype" w:eastAsia="Palatino Linotype" w:hAnsi="Palatino Linotype" w:cs="Palatino Linotype"/>
        </w:rPr>
        <w:t xml:space="preserve"> de </w:t>
      </w:r>
      <w:r w:rsidR="00B05D13" w:rsidRPr="00223FC4">
        <w:rPr>
          <w:rFonts w:ascii="Palatino Linotype" w:eastAsia="Palatino Linotype" w:hAnsi="Palatino Linotype" w:cs="Palatino Linotype"/>
        </w:rPr>
        <w:t>octu</w:t>
      </w:r>
      <w:r w:rsidRPr="00223FC4">
        <w:rPr>
          <w:rFonts w:ascii="Palatino Linotype" w:eastAsia="Palatino Linotype" w:hAnsi="Palatino Linotype" w:cs="Palatino Linotype"/>
        </w:rPr>
        <w:t xml:space="preserve">bre de dos mil veinticinco. </w:t>
      </w:r>
    </w:p>
    <w:p w14:paraId="65C3D611" w14:textId="77777777" w:rsidR="007E6F01" w:rsidRPr="00223FC4" w:rsidRDefault="007E6F01">
      <w:pPr>
        <w:spacing w:after="0" w:line="360" w:lineRule="auto"/>
        <w:ind w:right="49"/>
        <w:jc w:val="both"/>
        <w:rPr>
          <w:rFonts w:ascii="Palatino Linotype" w:eastAsia="Palatino Linotype" w:hAnsi="Palatino Linotype" w:cs="Palatino Linotype"/>
        </w:rPr>
      </w:pPr>
    </w:p>
    <w:p w14:paraId="24F84489" w14:textId="00D06100" w:rsidR="007E6F01" w:rsidRPr="00223FC4" w:rsidRDefault="00F34DA2">
      <w:pPr>
        <w:spacing w:after="0"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Visto el expediente relativo al recurso de revisión </w:t>
      </w:r>
      <w:r w:rsidRPr="00223FC4">
        <w:rPr>
          <w:rFonts w:ascii="Palatino Linotype" w:eastAsia="Palatino Linotype" w:hAnsi="Palatino Linotype" w:cs="Palatino Linotype"/>
          <w:b/>
        </w:rPr>
        <w:t>0</w:t>
      </w:r>
      <w:r w:rsidR="003C5B87" w:rsidRPr="00223FC4">
        <w:rPr>
          <w:rFonts w:ascii="Palatino Linotype" w:eastAsia="Palatino Linotype" w:hAnsi="Palatino Linotype" w:cs="Palatino Linotype"/>
          <w:b/>
        </w:rPr>
        <w:t>7679</w:t>
      </w:r>
      <w:r w:rsidRPr="00223FC4">
        <w:rPr>
          <w:rFonts w:ascii="Palatino Linotype" w:eastAsia="Palatino Linotype" w:hAnsi="Palatino Linotype" w:cs="Palatino Linotype"/>
          <w:b/>
        </w:rPr>
        <w:t>/INFOEM/IP/RR/2025</w:t>
      </w:r>
      <w:r w:rsidRPr="00223FC4">
        <w:rPr>
          <w:rFonts w:ascii="Palatino Linotype" w:eastAsia="Palatino Linotype" w:hAnsi="Palatino Linotype" w:cs="Palatino Linotype"/>
        </w:rPr>
        <w:t xml:space="preserve">, interpuesto por </w:t>
      </w:r>
      <w:r w:rsidR="006C4519">
        <w:rPr>
          <w:rFonts w:ascii="Palatino Linotype" w:eastAsia="Palatino Linotype" w:hAnsi="Palatino Linotype" w:cs="Palatino Linotype"/>
          <w:b/>
        </w:rPr>
        <w:t xml:space="preserve">XXXXXX </w:t>
      </w:r>
      <w:proofErr w:type="spellStart"/>
      <w:r w:rsidR="006C4519">
        <w:rPr>
          <w:rFonts w:ascii="Palatino Linotype" w:eastAsia="Palatino Linotype" w:hAnsi="Palatino Linotype" w:cs="Palatino Linotype"/>
          <w:b/>
        </w:rPr>
        <w:t>XXXXXX</w:t>
      </w:r>
      <w:proofErr w:type="spellEnd"/>
      <w:r w:rsidR="006C4519">
        <w:rPr>
          <w:rFonts w:ascii="Palatino Linotype" w:eastAsia="Palatino Linotype" w:hAnsi="Palatino Linotype" w:cs="Palatino Linotype"/>
          <w:b/>
        </w:rPr>
        <w:t xml:space="preserve"> XXXXXX</w:t>
      </w:r>
      <w:bookmarkStart w:id="0" w:name="_GoBack"/>
      <w:bookmarkEnd w:id="0"/>
      <w:r w:rsidRPr="00223FC4">
        <w:rPr>
          <w:rFonts w:ascii="Palatino Linotype" w:eastAsia="Palatino Linotype" w:hAnsi="Palatino Linotype" w:cs="Palatino Linotype"/>
          <w:b/>
        </w:rPr>
        <w:t xml:space="preserve"> </w:t>
      </w:r>
      <w:r w:rsidRPr="00223FC4">
        <w:rPr>
          <w:rFonts w:ascii="Palatino Linotype" w:eastAsia="Palatino Linotype" w:hAnsi="Palatino Linotype" w:cs="Palatino Linotype"/>
        </w:rPr>
        <w:t xml:space="preserve">al cual en lo sucesivo se le denominará la parte </w:t>
      </w:r>
      <w:r w:rsidRPr="00223FC4">
        <w:rPr>
          <w:rFonts w:ascii="Palatino Linotype" w:eastAsia="Palatino Linotype" w:hAnsi="Palatino Linotype" w:cs="Palatino Linotype"/>
          <w:b/>
        </w:rPr>
        <w:t>RECURRENTE</w:t>
      </w:r>
      <w:r w:rsidRPr="00223FC4">
        <w:rPr>
          <w:rFonts w:ascii="Palatino Linotype" w:eastAsia="Palatino Linotype" w:hAnsi="Palatino Linotype" w:cs="Palatino Linotype"/>
        </w:rPr>
        <w:t xml:space="preserve">, en contra la respuesta a su solicitud de información identificada con número de folio </w:t>
      </w:r>
      <w:r w:rsidR="003C5B87" w:rsidRPr="00223FC4">
        <w:rPr>
          <w:rFonts w:ascii="Palatino Linotype" w:eastAsia="Palatino Linotype" w:hAnsi="Palatino Linotype" w:cs="Palatino Linotype"/>
          <w:b/>
        </w:rPr>
        <w:t>00469/ECATEPEC/IP/2025</w:t>
      </w:r>
      <w:r w:rsidRPr="00223FC4">
        <w:rPr>
          <w:rFonts w:ascii="Palatino Linotype" w:eastAsia="Palatino Linotype" w:hAnsi="Palatino Linotype" w:cs="Palatino Linotype"/>
          <w:b/>
        </w:rPr>
        <w:t xml:space="preserve"> </w:t>
      </w:r>
      <w:r w:rsidRPr="00223FC4">
        <w:rPr>
          <w:rFonts w:ascii="Palatino Linotype" w:eastAsia="Palatino Linotype" w:hAnsi="Palatino Linotype" w:cs="Palatino Linotype"/>
        </w:rPr>
        <w:t xml:space="preserve">proporcionada por parte del </w:t>
      </w:r>
      <w:r w:rsidR="003C5B87" w:rsidRPr="00223FC4">
        <w:rPr>
          <w:rFonts w:ascii="Palatino Linotype" w:eastAsia="Palatino Linotype" w:hAnsi="Palatino Linotype" w:cs="Palatino Linotype"/>
          <w:b/>
        </w:rPr>
        <w:t xml:space="preserve">Ayuntamiento de Ecatepec de Morelos </w:t>
      </w:r>
      <w:r w:rsidRPr="00223FC4">
        <w:rPr>
          <w:rFonts w:ascii="Palatino Linotype" w:eastAsia="Palatino Linotype" w:hAnsi="Palatino Linotype" w:cs="Palatino Linotype"/>
        </w:rPr>
        <w:t xml:space="preserve">en lo sucesivo el </w:t>
      </w:r>
      <w:r w:rsidRPr="00223FC4">
        <w:rPr>
          <w:rFonts w:ascii="Palatino Linotype" w:eastAsia="Palatino Linotype" w:hAnsi="Palatino Linotype" w:cs="Palatino Linotype"/>
          <w:b/>
        </w:rPr>
        <w:t>SUJETO OBLIGADO</w:t>
      </w:r>
      <w:r w:rsidRPr="00223FC4">
        <w:rPr>
          <w:rFonts w:ascii="Palatino Linotype" w:eastAsia="Palatino Linotype" w:hAnsi="Palatino Linotype" w:cs="Palatino Linotype"/>
        </w:rPr>
        <w:t>; se procede a dictar la presente resolución, con base en los siguientes:</w:t>
      </w:r>
    </w:p>
    <w:p w14:paraId="636A06FF" w14:textId="77777777" w:rsidR="007E6F01" w:rsidRPr="00223FC4" w:rsidRDefault="007E6F01">
      <w:pPr>
        <w:spacing w:after="0" w:line="360" w:lineRule="auto"/>
        <w:ind w:right="49"/>
        <w:jc w:val="both"/>
        <w:rPr>
          <w:rFonts w:ascii="Palatino Linotype" w:eastAsia="Palatino Linotype" w:hAnsi="Palatino Linotype" w:cs="Palatino Linotype"/>
        </w:rPr>
      </w:pPr>
    </w:p>
    <w:p w14:paraId="759B4C8F" w14:textId="77777777" w:rsidR="007E6F01" w:rsidRPr="00223FC4" w:rsidRDefault="00F34DA2">
      <w:pPr>
        <w:spacing w:after="0" w:line="360" w:lineRule="auto"/>
        <w:ind w:right="49"/>
        <w:jc w:val="center"/>
        <w:rPr>
          <w:rFonts w:ascii="Palatino Linotype" w:eastAsia="Palatino Linotype" w:hAnsi="Palatino Linotype" w:cs="Palatino Linotype"/>
          <w:b/>
        </w:rPr>
      </w:pPr>
      <w:r w:rsidRPr="00223FC4">
        <w:rPr>
          <w:rFonts w:ascii="Palatino Linotype" w:eastAsia="Palatino Linotype" w:hAnsi="Palatino Linotype" w:cs="Palatino Linotype"/>
          <w:b/>
        </w:rPr>
        <w:t>I.</w:t>
      </w:r>
      <w:r w:rsidRPr="00223FC4">
        <w:rPr>
          <w:rFonts w:ascii="Palatino Linotype" w:eastAsia="Palatino Linotype" w:hAnsi="Palatino Linotype" w:cs="Palatino Linotype"/>
          <w:b/>
        </w:rPr>
        <w:tab/>
        <w:t>A N T E C E D E N T E S</w:t>
      </w:r>
    </w:p>
    <w:p w14:paraId="61D507AD" w14:textId="77777777" w:rsidR="007E6F01" w:rsidRPr="00223FC4" w:rsidRDefault="007E6F01">
      <w:pPr>
        <w:spacing w:after="0" w:line="360" w:lineRule="auto"/>
        <w:ind w:right="49"/>
        <w:jc w:val="both"/>
        <w:rPr>
          <w:rFonts w:ascii="Palatino Linotype" w:eastAsia="Palatino Linotype" w:hAnsi="Palatino Linotype" w:cs="Palatino Linotype"/>
        </w:rPr>
      </w:pPr>
    </w:p>
    <w:p w14:paraId="44947042" w14:textId="77777777" w:rsidR="007E6F01" w:rsidRPr="00223FC4" w:rsidRDefault="00F34DA2">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223FC4">
        <w:rPr>
          <w:rFonts w:ascii="Palatino Linotype" w:eastAsia="Palatino Linotype" w:hAnsi="Palatino Linotype" w:cs="Palatino Linotype"/>
          <w:b/>
        </w:rPr>
        <w:t>Solicitud de acceso a la información.</w:t>
      </w:r>
      <w:r w:rsidRPr="00223FC4">
        <w:rPr>
          <w:rFonts w:ascii="Palatino Linotype" w:eastAsia="Palatino Linotype" w:hAnsi="Palatino Linotype" w:cs="Palatino Linotype"/>
        </w:rPr>
        <w:t xml:space="preserve"> Con fecha </w:t>
      </w:r>
      <w:r w:rsidRPr="00223FC4">
        <w:rPr>
          <w:rFonts w:ascii="Palatino Linotype" w:eastAsia="Palatino Linotype" w:hAnsi="Palatino Linotype" w:cs="Palatino Linotype"/>
          <w:b/>
        </w:rPr>
        <w:t>treinta de mayo de dos mil veinticinco</w:t>
      </w:r>
      <w:r w:rsidRPr="00223FC4">
        <w:rPr>
          <w:rFonts w:ascii="Palatino Linotype" w:eastAsia="Palatino Linotype" w:hAnsi="Palatino Linotype" w:cs="Palatino Linotype"/>
        </w:rPr>
        <w:t xml:space="preserve">, la parte </w:t>
      </w:r>
      <w:r w:rsidRPr="00223FC4">
        <w:rPr>
          <w:rFonts w:ascii="Palatino Linotype" w:eastAsia="Palatino Linotype" w:hAnsi="Palatino Linotype" w:cs="Palatino Linotype"/>
          <w:b/>
        </w:rPr>
        <w:t>RECURRENTE</w:t>
      </w:r>
      <w:r w:rsidRPr="00223FC4">
        <w:rPr>
          <w:rFonts w:ascii="Palatino Linotype" w:eastAsia="Palatino Linotype" w:hAnsi="Palatino Linotype" w:cs="Palatino Linotype"/>
        </w:rPr>
        <w:t xml:space="preserve"> formuló solicitud de acceso a información pública al</w:t>
      </w:r>
      <w:r w:rsidRPr="00223FC4">
        <w:rPr>
          <w:rFonts w:ascii="Palatino Linotype" w:eastAsia="Palatino Linotype" w:hAnsi="Palatino Linotype" w:cs="Palatino Linotype"/>
          <w:b/>
        </w:rPr>
        <w:t xml:space="preserve"> SUJETO OBLIGADO</w:t>
      </w:r>
      <w:r w:rsidRPr="00223FC4">
        <w:rPr>
          <w:rFonts w:ascii="Palatino Linotype" w:eastAsia="Palatino Linotype" w:hAnsi="Palatino Linotype" w:cs="Palatino Linotype"/>
        </w:rPr>
        <w:t xml:space="preserve"> a través de la Plataforma Nacional de Transparencia (PNT) vinculada al Sistema de Acceso a la Información Mexiquense, en adelante SAIMEX, en la que requirió lo siguiente: </w:t>
      </w:r>
    </w:p>
    <w:p w14:paraId="51206373" w14:textId="77777777" w:rsidR="007E6F01" w:rsidRPr="00223FC4" w:rsidRDefault="00F34DA2" w:rsidP="003C5B87">
      <w:pPr>
        <w:spacing w:after="0" w:line="276" w:lineRule="auto"/>
        <w:ind w:left="567" w:right="560"/>
        <w:jc w:val="both"/>
        <w:rPr>
          <w:rFonts w:ascii="Palatino Linotype" w:eastAsia="Palatino Linotype" w:hAnsi="Palatino Linotype" w:cs="Palatino Linotype"/>
          <w:i/>
        </w:rPr>
      </w:pPr>
      <w:bookmarkStart w:id="1" w:name="_heading=h.6vfkzu7tweko" w:colFirst="0" w:colLast="0"/>
      <w:bookmarkEnd w:id="1"/>
      <w:r w:rsidRPr="00223FC4">
        <w:rPr>
          <w:rFonts w:ascii="Palatino Linotype" w:eastAsia="Palatino Linotype" w:hAnsi="Palatino Linotype" w:cs="Palatino Linotype"/>
          <w:i/>
        </w:rPr>
        <w:t>“</w:t>
      </w:r>
      <w:r w:rsidR="003C5B87" w:rsidRPr="00223FC4">
        <w:rPr>
          <w:rFonts w:ascii="Palatino Linotype" w:eastAsia="Palatino Linotype" w:hAnsi="Palatino Linotype" w:cs="Palatino Linotype"/>
          <w:i/>
        </w:rPr>
        <w:t>Me permito solicitar el Plan de Contingencia para la Protección de Datos Personales de todas las áreas administrativas del Ayuntamiento de Ecatepec de Morelos, DEL EJERCICIO FISCAL 2024 Y 2025</w:t>
      </w:r>
      <w:r w:rsidRPr="00223FC4">
        <w:rPr>
          <w:rFonts w:ascii="Palatino Linotype" w:eastAsia="Palatino Linotype" w:hAnsi="Palatino Linotype" w:cs="Palatino Linotype"/>
          <w:i/>
        </w:rPr>
        <w:t xml:space="preserve">.”. </w:t>
      </w:r>
    </w:p>
    <w:p w14:paraId="629426C4" w14:textId="77777777" w:rsidR="007E6F01" w:rsidRPr="00223FC4" w:rsidRDefault="007E6F01">
      <w:pPr>
        <w:spacing w:after="0" w:line="276" w:lineRule="auto"/>
        <w:ind w:left="567" w:right="560"/>
        <w:jc w:val="both"/>
        <w:rPr>
          <w:rFonts w:ascii="Palatino Linotype" w:eastAsia="Palatino Linotype" w:hAnsi="Palatino Linotype" w:cs="Palatino Linotype"/>
          <w:i/>
        </w:rPr>
      </w:pPr>
    </w:p>
    <w:p w14:paraId="68A00DEF" w14:textId="77777777" w:rsidR="007E6F01" w:rsidRPr="00223FC4" w:rsidRDefault="00F34DA2">
      <w:pPr>
        <w:spacing w:after="0"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b/>
        </w:rPr>
        <w:t>Modalidad elegida para la entrega de la información:</w:t>
      </w:r>
      <w:r w:rsidRPr="00223FC4">
        <w:rPr>
          <w:rFonts w:ascii="Palatino Linotype" w:eastAsia="Palatino Linotype" w:hAnsi="Palatino Linotype" w:cs="Palatino Linotype"/>
        </w:rPr>
        <w:t xml:space="preserve"> a través del Sistema de solicitudes de acceso a la información de la PNT y Sistema de Acceso a la Información Mexiquense (SAIMEX). </w:t>
      </w:r>
    </w:p>
    <w:p w14:paraId="5F4376C5" w14:textId="77777777" w:rsidR="007E6F01" w:rsidRPr="00223FC4" w:rsidRDefault="00F34DA2" w:rsidP="003C5B8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223FC4">
        <w:rPr>
          <w:rFonts w:ascii="Palatino Linotype" w:eastAsia="Palatino Linotype" w:hAnsi="Palatino Linotype" w:cs="Palatino Linotype"/>
          <w:b/>
        </w:rPr>
        <w:t>Respuesta.</w:t>
      </w:r>
      <w:r w:rsidRPr="00223FC4">
        <w:rPr>
          <w:rFonts w:ascii="Palatino Linotype" w:eastAsia="Palatino Linotype" w:hAnsi="Palatino Linotype" w:cs="Palatino Linotype"/>
        </w:rPr>
        <w:t xml:space="preserve"> </w:t>
      </w:r>
      <w:r w:rsidR="003C5B87" w:rsidRPr="00223FC4">
        <w:rPr>
          <w:rFonts w:ascii="Palatino Linotype" w:eastAsia="Palatino Linotype" w:hAnsi="Palatino Linotype" w:cs="Palatino Linotype"/>
        </w:rPr>
        <w:t>El Sujeto Obligado omitió responder a la solicitud de información.</w:t>
      </w:r>
      <w:r w:rsidRPr="00223FC4">
        <w:rPr>
          <w:rFonts w:ascii="Palatino Linotype" w:eastAsia="Palatino Linotype" w:hAnsi="Palatino Linotype" w:cs="Palatino Linotype"/>
        </w:rPr>
        <w:t xml:space="preserve"> </w:t>
      </w:r>
    </w:p>
    <w:p w14:paraId="3A304174" w14:textId="77777777" w:rsidR="007E6F01" w:rsidRPr="00223FC4" w:rsidRDefault="007E6F01" w:rsidP="003C5B87">
      <w:pPr>
        <w:pBdr>
          <w:top w:val="nil"/>
          <w:left w:val="nil"/>
          <w:bottom w:val="nil"/>
          <w:right w:val="nil"/>
          <w:between w:val="nil"/>
        </w:pBdr>
        <w:tabs>
          <w:tab w:val="left" w:pos="284"/>
        </w:tabs>
        <w:spacing w:after="0" w:line="360" w:lineRule="auto"/>
        <w:ind w:right="843"/>
        <w:jc w:val="both"/>
        <w:rPr>
          <w:rFonts w:ascii="Palatino Linotype" w:eastAsia="Palatino Linotype" w:hAnsi="Palatino Linotype" w:cs="Palatino Linotype"/>
        </w:rPr>
      </w:pPr>
    </w:p>
    <w:p w14:paraId="684BC978" w14:textId="77777777" w:rsidR="007E6F01" w:rsidRPr="00223FC4" w:rsidRDefault="00F34DA2">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223FC4">
        <w:rPr>
          <w:rFonts w:ascii="Palatino Linotype" w:eastAsia="Palatino Linotype" w:hAnsi="Palatino Linotype" w:cs="Palatino Linotype"/>
          <w:b/>
        </w:rPr>
        <w:t>Interposición del Recurso de Revisión</w:t>
      </w:r>
      <w:r w:rsidRPr="00223FC4">
        <w:rPr>
          <w:rFonts w:ascii="Palatino Linotype" w:eastAsia="Palatino Linotype" w:hAnsi="Palatino Linotype" w:cs="Palatino Linotype"/>
        </w:rPr>
        <w:t xml:space="preserve">. La parte Solicitante, derivado de la respuesta del </w:t>
      </w:r>
      <w:r w:rsidRPr="00223FC4">
        <w:rPr>
          <w:rFonts w:ascii="Palatino Linotype" w:eastAsia="Palatino Linotype" w:hAnsi="Palatino Linotype" w:cs="Palatino Linotype"/>
          <w:b/>
        </w:rPr>
        <w:t>SUJETO OBLIGADO</w:t>
      </w:r>
      <w:r w:rsidRPr="00223FC4">
        <w:rPr>
          <w:rFonts w:ascii="Palatino Linotype" w:eastAsia="Palatino Linotype" w:hAnsi="Palatino Linotype" w:cs="Palatino Linotype"/>
        </w:rPr>
        <w:t xml:space="preserve"> interpuso Recurso de Revisión a través del </w:t>
      </w:r>
      <w:r w:rsidRPr="00223FC4">
        <w:rPr>
          <w:rFonts w:ascii="Palatino Linotype" w:eastAsia="Palatino Linotype" w:hAnsi="Palatino Linotype" w:cs="Palatino Linotype"/>
          <w:b/>
        </w:rPr>
        <w:t>SAIMEX</w:t>
      </w:r>
      <w:r w:rsidRPr="00223FC4">
        <w:rPr>
          <w:rFonts w:ascii="Palatino Linotype" w:eastAsia="Palatino Linotype" w:hAnsi="Palatino Linotype" w:cs="Palatino Linotype"/>
        </w:rPr>
        <w:t xml:space="preserve"> en fecha</w:t>
      </w:r>
      <w:r w:rsidR="003C5B87" w:rsidRPr="00223FC4">
        <w:rPr>
          <w:rFonts w:ascii="Palatino Linotype" w:eastAsia="Palatino Linotype" w:hAnsi="Palatino Linotype" w:cs="Palatino Linotype"/>
          <w:b/>
        </w:rPr>
        <w:t xml:space="preserve"> veinticuatro</w:t>
      </w:r>
      <w:r w:rsidRPr="00223FC4">
        <w:rPr>
          <w:rFonts w:ascii="Palatino Linotype" w:eastAsia="Palatino Linotype" w:hAnsi="Palatino Linotype" w:cs="Palatino Linotype"/>
          <w:b/>
        </w:rPr>
        <w:t xml:space="preserve"> de junio de dos mil veinticinco</w:t>
      </w:r>
      <w:r w:rsidRPr="00223FC4">
        <w:rPr>
          <w:rFonts w:ascii="Palatino Linotype" w:eastAsia="Palatino Linotype" w:hAnsi="Palatino Linotype" w:cs="Palatino Linotype"/>
        </w:rPr>
        <w:t>, a través del cual expresó lo siguiente:</w:t>
      </w:r>
    </w:p>
    <w:p w14:paraId="3E7CE1A0" w14:textId="77777777" w:rsidR="007E6F01" w:rsidRPr="00223FC4" w:rsidRDefault="007E6F0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7E89994" w14:textId="77777777" w:rsidR="007E6F01" w:rsidRPr="00223FC4" w:rsidRDefault="00F34DA2">
      <w:pPr>
        <w:ind w:left="567"/>
        <w:jc w:val="both"/>
        <w:rPr>
          <w:rFonts w:ascii="Times New Roman" w:eastAsia="Times New Roman" w:hAnsi="Times New Roman" w:cs="Times New Roman"/>
          <w:sz w:val="24"/>
          <w:szCs w:val="24"/>
        </w:rPr>
      </w:pPr>
      <w:r w:rsidRPr="00223FC4">
        <w:rPr>
          <w:rFonts w:ascii="Palatino Linotype" w:eastAsia="Palatino Linotype" w:hAnsi="Palatino Linotype" w:cs="Palatino Linotype"/>
          <w:b/>
        </w:rPr>
        <w:t xml:space="preserve">Acto impugnado. </w:t>
      </w:r>
      <w:r w:rsidRPr="00223FC4">
        <w:rPr>
          <w:rFonts w:ascii="Palatino Linotype" w:eastAsia="Palatino Linotype" w:hAnsi="Palatino Linotype" w:cs="Palatino Linotype"/>
        </w:rPr>
        <w:t>“</w:t>
      </w:r>
      <w:r w:rsidR="003C5B87" w:rsidRPr="00223FC4">
        <w:rPr>
          <w:rFonts w:ascii="Palatino Linotype" w:eastAsia="Palatino Linotype" w:hAnsi="Palatino Linotype" w:cs="Palatino Linotype"/>
          <w:i/>
        </w:rPr>
        <w:t>no proporciona información alguna.” (Sic)</w:t>
      </w:r>
    </w:p>
    <w:p w14:paraId="1158B688" w14:textId="77777777" w:rsidR="007E6F01" w:rsidRPr="00223FC4" w:rsidRDefault="00F34DA2">
      <w:pPr>
        <w:pBdr>
          <w:top w:val="nil"/>
          <w:left w:val="nil"/>
          <w:bottom w:val="nil"/>
          <w:right w:val="nil"/>
          <w:between w:val="nil"/>
        </w:pBdr>
        <w:tabs>
          <w:tab w:val="left" w:pos="1276"/>
        </w:tabs>
        <w:spacing w:after="0" w:line="276" w:lineRule="auto"/>
        <w:ind w:left="567"/>
        <w:jc w:val="both"/>
        <w:rPr>
          <w:rFonts w:ascii="Palatino Linotype" w:eastAsia="Palatino Linotype" w:hAnsi="Palatino Linotype" w:cs="Palatino Linotype"/>
          <w:b/>
          <w:i/>
        </w:rPr>
      </w:pPr>
      <w:r w:rsidRPr="00223FC4">
        <w:rPr>
          <w:rFonts w:ascii="Palatino Linotype" w:eastAsia="Palatino Linotype" w:hAnsi="Palatino Linotype" w:cs="Palatino Linotype"/>
          <w:b/>
        </w:rPr>
        <w:t xml:space="preserve">Razones o motivos de la inconformidad: </w:t>
      </w:r>
      <w:r w:rsidRPr="00223FC4">
        <w:rPr>
          <w:rFonts w:ascii="Palatino Linotype" w:eastAsia="Palatino Linotype" w:hAnsi="Palatino Linotype" w:cs="Palatino Linotype"/>
          <w:i/>
        </w:rPr>
        <w:t>“</w:t>
      </w:r>
      <w:r w:rsidR="003C5B87" w:rsidRPr="00223FC4">
        <w:rPr>
          <w:rFonts w:ascii="Palatino Linotype" w:eastAsia="Palatino Linotype" w:hAnsi="Palatino Linotype" w:cs="Palatino Linotype"/>
          <w:i/>
        </w:rPr>
        <w:t>no proporciona información alguna.” (Sic)</w:t>
      </w:r>
    </w:p>
    <w:p w14:paraId="135F4B3D" w14:textId="77777777" w:rsidR="007E6F01" w:rsidRPr="00223FC4" w:rsidRDefault="007E6F01">
      <w:pPr>
        <w:spacing w:after="0" w:line="360" w:lineRule="auto"/>
        <w:ind w:right="49"/>
        <w:jc w:val="both"/>
        <w:rPr>
          <w:rFonts w:ascii="Palatino Linotype" w:eastAsia="Palatino Linotype" w:hAnsi="Palatino Linotype" w:cs="Palatino Linotype"/>
        </w:rPr>
      </w:pPr>
    </w:p>
    <w:p w14:paraId="49D60FBE" w14:textId="77777777" w:rsidR="007E6F01" w:rsidRPr="00223FC4" w:rsidRDefault="00F34DA2">
      <w:pPr>
        <w:numPr>
          <w:ilvl w:val="0"/>
          <w:numId w:val="4"/>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b/>
        </w:rPr>
      </w:pPr>
      <w:r w:rsidRPr="00223FC4">
        <w:rPr>
          <w:rFonts w:ascii="Palatino Linotype" w:eastAsia="Palatino Linotype" w:hAnsi="Palatino Linotype" w:cs="Palatino Linotype"/>
          <w:b/>
        </w:rPr>
        <w:t>Turno.</w:t>
      </w:r>
      <w:r w:rsidRPr="00223FC4">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223FC4">
        <w:rPr>
          <w:rFonts w:ascii="Palatino Linotype" w:eastAsia="Palatino Linotype" w:hAnsi="Palatino Linotype" w:cs="Palatino Linotype"/>
          <w:b/>
        </w:rPr>
        <w:t>0</w:t>
      </w:r>
      <w:r w:rsidR="003C5B87" w:rsidRPr="00223FC4">
        <w:rPr>
          <w:rFonts w:ascii="Palatino Linotype" w:eastAsia="Palatino Linotype" w:hAnsi="Palatino Linotype" w:cs="Palatino Linotype"/>
          <w:b/>
        </w:rPr>
        <w:t>7679</w:t>
      </w:r>
      <w:r w:rsidRPr="00223FC4">
        <w:rPr>
          <w:rFonts w:ascii="Palatino Linotype" w:eastAsia="Palatino Linotype" w:hAnsi="Palatino Linotype" w:cs="Palatino Linotype"/>
          <w:b/>
        </w:rPr>
        <w:t>/INFOEM/IP/RR/2025</w:t>
      </w:r>
      <w:r w:rsidRPr="00223FC4">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3426C8C9" w14:textId="77777777" w:rsidR="007E6F01" w:rsidRPr="00223FC4" w:rsidRDefault="007E6F0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EF19BEA" w14:textId="77777777" w:rsidR="007E6F01" w:rsidRPr="00223FC4" w:rsidRDefault="00F34DA2">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223FC4">
        <w:rPr>
          <w:rFonts w:ascii="Palatino Linotype" w:eastAsia="Palatino Linotype" w:hAnsi="Palatino Linotype" w:cs="Palatino Linotype"/>
          <w:b/>
        </w:rPr>
        <w:t>Admisión del recurso de revisión</w:t>
      </w:r>
      <w:r w:rsidRPr="00223FC4">
        <w:rPr>
          <w:rFonts w:ascii="Palatino Linotype" w:eastAsia="Palatino Linotype" w:hAnsi="Palatino Linotype" w:cs="Palatino Linotype"/>
        </w:rPr>
        <w:t xml:space="preserve">: En fecha </w:t>
      </w:r>
      <w:r w:rsidR="003C5B87" w:rsidRPr="00223FC4">
        <w:rPr>
          <w:rFonts w:ascii="Palatino Linotype" w:eastAsia="Palatino Linotype" w:hAnsi="Palatino Linotype" w:cs="Palatino Linotype"/>
          <w:b/>
        </w:rPr>
        <w:t>veintisiete de junio</w:t>
      </w:r>
      <w:r w:rsidRPr="00223FC4">
        <w:rPr>
          <w:rFonts w:ascii="Palatino Linotype" w:eastAsia="Palatino Linotype" w:hAnsi="Palatino Linotype" w:cs="Palatino Linotype"/>
          <w:b/>
        </w:rPr>
        <w:t xml:space="preserve"> de dos mil veinticinco</w:t>
      </w:r>
      <w:r w:rsidRPr="00223FC4">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5F73222" w14:textId="77777777" w:rsidR="007E6F01" w:rsidRPr="00223FC4" w:rsidRDefault="007E6F0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74AF8D4" w14:textId="77777777" w:rsidR="007E6F01" w:rsidRPr="00223FC4" w:rsidRDefault="00F34DA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bookmarkStart w:id="2" w:name="_heading=h.b3ko5j4bcv4h" w:colFirst="0" w:colLast="0"/>
      <w:bookmarkEnd w:id="2"/>
      <w:r w:rsidRPr="00223FC4">
        <w:rPr>
          <w:rFonts w:ascii="Palatino Linotype" w:eastAsia="Palatino Linotype" w:hAnsi="Palatino Linotype" w:cs="Palatino Linotype"/>
          <w:b/>
        </w:rPr>
        <w:t xml:space="preserve">6. Manifestaciones. </w:t>
      </w:r>
      <w:r w:rsidR="003C5B87" w:rsidRPr="00223FC4">
        <w:rPr>
          <w:rFonts w:ascii="Palatino Linotype" w:eastAsia="Palatino Linotype" w:hAnsi="Palatino Linotype" w:cs="Palatino Linotype"/>
        </w:rPr>
        <w:t xml:space="preserve">En fechas </w:t>
      </w:r>
      <w:r w:rsidR="003C5B87" w:rsidRPr="00223FC4">
        <w:rPr>
          <w:rFonts w:ascii="Palatino Linotype" w:eastAsia="Palatino Linotype" w:hAnsi="Palatino Linotype" w:cs="Palatino Linotype"/>
          <w:b/>
        </w:rPr>
        <w:t xml:space="preserve">siete y nueve de julio de dos mil veinticinco </w:t>
      </w:r>
      <w:r w:rsidR="003C5B87" w:rsidRPr="00223FC4">
        <w:rPr>
          <w:rFonts w:ascii="Palatino Linotype" w:eastAsia="Palatino Linotype" w:hAnsi="Palatino Linotype" w:cs="Palatino Linotype"/>
        </w:rPr>
        <w:t xml:space="preserve">el </w:t>
      </w:r>
      <w:r w:rsidR="003C5B87" w:rsidRPr="00223FC4">
        <w:rPr>
          <w:rFonts w:ascii="Palatino Linotype" w:eastAsia="Palatino Linotype" w:hAnsi="Palatino Linotype" w:cs="Palatino Linotype"/>
          <w:b/>
        </w:rPr>
        <w:t xml:space="preserve">SUJETO OBLIGADO </w:t>
      </w:r>
      <w:r w:rsidR="003C5B87" w:rsidRPr="00223FC4">
        <w:rPr>
          <w:rFonts w:ascii="Palatino Linotype" w:eastAsia="Palatino Linotype" w:hAnsi="Palatino Linotype" w:cs="Palatino Linotype"/>
        </w:rPr>
        <w:t xml:space="preserve">remitió a través del SAIMEX, los archivos electrónicos denominados </w:t>
      </w:r>
      <w:r w:rsidR="003C5B87" w:rsidRPr="00223FC4">
        <w:rPr>
          <w:rFonts w:ascii="Palatino Linotype" w:eastAsia="Palatino Linotype" w:hAnsi="Palatino Linotype" w:cs="Palatino Linotype"/>
          <w:b/>
          <w:i/>
        </w:rPr>
        <w:t xml:space="preserve">“7679.pdf  </w:t>
      </w:r>
      <w:r w:rsidR="003C5B87" w:rsidRPr="00223FC4">
        <w:rPr>
          <w:rFonts w:ascii="Palatino Linotype" w:eastAsia="Palatino Linotype" w:hAnsi="Palatino Linotype" w:cs="Palatino Linotype"/>
        </w:rPr>
        <w:t>y</w:t>
      </w:r>
      <w:r w:rsidR="003C5B87" w:rsidRPr="00223FC4">
        <w:rPr>
          <w:rFonts w:ascii="Palatino Linotype" w:eastAsia="Palatino Linotype" w:hAnsi="Palatino Linotype" w:cs="Palatino Linotype"/>
          <w:b/>
          <w:i/>
        </w:rPr>
        <w:t xml:space="preserve"> “</w:t>
      </w:r>
      <w:r w:rsidR="003C5B87" w:rsidRPr="00223FC4">
        <w:rPr>
          <w:rStyle w:val="Hipervnculo"/>
          <w:rFonts w:ascii="Palatino Linotype" w:eastAsia="Palatino Linotype" w:hAnsi="Palatino Linotype" w:cs="Palatino Linotype"/>
          <w:b/>
          <w:bCs/>
          <w:i/>
          <w:color w:val="auto"/>
          <w:u w:val="none"/>
        </w:rPr>
        <w:t>ACTA DECIMA NOVENA SESIÓN EXTRAORDINARIA SIGNADA.pdf</w:t>
      </w:r>
      <w:r w:rsidR="003C5B87" w:rsidRPr="00223FC4">
        <w:rPr>
          <w:rFonts w:ascii="Palatino Linotype" w:eastAsia="Palatino Linotype" w:hAnsi="Palatino Linotype" w:cs="Palatino Linotype"/>
          <w:b/>
          <w:i/>
        </w:rPr>
        <w:t>”</w:t>
      </w:r>
      <w:r w:rsidR="003C5B87" w:rsidRPr="00223FC4">
        <w:rPr>
          <w:rFonts w:ascii="Palatino Linotype" w:eastAsia="Palatino Linotype" w:hAnsi="Palatino Linotype" w:cs="Palatino Linotype"/>
        </w:rPr>
        <w:t xml:space="preserve">, mismos que fueron hechos del conocimiento del ahora </w:t>
      </w:r>
      <w:r w:rsidR="003C5B87" w:rsidRPr="00223FC4">
        <w:rPr>
          <w:rFonts w:ascii="Palatino Linotype" w:eastAsia="Palatino Linotype" w:hAnsi="Palatino Linotype" w:cs="Palatino Linotype"/>
          <w:b/>
        </w:rPr>
        <w:t>RECURRENTE</w:t>
      </w:r>
      <w:r w:rsidR="003C5B87" w:rsidRPr="00223FC4">
        <w:rPr>
          <w:rFonts w:ascii="Palatino Linotype" w:eastAsia="Palatino Linotype" w:hAnsi="Palatino Linotype" w:cs="Palatino Linotype"/>
        </w:rPr>
        <w:t xml:space="preserve"> en fecha </w:t>
      </w:r>
      <w:r w:rsidR="003C5B87" w:rsidRPr="00223FC4">
        <w:rPr>
          <w:rFonts w:ascii="Palatino Linotype" w:eastAsia="Palatino Linotype" w:hAnsi="Palatino Linotype" w:cs="Palatino Linotype"/>
          <w:b/>
        </w:rPr>
        <w:t>veinticinco de septiembre de dos mil veinticinco</w:t>
      </w:r>
      <w:r w:rsidR="003C5B87" w:rsidRPr="00223FC4">
        <w:rPr>
          <w:rFonts w:ascii="Palatino Linotype" w:eastAsia="Palatino Linotype" w:hAnsi="Palatino Linotype" w:cs="Palatino Linotype"/>
        </w:rPr>
        <w:t xml:space="preserve">, </w:t>
      </w:r>
      <w:r w:rsidR="00274EC2" w:rsidRPr="00223FC4">
        <w:rPr>
          <w:rFonts w:ascii="Palatino Linotype" w:eastAsia="Palatino Linotype" w:hAnsi="Palatino Linotype" w:cs="Palatino Linotype"/>
        </w:rPr>
        <w:t>cuyo contenido es el siguiente</w:t>
      </w:r>
      <w:r w:rsidR="003C5B87" w:rsidRPr="00223FC4">
        <w:rPr>
          <w:rFonts w:ascii="Palatino Linotype" w:eastAsia="Palatino Linotype" w:hAnsi="Palatino Linotype" w:cs="Palatino Linotype"/>
        </w:rPr>
        <w:t>:</w:t>
      </w:r>
    </w:p>
    <w:p w14:paraId="32389284" w14:textId="77777777" w:rsidR="00274EC2" w:rsidRPr="00223FC4" w:rsidRDefault="00274EC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rPr>
        <w:lastRenderedPageBreak/>
        <w:t xml:space="preserve">- Oficio CT/UT/ECA/863/2025 de fecha siete de julio de dos mil veinticinco, suscrito y signado por el Titular de la Unidad de Transparencia por medio del cual remitió copia del Acta Décima Novena Sesión Extraordinaria, celebrada el siete de julio de dos mil veinticinco, mediante la cual se aprobó la clasificación de la información como confidencial el plan de contingencia. </w:t>
      </w:r>
    </w:p>
    <w:p w14:paraId="3F599FF4" w14:textId="77777777" w:rsidR="00274EC2" w:rsidRPr="00223FC4" w:rsidRDefault="00274EC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rPr>
        <w:t>- Acta de Sesión Extraordinaria del Comité de Transparencia del H. Ayuntamiento de Ecatepec de Morelos número ACT/ECA/CT/EXT/19°/2025 en la que se confirma por unanimidad de votos la cla</w:t>
      </w:r>
      <w:r w:rsidR="006751CC" w:rsidRPr="00223FC4">
        <w:rPr>
          <w:rFonts w:ascii="Palatino Linotype" w:eastAsia="Palatino Linotype" w:hAnsi="Palatino Linotype" w:cs="Palatino Linotype"/>
        </w:rPr>
        <w:t xml:space="preserve">sificación dela información como confidencial. </w:t>
      </w:r>
    </w:p>
    <w:p w14:paraId="6C5A30D9" w14:textId="77777777" w:rsidR="007E6F01" w:rsidRPr="00223FC4" w:rsidRDefault="00F34DA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Por otro lado, la parte </w:t>
      </w:r>
      <w:r w:rsidRPr="00223FC4">
        <w:rPr>
          <w:rFonts w:ascii="Palatino Linotype" w:eastAsia="Palatino Linotype" w:hAnsi="Palatino Linotype" w:cs="Palatino Linotype"/>
          <w:b/>
        </w:rPr>
        <w:t>RECURRENTE</w:t>
      </w:r>
      <w:r w:rsidRPr="00223FC4">
        <w:rPr>
          <w:rFonts w:ascii="Palatino Linotype" w:eastAsia="Palatino Linotype" w:hAnsi="Palatino Linotype" w:cs="Palatino Linotype"/>
        </w:rPr>
        <w:t xml:space="preserve"> no realizó manifestaciones ni formuló alegatos que conforme a derecho resultaran procedentes. </w:t>
      </w:r>
    </w:p>
    <w:p w14:paraId="5B10F389" w14:textId="77777777" w:rsidR="006751CC" w:rsidRPr="00223FC4" w:rsidRDefault="00F34DA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b/>
        </w:rPr>
        <w:t xml:space="preserve">7. </w:t>
      </w:r>
      <w:r w:rsidR="006751CC" w:rsidRPr="00223FC4">
        <w:rPr>
          <w:rFonts w:ascii="Palatino Linotype" w:eastAsia="Palatino Linotype" w:hAnsi="Palatino Linotype" w:cs="Palatino Linotype"/>
          <w:b/>
        </w:rPr>
        <w:t xml:space="preserve">Ampliación de plazo. </w:t>
      </w:r>
      <w:r w:rsidR="006751CC" w:rsidRPr="00223FC4">
        <w:rPr>
          <w:rFonts w:ascii="Palatino Linotype" w:eastAsia="Palatino Linotype" w:hAnsi="Palatino Linotype" w:cs="Palatino Linotype"/>
        </w:rPr>
        <w:t xml:space="preserve">El </w:t>
      </w:r>
      <w:r w:rsidR="006751CC" w:rsidRPr="00223FC4">
        <w:rPr>
          <w:rFonts w:ascii="Palatino Linotype" w:eastAsia="Palatino Linotype" w:hAnsi="Palatino Linotype" w:cs="Palatino Linotype"/>
          <w:b/>
        </w:rPr>
        <w:t>veinticinco de septiembre de dos mil veinticinco</w:t>
      </w:r>
      <w:r w:rsidR="006751CC" w:rsidRPr="00223FC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45BAE9B" w14:textId="77777777" w:rsidR="006751CC" w:rsidRPr="00223FC4" w:rsidRDefault="006751C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C463000" w14:textId="77777777" w:rsidR="006751CC" w:rsidRPr="00223FC4" w:rsidRDefault="006751CC" w:rsidP="006751C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BAC329C" w14:textId="77777777" w:rsidR="006751CC" w:rsidRPr="00223FC4" w:rsidRDefault="006751CC" w:rsidP="006751C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81E76DE" w14:textId="77777777" w:rsidR="006751CC" w:rsidRPr="00223FC4" w:rsidRDefault="006751CC" w:rsidP="006751C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3C30793" w14:textId="77777777" w:rsidR="006751CC" w:rsidRPr="00223FC4" w:rsidRDefault="006751CC" w:rsidP="006751C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C0685F0" w14:textId="77777777" w:rsidR="006751CC" w:rsidRPr="00223FC4" w:rsidRDefault="006751CC" w:rsidP="006751C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214D4BD7" w14:textId="77777777" w:rsidR="006751CC" w:rsidRPr="00223FC4" w:rsidRDefault="006751CC" w:rsidP="006751CC">
      <w:pPr>
        <w:numPr>
          <w:ilvl w:val="0"/>
          <w:numId w:val="6"/>
        </w:numPr>
        <w:pBdr>
          <w:top w:val="nil"/>
          <w:left w:val="nil"/>
          <w:bottom w:val="nil"/>
          <w:right w:val="nil"/>
          <w:between w:val="nil"/>
        </w:pBdr>
        <w:spacing w:after="0" w:line="360" w:lineRule="auto"/>
        <w:ind w:left="709" w:right="560"/>
        <w:jc w:val="both"/>
        <w:rPr>
          <w:rFonts w:ascii="Palatino Linotype" w:eastAsia="Palatino Linotype" w:hAnsi="Palatino Linotype" w:cs="Palatino Linotype"/>
        </w:rPr>
      </w:pPr>
      <w:r w:rsidRPr="00223FC4">
        <w:rPr>
          <w:rFonts w:ascii="Palatino Linotype" w:eastAsia="Palatino Linotype" w:hAnsi="Palatino Linotype" w:cs="Palatino Linotype"/>
          <w:b/>
        </w:rPr>
        <w:t>Complejidad del Asunto:</w:t>
      </w:r>
      <w:r w:rsidRPr="00223FC4">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2D633021" w14:textId="77777777" w:rsidR="006751CC" w:rsidRPr="00223FC4" w:rsidRDefault="006751CC" w:rsidP="006751CC">
      <w:pPr>
        <w:numPr>
          <w:ilvl w:val="0"/>
          <w:numId w:val="6"/>
        </w:numPr>
        <w:pBdr>
          <w:top w:val="nil"/>
          <w:left w:val="nil"/>
          <w:bottom w:val="nil"/>
          <w:right w:val="nil"/>
          <w:between w:val="nil"/>
        </w:pBdr>
        <w:spacing w:after="0" w:line="360" w:lineRule="auto"/>
        <w:ind w:left="709" w:right="560"/>
        <w:jc w:val="both"/>
        <w:rPr>
          <w:rFonts w:ascii="Palatino Linotype" w:eastAsia="Palatino Linotype" w:hAnsi="Palatino Linotype" w:cs="Palatino Linotype"/>
        </w:rPr>
      </w:pPr>
      <w:r w:rsidRPr="00223FC4">
        <w:rPr>
          <w:rFonts w:ascii="Palatino Linotype" w:eastAsia="Palatino Linotype" w:hAnsi="Palatino Linotype" w:cs="Palatino Linotype"/>
          <w:b/>
        </w:rPr>
        <w:t>Actividad Procesal del interesado.</w:t>
      </w:r>
      <w:r w:rsidRPr="00223FC4">
        <w:rPr>
          <w:rFonts w:ascii="Palatino Linotype" w:eastAsia="Palatino Linotype" w:hAnsi="Palatino Linotype" w:cs="Palatino Linotype"/>
        </w:rPr>
        <w:t xml:space="preserve"> Acciones u omisiones del interesado.</w:t>
      </w:r>
    </w:p>
    <w:p w14:paraId="513A1E3B" w14:textId="77777777" w:rsidR="006751CC" w:rsidRPr="00223FC4" w:rsidRDefault="006751CC" w:rsidP="006751CC">
      <w:pPr>
        <w:numPr>
          <w:ilvl w:val="0"/>
          <w:numId w:val="6"/>
        </w:numPr>
        <w:pBdr>
          <w:top w:val="nil"/>
          <w:left w:val="nil"/>
          <w:bottom w:val="nil"/>
          <w:right w:val="nil"/>
          <w:between w:val="nil"/>
        </w:pBdr>
        <w:spacing w:after="0" w:line="360" w:lineRule="auto"/>
        <w:ind w:left="709" w:right="560"/>
        <w:jc w:val="both"/>
        <w:rPr>
          <w:rFonts w:ascii="Palatino Linotype" w:eastAsia="Palatino Linotype" w:hAnsi="Palatino Linotype" w:cs="Palatino Linotype"/>
        </w:rPr>
      </w:pPr>
      <w:r w:rsidRPr="00223FC4">
        <w:rPr>
          <w:rFonts w:ascii="Palatino Linotype" w:eastAsia="Palatino Linotype" w:hAnsi="Palatino Linotype" w:cs="Palatino Linotype"/>
          <w:b/>
        </w:rPr>
        <w:t>Conducta de la Autoridad:</w:t>
      </w:r>
      <w:r w:rsidRPr="00223FC4">
        <w:rPr>
          <w:rFonts w:ascii="Palatino Linotype" w:eastAsia="Palatino Linotype" w:hAnsi="Palatino Linotype" w:cs="Palatino Linotype"/>
        </w:rPr>
        <w:t xml:space="preserve"> Las Acciones u omisiones realizadas en el procedimiento. Así como si la autoridad actuó con la debida diligencia.</w:t>
      </w:r>
    </w:p>
    <w:p w14:paraId="3DA698C6" w14:textId="77777777" w:rsidR="006751CC" w:rsidRPr="00223FC4" w:rsidRDefault="006751CC" w:rsidP="006751CC">
      <w:pPr>
        <w:numPr>
          <w:ilvl w:val="0"/>
          <w:numId w:val="6"/>
        </w:numPr>
        <w:pBdr>
          <w:top w:val="nil"/>
          <w:left w:val="nil"/>
          <w:bottom w:val="nil"/>
          <w:right w:val="nil"/>
          <w:between w:val="nil"/>
        </w:pBdr>
        <w:spacing w:after="0" w:line="360" w:lineRule="auto"/>
        <w:ind w:left="709" w:right="560"/>
        <w:jc w:val="both"/>
        <w:rPr>
          <w:rFonts w:ascii="Palatino Linotype" w:eastAsia="Palatino Linotype" w:hAnsi="Palatino Linotype" w:cs="Palatino Linotype"/>
        </w:rPr>
      </w:pPr>
      <w:r w:rsidRPr="00223FC4">
        <w:rPr>
          <w:rFonts w:ascii="Palatino Linotype" w:eastAsia="Palatino Linotype" w:hAnsi="Palatino Linotype" w:cs="Palatino Linotype"/>
          <w:b/>
        </w:rPr>
        <w:t>La afectación generada en la situación jurídica de la persona involucrada en el proceso:</w:t>
      </w:r>
      <w:r w:rsidRPr="00223FC4">
        <w:rPr>
          <w:rFonts w:ascii="Palatino Linotype" w:eastAsia="Palatino Linotype" w:hAnsi="Palatino Linotype" w:cs="Palatino Linotype"/>
        </w:rPr>
        <w:t xml:space="preserve"> Violación a sus derechos humanos.</w:t>
      </w:r>
    </w:p>
    <w:p w14:paraId="3B3FA784" w14:textId="77777777" w:rsidR="006751CC" w:rsidRPr="00223FC4" w:rsidRDefault="006751CC" w:rsidP="006751CC">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140A46A7" w14:textId="77777777" w:rsidR="006751CC" w:rsidRPr="00223FC4" w:rsidRDefault="006751CC" w:rsidP="006751C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452405" w14:textId="77777777" w:rsidR="006751CC" w:rsidRPr="00223FC4" w:rsidRDefault="006751CC" w:rsidP="006751C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23FC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23FC4">
        <w:rPr>
          <w:rFonts w:ascii="Palatino Linotype" w:eastAsia="Palatino Linotype" w:hAnsi="Palatino Linotype" w:cs="Palatino Linotype"/>
        </w:rPr>
        <w:t>, visible en la Gaceta del Seminario Judicial de la Federación con el registro digital 205635.</w:t>
      </w:r>
    </w:p>
    <w:p w14:paraId="1C83CC3B" w14:textId="77777777" w:rsidR="006751CC" w:rsidRPr="00223FC4" w:rsidRDefault="006751CC" w:rsidP="006751C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3EA2F1" w14:textId="77777777" w:rsidR="006751CC" w:rsidRPr="00223FC4" w:rsidRDefault="006751CC" w:rsidP="006751C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8FDB12D" w14:textId="77777777" w:rsidR="006751CC" w:rsidRPr="00223FC4" w:rsidRDefault="006751CC" w:rsidP="006751CC">
      <w:pPr>
        <w:pBdr>
          <w:top w:val="nil"/>
          <w:left w:val="nil"/>
          <w:bottom w:val="nil"/>
          <w:right w:val="nil"/>
          <w:between w:val="nil"/>
        </w:pBdr>
        <w:spacing w:line="360" w:lineRule="auto"/>
        <w:ind w:left="851" w:right="843"/>
        <w:jc w:val="both"/>
        <w:rPr>
          <w:rFonts w:ascii="Palatino Linotype" w:eastAsia="Palatino Linotype" w:hAnsi="Palatino Linotype" w:cs="Palatino Linotype"/>
        </w:rPr>
      </w:pPr>
      <w:r w:rsidRPr="00223FC4">
        <w:rPr>
          <w:rFonts w:ascii="Palatino Linotype" w:eastAsia="Palatino Linotype" w:hAnsi="Palatino Linotype" w:cs="Palatino Linotype"/>
          <w:i/>
        </w:rPr>
        <w:t>“PLAZO RAZONABLE PARA RESOLVER. DIMENSIÓN Y EFECTOS DE ESTE CONCEPTO CUANDO SE ADUCE EXCESIVA CARGA DE TRABAJO.”</w:t>
      </w:r>
      <w:r w:rsidRPr="00223FC4">
        <w:rPr>
          <w:rFonts w:ascii="Palatino Linotype" w:eastAsia="Palatino Linotype" w:hAnsi="Palatino Linotype" w:cs="Palatino Linotype"/>
        </w:rPr>
        <w:t xml:space="preserve"> consultable en el Seminario Judicial de la Federación y su gaceta, con el registro digital 2002351.</w:t>
      </w:r>
    </w:p>
    <w:p w14:paraId="0782B29D" w14:textId="77777777" w:rsidR="006751CC" w:rsidRPr="00223FC4" w:rsidRDefault="006751CC" w:rsidP="006751CC">
      <w:pPr>
        <w:pBdr>
          <w:top w:val="nil"/>
          <w:left w:val="nil"/>
          <w:bottom w:val="nil"/>
          <w:right w:val="nil"/>
          <w:between w:val="nil"/>
        </w:pBdr>
        <w:spacing w:line="360" w:lineRule="auto"/>
        <w:ind w:left="851" w:right="843"/>
        <w:jc w:val="both"/>
        <w:rPr>
          <w:rFonts w:ascii="Palatino Linotype" w:eastAsia="Palatino Linotype" w:hAnsi="Palatino Linotype" w:cs="Palatino Linotype"/>
        </w:rPr>
      </w:pPr>
      <w:r w:rsidRPr="00223FC4">
        <w:rPr>
          <w:rFonts w:ascii="Palatino Linotype" w:eastAsia="Palatino Linotype" w:hAnsi="Palatino Linotype" w:cs="Palatino Linotype"/>
          <w:i/>
        </w:rPr>
        <w:t>“PLAZO RAZONABLE PARA RESOLVER. CONCEPTO Y ELEMENTOS QUE LO INTEGRAN A LA LUZ DEL DERECHO INTERNACIONAL DE LOS DERECHOS HUMANOS.”</w:t>
      </w:r>
      <w:r w:rsidRPr="00223FC4">
        <w:rPr>
          <w:rFonts w:ascii="Palatino Linotype" w:eastAsia="Palatino Linotype" w:hAnsi="Palatino Linotype" w:cs="Palatino Linotype"/>
        </w:rPr>
        <w:t>, visible en el Seminario Judicial de la Federación y su gaceta, con el registro digital 2002350.</w:t>
      </w:r>
    </w:p>
    <w:p w14:paraId="3C0AEB68" w14:textId="77777777" w:rsidR="006751CC" w:rsidRPr="00223FC4" w:rsidRDefault="006751CC" w:rsidP="006751C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9F5BB5E" w14:textId="77777777" w:rsidR="007E6F01" w:rsidRPr="00223FC4" w:rsidRDefault="00F34DA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b/>
        </w:rPr>
        <w:t>Cierre de instrucción</w:t>
      </w:r>
      <w:r w:rsidRPr="00223FC4">
        <w:rPr>
          <w:rFonts w:ascii="Palatino Linotype" w:eastAsia="Palatino Linotype" w:hAnsi="Palatino Linotype" w:cs="Palatino Linotype"/>
        </w:rPr>
        <w:t xml:space="preserve">. En fecha </w:t>
      </w:r>
      <w:r w:rsidR="006751CC" w:rsidRPr="00223FC4">
        <w:rPr>
          <w:rFonts w:ascii="Palatino Linotype" w:eastAsia="Palatino Linotype" w:hAnsi="Palatino Linotype" w:cs="Palatino Linotype"/>
          <w:b/>
        </w:rPr>
        <w:t>uno de octubre</w:t>
      </w:r>
      <w:r w:rsidRPr="00223FC4">
        <w:rPr>
          <w:rFonts w:ascii="Palatino Linotype" w:eastAsia="Palatino Linotype" w:hAnsi="Palatino Linotype" w:cs="Palatino Linotype"/>
          <w:b/>
        </w:rPr>
        <w:t xml:space="preserve"> de dos mil veinticinco</w:t>
      </w:r>
      <w:r w:rsidRPr="00223FC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321BCAC" w14:textId="77777777" w:rsidR="007E6F01" w:rsidRPr="00223FC4" w:rsidRDefault="007E6F0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04FDCD1" w14:textId="77777777" w:rsidR="007E6F01" w:rsidRPr="00223FC4" w:rsidRDefault="00F34DA2">
      <w:pPr>
        <w:spacing w:after="0"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02D6F899" w14:textId="77777777" w:rsidR="007E6F01" w:rsidRPr="00223FC4" w:rsidRDefault="007E6F01">
      <w:pPr>
        <w:spacing w:after="0" w:line="360" w:lineRule="auto"/>
        <w:ind w:right="49"/>
        <w:jc w:val="both"/>
        <w:rPr>
          <w:rFonts w:ascii="Palatino Linotype" w:eastAsia="Palatino Linotype" w:hAnsi="Palatino Linotype" w:cs="Palatino Linotype"/>
        </w:rPr>
      </w:pPr>
    </w:p>
    <w:p w14:paraId="0C0BC1AE" w14:textId="77777777" w:rsidR="007E6F01" w:rsidRPr="00223FC4" w:rsidRDefault="00F34DA2">
      <w:pPr>
        <w:spacing w:after="0" w:line="360" w:lineRule="auto"/>
        <w:ind w:right="49"/>
        <w:jc w:val="center"/>
        <w:rPr>
          <w:rFonts w:ascii="Palatino Linotype" w:eastAsia="Palatino Linotype" w:hAnsi="Palatino Linotype" w:cs="Palatino Linotype"/>
          <w:b/>
        </w:rPr>
      </w:pPr>
      <w:r w:rsidRPr="00223FC4">
        <w:rPr>
          <w:rFonts w:ascii="Palatino Linotype" w:eastAsia="Palatino Linotype" w:hAnsi="Palatino Linotype" w:cs="Palatino Linotype"/>
          <w:b/>
        </w:rPr>
        <w:t>II.</w:t>
      </w:r>
      <w:r w:rsidRPr="00223FC4">
        <w:rPr>
          <w:rFonts w:ascii="Palatino Linotype" w:eastAsia="Palatino Linotype" w:hAnsi="Palatino Linotype" w:cs="Palatino Linotype"/>
          <w:b/>
        </w:rPr>
        <w:tab/>
        <w:t>C O N S I D E R A N D O:</w:t>
      </w:r>
    </w:p>
    <w:p w14:paraId="3A11D740" w14:textId="77777777" w:rsidR="007E6F01" w:rsidRPr="00223FC4" w:rsidRDefault="007E6F01">
      <w:pPr>
        <w:spacing w:after="0" w:line="360" w:lineRule="auto"/>
        <w:ind w:right="49"/>
        <w:jc w:val="both"/>
        <w:rPr>
          <w:rFonts w:ascii="Palatino Linotype" w:eastAsia="Palatino Linotype" w:hAnsi="Palatino Linotype" w:cs="Palatino Linotype"/>
        </w:rPr>
      </w:pPr>
    </w:p>
    <w:p w14:paraId="597B9512" w14:textId="77777777" w:rsidR="007E6F01" w:rsidRPr="00223FC4" w:rsidRDefault="00F34DA2">
      <w:pPr>
        <w:spacing w:after="0"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b/>
        </w:rPr>
        <w:t>Primero. Competencia.</w:t>
      </w:r>
      <w:r w:rsidRPr="00223FC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512B47E" w14:textId="77777777" w:rsidR="007E6F01" w:rsidRPr="00223FC4" w:rsidRDefault="007E6F01">
      <w:pPr>
        <w:spacing w:after="0" w:line="360" w:lineRule="auto"/>
        <w:ind w:right="49"/>
        <w:jc w:val="both"/>
        <w:rPr>
          <w:rFonts w:ascii="Palatino Linotype" w:eastAsia="Palatino Linotype" w:hAnsi="Palatino Linotype" w:cs="Palatino Linotype"/>
        </w:rPr>
      </w:pPr>
    </w:p>
    <w:p w14:paraId="69A3479F" w14:textId="77777777" w:rsidR="006751CC" w:rsidRPr="00223FC4" w:rsidRDefault="00F34DA2" w:rsidP="006751CC">
      <w:pPr>
        <w:spacing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b/>
        </w:rPr>
        <w:t>Segundo. Oportunidad y Procedibilidad del Recurso de Revisión</w:t>
      </w:r>
      <w:r w:rsidRPr="00223FC4">
        <w:rPr>
          <w:rFonts w:ascii="Palatino Linotype" w:eastAsia="Palatino Linotype" w:hAnsi="Palatino Linotype" w:cs="Palatino Linotype"/>
        </w:rPr>
        <w:t xml:space="preserve">. </w:t>
      </w:r>
      <w:r w:rsidR="006751CC" w:rsidRPr="00223FC4">
        <w:rPr>
          <w:rFonts w:ascii="Palatino Linotype" w:eastAsia="Palatino Linotype" w:hAnsi="Palatino Linotype" w:cs="Palatino Linotype"/>
        </w:rPr>
        <w:t>Es de precisar que la</w:t>
      </w:r>
      <w:r w:rsidR="006751CC" w:rsidRPr="00223FC4">
        <w:rPr>
          <w:rFonts w:ascii="Palatino Linotype" w:eastAsia="Palatino Linotype" w:hAnsi="Palatino Linotype" w:cs="Palatino Linotype"/>
          <w:b/>
        </w:rPr>
        <w:t xml:space="preserve"> </w:t>
      </w:r>
      <w:r w:rsidR="006751CC" w:rsidRPr="00223FC4">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37FF96B9" w14:textId="77777777" w:rsidR="006751CC" w:rsidRPr="00223FC4" w:rsidRDefault="006751CC" w:rsidP="006751CC">
      <w:pPr>
        <w:spacing w:line="276" w:lineRule="auto"/>
        <w:ind w:left="851" w:right="616"/>
        <w:jc w:val="both"/>
        <w:rPr>
          <w:rFonts w:ascii="Palatino Linotype" w:eastAsia="Palatino Linotype" w:hAnsi="Palatino Linotype" w:cs="Palatino Linotype"/>
          <w:i/>
        </w:rPr>
      </w:pPr>
      <w:r w:rsidRPr="00223FC4">
        <w:rPr>
          <w:rFonts w:ascii="Palatino Linotype" w:eastAsia="Palatino Linotype" w:hAnsi="Palatino Linotype" w:cs="Palatino Linotype"/>
          <w:i/>
        </w:rPr>
        <w:t>“</w:t>
      </w:r>
      <w:r w:rsidRPr="00223FC4">
        <w:rPr>
          <w:rFonts w:ascii="Palatino Linotype" w:eastAsia="Palatino Linotype" w:hAnsi="Palatino Linotype" w:cs="Palatino Linotype"/>
          <w:b/>
          <w:i/>
        </w:rPr>
        <w:t xml:space="preserve">Artículo 163. </w:t>
      </w:r>
      <w:r w:rsidRPr="00223FC4">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634609A0" w14:textId="77777777" w:rsidR="006751CC" w:rsidRPr="00223FC4" w:rsidRDefault="006751CC" w:rsidP="006751CC">
      <w:pPr>
        <w:spacing w:line="276" w:lineRule="auto"/>
        <w:ind w:left="851" w:right="616"/>
        <w:jc w:val="both"/>
        <w:rPr>
          <w:rFonts w:ascii="Palatino Linotype" w:eastAsia="Palatino Linotype" w:hAnsi="Palatino Linotype" w:cs="Palatino Linotype"/>
          <w:i/>
        </w:rPr>
      </w:pPr>
      <w:r w:rsidRPr="00223FC4">
        <w:rPr>
          <w:rFonts w:ascii="Palatino Linotype" w:eastAsia="Palatino Linotype" w:hAnsi="Palatino Linotype" w:cs="Palatino Linotype"/>
          <w:i/>
        </w:rPr>
        <w:t>…</w:t>
      </w:r>
    </w:p>
    <w:p w14:paraId="10EC37D6" w14:textId="77777777" w:rsidR="006751CC" w:rsidRPr="00223FC4" w:rsidRDefault="006751CC" w:rsidP="006751CC">
      <w:pPr>
        <w:spacing w:line="276" w:lineRule="auto"/>
        <w:ind w:left="851" w:right="616"/>
        <w:jc w:val="both"/>
        <w:rPr>
          <w:rFonts w:ascii="Palatino Linotype" w:eastAsia="Palatino Linotype" w:hAnsi="Palatino Linotype" w:cs="Palatino Linotype"/>
          <w:i/>
        </w:rPr>
      </w:pPr>
      <w:r w:rsidRPr="00223FC4">
        <w:rPr>
          <w:rFonts w:ascii="Palatino Linotype" w:eastAsia="Palatino Linotype" w:hAnsi="Palatino Linotype" w:cs="Palatino Linotype"/>
          <w:b/>
          <w:i/>
        </w:rPr>
        <w:t>Artículo 166.</w:t>
      </w:r>
      <w:r w:rsidRPr="00223FC4">
        <w:rPr>
          <w:rFonts w:ascii="Palatino Linotype" w:eastAsia="Palatino Linotype" w:hAnsi="Palatino Linotype" w:cs="Palatino Linotype"/>
          <w:i/>
        </w:rPr>
        <w:t xml:space="preserve"> […]</w:t>
      </w:r>
    </w:p>
    <w:p w14:paraId="5126D81F" w14:textId="77777777" w:rsidR="006751CC" w:rsidRPr="00223FC4" w:rsidRDefault="006751CC" w:rsidP="006751CC">
      <w:pPr>
        <w:spacing w:line="276" w:lineRule="auto"/>
        <w:ind w:left="851" w:right="616"/>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Cuando el sujeto obligado no entregue la respuesta a la solicitud dentro del plazo previsto en la Ley, la solicitud se entenderá negada y el solicitante podrá interponer el recurso de revisión previsto en este ordenamiento.” </w:t>
      </w:r>
    </w:p>
    <w:p w14:paraId="5A3DECC2" w14:textId="77777777" w:rsidR="006751CC" w:rsidRPr="00223FC4" w:rsidRDefault="006751CC" w:rsidP="006751CC">
      <w:pPr>
        <w:spacing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14B0C3F8" w14:textId="77777777" w:rsidR="006751CC" w:rsidRPr="00223FC4" w:rsidRDefault="006751CC" w:rsidP="006751CC">
      <w:pPr>
        <w:spacing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5C5AAD60" w14:textId="77777777" w:rsidR="006751CC" w:rsidRPr="00223FC4" w:rsidRDefault="006751CC" w:rsidP="006751CC">
      <w:pPr>
        <w:spacing w:line="360" w:lineRule="auto"/>
        <w:jc w:val="both"/>
        <w:rPr>
          <w:rFonts w:ascii="Palatino Linotype" w:eastAsia="Palatino Linotype" w:hAnsi="Palatino Linotype" w:cs="Palatino Linotype"/>
        </w:rPr>
      </w:pPr>
    </w:p>
    <w:p w14:paraId="1DBA2321" w14:textId="77777777" w:rsidR="006751CC" w:rsidRPr="00223FC4" w:rsidRDefault="006751CC" w:rsidP="006751CC">
      <w:pPr>
        <w:spacing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Por su parte, el artículo 178 del citado ordenamiento, establece:</w:t>
      </w:r>
    </w:p>
    <w:p w14:paraId="08E26802" w14:textId="77777777" w:rsidR="006751CC" w:rsidRPr="00223FC4" w:rsidRDefault="006751CC" w:rsidP="006751CC">
      <w:pPr>
        <w:spacing w:line="276" w:lineRule="auto"/>
        <w:ind w:left="851" w:right="616"/>
        <w:jc w:val="both"/>
        <w:rPr>
          <w:rFonts w:ascii="Palatino Linotype" w:eastAsia="Palatino Linotype" w:hAnsi="Palatino Linotype" w:cs="Palatino Linotype"/>
          <w:i/>
        </w:rPr>
      </w:pPr>
      <w:r w:rsidRPr="00223FC4">
        <w:rPr>
          <w:rFonts w:ascii="Palatino Linotype" w:eastAsia="Palatino Linotype" w:hAnsi="Palatino Linotype" w:cs="Palatino Linotype"/>
          <w:i/>
        </w:rPr>
        <w:t>“</w:t>
      </w:r>
      <w:r w:rsidRPr="00223FC4">
        <w:rPr>
          <w:rFonts w:ascii="Palatino Linotype" w:eastAsia="Palatino Linotype" w:hAnsi="Palatino Linotype" w:cs="Palatino Linotype"/>
          <w:b/>
          <w:i/>
        </w:rPr>
        <w:t xml:space="preserve">Artículo 178. </w:t>
      </w:r>
      <w:r w:rsidRPr="00223FC4">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0BCBEFC" w14:textId="77777777" w:rsidR="006751CC" w:rsidRPr="00223FC4" w:rsidRDefault="006751CC" w:rsidP="006751CC">
      <w:pPr>
        <w:spacing w:line="276" w:lineRule="auto"/>
        <w:ind w:left="851" w:right="616"/>
        <w:jc w:val="both"/>
        <w:rPr>
          <w:rFonts w:ascii="Palatino Linotype" w:eastAsia="Palatino Linotype" w:hAnsi="Palatino Linotype" w:cs="Palatino Linotype"/>
          <w:i/>
        </w:rPr>
      </w:pPr>
      <w:r w:rsidRPr="00223FC4">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3F7B479" w14:textId="77777777" w:rsidR="006751CC" w:rsidRPr="00223FC4" w:rsidRDefault="006751CC" w:rsidP="006751CC">
      <w:pPr>
        <w:spacing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223FC4">
        <w:rPr>
          <w:rFonts w:ascii="Palatino Linotype" w:eastAsia="Palatino Linotype" w:hAnsi="Palatino Linotype" w:cs="Palatino Linotype"/>
          <w:b/>
        </w:rPr>
        <w:t xml:space="preserve">Sujeto Obligado </w:t>
      </w:r>
      <w:r w:rsidRPr="00223FC4">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20D3413A" w14:textId="77777777" w:rsidR="006751CC" w:rsidRPr="00223FC4" w:rsidRDefault="006751CC" w:rsidP="006751CC">
      <w:pPr>
        <w:spacing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La negativa ficta constituye una presunción legal, en el entendido de que donde no hubo respuesta por parte del </w:t>
      </w:r>
      <w:r w:rsidRPr="00223FC4">
        <w:rPr>
          <w:rFonts w:ascii="Palatino Linotype" w:eastAsia="Palatino Linotype" w:hAnsi="Palatino Linotype" w:cs="Palatino Linotype"/>
          <w:b/>
        </w:rPr>
        <w:t xml:space="preserve">Sujeto Obligado </w:t>
      </w:r>
      <w:r w:rsidRPr="00223FC4">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37A1B8B" w14:textId="77777777" w:rsidR="006751CC" w:rsidRPr="00223FC4" w:rsidRDefault="006751CC" w:rsidP="006751CC">
      <w:pPr>
        <w:spacing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223FC4">
        <w:rPr>
          <w:rFonts w:ascii="Palatino Linotype" w:eastAsia="Palatino Linotype" w:hAnsi="Palatino Linotype" w:cs="Palatino Linotype"/>
        </w:rPr>
        <w:t>desechamiento</w:t>
      </w:r>
      <w:proofErr w:type="spellEnd"/>
      <w:r w:rsidRPr="00223FC4">
        <w:rPr>
          <w:rFonts w:ascii="Palatino Linotype" w:eastAsia="Palatino Linotype" w:hAnsi="Palatino Linotype" w:cs="Palatino Linotype"/>
        </w:rPr>
        <w:t xml:space="preserve"> del mismo.</w:t>
      </w:r>
    </w:p>
    <w:p w14:paraId="5E7F9CA7" w14:textId="77777777" w:rsidR="006751CC" w:rsidRPr="00223FC4" w:rsidRDefault="006751CC" w:rsidP="006751CC">
      <w:pPr>
        <w:spacing w:line="360" w:lineRule="auto"/>
        <w:jc w:val="both"/>
        <w:rPr>
          <w:rFonts w:ascii="Palatino Linotype" w:eastAsia="Palatino Linotype" w:hAnsi="Palatino Linotype" w:cs="Palatino Linotype"/>
          <w:i/>
        </w:rPr>
      </w:pPr>
      <w:r w:rsidRPr="00223FC4">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223FC4">
        <w:rPr>
          <w:rFonts w:ascii="Palatino Linotype" w:eastAsia="Palatino Linotype" w:hAnsi="Palatino Linotype" w:cs="Palatino Linotype"/>
          <w:b/>
        </w:rPr>
        <w:t>Sujeto Obligado</w:t>
      </w:r>
      <w:r w:rsidRPr="00223FC4">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0A9A7DB" w14:textId="77777777" w:rsidR="006751CC" w:rsidRPr="00223FC4" w:rsidRDefault="006751CC" w:rsidP="006751CC">
      <w:pPr>
        <w:spacing w:line="276" w:lineRule="auto"/>
        <w:ind w:left="851" w:right="616"/>
        <w:jc w:val="both"/>
        <w:rPr>
          <w:rFonts w:ascii="Palatino Linotype" w:eastAsia="Palatino Linotype" w:hAnsi="Palatino Linotype" w:cs="Palatino Linotype"/>
          <w:i/>
        </w:rPr>
      </w:pPr>
      <w:r w:rsidRPr="00223FC4">
        <w:rPr>
          <w:rFonts w:ascii="Palatino Linotype" w:eastAsia="Palatino Linotype" w:hAnsi="Palatino Linotype" w:cs="Palatino Linotype"/>
          <w:b/>
          <w:i/>
        </w:rPr>
        <w:t>“CRITERIO 0001-15. NEGATIVA FICTA. PLAZO PARA INTERPONER EL RECURSO DE REVISIÓN TRATÁNDOSE DE</w:t>
      </w:r>
      <w:r w:rsidRPr="00223FC4">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679959B1" w14:textId="77777777" w:rsidR="006751CC" w:rsidRPr="00223FC4" w:rsidRDefault="006751CC" w:rsidP="006751CC">
      <w:pPr>
        <w:spacing w:line="360" w:lineRule="auto"/>
        <w:jc w:val="both"/>
        <w:rPr>
          <w:rFonts w:ascii="Palatino Linotype" w:eastAsia="Palatino Linotype" w:hAnsi="Palatino Linotype" w:cs="Palatino Linotype"/>
        </w:rPr>
      </w:pPr>
    </w:p>
    <w:p w14:paraId="0112D30A" w14:textId="747BF851" w:rsidR="006751CC" w:rsidRPr="00223FC4" w:rsidRDefault="006751CC" w:rsidP="006751CC">
      <w:pPr>
        <w:spacing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Al mismo tiempo, por cuanto hace a la procedibilidad del recurso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49367DC9" w14:textId="77777777" w:rsidR="00AD0FD6" w:rsidRPr="00223FC4" w:rsidRDefault="00AD0FD6" w:rsidP="00AD0FD6">
      <w:pPr>
        <w:spacing w:before="240" w:after="240" w:line="360" w:lineRule="auto"/>
        <w:ind w:right="49"/>
        <w:jc w:val="both"/>
        <w:rPr>
          <w:rFonts w:ascii="Times New Roman" w:eastAsia="Times New Roman" w:hAnsi="Times New Roman" w:cs="Times New Roman"/>
          <w:sz w:val="24"/>
          <w:szCs w:val="24"/>
        </w:rPr>
      </w:pPr>
      <w:r w:rsidRPr="00223FC4">
        <w:rPr>
          <w:rFonts w:ascii="Palatino Linotype" w:eastAsia="Times New Roman" w:hAnsi="Palatino Linotype" w:cs="Times New Roman"/>
        </w:rPr>
        <w:t xml:space="preserve">Asimismo por cuanto hace a la procedibilidad del recurso de revisión, es de suma importancia señalar que </w:t>
      </w:r>
      <w:r w:rsidRPr="00223FC4">
        <w:rPr>
          <w:rFonts w:ascii="Palatino Linotype" w:eastAsia="Times New Roman" w:hAnsi="Palatino Linotype" w:cs="Times New Roman"/>
          <w:b/>
          <w:bCs/>
        </w:rPr>
        <w:t>la parte</w:t>
      </w:r>
      <w:r w:rsidRPr="00223FC4">
        <w:rPr>
          <w:rFonts w:ascii="Palatino Linotype" w:eastAsia="Times New Roman" w:hAnsi="Palatino Linotype" w:cs="Times New Roman"/>
        </w:rPr>
        <w:t xml:space="preserve"> </w:t>
      </w:r>
      <w:r w:rsidRPr="00223FC4">
        <w:rPr>
          <w:rFonts w:ascii="Palatino Linotype" w:eastAsia="Times New Roman" w:hAnsi="Palatino Linotype" w:cs="Times New Roman"/>
          <w:b/>
          <w:bCs/>
        </w:rPr>
        <w:t>Recurrente</w:t>
      </w:r>
      <w:r w:rsidRPr="00223FC4">
        <w:rPr>
          <w:rFonts w:ascii="Palatino Linotype" w:eastAsia="Times New Roman" w:hAnsi="Palatino Linotype" w:cs="Times New Roman"/>
        </w:rPr>
        <w:t xml:space="preserve"> </w:t>
      </w:r>
      <w:r w:rsidRPr="00223FC4">
        <w:rPr>
          <w:rFonts w:ascii="Palatino Linotype" w:eastAsia="Times New Roman" w:hAnsi="Palatino Linotype" w:cs="Times New Roman"/>
          <w:b/>
          <w:bCs/>
          <w:u w:val="single"/>
        </w:rPr>
        <w:t>no proporcionó nombre o seudónimo</w:t>
      </w:r>
      <w:r w:rsidRPr="00223FC4">
        <w:rPr>
          <w:rFonts w:ascii="Palatino Linotype" w:eastAsia="Times New Roman" w:hAnsi="Palatino Linotype" w:cs="Times New Roman"/>
        </w:rPr>
        <w:t xml:space="preserve"> con el que desea que se le identifique</w:t>
      </w:r>
      <w:r w:rsidRPr="00223FC4">
        <w:rPr>
          <w:rFonts w:ascii="Palatino Linotype" w:eastAsia="Times New Roman" w:hAnsi="Palatino Linotype" w:cs="Times New Roman"/>
          <w:b/>
          <w:bCs/>
        </w:rPr>
        <w:t>,</w:t>
      </w:r>
      <w:r w:rsidRPr="00223FC4">
        <w:rPr>
          <w:rFonts w:ascii="Palatino Linotype" w:eastAsia="Times New Roman" w:hAnsi="Palatino Linotype" w:cs="Times New Roman"/>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A845977" w14:textId="77777777" w:rsidR="00AD0FD6" w:rsidRPr="00223FC4" w:rsidRDefault="00AD0FD6" w:rsidP="00AD0FD6">
      <w:pPr>
        <w:spacing w:before="240" w:after="240" w:line="240" w:lineRule="auto"/>
        <w:ind w:left="851" w:right="902"/>
        <w:jc w:val="both"/>
        <w:rPr>
          <w:rFonts w:ascii="Times New Roman" w:eastAsia="Times New Roman" w:hAnsi="Times New Roman" w:cs="Times New Roman"/>
          <w:sz w:val="24"/>
          <w:szCs w:val="24"/>
        </w:rPr>
      </w:pPr>
      <w:r w:rsidRPr="00223FC4">
        <w:rPr>
          <w:rFonts w:ascii="Palatino Linotype" w:eastAsia="Times New Roman" w:hAnsi="Palatino Linotype" w:cs="Times New Roman"/>
          <w:i/>
          <w:iCs/>
        </w:rPr>
        <w:t>"</w:t>
      </w:r>
      <w:r w:rsidRPr="00223FC4">
        <w:rPr>
          <w:rFonts w:ascii="Palatino Linotype" w:eastAsia="Times New Roman" w:hAnsi="Palatino Linotype" w:cs="Times New Roman"/>
          <w:b/>
          <w:bCs/>
          <w:i/>
          <w:iCs/>
        </w:rPr>
        <w:t xml:space="preserve">Las solicitudes </w:t>
      </w:r>
      <w:r w:rsidRPr="00223FC4">
        <w:rPr>
          <w:rFonts w:ascii="Palatino Linotype" w:eastAsia="Times New Roman" w:hAnsi="Palatino Linotype" w:cs="Times New Roman"/>
          <w:i/>
          <w:iCs/>
        </w:rPr>
        <w:t xml:space="preserve">anónimas, con </w:t>
      </w:r>
      <w:r w:rsidRPr="00223FC4">
        <w:rPr>
          <w:rFonts w:ascii="Palatino Linotype" w:eastAsia="Times New Roman" w:hAnsi="Palatino Linotype" w:cs="Times New Roman"/>
          <w:b/>
          <w:bCs/>
          <w:i/>
          <w:iCs/>
        </w:rPr>
        <w:t>nombre incompleto o seudónimo</w:t>
      </w:r>
      <w:r w:rsidRPr="00223FC4">
        <w:rPr>
          <w:rFonts w:ascii="Palatino Linotype" w:eastAsia="Times New Roman" w:hAnsi="Palatino Linotype" w:cs="Times New Roman"/>
          <w:i/>
          <w:iCs/>
        </w:rPr>
        <w:t xml:space="preserve"> </w:t>
      </w:r>
      <w:r w:rsidRPr="00223FC4">
        <w:rPr>
          <w:rFonts w:ascii="Palatino Linotype" w:eastAsia="Times New Roman" w:hAnsi="Palatino Linotype" w:cs="Times New Roman"/>
          <w:b/>
          <w:bCs/>
          <w:i/>
          <w:iCs/>
        </w:rPr>
        <w:t>serán procedentes para su trámite por parte del sujeto obligado ante quien se presente</w:t>
      </w:r>
      <w:r w:rsidRPr="00223FC4">
        <w:rPr>
          <w:rFonts w:ascii="Palatino Linotype" w:eastAsia="Times New Roman" w:hAnsi="Palatino Linotype" w:cs="Times New Roman"/>
          <w:i/>
          <w:iCs/>
        </w:rPr>
        <w:t>. No podrá requerirse información adicional con motivo del nombre proporcionado por el solicitante."(Énfasis añadido)</w:t>
      </w:r>
    </w:p>
    <w:p w14:paraId="4A36E426" w14:textId="77777777" w:rsidR="006751CC" w:rsidRPr="00223FC4" w:rsidRDefault="006751CC" w:rsidP="006751CC">
      <w:pPr>
        <w:spacing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19ABF1AC" w14:textId="77777777" w:rsidR="006751CC" w:rsidRPr="00223FC4" w:rsidRDefault="006751CC" w:rsidP="006751CC">
      <w:pPr>
        <w:tabs>
          <w:tab w:val="left" w:pos="1134"/>
        </w:tabs>
        <w:spacing w:line="276" w:lineRule="auto"/>
        <w:ind w:left="851" w:right="616"/>
        <w:jc w:val="both"/>
        <w:rPr>
          <w:rFonts w:ascii="Palatino Linotype" w:eastAsia="Palatino Linotype" w:hAnsi="Palatino Linotype" w:cs="Palatino Linotype"/>
          <w:i/>
        </w:rPr>
      </w:pPr>
      <w:r w:rsidRPr="00223FC4">
        <w:rPr>
          <w:rFonts w:ascii="Palatino Linotype" w:eastAsia="Palatino Linotype" w:hAnsi="Palatino Linotype" w:cs="Palatino Linotype"/>
          <w:i/>
        </w:rPr>
        <w:t>“</w:t>
      </w:r>
      <w:r w:rsidRPr="00223FC4">
        <w:rPr>
          <w:rFonts w:ascii="Palatino Linotype" w:eastAsia="Palatino Linotype" w:hAnsi="Palatino Linotype" w:cs="Palatino Linotype"/>
          <w:b/>
          <w:i/>
        </w:rPr>
        <w:t xml:space="preserve">Artículo 179. </w:t>
      </w:r>
      <w:r w:rsidRPr="00223FC4">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74632587" w14:textId="77777777" w:rsidR="006751CC" w:rsidRPr="00223FC4" w:rsidRDefault="006751CC" w:rsidP="006751CC">
      <w:pPr>
        <w:tabs>
          <w:tab w:val="left" w:pos="1134"/>
        </w:tabs>
        <w:spacing w:line="276" w:lineRule="auto"/>
        <w:ind w:left="851" w:right="616"/>
        <w:jc w:val="both"/>
        <w:rPr>
          <w:rFonts w:ascii="Palatino Linotype" w:eastAsia="Palatino Linotype" w:hAnsi="Palatino Linotype" w:cs="Palatino Linotype"/>
          <w:i/>
        </w:rPr>
      </w:pPr>
      <w:r w:rsidRPr="00223FC4">
        <w:rPr>
          <w:rFonts w:ascii="Palatino Linotype" w:eastAsia="Palatino Linotype" w:hAnsi="Palatino Linotype" w:cs="Palatino Linotype"/>
          <w:i/>
        </w:rPr>
        <w:t>…</w:t>
      </w:r>
    </w:p>
    <w:p w14:paraId="1AA3A847" w14:textId="77777777" w:rsidR="006751CC" w:rsidRPr="00223FC4" w:rsidRDefault="006751CC" w:rsidP="006751CC">
      <w:pPr>
        <w:tabs>
          <w:tab w:val="left" w:pos="1134"/>
        </w:tabs>
        <w:spacing w:line="276" w:lineRule="auto"/>
        <w:ind w:left="851" w:right="616"/>
        <w:jc w:val="both"/>
        <w:rPr>
          <w:rFonts w:ascii="Palatino Linotype" w:eastAsia="Palatino Linotype" w:hAnsi="Palatino Linotype" w:cs="Palatino Linotype"/>
          <w:i/>
        </w:rPr>
      </w:pPr>
      <w:r w:rsidRPr="00223FC4">
        <w:rPr>
          <w:rFonts w:ascii="Palatino Linotype" w:eastAsia="Palatino Linotype" w:hAnsi="Palatino Linotype" w:cs="Palatino Linotype"/>
          <w:b/>
          <w:i/>
        </w:rPr>
        <w:t xml:space="preserve">VII. </w:t>
      </w:r>
      <w:r w:rsidRPr="00223FC4">
        <w:rPr>
          <w:rFonts w:ascii="Palatino Linotype" w:eastAsia="Palatino Linotype" w:hAnsi="Palatino Linotype" w:cs="Palatino Linotype"/>
          <w:i/>
        </w:rPr>
        <w:t>La falta de respuesta a una solicitud de acceso a la información;”</w:t>
      </w:r>
    </w:p>
    <w:p w14:paraId="137B6591" w14:textId="77777777" w:rsidR="006751CC" w:rsidRPr="00223FC4" w:rsidRDefault="006751CC" w:rsidP="006751CC">
      <w:pPr>
        <w:spacing w:line="360" w:lineRule="auto"/>
        <w:jc w:val="both"/>
        <w:rPr>
          <w:rFonts w:ascii="Palatino Linotype" w:eastAsia="Palatino Linotype" w:hAnsi="Palatino Linotype" w:cs="Palatino Linotype"/>
        </w:rPr>
      </w:pPr>
    </w:p>
    <w:p w14:paraId="7FF420DF" w14:textId="77777777" w:rsidR="006751CC" w:rsidRPr="00223FC4" w:rsidRDefault="006751CC" w:rsidP="006751CC">
      <w:pPr>
        <w:spacing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El precepto legal citado, establece como supuesto de procedencia del recurso de revisión, en aquellos casos en que la parte </w:t>
      </w:r>
      <w:r w:rsidRPr="00223FC4">
        <w:rPr>
          <w:rFonts w:ascii="Palatino Linotype" w:eastAsia="Palatino Linotype" w:hAnsi="Palatino Linotype" w:cs="Palatino Linotype"/>
          <w:b/>
        </w:rPr>
        <w:t xml:space="preserve">Recurrente </w:t>
      </w:r>
      <w:r w:rsidRPr="00223FC4">
        <w:rPr>
          <w:rFonts w:ascii="Palatino Linotype" w:eastAsia="Palatino Linotype" w:hAnsi="Palatino Linotype" w:cs="Palatino Linotype"/>
        </w:rPr>
        <w:t xml:space="preserve">estime negado el acceso a la información por la falta de respuesta por el </w:t>
      </w:r>
      <w:r w:rsidRPr="00223FC4">
        <w:rPr>
          <w:rFonts w:ascii="Palatino Linotype" w:eastAsia="Palatino Linotype" w:hAnsi="Palatino Linotype" w:cs="Palatino Linotype"/>
          <w:b/>
        </w:rPr>
        <w:t>Sujeto Obligado</w:t>
      </w:r>
      <w:r w:rsidRPr="00223FC4">
        <w:rPr>
          <w:rFonts w:ascii="Palatino Linotype" w:eastAsia="Palatino Linotype" w:hAnsi="Palatino Linotype" w:cs="Palatino Linotype"/>
        </w:rPr>
        <w:t xml:space="preserve">, en este asunto se actualiza la hipótesis jurídica citada, en atención a que la parte </w:t>
      </w:r>
      <w:r w:rsidRPr="00223FC4">
        <w:rPr>
          <w:rFonts w:ascii="Palatino Linotype" w:eastAsia="Palatino Linotype" w:hAnsi="Palatino Linotype" w:cs="Palatino Linotype"/>
          <w:b/>
        </w:rPr>
        <w:t>Recurrente</w:t>
      </w:r>
      <w:r w:rsidRPr="00223FC4">
        <w:rPr>
          <w:rFonts w:ascii="Palatino Linotype" w:eastAsia="Palatino Linotype" w:hAnsi="Palatino Linotype" w:cs="Palatino Linotype"/>
        </w:rPr>
        <w:t xml:space="preserve"> combate falta de respuesta por el </w:t>
      </w:r>
      <w:r w:rsidRPr="00223FC4">
        <w:rPr>
          <w:rFonts w:ascii="Palatino Linotype" w:eastAsia="Palatino Linotype" w:hAnsi="Palatino Linotype" w:cs="Palatino Linotype"/>
          <w:b/>
        </w:rPr>
        <w:t>Sujeto Obligado</w:t>
      </w:r>
      <w:r w:rsidRPr="00223FC4">
        <w:rPr>
          <w:rFonts w:ascii="Palatino Linotype" w:eastAsia="Palatino Linotype" w:hAnsi="Palatino Linotype" w:cs="Palatino Linotype"/>
        </w:rPr>
        <w:t xml:space="preserve"> y expresa motivos de inconformidad en contra de dicha circunstancia.</w:t>
      </w:r>
    </w:p>
    <w:p w14:paraId="539E09DD" w14:textId="77777777" w:rsidR="006751CC" w:rsidRPr="00223FC4" w:rsidRDefault="006751CC" w:rsidP="006751CC">
      <w:pPr>
        <w:spacing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b/>
        </w:rPr>
        <w:t>Tercero. Materia de Revisión</w:t>
      </w:r>
      <w:r w:rsidRPr="00223FC4">
        <w:rPr>
          <w:rFonts w:ascii="Palatino Linotype" w:eastAsia="Palatino Linotype" w:hAnsi="Palatino Linotype" w:cs="Palatino Linotype"/>
        </w:rPr>
        <w:t xml:space="preserve">: Este Organismo Garante procede del análisis de los agravios hechos valer por la parte </w:t>
      </w:r>
      <w:r w:rsidRPr="00223FC4">
        <w:rPr>
          <w:rFonts w:ascii="Palatino Linotype" w:eastAsia="Palatino Linotype" w:hAnsi="Palatino Linotype" w:cs="Palatino Linotype"/>
          <w:b/>
          <w:bCs/>
        </w:rPr>
        <w:t>Recurrente</w:t>
      </w:r>
      <w:r w:rsidRPr="00223FC4">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70ED510D" w14:textId="77777777" w:rsidR="007E6F01" w:rsidRPr="00223FC4" w:rsidRDefault="00F34DA2">
      <w:pPr>
        <w:spacing w:after="0"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b/>
        </w:rPr>
        <w:t xml:space="preserve">Cuarto. Estudio de fondo del asunto. </w:t>
      </w:r>
      <w:r w:rsidRPr="00223FC4">
        <w:rPr>
          <w:rFonts w:ascii="Palatino Linotype" w:eastAsia="Palatino Linotype" w:hAnsi="Palatino Linotype" w:cs="Palatino Linotype"/>
        </w:rPr>
        <w:t>Es conveniente analizar si la respuesta del Sujeto Obligado</w:t>
      </w:r>
      <w:r w:rsidRPr="00223FC4">
        <w:rPr>
          <w:rFonts w:ascii="Palatino Linotype" w:eastAsia="Palatino Linotype" w:hAnsi="Palatino Linotype" w:cs="Palatino Linotype"/>
          <w:b/>
        </w:rPr>
        <w:t xml:space="preserve"> </w:t>
      </w:r>
      <w:r w:rsidRPr="00223FC4">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B4B63E5" w14:textId="77777777" w:rsidR="007E6F01" w:rsidRPr="00223FC4" w:rsidRDefault="007E6F01">
      <w:pPr>
        <w:spacing w:after="0" w:line="360" w:lineRule="auto"/>
        <w:jc w:val="both"/>
        <w:rPr>
          <w:rFonts w:ascii="Palatino Linotype" w:eastAsia="Palatino Linotype" w:hAnsi="Palatino Linotype" w:cs="Palatino Linotype"/>
        </w:rPr>
      </w:pPr>
    </w:p>
    <w:p w14:paraId="764431EA" w14:textId="77777777" w:rsidR="007E6F01" w:rsidRPr="00223FC4" w:rsidRDefault="00F34DA2">
      <w:pPr>
        <w:tabs>
          <w:tab w:val="left" w:pos="851"/>
        </w:tabs>
        <w:spacing w:after="0" w:line="276" w:lineRule="auto"/>
        <w:ind w:left="567" w:right="616"/>
        <w:jc w:val="both"/>
        <w:rPr>
          <w:rFonts w:ascii="Palatino Linotype" w:eastAsia="Palatino Linotype" w:hAnsi="Palatino Linotype" w:cs="Palatino Linotype"/>
          <w:i/>
        </w:rPr>
      </w:pPr>
      <w:r w:rsidRPr="00223FC4">
        <w:rPr>
          <w:rFonts w:ascii="Palatino Linotype" w:eastAsia="Palatino Linotype" w:hAnsi="Palatino Linotype" w:cs="Palatino Linotype"/>
          <w:i/>
        </w:rPr>
        <w:t>“</w:t>
      </w:r>
      <w:r w:rsidRPr="00223FC4">
        <w:rPr>
          <w:rFonts w:ascii="Palatino Linotype" w:eastAsia="Palatino Linotype" w:hAnsi="Palatino Linotype" w:cs="Palatino Linotype"/>
          <w:b/>
          <w:i/>
        </w:rPr>
        <w:t>Artículo 4</w:t>
      </w:r>
      <w:r w:rsidRPr="00223FC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13BC32A" w14:textId="77777777" w:rsidR="007E6F01" w:rsidRPr="00223FC4" w:rsidRDefault="00F34DA2">
      <w:pPr>
        <w:tabs>
          <w:tab w:val="left" w:pos="851"/>
        </w:tabs>
        <w:spacing w:after="0" w:line="276" w:lineRule="auto"/>
        <w:ind w:left="567" w:right="616"/>
        <w:jc w:val="both"/>
        <w:rPr>
          <w:rFonts w:ascii="Palatino Linotype" w:eastAsia="Palatino Linotype" w:hAnsi="Palatino Linotype" w:cs="Palatino Linotype"/>
          <w:i/>
        </w:rPr>
      </w:pPr>
      <w:r w:rsidRPr="00223FC4">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223FC4">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CBADE20" w14:textId="77777777" w:rsidR="007E6F01" w:rsidRPr="00223FC4" w:rsidRDefault="00F34DA2">
      <w:pPr>
        <w:tabs>
          <w:tab w:val="left" w:pos="851"/>
        </w:tabs>
        <w:spacing w:after="0" w:line="276" w:lineRule="auto"/>
        <w:ind w:left="567" w:right="616"/>
        <w:jc w:val="both"/>
        <w:rPr>
          <w:rFonts w:ascii="Palatino Linotype" w:eastAsia="Palatino Linotype" w:hAnsi="Palatino Linotype" w:cs="Palatino Linotype"/>
          <w:i/>
        </w:rPr>
      </w:pPr>
      <w:r w:rsidRPr="00223FC4">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223FC4">
        <w:rPr>
          <w:rFonts w:ascii="Palatino Linotype" w:eastAsia="Palatino Linotype" w:hAnsi="Palatino Linotype" w:cs="Palatino Linotype"/>
          <w:i/>
        </w:rPr>
        <w:t>.”</w:t>
      </w:r>
    </w:p>
    <w:p w14:paraId="07E8507D" w14:textId="77777777" w:rsidR="007E6F01" w:rsidRPr="00223FC4" w:rsidRDefault="007E6F01">
      <w:pPr>
        <w:spacing w:after="0" w:line="360" w:lineRule="auto"/>
        <w:jc w:val="both"/>
        <w:rPr>
          <w:rFonts w:ascii="Palatino Linotype" w:eastAsia="Palatino Linotype" w:hAnsi="Palatino Linotype" w:cs="Palatino Linotype"/>
        </w:rPr>
      </w:pPr>
    </w:p>
    <w:p w14:paraId="76647D3C" w14:textId="77777777" w:rsidR="007E6F01" w:rsidRPr="00223FC4" w:rsidRDefault="00F34DA2">
      <w:pPr>
        <w:spacing w:after="0"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8255EFC" w14:textId="77777777" w:rsidR="007E6F01" w:rsidRPr="00223FC4" w:rsidRDefault="007E6F01">
      <w:pPr>
        <w:spacing w:after="0" w:line="276" w:lineRule="auto"/>
        <w:ind w:left="567" w:right="616"/>
        <w:jc w:val="both"/>
        <w:rPr>
          <w:rFonts w:ascii="Palatino Linotype" w:eastAsia="Palatino Linotype" w:hAnsi="Palatino Linotype" w:cs="Palatino Linotype"/>
        </w:rPr>
      </w:pPr>
    </w:p>
    <w:p w14:paraId="1CB9AA83" w14:textId="77777777" w:rsidR="007E6F01" w:rsidRPr="00223FC4" w:rsidRDefault="00F34DA2">
      <w:pPr>
        <w:spacing w:after="0" w:line="276" w:lineRule="auto"/>
        <w:ind w:left="567" w:right="616"/>
        <w:jc w:val="both"/>
        <w:rPr>
          <w:rFonts w:ascii="Palatino Linotype" w:eastAsia="Palatino Linotype" w:hAnsi="Palatino Linotype" w:cs="Palatino Linotype"/>
          <w:i/>
        </w:rPr>
      </w:pPr>
      <w:r w:rsidRPr="00223FC4">
        <w:rPr>
          <w:rFonts w:ascii="Palatino Linotype" w:eastAsia="Palatino Linotype" w:hAnsi="Palatino Linotype" w:cs="Palatino Linotype"/>
          <w:i/>
        </w:rPr>
        <w:t>“</w:t>
      </w:r>
      <w:r w:rsidRPr="00223FC4">
        <w:rPr>
          <w:rFonts w:ascii="Palatino Linotype" w:eastAsia="Palatino Linotype" w:hAnsi="Palatino Linotype" w:cs="Palatino Linotype"/>
          <w:b/>
          <w:i/>
        </w:rPr>
        <w:t>Artículo 12.-</w:t>
      </w:r>
      <w:r w:rsidRPr="00223FC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9CF2993" w14:textId="77777777" w:rsidR="007E6F01" w:rsidRPr="00223FC4" w:rsidRDefault="007E6F01">
      <w:pPr>
        <w:spacing w:after="0" w:line="276" w:lineRule="auto"/>
        <w:ind w:left="567" w:right="616"/>
        <w:jc w:val="both"/>
        <w:rPr>
          <w:rFonts w:ascii="Palatino Linotype" w:eastAsia="Palatino Linotype" w:hAnsi="Palatino Linotype" w:cs="Palatino Linotype"/>
          <w:i/>
        </w:rPr>
      </w:pPr>
    </w:p>
    <w:p w14:paraId="3B7AB8E8" w14:textId="77777777" w:rsidR="007E6F01" w:rsidRPr="00223FC4" w:rsidRDefault="00F34DA2">
      <w:pPr>
        <w:spacing w:after="0" w:line="276" w:lineRule="auto"/>
        <w:ind w:left="567" w:right="616"/>
        <w:jc w:val="both"/>
        <w:rPr>
          <w:rFonts w:ascii="Palatino Linotype" w:eastAsia="Palatino Linotype" w:hAnsi="Palatino Linotype" w:cs="Palatino Linotype"/>
          <w:i/>
        </w:rPr>
      </w:pPr>
      <w:r w:rsidRPr="00223FC4">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223FC4">
        <w:rPr>
          <w:rFonts w:ascii="Palatino Linotype" w:eastAsia="Palatino Linotype" w:hAnsi="Palatino Linotype" w:cs="Palatino Linotype"/>
          <w:i/>
        </w:rPr>
        <w:t xml:space="preserve">. </w:t>
      </w:r>
      <w:r w:rsidRPr="00223FC4">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223FC4">
        <w:rPr>
          <w:rFonts w:ascii="Palatino Linotype" w:eastAsia="Palatino Linotype" w:hAnsi="Palatino Linotype" w:cs="Palatino Linotype"/>
          <w:i/>
        </w:rPr>
        <w:t xml:space="preserve">.” </w:t>
      </w:r>
    </w:p>
    <w:p w14:paraId="6E146136" w14:textId="77777777" w:rsidR="007E6F01" w:rsidRPr="00223FC4" w:rsidRDefault="007E6F01">
      <w:pPr>
        <w:spacing w:after="0" w:line="276" w:lineRule="auto"/>
        <w:ind w:left="567" w:right="616"/>
        <w:jc w:val="both"/>
        <w:rPr>
          <w:rFonts w:ascii="Palatino Linotype" w:eastAsia="Palatino Linotype" w:hAnsi="Palatino Linotype" w:cs="Palatino Linotype"/>
          <w:i/>
        </w:rPr>
      </w:pPr>
    </w:p>
    <w:p w14:paraId="1EE25905" w14:textId="77777777" w:rsidR="007E6F01" w:rsidRPr="00223FC4" w:rsidRDefault="00F34DA2">
      <w:p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C7DC6CB" w14:textId="77777777" w:rsidR="007E6F01" w:rsidRPr="00223FC4" w:rsidRDefault="007E6F01">
      <w:pPr>
        <w:spacing w:after="0" w:line="360" w:lineRule="auto"/>
        <w:ind w:right="-93"/>
        <w:jc w:val="both"/>
        <w:rPr>
          <w:rFonts w:ascii="Palatino Linotype" w:eastAsia="Palatino Linotype" w:hAnsi="Palatino Linotype" w:cs="Palatino Linotype"/>
        </w:rPr>
      </w:pPr>
    </w:p>
    <w:p w14:paraId="30403981" w14:textId="77777777" w:rsidR="007E6F01" w:rsidRPr="00223FC4" w:rsidRDefault="00F34DA2">
      <w:pPr>
        <w:spacing w:after="0" w:line="360" w:lineRule="auto"/>
        <w:jc w:val="both"/>
        <w:rPr>
          <w:rFonts w:ascii="Palatino Linotype" w:eastAsia="Palatino Linotype" w:hAnsi="Palatino Linotype" w:cs="Palatino Linotype"/>
          <w:b/>
        </w:rPr>
      </w:pPr>
      <w:r w:rsidRPr="00223FC4">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223FC4">
        <w:rPr>
          <w:rFonts w:ascii="Palatino Linotype" w:eastAsia="Palatino Linotype" w:hAnsi="Palatino Linotype" w:cs="Palatino Linotype"/>
          <w:b/>
        </w:rPr>
        <w:t xml:space="preserve"> </w:t>
      </w:r>
    </w:p>
    <w:p w14:paraId="2AEAE919" w14:textId="77777777" w:rsidR="007E6F01" w:rsidRPr="00223FC4" w:rsidRDefault="007E6F01">
      <w:pPr>
        <w:spacing w:after="0" w:line="276" w:lineRule="auto"/>
        <w:ind w:left="851" w:right="850"/>
        <w:jc w:val="both"/>
        <w:rPr>
          <w:rFonts w:ascii="Palatino Linotype" w:eastAsia="Palatino Linotype" w:hAnsi="Palatino Linotype" w:cs="Palatino Linotype"/>
        </w:rPr>
      </w:pPr>
    </w:p>
    <w:p w14:paraId="10FD38C1" w14:textId="77777777" w:rsidR="007E6F01" w:rsidRPr="00223FC4" w:rsidRDefault="00F34DA2">
      <w:pPr>
        <w:spacing w:after="0" w:line="276" w:lineRule="auto"/>
        <w:ind w:left="567" w:right="616"/>
        <w:jc w:val="both"/>
        <w:rPr>
          <w:rFonts w:ascii="Palatino Linotype" w:eastAsia="Palatino Linotype" w:hAnsi="Palatino Linotype" w:cs="Palatino Linotype"/>
          <w:i/>
        </w:rPr>
      </w:pPr>
      <w:r w:rsidRPr="00223FC4">
        <w:rPr>
          <w:rFonts w:ascii="Palatino Linotype" w:eastAsia="Palatino Linotype" w:hAnsi="Palatino Linotype" w:cs="Palatino Linotype"/>
          <w:i/>
        </w:rPr>
        <w:t>“</w:t>
      </w:r>
      <w:r w:rsidRPr="00223FC4">
        <w:rPr>
          <w:rFonts w:ascii="Palatino Linotype" w:eastAsia="Palatino Linotype" w:hAnsi="Palatino Linotype" w:cs="Palatino Linotype"/>
          <w:b/>
          <w:i/>
        </w:rPr>
        <w:t>No existe obligación de elaborar documentos ad hoc para atender las solicitudes de acceso a la información.</w:t>
      </w:r>
      <w:r w:rsidRPr="00223FC4">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D770154" w14:textId="77777777" w:rsidR="007E6F01" w:rsidRPr="00223FC4" w:rsidRDefault="007E6F01">
      <w:pPr>
        <w:spacing w:after="0" w:line="276" w:lineRule="auto"/>
        <w:ind w:left="567" w:right="616"/>
        <w:jc w:val="both"/>
        <w:rPr>
          <w:rFonts w:ascii="Palatino Linotype" w:eastAsia="Palatino Linotype" w:hAnsi="Palatino Linotype" w:cs="Palatino Linotype"/>
          <w:i/>
        </w:rPr>
      </w:pPr>
    </w:p>
    <w:p w14:paraId="397ADCB7" w14:textId="77777777" w:rsidR="007E6F01" w:rsidRPr="00223FC4" w:rsidRDefault="00F34DA2">
      <w:pPr>
        <w:spacing w:after="0"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9723338" w14:textId="77777777" w:rsidR="007E6F01" w:rsidRPr="00223FC4" w:rsidRDefault="007E6F01">
      <w:pPr>
        <w:spacing w:after="0" w:line="360" w:lineRule="auto"/>
        <w:jc w:val="both"/>
        <w:rPr>
          <w:rFonts w:ascii="Palatino Linotype" w:eastAsia="Palatino Linotype" w:hAnsi="Palatino Linotype" w:cs="Palatino Linotype"/>
        </w:rPr>
      </w:pPr>
    </w:p>
    <w:p w14:paraId="6D23C3E8" w14:textId="77777777" w:rsidR="007E6F01" w:rsidRPr="00223FC4" w:rsidRDefault="00F34DA2">
      <w:pPr>
        <w:spacing w:after="0"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01F8FF3" w14:textId="77777777" w:rsidR="007E6F01" w:rsidRPr="00223FC4" w:rsidRDefault="007E6F01">
      <w:pPr>
        <w:spacing w:after="0" w:line="360" w:lineRule="auto"/>
        <w:ind w:right="49"/>
        <w:jc w:val="both"/>
        <w:rPr>
          <w:rFonts w:ascii="Palatino Linotype" w:eastAsia="Palatino Linotype" w:hAnsi="Palatino Linotype" w:cs="Palatino Linotype"/>
        </w:rPr>
      </w:pPr>
    </w:p>
    <w:p w14:paraId="25E209B6" w14:textId="77777777" w:rsidR="007E6F01" w:rsidRPr="00223FC4" w:rsidRDefault="00F34DA2">
      <w:pPr>
        <w:spacing w:after="0"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B9B59F0" w14:textId="77777777" w:rsidR="007E6F01" w:rsidRPr="00223FC4" w:rsidRDefault="007E6F01">
      <w:pPr>
        <w:spacing w:after="0" w:line="360" w:lineRule="auto"/>
        <w:jc w:val="both"/>
        <w:rPr>
          <w:rFonts w:ascii="Palatino Linotype" w:eastAsia="Palatino Linotype" w:hAnsi="Palatino Linotype" w:cs="Palatino Linotype"/>
        </w:rPr>
      </w:pPr>
    </w:p>
    <w:p w14:paraId="41D64FB0" w14:textId="77777777" w:rsidR="007E6F01" w:rsidRPr="00223FC4" w:rsidRDefault="00F34DA2">
      <w:pPr>
        <w:spacing w:after="0" w:line="276" w:lineRule="auto"/>
        <w:ind w:left="567" w:right="616"/>
        <w:jc w:val="both"/>
        <w:rPr>
          <w:rFonts w:ascii="Palatino Linotype" w:eastAsia="Palatino Linotype" w:hAnsi="Palatino Linotype" w:cs="Palatino Linotype"/>
          <w:i/>
        </w:rPr>
      </w:pPr>
      <w:r w:rsidRPr="00223FC4">
        <w:rPr>
          <w:rFonts w:ascii="Palatino Linotype" w:eastAsia="Palatino Linotype" w:hAnsi="Palatino Linotype" w:cs="Palatino Linotype"/>
          <w:i/>
        </w:rPr>
        <w:t>“</w:t>
      </w:r>
      <w:r w:rsidRPr="00223FC4">
        <w:rPr>
          <w:rFonts w:ascii="Palatino Linotype" w:eastAsia="Palatino Linotype" w:hAnsi="Palatino Linotype" w:cs="Palatino Linotype"/>
          <w:b/>
          <w:i/>
        </w:rPr>
        <w:t xml:space="preserve">Artículo 3. </w:t>
      </w:r>
      <w:r w:rsidRPr="00223FC4">
        <w:rPr>
          <w:rFonts w:ascii="Palatino Linotype" w:eastAsia="Palatino Linotype" w:hAnsi="Palatino Linotype" w:cs="Palatino Linotype"/>
          <w:i/>
        </w:rPr>
        <w:t>Para los efectos de la presente Ley se entenderá por:</w:t>
      </w:r>
    </w:p>
    <w:p w14:paraId="55BBE462" w14:textId="77777777" w:rsidR="007E6F01" w:rsidRPr="00223FC4" w:rsidRDefault="00F34DA2">
      <w:pPr>
        <w:spacing w:after="0" w:line="276" w:lineRule="auto"/>
        <w:ind w:left="567" w:right="616"/>
        <w:jc w:val="both"/>
        <w:rPr>
          <w:rFonts w:ascii="Palatino Linotype" w:eastAsia="Palatino Linotype" w:hAnsi="Palatino Linotype" w:cs="Palatino Linotype"/>
          <w:i/>
        </w:rPr>
      </w:pPr>
      <w:r w:rsidRPr="00223FC4">
        <w:rPr>
          <w:rFonts w:ascii="Palatino Linotype" w:eastAsia="Palatino Linotype" w:hAnsi="Palatino Linotype" w:cs="Palatino Linotype"/>
          <w:i/>
        </w:rPr>
        <w:t>…</w:t>
      </w:r>
    </w:p>
    <w:p w14:paraId="24356E74" w14:textId="77777777" w:rsidR="007E6F01" w:rsidRPr="00223FC4" w:rsidRDefault="00F34DA2">
      <w:pPr>
        <w:spacing w:after="0" w:line="276" w:lineRule="auto"/>
        <w:ind w:left="567" w:right="616"/>
        <w:jc w:val="both"/>
        <w:rPr>
          <w:rFonts w:ascii="Palatino Linotype" w:eastAsia="Palatino Linotype" w:hAnsi="Palatino Linotype" w:cs="Palatino Linotype"/>
          <w:i/>
        </w:rPr>
      </w:pPr>
      <w:r w:rsidRPr="00223FC4">
        <w:rPr>
          <w:rFonts w:ascii="Palatino Linotype" w:eastAsia="Palatino Linotype" w:hAnsi="Palatino Linotype" w:cs="Palatino Linotype"/>
          <w:b/>
          <w:i/>
        </w:rPr>
        <w:t>XI. Documento:</w:t>
      </w:r>
      <w:r w:rsidRPr="00223FC4">
        <w:rPr>
          <w:rFonts w:ascii="Palatino Linotype" w:eastAsia="Palatino Linotype" w:hAnsi="Palatino Linotype" w:cs="Palatino Linotype"/>
          <w:i/>
        </w:rPr>
        <w:t xml:space="preserve"> Los expedientes, reportes, estudios, actas</w:t>
      </w:r>
      <w:r w:rsidRPr="00223FC4">
        <w:rPr>
          <w:rFonts w:ascii="Palatino Linotype" w:eastAsia="Palatino Linotype" w:hAnsi="Palatino Linotype" w:cs="Palatino Linotype"/>
          <w:b/>
          <w:i/>
        </w:rPr>
        <w:t>,</w:t>
      </w:r>
      <w:r w:rsidRPr="00223FC4">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0DB0C5E" w14:textId="77777777" w:rsidR="007E6F01" w:rsidRPr="00223FC4" w:rsidRDefault="007E6F01">
      <w:pPr>
        <w:spacing w:after="0" w:line="360" w:lineRule="auto"/>
        <w:ind w:left="851" w:right="899"/>
        <w:jc w:val="both"/>
        <w:rPr>
          <w:rFonts w:ascii="Palatino Linotype" w:eastAsia="Palatino Linotype" w:hAnsi="Palatino Linotype" w:cs="Palatino Linotype"/>
        </w:rPr>
      </w:pPr>
    </w:p>
    <w:p w14:paraId="5E763CC7" w14:textId="77777777" w:rsidR="007E6F01" w:rsidRPr="00223FC4" w:rsidRDefault="00F34DA2">
      <w:pPr>
        <w:spacing w:after="0"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90674D5" w14:textId="77777777" w:rsidR="007E6F01" w:rsidRPr="00223FC4" w:rsidRDefault="007E6F01">
      <w:pPr>
        <w:spacing w:after="0" w:line="360" w:lineRule="auto"/>
        <w:ind w:left="851" w:right="899"/>
        <w:jc w:val="both"/>
        <w:rPr>
          <w:rFonts w:ascii="Palatino Linotype" w:eastAsia="Palatino Linotype" w:hAnsi="Palatino Linotype" w:cs="Palatino Linotype"/>
        </w:rPr>
      </w:pPr>
    </w:p>
    <w:p w14:paraId="07BD07B8" w14:textId="77777777" w:rsidR="007E6F01" w:rsidRPr="00223FC4" w:rsidRDefault="00F34DA2">
      <w:pPr>
        <w:tabs>
          <w:tab w:val="left" w:pos="7797"/>
        </w:tabs>
        <w:spacing w:after="0" w:line="276" w:lineRule="auto"/>
        <w:ind w:left="709" w:right="616"/>
        <w:jc w:val="both"/>
        <w:rPr>
          <w:rFonts w:ascii="Palatino Linotype" w:eastAsia="Palatino Linotype" w:hAnsi="Palatino Linotype" w:cs="Palatino Linotype"/>
          <w:b/>
          <w:i/>
        </w:rPr>
      </w:pPr>
      <w:r w:rsidRPr="00223FC4">
        <w:rPr>
          <w:rFonts w:ascii="Palatino Linotype" w:eastAsia="Palatino Linotype" w:hAnsi="Palatino Linotype" w:cs="Palatino Linotype"/>
          <w:b/>
        </w:rPr>
        <w:t>“</w:t>
      </w:r>
      <w:r w:rsidRPr="00223FC4">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223FC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9DDC687" w14:textId="77777777" w:rsidR="007E6F01" w:rsidRPr="00223FC4" w:rsidRDefault="00F34DA2">
      <w:pPr>
        <w:tabs>
          <w:tab w:val="left" w:pos="7797"/>
        </w:tabs>
        <w:spacing w:after="0" w:line="276" w:lineRule="auto"/>
        <w:ind w:left="709" w:right="616"/>
        <w:jc w:val="both"/>
        <w:rPr>
          <w:rFonts w:ascii="Palatino Linotype" w:eastAsia="Palatino Linotype" w:hAnsi="Palatino Linotype" w:cs="Palatino Linotype"/>
          <w:i/>
        </w:rPr>
      </w:pPr>
      <w:r w:rsidRPr="00223FC4">
        <w:rPr>
          <w:rFonts w:ascii="Palatino Linotype" w:eastAsia="Palatino Linotype" w:hAnsi="Palatino Linotype" w:cs="Palatino Linotype"/>
          <w:i/>
        </w:rPr>
        <w:t>En consecuencia el acceso a la información se refiere a que se cumplan cualquiera de los siguientes tres supuestos:</w:t>
      </w:r>
    </w:p>
    <w:p w14:paraId="4C161B15" w14:textId="77777777" w:rsidR="007E6F01" w:rsidRPr="00223FC4" w:rsidRDefault="00F34DA2">
      <w:pPr>
        <w:tabs>
          <w:tab w:val="left" w:pos="7797"/>
        </w:tabs>
        <w:spacing w:after="0" w:line="276" w:lineRule="auto"/>
        <w:ind w:left="709" w:right="616"/>
        <w:jc w:val="both"/>
        <w:rPr>
          <w:rFonts w:ascii="Palatino Linotype" w:eastAsia="Palatino Linotype" w:hAnsi="Palatino Linotype" w:cs="Palatino Linotype"/>
          <w:i/>
        </w:rPr>
      </w:pPr>
      <w:r w:rsidRPr="00223FC4">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0719E028" w14:textId="77777777" w:rsidR="007E6F01" w:rsidRPr="00223FC4" w:rsidRDefault="00F34DA2">
      <w:pPr>
        <w:tabs>
          <w:tab w:val="left" w:pos="7797"/>
        </w:tabs>
        <w:spacing w:after="0" w:line="276" w:lineRule="auto"/>
        <w:ind w:left="709" w:right="616"/>
        <w:jc w:val="both"/>
        <w:rPr>
          <w:rFonts w:ascii="Palatino Linotype" w:eastAsia="Palatino Linotype" w:hAnsi="Palatino Linotype" w:cs="Palatino Linotype"/>
          <w:b/>
          <w:i/>
        </w:rPr>
      </w:pPr>
      <w:r w:rsidRPr="00223FC4">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06B904C0" w14:textId="77777777" w:rsidR="007E6F01" w:rsidRPr="00223FC4" w:rsidRDefault="00F34DA2">
      <w:pPr>
        <w:tabs>
          <w:tab w:val="left" w:pos="7797"/>
        </w:tabs>
        <w:spacing w:after="0" w:line="276" w:lineRule="auto"/>
        <w:ind w:left="709" w:right="616"/>
        <w:jc w:val="both"/>
        <w:rPr>
          <w:rFonts w:ascii="Palatino Linotype" w:eastAsia="Palatino Linotype" w:hAnsi="Palatino Linotype" w:cs="Palatino Linotype"/>
          <w:b/>
          <w:i/>
        </w:rPr>
      </w:pPr>
      <w:r w:rsidRPr="00223FC4">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02F7DF4B" w14:textId="77777777" w:rsidR="007E6F01" w:rsidRPr="00223FC4" w:rsidRDefault="007E6F01">
      <w:pPr>
        <w:spacing w:after="0" w:line="360" w:lineRule="auto"/>
        <w:jc w:val="both"/>
        <w:rPr>
          <w:rFonts w:ascii="Palatino Linotype" w:eastAsia="Palatino Linotype" w:hAnsi="Palatino Linotype" w:cs="Palatino Linotype"/>
        </w:rPr>
      </w:pPr>
    </w:p>
    <w:p w14:paraId="7A3DF3CB" w14:textId="77777777" w:rsidR="007E6F01" w:rsidRPr="00223FC4" w:rsidRDefault="00F34DA2">
      <w:pPr>
        <w:spacing w:after="0" w:line="360" w:lineRule="auto"/>
        <w:jc w:val="both"/>
        <w:rPr>
          <w:rFonts w:ascii="Palatino Linotype" w:eastAsia="Palatino Linotype" w:hAnsi="Palatino Linotype" w:cs="Palatino Linotype"/>
          <w:b/>
        </w:rPr>
      </w:pPr>
      <w:r w:rsidRPr="00223FC4">
        <w:rPr>
          <w:rFonts w:ascii="Palatino Linotype" w:eastAsia="Palatino Linotype" w:hAnsi="Palatino Linotype" w:cs="Palatino Linotype"/>
        </w:rPr>
        <w:t xml:space="preserve">Dicho lo anterior, es de recordar que la parte Solicitante requirió </w:t>
      </w:r>
      <w:r w:rsidRPr="00223FC4">
        <w:rPr>
          <w:rFonts w:ascii="Palatino Linotype" w:eastAsia="Palatino Linotype" w:hAnsi="Palatino Linotype" w:cs="Palatino Linotype"/>
          <w:b/>
        </w:rPr>
        <w:t xml:space="preserve">el Plan de Contingencia para la Protección de Datos Personales de todas las áreas administrativas de los ejercicios fiscales 2024 y 2025. </w:t>
      </w:r>
    </w:p>
    <w:p w14:paraId="35BEB1C1" w14:textId="77777777" w:rsidR="007E6F01" w:rsidRPr="00223FC4" w:rsidRDefault="007E6F01">
      <w:pPr>
        <w:spacing w:after="0" w:line="360" w:lineRule="auto"/>
        <w:jc w:val="both"/>
        <w:rPr>
          <w:rFonts w:ascii="Palatino Linotype" w:eastAsia="Palatino Linotype" w:hAnsi="Palatino Linotype" w:cs="Palatino Linotype"/>
          <w:b/>
        </w:rPr>
      </w:pPr>
    </w:p>
    <w:p w14:paraId="6FB5FF05" w14:textId="77777777" w:rsidR="006751CC" w:rsidRPr="00223FC4" w:rsidRDefault="006751CC">
      <w:pPr>
        <w:spacing w:after="0"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Por su parte el </w:t>
      </w:r>
      <w:r w:rsidRPr="00223FC4">
        <w:rPr>
          <w:rFonts w:ascii="Palatino Linotype" w:eastAsia="Palatino Linotype" w:hAnsi="Palatino Linotype" w:cs="Palatino Linotype"/>
          <w:b/>
        </w:rPr>
        <w:t xml:space="preserve">SUJETO OBLIGADO </w:t>
      </w:r>
      <w:r w:rsidRPr="00223FC4">
        <w:rPr>
          <w:rFonts w:ascii="Palatino Linotype" w:eastAsia="Palatino Linotype" w:hAnsi="Palatino Linotype" w:cs="Palatino Linotype"/>
        </w:rPr>
        <w:t xml:space="preserve">omitió dar respuesta al requerimiento del particular. </w:t>
      </w:r>
    </w:p>
    <w:p w14:paraId="34054EB7" w14:textId="77777777" w:rsidR="006751CC" w:rsidRPr="00223FC4" w:rsidRDefault="006751CC">
      <w:pPr>
        <w:spacing w:after="0" w:line="360" w:lineRule="auto"/>
        <w:jc w:val="both"/>
        <w:rPr>
          <w:rFonts w:ascii="Palatino Linotype" w:eastAsia="Palatino Linotype" w:hAnsi="Palatino Linotype" w:cs="Palatino Linotype"/>
        </w:rPr>
      </w:pPr>
    </w:p>
    <w:p w14:paraId="4AA98B89" w14:textId="77777777" w:rsidR="006751CC" w:rsidRPr="00223FC4" w:rsidRDefault="006751CC" w:rsidP="006751CC">
      <w:pPr>
        <w:spacing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Inconforme por la falta de respuesta, la parte </w:t>
      </w:r>
      <w:r w:rsidRPr="00223FC4">
        <w:rPr>
          <w:rFonts w:ascii="Palatino Linotype" w:eastAsia="Palatino Linotype" w:hAnsi="Palatino Linotype" w:cs="Palatino Linotype"/>
          <w:b/>
        </w:rPr>
        <w:t>RECURRENTE</w:t>
      </w:r>
      <w:r w:rsidRPr="00223FC4">
        <w:rPr>
          <w:rFonts w:ascii="Palatino Linotype" w:eastAsia="Palatino Linotype" w:hAnsi="Palatino Linotype" w:cs="Palatino Linotype"/>
        </w:rPr>
        <w:t xml:space="preserve"> interpuso el recurso de revisión en el que se adoleció porque no se le proporcionó información alguna. </w:t>
      </w:r>
    </w:p>
    <w:p w14:paraId="655AE46E" w14:textId="77777777" w:rsidR="009305D8" w:rsidRPr="00223FC4" w:rsidRDefault="006751CC">
      <w:pPr>
        <w:spacing w:after="0"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Una vez interpuesto el recurso de revisión </w:t>
      </w:r>
      <w:r w:rsidR="009305D8" w:rsidRPr="00223FC4">
        <w:rPr>
          <w:rFonts w:ascii="Palatino Linotype" w:eastAsia="Palatino Linotype" w:hAnsi="Palatino Linotype" w:cs="Palatino Linotype"/>
        </w:rPr>
        <w:t xml:space="preserve">el </w:t>
      </w:r>
      <w:r w:rsidR="009305D8" w:rsidRPr="00223FC4">
        <w:rPr>
          <w:rFonts w:ascii="Palatino Linotype" w:eastAsia="Palatino Linotype" w:hAnsi="Palatino Linotype" w:cs="Palatino Linotype"/>
          <w:b/>
        </w:rPr>
        <w:t xml:space="preserve">SUJETO OBLIGADO </w:t>
      </w:r>
      <w:r w:rsidR="009305D8" w:rsidRPr="00223FC4">
        <w:rPr>
          <w:rFonts w:ascii="Palatino Linotype" w:eastAsia="Palatino Linotype" w:hAnsi="Palatino Linotype" w:cs="Palatino Linotype"/>
        </w:rPr>
        <w:t xml:space="preserve">mediante informe justificado entregó el Acta de Sesión Extraordinaria del Comité de Transparencia del H. Ayuntamiento de Ecatepec de Morelos número ACT/ECA/CT/EXT/19°/2025 en la que se confirma por unanimidad de votos la clasificación dela información como confidencial. </w:t>
      </w:r>
    </w:p>
    <w:p w14:paraId="6AFA2BBF" w14:textId="77777777" w:rsidR="007E6F01" w:rsidRPr="00223FC4" w:rsidRDefault="009305D8">
      <w:pPr>
        <w:spacing w:after="0"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 </w:t>
      </w:r>
    </w:p>
    <w:p w14:paraId="1A6D2BC9" w14:textId="77777777" w:rsidR="007E6F01" w:rsidRPr="00223FC4" w:rsidRDefault="00F34DA2">
      <w:pPr>
        <w:spacing w:line="360" w:lineRule="auto"/>
        <w:ind w:right="51"/>
        <w:jc w:val="both"/>
        <w:rPr>
          <w:rFonts w:ascii="Palatino Linotype" w:eastAsia="Palatino Linotype" w:hAnsi="Palatino Linotype" w:cs="Palatino Linotype"/>
        </w:rPr>
      </w:pPr>
      <w:r w:rsidRPr="00223FC4">
        <w:rPr>
          <w:rFonts w:ascii="Palatino Linotype" w:eastAsia="Palatino Linotype" w:hAnsi="Palatino Linotype" w:cs="Palatino Linotype"/>
        </w:rPr>
        <w:t>Al respecto, este Organismo Garante considera oportuno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693578FC" w14:textId="77777777" w:rsidR="007E6F01" w:rsidRPr="00223FC4" w:rsidRDefault="007E6F01">
      <w:pPr>
        <w:pBdr>
          <w:top w:val="nil"/>
          <w:left w:val="nil"/>
          <w:bottom w:val="nil"/>
          <w:right w:val="nil"/>
          <w:between w:val="nil"/>
        </w:pBdr>
        <w:ind w:left="864" w:right="864"/>
        <w:jc w:val="both"/>
        <w:rPr>
          <w:rFonts w:ascii="Palatino Linotype" w:eastAsia="Palatino Linotype" w:hAnsi="Palatino Linotype" w:cs="Palatino Linotype"/>
          <w:i/>
        </w:rPr>
      </w:pPr>
    </w:p>
    <w:p w14:paraId="436F59E0" w14:textId="77777777" w:rsidR="007E6F01" w:rsidRPr="00223FC4"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223FC4">
        <w:rPr>
          <w:rFonts w:ascii="Palatino Linotype" w:eastAsia="Palatino Linotype" w:hAnsi="Palatino Linotype" w:cs="Palatino Linotype"/>
          <w:b/>
          <w:i/>
        </w:rPr>
        <w:t xml:space="preserve">Artículo 91. </w:t>
      </w:r>
      <w:r w:rsidRPr="00223FC4">
        <w:rPr>
          <w:rFonts w:ascii="Palatino Linotype" w:eastAsia="Palatino Linotype" w:hAnsi="Palatino Linotype" w:cs="Palatino Linotype"/>
          <w:i/>
        </w:rPr>
        <w:t>El acceso a la información pública será restringido excepcionalmente, cuando ésta sea clasificada como reservada o confidencial.</w:t>
      </w:r>
    </w:p>
    <w:p w14:paraId="21D7C9A8" w14:textId="77777777" w:rsidR="007E6F01" w:rsidRPr="00223FC4" w:rsidRDefault="007E6F01">
      <w:pPr>
        <w:pBdr>
          <w:top w:val="nil"/>
          <w:left w:val="nil"/>
          <w:bottom w:val="nil"/>
          <w:right w:val="nil"/>
          <w:between w:val="nil"/>
        </w:pBdr>
        <w:ind w:left="864" w:right="864"/>
        <w:jc w:val="both"/>
        <w:rPr>
          <w:rFonts w:ascii="Palatino Linotype" w:eastAsia="Palatino Linotype" w:hAnsi="Palatino Linotype" w:cs="Palatino Linotype"/>
          <w:i/>
        </w:rPr>
      </w:pPr>
    </w:p>
    <w:p w14:paraId="6E5FFF5B" w14:textId="77777777" w:rsidR="007E6F01" w:rsidRPr="00223FC4" w:rsidRDefault="00F34DA2">
      <w:pPr>
        <w:spacing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Entendiéndose como información reservada aquella que se clasifica de manera temporal cuya divulgación pueda causar algún daño; y como </w:t>
      </w:r>
      <w:r w:rsidRPr="00223FC4">
        <w:rPr>
          <w:rFonts w:ascii="Palatino Linotype" w:eastAsia="Palatino Linotype" w:hAnsi="Palatino Linotype" w:cs="Palatino Linotype"/>
          <w:b/>
        </w:rPr>
        <w:t xml:space="preserve">información confidencial, </w:t>
      </w:r>
      <w:r w:rsidRPr="00223FC4">
        <w:rPr>
          <w:rFonts w:ascii="Palatino Linotype" w:eastAsia="Palatino Linotype" w:hAnsi="Palatino Linotype" w:cs="Palatino Linotype"/>
        </w:rPr>
        <w:t>la que se refiera a la información privada y los datos personales concernientes a una persona física o jurídico colectiva identificada o identificable que no son de acceso público, asimismo, haga referencia a los secretos bancario, fiduciario, industrial, comercial, fiscal, bursátil y postal, cuya titularidad corresponde a particulares, sujetos de derecho internacional o a Sujetos Obligados cuando no involucren el ejercicio de recursos públicos.</w:t>
      </w:r>
    </w:p>
    <w:p w14:paraId="73D43147" w14:textId="77777777" w:rsidR="007E6F01" w:rsidRPr="00223FC4" w:rsidRDefault="00F34DA2">
      <w:pPr>
        <w:spacing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E736E4D" w14:textId="77777777" w:rsidR="007E6F01" w:rsidRPr="00223FC4" w:rsidRDefault="00F34DA2">
      <w:pPr>
        <w:numPr>
          <w:ilvl w:val="0"/>
          <w:numId w:val="3"/>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Se reciba una solicitud de acceso a la información;</w:t>
      </w:r>
    </w:p>
    <w:p w14:paraId="1D5B3D0B" w14:textId="77777777" w:rsidR="007E6F01" w:rsidRPr="00223FC4" w:rsidRDefault="00F34DA2">
      <w:pPr>
        <w:numPr>
          <w:ilvl w:val="0"/>
          <w:numId w:val="3"/>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Se determine mediante resolución de autoridad competente; y/o</w:t>
      </w:r>
    </w:p>
    <w:p w14:paraId="504183E5" w14:textId="77777777" w:rsidR="007E6F01" w:rsidRPr="00223FC4" w:rsidRDefault="00F34DA2">
      <w:pPr>
        <w:numPr>
          <w:ilvl w:val="0"/>
          <w:numId w:val="3"/>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Se generen versiones públicas para dar cumplimiento a las obligaciones de transparencia previstas en la Ley.</w:t>
      </w:r>
    </w:p>
    <w:p w14:paraId="7C6DCB2B" w14:textId="77777777" w:rsidR="007E6F01" w:rsidRPr="00223FC4" w:rsidRDefault="007E6F01">
      <w:pPr>
        <w:spacing w:line="360" w:lineRule="auto"/>
        <w:ind w:right="51"/>
        <w:jc w:val="both"/>
        <w:rPr>
          <w:rFonts w:ascii="Palatino Linotype" w:eastAsia="Palatino Linotype" w:hAnsi="Palatino Linotype" w:cs="Palatino Linotype"/>
        </w:rPr>
      </w:pPr>
    </w:p>
    <w:p w14:paraId="1B182ECE" w14:textId="77777777" w:rsidR="007E6F01" w:rsidRPr="00223FC4" w:rsidRDefault="00F34DA2">
      <w:pPr>
        <w:spacing w:line="360" w:lineRule="auto"/>
        <w:ind w:right="51"/>
        <w:jc w:val="both"/>
        <w:rPr>
          <w:rFonts w:ascii="Palatino Linotype" w:eastAsia="Palatino Linotype" w:hAnsi="Palatino Linotype" w:cs="Palatino Linotype"/>
        </w:rPr>
      </w:pPr>
      <w:r w:rsidRPr="00223FC4">
        <w:rPr>
          <w:rFonts w:ascii="Palatino Linotype" w:eastAsia="Palatino Linotype" w:hAnsi="Palatino Linotype" w:cs="Palatino Linotype"/>
        </w:rPr>
        <w:t>En ese sentido, es de precisar que la clasificación de la información no se da por el simple mandato de la ley, sino que es necesario que el</w:t>
      </w:r>
      <w:r w:rsidRPr="00223FC4">
        <w:rPr>
          <w:rFonts w:ascii="Palatino Linotype" w:eastAsia="Palatino Linotype" w:hAnsi="Palatino Linotype" w:cs="Palatino Linotype"/>
          <w:b/>
        </w:rPr>
        <w:t xml:space="preserve"> </w:t>
      </w:r>
      <w:r w:rsidR="009305D8" w:rsidRPr="00223FC4">
        <w:rPr>
          <w:rFonts w:ascii="Palatino Linotype" w:eastAsia="Palatino Linotype" w:hAnsi="Palatino Linotype" w:cs="Palatino Linotype"/>
          <w:b/>
        </w:rPr>
        <w:t>SUJETO OBLIGADO</w:t>
      </w:r>
      <w:r w:rsidRPr="00223FC4">
        <w:rPr>
          <w:rFonts w:ascii="Palatino Linotype" w:eastAsia="Palatino Linotype" w:hAnsi="Palatino Linotype" w:cs="Palatino Linotype"/>
          <w:b/>
        </w:rPr>
        <w:t>,</w:t>
      </w:r>
      <w:r w:rsidRPr="00223FC4">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009305D8" w:rsidRPr="00223FC4">
        <w:rPr>
          <w:rFonts w:ascii="Palatino Linotype" w:eastAsia="Palatino Linotype" w:hAnsi="Palatino Linotype" w:cs="Palatino Linotype"/>
          <w:b/>
        </w:rPr>
        <w:t>SUJETO OBLIGADO</w:t>
      </w:r>
      <w:r w:rsidR="009305D8" w:rsidRPr="00223FC4">
        <w:rPr>
          <w:rFonts w:ascii="Palatino Linotype" w:eastAsia="Palatino Linotype" w:hAnsi="Palatino Linotype" w:cs="Palatino Linotype"/>
        </w:rPr>
        <w:t xml:space="preserve">, </w:t>
      </w:r>
      <w:r w:rsidRPr="00223FC4">
        <w:rPr>
          <w:rFonts w:ascii="Palatino Linotype" w:eastAsia="Palatino Linotype" w:hAnsi="Palatino Linotype" w:cs="Palatino Linotype"/>
        </w:rPr>
        <w:t>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09C843D2" w14:textId="77777777" w:rsidR="007E6F01" w:rsidRPr="00223FC4"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223FC4">
        <w:rPr>
          <w:rFonts w:ascii="Palatino Linotype" w:eastAsia="Palatino Linotype" w:hAnsi="Palatino Linotype" w:cs="Palatino Linotype"/>
          <w:b/>
          <w:i/>
        </w:rPr>
        <w:t>Artículo 59</w:t>
      </w:r>
      <w:r w:rsidRPr="00223FC4">
        <w:rPr>
          <w:rFonts w:ascii="Palatino Linotype" w:eastAsia="Palatino Linotype" w:hAnsi="Palatino Linotype" w:cs="Palatino Linotype"/>
          <w:i/>
        </w:rPr>
        <w:t>. Los servidores públicos habilitados tendrán las funciones siguientes:</w:t>
      </w:r>
    </w:p>
    <w:p w14:paraId="62DE7E7E" w14:textId="77777777" w:rsidR="007E6F01" w:rsidRPr="00223FC4"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223FC4">
        <w:rPr>
          <w:rFonts w:ascii="Palatino Linotype" w:eastAsia="Palatino Linotype" w:hAnsi="Palatino Linotype" w:cs="Palatino Linotype"/>
          <w:i/>
        </w:rPr>
        <w:t>(…)</w:t>
      </w:r>
    </w:p>
    <w:p w14:paraId="0CA79240" w14:textId="77777777" w:rsidR="007E6F01" w:rsidRPr="00223FC4"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223FC4">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13A25900" w14:textId="77777777" w:rsidR="007E6F01" w:rsidRPr="00223FC4"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223FC4">
        <w:rPr>
          <w:rFonts w:ascii="Palatino Linotype" w:eastAsia="Palatino Linotype" w:hAnsi="Palatino Linotype" w:cs="Palatino Linotype"/>
          <w:i/>
        </w:rPr>
        <w:t>(…)</w:t>
      </w:r>
    </w:p>
    <w:p w14:paraId="563D0DDF" w14:textId="77777777" w:rsidR="007E6F01" w:rsidRPr="00223FC4" w:rsidRDefault="007E6F01">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7F49F8AD" w14:textId="77777777" w:rsidR="007E6F01" w:rsidRPr="00223FC4"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223FC4">
        <w:rPr>
          <w:rFonts w:ascii="Palatino Linotype" w:eastAsia="Palatino Linotype" w:hAnsi="Palatino Linotype" w:cs="Palatino Linotype"/>
          <w:b/>
          <w:i/>
        </w:rPr>
        <w:t>Artículo 53.</w:t>
      </w:r>
      <w:r w:rsidRPr="00223FC4">
        <w:rPr>
          <w:rFonts w:ascii="Palatino Linotype" w:eastAsia="Palatino Linotype" w:hAnsi="Palatino Linotype" w:cs="Palatino Linotype"/>
          <w:i/>
        </w:rPr>
        <w:t xml:space="preserve"> Las Unidades de Transparencia tendrán las siguientes funciones:</w:t>
      </w:r>
    </w:p>
    <w:p w14:paraId="53D60ECA" w14:textId="77777777" w:rsidR="007E6F01" w:rsidRPr="00223FC4"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223FC4">
        <w:rPr>
          <w:rFonts w:ascii="Palatino Linotype" w:eastAsia="Palatino Linotype" w:hAnsi="Palatino Linotype" w:cs="Palatino Linotype"/>
          <w:i/>
        </w:rPr>
        <w:t>(…)</w:t>
      </w:r>
    </w:p>
    <w:p w14:paraId="560244A8" w14:textId="77777777" w:rsidR="007E6F01" w:rsidRPr="00223FC4"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223FC4">
        <w:rPr>
          <w:rFonts w:ascii="Palatino Linotype" w:eastAsia="Palatino Linotype" w:hAnsi="Palatino Linotype" w:cs="Palatino Linotype"/>
          <w:i/>
        </w:rPr>
        <w:t>X. Presentar ante el Comité, el proyecto de clasificación de información;</w:t>
      </w:r>
    </w:p>
    <w:p w14:paraId="3010C2BD" w14:textId="77777777" w:rsidR="007E6F01" w:rsidRPr="00223FC4"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 </w:t>
      </w:r>
    </w:p>
    <w:p w14:paraId="0E0BA11C" w14:textId="77777777" w:rsidR="007E6F01" w:rsidRPr="00223FC4" w:rsidRDefault="007E6F01">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6F30577B" w14:textId="77777777" w:rsidR="007E6F01" w:rsidRPr="00223FC4"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223FC4">
        <w:rPr>
          <w:rFonts w:ascii="Palatino Linotype" w:eastAsia="Palatino Linotype" w:hAnsi="Palatino Linotype" w:cs="Palatino Linotype"/>
          <w:b/>
          <w:i/>
        </w:rPr>
        <w:t>Artículo 49</w:t>
      </w:r>
      <w:r w:rsidRPr="00223FC4">
        <w:rPr>
          <w:rFonts w:ascii="Palatino Linotype" w:eastAsia="Palatino Linotype" w:hAnsi="Palatino Linotype" w:cs="Palatino Linotype"/>
          <w:i/>
        </w:rPr>
        <w:t>. Los Comités de Transparencia tendrán las siguientes atribuciones:</w:t>
      </w:r>
    </w:p>
    <w:p w14:paraId="2C98FF3F" w14:textId="77777777" w:rsidR="007E6F01" w:rsidRPr="00223FC4"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223FC4">
        <w:rPr>
          <w:rFonts w:ascii="Palatino Linotype" w:eastAsia="Palatino Linotype" w:hAnsi="Palatino Linotype" w:cs="Palatino Linotype"/>
          <w:i/>
        </w:rPr>
        <w:t>(…)</w:t>
      </w:r>
    </w:p>
    <w:p w14:paraId="0484ED94" w14:textId="77777777" w:rsidR="007E6F01" w:rsidRPr="00223FC4"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223FC4">
        <w:rPr>
          <w:rFonts w:ascii="Palatino Linotype" w:eastAsia="Palatino Linotype" w:hAnsi="Palatino Linotype" w:cs="Palatino Linotype"/>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A9B0A7F" w14:textId="77777777" w:rsidR="007E6F01" w:rsidRPr="00223FC4"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223FC4">
        <w:rPr>
          <w:rFonts w:ascii="Palatino Linotype" w:eastAsia="Palatino Linotype" w:hAnsi="Palatino Linotype" w:cs="Palatino Linotype"/>
          <w:i/>
        </w:rPr>
        <w:t>(…)</w:t>
      </w:r>
    </w:p>
    <w:p w14:paraId="28EEB222" w14:textId="77777777" w:rsidR="007E6F01" w:rsidRPr="00223FC4"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223FC4">
        <w:rPr>
          <w:rFonts w:ascii="Palatino Linotype" w:eastAsia="Palatino Linotype" w:hAnsi="Palatino Linotype" w:cs="Palatino Linotype"/>
          <w:i/>
        </w:rPr>
        <w:t>VIII. Aprobar, modificar o revocar la clasificación de la información;</w:t>
      </w:r>
    </w:p>
    <w:p w14:paraId="68348FE6" w14:textId="77777777" w:rsidR="007E6F01" w:rsidRPr="00223FC4" w:rsidRDefault="00F34DA2">
      <w:pPr>
        <w:pBdr>
          <w:top w:val="nil"/>
          <w:left w:val="nil"/>
          <w:bottom w:val="nil"/>
          <w:right w:val="nil"/>
          <w:between w:val="nil"/>
        </w:pBdr>
        <w:ind w:left="864" w:right="864"/>
        <w:jc w:val="both"/>
        <w:rPr>
          <w:rFonts w:ascii="Palatino Linotype" w:eastAsia="Palatino Linotype" w:hAnsi="Palatino Linotype" w:cs="Palatino Linotype"/>
          <w:i/>
        </w:rPr>
      </w:pPr>
      <w:r w:rsidRPr="00223FC4">
        <w:rPr>
          <w:rFonts w:ascii="Palatino Linotype" w:eastAsia="Palatino Linotype" w:hAnsi="Palatino Linotype" w:cs="Palatino Linotype"/>
          <w:i/>
        </w:rPr>
        <w:t>(…)</w:t>
      </w:r>
    </w:p>
    <w:p w14:paraId="43816AAF" w14:textId="77777777" w:rsidR="007E6F01" w:rsidRPr="00223FC4" w:rsidRDefault="00F34DA2">
      <w:pPr>
        <w:spacing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Bajo tales consideraciones, este Organismo Garante no omite señalar que, si el </w:t>
      </w:r>
      <w:r w:rsidRPr="00223FC4">
        <w:rPr>
          <w:rFonts w:ascii="Palatino Linotype" w:eastAsia="Palatino Linotype" w:hAnsi="Palatino Linotype" w:cs="Palatino Linotype"/>
          <w:b/>
        </w:rPr>
        <w:t>Sujeto Obligado</w:t>
      </w:r>
      <w:r w:rsidRPr="00223FC4">
        <w:rPr>
          <w:rFonts w:ascii="Palatino Linotype" w:eastAsia="Palatino Linotype" w:hAnsi="Palatino Linotype" w:cs="Palatino Linotype"/>
        </w:rPr>
        <w:t xml:space="preserve"> advierte que la información solicitada contiene información que sea susceptible de ser clasificados como reservada o confidencial, deberá emitir un Acuerdo de Clasificación debidamente fundado y motivado que sustente la clasificación parcial, a través de la versión pública que emita, o bien, la restricción total del derecho de acceso a la información.  </w:t>
      </w:r>
    </w:p>
    <w:p w14:paraId="56E68647" w14:textId="77777777" w:rsidR="007E6F01" w:rsidRPr="00223FC4" w:rsidRDefault="00F34DA2">
      <w:pPr>
        <w:spacing w:line="360" w:lineRule="auto"/>
        <w:ind w:right="51"/>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Asimismo, no obsta mencionar que el Acuerdo del Comité de Transparencia mediante el cual se clasifique la información como </w:t>
      </w:r>
      <w:r w:rsidRPr="00223FC4">
        <w:rPr>
          <w:rFonts w:ascii="Palatino Linotype" w:eastAsia="Palatino Linotype" w:hAnsi="Palatino Linotype" w:cs="Palatino Linotype"/>
          <w:b/>
        </w:rPr>
        <w:t>reservada</w:t>
      </w:r>
      <w:r w:rsidRPr="00223FC4">
        <w:rPr>
          <w:rFonts w:ascii="Palatino Linotype" w:eastAsia="Palatino Linotype" w:hAnsi="Palatino Linotype" w:cs="Palatino Linotype"/>
        </w:rPr>
        <w:t xml:space="preserve"> o </w:t>
      </w:r>
      <w:r w:rsidRPr="00223FC4">
        <w:rPr>
          <w:rFonts w:ascii="Palatino Linotype" w:eastAsia="Palatino Linotype" w:hAnsi="Palatino Linotype" w:cs="Palatino Linotype"/>
          <w:b/>
        </w:rPr>
        <w:t>confidencial,</w:t>
      </w:r>
      <w:r w:rsidRPr="00223FC4">
        <w:rPr>
          <w:rFonts w:ascii="Palatino Linotype" w:eastAsia="Palatino Linotype" w:hAnsi="Palatino Linotype" w:cs="Palatino Linotype"/>
        </w:rPr>
        <w:t xml:space="preserve"> de manera total o </w:t>
      </w:r>
      <w:r w:rsidRPr="00223FC4">
        <w:rPr>
          <w:rFonts w:ascii="Palatino Linotype" w:eastAsia="Palatino Linotype" w:hAnsi="Palatino Linotype" w:cs="Palatino Linotype"/>
          <w:b/>
        </w:rPr>
        <w:t xml:space="preserve">parcial </w:t>
      </w:r>
      <w:r w:rsidRPr="00223FC4">
        <w:rPr>
          <w:rFonts w:ascii="Palatino Linotype" w:eastAsia="Palatino Linotype" w:hAnsi="Palatino Linotype" w:cs="Palatino Linotype"/>
        </w:rPr>
        <w:t xml:space="preserve">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w:t>
      </w:r>
      <w:r w:rsidRPr="00223FC4">
        <w:rPr>
          <w:rFonts w:ascii="Palatino Linotype" w:eastAsia="Palatino Linotype" w:hAnsi="Palatino Linotype" w:cs="Palatino Linotype"/>
          <w:b/>
          <w:u w:val="single"/>
        </w:rPr>
        <w:t>de igual forma en dicho acuerdo se deben exponer de manera clara los fundamentos y razones que llevaron a la autoridad a clasificar la información de acuerdo con lo establecido en el artículo 149 de la Ley de la materia,</w:t>
      </w:r>
      <w:r w:rsidRPr="00223FC4">
        <w:rPr>
          <w:rFonts w:ascii="Palatino Linotype" w:eastAsia="Palatino Linotype" w:hAnsi="Palatino Linotype" w:cs="Palatino Linotype"/>
        </w:rPr>
        <w:t xml:space="preserve"> de lo contrario, implicaría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4BA2F4D" w14:textId="77777777" w:rsidR="007E6F01" w:rsidRPr="00223FC4" w:rsidRDefault="00F34DA2">
      <w:pPr>
        <w:spacing w:line="360" w:lineRule="auto"/>
        <w:ind w:right="51"/>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Ahora bien, es de referir que en el asunto que se analiza, el </w:t>
      </w:r>
      <w:r w:rsidRPr="00223FC4">
        <w:rPr>
          <w:rFonts w:ascii="Palatino Linotype" w:eastAsia="Palatino Linotype" w:hAnsi="Palatino Linotype" w:cs="Palatino Linotype"/>
          <w:b/>
        </w:rPr>
        <w:t xml:space="preserve">Sujeto Obligado </w:t>
      </w:r>
      <w:r w:rsidRPr="00223FC4">
        <w:rPr>
          <w:rFonts w:ascii="Palatino Linotype" w:eastAsia="Palatino Linotype" w:hAnsi="Palatino Linotype" w:cs="Palatino Linotype"/>
        </w:rPr>
        <w:t xml:space="preserve">clasificó como </w:t>
      </w:r>
      <w:r w:rsidR="009305D8" w:rsidRPr="00223FC4">
        <w:rPr>
          <w:rFonts w:ascii="Palatino Linotype" w:eastAsia="Palatino Linotype" w:hAnsi="Palatino Linotype" w:cs="Palatino Linotype"/>
        </w:rPr>
        <w:t>confidencial</w:t>
      </w:r>
      <w:r w:rsidRPr="00223FC4">
        <w:rPr>
          <w:rFonts w:ascii="Palatino Linotype" w:eastAsia="Palatino Linotype" w:hAnsi="Palatino Linotype" w:cs="Palatino Linotype"/>
        </w:rPr>
        <w:t xml:space="preserve"> la información requerida, lo cual, da certeza sobre la existencia de la información en los archivos del Sujeto Obligado, toda vez que la clasificación y la inexistencia no pueden coexistir.</w:t>
      </w:r>
    </w:p>
    <w:p w14:paraId="55B5912F" w14:textId="77777777" w:rsidR="007E6F01" w:rsidRPr="00223FC4" w:rsidRDefault="00F34DA2">
      <w:pPr>
        <w:spacing w:line="360" w:lineRule="auto"/>
        <w:ind w:right="51"/>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A efecto de robustecer lo anterior, sirve de sustento el criterio orientador 29/10 emitido por el entonces Instituto Nacional de Transparencia, Acceso a la Información y Protección de Datos Personales, INAI, el cual refiere lo siguiente: </w:t>
      </w:r>
    </w:p>
    <w:p w14:paraId="318FADB6" w14:textId="77777777" w:rsidR="007E6F01" w:rsidRPr="00223FC4" w:rsidRDefault="00F34DA2">
      <w:pPr>
        <w:pBdr>
          <w:top w:val="nil"/>
          <w:left w:val="nil"/>
          <w:bottom w:val="nil"/>
          <w:right w:val="nil"/>
          <w:between w:val="nil"/>
        </w:pBdr>
        <w:spacing w:after="120"/>
        <w:ind w:left="567" w:right="902"/>
        <w:jc w:val="both"/>
        <w:rPr>
          <w:rFonts w:ascii="Palatino Linotype" w:eastAsia="Palatino Linotype" w:hAnsi="Palatino Linotype" w:cs="Palatino Linotype"/>
        </w:rPr>
      </w:pPr>
      <w:r w:rsidRPr="00223FC4">
        <w:rPr>
          <w:rFonts w:ascii="Palatino Linotype" w:eastAsia="Palatino Linotype" w:hAnsi="Palatino Linotype" w:cs="Palatino Linotype"/>
          <w:i/>
        </w:rPr>
        <w:t>“</w:t>
      </w:r>
      <w:r w:rsidRPr="00223FC4">
        <w:rPr>
          <w:rFonts w:ascii="Palatino Linotype" w:eastAsia="Palatino Linotype" w:hAnsi="Palatino Linotype" w:cs="Palatino Linotype"/>
          <w:b/>
          <w:i/>
        </w:rPr>
        <w:t>La clasificación y la inexistencia de información son conceptos que no pueden coexistir</w:t>
      </w:r>
      <w:r w:rsidRPr="00223FC4">
        <w:rPr>
          <w:rFonts w:ascii="Palatino Linotype" w:eastAsia="Palatino Linotype" w:hAnsi="Palatino Linotype" w:cs="Palatino Linotype"/>
          <w:i/>
        </w:rPr>
        <w:t>.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 </w:t>
      </w:r>
    </w:p>
    <w:p w14:paraId="367113C9" w14:textId="77777777" w:rsidR="00AD0FD6" w:rsidRPr="00223FC4" w:rsidRDefault="00AD0FD6">
      <w:pPr>
        <w:spacing w:after="0" w:line="360" w:lineRule="auto"/>
        <w:ind w:right="49"/>
        <w:jc w:val="both"/>
        <w:rPr>
          <w:rFonts w:ascii="Palatino Linotype" w:eastAsia="Palatino Linotype" w:hAnsi="Palatino Linotype" w:cs="Palatino Linotype"/>
        </w:rPr>
      </w:pPr>
    </w:p>
    <w:p w14:paraId="7DE95508" w14:textId="24FA6E95" w:rsidR="007E6F01" w:rsidRPr="00223FC4" w:rsidRDefault="00F34DA2">
      <w:pPr>
        <w:spacing w:after="0"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Dicho lo anterior, resulta procedente contextualizar la información solicitada, para ello, en principio es de referir que, la Ley General de Protección de Datos Personales en Posesión de Sujetos Obligados, establece sobre la protección de los datos personales lo siguiente: </w:t>
      </w:r>
    </w:p>
    <w:p w14:paraId="7B702065" w14:textId="77777777" w:rsidR="007E6F01" w:rsidRPr="00223FC4" w:rsidRDefault="007E6F01">
      <w:pPr>
        <w:spacing w:after="0" w:line="360" w:lineRule="auto"/>
        <w:ind w:right="49"/>
        <w:jc w:val="both"/>
        <w:rPr>
          <w:rFonts w:ascii="Palatino Linotype" w:eastAsia="Palatino Linotype" w:hAnsi="Palatino Linotype" w:cs="Palatino Linotype"/>
        </w:rPr>
      </w:pPr>
    </w:p>
    <w:p w14:paraId="1797B2B6" w14:textId="77777777" w:rsidR="007E6F01" w:rsidRPr="00223FC4" w:rsidRDefault="00F34DA2">
      <w:p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El artículo 1°, dispone que es una ley de observancia general en toda la República, reglamentaria de los artículos 6o., Base A y 16, segundo párrafo, de la Constitución Política de los Estados Unidos Mexicanos, en materia de protección de datos personales en posesión de sujetos obligados.</w:t>
      </w:r>
    </w:p>
    <w:p w14:paraId="31AFB8E0" w14:textId="77777777" w:rsidR="007E6F01" w:rsidRPr="00223FC4" w:rsidRDefault="007E6F01">
      <w:pPr>
        <w:spacing w:after="0" w:line="360" w:lineRule="auto"/>
        <w:ind w:right="-93"/>
        <w:jc w:val="both"/>
        <w:rPr>
          <w:rFonts w:ascii="Palatino Linotype" w:eastAsia="Palatino Linotype" w:hAnsi="Palatino Linotype" w:cs="Palatino Linotype"/>
        </w:rPr>
      </w:pPr>
    </w:p>
    <w:p w14:paraId="3D542B2A" w14:textId="2B10CEB4" w:rsidR="007E6F01" w:rsidRPr="00223FC4" w:rsidRDefault="00F34DA2">
      <w:p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En los artículos 31 y 32 de este ordenamiento, se establece que el responsable del tratamiento de datos personales deberá establecer y mantener las medidas de seguridad de carácter administrativo, físico y técnico para la protección de los datos personales, con el objetivo de protegerlos contra daño, pérdida, alteración, destrucción o su uso, acceso o tratamiento no autorizado, así como garantizar su confidencialidad, integridad y disponibilidad.</w:t>
      </w:r>
    </w:p>
    <w:p w14:paraId="3ED68A36" w14:textId="77777777" w:rsidR="00AD0FD6" w:rsidRPr="00223FC4" w:rsidRDefault="00AD0FD6">
      <w:pPr>
        <w:spacing w:after="0" w:line="360" w:lineRule="auto"/>
        <w:ind w:right="-93"/>
        <w:jc w:val="both"/>
        <w:rPr>
          <w:rFonts w:ascii="Palatino Linotype" w:eastAsia="Palatino Linotype" w:hAnsi="Palatino Linotype" w:cs="Palatino Linotype"/>
        </w:rPr>
      </w:pPr>
    </w:p>
    <w:p w14:paraId="6108B02A" w14:textId="77777777" w:rsidR="007E6F01" w:rsidRPr="00223FC4" w:rsidRDefault="00F34DA2">
      <w:p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Dichas medidas deben considerar el riesgo inherente a los datos personales tratados; su sensibilidad; el desarrollo tecnológico; las posibles consecuencias de una vulneración para los titulares; las transferencias que se realicen; el número de titulares; las vulneraciones previas ocurridas en los sistemas de tratamiento, y el riesgo por el valor potencial cuantitativo o cualitativo que pudieran tener los datos personales tratados para una tercera persona no autorizada para su posesión.</w:t>
      </w:r>
    </w:p>
    <w:p w14:paraId="255B2728" w14:textId="77777777" w:rsidR="007E6F01" w:rsidRPr="00223FC4" w:rsidRDefault="007E6F01">
      <w:pPr>
        <w:spacing w:after="0" w:line="360" w:lineRule="auto"/>
        <w:ind w:right="-93"/>
        <w:jc w:val="both"/>
        <w:rPr>
          <w:rFonts w:ascii="Palatino Linotype" w:eastAsia="Palatino Linotype" w:hAnsi="Palatino Linotype" w:cs="Palatino Linotype"/>
        </w:rPr>
      </w:pPr>
    </w:p>
    <w:p w14:paraId="34F9F296" w14:textId="77777777" w:rsidR="007E6F01" w:rsidRPr="00223FC4" w:rsidRDefault="00F34DA2">
      <w:p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Para cumplir con lo anterior el artículo 33 de la Ley en cita refiere, los sujetos obligados deben:</w:t>
      </w:r>
    </w:p>
    <w:p w14:paraId="73DC4226" w14:textId="77777777" w:rsidR="007E6F01" w:rsidRPr="00223FC4" w:rsidRDefault="007E6F01">
      <w:pPr>
        <w:spacing w:after="0" w:line="360" w:lineRule="auto"/>
        <w:ind w:right="-93"/>
        <w:jc w:val="both"/>
        <w:rPr>
          <w:rFonts w:ascii="Palatino Linotype" w:eastAsia="Palatino Linotype" w:hAnsi="Palatino Linotype" w:cs="Palatino Linotype"/>
        </w:rPr>
      </w:pPr>
    </w:p>
    <w:p w14:paraId="63E2ADF4" w14:textId="77777777" w:rsidR="007E6F01" w:rsidRPr="00223FC4" w:rsidRDefault="00F34DA2">
      <w:pPr>
        <w:numPr>
          <w:ilvl w:val="0"/>
          <w:numId w:val="1"/>
        </w:num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Crear políticas internas para la gestión y tratamiento de los datos personales, que tomen en cuenta el contexto en el que ocurren los tratamientos y el ciclo de vida de los datos personales, es decir, su obtención, uso y posterior supresión;</w:t>
      </w:r>
    </w:p>
    <w:p w14:paraId="0A38571D" w14:textId="77777777" w:rsidR="007E6F01" w:rsidRPr="00223FC4" w:rsidRDefault="00F34DA2">
      <w:pPr>
        <w:numPr>
          <w:ilvl w:val="0"/>
          <w:numId w:val="1"/>
        </w:num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Definir las funciones y obligaciones del personal involucrado en el tratamiento de datos personales;</w:t>
      </w:r>
    </w:p>
    <w:p w14:paraId="2E72B579" w14:textId="77777777" w:rsidR="007E6F01" w:rsidRPr="00223FC4" w:rsidRDefault="00F34DA2">
      <w:pPr>
        <w:numPr>
          <w:ilvl w:val="0"/>
          <w:numId w:val="1"/>
        </w:num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Elaborar un inventario de datos personales y de los sistemas de tratamiento;</w:t>
      </w:r>
    </w:p>
    <w:p w14:paraId="01A8B6CE" w14:textId="77777777" w:rsidR="007E6F01" w:rsidRPr="00223FC4" w:rsidRDefault="00F34DA2">
      <w:pPr>
        <w:numPr>
          <w:ilvl w:val="0"/>
          <w:numId w:val="1"/>
        </w:num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14:paraId="4079BA21" w14:textId="77777777" w:rsidR="007E6F01" w:rsidRPr="00223FC4" w:rsidRDefault="00F34DA2">
      <w:pPr>
        <w:numPr>
          <w:ilvl w:val="0"/>
          <w:numId w:val="1"/>
        </w:num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Realizar un análisis de brecha, comparando las medidas de seguridad existentes contra las faltantes en la organización del responsable;</w:t>
      </w:r>
    </w:p>
    <w:p w14:paraId="18E64DCC" w14:textId="77777777" w:rsidR="007E6F01" w:rsidRPr="00223FC4" w:rsidRDefault="00F34DA2">
      <w:pPr>
        <w:numPr>
          <w:ilvl w:val="0"/>
          <w:numId w:val="1"/>
        </w:num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Elaborar un plan de trabajo para la implementación de las medidas de seguridad faltantes, así como las medidas para el cumplimiento cotidiano de las políticas de gestión y tratamiento de los datos personales;</w:t>
      </w:r>
    </w:p>
    <w:p w14:paraId="564346D4" w14:textId="77777777" w:rsidR="007E6F01" w:rsidRPr="00223FC4" w:rsidRDefault="00F34DA2">
      <w:pPr>
        <w:numPr>
          <w:ilvl w:val="0"/>
          <w:numId w:val="1"/>
        </w:num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Monitorear y revisar de manera periódica las medidas de seguridad implementadas, así como las amenazas y vulneraciones a las que están sujetos los datos personales, y</w:t>
      </w:r>
    </w:p>
    <w:p w14:paraId="6E0103F0" w14:textId="77777777" w:rsidR="007E6F01" w:rsidRPr="00223FC4" w:rsidRDefault="00F34DA2">
      <w:pPr>
        <w:numPr>
          <w:ilvl w:val="0"/>
          <w:numId w:val="1"/>
        </w:num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Diseñar y aplicar diferentes niveles de capacitación del personal bajo su mando, dependiendo de sus roles y responsabilidades respecto del tratamiento de los datos personales.</w:t>
      </w:r>
    </w:p>
    <w:p w14:paraId="3800EE9F" w14:textId="77777777" w:rsidR="007E6F01" w:rsidRPr="00223FC4" w:rsidRDefault="007E6F01">
      <w:pPr>
        <w:spacing w:after="0" w:line="360" w:lineRule="auto"/>
        <w:ind w:right="-93"/>
        <w:jc w:val="both"/>
        <w:rPr>
          <w:rFonts w:ascii="Palatino Linotype" w:eastAsia="Palatino Linotype" w:hAnsi="Palatino Linotype" w:cs="Palatino Linotype"/>
        </w:rPr>
      </w:pPr>
    </w:p>
    <w:p w14:paraId="16CF1AE9" w14:textId="77777777" w:rsidR="007E6F01" w:rsidRPr="00223FC4" w:rsidRDefault="00F34DA2">
      <w:p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Ahora bien, la Ley General dispone en el artículo 35 la obligación de generar un </w:t>
      </w:r>
      <w:r w:rsidRPr="00223FC4">
        <w:rPr>
          <w:rFonts w:ascii="Palatino Linotype" w:eastAsia="Palatino Linotype" w:hAnsi="Palatino Linotype" w:cs="Palatino Linotype"/>
          <w:b/>
        </w:rPr>
        <w:t xml:space="preserve">documento de seguridad </w:t>
      </w:r>
      <w:r w:rsidRPr="00223FC4">
        <w:rPr>
          <w:rFonts w:ascii="Palatino Linotype" w:eastAsia="Palatino Linotype" w:hAnsi="Palatino Linotype" w:cs="Palatino Linotype"/>
        </w:rPr>
        <w:t>que entre otros aspectos contenga el análisis de riesgos, el análisis de brecha; el plan de trabajo; los mecanismos de monitoreo y revisión de las medidas de seguridad, y el programa general de capacitación.</w:t>
      </w:r>
    </w:p>
    <w:p w14:paraId="22482B9F" w14:textId="77777777" w:rsidR="007E6F01" w:rsidRPr="00223FC4" w:rsidRDefault="007E6F01">
      <w:pPr>
        <w:spacing w:after="0" w:line="360" w:lineRule="auto"/>
        <w:ind w:right="-93"/>
        <w:jc w:val="both"/>
        <w:rPr>
          <w:rFonts w:ascii="Palatino Linotype" w:eastAsia="Palatino Linotype" w:hAnsi="Palatino Linotype" w:cs="Palatino Linotype"/>
        </w:rPr>
      </w:pPr>
    </w:p>
    <w:p w14:paraId="45BE3779" w14:textId="77777777" w:rsidR="007E6F01" w:rsidRPr="00223FC4" w:rsidRDefault="00F34DA2">
      <w:p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En competencia local, la Ley de Protección de Datos Personales en Posesión de Sujetos Obligados del Estado de México y Municipios, sobre nuestro tema de interés refiere lo siguiente:</w:t>
      </w:r>
    </w:p>
    <w:p w14:paraId="2D62E617" w14:textId="77777777" w:rsidR="007E6F01" w:rsidRPr="00223FC4" w:rsidRDefault="007E6F01">
      <w:pPr>
        <w:spacing w:after="0" w:line="360" w:lineRule="auto"/>
        <w:ind w:right="-93"/>
        <w:jc w:val="both"/>
        <w:rPr>
          <w:rFonts w:ascii="Palatino Linotype" w:eastAsia="Palatino Linotype" w:hAnsi="Palatino Linotype" w:cs="Palatino Linotype"/>
        </w:rPr>
      </w:pPr>
    </w:p>
    <w:p w14:paraId="4621BE9F" w14:textId="77777777" w:rsidR="007E6F01" w:rsidRPr="00223FC4" w:rsidRDefault="00F34DA2">
      <w:pPr>
        <w:spacing w:after="0" w:line="276" w:lineRule="auto"/>
        <w:ind w:left="567" w:right="567"/>
        <w:jc w:val="both"/>
        <w:rPr>
          <w:rFonts w:ascii="Palatino Linotype" w:eastAsia="Palatino Linotype" w:hAnsi="Palatino Linotype" w:cs="Palatino Linotype"/>
          <w:b/>
          <w:i/>
        </w:rPr>
      </w:pPr>
      <w:r w:rsidRPr="00223FC4">
        <w:rPr>
          <w:rFonts w:ascii="Palatino Linotype" w:eastAsia="Palatino Linotype" w:hAnsi="Palatino Linotype" w:cs="Palatino Linotype"/>
          <w:b/>
          <w:i/>
        </w:rPr>
        <w:t xml:space="preserve">Del objeto de la Ley </w:t>
      </w:r>
    </w:p>
    <w:p w14:paraId="179AB16E"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b/>
          <w:i/>
        </w:rPr>
        <w:t>Artículo 1</w:t>
      </w:r>
      <w:r w:rsidRPr="00223FC4">
        <w:rPr>
          <w:rFonts w:ascii="Palatino Linotype" w:eastAsia="Palatino Linotype" w:hAnsi="Palatino Linotype" w:cs="Palatino Linotype"/>
          <w:i/>
        </w:rPr>
        <w:t>. La presente Ley es de orden público, interés social y observancia obligatoria en el Estado de México y sus Municipios. Es reglamentaria de las disposiciones en materia de protección de datos personales previstas en la Constitución Política del Estado Libre y Soberano de México. Tiene por objeto establecer las bases, principios y procedimientos para tutelar y garantizar el derecho que tiene toda persona a la protección de sus datos personales, en posesión de los sujetos obligados.</w:t>
      </w:r>
    </w:p>
    <w:p w14:paraId="2495905F" w14:textId="77777777" w:rsidR="007E6F01" w:rsidRPr="00223FC4" w:rsidRDefault="007E6F01">
      <w:pPr>
        <w:spacing w:after="0" w:line="276" w:lineRule="auto"/>
        <w:ind w:left="567" w:right="567"/>
        <w:jc w:val="both"/>
        <w:rPr>
          <w:rFonts w:ascii="Palatino Linotype" w:eastAsia="Palatino Linotype" w:hAnsi="Palatino Linotype" w:cs="Palatino Linotype"/>
          <w:i/>
        </w:rPr>
      </w:pPr>
    </w:p>
    <w:p w14:paraId="18D043F6" w14:textId="77777777" w:rsidR="007E6F01" w:rsidRPr="00223FC4" w:rsidRDefault="00F34DA2">
      <w:pPr>
        <w:spacing w:after="0" w:line="276" w:lineRule="auto"/>
        <w:ind w:left="567" w:right="567"/>
        <w:jc w:val="both"/>
        <w:rPr>
          <w:rFonts w:ascii="Palatino Linotype" w:eastAsia="Palatino Linotype" w:hAnsi="Palatino Linotype" w:cs="Palatino Linotype"/>
          <w:b/>
          <w:i/>
        </w:rPr>
      </w:pPr>
      <w:r w:rsidRPr="00223FC4">
        <w:rPr>
          <w:rFonts w:ascii="Palatino Linotype" w:eastAsia="Palatino Linotype" w:hAnsi="Palatino Linotype" w:cs="Palatino Linotype"/>
          <w:b/>
          <w:i/>
        </w:rPr>
        <w:t xml:space="preserve">De las finalidades de la Ley </w:t>
      </w:r>
    </w:p>
    <w:p w14:paraId="08CBF7BB"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b/>
          <w:i/>
        </w:rPr>
        <w:t>Artículo 2.</w:t>
      </w:r>
      <w:r w:rsidRPr="00223FC4">
        <w:rPr>
          <w:rFonts w:ascii="Palatino Linotype" w:eastAsia="Palatino Linotype" w:hAnsi="Palatino Linotype" w:cs="Palatino Linotype"/>
          <w:i/>
        </w:rPr>
        <w:t xml:space="preserve"> Son finalidades de la presente Ley:</w:t>
      </w:r>
    </w:p>
    <w:p w14:paraId="13EB7FBA"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I. a III. …</w:t>
      </w:r>
    </w:p>
    <w:p w14:paraId="4C8FBE4A"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IV. Proteger los datos personales en posesión de los sujetos obligados del Estado de México y municipios a los que se refiere esta Ley, con la finalidad de regular su debido tratamiento.</w:t>
      </w:r>
    </w:p>
    <w:p w14:paraId="4183EDCE"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V. Promover la adopción de medidas de seguridad que garanticen, la integridad, disponibilidad y confidencialidad de los datos personales en posesión de los sujetos obligados, estableciendo los mecanismos para asegurar su cumplimiento.</w:t>
      </w:r>
    </w:p>
    <w:p w14:paraId="7D46D844"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VI. a X. …</w:t>
      </w:r>
    </w:p>
    <w:p w14:paraId="21E3A024" w14:textId="77777777" w:rsidR="007E6F01" w:rsidRPr="00223FC4" w:rsidRDefault="007E6F01">
      <w:pPr>
        <w:spacing w:after="0" w:line="276" w:lineRule="auto"/>
        <w:ind w:left="567" w:right="567"/>
        <w:jc w:val="both"/>
        <w:rPr>
          <w:rFonts w:ascii="Palatino Linotype" w:eastAsia="Palatino Linotype" w:hAnsi="Palatino Linotype" w:cs="Palatino Linotype"/>
          <w:i/>
        </w:rPr>
      </w:pPr>
    </w:p>
    <w:p w14:paraId="34834D3C" w14:textId="77777777" w:rsidR="007E6F01" w:rsidRPr="00223FC4" w:rsidRDefault="00F34DA2">
      <w:pPr>
        <w:spacing w:after="0" w:line="276" w:lineRule="auto"/>
        <w:ind w:left="567" w:right="567"/>
        <w:jc w:val="both"/>
        <w:rPr>
          <w:rFonts w:ascii="Palatino Linotype" w:eastAsia="Palatino Linotype" w:hAnsi="Palatino Linotype" w:cs="Palatino Linotype"/>
          <w:b/>
          <w:i/>
        </w:rPr>
      </w:pPr>
      <w:r w:rsidRPr="00223FC4">
        <w:rPr>
          <w:rFonts w:ascii="Palatino Linotype" w:eastAsia="Palatino Linotype" w:hAnsi="Palatino Linotype" w:cs="Palatino Linotype"/>
          <w:b/>
          <w:i/>
        </w:rPr>
        <w:t>Glosario</w:t>
      </w:r>
    </w:p>
    <w:p w14:paraId="2C36CD91"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Artículo 4. Para los efectos de esta Ley se entenderá por:</w:t>
      </w:r>
    </w:p>
    <w:p w14:paraId="4D78F430"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I. a XVII. …</w:t>
      </w:r>
    </w:p>
    <w:p w14:paraId="343CBE57"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XVIII. Documento de seguridad: 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 XIX. a XXX. …</w:t>
      </w:r>
    </w:p>
    <w:p w14:paraId="195ECE79"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XXXI. Medidas de seguridad administrativas: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6523BAA4"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XXXII. Medidas de seguridad físicas: a las acciones y mecanismos para proteger el entorno físico de los datos personales y de los recursos involucrados en su tratamiento. De manera enunciativa más no limitativa, se considerarán las actividades siguientes:</w:t>
      </w:r>
    </w:p>
    <w:p w14:paraId="26BC18BF"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a) Prevenir el acceso no autorizado al perímetro de la organización, sus instalaciones físicas, áreas críticas, recursos e información.</w:t>
      </w:r>
    </w:p>
    <w:p w14:paraId="190E11D5"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b) Prevenir el daño o interferencia a las instalaciones físicas, áreas críticas de la organización, recursos e información.</w:t>
      </w:r>
    </w:p>
    <w:p w14:paraId="4BCEE5EE"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c) Proteger los recursos móviles, portátiles y cualquier soporte físico o electrónico que pueda salir de la organización.</w:t>
      </w:r>
    </w:p>
    <w:p w14:paraId="5B57B539"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d) Proveer a los equipos que contienen o almacenan datos personales de un mantenimiento eficaz que asegure su disponibilidad e integridad.</w:t>
      </w:r>
    </w:p>
    <w:p w14:paraId="4ED03CC6"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XXXIII. Medidas de seguridad técnicas: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14:paraId="25B85571"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a) Prevenir que el acceso a los sistemas y bases de datos o a la información, así como a los recursos, sea por usuarios identificados y autorizados.</w:t>
      </w:r>
    </w:p>
    <w:p w14:paraId="2BB29DE7"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b) Generar un esquema de privilegios para que el usuario lleve a cabo las actividades que requiere con motivo de sus funciones.</w:t>
      </w:r>
    </w:p>
    <w:p w14:paraId="7E607630"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c) Revisar la configuración de seguridad en la adquisición, operación, desarrollo y mantenimiento del software y hardware.</w:t>
      </w:r>
    </w:p>
    <w:p w14:paraId="55A31662"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d) Gestionar las comunicaciones, operaciones y medios de almacenamiento de los recursos informáticos en el tratamiento de datos personales.</w:t>
      </w:r>
    </w:p>
    <w:p w14:paraId="6C9E8CAF"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XXXIII. a LI. …</w:t>
      </w:r>
    </w:p>
    <w:p w14:paraId="198802AC" w14:textId="77777777" w:rsidR="007E6F01" w:rsidRPr="00223FC4" w:rsidRDefault="007E6F01">
      <w:pPr>
        <w:spacing w:after="0" w:line="276" w:lineRule="auto"/>
        <w:ind w:left="567" w:right="567"/>
        <w:jc w:val="both"/>
        <w:rPr>
          <w:rFonts w:ascii="Palatino Linotype" w:eastAsia="Palatino Linotype" w:hAnsi="Palatino Linotype" w:cs="Palatino Linotype"/>
          <w:i/>
        </w:rPr>
      </w:pPr>
    </w:p>
    <w:p w14:paraId="11DB45F2"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LII. Violación de la seguridad de los datos personales: a la violación de la seguridad que ocasione la destrucción, pérdida o alteración accidental o ilícita de datos personales transferidos, conservados o tratados de otra forma, o la comunicación o acceso no autorizados a dichos datos, o cualquier otra que afecte la confidencialidad, integridad y disponibilidad de los datos personales. Se encuentran comprendidas dentro de este concepto las vulneraciones a las que hace referencia la Ley General de Protección de Datos Personales en Posesión de Sujetos Obligados. </w:t>
      </w:r>
    </w:p>
    <w:p w14:paraId="24171701" w14:textId="77777777" w:rsidR="007E6F01" w:rsidRPr="00223FC4" w:rsidRDefault="007E6F01">
      <w:pPr>
        <w:spacing w:after="0" w:line="276" w:lineRule="auto"/>
        <w:ind w:left="567" w:right="567"/>
        <w:jc w:val="both"/>
        <w:rPr>
          <w:rFonts w:ascii="Palatino Linotype" w:eastAsia="Palatino Linotype" w:hAnsi="Palatino Linotype" w:cs="Palatino Linotype"/>
          <w:i/>
        </w:rPr>
      </w:pPr>
    </w:p>
    <w:p w14:paraId="24DA3CC9" w14:textId="77777777" w:rsidR="007E6F01" w:rsidRPr="00223FC4" w:rsidRDefault="00F34DA2">
      <w:pPr>
        <w:spacing w:after="0" w:line="276" w:lineRule="auto"/>
        <w:ind w:left="567" w:right="567"/>
        <w:jc w:val="center"/>
        <w:rPr>
          <w:rFonts w:ascii="Palatino Linotype" w:eastAsia="Palatino Linotype" w:hAnsi="Palatino Linotype" w:cs="Palatino Linotype"/>
          <w:b/>
          <w:i/>
        </w:rPr>
      </w:pPr>
      <w:r w:rsidRPr="00223FC4">
        <w:rPr>
          <w:rFonts w:ascii="Palatino Linotype" w:eastAsia="Palatino Linotype" w:hAnsi="Palatino Linotype" w:cs="Palatino Linotype"/>
          <w:b/>
          <w:i/>
        </w:rPr>
        <w:t>CAPÍTULO PRIMERO</w:t>
      </w:r>
    </w:p>
    <w:p w14:paraId="635AA011" w14:textId="77777777" w:rsidR="007E6F01" w:rsidRPr="00223FC4" w:rsidRDefault="00F34DA2">
      <w:pPr>
        <w:spacing w:after="0" w:line="276" w:lineRule="auto"/>
        <w:ind w:left="567" w:right="567"/>
        <w:jc w:val="center"/>
        <w:rPr>
          <w:rFonts w:ascii="Palatino Linotype" w:eastAsia="Palatino Linotype" w:hAnsi="Palatino Linotype" w:cs="Palatino Linotype"/>
          <w:b/>
          <w:i/>
        </w:rPr>
      </w:pPr>
      <w:r w:rsidRPr="00223FC4">
        <w:rPr>
          <w:rFonts w:ascii="Palatino Linotype" w:eastAsia="Palatino Linotype" w:hAnsi="Palatino Linotype" w:cs="Palatino Linotype"/>
          <w:b/>
          <w:i/>
        </w:rPr>
        <w:t>DE LOS PRINCIPIOS EN MATERIA DE PROTECCIÓN</w:t>
      </w:r>
    </w:p>
    <w:p w14:paraId="26BB9D18" w14:textId="77777777" w:rsidR="007E6F01" w:rsidRPr="00223FC4" w:rsidRDefault="00F34DA2">
      <w:pPr>
        <w:spacing w:after="0" w:line="276" w:lineRule="auto"/>
        <w:ind w:left="567" w:right="567"/>
        <w:jc w:val="center"/>
        <w:rPr>
          <w:rFonts w:ascii="Palatino Linotype" w:eastAsia="Palatino Linotype" w:hAnsi="Palatino Linotype" w:cs="Palatino Linotype"/>
          <w:b/>
          <w:i/>
        </w:rPr>
      </w:pPr>
      <w:r w:rsidRPr="00223FC4">
        <w:rPr>
          <w:rFonts w:ascii="Palatino Linotype" w:eastAsia="Palatino Linotype" w:hAnsi="Palatino Linotype" w:cs="Palatino Linotype"/>
          <w:b/>
          <w:i/>
        </w:rPr>
        <w:t>DE DATOS PERSONALES</w:t>
      </w:r>
    </w:p>
    <w:p w14:paraId="0686714C" w14:textId="77777777" w:rsidR="007E6F01" w:rsidRPr="00223FC4" w:rsidRDefault="007E6F01">
      <w:pPr>
        <w:spacing w:after="0" w:line="276" w:lineRule="auto"/>
        <w:ind w:left="567" w:right="567"/>
        <w:jc w:val="both"/>
        <w:rPr>
          <w:rFonts w:ascii="Palatino Linotype" w:eastAsia="Palatino Linotype" w:hAnsi="Palatino Linotype" w:cs="Palatino Linotype"/>
          <w:i/>
        </w:rPr>
      </w:pPr>
    </w:p>
    <w:p w14:paraId="6EB52056" w14:textId="77777777" w:rsidR="007E6F01" w:rsidRPr="00223FC4" w:rsidRDefault="00F34DA2">
      <w:pPr>
        <w:spacing w:after="0" w:line="276" w:lineRule="auto"/>
        <w:ind w:left="567" w:right="567"/>
        <w:jc w:val="both"/>
        <w:rPr>
          <w:rFonts w:ascii="Palatino Linotype" w:eastAsia="Palatino Linotype" w:hAnsi="Palatino Linotype" w:cs="Palatino Linotype"/>
          <w:b/>
          <w:i/>
        </w:rPr>
      </w:pPr>
      <w:r w:rsidRPr="00223FC4">
        <w:rPr>
          <w:rFonts w:ascii="Palatino Linotype" w:eastAsia="Palatino Linotype" w:hAnsi="Palatino Linotype" w:cs="Palatino Linotype"/>
          <w:b/>
          <w:i/>
        </w:rPr>
        <w:t>Principio de Calidad</w:t>
      </w:r>
    </w:p>
    <w:p w14:paraId="35A67822"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b/>
          <w:i/>
        </w:rPr>
        <w:t>Artículo 16.</w:t>
      </w:r>
      <w:r w:rsidRPr="00223FC4">
        <w:rPr>
          <w:rFonts w:ascii="Palatino Linotype" w:eastAsia="Palatino Linotype" w:hAnsi="Palatino Linotype" w:cs="Palatino Linotype"/>
          <w:i/>
        </w:rPr>
        <w:t xml:space="preserve"> Los responsables adoptarán las medidas para mantener exactos, completos, correctos y actualizados los datos personales en su posesión, para no alterar su veracidad.</w:t>
      </w:r>
    </w:p>
    <w:p w14:paraId="4E5B719D"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Se presume que se cumple con la calidad en los datos personales cuando éstos son proporcionados directamente por la o el titular y hasta que éste no manifieste y acredite lo contrario.</w:t>
      </w:r>
    </w:p>
    <w:p w14:paraId="252275E5"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Cuando los datos personales hayan dejado de ser necesarios para el cumplimiento de las finalidades previstas en el aviso de privacidad y que motivaron su tratamiento conforme a las disposiciones que resulten aplicables, serán suprimidos previo bloqueo y concluido su plazo de conservación.</w:t>
      </w:r>
    </w:p>
    <w:p w14:paraId="36118E36"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Los plazos de conservación de los datos personales no excederán los necesarios para el cumplimiento de las finalidades que justificaron su tratamiento, atendiendo a las disposiciones legales aplicables en la materia de que se trate y considerar los aspectos administrativos, contables, fiscales, jurídicos e históricos de los datos personales, en términos de su catálogo de disposición documental.</w:t>
      </w:r>
    </w:p>
    <w:p w14:paraId="5A89740C"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Con el objeto de preservar la veracidad de la información, el responsable llevará una bitácora de las modificaciones que ha realizado a los registros de las usuarias y los usuarios de los sistemas y bases de datos personales, pudiendo conservar, los datos que se han referido inexactos, incompletos, incorrectos o desactualizados, los cuales inclusive podrán ser utilizados para efecto de responsabilidades.</w:t>
      </w:r>
    </w:p>
    <w:p w14:paraId="6635E6AB" w14:textId="77777777" w:rsidR="007E6F01" w:rsidRPr="00223FC4" w:rsidRDefault="007E6F01">
      <w:pPr>
        <w:spacing w:after="0" w:line="276" w:lineRule="auto"/>
        <w:ind w:left="567" w:right="567"/>
        <w:jc w:val="both"/>
        <w:rPr>
          <w:rFonts w:ascii="Palatino Linotype" w:eastAsia="Palatino Linotype" w:hAnsi="Palatino Linotype" w:cs="Palatino Linotype"/>
          <w:i/>
        </w:rPr>
      </w:pPr>
    </w:p>
    <w:p w14:paraId="3CDF270E"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Mecanismos para demostrar el cumplimiento del principio de responsabilidad</w:t>
      </w:r>
    </w:p>
    <w:p w14:paraId="57EA245E"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Artículo 28. Entre los mecanismos que deberá adoptar el responsable para cumplir con el principio de responsabilidad establecido en la presente Ley están, al menos, los siguientes:</w:t>
      </w:r>
    </w:p>
    <w:p w14:paraId="4C8213A6"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I. a II. …</w:t>
      </w:r>
    </w:p>
    <w:p w14:paraId="3538978E"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III. Poner en práctica un programa de capacitación y actualización del personal sobre las obligaciones y demás deberes en materia de protección de datos personales.</w:t>
      </w:r>
    </w:p>
    <w:p w14:paraId="571AEAAA"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IV. Revisar periódicamente las políticas y programas de seguridad de datos personales para determinar las modificaciones que se requieran.</w:t>
      </w:r>
    </w:p>
    <w:p w14:paraId="3EA971EC"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V. Establecer un sistema de supervisión y vigilancia interna y/o externas, incluyendo auditorías, para comprobar el cumplimiento de las políticas de protección de datos personales.</w:t>
      </w:r>
    </w:p>
    <w:p w14:paraId="05842F5F" w14:textId="77777777" w:rsidR="007E6F01" w:rsidRPr="00223FC4" w:rsidRDefault="007E6F01">
      <w:pPr>
        <w:spacing w:after="0" w:line="276" w:lineRule="auto"/>
        <w:ind w:left="567" w:right="567"/>
        <w:jc w:val="center"/>
        <w:rPr>
          <w:rFonts w:ascii="Palatino Linotype" w:eastAsia="Palatino Linotype" w:hAnsi="Palatino Linotype" w:cs="Palatino Linotype"/>
          <w:b/>
          <w:i/>
        </w:rPr>
      </w:pPr>
    </w:p>
    <w:p w14:paraId="3B1A11AD" w14:textId="77777777" w:rsidR="007E6F01" w:rsidRPr="00223FC4" w:rsidRDefault="00F34DA2">
      <w:pPr>
        <w:spacing w:after="0" w:line="276" w:lineRule="auto"/>
        <w:ind w:left="567" w:right="567"/>
        <w:jc w:val="center"/>
        <w:rPr>
          <w:rFonts w:ascii="Palatino Linotype" w:eastAsia="Palatino Linotype" w:hAnsi="Palatino Linotype" w:cs="Palatino Linotype"/>
          <w:b/>
          <w:i/>
        </w:rPr>
      </w:pPr>
      <w:r w:rsidRPr="00223FC4">
        <w:rPr>
          <w:rFonts w:ascii="Palatino Linotype" w:eastAsia="Palatino Linotype" w:hAnsi="Palatino Linotype" w:cs="Palatino Linotype"/>
          <w:b/>
          <w:i/>
        </w:rPr>
        <w:t>CAPÍTULO SEGUNDO</w:t>
      </w:r>
    </w:p>
    <w:p w14:paraId="7224DC3B" w14:textId="77777777" w:rsidR="007E6F01" w:rsidRPr="00223FC4" w:rsidRDefault="00F34DA2">
      <w:pPr>
        <w:spacing w:after="0" w:line="276" w:lineRule="auto"/>
        <w:ind w:left="567" w:right="567"/>
        <w:jc w:val="center"/>
        <w:rPr>
          <w:rFonts w:ascii="Palatino Linotype" w:eastAsia="Palatino Linotype" w:hAnsi="Palatino Linotype" w:cs="Palatino Linotype"/>
          <w:b/>
          <w:i/>
        </w:rPr>
      </w:pPr>
      <w:r w:rsidRPr="00223FC4">
        <w:rPr>
          <w:rFonts w:ascii="Palatino Linotype" w:eastAsia="Palatino Linotype" w:hAnsi="Palatino Linotype" w:cs="Palatino Linotype"/>
          <w:b/>
          <w:i/>
        </w:rPr>
        <w:t>DE LAS MEDIDAS DE SEGURIDAD</w:t>
      </w:r>
    </w:p>
    <w:p w14:paraId="0B21C118" w14:textId="77777777" w:rsidR="007E6F01" w:rsidRPr="00223FC4" w:rsidRDefault="007E6F01">
      <w:pPr>
        <w:spacing w:after="0" w:line="276" w:lineRule="auto"/>
        <w:ind w:left="567" w:right="567"/>
        <w:jc w:val="both"/>
        <w:rPr>
          <w:rFonts w:ascii="Palatino Linotype" w:eastAsia="Palatino Linotype" w:hAnsi="Palatino Linotype" w:cs="Palatino Linotype"/>
          <w:i/>
        </w:rPr>
      </w:pPr>
    </w:p>
    <w:p w14:paraId="28F95A5C" w14:textId="77777777" w:rsidR="007E6F01" w:rsidRPr="00223FC4" w:rsidRDefault="00F34DA2">
      <w:pPr>
        <w:spacing w:after="0" w:line="276" w:lineRule="auto"/>
        <w:ind w:left="567" w:right="567"/>
        <w:jc w:val="both"/>
        <w:rPr>
          <w:rFonts w:ascii="Palatino Linotype" w:eastAsia="Palatino Linotype" w:hAnsi="Palatino Linotype" w:cs="Palatino Linotype"/>
          <w:b/>
          <w:i/>
        </w:rPr>
      </w:pPr>
      <w:r w:rsidRPr="00223FC4">
        <w:rPr>
          <w:rFonts w:ascii="Palatino Linotype" w:eastAsia="Palatino Linotype" w:hAnsi="Palatino Linotype" w:cs="Palatino Linotype"/>
          <w:b/>
          <w:i/>
        </w:rPr>
        <w:t xml:space="preserve">Naturaleza de las medidas de seguridad y registro del nivel de seguridad. </w:t>
      </w:r>
    </w:p>
    <w:p w14:paraId="010C4E72"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b/>
          <w:i/>
        </w:rPr>
        <w:t>Artículo 43.</w:t>
      </w:r>
      <w:r w:rsidRPr="00223FC4">
        <w:rPr>
          <w:rFonts w:ascii="Palatino Linotype" w:eastAsia="Palatino Linotype" w:hAnsi="Palatino Linotype" w:cs="Palatino Linotype"/>
          <w:i/>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las medidas de seguridad que se adopten serán consideradas confidenciales y únicamente se comunicará al Instituto, para su registro, el nivel de seguridad aplicable.</w:t>
      </w:r>
    </w:p>
    <w:p w14:paraId="502A28C8"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w:t>
      </w:r>
    </w:p>
    <w:p w14:paraId="7C6B516D"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w:t>
      </w:r>
    </w:p>
    <w:p w14:paraId="3C1FC6EC"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En el supuesto de actualización de estos datos, la modificación respectiva se notificará al Instituto en sus oficinas o en el portal que para tal efecto se cree, dentro de los treinta días hábiles siguientes a la fecha en que se efectuó.</w:t>
      </w:r>
    </w:p>
    <w:p w14:paraId="2A1F1D2F"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El responsable o el encargado, designarán a una o un administrador, quien tendrá bajo su responsabilidad directa la base y sistema de datos personales.</w:t>
      </w:r>
    </w:p>
    <w:p w14:paraId="06AF5890" w14:textId="77777777" w:rsidR="007E6F01" w:rsidRPr="00223FC4" w:rsidRDefault="007E6F01">
      <w:pPr>
        <w:spacing w:after="0" w:line="276" w:lineRule="auto"/>
        <w:ind w:left="567" w:right="567"/>
        <w:jc w:val="both"/>
        <w:rPr>
          <w:rFonts w:ascii="Palatino Linotype" w:eastAsia="Palatino Linotype" w:hAnsi="Palatino Linotype" w:cs="Palatino Linotype"/>
          <w:i/>
        </w:rPr>
      </w:pPr>
    </w:p>
    <w:p w14:paraId="0FE5408A"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Elementos a considerar para la adopción de medidas de seguridad y su naturaleza</w:t>
      </w:r>
    </w:p>
    <w:p w14:paraId="68E9B8C2"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b/>
          <w:i/>
        </w:rPr>
        <w:t>Artículo 45.</w:t>
      </w:r>
      <w:r w:rsidRPr="00223FC4">
        <w:rPr>
          <w:rFonts w:ascii="Palatino Linotype" w:eastAsia="Palatino Linotype" w:hAnsi="Palatino Linotype" w:cs="Palatino Linotype"/>
          <w:i/>
        </w:rPr>
        <w:t xml:space="preserve"> Las medidas de seguridad adoptadas por el responsable considerarán:</w:t>
      </w:r>
    </w:p>
    <w:p w14:paraId="6961E761"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I. El riesgo inherente a los datos personales tratados.</w:t>
      </w:r>
    </w:p>
    <w:p w14:paraId="6BF66C92"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II. La sensibilidad de los datos personales tratados.</w:t>
      </w:r>
    </w:p>
    <w:p w14:paraId="67B0124D"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III. El desarrollo tecnológico.</w:t>
      </w:r>
    </w:p>
    <w:p w14:paraId="68BAF826"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IV. Las posibles consecuencias de una vulneración para las y los titulares.</w:t>
      </w:r>
    </w:p>
    <w:p w14:paraId="67CEC463"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V. Las transferencias de datos personales que se realicen.</w:t>
      </w:r>
    </w:p>
    <w:p w14:paraId="0250EA1A"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VI. El número de titulares.</w:t>
      </w:r>
    </w:p>
    <w:p w14:paraId="75319CA4"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VII. Las violaciones a la seguridad previas ocurridas en los sistemas de tratamiento.</w:t>
      </w:r>
    </w:p>
    <w:p w14:paraId="0B533E70"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VIII. El riesgo por el valor potencial cuantitativo o cualitativo que pudieran tener los datos personales tratados para una tercera persona no autorizada para su posesión.</w:t>
      </w:r>
    </w:p>
    <w:p w14:paraId="138F06A9"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Actividades interrelacionadas para establecer y mantener las medidas de seguridad</w:t>
      </w:r>
    </w:p>
    <w:p w14:paraId="70FF4F2B" w14:textId="77777777" w:rsidR="007E6F01" w:rsidRPr="00223FC4" w:rsidRDefault="007E6F01">
      <w:pPr>
        <w:spacing w:after="0" w:line="276" w:lineRule="auto"/>
        <w:ind w:left="567" w:right="567"/>
        <w:jc w:val="both"/>
        <w:rPr>
          <w:rFonts w:ascii="Palatino Linotype" w:eastAsia="Palatino Linotype" w:hAnsi="Palatino Linotype" w:cs="Palatino Linotype"/>
          <w:i/>
        </w:rPr>
      </w:pPr>
    </w:p>
    <w:p w14:paraId="0D8D134B"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b/>
          <w:i/>
        </w:rPr>
        <w:t>Artículo 46.</w:t>
      </w:r>
      <w:r w:rsidRPr="00223FC4">
        <w:rPr>
          <w:rFonts w:ascii="Palatino Linotype" w:eastAsia="Palatino Linotype" w:hAnsi="Palatino Linotype" w:cs="Palatino Linotype"/>
          <w:i/>
        </w:rPr>
        <w:t xml:space="preserve"> Para establecer y mantener las medidas de seguridad para la protección de los datos personales, el responsable realizará, al menos, las actividades interrelacionadas siguientes:</w:t>
      </w:r>
    </w:p>
    <w:p w14:paraId="7829E2A9"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I. Crear políticas internas para la gestión y tratamiento de los datos personales, que tomen en cuenta el contexto en el que ocurren los tratamientos y el ciclo de vida de los datos personales, es decir, su obtención, uso y posterior supresión.</w:t>
      </w:r>
    </w:p>
    <w:p w14:paraId="79E952FE"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II. Definir las funciones y obligaciones del personal involucrado en el tratamiento de datos personales.</w:t>
      </w:r>
    </w:p>
    <w:p w14:paraId="0721E62B"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III. Elaborar un inventario de datos personales y de las bases y o sistemas de tratamiento.</w:t>
      </w:r>
    </w:p>
    <w:p w14:paraId="3A87B7E5"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14:paraId="03A68F7B"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V. Realizar un análisis de brecha, comparando las medidas de seguridad existentes contra las faltantes en la organización del responsable.</w:t>
      </w:r>
    </w:p>
    <w:p w14:paraId="27DB1982" w14:textId="77777777" w:rsidR="007E6F01" w:rsidRPr="00223FC4" w:rsidRDefault="00F34DA2">
      <w:pPr>
        <w:spacing w:after="0" w:line="276" w:lineRule="auto"/>
        <w:ind w:left="567" w:right="567"/>
        <w:jc w:val="both"/>
        <w:rPr>
          <w:rFonts w:ascii="Palatino Linotype" w:eastAsia="Palatino Linotype" w:hAnsi="Palatino Linotype" w:cs="Palatino Linotype"/>
          <w:b/>
          <w:i/>
        </w:rPr>
      </w:pPr>
      <w:r w:rsidRPr="00223FC4">
        <w:rPr>
          <w:rFonts w:ascii="Palatino Linotype" w:eastAsia="Palatino Linotype" w:hAnsi="Palatino Linotype" w:cs="Palatino Linotype"/>
          <w:b/>
          <w:i/>
        </w:rPr>
        <w:t>VI. Elaborar un plan de trabajo para la implementación de las medidas de seguridad faltantes, así como las medidas para el cumplimiento cotidiano de las políticas de gestión y tratamiento de los datos personales.</w:t>
      </w:r>
    </w:p>
    <w:p w14:paraId="1B6E5011"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VII. Monitorear y revisar de manera periódica las medidas de seguridad implementadas, así como las amenazas y vulnerabilidades a las que están sujetos los datos personales.</w:t>
      </w:r>
    </w:p>
    <w:p w14:paraId="72026CB9"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VIII. Diseñar y aplicar diferentes niveles de capacitación del personal bajo su mando, dependiendo de sus roles y responsabilidades respecto del tratamiento de los datos personales</w:t>
      </w:r>
    </w:p>
    <w:p w14:paraId="61C4DFB8" w14:textId="77777777" w:rsidR="007E6F01" w:rsidRPr="00223FC4" w:rsidRDefault="007E6F01">
      <w:pPr>
        <w:spacing w:after="0" w:line="276" w:lineRule="auto"/>
        <w:ind w:left="567" w:right="567"/>
        <w:jc w:val="both"/>
        <w:rPr>
          <w:rFonts w:ascii="Palatino Linotype" w:eastAsia="Palatino Linotype" w:hAnsi="Palatino Linotype" w:cs="Palatino Linotype"/>
          <w:i/>
        </w:rPr>
      </w:pPr>
    </w:p>
    <w:p w14:paraId="58C79046" w14:textId="77777777" w:rsidR="007E6F01" w:rsidRPr="00223FC4" w:rsidRDefault="00F34DA2">
      <w:pPr>
        <w:spacing w:after="0" w:line="276" w:lineRule="auto"/>
        <w:ind w:left="567" w:right="567"/>
        <w:jc w:val="both"/>
        <w:rPr>
          <w:rFonts w:ascii="Palatino Linotype" w:eastAsia="Palatino Linotype" w:hAnsi="Palatino Linotype" w:cs="Palatino Linotype"/>
          <w:b/>
          <w:i/>
        </w:rPr>
      </w:pPr>
      <w:r w:rsidRPr="00223FC4">
        <w:rPr>
          <w:rFonts w:ascii="Palatino Linotype" w:eastAsia="Palatino Linotype" w:hAnsi="Palatino Linotype" w:cs="Palatino Linotype"/>
          <w:b/>
          <w:i/>
        </w:rPr>
        <w:t>Contenido del Documento de Seguridad</w:t>
      </w:r>
    </w:p>
    <w:p w14:paraId="7AF6C5FC"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Artículo 49. El documento de seguridad deberá contener como mínimo lo siguiente:</w:t>
      </w:r>
    </w:p>
    <w:p w14:paraId="68165EB6"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I. Respecto de los sistemas de datos personales:</w:t>
      </w:r>
    </w:p>
    <w:p w14:paraId="3D3C6A39"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a) El nombre.</w:t>
      </w:r>
    </w:p>
    <w:p w14:paraId="51C3DB15"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b) El nombre, cargo y adscripción del administrador de cada sistema y base de datos.</w:t>
      </w:r>
    </w:p>
    <w:p w14:paraId="61B88E51"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c) Las funciones y obligaciones del responsable, encargado o encargados y todas las personas que traten datos personales. </w:t>
      </w:r>
    </w:p>
    <w:p w14:paraId="0038A387"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d) El folio del registro del sistema y base de datos. </w:t>
      </w:r>
    </w:p>
    <w:p w14:paraId="17E62D50"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e) El inventario o la especificación detallada del tipo de datos personales contenidos. </w:t>
      </w:r>
    </w:p>
    <w:p w14:paraId="74652389"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f) La estructura y descripción de los sistemas y bases de datos personales, lo cual consiste en precisar y describir el tipo de soporte, así como las características del lugar donde se resguardan.</w:t>
      </w:r>
    </w:p>
    <w:p w14:paraId="6711464B"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II. Respecto de las medidas de seguridad implementadas deberá incluir lo siguiente: </w:t>
      </w:r>
    </w:p>
    <w:p w14:paraId="1CC2A382"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a) Transferencia y remisiones. </w:t>
      </w:r>
    </w:p>
    <w:p w14:paraId="72077A28"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b) Resguardo de soportes físicos y electrónicos. </w:t>
      </w:r>
    </w:p>
    <w:p w14:paraId="23E638C2"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c) Bitácoras para accesos, operación cotidiana y violaciones a la seguridad de los datos personales. </w:t>
      </w:r>
    </w:p>
    <w:p w14:paraId="521C376D"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d) El análisis de riesgos. </w:t>
      </w:r>
    </w:p>
    <w:p w14:paraId="1F873F58"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e) El análisis de brecha. </w:t>
      </w:r>
    </w:p>
    <w:p w14:paraId="2295D848"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f) Gestión de incidentes. </w:t>
      </w:r>
    </w:p>
    <w:p w14:paraId="6996F64E"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g) Acceso a las instalaciones. </w:t>
      </w:r>
    </w:p>
    <w:p w14:paraId="5F73F85C"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h) Identificación y autenticación. </w:t>
      </w:r>
    </w:p>
    <w:p w14:paraId="7F0BBC15"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i) Procedimientos de respaldo y recuperación de datos. </w:t>
      </w:r>
    </w:p>
    <w:p w14:paraId="003B6998" w14:textId="77777777" w:rsidR="007E6F01" w:rsidRPr="00223FC4" w:rsidRDefault="00F34DA2">
      <w:pPr>
        <w:spacing w:after="0" w:line="276" w:lineRule="auto"/>
        <w:ind w:left="567" w:right="567"/>
        <w:jc w:val="both"/>
        <w:rPr>
          <w:rFonts w:ascii="Palatino Linotype" w:eastAsia="Palatino Linotype" w:hAnsi="Palatino Linotype" w:cs="Palatino Linotype"/>
          <w:b/>
          <w:i/>
          <w:u w:val="single"/>
        </w:rPr>
      </w:pPr>
      <w:r w:rsidRPr="00223FC4">
        <w:rPr>
          <w:rFonts w:ascii="Palatino Linotype" w:eastAsia="Palatino Linotype" w:hAnsi="Palatino Linotype" w:cs="Palatino Linotype"/>
          <w:b/>
          <w:i/>
          <w:u w:val="single"/>
        </w:rPr>
        <w:t xml:space="preserve">j) Plan de contingencia. </w:t>
      </w:r>
    </w:p>
    <w:p w14:paraId="024E985B"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k) Auditorías. </w:t>
      </w:r>
    </w:p>
    <w:p w14:paraId="1C378E04"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l) Supresión y borrado seguro de datos.</w:t>
      </w:r>
    </w:p>
    <w:p w14:paraId="1A4FDEB9"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m) El plan de trabajo.</w:t>
      </w:r>
    </w:p>
    <w:p w14:paraId="05202A67"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n) Los mecanismos de monitoreo y revisión de las medidas de seguridad.</w:t>
      </w:r>
    </w:p>
    <w:p w14:paraId="3E075C51"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o) El programa general de capacitación.</w:t>
      </w:r>
    </w:p>
    <w:p w14:paraId="3B6D55AC" w14:textId="77777777" w:rsidR="007E6F01" w:rsidRPr="00223FC4" w:rsidRDefault="007E6F01">
      <w:pPr>
        <w:spacing w:after="0" w:line="276" w:lineRule="auto"/>
        <w:ind w:left="567" w:right="567"/>
        <w:jc w:val="both"/>
        <w:rPr>
          <w:rFonts w:ascii="Palatino Linotype" w:eastAsia="Palatino Linotype" w:hAnsi="Palatino Linotype" w:cs="Palatino Linotype"/>
          <w:i/>
        </w:rPr>
      </w:pPr>
    </w:p>
    <w:p w14:paraId="6C7C7927" w14:textId="77777777" w:rsidR="007E6F01" w:rsidRPr="00223FC4" w:rsidRDefault="00F34DA2">
      <w:pPr>
        <w:spacing w:after="0" w:line="276" w:lineRule="auto"/>
        <w:ind w:left="567" w:right="567"/>
        <w:jc w:val="center"/>
        <w:rPr>
          <w:rFonts w:ascii="Palatino Linotype" w:eastAsia="Palatino Linotype" w:hAnsi="Palatino Linotype" w:cs="Palatino Linotype"/>
          <w:b/>
          <w:i/>
        </w:rPr>
      </w:pPr>
      <w:r w:rsidRPr="00223FC4">
        <w:rPr>
          <w:rFonts w:ascii="Palatino Linotype" w:eastAsia="Palatino Linotype" w:hAnsi="Palatino Linotype" w:cs="Palatino Linotype"/>
          <w:b/>
          <w:i/>
        </w:rPr>
        <w:t>CAPÍTULO TERCERO DE LAS VIOLACIONES A LA SEGURIDAD DE LOS DATOS PERSONALES</w:t>
      </w:r>
    </w:p>
    <w:p w14:paraId="7E40CCEB" w14:textId="77777777" w:rsidR="007E6F01" w:rsidRPr="00223FC4" w:rsidRDefault="007E6F01">
      <w:pPr>
        <w:spacing w:after="0" w:line="276" w:lineRule="auto"/>
        <w:ind w:left="567" w:right="567"/>
        <w:jc w:val="both"/>
        <w:rPr>
          <w:rFonts w:ascii="Palatino Linotype" w:eastAsia="Palatino Linotype" w:hAnsi="Palatino Linotype" w:cs="Palatino Linotype"/>
          <w:i/>
        </w:rPr>
      </w:pPr>
    </w:p>
    <w:p w14:paraId="1702480A"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Plan de Contingencia y Plan de Trabajo </w:t>
      </w:r>
    </w:p>
    <w:p w14:paraId="4D925411"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Artículo 51. En caso de que ocurra una violación a la seguridad de los datos personales, el responsable implementará las acciones definidas en su plan de contingencia. </w:t>
      </w:r>
    </w:p>
    <w:p w14:paraId="01AFDF01" w14:textId="77777777" w:rsidR="007E6F01" w:rsidRPr="00223FC4" w:rsidRDefault="007E6F01">
      <w:pPr>
        <w:spacing w:after="0" w:line="276" w:lineRule="auto"/>
        <w:ind w:left="567" w:right="567"/>
        <w:jc w:val="both"/>
        <w:rPr>
          <w:rFonts w:ascii="Palatino Linotype" w:eastAsia="Palatino Linotype" w:hAnsi="Palatino Linotype" w:cs="Palatino Linotype"/>
          <w:i/>
        </w:rPr>
      </w:pPr>
    </w:p>
    <w:p w14:paraId="530AE023" w14:textId="77777777" w:rsidR="007E6F01" w:rsidRPr="00223FC4" w:rsidRDefault="00F34DA2">
      <w:pPr>
        <w:spacing w:after="0" w:line="276" w:lineRule="auto"/>
        <w:ind w:left="567" w:right="567"/>
        <w:jc w:val="both"/>
        <w:rPr>
          <w:rFonts w:ascii="Palatino Linotype" w:eastAsia="Palatino Linotype" w:hAnsi="Palatino Linotype" w:cs="Palatino Linotype"/>
          <w:i/>
        </w:rPr>
      </w:pPr>
      <w:r w:rsidRPr="00223FC4">
        <w:rPr>
          <w:rFonts w:ascii="Palatino Linotype" w:eastAsia="Palatino Linotype" w:hAnsi="Palatino Linotype" w:cs="Palatino Linotype"/>
          <w:i/>
        </w:rPr>
        <w:t xml:space="preserve">De manera posterior y durante la ocurrencia de los efectos de la violación a la seguridad de los datos personales, el responsable analizará las causas por las cuales se presentó e </w:t>
      </w:r>
      <w:r w:rsidRPr="00223FC4">
        <w:rPr>
          <w:rFonts w:ascii="Palatino Linotype" w:eastAsia="Palatino Linotype" w:hAnsi="Palatino Linotype" w:cs="Palatino Linotype"/>
          <w:b/>
          <w:i/>
        </w:rPr>
        <w:t>implementar en su plan de trabajo las acciones preventivas y correctivas para adecuar las medidas de seguridad</w:t>
      </w:r>
      <w:r w:rsidRPr="00223FC4">
        <w:rPr>
          <w:rFonts w:ascii="Palatino Linotype" w:eastAsia="Palatino Linotype" w:hAnsi="Palatino Linotype" w:cs="Palatino Linotype"/>
          <w:i/>
        </w:rPr>
        <w:t xml:space="preserve"> </w:t>
      </w:r>
      <w:r w:rsidRPr="00223FC4">
        <w:rPr>
          <w:rFonts w:ascii="Palatino Linotype" w:eastAsia="Palatino Linotype" w:hAnsi="Palatino Linotype" w:cs="Palatino Linotype"/>
          <w:b/>
          <w:i/>
        </w:rPr>
        <w:t>y el tratamiento de los datos personales si fuese el caso, a efecto de evitar que la violación se repita.</w:t>
      </w:r>
    </w:p>
    <w:p w14:paraId="63457016" w14:textId="77777777" w:rsidR="007E6F01" w:rsidRPr="00223FC4" w:rsidRDefault="007E6F01">
      <w:pPr>
        <w:spacing w:after="0" w:line="360" w:lineRule="auto"/>
        <w:ind w:left="567" w:right="567"/>
        <w:jc w:val="both"/>
        <w:rPr>
          <w:rFonts w:ascii="Palatino Linotype" w:eastAsia="Palatino Linotype" w:hAnsi="Palatino Linotype" w:cs="Palatino Linotype"/>
          <w:i/>
        </w:rPr>
      </w:pPr>
    </w:p>
    <w:p w14:paraId="79E9F6DF" w14:textId="77777777" w:rsidR="007E6F01" w:rsidRPr="00223FC4" w:rsidRDefault="00F34DA2">
      <w:p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De las disposiciones anteriores es importante resaltar que, para dar cumplimiento a la ley de la materia específicamente aplicable a nuestra Entidad, pero plenamente correspondiente con la Ley General, toda las instituciones públicas tienen la obligación de proteger los sistemas de datos personas que administran y para ello, debe cumplir con estándares mínimos que garanticen que los datos no serán alterados, sustraídos, incompletos, inexactos, destruidos, etc., para ello las instituciones públicas deben:</w:t>
      </w:r>
    </w:p>
    <w:p w14:paraId="1FB0C505" w14:textId="77777777" w:rsidR="007E6F01" w:rsidRPr="00223FC4" w:rsidRDefault="007E6F01">
      <w:pPr>
        <w:spacing w:after="0" w:line="360" w:lineRule="auto"/>
        <w:ind w:right="-93"/>
        <w:jc w:val="both"/>
        <w:rPr>
          <w:rFonts w:ascii="Palatino Linotype" w:eastAsia="Palatino Linotype" w:hAnsi="Palatino Linotype" w:cs="Palatino Linotype"/>
        </w:rPr>
      </w:pPr>
    </w:p>
    <w:p w14:paraId="5B831BF8" w14:textId="77777777" w:rsidR="007E6F01" w:rsidRPr="00223FC4" w:rsidRDefault="00F34DA2">
      <w:pPr>
        <w:numPr>
          <w:ilvl w:val="0"/>
          <w:numId w:val="2"/>
        </w:num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Proteger los datos personales y promover la adopción de medidas de seguridad en sus sistemas de datos.</w:t>
      </w:r>
    </w:p>
    <w:p w14:paraId="4FD4DA0D" w14:textId="77777777" w:rsidR="007E6F01" w:rsidRPr="00223FC4" w:rsidRDefault="00F34DA2">
      <w:pPr>
        <w:numPr>
          <w:ilvl w:val="0"/>
          <w:numId w:val="2"/>
        </w:num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Las medidas de seguridad deben garantizar que los datos personales se mantengan exactos, completos, correctos y actualizados, en atención al principio de calidad.</w:t>
      </w:r>
    </w:p>
    <w:p w14:paraId="33BE0036" w14:textId="77777777" w:rsidR="007E6F01" w:rsidRPr="00223FC4" w:rsidRDefault="00F34DA2">
      <w:pPr>
        <w:numPr>
          <w:ilvl w:val="0"/>
          <w:numId w:val="2"/>
        </w:num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Poner en práctica un programa de capacitación y actualización de su personal, para que conozcan las obligaciones que implica el tratamiento de datos personales.</w:t>
      </w:r>
    </w:p>
    <w:p w14:paraId="1B1AE924" w14:textId="77777777" w:rsidR="007E6F01" w:rsidRPr="00223FC4" w:rsidRDefault="00F34DA2">
      <w:pPr>
        <w:numPr>
          <w:ilvl w:val="0"/>
          <w:numId w:val="2"/>
        </w:num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Implementar políticas y programas de seguridad de los datos personales, los cuales requieren una revisión continua para realizar las mejoras que se requieran.</w:t>
      </w:r>
    </w:p>
    <w:p w14:paraId="726ED587" w14:textId="77777777" w:rsidR="007E6F01" w:rsidRPr="00223FC4" w:rsidRDefault="00F34DA2">
      <w:pPr>
        <w:numPr>
          <w:ilvl w:val="0"/>
          <w:numId w:val="2"/>
        </w:num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Las medidas de seguridad que se pueden implementar son técnicas, administrativas y físicas y para determinar las que se deben aplicar es necesario tomar en consideración el riesgo inherente, así como el riesgo por el valor potencial de los datos, la sensibilidad de los datos, el desarrollo tecnológico, las posibles consecuencias de vulneración, si se realizan transferencias de los datos, el número de personas de quienes se tratan los datos, así como en su caso, si existieron anteriormente vulneraciones.</w:t>
      </w:r>
    </w:p>
    <w:p w14:paraId="210298E0" w14:textId="77777777" w:rsidR="007E6F01" w:rsidRPr="00223FC4" w:rsidRDefault="00F34DA2">
      <w:pPr>
        <w:numPr>
          <w:ilvl w:val="0"/>
          <w:numId w:val="2"/>
        </w:num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Para establecer las medidas de seguridad es necesario realizar análisis de riesgo de los datos personales, así como análisis de brecha.</w:t>
      </w:r>
      <w:r w:rsidRPr="00223FC4">
        <w:rPr>
          <w:rFonts w:ascii="Palatino Linotype" w:eastAsia="Palatino Linotype" w:hAnsi="Palatino Linotype" w:cs="Palatino Linotype"/>
          <w:b/>
        </w:rPr>
        <w:t xml:space="preserve"> </w:t>
      </w:r>
      <w:r w:rsidRPr="00223FC4">
        <w:rPr>
          <w:rFonts w:ascii="Palatino Linotype" w:eastAsia="Palatino Linotype" w:hAnsi="Palatino Linotype" w:cs="Palatino Linotype"/>
        </w:rPr>
        <w:t xml:space="preserve"> No se deja de lado que la Ley no establece una temporalidad en la que se deben realizar estar actividades.</w:t>
      </w:r>
    </w:p>
    <w:p w14:paraId="7BAF9486" w14:textId="77777777" w:rsidR="007E6F01" w:rsidRPr="00223FC4" w:rsidRDefault="00F34DA2">
      <w:pPr>
        <w:numPr>
          <w:ilvl w:val="0"/>
          <w:numId w:val="2"/>
        </w:num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Además se requiere elaborar un plan de trabajo para la implementación de medidas de seguridad, este se entiende que es trabajo complementario, pues derivado de los análisis la mejora de la protección debe basarse en dicho plan.</w:t>
      </w:r>
    </w:p>
    <w:p w14:paraId="19E1E001" w14:textId="77777777" w:rsidR="007E6F01" w:rsidRPr="00223FC4" w:rsidRDefault="00F34DA2">
      <w:pPr>
        <w:numPr>
          <w:ilvl w:val="0"/>
          <w:numId w:val="2"/>
        </w:num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El documento de seguridad debe componerse de diversos apartados y todos ellos, están encaminados a resguardar los datos en posesión de los Sujetos Obligados, que a su vez debe integrarse por bitácoras de acceso, operación cotidiana y violaciones a la seguridad de los datos.</w:t>
      </w:r>
    </w:p>
    <w:p w14:paraId="095B3BA4" w14:textId="77777777" w:rsidR="007E6F01" w:rsidRPr="00223FC4" w:rsidRDefault="007E6F01">
      <w:pPr>
        <w:spacing w:after="0" w:line="360" w:lineRule="auto"/>
        <w:ind w:right="-93"/>
        <w:jc w:val="both"/>
        <w:rPr>
          <w:rFonts w:ascii="Palatino Linotype" w:eastAsia="Palatino Linotype" w:hAnsi="Palatino Linotype" w:cs="Palatino Linotype"/>
        </w:rPr>
      </w:pPr>
    </w:p>
    <w:p w14:paraId="0C0BBBAD" w14:textId="77777777" w:rsidR="007E6F01" w:rsidRPr="00223FC4" w:rsidRDefault="00F34DA2">
      <w:p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En este punto, se puede afirmar que el Plan de Contingencia debe ser incluido en los documentos que dan cuenta de las medidas de seguridad. El contexto de la protección de los datos personales, constriñe a gobierno a resguardar de manera más escrupulosa esta información cuando obra en los archivos de los Sujetos Obligados ya sea en bases o sistemas de datos personales, debido a que estos, se han vuelto de mayor relevancia por incremento de la velocidad en el tráfico de los mismo en virtud de que están sistematizados, debido al vertiginoso avance de las tecnologías, motivo por el cual incluso, se  les ha denominado como “el nuevo oro negro”; en tal sentido el objeto de la Ley de Protección de Datos, busca que en todo momento las instituciones públicas lleven a cabo acciones que impidan un acceso o tratamiento fuera del marco de la ley, pues dado el valor que han cobrado, existen muchos individuos que buscan acceder a los sistemas de datos con fines ilícitos, lo que ocasiona también una vulneración a los derechos humanos de las personas.</w:t>
      </w:r>
    </w:p>
    <w:p w14:paraId="392B9F0F" w14:textId="77777777" w:rsidR="007E6F01" w:rsidRPr="00223FC4" w:rsidRDefault="007E6F01">
      <w:pPr>
        <w:spacing w:after="0" w:line="360" w:lineRule="auto"/>
        <w:ind w:right="-93"/>
        <w:jc w:val="both"/>
        <w:rPr>
          <w:rFonts w:ascii="Palatino Linotype" w:eastAsia="Palatino Linotype" w:hAnsi="Palatino Linotype" w:cs="Palatino Linotype"/>
        </w:rPr>
      </w:pPr>
    </w:p>
    <w:p w14:paraId="5981D9AA" w14:textId="77777777" w:rsidR="007E6F01" w:rsidRPr="00223FC4" w:rsidRDefault="00F34DA2">
      <w:p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En tal sentido, el artículo 39, fracción IV, de la Ley en comento señala que se deberán observar deberes para garantizar un nivel de seguridad adecuado al riesgo de los datos personales, pues no es lo mismo tener un sistema de datos personales en donde se contenga el directorio de servidores públicos, con nombre, cargo y extensión telefónica de, centro de trabajo, que uno que contenga el nombre y sueldo sumado al nombre del banco y número de cuenta al que se deposita, incluso no es lo mismo esta información bancaria que los expedientes clínicos que constituyen datos sensibles y que el riesgo que representan es mucho mayor; para ello, parte de esos deberes es realizar un proceso de verificación, evaluación y valoración regulares de la eficacia de las medidas técnicas y organizativas para garantizar la seguridad del tratamiento. </w:t>
      </w:r>
    </w:p>
    <w:p w14:paraId="65883914" w14:textId="77777777" w:rsidR="007E6F01" w:rsidRPr="00223FC4" w:rsidRDefault="007E6F01">
      <w:pPr>
        <w:spacing w:after="0" w:line="360" w:lineRule="auto"/>
        <w:ind w:right="-93"/>
        <w:jc w:val="both"/>
        <w:rPr>
          <w:rFonts w:ascii="Palatino Linotype" w:eastAsia="Palatino Linotype" w:hAnsi="Palatino Linotype" w:cs="Palatino Linotype"/>
        </w:rPr>
      </w:pPr>
    </w:p>
    <w:p w14:paraId="3602AACE" w14:textId="77777777" w:rsidR="007E6F01" w:rsidRPr="00223FC4" w:rsidRDefault="00F34DA2">
      <w:p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Refuerza lo anterior, lo establecido en el artículo 45, fracciones I y VIII, de la Ley de Protección de Datos, vigente en la entidad, ya que refiere que dentro de los elementos que se deben considerar está el riesgo inherente a los datos personales tratados, así como el riesgo por el valor potencial cuantitativo o cualitativo que pudieran tener los datos personales tratados para una tercera persona no autorizada para su posesión.</w:t>
      </w:r>
    </w:p>
    <w:p w14:paraId="1F5F61F3" w14:textId="77777777" w:rsidR="007E6F01" w:rsidRPr="00223FC4" w:rsidRDefault="007E6F01">
      <w:pPr>
        <w:spacing w:after="0" w:line="360" w:lineRule="auto"/>
        <w:ind w:right="-93"/>
        <w:jc w:val="both"/>
        <w:rPr>
          <w:rFonts w:ascii="Palatino Linotype" w:eastAsia="Palatino Linotype" w:hAnsi="Palatino Linotype" w:cs="Palatino Linotype"/>
        </w:rPr>
      </w:pPr>
    </w:p>
    <w:p w14:paraId="293D7B33" w14:textId="77777777" w:rsidR="007E6F01" w:rsidRPr="00223FC4" w:rsidRDefault="00F34DA2">
      <w:p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De acuerdo con lo expuesto, el artículo 49, fracción II, inciso m) de la Ley local de datos invocada, determina que entre los contenidos que el documento de seguridad debe incluir, se identifica el plan de contingencia. </w:t>
      </w:r>
    </w:p>
    <w:p w14:paraId="36AC17CA" w14:textId="77777777" w:rsidR="007E6F01" w:rsidRPr="00223FC4" w:rsidRDefault="007E6F01">
      <w:pPr>
        <w:spacing w:after="0" w:line="360" w:lineRule="auto"/>
        <w:ind w:right="-93"/>
        <w:jc w:val="both"/>
        <w:rPr>
          <w:rFonts w:ascii="Palatino Linotype" w:eastAsia="Palatino Linotype" w:hAnsi="Palatino Linotype" w:cs="Palatino Linotype"/>
        </w:rPr>
      </w:pPr>
    </w:p>
    <w:p w14:paraId="03196612" w14:textId="407B3921" w:rsidR="007E6F01" w:rsidRPr="00223FC4" w:rsidRDefault="00F34DA2">
      <w:p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Como se advierte, el plan de contingencia forma parte del documento de seguridad y justamente considera las medidas y procedimientos diseñados para responder a incidentes que puedan afectar la seguridad y privacidad de la información personal que una institución maneja, siendo su principal objetivo el minimizar el impacto de posibles riesgos como f</w:t>
      </w:r>
      <w:r w:rsidR="00E676ED" w:rsidRPr="00223FC4">
        <w:rPr>
          <w:rFonts w:ascii="Palatino Linotype" w:eastAsia="Palatino Linotype" w:hAnsi="Palatino Linotype" w:cs="Palatino Linotype"/>
        </w:rPr>
        <w:t>u</w:t>
      </w:r>
      <w:r w:rsidRPr="00223FC4">
        <w:rPr>
          <w:rFonts w:ascii="Palatino Linotype" w:eastAsia="Palatino Linotype" w:hAnsi="Palatino Linotype" w:cs="Palatino Linotype"/>
        </w:rPr>
        <w:t xml:space="preserve">gas de datos, accesos no autorizados o fallos técnicos y, por ende, constituye información que en manos expertas puede ser utilizada para vulnerar los sistemas de datos personales, por lo que aplica lo dispuesto en el artículo 43 de la Ley de Protección de Datos Personales en Posesión de Sujetos Obligados del Estado de México y Municipios, ya que si bien, no son formalmente las medidas de seguridad implementadas, se trata de la respuesta a incidentes que afecten la seguridad y la privacidad de información personal. </w:t>
      </w:r>
    </w:p>
    <w:p w14:paraId="006D712C" w14:textId="77777777" w:rsidR="007E6F01" w:rsidRPr="00223FC4" w:rsidRDefault="007E6F01">
      <w:pPr>
        <w:spacing w:after="0" w:line="360" w:lineRule="auto"/>
        <w:ind w:right="-93"/>
        <w:jc w:val="both"/>
        <w:rPr>
          <w:rFonts w:ascii="Palatino Linotype" w:eastAsia="Palatino Linotype" w:hAnsi="Palatino Linotype" w:cs="Palatino Linotype"/>
        </w:rPr>
      </w:pPr>
    </w:p>
    <w:p w14:paraId="019B540C" w14:textId="65F318CA" w:rsidR="007E6F01" w:rsidRPr="00223FC4" w:rsidRDefault="00F34DA2">
      <w:pPr>
        <w:spacing w:after="0" w:line="360" w:lineRule="auto"/>
        <w:ind w:right="-93"/>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Por lo que, se considera que la información relacionada con el </w:t>
      </w:r>
      <w:r w:rsidRPr="00223FC4">
        <w:rPr>
          <w:rFonts w:ascii="Palatino Linotype" w:eastAsia="Palatino Linotype" w:hAnsi="Palatino Linotype" w:cs="Palatino Linotype"/>
          <w:b/>
          <w:u w:val="single"/>
        </w:rPr>
        <w:t>Plan de Contingencia en materia de datos personales es información que es susceptible de ser clasificada como confidencial</w:t>
      </w:r>
      <w:r w:rsidRPr="00223FC4">
        <w:rPr>
          <w:rFonts w:ascii="Palatino Linotype" w:eastAsia="Palatino Linotype" w:hAnsi="Palatino Linotype" w:cs="Palatino Linotype"/>
        </w:rPr>
        <w:t xml:space="preserve">, en términos </w:t>
      </w:r>
      <w:r w:rsidR="00EC3FE1" w:rsidRPr="00223FC4">
        <w:rPr>
          <w:rFonts w:ascii="Palatino Linotype" w:eastAsia="Palatino Linotype" w:hAnsi="Palatino Linotype" w:cs="Palatino Linotype"/>
        </w:rPr>
        <w:t xml:space="preserve">del artículo 43 de la Ley de Protección de Datos Personales en Posesión de Sujetos Obligados del Estado de México y Municipios y </w:t>
      </w:r>
      <w:r w:rsidRPr="00223FC4">
        <w:rPr>
          <w:rFonts w:ascii="Palatino Linotype" w:eastAsia="Palatino Linotype" w:hAnsi="Palatino Linotype" w:cs="Palatino Linotype"/>
        </w:rPr>
        <w:t xml:space="preserve">143 </w:t>
      </w:r>
      <w:r w:rsidR="00EC3FE1" w:rsidRPr="00223FC4">
        <w:rPr>
          <w:rFonts w:ascii="Palatino Linotype" w:eastAsia="Palatino Linotype" w:hAnsi="Palatino Linotype" w:cs="Palatino Linotype"/>
        </w:rPr>
        <w:t xml:space="preserve">segundo párrafo </w:t>
      </w:r>
      <w:r w:rsidRPr="00223FC4">
        <w:rPr>
          <w:rFonts w:ascii="Palatino Linotype" w:eastAsia="Palatino Linotype" w:hAnsi="Palatino Linotype" w:cs="Palatino Linotype"/>
        </w:rPr>
        <w:t xml:space="preserve">de la Ley de Transparencia y Acceso a la Información Pública del Estado de México y Municipios. </w:t>
      </w:r>
    </w:p>
    <w:p w14:paraId="3EF3F72B" w14:textId="77777777" w:rsidR="007E6F01" w:rsidRPr="00223FC4" w:rsidRDefault="007E6F01">
      <w:pPr>
        <w:spacing w:after="0" w:line="360" w:lineRule="auto"/>
        <w:ind w:right="-93"/>
        <w:jc w:val="both"/>
        <w:rPr>
          <w:rFonts w:ascii="Palatino Linotype" w:eastAsia="Palatino Linotype" w:hAnsi="Palatino Linotype" w:cs="Palatino Linotype"/>
        </w:rPr>
      </w:pPr>
    </w:p>
    <w:p w14:paraId="05B59AFD" w14:textId="51F3F07C" w:rsidR="00E676ED" w:rsidRPr="00223FC4" w:rsidRDefault="00F34DA2">
      <w:pPr>
        <w:spacing w:after="0"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Ahora bien,</w:t>
      </w:r>
      <w:r w:rsidR="00E676ED" w:rsidRPr="00223FC4">
        <w:rPr>
          <w:rFonts w:ascii="Palatino Linotype" w:eastAsia="Palatino Linotype" w:hAnsi="Palatino Linotype" w:cs="Palatino Linotype"/>
        </w:rPr>
        <w:t xml:space="preserve"> cabe referir que, si bien el </w:t>
      </w:r>
      <w:r w:rsidR="00E676ED" w:rsidRPr="00223FC4">
        <w:rPr>
          <w:rFonts w:ascii="Palatino Linotype" w:eastAsia="Palatino Linotype" w:hAnsi="Palatino Linotype" w:cs="Palatino Linotype"/>
          <w:b/>
          <w:bCs/>
        </w:rPr>
        <w:t xml:space="preserve">Sujeto Obligado </w:t>
      </w:r>
      <w:r w:rsidR="00E676ED" w:rsidRPr="00223FC4">
        <w:rPr>
          <w:rFonts w:ascii="Palatino Linotype" w:eastAsia="Palatino Linotype" w:hAnsi="Palatino Linotype" w:cs="Palatino Linotype"/>
        </w:rPr>
        <w:t xml:space="preserve">mediante informe justificado remitió el Acuerdo emitido por el Comité de Transparencia en el que se confirma la clasificación de la información como confidencial, también lo es que, el mismo no cumple con las formalidades establecidas en la Ley en la materia, tal como se precisa en el siguiente cuadro de análisis. </w:t>
      </w:r>
    </w:p>
    <w:p w14:paraId="165D9AFE" w14:textId="200FC2DD" w:rsidR="00E676ED" w:rsidRPr="00223FC4" w:rsidRDefault="00E676ED">
      <w:pPr>
        <w:spacing w:after="0" w:line="360" w:lineRule="auto"/>
        <w:jc w:val="both"/>
        <w:rPr>
          <w:rFonts w:ascii="Palatino Linotype" w:eastAsia="Palatino Linotype" w:hAnsi="Palatino Linotype" w:cs="Palatino Linotype"/>
        </w:rPr>
      </w:pPr>
    </w:p>
    <w:tbl>
      <w:tblPr>
        <w:tblStyle w:val="a7"/>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7"/>
        <w:gridCol w:w="6013"/>
        <w:gridCol w:w="1499"/>
      </w:tblGrid>
      <w:tr w:rsidR="00F14745" w:rsidRPr="00223FC4" w14:paraId="5BC7F461" w14:textId="77777777" w:rsidTr="00E40471">
        <w:trPr>
          <w:trHeight w:val="569"/>
        </w:trPr>
        <w:tc>
          <w:tcPr>
            <w:tcW w:w="1548" w:type="dxa"/>
            <w:shd w:val="clear" w:color="auto" w:fill="E7E6E6"/>
          </w:tcPr>
          <w:p w14:paraId="57BB637D" w14:textId="77777777" w:rsidR="00E676ED" w:rsidRPr="00223FC4" w:rsidRDefault="00E676ED" w:rsidP="00E40471">
            <w:pPr>
              <w:spacing w:before="100"/>
              <w:jc w:val="center"/>
              <w:rPr>
                <w:rFonts w:ascii="Palatino Linotype" w:eastAsia="Palatino Linotype" w:hAnsi="Palatino Linotype" w:cs="Palatino Linotype"/>
                <w:b/>
                <w:sz w:val="18"/>
                <w:szCs w:val="18"/>
              </w:rPr>
            </w:pPr>
            <w:r w:rsidRPr="00223FC4">
              <w:rPr>
                <w:rFonts w:ascii="Palatino Linotype" w:eastAsia="Palatino Linotype" w:hAnsi="Palatino Linotype" w:cs="Palatino Linotype"/>
                <w:b/>
                <w:sz w:val="18"/>
                <w:szCs w:val="18"/>
              </w:rPr>
              <w:t>Elementos del acuerdo de clasificación</w:t>
            </w:r>
          </w:p>
        </w:tc>
        <w:tc>
          <w:tcPr>
            <w:tcW w:w="6020" w:type="dxa"/>
            <w:gridSpan w:val="2"/>
            <w:shd w:val="clear" w:color="auto" w:fill="E7E6E6"/>
          </w:tcPr>
          <w:p w14:paraId="4AE49BD5" w14:textId="77777777" w:rsidR="00E676ED" w:rsidRPr="00223FC4" w:rsidRDefault="00E676ED" w:rsidP="00E40471">
            <w:pPr>
              <w:spacing w:before="100"/>
              <w:jc w:val="center"/>
              <w:rPr>
                <w:rFonts w:ascii="Palatino Linotype" w:eastAsia="Palatino Linotype" w:hAnsi="Palatino Linotype" w:cs="Palatino Linotype"/>
                <w:b/>
                <w:sz w:val="18"/>
                <w:szCs w:val="18"/>
              </w:rPr>
            </w:pPr>
            <w:r w:rsidRPr="00223FC4">
              <w:rPr>
                <w:rFonts w:ascii="Palatino Linotype" w:eastAsia="Palatino Linotype" w:hAnsi="Palatino Linotype" w:cs="Palatino Linotype"/>
                <w:b/>
                <w:sz w:val="18"/>
                <w:szCs w:val="18"/>
              </w:rPr>
              <w:t>Contenido</w:t>
            </w:r>
          </w:p>
        </w:tc>
        <w:tc>
          <w:tcPr>
            <w:tcW w:w="1499" w:type="dxa"/>
            <w:shd w:val="clear" w:color="auto" w:fill="E7E6E6"/>
          </w:tcPr>
          <w:p w14:paraId="3F3B2A06" w14:textId="77777777" w:rsidR="00E676ED" w:rsidRPr="00223FC4" w:rsidRDefault="00E676ED" w:rsidP="00E40471">
            <w:pPr>
              <w:spacing w:before="100"/>
              <w:jc w:val="center"/>
              <w:rPr>
                <w:rFonts w:ascii="Palatino Linotype" w:eastAsia="Palatino Linotype" w:hAnsi="Palatino Linotype" w:cs="Palatino Linotype"/>
                <w:b/>
                <w:sz w:val="18"/>
                <w:szCs w:val="18"/>
              </w:rPr>
            </w:pPr>
            <w:r w:rsidRPr="00223FC4">
              <w:rPr>
                <w:rFonts w:ascii="Palatino Linotype" w:eastAsia="Palatino Linotype" w:hAnsi="Palatino Linotype" w:cs="Palatino Linotype"/>
                <w:b/>
                <w:sz w:val="18"/>
                <w:szCs w:val="18"/>
              </w:rPr>
              <w:t>¿Cumple?</w:t>
            </w:r>
          </w:p>
        </w:tc>
      </w:tr>
      <w:tr w:rsidR="00F14745" w:rsidRPr="00223FC4" w14:paraId="0C34DAA0" w14:textId="77777777" w:rsidTr="00E40471">
        <w:tc>
          <w:tcPr>
            <w:tcW w:w="1548" w:type="dxa"/>
          </w:tcPr>
          <w:p w14:paraId="20F72307" w14:textId="77777777" w:rsidR="00E676ED" w:rsidRPr="00223FC4" w:rsidRDefault="00E676ED" w:rsidP="00E40471">
            <w:pPr>
              <w:spacing w:before="100"/>
              <w:jc w:val="center"/>
              <w:rPr>
                <w:rFonts w:ascii="Palatino Linotype" w:eastAsia="Palatino Linotype" w:hAnsi="Palatino Linotype" w:cs="Palatino Linotype"/>
                <w:sz w:val="18"/>
                <w:szCs w:val="18"/>
              </w:rPr>
            </w:pPr>
            <w:r w:rsidRPr="00223FC4">
              <w:rPr>
                <w:rFonts w:ascii="Palatino Linotype" w:eastAsia="Palatino Linotype" w:hAnsi="Palatino Linotype" w:cs="Palatino Linotype"/>
                <w:b/>
                <w:sz w:val="18"/>
                <w:szCs w:val="18"/>
              </w:rPr>
              <w:t>Número de folio de la solicitud</w:t>
            </w:r>
          </w:p>
        </w:tc>
        <w:tc>
          <w:tcPr>
            <w:tcW w:w="6020" w:type="dxa"/>
            <w:gridSpan w:val="2"/>
          </w:tcPr>
          <w:p w14:paraId="44078BB3" w14:textId="61E3A7A6" w:rsidR="00E676ED" w:rsidRPr="00223FC4" w:rsidRDefault="00E676ED" w:rsidP="00E40471">
            <w:pPr>
              <w:spacing w:before="100"/>
              <w:rPr>
                <w:sz w:val="20"/>
                <w:szCs w:val="20"/>
              </w:rPr>
            </w:pPr>
            <w:r w:rsidRPr="00223FC4">
              <w:rPr>
                <w:noProof/>
                <w:sz w:val="20"/>
                <w:szCs w:val="20"/>
              </w:rPr>
              <w:drawing>
                <wp:inline distT="0" distB="0" distL="0" distR="0" wp14:anchorId="75A37C39" wp14:editId="1BE17D49">
                  <wp:extent cx="3676650" cy="5651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76650" cy="565150"/>
                          </a:xfrm>
                          <a:prstGeom prst="rect">
                            <a:avLst/>
                          </a:prstGeom>
                        </pic:spPr>
                      </pic:pic>
                    </a:graphicData>
                  </a:graphic>
                </wp:inline>
              </w:drawing>
            </w:r>
          </w:p>
        </w:tc>
        <w:tc>
          <w:tcPr>
            <w:tcW w:w="1499" w:type="dxa"/>
          </w:tcPr>
          <w:p w14:paraId="459F57BE" w14:textId="50408D5A" w:rsidR="00E676ED" w:rsidRPr="00223FC4" w:rsidRDefault="00E676ED" w:rsidP="00E40471">
            <w:pPr>
              <w:spacing w:before="100"/>
              <w:jc w:val="center"/>
              <w:rPr>
                <w:rFonts w:ascii="Palatino Linotype" w:eastAsia="Palatino Linotype" w:hAnsi="Palatino Linotype" w:cs="Palatino Linotype"/>
                <w:b/>
              </w:rPr>
            </w:pPr>
            <w:r w:rsidRPr="00223FC4">
              <w:rPr>
                <w:rFonts w:ascii="Palatino Linotype" w:eastAsia="Palatino Linotype" w:hAnsi="Palatino Linotype" w:cs="Palatino Linotype"/>
                <w:b/>
              </w:rPr>
              <w:t>No</w:t>
            </w:r>
          </w:p>
          <w:p w14:paraId="708728CB" w14:textId="17B95857" w:rsidR="00E676ED" w:rsidRPr="00223FC4" w:rsidRDefault="00E676ED" w:rsidP="00E40471">
            <w:pPr>
              <w:spacing w:before="100"/>
              <w:jc w:val="center"/>
              <w:rPr>
                <w:rFonts w:ascii="Palatino Linotype" w:eastAsia="Palatino Linotype" w:hAnsi="Palatino Linotype" w:cs="Palatino Linotype"/>
                <w:b/>
              </w:rPr>
            </w:pPr>
            <w:r w:rsidRPr="00223FC4">
              <w:rPr>
                <w:rFonts w:ascii="Palatino Linotype" w:eastAsia="Palatino Linotype" w:hAnsi="Palatino Linotype" w:cs="Palatino Linotype"/>
                <w:b/>
              </w:rPr>
              <w:t xml:space="preserve">Únicamente se hace referencia al número del recurso de revisión. </w:t>
            </w:r>
          </w:p>
        </w:tc>
      </w:tr>
      <w:tr w:rsidR="00F14745" w:rsidRPr="00223FC4" w14:paraId="68863291" w14:textId="77777777" w:rsidTr="00E40471">
        <w:tc>
          <w:tcPr>
            <w:tcW w:w="1548" w:type="dxa"/>
          </w:tcPr>
          <w:p w14:paraId="62B3EEBC" w14:textId="77777777" w:rsidR="00E676ED" w:rsidRPr="00223FC4" w:rsidRDefault="00E676ED" w:rsidP="00E40471">
            <w:pPr>
              <w:spacing w:before="100"/>
              <w:jc w:val="center"/>
              <w:rPr>
                <w:rFonts w:ascii="Palatino Linotype" w:eastAsia="Palatino Linotype" w:hAnsi="Palatino Linotype" w:cs="Palatino Linotype"/>
                <w:sz w:val="18"/>
                <w:szCs w:val="18"/>
              </w:rPr>
            </w:pPr>
            <w:r w:rsidRPr="00223FC4">
              <w:rPr>
                <w:rFonts w:ascii="Palatino Linotype" w:eastAsia="Palatino Linotype" w:hAnsi="Palatino Linotype" w:cs="Palatino Linotype"/>
                <w:b/>
                <w:sz w:val="18"/>
                <w:szCs w:val="18"/>
              </w:rPr>
              <w:t>Referencia de la información solicitada</w:t>
            </w:r>
          </w:p>
        </w:tc>
        <w:tc>
          <w:tcPr>
            <w:tcW w:w="6020" w:type="dxa"/>
            <w:gridSpan w:val="2"/>
          </w:tcPr>
          <w:p w14:paraId="2BDA8E7F" w14:textId="5E8466FE" w:rsidR="00E676ED" w:rsidRPr="00223FC4" w:rsidRDefault="00DA4C49" w:rsidP="00E40471">
            <w:pPr>
              <w:spacing w:before="100"/>
              <w:jc w:val="center"/>
              <w:rPr>
                <w:rFonts w:ascii="Palatino Linotype" w:eastAsia="Palatino Linotype" w:hAnsi="Palatino Linotype" w:cs="Palatino Linotype"/>
              </w:rPr>
            </w:pPr>
            <w:r w:rsidRPr="00223FC4">
              <w:rPr>
                <w:rFonts w:ascii="Palatino Linotype" w:eastAsia="Palatino Linotype" w:hAnsi="Palatino Linotype" w:cs="Palatino Linotype"/>
                <w:noProof/>
              </w:rPr>
              <w:drawing>
                <wp:inline distT="0" distB="0" distL="0" distR="0" wp14:anchorId="1870163D" wp14:editId="1F11CE38">
                  <wp:extent cx="3676650" cy="1358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76650" cy="1358900"/>
                          </a:xfrm>
                          <a:prstGeom prst="rect">
                            <a:avLst/>
                          </a:prstGeom>
                        </pic:spPr>
                      </pic:pic>
                    </a:graphicData>
                  </a:graphic>
                </wp:inline>
              </w:drawing>
            </w:r>
          </w:p>
        </w:tc>
        <w:tc>
          <w:tcPr>
            <w:tcW w:w="1499" w:type="dxa"/>
          </w:tcPr>
          <w:p w14:paraId="7A995CB3" w14:textId="77777777" w:rsidR="00E676ED" w:rsidRPr="00223FC4" w:rsidRDefault="00E676ED" w:rsidP="00E40471">
            <w:pPr>
              <w:spacing w:before="100"/>
              <w:jc w:val="center"/>
              <w:rPr>
                <w:rFonts w:ascii="Palatino Linotype" w:eastAsia="Palatino Linotype" w:hAnsi="Palatino Linotype" w:cs="Palatino Linotype"/>
                <w:b/>
              </w:rPr>
            </w:pPr>
            <w:r w:rsidRPr="00223FC4">
              <w:rPr>
                <w:rFonts w:ascii="Palatino Linotype" w:eastAsia="Palatino Linotype" w:hAnsi="Palatino Linotype" w:cs="Palatino Linotype"/>
                <w:b/>
              </w:rPr>
              <w:t>Sí</w:t>
            </w:r>
          </w:p>
        </w:tc>
      </w:tr>
      <w:tr w:rsidR="00F14745" w:rsidRPr="00223FC4" w14:paraId="2CAEDDA7" w14:textId="77777777" w:rsidTr="00E40471">
        <w:tc>
          <w:tcPr>
            <w:tcW w:w="1548" w:type="dxa"/>
          </w:tcPr>
          <w:p w14:paraId="7F4EC21C" w14:textId="77777777" w:rsidR="00E676ED" w:rsidRPr="00223FC4" w:rsidRDefault="00E676ED" w:rsidP="00E40471">
            <w:pPr>
              <w:spacing w:before="100"/>
              <w:jc w:val="center"/>
              <w:rPr>
                <w:rFonts w:ascii="Palatino Linotype" w:eastAsia="Palatino Linotype" w:hAnsi="Palatino Linotype" w:cs="Palatino Linotype"/>
                <w:b/>
                <w:sz w:val="18"/>
                <w:szCs w:val="18"/>
              </w:rPr>
            </w:pPr>
            <w:r w:rsidRPr="00223FC4">
              <w:rPr>
                <w:rFonts w:ascii="Palatino Linotype" w:eastAsia="Palatino Linotype" w:hAnsi="Palatino Linotype" w:cs="Palatino Linotype"/>
                <w:b/>
                <w:sz w:val="18"/>
                <w:szCs w:val="18"/>
              </w:rPr>
              <w:t>Artículo, fracción, inciso, párrafo o numeral de la ley que le otorga el carácter de confidencial.</w:t>
            </w:r>
          </w:p>
        </w:tc>
        <w:tc>
          <w:tcPr>
            <w:tcW w:w="6020" w:type="dxa"/>
            <w:gridSpan w:val="2"/>
          </w:tcPr>
          <w:p w14:paraId="0B79996C" w14:textId="2394C3F5" w:rsidR="00E676ED" w:rsidRPr="00223FC4" w:rsidRDefault="00DA4C49" w:rsidP="00DA4C49">
            <w:pPr>
              <w:spacing w:before="100"/>
              <w:rPr>
                <w:sz w:val="20"/>
                <w:szCs w:val="20"/>
              </w:rPr>
            </w:pPr>
            <w:r w:rsidRPr="00223FC4">
              <w:rPr>
                <w:sz w:val="20"/>
                <w:szCs w:val="20"/>
              </w:rPr>
              <w:t>|</w:t>
            </w:r>
            <w:r w:rsidRPr="00223FC4">
              <w:rPr>
                <w:noProof/>
                <w:sz w:val="20"/>
                <w:szCs w:val="20"/>
              </w:rPr>
              <w:drawing>
                <wp:inline distT="0" distB="0" distL="0" distR="0" wp14:anchorId="2BF0A1FA" wp14:editId="4982BAB4">
                  <wp:extent cx="3676650" cy="10363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76650" cy="1036320"/>
                          </a:xfrm>
                          <a:prstGeom prst="rect">
                            <a:avLst/>
                          </a:prstGeom>
                        </pic:spPr>
                      </pic:pic>
                    </a:graphicData>
                  </a:graphic>
                </wp:inline>
              </w:drawing>
            </w:r>
          </w:p>
        </w:tc>
        <w:tc>
          <w:tcPr>
            <w:tcW w:w="1499" w:type="dxa"/>
          </w:tcPr>
          <w:p w14:paraId="3FAA6F70" w14:textId="77777777" w:rsidR="00E676ED" w:rsidRPr="00223FC4" w:rsidRDefault="00DA4C49" w:rsidP="00E40471">
            <w:pPr>
              <w:spacing w:before="100"/>
              <w:jc w:val="center"/>
              <w:rPr>
                <w:rFonts w:ascii="Palatino Linotype" w:eastAsia="Palatino Linotype" w:hAnsi="Palatino Linotype" w:cs="Palatino Linotype"/>
                <w:b/>
                <w:sz w:val="18"/>
                <w:szCs w:val="18"/>
              </w:rPr>
            </w:pPr>
            <w:r w:rsidRPr="00223FC4">
              <w:rPr>
                <w:rFonts w:ascii="Palatino Linotype" w:eastAsia="Palatino Linotype" w:hAnsi="Palatino Linotype" w:cs="Palatino Linotype"/>
                <w:b/>
                <w:sz w:val="18"/>
                <w:szCs w:val="18"/>
              </w:rPr>
              <w:t>No</w:t>
            </w:r>
          </w:p>
          <w:p w14:paraId="52FF716A" w14:textId="71A4F4D7" w:rsidR="00DA4C49" w:rsidRPr="00223FC4" w:rsidRDefault="00DA4C49" w:rsidP="00E40471">
            <w:pPr>
              <w:spacing w:before="100"/>
              <w:jc w:val="center"/>
              <w:rPr>
                <w:rFonts w:ascii="Palatino Linotype" w:eastAsia="Palatino Linotype" w:hAnsi="Palatino Linotype" w:cs="Palatino Linotype"/>
                <w:b/>
              </w:rPr>
            </w:pPr>
            <w:r w:rsidRPr="00223FC4">
              <w:rPr>
                <w:rFonts w:ascii="Palatino Linotype" w:eastAsia="Palatino Linotype" w:hAnsi="Palatino Linotype" w:cs="Palatino Linotype"/>
                <w:b/>
                <w:sz w:val="18"/>
                <w:szCs w:val="18"/>
              </w:rPr>
              <w:t>Fundamenta la clasificación como información reservada</w:t>
            </w:r>
            <w:r w:rsidR="00EC3FE1" w:rsidRPr="00223FC4">
              <w:rPr>
                <w:rFonts w:ascii="Palatino Linotype" w:eastAsia="Palatino Linotype" w:hAnsi="Palatino Linotype" w:cs="Palatino Linotype"/>
                <w:b/>
                <w:sz w:val="18"/>
                <w:szCs w:val="18"/>
              </w:rPr>
              <w:t xml:space="preserve"> en términos de lo dispuesto por el artículo 140 fracción X</w:t>
            </w:r>
          </w:p>
        </w:tc>
      </w:tr>
      <w:tr w:rsidR="00F14745" w:rsidRPr="00223FC4" w14:paraId="2EC88C0C" w14:textId="77777777" w:rsidTr="00E40471">
        <w:tc>
          <w:tcPr>
            <w:tcW w:w="1548" w:type="dxa"/>
          </w:tcPr>
          <w:p w14:paraId="4B7A29F5" w14:textId="77777777" w:rsidR="00E676ED" w:rsidRPr="00223FC4" w:rsidRDefault="00E676ED" w:rsidP="00E40471">
            <w:pPr>
              <w:spacing w:before="100"/>
              <w:jc w:val="center"/>
              <w:rPr>
                <w:rFonts w:ascii="Palatino Linotype" w:eastAsia="Palatino Linotype" w:hAnsi="Palatino Linotype" w:cs="Palatino Linotype"/>
                <w:sz w:val="18"/>
                <w:szCs w:val="18"/>
              </w:rPr>
            </w:pPr>
            <w:r w:rsidRPr="00223FC4">
              <w:rPr>
                <w:rFonts w:ascii="Palatino Linotype" w:eastAsia="Palatino Linotype" w:hAnsi="Palatino Linotype" w:cs="Palatino Linotype"/>
                <w:b/>
                <w:sz w:val="18"/>
                <w:szCs w:val="18"/>
              </w:rPr>
              <w:t>Motivación Legal</w:t>
            </w:r>
          </w:p>
        </w:tc>
        <w:tc>
          <w:tcPr>
            <w:tcW w:w="6020" w:type="dxa"/>
            <w:gridSpan w:val="2"/>
          </w:tcPr>
          <w:p w14:paraId="28A87120" w14:textId="1A9A8232" w:rsidR="00E676ED" w:rsidRPr="00223FC4" w:rsidRDefault="00DA4C49" w:rsidP="00E40471">
            <w:pPr>
              <w:spacing w:before="100"/>
              <w:rPr>
                <w:sz w:val="20"/>
                <w:szCs w:val="20"/>
              </w:rPr>
            </w:pPr>
            <w:r w:rsidRPr="00223FC4">
              <w:rPr>
                <w:noProof/>
                <w:sz w:val="20"/>
                <w:szCs w:val="20"/>
              </w:rPr>
              <w:drawing>
                <wp:inline distT="0" distB="0" distL="0" distR="0" wp14:anchorId="34817DB3" wp14:editId="66C00515">
                  <wp:extent cx="3676650" cy="9201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76650" cy="920115"/>
                          </a:xfrm>
                          <a:prstGeom prst="rect">
                            <a:avLst/>
                          </a:prstGeom>
                        </pic:spPr>
                      </pic:pic>
                    </a:graphicData>
                  </a:graphic>
                </wp:inline>
              </w:drawing>
            </w:r>
          </w:p>
          <w:p w14:paraId="61089949" w14:textId="77777777" w:rsidR="00E676ED" w:rsidRPr="00223FC4" w:rsidRDefault="00E676ED" w:rsidP="00E40471">
            <w:pPr>
              <w:spacing w:before="100"/>
              <w:rPr>
                <w:sz w:val="20"/>
                <w:szCs w:val="20"/>
              </w:rPr>
            </w:pPr>
          </w:p>
        </w:tc>
        <w:tc>
          <w:tcPr>
            <w:tcW w:w="1499" w:type="dxa"/>
          </w:tcPr>
          <w:p w14:paraId="55F09D2C" w14:textId="77777777" w:rsidR="00E676ED" w:rsidRPr="00223FC4" w:rsidRDefault="00DA4C49" w:rsidP="00E40471">
            <w:pPr>
              <w:spacing w:before="100"/>
              <w:jc w:val="center"/>
              <w:rPr>
                <w:rFonts w:ascii="Palatino Linotype" w:eastAsia="Palatino Linotype" w:hAnsi="Palatino Linotype" w:cs="Palatino Linotype"/>
                <w:b/>
                <w:sz w:val="20"/>
                <w:szCs w:val="20"/>
              </w:rPr>
            </w:pPr>
            <w:r w:rsidRPr="00223FC4">
              <w:rPr>
                <w:rFonts w:ascii="Palatino Linotype" w:eastAsia="Palatino Linotype" w:hAnsi="Palatino Linotype" w:cs="Palatino Linotype"/>
                <w:b/>
                <w:sz w:val="20"/>
                <w:szCs w:val="20"/>
              </w:rPr>
              <w:t xml:space="preserve">No </w:t>
            </w:r>
          </w:p>
          <w:p w14:paraId="21ED7C5C" w14:textId="27536E33" w:rsidR="00DA4C49" w:rsidRPr="00223FC4" w:rsidRDefault="00DA4C49" w:rsidP="00E40471">
            <w:pPr>
              <w:spacing w:before="100"/>
              <w:jc w:val="center"/>
              <w:rPr>
                <w:rFonts w:ascii="Palatino Linotype" w:eastAsia="Palatino Linotype" w:hAnsi="Palatino Linotype" w:cs="Palatino Linotype"/>
                <w:b/>
                <w:sz w:val="20"/>
                <w:szCs w:val="20"/>
              </w:rPr>
            </w:pPr>
            <w:r w:rsidRPr="00223FC4">
              <w:rPr>
                <w:rFonts w:ascii="Palatino Linotype" w:eastAsia="Palatino Linotype" w:hAnsi="Palatino Linotype" w:cs="Palatino Linotype"/>
                <w:b/>
                <w:sz w:val="20"/>
                <w:szCs w:val="20"/>
              </w:rPr>
              <w:t>Motiva la clasificación como información reservada</w:t>
            </w:r>
          </w:p>
        </w:tc>
      </w:tr>
      <w:tr w:rsidR="00E676ED" w:rsidRPr="00223FC4" w14:paraId="44A69401" w14:textId="77777777" w:rsidTr="00E40471">
        <w:tc>
          <w:tcPr>
            <w:tcW w:w="1555" w:type="dxa"/>
            <w:gridSpan w:val="2"/>
            <w:shd w:val="clear" w:color="auto" w:fill="auto"/>
          </w:tcPr>
          <w:p w14:paraId="5EB16BCB" w14:textId="77777777" w:rsidR="00E676ED" w:rsidRPr="00223FC4" w:rsidRDefault="00E676ED" w:rsidP="00E40471">
            <w:pPr>
              <w:spacing w:before="100"/>
              <w:jc w:val="center"/>
              <w:rPr>
                <w:rFonts w:ascii="Palatino Linotype" w:eastAsia="Palatino Linotype" w:hAnsi="Palatino Linotype" w:cs="Palatino Linotype"/>
                <w:b/>
              </w:rPr>
            </w:pPr>
            <w:r w:rsidRPr="00223FC4">
              <w:rPr>
                <w:rFonts w:ascii="Palatino Linotype" w:eastAsia="Palatino Linotype" w:hAnsi="Palatino Linotype" w:cs="Palatino Linotype"/>
                <w:b/>
                <w:sz w:val="18"/>
                <w:szCs w:val="18"/>
              </w:rPr>
              <w:t>Autoridades competentes.</w:t>
            </w:r>
          </w:p>
        </w:tc>
        <w:tc>
          <w:tcPr>
            <w:tcW w:w="6013" w:type="dxa"/>
            <w:shd w:val="clear" w:color="auto" w:fill="auto"/>
          </w:tcPr>
          <w:p w14:paraId="578136DE" w14:textId="63DBFD4F" w:rsidR="00E676ED" w:rsidRPr="00223FC4" w:rsidRDefault="00DA4C49" w:rsidP="00E40471">
            <w:pPr>
              <w:spacing w:before="100"/>
              <w:jc w:val="center"/>
            </w:pPr>
            <w:r w:rsidRPr="00223FC4">
              <w:rPr>
                <w:noProof/>
              </w:rPr>
              <w:drawing>
                <wp:inline distT="0" distB="0" distL="0" distR="0" wp14:anchorId="0991A9F4" wp14:editId="3431987C">
                  <wp:extent cx="3672205" cy="2009140"/>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72205" cy="2009140"/>
                          </a:xfrm>
                          <a:prstGeom prst="rect">
                            <a:avLst/>
                          </a:prstGeom>
                        </pic:spPr>
                      </pic:pic>
                    </a:graphicData>
                  </a:graphic>
                </wp:inline>
              </w:drawing>
            </w:r>
          </w:p>
          <w:p w14:paraId="1322C09D" w14:textId="77777777" w:rsidR="00E676ED" w:rsidRPr="00223FC4" w:rsidRDefault="00E676ED" w:rsidP="00E40471">
            <w:pPr>
              <w:spacing w:before="100"/>
              <w:jc w:val="center"/>
            </w:pPr>
          </w:p>
        </w:tc>
        <w:tc>
          <w:tcPr>
            <w:tcW w:w="1499" w:type="dxa"/>
            <w:shd w:val="clear" w:color="auto" w:fill="auto"/>
          </w:tcPr>
          <w:p w14:paraId="3743F1F8" w14:textId="77777777" w:rsidR="00E676ED" w:rsidRPr="00223FC4" w:rsidRDefault="00E676ED" w:rsidP="00E40471">
            <w:pPr>
              <w:spacing w:before="100"/>
              <w:jc w:val="center"/>
              <w:rPr>
                <w:rFonts w:ascii="Palatino Linotype" w:eastAsia="Palatino Linotype" w:hAnsi="Palatino Linotype" w:cs="Palatino Linotype"/>
                <w:b/>
              </w:rPr>
            </w:pPr>
            <w:r w:rsidRPr="00223FC4">
              <w:rPr>
                <w:rFonts w:ascii="Palatino Linotype" w:eastAsia="Palatino Linotype" w:hAnsi="Palatino Linotype" w:cs="Palatino Linotype"/>
                <w:b/>
                <w:sz w:val="18"/>
                <w:szCs w:val="18"/>
              </w:rPr>
              <w:t>Si</w:t>
            </w:r>
          </w:p>
        </w:tc>
      </w:tr>
    </w:tbl>
    <w:p w14:paraId="17B361CB" w14:textId="77777777" w:rsidR="00E676ED" w:rsidRPr="00223FC4" w:rsidRDefault="00E676ED">
      <w:pPr>
        <w:spacing w:after="0" w:line="360" w:lineRule="auto"/>
        <w:jc w:val="both"/>
        <w:rPr>
          <w:rFonts w:ascii="Palatino Linotype" w:eastAsia="Palatino Linotype" w:hAnsi="Palatino Linotype" w:cs="Palatino Linotype"/>
        </w:rPr>
      </w:pPr>
    </w:p>
    <w:p w14:paraId="2087F995" w14:textId="77777777" w:rsidR="00DA4C49" w:rsidRPr="00223FC4" w:rsidRDefault="00DA4C49">
      <w:pPr>
        <w:spacing w:after="0"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Es así que del análisis realizado al acuerdo emitido por el Comité de Transparencia se tiene que no cumple con las formalidades dispuestas en la Ley de la Materia, toda vez que fundamenta y motiva la clasificación del documento solicitado como información reservada, el cual tomando como referencia su naturaleza jurídica, previamente analizada, se trata de información que debe clasificarse como información confidencial. </w:t>
      </w:r>
    </w:p>
    <w:p w14:paraId="62E3056A" w14:textId="77777777" w:rsidR="00DA4C49" w:rsidRPr="00223FC4" w:rsidRDefault="00DA4C49">
      <w:pPr>
        <w:spacing w:after="0" w:line="360" w:lineRule="auto"/>
        <w:jc w:val="both"/>
        <w:rPr>
          <w:rFonts w:ascii="Palatino Linotype" w:eastAsia="Palatino Linotype" w:hAnsi="Palatino Linotype" w:cs="Palatino Linotype"/>
        </w:rPr>
      </w:pPr>
    </w:p>
    <w:p w14:paraId="305DF6C8" w14:textId="6051DF9A" w:rsidR="007E6F01" w:rsidRPr="00223FC4" w:rsidRDefault="00DA4C49">
      <w:pPr>
        <w:spacing w:after="0"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 xml:space="preserve">Cabe referir que, en el mismo acuerdo se refiere que se confirma la clasificación de la información como confidencial, sin embargo, como ya quedó descrito en el cuadro que antecede dicho acuerdo se fundamento y motivo como información reservada. </w:t>
      </w:r>
      <w:r w:rsidR="00F34DA2" w:rsidRPr="00223FC4">
        <w:rPr>
          <w:rFonts w:ascii="Palatino Linotype" w:eastAsia="Palatino Linotype" w:hAnsi="Palatino Linotype" w:cs="Palatino Linotype"/>
        </w:rPr>
        <w:t xml:space="preserve"> </w:t>
      </w:r>
    </w:p>
    <w:p w14:paraId="1CFFA7B4" w14:textId="77777777" w:rsidR="00DA4C49" w:rsidRPr="00223FC4" w:rsidRDefault="00DA4C49">
      <w:pPr>
        <w:spacing w:after="0" w:line="360" w:lineRule="auto"/>
        <w:jc w:val="both"/>
        <w:rPr>
          <w:rFonts w:ascii="Palatino Linotype" w:eastAsia="Palatino Linotype" w:hAnsi="Palatino Linotype" w:cs="Palatino Linotype"/>
        </w:rPr>
      </w:pPr>
    </w:p>
    <w:p w14:paraId="376967DF" w14:textId="4CA24DE0" w:rsidR="007E6F01" w:rsidRPr="00223FC4" w:rsidRDefault="00F34DA2">
      <w:pPr>
        <w:spacing w:after="0"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rPr>
        <w:t>Por lo anterior, el Pleno de este Instituto, determina ordena</w:t>
      </w:r>
      <w:r w:rsidR="00DA4C49" w:rsidRPr="00223FC4">
        <w:rPr>
          <w:rFonts w:ascii="Palatino Linotype" w:eastAsia="Palatino Linotype" w:hAnsi="Palatino Linotype" w:cs="Palatino Linotype"/>
        </w:rPr>
        <w:t>r</w:t>
      </w:r>
      <w:r w:rsidRPr="00223FC4">
        <w:rPr>
          <w:rFonts w:ascii="Palatino Linotype" w:eastAsia="Palatino Linotype" w:hAnsi="Palatino Linotype" w:cs="Palatino Linotype"/>
        </w:rPr>
        <w:t xml:space="preserve"> la entrega del Acuerdo emitido por el Comité de Transparencia donde confirme la clasificación, de manera fundada y motivada del Plan de Contingencia en materia de datos personales de todas las áreas administrativas que conforman la estructura orgánica del Sujeto Obligado, de los ejercicios fiscal 2024 y del plan de contingencia vigente al treinta de mayo de dos mil veinticinco, en términos del artículo 143</w:t>
      </w:r>
      <w:r w:rsidR="00EC3FE1" w:rsidRPr="00223FC4">
        <w:rPr>
          <w:rFonts w:ascii="Palatino Linotype" w:eastAsia="Palatino Linotype" w:hAnsi="Palatino Linotype" w:cs="Palatino Linotype"/>
        </w:rPr>
        <w:t xml:space="preserve"> segundo párrafo </w:t>
      </w:r>
      <w:r w:rsidRPr="00223FC4">
        <w:rPr>
          <w:rFonts w:ascii="Palatino Linotype" w:eastAsia="Palatino Linotype" w:hAnsi="Palatino Linotype" w:cs="Palatino Linotype"/>
        </w:rPr>
        <w:t xml:space="preserve">de la Ley de Transparencia y Acceso a la Información Pública del Estado de México y Municipios y del 43 de la Ley de Protección de Datos Personales en Posesión de Sujetos Obligados del Estado de México y Municipios. </w:t>
      </w:r>
    </w:p>
    <w:p w14:paraId="61C297F2" w14:textId="77777777" w:rsidR="001131F5" w:rsidRPr="00223FC4" w:rsidRDefault="001131F5">
      <w:pPr>
        <w:spacing w:after="0" w:line="360" w:lineRule="auto"/>
        <w:jc w:val="both"/>
        <w:rPr>
          <w:rFonts w:ascii="Palatino Linotype" w:eastAsia="Palatino Linotype" w:hAnsi="Palatino Linotype" w:cs="Palatino Linotype"/>
        </w:rPr>
      </w:pPr>
    </w:p>
    <w:p w14:paraId="014C1920" w14:textId="77777777" w:rsidR="007E6F01" w:rsidRPr="00223FC4" w:rsidRDefault="001131F5" w:rsidP="001131F5">
      <w:pPr>
        <w:pBdr>
          <w:top w:val="nil"/>
          <w:left w:val="nil"/>
          <w:bottom w:val="nil"/>
          <w:right w:val="nil"/>
          <w:between w:val="nil"/>
        </w:pBdr>
        <w:spacing w:line="360" w:lineRule="auto"/>
        <w:jc w:val="both"/>
        <w:rPr>
          <w:rFonts w:ascii="Palatino Linotype" w:hAnsi="Palatino Linotype"/>
        </w:rPr>
      </w:pPr>
      <w:r w:rsidRPr="00223FC4">
        <w:rPr>
          <w:rFonts w:ascii="Palatino Linotype" w:hAnsi="Palatino Linotype"/>
        </w:rPr>
        <w:t xml:space="preserve">Finalmente, es de señalar que, como ya se mencionó el </w:t>
      </w:r>
      <w:r w:rsidRPr="00223FC4">
        <w:rPr>
          <w:rFonts w:ascii="Palatino Linotype" w:hAnsi="Palatino Linotype"/>
          <w:b/>
        </w:rPr>
        <w:t>SUJETO OBLIGADO</w:t>
      </w:r>
      <w:r w:rsidRPr="00223FC4">
        <w:rPr>
          <w:rFonts w:ascii="Palatino Linotype" w:hAnsi="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223FC4">
        <w:rPr>
          <w:rFonts w:ascii="Palatino Linotype" w:hAnsi="Palatino Linotype"/>
          <w:b/>
        </w:rPr>
        <w:t xml:space="preserve">ordena </w:t>
      </w:r>
      <w:r w:rsidRPr="00223FC4">
        <w:rPr>
          <w:rFonts w:ascii="Palatino Linotype" w:hAnsi="Palatino Linotype"/>
        </w:rPr>
        <w:t>dar vista a la Secretaría Técnica del Pleno a efecto de que ejerza las atribuciones previstas en la normatividad aplicable y comunique al Órgano Interno de Control Competente para que éste último, en ejercicio de sus atribuciones resuelva lo conducente y determine en su caso el grado de responsabilidad en el incumplimiento de las obligaciones establecidas en la citada ley.</w:t>
      </w:r>
    </w:p>
    <w:p w14:paraId="5F6C9DEA" w14:textId="77777777" w:rsidR="007E6F01" w:rsidRPr="00223FC4" w:rsidRDefault="00F34DA2">
      <w:pPr>
        <w:spacing w:after="0"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4F30A2D" w14:textId="41C198E1" w:rsidR="007E6F01" w:rsidRPr="00223FC4" w:rsidRDefault="007E6F01">
      <w:pPr>
        <w:spacing w:after="0" w:line="360" w:lineRule="auto"/>
        <w:ind w:right="49"/>
        <w:jc w:val="both"/>
        <w:rPr>
          <w:rFonts w:ascii="Palatino Linotype" w:eastAsia="Palatino Linotype" w:hAnsi="Palatino Linotype" w:cs="Palatino Linotype"/>
        </w:rPr>
      </w:pPr>
    </w:p>
    <w:p w14:paraId="3B12BE6A" w14:textId="591FB7B5" w:rsidR="00F14745" w:rsidRPr="00223FC4" w:rsidRDefault="00F14745">
      <w:pPr>
        <w:spacing w:after="0" w:line="360" w:lineRule="auto"/>
        <w:ind w:right="49"/>
        <w:jc w:val="both"/>
        <w:rPr>
          <w:rFonts w:ascii="Palatino Linotype" w:eastAsia="Palatino Linotype" w:hAnsi="Palatino Linotype" w:cs="Palatino Linotype"/>
        </w:rPr>
      </w:pPr>
    </w:p>
    <w:p w14:paraId="30D7745F" w14:textId="77777777" w:rsidR="00F14745" w:rsidRPr="00223FC4" w:rsidRDefault="00F14745">
      <w:pPr>
        <w:spacing w:after="0" w:line="360" w:lineRule="auto"/>
        <w:ind w:right="49"/>
        <w:jc w:val="both"/>
        <w:rPr>
          <w:rFonts w:ascii="Palatino Linotype" w:eastAsia="Palatino Linotype" w:hAnsi="Palatino Linotype" w:cs="Palatino Linotype"/>
        </w:rPr>
      </w:pPr>
    </w:p>
    <w:p w14:paraId="5ADA426D" w14:textId="77777777" w:rsidR="007E6F01" w:rsidRPr="00223FC4" w:rsidRDefault="00F34DA2">
      <w:pPr>
        <w:spacing w:after="0" w:line="360" w:lineRule="auto"/>
        <w:ind w:right="49"/>
        <w:jc w:val="center"/>
        <w:rPr>
          <w:rFonts w:ascii="Palatino Linotype" w:eastAsia="Palatino Linotype" w:hAnsi="Palatino Linotype" w:cs="Palatino Linotype"/>
          <w:b/>
        </w:rPr>
      </w:pPr>
      <w:r w:rsidRPr="00223FC4">
        <w:rPr>
          <w:rFonts w:ascii="Palatino Linotype" w:eastAsia="Palatino Linotype" w:hAnsi="Palatino Linotype" w:cs="Palatino Linotype"/>
          <w:b/>
        </w:rPr>
        <w:t>III.</w:t>
      </w:r>
      <w:r w:rsidRPr="00223FC4">
        <w:rPr>
          <w:rFonts w:ascii="Palatino Linotype" w:eastAsia="Palatino Linotype" w:hAnsi="Palatino Linotype" w:cs="Palatino Linotype"/>
          <w:b/>
        </w:rPr>
        <w:tab/>
        <w:t>R E S U E L V E:</w:t>
      </w:r>
    </w:p>
    <w:p w14:paraId="04332C8A" w14:textId="77777777" w:rsidR="001131F5" w:rsidRPr="00223FC4" w:rsidRDefault="00F34DA2" w:rsidP="001131F5">
      <w:pPr>
        <w:spacing w:line="360" w:lineRule="auto"/>
        <w:jc w:val="both"/>
        <w:rPr>
          <w:rFonts w:ascii="Palatino Linotype" w:eastAsia="Palatino Linotype" w:hAnsi="Palatino Linotype" w:cs="Palatino Linotype"/>
          <w:b/>
        </w:rPr>
      </w:pPr>
      <w:r w:rsidRPr="00223FC4">
        <w:rPr>
          <w:rFonts w:ascii="Palatino Linotype" w:eastAsia="Palatino Linotype" w:hAnsi="Palatino Linotype" w:cs="Palatino Linotype"/>
          <w:b/>
        </w:rPr>
        <w:t xml:space="preserve">PRIMERO. </w:t>
      </w:r>
      <w:r w:rsidR="001131F5" w:rsidRPr="00223FC4">
        <w:rPr>
          <w:rFonts w:ascii="Palatino Linotype" w:eastAsia="Palatino Linotype" w:hAnsi="Palatino Linotype" w:cs="Palatino Linotype"/>
        </w:rPr>
        <w:t xml:space="preserve">Resultan </w:t>
      </w:r>
      <w:r w:rsidR="001131F5" w:rsidRPr="00223FC4">
        <w:rPr>
          <w:rFonts w:ascii="Palatino Linotype" w:eastAsia="Palatino Linotype" w:hAnsi="Palatino Linotype" w:cs="Palatino Linotype"/>
          <w:b/>
        </w:rPr>
        <w:t>fundadas</w:t>
      </w:r>
      <w:r w:rsidR="001131F5" w:rsidRPr="00223FC4">
        <w:rPr>
          <w:rFonts w:ascii="Palatino Linotype" w:eastAsia="Palatino Linotype" w:hAnsi="Palatino Linotype" w:cs="Palatino Linotype"/>
        </w:rPr>
        <w:t xml:space="preserve"> las</w:t>
      </w:r>
      <w:r w:rsidR="001131F5" w:rsidRPr="00223FC4">
        <w:rPr>
          <w:rFonts w:ascii="Palatino Linotype" w:eastAsia="Palatino Linotype" w:hAnsi="Palatino Linotype" w:cs="Palatino Linotype"/>
          <w:b/>
        </w:rPr>
        <w:t xml:space="preserve"> </w:t>
      </w:r>
      <w:r w:rsidR="001131F5" w:rsidRPr="00223FC4">
        <w:rPr>
          <w:rFonts w:ascii="Palatino Linotype" w:eastAsia="Palatino Linotype" w:hAnsi="Palatino Linotype" w:cs="Palatino Linotype"/>
        </w:rPr>
        <w:t xml:space="preserve">razones o motivos de inconformidad hechos valer por la parte </w:t>
      </w:r>
      <w:r w:rsidR="001131F5" w:rsidRPr="00223FC4">
        <w:rPr>
          <w:rFonts w:ascii="Palatino Linotype" w:eastAsia="Palatino Linotype" w:hAnsi="Palatino Linotype" w:cs="Palatino Linotype"/>
          <w:b/>
        </w:rPr>
        <w:t>RECURRENTE</w:t>
      </w:r>
      <w:r w:rsidR="001131F5" w:rsidRPr="00223FC4">
        <w:rPr>
          <w:rFonts w:ascii="Palatino Linotype" w:eastAsia="Palatino Linotype" w:hAnsi="Palatino Linotype" w:cs="Palatino Linotype"/>
        </w:rPr>
        <w:t xml:space="preserve"> en el Recurso de Revisión </w:t>
      </w:r>
      <w:r w:rsidR="001131F5" w:rsidRPr="00223FC4">
        <w:rPr>
          <w:rFonts w:ascii="Palatino Linotype" w:eastAsia="Palatino Linotype" w:hAnsi="Palatino Linotype" w:cs="Palatino Linotype"/>
          <w:b/>
        </w:rPr>
        <w:t>07679/INFOEM/IP/RR/2025</w:t>
      </w:r>
      <w:r w:rsidR="001131F5" w:rsidRPr="00223FC4">
        <w:rPr>
          <w:rFonts w:ascii="Palatino Linotype" w:eastAsia="Palatino Linotype" w:hAnsi="Palatino Linotype" w:cs="Palatino Linotype"/>
          <w:bCs/>
        </w:rPr>
        <w:t xml:space="preserve">; </w:t>
      </w:r>
      <w:r w:rsidR="001131F5" w:rsidRPr="00223FC4">
        <w:rPr>
          <w:rFonts w:ascii="Palatino Linotype" w:eastAsia="Palatino Linotype" w:hAnsi="Palatino Linotype" w:cs="Palatino Linotype"/>
        </w:rPr>
        <w:t xml:space="preserve">en términos del Considerando </w:t>
      </w:r>
      <w:r w:rsidR="001131F5" w:rsidRPr="00223FC4">
        <w:rPr>
          <w:rFonts w:ascii="Palatino Linotype" w:eastAsia="Palatino Linotype" w:hAnsi="Palatino Linotype" w:cs="Palatino Linotype"/>
          <w:b/>
        </w:rPr>
        <w:t>Cuarto</w:t>
      </w:r>
      <w:r w:rsidR="001131F5" w:rsidRPr="00223FC4">
        <w:rPr>
          <w:rFonts w:ascii="Palatino Linotype" w:eastAsia="Palatino Linotype" w:hAnsi="Palatino Linotype" w:cs="Palatino Linotype"/>
        </w:rPr>
        <w:t xml:space="preserve"> de la presente resolución.</w:t>
      </w:r>
      <w:r w:rsidR="001131F5" w:rsidRPr="00223FC4">
        <w:rPr>
          <w:rFonts w:ascii="Palatino Linotype" w:eastAsia="Palatino Linotype" w:hAnsi="Palatino Linotype" w:cs="Palatino Linotype"/>
          <w:b/>
        </w:rPr>
        <w:t xml:space="preserve"> </w:t>
      </w:r>
    </w:p>
    <w:p w14:paraId="5103C178" w14:textId="77777777" w:rsidR="007E6F01" w:rsidRPr="00223FC4" w:rsidRDefault="00F34DA2">
      <w:pPr>
        <w:pBdr>
          <w:top w:val="nil"/>
          <w:left w:val="nil"/>
          <w:bottom w:val="nil"/>
          <w:right w:val="nil"/>
          <w:between w:val="nil"/>
        </w:pBdr>
        <w:spacing w:after="0"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b/>
        </w:rPr>
        <w:t xml:space="preserve">SEGUNDO. </w:t>
      </w:r>
      <w:r w:rsidRPr="00223FC4">
        <w:rPr>
          <w:rFonts w:ascii="Palatino Linotype" w:eastAsia="Palatino Linotype" w:hAnsi="Palatino Linotype" w:cs="Palatino Linotype"/>
        </w:rPr>
        <w:t>Se</w:t>
      </w:r>
      <w:r w:rsidRPr="00223FC4">
        <w:rPr>
          <w:rFonts w:ascii="Palatino Linotype" w:eastAsia="Palatino Linotype" w:hAnsi="Palatino Linotype" w:cs="Palatino Linotype"/>
          <w:b/>
        </w:rPr>
        <w:t xml:space="preserve"> ORDENA </w:t>
      </w:r>
      <w:r w:rsidRPr="00223FC4">
        <w:rPr>
          <w:rFonts w:ascii="Palatino Linotype" w:eastAsia="Palatino Linotype" w:hAnsi="Palatino Linotype" w:cs="Palatino Linotype"/>
        </w:rPr>
        <w:t xml:space="preserve">al </w:t>
      </w:r>
      <w:r w:rsidRPr="00223FC4">
        <w:rPr>
          <w:rFonts w:ascii="Palatino Linotype" w:eastAsia="Palatino Linotype" w:hAnsi="Palatino Linotype" w:cs="Palatino Linotype"/>
          <w:b/>
        </w:rPr>
        <w:t>SUJETO OBLIGADO</w:t>
      </w:r>
      <w:r w:rsidRPr="00223FC4">
        <w:rPr>
          <w:rFonts w:ascii="Palatino Linotype" w:eastAsia="Palatino Linotype" w:hAnsi="Palatino Linotype" w:cs="Palatino Linotype"/>
        </w:rPr>
        <w:t xml:space="preserve"> a que,</w:t>
      </w:r>
      <w:r w:rsidRPr="00223FC4">
        <w:rPr>
          <w:rFonts w:ascii="Palatino Linotype" w:eastAsia="Palatino Linotype" w:hAnsi="Palatino Linotype" w:cs="Palatino Linotype"/>
          <w:b/>
        </w:rPr>
        <w:t xml:space="preserve"> </w:t>
      </w:r>
      <w:r w:rsidRPr="00223FC4">
        <w:rPr>
          <w:rFonts w:ascii="Palatino Linotype" w:eastAsia="Palatino Linotype" w:hAnsi="Palatino Linotype" w:cs="Palatino Linotype"/>
        </w:rPr>
        <w:t xml:space="preserve">en términos del Considerando Cuarto, haga entrega, vía Sistema de Acceso a la Información Mexiquense (SAIMEX), de lo siguiente: </w:t>
      </w:r>
    </w:p>
    <w:p w14:paraId="68EB632B" w14:textId="11923C83" w:rsidR="007E6F01" w:rsidRPr="00223FC4" w:rsidRDefault="00F34DA2">
      <w:pPr>
        <w:numPr>
          <w:ilvl w:val="0"/>
          <w:numId w:val="5"/>
        </w:numPr>
        <w:pBdr>
          <w:top w:val="nil"/>
          <w:left w:val="nil"/>
          <w:bottom w:val="nil"/>
          <w:right w:val="nil"/>
          <w:between w:val="nil"/>
        </w:pBdr>
        <w:tabs>
          <w:tab w:val="left" w:pos="4962"/>
        </w:tabs>
        <w:spacing w:after="0" w:line="360" w:lineRule="auto"/>
        <w:ind w:left="567" w:right="616" w:hanging="425"/>
        <w:jc w:val="both"/>
        <w:rPr>
          <w:rFonts w:ascii="Palatino Linotype" w:eastAsia="Palatino Linotype" w:hAnsi="Palatino Linotype" w:cs="Palatino Linotype"/>
        </w:rPr>
      </w:pPr>
      <w:r w:rsidRPr="00223FC4">
        <w:rPr>
          <w:rFonts w:ascii="Palatino Linotype" w:eastAsia="Palatino Linotype" w:hAnsi="Palatino Linotype" w:cs="Palatino Linotype"/>
        </w:rPr>
        <w:t>El Acuerdo emitido por el Comité de Transparencia donde confirme la clasificación, de manera fundada y motivada del Plan de Contingencia en materia de datos personales de todas las áreas administrativas que conforman la estructura orgánica del Sujeto Obligado, de los ejercicios fiscal 2024 y del plan de contingencia vigente al treinta de mayo de dos mil veinticinco, en términos del artículo 143</w:t>
      </w:r>
      <w:r w:rsidR="00EC3FE1" w:rsidRPr="00223FC4">
        <w:rPr>
          <w:rFonts w:ascii="Palatino Linotype" w:eastAsia="Palatino Linotype" w:hAnsi="Palatino Linotype" w:cs="Palatino Linotype"/>
        </w:rPr>
        <w:t xml:space="preserve"> segundo párrafo </w:t>
      </w:r>
      <w:r w:rsidRPr="00223FC4">
        <w:rPr>
          <w:rFonts w:ascii="Palatino Linotype" w:eastAsia="Palatino Linotype" w:hAnsi="Palatino Linotype" w:cs="Palatino Linotype"/>
        </w:rPr>
        <w:t xml:space="preserve">de la Ley de Transparencia y Acceso a la Información Pública del Estado de México y Municipios y del 43 de la Ley de Protección de Datos Personales en Posesión de Sujetos Obligados del Estado de México y Municipios. </w:t>
      </w:r>
    </w:p>
    <w:p w14:paraId="29484D67" w14:textId="77777777" w:rsidR="007E6F01" w:rsidRPr="00223FC4" w:rsidRDefault="007E6F01">
      <w:pPr>
        <w:pBdr>
          <w:top w:val="nil"/>
          <w:left w:val="nil"/>
          <w:bottom w:val="nil"/>
          <w:right w:val="nil"/>
          <w:between w:val="nil"/>
        </w:pBdr>
        <w:tabs>
          <w:tab w:val="left" w:pos="4962"/>
        </w:tabs>
        <w:spacing w:after="0" w:line="360" w:lineRule="auto"/>
        <w:ind w:left="567" w:right="616"/>
        <w:jc w:val="both"/>
        <w:rPr>
          <w:rFonts w:ascii="Palatino Linotype" w:eastAsia="Palatino Linotype" w:hAnsi="Palatino Linotype" w:cs="Palatino Linotype"/>
        </w:rPr>
      </w:pPr>
    </w:p>
    <w:p w14:paraId="55CE27A8" w14:textId="77777777" w:rsidR="007E6F01" w:rsidRPr="00223FC4" w:rsidRDefault="00F34DA2">
      <w:pPr>
        <w:spacing w:after="0" w:line="360" w:lineRule="auto"/>
        <w:ind w:right="49"/>
        <w:jc w:val="both"/>
        <w:rPr>
          <w:rFonts w:ascii="Palatino Linotype" w:eastAsia="Palatino Linotype" w:hAnsi="Palatino Linotype" w:cs="Palatino Linotype"/>
        </w:rPr>
      </w:pPr>
      <w:r w:rsidRPr="00223FC4">
        <w:rPr>
          <w:rFonts w:ascii="Palatino Linotype" w:eastAsia="Palatino Linotype" w:hAnsi="Palatino Linotype" w:cs="Palatino Linotype"/>
          <w:b/>
        </w:rPr>
        <w:t>Tercero.</w:t>
      </w:r>
      <w:r w:rsidRPr="00223FC4">
        <w:rPr>
          <w:rFonts w:ascii="Palatino Linotype" w:eastAsia="Palatino Linotype" w:hAnsi="Palatino Linotype" w:cs="Palatino Linotype"/>
        </w:rPr>
        <w:t xml:space="preserve"> </w:t>
      </w:r>
      <w:r w:rsidRPr="00223FC4">
        <w:rPr>
          <w:rFonts w:ascii="Palatino Linotype" w:eastAsia="Palatino Linotype" w:hAnsi="Palatino Linotype" w:cs="Palatino Linotype"/>
          <w:b/>
        </w:rPr>
        <w:t xml:space="preserve">Notifíquese vía SAIMEX </w:t>
      </w:r>
      <w:r w:rsidRPr="00223FC4">
        <w:rPr>
          <w:rFonts w:ascii="Palatino Linotype" w:eastAsia="Palatino Linotype" w:hAnsi="Palatino Linotype" w:cs="Palatino Linotype"/>
        </w:rPr>
        <w:t>la presente resolución al T</w:t>
      </w:r>
      <w:r w:rsidRPr="00223FC4">
        <w:rPr>
          <w:rFonts w:ascii="Palatino Linotype" w:eastAsia="Palatino Linotype" w:hAnsi="Palatino Linotype" w:cs="Palatino Linotype"/>
          <w:b/>
        </w:rPr>
        <w:t xml:space="preserve">itular de la Unidad de Transparencia </w:t>
      </w:r>
      <w:r w:rsidRPr="00223FC4">
        <w:rPr>
          <w:rFonts w:ascii="Palatino Linotype" w:eastAsia="Palatino Linotype" w:hAnsi="Palatino Linotype" w:cs="Palatino Linotype"/>
        </w:rPr>
        <w:t xml:space="preserve">del </w:t>
      </w:r>
      <w:r w:rsidRPr="00223FC4">
        <w:rPr>
          <w:rFonts w:ascii="Palatino Linotype" w:eastAsia="Palatino Linotype" w:hAnsi="Palatino Linotype" w:cs="Palatino Linotype"/>
          <w:b/>
        </w:rPr>
        <w:t>SUJETO OBLIGADO</w:t>
      </w:r>
      <w:r w:rsidRPr="00223FC4">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94A7582" w14:textId="77777777" w:rsidR="007E6F01" w:rsidRPr="00223FC4" w:rsidRDefault="00F34DA2">
      <w:pPr>
        <w:spacing w:after="0" w:line="360" w:lineRule="auto"/>
        <w:jc w:val="both"/>
        <w:rPr>
          <w:rFonts w:ascii="Palatino Linotype" w:eastAsia="Palatino Linotype" w:hAnsi="Palatino Linotype" w:cs="Palatino Linotype"/>
        </w:rPr>
      </w:pPr>
      <w:r w:rsidRPr="00223FC4">
        <w:rPr>
          <w:rFonts w:ascii="Palatino Linotype" w:eastAsia="Palatino Linotype" w:hAnsi="Palatino Linotype" w:cs="Palatino Linotype"/>
          <w:b/>
        </w:rPr>
        <w:t xml:space="preserve">Cuarto. Notifíquese vía SAIMEX, </w:t>
      </w:r>
      <w:r w:rsidRPr="00223FC4">
        <w:rPr>
          <w:rFonts w:ascii="Palatino Linotype" w:eastAsia="Palatino Linotype" w:hAnsi="Palatino Linotype" w:cs="Palatino Linotype"/>
        </w:rPr>
        <w:t xml:space="preserve">a la parte </w:t>
      </w:r>
      <w:r w:rsidRPr="00223FC4">
        <w:rPr>
          <w:rFonts w:ascii="Palatino Linotype" w:eastAsia="Palatino Linotype" w:hAnsi="Palatino Linotype" w:cs="Palatino Linotype"/>
          <w:b/>
        </w:rPr>
        <w:t xml:space="preserve">Recurrente </w:t>
      </w:r>
      <w:r w:rsidRPr="00223FC4">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88ADEE8" w14:textId="77777777" w:rsidR="007E6F01" w:rsidRPr="00223FC4" w:rsidRDefault="007E6F01">
      <w:pPr>
        <w:spacing w:after="0" w:line="360" w:lineRule="auto"/>
        <w:jc w:val="both"/>
        <w:rPr>
          <w:rFonts w:ascii="Palatino Linotype" w:eastAsia="Palatino Linotype" w:hAnsi="Palatino Linotype" w:cs="Palatino Linotype"/>
        </w:rPr>
      </w:pPr>
    </w:p>
    <w:p w14:paraId="12964C97" w14:textId="77777777" w:rsidR="001131F5" w:rsidRPr="00223FC4" w:rsidRDefault="00F34DA2" w:rsidP="001131F5">
      <w:pPr>
        <w:pStyle w:val="NormalWeb"/>
        <w:spacing w:before="0" w:beforeAutospacing="0" w:after="0" w:afterAutospacing="0" w:line="360" w:lineRule="auto"/>
        <w:jc w:val="both"/>
        <w:rPr>
          <w:rFonts w:ascii="Palatino Linotype" w:hAnsi="Palatino Linotype"/>
          <w:sz w:val="22"/>
          <w:szCs w:val="22"/>
        </w:rPr>
      </w:pPr>
      <w:r w:rsidRPr="00223FC4">
        <w:rPr>
          <w:rFonts w:ascii="Palatino Linotype" w:eastAsia="Palatino Linotype" w:hAnsi="Palatino Linotype" w:cs="Palatino Linotype"/>
          <w:b/>
        </w:rPr>
        <w:t xml:space="preserve">Quinto. </w:t>
      </w:r>
      <w:r w:rsidR="001131F5" w:rsidRPr="00223FC4">
        <w:rPr>
          <w:rFonts w:ascii="Palatino Linotype" w:hAnsi="Palatino Linotype"/>
          <w:b/>
          <w:bCs/>
          <w:sz w:val="22"/>
          <w:szCs w:val="22"/>
        </w:rPr>
        <w:t xml:space="preserve">Notifíquese </w:t>
      </w:r>
      <w:r w:rsidR="001131F5" w:rsidRPr="00223FC4">
        <w:rPr>
          <w:rFonts w:ascii="Palatino Linotype" w:hAnsi="Palatino Linotype"/>
          <w:sz w:val="22"/>
          <w:szCs w:val="22"/>
        </w:rPr>
        <w:t>vía</w:t>
      </w:r>
      <w:r w:rsidR="001131F5" w:rsidRPr="00223FC4">
        <w:rPr>
          <w:rFonts w:ascii="Palatino Linotype" w:hAnsi="Palatino Linotype"/>
          <w:b/>
          <w:bCs/>
          <w:sz w:val="22"/>
          <w:szCs w:val="22"/>
        </w:rPr>
        <w:t xml:space="preserve"> SAIMEX </w:t>
      </w:r>
      <w:r w:rsidR="001131F5" w:rsidRPr="00223FC4">
        <w:rPr>
          <w:rFonts w:ascii="Palatino Linotype" w:hAnsi="Palatino Linotype"/>
          <w:sz w:val="22"/>
          <w:szCs w:val="22"/>
        </w:rPr>
        <w:t xml:space="preserve">a la parte </w:t>
      </w:r>
      <w:r w:rsidR="001131F5" w:rsidRPr="00223FC4">
        <w:rPr>
          <w:rFonts w:ascii="Palatino Linotype" w:hAnsi="Palatino Linotype"/>
          <w:b/>
          <w:sz w:val="22"/>
          <w:szCs w:val="22"/>
        </w:rPr>
        <w:t>Recurrente</w:t>
      </w:r>
      <w:r w:rsidR="001131F5" w:rsidRPr="00223FC4">
        <w:rPr>
          <w:rFonts w:ascii="Palatino Linotype" w:hAnsi="Palatino Linotype"/>
          <w:b/>
          <w:bCs/>
          <w:sz w:val="22"/>
          <w:szCs w:val="22"/>
        </w:rPr>
        <w:t xml:space="preserve"> </w:t>
      </w:r>
      <w:r w:rsidR="001131F5" w:rsidRPr="00223FC4">
        <w:rPr>
          <w:rFonts w:ascii="Palatino Linotype" w:hAnsi="Palatino Linotype"/>
          <w:sz w:val="22"/>
          <w:szCs w:val="22"/>
        </w:rPr>
        <w:t xml:space="preserve">que la respuesta que dé el </w:t>
      </w:r>
      <w:r w:rsidR="001131F5" w:rsidRPr="00223FC4">
        <w:rPr>
          <w:rFonts w:ascii="Palatino Linotype" w:hAnsi="Palatino Linotype"/>
          <w:b/>
          <w:bCs/>
          <w:sz w:val="22"/>
          <w:szCs w:val="22"/>
        </w:rPr>
        <w:t>Sujeto Obligado</w:t>
      </w:r>
      <w:r w:rsidR="001131F5" w:rsidRPr="00223FC4">
        <w:rPr>
          <w:rFonts w:ascii="Palatino Linotype" w:hAnsi="Palatino Linotype"/>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B04FC52" w14:textId="77777777" w:rsidR="001131F5" w:rsidRPr="00223FC4" w:rsidRDefault="001131F5">
      <w:pPr>
        <w:spacing w:after="0" w:line="360" w:lineRule="auto"/>
        <w:jc w:val="both"/>
        <w:rPr>
          <w:rFonts w:ascii="Palatino Linotype" w:eastAsia="Palatino Linotype" w:hAnsi="Palatino Linotype" w:cs="Palatino Linotype"/>
          <w:b/>
        </w:rPr>
      </w:pPr>
    </w:p>
    <w:p w14:paraId="7950A9DB" w14:textId="77777777" w:rsidR="001131F5" w:rsidRPr="00223FC4" w:rsidRDefault="001131F5" w:rsidP="001131F5">
      <w:pPr>
        <w:pStyle w:val="NormalWeb"/>
        <w:spacing w:before="0" w:beforeAutospacing="0" w:after="0" w:afterAutospacing="0" w:line="360" w:lineRule="auto"/>
        <w:jc w:val="both"/>
        <w:rPr>
          <w:rFonts w:ascii="Palatino Linotype" w:hAnsi="Palatino Linotype"/>
          <w:sz w:val="22"/>
          <w:szCs w:val="22"/>
        </w:rPr>
      </w:pPr>
      <w:r w:rsidRPr="00223FC4">
        <w:rPr>
          <w:rFonts w:ascii="Palatino Linotype" w:hAnsi="Palatino Linotype"/>
          <w:b/>
          <w:bCs/>
          <w:sz w:val="22"/>
          <w:szCs w:val="22"/>
        </w:rPr>
        <w:t>Sexto.</w:t>
      </w:r>
      <w:r w:rsidRPr="00223FC4">
        <w:rPr>
          <w:rFonts w:ascii="Palatino Linotype" w:hAnsi="Palatino Linotype"/>
          <w:sz w:val="22"/>
          <w:szCs w:val="22"/>
        </w:rPr>
        <w:t xml:space="preserve"> Gírese vista a la </w:t>
      </w:r>
      <w:r w:rsidRPr="00223FC4">
        <w:rPr>
          <w:rFonts w:ascii="Palatino Linotype" w:hAnsi="Palatino Linotype"/>
          <w:b/>
          <w:sz w:val="22"/>
          <w:szCs w:val="22"/>
        </w:rPr>
        <w:t>Secretaría Técnica del Pleno</w:t>
      </w:r>
      <w:r w:rsidRPr="00223FC4">
        <w:rPr>
          <w:rFonts w:ascii="Palatino Linotype" w:hAnsi="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14:paraId="26912F1F" w14:textId="77777777" w:rsidR="007E6F01" w:rsidRPr="00223FC4" w:rsidRDefault="007E6F01">
      <w:pPr>
        <w:spacing w:after="0" w:line="360" w:lineRule="auto"/>
        <w:ind w:right="49"/>
        <w:jc w:val="both"/>
        <w:rPr>
          <w:rFonts w:ascii="Palatino Linotype" w:eastAsia="Palatino Linotype" w:hAnsi="Palatino Linotype" w:cs="Palatino Linotype"/>
        </w:rPr>
      </w:pPr>
    </w:p>
    <w:p w14:paraId="2AC975C8" w14:textId="65B334A8" w:rsidR="007E6F01" w:rsidRPr="00F14745" w:rsidRDefault="00F34DA2">
      <w:pPr>
        <w:spacing w:after="0" w:line="360" w:lineRule="auto"/>
        <w:ind w:right="-93"/>
        <w:jc w:val="both"/>
        <w:rPr>
          <w:rFonts w:ascii="Palatino Linotype" w:eastAsia="Palatino Linotype" w:hAnsi="Palatino Linotype" w:cs="Palatino Linotype"/>
        </w:rPr>
      </w:pPr>
      <w:bookmarkStart w:id="3" w:name="_heading=h.vwp640olbyv8" w:colFirst="0" w:colLast="0"/>
      <w:bookmarkEnd w:id="3"/>
      <w:r w:rsidRPr="00223FC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EC3FE1" w:rsidRPr="00223FC4">
        <w:rPr>
          <w:rFonts w:ascii="Palatino Linotype" w:eastAsia="Palatino Linotype" w:hAnsi="Palatino Linotype" w:cs="Palatino Linotype"/>
        </w:rPr>
        <w:t>QUINTA</w:t>
      </w:r>
      <w:r w:rsidRPr="00223FC4">
        <w:rPr>
          <w:rFonts w:ascii="Palatino Linotype" w:eastAsia="Palatino Linotype" w:hAnsi="Palatino Linotype" w:cs="Palatino Linotype"/>
        </w:rPr>
        <w:t xml:space="preserve"> SESIÓN ORDINARIA CELEBRADA EL </w:t>
      </w:r>
      <w:r w:rsidR="00EC3FE1" w:rsidRPr="00223FC4">
        <w:rPr>
          <w:rFonts w:ascii="Palatino Linotype" w:eastAsia="Palatino Linotype" w:hAnsi="Palatino Linotype" w:cs="Palatino Linotype"/>
        </w:rPr>
        <w:t xml:space="preserve">UNO DE OCTUBRE </w:t>
      </w:r>
      <w:r w:rsidRPr="00223FC4">
        <w:rPr>
          <w:rFonts w:ascii="Palatino Linotype" w:eastAsia="Palatino Linotype" w:hAnsi="Palatino Linotype" w:cs="Palatino Linotype"/>
        </w:rPr>
        <w:t xml:space="preserve"> DE DOS MIL VEINTICINCO, ANTE EL SECRETARIO TÉCNICO DEL PLENO ALEXIS TAPIA RAMÍREZ.</w:t>
      </w:r>
    </w:p>
    <w:p w14:paraId="0DB83201" w14:textId="77777777" w:rsidR="007E6F01" w:rsidRPr="00F14745" w:rsidRDefault="007E6F01">
      <w:pPr>
        <w:spacing w:after="0" w:line="360" w:lineRule="auto"/>
        <w:ind w:right="49"/>
        <w:jc w:val="both"/>
        <w:rPr>
          <w:rFonts w:ascii="Palatino Linotype" w:eastAsia="Palatino Linotype" w:hAnsi="Palatino Linotype" w:cs="Palatino Linotype"/>
        </w:rPr>
      </w:pPr>
    </w:p>
    <w:p w14:paraId="6E631A9D" w14:textId="77777777" w:rsidR="007E6F01" w:rsidRPr="00F14745" w:rsidRDefault="007E6F01">
      <w:pPr>
        <w:spacing w:after="0" w:line="360" w:lineRule="auto"/>
        <w:ind w:right="49"/>
        <w:jc w:val="both"/>
        <w:rPr>
          <w:rFonts w:ascii="Palatino Linotype" w:eastAsia="Palatino Linotype" w:hAnsi="Palatino Linotype" w:cs="Palatino Linotype"/>
        </w:rPr>
      </w:pPr>
    </w:p>
    <w:p w14:paraId="6B00F976" w14:textId="77777777" w:rsidR="007E6F01" w:rsidRPr="00F14745" w:rsidRDefault="007E6F01">
      <w:pPr>
        <w:spacing w:after="0" w:line="360" w:lineRule="auto"/>
        <w:ind w:right="49"/>
        <w:jc w:val="both"/>
        <w:rPr>
          <w:rFonts w:ascii="Palatino Linotype" w:eastAsia="Palatino Linotype" w:hAnsi="Palatino Linotype" w:cs="Palatino Linotype"/>
        </w:rPr>
      </w:pPr>
    </w:p>
    <w:p w14:paraId="1F6F0A99" w14:textId="77777777" w:rsidR="007E6F01" w:rsidRPr="00F14745" w:rsidRDefault="007E6F01">
      <w:pPr>
        <w:spacing w:after="0" w:line="360" w:lineRule="auto"/>
        <w:ind w:right="49"/>
        <w:jc w:val="both"/>
        <w:rPr>
          <w:rFonts w:ascii="Palatino Linotype" w:eastAsia="Palatino Linotype" w:hAnsi="Palatino Linotype" w:cs="Palatino Linotype"/>
        </w:rPr>
      </w:pPr>
    </w:p>
    <w:p w14:paraId="01F64443" w14:textId="77777777" w:rsidR="007E6F01" w:rsidRPr="00F14745" w:rsidRDefault="007E6F01">
      <w:pPr>
        <w:spacing w:after="0" w:line="360" w:lineRule="auto"/>
        <w:ind w:right="49"/>
        <w:jc w:val="both"/>
        <w:rPr>
          <w:rFonts w:ascii="Palatino Linotype" w:eastAsia="Palatino Linotype" w:hAnsi="Palatino Linotype" w:cs="Palatino Linotype"/>
        </w:rPr>
      </w:pPr>
    </w:p>
    <w:p w14:paraId="5FA5660D" w14:textId="77777777" w:rsidR="007E6F01" w:rsidRPr="00F14745" w:rsidRDefault="007E6F01">
      <w:pPr>
        <w:spacing w:after="0" w:line="360" w:lineRule="auto"/>
        <w:ind w:right="49"/>
        <w:jc w:val="both"/>
        <w:rPr>
          <w:rFonts w:ascii="Palatino Linotype" w:eastAsia="Palatino Linotype" w:hAnsi="Palatino Linotype" w:cs="Palatino Linotype"/>
        </w:rPr>
      </w:pPr>
    </w:p>
    <w:p w14:paraId="6748E4E7" w14:textId="77777777" w:rsidR="007E6F01" w:rsidRPr="00F14745" w:rsidRDefault="007E6F01">
      <w:pPr>
        <w:spacing w:after="0" w:line="360" w:lineRule="auto"/>
        <w:ind w:right="49"/>
        <w:jc w:val="both"/>
        <w:rPr>
          <w:rFonts w:ascii="Palatino Linotype" w:eastAsia="Palatino Linotype" w:hAnsi="Palatino Linotype" w:cs="Palatino Linotype"/>
        </w:rPr>
      </w:pPr>
    </w:p>
    <w:p w14:paraId="72825D23" w14:textId="77777777" w:rsidR="007E6F01" w:rsidRPr="00F14745" w:rsidRDefault="007E6F01">
      <w:pPr>
        <w:spacing w:after="0" w:line="360" w:lineRule="auto"/>
        <w:ind w:right="49"/>
        <w:jc w:val="both"/>
        <w:rPr>
          <w:rFonts w:ascii="Palatino Linotype" w:eastAsia="Palatino Linotype" w:hAnsi="Palatino Linotype" w:cs="Palatino Linotype"/>
        </w:rPr>
      </w:pPr>
    </w:p>
    <w:p w14:paraId="0E3C0526" w14:textId="77777777" w:rsidR="007E6F01" w:rsidRPr="00F14745" w:rsidRDefault="007E6F01">
      <w:pPr>
        <w:spacing w:after="0" w:line="360" w:lineRule="auto"/>
        <w:ind w:right="49"/>
        <w:jc w:val="both"/>
        <w:rPr>
          <w:rFonts w:ascii="Palatino Linotype" w:eastAsia="Palatino Linotype" w:hAnsi="Palatino Linotype" w:cs="Palatino Linotype"/>
        </w:rPr>
      </w:pPr>
    </w:p>
    <w:p w14:paraId="2F9E38FB" w14:textId="77777777" w:rsidR="007E6F01" w:rsidRPr="00F14745" w:rsidRDefault="007E6F01">
      <w:pPr>
        <w:spacing w:after="0" w:line="360" w:lineRule="auto"/>
        <w:ind w:right="49"/>
        <w:jc w:val="both"/>
        <w:rPr>
          <w:rFonts w:ascii="Palatino Linotype" w:eastAsia="Palatino Linotype" w:hAnsi="Palatino Linotype" w:cs="Palatino Linotype"/>
        </w:rPr>
      </w:pPr>
    </w:p>
    <w:p w14:paraId="63FCB52C" w14:textId="77777777" w:rsidR="00E519C1" w:rsidRPr="00F14745" w:rsidRDefault="00E519C1">
      <w:pPr>
        <w:spacing w:after="0" w:line="360" w:lineRule="auto"/>
        <w:ind w:right="49"/>
        <w:jc w:val="both"/>
        <w:rPr>
          <w:rFonts w:ascii="Palatino Linotype" w:eastAsia="Palatino Linotype" w:hAnsi="Palatino Linotype" w:cs="Palatino Linotype"/>
        </w:rPr>
      </w:pPr>
    </w:p>
    <w:p w14:paraId="70BF3777" w14:textId="77777777" w:rsidR="00E519C1" w:rsidRPr="00F14745" w:rsidRDefault="00E519C1">
      <w:pPr>
        <w:spacing w:after="0" w:line="360" w:lineRule="auto"/>
        <w:ind w:right="49"/>
        <w:jc w:val="both"/>
        <w:rPr>
          <w:rFonts w:ascii="Palatino Linotype" w:eastAsia="Palatino Linotype" w:hAnsi="Palatino Linotype" w:cs="Palatino Linotype"/>
        </w:rPr>
      </w:pPr>
    </w:p>
    <w:p w14:paraId="72BFD24E" w14:textId="77777777" w:rsidR="00E519C1" w:rsidRPr="00F14745" w:rsidRDefault="00E519C1">
      <w:pPr>
        <w:spacing w:after="0" w:line="360" w:lineRule="auto"/>
        <w:ind w:right="49"/>
        <w:jc w:val="both"/>
        <w:rPr>
          <w:rFonts w:ascii="Palatino Linotype" w:eastAsia="Palatino Linotype" w:hAnsi="Palatino Linotype" w:cs="Palatino Linotype"/>
        </w:rPr>
      </w:pPr>
    </w:p>
    <w:p w14:paraId="43F3E0C3" w14:textId="77777777" w:rsidR="00E519C1" w:rsidRPr="00F14745" w:rsidRDefault="00E519C1">
      <w:pPr>
        <w:spacing w:after="0" w:line="360" w:lineRule="auto"/>
        <w:ind w:right="49"/>
        <w:jc w:val="both"/>
        <w:rPr>
          <w:rFonts w:ascii="Palatino Linotype" w:eastAsia="Palatino Linotype" w:hAnsi="Palatino Linotype" w:cs="Palatino Linotype"/>
        </w:rPr>
      </w:pPr>
    </w:p>
    <w:p w14:paraId="7E027E5D" w14:textId="77777777" w:rsidR="00E519C1" w:rsidRPr="00F14745" w:rsidRDefault="00E519C1">
      <w:pPr>
        <w:spacing w:after="0" w:line="360" w:lineRule="auto"/>
        <w:ind w:right="49"/>
        <w:jc w:val="both"/>
        <w:rPr>
          <w:rFonts w:ascii="Palatino Linotype" w:eastAsia="Palatino Linotype" w:hAnsi="Palatino Linotype" w:cs="Palatino Linotype"/>
        </w:rPr>
      </w:pPr>
    </w:p>
    <w:p w14:paraId="40B6BAB5" w14:textId="77777777" w:rsidR="00E519C1" w:rsidRPr="00F14745" w:rsidRDefault="00E519C1">
      <w:pPr>
        <w:spacing w:after="0" w:line="360" w:lineRule="auto"/>
        <w:ind w:right="49"/>
        <w:jc w:val="both"/>
        <w:rPr>
          <w:rFonts w:ascii="Palatino Linotype" w:eastAsia="Palatino Linotype" w:hAnsi="Palatino Linotype" w:cs="Palatino Linotype"/>
        </w:rPr>
      </w:pPr>
    </w:p>
    <w:p w14:paraId="3D259496" w14:textId="77777777" w:rsidR="00E519C1" w:rsidRPr="00F14745" w:rsidRDefault="00E519C1">
      <w:pPr>
        <w:spacing w:after="0" w:line="360" w:lineRule="auto"/>
        <w:ind w:right="49"/>
        <w:jc w:val="both"/>
        <w:rPr>
          <w:rFonts w:ascii="Palatino Linotype" w:eastAsia="Palatino Linotype" w:hAnsi="Palatino Linotype" w:cs="Palatino Linotype"/>
        </w:rPr>
      </w:pPr>
    </w:p>
    <w:p w14:paraId="65C2085F" w14:textId="77777777" w:rsidR="00E519C1" w:rsidRPr="00F14745" w:rsidRDefault="00E519C1">
      <w:pPr>
        <w:spacing w:after="0" w:line="360" w:lineRule="auto"/>
        <w:ind w:right="49"/>
        <w:jc w:val="both"/>
        <w:rPr>
          <w:rFonts w:ascii="Palatino Linotype" w:eastAsia="Palatino Linotype" w:hAnsi="Palatino Linotype" w:cs="Palatino Linotype"/>
        </w:rPr>
      </w:pPr>
    </w:p>
    <w:p w14:paraId="5FC80218" w14:textId="77777777" w:rsidR="00E519C1" w:rsidRPr="00F14745" w:rsidRDefault="00E519C1">
      <w:pPr>
        <w:spacing w:after="0" w:line="360" w:lineRule="auto"/>
        <w:ind w:right="49"/>
        <w:jc w:val="both"/>
        <w:rPr>
          <w:rFonts w:ascii="Palatino Linotype" w:eastAsia="Palatino Linotype" w:hAnsi="Palatino Linotype" w:cs="Palatino Linotype"/>
        </w:rPr>
      </w:pPr>
    </w:p>
    <w:p w14:paraId="17054DE7" w14:textId="77777777" w:rsidR="00F34DA2" w:rsidRPr="00F14745" w:rsidRDefault="00F34DA2">
      <w:pPr>
        <w:spacing w:after="0" w:line="360" w:lineRule="auto"/>
        <w:ind w:right="49"/>
        <w:jc w:val="both"/>
        <w:rPr>
          <w:rFonts w:ascii="Palatino Linotype" w:eastAsia="Palatino Linotype" w:hAnsi="Palatino Linotype" w:cs="Palatino Linotype"/>
        </w:rPr>
      </w:pPr>
    </w:p>
    <w:p w14:paraId="418A6212" w14:textId="77777777" w:rsidR="00F34DA2" w:rsidRPr="00F14745" w:rsidRDefault="00F34DA2">
      <w:pPr>
        <w:spacing w:after="0" w:line="360" w:lineRule="auto"/>
        <w:ind w:right="49"/>
        <w:jc w:val="both"/>
        <w:rPr>
          <w:rFonts w:ascii="Palatino Linotype" w:eastAsia="Palatino Linotype" w:hAnsi="Palatino Linotype" w:cs="Palatino Linotype"/>
        </w:rPr>
      </w:pPr>
    </w:p>
    <w:p w14:paraId="74E12D7E" w14:textId="77777777" w:rsidR="00F34DA2" w:rsidRPr="00F14745" w:rsidRDefault="00F34DA2">
      <w:pPr>
        <w:spacing w:after="0" w:line="360" w:lineRule="auto"/>
        <w:ind w:right="49"/>
        <w:jc w:val="both"/>
        <w:rPr>
          <w:rFonts w:ascii="Palatino Linotype" w:eastAsia="Palatino Linotype" w:hAnsi="Palatino Linotype" w:cs="Palatino Linotype"/>
        </w:rPr>
      </w:pPr>
    </w:p>
    <w:p w14:paraId="7D9B3C9F" w14:textId="77777777" w:rsidR="00F34DA2" w:rsidRPr="00F14745" w:rsidRDefault="00F34DA2">
      <w:pPr>
        <w:spacing w:after="0" w:line="360" w:lineRule="auto"/>
        <w:ind w:right="49"/>
        <w:jc w:val="both"/>
        <w:rPr>
          <w:rFonts w:ascii="Palatino Linotype" w:eastAsia="Palatino Linotype" w:hAnsi="Palatino Linotype" w:cs="Palatino Linotype"/>
        </w:rPr>
      </w:pPr>
    </w:p>
    <w:p w14:paraId="477197B9" w14:textId="77777777" w:rsidR="00F34DA2" w:rsidRPr="00F14745" w:rsidRDefault="00F34DA2">
      <w:pPr>
        <w:spacing w:after="0" w:line="360" w:lineRule="auto"/>
        <w:ind w:right="49"/>
        <w:jc w:val="both"/>
        <w:rPr>
          <w:rFonts w:ascii="Palatino Linotype" w:eastAsia="Palatino Linotype" w:hAnsi="Palatino Linotype" w:cs="Palatino Linotype"/>
        </w:rPr>
      </w:pPr>
    </w:p>
    <w:p w14:paraId="6BD666B3" w14:textId="77777777" w:rsidR="00F34DA2" w:rsidRPr="00F14745" w:rsidRDefault="00F34DA2">
      <w:pPr>
        <w:spacing w:after="0" w:line="360" w:lineRule="auto"/>
        <w:ind w:right="49"/>
        <w:jc w:val="both"/>
        <w:rPr>
          <w:rFonts w:ascii="Palatino Linotype" w:eastAsia="Palatino Linotype" w:hAnsi="Palatino Linotype" w:cs="Palatino Linotype"/>
        </w:rPr>
      </w:pPr>
    </w:p>
    <w:sectPr w:rsidR="00F34DA2" w:rsidRPr="00F14745">
      <w:headerReference w:type="default" r:id="rId13"/>
      <w:footerReference w:type="default" r:id="rId14"/>
      <w:headerReference w:type="first" r:id="rId15"/>
      <w:footerReference w:type="first" r:id="rId1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46C83" w14:textId="77777777" w:rsidR="00977C7F" w:rsidRDefault="00977C7F">
      <w:pPr>
        <w:spacing w:after="0" w:line="240" w:lineRule="auto"/>
      </w:pPr>
      <w:r>
        <w:separator/>
      </w:r>
    </w:p>
  </w:endnote>
  <w:endnote w:type="continuationSeparator" w:id="0">
    <w:p w14:paraId="56E0314C" w14:textId="77777777" w:rsidR="00977C7F" w:rsidRDefault="00977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72698" w14:textId="6108EA92" w:rsidR="00274EC2" w:rsidRDefault="00274EC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C4519">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C4519">
      <w:rPr>
        <w:b/>
        <w:noProof/>
        <w:color w:val="000000"/>
        <w:sz w:val="24"/>
        <w:szCs w:val="24"/>
      </w:rPr>
      <w:t>36</w:t>
    </w:r>
    <w:r>
      <w:rPr>
        <w:b/>
        <w:color w:val="000000"/>
        <w:sz w:val="24"/>
        <w:szCs w:val="24"/>
      </w:rPr>
      <w:fldChar w:fldCharType="end"/>
    </w:r>
  </w:p>
  <w:p w14:paraId="31C05EB9" w14:textId="77777777" w:rsidR="00274EC2" w:rsidRDefault="00274EC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261F5" w14:textId="5141BF13" w:rsidR="00274EC2" w:rsidRDefault="00274EC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C451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C4519">
      <w:rPr>
        <w:b/>
        <w:noProof/>
        <w:color w:val="000000"/>
        <w:sz w:val="24"/>
        <w:szCs w:val="24"/>
      </w:rPr>
      <w:t>36</w:t>
    </w:r>
    <w:r>
      <w:rPr>
        <w:b/>
        <w:color w:val="000000"/>
        <w:sz w:val="24"/>
        <w:szCs w:val="24"/>
      </w:rPr>
      <w:fldChar w:fldCharType="end"/>
    </w:r>
  </w:p>
  <w:p w14:paraId="3924B99D" w14:textId="77777777" w:rsidR="00274EC2" w:rsidRDefault="00274EC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65796" w14:textId="77777777" w:rsidR="00977C7F" w:rsidRDefault="00977C7F">
      <w:pPr>
        <w:spacing w:after="0" w:line="240" w:lineRule="auto"/>
      </w:pPr>
      <w:r>
        <w:separator/>
      </w:r>
    </w:p>
  </w:footnote>
  <w:footnote w:type="continuationSeparator" w:id="0">
    <w:p w14:paraId="20D198B0" w14:textId="77777777" w:rsidR="00977C7F" w:rsidRDefault="00977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64720" w14:textId="77777777" w:rsidR="00274EC2" w:rsidRDefault="00274EC2">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03416A13" wp14:editId="7F8F1E69">
          <wp:simplePos x="0" y="0"/>
          <wp:positionH relativeFrom="column">
            <wp:posOffset>-755013</wp:posOffset>
          </wp:positionH>
          <wp:positionV relativeFrom="paragraph">
            <wp:posOffset>-563877</wp:posOffset>
          </wp:positionV>
          <wp:extent cx="7809876" cy="10165823"/>
          <wp:effectExtent l="0" t="0" r="0" b="0"/>
          <wp:wrapNone/>
          <wp:docPr id="1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274EC2" w14:paraId="08AB50EC" w14:textId="77777777">
      <w:tc>
        <w:tcPr>
          <w:tcW w:w="2551" w:type="dxa"/>
          <w:vAlign w:val="center"/>
        </w:tcPr>
        <w:p w14:paraId="4A13825F" w14:textId="77777777" w:rsidR="00274EC2" w:rsidRDefault="00274EC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97D5824" w14:textId="77777777" w:rsidR="00274EC2" w:rsidRDefault="00274EC2" w:rsidP="003C5B8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07679/INFOEM/IP/RR/2025</w:t>
          </w:r>
        </w:p>
      </w:tc>
    </w:tr>
    <w:tr w:rsidR="00274EC2" w14:paraId="048E9C8E" w14:textId="77777777">
      <w:trPr>
        <w:trHeight w:val="228"/>
      </w:trPr>
      <w:tc>
        <w:tcPr>
          <w:tcW w:w="2551" w:type="dxa"/>
          <w:vAlign w:val="center"/>
        </w:tcPr>
        <w:p w14:paraId="2F4C1A2B" w14:textId="77777777" w:rsidR="00274EC2" w:rsidRDefault="00274EC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1594B273" w14:textId="77777777" w:rsidR="00274EC2" w:rsidRDefault="00274EC2">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3C5B87">
            <w:rPr>
              <w:rFonts w:ascii="Palatino Linotype" w:eastAsia="Palatino Linotype" w:hAnsi="Palatino Linotype" w:cs="Palatino Linotype"/>
              <w:b/>
              <w:color w:val="000000"/>
            </w:rPr>
            <w:t>Ayuntamiento de Ecatepec de Morelos</w:t>
          </w:r>
        </w:p>
      </w:tc>
    </w:tr>
    <w:tr w:rsidR="00274EC2" w14:paraId="4261CADE" w14:textId="77777777">
      <w:tc>
        <w:tcPr>
          <w:tcW w:w="2551" w:type="dxa"/>
          <w:vAlign w:val="center"/>
        </w:tcPr>
        <w:p w14:paraId="6E189E98" w14:textId="77777777" w:rsidR="00274EC2" w:rsidRDefault="00274EC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1891119" w14:textId="77777777" w:rsidR="00274EC2" w:rsidRDefault="00274EC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CB077DF" w14:textId="77777777" w:rsidR="00274EC2" w:rsidRDefault="00274EC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A67D" w14:textId="77777777" w:rsidR="00274EC2" w:rsidRDefault="00274EC2">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308E953D" wp14:editId="69000FB6">
          <wp:simplePos x="0" y="0"/>
          <wp:positionH relativeFrom="column">
            <wp:posOffset>-761289</wp:posOffset>
          </wp:positionH>
          <wp:positionV relativeFrom="paragraph">
            <wp:posOffset>-183512</wp:posOffset>
          </wp:positionV>
          <wp:extent cx="7809876" cy="10165823"/>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8"/>
      <w:tblW w:w="5603" w:type="dxa"/>
      <w:tblInd w:w="3611" w:type="dxa"/>
      <w:tblLayout w:type="fixed"/>
      <w:tblLook w:val="0400" w:firstRow="0" w:lastRow="0" w:firstColumn="0" w:lastColumn="0" w:noHBand="0" w:noVBand="1"/>
    </w:tblPr>
    <w:tblGrid>
      <w:gridCol w:w="2551"/>
      <w:gridCol w:w="3052"/>
    </w:tblGrid>
    <w:tr w:rsidR="00274EC2" w14:paraId="622ED049" w14:textId="77777777">
      <w:tc>
        <w:tcPr>
          <w:tcW w:w="2551" w:type="dxa"/>
          <w:vAlign w:val="center"/>
        </w:tcPr>
        <w:p w14:paraId="1413D2B1" w14:textId="77777777" w:rsidR="00274EC2" w:rsidRDefault="00274EC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7869C80" w14:textId="77777777" w:rsidR="00274EC2" w:rsidRDefault="00274EC2" w:rsidP="003C5B87">
          <w:pPr>
            <w:pBdr>
              <w:top w:val="nil"/>
              <w:left w:val="nil"/>
              <w:bottom w:val="nil"/>
              <w:right w:val="nil"/>
              <w:between w:val="nil"/>
            </w:pBdr>
            <w:tabs>
              <w:tab w:val="center" w:pos="4419"/>
              <w:tab w:val="right" w:pos="8838"/>
            </w:tabs>
            <w:spacing w:after="0" w:line="240" w:lineRule="auto"/>
            <w:ind w:right="-115"/>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07679/INFOEM/IP/RR/2025</w:t>
          </w:r>
        </w:p>
      </w:tc>
    </w:tr>
    <w:tr w:rsidR="00274EC2" w14:paraId="43E094EE" w14:textId="77777777">
      <w:tc>
        <w:tcPr>
          <w:tcW w:w="2551" w:type="dxa"/>
          <w:vAlign w:val="center"/>
        </w:tcPr>
        <w:p w14:paraId="38F96F0A" w14:textId="77777777" w:rsidR="00274EC2" w:rsidRDefault="00274EC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425A966" w14:textId="5E743537" w:rsidR="00274EC2" w:rsidRDefault="006C4519" w:rsidP="006C4519">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 </w:t>
          </w:r>
          <w:proofErr w:type="spellStart"/>
          <w:r>
            <w:rPr>
              <w:rFonts w:ascii="Palatino Linotype" w:eastAsia="Palatino Linotype" w:hAnsi="Palatino Linotype" w:cs="Palatino Linotype"/>
              <w:b/>
              <w:color w:val="000000"/>
            </w:rPr>
            <w:t>XXXXXX</w:t>
          </w:r>
          <w:proofErr w:type="spellEnd"/>
          <w:r>
            <w:rPr>
              <w:rFonts w:ascii="Palatino Linotype" w:eastAsia="Palatino Linotype" w:hAnsi="Palatino Linotype" w:cs="Palatino Linotype"/>
              <w:b/>
              <w:color w:val="000000"/>
            </w:rPr>
            <w:t xml:space="preserve"> </w:t>
          </w:r>
          <w:proofErr w:type="spellStart"/>
          <w:r>
            <w:rPr>
              <w:rFonts w:ascii="Palatino Linotype" w:eastAsia="Palatino Linotype" w:hAnsi="Palatino Linotype" w:cs="Palatino Linotype"/>
              <w:b/>
              <w:color w:val="000000"/>
            </w:rPr>
            <w:t>XXXXXX</w:t>
          </w:r>
          <w:proofErr w:type="spellEnd"/>
          <w:r>
            <w:rPr>
              <w:rFonts w:ascii="Palatino Linotype" w:eastAsia="Palatino Linotype" w:hAnsi="Palatino Linotype" w:cs="Palatino Linotype"/>
              <w:b/>
              <w:color w:val="000000"/>
            </w:rPr>
            <w:t xml:space="preserve"> </w:t>
          </w:r>
        </w:p>
      </w:tc>
    </w:tr>
    <w:tr w:rsidR="00274EC2" w14:paraId="0F584E5C" w14:textId="77777777">
      <w:trPr>
        <w:trHeight w:val="228"/>
      </w:trPr>
      <w:tc>
        <w:tcPr>
          <w:tcW w:w="2551" w:type="dxa"/>
          <w:vAlign w:val="center"/>
        </w:tcPr>
        <w:p w14:paraId="19BE575D" w14:textId="77777777" w:rsidR="00274EC2" w:rsidRDefault="00274EC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362A49A7" w14:textId="77777777" w:rsidR="00274EC2" w:rsidRDefault="00274EC2">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3C5B87">
            <w:rPr>
              <w:rFonts w:ascii="Palatino Linotype" w:eastAsia="Palatino Linotype" w:hAnsi="Palatino Linotype" w:cs="Palatino Linotype"/>
              <w:b/>
              <w:color w:val="000000"/>
            </w:rPr>
            <w:t>Ayuntamiento de Ecatepec de Morelos</w:t>
          </w:r>
        </w:p>
      </w:tc>
    </w:tr>
    <w:tr w:rsidR="00274EC2" w14:paraId="793DF87B" w14:textId="77777777">
      <w:tc>
        <w:tcPr>
          <w:tcW w:w="2551" w:type="dxa"/>
          <w:vAlign w:val="center"/>
        </w:tcPr>
        <w:p w14:paraId="49C2C5DC" w14:textId="77777777" w:rsidR="00274EC2" w:rsidRDefault="00274EC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02D69BB" w14:textId="77777777" w:rsidR="00274EC2" w:rsidRDefault="00274EC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97286CF" w14:textId="77777777" w:rsidR="00274EC2" w:rsidRDefault="00274EC2">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2225A"/>
    <w:multiLevelType w:val="multilevel"/>
    <w:tmpl w:val="0860B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9B2AD1"/>
    <w:multiLevelType w:val="multilevel"/>
    <w:tmpl w:val="AEA8EE0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9132FF2"/>
    <w:multiLevelType w:val="multilevel"/>
    <w:tmpl w:val="297A7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24809BA"/>
    <w:multiLevelType w:val="multilevel"/>
    <w:tmpl w:val="B0D0C3C4"/>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BE0D24"/>
    <w:multiLevelType w:val="multilevel"/>
    <w:tmpl w:val="8C80A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6810682"/>
    <w:multiLevelType w:val="multilevel"/>
    <w:tmpl w:val="91AE649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01"/>
    <w:rsid w:val="001131F5"/>
    <w:rsid w:val="001D21E4"/>
    <w:rsid w:val="00223FC4"/>
    <w:rsid w:val="00274EC2"/>
    <w:rsid w:val="003C5B87"/>
    <w:rsid w:val="004A4AD5"/>
    <w:rsid w:val="006751CC"/>
    <w:rsid w:val="006C4519"/>
    <w:rsid w:val="007E6F01"/>
    <w:rsid w:val="009305D8"/>
    <w:rsid w:val="00977C7F"/>
    <w:rsid w:val="00A27ED1"/>
    <w:rsid w:val="00A82EA4"/>
    <w:rsid w:val="00AD0FD6"/>
    <w:rsid w:val="00B05D13"/>
    <w:rsid w:val="00D35023"/>
    <w:rsid w:val="00DA4C49"/>
    <w:rsid w:val="00E05B1B"/>
    <w:rsid w:val="00E11CDC"/>
    <w:rsid w:val="00E519C1"/>
    <w:rsid w:val="00E676ED"/>
    <w:rsid w:val="00EC3FE1"/>
    <w:rsid w:val="00F14745"/>
    <w:rsid w:val="00F34D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822E"/>
  <w15:docId w15:val="{20A76FA7-59BE-4CF3-9E75-A8D231FC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167A3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167A3B"/>
    <w:rPr>
      <w:rFonts w:ascii="Times New Roman" w:eastAsia="Times New Roman" w:hAnsi="Times New Roman" w:cs="Times New Roman"/>
      <w:sz w:val="24"/>
      <w:szCs w:val="24"/>
      <w:lang w:val="es-ES" w:eastAsia="es-ES"/>
    </w:r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244C76"/>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555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vNOi9jl1xPloXYF6EmM5p/3REA==">CgMxLjAyDmguNnZma3p1N3R3ZWtvMg5oLmIza281ajRiY3Y0aDIJaC4zem55c2g3Mg5oLmtwMmdiam1lbXk2cDIOaC52d3A2NDBvbGJ5djg4AHIhMU1Mb05JVEVkdGYtSDJMZDAyMGVDdDNMdVc5b0ZsU2VS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9881</Words>
  <Characters>54351</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2025-10-03T19:32:00Z</cp:lastPrinted>
  <dcterms:created xsi:type="dcterms:W3CDTF">2025-11-11T20:19:00Z</dcterms:created>
  <dcterms:modified xsi:type="dcterms:W3CDTF">2025-11-11T20:19:00Z</dcterms:modified>
</cp:coreProperties>
</file>