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796" w:rsidRPr="00E95267" w:rsidRDefault="00EF5796" w:rsidP="00B02242">
      <w:pPr>
        <w:tabs>
          <w:tab w:val="left" w:pos="3465"/>
        </w:tabs>
        <w:spacing w:before="240" w:after="360" w:line="360" w:lineRule="auto"/>
        <w:jc w:val="both"/>
        <w:rPr>
          <w:rFonts w:ascii="Palatino Linotype" w:hAnsi="Palatino Linotype"/>
          <w:b/>
          <w:color w:val="000000" w:themeColor="text1"/>
        </w:rPr>
      </w:pPr>
      <w:r w:rsidRPr="00E9526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95267">
        <w:rPr>
          <w:rFonts w:ascii="Palatino Linotype" w:hAnsi="Palatino Linotype"/>
          <w:b/>
          <w:color w:val="000000" w:themeColor="text1"/>
        </w:rPr>
        <w:t xml:space="preserve">de fecha </w:t>
      </w:r>
      <w:r w:rsidRPr="00E95267">
        <w:rPr>
          <w:rFonts w:ascii="Palatino Linotype" w:eastAsia="MS Mincho" w:hAnsi="Palatino Linotype" w:cs="Times New Roman"/>
          <w:b/>
          <w:color w:val="000000" w:themeColor="text1"/>
          <w:lang w:val="es-MX"/>
        </w:rPr>
        <w:t>veintiuno de mayo de dos mil veinticinco.</w:t>
      </w:r>
    </w:p>
    <w:p w:rsidR="00EF5796" w:rsidRPr="00E95267" w:rsidRDefault="00EF5796" w:rsidP="00B02242">
      <w:pPr>
        <w:spacing w:line="360" w:lineRule="auto"/>
        <w:jc w:val="both"/>
        <w:rPr>
          <w:rFonts w:ascii="Palatino Linotype" w:eastAsia="Times New Roman" w:hAnsi="Palatino Linotype" w:cs="Times New Roman"/>
          <w:color w:val="000000" w:themeColor="text1"/>
        </w:rPr>
      </w:pPr>
      <w:r w:rsidRPr="00E95267">
        <w:rPr>
          <w:rFonts w:ascii="Palatino Linotype" w:hAnsi="Palatino Linotype"/>
          <w:b/>
          <w:color w:val="000000" w:themeColor="text1"/>
        </w:rPr>
        <w:t>VISTO</w:t>
      </w:r>
      <w:r w:rsidRPr="00E95267">
        <w:rPr>
          <w:rFonts w:ascii="Palatino Linotype" w:hAnsi="Palatino Linotype"/>
          <w:color w:val="000000" w:themeColor="text1"/>
        </w:rPr>
        <w:t xml:space="preserve"> el expediente electrónico formado con motivo del recurso de revisión </w:t>
      </w:r>
      <w:r w:rsidR="0076612A" w:rsidRPr="00E95267">
        <w:rPr>
          <w:rFonts w:ascii="Palatino Linotype" w:hAnsi="Palatino Linotype"/>
          <w:b/>
          <w:color w:val="000000" w:themeColor="text1"/>
        </w:rPr>
        <w:t>01033/INFOEM/IP/RR/2025</w:t>
      </w:r>
      <w:r w:rsidRPr="00E95267">
        <w:rPr>
          <w:rFonts w:ascii="Palatino Linotype" w:eastAsia="Times New Roman" w:hAnsi="Palatino Linotype" w:cs="Arial"/>
          <w:bCs/>
          <w:color w:val="000000" w:themeColor="text1"/>
        </w:rPr>
        <w:t xml:space="preserve">, </w:t>
      </w:r>
      <w:r w:rsidR="0076612A" w:rsidRPr="00E95267">
        <w:rPr>
          <w:rFonts w:ascii="Palatino Linotype" w:eastAsia="Times New Roman" w:hAnsi="Palatino Linotype" w:cs="Times New Roman"/>
          <w:color w:val="000000" w:themeColor="text1"/>
        </w:rPr>
        <w:t>interpuesto por</w:t>
      </w:r>
      <w:r w:rsidR="0076612A" w:rsidRPr="00E95267">
        <w:rPr>
          <w:rFonts w:ascii="Palatino Linotype" w:eastAsia="Times New Roman" w:hAnsi="Palatino Linotype" w:cs="Times New Roman"/>
          <w:b/>
          <w:bCs/>
          <w:color w:val="000000" w:themeColor="text1"/>
        </w:rPr>
        <w:t> </w:t>
      </w:r>
      <w:r w:rsidR="00AC4AE6">
        <w:rPr>
          <w:rFonts w:ascii="Palatino Linotype" w:eastAsia="Times New Roman" w:hAnsi="Palatino Linotype" w:cs="Times New Roman"/>
          <w:b/>
          <w:bCs/>
          <w:color w:val="000000" w:themeColor="text1"/>
        </w:rPr>
        <w:t>XXXX</w:t>
      </w:r>
      <w:r w:rsidRPr="00E95267">
        <w:rPr>
          <w:rFonts w:ascii="Palatino Linotype" w:eastAsia="Times New Roman" w:hAnsi="Palatino Linotype" w:cs="Times New Roman"/>
          <w:color w:val="000000" w:themeColor="text1"/>
        </w:rPr>
        <w:t xml:space="preserve">, en lo sucesivo, </w:t>
      </w:r>
      <w:r w:rsidRPr="00E95267">
        <w:rPr>
          <w:rFonts w:ascii="Palatino Linotype" w:eastAsia="Times New Roman" w:hAnsi="Palatino Linotype" w:cs="Times New Roman"/>
          <w:b/>
          <w:color w:val="000000" w:themeColor="text1"/>
        </w:rPr>
        <w:t xml:space="preserve">EL </w:t>
      </w:r>
      <w:r w:rsidRPr="00E95267">
        <w:rPr>
          <w:rFonts w:ascii="Palatino Linotype" w:eastAsia="Times New Roman" w:hAnsi="Palatino Linotype" w:cs="Times New Roman"/>
          <w:b/>
          <w:bCs/>
          <w:color w:val="000000" w:themeColor="text1"/>
        </w:rPr>
        <w:t>RECURRENTE</w:t>
      </w:r>
      <w:r w:rsidRPr="00E95267">
        <w:rPr>
          <w:rFonts w:ascii="Palatino Linotype" w:eastAsia="Times New Roman" w:hAnsi="Palatino Linotype" w:cs="Arial"/>
          <w:color w:val="000000" w:themeColor="text1"/>
        </w:rPr>
        <w:t xml:space="preserve">; en contra del incumplimiento a la respuesta de solicitud </w:t>
      </w:r>
      <w:r w:rsidRPr="00E95267">
        <w:rPr>
          <w:rFonts w:ascii="Palatino Linotype" w:eastAsia="Times New Roman" w:hAnsi="Palatino Linotype" w:cs="Arial"/>
          <w:b/>
          <w:bCs/>
          <w:color w:val="000000" w:themeColor="text1"/>
        </w:rPr>
        <w:t> </w:t>
      </w:r>
      <w:r w:rsidR="0076612A" w:rsidRPr="00E95267">
        <w:rPr>
          <w:rFonts w:ascii="Palatino Linotype" w:eastAsia="Times New Roman" w:hAnsi="Palatino Linotype" w:cs="Arial"/>
          <w:b/>
          <w:bCs/>
          <w:color w:val="000000" w:themeColor="text1"/>
        </w:rPr>
        <w:t xml:space="preserve">00506/SEDUI/IP/2024 </w:t>
      </w:r>
      <w:r w:rsidRPr="00E95267">
        <w:rPr>
          <w:rFonts w:ascii="Palatino Linotype" w:eastAsia="Times New Roman" w:hAnsi="Palatino Linotype" w:cs="Arial"/>
          <w:color w:val="000000" w:themeColor="text1"/>
        </w:rPr>
        <w:t xml:space="preserve">de la </w:t>
      </w:r>
      <w:r w:rsidR="0076612A" w:rsidRPr="00E95267">
        <w:rPr>
          <w:rFonts w:ascii="Palatino Linotype" w:hAnsi="Palatino Linotype"/>
          <w:b/>
          <w:color w:val="000000" w:themeColor="text1"/>
          <w:lang w:val="es-MX"/>
        </w:rPr>
        <w:t>Secretaría de Desarrollo Urbano e Infraestructura</w:t>
      </w:r>
      <w:r w:rsidRPr="00E95267">
        <w:rPr>
          <w:rFonts w:ascii="Palatino Linotype" w:eastAsia="Calibri" w:hAnsi="Palatino Linotype" w:cs="Arial"/>
          <w:color w:val="000000" w:themeColor="text1"/>
          <w:lang w:val="es-ES"/>
        </w:rPr>
        <w:t>, en adelante,</w:t>
      </w:r>
      <w:r w:rsidRPr="00E95267">
        <w:rPr>
          <w:rFonts w:ascii="Palatino Linotype" w:eastAsia="Times New Roman" w:hAnsi="Palatino Linotype" w:cs="Times New Roman"/>
          <w:color w:val="000000" w:themeColor="text1"/>
        </w:rPr>
        <w:t xml:space="preserve"> el</w:t>
      </w:r>
      <w:r w:rsidRPr="00E95267">
        <w:rPr>
          <w:rFonts w:ascii="Palatino Linotype" w:eastAsia="Times New Roman" w:hAnsi="Palatino Linotype" w:cs="Times New Roman"/>
          <w:b/>
          <w:color w:val="000000" w:themeColor="text1"/>
        </w:rPr>
        <w:t xml:space="preserve"> SUJETO OBLIGADO</w:t>
      </w:r>
      <w:r w:rsidRPr="00E95267">
        <w:rPr>
          <w:rFonts w:ascii="Palatino Linotype" w:eastAsia="Times New Roman" w:hAnsi="Palatino Linotype" w:cs="Times New Roman"/>
          <w:color w:val="000000" w:themeColor="text1"/>
        </w:rPr>
        <w:t>,</w:t>
      </w:r>
      <w:r w:rsidRPr="00E95267">
        <w:rPr>
          <w:rFonts w:ascii="Palatino Linotype" w:eastAsia="Times New Roman" w:hAnsi="Palatino Linotype" w:cs="Times New Roman"/>
          <w:b/>
          <w:color w:val="000000" w:themeColor="text1"/>
        </w:rPr>
        <w:t xml:space="preserve"> </w:t>
      </w:r>
      <w:r w:rsidRPr="00E95267">
        <w:rPr>
          <w:rFonts w:ascii="Palatino Linotype" w:eastAsia="Times New Roman" w:hAnsi="Palatino Linotype" w:cs="Times New Roman"/>
          <w:color w:val="000000" w:themeColor="text1"/>
        </w:rPr>
        <w:t>se procede a dictar la presente resolución, con base en los siguientes:</w:t>
      </w:r>
    </w:p>
    <w:p w:rsidR="00EF5796" w:rsidRPr="00E95267" w:rsidRDefault="00EF5796" w:rsidP="00B02242">
      <w:pPr>
        <w:spacing w:line="360" w:lineRule="auto"/>
        <w:jc w:val="both"/>
        <w:rPr>
          <w:rFonts w:ascii="Palatino Linotype" w:hAnsi="Palatino Linotype"/>
          <w:b/>
          <w:color w:val="000000" w:themeColor="text1"/>
        </w:rPr>
      </w:pPr>
    </w:p>
    <w:p w:rsidR="00EF5796" w:rsidRPr="00E95267" w:rsidRDefault="00EF5796" w:rsidP="00B02242">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E95267">
        <w:rPr>
          <w:rFonts w:ascii="Palatino Linotype" w:hAnsi="Palatino Linotype"/>
          <w:b/>
          <w:color w:val="000000" w:themeColor="text1"/>
          <w:sz w:val="24"/>
          <w:szCs w:val="24"/>
        </w:rPr>
        <w:t>ANTECEDENTES</w:t>
      </w:r>
      <w:bookmarkEnd w:id="0"/>
      <w:bookmarkEnd w:id="1"/>
      <w:bookmarkEnd w:id="2"/>
    </w:p>
    <w:p w:rsidR="00EF5796" w:rsidRPr="00E95267" w:rsidRDefault="00EF5796" w:rsidP="00B02242">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E95267">
        <w:rPr>
          <w:rFonts w:ascii="Palatino Linotype" w:eastAsia="Calibri" w:hAnsi="Palatino Linotype" w:cs="Arial"/>
          <w:color w:val="000000" w:themeColor="text1"/>
          <w:lang w:val="es-ES"/>
        </w:rPr>
        <w:t xml:space="preserve">El </w:t>
      </w:r>
      <w:r w:rsidR="0076612A" w:rsidRPr="00E95267">
        <w:rPr>
          <w:rFonts w:ascii="Palatino Linotype" w:eastAsia="Calibri" w:hAnsi="Palatino Linotype" w:cs="Arial"/>
          <w:b/>
          <w:color w:val="000000" w:themeColor="text1"/>
          <w:lang w:val="es-ES"/>
        </w:rPr>
        <w:t>diecisiete de diciembre de dos mil veinticuatro</w:t>
      </w:r>
      <w:r w:rsidRPr="00E95267">
        <w:rPr>
          <w:rFonts w:ascii="Palatino Linotype" w:eastAsia="Calibri" w:hAnsi="Palatino Linotype" w:cs="Arial"/>
          <w:color w:val="000000" w:themeColor="text1"/>
          <w:lang w:val="es-ES"/>
        </w:rPr>
        <w:t>, el particular</w:t>
      </w:r>
      <w:r w:rsidRPr="00E95267">
        <w:rPr>
          <w:rFonts w:ascii="Palatino Linotype" w:hAnsi="Palatino Linotype"/>
          <w:color w:val="000000" w:themeColor="text1"/>
        </w:rPr>
        <w:t xml:space="preserve"> presentó</w:t>
      </w:r>
      <w:r w:rsidRPr="00E95267">
        <w:rPr>
          <w:rFonts w:ascii="Palatino Linotype" w:hAnsi="Palatino Linotype"/>
          <w:b/>
          <w:color w:val="000000" w:themeColor="text1"/>
        </w:rPr>
        <w:t xml:space="preserve"> </w:t>
      </w:r>
      <w:r w:rsidRPr="00E95267">
        <w:rPr>
          <w:rFonts w:ascii="Palatino Linotype" w:hAnsi="Palatino Linotype"/>
          <w:bCs/>
          <w:color w:val="000000" w:themeColor="text1"/>
        </w:rPr>
        <w:t>a través del Sistema de Acceso a la Información Mexiquense (</w:t>
      </w:r>
      <w:r w:rsidRPr="00E95267">
        <w:rPr>
          <w:rFonts w:ascii="Palatino Linotype" w:eastAsia="Calibri" w:hAnsi="Palatino Linotype" w:cs="Arial"/>
          <w:color w:val="000000" w:themeColor="text1"/>
          <w:lang w:val="es-ES"/>
        </w:rPr>
        <w:t xml:space="preserve">SAIMEX), la solicitud de información pública registrada con el número </w:t>
      </w:r>
      <w:r w:rsidR="0076612A" w:rsidRPr="00E95267">
        <w:rPr>
          <w:rFonts w:ascii="Palatino Linotype" w:eastAsia="Times New Roman" w:hAnsi="Palatino Linotype" w:cs="Arial"/>
          <w:b/>
          <w:bCs/>
          <w:color w:val="000000" w:themeColor="text1"/>
        </w:rPr>
        <w:t>00506/SEDUI/IP/2024</w:t>
      </w:r>
      <w:r w:rsidRPr="00E95267">
        <w:rPr>
          <w:rFonts w:ascii="Palatino Linotype" w:eastAsia="Calibri" w:hAnsi="Palatino Linotype" w:cs="Arial"/>
          <w:b/>
          <w:color w:val="000000" w:themeColor="text1"/>
          <w:lang w:val="es-ES"/>
        </w:rPr>
        <w:t>,</w:t>
      </w:r>
      <w:r w:rsidRPr="00E95267">
        <w:rPr>
          <w:rFonts w:ascii="Palatino Linotype" w:eastAsia="Calibri" w:hAnsi="Palatino Linotype" w:cs="Arial"/>
          <w:color w:val="000000" w:themeColor="text1"/>
          <w:lang w:val="es-ES"/>
        </w:rPr>
        <w:t xml:space="preserve"> mediante la que requirió lo siguiente:</w:t>
      </w:r>
    </w:p>
    <w:p w:rsidR="00EF5796" w:rsidRPr="00E95267" w:rsidRDefault="00EF5796" w:rsidP="00B02242">
      <w:pPr>
        <w:pStyle w:val="Prrafodelista"/>
        <w:spacing w:line="276" w:lineRule="auto"/>
        <w:ind w:left="0"/>
        <w:jc w:val="both"/>
        <w:rPr>
          <w:rFonts w:ascii="Palatino Linotype" w:hAnsi="Palatino Linotype"/>
          <w:i/>
          <w:color w:val="000000" w:themeColor="text1"/>
        </w:rPr>
      </w:pPr>
    </w:p>
    <w:p w:rsidR="00EF5796" w:rsidRPr="00E95267" w:rsidRDefault="00EF5796" w:rsidP="00B02242">
      <w:pPr>
        <w:pStyle w:val="Prrafodelista"/>
        <w:spacing w:line="276" w:lineRule="auto"/>
        <w:ind w:left="0"/>
        <w:jc w:val="both"/>
        <w:rPr>
          <w:rFonts w:ascii="Palatino Linotype" w:hAnsi="Palatino Linotype"/>
          <w:color w:val="000000" w:themeColor="text1"/>
        </w:rPr>
      </w:pPr>
      <w:r w:rsidRPr="00E95267">
        <w:rPr>
          <w:rFonts w:ascii="Palatino Linotype" w:hAnsi="Palatino Linotype"/>
          <w:i/>
          <w:color w:val="000000" w:themeColor="text1"/>
        </w:rPr>
        <w:t xml:space="preserve"> “</w:t>
      </w:r>
      <w:r w:rsidR="0076612A" w:rsidRPr="00E95267">
        <w:rPr>
          <w:rFonts w:ascii="Palatino Linotype" w:hAnsi="Palatino Linotype"/>
          <w:i/>
          <w:color w:val="000000" w:themeColor="text1"/>
        </w:rPr>
        <w:t>Versión pública de los documentos enlistados que fueron entregados para el trámite del DUF: 033 15 03964 COFAEM 2020 Memoria descriptiva Evaluación técnica de impacto, materia urbana y/o su equivalente Evaluación técnica de impacto en materia de protección civil y/o su equivalente Evaluación técnica de impacto de movilidad y/o su equivalente Evaluación técnica de impacto ambiental y/o su equivalente Manifestaciones de impacto ambiental y/o Estudios de riesgo y su equivalente Cédula de zonificación</w:t>
      </w:r>
      <w:r w:rsidRPr="00E95267">
        <w:rPr>
          <w:rFonts w:ascii="Palatino Linotype" w:hAnsi="Palatino Linotype"/>
          <w:i/>
          <w:iCs/>
          <w:color w:val="000000" w:themeColor="text1"/>
        </w:rPr>
        <w:t>.</w:t>
      </w:r>
      <w:r w:rsidRPr="00E95267">
        <w:rPr>
          <w:rFonts w:ascii="Palatino Linotype" w:hAnsi="Palatino Linotype"/>
          <w:i/>
          <w:color w:val="000000" w:themeColor="text1"/>
        </w:rPr>
        <w:t xml:space="preserve">” </w:t>
      </w:r>
      <w:r w:rsidRPr="00E95267">
        <w:rPr>
          <w:rFonts w:ascii="Palatino Linotype" w:hAnsi="Palatino Linotype"/>
          <w:color w:val="000000" w:themeColor="text1"/>
        </w:rPr>
        <w:t>(Sic).</w:t>
      </w:r>
    </w:p>
    <w:p w:rsidR="00EF5796" w:rsidRPr="00E95267" w:rsidRDefault="00EF5796" w:rsidP="00B02242">
      <w:pPr>
        <w:spacing w:line="360" w:lineRule="auto"/>
        <w:jc w:val="both"/>
        <w:rPr>
          <w:rFonts w:ascii="Palatino Linotype" w:hAnsi="Palatino Linotype"/>
          <w:color w:val="000000" w:themeColor="text1"/>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E95267">
        <w:rPr>
          <w:rFonts w:ascii="Palatino Linotype" w:hAnsi="Palatino Linotype" w:cs="Arial"/>
          <w:color w:val="000000" w:themeColor="text1"/>
        </w:rPr>
        <w:lastRenderedPageBreak/>
        <w:t xml:space="preserve">Se hace constar que </w:t>
      </w:r>
      <w:r w:rsidRPr="00E95267">
        <w:rPr>
          <w:rFonts w:ascii="Palatino Linotype" w:eastAsia="Times New Roman" w:hAnsi="Palatino Linotype" w:cs="Arial"/>
          <w:color w:val="000000" w:themeColor="text1"/>
          <w:lang w:val="es-ES"/>
        </w:rPr>
        <w:t xml:space="preserve">el entonces </w:t>
      </w:r>
      <w:r w:rsidRPr="00E95267">
        <w:rPr>
          <w:rFonts w:ascii="Palatino Linotype" w:eastAsia="Times New Roman" w:hAnsi="Palatino Linotype" w:cs="Arial"/>
          <w:b/>
          <w:color w:val="000000" w:themeColor="text1"/>
          <w:lang w:val="es-ES"/>
        </w:rPr>
        <w:t>SOLICITANTE</w:t>
      </w:r>
      <w:r w:rsidRPr="00E95267">
        <w:rPr>
          <w:rFonts w:ascii="Palatino Linotype" w:eastAsia="Times New Roman" w:hAnsi="Palatino Linotype" w:cs="Arial"/>
          <w:color w:val="000000" w:themeColor="text1"/>
          <w:lang w:val="es-ES"/>
        </w:rPr>
        <w:t xml:space="preserve"> señaló como modalidad de entrega de la información</w:t>
      </w:r>
      <w:r w:rsidRPr="00E95267">
        <w:rPr>
          <w:rFonts w:ascii="Palatino Linotype" w:eastAsia="Times New Roman" w:hAnsi="Palatino Linotype" w:cs="Arial"/>
          <w:bCs/>
          <w:color w:val="000000" w:themeColor="text1"/>
          <w:lang w:val="es-ES"/>
        </w:rPr>
        <w:t>:</w:t>
      </w:r>
      <w:r w:rsidRPr="00E95267">
        <w:rPr>
          <w:rFonts w:ascii="Palatino Linotype" w:eastAsia="Times New Roman" w:hAnsi="Palatino Linotype" w:cs="Arial"/>
          <w:b/>
          <w:color w:val="000000" w:themeColor="text1"/>
          <w:lang w:val="es-ES"/>
        </w:rPr>
        <w:t xml:space="preserve"> </w:t>
      </w:r>
      <w:r w:rsidRPr="00E95267">
        <w:rPr>
          <w:rFonts w:ascii="Palatino Linotype" w:eastAsia="Times New Roman" w:hAnsi="Palatino Linotype" w:cs="Arial"/>
          <w:b/>
          <w:i/>
          <w:iCs/>
          <w:color w:val="000000" w:themeColor="text1"/>
          <w:lang w:val="es-ES"/>
        </w:rPr>
        <w:t>A través del SAIMEX</w:t>
      </w:r>
      <w:r w:rsidRPr="00E95267">
        <w:rPr>
          <w:rFonts w:ascii="Palatino Linotype" w:eastAsia="Calibri" w:hAnsi="Palatino Linotype" w:cs="Arial"/>
          <w:color w:val="000000" w:themeColor="text1"/>
          <w:lang w:val="es-ES"/>
        </w:rPr>
        <w:t>.</w:t>
      </w:r>
    </w:p>
    <w:p w:rsidR="00EF5796" w:rsidRPr="00E95267" w:rsidRDefault="00EF5796" w:rsidP="00B02242">
      <w:pPr>
        <w:pStyle w:val="Prrafodelista"/>
        <w:spacing w:line="360" w:lineRule="auto"/>
        <w:ind w:left="0"/>
        <w:jc w:val="both"/>
        <w:rPr>
          <w:rFonts w:ascii="Palatino Linotype" w:eastAsia="MS Mincho" w:hAnsi="Palatino Linotype" w:cs="Times New Roman"/>
          <w:color w:val="000000" w:themeColor="text1"/>
        </w:rPr>
      </w:pPr>
    </w:p>
    <w:p w:rsidR="00EF1C25" w:rsidRPr="00E95267" w:rsidRDefault="00EF1C25" w:rsidP="00B02242">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E95267">
        <w:rPr>
          <w:rFonts w:ascii="Palatino Linotype" w:hAnsi="Palatino Linotype" w:cs="Arial"/>
          <w:color w:val="000000" w:themeColor="text1"/>
        </w:rPr>
        <w:t xml:space="preserve">El </w:t>
      </w:r>
      <w:r w:rsidRPr="00E95267">
        <w:rPr>
          <w:rFonts w:ascii="Palatino Linotype" w:hAnsi="Palatino Linotype" w:cs="Arial"/>
          <w:b/>
          <w:color w:val="000000" w:themeColor="text1"/>
        </w:rPr>
        <w:t xml:space="preserve">dieciocho de diciembre de dos mil veinticuatro, </w:t>
      </w:r>
      <w:r w:rsidRPr="00E95267">
        <w:rPr>
          <w:rFonts w:ascii="Palatino Linotype" w:hAnsi="Palatino Linotype" w:cs="Arial"/>
          <w:color w:val="000000" w:themeColor="text1"/>
        </w:rPr>
        <w:t xml:space="preserve">el </w:t>
      </w:r>
      <w:r w:rsidRPr="00E95267">
        <w:rPr>
          <w:rFonts w:ascii="Palatino Linotype" w:hAnsi="Palatino Linotype" w:cs="Arial"/>
          <w:b/>
          <w:color w:val="000000" w:themeColor="text1"/>
        </w:rPr>
        <w:t xml:space="preserve">SUJETO OBLIGADO </w:t>
      </w:r>
      <w:r w:rsidRPr="00E95267">
        <w:rPr>
          <w:rFonts w:ascii="Palatino Linotype" w:hAnsi="Palatino Linotype" w:cs="Arial"/>
          <w:color w:val="000000" w:themeColor="text1"/>
        </w:rPr>
        <w:t xml:space="preserve">giro el requerimiento para que fuera atendida la solicitud de información </w:t>
      </w:r>
      <w:r w:rsidRPr="00E95267">
        <w:rPr>
          <w:rFonts w:ascii="Palatino Linotype" w:hAnsi="Palatino Linotype" w:cs="Arial"/>
          <w:b/>
          <w:bCs/>
          <w:color w:val="000000" w:themeColor="text1"/>
        </w:rPr>
        <w:t xml:space="preserve">00506/SEDUI/IP/2024. </w:t>
      </w:r>
    </w:p>
    <w:p w:rsidR="00EF1C25" w:rsidRPr="00E95267" w:rsidRDefault="00EF1C25" w:rsidP="00B02242">
      <w:pPr>
        <w:pStyle w:val="Prrafodelista"/>
        <w:ind w:left="0"/>
        <w:rPr>
          <w:rFonts w:ascii="Palatino Linotype" w:eastAsia="MS Mincho" w:hAnsi="Palatino Linotype" w:cs="Times New Roman"/>
          <w:color w:val="000000" w:themeColor="text1"/>
        </w:rPr>
      </w:pPr>
    </w:p>
    <w:p w:rsidR="00EF5796" w:rsidRPr="00E95267" w:rsidRDefault="00EF1C25" w:rsidP="00B02242">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E95267">
        <w:rPr>
          <w:rFonts w:ascii="Palatino Linotype" w:eastAsia="MS Mincho" w:hAnsi="Palatino Linotype" w:cs="Times New Roman"/>
          <w:color w:val="000000" w:themeColor="text1"/>
        </w:rPr>
        <w:t xml:space="preserve">Seguidamente el </w:t>
      </w:r>
      <w:r w:rsidRPr="00E95267">
        <w:rPr>
          <w:rFonts w:ascii="Palatino Linotype" w:eastAsia="MS Mincho" w:hAnsi="Palatino Linotype" w:cs="Times New Roman"/>
          <w:b/>
          <w:color w:val="000000" w:themeColor="text1"/>
        </w:rPr>
        <w:t>veintidós de enero de dos mil veinticinco</w:t>
      </w:r>
      <w:r w:rsidR="00EF5796" w:rsidRPr="00E95267">
        <w:rPr>
          <w:rFonts w:ascii="Palatino Linotype" w:eastAsia="MS Mincho" w:hAnsi="Palatino Linotype" w:cs="Times New Roman"/>
          <w:color w:val="000000" w:themeColor="text1"/>
        </w:rPr>
        <w:t xml:space="preserve">, El </w:t>
      </w:r>
      <w:r w:rsidR="00EF5796" w:rsidRPr="00E95267">
        <w:rPr>
          <w:rFonts w:ascii="Palatino Linotype" w:eastAsia="MS Mincho" w:hAnsi="Palatino Linotype" w:cs="Times New Roman"/>
          <w:b/>
          <w:bCs/>
          <w:color w:val="000000" w:themeColor="text1"/>
        </w:rPr>
        <w:t>SUJETO OBLIGADO</w:t>
      </w:r>
      <w:r w:rsidR="00EF5796" w:rsidRPr="00E95267">
        <w:rPr>
          <w:rFonts w:ascii="Palatino Linotype" w:eastAsia="MS Mincho" w:hAnsi="Palatino Linotype" w:cs="Times New Roman"/>
          <w:color w:val="000000" w:themeColor="text1"/>
        </w:rPr>
        <w:t xml:space="preserve"> dio respuesta a la solicitud de información mediante </w:t>
      </w:r>
      <w:r w:rsidRPr="00E95267">
        <w:rPr>
          <w:rFonts w:ascii="Palatino Linotype" w:eastAsia="MS Mincho" w:hAnsi="Palatino Linotype" w:cs="Times New Roman"/>
          <w:color w:val="000000" w:themeColor="text1"/>
        </w:rPr>
        <w:t>dos archivos electrónicos en formato pdf</w:t>
      </w:r>
      <w:r w:rsidR="00EF5796" w:rsidRPr="00E95267">
        <w:rPr>
          <w:rFonts w:ascii="Palatino Linotype" w:eastAsia="MS Mincho" w:hAnsi="Palatino Linotype" w:cs="Times New Roman"/>
          <w:color w:val="000000" w:themeColor="text1"/>
        </w:rPr>
        <w:t xml:space="preserve">, cuyo contenido toral es el siguiente: </w:t>
      </w:r>
    </w:p>
    <w:p w:rsidR="00EF1C25" w:rsidRPr="00E95267" w:rsidRDefault="00EF1C25" w:rsidP="00B02242">
      <w:pPr>
        <w:tabs>
          <w:tab w:val="left" w:pos="426"/>
        </w:tabs>
        <w:jc w:val="both"/>
        <w:rPr>
          <w:rFonts w:ascii="Palatino Linotype" w:hAnsi="Palatino Linotype" w:cs="Arial"/>
          <w:i/>
          <w:color w:val="000000" w:themeColor="text1"/>
        </w:rPr>
      </w:pPr>
      <w:r w:rsidRPr="00E95267">
        <w:rPr>
          <w:rFonts w:ascii="Palatino Linotype" w:hAnsi="Palatino Linotype" w:cs="Arial"/>
          <w:b/>
          <w:i/>
          <w:color w:val="000000" w:themeColor="text1"/>
        </w:rPr>
        <w:t xml:space="preserve">R. COIME 506-24.pdf: </w:t>
      </w:r>
      <w:r w:rsidRPr="00E95267">
        <w:rPr>
          <w:rFonts w:ascii="Palatino Linotype" w:hAnsi="Palatino Linotype" w:cs="Arial"/>
          <w:i/>
          <w:color w:val="000000" w:themeColor="text1"/>
        </w:rPr>
        <w:t>oficio de la Directora de la Comisión de Impacto Estatal, mediante la cual informa fue resuelto como procedente por Acuerdo de Fortalecimiento para Operación de Unidades Económicas que cuenten con Dictamen Único de Factibilidad para Acogerse Carácter de Permanente del mismo, publicado en el periódico Oficial "Gaceta del Gobierno" de fecha 01 de septiembre de 2020, no obstante, resulta necesario precisar, que del análisis realizado al expediente se observó que el referido Dictamen Único de Factibilidad no fue sustentado en las Evaluaciones Técnicas de Impacto a las que hace referencia la presente solicitud de información pública, ya que el proyecto para el cual fue emitido, solo se evalúo en materia de Impacto Sanitario.</w:t>
      </w:r>
    </w:p>
    <w:p w:rsidR="00EF5796" w:rsidRPr="00E95267" w:rsidRDefault="00EF1C25" w:rsidP="00B02242">
      <w:pPr>
        <w:tabs>
          <w:tab w:val="left" w:pos="426"/>
        </w:tabs>
        <w:jc w:val="both"/>
        <w:rPr>
          <w:rFonts w:ascii="Palatino Linotype" w:hAnsi="Palatino Linotype" w:cs="Arial"/>
          <w:b/>
          <w:i/>
          <w:color w:val="000000" w:themeColor="text1"/>
        </w:rPr>
      </w:pPr>
      <w:r w:rsidRPr="00E95267">
        <w:rPr>
          <w:rFonts w:ascii="Palatino Linotype" w:hAnsi="Palatino Linotype" w:cs="Arial"/>
          <w:b/>
          <w:i/>
          <w:color w:val="000000" w:themeColor="text1"/>
        </w:rPr>
        <w:t xml:space="preserve">R. UT 506-24.pdf: </w:t>
      </w:r>
      <w:r w:rsidRPr="00E95267">
        <w:rPr>
          <w:rFonts w:ascii="Palatino Linotype" w:hAnsi="Palatino Linotype" w:cs="Arial"/>
          <w:i/>
          <w:color w:val="000000" w:themeColor="text1"/>
        </w:rPr>
        <w:t xml:space="preserve">oficio del Titular de la Unidad de Transparencia, mediante el cual informa que se anexa la respuesta del servidor público habilitado. </w:t>
      </w:r>
      <w:r w:rsidR="00EF5796" w:rsidRPr="00E95267">
        <w:rPr>
          <w:rFonts w:ascii="Palatino Linotype" w:hAnsi="Palatino Linotype" w:cs="Arial"/>
          <w:b/>
          <w:i/>
          <w:color w:val="000000" w:themeColor="text1"/>
        </w:rPr>
        <w:br/>
      </w:r>
    </w:p>
    <w:p w:rsidR="00EF5796" w:rsidRPr="00E95267" w:rsidRDefault="00EF5796" w:rsidP="00B02242">
      <w:pPr>
        <w:pStyle w:val="Prrafodelista"/>
        <w:numPr>
          <w:ilvl w:val="0"/>
          <w:numId w:val="1"/>
        </w:numPr>
        <w:tabs>
          <w:tab w:val="left" w:pos="284"/>
          <w:tab w:val="left" w:pos="426"/>
        </w:tabs>
        <w:spacing w:line="360" w:lineRule="auto"/>
        <w:ind w:left="0"/>
        <w:jc w:val="both"/>
        <w:rPr>
          <w:rFonts w:ascii="Palatino Linotype" w:hAnsi="Palatino Linotype"/>
          <w:color w:val="000000" w:themeColor="text1"/>
        </w:rPr>
      </w:pPr>
      <w:r w:rsidRPr="00E95267">
        <w:rPr>
          <w:rFonts w:ascii="Palatino Linotype" w:eastAsia="Times New Roman" w:hAnsi="Palatino Linotype" w:cs="Arial"/>
          <w:color w:val="000000" w:themeColor="text1"/>
          <w:lang w:val="es-ES"/>
        </w:rPr>
        <w:t xml:space="preserve"> Derivado de lo anterior, el </w:t>
      </w:r>
      <w:r w:rsidR="00EF1C25" w:rsidRPr="00E95267">
        <w:rPr>
          <w:rFonts w:ascii="Palatino Linotype" w:eastAsia="Times New Roman" w:hAnsi="Palatino Linotype" w:cs="Arial"/>
          <w:b/>
          <w:color w:val="000000" w:themeColor="text1"/>
          <w:lang w:val="es-ES"/>
        </w:rPr>
        <w:t>once de febrero de dos mil veinticinco</w:t>
      </w:r>
      <w:r w:rsidRPr="00E95267">
        <w:rPr>
          <w:rFonts w:ascii="Palatino Linotype" w:eastAsia="Times New Roman" w:hAnsi="Palatino Linotype" w:cs="Arial"/>
          <w:color w:val="000000" w:themeColor="text1"/>
          <w:lang w:val="es-ES"/>
        </w:rPr>
        <w:t xml:space="preserve">, el particular interpuso el recurso de revisión </w:t>
      </w:r>
      <w:r w:rsidR="0076612A" w:rsidRPr="00E95267">
        <w:rPr>
          <w:rFonts w:ascii="Palatino Linotype" w:hAnsi="Palatino Linotype"/>
          <w:b/>
          <w:bCs/>
          <w:color w:val="000000" w:themeColor="text1"/>
        </w:rPr>
        <w:t>01033/INFOEM/IP/RR/2025</w:t>
      </w:r>
      <w:r w:rsidRPr="00E95267">
        <w:rPr>
          <w:rFonts w:ascii="Palatino Linotype" w:eastAsia="Calibri" w:hAnsi="Palatino Linotype" w:cs="Arial"/>
          <w:color w:val="000000" w:themeColor="text1"/>
          <w:lang w:val="es-ES"/>
        </w:rPr>
        <w:t>;</w:t>
      </w:r>
      <w:r w:rsidRPr="00E95267">
        <w:rPr>
          <w:rFonts w:ascii="Palatino Linotype" w:eastAsia="Times New Roman" w:hAnsi="Palatino Linotype" w:cs="Arial"/>
          <w:color w:val="000000" w:themeColor="text1"/>
          <w:lang w:val="es-ES"/>
        </w:rPr>
        <w:t xml:space="preserve"> impugnación en la que refirió lo siguiente:</w:t>
      </w:r>
    </w:p>
    <w:p w:rsidR="00EF5796" w:rsidRPr="00E95267" w:rsidRDefault="00EF5796" w:rsidP="00B02242">
      <w:pPr>
        <w:pStyle w:val="Prrafodelista"/>
        <w:tabs>
          <w:tab w:val="left" w:pos="426"/>
        </w:tabs>
        <w:spacing w:line="360" w:lineRule="auto"/>
        <w:ind w:left="0"/>
        <w:jc w:val="both"/>
        <w:rPr>
          <w:rFonts w:ascii="Palatino Linotype" w:eastAsia="Times New Roman" w:hAnsi="Palatino Linotype" w:cs="Arial"/>
          <w:color w:val="000000" w:themeColor="text1"/>
        </w:rPr>
      </w:pPr>
    </w:p>
    <w:p w:rsidR="00EF5796" w:rsidRPr="00E95267" w:rsidRDefault="00EF5796" w:rsidP="00B02242">
      <w:pPr>
        <w:pStyle w:val="Prrafodelista"/>
        <w:numPr>
          <w:ilvl w:val="0"/>
          <w:numId w:val="2"/>
        </w:numPr>
        <w:tabs>
          <w:tab w:val="left" w:pos="851"/>
        </w:tabs>
        <w:spacing w:line="276" w:lineRule="auto"/>
        <w:ind w:left="0"/>
        <w:jc w:val="both"/>
        <w:rPr>
          <w:rFonts w:ascii="Palatino Linotype" w:eastAsia="Times New Roman" w:hAnsi="Palatino Linotype" w:cs="Arial"/>
          <w:color w:val="000000" w:themeColor="text1"/>
          <w:lang w:val="es-ES"/>
        </w:rPr>
      </w:pPr>
      <w:r w:rsidRPr="00E95267">
        <w:rPr>
          <w:rFonts w:ascii="Palatino Linotype" w:eastAsia="Times New Roman" w:hAnsi="Palatino Linotype" w:cs="Arial"/>
          <w:b/>
          <w:color w:val="000000" w:themeColor="text1"/>
          <w:lang w:val="es-ES"/>
        </w:rPr>
        <w:t>Acto impugnado:</w:t>
      </w:r>
      <w:r w:rsidRPr="00E95267">
        <w:rPr>
          <w:rFonts w:ascii="Palatino Linotype" w:eastAsia="Times New Roman" w:hAnsi="Palatino Linotype" w:cs="Arial"/>
          <w:color w:val="000000" w:themeColor="text1"/>
          <w:lang w:val="es-ES"/>
        </w:rPr>
        <w:t xml:space="preserve"> “</w:t>
      </w:r>
      <w:r w:rsidR="00422C6A" w:rsidRPr="00E95267">
        <w:rPr>
          <w:rFonts w:ascii="Palatino Linotype" w:eastAsia="Times New Roman" w:hAnsi="Palatino Linotype" w:cs="Arial"/>
          <w:i/>
          <w:color w:val="000000" w:themeColor="text1"/>
        </w:rPr>
        <w:t xml:space="preserve">Según la respuesta de la autoridad en el oficio 230B01010-000047/2025 en la cual indica y cito" Que en el análisis del expediente se observó que el referido DICTAMEN ÚNICO DE FACTIBILIDAD, no fue sustentado, con las evaluaciones técnicas sino solamente se evaluó las de </w:t>
      </w:r>
      <w:r w:rsidR="00422C6A" w:rsidRPr="00E95267">
        <w:rPr>
          <w:rFonts w:ascii="Palatino Linotype" w:eastAsia="Times New Roman" w:hAnsi="Palatino Linotype" w:cs="Arial"/>
          <w:b/>
          <w:i/>
          <w:color w:val="000000" w:themeColor="text1"/>
        </w:rPr>
        <w:t>IMPACTO SANITARIO", que no anexa</w:t>
      </w:r>
      <w:r w:rsidR="00422C6A" w:rsidRPr="00E95267">
        <w:rPr>
          <w:rFonts w:ascii="Palatino Linotype" w:eastAsia="Times New Roman" w:hAnsi="Palatino Linotype" w:cs="Arial"/>
          <w:i/>
          <w:color w:val="000000" w:themeColor="text1"/>
        </w:rPr>
        <w:t>.</w:t>
      </w:r>
      <w:r w:rsidRPr="00E95267">
        <w:rPr>
          <w:rFonts w:ascii="Palatino Linotype" w:eastAsia="Times New Roman" w:hAnsi="Palatino Linotype" w:cs="Arial"/>
          <w:i/>
          <w:color w:val="000000" w:themeColor="text1"/>
        </w:rPr>
        <w:t>.</w:t>
      </w:r>
      <w:r w:rsidRPr="00E95267">
        <w:rPr>
          <w:rFonts w:ascii="Palatino Linotype" w:eastAsia="Times New Roman" w:hAnsi="Palatino Linotype" w:cs="Arial"/>
          <w:i/>
          <w:color w:val="000000" w:themeColor="text1"/>
          <w:lang w:val="es-ES"/>
        </w:rPr>
        <w:t>”</w:t>
      </w:r>
      <w:r w:rsidRPr="00E95267">
        <w:rPr>
          <w:rFonts w:ascii="Palatino Linotype" w:eastAsia="Times New Roman" w:hAnsi="Palatino Linotype" w:cs="Arial"/>
          <w:color w:val="000000" w:themeColor="text1"/>
          <w:lang w:val="es-ES"/>
        </w:rPr>
        <w:t xml:space="preserve"> (Sic).</w:t>
      </w:r>
    </w:p>
    <w:p w:rsidR="00EF5796" w:rsidRPr="00E95267" w:rsidRDefault="00EF5796" w:rsidP="00B02242">
      <w:pPr>
        <w:pStyle w:val="Prrafodelista"/>
        <w:tabs>
          <w:tab w:val="left" w:pos="851"/>
        </w:tabs>
        <w:spacing w:line="276" w:lineRule="auto"/>
        <w:ind w:left="0"/>
        <w:jc w:val="both"/>
        <w:rPr>
          <w:rFonts w:ascii="Palatino Linotype" w:eastAsia="Times New Roman" w:hAnsi="Palatino Linotype" w:cs="Arial"/>
          <w:color w:val="000000" w:themeColor="text1"/>
          <w:lang w:val="es-ES"/>
        </w:rPr>
      </w:pPr>
    </w:p>
    <w:p w:rsidR="00EF5796" w:rsidRPr="00E95267" w:rsidRDefault="00EF5796" w:rsidP="00B02242">
      <w:pPr>
        <w:pStyle w:val="Prrafodelista"/>
        <w:numPr>
          <w:ilvl w:val="0"/>
          <w:numId w:val="2"/>
        </w:numPr>
        <w:tabs>
          <w:tab w:val="left" w:pos="851"/>
        </w:tabs>
        <w:spacing w:line="276" w:lineRule="auto"/>
        <w:ind w:left="0"/>
        <w:jc w:val="both"/>
        <w:rPr>
          <w:rFonts w:ascii="Palatino Linotype" w:eastAsia="Times New Roman" w:hAnsi="Palatino Linotype" w:cs="Arial"/>
          <w:color w:val="000000" w:themeColor="text1"/>
          <w:lang w:val="es-ES"/>
        </w:rPr>
      </w:pPr>
      <w:r w:rsidRPr="00E95267">
        <w:rPr>
          <w:rFonts w:ascii="Palatino Linotype" w:eastAsia="Times New Roman" w:hAnsi="Palatino Linotype" w:cs="Arial"/>
          <w:b/>
          <w:color w:val="000000" w:themeColor="text1"/>
          <w:lang w:val="es-ES"/>
        </w:rPr>
        <w:lastRenderedPageBreak/>
        <w:t>Razones o motivos de inconformidad:</w:t>
      </w:r>
      <w:r w:rsidRPr="00E95267">
        <w:rPr>
          <w:rFonts w:ascii="Palatino Linotype" w:eastAsia="Times New Roman" w:hAnsi="Palatino Linotype" w:cs="Arial"/>
          <w:color w:val="000000" w:themeColor="text1"/>
          <w:lang w:val="es-ES"/>
        </w:rPr>
        <w:t xml:space="preserve"> </w:t>
      </w:r>
      <w:r w:rsidRPr="00E95267">
        <w:rPr>
          <w:rFonts w:ascii="Palatino Linotype" w:eastAsia="Times New Roman" w:hAnsi="Palatino Linotype" w:cs="Arial"/>
          <w:i/>
          <w:iCs/>
          <w:color w:val="000000" w:themeColor="text1"/>
          <w:lang w:val="es-ES"/>
        </w:rPr>
        <w:t>“</w:t>
      </w:r>
      <w:r w:rsidR="00422C6A" w:rsidRPr="00E95267">
        <w:rPr>
          <w:rFonts w:ascii="Palatino Linotype" w:hAnsi="Palatino Linotype"/>
          <w:i/>
          <w:color w:val="000000" w:themeColor="text1"/>
        </w:rPr>
        <w:t>Se solicita al instituto conminar a la autoridad a emitir copia pública de la documentación del expediente de citado DICTAMEN ÚNICO DE FACTIBILIDAD</w:t>
      </w:r>
      <w:r w:rsidRPr="00E95267">
        <w:rPr>
          <w:rFonts w:ascii="Palatino Linotype" w:eastAsia="Times New Roman" w:hAnsi="Palatino Linotype" w:cs="Arial"/>
          <w:i/>
          <w:iCs/>
          <w:color w:val="000000" w:themeColor="text1"/>
          <w:lang w:val="es-ES"/>
        </w:rPr>
        <w:t>”</w:t>
      </w:r>
      <w:r w:rsidRPr="00E95267">
        <w:rPr>
          <w:rFonts w:ascii="Palatino Linotype" w:eastAsia="Times New Roman" w:hAnsi="Palatino Linotype" w:cs="Arial"/>
          <w:color w:val="000000" w:themeColor="text1"/>
          <w:lang w:val="es-ES"/>
        </w:rPr>
        <w:t xml:space="preserve"> (Sic).</w:t>
      </w:r>
      <w:bookmarkStart w:id="3" w:name="_GoBack"/>
      <w:bookmarkEnd w:id="3"/>
    </w:p>
    <w:p w:rsidR="00EF5796" w:rsidRPr="00E95267" w:rsidRDefault="00EF5796" w:rsidP="00B02242">
      <w:pPr>
        <w:tabs>
          <w:tab w:val="left" w:pos="426"/>
        </w:tabs>
        <w:spacing w:line="360" w:lineRule="auto"/>
        <w:jc w:val="both"/>
        <w:rPr>
          <w:rFonts w:ascii="Palatino Linotype" w:hAnsi="Palatino Linotype"/>
          <w:color w:val="000000" w:themeColor="text1"/>
        </w:rPr>
      </w:pPr>
    </w:p>
    <w:p w:rsidR="00EF5796" w:rsidRPr="00E95267" w:rsidRDefault="00EF5796" w:rsidP="00B02242">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E95267">
        <w:rPr>
          <w:rFonts w:ascii="Palatino Linotype" w:eastAsia="Calibri" w:hAnsi="Palatino Linotype" w:cs="Arial"/>
          <w:bCs/>
          <w:color w:val="000000" w:themeColor="text1"/>
        </w:rPr>
        <w:t xml:space="preserve">Asimismo, con fundamento en lo dispuesto por el </w:t>
      </w:r>
      <w:r w:rsidRPr="00E95267">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Pr="00E95267">
        <w:rPr>
          <w:rFonts w:ascii="Palatino Linotype" w:eastAsia="Calibri" w:hAnsi="Palatino Linotype" w:cs="Arial"/>
          <w:b/>
          <w:bCs/>
          <w:color w:val="000000" w:themeColor="text1"/>
          <w:lang w:val="es-ES"/>
        </w:rPr>
        <w:t>Comisionada María del Rosario Mejía Ayala</w:t>
      </w:r>
      <w:r w:rsidRPr="00E95267">
        <w:rPr>
          <w:rFonts w:ascii="Palatino Linotype" w:eastAsia="Calibri" w:hAnsi="Palatino Linotype" w:cs="Arial"/>
          <w:bCs/>
          <w:color w:val="000000" w:themeColor="text1"/>
          <w:lang w:val="es-ES"/>
        </w:rPr>
        <w:t xml:space="preserve">, con el objeto de </w:t>
      </w:r>
      <w:r w:rsidRPr="00E95267">
        <w:rPr>
          <w:rFonts w:ascii="Palatino Linotype" w:eastAsia="Calibri" w:hAnsi="Palatino Linotype" w:cs="Arial"/>
          <w:bCs/>
          <w:color w:val="000000" w:themeColor="text1"/>
        </w:rPr>
        <w:t>su análisis.</w:t>
      </w:r>
    </w:p>
    <w:p w:rsidR="00EF5796" w:rsidRPr="00E95267" w:rsidRDefault="00EF5796" w:rsidP="00B02242">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4" w:name="_Hlk74251533"/>
      <w:r w:rsidRPr="00E95267">
        <w:rPr>
          <w:rFonts w:ascii="Palatino Linotype" w:eastAsia="Times New Roman" w:hAnsi="Palatino Linotype" w:cs="Arial"/>
          <w:color w:val="000000" w:themeColor="text1"/>
          <w:lang w:val="es-ES"/>
        </w:rPr>
        <w:t>La Comisionada Ponente</w:t>
      </w:r>
      <w:r w:rsidRPr="00E95267">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422C6A" w:rsidRPr="00E95267">
        <w:rPr>
          <w:rFonts w:ascii="Palatino Linotype" w:eastAsia="Calibri" w:hAnsi="Palatino Linotype" w:cs="Arial"/>
          <w:b/>
          <w:color w:val="000000" w:themeColor="text1"/>
          <w:lang w:val="es-ES"/>
        </w:rPr>
        <w:t>doce de febrero de dos mil veinticinco</w:t>
      </w:r>
      <w:r w:rsidRPr="00E95267">
        <w:rPr>
          <w:rFonts w:ascii="Palatino Linotype" w:eastAsia="Calibri" w:hAnsi="Palatino Linotype" w:cs="Arial"/>
          <w:color w:val="000000" w:themeColor="text1"/>
          <w:lang w:val="es-ES"/>
        </w:rPr>
        <w:t xml:space="preserve">, puso a disposición de las partes el expediente electrónico </w:t>
      </w:r>
      <w:r w:rsidRPr="00E95267">
        <w:rPr>
          <w:rFonts w:ascii="Palatino Linotype" w:eastAsia="Calibri" w:hAnsi="Palatino Linotype" w:cs="Arial"/>
          <w:color w:val="000000" w:themeColor="text1"/>
        </w:rPr>
        <w:t xml:space="preserve">vía </w:t>
      </w:r>
      <w:r w:rsidRPr="00E95267">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E95267">
        <w:rPr>
          <w:rFonts w:ascii="Palatino Linotype" w:eastAsia="Calibri" w:hAnsi="Palatino Linotype" w:cs="Arial"/>
          <w:b/>
          <w:color w:val="000000" w:themeColor="text1"/>
          <w:lang w:val="es-ES"/>
        </w:rPr>
        <w:t>SUJETO OBLIGADO</w:t>
      </w:r>
      <w:r w:rsidRPr="00E95267">
        <w:rPr>
          <w:rFonts w:ascii="Palatino Linotype" w:eastAsia="Calibri" w:hAnsi="Palatino Linotype" w:cs="Arial"/>
          <w:color w:val="000000" w:themeColor="text1"/>
          <w:lang w:val="es-ES"/>
        </w:rPr>
        <w:t xml:space="preserve"> presentara </w:t>
      </w:r>
      <w:bookmarkEnd w:id="4"/>
      <w:r w:rsidRPr="00E95267">
        <w:rPr>
          <w:rFonts w:ascii="Palatino Linotype" w:eastAsia="Calibri" w:hAnsi="Palatino Linotype" w:cs="Arial"/>
          <w:color w:val="000000" w:themeColor="text1"/>
          <w:lang w:val="es-ES"/>
        </w:rPr>
        <w:t>su informe justificado procedente.</w:t>
      </w:r>
    </w:p>
    <w:p w:rsidR="00EF5796" w:rsidRPr="00E95267" w:rsidRDefault="00EF5796" w:rsidP="00B02242">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E95267">
        <w:rPr>
          <w:rFonts w:ascii="Palatino Linotype" w:eastAsia="Times New Roman" w:hAnsi="Palatino Linotype" w:cs="Arial"/>
          <w:color w:val="000000" w:themeColor="text1"/>
          <w:lang w:val="es-ES"/>
        </w:rPr>
        <w:t xml:space="preserve">De las constancias que obran en el expediente digital del recurso de revisión, se aprecia que el SUJETO OBLIGADO </w:t>
      </w:r>
      <w:r w:rsidR="00422C6A" w:rsidRPr="00E95267">
        <w:rPr>
          <w:rFonts w:ascii="Palatino Linotype" w:eastAsia="Times New Roman" w:hAnsi="Palatino Linotype" w:cs="Arial"/>
          <w:color w:val="000000" w:themeColor="text1"/>
          <w:lang w:val="es-ES"/>
        </w:rPr>
        <w:t xml:space="preserve">el </w:t>
      </w:r>
      <w:r w:rsidR="00422C6A" w:rsidRPr="00E95267">
        <w:rPr>
          <w:rFonts w:ascii="Palatino Linotype" w:eastAsia="Times New Roman" w:hAnsi="Palatino Linotype" w:cs="Arial"/>
          <w:b/>
          <w:color w:val="000000" w:themeColor="text1"/>
          <w:lang w:val="es-ES"/>
        </w:rPr>
        <w:t xml:space="preserve">veintiuno de febrero y diez de marzo de dos mil veinticinco, </w:t>
      </w:r>
      <w:r w:rsidRPr="00E95267">
        <w:rPr>
          <w:rFonts w:ascii="Palatino Linotype" w:eastAsia="Times New Roman" w:hAnsi="Palatino Linotype" w:cs="Arial"/>
          <w:color w:val="000000" w:themeColor="text1"/>
          <w:lang w:val="es-ES"/>
        </w:rPr>
        <w:t xml:space="preserve">rindió su informe justificado </w:t>
      </w:r>
      <w:r w:rsidR="00422C6A" w:rsidRPr="00E95267">
        <w:rPr>
          <w:rFonts w:ascii="Palatino Linotype" w:eastAsia="Times New Roman" w:hAnsi="Palatino Linotype" w:cs="Arial"/>
          <w:color w:val="000000" w:themeColor="text1"/>
          <w:lang w:val="es-ES"/>
        </w:rPr>
        <w:t xml:space="preserve">mediante cinco archivos electrónicos en formato pdf, mismo que se puso a la vista el </w:t>
      </w:r>
      <w:r w:rsidR="00422C6A" w:rsidRPr="00E95267">
        <w:rPr>
          <w:rFonts w:ascii="Palatino Linotype" w:eastAsia="Times New Roman" w:hAnsi="Palatino Linotype" w:cs="Arial"/>
          <w:b/>
          <w:color w:val="000000" w:themeColor="text1"/>
          <w:lang w:val="es-ES"/>
        </w:rPr>
        <w:t>quince de marzo de dos mil veinticinco,</w:t>
      </w:r>
      <w:r w:rsidR="00422C6A" w:rsidRPr="00E95267">
        <w:rPr>
          <w:rFonts w:ascii="Palatino Linotype" w:eastAsia="Times New Roman" w:hAnsi="Palatino Linotype" w:cs="Arial"/>
          <w:color w:val="000000" w:themeColor="text1"/>
          <w:lang w:val="es-ES"/>
        </w:rPr>
        <w:t xml:space="preserve"> cuyo contenido es el siguiente</w:t>
      </w:r>
      <w:r w:rsidRPr="00E95267">
        <w:rPr>
          <w:rFonts w:ascii="Palatino Linotype" w:eastAsia="Times New Roman" w:hAnsi="Palatino Linotype" w:cs="Arial"/>
          <w:color w:val="000000" w:themeColor="text1"/>
          <w:lang w:val="es-ES"/>
        </w:rPr>
        <w:t xml:space="preserve">: </w:t>
      </w:r>
    </w:p>
    <w:p w:rsidR="00EF5796" w:rsidRPr="00E95267" w:rsidRDefault="00EF5796" w:rsidP="00B02242">
      <w:pPr>
        <w:pStyle w:val="Prrafodelista"/>
        <w:ind w:left="0"/>
        <w:rPr>
          <w:rFonts w:ascii="Palatino Linotype" w:eastAsia="Times New Roman" w:hAnsi="Palatino Linotype" w:cs="Arial"/>
          <w:color w:val="000000" w:themeColor="text1"/>
          <w:lang w:val="es-ES"/>
        </w:rPr>
      </w:pPr>
    </w:p>
    <w:p w:rsidR="00EF5796" w:rsidRPr="00E95267" w:rsidRDefault="00422C6A" w:rsidP="00B02242">
      <w:pPr>
        <w:pStyle w:val="Prrafodelista"/>
        <w:ind w:left="0"/>
        <w:jc w:val="both"/>
        <w:rPr>
          <w:rFonts w:ascii="Palatino Linotype" w:eastAsia="Times New Roman" w:hAnsi="Palatino Linotype" w:cs="Arial"/>
          <w:i/>
          <w:color w:val="000000" w:themeColor="text1"/>
        </w:rPr>
      </w:pPr>
      <w:r w:rsidRPr="00E95267">
        <w:rPr>
          <w:rFonts w:ascii="Palatino Linotype" w:eastAsia="Times New Roman" w:hAnsi="Palatino Linotype" w:cs="Arial"/>
          <w:b/>
          <w:i/>
          <w:color w:val="000000" w:themeColor="text1"/>
        </w:rPr>
        <w:t xml:space="preserve">nombramiento transparencia RVS05-09-2024-182647.pdf: </w:t>
      </w:r>
      <w:r w:rsidRPr="00E95267">
        <w:rPr>
          <w:rFonts w:ascii="Palatino Linotype" w:eastAsia="Times New Roman" w:hAnsi="Palatino Linotype" w:cs="Arial"/>
          <w:i/>
          <w:color w:val="000000" w:themeColor="text1"/>
        </w:rPr>
        <w:t xml:space="preserve">nombramiento del Titular de la Unidad de Transparencia. </w:t>
      </w:r>
    </w:p>
    <w:p w:rsidR="00422C6A" w:rsidRPr="00E95267" w:rsidRDefault="00422C6A" w:rsidP="00B02242">
      <w:pPr>
        <w:pStyle w:val="Prrafodelista"/>
        <w:ind w:left="0"/>
        <w:jc w:val="both"/>
        <w:rPr>
          <w:rFonts w:ascii="Palatino Linotype" w:eastAsia="Calibri" w:hAnsi="Palatino Linotype" w:cs="Arial"/>
          <w:i/>
          <w:color w:val="000000" w:themeColor="text1"/>
        </w:rPr>
      </w:pPr>
      <w:r w:rsidRPr="00E95267">
        <w:rPr>
          <w:rFonts w:ascii="Palatino Linotype" w:eastAsia="Calibri" w:hAnsi="Palatino Linotype" w:cs="Arial"/>
          <w:b/>
          <w:i/>
          <w:color w:val="000000" w:themeColor="text1"/>
        </w:rPr>
        <w:lastRenderedPageBreak/>
        <w:t xml:space="preserve">I.J. 506-2024.pdf: </w:t>
      </w:r>
      <w:r w:rsidRPr="00E95267">
        <w:rPr>
          <w:rFonts w:ascii="Palatino Linotype" w:eastAsia="Calibri" w:hAnsi="Palatino Linotype" w:cs="Arial"/>
          <w:i/>
          <w:color w:val="000000" w:themeColor="text1"/>
        </w:rPr>
        <w:t xml:space="preserve">informe del Titular de la Unidad de Transparencia mediante el cual informa que los motivos de inconformidad del </w:t>
      </w:r>
      <w:r w:rsidRPr="00E95267">
        <w:rPr>
          <w:rFonts w:ascii="Palatino Linotype" w:eastAsia="Calibri" w:hAnsi="Palatino Linotype" w:cs="Arial"/>
          <w:b/>
          <w:i/>
          <w:color w:val="000000" w:themeColor="text1"/>
        </w:rPr>
        <w:t xml:space="preserve">RECURRENTE </w:t>
      </w:r>
      <w:r w:rsidRPr="00E95267">
        <w:rPr>
          <w:rFonts w:ascii="Palatino Linotype" w:eastAsia="Calibri" w:hAnsi="Palatino Linotype" w:cs="Arial"/>
          <w:i/>
          <w:color w:val="000000" w:themeColor="text1"/>
        </w:rPr>
        <w:t xml:space="preserve"> no guardan relación con la solicitud inicial. </w:t>
      </w:r>
    </w:p>
    <w:p w:rsidR="00422C6A" w:rsidRPr="00E95267" w:rsidRDefault="00422C6A" w:rsidP="00B02242">
      <w:pPr>
        <w:pStyle w:val="Prrafodelista"/>
        <w:ind w:left="0"/>
        <w:jc w:val="both"/>
        <w:rPr>
          <w:rFonts w:ascii="Palatino Linotype" w:eastAsia="Calibri" w:hAnsi="Palatino Linotype" w:cs="Arial"/>
          <w:i/>
          <w:color w:val="000000" w:themeColor="text1"/>
        </w:rPr>
      </w:pPr>
      <w:r w:rsidRPr="00E95267">
        <w:rPr>
          <w:rFonts w:ascii="Palatino Linotype" w:eastAsia="Calibri" w:hAnsi="Palatino Linotype" w:cs="Arial"/>
          <w:b/>
          <w:i/>
          <w:color w:val="000000" w:themeColor="text1"/>
        </w:rPr>
        <w:t xml:space="preserve">CT-SEDUI-SE-C6-2025..pdf: </w:t>
      </w:r>
      <w:r w:rsidRPr="00E95267">
        <w:rPr>
          <w:rFonts w:ascii="Palatino Linotype" w:eastAsia="Calibri" w:hAnsi="Palatino Linotype" w:cs="Arial"/>
          <w:i/>
          <w:color w:val="000000" w:themeColor="text1"/>
        </w:rPr>
        <w:t xml:space="preserve">Acuerdo del Comité de Transparencia, mediante el cual se informa que se anexa el Dictamen  de Riesgos Sanitario relacionada con el trámite de la solicitud de información, en versión pública clasificando como confidencial el domicilio de la persona que promovió el trámite. </w:t>
      </w:r>
    </w:p>
    <w:p w:rsidR="00422C6A" w:rsidRPr="00E95267" w:rsidRDefault="00422C6A" w:rsidP="00B02242">
      <w:pPr>
        <w:pStyle w:val="Prrafodelista"/>
        <w:ind w:left="0"/>
        <w:jc w:val="both"/>
        <w:rPr>
          <w:rFonts w:ascii="Palatino Linotype" w:eastAsia="Calibri" w:hAnsi="Palatino Linotype" w:cs="Arial"/>
          <w:b/>
          <w:i/>
          <w:color w:val="000000" w:themeColor="text1"/>
        </w:rPr>
      </w:pPr>
      <w:r w:rsidRPr="00E95267">
        <w:rPr>
          <w:rFonts w:ascii="Palatino Linotype" w:eastAsia="Calibri" w:hAnsi="Palatino Linotype" w:cs="Arial"/>
          <w:b/>
          <w:i/>
          <w:color w:val="000000" w:themeColor="text1"/>
        </w:rPr>
        <w:t xml:space="preserve">D.A.506-2024.pdf: </w:t>
      </w:r>
      <w:r w:rsidRPr="00E95267">
        <w:rPr>
          <w:rFonts w:ascii="Palatino Linotype" w:eastAsia="Calibri" w:hAnsi="Palatino Linotype" w:cs="Arial"/>
          <w:i/>
          <w:color w:val="000000" w:themeColor="text1"/>
        </w:rPr>
        <w:t xml:space="preserve">documento que contiene el cuadro de clasificación de la información, así como la Evaluación Técnica para la obtención del Dictamen Único de Factibilidad contra Riesgos Sanitarios. </w:t>
      </w:r>
      <w:r w:rsidR="00932EBF" w:rsidRPr="00E95267">
        <w:rPr>
          <w:rFonts w:ascii="Palatino Linotype" w:eastAsia="Calibri" w:hAnsi="Palatino Linotype" w:cs="Arial"/>
          <w:i/>
          <w:color w:val="000000" w:themeColor="text1"/>
        </w:rPr>
        <w:t xml:space="preserve">(Mismo que no fue solicitado por el </w:t>
      </w:r>
      <w:r w:rsidR="00932EBF" w:rsidRPr="00E95267">
        <w:rPr>
          <w:rFonts w:ascii="Palatino Linotype" w:eastAsia="Calibri" w:hAnsi="Palatino Linotype" w:cs="Arial"/>
          <w:b/>
          <w:i/>
          <w:color w:val="000000" w:themeColor="text1"/>
        </w:rPr>
        <w:t xml:space="preserve">RECURRENTE) </w:t>
      </w:r>
    </w:p>
    <w:p w:rsidR="00932EBF" w:rsidRPr="00E95267" w:rsidRDefault="00932EBF" w:rsidP="00B02242">
      <w:pPr>
        <w:pStyle w:val="Prrafodelista"/>
        <w:ind w:left="0"/>
        <w:jc w:val="both"/>
        <w:rPr>
          <w:rFonts w:ascii="Palatino Linotype" w:eastAsia="Calibri" w:hAnsi="Palatino Linotype" w:cs="Arial"/>
          <w:i/>
          <w:color w:val="000000" w:themeColor="text1"/>
        </w:rPr>
      </w:pPr>
      <w:r w:rsidRPr="00E95267">
        <w:rPr>
          <w:rFonts w:ascii="Palatino Linotype" w:eastAsia="Calibri" w:hAnsi="Palatino Linotype" w:cs="Arial"/>
          <w:b/>
          <w:i/>
          <w:color w:val="000000" w:themeColor="text1"/>
        </w:rPr>
        <w:t xml:space="preserve">Ac. 6ta SE SEDUI CT..pdf: </w:t>
      </w:r>
      <w:r w:rsidRPr="00E95267">
        <w:rPr>
          <w:rFonts w:ascii="Palatino Linotype" w:eastAsia="Calibri" w:hAnsi="Palatino Linotype" w:cs="Arial"/>
          <w:i/>
          <w:color w:val="000000" w:themeColor="text1"/>
        </w:rPr>
        <w:t xml:space="preserve">Acta del Comité de Transparencia, mediante la cual se aprobó la clasificación de la información del domicilio que se encuentra en la Evaluación Técnica para la obtención del Dictamen Único de Factibilidad contra Riesgos Sanitarios. </w:t>
      </w:r>
    </w:p>
    <w:p w:rsidR="00932EBF" w:rsidRPr="00E95267" w:rsidRDefault="00932EBF" w:rsidP="00B02242">
      <w:pPr>
        <w:pStyle w:val="Prrafodelista"/>
        <w:ind w:left="0"/>
        <w:rPr>
          <w:rFonts w:ascii="Palatino Linotype" w:eastAsia="Calibri" w:hAnsi="Palatino Linotype" w:cs="Arial"/>
          <w:b/>
          <w:i/>
          <w:color w:val="000000" w:themeColor="text1"/>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E95267">
        <w:rPr>
          <w:rFonts w:ascii="Palatino Linotype" w:eastAsia="Calibri" w:hAnsi="Palatino Linotype" w:cs="Arial"/>
          <w:color w:val="000000" w:themeColor="text1"/>
        </w:rPr>
        <w:t xml:space="preserve">Por su parte, el </w:t>
      </w:r>
      <w:r w:rsidRPr="00E95267">
        <w:rPr>
          <w:rFonts w:ascii="Palatino Linotype" w:eastAsia="Calibri" w:hAnsi="Palatino Linotype" w:cs="Arial"/>
          <w:b/>
          <w:color w:val="000000" w:themeColor="text1"/>
        </w:rPr>
        <w:t xml:space="preserve">RECURRENTE </w:t>
      </w:r>
      <w:r w:rsidR="00932199" w:rsidRPr="00E95267">
        <w:rPr>
          <w:rFonts w:ascii="Palatino Linotype" w:eastAsia="Calibri" w:hAnsi="Palatino Linotype" w:cs="Arial"/>
          <w:color w:val="000000" w:themeColor="text1"/>
        </w:rPr>
        <w:t xml:space="preserve">dejo de realizar manifestaciones que a su derecho conviniera y asistiera. </w:t>
      </w:r>
    </w:p>
    <w:p w:rsidR="00EF5796" w:rsidRPr="00E95267" w:rsidRDefault="00EF5796" w:rsidP="00B02242">
      <w:pPr>
        <w:pStyle w:val="Prrafodelista"/>
        <w:tabs>
          <w:tab w:val="left" w:pos="426"/>
        </w:tabs>
        <w:spacing w:line="360" w:lineRule="auto"/>
        <w:ind w:left="0"/>
        <w:rPr>
          <w:rFonts w:ascii="Palatino Linotype" w:hAnsi="Palatino Linotype"/>
          <w:color w:val="000000" w:themeColor="text1"/>
        </w:rPr>
      </w:pPr>
    </w:p>
    <w:p w:rsidR="00EF5796" w:rsidRPr="00E95267" w:rsidRDefault="00EF5796" w:rsidP="00B02242">
      <w:pPr>
        <w:numPr>
          <w:ilvl w:val="0"/>
          <w:numId w:val="1"/>
        </w:numPr>
        <w:tabs>
          <w:tab w:val="left" w:pos="426"/>
        </w:tabs>
        <w:spacing w:line="360" w:lineRule="auto"/>
        <w:ind w:left="0" w:firstLine="0"/>
        <w:contextualSpacing/>
        <w:jc w:val="both"/>
        <w:rPr>
          <w:rFonts w:ascii="Palatino Linotype" w:eastAsia="MS Mincho" w:hAnsi="Palatino Linotype" w:cs="Times New Roman"/>
          <w:color w:val="000000" w:themeColor="text1"/>
          <w:lang w:val="es-MX"/>
        </w:rPr>
      </w:pPr>
      <w:r w:rsidRPr="00E95267">
        <w:rPr>
          <w:rFonts w:ascii="Palatino Linotype" w:eastAsia="MS Mincho" w:hAnsi="Palatino Linotype" w:cs="Times New Roman"/>
          <w:color w:val="000000" w:themeColor="text1"/>
          <w:lang w:val="es-MX"/>
        </w:rPr>
        <w:t xml:space="preserve">En fecha </w:t>
      </w:r>
      <w:r w:rsidR="00932199" w:rsidRPr="00E95267">
        <w:rPr>
          <w:rFonts w:ascii="Palatino Linotype" w:eastAsia="MS Mincho" w:hAnsi="Palatino Linotype" w:cs="Times New Roman"/>
          <w:b/>
          <w:color w:val="000000" w:themeColor="text1"/>
          <w:lang w:val="es-MX"/>
        </w:rPr>
        <w:t>catorce de mayo de mayo de dos mil veinticinco</w:t>
      </w:r>
      <w:r w:rsidRPr="00E95267">
        <w:rPr>
          <w:rFonts w:ascii="Palatino Linotype" w:eastAsia="MS Mincho" w:hAnsi="Palatino Linotype" w:cs="Times New Roman"/>
          <w:color w:val="000000" w:themeColor="text1"/>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rsidR="00EF5796" w:rsidRPr="00E95267" w:rsidRDefault="00EF5796" w:rsidP="00B02242">
      <w:pPr>
        <w:tabs>
          <w:tab w:val="left" w:pos="426"/>
          <w:tab w:val="left" w:pos="1440"/>
        </w:tabs>
        <w:spacing w:line="360" w:lineRule="auto"/>
        <w:contextualSpacing/>
        <w:jc w:val="both"/>
        <w:rPr>
          <w:rFonts w:ascii="Palatino Linotype" w:eastAsia="MS Mincho" w:hAnsi="Palatino Linotype" w:cs="Times New Roman"/>
          <w:color w:val="000000" w:themeColor="text1"/>
          <w:lang w:val="es-MX"/>
        </w:rPr>
      </w:pPr>
      <w:r w:rsidRPr="00E95267">
        <w:rPr>
          <w:rFonts w:ascii="Palatino Linotype" w:eastAsia="MS Mincho" w:hAnsi="Palatino Linotype" w:cs="Times New Roman"/>
          <w:color w:val="000000" w:themeColor="text1"/>
          <w:lang w:val="es-MX"/>
        </w:rPr>
        <w:tab/>
      </w:r>
      <w:r w:rsidRPr="00E95267">
        <w:rPr>
          <w:rFonts w:ascii="Palatino Linotype" w:eastAsia="MS Mincho" w:hAnsi="Palatino Linotype" w:cs="Times New Roman"/>
          <w:color w:val="000000" w:themeColor="text1"/>
          <w:lang w:val="es-MX"/>
        </w:rPr>
        <w:tab/>
      </w:r>
    </w:p>
    <w:p w:rsidR="00EF5796" w:rsidRPr="00E95267" w:rsidRDefault="00EF5796" w:rsidP="00B02242">
      <w:pPr>
        <w:numPr>
          <w:ilvl w:val="0"/>
          <w:numId w:val="1"/>
        </w:numPr>
        <w:tabs>
          <w:tab w:val="left" w:pos="426"/>
        </w:tabs>
        <w:spacing w:line="360" w:lineRule="auto"/>
        <w:ind w:left="0" w:firstLine="0"/>
        <w:contextualSpacing/>
        <w:jc w:val="both"/>
        <w:rPr>
          <w:rFonts w:ascii="Palatino Linotype" w:eastAsia="MS Mincho" w:hAnsi="Palatino Linotype" w:cs="Times New Roman"/>
          <w:color w:val="000000" w:themeColor="text1"/>
          <w:lang w:val="es-MX"/>
        </w:rPr>
      </w:pPr>
      <w:r w:rsidRPr="00E95267">
        <w:rPr>
          <w:rFonts w:ascii="Palatino Linotype" w:eastAsia="MS Mincho" w:hAnsi="Palatino Linotype" w:cs="Times New Roman"/>
          <w:color w:val="000000" w:themeColor="text1"/>
          <w:lang w:val="es-MX"/>
        </w:rPr>
        <w:t>Una vez transcurrido el plazo decretado con anterioridad, en fecha</w:t>
      </w:r>
      <w:r w:rsidRPr="00E95267">
        <w:rPr>
          <w:rFonts w:ascii="Palatino Linotype" w:eastAsia="Times New Roman" w:hAnsi="Palatino Linotype" w:cs="Arial"/>
          <w:color w:val="000000" w:themeColor="text1"/>
          <w:lang w:val="es-MX"/>
        </w:rPr>
        <w:t xml:space="preserve"> </w:t>
      </w:r>
      <w:r w:rsidR="00932199" w:rsidRPr="00E95267">
        <w:rPr>
          <w:rFonts w:ascii="Palatino Linotype" w:eastAsia="Times New Roman" w:hAnsi="Palatino Linotype" w:cs="Arial"/>
          <w:b/>
          <w:color w:val="000000" w:themeColor="text1"/>
          <w:lang w:val="es-MX"/>
        </w:rPr>
        <w:t>veintiuno de mayo de dos mil veinticinco,</w:t>
      </w:r>
      <w:r w:rsidR="00932199" w:rsidRPr="00E95267">
        <w:rPr>
          <w:rFonts w:ascii="Palatino Linotype" w:eastAsia="Times New Roman" w:hAnsi="Palatino Linotype" w:cs="Arial"/>
          <w:color w:val="000000" w:themeColor="text1"/>
          <w:lang w:val="es-MX"/>
        </w:rPr>
        <w:t xml:space="preserve"> </w:t>
      </w:r>
      <w:r w:rsidRPr="00E95267">
        <w:rPr>
          <w:rFonts w:ascii="Palatino Linotype" w:eastAsia="MS Mincho" w:hAnsi="Palatino Linotype" w:cs="Arial"/>
          <w:color w:val="000000" w:themeColor="text1"/>
          <w:lang w:val="es-MX"/>
        </w:rPr>
        <w:t>se decretó el cierre del periodo de instrucción.</w:t>
      </w:r>
    </w:p>
    <w:p w:rsidR="00EF5796" w:rsidRPr="00E95267" w:rsidRDefault="00EF5796" w:rsidP="00B02242">
      <w:pPr>
        <w:pStyle w:val="Prrafodelista"/>
        <w:tabs>
          <w:tab w:val="left" w:pos="426"/>
        </w:tabs>
        <w:spacing w:line="360" w:lineRule="auto"/>
        <w:ind w:left="0"/>
        <w:jc w:val="both"/>
        <w:rPr>
          <w:rFonts w:ascii="Palatino Linotype" w:hAnsi="Palatino Linotype"/>
          <w:color w:val="000000" w:themeColor="text1"/>
        </w:rPr>
      </w:pPr>
    </w:p>
    <w:p w:rsidR="00EF5796" w:rsidRPr="00E95267" w:rsidRDefault="00EF5796" w:rsidP="00B02242">
      <w:pPr>
        <w:pStyle w:val="Ttulo1"/>
        <w:spacing w:before="0" w:line="360" w:lineRule="auto"/>
        <w:jc w:val="center"/>
        <w:rPr>
          <w:rFonts w:ascii="Palatino Linotype" w:hAnsi="Palatino Linotype"/>
          <w:b/>
          <w:color w:val="000000" w:themeColor="text1"/>
          <w:sz w:val="24"/>
          <w:szCs w:val="24"/>
        </w:rPr>
      </w:pPr>
      <w:bookmarkStart w:id="5" w:name="_Toc491791302"/>
      <w:bookmarkStart w:id="6" w:name="_Toc83128578"/>
      <w:r w:rsidRPr="00E95267">
        <w:rPr>
          <w:rFonts w:ascii="Palatino Linotype" w:hAnsi="Palatino Linotype"/>
          <w:b/>
          <w:color w:val="000000" w:themeColor="text1"/>
          <w:sz w:val="24"/>
          <w:szCs w:val="24"/>
        </w:rPr>
        <w:lastRenderedPageBreak/>
        <w:t>CONSIDERANDO</w:t>
      </w:r>
      <w:bookmarkEnd w:id="5"/>
      <w:bookmarkEnd w:id="6"/>
    </w:p>
    <w:p w:rsidR="00EF5796" w:rsidRPr="00E95267" w:rsidRDefault="00EF5796" w:rsidP="00B02242">
      <w:pPr>
        <w:pStyle w:val="Ttulo2"/>
        <w:rPr>
          <w:rFonts w:ascii="Palatino Linotype" w:hAnsi="Palatino Linotype"/>
          <w:b/>
          <w:color w:val="000000" w:themeColor="text1"/>
          <w:sz w:val="24"/>
          <w:szCs w:val="24"/>
        </w:rPr>
      </w:pPr>
      <w:bookmarkStart w:id="7" w:name="_Toc491791303"/>
      <w:bookmarkStart w:id="8" w:name="_Toc83128579"/>
      <w:r w:rsidRPr="00E95267">
        <w:rPr>
          <w:rFonts w:ascii="Palatino Linotype" w:hAnsi="Palatino Linotype"/>
          <w:b/>
          <w:color w:val="000000" w:themeColor="text1"/>
          <w:sz w:val="24"/>
          <w:szCs w:val="24"/>
        </w:rPr>
        <w:t>PRIMERO. De la competencia</w:t>
      </w:r>
      <w:bookmarkEnd w:id="7"/>
      <w:bookmarkEnd w:id="8"/>
    </w:p>
    <w:p w:rsidR="00EF5796" w:rsidRPr="00E95267" w:rsidRDefault="00EF5796" w:rsidP="00B02242">
      <w:pPr>
        <w:pStyle w:val="Ttulo2"/>
        <w:spacing w:before="0" w:line="360" w:lineRule="auto"/>
        <w:rPr>
          <w:rFonts w:ascii="Palatino Linotype" w:eastAsiaTheme="minorEastAsia" w:hAnsi="Palatino Linotype" w:cstheme="minorBidi"/>
          <w:color w:val="000000" w:themeColor="text1"/>
          <w:sz w:val="24"/>
          <w:szCs w:val="24"/>
        </w:rPr>
      </w:pPr>
      <w:bookmarkStart w:id="9" w:name="_Toc491791304"/>
      <w:bookmarkStart w:id="10" w:name="_Toc83128580"/>
    </w:p>
    <w:p w:rsidR="00EF5796" w:rsidRPr="00E95267" w:rsidRDefault="00B34505" w:rsidP="00B02242">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lang w:val="es-MX"/>
        </w:rPr>
      </w:pPr>
      <w:r w:rsidRPr="00E95267">
        <w:rPr>
          <w:rFonts w:ascii="Palatino Linotype" w:eastAsia="MS Mincho" w:hAnsi="Palatino Linotype" w:cs="Times New Roman"/>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34505" w:rsidRPr="00E95267" w:rsidRDefault="00B34505" w:rsidP="00B02242">
      <w:pPr>
        <w:rPr>
          <w:rFonts w:ascii="Palatino Linotype" w:hAnsi="Palatino Linotype"/>
          <w:color w:val="000000" w:themeColor="text1"/>
        </w:rPr>
      </w:pPr>
    </w:p>
    <w:p w:rsidR="00EF5796" w:rsidRPr="00E95267" w:rsidRDefault="00EF5796" w:rsidP="00B02242">
      <w:pPr>
        <w:pStyle w:val="Ttulo2"/>
        <w:spacing w:before="0" w:line="360" w:lineRule="auto"/>
        <w:rPr>
          <w:rFonts w:ascii="Palatino Linotype" w:hAnsi="Palatino Linotype"/>
          <w:b/>
          <w:color w:val="000000" w:themeColor="text1"/>
          <w:sz w:val="24"/>
          <w:szCs w:val="24"/>
        </w:rPr>
      </w:pPr>
      <w:r w:rsidRPr="00E95267">
        <w:rPr>
          <w:rFonts w:ascii="Palatino Linotype" w:hAnsi="Palatino Linotype"/>
          <w:b/>
          <w:color w:val="000000" w:themeColor="text1"/>
          <w:sz w:val="24"/>
          <w:szCs w:val="24"/>
        </w:rPr>
        <w:t>SEGUNDO. De la oportunidad y procedencia.</w:t>
      </w:r>
      <w:bookmarkEnd w:id="9"/>
      <w:bookmarkEnd w:id="10"/>
    </w:p>
    <w:p w:rsidR="00EF5796" w:rsidRPr="00E95267" w:rsidRDefault="00EF5796" w:rsidP="00B02242">
      <w:pPr>
        <w:spacing w:line="360" w:lineRule="auto"/>
        <w:rPr>
          <w:rFonts w:ascii="Palatino Linotype" w:hAnsi="Palatino Linotype"/>
          <w:color w:val="000000" w:themeColor="text1"/>
        </w:rPr>
      </w:pPr>
    </w:p>
    <w:p w:rsidR="00185A72" w:rsidRPr="00E95267" w:rsidRDefault="00185A72" w:rsidP="00B02242">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E95267">
        <w:rPr>
          <w:rFonts w:ascii="Palatino Linotype" w:eastAsia="Palatino Linotype" w:hAnsi="Palatino Linotype" w:cs="Palatino Linotype"/>
          <w:color w:val="000000" w:themeColor="text1"/>
        </w:rPr>
        <w:t xml:space="preserve">El medio de impugnación fue presentado a través del </w:t>
      </w:r>
      <w:r w:rsidRPr="00E95267">
        <w:rPr>
          <w:rFonts w:ascii="Palatino Linotype" w:eastAsia="Palatino Linotype" w:hAnsi="Palatino Linotype" w:cs="Palatino Linotype"/>
          <w:b/>
          <w:color w:val="000000" w:themeColor="text1"/>
        </w:rPr>
        <w:t>SAIMEX,</w:t>
      </w:r>
      <w:r w:rsidRPr="00E9526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95267">
        <w:rPr>
          <w:rFonts w:ascii="Palatino Linotype" w:eastAsia="Palatino Linotype" w:hAnsi="Palatino Linotype" w:cs="Palatino Linotype"/>
          <w:b/>
          <w:color w:val="000000" w:themeColor="text1"/>
        </w:rPr>
        <w:t>SUJETO OBLIGADO</w:t>
      </w:r>
      <w:r w:rsidRPr="00E95267">
        <w:rPr>
          <w:rFonts w:ascii="Palatino Linotype" w:eastAsia="Palatino Linotype" w:hAnsi="Palatino Linotype" w:cs="Palatino Linotype"/>
          <w:color w:val="000000" w:themeColor="text1"/>
        </w:rPr>
        <w:t xml:space="preserve"> entregó su respuesta el </w:t>
      </w:r>
      <w:r w:rsidR="00BB6D0A" w:rsidRPr="00E95267">
        <w:rPr>
          <w:rFonts w:ascii="Palatino Linotype" w:eastAsia="Palatino Linotype" w:hAnsi="Palatino Linotype" w:cs="Palatino Linotype"/>
          <w:b/>
          <w:color w:val="000000" w:themeColor="text1"/>
        </w:rPr>
        <w:t xml:space="preserve">veintidós de enero </w:t>
      </w:r>
      <w:r w:rsidRPr="00E95267">
        <w:rPr>
          <w:rFonts w:ascii="Palatino Linotype" w:eastAsia="Palatino Linotype" w:hAnsi="Palatino Linotype" w:cs="Palatino Linotype"/>
          <w:b/>
          <w:color w:val="000000" w:themeColor="text1"/>
        </w:rPr>
        <w:t>de dos mil veinticinco</w:t>
      </w:r>
      <w:r w:rsidRPr="00E95267">
        <w:rPr>
          <w:rFonts w:ascii="Palatino Linotype" w:eastAsia="Palatino Linotype" w:hAnsi="Palatino Linotype" w:cs="Palatino Linotype"/>
          <w:color w:val="000000" w:themeColor="text1"/>
        </w:rPr>
        <w:t xml:space="preserve">, de tal forma que el plazo para interponer el recurso de revisión transcurrió del día </w:t>
      </w:r>
      <w:r w:rsidR="00BB6D0A" w:rsidRPr="00E95267">
        <w:rPr>
          <w:rFonts w:ascii="Palatino Linotype" w:eastAsia="Palatino Linotype" w:hAnsi="Palatino Linotype" w:cs="Palatino Linotype"/>
          <w:b/>
          <w:color w:val="000000" w:themeColor="text1"/>
        </w:rPr>
        <w:t xml:space="preserve">veintitrés de enero al trece </w:t>
      </w:r>
      <w:r w:rsidRPr="00E95267">
        <w:rPr>
          <w:rFonts w:ascii="Palatino Linotype" w:eastAsia="Palatino Linotype" w:hAnsi="Palatino Linotype" w:cs="Palatino Linotype"/>
          <w:b/>
          <w:color w:val="000000" w:themeColor="text1"/>
        </w:rPr>
        <w:t>de febrero de dos mil veinticinco</w:t>
      </w:r>
      <w:r w:rsidRPr="00E95267">
        <w:rPr>
          <w:rFonts w:ascii="Palatino Linotype" w:eastAsia="Palatino Linotype" w:hAnsi="Palatino Linotype" w:cs="Palatino Linotype"/>
          <w:color w:val="000000" w:themeColor="text1"/>
        </w:rPr>
        <w:t xml:space="preserve">; en consecuencia, el ahora </w:t>
      </w:r>
      <w:r w:rsidRPr="00E95267">
        <w:rPr>
          <w:rFonts w:ascii="Palatino Linotype" w:eastAsia="Palatino Linotype" w:hAnsi="Palatino Linotype" w:cs="Palatino Linotype"/>
          <w:b/>
          <w:color w:val="000000" w:themeColor="text1"/>
        </w:rPr>
        <w:t>RECURRENTE</w:t>
      </w:r>
      <w:r w:rsidRPr="00E95267">
        <w:rPr>
          <w:rFonts w:ascii="Palatino Linotype" w:eastAsia="Palatino Linotype" w:hAnsi="Palatino Linotype" w:cs="Palatino Linotype"/>
          <w:color w:val="000000" w:themeColor="text1"/>
        </w:rPr>
        <w:t xml:space="preserve"> presentó su inconformidad el día </w:t>
      </w:r>
      <w:r w:rsidR="00BB6D0A" w:rsidRPr="00E95267">
        <w:rPr>
          <w:rFonts w:ascii="Palatino Linotype" w:eastAsia="Palatino Linotype" w:hAnsi="Palatino Linotype" w:cs="Palatino Linotype"/>
          <w:b/>
          <w:color w:val="000000" w:themeColor="text1"/>
        </w:rPr>
        <w:t xml:space="preserve">once </w:t>
      </w:r>
      <w:r w:rsidRPr="00E95267">
        <w:rPr>
          <w:rFonts w:ascii="Palatino Linotype" w:eastAsia="Palatino Linotype" w:hAnsi="Palatino Linotype" w:cs="Palatino Linotype"/>
          <w:b/>
          <w:color w:val="000000" w:themeColor="text1"/>
        </w:rPr>
        <w:t>de febrero de dos mil veinticinco</w:t>
      </w:r>
      <w:r w:rsidRPr="00E95267">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185A72" w:rsidRPr="00E95267" w:rsidRDefault="00185A72" w:rsidP="00B02242">
      <w:pPr>
        <w:pBdr>
          <w:top w:val="nil"/>
          <w:left w:val="nil"/>
          <w:bottom w:val="nil"/>
          <w:right w:val="nil"/>
          <w:between w:val="nil"/>
        </w:pBdr>
        <w:spacing w:line="360" w:lineRule="auto"/>
        <w:jc w:val="both"/>
        <w:rPr>
          <w:rFonts w:ascii="Palatino Linotype" w:hAnsi="Palatino Linotype"/>
          <w:color w:val="000000" w:themeColor="text1"/>
        </w:rPr>
      </w:pPr>
    </w:p>
    <w:p w:rsidR="00185A72" w:rsidRPr="00E95267" w:rsidRDefault="00185A72" w:rsidP="00B02242">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E95267">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85A72" w:rsidRPr="00E95267" w:rsidRDefault="00185A72" w:rsidP="00B02242">
      <w:pPr>
        <w:spacing w:line="360" w:lineRule="auto"/>
        <w:jc w:val="both"/>
        <w:rPr>
          <w:rFonts w:ascii="Palatino Linotype" w:hAnsi="Palatino Linotype"/>
          <w:color w:val="000000" w:themeColor="text1"/>
        </w:rPr>
      </w:pPr>
    </w:p>
    <w:p w:rsidR="00EF5796" w:rsidRPr="00E95267" w:rsidRDefault="00EF5796" w:rsidP="00B02242">
      <w:pPr>
        <w:pStyle w:val="Prrafodelista"/>
        <w:spacing w:line="360" w:lineRule="auto"/>
        <w:ind w:left="0"/>
        <w:jc w:val="both"/>
        <w:rPr>
          <w:rFonts w:ascii="Palatino Linotype" w:hAnsi="Palatino Linotype"/>
          <w:color w:val="000000" w:themeColor="text1"/>
        </w:rPr>
      </w:pPr>
    </w:p>
    <w:p w:rsidR="00EF5796" w:rsidRPr="00E95267" w:rsidRDefault="00EF5796" w:rsidP="00B02242">
      <w:pPr>
        <w:pStyle w:val="Ttulo1"/>
        <w:spacing w:before="0" w:line="360" w:lineRule="auto"/>
        <w:rPr>
          <w:rFonts w:ascii="Palatino Linotype" w:hAnsi="Palatino Linotype"/>
          <w:b/>
          <w:color w:val="000000" w:themeColor="text1"/>
          <w:sz w:val="24"/>
          <w:szCs w:val="24"/>
        </w:rPr>
      </w:pPr>
      <w:bookmarkStart w:id="11" w:name="_Toc34246179"/>
      <w:bookmarkStart w:id="12" w:name="_Toc50033991"/>
      <w:bookmarkStart w:id="13" w:name="_Toc51259588"/>
      <w:bookmarkStart w:id="14" w:name="_Toc83128581"/>
      <w:r w:rsidRPr="00E95267">
        <w:rPr>
          <w:rFonts w:ascii="Palatino Linotype" w:hAnsi="Palatino Linotype"/>
          <w:b/>
          <w:color w:val="000000" w:themeColor="text1"/>
          <w:sz w:val="24"/>
          <w:szCs w:val="24"/>
        </w:rPr>
        <w:t xml:space="preserve">TERCERO. </w:t>
      </w:r>
      <w:bookmarkStart w:id="15" w:name="_Toc501021589"/>
      <w:r w:rsidRPr="00E95267">
        <w:rPr>
          <w:rFonts w:ascii="Palatino Linotype" w:hAnsi="Palatino Linotype"/>
          <w:b/>
          <w:color w:val="000000" w:themeColor="text1"/>
          <w:sz w:val="24"/>
          <w:szCs w:val="24"/>
        </w:rPr>
        <w:t>De las causales de sobreseimiento.</w:t>
      </w:r>
      <w:bookmarkEnd w:id="11"/>
      <w:bookmarkEnd w:id="12"/>
      <w:bookmarkEnd w:id="13"/>
      <w:bookmarkEnd w:id="14"/>
      <w:bookmarkEnd w:id="15"/>
    </w:p>
    <w:p w:rsidR="00EF5796" w:rsidRPr="00E95267" w:rsidRDefault="00EF5796" w:rsidP="00B02242">
      <w:pPr>
        <w:rPr>
          <w:rFonts w:ascii="Palatino Linotype" w:hAnsi="Palatino Linotype"/>
          <w:color w:val="000000" w:themeColor="text1"/>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eastAsia="Times New Roman" w:hAnsi="Palatino Linotype" w:cs="Arial"/>
          <w:bCs/>
          <w:color w:val="000000" w:themeColor="text1"/>
        </w:rPr>
      </w:pPr>
      <w:r w:rsidRPr="00E95267">
        <w:rPr>
          <w:rFonts w:ascii="Palatino Linotype" w:eastAsia="Times New Roman" w:hAnsi="Palatino Linotype" w:cs="Tahoma"/>
          <w:color w:val="000000" w:themeColor="text1"/>
        </w:rPr>
        <w:t xml:space="preserve">El artículo 192 de la </w:t>
      </w:r>
      <w:r w:rsidRPr="00E95267">
        <w:rPr>
          <w:rFonts w:ascii="Palatino Linotype" w:eastAsia="Calibri" w:hAnsi="Palatino Linotype" w:cs="Tahoma"/>
          <w:bCs/>
          <w:color w:val="000000" w:themeColor="text1"/>
          <w:lang w:eastAsia="es-ES_tradnl"/>
        </w:rPr>
        <w:t xml:space="preserve">Ley Transparencia y Acceso a la Información Pública del Estado de México y </w:t>
      </w:r>
      <w:r w:rsidRPr="00E95267">
        <w:rPr>
          <w:rFonts w:ascii="Palatino Linotype" w:eastAsia="Calibri" w:hAnsi="Palatino Linotype" w:cs="Arial"/>
          <w:color w:val="000000" w:themeColor="text1"/>
        </w:rPr>
        <w:t>Municipios</w:t>
      </w:r>
      <w:r w:rsidRPr="00E95267">
        <w:rPr>
          <w:rFonts w:ascii="Palatino Linotype" w:eastAsia="Calibri" w:hAnsi="Palatino Linotype" w:cs="Tahoma"/>
          <w:bCs/>
          <w:color w:val="000000" w:themeColor="text1"/>
          <w:lang w:eastAsia="es-ES_tradnl"/>
        </w:rPr>
        <w:t xml:space="preserve">, señala las causales por las cuales se puede sobreseer en todo o </w:t>
      </w:r>
      <w:r w:rsidRPr="00E95267">
        <w:rPr>
          <w:rFonts w:ascii="Palatino Linotype" w:eastAsia="Calibri" w:hAnsi="Palatino Linotype" w:cs="Arial"/>
          <w:color w:val="000000" w:themeColor="text1"/>
        </w:rPr>
        <w:t>en</w:t>
      </w:r>
      <w:r w:rsidRPr="00E95267">
        <w:rPr>
          <w:rFonts w:ascii="Palatino Linotype" w:eastAsia="Calibri" w:hAnsi="Palatino Linotype" w:cs="Tahoma"/>
          <w:bCs/>
          <w:color w:val="000000" w:themeColor="text1"/>
          <w:lang w:eastAsia="es-ES_tradnl"/>
        </w:rPr>
        <w:t xml:space="preserve"> parte el Recurso de Revisión;</w:t>
      </w:r>
      <w:r w:rsidRPr="00E95267">
        <w:rPr>
          <w:rFonts w:ascii="Palatino Linotype" w:eastAsia="Calibri" w:hAnsi="Palatino Linotype" w:cs="Tahoma"/>
          <w:color w:val="000000" w:themeColor="text1"/>
          <w:lang w:eastAsia="es-ES_tradnl"/>
        </w:rPr>
        <w:t xml:space="preserve"> por lo que hace a la hipótesis prevista en </w:t>
      </w:r>
      <w:r w:rsidRPr="00E95267">
        <w:rPr>
          <w:rFonts w:ascii="Palatino Linotype" w:eastAsia="Calibri" w:hAnsi="Palatino Linotype" w:cs="Tahoma"/>
          <w:bCs/>
          <w:color w:val="000000" w:themeColor="text1"/>
          <w:lang w:eastAsia="es-ES_tradnl"/>
        </w:rPr>
        <w:t>la fracción IV,</w:t>
      </w:r>
      <w:r w:rsidRPr="00E95267">
        <w:rPr>
          <w:rFonts w:ascii="Palatino Linotype" w:eastAsia="Calibri" w:hAnsi="Palatino Linotype" w:cs="Tahoma"/>
          <w:color w:val="000000" w:themeColor="text1"/>
          <w:lang w:eastAsia="es-ES_tradnl"/>
        </w:rPr>
        <w:t xml:space="preserve"> señala que una vez admitido el Recurso de Revisión, aparezca alguna causal de improcedencia en términos de la presente Ley, </w:t>
      </w:r>
      <w:r w:rsidRPr="00E95267">
        <w:rPr>
          <w:rFonts w:ascii="Palatino Linotype" w:eastAsia="Calibri" w:hAnsi="Palatino Linotype" w:cs="Tahoma"/>
          <w:bCs/>
          <w:color w:val="000000" w:themeColor="text1"/>
          <w:lang w:eastAsia="es-ES_tradnl"/>
        </w:rPr>
        <w:t>resulta necesario traer a colación</w:t>
      </w:r>
      <w:r w:rsidRPr="00E95267">
        <w:rPr>
          <w:rFonts w:ascii="Palatino Linotype" w:eastAsia="Calibri" w:hAnsi="Palatino Linotype" w:cs="Tahoma"/>
          <w:bCs/>
          <w:color w:val="000000" w:themeColor="text1"/>
          <w:lang w:val="es-ES" w:eastAsia="es-ES_tradnl"/>
        </w:rPr>
        <w:t xml:space="preserve"> el artículo 191, fracción VII, de dicho ordenamiento jurídico, que establece que el Recurso de Revisión será desechado por improcedente, cuando dicho medio no actualice alguno de los supuestos previstos en el diverso 179 de la presente Ley. </w:t>
      </w:r>
      <w:r w:rsidRPr="00E95267">
        <w:rPr>
          <w:rFonts w:ascii="Palatino Linotype" w:eastAsia="Times New Roman" w:hAnsi="Palatino Linotype" w:cs="Arial"/>
          <w:bCs/>
          <w:color w:val="000000" w:themeColor="text1"/>
        </w:rPr>
        <w:t>En ese orden de ideas, dicho artículo prevé lo siguiente:</w:t>
      </w:r>
    </w:p>
    <w:p w:rsidR="00EF5796" w:rsidRPr="00E95267" w:rsidRDefault="00EF5796" w:rsidP="00B02242">
      <w:pPr>
        <w:spacing w:line="360" w:lineRule="auto"/>
        <w:jc w:val="both"/>
        <w:rPr>
          <w:rFonts w:ascii="Palatino Linotype" w:eastAsia="Times New Roman" w:hAnsi="Palatino Linotype" w:cs="Arial"/>
          <w:bCs/>
          <w:color w:val="000000" w:themeColor="text1"/>
        </w:rPr>
      </w:pP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
          <w:bCs/>
          <w:i/>
          <w:color w:val="000000" w:themeColor="text1"/>
        </w:rPr>
        <w:t xml:space="preserve">“Artículo 179. </w:t>
      </w:r>
      <w:r w:rsidRPr="00E95267">
        <w:rPr>
          <w:rFonts w:ascii="Palatino Linotype" w:hAnsi="Palatino Linotype" w:cs="Arial"/>
          <w:bCs/>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EF5796" w:rsidRPr="00E95267" w:rsidRDefault="00EF5796" w:rsidP="00B02242">
      <w:pPr>
        <w:jc w:val="both"/>
        <w:rPr>
          <w:rFonts w:ascii="Palatino Linotype" w:hAnsi="Palatino Linotype" w:cs="Arial"/>
          <w:bCs/>
          <w:i/>
          <w:color w:val="000000" w:themeColor="text1"/>
        </w:rPr>
      </w:pP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I. La negativa a la información solicitada;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II. La clasificación de la información;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III. La declaración de inexistencia de la información;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IV. La declaración de incompetencia por el sujeto obligado;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V. La entrega de información incompleta;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lastRenderedPageBreak/>
        <w:t xml:space="preserve">VI. La entrega de información que no corresponda con lo solicitado;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VII. La falta de respuesta a una solicitud de acceso a la información;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VIII. La notificación, entrega o puesta a disposición de información en una modalidad o formato distinto al solicitado;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IX. La entrega o puesta a disposición de información en un formato incomprensible y/o no accesible para el solicitante;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X. Los costos o tiempos de entrega de la información;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XI. La falta de trámite a una solicitud;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XII. La negativa a permitir la consulta directa de la información;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 xml:space="preserve">XIII. La falta, deficiencia o insuficiencia de la fundamentación y/o motivación en la respuesta; y </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XIV. La orientación a un trámite específico.</w:t>
      </w:r>
    </w:p>
    <w:p w:rsidR="00EF5796" w:rsidRPr="00E95267" w:rsidRDefault="00EF5796" w:rsidP="00B02242">
      <w:pPr>
        <w:jc w:val="both"/>
        <w:rPr>
          <w:rFonts w:ascii="Palatino Linotype" w:hAnsi="Palatino Linotype" w:cs="Arial"/>
          <w:bCs/>
          <w:i/>
          <w:color w:val="000000" w:themeColor="text1"/>
        </w:rPr>
      </w:pPr>
      <w:r w:rsidRPr="00E95267">
        <w:rPr>
          <w:rFonts w:ascii="Palatino Linotype" w:hAnsi="Palatino Linotype" w:cs="Arial"/>
          <w:bCs/>
          <w:i/>
          <w:color w:val="000000" w:themeColor="text1"/>
        </w:rPr>
        <w:t>...”</w:t>
      </w: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E95267">
        <w:rPr>
          <w:rFonts w:ascii="Palatino Linotype" w:hAnsi="Palatino Linotype" w:cs="Tahoma"/>
          <w:color w:val="000000" w:themeColor="text1"/>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E95267">
        <w:rPr>
          <w:rFonts w:ascii="Palatino Linotype" w:eastAsia="Times New Roman" w:hAnsi="Palatino Linotype" w:cs="Tahoma"/>
          <w:color w:val="000000" w:themeColor="text1"/>
        </w:rPr>
        <w:t>derecho</w:t>
      </w:r>
      <w:r w:rsidRPr="00E95267">
        <w:rPr>
          <w:rFonts w:ascii="Palatino Linotype" w:hAnsi="Palatino Linotype" w:cs="Tahoma"/>
          <w:color w:val="000000" w:themeColor="text1"/>
          <w:lang w:val="es-ES"/>
        </w:rPr>
        <w:t xml:space="preserve"> de acceso a la información pública.</w:t>
      </w:r>
    </w:p>
    <w:p w:rsidR="00EF5796" w:rsidRPr="00E95267" w:rsidRDefault="00EF5796" w:rsidP="00B02242">
      <w:pPr>
        <w:tabs>
          <w:tab w:val="left" w:pos="4962"/>
        </w:tabs>
        <w:spacing w:line="360" w:lineRule="auto"/>
        <w:jc w:val="both"/>
        <w:rPr>
          <w:rFonts w:ascii="Palatino Linotype" w:hAnsi="Palatino Linotype" w:cs="Tahoma"/>
          <w:color w:val="000000" w:themeColor="text1"/>
          <w:lang w:val="es-ES"/>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E95267">
        <w:rPr>
          <w:rFonts w:ascii="Palatino Linotype" w:hAnsi="Palatino Linotype" w:cs="Tahoma"/>
          <w:color w:val="000000" w:themeColor="text1"/>
          <w:lang w:val="es-ES"/>
        </w:rPr>
        <w:t>Además, conforme al Diccionario de Transparencia y Acceso a la Información Pública y la página oficial de este Instituto (</w:t>
      </w:r>
      <w:hyperlink r:id="rId7" w:anchor="queEsRRdeIP" w:history="1">
        <w:r w:rsidRPr="00E95267">
          <w:rPr>
            <w:rFonts w:ascii="Palatino Linotype" w:hAnsi="Palatino Linotype" w:cs="Tahoma"/>
            <w:color w:val="000000" w:themeColor="text1"/>
            <w:lang w:val="es-ES"/>
          </w:rPr>
          <w:t>https://www.infoem.org.mx/es/content/informacion-publica#queEsRRdeIP</w:t>
        </w:r>
      </w:hyperlink>
      <w:r w:rsidRPr="00E95267">
        <w:rPr>
          <w:rFonts w:ascii="Palatino Linotype" w:hAnsi="Palatino Linotype" w:cs="Tahoma"/>
          <w:color w:val="000000" w:themeColor="text1"/>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EF5796" w:rsidRPr="00E95267" w:rsidRDefault="00EF5796" w:rsidP="00B02242">
      <w:pPr>
        <w:spacing w:line="360" w:lineRule="auto"/>
        <w:contextualSpacing/>
        <w:jc w:val="both"/>
        <w:rPr>
          <w:rFonts w:ascii="Palatino Linotype" w:hAnsi="Palatino Linotype" w:cs="Tahoma"/>
          <w:color w:val="000000" w:themeColor="text1"/>
          <w:lang w:val="es-ES"/>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E95267">
        <w:rPr>
          <w:rFonts w:ascii="Palatino Linotype" w:hAnsi="Palatino Linotype" w:cs="Tahoma"/>
          <w:color w:val="000000" w:themeColor="text1"/>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w:t>
      </w:r>
      <w:r w:rsidRPr="00E95267">
        <w:rPr>
          <w:rFonts w:ascii="Palatino Linotype" w:hAnsi="Palatino Linotype" w:cs="Tahoma"/>
          <w:color w:val="000000" w:themeColor="text1"/>
          <w:lang w:val="es-ES"/>
        </w:rPr>
        <w:lastRenderedPageBreak/>
        <w:t xml:space="preserve">circunstancia </w:t>
      </w:r>
      <w:r w:rsidRPr="00E95267">
        <w:rPr>
          <w:rFonts w:ascii="Palatino Linotype" w:hAnsi="Palatino Linotype" w:cs="Tahoma"/>
          <w:b/>
          <w:color w:val="000000" w:themeColor="text1"/>
          <w:u w:val="single"/>
          <w:lang w:val="es-ES"/>
        </w:rPr>
        <w:t>de la contestación realizada por los Sujetos Obligados</w:t>
      </w:r>
      <w:r w:rsidRPr="00E95267">
        <w:rPr>
          <w:rFonts w:ascii="Palatino Linotype" w:hAnsi="Palatino Linotype" w:cs="Tahoma"/>
          <w:color w:val="000000" w:themeColor="text1"/>
          <w:lang w:val="es-ES"/>
        </w:rPr>
        <w:t xml:space="preserve"> </w:t>
      </w:r>
      <w:r w:rsidRPr="00E95267">
        <w:rPr>
          <w:rFonts w:ascii="Palatino Linotype" w:hAnsi="Palatino Linotype" w:cs="Tahoma"/>
          <w:b/>
          <w:color w:val="000000" w:themeColor="text1"/>
          <w:u w:val="single"/>
          <w:lang w:val="es-ES"/>
        </w:rPr>
        <w:t>a una solicitud de información específica.</w:t>
      </w:r>
    </w:p>
    <w:p w:rsidR="00EF5796" w:rsidRPr="00E95267" w:rsidRDefault="00EF5796" w:rsidP="00B02242">
      <w:pPr>
        <w:pStyle w:val="Prrafodelista"/>
        <w:ind w:left="0"/>
        <w:rPr>
          <w:rFonts w:ascii="Palatino Linotype" w:hAnsi="Palatino Linotype" w:cs="Tahoma"/>
          <w:color w:val="000000" w:themeColor="text1"/>
          <w:lang w:val="es-ES"/>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E95267">
        <w:rPr>
          <w:rFonts w:ascii="Palatino Linotype" w:hAnsi="Palatino Linotype" w:cs="Tahoma"/>
          <w:color w:val="000000" w:themeColor="text1"/>
          <w:lang w:val="es-ES"/>
        </w:rPr>
        <w:t>De manera preliminar en el caso concreto conviene analizar si se actualiza alguna de las causales de sobreseimiento del recurso de revisión.</w:t>
      </w:r>
    </w:p>
    <w:p w:rsidR="00EF5796" w:rsidRPr="00E95267" w:rsidRDefault="00EF5796" w:rsidP="00B02242">
      <w:pPr>
        <w:pStyle w:val="Prrafodelista"/>
        <w:tabs>
          <w:tab w:val="left" w:pos="426"/>
        </w:tabs>
        <w:spacing w:line="360" w:lineRule="auto"/>
        <w:ind w:left="0"/>
        <w:jc w:val="both"/>
        <w:rPr>
          <w:rFonts w:ascii="Palatino Linotype" w:hAnsi="Palatino Linotype" w:cs="Tahoma"/>
          <w:color w:val="000000" w:themeColor="text1"/>
          <w:lang w:val="es-ES"/>
        </w:rPr>
      </w:pPr>
    </w:p>
    <w:p w:rsidR="00EF5796" w:rsidRPr="00E95267" w:rsidRDefault="00EF5796" w:rsidP="00B02242">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E95267">
        <w:rPr>
          <w:rFonts w:ascii="Palatino Linotype" w:hAnsi="Palatino Linotype" w:cs="Tahoma"/>
          <w:color w:val="000000" w:themeColor="text1"/>
          <w:lang w:val="es-ES"/>
        </w:rPr>
        <w:t xml:space="preserve">Así, del análisis de la solicitud de información motivo del recurso de revisión que ahora se resuelve, se advierte que la parte solicitante requirió al </w:t>
      </w:r>
      <w:r w:rsidRPr="00E95267">
        <w:rPr>
          <w:rFonts w:ascii="Palatino Linotype" w:hAnsi="Palatino Linotype" w:cs="Tahoma"/>
          <w:b/>
          <w:color w:val="000000" w:themeColor="text1"/>
          <w:lang w:val="es-ES"/>
        </w:rPr>
        <w:t>Sujeto Obligado</w:t>
      </w:r>
      <w:r w:rsidRPr="00E95267">
        <w:rPr>
          <w:rFonts w:ascii="Palatino Linotype" w:hAnsi="Palatino Linotype" w:cs="Tahoma"/>
          <w:color w:val="000000" w:themeColor="text1"/>
          <w:lang w:val="es-ES"/>
        </w:rPr>
        <w:t xml:space="preserve"> le proporcione información consistente en lo siguiente:</w:t>
      </w:r>
    </w:p>
    <w:p w:rsidR="00EF5796" w:rsidRPr="00E95267" w:rsidRDefault="00EF5796" w:rsidP="00B02242">
      <w:pPr>
        <w:pStyle w:val="Prrafodelista"/>
        <w:spacing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spacing w:before="120" w:after="12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i/>
          <w:color w:val="000000" w:themeColor="text1"/>
        </w:rPr>
        <w:t xml:space="preserve"> “</w:t>
      </w:r>
      <w:r w:rsidR="007545FE" w:rsidRPr="00E95267">
        <w:rPr>
          <w:rFonts w:ascii="Palatino Linotype" w:eastAsia="Palatino Linotype" w:hAnsi="Palatino Linotype" w:cs="Palatino Linotype"/>
          <w:i/>
          <w:color w:val="000000" w:themeColor="text1"/>
        </w:rPr>
        <w:t>Versión pública de los documentos enlistados que fueron entregados para el trámite del DUF: 033 15 03964 COFAEM 2020 Memoria descriptiva Evaluación técnica de impacto, materia urbana y/o su equivalente Evaluación técnica de impacto en materia de protección civil y/o su equivalente Evaluación técnica de impacto de movilidad y/o su equivalente Evaluación técnica de impacto ambiental y/o su equivalente Manifestaciones de impacto ambiental y/o Estudios de riesgo y su equivalente Cédula de zonificación</w:t>
      </w:r>
      <w:r w:rsidRPr="00E95267">
        <w:rPr>
          <w:rFonts w:ascii="Palatino Linotype" w:eastAsia="Palatino Linotype" w:hAnsi="Palatino Linotype" w:cs="Palatino Linotype"/>
          <w:i/>
          <w:color w:val="000000" w:themeColor="text1"/>
        </w:rPr>
        <w:t>.” (Sic)</w:t>
      </w:r>
    </w:p>
    <w:p w:rsidR="00EF5796" w:rsidRPr="00E95267" w:rsidRDefault="00EF5796" w:rsidP="00B02242">
      <w:pPr>
        <w:pStyle w:val="Prrafodelista"/>
        <w:spacing w:before="120" w:after="120"/>
        <w:ind w:left="0"/>
        <w:jc w:val="both"/>
        <w:rPr>
          <w:rFonts w:ascii="Palatino Linotype" w:eastAsia="Palatino Linotype" w:hAnsi="Palatino Linotype" w:cs="Palatino Linotype"/>
          <w:i/>
          <w:color w:val="000000" w:themeColor="text1"/>
        </w:rPr>
      </w:pPr>
    </w:p>
    <w:p w:rsidR="00EF5796" w:rsidRPr="00E95267" w:rsidRDefault="00EF5796" w:rsidP="00B02242">
      <w:pPr>
        <w:pStyle w:val="Prrafodelista"/>
        <w:spacing w:before="120" w:after="120"/>
        <w:ind w:left="0"/>
        <w:jc w:val="both"/>
        <w:rPr>
          <w:rFonts w:ascii="Palatino Linotype" w:hAnsi="Palatino Linotype"/>
          <w:color w:val="000000" w:themeColor="text1"/>
        </w:rPr>
      </w:pPr>
    </w:p>
    <w:p w:rsidR="00EF5796" w:rsidRPr="00E95267" w:rsidRDefault="00EF5796" w:rsidP="00B02242">
      <w:pPr>
        <w:pStyle w:val="Prrafodelista"/>
        <w:numPr>
          <w:ilvl w:val="0"/>
          <w:numId w:val="1"/>
        </w:numPr>
        <w:spacing w:after="16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En respuesta, el </w:t>
      </w:r>
      <w:r w:rsidRPr="00E95267">
        <w:rPr>
          <w:rFonts w:ascii="Palatino Linotype" w:eastAsia="Palatino Linotype" w:hAnsi="Palatino Linotype" w:cs="Palatino Linotype"/>
          <w:b/>
          <w:color w:val="000000" w:themeColor="text1"/>
        </w:rPr>
        <w:t xml:space="preserve">Sujeto Obligado </w:t>
      </w:r>
      <w:r w:rsidRPr="00E95267">
        <w:rPr>
          <w:rFonts w:ascii="Palatino Linotype" w:eastAsia="Palatino Linotype" w:hAnsi="Palatino Linotype" w:cs="Palatino Linotype"/>
          <w:color w:val="000000" w:themeColor="text1"/>
        </w:rPr>
        <w:t>hizo del conocimiento de la persona solicitante lo siguiente:</w:t>
      </w:r>
    </w:p>
    <w:p w:rsidR="00765172" w:rsidRPr="00E95267" w:rsidRDefault="00765172" w:rsidP="00B02242">
      <w:pPr>
        <w:tabs>
          <w:tab w:val="left" w:pos="426"/>
        </w:tabs>
        <w:jc w:val="both"/>
        <w:rPr>
          <w:rFonts w:ascii="Palatino Linotype" w:hAnsi="Palatino Linotype" w:cs="Arial"/>
          <w:i/>
          <w:color w:val="000000" w:themeColor="text1"/>
        </w:rPr>
      </w:pPr>
      <w:r w:rsidRPr="00E95267">
        <w:rPr>
          <w:rFonts w:ascii="Palatino Linotype" w:hAnsi="Palatino Linotype" w:cs="Arial"/>
          <w:b/>
          <w:i/>
          <w:color w:val="000000" w:themeColor="text1"/>
        </w:rPr>
        <w:t xml:space="preserve">R. COIME 506-24.pdf: </w:t>
      </w:r>
      <w:r w:rsidRPr="00E95267">
        <w:rPr>
          <w:rFonts w:ascii="Palatino Linotype" w:hAnsi="Palatino Linotype" w:cs="Arial"/>
          <w:i/>
          <w:color w:val="000000" w:themeColor="text1"/>
        </w:rPr>
        <w:t>oficio de la Directora de la Comisión de Impacto Estatal, mediante la cual informa fue resuelto como procedente por Acuerdo de Fortalecimiento para Operación de Unidades Económicas que cuenten con Dictamen Único de Factibilidad para Acogerse Carácter de Permanente del mismo, publicado en el periódico Oficial "Gaceta del Gobierno" de fecha 01 de septiembre de 2020, no obstante, resulta necesario precisar, que del análisis realizado al expediente se observó que el referido Dictamen Único de Factibilidad no fue sustentado en las Evaluaciones Técnicas de Impacto a las que hace referencia la presente solicitud de información pública, ya que el proyecto para el cual fue emitido, solo se evalúo en materia de Impacto Sanitario.</w:t>
      </w:r>
    </w:p>
    <w:p w:rsidR="00765172" w:rsidRPr="00E95267" w:rsidRDefault="00765172" w:rsidP="00B02242">
      <w:pPr>
        <w:tabs>
          <w:tab w:val="left" w:pos="426"/>
        </w:tabs>
        <w:jc w:val="both"/>
        <w:rPr>
          <w:rFonts w:ascii="Palatino Linotype" w:hAnsi="Palatino Linotype" w:cs="Arial"/>
          <w:b/>
          <w:i/>
          <w:color w:val="000000" w:themeColor="text1"/>
        </w:rPr>
      </w:pPr>
      <w:r w:rsidRPr="00E95267">
        <w:rPr>
          <w:rFonts w:ascii="Palatino Linotype" w:hAnsi="Palatino Linotype" w:cs="Arial"/>
          <w:b/>
          <w:i/>
          <w:color w:val="000000" w:themeColor="text1"/>
        </w:rPr>
        <w:lastRenderedPageBreak/>
        <w:t xml:space="preserve">R. UT 506-24.pdf: </w:t>
      </w:r>
      <w:r w:rsidRPr="00E95267">
        <w:rPr>
          <w:rFonts w:ascii="Palatino Linotype" w:hAnsi="Palatino Linotype" w:cs="Arial"/>
          <w:i/>
          <w:color w:val="000000" w:themeColor="text1"/>
        </w:rPr>
        <w:t xml:space="preserve">oficio del Titular de la Unidad de Transparencia, mediante el cual informa que se anexa la respuesta del servidor público habilitado. </w:t>
      </w:r>
      <w:r w:rsidRPr="00E95267">
        <w:rPr>
          <w:rFonts w:ascii="Palatino Linotype" w:hAnsi="Palatino Linotype" w:cs="Arial"/>
          <w:b/>
          <w:i/>
          <w:color w:val="000000" w:themeColor="text1"/>
        </w:rPr>
        <w:br/>
      </w:r>
    </w:p>
    <w:p w:rsidR="00EF5796" w:rsidRPr="00E95267" w:rsidRDefault="00EF5796" w:rsidP="00B02242">
      <w:pPr>
        <w:pStyle w:val="Prrafodelista"/>
        <w:spacing w:after="160"/>
        <w:ind w:left="0"/>
        <w:jc w:val="both"/>
        <w:rPr>
          <w:rFonts w:ascii="Palatino Linotype" w:eastAsia="Palatino Linotype" w:hAnsi="Palatino Linotype" w:cs="Palatino Linotype"/>
          <w:i/>
          <w:color w:val="000000" w:themeColor="text1"/>
        </w:rPr>
      </w:pPr>
    </w:p>
    <w:p w:rsidR="00EF5796" w:rsidRPr="00E95267" w:rsidRDefault="00EF5796" w:rsidP="00B02242">
      <w:pPr>
        <w:pStyle w:val="Prrafodelista"/>
        <w:numPr>
          <w:ilvl w:val="0"/>
          <w:numId w:val="1"/>
        </w:numPr>
        <w:spacing w:after="16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Conocida la respuesta por la persona solicitante, al no estar conforme con los términos de la misma, interpuso el recurso de revisión que nos ocupa, mediante el cual señaló: </w:t>
      </w:r>
    </w:p>
    <w:p w:rsidR="00EF5796" w:rsidRPr="00E95267" w:rsidRDefault="00EF5796" w:rsidP="00B02242">
      <w:pPr>
        <w:pStyle w:val="Prrafodelista"/>
        <w:spacing w:after="16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spacing w:after="160"/>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b/>
          <w:color w:val="000000" w:themeColor="text1"/>
        </w:rPr>
        <w:t>Acto Impugnado</w:t>
      </w:r>
      <w:r w:rsidRPr="00E95267">
        <w:rPr>
          <w:rFonts w:ascii="Palatino Linotype" w:eastAsia="Palatino Linotype" w:hAnsi="Palatino Linotype" w:cs="Palatino Linotype"/>
          <w:color w:val="000000" w:themeColor="text1"/>
        </w:rPr>
        <w:t xml:space="preserve">: </w:t>
      </w:r>
      <w:r w:rsidRPr="00E95267">
        <w:rPr>
          <w:rFonts w:ascii="Palatino Linotype" w:eastAsia="Palatino Linotype" w:hAnsi="Palatino Linotype" w:cs="Palatino Linotype"/>
          <w:i/>
          <w:color w:val="000000" w:themeColor="text1"/>
        </w:rPr>
        <w:t>“</w:t>
      </w:r>
      <w:r w:rsidR="00765172" w:rsidRPr="00E95267">
        <w:rPr>
          <w:rFonts w:ascii="Palatino Linotype" w:eastAsia="Palatino Linotype" w:hAnsi="Palatino Linotype" w:cs="Palatino Linotype"/>
          <w:i/>
          <w:color w:val="000000" w:themeColor="text1"/>
        </w:rPr>
        <w:t xml:space="preserve">Según la respuesta de la autoridad en el oficio 230B01010-000047/2025 en la cual indica y cito" Que en el análisis del expediente se observó que el referido DICTAMEN ÚNICO DE FACTIBILIDAD, no fue sustentado, con las evaluaciones técnicas </w:t>
      </w:r>
      <w:r w:rsidR="00765172" w:rsidRPr="00E95267">
        <w:rPr>
          <w:rFonts w:ascii="Palatino Linotype" w:eastAsia="Palatino Linotype" w:hAnsi="Palatino Linotype" w:cs="Palatino Linotype"/>
          <w:b/>
          <w:i/>
          <w:color w:val="000000" w:themeColor="text1"/>
        </w:rPr>
        <w:t>sino solamente se evaluó las de IMPACTO SANITARIO", que no anexa</w:t>
      </w:r>
      <w:r w:rsidR="00765172" w:rsidRPr="00E95267">
        <w:rPr>
          <w:rFonts w:ascii="Palatino Linotype" w:eastAsia="Palatino Linotype" w:hAnsi="Palatino Linotype" w:cs="Palatino Linotype"/>
          <w:i/>
          <w:color w:val="000000" w:themeColor="text1"/>
        </w:rPr>
        <w:t>.</w:t>
      </w:r>
      <w:r w:rsidRPr="00E95267">
        <w:rPr>
          <w:rFonts w:ascii="Palatino Linotype" w:eastAsia="Palatino Linotype" w:hAnsi="Palatino Linotype" w:cs="Palatino Linotype"/>
          <w:b/>
          <w:i/>
          <w:color w:val="000000" w:themeColor="text1"/>
          <w:u w:val="single"/>
        </w:rPr>
        <w:t>.”</w:t>
      </w:r>
    </w:p>
    <w:p w:rsidR="00EF5796" w:rsidRPr="00E95267" w:rsidRDefault="00EF5796" w:rsidP="00B02242">
      <w:pPr>
        <w:pStyle w:val="Prrafodelista"/>
        <w:spacing w:after="160"/>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spacing w:after="16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b/>
          <w:color w:val="000000" w:themeColor="text1"/>
        </w:rPr>
        <w:t>Razones o motivos de inconformidad</w:t>
      </w:r>
      <w:r w:rsidRPr="00E95267">
        <w:rPr>
          <w:rFonts w:ascii="Palatino Linotype" w:eastAsia="Palatino Linotype" w:hAnsi="Palatino Linotype" w:cs="Palatino Linotype"/>
          <w:color w:val="000000" w:themeColor="text1"/>
        </w:rPr>
        <w:t xml:space="preserve">: </w:t>
      </w:r>
      <w:r w:rsidRPr="00E95267">
        <w:rPr>
          <w:rFonts w:ascii="Palatino Linotype" w:eastAsia="Palatino Linotype" w:hAnsi="Palatino Linotype" w:cs="Palatino Linotype"/>
          <w:i/>
          <w:color w:val="000000" w:themeColor="text1"/>
        </w:rPr>
        <w:t>“</w:t>
      </w:r>
      <w:r w:rsidR="00765172" w:rsidRPr="00E95267">
        <w:rPr>
          <w:rFonts w:ascii="Palatino Linotype" w:eastAsia="Palatino Linotype" w:hAnsi="Palatino Linotype" w:cs="Palatino Linotype"/>
          <w:i/>
          <w:color w:val="000000" w:themeColor="text1"/>
        </w:rPr>
        <w:t>Se solicita al instituto conminar a la autoridad a emitir copia pública de la documentación del expediente de citado DICTAMEN ÚNICO DE FACTIBILIDAD</w:t>
      </w:r>
      <w:r w:rsidRPr="00E95267">
        <w:rPr>
          <w:rFonts w:ascii="Palatino Linotype" w:eastAsia="Palatino Linotype" w:hAnsi="Palatino Linotype" w:cs="Palatino Linotype"/>
          <w:i/>
          <w:color w:val="000000" w:themeColor="text1"/>
        </w:rPr>
        <w:t>”</w:t>
      </w:r>
    </w:p>
    <w:p w:rsidR="00EF5796" w:rsidRPr="00E95267" w:rsidRDefault="00EF5796" w:rsidP="00B02242">
      <w:pPr>
        <w:pStyle w:val="Prrafodelista"/>
        <w:spacing w:after="160" w:line="360" w:lineRule="auto"/>
        <w:ind w:left="0"/>
        <w:jc w:val="both"/>
        <w:rPr>
          <w:rFonts w:ascii="Palatino Linotype" w:eastAsia="Palatino Linotype" w:hAnsi="Palatino Linotype" w:cs="Palatino Linotype"/>
          <w:i/>
          <w:color w:val="000000" w:themeColor="text1"/>
        </w:rPr>
      </w:pPr>
    </w:p>
    <w:p w:rsidR="00EF5796" w:rsidRPr="00E95267" w:rsidRDefault="00EF5796" w:rsidP="00B02242">
      <w:pPr>
        <w:pStyle w:val="Prrafodelista"/>
        <w:numPr>
          <w:ilvl w:val="0"/>
          <w:numId w:val="1"/>
        </w:numPr>
        <w:spacing w:after="160" w:line="360" w:lineRule="auto"/>
        <w:ind w:left="0"/>
        <w:rPr>
          <w:rFonts w:ascii="Palatino Linotype" w:eastAsia="Palatino Linotype" w:hAnsi="Palatino Linotype" w:cs="Palatino Linotype"/>
          <w:i/>
          <w:color w:val="000000" w:themeColor="text1"/>
          <w:u w:val="single"/>
        </w:rPr>
      </w:pPr>
      <w:r w:rsidRPr="00E95267">
        <w:rPr>
          <w:rFonts w:ascii="Palatino Linotype" w:eastAsia="Palatino Linotype" w:hAnsi="Palatino Linotype" w:cs="Palatino Linotype"/>
          <w:color w:val="000000" w:themeColor="text1"/>
        </w:rPr>
        <w:t xml:space="preserve">Ahora bien, atentos a la inconformidad planteada resulta necesario señalar que </w:t>
      </w:r>
      <w:r w:rsidR="006717F1" w:rsidRPr="00E95267">
        <w:rPr>
          <w:rFonts w:ascii="Palatino Linotype" w:eastAsia="Palatino Linotype" w:hAnsi="Palatino Linotype" w:cs="Palatino Linotype"/>
          <w:b/>
          <w:color w:val="000000" w:themeColor="text1"/>
        </w:rPr>
        <w:t xml:space="preserve">de la respuesta proporcionada el </w:t>
      </w:r>
      <w:r w:rsidR="006717F1" w:rsidRPr="00E95267">
        <w:rPr>
          <w:rFonts w:ascii="Palatino Linotype" w:eastAsia="Palatino Linotype" w:hAnsi="Palatino Linotype" w:cs="Palatino Linotype"/>
          <w:b/>
          <w:color w:val="000000" w:themeColor="text1"/>
          <w:u w:val="single"/>
        </w:rPr>
        <w:t xml:space="preserve">SUJETO OBLIGADO </w:t>
      </w:r>
      <w:r w:rsidR="006717F1" w:rsidRPr="00E95267">
        <w:rPr>
          <w:rFonts w:ascii="Palatino Linotype" w:eastAsia="Palatino Linotype" w:hAnsi="Palatino Linotype" w:cs="Palatino Linotype"/>
          <w:color w:val="000000" w:themeColor="text1"/>
          <w:u w:val="single"/>
        </w:rPr>
        <w:t xml:space="preserve">informo que </w:t>
      </w:r>
      <w:r w:rsidR="006717F1" w:rsidRPr="00E95267">
        <w:rPr>
          <w:rFonts w:ascii="Palatino Linotype" w:eastAsia="Palatino Linotype" w:hAnsi="Palatino Linotype" w:cs="Palatino Linotype"/>
          <w:i/>
          <w:color w:val="000000" w:themeColor="text1"/>
          <w:u w:val="single"/>
        </w:rPr>
        <w:t xml:space="preserve"> del análisis realizado al expediente se observó que el referido Dictamen Único de Factibilidad no fue sustentado en las Evaluaciones Técnicas de Impacto a las que hace referencia la presente solicitud de información pública, ya que el proyecto para el cual fue emitido, solo se evalúo en materia de Impacto Sanitario.</w:t>
      </w:r>
    </w:p>
    <w:p w:rsidR="00855A8B" w:rsidRPr="00E95267" w:rsidRDefault="00855A8B" w:rsidP="00B02242">
      <w:pPr>
        <w:pStyle w:val="Prrafodelista"/>
        <w:spacing w:after="160" w:line="360" w:lineRule="auto"/>
        <w:ind w:left="0"/>
        <w:rPr>
          <w:rFonts w:ascii="Palatino Linotype" w:eastAsia="Palatino Linotype" w:hAnsi="Palatino Linotype" w:cs="Palatino Linotype"/>
          <w:i/>
          <w:color w:val="000000" w:themeColor="text1"/>
          <w:u w:val="single"/>
        </w:rPr>
      </w:pPr>
    </w:p>
    <w:p w:rsidR="00855A8B" w:rsidRPr="00E95267" w:rsidRDefault="00EF5796"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En esa virtud, </w:t>
      </w:r>
      <w:r w:rsidR="00855A8B" w:rsidRPr="00E95267">
        <w:rPr>
          <w:rFonts w:ascii="Palatino Linotype" w:eastAsia="Palatino Linotype" w:hAnsi="Palatino Linotype" w:cs="Palatino Linotype"/>
          <w:color w:val="000000" w:themeColor="text1"/>
        </w:rPr>
        <w:t xml:space="preserve">como se observa en la solicitud inicial el </w:t>
      </w:r>
      <w:r w:rsidR="00855A8B" w:rsidRPr="00E95267">
        <w:rPr>
          <w:rFonts w:ascii="Palatino Linotype" w:eastAsia="Palatino Linotype" w:hAnsi="Palatino Linotype" w:cs="Palatino Linotype"/>
          <w:b/>
          <w:color w:val="000000" w:themeColor="text1"/>
        </w:rPr>
        <w:t xml:space="preserve">RECURRENTE </w:t>
      </w:r>
      <w:r w:rsidR="00855A8B" w:rsidRPr="00E95267">
        <w:rPr>
          <w:rFonts w:ascii="Palatino Linotype" w:eastAsia="Palatino Linotype" w:hAnsi="Palatino Linotype" w:cs="Palatino Linotype"/>
          <w:color w:val="000000" w:themeColor="text1"/>
        </w:rPr>
        <w:t>solicito tener acceso a “</w:t>
      </w:r>
      <w:r w:rsidR="00855A8B" w:rsidRPr="00E95267">
        <w:rPr>
          <w:rFonts w:ascii="Palatino Linotype" w:eastAsia="Palatino Linotype" w:hAnsi="Palatino Linotype" w:cs="Palatino Linotype"/>
          <w:i/>
          <w:color w:val="000000" w:themeColor="text1"/>
        </w:rPr>
        <w:t xml:space="preserve">Versión pública de los documentos enlistados que fueron entregados para el trámite del DUF: 033 15 03964 COFAEM 2020 </w:t>
      </w:r>
      <w:r w:rsidR="00855A8B" w:rsidRPr="00E95267">
        <w:rPr>
          <w:rFonts w:ascii="Palatino Linotype" w:eastAsia="Palatino Linotype" w:hAnsi="Palatino Linotype" w:cs="Palatino Linotype"/>
          <w:b/>
          <w:i/>
          <w:color w:val="000000" w:themeColor="text1"/>
        </w:rPr>
        <w:t xml:space="preserve">Memoria descriptiva Evaluación técnica de impacto, materia urbana y/o su equivalente Evaluación técnica de impacto en materia de protección civil y/o su equivalente Evaluación técnica de impacto de movilidad y/o su </w:t>
      </w:r>
      <w:r w:rsidR="00855A8B" w:rsidRPr="00E95267">
        <w:rPr>
          <w:rFonts w:ascii="Palatino Linotype" w:eastAsia="Palatino Linotype" w:hAnsi="Palatino Linotype" w:cs="Palatino Linotype"/>
          <w:b/>
          <w:i/>
          <w:color w:val="000000" w:themeColor="text1"/>
        </w:rPr>
        <w:lastRenderedPageBreak/>
        <w:t>equivalente Evaluación técnica de impacto ambiental y/o su equivalente Manifestaciones de impacto ambiental y/o Estudios de riesgo y su equivalente Cédula de zonificación”</w:t>
      </w:r>
      <w:r w:rsidR="00855A8B" w:rsidRPr="00E95267">
        <w:rPr>
          <w:rFonts w:ascii="Palatino Linotype" w:eastAsia="Palatino Linotype" w:hAnsi="Palatino Linotype" w:cs="Palatino Linotype"/>
          <w:i/>
          <w:color w:val="000000" w:themeColor="text1"/>
        </w:rPr>
        <w:t xml:space="preserve">, </w:t>
      </w:r>
      <w:r w:rsidR="00855A8B" w:rsidRPr="00E95267">
        <w:rPr>
          <w:rFonts w:ascii="Palatino Linotype" w:eastAsia="Palatino Linotype" w:hAnsi="Palatino Linotype" w:cs="Palatino Linotype"/>
          <w:color w:val="000000" w:themeColor="text1"/>
        </w:rPr>
        <w:t xml:space="preserve">como se observa dentro de lo solicitado o su equivalente se hace referencia a la evaluación por riesgo sanitario, situación que se menciona porque al dar respuesta el </w:t>
      </w:r>
      <w:r w:rsidR="00855A8B" w:rsidRPr="00E95267">
        <w:rPr>
          <w:rFonts w:ascii="Palatino Linotype" w:eastAsia="Palatino Linotype" w:hAnsi="Palatino Linotype" w:cs="Palatino Linotype"/>
          <w:b/>
          <w:color w:val="000000" w:themeColor="text1"/>
        </w:rPr>
        <w:t xml:space="preserve">SUJETO OBLIGADO </w:t>
      </w:r>
      <w:r w:rsidR="00855A8B" w:rsidRPr="00E95267">
        <w:rPr>
          <w:rFonts w:ascii="Palatino Linotype" w:eastAsia="Palatino Linotype" w:hAnsi="Palatino Linotype" w:cs="Palatino Linotype"/>
          <w:color w:val="000000" w:themeColor="text1"/>
        </w:rPr>
        <w:t>refirió que la evaluación se hizo en ese sentido, situación por la cual al momento de interponer el recurso de revisión el entonces solicitante señalo “</w:t>
      </w:r>
      <w:r w:rsidR="00855A8B" w:rsidRPr="00E95267">
        <w:rPr>
          <w:rFonts w:ascii="Palatino Linotype" w:eastAsia="Palatino Linotype" w:hAnsi="Palatino Linotype" w:cs="Palatino Linotype"/>
          <w:b/>
          <w:i/>
          <w:color w:val="000000" w:themeColor="text1"/>
        </w:rPr>
        <w:t>sino solamente se evaluó las de IMPACTO SANITARIO", que no anexa</w:t>
      </w:r>
      <w:r w:rsidR="00855A8B" w:rsidRPr="00E95267">
        <w:rPr>
          <w:rFonts w:ascii="Palatino Linotype" w:eastAsia="Palatino Linotype" w:hAnsi="Palatino Linotype" w:cs="Palatino Linotype"/>
          <w:color w:val="000000" w:themeColor="text1"/>
        </w:rPr>
        <w:t xml:space="preserve"> “, documento que no fue solicitado de manera inicia. </w:t>
      </w:r>
    </w:p>
    <w:p w:rsidR="00855A8B" w:rsidRPr="00E95267" w:rsidRDefault="00855A8B" w:rsidP="00B02242">
      <w:pPr>
        <w:pStyle w:val="Prrafodelista"/>
        <w:ind w:left="0"/>
        <w:rPr>
          <w:rFonts w:ascii="Palatino Linotype" w:eastAsia="Palatino Linotype" w:hAnsi="Palatino Linotype" w:cs="Palatino Linotype"/>
          <w:color w:val="000000" w:themeColor="text1"/>
        </w:rPr>
      </w:pPr>
    </w:p>
    <w:p w:rsidR="00EF5796" w:rsidRPr="00E95267" w:rsidRDefault="00855A8B"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En ese sentido los motivos de inconformidad </w:t>
      </w:r>
      <w:r w:rsidR="00EF5796" w:rsidRPr="00E95267">
        <w:rPr>
          <w:rFonts w:ascii="Palatino Linotype" w:eastAsia="Palatino Linotype" w:hAnsi="Palatino Linotype" w:cs="Palatino Linotype"/>
          <w:color w:val="000000" w:themeColor="text1"/>
        </w:rPr>
        <w:t xml:space="preserve">resultan inoperantes en el caso particular, toda vez que como quedó acreditado en párrafos anteriores, de la respuesta del </w:t>
      </w:r>
      <w:r w:rsidR="00EF5796" w:rsidRPr="00E95267">
        <w:rPr>
          <w:rFonts w:ascii="Palatino Linotype" w:eastAsia="Palatino Linotype" w:hAnsi="Palatino Linotype" w:cs="Palatino Linotype"/>
          <w:b/>
          <w:color w:val="000000" w:themeColor="text1"/>
        </w:rPr>
        <w:t>Sujeto Obligado</w:t>
      </w:r>
      <w:r w:rsidR="00EF5796" w:rsidRPr="00E95267">
        <w:rPr>
          <w:rFonts w:ascii="Palatino Linotype" w:eastAsia="Palatino Linotype" w:hAnsi="Palatino Linotype" w:cs="Palatino Linotype"/>
          <w:color w:val="000000" w:themeColor="text1"/>
        </w:rPr>
        <w:t xml:space="preserve">, se advierte que el </w:t>
      </w:r>
      <w:r w:rsidR="00EF5796" w:rsidRPr="00E95267">
        <w:rPr>
          <w:rFonts w:ascii="Palatino Linotype" w:eastAsia="Palatino Linotype" w:hAnsi="Palatino Linotype" w:cs="Palatino Linotype"/>
          <w:b/>
          <w:color w:val="000000" w:themeColor="text1"/>
        </w:rPr>
        <w:t>RECURRENTE</w:t>
      </w:r>
      <w:r w:rsidR="00EF5796" w:rsidRPr="00E95267">
        <w:rPr>
          <w:rFonts w:ascii="Palatino Linotype" w:eastAsia="Palatino Linotype" w:hAnsi="Palatino Linotype" w:cs="Palatino Linotype"/>
          <w:color w:val="000000" w:themeColor="text1"/>
        </w:rPr>
        <w:t xml:space="preserve"> se inconforma de información que no había solicitado</w:t>
      </w:r>
      <w:r w:rsidRPr="00E95267">
        <w:rPr>
          <w:rFonts w:ascii="Palatino Linotype" w:eastAsia="Palatino Linotype" w:hAnsi="Palatino Linotype" w:cs="Palatino Linotype"/>
          <w:color w:val="000000" w:themeColor="text1"/>
        </w:rPr>
        <w:t xml:space="preserve"> de manera inicial, situación por la cual se configura la ampliación de la  solicitud de información. </w:t>
      </w:r>
    </w:p>
    <w:p w:rsidR="00855A8B" w:rsidRPr="00E95267" w:rsidRDefault="00855A8B" w:rsidP="00B02242">
      <w:pPr>
        <w:pStyle w:val="Prrafodelista"/>
        <w:ind w:left="0"/>
        <w:rPr>
          <w:rFonts w:ascii="Palatino Linotype" w:eastAsia="Palatino Linotype" w:hAnsi="Palatino Linotype" w:cs="Palatino Linotype"/>
          <w:color w:val="000000" w:themeColor="text1"/>
        </w:rPr>
      </w:pPr>
    </w:p>
    <w:p w:rsidR="00855A8B" w:rsidRPr="00E95267" w:rsidRDefault="00855A8B"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Sin embargo, a pesar de haber sido ampliada la solicitud de información el </w:t>
      </w:r>
      <w:r w:rsidRPr="00E95267">
        <w:rPr>
          <w:rFonts w:ascii="Palatino Linotype" w:eastAsia="Palatino Linotype" w:hAnsi="Palatino Linotype" w:cs="Palatino Linotype"/>
          <w:b/>
          <w:color w:val="000000" w:themeColor="text1"/>
        </w:rPr>
        <w:t xml:space="preserve">SUJETO OBLIGADO </w:t>
      </w:r>
      <w:r w:rsidRPr="00E95267">
        <w:rPr>
          <w:rFonts w:ascii="Palatino Linotype" w:eastAsia="Palatino Linotype" w:hAnsi="Palatino Linotype" w:cs="Palatino Linotype"/>
          <w:color w:val="000000" w:themeColor="text1"/>
        </w:rPr>
        <w:t xml:space="preserve">mediante la etapa de manifestaciones agrego en versión pública la Evaluación Técnica Para La Obtención Del Dictamen Único de Factibilidad contra riesgos sanitarios. </w:t>
      </w:r>
    </w:p>
    <w:p w:rsidR="00EF5796" w:rsidRPr="00E95267" w:rsidRDefault="00EF5796" w:rsidP="00B02242">
      <w:pPr>
        <w:pStyle w:val="Prrafodelista"/>
        <w:ind w:left="0"/>
        <w:rPr>
          <w:rFonts w:ascii="Palatino Linotype" w:eastAsia="Palatino Linotype" w:hAnsi="Palatino Linotype" w:cs="Palatino Linotype"/>
          <w:color w:val="000000" w:themeColor="text1"/>
        </w:rPr>
      </w:pPr>
    </w:p>
    <w:p w:rsidR="00EF5796" w:rsidRPr="00E95267" w:rsidRDefault="00EF5796"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En ese orden de ideas, podemos llegar a la conclusión </w:t>
      </w:r>
      <w:r w:rsidR="00EE06FF" w:rsidRPr="00E95267">
        <w:rPr>
          <w:rFonts w:ascii="Palatino Linotype" w:eastAsia="Palatino Linotype" w:hAnsi="Palatino Linotype" w:cs="Palatino Linotype"/>
          <w:color w:val="000000" w:themeColor="text1"/>
        </w:rPr>
        <w:t xml:space="preserve">que el </w:t>
      </w:r>
      <w:r w:rsidR="00EE06FF" w:rsidRPr="00E95267">
        <w:rPr>
          <w:rFonts w:ascii="Palatino Linotype" w:eastAsia="Palatino Linotype" w:hAnsi="Palatino Linotype" w:cs="Palatino Linotype"/>
          <w:b/>
          <w:color w:val="000000" w:themeColor="text1"/>
        </w:rPr>
        <w:t xml:space="preserve">RECURRENTE </w:t>
      </w:r>
      <w:r w:rsidR="00EE06FF" w:rsidRPr="00E95267">
        <w:rPr>
          <w:rFonts w:ascii="Palatino Linotype" w:eastAsia="Palatino Linotype" w:hAnsi="Palatino Linotype" w:cs="Palatino Linotype"/>
          <w:color w:val="000000" w:themeColor="text1"/>
        </w:rPr>
        <w:t>amplio la solicitud de información al momento de interponer el recurso de revisión</w:t>
      </w:r>
      <w:r w:rsidRPr="00E95267">
        <w:rPr>
          <w:rFonts w:ascii="Palatino Linotype" w:eastAsia="Palatino Linotype" w:hAnsi="Palatino Linotype" w:cs="Palatino Linotype"/>
          <w:color w:val="000000" w:themeColor="text1"/>
        </w:rPr>
        <w:t>.</w:t>
      </w:r>
    </w:p>
    <w:p w:rsidR="00EF5796" w:rsidRPr="00E95267" w:rsidRDefault="00EF5796" w:rsidP="00B02242">
      <w:pPr>
        <w:pStyle w:val="Prrafodelista"/>
        <w:ind w:left="0"/>
        <w:rPr>
          <w:rFonts w:ascii="Palatino Linotype" w:eastAsia="Palatino Linotype" w:hAnsi="Palatino Linotype" w:cs="Palatino Linotype"/>
          <w:color w:val="000000" w:themeColor="text1"/>
        </w:rPr>
      </w:pPr>
    </w:p>
    <w:p w:rsidR="00EF5796" w:rsidRPr="00E95267" w:rsidRDefault="00EF5796" w:rsidP="00B02242">
      <w:pPr>
        <w:pStyle w:val="Prrafodelista"/>
        <w:spacing w:before="240" w:after="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lastRenderedPageBreak/>
        <w:t xml:space="preserve">Por consiguiente, en estricto derecho, la alegación de la parte </w:t>
      </w:r>
      <w:r w:rsidRPr="00E95267">
        <w:rPr>
          <w:rFonts w:ascii="Palatino Linotype" w:eastAsia="Palatino Linotype" w:hAnsi="Palatino Linotype" w:cs="Palatino Linotype"/>
          <w:b/>
          <w:color w:val="000000" w:themeColor="text1"/>
        </w:rPr>
        <w:t>Recurrente</w:t>
      </w:r>
      <w:r w:rsidRPr="00E95267">
        <w:rPr>
          <w:rFonts w:ascii="Palatino Linotype" w:eastAsia="Palatino Linotype" w:hAnsi="Palatino Linotype" w:cs="Palatino Linotype"/>
          <w:color w:val="000000" w:themeColor="text1"/>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rsidR="00EF5796" w:rsidRPr="00E95267" w:rsidRDefault="00EF5796" w:rsidP="00B02242">
      <w:pPr>
        <w:pStyle w:val="Prrafodelista"/>
        <w:spacing w:before="240" w:after="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Por tales circunstancias, este Instituto se encuentra impedido a entrar al estudio de fondo, en virtud que la particular no manifestó razones o motivos de inconformidad, relacionados con la </w:t>
      </w:r>
      <w:r w:rsidR="00EE06FF" w:rsidRPr="00E95267">
        <w:rPr>
          <w:rFonts w:ascii="Palatino Linotype" w:eastAsia="Palatino Linotype" w:hAnsi="Palatino Linotype" w:cs="Palatino Linotype"/>
          <w:color w:val="000000" w:themeColor="text1"/>
        </w:rPr>
        <w:t xml:space="preserve">solicitud inicial. </w:t>
      </w:r>
    </w:p>
    <w:p w:rsidR="00EF5796" w:rsidRPr="00E95267" w:rsidRDefault="00EF5796" w:rsidP="00B02242">
      <w:pPr>
        <w:pStyle w:val="Prrafodelista"/>
        <w:spacing w:before="240" w:after="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numPr>
          <w:ilvl w:val="0"/>
          <w:numId w:val="1"/>
        </w:numPr>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que no se actualizó algún supuesto de procedencia, se determina </w:t>
      </w:r>
      <w:r w:rsidRPr="00E95267">
        <w:rPr>
          <w:rFonts w:ascii="Palatino Linotype" w:eastAsia="Palatino Linotype" w:hAnsi="Palatino Linotype" w:cs="Palatino Linotype"/>
          <w:b/>
          <w:i/>
          <w:color w:val="000000" w:themeColor="text1"/>
        </w:rPr>
        <w:t xml:space="preserve">sobreseer </w:t>
      </w:r>
      <w:r w:rsidRPr="00E95267">
        <w:rPr>
          <w:rFonts w:ascii="Palatino Linotype" w:eastAsia="Palatino Linotype" w:hAnsi="Palatino Linotype" w:cs="Palatino Linotype"/>
          <w:color w:val="000000" w:themeColor="text1"/>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w:t>
      </w:r>
      <w:r w:rsidRPr="00E95267">
        <w:rPr>
          <w:rFonts w:ascii="Palatino Linotype" w:eastAsia="Palatino Linotype" w:hAnsi="Palatino Linotype" w:cs="Palatino Linotype"/>
          <w:color w:val="000000" w:themeColor="text1"/>
        </w:rPr>
        <w:fldChar w:fldCharType="begin"/>
      </w:r>
      <w:r w:rsidRPr="00E95267">
        <w:rPr>
          <w:rFonts w:ascii="Palatino Linotype" w:eastAsia="Palatino Linotype" w:hAnsi="Palatino Linotype" w:cs="Palatino Linotype"/>
          <w:color w:val="000000" w:themeColor="text1"/>
        </w:rPr>
        <w:instrText xml:space="preserve"> fracción VII del  </w:instrText>
      </w:r>
      <w:r w:rsidRPr="00E95267">
        <w:rPr>
          <w:rFonts w:ascii="Palatino Linotype" w:eastAsia="Palatino Linotype" w:hAnsi="Palatino Linotype" w:cs="Palatino Linotype"/>
          <w:color w:val="000000" w:themeColor="text1"/>
        </w:rPr>
        <w:fldChar w:fldCharType="separate"/>
      </w:r>
      <w:r w:rsidR="00E95267">
        <w:rPr>
          <w:rFonts w:ascii="Palatino Linotype" w:eastAsia="Palatino Linotype" w:hAnsi="Palatino Linotype" w:cs="Palatino Linotype"/>
          <w:b/>
          <w:bCs/>
          <w:color w:val="000000" w:themeColor="text1"/>
          <w:lang w:val="es-ES"/>
        </w:rPr>
        <w:t>¡Error! Marcador no definido.</w:t>
      </w:r>
      <w:r w:rsidRPr="00E95267">
        <w:rPr>
          <w:rFonts w:ascii="Palatino Linotype" w:eastAsia="Palatino Linotype" w:hAnsi="Palatino Linotype" w:cs="Palatino Linotype"/>
          <w:color w:val="000000" w:themeColor="text1"/>
        </w:rPr>
        <w:fldChar w:fldCharType="end"/>
      </w:r>
      <w:r w:rsidRPr="00E95267">
        <w:rPr>
          <w:rFonts w:ascii="Palatino Linotype" w:eastAsia="Palatino Linotype" w:hAnsi="Palatino Linotype" w:cs="Palatino Linotype"/>
          <w:color w:val="000000" w:themeColor="text1"/>
        </w:rPr>
        <w:t>artículo 191 del ordenamiento legal en cita, los que se transcriben a continuación, para un mejor entendimiento:</w:t>
      </w:r>
    </w:p>
    <w:p w:rsidR="00EF5796" w:rsidRPr="00E95267" w:rsidRDefault="00EF5796" w:rsidP="00B02242">
      <w:pPr>
        <w:pStyle w:val="Prrafodelista"/>
        <w:ind w:left="0"/>
        <w:rPr>
          <w:rFonts w:ascii="Palatino Linotype" w:eastAsia="Palatino Linotype" w:hAnsi="Palatino Linotype" w:cs="Palatino Linotype"/>
          <w:color w:val="000000" w:themeColor="text1"/>
        </w:rPr>
      </w:pPr>
    </w:p>
    <w:p w:rsidR="00EF5796" w:rsidRPr="00E95267" w:rsidRDefault="00EF5796" w:rsidP="00B02242">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i/>
          <w:color w:val="000000" w:themeColor="text1"/>
        </w:rPr>
        <w:t>“</w:t>
      </w:r>
      <w:r w:rsidRPr="00E95267">
        <w:rPr>
          <w:rFonts w:ascii="Palatino Linotype" w:eastAsia="Palatino Linotype" w:hAnsi="Palatino Linotype" w:cs="Palatino Linotype"/>
          <w:b/>
          <w:i/>
          <w:color w:val="000000" w:themeColor="text1"/>
        </w:rPr>
        <w:t>Artículo 191</w:t>
      </w:r>
      <w:r w:rsidRPr="00E95267">
        <w:rPr>
          <w:rFonts w:ascii="Palatino Linotype" w:eastAsia="Palatino Linotype" w:hAnsi="Palatino Linotype" w:cs="Palatino Linotype"/>
          <w:i/>
          <w:color w:val="000000" w:themeColor="text1"/>
        </w:rPr>
        <w:t xml:space="preserve">. </w:t>
      </w:r>
      <w:r w:rsidRPr="00E95267">
        <w:rPr>
          <w:rFonts w:ascii="Palatino Linotype" w:eastAsia="Palatino Linotype" w:hAnsi="Palatino Linotype" w:cs="Palatino Linotype"/>
          <w:b/>
          <w:i/>
          <w:color w:val="000000" w:themeColor="text1"/>
        </w:rPr>
        <w:t>El recurso</w:t>
      </w:r>
      <w:r w:rsidRPr="00E95267">
        <w:rPr>
          <w:rFonts w:ascii="Palatino Linotype" w:eastAsia="Palatino Linotype" w:hAnsi="Palatino Linotype" w:cs="Palatino Linotype"/>
          <w:i/>
          <w:color w:val="000000" w:themeColor="text1"/>
        </w:rPr>
        <w:t xml:space="preserve"> </w:t>
      </w:r>
      <w:r w:rsidRPr="00E95267">
        <w:rPr>
          <w:rFonts w:ascii="Palatino Linotype" w:eastAsia="Palatino Linotype" w:hAnsi="Palatino Linotype" w:cs="Palatino Linotype"/>
          <w:b/>
          <w:i/>
          <w:color w:val="000000" w:themeColor="text1"/>
        </w:rPr>
        <w:t xml:space="preserve">será </w:t>
      </w:r>
      <w:r w:rsidRPr="00E95267">
        <w:rPr>
          <w:rFonts w:ascii="Palatino Linotype" w:eastAsia="Palatino Linotype" w:hAnsi="Palatino Linotype" w:cs="Palatino Linotype"/>
          <w:i/>
          <w:color w:val="000000" w:themeColor="text1"/>
        </w:rPr>
        <w:t xml:space="preserve">desechado por </w:t>
      </w:r>
      <w:r w:rsidRPr="00E95267">
        <w:rPr>
          <w:rFonts w:ascii="Palatino Linotype" w:eastAsia="Palatino Linotype" w:hAnsi="Palatino Linotype" w:cs="Palatino Linotype"/>
          <w:b/>
          <w:i/>
          <w:color w:val="000000" w:themeColor="text1"/>
        </w:rPr>
        <w:t>improcedente cuando</w:t>
      </w:r>
      <w:r w:rsidRPr="00E95267">
        <w:rPr>
          <w:rFonts w:ascii="Palatino Linotype" w:eastAsia="Palatino Linotype" w:hAnsi="Palatino Linotype" w:cs="Palatino Linotype"/>
          <w:i/>
          <w:color w:val="000000" w:themeColor="text1"/>
        </w:rPr>
        <w:t>:</w:t>
      </w:r>
    </w:p>
    <w:p w:rsidR="00EF5796" w:rsidRPr="00E95267" w:rsidRDefault="00EF5796" w:rsidP="00B02242">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p>
    <w:p w:rsidR="00EF5796" w:rsidRPr="00E95267" w:rsidRDefault="00EF5796" w:rsidP="00B02242">
      <w:pPr>
        <w:pStyle w:val="Prrafodelista"/>
        <w:tabs>
          <w:tab w:val="left" w:pos="7938"/>
        </w:tabs>
        <w:spacing w:before="120" w:after="120"/>
        <w:ind w:left="0"/>
        <w:jc w:val="both"/>
        <w:rPr>
          <w:rFonts w:ascii="Palatino Linotype" w:eastAsia="Palatino Linotype" w:hAnsi="Palatino Linotype" w:cs="Palatino Linotype"/>
          <w:b/>
          <w:i/>
          <w:color w:val="000000" w:themeColor="text1"/>
        </w:rPr>
      </w:pPr>
      <w:r w:rsidRPr="00E95267">
        <w:rPr>
          <w:rFonts w:ascii="Palatino Linotype" w:eastAsia="Palatino Linotype" w:hAnsi="Palatino Linotype" w:cs="Palatino Linotype"/>
          <w:b/>
          <w:i/>
          <w:color w:val="000000" w:themeColor="text1"/>
        </w:rPr>
        <w:t xml:space="preserve">VII. </w:t>
      </w:r>
      <w:r w:rsidRPr="00E95267">
        <w:rPr>
          <w:rFonts w:ascii="Palatino Linotype" w:eastAsia="Palatino Linotype" w:hAnsi="Palatino Linotype" w:cs="Palatino Linotype"/>
          <w:i/>
          <w:color w:val="000000" w:themeColor="text1"/>
        </w:rPr>
        <w:t>El recurrente amplíe su solicitud en el recurso de revisión, únicamente respecto de los nuevos contenidos.</w:t>
      </w:r>
      <w:r w:rsidRPr="00E95267">
        <w:rPr>
          <w:rFonts w:ascii="Palatino Linotype" w:eastAsia="Palatino Linotype" w:hAnsi="Palatino Linotype" w:cs="Palatino Linotype"/>
          <w:b/>
          <w:i/>
          <w:color w:val="000000" w:themeColor="text1"/>
        </w:rPr>
        <w:t>;</w:t>
      </w:r>
    </w:p>
    <w:p w:rsidR="00EF5796" w:rsidRPr="00E95267" w:rsidRDefault="00EF5796" w:rsidP="00B02242">
      <w:pPr>
        <w:pStyle w:val="Prrafodelista"/>
        <w:tabs>
          <w:tab w:val="left" w:pos="7938"/>
        </w:tabs>
        <w:spacing w:before="120" w:after="120"/>
        <w:ind w:left="0"/>
        <w:jc w:val="both"/>
        <w:rPr>
          <w:rFonts w:ascii="Palatino Linotype" w:eastAsia="Palatino Linotype" w:hAnsi="Palatino Linotype" w:cs="Palatino Linotype"/>
          <w:b/>
          <w:i/>
          <w:color w:val="000000" w:themeColor="text1"/>
        </w:rPr>
      </w:pPr>
    </w:p>
    <w:p w:rsidR="00EF5796" w:rsidRPr="00E95267" w:rsidRDefault="00EF5796" w:rsidP="00B02242">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b/>
          <w:i/>
          <w:color w:val="000000" w:themeColor="text1"/>
        </w:rPr>
        <w:lastRenderedPageBreak/>
        <w:t>Artículo 192.</w:t>
      </w:r>
      <w:r w:rsidRPr="00E95267">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EF5796" w:rsidRPr="00E95267" w:rsidRDefault="00EF5796" w:rsidP="00B02242">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p>
    <w:p w:rsidR="00EF5796" w:rsidRPr="00E95267" w:rsidRDefault="00EF5796" w:rsidP="00B02242">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b/>
          <w:i/>
          <w:color w:val="000000" w:themeColor="text1"/>
        </w:rPr>
        <w:t>IV</w:t>
      </w:r>
      <w:r w:rsidRPr="00E95267">
        <w:rPr>
          <w:rFonts w:ascii="Palatino Linotype" w:eastAsia="Palatino Linotype" w:hAnsi="Palatino Linotype" w:cs="Palatino Linotype"/>
          <w:i/>
          <w:color w:val="000000" w:themeColor="text1"/>
        </w:rPr>
        <w:t xml:space="preserve">. Admitido el recurso de revisión, </w:t>
      </w:r>
      <w:r w:rsidRPr="00E95267">
        <w:rPr>
          <w:rFonts w:ascii="Palatino Linotype" w:eastAsia="Palatino Linotype" w:hAnsi="Palatino Linotype" w:cs="Palatino Linotype"/>
          <w:b/>
          <w:i/>
          <w:color w:val="000000" w:themeColor="text1"/>
        </w:rPr>
        <w:t>aparezca alguna causal de improcedencia</w:t>
      </w:r>
      <w:r w:rsidRPr="00E95267">
        <w:rPr>
          <w:rFonts w:ascii="Palatino Linotype" w:eastAsia="Palatino Linotype" w:hAnsi="Palatino Linotype" w:cs="Palatino Linotype"/>
          <w:i/>
          <w:color w:val="000000" w:themeColor="text1"/>
        </w:rPr>
        <w:t xml:space="preserve"> en los términos de la presente Ley. “</w:t>
      </w:r>
    </w:p>
    <w:p w:rsidR="00EF5796" w:rsidRPr="00E95267" w:rsidRDefault="00EF5796" w:rsidP="00B02242">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EF5796" w:rsidRPr="00E95267" w:rsidRDefault="00EF5796" w:rsidP="00B02242">
      <w:pPr>
        <w:pStyle w:val="Prrafodelista"/>
        <w:numPr>
          <w:ilvl w:val="0"/>
          <w:numId w:val="1"/>
        </w:numPr>
        <w:spacing w:before="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Siendo el </w:t>
      </w:r>
      <w:r w:rsidRPr="00E95267">
        <w:rPr>
          <w:rFonts w:ascii="Palatino Linotype" w:eastAsia="Palatino Linotype" w:hAnsi="Palatino Linotype" w:cs="Palatino Linotype"/>
          <w:i/>
          <w:color w:val="000000" w:themeColor="text1"/>
        </w:rPr>
        <w:t>sobreseimiento</w:t>
      </w:r>
      <w:r w:rsidRPr="00E95267">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EF5796" w:rsidRPr="00E95267" w:rsidRDefault="00EF5796" w:rsidP="00B02242">
      <w:pPr>
        <w:pStyle w:val="Prrafodelista"/>
        <w:spacing w:before="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spacing w:after="120"/>
        <w:ind w:left="0"/>
        <w:jc w:val="both"/>
        <w:rPr>
          <w:rFonts w:ascii="Palatino Linotype" w:eastAsia="Palatino Linotype" w:hAnsi="Palatino Linotype" w:cs="Palatino Linotype"/>
          <w:b/>
          <w:i/>
          <w:color w:val="000000" w:themeColor="text1"/>
        </w:rPr>
      </w:pPr>
      <w:r w:rsidRPr="00E95267">
        <w:rPr>
          <w:rFonts w:ascii="Palatino Linotype" w:eastAsia="Palatino Linotype" w:hAnsi="Palatino Linotype" w:cs="Palatino Linotype"/>
          <w:i/>
          <w:color w:val="000000" w:themeColor="text1"/>
        </w:rPr>
        <w:t>“</w:t>
      </w:r>
      <w:r w:rsidRPr="00E95267">
        <w:rPr>
          <w:rFonts w:ascii="Palatino Linotype" w:eastAsia="Palatino Linotype" w:hAnsi="Palatino Linotype" w:cs="Palatino Linotype"/>
          <w:b/>
          <w:i/>
          <w:color w:val="000000" w:themeColor="text1"/>
        </w:rPr>
        <w:t>SOBRESEIMIENTO, NO PERMITE ENTRAR AL ESTUDIO DE LAS CUESTIONES DE FONDO</w:t>
      </w:r>
    </w:p>
    <w:p w:rsidR="00EF5796" w:rsidRPr="00E95267" w:rsidRDefault="00EF5796" w:rsidP="00B02242">
      <w:pPr>
        <w:pStyle w:val="Prrafodelista"/>
        <w:spacing w:before="120" w:after="12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EF5796" w:rsidRPr="00E95267" w:rsidRDefault="00EF5796" w:rsidP="00B02242">
      <w:pPr>
        <w:pStyle w:val="Prrafodelista"/>
        <w:spacing w:before="120" w:after="12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EF5796" w:rsidRPr="00E95267" w:rsidRDefault="00EF5796" w:rsidP="00B02242">
      <w:pPr>
        <w:pStyle w:val="Prrafodelista"/>
        <w:spacing w:before="120" w:after="120"/>
        <w:ind w:left="0"/>
        <w:jc w:val="both"/>
        <w:rPr>
          <w:rFonts w:ascii="Palatino Linotype" w:eastAsia="Palatino Linotype" w:hAnsi="Palatino Linotype" w:cs="Palatino Linotype"/>
          <w:i/>
          <w:color w:val="000000" w:themeColor="text1"/>
        </w:rPr>
      </w:pPr>
    </w:p>
    <w:p w:rsidR="00EF5796" w:rsidRPr="00E95267" w:rsidRDefault="00EF5796"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EF5796" w:rsidRPr="00E95267" w:rsidRDefault="00EF5796" w:rsidP="00B02242">
      <w:pPr>
        <w:pStyle w:val="Prrafodelista"/>
        <w:spacing w:before="120" w:after="120"/>
        <w:ind w:left="0"/>
        <w:jc w:val="both"/>
        <w:rPr>
          <w:rFonts w:ascii="Palatino Linotype" w:eastAsia="Palatino Linotype" w:hAnsi="Palatino Linotype" w:cs="Palatino Linotype"/>
          <w:b/>
          <w:i/>
          <w:color w:val="000000" w:themeColor="text1"/>
        </w:rPr>
      </w:pPr>
      <w:r w:rsidRPr="00E95267">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EF5796" w:rsidRPr="00E95267" w:rsidRDefault="00EF5796" w:rsidP="00B02242">
      <w:pPr>
        <w:pStyle w:val="Prrafodelista"/>
        <w:spacing w:before="120" w:after="120"/>
        <w:ind w:left="0"/>
        <w:jc w:val="both"/>
        <w:rPr>
          <w:rFonts w:ascii="Palatino Linotype" w:eastAsia="Palatino Linotype" w:hAnsi="Palatino Linotype" w:cs="Palatino Linotype"/>
          <w:i/>
          <w:color w:val="000000" w:themeColor="text1"/>
        </w:rPr>
      </w:pPr>
      <w:r w:rsidRPr="00E95267">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w:t>
      </w:r>
      <w:r w:rsidRPr="00E95267">
        <w:rPr>
          <w:rFonts w:ascii="Palatino Linotype" w:eastAsia="Palatino Linotype" w:hAnsi="Palatino Linotype" w:cs="Palatino Linotype"/>
          <w:i/>
          <w:color w:val="000000" w:themeColor="text1"/>
        </w:rPr>
        <w:lastRenderedPageBreak/>
        <w:t>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E95267">
        <w:rPr>
          <w:rFonts w:ascii="Palatino Linotype" w:eastAsia="Palatino Linotype" w:hAnsi="Palatino Linotype" w:cs="Palatino Linotype"/>
          <w:color w:val="000000" w:themeColor="text1"/>
        </w:rPr>
        <w:tab/>
      </w:r>
    </w:p>
    <w:p w:rsidR="00EF5796" w:rsidRPr="00E95267" w:rsidRDefault="00EF5796" w:rsidP="00B02242">
      <w:pPr>
        <w:pStyle w:val="Prrafodelista"/>
        <w:spacing w:before="120" w:after="120"/>
        <w:ind w:left="0"/>
        <w:jc w:val="both"/>
        <w:rPr>
          <w:rFonts w:ascii="Palatino Linotype" w:eastAsia="Palatino Linotype" w:hAnsi="Palatino Linotype" w:cs="Palatino Linotype"/>
          <w:i/>
          <w:color w:val="000000" w:themeColor="text1"/>
        </w:rPr>
      </w:pPr>
    </w:p>
    <w:p w:rsidR="00EF5796" w:rsidRPr="00E95267" w:rsidRDefault="00EF5796"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bookmarkStart w:id="16" w:name="_heading=h.gjdgxs" w:colFirst="0" w:colLast="0"/>
      <w:bookmarkEnd w:id="16"/>
      <w:r w:rsidRPr="00E95267">
        <w:rPr>
          <w:rFonts w:ascii="Palatino Linotype" w:eastAsia="Palatino Linotype" w:hAnsi="Palatino Linotype" w:cs="Palatino Linotype"/>
          <w:color w:val="000000" w:themeColor="text1"/>
        </w:rPr>
        <w:t xml:space="preserve">Finalmente, se dejan a salvo los derechos de la particular a fin de que de considerarlo pertinente, interponga una nueva solicitud de acceso ante el </w:t>
      </w:r>
      <w:r w:rsidRPr="00E95267">
        <w:rPr>
          <w:rFonts w:ascii="Palatino Linotype" w:eastAsia="Palatino Linotype" w:hAnsi="Palatino Linotype" w:cs="Palatino Linotype"/>
          <w:b/>
          <w:color w:val="000000" w:themeColor="text1"/>
        </w:rPr>
        <w:t>Sujeto Obligado</w:t>
      </w:r>
      <w:r w:rsidRPr="00E95267">
        <w:rPr>
          <w:rFonts w:ascii="Palatino Linotype" w:eastAsia="Palatino Linotype" w:hAnsi="Palatino Linotype" w:cs="Palatino Linotype"/>
          <w:color w:val="000000" w:themeColor="text1"/>
        </w:rPr>
        <w:t xml:space="preserve">, a fin de solicitar la información de su interés. </w:t>
      </w:r>
    </w:p>
    <w:p w:rsidR="00EF5796" w:rsidRPr="00E95267" w:rsidRDefault="00EF5796" w:rsidP="00B02242">
      <w:pPr>
        <w:pStyle w:val="Prrafodelista"/>
        <w:spacing w:before="240" w:after="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numPr>
          <w:ilvl w:val="0"/>
          <w:numId w:val="1"/>
        </w:numP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E95267">
        <w:rPr>
          <w:rFonts w:ascii="Palatino Linotype" w:eastAsia="Palatino Linotype" w:hAnsi="Palatino Linotype" w:cs="Palatino Linotype"/>
          <w:b/>
          <w:color w:val="000000" w:themeColor="text1"/>
        </w:rPr>
        <w:t xml:space="preserve">Sobresee </w:t>
      </w:r>
      <w:r w:rsidRPr="00E95267">
        <w:rPr>
          <w:rFonts w:ascii="Palatino Linotype" w:eastAsia="Palatino Linotype" w:hAnsi="Palatino Linotype" w:cs="Palatino Linotype"/>
          <w:color w:val="000000" w:themeColor="text1"/>
        </w:rPr>
        <w:t xml:space="preserve">el recurso de revisión </w:t>
      </w:r>
      <w:r w:rsidR="0076612A" w:rsidRPr="00E95267">
        <w:rPr>
          <w:rFonts w:ascii="Palatino Linotype" w:eastAsia="Palatino Linotype" w:hAnsi="Palatino Linotype" w:cs="Palatino Linotype"/>
          <w:b/>
          <w:color w:val="000000" w:themeColor="text1"/>
        </w:rPr>
        <w:t>01033/INFOEM/IP/RR/2025</w:t>
      </w:r>
      <w:r w:rsidRPr="00E95267">
        <w:rPr>
          <w:rFonts w:ascii="Palatino Linotype" w:eastAsia="Palatino Linotype" w:hAnsi="Palatino Linotype" w:cs="Palatino Linotype"/>
          <w:color w:val="000000" w:themeColor="text1"/>
        </w:rPr>
        <w:t>, que ha sido materia del presente fallo.</w:t>
      </w:r>
    </w:p>
    <w:p w:rsidR="00EF5796" w:rsidRPr="00E95267" w:rsidRDefault="00EF5796" w:rsidP="00B02242">
      <w:pPr>
        <w:pStyle w:val="Prrafodelista"/>
        <w:spacing w:before="240" w:after="240" w:line="360" w:lineRule="auto"/>
        <w:ind w:left="0"/>
        <w:jc w:val="both"/>
        <w:rPr>
          <w:rFonts w:ascii="Palatino Linotype" w:eastAsia="Palatino Linotype" w:hAnsi="Palatino Linotype" w:cs="Palatino Linotype"/>
          <w:color w:val="000000" w:themeColor="text1"/>
        </w:rPr>
      </w:pPr>
    </w:p>
    <w:p w:rsidR="00EF5796" w:rsidRPr="00E95267" w:rsidRDefault="00EF5796" w:rsidP="00B02242">
      <w:pPr>
        <w:pStyle w:val="Prrafodelista"/>
        <w:numPr>
          <w:ilvl w:val="0"/>
          <w:numId w:val="1"/>
        </w:numPr>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EF5796" w:rsidRPr="00E95267" w:rsidRDefault="00EF5796" w:rsidP="00B02242">
      <w:pPr>
        <w:pStyle w:val="Prrafodelista"/>
        <w:tabs>
          <w:tab w:val="left" w:pos="426"/>
        </w:tabs>
        <w:spacing w:line="360" w:lineRule="auto"/>
        <w:ind w:left="0"/>
        <w:jc w:val="both"/>
        <w:rPr>
          <w:rFonts w:ascii="Palatino Linotype" w:hAnsi="Palatino Linotype" w:cs="Tahoma"/>
          <w:color w:val="000000" w:themeColor="text1"/>
          <w:lang w:val="es-ES"/>
        </w:rPr>
      </w:pPr>
    </w:p>
    <w:p w:rsidR="00EF5796" w:rsidRPr="00E95267" w:rsidRDefault="00EF5796" w:rsidP="00B02242">
      <w:pPr>
        <w:pStyle w:val="Prrafodelista"/>
        <w:ind w:left="0"/>
        <w:rPr>
          <w:rFonts w:ascii="Palatino Linotype" w:hAnsi="Palatino Linotype" w:cs="Tahoma"/>
          <w:color w:val="000000" w:themeColor="text1"/>
          <w:lang w:val="es-ES"/>
        </w:rPr>
      </w:pPr>
    </w:p>
    <w:p w:rsidR="00EF5796" w:rsidRPr="00E95267" w:rsidRDefault="00EF5796" w:rsidP="00B02242">
      <w:pPr>
        <w:pStyle w:val="Prrafodelista"/>
        <w:ind w:left="0"/>
        <w:rPr>
          <w:rFonts w:ascii="Palatino Linotype" w:hAnsi="Palatino Linotype"/>
          <w:color w:val="000000" w:themeColor="text1"/>
        </w:rPr>
      </w:pPr>
    </w:p>
    <w:p w:rsidR="00EF5796" w:rsidRPr="00E95267" w:rsidRDefault="00EF5796" w:rsidP="00E95267">
      <w:pPr>
        <w:pStyle w:val="Ttulo1"/>
        <w:spacing w:before="0" w:line="360" w:lineRule="auto"/>
        <w:jc w:val="center"/>
        <w:rPr>
          <w:rFonts w:ascii="Palatino Linotype" w:eastAsia="Calibri" w:hAnsi="Palatino Linotype"/>
          <w:b/>
          <w:color w:val="000000" w:themeColor="text1"/>
          <w:sz w:val="24"/>
          <w:szCs w:val="24"/>
          <w:lang w:val="es-ES"/>
        </w:rPr>
      </w:pPr>
      <w:bookmarkStart w:id="17" w:name="_Toc504500693"/>
      <w:bookmarkStart w:id="18" w:name="_Toc534742545"/>
      <w:bookmarkStart w:id="19" w:name="_Toc2248738"/>
      <w:bookmarkStart w:id="20" w:name="_Toc34819440"/>
      <w:bookmarkStart w:id="21" w:name="_Toc51259595"/>
      <w:bookmarkStart w:id="22" w:name="_Toc83128595"/>
      <w:r w:rsidRPr="00E95267">
        <w:rPr>
          <w:rFonts w:ascii="Palatino Linotype" w:eastAsia="Calibri" w:hAnsi="Palatino Linotype"/>
          <w:b/>
          <w:color w:val="000000" w:themeColor="text1"/>
          <w:sz w:val="24"/>
          <w:szCs w:val="24"/>
          <w:lang w:val="es-ES"/>
        </w:rPr>
        <w:lastRenderedPageBreak/>
        <w:t>R E S O L U T I V O S</w:t>
      </w:r>
      <w:bookmarkEnd w:id="17"/>
      <w:bookmarkEnd w:id="18"/>
      <w:bookmarkEnd w:id="19"/>
      <w:bookmarkEnd w:id="20"/>
      <w:bookmarkEnd w:id="21"/>
      <w:bookmarkEnd w:id="22"/>
    </w:p>
    <w:p w:rsidR="00562F47" w:rsidRPr="00E95267" w:rsidRDefault="008E7388" w:rsidP="00B0224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b/>
          <w:color w:val="000000" w:themeColor="text1"/>
        </w:rPr>
        <w:t xml:space="preserve">PRIMERO. </w:t>
      </w:r>
      <w:r w:rsidR="00EF5796" w:rsidRPr="00E95267">
        <w:rPr>
          <w:rFonts w:ascii="Palatino Linotype" w:eastAsia="Palatino Linotype" w:hAnsi="Palatino Linotype" w:cs="Palatino Linotype"/>
          <w:color w:val="000000" w:themeColor="text1"/>
        </w:rPr>
        <w:t>Se</w:t>
      </w:r>
      <w:r w:rsidR="00EF5796" w:rsidRPr="00E95267">
        <w:rPr>
          <w:rFonts w:ascii="Palatino Linotype" w:eastAsia="Palatino Linotype" w:hAnsi="Palatino Linotype" w:cs="Palatino Linotype"/>
          <w:b/>
          <w:color w:val="000000" w:themeColor="text1"/>
        </w:rPr>
        <w:t xml:space="preserve"> </w:t>
      </w:r>
      <w:r w:rsidRPr="00E95267">
        <w:rPr>
          <w:rFonts w:ascii="Palatino Linotype" w:eastAsia="Palatino Linotype" w:hAnsi="Palatino Linotype" w:cs="Palatino Linotype"/>
          <w:b/>
          <w:color w:val="000000" w:themeColor="text1"/>
        </w:rPr>
        <w:t xml:space="preserve">SOBRESEE </w:t>
      </w:r>
      <w:r w:rsidR="00EF5796" w:rsidRPr="00E95267">
        <w:rPr>
          <w:rFonts w:ascii="Palatino Linotype" w:eastAsia="Palatino Linotype" w:hAnsi="Palatino Linotype" w:cs="Palatino Linotype"/>
          <w:color w:val="000000" w:themeColor="text1"/>
        </w:rPr>
        <w:t xml:space="preserve">el recurso de revisión número </w:t>
      </w:r>
      <w:r w:rsidR="0076612A" w:rsidRPr="00E95267">
        <w:rPr>
          <w:rFonts w:ascii="Palatino Linotype" w:eastAsia="Palatino Linotype" w:hAnsi="Palatino Linotype" w:cs="Palatino Linotype"/>
          <w:b/>
          <w:color w:val="000000" w:themeColor="text1"/>
        </w:rPr>
        <w:t>01033/INFOEM/IP/RR/2025</w:t>
      </w:r>
      <w:r w:rsidR="00EF5796" w:rsidRPr="00E95267">
        <w:rPr>
          <w:rFonts w:ascii="Palatino Linotype" w:eastAsia="Palatino Linotype" w:hAnsi="Palatino Linotype" w:cs="Palatino Linotype"/>
          <w:b/>
          <w:color w:val="000000" w:themeColor="text1"/>
        </w:rPr>
        <w:t xml:space="preserve">, </w:t>
      </w:r>
      <w:r w:rsidR="00EF5796" w:rsidRPr="00E95267">
        <w:rPr>
          <w:rFonts w:ascii="Palatino Linotype" w:eastAsia="Palatino Linotype" w:hAnsi="Palatino Linotype" w:cs="Palatino Linotype"/>
          <w:color w:val="000000" w:themeColor="text1"/>
        </w:rPr>
        <w:t>porque una vez admitido se actualizó la causal de improcedencia prevista en artículo 192 fracción IV, en relación con la fracción VII del artículo 191, de la Ley de Transparencia vigente en la entidad, que lo dejó sin materia en términos del Considerando</w:t>
      </w:r>
      <w:r w:rsidR="00EF5796" w:rsidRPr="00E95267">
        <w:rPr>
          <w:rFonts w:ascii="Palatino Linotype" w:eastAsia="Palatino Linotype" w:hAnsi="Palatino Linotype" w:cs="Palatino Linotype"/>
          <w:b/>
          <w:color w:val="000000" w:themeColor="text1"/>
        </w:rPr>
        <w:t xml:space="preserve"> Tercero d</w:t>
      </w:r>
      <w:r w:rsidR="00EF5796" w:rsidRPr="00E95267">
        <w:rPr>
          <w:rFonts w:ascii="Palatino Linotype" w:eastAsia="Palatino Linotype" w:hAnsi="Palatino Linotype" w:cs="Palatino Linotype"/>
          <w:color w:val="000000" w:themeColor="text1"/>
        </w:rPr>
        <w:t>e la presente resolución.</w:t>
      </w:r>
    </w:p>
    <w:p w:rsidR="00562F47" w:rsidRPr="00E95267" w:rsidRDefault="008E7388" w:rsidP="00E95267">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E95267">
        <w:rPr>
          <w:rFonts w:ascii="Palatino Linotype" w:eastAsia="Palatino Linotype" w:hAnsi="Palatino Linotype" w:cs="Palatino Linotype"/>
          <w:b/>
          <w:color w:val="000000" w:themeColor="text1"/>
        </w:rPr>
        <w:t>SEGUNDO.</w:t>
      </w:r>
      <w:r w:rsidR="00EF5796" w:rsidRPr="00E95267">
        <w:rPr>
          <w:rFonts w:ascii="Palatino Linotype" w:eastAsia="Palatino Linotype" w:hAnsi="Palatino Linotype" w:cs="Palatino Linotype"/>
          <w:b/>
          <w:color w:val="000000" w:themeColor="text1"/>
        </w:rPr>
        <w:t xml:space="preserve"> Notifíquese, </w:t>
      </w:r>
      <w:r w:rsidR="00EF5796" w:rsidRPr="00E95267">
        <w:rPr>
          <w:rFonts w:ascii="Palatino Linotype" w:eastAsia="Palatino Linotype" w:hAnsi="Palatino Linotype" w:cs="Palatino Linotype"/>
          <w:color w:val="000000" w:themeColor="text1"/>
        </w:rPr>
        <w:t>vía</w:t>
      </w:r>
      <w:r w:rsidR="00EF5796" w:rsidRPr="00E95267">
        <w:rPr>
          <w:rFonts w:ascii="Palatino Linotype" w:eastAsia="Palatino Linotype" w:hAnsi="Palatino Linotype" w:cs="Palatino Linotype"/>
          <w:b/>
          <w:color w:val="000000" w:themeColor="text1"/>
        </w:rPr>
        <w:t xml:space="preserve"> SAIMEX,</w:t>
      </w:r>
      <w:r w:rsidR="00EF5796" w:rsidRPr="00E95267">
        <w:rPr>
          <w:rFonts w:ascii="Palatino Linotype" w:eastAsia="Palatino Linotype" w:hAnsi="Palatino Linotype" w:cs="Palatino Linotype"/>
          <w:color w:val="000000" w:themeColor="text1"/>
        </w:rPr>
        <w:t xml:space="preserve"> al Responsable de la Unidad de Transparencia del </w:t>
      </w:r>
      <w:r w:rsidR="00EF5796" w:rsidRPr="00E95267">
        <w:rPr>
          <w:rFonts w:ascii="Palatino Linotype" w:eastAsia="Palatino Linotype" w:hAnsi="Palatino Linotype" w:cs="Palatino Linotype"/>
          <w:b/>
          <w:color w:val="000000" w:themeColor="text1"/>
        </w:rPr>
        <w:t>Sujeto Obligado</w:t>
      </w:r>
      <w:r w:rsidR="00EF5796" w:rsidRPr="00E95267">
        <w:rPr>
          <w:rFonts w:ascii="Palatino Linotype" w:eastAsia="Palatino Linotype" w:hAnsi="Palatino Linotype" w:cs="Palatino Linotype"/>
          <w:color w:val="000000" w:themeColor="text1"/>
        </w:rPr>
        <w:t xml:space="preserve"> la presente resolución, para su conocimiento.</w:t>
      </w:r>
    </w:p>
    <w:p w:rsidR="00EF5796" w:rsidRPr="00E95267" w:rsidRDefault="00EF5796" w:rsidP="00B0224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000000" w:themeColor="text1"/>
          <w:lang w:eastAsia="es-ES_tradnl"/>
        </w:rPr>
      </w:pPr>
      <w:r w:rsidRPr="00E95267">
        <w:rPr>
          <w:rFonts w:ascii="Palatino Linotype" w:hAnsi="Palatino Linotype" w:cs="Arial"/>
          <w:b/>
          <w:color w:val="000000" w:themeColor="text1"/>
        </w:rPr>
        <w:t>TERCERO</w:t>
      </w:r>
      <w:r w:rsidRPr="00E95267">
        <w:rPr>
          <w:rFonts w:ascii="Palatino Linotype" w:hAnsi="Palatino Linotype"/>
          <w:b/>
          <w:color w:val="000000" w:themeColor="text1"/>
          <w:lang w:eastAsia="es-ES_tradnl"/>
        </w:rPr>
        <w:t xml:space="preserve">. Notifíquese </w:t>
      </w:r>
      <w:r w:rsidRPr="00E95267">
        <w:rPr>
          <w:rFonts w:ascii="Palatino Linotype" w:hAnsi="Palatino Linotype"/>
          <w:color w:val="000000" w:themeColor="text1"/>
          <w:lang w:eastAsia="es-ES_tradnl"/>
        </w:rPr>
        <w:t>a</w:t>
      </w:r>
      <w:r w:rsidRPr="00E95267">
        <w:rPr>
          <w:rFonts w:ascii="Palatino Linotype" w:hAnsi="Palatino Linotype"/>
          <w:b/>
          <w:color w:val="000000" w:themeColor="text1"/>
          <w:lang w:eastAsia="es-ES_tradnl"/>
        </w:rPr>
        <w:t xml:space="preserve"> </w:t>
      </w:r>
      <w:r w:rsidRPr="00E95267">
        <w:rPr>
          <w:rFonts w:ascii="Palatino Linotype" w:hAnsi="Palatino Linotype"/>
          <w:b/>
          <w:color w:val="000000" w:themeColor="text1"/>
        </w:rPr>
        <w:t>EL RECURRENTE</w:t>
      </w:r>
      <w:r w:rsidRPr="00E95267">
        <w:rPr>
          <w:rFonts w:ascii="Palatino Linotype" w:hAnsi="Palatino Linotype"/>
          <w:color w:val="000000" w:themeColor="text1"/>
          <w:lang w:eastAsia="es-ES_tradnl"/>
        </w:rPr>
        <w:t xml:space="preserve"> la presente resolución, vía </w:t>
      </w:r>
      <w:r w:rsidRPr="00E95267">
        <w:rPr>
          <w:rFonts w:ascii="Palatino Linotype" w:hAnsi="Palatino Linotype"/>
          <w:b/>
          <w:color w:val="000000" w:themeColor="text1"/>
          <w:lang w:eastAsia="es-ES_tradnl"/>
        </w:rPr>
        <w:t>SAIMEX</w:t>
      </w:r>
      <w:r w:rsidRPr="00E95267">
        <w:rPr>
          <w:rFonts w:ascii="Palatino Linotype" w:hAnsi="Palatino Linotype"/>
          <w:color w:val="000000" w:themeColor="text1"/>
          <w:lang w:eastAsia="es-ES_tradnl"/>
        </w:rPr>
        <w:t>.</w:t>
      </w:r>
    </w:p>
    <w:p w:rsidR="00EF5796" w:rsidRPr="00E95267" w:rsidRDefault="00EF5796" w:rsidP="00B0224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rPr>
      </w:pPr>
      <w:r w:rsidRPr="00E95267">
        <w:rPr>
          <w:rFonts w:ascii="Palatino Linotype" w:hAnsi="Palatino Linotype"/>
          <w:b/>
          <w:color w:val="000000" w:themeColor="text1"/>
          <w:lang w:eastAsia="es-ES_tradnl"/>
        </w:rPr>
        <w:t xml:space="preserve">CUARTO. </w:t>
      </w:r>
      <w:r w:rsidRPr="00E95267">
        <w:rPr>
          <w:rFonts w:ascii="Palatino Linotype" w:eastAsia="MS Mincho" w:hAnsi="Palatino Linotype"/>
          <w:color w:val="000000" w:themeColor="text1"/>
        </w:rPr>
        <w:t xml:space="preserve">Se hace del conocimiento de </w:t>
      </w:r>
      <w:r w:rsidRPr="00E95267">
        <w:rPr>
          <w:rFonts w:ascii="Palatino Linotype" w:eastAsia="MS Mincho" w:hAnsi="Palatino Linotype"/>
          <w:b/>
          <w:color w:val="000000" w:themeColor="text1"/>
        </w:rPr>
        <w:t>EL RECURRENTE</w:t>
      </w:r>
      <w:r w:rsidRPr="00E95267">
        <w:rPr>
          <w:rFonts w:ascii="Palatino Linotype" w:hAnsi="Palatino Linotype"/>
          <w:color w:val="000000" w:themeColor="text1"/>
        </w:rPr>
        <w:t xml:space="preserve"> </w:t>
      </w:r>
      <w:r w:rsidRPr="00E95267">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E95267">
        <w:rPr>
          <w:rFonts w:ascii="Palatino Linotype" w:eastAsia="MS Mincho" w:hAnsi="Palatino Linotype"/>
          <w:bCs/>
          <w:color w:val="000000" w:themeColor="text1"/>
        </w:rPr>
        <w:t>vía juicio de amparo</w:t>
      </w:r>
      <w:r w:rsidRPr="00E95267">
        <w:rPr>
          <w:rFonts w:ascii="Palatino Linotype" w:eastAsia="MS Mincho" w:hAnsi="Palatino Linotype"/>
          <w:color w:val="000000" w:themeColor="text1"/>
        </w:rPr>
        <w:t> en los términos de las leyes aplicables.</w:t>
      </w:r>
    </w:p>
    <w:p w:rsidR="008E7388" w:rsidRPr="00E95267" w:rsidRDefault="008E7388" w:rsidP="00B02242">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lang w:eastAsia="es-ES_tradnl"/>
        </w:rPr>
      </w:pPr>
    </w:p>
    <w:p w:rsidR="00EF5796" w:rsidRPr="00B02242" w:rsidRDefault="00E95267" w:rsidP="00B02242">
      <w:pPr>
        <w:spacing w:line="360" w:lineRule="auto"/>
        <w:jc w:val="both"/>
        <w:rPr>
          <w:rFonts w:ascii="Palatino Linotype" w:hAnsi="Palatino Linotype"/>
          <w:color w:val="000000" w:themeColor="text1"/>
        </w:rPr>
      </w:pPr>
      <w:r w:rsidRPr="00E9526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8E7388" w:rsidRPr="00E95267">
        <w:rPr>
          <w:rFonts w:ascii="Palatino Linotype" w:hAnsi="Palatino Linotype"/>
          <w:color w:val="000000" w:themeColor="text1"/>
        </w:rPr>
        <w:t>.</w:t>
      </w:r>
    </w:p>
    <w:p w:rsidR="00EF5796" w:rsidRPr="00B02242" w:rsidRDefault="00EF5796" w:rsidP="008E7388">
      <w:pPr>
        <w:spacing w:line="360" w:lineRule="auto"/>
        <w:jc w:val="center"/>
        <w:rPr>
          <w:rFonts w:ascii="Palatino Linotype" w:hAnsi="Palatino Linotype"/>
          <w:color w:val="000000" w:themeColor="text1"/>
        </w:rPr>
      </w:pPr>
    </w:p>
    <w:p w:rsidR="00EF5796" w:rsidRPr="00B02242" w:rsidRDefault="00EF5796" w:rsidP="00B02242">
      <w:pPr>
        <w:spacing w:line="360" w:lineRule="auto"/>
        <w:jc w:val="both"/>
        <w:rPr>
          <w:rFonts w:ascii="Palatino Linotype" w:hAnsi="Palatino Linotype"/>
          <w:color w:val="000000" w:themeColor="text1"/>
        </w:rPr>
      </w:pPr>
    </w:p>
    <w:p w:rsidR="00EF5796" w:rsidRDefault="00EF5796" w:rsidP="00B02242">
      <w:pPr>
        <w:spacing w:line="360" w:lineRule="auto"/>
        <w:jc w:val="both"/>
        <w:rPr>
          <w:rFonts w:ascii="Palatino Linotype" w:hAnsi="Palatino Linotype"/>
          <w:color w:val="000000" w:themeColor="text1"/>
        </w:rPr>
      </w:pPr>
    </w:p>
    <w:p w:rsidR="008E7388" w:rsidRDefault="008E7388" w:rsidP="00B02242">
      <w:pPr>
        <w:spacing w:line="360" w:lineRule="auto"/>
        <w:jc w:val="both"/>
        <w:rPr>
          <w:rFonts w:ascii="Palatino Linotype" w:hAnsi="Palatino Linotype"/>
          <w:color w:val="000000" w:themeColor="text1"/>
        </w:rPr>
      </w:pPr>
    </w:p>
    <w:p w:rsidR="008E7388" w:rsidRDefault="008E7388" w:rsidP="00B02242">
      <w:pPr>
        <w:spacing w:line="360" w:lineRule="auto"/>
        <w:jc w:val="both"/>
        <w:rPr>
          <w:rFonts w:ascii="Palatino Linotype" w:hAnsi="Palatino Linotype"/>
          <w:color w:val="000000" w:themeColor="text1"/>
        </w:rPr>
      </w:pPr>
    </w:p>
    <w:p w:rsidR="008E7388" w:rsidRPr="00B02242" w:rsidRDefault="008E7388" w:rsidP="00B02242">
      <w:pPr>
        <w:spacing w:line="360" w:lineRule="auto"/>
        <w:jc w:val="both"/>
        <w:rPr>
          <w:rFonts w:ascii="Palatino Linotype" w:hAnsi="Palatino Linotype"/>
          <w:color w:val="000000" w:themeColor="text1"/>
        </w:rPr>
      </w:pPr>
    </w:p>
    <w:p w:rsidR="00EF5796" w:rsidRPr="00B02242" w:rsidRDefault="00EF5796" w:rsidP="00B02242">
      <w:pPr>
        <w:spacing w:line="360" w:lineRule="auto"/>
        <w:jc w:val="both"/>
        <w:rPr>
          <w:rFonts w:ascii="Palatino Linotype" w:hAnsi="Palatino Linotype"/>
          <w:color w:val="000000" w:themeColor="text1"/>
        </w:rPr>
      </w:pPr>
    </w:p>
    <w:p w:rsidR="00EF5796" w:rsidRPr="00B02242" w:rsidRDefault="00EF5796" w:rsidP="00B02242">
      <w:pPr>
        <w:spacing w:line="360" w:lineRule="auto"/>
        <w:jc w:val="both"/>
        <w:rPr>
          <w:rFonts w:ascii="Palatino Linotype" w:hAnsi="Palatino Linotype"/>
          <w:color w:val="000000" w:themeColor="text1"/>
        </w:rPr>
      </w:pPr>
    </w:p>
    <w:p w:rsidR="00EF5796" w:rsidRPr="00B02242" w:rsidRDefault="00EF5796" w:rsidP="00B02242">
      <w:pPr>
        <w:spacing w:line="360" w:lineRule="auto"/>
        <w:jc w:val="both"/>
        <w:rPr>
          <w:rFonts w:ascii="Palatino Linotype" w:hAnsi="Palatino Linotype"/>
          <w:color w:val="000000" w:themeColor="text1"/>
        </w:rPr>
      </w:pPr>
    </w:p>
    <w:p w:rsidR="00EF5796" w:rsidRPr="00B02242" w:rsidRDefault="00EF5796" w:rsidP="00B02242">
      <w:pPr>
        <w:spacing w:line="360" w:lineRule="auto"/>
        <w:jc w:val="both"/>
        <w:rPr>
          <w:rFonts w:ascii="Palatino Linotype" w:hAnsi="Palatino Linotype"/>
          <w:color w:val="000000" w:themeColor="text1"/>
        </w:rPr>
      </w:pPr>
    </w:p>
    <w:p w:rsidR="00412B48" w:rsidRPr="00B02242" w:rsidRDefault="00412B48" w:rsidP="00E95267">
      <w:pPr>
        <w:tabs>
          <w:tab w:val="left" w:pos="3374"/>
        </w:tabs>
        <w:rPr>
          <w:rFonts w:ascii="Palatino Linotype" w:hAnsi="Palatino Linotype"/>
          <w:color w:val="000000" w:themeColor="text1"/>
        </w:rPr>
      </w:pPr>
    </w:p>
    <w:sectPr w:rsidR="00412B48" w:rsidRPr="00B02242" w:rsidSect="00B02242">
      <w:headerReference w:type="even" r:id="rId8"/>
      <w:headerReference w:type="default" r:id="rId9"/>
      <w:footerReference w:type="default" r:id="rId10"/>
      <w:headerReference w:type="first" r:id="rId11"/>
      <w:footerReference w:type="first" r:id="rId12"/>
      <w:pgSz w:w="12240" w:h="15840"/>
      <w:pgMar w:top="2268" w:right="1183"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40" w:rsidRDefault="00B36A40" w:rsidP="0076612A">
      <w:r>
        <w:separator/>
      </w:r>
    </w:p>
  </w:endnote>
  <w:endnote w:type="continuationSeparator" w:id="0">
    <w:p w:rsidR="00B36A40" w:rsidRDefault="00B36A40" w:rsidP="0076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B6D0A" w:rsidRPr="002D6DD8" w:rsidRDefault="00BB6D0A" w:rsidP="00EF1C2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4AE6">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4AE6">
              <w:rPr>
                <w:rFonts w:ascii="Palatino Linotype" w:hAnsi="Palatino Linotype"/>
                <w:bCs/>
                <w:noProof/>
                <w:sz w:val="20"/>
              </w:rPr>
              <w:t>15</w:t>
            </w:r>
            <w:r>
              <w:rPr>
                <w:rFonts w:ascii="Palatino Linotype" w:hAnsi="Palatino Linotype"/>
                <w:bCs/>
                <w:noProof/>
                <w:sz w:val="20"/>
              </w:rPr>
              <w:fldChar w:fldCharType="end"/>
            </w:r>
          </w:p>
        </w:sdtContent>
      </w:sdt>
    </w:sdtContent>
  </w:sdt>
  <w:p w:rsidR="00BB6D0A" w:rsidRDefault="00BB6D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D0A" w:rsidRPr="000B69FA" w:rsidRDefault="00BB6D0A" w:rsidP="00EF1C2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4AE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4AE6">
      <w:rPr>
        <w:rFonts w:ascii="Palatino Linotype" w:hAnsi="Palatino Linotype"/>
        <w:bCs/>
        <w:noProof/>
        <w:sz w:val="20"/>
      </w:rPr>
      <w:t>15</w:t>
    </w:r>
    <w:r>
      <w:rPr>
        <w:rFonts w:ascii="Palatino Linotype" w:hAnsi="Palatino Linotype"/>
        <w:bCs/>
        <w:noProof/>
        <w:sz w:val="20"/>
      </w:rPr>
      <w:fldChar w:fldCharType="end"/>
    </w:r>
  </w:p>
  <w:p w:rsidR="00BB6D0A" w:rsidRDefault="00BB6D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40" w:rsidRDefault="00B36A40" w:rsidP="0076612A">
      <w:r>
        <w:separator/>
      </w:r>
    </w:p>
  </w:footnote>
  <w:footnote w:type="continuationSeparator" w:id="0">
    <w:p w:rsidR="00B36A40" w:rsidRDefault="00B36A40" w:rsidP="00766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D0A" w:rsidRDefault="00B36A4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1701" w:type="dxa"/>
      <w:tblCellMar>
        <w:left w:w="70" w:type="dxa"/>
        <w:right w:w="70" w:type="dxa"/>
      </w:tblCellMar>
      <w:tblLook w:val="04A0" w:firstRow="1" w:lastRow="0" w:firstColumn="1" w:lastColumn="0" w:noHBand="0" w:noVBand="1"/>
    </w:tblPr>
    <w:tblGrid>
      <w:gridCol w:w="2694"/>
      <w:gridCol w:w="5528"/>
    </w:tblGrid>
    <w:tr w:rsidR="00BB6D0A" w:rsidRPr="00B02242" w:rsidTr="00B02242">
      <w:trPr>
        <w:trHeight w:val="227"/>
      </w:trPr>
      <w:tc>
        <w:tcPr>
          <w:tcW w:w="2694" w:type="dxa"/>
          <w:vAlign w:val="center"/>
          <w:hideMark/>
        </w:tcPr>
        <w:p w:rsidR="00BB6D0A" w:rsidRPr="00B02242" w:rsidRDefault="00BB6D0A" w:rsidP="00EF1C25">
          <w:pPr>
            <w:ind w:right="34"/>
            <w:jc w:val="right"/>
            <w:rPr>
              <w:rFonts w:ascii="Palatino Linotype" w:hAnsi="Palatino Linotype"/>
              <w:b/>
            </w:rPr>
          </w:pPr>
          <w:r w:rsidRPr="00B02242">
            <w:rPr>
              <w:rFonts w:ascii="Palatino Linotype" w:hAnsi="Palatino Linotype"/>
              <w:b/>
            </w:rPr>
            <w:t>Recurso de Revisión:</w:t>
          </w:r>
        </w:p>
      </w:tc>
      <w:tc>
        <w:tcPr>
          <w:tcW w:w="5528" w:type="dxa"/>
          <w:vAlign w:val="center"/>
          <w:hideMark/>
        </w:tcPr>
        <w:p w:rsidR="00BB6D0A" w:rsidRPr="00B02242" w:rsidRDefault="00BB6D0A" w:rsidP="00EF1C25">
          <w:pPr>
            <w:pStyle w:val="Encabezado"/>
            <w:rPr>
              <w:rFonts w:ascii="Palatino Linotype" w:hAnsi="Palatino Linotype"/>
            </w:rPr>
          </w:pPr>
          <w:r w:rsidRPr="00B02242">
            <w:rPr>
              <w:rFonts w:ascii="Palatino Linotype" w:hAnsi="Palatino Linotype"/>
            </w:rPr>
            <w:t>01033/INFOEM/IP/RR/2025</w:t>
          </w:r>
        </w:p>
      </w:tc>
    </w:tr>
    <w:tr w:rsidR="00BB6D0A" w:rsidRPr="00B02242" w:rsidTr="00B02242">
      <w:trPr>
        <w:trHeight w:val="242"/>
      </w:trPr>
      <w:tc>
        <w:tcPr>
          <w:tcW w:w="2694" w:type="dxa"/>
          <w:vAlign w:val="center"/>
          <w:hideMark/>
        </w:tcPr>
        <w:p w:rsidR="00BB6D0A" w:rsidRPr="00B02242" w:rsidRDefault="00BB6D0A" w:rsidP="00EF1C25">
          <w:pPr>
            <w:ind w:right="34"/>
            <w:jc w:val="right"/>
            <w:rPr>
              <w:rFonts w:ascii="Palatino Linotype" w:hAnsi="Palatino Linotype"/>
              <w:b/>
            </w:rPr>
          </w:pPr>
          <w:r w:rsidRPr="00B02242">
            <w:rPr>
              <w:rFonts w:ascii="Palatino Linotype" w:hAnsi="Palatino Linotype"/>
              <w:b/>
            </w:rPr>
            <w:t>Sujeto Obligado:</w:t>
          </w:r>
        </w:p>
      </w:tc>
      <w:tc>
        <w:tcPr>
          <w:tcW w:w="5528" w:type="dxa"/>
          <w:vAlign w:val="center"/>
          <w:hideMark/>
        </w:tcPr>
        <w:p w:rsidR="00BB6D0A" w:rsidRPr="00B02242" w:rsidRDefault="00BB6D0A" w:rsidP="00EF1C25">
          <w:pPr>
            <w:pStyle w:val="Encabezado"/>
            <w:jc w:val="both"/>
            <w:rPr>
              <w:rFonts w:ascii="Palatino Linotype" w:hAnsi="Palatino Linotype"/>
            </w:rPr>
          </w:pPr>
          <w:r w:rsidRPr="00B02242">
            <w:rPr>
              <w:rFonts w:ascii="Palatino Linotype" w:eastAsia="Times New Roman" w:hAnsi="Palatino Linotype" w:cs="Arial"/>
              <w:bCs/>
              <w:color w:val="000000"/>
            </w:rPr>
            <w:t>Secretaría de Desarrollo Urbano e Infraestructura</w:t>
          </w:r>
        </w:p>
      </w:tc>
    </w:tr>
    <w:tr w:rsidR="00BB6D0A" w:rsidRPr="00B02242" w:rsidTr="00B02242">
      <w:trPr>
        <w:trHeight w:val="342"/>
      </w:trPr>
      <w:tc>
        <w:tcPr>
          <w:tcW w:w="2694" w:type="dxa"/>
          <w:vAlign w:val="center"/>
          <w:hideMark/>
        </w:tcPr>
        <w:p w:rsidR="00BB6D0A" w:rsidRPr="00B02242" w:rsidRDefault="00BB6D0A" w:rsidP="00EF1C25">
          <w:pPr>
            <w:ind w:right="34"/>
            <w:jc w:val="right"/>
            <w:rPr>
              <w:rFonts w:ascii="Palatino Linotype" w:hAnsi="Palatino Linotype"/>
              <w:b/>
            </w:rPr>
          </w:pPr>
          <w:r w:rsidRPr="00B02242">
            <w:rPr>
              <w:rFonts w:ascii="Palatino Linotype" w:hAnsi="Palatino Linotype"/>
              <w:b/>
            </w:rPr>
            <w:t>Comisionada Ponente:</w:t>
          </w:r>
        </w:p>
      </w:tc>
      <w:tc>
        <w:tcPr>
          <w:tcW w:w="5528" w:type="dxa"/>
          <w:vAlign w:val="center"/>
          <w:hideMark/>
        </w:tcPr>
        <w:p w:rsidR="00BB6D0A" w:rsidRPr="00B02242" w:rsidRDefault="00BB6D0A" w:rsidP="00EF1C25">
          <w:pPr>
            <w:pStyle w:val="Encabezado"/>
            <w:jc w:val="both"/>
            <w:rPr>
              <w:rFonts w:ascii="Palatino Linotype" w:hAnsi="Palatino Linotype"/>
            </w:rPr>
          </w:pPr>
          <w:r w:rsidRPr="00B02242">
            <w:rPr>
              <w:rFonts w:ascii="Palatino Linotype" w:eastAsia="Times New Roman" w:hAnsi="Palatino Linotype" w:cs="Arial"/>
              <w:color w:val="000000"/>
              <w:lang w:val="es-MX"/>
            </w:rPr>
            <w:t>María del Rosario Mejía Ayala</w:t>
          </w:r>
        </w:p>
      </w:tc>
    </w:tr>
  </w:tbl>
  <w:p w:rsidR="00BB6D0A" w:rsidRPr="00AE046A" w:rsidRDefault="00B36A40" w:rsidP="00EF1C25">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63" w:type="dxa"/>
      <w:tblInd w:w="1560" w:type="dxa"/>
      <w:tblCellMar>
        <w:left w:w="70" w:type="dxa"/>
        <w:right w:w="70" w:type="dxa"/>
      </w:tblCellMar>
      <w:tblLook w:val="04A0" w:firstRow="1" w:lastRow="0" w:firstColumn="1" w:lastColumn="0" w:noHBand="0" w:noVBand="1"/>
    </w:tblPr>
    <w:tblGrid>
      <w:gridCol w:w="2835"/>
      <w:gridCol w:w="5528"/>
    </w:tblGrid>
    <w:tr w:rsidR="00BB6D0A" w:rsidRPr="00B02242" w:rsidTr="00B02242">
      <w:trPr>
        <w:trHeight w:val="227"/>
      </w:trPr>
      <w:tc>
        <w:tcPr>
          <w:tcW w:w="2835" w:type="dxa"/>
          <w:vAlign w:val="center"/>
          <w:hideMark/>
        </w:tcPr>
        <w:p w:rsidR="00BB6D0A" w:rsidRPr="00B02242" w:rsidRDefault="00BB6D0A" w:rsidP="00EF1C25">
          <w:pPr>
            <w:jc w:val="right"/>
            <w:rPr>
              <w:rFonts w:ascii="Palatino Linotype" w:hAnsi="Palatino Linotype"/>
              <w:b/>
            </w:rPr>
          </w:pPr>
          <w:r w:rsidRPr="00B02242">
            <w:rPr>
              <w:rFonts w:ascii="Palatino Linotype" w:hAnsi="Palatino Linotype"/>
              <w:b/>
            </w:rPr>
            <w:t>Recurso de Revisión:</w:t>
          </w:r>
        </w:p>
      </w:tc>
      <w:tc>
        <w:tcPr>
          <w:tcW w:w="5528" w:type="dxa"/>
          <w:vAlign w:val="center"/>
          <w:hideMark/>
        </w:tcPr>
        <w:p w:rsidR="00BB6D0A" w:rsidRPr="00B02242" w:rsidRDefault="00BB6D0A" w:rsidP="00EF1C25">
          <w:pPr>
            <w:pStyle w:val="Encabezado"/>
            <w:rPr>
              <w:rFonts w:ascii="Palatino Linotype" w:hAnsi="Palatino Linotype"/>
              <w:color w:val="000000" w:themeColor="text1"/>
            </w:rPr>
          </w:pPr>
          <w:r w:rsidRPr="00B02242">
            <w:rPr>
              <w:rFonts w:ascii="Palatino Linotype" w:hAnsi="Palatino Linotype"/>
              <w:color w:val="000000" w:themeColor="text1"/>
            </w:rPr>
            <w:t>01033/INFOEM/IP/RR/2025</w:t>
          </w:r>
        </w:p>
      </w:tc>
    </w:tr>
    <w:tr w:rsidR="00BB6D0A" w:rsidRPr="00B02242" w:rsidTr="00B02242">
      <w:trPr>
        <w:trHeight w:val="242"/>
      </w:trPr>
      <w:tc>
        <w:tcPr>
          <w:tcW w:w="2835" w:type="dxa"/>
          <w:vAlign w:val="center"/>
          <w:hideMark/>
        </w:tcPr>
        <w:p w:rsidR="00BB6D0A" w:rsidRPr="00B02242" w:rsidRDefault="00BB6D0A" w:rsidP="00EF1C25">
          <w:pPr>
            <w:jc w:val="right"/>
            <w:rPr>
              <w:rFonts w:ascii="Palatino Linotype" w:hAnsi="Palatino Linotype"/>
              <w:b/>
            </w:rPr>
          </w:pPr>
          <w:r w:rsidRPr="00B02242">
            <w:rPr>
              <w:rFonts w:ascii="Palatino Linotype" w:hAnsi="Palatino Linotype"/>
              <w:b/>
            </w:rPr>
            <w:t>Recurrente:</w:t>
          </w:r>
        </w:p>
      </w:tc>
      <w:tc>
        <w:tcPr>
          <w:tcW w:w="5528" w:type="dxa"/>
          <w:hideMark/>
        </w:tcPr>
        <w:p w:rsidR="00BB6D0A" w:rsidRPr="00B02242" w:rsidRDefault="00BB6D0A" w:rsidP="00AC4AE6">
          <w:pPr>
            <w:pStyle w:val="Encabezado"/>
            <w:tabs>
              <w:tab w:val="left" w:pos="521"/>
            </w:tabs>
            <w:rPr>
              <w:rFonts w:ascii="Palatino Linotype" w:hAnsi="Palatino Linotype"/>
              <w:color w:val="000000" w:themeColor="text1"/>
            </w:rPr>
          </w:pPr>
          <w:r w:rsidRPr="00B02242">
            <w:rPr>
              <w:rFonts w:ascii="Palatino Linotype" w:hAnsi="Palatino Linotype"/>
              <w:bCs/>
              <w:color w:val="000000" w:themeColor="text1"/>
            </w:rPr>
            <w:t> </w:t>
          </w:r>
          <w:r w:rsidR="00AC4AE6">
            <w:rPr>
              <w:rFonts w:ascii="Palatino Linotype" w:hAnsi="Palatino Linotype"/>
              <w:bCs/>
              <w:color w:val="000000" w:themeColor="text1"/>
            </w:rPr>
            <w:t>XXXX</w:t>
          </w:r>
        </w:p>
      </w:tc>
    </w:tr>
    <w:tr w:rsidR="00BB6D0A" w:rsidRPr="00B02242" w:rsidTr="00B02242">
      <w:trPr>
        <w:trHeight w:val="342"/>
      </w:trPr>
      <w:tc>
        <w:tcPr>
          <w:tcW w:w="2835" w:type="dxa"/>
          <w:vAlign w:val="center"/>
        </w:tcPr>
        <w:p w:rsidR="00BB6D0A" w:rsidRPr="00B02242" w:rsidRDefault="00BB6D0A" w:rsidP="00EF1C25">
          <w:pPr>
            <w:jc w:val="right"/>
            <w:rPr>
              <w:rFonts w:ascii="Palatino Linotype" w:hAnsi="Palatino Linotype"/>
              <w:b/>
            </w:rPr>
          </w:pPr>
          <w:r w:rsidRPr="00B02242">
            <w:rPr>
              <w:rFonts w:ascii="Palatino Linotype" w:hAnsi="Palatino Linotype"/>
              <w:b/>
            </w:rPr>
            <w:t>Sujeto Obligado:</w:t>
          </w:r>
        </w:p>
      </w:tc>
      <w:tc>
        <w:tcPr>
          <w:tcW w:w="5528" w:type="dxa"/>
          <w:vAlign w:val="center"/>
        </w:tcPr>
        <w:p w:rsidR="00BB6D0A" w:rsidRPr="00B02242" w:rsidRDefault="00BB6D0A" w:rsidP="00EF1C25">
          <w:pPr>
            <w:pStyle w:val="Encabezado"/>
            <w:jc w:val="both"/>
            <w:rPr>
              <w:rFonts w:ascii="Palatino Linotype" w:hAnsi="Palatino Linotype"/>
              <w:color w:val="000000" w:themeColor="text1"/>
            </w:rPr>
          </w:pPr>
          <w:r w:rsidRPr="00B02242">
            <w:rPr>
              <w:rFonts w:ascii="Palatino Linotype" w:hAnsi="Palatino Linotype"/>
              <w:bCs/>
              <w:color w:val="000000" w:themeColor="text1"/>
            </w:rPr>
            <w:t>Secretaría de Desarrollo Urbano e Infraestructura</w:t>
          </w:r>
        </w:p>
      </w:tc>
    </w:tr>
    <w:tr w:rsidR="00BB6D0A" w:rsidRPr="00B02242" w:rsidTr="00B02242">
      <w:trPr>
        <w:trHeight w:val="342"/>
      </w:trPr>
      <w:tc>
        <w:tcPr>
          <w:tcW w:w="2835" w:type="dxa"/>
          <w:vAlign w:val="center"/>
        </w:tcPr>
        <w:p w:rsidR="00BB6D0A" w:rsidRPr="00B02242" w:rsidRDefault="00BB6D0A" w:rsidP="00EF1C25">
          <w:pPr>
            <w:jc w:val="right"/>
            <w:rPr>
              <w:rFonts w:ascii="Palatino Linotype" w:hAnsi="Palatino Linotype"/>
              <w:b/>
            </w:rPr>
          </w:pPr>
          <w:r w:rsidRPr="00B02242">
            <w:rPr>
              <w:rFonts w:ascii="Palatino Linotype" w:hAnsi="Palatino Linotype"/>
              <w:b/>
            </w:rPr>
            <w:t>Comisionada Ponente:</w:t>
          </w:r>
        </w:p>
      </w:tc>
      <w:tc>
        <w:tcPr>
          <w:tcW w:w="5528" w:type="dxa"/>
          <w:vAlign w:val="center"/>
        </w:tcPr>
        <w:p w:rsidR="00BB6D0A" w:rsidRPr="00B02242" w:rsidRDefault="00BB6D0A" w:rsidP="00EF1C25">
          <w:pPr>
            <w:pStyle w:val="Encabezado"/>
            <w:rPr>
              <w:rFonts w:ascii="Palatino Linotype" w:hAnsi="Palatino Linotype"/>
              <w:color w:val="000000" w:themeColor="text1"/>
            </w:rPr>
          </w:pPr>
          <w:r w:rsidRPr="00B02242">
            <w:rPr>
              <w:rFonts w:ascii="Palatino Linotype" w:hAnsi="Palatino Linotype"/>
              <w:color w:val="000000" w:themeColor="text1"/>
            </w:rPr>
            <w:t>María del Rosario Mejía Ayala</w:t>
          </w:r>
        </w:p>
      </w:tc>
    </w:tr>
  </w:tbl>
  <w:p w:rsidR="00BB6D0A" w:rsidRPr="00C222C0" w:rsidRDefault="00B36A4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96"/>
    <w:rsid w:val="00185A72"/>
    <w:rsid w:val="00412B48"/>
    <w:rsid w:val="00422C6A"/>
    <w:rsid w:val="00562F47"/>
    <w:rsid w:val="00567AD5"/>
    <w:rsid w:val="006717F1"/>
    <w:rsid w:val="0067518F"/>
    <w:rsid w:val="007545FE"/>
    <w:rsid w:val="00756DDB"/>
    <w:rsid w:val="00765172"/>
    <w:rsid w:val="0076612A"/>
    <w:rsid w:val="00855A8B"/>
    <w:rsid w:val="00877E5B"/>
    <w:rsid w:val="008E7388"/>
    <w:rsid w:val="00932199"/>
    <w:rsid w:val="00932EBF"/>
    <w:rsid w:val="00954739"/>
    <w:rsid w:val="00964DEB"/>
    <w:rsid w:val="00AC4AE6"/>
    <w:rsid w:val="00B02242"/>
    <w:rsid w:val="00B34505"/>
    <w:rsid w:val="00B36A40"/>
    <w:rsid w:val="00BB6D0A"/>
    <w:rsid w:val="00E95267"/>
    <w:rsid w:val="00EE06FF"/>
    <w:rsid w:val="00EF1C25"/>
    <w:rsid w:val="00EF5796"/>
    <w:rsid w:val="00F26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82E3DDA-090F-407B-B322-AA2EB1D9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9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F57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57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5796"/>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EF5796"/>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EF5796"/>
    <w:pPr>
      <w:tabs>
        <w:tab w:val="center" w:pos="4419"/>
        <w:tab w:val="right" w:pos="8838"/>
      </w:tabs>
    </w:pPr>
  </w:style>
  <w:style w:type="character" w:customStyle="1" w:styleId="EncabezadoCar">
    <w:name w:val="Encabezado Car"/>
    <w:basedOn w:val="Fuentedeprrafopredeter"/>
    <w:link w:val="Encabezado"/>
    <w:uiPriority w:val="99"/>
    <w:rsid w:val="00EF5796"/>
    <w:rPr>
      <w:rFonts w:eastAsiaTheme="minorEastAsia"/>
      <w:sz w:val="24"/>
      <w:szCs w:val="24"/>
      <w:lang w:val="es-ES_tradnl" w:eastAsia="es-ES"/>
    </w:rPr>
  </w:style>
  <w:style w:type="paragraph" w:styleId="Piedepgina">
    <w:name w:val="footer"/>
    <w:basedOn w:val="Normal"/>
    <w:link w:val="PiedepginaCar"/>
    <w:uiPriority w:val="99"/>
    <w:unhideWhenUsed/>
    <w:rsid w:val="00EF5796"/>
    <w:pPr>
      <w:tabs>
        <w:tab w:val="center" w:pos="4419"/>
        <w:tab w:val="right" w:pos="8838"/>
      </w:tabs>
    </w:pPr>
  </w:style>
  <w:style w:type="character" w:customStyle="1" w:styleId="PiedepginaCar">
    <w:name w:val="Pie de página Car"/>
    <w:basedOn w:val="Fuentedeprrafopredeter"/>
    <w:link w:val="Piedepgina"/>
    <w:uiPriority w:val="99"/>
    <w:rsid w:val="00EF579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579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5796"/>
    <w:rPr>
      <w:rFonts w:eastAsiaTheme="minorEastAsia"/>
      <w:sz w:val="24"/>
      <w:szCs w:val="24"/>
      <w:lang w:val="es-ES_tradnl" w:eastAsia="es-ES"/>
    </w:rPr>
  </w:style>
  <w:style w:type="character" w:styleId="Hipervnculo">
    <w:name w:val="Hyperlink"/>
    <w:basedOn w:val="Fuentedeprrafopredeter"/>
    <w:uiPriority w:val="99"/>
    <w:unhideWhenUsed/>
    <w:rsid w:val="00EF57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3521</Words>
  <Characters>19369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2025-05-23T16:02:00Z</cp:lastPrinted>
  <dcterms:created xsi:type="dcterms:W3CDTF">2025-05-15T17:22:00Z</dcterms:created>
  <dcterms:modified xsi:type="dcterms:W3CDTF">2025-05-27T00:17:00Z</dcterms:modified>
</cp:coreProperties>
</file>