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E1D476"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cinco de noviembre de dos mil veinticinco. </w:t>
      </w:r>
    </w:p>
    <w:p w14:paraId="54A07DCB" w14:textId="0F8E7F3E" w:rsidR="00E0130F" w:rsidRPr="001D2B9B" w:rsidRDefault="00AA79DC">
      <w:pPr>
        <w:tabs>
          <w:tab w:val="left" w:pos="5812"/>
        </w:tabs>
        <w:spacing w:before="240" w:after="240" w:line="360" w:lineRule="auto"/>
        <w:jc w:val="both"/>
        <w:rPr>
          <w:rFonts w:ascii="Palatino Linotype" w:eastAsia="Palatino Linotype" w:hAnsi="Palatino Linotype" w:cs="Palatino Linotype"/>
          <w:b/>
          <w:sz w:val="22"/>
          <w:szCs w:val="22"/>
        </w:rPr>
      </w:pPr>
      <w:bookmarkStart w:id="0" w:name="_heading=h.daj3j2xo6q66" w:colFirst="0" w:colLast="0"/>
      <w:bookmarkEnd w:id="0"/>
      <w:r w:rsidRPr="001D2B9B">
        <w:rPr>
          <w:rFonts w:ascii="Palatino Linotype" w:eastAsia="Palatino Linotype" w:hAnsi="Palatino Linotype" w:cs="Palatino Linotype"/>
          <w:b/>
          <w:sz w:val="22"/>
          <w:szCs w:val="22"/>
        </w:rPr>
        <w:t>VISTO</w:t>
      </w:r>
      <w:r w:rsidRPr="001D2B9B">
        <w:rPr>
          <w:rFonts w:ascii="Palatino Linotype" w:eastAsia="Palatino Linotype" w:hAnsi="Palatino Linotype" w:cs="Palatino Linotype"/>
          <w:sz w:val="22"/>
          <w:szCs w:val="22"/>
        </w:rPr>
        <w:t xml:space="preserve"> el expediente formado con motivo del recurso de revisión </w:t>
      </w:r>
      <w:r w:rsidRPr="001D2B9B">
        <w:rPr>
          <w:rFonts w:ascii="Palatino Linotype" w:eastAsia="Palatino Linotype" w:hAnsi="Palatino Linotype" w:cs="Palatino Linotype"/>
          <w:b/>
          <w:sz w:val="22"/>
          <w:szCs w:val="22"/>
        </w:rPr>
        <w:t>08579/INFOEM/IP/RR/2025</w:t>
      </w:r>
      <w:r w:rsidRPr="001D2B9B">
        <w:rPr>
          <w:rFonts w:ascii="Palatino Linotype" w:eastAsia="Palatino Linotype" w:hAnsi="Palatino Linotype" w:cs="Palatino Linotype"/>
          <w:sz w:val="22"/>
          <w:szCs w:val="22"/>
        </w:rPr>
        <w:t>, interpuesto por</w:t>
      </w:r>
      <w:r w:rsidRPr="001D2B9B">
        <w:rPr>
          <w:rFonts w:ascii="Palatino Linotype" w:eastAsia="Palatino Linotype" w:hAnsi="Palatino Linotype" w:cs="Palatino Linotype"/>
          <w:b/>
          <w:sz w:val="22"/>
          <w:szCs w:val="22"/>
        </w:rPr>
        <w:t xml:space="preserve"> </w:t>
      </w:r>
      <w:r w:rsidR="00D60D3E" w:rsidRPr="00D60D3E">
        <w:rPr>
          <w:rFonts w:ascii="Palatino Linotype" w:eastAsia="Palatino Linotype" w:hAnsi="Palatino Linotype" w:cs="Palatino Linotype"/>
          <w:b/>
          <w:sz w:val="22"/>
          <w:szCs w:val="22"/>
        </w:rPr>
        <w:t>XXXX XXXXXXX XXXXXX</w:t>
      </w:r>
      <w:r w:rsidRPr="00D60D3E">
        <w:rPr>
          <w:rFonts w:ascii="Palatino Linotype" w:eastAsia="Palatino Linotype" w:hAnsi="Palatino Linotype" w:cs="Palatino Linotype"/>
          <w:b/>
          <w:sz w:val="22"/>
          <w:szCs w:val="22"/>
        </w:rPr>
        <w:t>,</w:t>
      </w:r>
      <w:bookmarkStart w:id="1" w:name="_GoBack"/>
      <w:bookmarkEnd w:id="1"/>
      <w:r w:rsidRPr="001D2B9B">
        <w:rPr>
          <w:rFonts w:ascii="Palatino Linotype" w:eastAsia="Palatino Linotype" w:hAnsi="Palatino Linotype" w:cs="Palatino Linotype"/>
          <w:sz w:val="22"/>
          <w:szCs w:val="22"/>
        </w:rPr>
        <w:t xml:space="preserve"> en lo sucesivo</w:t>
      </w:r>
      <w:r w:rsidRPr="001D2B9B">
        <w:rPr>
          <w:rFonts w:ascii="Palatino Linotype" w:eastAsia="Palatino Linotype" w:hAnsi="Palatino Linotype" w:cs="Palatino Linotype"/>
          <w:b/>
          <w:sz w:val="22"/>
          <w:szCs w:val="22"/>
        </w:rPr>
        <w:t xml:space="preserve"> </w:t>
      </w:r>
      <w:r w:rsidRPr="001D2B9B">
        <w:rPr>
          <w:rFonts w:ascii="Palatino Linotype" w:eastAsia="Palatino Linotype" w:hAnsi="Palatino Linotype" w:cs="Palatino Linotype"/>
          <w:sz w:val="22"/>
          <w:szCs w:val="22"/>
        </w:rPr>
        <w:t xml:space="preserve">la parte </w:t>
      </w:r>
      <w:r w:rsidRPr="001D2B9B">
        <w:rPr>
          <w:rFonts w:ascii="Palatino Linotype" w:eastAsia="Palatino Linotype" w:hAnsi="Palatino Linotype" w:cs="Palatino Linotype"/>
          <w:b/>
          <w:sz w:val="22"/>
          <w:szCs w:val="22"/>
        </w:rPr>
        <w:t>Recurrente,</w:t>
      </w:r>
      <w:r w:rsidRPr="001D2B9B">
        <w:rPr>
          <w:rFonts w:ascii="Palatino Linotype" w:eastAsia="Palatino Linotype" w:hAnsi="Palatino Linotype" w:cs="Palatino Linotype"/>
          <w:sz w:val="22"/>
          <w:szCs w:val="22"/>
        </w:rPr>
        <w:t xml:space="preserve"> en contra de la respuesta a la solicitud de información con número de folio</w:t>
      </w:r>
      <w:r w:rsidRPr="001D2B9B">
        <w:rPr>
          <w:rFonts w:ascii="Palatino Linotype" w:eastAsia="Palatino Linotype" w:hAnsi="Palatino Linotype" w:cs="Palatino Linotype"/>
          <w:b/>
          <w:sz w:val="22"/>
          <w:szCs w:val="22"/>
        </w:rPr>
        <w:t xml:space="preserve"> 00131/CHICOLOA/IP/2025, </w:t>
      </w:r>
      <w:r w:rsidRPr="001D2B9B">
        <w:rPr>
          <w:rFonts w:ascii="Palatino Linotype" w:eastAsia="Palatino Linotype" w:hAnsi="Palatino Linotype" w:cs="Palatino Linotype"/>
          <w:sz w:val="22"/>
          <w:szCs w:val="22"/>
        </w:rPr>
        <w:t xml:space="preserve">por parte del </w:t>
      </w:r>
      <w:r w:rsidRPr="001D2B9B">
        <w:rPr>
          <w:rFonts w:ascii="Palatino Linotype" w:eastAsia="Palatino Linotype" w:hAnsi="Palatino Linotype" w:cs="Palatino Linotype"/>
          <w:b/>
          <w:sz w:val="22"/>
          <w:szCs w:val="22"/>
        </w:rPr>
        <w:t xml:space="preserve">Ayuntamiento de Chicoloapan, </w:t>
      </w:r>
      <w:r w:rsidRPr="001D2B9B">
        <w:rPr>
          <w:rFonts w:ascii="Palatino Linotype" w:eastAsia="Palatino Linotype" w:hAnsi="Palatino Linotype" w:cs="Palatino Linotype"/>
          <w:sz w:val="22"/>
          <w:szCs w:val="22"/>
        </w:rPr>
        <w:t xml:space="preserve">en lo sucesivo el </w:t>
      </w:r>
      <w:r w:rsidRPr="001D2B9B">
        <w:rPr>
          <w:rFonts w:ascii="Palatino Linotype" w:eastAsia="Palatino Linotype" w:hAnsi="Palatino Linotype" w:cs="Palatino Linotype"/>
          <w:b/>
          <w:sz w:val="22"/>
          <w:szCs w:val="22"/>
        </w:rPr>
        <w:t xml:space="preserve">Sujeto Obligado, </w:t>
      </w:r>
      <w:r w:rsidRPr="001D2B9B">
        <w:rPr>
          <w:rFonts w:ascii="Palatino Linotype" w:eastAsia="Palatino Linotype" w:hAnsi="Palatino Linotype" w:cs="Palatino Linotype"/>
          <w:sz w:val="22"/>
          <w:szCs w:val="22"/>
        </w:rPr>
        <w:t xml:space="preserve">se procede a dictar la presente resolución con base en los siguientes: </w:t>
      </w:r>
    </w:p>
    <w:p w14:paraId="2C06C72A" w14:textId="77777777" w:rsidR="00E0130F" w:rsidRPr="001D2B9B" w:rsidRDefault="00AA79DC">
      <w:pPr>
        <w:spacing w:before="240" w:after="240" w:line="360" w:lineRule="auto"/>
        <w:jc w:val="center"/>
        <w:rPr>
          <w:rFonts w:ascii="Palatino Linotype" w:eastAsia="Palatino Linotype" w:hAnsi="Palatino Linotype" w:cs="Palatino Linotype"/>
          <w:b/>
          <w:sz w:val="22"/>
          <w:szCs w:val="22"/>
        </w:rPr>
      </w:pPr>
      <w:r w:rsidRPr="001D2B9B">
        <w:rPr>
          <w:rFonts w:ascii="Palatino Linotype" w:eastAsia="Palatino Linotype" w:hAnsi="Palatino Linotype" w:cs="Palatino Linotype"/>
          <w:b/>
          <w:sz w:val="22"/>
          <w:szCs w:val="22"/>
        </w:rPr>
        <w:t>I. A N T E C E D E N T E S</w:t>
      </w:r>
    </w:p>
    <w:p w14:paraId="1B1357BF"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bookmarkStart w:id="2" w:name="_heading=h.gjdgxs" w:colFirst="0" w:colLast="0"/>
      <w:bookmarkEnd w:id="2"/>
      <w:r w:rsidRPr="001D2B9B">
        <w:rPr>
          <w:rFonts w:ascii="Palatino Linotype" w:eastAsia="Palatino Linotype" w:hAnsi="Palatino Linotype" w:cs="Palatino Linotype"/>
          <w:b/>
          <w:sz w:val="22"/>
          <w:szCs w:val="22"/>
        </w:rPr>
        <w:t>1. Solicitud de acceso a la información.</w:t>
      </w:r>
      <w:r w:rsidRPr="001D2B9B">
        <w:rPr>
          <w:rFonts w:ascii="Palatino Linotype" w:eastAsia="Palatino Linotype" w:hAnsi="Palatino Linotype" w:cs="Palatino Linotype"/>
          <w:sz w:val="22"/>
          <w:szCs w:val="22"/>
        </w:rPr>
        <w:t xml:space="preserve"> El </w:t>
      </w:r>
      <w:r w:rsidRPr="001D2B9B">
        <w:rPr>
          <w:rFonts w:ascii="Palatino Linotype" w:eastAsia="Palatino Linotype" w:hAnsi="Palatino Linotype" w:cs="Palatino Linotype"/>
          <w:b/>
          <w:sz w:val="22"/>
          <w:szCs w:val="22"/>
        </w:rPr>
        <w:t>veintitrés de junio</w:t>
      </w:r>
      <w:r w:rsidRPr="001D2B9B">
        <w:rPr>
          <w:rFonts w:ascii="Palatino Linotype" w:eastAsia="Palatino Linotype" w:hAnsi="Palatino Linotype" w:cs="Palatino Linotype"/>
          <w:sz w:val="22"/>
          <w:szCs w:val="22"/>
        </w:rPr>
        <w:t xml:space="preserve"> </w:t>
      </w:r>
      <w:r w:rsidRPr="001D2B9B">
        <w:rPr>
          <w:rFonts w:ascii="Palatino Linotype" w:eastAsia="Palatino Linotype" w:hAnsi="Palatino Linotype" w:cs="Palatino Linotype"/>
          <w:b/>
          <w:sz w:val="22"/>
          <w:szCs w:val="22"/>
        </w:rPr>
        <w:t>de dos mil veinticinco,</w:t>
      </w:r>
      <w:r w:rsidRPr="001D2B9B">
        <w:rPr>
          <w:rFonts w:ascii="Palatino Linotype" w:eastAsia="Palatino Linotype" w:hAnsi="Palatino Linotype" w:cs="Palatino Linotype"/>
          <w:sz w:val="22"/>
          <w:szCs w:val="22"/>
        </w:rPr>
        <w:t xml:space="preserve"> la parte </w:t>
      </w:r>
      <w:r w:rsidRPr="001D2B9B">
        <w:rPr>
          <w:rFonts w:ascii="Palatino Linotype" w:eastAsia="Palatino Linotype" w:hAnsi="Palatino Linotype" w:cs="Palatino Linotype"/>
          <w:b/>
          <w:sz w:val="22"/>
          <w:szCs w:val="22"/>
        </w:rPr>
        <w:t xml:space="preserve">Recurrente </w:t>
      </w:r>
      <w:r w:rsidRPr="001D2B9B">
        <w:rPr>
          <w:rFonts w:ascii="Palatino Linotype" w:eastAsia="Palatino Linotype" w:hAnsi="Palatino Linotype" w:cs="Palatino Linotype"/>
          <w:sz w:val="22"/>
          <w:szCs w:val="22"/>
        </w:rPr>
        <w:t xml:space="preserve">presentó la solicitud de acceso a la información pública ante el </w:t>
      </w:r>
      <w:r w:rsidRPr="001D2B9B">
        <w:rPr>
          <w:rFonts w:ascii="Palatino Linotype" w:eastAsia="Palatino Linotype" w:hAnsi="Palatino Linotype" w:cs="Palatino Linotype"/>
          <w:b/>
          <w:sz w:val="22"/>
          <w:szCs w:val="22"/>
        </w:rPr>
        <w:t>Sujeto Obligado</w:t>
      </w:r>
      <w:r w:rsidRPr="001D2B9B">
        <w:rPr>
          <w:rFonts w:ascii="Palatino Linotype" w:eastAsia="Palatino Linotype" w:hAnsi="Palatino Linotype" w:cs="Palatino Linotype"/>
          <w:sz w:val="22"/>
          <w:szCs w:val="22"/>
        </w:rPr>
        <w:t xml:space="preserve">, a través del Sistema de Acceso a la Información Mexiquense, en lo subsecuente el </w:t>
      </w:r>
      <w:r w:rsidRPr="001D2B9B">
        <w:rPr>
          <w:rFonts w:ascii="Palatino Linotype" w:eastAsia="Palatino Linotype" w:hAnsi="Palatino Linotype" w:cs="Palatino Linotype"/>
          <w:b/>
          <w:sz w:val="22"/>
          <w:szCs w:val="22"/>
        </w:rPr>
        <w:t>SAIMEX,</w:t>
      </w:r>
      <w:r w:rsidRPr="001D2B9B">
        <w:rPr>
          <w:rFonts w:ascii="Palatino Linotype" w:eastAsia="Palatino Linotype" w:hAnsi="Palatino Linotype" w:cs="Palatino Linotype"/>
          <w:sz w:val="22"/>
          <w:szCs w:val="22"/>
        </w:rPr>
        <w:t xml:space="preserve"> mediante la cual requirió lo siguiente:</w:t>
      </w:r>
    </w:p>
    <w:p w14:paraId="501A0AC9" w14:textId="77777777" w:rsidR="00E0130F" w:rsidRPr="001D2B9B" w:rsidRDefault="00AA79DC">
      <w:pPr>
        <w:spacing w:before="120" w:after="120"/>
        <w:ind w:left="851" w:right="902"/>
        <w:jc w:val="both"/>
        <w:rPr>
          <w:rFonts w:ascii="Palatino Linotype" w:eastAsia="Palatino Linotype" w:hAnsi="Palatino Linotype" w:cs="Palatino Linotype"/>
          <w:b/>
          <w:i/>
          <w:sz w:val="22"/>
          <w:szCs w:val="22"/>
        </w:rPr>
      </w:pPr>
      <w:r w:rsidRPr="001D2B9B">
        <w:rPr>
          <w:rFonts w:ascii="Palatino Linotype" w:eastAsia="Palatino Linotype" w:hAnsi="Palatino Linotype" w:cs="Palatino Linotype"/>
          <w:i/>
          <w:sz w:val="22"/>
          <w:szCs w:val="22"/>
        </w:rPr>
        <w:t xml:space="preserve"> “Se le solicita al gobierno del municipio de Chicoloapan, Estado de México, proporcione por este medio la copia simple de la verificación vehicular de cada una de las patrullas que el gobierno municipal tiene dentro del parque vehicular.</w:t>
      </w:r>
      <w:r w:rsidRPr="001D2B9B">
        <w:rPr>
          <w:rFonts w:ascii="Palatino Linotype" w:eastAsia="Palatino Linotype" w:hAnsi="Palatino Linotype" w:cs="Palatino Linotype"/>
          <w:b/>
          <w:i/>
          <w:sz w:val="22"/>
          <w:szCs w:val="22"/>
        </w:rPr>
        <w:t>”</w:t>
      </w:r>
      <w:r w:rsidRPr="001D2B9B">
        <w:rPr>
          <w:rFonts w:ascii="Palatino Linotype" w:eastAsia="Palatino Linotype" w:hAnsi="Palatino Linotype" w:cs="Palatino Linotype"/>
          <w:i/>
          <w:sz w:val="22"/>
          <w:szCs w:val="22"/>
        </w:rPr>
        <w:t xml:space="preserve"> (sic) </w:t>
      </w:r>
    </w:p>
    <w:p w14:paraId="121C970A"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bookmarkStart w:id="3" w:name="_heading=h.3dy6vkm" w:colFirst="0" w:colLast="0"/>
      <w:bookmarkEnd w:id="3"/>
      <w:r w:rsidRPr="001D2B9B">
        <w:rPr>
          <w:rFonts w:ascii="Palatino Linotype" w:eastAsia="Palatino Linotype" w:hAnsi="Palatino Linotype" w:cs="Palatino Linotype"/>
          <w:b/>
          <w:sz w:val="22"/>
          <w:szCs w:val="22"/>
        </w:rPr>
        <w:t>Modalidad de Entrega:</w:t>
      </w:r>
      <w:r w:rsidRPr="001D2B9B">
        <w:rPr>
          <w:rFonts w:ascii="Palatino Linotype" w:eastAsia="Palatino Linotype" w:hAnsi="Palatino Linotype" w:cs="Palatino Linotype"/>
          <w:sz w:val="22"/>
          <w:szCs w:val="22"/>
        </w:rPr>
        <w:t xml:space="preserve"> a través del</w:t>
      </w:r>
      <w:r w:rsidRPr="001D2B9B">
        <w:rPr>
          <w:rFonts w:ascii="Palatino Linotype" w:eastAsia="Palatino Linotype" w:hAnsi="Palatino Linotype" w:cs="Palatino Linotype"/>
          <w:b/>
          <w:sz w:val="22"/>
          <w:szCs w:val="22"/>
        </w:rPr>
        <w:t xml:space="preserve"> SAIMEX.</w:t>
      </w:r>
    </w:p>
    <w:p w14:paraId="6DDB2230" w14:textId="77777777" w:rsidR="00E0130F" w:rsidRPr="001D2B9B" w:rsidRDefault="00AA79DC">
      <w:pPr>
        <w:pBdr>
          <w:top w:val="nil"/>
          <w:left w:val="nil"/>
          <w:bottom w:val="nil"/>
          <w:right w:val="nil"/>
          <w:between w:val="nil"/>
        </w:pBdr>
        <w:tabs>
          <w:tab w:val="left" w:pos="3119"/>
        </w:tabs>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b/>
          <w:sz w:val="22"/>
          <w:szCs w:val="22"/>
        </w:rPr>
        <w:t xml:space="preserve">2. Respuesta. </w:t>
      </w:r>
      <w:r w:rsidRPr="001D2B9B">
        <w:rPr>
          <w:rFonts w:ascii="Palatino Linotype" w:eastAsia="Palatino Linotype" w:hAnsi="Palatino Linotype" w:cs="Palatino Linotype"/>
          <w:sz w:val="22"/>
          <w:szCs w:val="22"/>
        </w:rPr>
        <w:t xml:space="preserve">El </w:t>
      </w:r>
      <w:r w:rsidRPr="001D2B9B">
        <w:rPr>
          <w:rFonts w:ascii="Palatino Linotype" w:eastAsia="Palatino Linotype" w:hAnsi="Palatino Linotype" w:cs="Palatino Linotype"/>
          <w:b/>
          <w:sz w:val="22"/>
          <w:szCs w:val="22"/>
        </w:rPr>
        <w:t>catorce de julio de dos mil veinticinco,</w:t>
      </w:r>
      <w:r w:rsidRPr="001D2B9B">
        <w:rPr>
          <w:rFonts w:ascii="Palatino Linotype" w:eastAsia="Palatino Linotype" w:hAnsi="Palatino Linotype" w:cs="Palatino Linotype"/>
          <w:sz w:val="22"/>
          <w:szCs w:val="22"/>
        </w:rPr>
        <w:t xml:space="preserve"> el </w:t>
      </w:r>
      <w:r w:rsidRPr="001D2B9B">
        <w:rPr>
          <w:rFonts w:ascii="Palatino Linotype" w:eastAsia="Palatino Linotype" w:hAnsi="Palatino Linotype" w:cs="Palatino Linotype"/>
          <w:b/>
          <w:sz w:val="22"/>
          <w:szCs w:val="22"/>
        </w:rPr>
        <w:t xml:space="preserve">Sujeto Obligado </w:t>
      </w:r>
      <w:r w:rsidRPr="001D2B9B">
        <w:rPr>
          <w:rFonts w:ascii="Palatino Linotype" w:eastAsia="Palatino Linotype" w:hAnsi="Palatino Linotype" w:cs="Palatino Linotype"/>
          <w:sz w:val="22"/>
          <w:szCs w:val="22"/>
        </w:rPr>
        <w:t xml:space="preserve">envió su respuesta a la solicitud de acceso a la información a través del SAIMEX, sustancialmente en los términos siguientes:   </w:t>
      </w:r>
    </w:p>
    <w:p w14:paraId="0ABB7730" w14:textId="77777777" w:rsidR="00E0130F" w:rsidRPr="001D2B9B" w:rsidRDefault="00AA79DC">
      <w:pPr>
        <w:spacing w:before="240" w:after="24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i/>
          <w:sz w:val="22"/>
          <w:szCs w:val="22"/>
        </w:rPr>
        <w:lastRenderedPageBreak/>
        <w:t>“…Con fundamento en los artículos 3 fracción XLI, 8, 12, 21, 23 fracción IV, 24 fracción XI, 58, 59, 173, así como en los demás preceptos relativos vigentes y aplicables de la Ley de Transparencia y Acceso a la Información Pública del Estado de México y Municipios, en atención a la solicitud de información 00131/CHICOLOA/IP/2025, registrada a través del Sistema de Acceso a la Información Mexiquense (SAIMEX) se da respuesta a la solicitud de información ya mencionada de la siguiente manera... (se adjuntan en formato PDF)...” (sic)</w:t>
      </w:r>
    </w:p>
    <w:p w14:paraId="54D827B4" w14:textId="77777777" w:rsidR="00E0130F" w:rsidRPr="001D2B9B" w:rsidRDefault="00AA79DC">
      <w:pPr>
        <w:spacing w:before="240" w:after="240" w:line="360" w:lineRule="auto"/>
        <w:ind w:right="49"/>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 xml:space="preserve">El </w:t>
      </w:r>
      <w:r w:rsidRPr="001D2B9B">
        <w:rPr>
          <w:rFonts w:ascii="Palatino Linotype" w:eastAsia="Palatino Linotype" w:hAnsi="Palatino Linotype" w:cs="Palatino Linotype"/>
          <w:b/>
          <w:sz w:val="22"/>
          <w:szCs w:val="22"/>
        </w:rPr>
        <w:t xml:space="preserve">Sujeto Obligado </w:t>
      </w:r>
      <w:r w:rsidRPr="001D2B9B">
        <w:rPr>
          <w:rFonts w:ascii="Palatino Linotype" w:eastAsia="Palatino Linotype" w:hAnsi="Palatino Linotype" w:cs="Palatino Linotype"/>
          <w:sz w:val="22"/>
          <w:szCs w:val="22"/>
        </w:rPr>
        <w:t>adjuntó lo siguiente:</w:t>
      </w:r>
    </w:p>
    <w:p w14:paraId="0378183C" w14:textId="77777777" w:rsidR="00E0130F" w:rsidRPr="001D2B9B" w:rsidRDefault="00AA79DC">
      <w:pPr>
        <w:spacing w:before="240" w:after="240" w:line="360" w:lineRule="auto"/>
        <w:ind w:right="49"/>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 Oficio número CHICO/DA/CCV/00572025, mediante el cual el Coordinador de Control Vehicular refirió que no contaba con la información solicitada.</w:t>
      </w:r>
    </w:p>
    <w:p w14:paraId="3146623B" w14:textId="77777777" w:rsidR="00E0130F" w:rsidRPr="001D2B9B" w:rsidRDefault="00AA79DC">
      <w:pPr>
        <w:spacing w:before="240" w:after="240" w:line="360" w:lineRule="auto"/>
        <w:ind w:right="49"/>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b/>
          <w:sz w:val="22"/>
          <w:szCs w:val="22"/>
        </w:rPr>
        <w:t xml:space="preserve">3. Interposición del recurso de revisión. </w:t>
      </w:r>
      <w:r w:rsidRPr="001D2B9B">
        <w:rPr>
          <w:rFonts w:ascii="Palatino Linotype" w:eastAsia="Palatino Linotype" w:hAnsi="Palatino Linotype" w:cs="Palatino Linotype"/>
          <w:sz w:val="22"/>
          <w:szCs w:val="22"/>
        </w:rPr>
        <w:t xml:space="preserve">Inconforme con los términos de la respuesta emitida por parte del </w:t>
      </w:r>
      <w:r w:rsidRPr="001D2B9B">
        <w:rPr>
          <w:rFonts w:ascii="Palatino Linotype" w:eastAsia="Palatino Linotype" w:hAnsi="Palatino Linotype" w:cs="Palatino Linotype"/>
          <w:b/>
          <w:sz w:val="22"/>
          <w:szCs w:val="22"/>
        </w:rPr>
        <w:t>Sujeto Obligado</w:t>
      </w:r>
      <w:r w:rsidRPr="001D2B9B">
        <w:rPr>
          <w:rFonts w:ascii="Palatino Linotype" w:eastAsia="Palatino Linotype" w:hAnsi="Palatino Linotype" w:cs="Palatino Linotype"/>
          <w:sz w:val="22"/>
          <w:szCs w:val="22"/>
        </w:rPr>
        <w:t xml:space="preserve">, el </w:t>
      </w:r>
      <w:r w:rsidRPr="001D2B9B">
        <w:rPr>
          <w:rFonts w:ascii="Palatino Linotype" w:eastAsia="Palatino Linotype" w:hAnsi="Palatino Linotype" w:cs="Palatino Linotype"/>
          <w:b/>
          <w:sz w:val="22"/>
          <w:szCs w:val="22"/>
        </w:rPr>
        <w:t>quince de julio de dos mil veinticinco,</w:t>
      </w:r>
      <w:r w:rsidRPr="001D2B9B">
        <w:rPr>
          <w:rFonts w:ascii="Palatino Linotype" w:eastAsia="Palatino Linotype" w:hAnsi="Palatino Linotype" w:cs="Palatino Linotype"/>
          <w:sz w:val="22"/>
          <w:szCs w:val="22"/>
        </w:rPr>
        <w:t xml:space="preserve"> la parte </w:t>
      </w:r>
      <w:r w:rsidRPr="001D2B9B">
        <w:rPr>
          <w:rFonts w:ascii="Palatino Linotype" w:eastAsia="Palatino Linotype" w:hAnsi="Palatino Linotype" w:cs="Palatino Linotype"/>
          <w:b/>
          <w:sz w:val="22"/>
          <w:szCs w:val="22"/>
        </w:rPr>
        <w:t>Recurrente</w:t>
      </w:r>
      <w:r w:rsidRPr="001D2B9B">
        <w:rPr>
          <w:rFonts w:ascii="Palatino Linotype" w:eastAsia="Palatino Linotype" w:hAnsi="Palatino Linotype" w:cs="Palatino Linotype"/>
          <w:sz w:val="22"/>
          <w:szCs w:val="22"/>
        </w:rPr>
        <w:t xml:space="preserve"> interpuso el recurso de revisión a través de </w:t>
      </w:r>
      <w:r w:rsidRPr="001D2B9B">
        <w:rPr>
          <w:rFonts w:ascii="Palatino Linotype" w:eastAsia="Palatino Linotype" w:hAnsi="Palatino Linotype" w:cs="Palatino Linotype"/>
          <w:b/>
          <w:sz w:val="22"/>
          <w:szCs w:val="22"/>
        </w:rPr>
        <w:t xml:space="preserve">SAIMEX, </w:t>
      </w:r>
      <w:r w:rsidRPr="001D2B9B">
        <w:rPr>
          <w:rFonts w:ascii="Palatino Linotype" w:eastAsia="Palatino Linotype" w:hAnsi="Palatino Linotype" w:cs="Palatino Linotype"/>
          <w:sz w:val="22"/>
          <w:szCs w:val="22"/>
        </w:rPr>
        <w:t>en donde se manifestó de la siguiente manera:</w:t>
      </w:r>
    </w:p>
    <w:p w14:paraId="74334041" w14:textId="77777777" w:rsidR="00E0130F" w:rsidRPr="001D2B9B" w:rsidRDefault="00AA79DC">
      <w:pPr>
        <w:spacing w:before="240" w:after="240" w:line="360" w:lineRule="auto"/>
        <w:ind w:right="49"/>
        <w:jc w:val="both"/>
        <w:rPr>
          <w:rFonts w:ascii="Palatino Linotype" w:eastAsia="Palatino Linotype" w:hAnsi="Palatino Linotype" w:cs="Palatino Linotype"/>
          <w:b/>
          <w:sz w:val="22"/>
          <w:szCs w:val="22"/>
        </w:rPr>
      </w:pPr>
      <w:r w:rsidRPr="001D2B9B">
        <w:rPr>
          <w:rFonts w:ascii="Palatino Linotype" w:eastAsia="Palatino Linotype" w:hAnsi="Palatino Linotype" w:cs="Palatino Linotype"/>
          <w:b/>
          <w:sz w:val="22"/>
          <w:szCs w:val="22"/>
        </w:rPr>
        <w:t xml:space="preserve">Acto impugnado: </w:t>
      </w:r>
    </w:p>
    <w:p w14:paraId="6D35011C" w14:textId="77777777" w:rsidR="00E0130F" w:rsidRPr="001D2B9B" w:rsidRDefault="00AA79DC">
      <w:pPr>
        <w:tabs>
          <w:tab w:val="left" w:pos="2745"/>
        </w:tabs>
        <w:spacing w:before="240" w:after="240"/>
        <w:ind w:left="851" w:right="900"/>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i/>
          <w:sz w:val="22"/>
          <w:szCs w:val="22"/>
        </w:rPr>
        <w:t xml:space="preserve">“De acuerdo al oficio CHICO/DA/CCV/00572025 emitido por el Coordinador de Control Vehicular del Municipio de Chicoloapan, mismo que se da como respuesta a la petición generada, expone que “no cuenta con la información solicitada” (sic). Si es esta la persona de la clasificación y resguardo de los documentos de las patrullas que laboran en el municipio de Chicoloapan, </w:t>
      </w:r>
      <w:proofErr w:type="spellStart"/>
      <w:r w:rsidRPr="001D2B9B">
        <w:rPr>
          <w:rFonts w:ascii="Palatino Linotype" w:eastAsia="Palatino Linotype" w:hAnsi="Palatino Linotype" w:cs="Palatino Linotype"/>
          <w:i/>
          <w:sz w:val="22"/>
          <w:szCs w:val="22"/>
        </w:rPr>
        <w:t>por que</w:t>
      </w:r>
      <w:proofErr w:type="spellEnd"/>
      <w:r w:rsidRPr="001D2B9B">
        <w:rPr>
          <w:rFonts w:ascii="Palatino Linotype" w:eastAsia="Palatino Linotype" w:hAnsi="Palatino Linotype" w:cs="Palatino Linotype"/>
          <w:i/>
          <w:sz w:val="22"/>
          <w:szCs w:val="22"/>
        </w:rPr>
        <w:t xml:space="preserve"> razón omite presentar uno de los documentos básicos de una vehículo automotor de tal relevancia para el municipio.” (sic)</w:t>
      </w:r>
    </w:p>
    <w:p w14:paraId="257886FC" w14:textId="77777777" w:rsidR="00E0130F" w:rsidRPr="001D2B9B" w:rsidRDefault="00AA79DC">
      <w:pPr>
        <w:spacing w:line="360" w:lineRule="auto"/>
        <w:jc w:val="both"/>
        <w:rPr>
          <w:rFonts w:ascii="Palatino Linotype" w:eastAsia="Palatino Linotype" w:hAnsi="Palatino Linotype" w:cs="Palatino Linotype"/>
          <w:sz w:val="22"/>
          <w:szCs w:val="22"/>
        </w:rPr>
      </w:pPr>
      <w:bookmarkStart w:id="4" w:name="_heading=h.30j0zll" w:colFirst="0" w:colLast="0"/>
      <w:bookmarkEnd w:id="4"/>
      <w:r w:rsidRPr="001D2B9B">
        <w:rPr>
          <w:rFonts w:ascii="Palatino Linotype" w:eastAsia="Palatino Linotype" w:hAnsi="Palatino Linotype" w:cs="Palatino Linotype"/>
          <w:b/>
          <w:sz w:val="22"/>
          <w:szCs w:val="22"/>
        </w:rPr>
        <w:t>Y, Razones o motivos de inconformidad</w:t>
      </w:r>
      <w:r w:rsidRPr="001D2B9B">
        <w:rPr>
          <w:rFonts w:ascii="Palatino Linotype" w:eastAsia="Palatino Linotype" w:hAnsi="Palatino Linotype" w:cs="Palatino Linotype"/>
          <w:sz w:val="22"/>
          <w:szCs w:val="22"/>
        </w:rPr>
        <w:t>:</w:t>
      </w:r>
    </w:p>
    <w:p w14:paraId="1BDF361C" w14:textId="77777777" w:rsidR="00E0130F" w:rsidRPr="001D2B9B" w:rsidRDefault="00AA79DC">
      <w:pPr>
        <w:tabs>
          <w:tab w:val="left" w:pos="2745"/>
        </w:tabs>
        <w:spacing w:before="240" w:after="240"/>
        <w:ind w:left="851" w:right="900"/>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i/>
          <w:sz w:val="22"/>
          <w:szCs w:val="22"/>
        </w:rPr>
        <w:t xml:space="preserve">“De acuerdo al Reglamento de </w:t>
      </w:r>
      <w:proofErr w:type="spellStart"/>
      <w:r w:rsidRPr="001D2B9B">
        <w:rPr>
          <w:rFonts w:ascii="Palatino Linotype" w:eastAsia="Palatino Linotype" w:hAnsi="Palatino Linotype" w:cs="Palatino Linotype"/>
          <w:i/>
          <w:sz w:val="22"/>
          <w:szCs w:val="22"/>
        </w:rPr>
        <w:t>Transito</w:t>
      </w:r>
      <w:proofErr w:type="spellEnd"/>
      <w:r w:rsidRPr="001D2B9B">
        <w:rPr>
          <w:rFonts w:ascii="Palatino Linotype" w:eastAsia="Palatino Linotype" w:hAnsi="Palatino Linotype" w:cs="Palatino Linotype"/>
          <w:i/>
          <w:sz w:val="22"/>
          <w:szCs w:val="22"/>
        </w:rPr>
        <w:t xml:space="preserve"> del Estado de México vigente, todo vehículo automotor debe cumplir con el requisito de estar </w:t>
      </w:r>
      <w:proofErr w:type="spellStart"/>
      <w:r w:rsidRPr="001D2B9B">
        <w:rPr>
          <w:rFonts w:ascii="Palatino Linotype" w:eastAsia="Palatino Linotype" w:hAnsi="Palatino Linotype" w:cs="Palatino Linotype"/>
          <w:i/>
          <w:sz w:val="22"/>
          <w:szCs w:val="22"/>
        </w:rPr>
        <w:t>emplacado</w:t>
      </w:r>
      <w:proofErr w:type="spellEnd"/>
      <w:r w:rsidRPr="001D2B9B">
        <w:rPr>
          <w:rFonts w:ascii="Palatino Linotype" w:eastAsia="Palatino Linotype" w:hAnsi="Palatino Linotype" w:cs="Palatino Linotype"/>
          <w:i/>
          <w:sz w:val="22"/>
          <w:szCs w:val="22"/>
        </w:rPr>
        <w:t xml:space="preserve"> y contar con la verificación vehicular. Por lo anterior solicito se expongan los documentos de las verificaciones vehiculares de cada una de las unidades vehiculares que fungen como patrullas en el municipio de Chicoloapan.” (sic)</w:t>
      </w:r>
    </w:p>
    <w:p w14:paraId="5D2B8B5D" w14:textId="77777777" w:rsidR="00E0130F" w:rsidRPr="001D2B9B" w:rsidRDefault="00AA79DC">
      <w:pPr>
        <w:spacing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b/>
          <w:sz w:val="22"/>
          <w:szCs w:val="22"/>
        </w:rPr>
        <w:lastRenderedPageBreak/>
        <w:t xml:space="preserve">4. Turno. </w:t>
      </w:r>
      <w:r w:rsidRPr="001D2B9B">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1D2B9B">
        <w:rPr>
          <w:rFonts w:ascii="Palatino Linotype" w:eastAsia="Palatino Linotype" w:hAnsi="Palatino Linotype" w:cs="Palatino Linotype"/>
          <w:b/>
          <w:sz w:val="22"/>
          <w:szCs w:val="22"/>
        </w:rPr>
        <w:t xml:space="preserve">Guadalupe Ramírez Peña, </w:t>
      </w:r>
      <w:r w:rsidRPr="001D2B9B">
        <w:rPr>
          <w:rFonts w:ascii="Palatino Linotype" w:eastAsia="Palatino Linotype" w:hAnsi="Palatino Linotype" w:cs="Palatino Linotype"/>
          <w:sz w:val="22"/>
          <w:szCs w:val="22"/>
        </w:rPr>
        <w:t xml:space="preserve">a efecto de que analizara sobre su admisión o su </w:t>
      </w:r>
      <w:proofErr w:type="spellStart"/>
      <w:r w:rsidRPr="001D2B9B">
        <w:rPr>
          <w:rFonts w:ascii="Palatino Linotype" w:eastAsia="Palatino Linotype" w:hAnsi="Palatino Linotype" w:cs="Palatino Linotype"/>
          <w:sz w:val="22"/>
          <w:szCs w:val="22"/>
        </w:rPr>
        <w:t>desechamiento</w:t>
      </w:r>
      <w:proofErr w:type="spellEnd"/>
      <w:r w:rsidRPr="001D2B9B">
        <w:rPr>
          <w:rFonts w:ascii="Palatino Linotype" w:eastAsia="Palatino Linotype" w:hAnsi="Palatino Linotype" w:cs="Palatino Linotype"/>
          <w:sz w:val="22"/>
          <w:szCs w:val="22"/>
        </w:rPr>
        <w:t>.</w:t>
      </w:r>
    </w:p>
    <w:p w14:paraId="6A8E5BA7" w14:textId="77777777" w:rsidR="00E0130F" w:rsidRPr="001D2B9B" w:rsidRDefault="00AA79DC">
      <w:pPr>
        <w:spacing w:before="240" w:after="240" w:line="360" w:lineRule="auto"/>
        <w:jc w:val="both"/>
        <w:rPr>
          <w:rFonts w:ascii="Palatino Linotype" w:eastAsia="Palatino Linotype" w:hAnsi="Palatino Linotype" w:cs="Palatino Linotype"/>
          <w:b/>
          <w:sz w:val="22"/>
          <w:szCs w:val="22"/>
        </w:rPr>
      </w:pPr>
      <w:r w:rsidRPr="001D2B9B">
        <w:rPr>
          <w:rFonts w:ascii="Palatino Linotype" w:eastAsia="Palatino Linotype" w:hAnsi="Palatino Linotype" w:cs="Palatino Linotype"/>
          <w:b/>
          <w:sz w:val="22"/>
          <w:szCs w:val="22"/>
        </w:rPr>
        <w:t>5. Admisión del Recurso de revisión.</w:t>
      </w:r>
      <w:r w:rsidRPr="001D2B9B">
        <w:rPr>
          <w:rFonts w:ascii="Palatino Linotype" w:eastAsia="Palatino Linotype" w:hAnsi="Palatino Linotype" w:cs="Palatino Linotype"/>
          <w:sz w:val="22"/>
          <w:szCs w:val="22"/>
        </w:rPr>
        <w:t xml:space="preserve"> El</w:t>
      </w:r>
      <w:r w:rsidRPr="001D2B9B">
        <w:rPr>
          <w:rFonts w:ascii="Palatino Linotype" w:eastAsia="Palatino Linotype" w:hAnsi="Palatino Linotype" w:cs="Palatino Linotype"/>
          <w:b/>
          <w:sz w:val="22"/>
          <w:szCs w:val="22"/>
        </w:rPr>
        <w:t xml:space="preserve"> cuatro de agosto de dos mil veinticinco, </w:t>
      </w:r>
      <w:r w:rsidRPr="001D2B9B">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1D2B9B">
        <w:rPr>
          <w:rFonts w:ascii="Palatino Linotype" w:eastAsia="Palatino Linotype" w:hAnsi="Palatino Linotype" w:cs="Palatino Linotype"/>
          <w:b/>
          <w:sz w:val="22"/>
          <w:szCs w:val="22"/>
        </w:rPr>
        <w:t xml:space="preserve">Sujeto Obligado </w:t>
      </w:r>
      <w:r w:rsidRPr="001D2B9B">
        <w:rPr>
          <w:rFonts w:ascii="Palatino Linotype" w:eastAsia="Palatino Linotype" w:hAnsi="Palatino Linotype" w:cs="Palatino Linotype"/>
          <w:sz w:val="22"/>
          <w:szCs w:val="22"/>
        </w:rPr>
        <w:t>presentara su informe justificado.</w:t>
      </w:r>
    </w:p>
    <w:p w14:paraId="725F12F2"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bookmarkStart w:id="5" w:name="_heading=h.2s8eyo1" w:colFirst="0" w:colLast="0"/>
      <w:bookmarkEnd w:id="5"/>
      <w:r w:rsidRPr="001D2B9B">
        <w:rPr>
          <w:rFonts w:ascii="Palatino Linotype" w:eastAsia="Palatino Linotype" w:hAnsi="Palatino Linotype" w:cs="Palatino Linotype"/>
          <w:b/>
          <w:sz w:val="22"/>
          <w:szCs w:val="22"/>
        </w:rPr>
        <w:t>6. Manifestaciones</w:t>
      </w:r>
      <w:r w:rsidRPr="001D2B9B">
        <w:rPr>
          <w:rFonts w:ascii="Palatino Linotype" w:eastAsia="Palatino Linotype" w:hAnsi="Palatino Linotype" w:cs="Palatino Linotype"/>
          <w:sz w:val="22"/>
          <w:szCs w:val="22"/>
        </w:rPr>
        <w:t xml:space="preserve">. De las constancias que obran en el expediente electrónico del SAIMEX se desprende que el </w:t>
      </w:r>
      <w:r w:rsidRPr="001D2B9B">
        <w:rPr>
          <w:rFonts w:ascii="Palatino Linotype" w:eastAsia="Palatino Linotype" w:hAnsi="Palatino Linotype" w:cs="Palatino Linotype"/>
          <w:b/>
          <w:sz w:val="22"/>
          <w:szCs w:val="22"/>
        </w:rPr>
        <w:t>Sujeto Obligado</w:t>
      </w:r>
      <w:r w:rsidRPr="001D2B9B">
        <w:rPr>
          <w:rFonts w:ascii="Palatino Linotype" w:eastAsia="Palatino Linotype" w:hAnsi="Palatino Linotype" w:cs="Palatino Linotype"/>
          <w:sz w:val="22"/>
          <w:szCs w:val="22"/>
        </w:rPr>
        <w:t xml:space="preserve"> no rindió su Informe Justificado, del mismo modo la parte</w:t>
      </w:r>
      <w:r w:rsidRPr="001D2B9B">
        <w:rPr>
          <w:rFonts w:ascii="Palatino Linotype" w:eastAsia="Palatino Linotype" w:hAnsi="Palatino Linotype" w:cs="Palatino Linotype"/>
          <w:b/>
          <w:sz w:val="22"/>
          <w:szCs w:val="22"/>
        </w:rPr>
        <w:t xml:space="preserve"> Recurrente</w:t>
      </w:r>
      <w:r w:rsidRPr="001D2B9B">
        <w:rPr>
          <w:rFonts w:ascii="Palatino Linotype" w:eastAsia="Palatino Linotype" w:hAnsi="Palatino Linotype" w:cs="Palatino Linotype"/>
          <w:sz w:val="22"/>
          <w:szCs w:val="22"/>
        </w:rPr>
        <w:t xml:space="preserve"> omitió realizar manifestaciones, como se observa a continuación:</w:t>
      </w:r>
    </w:p>
    <w:p w14:paraId="4466C2BA"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noProof/>
          <w:sz w:val="22"/>
          <w:szCs w:val="22"/>
        </w:rPr>
        <w:drawing>
          <wp:inline distT="0" distB="0" distL="0" distR="0" wp14:anchorId="2BF53C09" wp14:editId="7A0CF31E">
            <wp:extent cx="5612130" cy="1671320"/>
            <wp:effectExtent l="0" t="0" r="0" b="0"/>
            <wp:docPr id="21401318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612130" cy="1671320"/>
                    </a:xfrm>
                    <a:prstGeom prst="rect">
                      <a:avLst/>
                    </a:prstGeom>
                    <a:ln/>
                  </pic:spPr>
                </pic:pic>
              </a:graphicData>
            </a:graphic>
          </wp:inline>
        </w:drawing>
      </w:r>
    </w:p>
    <w:p w14:paraId="35493A4E"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b/>
          <w:sz w:val="22"/>
          <w:szCs w:val="22"/>
        </w:rPr>
        <w:t xml:space="preserve">7. Cierre de instrucción. </w:t>
      </w:r>
      <w:r w:rsidRPr="001D2B9B">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w:t>
      </w:r>
      <w:r w:rsidRPr="001D2B9B">
        <w:rPr>
          <w:rFonts w:ascii="Palatino Linotype" w:eastAsia="Palatino Linotype" w:hAnsi="Palatino Linotype" w:cs="Palatino Linotype"/>
          <w:b/>
          <w:sz w:val="22"/>
          <w:szCs w:val="22"/>
        </w:rPr>
        <w:t>veinte de octubre de dos mil veinticinco</w:t>
      </w:r>
      <w:r w:rsidRPr="001D2B9B">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554E88EB" w14:textId="77777777" w:rsidR="00E0130F" w:rsidRPr="001D2B9B" w:rsidRDefault="00AA79DC">
      <w:pPr>
        <w:spacing w:before="240" w:after="240" w:line="360" w:lineRule="auto"/>
        <w:jc w:val="both"/>
        <w:rPr>
          <w:rFonts w:ascii="Palatino Linotype" w:eastAsia="Palatino Linotype" w:hAnsi="Palatino Linotype" w:cs="Palatino Linotype"/>
          <w:b/>
          <w:sz w:val="22"/>
          <w:szCs w:val="22"/>
        </w:rPr>
      </w:pPr>
      <w:r w:rsidRPr="001D2B9B">
        <w:rPr>
          <w:rFonts w:ascii="Palatino Linotype" w:eastAsia="Palatino Linotype" w:hAnsi="Palatino Linotype" w:cs="Palatino Linotype"/>
          <w:b/>
          <w:sz w:val="22"/>
          <w:szCs w:val="22"/>
        </w:rPr>
        <w:t>8.</w:t>
      </w:r>
      <w:r w:rsidRPr="001D2B9B">
        <w:rPr>
          <w:rFonts w:ascii="Palatino Linotype" w:eastAsia="Palatino Linotype" w:hAnsi="Palatino Linotype" w:cs="Palatino Linotype"/>
          <w:sz w:val="22"/>
          <w:szCs w:val="22"/>
        </w:rPr>
        <w:t xml:space="preserve"> </w:t>
      </w:r>
      <w:r w:rsidRPr="001D2B9B">
        <w:rPr>
          <w:rFonts w:ascii="Palatino Linotype" w:eastAsia="Palatino Linotype" w:hAnsi="Palatino Linotype" w:cs="Palatino Linotype"/>
          <w:b/>
          <w:sz w:val="22"/>
          <w:szCs w:val="22"/>
        </w:rPr>
        <w:t>Ampliación del término para resolver</w:t>
      </w:r>
      <w:r w:rsidRPr="001D2B9B">
        <w:rPr>
          <w:rFonts w:ascii="Palatino Linotype" w:eastAsia="Palatino Linotype" w:hAnsi="Palatino Linotype" w:cs="Palatino Linotype"/>
          <w:sz w:val="22"/>
          <w:szCs w:val="22"/>
        </w:rPr>
        <w:t xml:space="preserve">. El </w:t>
      </w:r>
      <w:r w:rsidRPr="001D2B9B">
        <w:rPr>
          <w:rFonts w:ascii="Palatino Linotype" w:eastAsia="Palatino Linotype" w:hAnsi="Palatino Linotype" w:cs="Palatino Linotype"/>
          <w:b/>
          <w:sz w:val="22"/>
          <w:szCs w:val="22"/>
        </w:rPr>
        <w:t>veinte de octubre de dos mil veinticinco</w:t>
      </w:r>
      <w:r w:rsidRPr="001D2B9B">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40E77D42"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0BBD174F"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033EC5E"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2FFB49B"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6C06BDB" w14:textId="77777777" w:rsidR="00E0130F" w:rsidRPr="001D2B9B" w:rsidRDefault="00AA79DC">
      <w:pPr>
        <w:spacing w:before="240" w:after="240" w:line="360" w:lineRule="auto"/>
        <w:jc w:val="both"/>
        <w:rPr>
          <w:rFonts w:ascii="Palatino Linotype" w:eastAsia="Palatino Linotype" w:hAnsi="Palatino Linotype" w:cs="Palatino Linotype"/>
          <w:strike/>
          <w:sz w:val="22"/>
          <w:szCs w:val="22"/>
        </w:rPr>
      </w:pPr>
      <w:r w:rsidRPr="001D2B9B">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4EF6B0AF" w14:textId="77777777" w:rsidR="00E0130F" w:rsidRPr="001D2B9B" w:rsidRDefault="00AA79DC">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68E51ACA" w14:textId="77777777" w:rsidR="00E0130F" w:rsidRPr="001D2B9B" w:rsidRDefault="00AA79DC">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Actividad Procesal del interesado. Acciones u omisiones del interesado.</w:t>
      </w:r>
    </w:p>
    <w:p w14:paraId="3841A2D5" w14:textId="77777777" w:rsidR="00E0130F" w:rsidRPr="001D2B9B" w:rsidRDefault="00AA79DC">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49108AFD" w14:textId="77777777" w:rsidR="00E0130F" w:rsidRPr="001D2B9B" w:rsidRDefault="00AA79DC">
      <w:pPr>
        <w:tabs>
          <w:tab w:val="left" w:pos="567"/>
        </w:tabs>
        <w:spacing w:before="240" w:after="240" w:line="360" w:lineRule="auto"/>
        <w:ind w:left="284"/>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1AB0DBF0"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DF2395E" w14:textId="77777777" w:rsidR="00E0130F" w:rsidRPr="001D2B9B" w:rsidRDefault="00AA79DC">
      <w:pPr>
        <w:spacing w:before="240" w:after="240" w:line="360" w:lineRule="auto"/>
        <w:jc w:val="both"/>
        <w:rPr>
          <w:rFonts w:ascii="Palatino Linotype" w:eastAsia="Palatino Linotype" w:hAnsi="Palatino Linotype" w:cs="Palatino Linotype"/>
          <w:b/>
          <w:sz w:val="22"/>
          <w:szCs w:val="22"/>
        </w:rPr>
      </w:pPr>
      <w:r w:rsidRPr="001D2B9B">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1D2B9B">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1D2B9B">
        <w:rPr>
          <w:rFonts w:ascii="Palatino Linotype" w:eastAsia="Palatino Linotype" w:hAnsi="Palatino Linotype" w:cs="Palatino Linotype"/>
          <w:sz w:val="22"/>
          <w:szCs w:val="22"/>
        </w:rPr>
        <w:t>, visible en la Gaceta del Seminario Judicial de la Federación con el registro digital 205635.</w:t>
      </w:r>
    </w:p>
    <w:p w14:paraId="208F80F3"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C52ADCA"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4AE1EB1C" w14:textId="77777777" w:rsidR="00E0130F" w:rsidRPr="001D2B9B" w:rsidRDefault="00AA79DC">
      <w:pPr>
        <w:spacing w:before="120" w:after="120"/>
        <w:ind w:left="851" w:right="902"/>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 xml:space="preserve"> </w:t>
      </w:r>
      <w:r w:rsidRPr="001D2B9B">
        <w:rPr>
          <w:rFonts w:ascii="Palatino Linotype" w:eastAsia="Palatino Linotype" w:hAnsi="Palatino Linotype" w:cs="Palatino Linotype"/>
          <w:i/>
          <w:sz w:val="22"/>
          <w:szCs w:val="22"/>
        </w:rPr>
        <w:t>“</w:t>
      </w:r>
      <w:r w:rsidRPr="001D2B9B">
        <w:rPr>
          <w:rFonts w:ascii="Palatino Linotype" w:eastAsia="Palatino Linotype" w:hAnsi="Palatino Linotype" w:cs="Palatino Linotype"/>
          <w:b/>
          <w:i/>
          <w:sz w:val="22"/>
          <w:szCs w:val="22"/>
        </w:rPr>
        <w:t>PLAZO RAZONABLE PARA RESOLVER. DIMENSIÓN Y EFECTOS DE ESTE CONCEPTO CUANDO SE ADUCE EXCESIVA CARGA DE TRABAJO</w:t>
      </w:r>
      <w:r w:rsidRPr="001D2B9B">
        <w:rPr>
          <w:rFonts w:ascii="Palatino Linotype" w:eastAsia="Palatino Linotype" w:hAnsi="Palatino Linotype" w:cs="Palatino Linotype"/>
          <w:i/>
          <w:sz w:val="22"/>
          <w:szCs w:val="22"/>
        </w:rPr>
        <w:t>.”</w:t>
      </w:r>
      <w:r w:rsidRPr="001D2B9B">
        <w:rPr>
          <w:rFonts w:ascii="Palatino Linotype" w:eastAsia="Palatino Linotype" w:hAnsi="Palatino Linotype" w:cs="Palatino Linotype"/>
          <w:sz w:val="22"/>
          <w:szCs w:val="22"/>
        </w:rPr>
        <w:t xml:space="preserve"> consultable en el Seminario Judicial de la Federación y su gaceta, con el registro digital 2002351.</w:t>
      </w:r>
    </w:p>
    <w:p w14:paraId="58056B02" w14:textId="77777777" w:rsidR="00E0130F" w:rsidRPr="001D2B9B" w:rsidRDefault="00AA79DC">
      <w:pPr>
        <w:spacing w:before="120" w:after="120"/>
        <w:ind w:left="851" w:right="902"/>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i/>
          <w:sz w:val="22"/>
          <w:szCs w:val="22"/>
        </w:rPr>
        <w:t>“</w:t>
      </w:r>
      <w:r w:rsidRPr="001D2B9B">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1D2B9B">
        <w:rPr>
          <w:rFonts w:ascii="Palatino Linotype" w:eastAsia="Palatino Linotype" w:hAnsi="Palatino Linotype" w:cs="Palatino Linotype"/>
          <w:i/>
          <w:sz w:val="22"/>
          <w:szCs w:val="22"/>
        </w:rPr>
        <w:t>.”</w:t>
      </w:r>
      <w:r w:rsidRPr="001D2B9B">
        <w:rPr>
          <w:rFonts w:ascii="Palatino Linotype" w:eastAsia="Palatino Linotype" w:hAnsi="Palatino Linotype" w:cs="Palatino Linotype"/>
          <w:sz w:val="22"/>
          <w:szCs w:val="22"/>
        </w:rPr>
        <w:t>, visible en el Seminario Judicial de la Federación y su gaceta, con el registro digital 2002350.</w:t>
      </w:r>
    </w:p>
    <w:p w14:paraId="62E723C3"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5853C93A"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215BAAA9" w14:textId="77777777" w:rsidR="00E0130F" w:rsidRPr="001D2B9B" w:rsidRDefault="00AA79DC">
      <w:pPr>
        <w:widowControl w:val="0"/>
        <w:spacing w:before="240" w:after="240" w:line="360" w:lineRule="auto"/>
        <w:jc w:val="center"/>
        <w:rPr>
          <w:rFonts w:ascii="Palatino Linotype" w:eastAsia="Palatino Linotype" w:hAnsi="Palatino Linotype" w:cs="Palatino Linotype"/>
          <w:b/>
          <w:sz w:val="22"/>
          <w:szCs w:val="22"/>
        </w:rPr>
      </w:pPr>
      <w:r w:rsidRPr="001D2B9B">
        <w:rPr>
          <w:rFonts w:ascii="Palatino Linotype" w:eastAsia="Palatino Linotype" w:hAnsi="Palatino Linotype" w:cs="Palatino Linotype"/>
          <w:b/>
          <w:sz w:val="22"/>
          <w:szCs w:val="22"/>
        </w:rPr>
        <w:t>II. C O N S I D E R A N D O S</w:t>
      </w:r>
    </w:p>
    <w:p w14:paraId="54AEE125" w14:textId="13282A72" w:rsidR="00E0130F" w:rsidRPr="001D2B9B" w:rsidRDefault="00AA79DC">
      <w:pP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b/>
          <w:sz w:val="22"/>
          <w:szCs w:val="22"/>
        </w:rPr>
        <w:t>Primero. Competencia.</w:t>
      </w:r>
      <w:r w:rsidRPr="001D2B9B">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1610E5" w:rsidRPr="001D2B9B">
        <w:rPr>
          <w:rFonts w:ascii="Palatino Linotype" w:eastAsia="Palatino Linotype" w:hAnsi="Palatino Linotype" w:cs="Palatino Linotype"/>
          <w:sz w:val="22"/>
          <w:szCs w:val="22"/>
        </w:rPr>
        <w:t>5 párrafos cuadragésimo cuarto, cuadragésimo quinto y cuadragésimo sexto, fracciones IV y V de la Constitución Política del Estado Libre y Soberano de México; transitorio Cuarto del Decreto número 198 de la “LXII” Legislatura del Estado de México</w:t>
      </w:r>
      <w:r w:rsidRPr="001D2B9B">
        <w:rPr>
          <w:rFonts w:ascii="Palatino Linotype" w:eastAsia="Palatino Linotype" w:hAnsi="Palatino Linotype" w:cs="Palatino Linotype"/>
          <w:sz w:val="22"/>
          <w:szCs w:val="22"/>
        </w:rPr>
        <w:t>;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4003AC8"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bookmarkStart w:id="6" w:name="_heading=h.tyjcwt" w:colFirst="0" w:colLast="0"/>
      <w:bookmarkEnd w:id="6"/>
      <w:r w:rsidRPr="001D2B9B">
        <w:rPr>
          <w:rFonts w:ascii="Palatino Linotype" w:eastAsia="Palatino Linotype" w:hAnsi="Palatino Linotype" w:cs="Palatino Linotype"/>
          <w:b/>
          <w:sz w:val="22"/>
          <w:szCs w:val="22"/>
        </w:rPr>
        <w:t>Segundo. Oportunidad y Procedibilidad del Recurso de Revisión</w:t>
      </w:r>
      <w:r w:rsidRPr="001D2B9B">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7DBEB8A" w14:textId="77777777" w:rsidR="00E0130F" w:rsidRPr="001D2B9B" w:rsidRDefault="00AA79DC">
      <w:pPr>
        <w:spacing w:before="240" w:after="240" w:line="360" w:lineRule="auto"/>
        <w:jc w:val="both"/>
        <w:rPr>
          <w:rFonts w:ascii="Palatino Linotype" w:eastAsia="Palatino Linotype" w:hAnsi="Palatino Linotype" w:cs="Palatino Linotype"/>
          <w:b/>
          <w:sz w:val="22"/>
          <w:szCs w:val="22"/>
        </w:rPr>
      </w:pPr>
      <w:r w:rsidRPr="001D2B9B">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1D2B9B">
        <w:rPr>
          <w:rFonts w:ascii="Palatino Linotype" w:eastAsia="Palatino Linotype" w:hAnsi="Palatino Linotype" w:cs="Palatino Linotype"/>
          <w:b/>
          <w:sz w:val="22"/>
          <w:szCs w:val="22"/>
        </w:rPr>
        <w:t xml:space="preserve">Sujeto Obligado </w:t>
      </w:r>
      <w:r w:rsidRPr="001D2B9B">
        <w:rPr>
          <w:rFonts w:ascii="Palatino Linotype" w:eastAsia="Palatino Linotype" w:hAnsi="Palatino Linotype" w:cs="Palatino Linotype"/>
          <w:sz w:val="22"/>
          <w:szCs w:val="22"/>
        </w:rPr>
        <w:t xml:space="preserve">remitió la respuesta a la solicitud de información el día </w:t>
      </w:r>
      <w:r w:rsidRPr="001D2B9B">
        <w:rPr>
          <w:rFonts w:ascii="Palatino Linotype" w:eastAsia="Palatino Linotype" w:hAnsi="Palatino Linotype" w:cs="Palatino Linotype"/>
          <w:b/>
          <w:sz w:val="22"/>
          <w:szCs w:val="22"/>
        </w:rPr>
        <w:t xml:space="preserve">catorce de julio de dos mil veinticinco, </w:t>
      </w:r>
      <w:r w:rsidRPr="001D2B9B">
        <w:rPr>
          <w:rFonts w:ascii="Palatino Linotype" w:eastAsia="Palatino Linotype" w:hAnsi="Palatino Linotype" w:cs="Palatino Linotype"/>
          <w:sz w:val="22"/>
          <w:szCs w:val="22"/>
        </w:rPr>
        <w:t xml:space="preserve">mientras que el recurso de revisión interpuesto por la parte </w:t>
      </w:r>
      <w:r w:rsidRPr="001D2B9B">
        <w:rPr>
          <w:rFonts w:ascii="Palatino Linotype" w:eastAsia="Palatino Linotype" w:hAnsi="Palatino Linotype" w:cs="Palatino Linotype"/>
          <w:b/>
          <w:sz w:val="22"/>
          <w:szCs w:val="22"/>
        </w:rPr>
        <w:t xml:space="preserve">Recurrente, </w:t>
      </w:r>
      <w:r w:rsidRPr="001D2B9B">
        <w:rPr>
          <w:rFonts w:ascii="Palatino Linotype" w:eastAsia="Palatino Linotype" w:hAnsi="Palatino Linotype" w:cs="Palatino Linotype"/>
          <w:sz w:val="22"/>
          <w:szCs w:val="22"/>
        </w:rPr>
        <w:t xml:space="preserve">se tuvo por presentado el día </w:t>
      </w:r>
      <w:r w:rsidRPr="001D2B9B">
        <w:rPr>
          <w:rFonts w:ascii="Palatino Linotype" w:eastAsia="Palatino Linotype" w:hAnsi="Palatino Linotype" w:cs="Palatino Linotype"/>
          <w:b/>
          <w:sz w:val="22"/>
          <w:szCs w:val="22"/>
        </w:rPr>
        <w:t xml:space="preserve">quince de julio de dos mil veinticinco, </w:t>
      </w:r>
      <w:r w:rsidRPr="001D2B9B">
        <w:rPr>
          <w:rFonts w:ascii="Palatino Linotype" w:eastAsia="Palatino Linotype" w:hAnsi="Palatino Linotype" w:cs="Palatino Linotype"/>
          <w:sz w:val="22"/>
          <w:szCs w:val="22"/>
        </w:rPr>
        <w:t>esto es, al siguiente día hábil posterior a aquel en el que tuvo conocimiento de la respuesta impugnada. En este sentido, se concluye que el presente recurso de revisión se encuentra dentro de los márgenes temporales previstos en las disposiciones legales referidas.</w:t>
      </w:r>
    </w:p>
    <w:p w14:paraId="3AE7E1A7" w14:textId="77777777" w:rsidR="00E0130F" w:rsidRPr="001D2B9B" w:rsidRDefault="00AA79DC">
      <w:pPr>
        <w:tabs>
          <w:tab w:val="left" w:pos="7938"/>
        </w:tabs>
        <w:spacing w:before="240" w:after="240" w:line="360" w:lineRule="auto"/>
        <w:jc w:val="both"/>
        <w:rPr>
          <w:rFonts w:ascii="Palatino Linotype" w:eastAsia="Palatino Linotype" w:hAnsi="Palatino Linotype" w:cs="Palatino Linotype"/>
          <w:sz w:val="22"/>
          <w:szCs w:val="22"/>
        </w:rPr>
      </w:pPr>
      <w:bookmarkStart w:id="7" w:name="_heading=h.3znysh7" w:colFirst="0" w:colLast="0"/>
      <w:bookmarkEnd w:id="7"/>
      <w:r w:rsidRPr="001D2B9B">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CC8994F"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1D2B9B">
        <w:rPr>
          <w:rFonts w:ascii="Palatino Linotype" w:eastAsia="Palatino Linotype" w:hAnsi="Palatino Linotype" w:cs="Palatino Linotype"/>
          <w:b/>
          <w:sz w:val="22"/>
          <w:szCs w:val="22"/>
        </w:rPr>
        <w:t>Recurrente</w:t>
      </w:r>
      <w:r w:rsidRPr="001D2B9B">
        <w:rPr>
          <w:rFonts w:ascii="Palatino Linotype" w:eastAsia="Palatino Linotype" w:hAnsi="Palatino Linotype" w:cs="Palatino Linotype"/>
          <w:sz w:val="22"/>
          <w:szCs w:val="22"/>
        </w:rPr>
        <w:t xml:space="preserve"> en sus motivos de inconformidad, de acuerdo al artículo 179, fracción I del ordenamiento legal citado, que a la letra dice: </w:t>
      </w:r>
    </w:p>
    <w:p w14:paraId="66AE5D23" w14:textId="77777777" w:rsidR="00E0130F" w:rsidRPr="001D2B9B" w:rsidRDefault="00AA79DC">
      <w:pPr>
        <w:tabs>
          <w:tab w:val="left" w:pos="7938"/>
        </w:tabs>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i/>
          <w:sz w:val="22"/>
          <w:szCs w:val="22"/>
        </w:rPr>
        <w:t>“</w:t>
      </w:r>
      <w:r w:rsidRPr="001D2B9B">
        <w:rPr>
          <w:rFonts w:ascii="Palatino Linotype" w:eastAsia="Palatino Linotype" w:hAnsi="Palatino Linotype" w:cs="Palatino Linotype"/>
          <w:b/>
          <w:i/>
          <w:sz w:val="22"/>
          <w:szCs w:val="22"/>
        </w:rPr>
        <w:t>Artículo 179.</w:t>
      </w:r>
      <w:r w:rsidRPr="001D2B9B">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4A380837" w14:textId="77777777" w:rsidR="00E0130F" w:rsidRPr="001D2B9B" w:rsidRDefault="00AA79DC">
      <w:pPr>
        <w:tabs>
          <w:tab w:val="left" w:pos="7938"/>
        </w:tabs>
        <w:spacing w:before="120" w:after="120"/>
        <w:ind w:left="1134" w:right="900"/>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 xml:space="preserve">I. </w:t>
      </w:r>
      <w:r w:rsidRPr="001D2B9B">
        <w:rPr>
          <w:rFonts w:ascii="Palatino Linotype" w:eastAsia="Palatino Linotype" w:hAnsi="Palatino Linotype" w:cs="Palatino Linotype"/>
          <w:i/>
          <w:sz w:val="22"/>
          <w:szCs w:val="22"/>
        </w:rPr>
        <w:t>La negativa a la información solicitada;”</w:t>
      </w:r>
    </w:p>
    <w:p w14:paraId="62A01386" w14:textId="77777777" w:rsidR="00E0130F" w:rsidRPr="001D2B9B" w:rsidRDefault="00AA79DC">
      <w:pPr>
        <w:spacing w:before="240" w:after="240" w:line="360" w:lineRule="auto"/>
        <w:jc w:val="both"/>
        <w:rPr>
          <w:rFonts w:ascii="Palatino Linotype" w:eastAsia="Palatino Linotype" w:hAnsi="Palatino Linotype" w:cs="Palatino Linotype"/>
          <w:b/>
          <w:sz w:val="22"/>
          <w:szCs w:val="22"/>
        </w:rPr>
      </w:pPr>
      <w:r w:rsidRPr="001D2B9B">
        <w:rPr>
          <w:rFonts w:ascii="Palatino Linotype" w:eastAsia="Palatino Linotype" w:hAnsi="Palatino Linotype" w:cs="Palatino Linotype"/>
          <w:b/>
          <w:sz w:val="22"/>
          <w:szCs w:val="22"/>
        </w:rPr>
        <w:t xml:space="preserve">Tercero. Materia de la revisión. </w:t>
      </w:r>
      <w:r w:rsidRPr="001D2B9B">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1D2B9B">
        <w:rPr>
          <w:rFonts w:ascii="Palatino Linotype" w:eastAsia="Palatino Linotype" w:hAnsi="Palatino Linotype" w:cs="Palatino Linotype"/>
          <w:b/>
          <w:sz w:val="22"/>
          <w:szCs w:val="22"/>
        </w:rPr>
        <w:t xml:space="preserve">verificar si la información proporcionada por el Sujeto Obligado es adecuada y suficiente para satisfacer el derecho de acceso a la información pública </w:t>
      </w:r>
      <w:r w:rsidRPr="001D2B9B">
        <w:rPr>
          <w:rFonts w:ascii="Palatino Linotype" w:eastAsia="Palatino Linotype" w:hAnsi="Palatino Linotype" w:cs="Palatino Linotype"/>
          <w:sz w:val="22"/>
          <w:szCs w:val="22"/>
        </w:rPr>
        <w:t xml:space="preserve">de la parte </w:t>
      </w:r>
      <w:r w:rsidRPr="001D2B9B">
        <w:rPr>
          <w:rFonts w:ascii="Palatino Linotype" w:eastAsia="Palatino Linotype" w:hAnsi="Palatino Linotype" w:cs="Palatino Linotype"/>
          <w:b/>
          <w:sz w:val="22"/>
          <w:szCs w:val="22"/>
        </w:rPr>
        <w:t>Recurrente</w:t>
      </w:r>
      <w:r w:rsidRPr="001D2B9B">
        <w:rPr>
          <w:rFonts w:ascii="Palatino Linotype" w:eastAsia="Palatino Linotype" w:hAnsi="Palatino Linotype" w:cs="Palatino Linotype"/>
          <w:sz w:val="22"/>
          <w:szCs w:val="22"/>
        </w:rPr>
        <w:t>, o en su defecto, en caso de ser procedente, ordenar la entrega de información.</w:t>
      </w:r>
    </w:p>
    <w:p w14:paraId="3219EAF3"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bookmarkStart w:id="8" w:name="_heading=h.2et92p0" w:colFirst="0" w:colLast="0"/>
      <w:bookmarkEnd w:id="8"/>
      <w:r w:rsidRPr="001D2B9B">
        <w:rPr>
          <w:rFonts w:ascii="Palatino Linotype" w:eastAsia="Palatino Linotype" w:hAnsi="Palatino Linotype" w:cs="Palatino Linotype"/>
          <w:b/>
          <w:sz w:val="22"/>
          <w:szCs w:val="22"/>
        </w:rPr>
        <w:t xml:space="preserve">Cuarto. Estudio del asunto. </w:t>
      </w:r>
      <w:r w:rsidRPr="001D2B9B">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7573C01"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i/>
          <w:sz w:val="22"/>
          <w:szCs w:val="22"/>
        </w:rPr>
        <w:t>“</w:t>
      </w:r>
      <w:r w:rsidRPr="001D2B9B">
        <w:rPr>
          <w:rFonts w:ascii="Palatino Linotype" w:eastAsia="Palatino Linotype" w:hAnsi="Palatino Linotype" w:cs="Palatino Linotype"/>
          <w:b/>
          <w:i/>
          <w:sz w:val="22"/>
          <w:szCs w:val="22"/>
        </w:rPr>
        <w:t>Artículo 4</w:t>
      </w:r>
      <w:r w:rsidRPr="001D2B9B">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8A5B007"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1D2B9B">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75EE930"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1D2B9B">
        <w:rPr>
          <w:rFonts w:ascii="Palatino Linotype" w:eastAsia="Palatino Linotype" w:hAnsi="Palatino Linotype" w:cs="Palatino Linotype"/>
          <w:i/>
          <w:sz w:val="22"/>
          <w:szCs w:val="22"/>
        </w:rPr>
        <w:t>.”</w:t>
      </w:r>
    </w:p>
    <w:p w14:paraId="3F24BED0"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FB90C5F"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“Artículo 12.-</w:t>
      </w:r>
      <w:r w:rsidRPr="001D2B9B">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91C9E68"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1D2B9B">
        <w:rPr>
          <w:rFonts w:ascii="Palatino Linotype" w:eastAsia="Palatino Linotype" w:hAnsi="Palatino Linotype" w:cs="Palatino Linotype"/>
          <w:i/>
          <w:sz w:val="22"/>
          <w:szCs w:val="22"/>
        </w:rPr>
        <w:t xml:space="preserve">. </w:t>
      </w:r>
      <w:r w:rsidRPr="001D2B9B">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59F5EC66" w14:textId="77777777" w:rsidR="00E0130F" w:rsidRPr="001D2B9B" w:rsidRDefault="00AA79DC">
      <w:pPr>
        <w:spacing w:before="240" w:after="240" w:line="360" w:lineRule="auto"/>
        <w:ind w:right="-93"/>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4A7ADF31" w14:textId="77777777" w:rsidR="00E0130F" w:rsidRPr="001D2B9B" w:rsidRDefault="00AA79DC">
      <w:pPr>
        <w:spacing w:before="240" w:after="240" w:line="360" w:lineRule="auto"/>
        <w:jc w:val="both"/>
        <w:rPr>
          <w:rFonts w:ascii="Palatino Linotype" w:eastAsia="Palatino Linotype" w:hAnsi="Palatino Linotype" w:cs="Palatino Linotype"/>
          <w:b/>
          <w:sz w:val="22"/>
          <w:szCs w:val="22"/>
        </w:rPr>
      </w:pPr>
      <w:r w:rsidRPr="001D2B9B">
        <w:rPr>
          <w:rFonts w:ascii="Palatino Linotype" w:eastAsia="Palatino Linotype" w:hAnsi="Palatino Linotype" w:cs="Palatino Linotype"/>
          <w:sz w:val="22"/>
          <w:szCs w:val="22"/>
        </w:rPr>
        <w:t>Sirve de apoyo a lo anterior, el criterio orientador con clave de control SO/003/2017, emitido por el entonces Instituto Nacional de Transparencia, Acceso a la Información y Protección de Datos Personales, que por rubro y texto, dispone lo siguiente:</w:t>
      </w:r>
      <w:r w:rsidRPr="001D2B9B">
        <w:rPr>
          <w:rFonts w:ascii="Palatino Linotype" w:eastAsia="Palatino Linotype" w:hAnsi="Palatino Linotype" w:cs="Palatino Linotype"/>
          <w:b/>
          <w:sz w:val="22"/>
          <w:szCs w:val="22"/>
        </w:rPr>
        <w:t xml:space="preserve"> </w:t>
      </w:r>
    </w:p>
    <w:p w14:paraId="66D14858" w14:textId="77777777" w:rsidR="00E0130F" w:rsidRPr="001D2B9B" w:rsidRDefault="00AA79DC">
      <w:pPr>
        <w:spacing w:before="120" w:after="120"/>
        <w:ind w:left="1134"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i/>
          <w:sz w:val="22"/>
          <w:szCs w:val="22"/>
        </w:rPr>
        <w:t xml:space="preserve"> “</w:t>
      </w:r>
      <w:r w:rsidRPr="001D2B9B">
        <w:rPr>
          <w:rFonts w:ascii="Palatino Linotype" w:eastAsia="Palatino Linotype" w:hAnsi="Palatino Linotype" w:cs="Palatino Linotype"/>
          <w:b/>
          <w:i/>
          <w:sz w:val="22"/>
          <w:szCs w:val="22"/>
        </w:rPr>
        <w:t>No existe obligación de elaborar documentos ad hoc para atender las solicitudes de acceso a la información.</w:t>
      </w:r>
      <w:r w:rsidRPr="001D2B9B">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05D1473E" w14:textId="77777777" w:rsidR="00E0130F" w:rsidRPr="001D2B9B" w:rsidRDefault="00AA79DC">
      <w:pPr>
        <w:spacing w:before="120" w:after="12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8A6BEE2" w14:textId="77777777" w:rsidR="00E0130F" w:rsidRPr="001D2B9B" w:rsidRDefault="00AA79DC">
      <w:pPr>
        <w:spacing w:before="120" w:after="12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FF5C822"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i/>
          <w:sz w:val="22"/>
          <w:szCs w:val="22"/>
        </w:rPr>
        <w:t>“</w:t>
      </w:r>
      <w:r w:rsidRPr="001D2B9B">
        <w:rPr>
          <w:rFonts w:ascii="Palatino Linotype" w:eastAsia="Palatino Linotype" w:hAnsi="Palatino Linotype" w:cs="Palatino Linotype"/>
          <w:b/>
          <w:i/>
          <w:sz w:val="22"/>
          <w:szCs w:val="22"/>
        </w:rPr>
        <w:t xml:space="preserve">Artículo 3. </w:t>
      </w:r>
      <w:r w:rsidRPr="001D2B9B">
        <w:rPr>
          <w:rFonts w:ascii="Palatino Linotype" w:eastAsia="Palatino Linotype" w:hAnsi="Palatino Linotype" w:cs="Palatino Linotype"/>
          <w:i/>
          <w:sz w:val="22"/>
          <w:szCs w:val="22"/>
        </w:rPr>
        <w:t>Para los efectos de la presente Ley se entenderá por:</w:t>
      </w:r>
    </w:p>
    <w:p w14:paraId="530B86A2"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i/>
          <w:sz w:val="22"/>
          <w:szCs w:val="22"/>
        </w:rPr>
        <w:t>…</w:t>
      </w:r>
    </w:p>
    <w:p w14:paraId="7C38DD39"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XI. Documento:</w:t>
      </w:r>
      <w:r w:rsidRPr="001D2B9B">
        <w:rPr>
          <w:rFonts w:ascii="Palatino Linotype" w:eastAsia="Palatino Linotype" w:hAnsi="Palatino Linotype" w:cs="Palatino Linotype"/>
          <w:i/>
          <w:sz w:val="22"/>
          <w:szCs w:val="22"/>
        </w:rPr>
        <w:t xml:space="preserve"> Los expedientes, reportes, estudios, actas</w:t>
      </w:r>
      <w:r w:rsidRPr="001D2B9B">
        <w:rPr>
          <w:rFonts w:ascii="Palatino Linotype" w:eastAsia="Palatino Linotype" w:hAnsi="Palatino Linotype" w:cs="Palatino Linotype"/>
          <w:b/>
          <w:i/>
          <w:sz w:val="22"/>
          <w:szCs w:val="22"/>
        </w:rPr>
        <w:t>,</w:t>
      </w:r>
      <w:r w:rsidRPr="001D2B9B">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2C8BD4E3"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B72C1A3"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sz w:val="22"/>
          <w:szCs w:val="22"/>
        </w:rPr>
        <w:t>“</w:t>
      </w:r>
      <w:r w:rsidRPr="001D2B9B">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1D2B9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C7B5465"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26179CA"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6089FEB7"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28FDA57F"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25C2CC02" w14:textId="77777777" w:rsidR="00E0130F" w:rsidRPr="001D2B9B" w:rsidRDefault="00AA79DC">
      <w:pPr>
        <w:spacing w:before="240" w:after="240" w:line="360" w:lineRule="auto"/>
        <w:ind w:right="51"/>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D193E85"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0C804D56" w14:textId="77777777" w:rsidR="00E0130F" w:rsidRPr="001D2B9B" w:rsidRDefault="00AA79DC">
      <w:pPr>
        <w:spacing w:before="240" w:after="240" w:line="360" w:lineRule="auto"/>
        <w:ind w:right="51"/>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1D2B9B">
        <w:rPr>
          <w:rFonts w:ascii="Palatino Linotype" w:eastAsia="Palatino Linotype" w:hAnsi="Palatino Linotype" w:cs="Palatino Linotype"/>
          <w:b/>
          <w:sz w:val="22"/>
          <w:szCs w:val="22"/>
        </w:rPr>
        <w:t>Recurrente</w:t>
      </w:r>
      <w:r w:rsidRPr="001D2B9B">
        <w:rPr>
          <w:rFonts w:ascii="Palatino Linotype" w:eastAsia="Palatino Linotype" w:hAnsi="Palatino Linotype" w:cs="Palatino Linotype"/>
          <w:sz w:val="22"/>
          <w:szCs w:val="22"/>
        </w:rPr>
        <w:t xml:space="preserve"> requirió al </w:t>
      </w:r>
      <w:r w:rsidRPr="001D2B9B">
        <w:rPr>
          <w:rFonts w:ascii="Palatino Linotype" w:eastAsia="Palatino Linotype" w:hAnsi="Palatino Linotype" w:cs="Palatino Linotype"/>
          <w:b/>
          <w:sz w:val="22"/>
          <w:szCs w:val="22"/>
        </w:rPr>
        <w:t xml:space="preserve">Sujeto Obligado </w:t>
      </w:r>
      <w:r w:rsidRPr="001D2B9B">
        <w:rPr>
          <w:rFonts w:ascii="Palatino Linotype" w:eastAsia="Palatino Linotype" w:hAnsi="Palatino Linotype" w:cs="Palatino Linotype"/>
          <w:sz w:val="22"/>
          <w:szCs w:val="22"/>
        </w:rPr>
        <w:t>le proporcione, información consistente en lo siguiente:</w:t>
      </w:r>
    </w:p>
    <w:p w14:paraId="312387A0" w14:textId="77777777" w:rsidR="00E0130F" w:rsidRPr="001D2B9B" w:rsidRDefault="00AA79DC">
      <w:pPr>
        <w:spacing w:before="240" w:after="240" w:line="360" w:lineRule="auto"/>
        <w:ind w:left="284" w:right="49"/>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1. Copia simple de la verificación vehicular de cada una de las patrullas que el gobierno municipal tiene dentro del parque vehicular.</w:t>
      </w:r>
    </w:p>
    <w:p w14:paraId="3B16E57C" w14:textId="77777777" w:rsidR="00E0130F" w:rsidRPr="001D2B9B" w:rsidRDefault="00AA79DC">
      <w:pPr>
        <w:spacing w:before="240" w:after="240" w:line="360" w:lineRule="auto"/>
        <w:ind w:right="49"/>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786E9026"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449CF44C" w14:textId="77777777" w:rsidR="00E0130F" w:rsidRPr="001D2B9B" w:rsidRDefault="00AA79DC">
      <w:pPr>
        <w:spacing w:before="240" w:after="240" w:line="360" w:lineRule="auto"/>
        <w:ind w:right="51"/>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14:paraId="5454D010"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54BEE874" w14:textId="77777777" w:rsidR="00E0130F" w:rsidRPr="001D2B9B" w:rsidRDefault="00AA79DC">
      <w:pPr>
        <w:spacing w:before="240" w:after="240" w:line="360" w:lineRule="auto"/>
        <w:ind w:right="49"/>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En esta línea de pensamiento, derivado del análisis de las constancias que obran en el expediente electrónico en el que se actúa, se advirtió que la Unidad de Transparencia, turnó la solicitud de información para su atención a la Coordinación de Control Vehicular, la cual forma parte de las Coordinaciones Administrativas que integran la estructura orgánica del ayuntamiento, de conformidad con el artículo 52, inciso A, fracción XII del Bando Municipal de Chicoloapan, cuyo servidor público habilitado refirió que no contaba con la información solicitada.</w:t>
      </w:r>
    </w:p>
    <w:p w14:paraId="3AE88089" w14:textId="77777777" w:rsidR="00E0130F" w:rsidRPr="001D2B9B" w:rsidRDefault="00AA79DC">
      <w:pPr>
        <w:spacing w:before="240" w:after="240" w:line="360" w:lineRule="auto"/>
        <w:ind w:right="49"/>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 xml:space="preserve">Derivado de lo anterior, la parte </w:t>
      </w:r>
      <w:r w:rsidRPr="001D2B9B">
        <w:rPr>
          <w:rFonts w:ascii="Palatino Linotype" w:eastAsia="Palatino Linotype" w:hAnsi="Palatino Linotype" w:cs="Palatino Linotype"/>
          <w:b/>
          <w:sz w:val="22"/>
          <w:szCs w:val="22"/>
        </w:rPr>
        <w:t xml:space="preserve">Recurrente </w:t>
      </w:r>
      <w:r w:rsidRPr="001D2B9B">
        <w:rPr>
          <w:rFonts w:ascii="Palatino Linotype" w:eastAsia="Palatino Linotype" w:hAnsi="Palatino Linotype" w:cs="Palatino Linotype"/>
          <w:sz w:val="22"/>
          <w:szCs w:val="22"/>
        </w:rPr>
        <w:t>interpuso el recurso de revisión que nos ocupa, en el cual manifestó en lo medular que acuerdo al Reglamento de Tránsito del Estado de México vigente, todo vehículo automotor debe cumplir con el requisito de estar empacado y contar con la verificación vehicular, por lo que reiteró en sus términos la solicitud presentada en primera instancia.</w:t>
      </w:r>
    </w:p>
    <w:p w14:paraId="0497CBCF" w14:textId="77777777" w:rsidR="00E0130F" w:rsidRPr="001D2B9B" w:rsidRDefault="00AA79DC">
      <w:pPr>
        <w:spacing w:before="240" w:after="240" w:line="360" w:lineRule="auto"/>
        <w:ind w:right="49"/>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 xml:space="preserve">En la etapa de manifestaciones el </w:t>
      </w:r>
      <w:r w:rsidRPr="001D2B9B">
        <w:rPr>
          <w:rFonts w:ascii="Palatino Linotype" w:eastAsia="Palatino Linotype" w:hAnsi="Palatino Linotype" w:cs="Palatino Linotype"/>
          <w:b/>
          <w:sz w:val="22"/>
          <w:szCs w:val="22"/>
        </w:rPr>
        <w:t xml:space="preserve">Sujeto Obligado </w:t>
      </w:r>
      <w:r w:rsidRPr="001D2B9B">
        <w:rPr>
          <w:rFonts w:ascii="Palatino Linotype" w:eastAsia="Palatino Linotype" w:hAnsi="Palatino Linotype" w:cs="Palatino Linotype"/>
          <w:sz w:val="22"/>
          <w:szCs w:val="22"/>
        </w:rPr>
        <w:t xml:space="preserve">fue omiso en rendir su informe justificado, y la parte </w:t>
      </w:r>
      <w:r w:rsidRPr="001D2B9B">
        <w:rPr>
          <w:rFonts w:ascii="Palatino Linotype" w:eastAsia="Palatino Linotype" w:hAnsi="Palatino Linotype" w:cs="Palatino Linotype"/>
          <w:b/>
          <w:sz w:val="22"/>
          <w:szCs w:val="22"/>
        </w:rPr>
        <w:t xml:space="preserve">Recurrente </w:t>
      </w:r>
      <w:r w:rsidRPr="001D2B9B">
        <w:rPr>
          <w:rFonts w:ascii="Palatino Linotype" w:eastAsia="Palatino Linotype" w:hAnsi="Palatino Linotype" w:cs="Palatino Linotype"/>
          <w:sz w:val="22"/>
          <w:szCs w:val="22"/>
        </w:rPr>
        <w:t>fue omisa en hacer valer manifestaciones o rendir alegatos que conforme a derecho resultaran procedentes, por lo tanto, se tiene por precluido su derecho.</w:t>
      </w:r>
    </w:p>
    <w:p w14:paraId="4E7274FA" w14:textId="77777777" w:rsidR="00E0130F" w:rsidRPr="001D2B9B" w:rsidRDefault="00AA79DC">
      <w:pPr>
        <w:spacing w:before="280" w:after="28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 xml:space="preserve">Una vez establecidas las posturas de las partes, se procede al análisis del requerimiento de información, así como la información proporcionada por el </w:t>
      </w:r>
      <w:r w:rsidRPr="001D2B9B">
        <w:rPr>
          <w:rFonts w:ascii="Palatino Linotype" w:eastAsia="Palatino Linotype" w:hAnsi="Palatino Linotype" w:cs="Palatino Linotype"/>
          <w:b/>
          <w:sz w:val="22"/>
          <w:szCs w:val="22"/>
        </w:rPr>
        <w:t xml:space="preserve">Sujeto Obligado, </w:t>
      </w:r>
      <w:r w:rsidRPr="001D2B9B">
        <w:rPr>
          <w:rFonts w:ascii="Palatino Linotype" w:eastAsia="Palatino Linotype" w:hAnsi="Palatino Linotype" w:cs="Palatino Linotype"/>
          <w:sz w:val="22"/>
          <w:szCs w:val="22"/>
        </w:rPr>
        <w:t xml:space="preserve">en contraposición con el motivo de inconformidad alegado por la parte </w:t>
      </w:r>
      <w:r w:rsidRPr="001D2B9B">
        <w:rPr>
          <w:rFonts w:ascii="Palatino Linotype" w:eastAsia="Palatino Linotype" w:hAnsi="Palatino Linotype" w:cs="Palatino Linotype"/>
          <w:b/>
          <w:sz w:val="22"/>
          <w:szCs w:val="22"/>
        </w:rPr>
        <w:t xml:space="preserve">Recurrente, </w:t>
      </w:r>
      <w:r w:rsidRPr="001D2B9B">
        <w:rPr>
          <w:rFonts w:ascii="Palatino Linotype" w:eastAsia="Palatino Linotype" w:hAnsi="Palatino Linotype" w:cs="Palatino Linotype"/>
          <w:sz w:val="22"/>
          <w:szCs w:val="22"/>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17FE7E2E"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En este contexto, tomando en consideración la materia de la solicitud se menciona que el tránsito de vehículos, de conformidad con el artículo 8.11 del Código Administrativo del Estado de México, se condiciona al cumplimiento de los siguientes requisitos:</w:t>
      </w:r>
    </w:p>
    <w:p w14:paraId="193B58A5" w14:textId="77777777" w:rsidR="00E0130F" w:rsidRPr="001D2B9B" w:rsidRDefault="00AA79DC">
      <w:pPr>
        <w:spacing w:before="240" w:after="240" w:line="360" w:lineRule="auto"/>
        <w:ind w:left="284"/>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b/>
          <w:sz w:val="22"/>
          <w:szCs w:val="22"/>
        </w:rPr>
        <w:t>I</w:t>
      </w:r>
      <w:r w:rsidRPr="001D2B9B">
        <w:rPr>
          <w:rFonts w:ascii="Palatino Linotype" w:eastAsia="Palatino Linotype" w:hAnsi="Palatino Linotype" w:cs="Palatino Linotype"/>
          <w:sz w:val="22"/>
          <w:szCs w:val="22"/>
        </w:rPr>
        <w:t xml:space="preserve">. Que estén matriculados o registrados en la República Mexicana o el extranjero; </w:t>
      </w:r>
    </w:p>
    <w:p w14:paraId="14C472AF" w14:textId="77777777" w:rsidR="00E0130F" w:rsidRPr="001D2B9B" w:rsidRDefault="00AA79DC">
      <w:pPr>
        <w:spacing w:before="240" w:after="240" w:line="360" w:lineRule="auto"/>
        <w:ind w:left="284"/>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b/>
          <w:sz w:val="22"/>
          <w:szCs w:val="22"/>
        </w:rPr>
        <w:t>II</w:t>
      </w:r>
      <w:r w:rsidRPr="001D2B9B">
        <w:rPr>
          <w:rFonts w:ascii="Palatino Linotype" w:eastAsia="Palatino Linotype" w:hAnsi="Palatino Linotype" w:cs="Palatino Linotype"/>
          <w:sz w:val="22"/>
          <w:szCs w:val="22"/>
        </w:rPr>
        <w:t xml:space="preserve">. Que reúnan las especificaciones de seguridad y salubridad exigidas por las leyes y reglamentos; </w:t>
      </w:r>
    </w:p>
    <w:p w14:paraId="4F7054A7" w14:textId="77777777" w:rsidR="00E0130F" w:rsidRPr="001D2B9B" w:rsidRDefault="00AA79DC">
      <w:pPr>
        <w:spacing w:before="240" w:after="240" w:line="360" w:lineRule="auto"/>
        <w:ind w:left="284"/>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b/>
          <w:sz w:val="22"/>
          <w:szCs w:val="22"/>
        </w:rPr>
        <w:t>III</w:t>
      </w:r>
      <w:r w:rsidRPr="001D2B9B">
        <w:rPr>
          <w:rFonts w:ascii="Palatino Linotype" w:eastAsia="Palatino Linotype" w:hAnsi="Palatino Linotype" w:cs="Palatino Linotype"/>
          <w:sz w:val="22"/>
          <w:szCs w:val="22"/>
        </w:rPr>
        <w:t xml:space="preserve">. Que tengan el equipo y accesorios necesarios que señalen las normas correspondientes, de acuerdo con el tipo de vehículo de que se trate y el destino de su operación o fin; </w:t>
      </w:r>
    </w:p>
    <w:p w14:paraId="236C6389" w14:textId="77777777" w:rsidR="00E0130F" w:rsidRPr="001D2B9B" w:rsidRDefault="00AA79DC">
      <w:pPr>
        <w:spacing w:before="240" w:after="240" w:line="360" w:lineRule="auto"/>
        <w:ind w:left="284"/>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b/>
          <w:sz w:val="22"/>
          <w:szCs w:val="22"/>
        </w:rPr>
        <w:t>IV</w:t>
      </w:r>
      <w:r w:rsidRPr="001D2B9B">
        <w:rPr>
          <w:rFonts w:ascii="Palatino Linotype" w:eastAsia="Palatino Linotype" w:hAnsi="Palatino Linotype" w:cs="Palatino Linotype"/>
          <w:sz w:val="22"/>
          <w:szCs w:val="22"/>
        </w:rPr>
        <w:t xml:space="preserve">. </w:t>
      </w:r>
      <w:r w:rsidRPr="001D2B9B">
        <w:rPr>
          <w:rFonts w:ascii="Palatino Linotype" w:eastAsia="Palatino Linotype" w:hAnsi="Palatino Linotype" w:cs="Palatino Linotype"/>
          <w:b/>
          <w:sz w:val="22"/>
          <w:szCs w:val="22"/>
        </w:rPr>
        <w:t>Que estén provistos de placas de matriculación o permisos vigentes</w:t>
      </w:r>
      <w:r w:rsidRPr="001D2B9B">
        <w:rPr>
          <w:rFonts w:ascii="Palatino Linotype" w:eastAsia="Palatino Linotype" w:hAnsi="Palatino Linotype" w:cs="Palatino Linotype"/>
          <w:sz w:val="22"/>
          <w:szCs w:val="22"/>
        </w:rPr>
        <w:t>.</w:t>
      </w:r>
    </w:p>
    <w:p w14:paraId="10334295"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 xml:space="preserve">Por otro lado, se menciona que el </w:t>
      </w:r>
      <w:r w:rsidRPr="001D2B9B">
        <w:rPr>
          <w:rFonts w:ascii="Palatino Linotype" w:eastAsia="Palatino Linotype" w:hAnsi="Palatino Linotype" w:cs="Palatino Linotype"/>
          <w:b/>
          <w:sz w:val="22"/>
          <w:szCs w:val="22"/>
        </w:rPr>
        <w:t xml:space="preserve">Programa de Verificación Vehicular, </w:t>
      </w:r>
      <w:r w:rsidRPr="001D2B9B">
        <w:rPr>
          <w:rFonts w:ascii="Palatino Linotype" w:eastAsia="Palatino Linotype" w:hAnsi="Palatino Linotype" w:cs="Palatino Linotype"/>
          <w:sz w:val="22"/>
          <w:szCs w:val="22"/>
        </w:rPr>
        <w:t>tiene como objetivo evaluar los niveles de emisiones contaminantes provenientes del escape de los vehículos automotores en circulación que usan gasolina, gas, diésel o cualquier otro combustible alterno que cuenten con placas del Estado de México o que circulen en la entidad, conforme a lo establecido en las Normas Oficiales Mexicanas, Normas Técnicas Estatales Ambientales y la normatividad ambiental aplicable en materia de verificación vehicular, así como establecer los mecanismos que coadyuven en la prevención, control y disminución de emisiones contaminantes a la atmósfera.</w:t>
      </w:r>
    </w:p>
    <w:p w14:paraId="198E105E" w14:textId="77777777" w:rsidR="00E0130F" w:rsidRPr="001D2B9B" w:rsidRDefault="00AA79DC">
      <w:pPr>
        <w:spacing w:before="240" w:after="240" w:line="360" w:lineRule="auto"/>
        <w:jc w:val="both"/>
        <w:rPr>
          <w:rFonts w:ascii="Palatino Linotype" w:eastAsia="Palatino Linotype" w:hAnsi="Palatino Linotype" w:cs="Palatino Linotype"/>
          <w:b/>
          <w:sz w:val="22"/>
          <w:szCs w:val="22"/>
        </w:rPr>
      </w:pPr>
      <w:r w:rsidRPr="001D2B9B">
        <w:rPr>
          <w:rFonts w:ascii="Palatino Linotype" w:eastAsia="Palatino Linotype" w:hAnsi="Palatino Linotype" w:cs="Palatino Linotype"/>
          <w:sz w:val="22"/>
          <w:szCs w:val="22"/>
        </w:rPr>
        <w:t xml:space="preserve">Dicho Programa es de orden público, de interés general y obligatorio para todos los usuarios que tienen vehículos con placas de circulación expedidas por el Gobierno del Estado de México, aquellos de otras entidades que circulen en territorio estatal y los regulados por las leyes de autotransporte federal o estatal, o que cuenten con permiso para circular por vialidades públicas, siendo importante mencionar que se excluyen de los métodos de prueba y los procedimientos de evaluación de emisiones de contaminantes establecidos en el Programa las motocicletas, vehículos con peso bruto vehicular menor o igual a 400 kilogramos, vehículos híbridos (HEV, PHEV o REEV), vehículos eléctricos, tractores agrícolas, maquinaria dedicada a las industrias de la construcción y de la minería de categoría off </w:t>
      </w:r>
      <w:proofErr w:type="spellStart"/>
      <w:r w:rsidRPr="001D2B9B">
        <w:rPr>
          <w:rFonts w:ascii="Palatino Linotype" w:eastAsia="Palatino Linotype" w:hAnsi="Palatino Linotype" w:cs="Palatino Linotype"/>
          <w:sz w:val="22"/>
          <w:szCs w:val="22"/>
        </w:rPr>
        <w:t>road</w:t>
      </w:r>
      <w:proofErr w:type="spellEnd"/>
      <w:r w:rsidRPr="001D2B9B">
        <w:rPr>
          <w:rFonts w:ascii="Palatino Linotype" w:eastAsia="Palatino Linotype" w:hAnsi="Palatino Linotype" w:cs="Palatino Linotype"/>
          <w:sz w:val="22"/>
          <w:szCs w:val="22"/>
        </w:rPr>
        <w:t xml:space="preserve"> (o fuera de camino), auto antiguo, de demostración o de traslado.</w:t>
      </w:r>
    </w:p>
    <w:p w14:paraId="7A16AF80"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 xml:space="preserve">De manera que los usuarios con </w:t>
      </w:r>
      <w:r w:rsidRPr="001D2B9B">
        <w:rPr>
          <w:rFonts w:ascii="Palatino Linotype" w:eastAsia="Palatino Linotype" w:hAnsi="Palatino Linotype" w:cs="Palatino Linotype"/>
          <w:b/>
          <w:sz w:val="22"/>
          <w:szCs w:val="22"/>
        </w:rPr>
        <w:t xml:space="preserve">automóviles matriculados en el Estado de México, </w:t>
      </w:r>
      <w:r w:rsidRPr="001D2B9B">
        <w:rPr>
          <w:rFonts w:ascii="Palatino Linotype" w:eastAsia="Palatino Linotype" w:hAnsi="Palatino Linotype" w:cs="Palatino Linotype"/>
          <w:sz w:val="22"/>
          <w:szCs w:val="22"/>
        </w:rPr>
        <w:t>con excepción de los señalados en el párrafo anterior,</w:t>
      </w:r>
      <w:r w:rsidRPr="001D2B9B">
        <w:rPr>
          <w:rFonts w:ascii="Palatino Linotype" w:eastAsia="Palatino Linotype" w:hAnsi="Palatino Linotype" w:cs="Palatino Linotype"/>
          <w:b/>
          <w:sz w:val="22"/>
          <w:szCs w:val="22"/>
        </w:rPr>
        <w:t xml:space="preserve"> están obligados a cumplir con lo dispuesto en el </w:t>
      </w:r>
      <w:r w:rsidRPr="001D2B9B">
        <w:rPr>
          <w:rFonts w:ascii="Palatino Linotype" w:eastAsia="Palatino Linotype" w:hAnsi="Palatino Linotype" w:cs="Palatino Linotype"/>
          <w:b/>
          <w:sz w:val="22"/>
          <w:szCs w:val="22"/>
          <w:u w:val="single"/>
        </w:rPr>
        <w:t>Programa de Verificación Vehicular Obligatorio,</w:t>
      </w:r>
      <w:r w:rsidRPr="001D2B9B">
        <w:rPr>
          <w:rFonts w:ascii="Palatino Linotype" w:eastAsia="Palatino Linotype" w:hAnsi="Palatino Linotype" w:cs="Palatino Linotype"/>
          <w:sz w:val="22"/>
          <w:szCs w:val="22"/>
        </w:rPr>
        <w:t xml:space="preserve"> mismo que se emite cada semestre por la Secretaría de Medio Ambiente, conforme lo siguiente:</w:t>
      </w:r>
    </w:p>
    <w:p w14:paraId="5357BB08"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noProof/>
          <w:sz w:val="22"/>
          <w:szCs w:val="22"/>
        </w:rPr>
        <w:drawing>
          <wp:inline distT="0" distB="0" distL="0" distR="0" wp14:anchorId="5DD7BB89" wp14:editId="38425781">
            <wp:extent cx="5612130" cy="1470660"/>
            <wp:effectExtent l="0" t="0" r="0" b="0"/>
            <wp:docPr id="21401318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612130" cy="1470660"/>
                    </a:xfrm>
                    <a:prstGeom prst="rect">
                      <a:avLst/>
                    </a:prstGeom>
                    <a:ln/>
                  </pic:spPr>
                </pic:pic>
              </a:graphicData>
            </a:graphic>
          </wp:inline>
        </w:drawing>
      </w:r>
    </w:p>
    <w:p w14:paraId="67AF13B8"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 xml:space="preserve">Atento a lo anterior, se menciona que a la fecha de presentación de la solicitud el </w:t>
      </w:r>
      <w:r w:rsidRPr="001D2B9B">
        <w:rPr>
          <w:rFonts w:ascii="Palatino Linotype" w:eastAsia="Palatino Linotype" w:hAnsi="Palatino Linotype" w:cs="Palatino Linotype"/>
          <w:b/>
          <w:sz w:val="22"/>
          <w:szCs w:val="22"/>
        </w:rPr>
        <w:t>Sujeto Obligado</w:t>
      </w:r>
      <w:r w:rsidRPr="001D2B9B">
        <w:rPr>
          <w:rFonts w:ascii="Palatino Linotype" w:eastAsia="Palatino Linotype" w:hAnsi="Palatino Linotype" w:cs="Palatino Linotype"/>
          <w:sz w:val="22"/>
          <w:szCs w:val="22"/>
        </w:rPr>
        <w:t xml:space="preserve"> debió contar con la verificación vehicular de todas las patrullas que integran el parque vehicular realizada en el primer semestre del ejercicio 2025, y, excepcionalmente, en el caso del engomado azul, con terminación de placas 0-9, la correspondiente al segundo semestre del ejercicio 2024, al encontrarse aun en tiempo para realizar la verificación del primer semestre de 2025, según el calendario de verificación del Programa de Verificación Vehicular previamente referido.</w:t>
      </w:r>
    </w:p>
    <w:p w14:paraId="429476AD" w14:textId="77777777" w:rsidR="00E0130F" w:rsidRPr="001D2B9B" w:rsidRDefault="00AA79DC">
      <w:pPr>
        <w:tabs>
          <w:tab w:val="left" w:pos="3544"/>
        </w:tabs>
        <w:spacing w:before="240" w:after="240" w:line="360" w:lineRule="auto"/>
        <w:ind w:right="49"/>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 xml:space="preserve">De igual forma, de conformidad con los Lineamientos para Coordinar el Registro y Control del Inventario y la Conciliación y Desincorporación de Bienes Muebles e Inmuebles de la Administración Pública Municipal de Chicoloapan vigente, el </w:t>
      </w:r>
      <w:r w:rsidRPr="001D2B9B">
        <w:rPr>
          <w:rFonts w:ascii="Palatino Linotype" w:eastAsia="Palatino Linotype" w:hAnsi="Palatino Linotype" w:cs="Palatino Linotype"/>
          <w:b/>
          <w:sz w:val="22"/>
          <w:szCs w:val="22"/>
        </w:rPr>
        <w:t xml:space="preserve">Sujeto Obligado </w:t>
      </w:r>
      <w:r w:rsidRPr="001D2B9B">
        <w:rPr>
          <w:rFonts w:ascii="Palatino Linotype" w:eastAsia="Palatino Linotype" w:hAnsi="Palatino Linotype" w:cs="Palatino Linotype"/>
          <w:sz w:val="22"/>
          <w:szCs w:val="22"/>
        </w:rPr>
        <w:t>cuenta con el deber de integrar un expediente individual por bien mueble, esto es, el conjunto de los documentos que refieren a un mismo objeto o lugar describiendo en cada documento las mismas características del bien, en el caso de los bienes muebles; resguardo, oficio de petición del bien por el área que lo solicita, vale de entrada y salida del almacén, póliza contable, factura, cuadro comparativo de adquisición, contrato de adquisición, seguro del bien, entre otros.</w:t>
      </w:r>
    </w:p>
    <w:p w14:paraId="549995DA" w14:textId="77777777" w:rsidR="00E0130F" w:rsidRPr="001D2B9B" w:rsidRDefault="00AA79DC">
      <w:pPr>
        <w:spacing w:before="240" w:after="240" w:line="360" w:lineRule="auto"/>
        <w:ind w:right="49"/>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Sin embargo, el servidor público habilitado de la Coordinación de Control Vehicular se limitó a referir en respuesta a la solicitud, que no contaba con la información solicitada, sin señalar de manera clara las razones por las cuales no contaba con la información solicitada.</w:t>
      </w:r>
    </w:p>
    <w:p w14:paraId="23169F38" w14:textId="77777777" w:rsidR="00E0130F" w:rsidRPr="001D2B9B" w:rsidRDefault="00AA79D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Por consiguiente, se estima que la respuesta proporcionada no agotó los principios de congruencia y exhaustividad, sirviendo de apoyo el criterio orientador con clave de control SO/002/2017, emitido por el entonces Instituto Nacional de Transparencia, Acceso a la Información y Protección de Datos Personales, que señala lo siguiente:</w:t>
      </w:r>
    </w:p>
    <w:p w14:paraId="35E6E4B6" w14:textId="77777777" w:rsidR="00E0130F" w:rsidRPr="001D2B9B" w:rsidRDefault="00AA79D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i/>
          <w:sz w:val="22"/>
          <w:szCs w:val="22"/>
        </w:rPr>
        <w:t>“</w:t>
      </w:r>
      <w:r w:rsidRPr="001D2B9B">
        <w:rPr>
          <w:rFonts w:ascii="Palatino Linotype" w:eastAsia="Palatino Linotype" w:hAnsi="Palatino Linotype" w:cs="Palatino Linotype"/>
          <w:b/>
          <w:i/>
          <w:sz w:val="22"/>
          <w:szCs w:val="22"/>
        </w:rPr>
        <w:t xml:space="preserve">Congruencia y exhaustividad. Sus alcances para garantizar el derecho de acceso a la información. </w:t>
      </w:r>
      <w:r w:rsidRPr="001D2B9B">
        <w:rPr>
          <w:rFonts w:ascii="Palatino Linotype" w:eastAsia="Palatino Linotype" w:hAnsi="Palatino Linotype" w:cs="Palatino Linotype"/>
          <w:i/>
          <w:sz w:val="22"/>
          <w:szCs w:val="22"/>
        </w:rPr>
        <w:t>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75E0EAE3" w14:textId="77777777" w:rsidR="00E0130F" w:rsidRPr="001D2B9B" w:rsidRDefault="00AA79DC">
      <w:pPr>
        <w:tabs>
          <w:tab w:val="left" w:pos="3544"/>
        </w:tabs>
        <w:spacing w:before="240" w:after="240" w:line="360" w:lineRule="auto"/>
        <w:ind w:right="49"/>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En este tenor, se estima dable ordenar  una nueva búsqueda a fin de que se haga entrega de la última verificación vehicular realizada al veintitrés de junio de dos mil veinticinco, a las patrullas que forman parte del parque vehicular del Sujeto Obligado, en versión pública de ser procedente, de conformidad con el considerando siguiente.</w:t>
      </w:r>
    </w:p>
    <w:p w14:paraId="509FFF53" w14:textId="77777777" w:rsidR="00E0130F" w:rsidRPr="001D2B9B" w:rsidRDefault="00AA79DC">
      <w:pPr>
        <w:spacing w:before="240" w:after="240" w:line="360" w:lineRule="auto"/>
        <w:ind w:right="50"/>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 xml:space="preserve">Cabe señalar que en el caso particular, al tratarse de unidades que forman parte del parque vehicular del </w:t>
      </w:r>
      <w:r w:rsidRPr="001D2B9B">
        <w:rPr>
          <w:rFonts w:ascii="Palatino Linotype" w:eastAsia="Palatino Linotype" w:hAnsi="Palatino Linotype" w:cs="Palatino Linotype"/>
          <w:b/>
          <w:sz w:val="22"/>
          <w:szCs w:val="22"/>
        </w:rPr>
        <w:t xml:space="preserve">Sujeto Obligado, </w:t>
      </w:r>
      <w:r w:rsidRPr="001D2B9B">
        <w:rPr>
          <w:rFonts w:ascii="Palatino Linotype" w:eastAsia="Palatino Linotype" w:hAnsi="Palatino Linotype" w:cs="Palatino Linotype"/>
          <w:sz w:val="22"/>
          <w:szCs w:val="22"/>
        </w:rPr>
        <w:t>los datos de identificación relativos a estas, tales como marca, placas, número de tarjeta de circulación, entre otros, guardan naturaleza pública.</w:t>
      </w:r>
    </w:p>
    <w:p w14:paraId="2512EC8B" w14:textId="77777777" w:rsidR="00E0130F" w:rsidRPr="001D2B9B" w:rsidRDefault="00AA79DC">
      <w:pPr>
        <w:spacing w:before="240" w:after="240" w:line="360" w:lineRule="auto"/>
        <w:ind w:right="49"/>
        <w:jc w:val="both"/>
        <w:rPr>
          <w:rFonts w:ascii="Palatino Linotype" w:eastAsia="Palatino Linotype" w:hAnsi="Palatino Linotype" w:cs="Palatino Linotype"/>
          <w:sz w:val="22"/>
          <w:szCs w:val="22"/>
        </w:rPr>
      </w:pPr>
      <w:bookmarkStart w:id="9" w:name="_heading=h.v6bep6uxv6ns" w:colFirst="0" w:colLast="0"/>
      <w:bookmarkEnd w:id="9"/>
      <w:r w:rsidRPr="001D2B9B">
        <w:rPr>
          <w:rFonts w:ascii="Palatino Linotype" w:eastAsia="Palatino Linotype" w:hAnsi="Palatino Linotype" w:cs="Palatino Linotype"/>
          <w:sz w:val="22"/>
          <w:szCs w:val="22"/>
        </w:rPr>
        <w:t>Finalmente, no pasa desapercibido que la parte</w:t>
      </w:r>
      <w:r w:rsidRPr="001D2B9B">
        <w:rPr>
          <w:rFonts w:ascii="Palatino Linotype" w:eastAsia="Palatino Linotype" w:hAnsi="Palatino Linotype" w:cs="Palatino Linotype"/>
          <w:b/>
          <w:sz w:val="22"/>
          <w:szCs w:val="22"/>
        </w:rPr>
        <w:t xml:space="preserve"> Recurrente</w:t>
      </w:r>
      <w:r w:rsidRPr="001D2B9B">
        <w:rPr>
          <w:rFonts w:ascii="Palatino Linotype" w:eastAsia="Palatino Linotype" w:hAnsi="Palatino Linotype" w:cs="Palatino Linotype"/>
          <w:sz w:val="22"/>
          <w:szCs w:val="22"/>
        </w:rPr>
        <w:t xml:space="preserve">, dentro del texto de su solicitud, hizo referencia a que requería la información en copias, sin embargo, se estima que en el caso particular, no es necesario que el </w:t>
      </w:r>
      <w:r w:rsidRPr="001D2B9B">
        <w:rPr>
          <w:rFonts w:ascii="Palatino Linotype" w:eastAsia="Palatino Linotype" w:hAnsi="Palatino Linotype" w:cs="Palatino Linotype"/>
          <w:b/>
          <w:sz w:val="22"/>
          <w:szCs w:val="22"/>
        </w:rPr>
        <w:t>Sujeto Obligado</w:t>
      </w:r>
      <w:r w:rsidRPr="001D2B9B">
        <w:rPr>
          <w:rFonts w:ascii="Palatino Linotype" w:eastAsia="Palatino Linotype" w:hAnsi="Palatino Linotype" w:cs="Palatino Linotype"/>
          <w:sz w:val="22"/>
          <w:szCs w:val="22"/>
        </w:rPr>
        <w:t xml:space="preserve"> realice una reproducción física de la información que conserva en sus archivos, basta con hacer entrega a través de SAIMEX de aquellos documentos en formato electrónico, y en su caso, la digitalización o escaneo de aquella que se encuentre en medio físico.</w:t>
      </w:r>
    </w:p>
    <w:p w14:paraId="62095EB8" w14:textId="77777777" w:rsidR="00E0130F" w:rsidRPr="001D2B9B" w:rsidRDefault="00AA79D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 xml:space="preserve">Ya que la entrega de la información a través de SAIMEX, hace las veces de la entrega de copias simples, puesto que, al tratarse de documentos electrónico o digitalizado, cuentan con la característica de ser descargables a cualquier equipo de cómputo para su libre manipulación, es decir, si la información se encuentra en documentos electrónicos, estos se pueden descargar de manera fácil y sencilla a un equipo de cómputo para que, posteriormente por cuenta de la persona solicitante, sea transferido a los dispositivos de almacenamiento que desee, o en su caso, </w:t>
      </w:r>
      <w:r w:rsidRPr="001D2B9B">
        <w:rPr>
          <w:rFonts w:ascii="Palatino Linotype" w:eastAsia="Palatino Linotype" w:hAnsi="Palatino Linotype" w:cs="Palatino Linotype"/>
          <w:b/>
          <w:sz w:val="22"/>
          <w:szCs w:val="22"/>
        </w:rPr>
        <w:t>sea impreso, lo que se configura como copia simple</w:t>
      </w:r>
      <w:r w:rsidRPr="001D2B9B">
        <w:rPr>
          <w:rFonts w:ascii="Palatino Linotype" w:eastAsia="Palatino Linotype" w:hAnsi="Palatino Linotype" w:cs="Palatino Linotype"/>
          <w:sz w:val="22"/>
          <w:szCs w:val="22"/>
        </w:rPr>
        <w:t>; de lo anterior, tenemos que, al ser entregado de forma digital o electrónica a través del SAIMEX, como es el caso, la persona solicitante puede hacer uso de la información a su libre elección.</w:t>
      </w:r>
    </w:p>
    <w:p w14:paraId="1C83AAF6" w14:textId="77777777" w:rsidR="00E0130F" w:rsidRPr="001D2B9B" w:rsidRDefault="00AA79D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 xml:space="preserve">No obstante, tomando en consideración el pronunciamiento del servidor público habilitado de la Coordinación de Control Vehicular, para el caso de que derivado de la búsqueda que se ordena no se llegara a localizar la información que se ordena, para tener por satisfecho el derecho de acceso de la persona solicitante respecto del punto en análisis, es necesario que el </w:t>
      </w:r>
      <w:r w:rsidRPr="001D2B9B">
        <w:rPr>
          <w:rFonts w:ascii="Palatino Linotype" w:eastAsia="Palatino Linotype" w:hAnsi="Palatino Linotype" w:cs="Palatino Linotype"/>
          <w:b/>
          <w:sz w:val="22"/>
          <w:szCs w:val="22"/>
        </w:rPr>
        <w:t xml:space="preserve">Sujeto Obligado </w:t>
      </w:r>
      <w:r w:rsidRPr="001D2B9B">
        <w:rPr>
          <w:rFonts w:ascii="Palatino Linotype" w:eastAsia="Palatino Linotype" w:hAnsi="Palatino Linotype" w:cs="Palatino Linotype"/>
          <w:sz w:val="22"/>
          <w:szCs w:val="22"/>
        </w:rPr>
        <w:t>emita formalmente la declaratoria de inexistencia, en términos de lo que señala el artículo 19, último párrafo, de la Ley de Transparencia y Acceso a la Información Pública del Estado de México y Municipios, a saber:</w:t>
      </w:r>
    </w:p>
    <w:p w14:paraId="02426B59"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i/>
          <w:sz w:val="22"/>
          <w:szCs w:val="22"/>
        </w:rPr>
        <w:t>“</w:t>
      </w:r>
      <w:r w:rsidRPr="001D2B9B">
        <w:rPr>
          <w:rFonts w:ascii="Palatino Linotype" w:eastAsia="Palatino Linotype" w:hAnsi="Palatino Linotype" w:cs="Palatino Linotype"/>
          <w:b/>
          <w:i/>
          <w:sz w:val="22"/>
          <w:szCs w:val="22"/>
        </w:rPr>
        <w:t>Artículo 19.</w:t>
      </w:r>
      <w:r w:rsidRPr="001D2B9B">
        <w:rPr>
          <w:rFonts w:ascii="Palatino Linotype" w:eastAsia="Palatino Linotype" w:hAnsi="Palatino Linotype" w:cs="Palatino Linotype"/>
          <w:i/>
          <w:sz w:val="22"/>
          <w:szCs w:val="22"/>
        </w:rPr>
        <w:t xml:space="preserve"> (…)</w:t>
      </w:r>
    </w:p>
    <w:p w14:paraId="491CEFDA"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w:t>
      </w:r>
      <w:r w:rsidRPr="001D2B9B">
        <w:rPr>
          <w:rFonts w:ascii="Palatino Linotype" w:eastAsia="Palatino Linotype" w:hAnsi="Palatino Linotype" w:cs="Palatino Linotype"/>
          <w:i/>
          <w:sz w:val="22"/>
          <w:szCs w:val="22"/>
        </w:rPr>
        <w:t>, debidamente fundado y motivado, en el que detalle las razones del por qué no obra en sus archivos.”</w:t>
      </w:r>
    </w:p>
    <w:p w14:paraId="762A52B7"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Como sustento a lo anterior, resulta aplicable el Criterio reiterado número 08/19 emitido por Acuerdo del Pleno de este Instituto de Transparencia y Acceso a la Información Pública del Estado de México y Municipios, que precisa:</w:t>
      </w:r>
    </w:p>
    <w:p w14:paraId="50B42320"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i/>
          <w:sz w:val="22"/>
          <w:szCs w:val="22"/>
        </w:rPr>
        <w:t>“</w:t>
      </w:r>
      <w:r w:rsidRPr="001D2B9B">
        <w:rPr>
          <w:rFonts w:ascii="Palatino Linotype" w:eastAsia="Palatino Linotype" w:hAnsi="Palatino Linotype" w:cs="Palatino Linotype"/>
          <w:b/>
          <w:i/>
          <w:sz w:val="22"/>
          <w:szCs w:val="22"/>
        </w:rPr>
        <w:t>INEXISTENCIA DE LA INFORMACIÓN. SUPUESTOS PARA EMITIR LA RESOLUCIÓN DE LA</w:t>
      </w:r>
      <w:r w:rsidRPr="001D2B9B">
        <w:rPr>
          <w:rFonts w:ascii="Palatino Linotype" w:eastAsia="Palatino Linotype" w:hAnsi="Palatino Linotype" w:cs="Palatino Linotype"/>
          <w:i/>
          <w:sz w:val="22"/>
          <w:szCs w:val="22"/>
        </w:rPr>
        <w:t xml:space="preserve">.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w:t>
      </w:r>
    </w:p>
    <w:p w14:paraId="29B46B27"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a)</w:t>
      </w:r>
      <w:r w:rsidRPr="001D2B9B">
        <w:rPr>
          <w:rFonts w:ascii="Palatino Linotype" w:eastAsia="Palatino Linotype" w:hAnsi="Palatino Linotype" w:cs="Palatino Linotype"/>
          <w:i/>
          <w:sz w:val="22"/>
          <w:szCs w:val="22"/>
        </w:rPr>
        <w:t xml:space="preserve"> cuando no se generó, poseyó o administró el documento teniendo la obligación conforme a la presunción legal que deriva de las facultades, competencias y atribuciones que los ordenamientos jurídicos aplicables le otorgan; </w:t>
      </w:r>
    </w:p>
    <w:p w14:paraId="097F798F"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b)</w:t>
      </w:r>
      <w:r w:rsidRPr="001D2B9B">
        <w:rPr>
          <w:rFonts w:ascii="Palatino Linotype" w:eastAsia="Palatino Linotype" w:hAnsi="Palatino Linotype" w:cs="Palatino Linotype"/>
          <w:i/>
          <w:sz w:val="22"/>
          <w:szCs w:val="22"/>
        </w:rPr>
        <w:t xml:space="preserve"> que habiendo sido generada, poseída o administrada, por algún motivo ya no se cuenta con la información solicitada; o bien, </w:t>
      </w:r>
    </w:p>
    <w:p w14:paraId="7A6713E0"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c)</w:t>
      </w:r>
      <w:r w:rsidRPr="001D2B9B">
        <w:rPr>
          <w:rFonts w:ascii="Palatino Linotype" w:eastAsia="Palatino Linotype" w:hAnsi="Palatino Linotype" w:cs="Palatino Linotype"/>
          <w:i/>
          <w:sz w:val="22"/>
          <w:szCs w:val="22"/>
        </w:rPr>
        <w:t xml:space="preserve"> cuando el Sujeto Obligado fue omiso en ejercer una facultad, competencia o atribución inexcusable. </w:t>
      </w:r>
    </w:p>
    <w:p w14:paraId="5F7269AA"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i/>
          <w:sz w:val="22"/>
          <w:szCs w:val="22"/>
        </w:rPr>
        <w:t>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434C912C" w14:textId="77777777" w:rsidR="00E0130F" w:rsidRPr="001D2B9B" w:rsidRDefault="00AA79DC">
      <w:pPr>
        <w:spacing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 xml:space="preserve">Asimismo, el criterio orientador con clave de control SO/004/2019, emitido por el entonces Instituto Nacional de Transparencia, Acceso a la Información y Protección de Datos Personales, que establece lo siguiente: </w:t>
      </w:r>
    </w:p>
    <w:p w14:paraId="6B6A2CD5"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i/>
          <w:sz w:val="22"/>
          <w:szCs w:val="22"/>
        </w:rPr>
        <w:t>“</w:t>
      </w:r>
      <w:r w:rsidRPr="001D2B9B">
        <w:rPr>
          <w:rFonts w:ascii="Palatino Linotype" w:eastAsia="Palatino Linotype" w:hAnsi="Palatino Linotype" w:cs="Palatino Linotype"/>
          <w:b/>
          <w:i/>
          <w:sz w:val="22"/>
          <w:szCs w:val="22"/>
        </w:rPr>
        <w:t>Propósito de la declaración formal de inexistencia.</w:t>
      </w:r>
      <w:r w:rsidRPr="001D2B9B">
        <w:rPr>
          <w:rFonts w:ascii="Palatino Linotype" w:eastAsia="Palatino Linotype" w:hAnsi="Palatino Linotype" w:cs="Palatino Linotype"/>
          <w:i/>
          <w:sz w:val="22"/>
          <w:szCs w:val="22"/>
        </w:rPr>
        <w:t xml:space="preserve"> El propósito de que los Comités de Transparencia emitan una declaración que confirme la inexistencia de la información solicitada, es </w:t>
      </w:r>
      <w:r w:rsidRPr="001D2B9B">
        <w:rPr>
          <w:rFonts w:ascii="Palatino Linotype" w:eastAsia="Palatino Linotype" w:hAnsi="Palatino Linotype" w:cs="Palatino Linotype"/>
          <w:b/>
          <w:i/>
          <w:sz w:val="22"/>
          <w:szCs w:val="22"/>
        </w:rPr>
        <w:t>garantizar al solicitante que se realizaron las gestiones necesarias para la ubicación de la información de su interés</w:t>
      </w:r>
      <w:r w:rsidRPr="001D2B9B">
        <w:rPr>
          <w:rFonts w:ascii="Palatino Linotype" w:eastAsia="Palatino Linotype" w:hAnsi="Palatino Linotype" w:cs="Palatino Linotype"/>
          <w:i/>
          <w:sz w:val="22"/>
          <w:szCs w:val="22"/>
        </w:rPr>
        <w:t xml:space="preserve">; por lo cual, </w:t>
      </w:r>
      <w:r w:rsidRPr="001D2B9B">
        <w:rPr>
          <w:rFonts w:ascii="Palatino Linotype" w:eastAsia="Palatino Linotype" w:hAnsi="Palatino Linotype" w:cs="Palatino Linotype"/>
          <w:b/>
          <w:i/>
          <w:sz w:val="22"/>
          <w:szCs w:val="22"/>
        </w:rPr>
        <w:t>el acta en el que se haga constar esa declaración formal de inexistencia, debe contener los elementos suficientes para generar en los solicitantes la certeza del carácter exhaustivo de la búsqueda de lo solicitado</w:t>
      </w:r>
      <w:r w:rsidRPr="001D2B9B">
        <w:rPr>
          <w:rFonts w:ascii="Palatino Linotype" w:eastAsia="Palatino Linotype" w:hAnsi="Palatino Linotype" w:cs="Palatino Linotype"/>
          <w:i/>
          <w:sz w:val="22"/>
          <w:szCs w:val="22"/>
        </w:rPr>
        <w:t>.”</w:t>
      </w:r>
    </w:p>
    <w:p w14:paraId="6346DE23"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De lo anterior se colige que las declaraciones de inexistencia de los Comités de Transparencia, deben de contener los elementos suficientes para generar en los solicitantes, certeza de que la información no obra en sus archivos, esto es, deben fundar y motivar las razones por las cuales, se buscó la información en determinadas unidades administrativas, los criterios de búsqueda y demás circunstancias tomadas en cuenta, con el fin de garantizar al solicitante que efectivamente se hicieron las gestiones necesarias para localizar la documentación de su interés.</w:t>
      </w:r>
    </w:p>
    <w:p w14:paraId="30C4E12C" w14:textId="77777777" w:rsidR="00E0130F" w:rsidRPr="001D2B9B" w:rsidRDefault="00AA79DC">
      <w:pPr>
        <w:spacing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 xml:space="preserve">En el mismo tenor, según Calero, Natalia (2016), en la “Ley General de Transparencia y Acceso a la Información Pública Comentada” (p. 419), las declaraciones de inexistencia, deben contener lo siguiente: </w:t>
      </w:r>
    </w:p>
    <w:p w14:paraId="0BFF2383" w14:textId="77777777" w:rsidR="00E0130F" w:rsidRPr="001D2B9B" w:rsidRDefault="00AA79DC">
      <w:pPr>
        <w:spacing w:before="120" w:after="120" w:line="360" w:lineRule="auto"/>
        <w:ind w:left="284"/>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b/>
          <w:sz w:val="22"/>
          <w:szCs w:val="22"/>
        </w:rPr>
        <w:t>a) Los elementos que le permitan a los solicitantes tener certeza de que el Sujeto Obligado utilizó un criterio de búsqueda exhaustivo:</w:t>
      </w:r>
      <w:r w:rsidRPr="001D2B9B">
        <w:rPr>
          <w:rFonts w:ascii="Palatino Linotype" w:eastAsia="Palatino Linotype" w:hAnsi="Palatino Linotype" w:cs="Palatino Linotype"/>
          <w:sz w:val="22"/>
          <w:szCs w:val="22"/>
        </w:rPr>
        <w:t xml:space="preserve"> Para atender dicho supuesto, se debe precisar en qué unidades administrativas buscó, así como en el tipo de archivos y la manera en que realizó la indagación; </w:t>
      </w:r>
    </w:p>
    <w:p w14:paraId="560219DA" w14:textId="77777777" w:rsidR="00E0130F" w:rsidRPr="001D2B9B" w:rsidRDefault="00AA79DC">
      <w:pPr>
        <w:spacing w:before="120" w:after="120" w:line="360" w:lineRule="auto"/>
        <w:ind w:left="284"/>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b/>
          <w:sz w:val="22"/>
          <w:szCs w:val="22"/>
        </w:rPr>
        <w:t>b) Las circunstancias de tiempo, modo y lugar que motiven las razones por las cuales la información es inexistente:</w:t>
      </w:r>
      <w:r w:rsidRPr="001D2B9B">
        <w:rPr>
          <w:rFonts w:ascii="Palatino Linotype" w:eastAsia="Palatino Linotype" w:hAnsi="Palatino Linotype" w:cs="Palatino Linotype"/>
          <w:sz w:val="22"/>
          <w:szCs w:val="22"/>
        </w:rPr>
        <w:t xml:space="preserve"> Al respecto, los sujetos obligados para acreditar dicho punto, deberán proveer la mayor cantidad de elementos posibles que permitan evidencia las razones por las cuales la información requerida no existe, y </w:t>
      </w:r>
    </w:p>
    <w:p w14:paraId="29A6A20E" w14:textId="77777777" w:rsidR="00E0130F" w:rsidRPr="001D2B9B" w:rsidRDefault="00AA79DC">
      <w:pPr>
        <w:spacing w:before="120" w:after="120" w:line="360" w:lineRule="auto"/>
        <w:ind w:left="284"/>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b/>
          <w:sz w:val="22"/>
          <w:szCs w:val="22"/>
        </w:rPr>
        <w:t>c) El servidor público responsable de contar con ésta:</w:t>
      </w:r>
      <w:r w:rsidRPr="001D2B9B">
        <w:rPr>
          <w:rFonts w:ascii="Palatino Linotype" w:eastAsia="Palatino Linotype" w:hAnsi="Palatino Linotype" w:cs="Palatino Linotype"/>
          <w:sz w:val="22"/>
          <w:szCs w:val="22"/>
        </w:rPr>
        <w:t xml:space="preserve"> Es importante indicar, el cargo y las razones jurídicas por las cuales debió generar la información. </w:t>
      </w:r>
    </w:p>
    <w:p w14:paraId="78A3AF1A"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 xml:space="preserve">Conforme a lo citado, se considera que es necesario que el </w:t>
      </w:r>
      <w:r w:rsidRPr="001D2B9B">
        <w:rPr>
          <w:rFonts w:ascii="Palatino Linotype" w:eastAsia="Palatino Linotype" w:hAnsi="Palatino Linotype" w:cs="Palatino Linotype"/>
          <w:b/>
          <w:sz w:val="22"/>
          <w:szCs w:val="22"/>
        </w:rPr>
        <w:t>Sujeto Obligado</w:t>
      </w:r>
      <w:r w:rsidRPr="001D2B9B">
        <w:rPr>
          <w:rFonts w:ascii="Palatino Linotype" w:eastAsia="Palatino Linotype" w:hAnsi="Palatino Linotype" w:cs="Palatino Linotype"/>
          <w:sz w:val="22"/>
          <w:szCs w:val="22"/>
        </w:rPr>
        <w:t xml:space="preserve">, por medio de su Comité de Transparencia, </w:t>
      </w:r>
      <w:r w:rsidRPr="001D2B9B">
        <w:rPr>
          <w:rFonts w:ascii="Palatino Linotype" w:eastAsia="Palatino Linotype" w:hAnsi="Palatino Linotype" w:cs="Palatino Linotype"/>
          <w:b/>
          <w:sz w:val="22"/>
          <w:szCs w:val="22"/>
        </w:rPr>
        <w:t>declare la inexistencia de las tarjetas de circulación de los vehículos que integraban su parque vehicular, al veintisiete de enero de dos mil veinticinco</w:t>
      </w:r>
      <w:r w:rsidRPr="001D2B9B">
        <w:rPr>
          <w:rFonts w:ascii="Palatino Linotype" w:eastAsia="Palatino Linotype" w:hAnsi="Palatino Linotype" w:cs="Palatino Linotype"/>
          <w:sz w:val="22"/>
          <w:szCs w:val="22"/>
        </w:rPr>
        <w:t xml:space="preserve">, y para tal situación, deberá seguir el procedimiento establecido en el artículo 169 y 170 de la Ley de Transparencia y Acceso a la Información Pública del Estado de México y Municipios, que precisa que cuando la información no se encuentre en los archivos del Sujeto Obligado, el Comité de Transparencia deberá: </w:t>
      </w:r>
    </w:p>
    <w:p w14:paraId="3A81653E" w14:textId="77777777" w:rsidR="00E0130F" w:rsidRPr="001D2B9B" w:rsidRDefault="00AA79DC">
      <w:pPr>
        <w:spacing w:before="240" w:after="240" w:line="360" w:lineRule="auto"/>
        <w:ind w:left="284"/>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1. Analizar el caso y tomar las medidas necesarias para localizar la información;</w:t>
      </w:r>
    </w:p>
    <w:p w14:paraId="1115CB7A" w14:textId="77777777" w:rsidR="00E0130F" w:rsidRPr="001D2B9B" w:rsidRDefault="00AA79DC">
      <w:pPr>
        <w:spacing w:before="240" w:after="240" w:line="360" w:lineRule="auto"/>
        <w:ind w:left="284"/>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 xml:space="preserve">2. Expedir una resolución que confirme la inexistencia de la información, que contenga los elementos mínimos que permitan al Solicitante tener la certeza de que se utilizó un criterio de búsqueda exhaustivo, así como, las circunstancias de modo, tiempo y lugar que generaron la inexistencia y el servidor público responsable de contar con la información; </w:t>
      </w:r>
    </w:p>
    <w:p w14:paraId="0C2BB388" w14:textId="77777777" w:rsidR="00E0130F" w:rsidRPr="001D2B9B" w:rsidRDefault="00AA79DC">
      <w:pPr>
        <w:spacing w:before="240" w:after="240" w:line="360" w:lineRule="auto"/>
        <w:ind w:left="284"/>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 xml:space="preserve">3. Ordenar, siempre que sea materialmente posible, que se genere o reponga la información en caso que ésta tuviera que existir o previa acreditación de la imposibilidad de su generación, exponga de forma fundada y motivada las razones de dicha situación, y </w:t>
      </w:r>
    </w:p>
    <w:p w14:paraId="03932254" w14:textId="77777777" w:rsidR="00E0130F" w:rsidRPr="001D2B9B" w:rsidRDefault="00AA79DC">
      <w:pPr>
        <w:spacing w:before="240" w:after="240" w:line="360" w:lineRule="auto"/>
        <w:ind w:left="284"/>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 xml:space="preserve">4. Notificar al Órgano Interno de Control o equivalente, a efecto de que inicie el procedimiento de responsabilidad administrativa correspondiente. </w:t>
      </w:r>
    </w:p>
    <w:p w14:paraId="3E98B3A7" w14:textId="77777777" w:rsidR="00E0130F" w:rsidRPr="001D2B9B" w:rsidRDefault="00AA79DC">
      <w:pPr>
        <w:spacing w:before="240" w:after="240" w:line="360" w:lineRule="auto"/>
        <w:jc w:val="both"/>
        <w:rPr>
          <w:rFonts w:ascii="Palatino Linotype" w:eastAsia="Palatino Linotype" w:hAnsi="Palatino Linotype" w:cs="Palatino Linotype"/>
          <w:b/>
          <w:sz w:val="22"/>
          <w:szCs w:val="22"/>
        </w:rPr>
      </w:pPr>
      <w:bookmarkStart w:id="10" w:name="_heading=h.2jxsxqh" w:colFirst="0" w:colLast="0"/>
      <w:bookmarkEnd w:id="10"/>
      <w:r w:rsidRPr="001D2B9B">
        <w:rPr>
          <w:rFonts w:ascii="Palatino Linotype" w:eastAsia="Palatino Linotype" w:hAnsi="Palatino Linotype" w:cs="Palatino Linotype"/>
          <w:sz w:val="22"/>
          <w:szCs w:val="22"/>
        </w:rPr>
        <w:t xml:space="preserve">Dicho de otro modo, deberá procederse a la emisión de una resolución que confirme la inexistencia de la información solicitada por parte del Comité de Transparencia del </w:t>
      </w:r>
      <w:r w:rsidRPr="001D2B9B">
        <w:rPr>
          <w:rFonts w:ascii="Palatino Linotype" w:eastAsia="Palatino Linotype" w:hAnsi="Palatino Linotype" w:cs="Palatino Linotype"/>
          <w:b/>
          <w:sz w:val="22"/>
          <w:szCs w:val="22"/>
        </w:rPr>
        <w:t>Sujeto Obligado</w:t>
      </w:r>
      <w:r w:rsidRPr="001D2B9B">
        <w:rPr>
          <w:rFonts w:ascii="Palatino Linotype" w:eastAsia="Palatino Linotype" w:hAnsi="Palatino Linotype" w:cs="Palatino Linotype"/>
          <w:sz w:val="22"/>
          <w:szCs w:val="22"/>
        </w:rPr>
        <w:t xml:space="preserve">, debidamente fundado y motivado en el que </w:t>
      </w:r>
      <w:r w:rsidRPr="001D2B9B">
        <w:rPr>
          <w:rFonts w:ascii="Palatino Linotype" w:eastAsia="Palatino Linotype" w:hAnsi="Palatino Linotype" w:cs="Palatino Linotype"/>
          <w:b/>
          <w:sz w:val="22"/>
          <w:szCs w:val="22"/>
        </w:rPr>
        <w:t>se detallen las razones por las que la información no obra en sus archivos</w:t>
      </w:r>
      <w:r w:rsidRPr="001D2B9B">
        <w:rPr>
          <w:rFonts w:ascii="Palatino Linotype" w:eastAsia="Palatino Linotype" w:hAnsi="Palatino Linotype" w:cs="Palatino Linotype"/>
          <w:sz w:val="22"/>
          <w:szCs w:val="22"/>
        </w:rPr>
        <w:t xml:space="preserve">, misma que </w:t>
      </w:r>
      <w:r w:rsidRPr="001D2B9B">
        <w:rPr>
          <w:rFonts w:ascii="Palatino Linotype" w:eastAsia="Palatino Linotype" w:hAnsi="Palatino Linotype" w:cs="Palatino Linotype"/>
          <w:b/>
          <w:sz w:val="22"/>
          <w:szCs w:val="22"/>
          <w:u w:val="single"/>
        </w:rPr>
        <w:t>deberá ser acompañada de los actos que comprueben que se ordenó la realización de una búsqueda exhaustiva a sus unidades administrativas</w:t>
      </w:r>
      <w:r w:rsidRPr="001D2B9B">
        <w:rPr>
          <w:rFonts w:ascii="Palatino Linotype" w:eastAsia="Palatino Linotype" w:hAnsi="Palatino Linotype" w:cs="Palatino Linotype"/>
          <w:sz w:val="22"/>
          <w:szCs w:val="22"/>
        </w:rPr>
        <w:t xml:space="preserve">, a fin de </w:t>
      </w:r>
      <w:r w:rsidRPr="001D2B9B">
        <w:rPr>
          <w:rFonts w:ascii="Palatino Linotype" w:eastAsia="Palatino Linotype" w:hAnsi="Palatino Linotype" w:cs="Palatino Linotype"/>
          <w:b/>
          <w:sz w:val="22"/>
          <w:szCs w:val="22"/>
        </w:rPr>
        <w:t xml:space="preserve">generar certeza a la parte Recurrente y </w:t>
      </w:r>
      <w:r w:rsidRPr="001D2B9B">
        <w:rPr>
          <w:rFonts w:ascii="Palatino Linotype" w:eastAsia="Palatino Linotype" w:hAnsi="Palatino Linotype" w:cs="Palatino Linotype"/>
          <w:b/>
          <w:sz w:val="22"/>
          <w:szCs w:val="22"/>
          <w:u w:val="single"/>
        </w:rPr>
        <w:t>comprobar la inexistencia de la información</w:t>
      </w:r>
      <w:r w:rsidRPr="001D2B9B">
        <w:rPr>
          <w:rFonts w:ascii="Palatino Linotype" w:eastAsia="Palatino Linotype" w:hAnsi="Palatino Linotype" w:cs="Palatino Linotype"/>
          <w:b/>
          <w:sz w:val="22"/>
          <w:szCs w:val="22"/>
        </w:rPr>
        <w:t>.</w:t>
      </w:r>
    </w:p>
    <w:p w14:paraId="0330DDEC" w14:textId="77777777" w:rsidR="00E0130F" w:rsidRPr="001D2B9B" w:rsidRDefault="00AA79DC">
      <w:pPr>
        <w:spacing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Tiene aplicación al respecto el criterio de interpretación en el orden administrativo número 0004-11 emitido por este Instituto, cuyo contenido es del tenor literal siguiente:</w:t>
      </w:r>
    </w:p>
    <w:p w14:paraId="04BE4875" w14:textId="77777777" w:rsidR="00E0130F" w:rsidRPr="001D2B9B" w:rsidRDefault="00AA79DC">
      <w:pPr>
        <w:spacing w:before="240" w:after="240"/>
        <w:ind w:left="851" w:right="900"/>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i/>
          <w:sz w:val="22"/>
          <w:szCs w:val="22"/>
        </w:rPr>
        <w:t xml:space="preserve">“CRITERIO 0004-11 </w:t>
      </w:r>
    </w:p>
    <w:p w14:paraId="12EE59F2" w14:textId="77777777" w:rsidR="00E0130F" w:rsidRPr="001D2B9B" w:rsidRDefault="00AA79DC">
      <w:pPr>
        <w:spacing w:before="240" w:after="240"/>
        <w:ind w:left="851" w:right="900"/>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INEXISTENCIA. DECLARATORIA DE LA. ALCANCES Y PROCEDIMIENTOS</w:t>
      </w:r>
      <w:r w:rsidRPr="001D2B9B">
        <w:rPr>
          <w:rFonts w:ascii="Palatino Linotype" w:eastAsia="Palatino Linotype" w:hAnsi="Palatino Linotype" w:cs="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5CFD4E2D" w14:textId="77777777" w:rsidR="00E0130F" w:rsidRPr="001D2B9B" w:rsidRDefault="00AA79DC">
      <w:pPr>
        <w:spacing w:before="240" w:after="240"/>
        <w:ind w:left="851" w:right="900"/>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i/>
          <w:sz w:val="22"/>
          <w:szCs w:val="22"/>
        </w:rPr>
        <w:t xml:space="preserve">Bajo el entendido de que dicha búsqueda exhaustiva permitirá dos determinaciones: </w:t>
      </w:r>
    </w:p>
    <w:p w14:paraId="7CAD0AEB" w14:textId="77777777" w:rsidR="00E0130F" w:rsidRPr="001D2B9B" w:rsidRDefault="00AA79DC">
      <w:pPr>
        <w:spacing w:before="240" w:after="240"/>
        <w:ind w:left="851" w:right="900"/>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1ª)</w:t>
      </w:r>
      <w:r w:rsidRPr="001D2B9B">
        <w:rPr>
          <w:rFonts w:ascii="Palatino Linotype" w:eastAsia="Palatino Linotype" w:hAnsi="Palatino Linotype" w:cs="Palatino Linotype"/>
          <w:i/>
          <w:sz w:val="22"/>
          <w:szCs w:val="22"/>
        </w:rPr>
        <w:t xml:space="preserve"> Que se localice la documentación que contenga la información solicitada y de ser así la información pueda entregarse al solicitante en la forma en que se encuentra disponible, o </w:t>
      </w:r>
    </w:p>
    <w:p w14:paraId="1588D78E" w14:textId="77777777" w:rsidR="00E0130F" w:rsidRPr="001D2B9B" w:rsidRDefault="00AA79DC">
      <w:pPr>
        <w:spacing w:before="240" w:after="240"/>
        <w:ind w:left="851" w:right="900"/>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2ª)</w:t>
      </w:r>
      <w:r w:rsidRPr="001D2B9B">
        <w:rPr>
          <w:rFonts w:ascii="Palatino Linotype" w:eastAsia="Palatino Linotype" w:hAnsi="Palatino Linotype" w:cs="Palatino Linotype"/>
          <w:i/>
          <w:sz w:val="22"/>
          <w:szCs w:val="22"/>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14:paraId="3DC21191" w14:textId="77777777" w:rsidR="00E0130F" w:rsidRPr="001D2B9B" w:rsidRDefault="00AA79DC">
      <w:pPr>
        <w:spacing w:before="240" w:after="240"/>
        <w:ind w:left="851" w:right="900"/>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5928BD3E"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1D2B9B">
        <w:rPr>
          <w:rFonts w:ascii="Palatino Linotype" w:eastAsia="Palatino Linotype" w:hAnsi="Palatino Linotype" w:cs="Palatino Linotype"/>
          <w:b/>
          <w:sz w:val="22"/>
          <w:szCs w:val="22"/>
        </w:rPr>
        <w:t>Sujeto Obligado</w:t>
      </w:r>
      <w:r w:rsidRPr="001D2B9B">
        <w:rPr>
          <w:rFonts w:ascii="Palatino Linotype" w:eastAsia="Palatino Linotype" w:hAnsi="Palatino Linotype" w:cs="Palatino Linotype"/>
          <w:sz w:val="22"/>
          <w:szCs w:val="22"/>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w:t>
      </w:r>
      <w:r w:rsidRPr="001D2B9B">
        <w:rPr>
          <w:rFonts w:ascii="Palatino Linotype" w:eastAsia="Palatino Linotype" w:hAnsi="Palatino Linotype" w:cs="Palatino Linotype"/>
          <w:b/>
          <w:sz w:val="22"/>
          <w:szCs w:val="22"/>
        </w:rPr>
        <w:t>Sujeto Obligado</w:t>
      </w:r>
      <w:r w:rsidRPr="001D2B9B">
        <w:rPr>
          <w:rFonts w:ascii="Palatino Linotype" w:eastAsia="Palatino Linotype" w:hAnsi="Palatino Linotype" w:cs="Palatino Linotype"/>
          <w:sz w:val="22"/>
          <w:szCs w:val="22"/>
        </w:rPr>
        <w:t xml:space="preserve"> debió de haber generado, administrado o poseído la información pero en incumplimiento a la norma no lo llevo a cabo. Tal como se lee del criterio que para mayor referencia se transcribe a continuación:</w:t>
      </w:r>
    </w:p>
    <w:p w14:paraId="0AF0DE00" w14:textId="77777777" w:rsidR="00E0130F" w:rsidRPr="001D2B9B" w:rsidRDefault="00AA79DC">
      <w:pPr>
        <w:spacing w:before="240" w:after="240"/>
        <w:ind w:left="851" w:right="900"/>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i/>
          <w:sz w:val="22"/>
          <w:szCs w:val="22"/>
        </w:rPr>
        <w:t>“</w:t>
      </w:r>
      <w:r w:rsidRPr="001D2B9B">
        <w:rPr>
          <w:rFonts w:ascii="Palatino Linotype" w:eastAsia="Palatino Linotype" w:hAnsi="Palatino Linotype" w:cs="Palatino Linotype"/>
          <w:b/>
          <w:i/>
          <w:sz w:val="22"/>
          <w:szCs w:val="22"/>
        </w:rPr>
        <w:t>INEXISTENCIA, CONCEPTO DE, EN MATERIA DE TRANSPARENCIA</w:t>
      </w:r>
      <w:r w:rsidRPr="001D2B9B">
        <w:rPr>
          <w:rFonts w:ascii="Palatino Linotype" w:eastAsia="Palatino Linotype" w:hAnsi="Palatino Linotype" w:cs="Palatino Linotype"/>
          <w:i/>
          <w:sz w:val="22"/>
          <w:szCs w:val="22"/>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1D2B9B">
        <w:rPr>
          <w:rFonts w:ascii="Palatino Linotype" w:eastAsia="Palatino Linotype" w:hAnsi="Palatino Linotype" w:cs="Palatino Linotype"/>
          <w:b/>
          <w:i/>
          <w:sz w:val="22"/>
          <w:szCs w:val="22"/>
        </w:rPr>
        <w:t>supuestos:</w:t>
      </w:r>
      <w:r w:rsidRPr="001D2B9B">
        <w:rPr>
          <w:rFonts w:ascii="Palatino Linotype" w:eastAsia="Palatino Linotype" w:hAnsi="Palatino Linotype" w:cs="Palatino Linotype"/>
          <w:i/>
          <w:sz w:val="22"/>
          <w:szCs w:val="22"/>
        </w:rPr>
        <w:t xml:space="preserve"> </w:t>
      </w:r>
    </w:p>
    <w:p w14:paraId="55815DBF" w14:textId="77777777" w:rsidR="00E0130F" w:rsidRPr="001D2B9B" w:rsidRDefault="00AA79DC">
      <w:pPr>
        <w:numPr>
          <w:ilvl w:val="0"/>
          <w:numId w:val="3"/>
        </w:numPr>
        <w:pBdr>
          <w:top w:val="nil"/>
          <w:left w:val="nil"/>
          <w:bottom w:val="nil"/>
          <w:right w:val="nil"/>
          <w:between w:val="nil"/>
        </w:pBdr>
        <w:tabs>
          <w:tab w:val="left" w:pos="1134"/>
        </w:tabs>
        <w:spacing w:before="240"/>
        <w:ind w:left="851" w:right="900" w:firstLine="0"/>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i/>
          <w:sz w:val="22"/>
          <w:szCs w:val="22"/>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14:paraId="5EF6479E" w14:textId="77777777" w:rsidR="00E0130F" w:rsidRPr="001D2B9B" w:rsidRDefault="00AA79DC">
      <w:pPr>
        <w:numPr>
          <w:ilvl w:val="0"/>
          <w:numId w:val="3"/>
        </w:numPr>
        <w:pBdr>
          <w:top w:val="nil"/>
          <w:left w:val="nil"/>
          <w:bottom w:val="nil"/>
          <w:right w:val="nil"/>
          <w:between w:val="nil"/>
        </w:pBdr>
        <w:tabs>
          <w:tab w:val="left" w:pos="1134"/>
        </w:tabs>
        <w:spacing w:after="240"/>
        <w:ind w:left="851" w:right="900" w:firstLine="0"/>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i/>
          <w:sz w:val="22"/>
          <w:szCs w:val="22"/>
        </w:rPr>
        <w:t xml:space="preserve">En los casos en que por las atribuciones conferidas al Sujeto Obligado éste debió generar, administrar o poseer la información, pero en incumplimiento a la normatividad respectiva no llevó a cabo ninguna de esas acciones. </w:t>
      </w:r>
    </w:p>
    <w:p w14:paraId="2926736F" w14:textId="77777777" w:rsidR="00E0130F" w:rsidRPr="001D2B9B" w:rsidRDefault="00AA79DC">
      <w:pPr>
        <w:spacing w:before="240" w:after="240"/>
        <w:ind w:left="851" w:right="900"/>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4327268A"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Por tanto, la declaratoria de inexistencia no es un mero trámite por el cual de manera mecánica o simple manifieste que la información no existe en sus archivos</w:t>
      </w:r>
      <w:r w:rsidRPr="001D2B9B">
        <w:rPr>
          <w:rFonts w:ascii="Palatino Linotype" w:eastAsia="Palatino Linotype" w:hAnsi="Palatino Linotype" w:cs="Palatino Linotype"/>
          <w:b/>
          <w:sz w:val="22"/>
          <w:szCs w:val="22"/>
        </w:rPr>
        <w:t xml:space="preserve">, </w:t>
      </w:r>
      <w:r w:rsidRPr="001D2B9B">
        <w:rPr>
          <w:rFonts w:ascii="Palatino Linotype" w:eastAsia="Palatino Linotype" w:hAnsi="Palatino Linotype" w:cs="Palatino Linotype"/>
          <w:sz w:val="22"/>
          <w:szCs w:val="22"/>
        </w:rPr>
        <w:t xml:space="preserve">cuando la misma por disposición legal debería de obrar, sino que su contenido y alcance implica la responsabilidad y atribución del Comité de Transparencia del </w:t>
      </w:r>
      <w:r w:rsidRPr="001D2B9B">
        <w:rPr>
          <w:rFonts w:ascii="Palatino Linotype" w:eastAsia="Palatino Linotype" w:hAnsi="Palatino Linotype" w:cs="Palatino Linotype"/>
          <w:b/>
          <w:sz w:val="22"/>
          <w:szCs w:val="22"/>
        </w:rPr>
        <w:t xml:space="preserve">Sujeto Obligado, </w:t>
      </w:r>
      <w:r w:rsidRPr="001D2B9B">
        <w:rPr>
          <w:rFonts w:ascii="Palatino Linotype" w:eastAsia="Palatino Linotype" w:hAnsi="Palatino Linotype" w:cs="Palatino Linotype"/>
          <w:sz w:val="22"/>
          <w:szCs w:val="22"/>
        </w:rPr>
        <w:t>de instruir una búsqueda exhaustiva a todas y cada una de las áreas administrativas de las que se compone, que permitirá:</w:t>
      </w:r>
    </w:p>
    <w:p w14:paraId="4FFE6555" w14:textId="77777777" w:rsidR="00E0130F" w:rsidRPr="001D2B9B" w:rsidRDefault="00AA79DC">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Que se localice la documentación que contenga la información solicitada. En este caso habrá que señalar que de acuerdo con las disposiciones transcritas, la información puede obrar en sus archivos ya sea porque la genera, la administra o simplemente la posee.</w:t>
      </w:r>
    </w:p>
    <w:p w14:paraId="6D82489D"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 xml:space="preserve">De actualizarse esta primera hipótesis, la información debe entregarse a la parte </w:t>
      </w:r>
      <w:r w:rsidRPr="001D2B9B">
        <w:rPr>
          <w:rFonts w:ascii="Palatino Linotype" w:eastAsia="Palatino Linotype" w:hAnsi="Palatino Linotype" w:cs="Palatino Linotype"/>
          <w:b/>
          <w:sz w:val="22"/>
          <w:szCs w:val="22"/>
        </w:rPr>
        <w:t>Recurrente</w:t>
      </w:r>
      <w:r w:rsidRPr="001D2B9B">
        <w:rPr>
          <w:rFonts w:ascii="Palatino Linotype" w:eastAsia="Palatino Linotype" w:hAnsi="Palatino Linotype" w:cs="Palatino Linotype"/>
          <w:b/>
          <w:i/>
          <w:sz w:val="22"/>
          <w:szCs w:val="22"/>
        </w:rPr>
        <w:t xml:space="preserve"> </w:t>
      </w:r>
      <w:r w:rsidRPr="001D2B9B">
        <w:rPr>
          <w:rFonts w:ascii="Palatino Linotype" w:eastAsia="Palatino Linotype" w:hAnsi="Palatino Linotype" w:cs="Palatino Linotype"/>
          <w:sz w:val="22"/>
          <w:szCs w:val="22"/>
        </w:rPr>
        <w:t>a través del o los documentos fuente.</w:t>
      </w:r>
    </w:p>
    <w:p w14:paraId="3A28ADF7" w14:textId="77777777" w:rsidR="00E0130F" w:rsidRPr="001D2B9B" w:rsidRDefault="00AA79DC">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Que no se localice documento alguno que contenga la información requerida, en este supuesto, el Comité de Transparencia deberá resolver la declaratoria de inexistencia de la información y notificarla al recurrente</w:t>
      </w:r>
      <w:r w:rsidRPr="001D2B9B">
        <w:rPr>
          <w:rFonts w:ascii="Palatino Linotype" w:eastAsia="Palatino Linotype" w:hAnsi="Palatino Linotype" w:cs="Palatino Linotype"/>
          <w:b/>
          <w:i/>
          <w:sz w:val="22"/>
          <w:szCs w:val="22"/>
        </w:rPr>
        <w:t xml:space="preserve"> </w:t>
      </w:r>
      <w:r w:rsidRPr="001D2B9B">
        <w:rPr>
          <w:rFonts w:ascii="Palatino Linotype" w:eastAsia="Palatino Linotype" w:hAnsi="Palatino Linotype" w:cs="Palatino Linotype"/>
          <w:sz w:val="22"/>
          <w:szCs w:val="22"/>
        </w:rPr>
        <w:t>y a este Pleno.</w:t>
      </w:r>
    </w:p>
    <w:p w14:paraId="45A6AB2E" w14:textId="77777777" w:rsidR="00E0130F" w:rsidRPr="001D2B9B" w:rsidRDefault="00AA79DC">
      <w:pPr>
        <w:numPr>
          <w:ilvl w:val="0"/>
          <w:numId w:val="2"/>
        </w:numPr>
        <w:pBdr>
          <w:top w:val="nil"/>
          <w:left w:val="nil"/>
          <w:bottom w:val="nil"/>
          <w:right w:val="nil"/>
          <w:between w:val="nil"/>
        </w:pBdr>
        <w:spacing w:before="240" w:after="240" w:line="360" w:lineRule="auto"/>
        <w:ind w:left="714" w:hanging="357"/>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Que se ordene siempre que sea materialmente posible, que se genere o reponga la información en caso de que ésta tuviera que existir, derivado del ejercicio de sus facultades.</w:t>
      </w:r>
    </w:p>
    <w:p w14:paraId="2601E45F"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En las relatadas argumentaciones, se puede afirmar que cuando la información requerida por una persona solicitante no exista en los archivos de los Sujetos Obligados; se requiere de un mecanismo para brindar certeza jurídica y a la vez para determinar el tipo y grado de responsabilidad de los servidores públicos que intervienen en el proceso de elaboración de la información.</w:t>
      </w:r>
    </w:p>
    <w:p w14:paraId="31A2D021"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Lo anterior, obedece a lo establecido por el artículo 12 de la Ley de Transparencia y Acceso a la Información Pública del Estado de México y Municipios, el cual destaca que quienes generen, recopilen, administren, manejen, procesen, archiven o conserven información pública serán responsables de esta; vinculando inminentemente al servidor público con los documentos que por el ejercicio de sus funciones obra en su poder, lo que impone un compromiso en su cuidado y resguardo.</w:t>
      </w:r>
    </w:p>
    <w:p w14:paraId="4E173DA1" w14:textId="77777777" w:rsidR="00E0130F" w:rsidRPr="001D2B9B" w:rsidRDefault="00AA79D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 xml:space="preserve">De lo hasta aquí expuesto, se concluye que los motivos de inconformidad de la parte </w:t>
      </w:r>
      <w:r w:rsidRPr="001D2B9B">
        <w:rPr>
          <w:rFonts w:ascii="Palatino Linotype" w:eastAsia="Palatino Linotype" w:hAnsi="Palatino Linotype" w:cs="Palatino Linotype"/>
          <w:b/>
          <w:sz w:val="22"/>
          <w:szCs w:val="22"/>
        </w:rPr>
        <w:t xml:space="preserve">Recurrente </w:t>
      </w:r>
      <w:r w:rsidRPr="001D2B9B">
        <w:rPr>
          <w:rFonts w:ascii="Palatino Linotype" w:eastAsia="Palatino Linotype" w:hAnsi="Palatino Linotype" w:cs="Palatino Linotype"/>
          <w:sz w:val="22"/>
          <w:szCs w:val="22"/>
        </w:rPr>
        <w:t xml:space="preserve">devienen fundados, siendo procedente </w:t>
      </w:r>
      <w:r w:rsidRPr="001D2B9B">
        <w:rPr>
          <w:rFonts w:ascii="Palatino Linotype" w:eastAsia="Palatino Linotype" w:hAnsi="Palatino Linotype" w:cs="Palatino Linotype"/>
          <w:b/>
          <w:i/>
          <w:sz w:val="22"/>
          <w:szCs w:val="22"/>
        </w:rPr>
        <w:t>Revocar</w:t>
      </w:r>
      <w:r w:rsidRPr="001D2B9B">
        <w:rPr>
          <w:rFonts w:ascii="Palatino Linotype" w:eastAsia="Palatino Linotype" w:hAnsi="Palatino Linotype" w:cs="Palatino Linotype"/>
          <w:i/>
          <w:sz w:val="22"/>
          <w:szCs w:val="22"/>
        </w:rPr>
        <w:t xml:space="preserve"> </w:t>
      </w:r>
      <w:r w:rsidRPr="001D2B9B">
        <w:rPr>
          <w:rFonts w:ascii="Palatino Linotype" w:eastAsia="Palatino Linotype" w:hAnsi="Palatino Linotype" w:cs="Palatino Linotype"/>
          <w:sz w:val="22"/>
          <w:szCs w:val="22"/>
        </w:rPr>
        <w:t xml:space="preserve">la respuesta proporcionada por el </w:t>
      </w:r>
      <w:r w:rsidRPr="001D2B9B">
        <w:rPr>
          <w:rFonts w:ascii="Palatino Linotype" w:eastAsia="Palatino Linotype" w:hAnsi="Palatino Linotype" w:cs="Palatino Linotype"/>
          <w:b/>
          <w:sz w:val="22"/>
          <w:szCs w:val="22"/>
        </w:rPr>
        <w:t xml:space="preserve">Sujeto Obligado </w:t>
      </w:r>
      <w:r w:rsidRPr="001D2B9B">
        <w:rPr>
          <w:rFonts w:ascii="Palatino Linotype" w:eastAsia="Palatino Linotype" w:hAnsi="Palatino Linotype" w:cs="Palatino Linotype"/>
          <w:sz w:val="22"/>
          <w:szCs w:val="22"/>
        </w:rPr>
        <w:t>en términos del artículo 186 fracción III de la Ley de Transparencia y Acceso a la Información Pública del Estado de México y Municipios.</w:t>
      </w:r>
    </w:p>
    <w:p w14:paraId="6CA439CE" w14:textId="77777777" w:rsidR="00E0130F" w:rsidRPr="001D2B9B" w:rsidRDefault="00AA79DC">
      <w:pPr>
        <w:spacing w:before="240" w:after="240" w:line="360" w:lineRule="auto"/>
        <w:ind w:right="51"/>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b/>
          <w:sz w:val="22"/>
          <w:szCs w:val="22"/>
        </w:rPr>
        <w:t xml:space="preserve">Quinto. Versión Pública. </w:t>
      </w:r>
      <w:r w:rsidRPr="001D2B9B">
        <w:rPr>
          <w:rFonts w:ascii="Palatino Linotype" w:eastAsia="Palatino Linotype" w:hAnsi="Palatino Linotype" w:cs="Palatino Linotype"/>
          <w:sz w:val="22"/>
          <w:szCs w:val="22"/>
        </w:rPr>
        <w:t>Como fue debidamente apuntado, el </w:t>
      </w:r>
      <w:r w:rsidRPr="001D2B9B">
        <w:rPr>
          <w:rFonts w:ascii="Palatino Linotype" w:eastAsia="Palatino Linotype" w:hAnsi="Palatino Linotype" w:cs="Palatino Linotype"/>
          <w:b/>
          <w:sz w:val="22"/>
          <w:szCs w:val="22"/>
        </w:rPr>
        <w:t>Sujeto Obligado</w:t>
      </w:r>
      <w:r w:rsidRPr="001D2B9B">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734A7863" w14:textId="77777777" w:rsidR="00E0130F" w:rsidRPr="001D2B9B" w:rsidRDefault="00AA79DC">
      <w:pPr>
        <w:spacing w:before="240" w:after="240" w:line="360" w:lineRule="auto"/>
        <w:ind w:right="49"/>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0AF9652E" w14:textId="77777777" w:rsidR="00E0130F" w:rsidRPr="001D2B9B" w:rsidRDefault="00AA79DC">
      <w:pPr>
        <w:spacing w:before="240" w:after="240" w:line="360" w:lineRule="auto"/>
        <w:ind w:right="49"/>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1CAB48E4" w14:textId="77777777" w:rsidR="00E0130F" w:rsidRPr="001D2B9B" w:rsidRDefault="00AA79DC">
      <w:pPr>
        <w:spacing w:before="240" w:after="240" w:line="360" w:lineRule="auto"/>
        <w:ind w:right="49"/>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establecen:</w:t>
      </w:r>
    </w:p>
    <w:p w14:paraId="721808A0"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sz w:val="22"/>
          <w:szCs w:val="22"/>
        </w:rPr>
        <w:t> </w:t>
      </w:r>
      <w:r w:rsidRPr="001D2B9B">
        <w:rPr>
          <w:rFonts w:ascii="Palatino Linotype" w:eastAsia="Palatino Linotype" w:hAnsi="Palatino Linotype" w:cs="Palatino Linotype"/>
          <w:i/>
          <w:sz w:val="22"/>
          <w:szCs w:val="22"/>
        </w:rPr>
        <w:t>“</w:t>
      </w:r>
      <w:r w:rsidRPr="001D2B9B">
        <w:rPr>
          <w:rFonts w:ascii="Palatino Linotype" w:eastAsia="Palatino Linotype" w:hAnsi="Palatino Linotype" w:cs="Palatino Linotype"/>
          <w:b/>
          <w:i/>
          <w:sz w:val="22"/>
          <w:szCs w:val="22"/>
        </w:rPr>
        <w:t>Artículo 3.</w:t>
      </w:r>
      <w:r w:rsidRPr="001D2B9B">
        <w:rPr>
          <w:rFonts w:ascii="Palatino Linotype" w:eastAsia="Palatino Linotype" w:hAnsi="Palatino Linotype" w:cs="Palatino Linotype"/>
          <w:i/>
          <w:sz w:val="22"/>
          <w:szCs w:val="22"/>
        </w:rPr>
        <w:t xml:space="preserve"> Para los efectos de la presente Ley se entenderá por:</w:t>
      </w:r>
    </w:p>
    <w:p w14:paraId="1F0FCC00" w14:textId="77777777" w:rsidR="00E0130F" w:rsidRPr="001D2B9B" w:rsidRDefault="00AA79DC">
      <w:pPr>
        <w:tabs>
          <w:tab w:val="left" w:pos="1276"/>
        </w:tabs>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i/>
          <w:sz w:val="22"/>
          <w:szCs w:val="22"/>
        </w:rPr>
        <w:t>…</w:t>
      </w:r>
    </w:p>
    <w:p w14:paraId="3C11E8CD" w14:textId="77777777" w:rsidR="00E0130F" w:rsidRPr="001D2B9B" w:rsidRDefault="00AA79DC">
      <w:pPr>
        <w:tabs>
          <w:tab w:val="left" w:pos="1276"/>
        </w:tabs>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IX. Datos personales</w:t>
      </w:r>
      <w:r w:rsidRPr="001D2B9B">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161CE148" w14:textId="77777777" w:rsidR="00E0130F" w:rsidRPr="001D2B9B" w:rsidRDefault="00AA79DC">
      <w:pPr>
        <w:tabs>
          <w:tab w:val="left" w:pos="1276"/>
        </w:tabs>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i/>
          <w:sz w:val="22"/>
          <w:szCs w:val="22"/>
        </w:rPr>
        <w:t>…</w:t>
      </w:r>
    </w:p>
    <w:p w14:paraId="6CFB54B4" w14:textId="77777777" w:rsidR="00E0130F" w:rsidRPr="001D2B9B" w:rsidRDefault="00AA79DC">
      <w:pPr>
        <w:tabs>
          <w:tab w:val="left" w:pos="1276"/>
        </w:tabs>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XX. Información clasificada</w:t>
      </w:r>
      <w:r w:rsidRPr="001D2B9B">
        <w:rPr>
          <w:rFonts w:ascii="Palatino Linotype" w:eastAsia="Palatino Linotype" w:hAnsi="Palatino Linotype" w:cs="Palatino Linotype"/>
          <w:i/>
          <w:sz w:val="22"/>
          <w:szCs w:val="22"/>
        </w:rPr>
        <w:t>: Aquella considerada por la presente Ley como reservada o confidencial;</w:t>
      </w:r>
    </w:p>
    <w:p w14:paraId="00ED7D86" w14:textId="77777777" w:rsidR="00E0130F" w:rsidRPr="001D2B9B" w:rsidRDefault="00AA79DC">
      <w:pPr>
        <w:tabs>
          <w:tab w:val="left" w:pos="1276"/>
        </w:tabs>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XXI. Información confidencial</w:t>
      </w:r>
      <w:r w:rsidRPr="001D2B9B">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1F5222C" w14:textId="77777777" w:rsidR="00E0130F" w:rsidRPr="001D2B9B" w:rsidRDefault="00AA79DC">
      <w:pPr>
        <w:tabs>
          <w:tab w:val="left" w:pos="1276"/>
        </w:tabs>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i/>
          <w:sz w:val="22"/>
          <w:szCs w:val="22"/>
        </w:rPr>
        <w:t>…</w:t>
      </w:r>
    </w:p>
    <w:p w14:paraId="242CB712" w14:textId="77777777" w:rsidR="00E0130F" w:rsidRPr="001D2B9B" w:rsidRDefault="00AA79DC">
      <w:pPr>
        <w:tabs>
          <w:tab w:val="left" w:pos="1276"/>
        </w:tabs>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XXXII. Protección de Datos Personales</w:t>
      </w:r>
      <w:r w:rsidRPr="001D2B9B">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6277FEA6" w14:textId="77777777" w:rsidR="00E0130F" w:rsidRPr="001D2B9B" w:rsidRDefault="00AA79DC">
      <w:pPr>
        <w:tabs>
          <w:tab w:val="left" w:pos="1276"/>
        </w:tabs>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i/>
          <w:sz w:val="22"/>
          <w:szCs w:val="22"/>
        </w:rPr>
        <w:t>…</w:t>
      </w:r>
    </w:p>
    <w:p w14:paraId="307104FA" w14:textId="77777777" w:rsidR="00E0130F" w:rsidRPr="001D2B9B" w:rsidRDefault="00AA79DC">
      <w:pPr>
        <w:tabs>
          <w:tab w:val="left" w:pos="1276"/>
        </w:tabs>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XLV. Versión pública</w:t>
      </w:r>
      <w:r w:rsidRPr="001D2B9B">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7AD8C4BB"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 Artículo 6</w:t>
      </w:r>
      <w:r w:rsidRPr="001D2B9B">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90038EF"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i/>
          <w:sz w:val="22"/>
          <w:szCs w:val="22"/>
        </w:rPr>
        <w:t>…</w:t>
      </w:r>
    </w:p>
    <w:p w14:paraId="48952488"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Artículo 91.</w:t>
      </w:r>
      <w:r w:rsidRPr="001D2B9B">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1D2B9B">
        <w:rPr>
          <w:rFonts w:ascii="Palatino Linotype" w:eastAsia="Palatino Linotype" w:hAnsi="Palatino Linotype" w:cs="Palatino Linotype"/>
          <w:i/>
          <w:sz w:val="22"/>
          <w:szCs w:val="22"/>
        </w:rPr>
        <w:br/>
        <w:t>…</w:t>
      </w:r>
    </w:p>
    <w:p w14:paraId="1CA74AFA"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Artículo 132.</w:t>
      </w:r>
      <w:r w:rsidRPr="001D2B9B">
        <w:rPr>
          <w:rFonts w:ascii="Palatino Linotype" w:eastAsia="Palatino Linotype" w:hAnsi="Palatino Linotype" w:cs="Palatino Linotype"/>
          <w:i/>
          <w:sz w:val="22"/>
          <w:szCs w:val="22"/>
        </w:rPr>
        <w:t xml:space="preserve"> La clasificación de la información se llevará a cabo en el momento en que:</w:t>
      </w:r>
    </w:p>
    <w:p w14:paraId="58F41CEE"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I</w:t>
      </w:r>
      <w:r w:rsidRPr="001D2B9B">
        <w:rPr>
          <w:rFonts w:ascii="Palatino Linotype" w:eastAsia="Palatino Linotype" w:hAnsi="Palatino Linotype" w:cs="Palatino Linotype"/>
          <w:i/>
          <w:sz w:val="22"/>
          <w:szCs w:val="22"/>
        </w:rPr>
        <w:t>. Se reciba una solicitud de acceso a la información;</w:t>
      </w:r>
    </w:p>
    <w:p w14:paraId="2806B493"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II.</w:t>
      </w:r>
      <w:r w:rsidRPr="001D2B9B">
        <w:rPr>
          <w:rFonts w:ascii="Palatino Linotype" w:eastAsia="Palatino Linotype" w:hAnsi="Palatino Linotype" w:cs="Palatino Linotype"/>
          <w:i/>
          <w:sz w:val="22"/>
          <w:szCs w:val="22"/>
        </w:rPr>
        <w:t xml:space="preserve"> Se determine mediante resolución de autoridad competente; o</w:t>
      </w:r>
    </w:p>
    <w:p w14:paraId="244A2446"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III.</w:t>
      </w:r>
      <w:r w:rsidRPr="001D2B9B">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4B5E6619"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w:t>
      </w:r>
    </w:p>
    <w:p w14:paraId="7F7FB0A8"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Artículo 137.</w:t>
      </w:r>
      <w:r w:rsidRPr="001D2B9B">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0A92C98"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 Artículo 143.</w:t>
      </w:r>
      <w:r w:rsidRPr="001D2B9B">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55209DF5"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I.</w:t>
      </w:r>
      <w:r w:rsidRPr="001D2B9B">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5F589891" w14:textId="77777777" w:rsidR="00E0130F" w:rsidRPr="001D2B9B" w:rsidRDefault="00AA79DC">
      <w:pPr>
        <w:spacing w:before="240" w:after="240" w:line="360" w:lineRule="auto"/>
        <w:ind w:right="50"/>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1D2B9B">
        <w:rPr>
          <w:rFonts w:ascii="Palatino Linotype" w:eastAsia="Palatino Linotype" w:hAnsi="Palatino Linotype" w:cs="Palatino Linotype"/>
          <w:b/>
          <w:sz w:val="22"/>
          <w:szCs w:val="22"/>
        </w:rPr>
        <w:t>Sujeto Obligado</w:t>
      </w:r>
      <w:r w:rsidRPr="001D2B9B">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64E1E756" w14:textId="77777777" w:rsidR="00E0130F" w:rsidRPr="001D2B9B" w:rsidRDefault="00AA79DC">
      <w:pPr>
        <w:spacing w:before="240" w:after="240" w:line="360" w:lineRule="auto"/>
        <w:ind w:right="50"/>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974C753"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De esta manera, la información que se ordena pudiera contener, entre otros datos, información de los predios colindantes, es decir, de los predios contiguos o que limitan con determinado bien inmueble; como lo es de manera enunciativa, más no limitativa, el nombre de los propietarios.</w:t>
      </w:r>
    </w:p>
    <w:p w14:paraId="200FA960"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En tal sentido, para el caso de que los documentos mediante los cuales se dará cumplimiento a la presente resolución contengan el nombre de personas físicas identificadas o identificables, en su carácter de propietarias de predios colindantes con bienes inmuebles de las instituciones públicas, así como de los bienes de dominio público, dicho dato deberá ser clasificado como confidencial.</w:t>
      </w:r>
    </w:p>
    <w:p w14:paraId="13E182C6"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Al respecto, es conveniente señalar que el nombre de una persona física, al ser uno de los atributos de la personalidad y la manifestación principal del derecho subjetivo a la identidad, es un dato personal que, por regla general, debe considerarse como un dato confidencial en términos del artículo 143, fracción I de la Ley de Transparencia y Acceso a la Información Pública del Estado de México y Municipios, cuando esta no se desempeña en la función pública, o bien, no celebra actos en el ámbito del derecho público, ya que por sí solo es un dato que identifica a su titular o lo hace identificable, por lo que con su publicidad se vulneraría su ámbito de privacidad.</w:t>
      </w:r>
    </w:p>
    <w:p w14:paraId="4D629090" w14:textId="77777777" w:rsidR="00E0130F" w:rsidRPr="001D2B9B" w:rsidRDefault="00AA79DC">
      <w:pPr>
        <w:spacing w:before="240" w:after="240" w:line="360" w:lineRule="auto"/>
        <w:ind w:right="50"/>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5950CBB6"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“Artículo 49.</w:t>
      </w:r>
      <w:r w:rsidRPr="001D2B9B">
        <w:rPr>
          <w:rFonts w:ascii="Palatino Linotype" w:eastAsia="Palatino Linotype" w:hAnsi="Palatino Linotype" w:cs="Palatino Linotype"/>
          <w:i/>
          <w:sz w:val="22"/>
          <w:szCs w:val="22"/>
        </w:rPr>
        <w:t xml:space="preserve"> </w:t>
      </w:r>
      <w:r w:rsidRPr="001D2B9B">
        <w:rPr>
          <w:rFonts w:ascii="Palatino Linotype" w:eastAsia="Palatino Linotype" w:hAnsi="Palatino Linotype" w:cs="Palatino Linotype"/>
          <w:b/>
          <w:i/>
          <w:sz w:val="22"/>
          <w:szCs w:val="22"/>
        </w:rPr>
        <w:t>Los Comités de Transparencia</w:t>
      </w:r>
      <w:r w:rsidRPr="001D2B9B">
        <w:rPr>
          <w:rFonts w:ascii="Palatino Linotype" w:eastAsia="Palatino Linotype" w:hAnsi="Palatino Linotype" w:cs="Palatino Linotype"/>
          <w:i/>
          <w:sz w:val="22"/>
          <w:szCs w:val="22"/>
        </w:rPr>
        <w:t xml:space="preserve"> tendrán las siguientes atribuciones:</w:t>
      </w:r>
    </w:p>
    <w:p w14:paraId="0BA3F86F"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VIII. Aprobar, modificar o revocar la clasificación de la información</w:t>
      </w:r>
      <w:r w:rsidRPr="001D2B9B">
        <w:rPr>
          <w:rFonts w:ascii="Palatino Linotype" w:eastAsia="Palatino Linotype" w:hAnsi="Palatino Linotype" w:cs="Palatino Linotype"/>
          <w:i/>
          <w:sz w:val="22"/>
          <w:szCs w:val="22"/>
        </w:rPr>
        <w:t>…”</w:t>
      </w:r>
    </w:p>
    <w:p w14:paraId="2C7E82B5"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i/>
          <w:sz w:val="22"/>
          <w:szCs w:val="22"/>
        </w:rPr>
        <w:t>“</w:t>
      </w:r>
      <w:r w:rsidRPr="001D2B9B">
        <w:rPr>
          <w:rFonts w:ascii="Palatino Linotype" w:eastAsia="Palatino Linotype" w:hAnsi="Palatino Linotype" w:cs="Palatino Linotype"/>
          <w:b/>
          <w:i/>
          <w:sz w:val="22"/>
          <w:szCs w:val="22"/>
        </w:rPr>
        <w:t>Artículo 53.</w:t>
      </w:r>
      <w:r w:rsidRPr="001D2B9B">
        <w:rPr>
          <w:rFonts w:ascii="Palatino Linotype" w:eastAsia="Palatino Linotype" w:hAnsi="Palatino Linotype" w:cs="Palatino Linotype"/>
          <w:i/>
          <w:sz w:val="22"/>
          <w:szCs w:val="22"/>
        </w:rPr>
        <w:t xml:space="preserve"> Las </w:t>
      </w:r>
      <w:r w:rsidRPr="001D2B9B">
        <w:rPr>
          <w:rFonts w:ascii="Palatino Linotype" w:eastAsia="Palatino Linotype" w:hAnsi="Palatino Linotype" w:cs="Palatino Linotype"/>
          <w:b/>
          <w:i/>
          <w:sz w:val="22"/>
          <w:szCs w:val="22"/>
        </w:rPr>
        <w:t>Unidades de Transparencia</w:t>
      </w:r>
      <w:r w:rsidRPr="001D2B9B">
        <w:rPr>
          <w:rFonts w:ascii="Palatino Linotype" w:eastAsia="Palatino Linotype" w:hAnsi="Palatino Linotype" w:cs="Palatino Linotype"/>
          <w:i/>
          <w:sz w:val="22"/>
          <w:szCs w:val="22"/>
        </w:rPr>
        <w:t xml:space="preserve"> tendrán las siguientes </w:t>
      </w:r>
      <w:r w:rsidRPr="001D2B9B">
        <w:rPr>
          <w:rFonts w:ascii="Palatino Linotype" w:eastAsia="Palatino Linotype" w:hAnsi="Palatino Linotype" w:cs="Palatino Linotype"/>
          <w:b/>
          <w:i/>
          <w:sz w:val="22"/>
          <w:szCs w:val="22"/>
        </w:rPr>
        <w:t>funciones</w:t>
      </w:r>
      <w:r w:rsidRPr="001D2B9B">
        <w:rPr>
          <w:rFonts w:ascii="Palatino Linotype" w:eastAsia="Palatino Linotype" w:hAnsi="Palatino Linotype" w:cs="Palatino Linotype"/>
          <w:i/>
          <w:sz w:val="22"/>
          <w:szCs w:val="22"/>
        </w:rPr>
        <w:t>:</w:t>
      </w:r>
    </w:p>
    <w:p w14:paraId="0C691F11"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X. Presentar ante el Comité, el proyecto de clasificación de información</w:t>
      </w:r>
      <w:r w:rsidRPr="001D2B9B">
        <w:rPr>
          <w:rFonts w:ascii="Palatino Linotype" w:eastAsia="Palatino Linotype" w:hAnsi="Palatino Linotype" w:cs="Palatino Linotype"/>
          <w:i/>
          <w:sz w:val="22"/>
          <w:szCs w:val="22"/>
        </w:rPr>
        <w:t xml:space="preserve">…” </w:t>
      </w:r>
    </w:p>
    <w:p w14:paraId="37D98354"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“Artículo 59.</w:t>
      </w:r>
      <w:r w:rsidRPr="001D2B9B">
        <w:rPr>
          <w:rFonts w:ascii="Palatino Linotype" w:eastAsia="Palatino Linotype" w:hAnsi="Palatino Linotype" w:cs="Palatino Linotype"/>
          <w:i/>
          <w:sz w:val="22"/>
          <w:szCs w:val="22"/>
        </w:rPr>
        <w:t xml:space="preserve"> Los </w:t>
      </w:r>
      <w:r w:rsidRPr="001D2B9B">
        <w:rPr>
          <w:rFonts w:ascii="Palatino Linotype" w:eastAsia="Palatino Linotype" w:hAnsi="Palatino Linotype" w:cs="Palatino Linotype"/>
          <w:b/>
          <w:i/>
          <w:sz w:val="22"/>
          <w:szCs w:val="22"/>
        </w:rPr>
        <w:t>servidores públicos habilitados</w:t>
      </w:r>
      <w:r w:rsidRPr="001D2B9B">
        <w:rPr>
          <w:rFonts w:ascii="Palatino Linotype" w:eastAsia="Palatino Linotype" w:hAnsi="Palatino Linotype" w:cs="Palatino Linotype"/>
          <w:i/>
          <w:sz w:val="22"/>
          <w:szCs w:val="22"/>
        </w:rPr>
        <w:t xml:space="preserve"> tendrán las </w:t>
      </w:r>
      <w:r w:rsidRPr="001D2B9B">
        <w:rPr>
          <w:rFonts w:ascii="Palatino Linotype" w:eastAsia="Palatino Linotype" w:hAnsi="Palatino Linotype" w:cs="Palatino Linotype"/>
          <w:b/>
          <w:i/>
          <w:sz w:val="22"/>
          <w:szCs w:val="22"/>
        </w:rPr>
        <w:t>funciones</w:t>
      </w:r>
      <w:r w:rsidRPr="001D2B9B">
        <w:rPr>
          <w:rFonts w:ascii="Palatino Linotype" w:eastAsia="Palatino Linotype" w:hAnsi="Palatino Linotype" w:cs="Palatino Linotype"/>
          <w:i/>
          <w:sz w:val="22"/>
          <w:szCs w:val="22"/>
        </w:rPr>
        <w:t xml:space="preserve"> siguientes:</w:t>
      </w:r>
    </w:p>
    <w:p w14:paraId="2E8FF12D"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1D2B9B">
        <w:rPr>
          <w:rFonts w:ascii="Palatino Linotype" w:eastAsia="Palatino Linotype" w:hAnsi="Palatino Linotype" w:cs="Palatino Linotype"/>
          <w:i/>
          <w:sz w:val="22"/>
          <w:szCs w:val="22"/>
        </w:rPr>
        <w:t>, la cual tendrá los fundamentos y argumentos en que se basa dicha propuesta…”</w:t>
      </w:r>
    </w:p>
    <w:p w14:paraId="63242602"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CD312AF"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4880BC5C"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i/>
          <w:sz w:val="22"/>
          <w:szCs w:val="22"/>
        </w:rPr>
        <w:t>“</w:t>
      </w:r>
      <w:r w:rsidRPr="001D2B9B">
        <w:rPr>
          <w:rFonts w:ascii="Palatino Linotype" w:eastAsia="Palatino Linotype" w:hAnsi="Palatino Linotype" w:cs="Palatino Linotype"/>
          <w:b/>
          <w:i/>
          <w:sz w:val="22"/>
          <w:szCs w:val="22"/>
        </w:rPr>
        <w:t>Artículo 149.</w:t>
      </w:r>
      <w:r w:rsidRPr="001D2B9B">
        <w:rPr>
          <w:rFonts w:ascii="Palatino Linotype" w:eastAsia="Palatino Linotype" w:hAnsi="Palatino Linotype" w:cs="Palatino Linotype"/>
          <w:i/>
          <w:sz w:val="22"/>
          <w:szCs w:val="22"/>
        </w:rPr>
        <w:t xml:space="preserve"> El </w:t>
      </w:r>
      <w:r w:rsidRPr="001D2B9B">
        <w:rPr>
          <w:rFonts w:ascii="Palatino Linotype" w:eastAsia="Palatino Linotype" w:hAnsi="Palatino Linotype" w:cs="Palatino Linotype"/>
          <w:b/>
          <w:i/>
          <w:sz w:val="22"/>
          <w:szCs w:val="22"/>
        </w:rPr>
        <w:t>acuerdo que clasifique la información como confidencial</w:t>
      </w:r>
      <w:r w:rsidRPr="001D2B9B">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0DC6E7C5" w14:textId="77777777" w:rsidR="00E0130F" w:rsidRPr="001D2B9B" w:rsidRDefault="00AA79DC">
      <w:pPr>
        <w:spacing w:before="240" w:after="240" w:line="360" w:lineRule="auto"/>
        <w:ind w:right="51"/>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 xml:space="preserve">Es decir, el </w:t>
      </w:r>
      <w:r w:rsidRPr="001D2B9B">
        <w:rPr>
          <w:rFonts w:ascii="Palatino Linotype" w:eastAsia="Palatino Linotype" w:hAnsi="Palatino Linotype" w:cs="Palatino Linotype"/>
          <w:b/>
          <w:sz w:val="22"/>
          <w:szCs w:val="22"/>
        </w:rPr>
        <w:t>Sujeto Obligado</w:t>
      </w:r>
      <w:r w:rsidRPr="001D2B9B">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22B63BF2" w14:textId="77777777" w:rsidR="00E0130F" w:rsidRPr="001D2B9B" w:rsidRDefault="00AA79DC">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1D2B9B">
        <w:rPr>
          <w:rFonts w:ascii="Palatino Linotype" w:eastAsia="Palatino Linotype" w:hAnsi="Palatino Linotype" w:cs="Palatino Linotype"/>
          <w:b/>
          <w:sz w:val="22"/>
          <w:szCs w:val="22"/>
        </w:rPr>
        <w:t>Sujeto Obligado</w:t>
      </w:r>
      <w:r w:rsidRPr="001D2B9B">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4426826A"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 xml:space="preserve"> “Quincuagésimo. </w:t>
      </w:r>
      <w:r w:rsidRPr="001D2B9B">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1465EBA3" w14:textId="77777777" w:rsidR="00E0130F" w:rsidRPr="001D2B9B" w:rsidRDefault="00AA79D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 xml:space="preserve">Quincuagésimo primero. </w:t>
      </w:r>
      <w:r w:rsidRPr="001D2B9B">
        <w:rPr>
          <w:rFonts w:ascii="Palatino Linotype" w:eastAsia="Palatino Linotype" w:hAnsi="Palatino Linotype" w:cs="Palatino Linotype"/>
          <w:i/>
          <w:sz w:val="22"/>
          <w:szCs w:val="22"/>
        </w:rPr>
        <w:t xml:space="preserve">Toda acta del Comité de Transparencia deberá contener: </w:t>
      </w:r>
    </w:p>
    <w:p w14:paraId="250D7880" w14:textId="77777777" w:rsidR="00E0130F" w:rsidRPr="001D2B9B" w:rsidRDefault="00AA79D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I.</w:t>
      </w:r>
      <w:r w:rsidRPr="001D2B9B">
        <w:rPr>
          <w:rFonts w:ascii="Palatino Linotype" w:eastAsia="Palatino Linotype" w:hAnsi="Palatino Linotype" w:cs="Palatino Linotype"/>
          <w:i/>
          <w:sz w:val="22"/>
          <w:szCs w:val="22"/>
        </w:rPr>
        <w:t xml:space="preserve"> El número de sesión y fecha; </w:t>
      </w:r>
    </w:p>
    <w:p w14:paraId="10D48764" w14:textId="77777777" w:rsidR="00E0130F" w:rsidRPr="001D2B9B" w:rsidRDefault="00AA79D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II</w:t>
      </w:r>
      <w:r w:rsidRPr="001D2B9B">
        <w:rPr>
          <w:rFonts w:ascii="Palatino Linotype" w:eastAsia="Palatino Linotype" w:hAnsi="Palatino Linotype" w:cs="Palatino Linotype"/>
          <w:i/>
          <w:sz w:val="22"/>
          <w:szCs w:val="22"/>
        </w:rPr>
        <w:t xml:space="preserve">. El nombre del área que solicitó la clasificación de información; </w:t>
      </w:r>
    </w:p>
    <w:p w14:paraId="445AC658" w14:textId="77777777" w:rsidR="00E0130F" w:rsidRPr="001D2B9B" w:rsidRDefault="00AA79D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III</w:t>
      </w:r>
      <w:r w:rsidRPr="001D2B9B">
        <w:rPr>
          <w:rFonts w:ascii="Palatino Linotype" w:eastAsia="Palatino Linotype" w:hAnsi="Palatino Linotype" w:cs="Palatino Linotype"/>
          <w:i/>
          <w:sz w:val="22"/>
          <w:szCs w:val="22"/>
        </w:rPr>
        <w:t xml:space="preserve">. La fundamentación legal y motivación correspondiente; </w:t>
      </w:r>
    </w:p>
    <w:p w14:paraId="6977EE97" w14:textId="77777777" w:rsidR="00E0130F" w:rsidRPr="001D2B9B" w:rsidRDefault="00AA79D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IV</w:t>
      </w:r>
      <w:r w:rsidRPr="001D2B9B">
        <w:rPr>
          <w:rFonts w:ascii="Palatino Linotype" w:eastAsia="Palatino Linotype" w:hAnsi="Palatino Linotype" w:cs="Palatino Linotype"/>
          <w:i/>
          <w:sz w:val="22"/>
          <w:szCs w:val="22"/>
        </w:rPr>
        <w:t xml:space="preserve">. La resolución o resoluciones aprobadas; y </w:t>
      </w:r>
    </w:p>
    <w:p w14:paraId="390901C7" w14:textId="77777777" w:rsidR="00E0130F" w:rsidRPr="001D2B9B" w:rsidRDefault="00AA79D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V</w:t>
      </w:r>
      <w:r w:rsidRPr="001D2B9B">
        <w:rPr>
          <w:rFonts w:ascii="Palatino Linotype" w:eastAsia="Palatino Linotype" w:hAnsi="Palatino Linotype" w:cs="Palatino Linotype"/>
          <w:i/>
          <w:sz w:val="22"/>
          <w:szCs w:val="22"/>
        </w:rPr>
        <w:t xml:space="preserve">. La rúbrica o firma digital de cada integrante del Comité de Transparencia. </w:t>
      </w:r>
    </w:p>
    <w:p w14:paraId="299610DA" w14:textId="77777777" w:rsidR="00E0130F" w:rsidRPr="001D2B9B" w:rsidRDefault="00AA79D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7D1141B3" w14:textId="77777777" w:rsidR="00E0130F" w:rsidRPr="001D2B9B" w:rsidRDefault="00AA79D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I.</w:t>
      </w:r>
      <w:r w:rsidRPr="001D2B9B">
        <w:rPr>
          <w:rFonts w:ascii="Palatino Linotype" w:eastAsia="Palatino Linotype" w:hAnsi="Palatino Linotype" w:cs="Palatino Linotype"/>
          <w:i/>
          <w:sz w:val="22"/>
          <w:szCs w:val="22"/>
        </w:rPr>
        <w:t xml:space="preserve"> Los motivos y razonamientos que sustenten la confirmación o modificación de la prueba de daño;</w:t>
      </w:r>
    </w:p>
    <w:p w14:paraId="1A126D4F" w14:textId="77777777" w:rsidR="00E0130F" w:rsidRPr="001D2B9B" w:rsidRDefault="00AA79DC">
      <w:pPr>
        <w:pBdr>
          <w:top w:val="nil"/>
          <w:left w:val="nil"/>
          <w:bottom w:val="nil"/>
          <w:right w:val="nil"/>
          <w:between w:val="nil"/>
        </w:pBdr>
        <w:spacing w:before="120" w:after="120"/>
        <w:ind w:left="851" w:right="902"/>
        <w:jc w:val="both"/>
        <w:rPr>
          <w:rFonts w:ascii="Palatino Linotype" w:eastAsia="Palatino Linotype" w:hAnsi="Palatino Linotype" w:cs="Palatino Linotype"/>
          <w:b/>
          <w:i/>
          <w:sz w:val="22"/>
          <w:szCs w:val="22"/>
        </w:rPr>
      </w:pPr>
      <w:r w:rsidRPr="001D2B9B">
        <w:rPr>
          <w:rFonts w:ascii="Palatino Linotype" w:eastAsia="Palatino Linotype" w:hAnsi="Palatino Linotype" w:cs="Palatino Linotype"/>
          <w:b/>
          <w:i/>
          <w:sz w:val="22"/>
          <w:szCs w:val="22"/>
        </w:rPr>
        <w:t>II</w:t>
      </w:r>
      <w:r w:rsidRPr="001D2B9B">
        <w:rPr>
          <w:rFonts w:ascii="Palatino Linotype" w:eastAsia="Palatino Linotype" w:hAnsi="Palatino Linotype" w:cs="Palatino Linotype"/>
          <w:i/>
          <w:sz w:val="22"/>
          <w:szCs w:val="22"/>
        </w:rPr>
        <w:t>. Descripción de las partes o secciones reservadas, en caso de clasificación parcial</w:t>
      </w:r>
      <w:r w:rsidRPr="001D2B9B">
        <w:rPr>
          <w:rFonts w:ascii="Palatino Linotype" w:eastAsia="Palatino Linotype" w:hAnsi="Palatino Linotype" w:cs="Palatino Linotype"/>
          <w:b/>
          <w:i/>
          <w:sz w:val="22"/>
          <w:szCs w:val="22"/>
        </w:rPr>
        <w:t xml:space="preserve">; </w:t>
      </w:r>
    </w:p>
    <w:p w14:paraId="4FF83E26" w14:textId="77777777" w:rsidR="00E0130F" w:rsidRPr="001D2B9B" w:rsidRDefault="00AA79D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III.</w:t>
      </w:r>
      <w:r w:rsidRPr="001D2B9B">
        <w:rPr>
          <w:rFonts w:ascii="Palatino Linotype" w:eastAsia="Palatino Linotype" w:hAnsi="Palatino Linotype" w:cs="Palatino Linotype"/>
          <w:i/>
          <w:sz w:val="22"/>
          <w:szCs w:val="22"/>
        </w:rPr>
        <w:t xml:space="preserve"> El periodo por el que mantendrá su clasificación y fecha de expiración; y </w:t>
      </w:r>
    </w:p>
    <w:p w14:paraId="01751877" w14:textId="77777777" w:rsidR="00E0130F" w:rsidRPr="001D2B9B" w:rsidRDefault="00AA79D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IV.</w:t>
      </w:r>
      <w:r w:rsidRPr="001D2B9B">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04384CD9" w14:textId="77777777" w:rsidR="00E0130F" w:rsidRPr="001D2B9B" w:rsidRDefault="00AA79D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7EE8DC79" w14:textId="77777777" w:rsidR="00E0130F" w:rsidRPr="001D2B9B" w:rsidRDefault="00AA79D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465F09C5"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Asimismo, 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4706B63D" w14:textId="77777777" w:rsidR="00E0130F" w:rsidRPr="001D2B9B" w:rsidRDefault="00AA79DC">
      <w:pPr>
        <w:spacing w:before="120" w:after="120"/>
        <w:ind w:left="851" w:right="900"/>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i/>
          <w:sz w:val="22"/>
          <w:szCs w:val="22"/>
        </w:rPr>
        <w:t>“</w:t>
      </w:r>
      <w:r w:rsidRPr="001D2B9B">
        <w:rPr>
          <w:rFonts w:ascii="Palatino Linotype" w:eastAsia="Palatino Linotype" w:hAnsi="Palatino Linotype" w:cs="Palatino Linotype"/>
          <w:b/>
          <w:i/>
          <w:sz w:val="22"/>
          <w:szCs w:val="22"/>
        </w:rPr>
        <w:t>Quincuagésimo segundo</w:t>
      </w:r>
      <w:r w:rsidRPr="001D2B9B">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78A1CAC" w14:textId="77777777" w:rsidR="00E0130F" w:rsidRPr="001D2B9B" w:rsidRDefault="00AA79DC">
      <w:pPr>
        <w:spacing w:before="120" w:after="120"/>
        <w:ind w:left="851" w:right="900"/>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387ADC82" w14:textId="77777777" w:rsidR="00E0130F" w:rsidRPr="001D2B9B" w:rsidRDefault="00AA79DC">
      <w:pPr>
        <w:spacing w:before="120" w:after="120"/>
        <w:ind w:left="851" w:right="900"/>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I.</w:t>
      </w:r>
      <w:r w:rsidRPr="001D2B9B">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5C6A41E3" w14:textId="77777777" w:rsidR="00E0130F" w:rsidRPr="001D2B9B" w:rsidRDefault="00AA79DC">
      <w:pPr>
        <w:spacing w:before="120" w:after="120"/>
        <w:ind w:left="851" w:right="900"/>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II.</w:t>
      </w:r>
      <w:r w:rsidRPr="001D2B9B">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736E996C" w14:textId="77777777" w:rsidR="00E0130F" w:rsidRPr="001D2B9B" w:rsidRDefault="00AA79DC">
      <w:pPr>
        <w:spacing w:before="120" w:after="120"/>
        <w:ind w:left="851" w:right="900"/>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III.</w:t>
      </w:r>
      <w:r w:rsidRPr="001D2B9B">
        <w:rPr>
          <w:rFonts w:ascii="Palatino Linotype" w:eastAsia="Palatino Linotype" w:hAnsi="Palatino Linotype" w:cs="Palatino Linotype"/>
          <w:i/>
          <w:sz w:val="22"/>
          <w:szCs w:val="22"/>
        </w:rPr>
        <w:t xml:space="preserve"> Señalar las personas o instancias autorizadas a acceder a la información clasificada.</w:t>
      </w:r>
    </w:p>
    <w:p w14:paraId="7500BD04" w14:textId="77777777" w:rsidR="00E0130F" w:rsidRPr="001D2B9B" w:rsidRDefault="00AA79DC">
      <w:pPr>
        <w:spacing w:before="120" w:after="120"/>
        <w:ind w:left="851" w:right="900"/>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38603B2A" w14:textId="77777777" w:rsidR="00E0130F" w:rsidRPr="001D2B9B" w:rsidRDefault="00AA79DC">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i/>
          <w:sz w:val="22"/>
          <w:szCs w:val="22"/>
        </w:rPr>
        <w:t>…</w:t>
      </w:r>
    </w:p>
    <w:p w14:paraId="5ECA85B6" w14:textId="77777777" w:rsidR="00E0130F" w:rsidRPr="001D2B9B" w:rsidRDefault="00AA79DC">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1D2B9B">
        <w:rPr>
          <w:rFonts w:ascii="Palatino Linotype" w:eastAsia="Palatino Linotype" w:hAnsi="Palatino Linotype" w:cs="Palatino Linotype"/>
          <w:b/>
          <w:i/>
          <w:sz w:val="22"/>
          <w:szCs w:val="22"/>
        </w:rPr>
        <w:t xml:space="preserve">Quincuagésimo cuarto. </w:t>
      </w:r>
      <w:r w:rsidRPr="001D2B9B">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1D2B9B">
        <w:rPr>
          <w:rFonts w:ascii="Palatino Linotype" w:eastAsia="Palatino Linotype" w:hAnsi="Palatino Linotype" w:cs="Palatino Linotype"/>
          <w:b/>
          <w:i/>
          <w:sz w:val="22"/>
          <w:szCs w:val="22"/>
        </w:rPr>
        <w:t xml:space="preserve"> </w:t>
      </w:r>
    </w:p>
    <w:p w14:paraId="1A786D96"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 xml:space="preserve">Quincuagésimo quinto. </w:t>
      </w:r>
      <w:r w:rsidRPr="001D2B9B">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1D2B9B">
        <w:rPr>
          <w:rFonts w:ascii="Palatino Linotype" w:eastAsia="Palatino Linotype" w:hAnsi="Palatino Linotype" w:cs="Palatino Linotype"/>
          <w:i/>
          <w:sz w:val="22"/>
          <w:szCs w:val="22"/>
        </w:rPr>
        <w:t>testado</w:t>
      </w:r>
      <w:proofErr w:type="spellEnd"/>
      <w:r w:rsidRPr="001D2B9B">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1910DE80" w14:textId="77777777" w:rsidR="00E0130F" w:rsidRPr="001D2B9B" w:rsidRDefault="00AA79DC">
      <w:pPr>
        <w:spacing w:before="120" w:after="120"/>
        <w:ind w:left="851" w:right="902"/>
        <w:jc w:val="both"/>
        <w:rPr>
          <w:rFonts w:ascii="Palatino Linotype" w:eastAsia="Palatino Linotype" w:hAnsi="Palatino Linotype" w:cs="Palatino Linotype"/>
          <w:b/>
          <w:i/>
          <w:sz w:val="22"/>
          <w:szCs w:val="22"/>
        </w:rPr>
      </w:pPr>
      <w:r w:rsidRPr="001D2B9B">
        <w:rPr>
          <w:rFonts w:ascii="Palatino Linotype" w:eastAsia="Palatino Linotype" w:hAnsi="Palatino Linotype" w:cs="Palatino Linotype"/>
          <w:b/>
          <w:i/>
          <w:sz w:val="22"/>
          <w:szCs w:val="22"/>
        </w:rPr>
        <w:t>...</w:t>
      </w:r>
    </w:p>
    <w:p w14:paraId="37348128"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Quincuagésimo séptimo</w:t>
      </w:r>
      <w:r w:rsidRPr="001D2B9B">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744BBF42"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I</w:t>
      </w:r>
      <w:r w:rsidRPr="001D2B9B">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18F53E1E"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II.</w:t>
      </w:r>
      <w:r w:rsidRPr="001D2B9B">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135CB12F"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III</w:t>
      </w:r>
      <w:r w:rsidRPr="001D2B9B">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660618F6"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12F87AC0" w14:textId="77777777" w:rsidR="00E0130F" w:rsidRPr="001D2B9B" w:rsidRDefault="00AA79DC">
      <w:pPr>
        <w:spacing w:before="120" w:after="120"/>
        <w:ind w:left="851" w:right="902"/>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b/>
          <w:i/>
          <w:sz w:val="22"/>
          <w:szCs w:val="22"/>
        </w:rPr>
        <w:t>Quincuagésimo octavo</w:t>
      </w:r>
      <w:r w:rsidRPr="001D2B9B">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6189C202" w14:textId="6CBFDEE1" w:rsidR="00E0130F" w:rsidRPr="001D2B9B" w:rsidRDefault="00AA79DC">
      <w:pP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 xml:space="preserve">Así, con fundamento en lo prescrito en los artículos </w:t>
      </w:r>
      <w:r w:rsidR="001610E5" w:rsidRPr="001D2B9B">
        <w:rPr>
          <w:rFonts w:ascii="Palatino Linotype" w:eastAsia="Palatino Linotype" w:hAnsi="Palatino Linotype" w:cs="Palatino Linotype"/>
          <w:sz w:val="22"/>
          <w:szCs w:val="22"/>
        </w:rPr>
        <w:t>5 párrafos cuadragésimo cuarto, cuadragésimo quinto y cuadragésimo sexto, fracciones IV y V de la Constitución Política del Estado Libre y Soberano de México; transitorio Cuarto del Decreto número 198 de la “LXII” Legislatura del Estado de México</w:t>
      </w:r>
      <w:r w:rsidRPr="001D2B9B">
        <w:rPr>
          <w:rFonts w:ascii="Palatino Linotype" w:eastAsia="Palatino Linotype" w:hAnsi="Palatino Linotype" w:cs="Palatino Linotype"/>
          <w:sz w:val="22"/>
          <w:szCs w:val="22"/>
        </w:rPr>
        <w:t>; 2, fracción II; 29, 36 fracciones I y II; 176, 178, 181, 185 y 186 fracción II de la Ley de Transparencia y Acceso a la Información Pública del Estado de México y Municipios, este Pleno:</w:t>
      </w:r>
    </w:p>
    <w:p w14:paraId="7CE4B1A5" w14:textId="77777777" w:rsidR="00E0130F" w:rsidRPr="001D2B9B" w:rsidRDefault="00AA79DC">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1D2B9B">
        <w:rPr>
          <w:rFonts w:ascii="Palatino Linotype" w:eastAsia="Palatino Linotype" w:hAnsi="Palatino Linotype" w:cs="Palatino Linotype"/>
          <w:b/>
          <w:sz w:val="22"/>
          <w:szCs w:val="22"/>
        </w:rPr>
        <w:t>III. R E S U E L V E</w:t>
      </w:r>
    </w:p>
    <w:p w14:paraId="6C800EDC"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bookmarkStart w:id="11" w:name="_heading=h.1t3h5sf" w:colFirst="0" w:colLast="0"/>
      <w:bookmarkEnd w:id="11"/>
      <w:r w:rsidRPr="001D2B9B">
        <w:rPr>
          <w:rFonts w:ascii="Palatino Linotype" w:eastAsia="Palatino Linotype" w:hAnsi="Palatino Linotype" w:cs="Palatino Linotype"/>
          <w:b/>
          <w:sz w:val="22"/>
          <w:szCs w:val="22"/>
        </w:rPr>
        <w:t xml:space="preserve">Primero. </w:t>
      </w:r>
      <w:r w:rsidRPr="001D2B9B">
        <w:rPr>
          <w:rFonts w:ascii="Palatino Linotype" w:eastAsia="Palatino Linotype" w:hAnsi="Palatino Linotype" w:cs="Palatino Linotype"/>
          <w:sz w:val="22"/>
          <w:szCs w:val="22"/>
        </w:rPr>
        <w:t>Resultan</w:t>
      </w:r>
      <w:r w:rsidRPr="001D2B9B">
        <w:rPr>
          <w:rFonts w:ascii="Palatino Linotype" w:eastAsia="Palatino Linotype" w:hAnsi="Palatino Linotype" w:cs="Palatino Linotype"/>
          <w:b/>
          <w:sz w:val="22"/>
          <w:szCs w:val="22"/>
        </w:rPr>
        <w:t xml:space="preserve"> fundadas</w:t>
      </w:r>
      <w:r w:rsidRPr="001D2B9B">
        <w:rPr>
          <w:rFonts w:ascii="Palatino Linotype" w:eastAsia="Palatino Linotype" w:hAnsi="Palatino Linotype" w:cs="Palatino Linotype"/>
          <w:sz w:val="22"/>
          <w:szCs w:val="22"/>
        </w:rPr>
        <w:t xml:space="preserve"> las razones o motivos de inconformidad hechos valer por la parte</w:t>
      </w:r>
      <w:r w:rsidRPr="001D2B9B">
        <w:rPr>
          <w:rFonts w:ascii="Palatino Linotype" w:eastAsia="Palatino Linotype" w:hAnsi="Palatino Linotype" w:cs="Palatino Linotype"/>
          <w:b/>
          <w:sz w:val="22"/>
          <w:szCs w:val="22"/>
        </w:rPr>
        <w:t xml:space="preserve"> Recurrente</w:t>
      </w:r>
      <w:r w:rsidRPr="001D2B9B">
        <w:rPr>
          <w:rFonts w:ascii="Palatino Linotype" w:eastAsia="Palatino Linotype" w:hAnsi="Palatino Linotype" w:cs="Palatino Linotype"/>
          <w:sz w:val="22"/>
          <w:szCs w:val="22"/>
        </w:rPr>
        <w:t xml:space="preserve"> en el recurso de revisión </w:t>
      </w:r>
      <w:r w:rsidRPr="001D2B9B">
        <w:rPr>
          <w:rFonts w:ascii="Palatino Linotype" w:eastAsia="Palatino Linotype" w:hAnsi="Palatino Linotype" w:cs="Palatino Linotype"/>
          <w:b/>
          <w:sz w:val="22"/>
          <w:szCs w:val="22"/>
        </w:rPr>
        <w:t>08579/INFOEM/IP/RR/2025</w:t>
      </w:r>
      <w:r w:rsidRPr="001D2B9B">
        <w:rPr>
          <w:rFonts w:ascii="Palatino Linotype" w:eastAsia="Palatino Linotype" w:hAnsi="Palatino Linotype" w:cs="Palatino Linotype"/>
          <w:sz w:val="22"/>
          <w:szCs w:val="22"/>
        </w:rPr>
        <w:t xml:space="preserve">; por lo que, en términos del </w:t>
      </w:r>
      <w:r w:rsidRPr="001D2B9B">
        <w:rPr>
          <w:rFonts w:ascii="Palatino Linotype" w:eastAsia="Palatino Linotype" w:hAnsi="Palatino Linotype" w:cs="Palatino Linotype"/>
          <w:b/>
          <w:sz w:val="22"/>
          <w:szCs w:val="22"/>
        </w:rPr>
        <w:t>Considerando</w:t>
      </w:r>
      <w:r w:rsidRPr="001D2B9B">
        <w:rPr>
          <w:rFonts w:ascii="Palatino Linotype" w:eastAsia="Palatino Linotype" w:hAnsi="Palatino Linotype" w:cs="Palatino Linotype"/>
          <w:sz w:val="22"/>
          <w:szCs w:val="22"/>
        </w:rPr>
        <w:t xml:space="preserve"> </w:t>
      </w:r>
      <w:r w:rsidRPr="001D2B9B">
        <w:rPr>
          <w:rFonts w:ascii="Palatino Linotype" w:eastAsia="Palatino Linotype" w:hAnsi="Palatino Linotype" w:cs="Palatino Linotype"/>
          <w:b/>
          <w:sz w:val="22"/>
          <w:szCs w:val="22"/>
        </w:rPr>
        <w:t xml:space="preserve">Cuarto </w:t>
      </w:r>
      <w:r w:rsidRPr="001D2B9B">
        <w:rPr>
          <w:rFonts w:ascii="Palatino Linotype" w:eastAsia="Palatino Linotype" w:hAnsi="Palatino Linotype" w:cs="Palatino Linotype"/>
          <w:sz w:val="22"/>
          <w:szCs w:val="22"/>
        </w:rPr>
        <w:t xml:space="preserve">de esta resolución, se </w:t>
      </w:r>
      <w:r w:rsidRPr="001D2B9B">
        <w:rPr>
          <w:rFonts w:ascii="Palatino Linotype" w:eastAsia="Palatino Linotype" w:hAnsi="Palatino Linotype" w:cs="Palatino Linotype"/>
          <w:b/>
          <w:sz w:val="22"/>
          <w:szCs w:val="22"/>
        </w:rPr>
        <w:t>Revoca</w:t>
      </w:r>
      <w:r w:rsidRPr="001D2B9B">
        <w:rPr>
          <w:rFonts w:ascii="Palatino Linotype" w:eastAsia="Palatino Linotype" w:hAnsi="Palatino Linotype" w:cs="Palatino Linotype"/>
          <w:sz w:val="22"/>
          <w:szCs w:val="22"/>
        </w:rPr>
        <w:t xml:space="preserve"> la respuesta emitida por el </w:t>
      </w:r>
      <w:r w:rsidRPr="001D2B9B">
        <w:rPr>
          <w:rFonts w:ascii="Palatino Linotype" w:eastAsia="Palatino Linotype" w:hAnsi="Palatino Linotype" w:cs="Palatino Linotype"/>
          <w:b/>
          <w:sz w:val="22"/>
          <w:szCs w:val="22"/>
        </w:rPr>
        <w:t xml:space="preserve">Sujeto Obligado. </w:t>
      </w:r>
    </w:p>
    <w:p w14:paraId="07C6FAF2" w14:textId="77777777" w:rsidR="00E0130F" w:rsidRPr="001D2B9B" w:rsidRDefault="00AA79DC">
      <w:pPr>
        <w:spacing w:before="240" w:after="240" w:line="360" w:lineRule="auto"/>
        <w:ind w:right="49"/>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b/>
          <w:sz w:val="22"/>
          <w:szCs w:val="22"/>
        </w:rPr>
        <w:t xml:space="preserve">Segundo. </w:t>
      </w:r>
      <w:r w:rsidRPr="001D2B9B">
        <w:rPr>
          <w:rFonts w:ascii="Palatino Linotype" w:eastAsia="Palatino Linotype" w:hAnsi="Palatino Linotype" w:cs="Palatino Linotype"/>
          <w:sz w:val="22"/>
          <w:szCs w:val="22"/>
        </w:rPr>
        <w:t xml:space="preserve">Se </w:t>
      </w:r>
      <w:r w:rsidRPr="001D2B9B">
        <w:rPr>
          <w:rFonts w:ascii="Palatino Linotype" w:eastAsia="Palatino Linotype" w:hAnsi="Palatino Linotype" w:cs="Palatino Linotype"/>
          <w:b/>
          <w:sz w:val="22"/>
          <w:szCs w:val="22"/>
        </w:rPr>
        <w:t xml:space="preserve">Ordena </w:t>
      </w:r>
      <w:r w:rsidRPr="001D2B9B">
        <w:rPr>
          <w:rFonts w:ascii="Palatino Linotype" w:eastAsia="Palatino Linotype" w:hAnsi="Palatino Linotype" w:cs="Palatino Linotype"/>
          <w:sz w:val="22"/>
          <w:szCs w:val="22"/>
        </w:rPr>
        <w:t xml:space="preserve">al </w:t>
      </w:r>
      <w:r w:rsidRPr="001D2B9B">
        <w:rPr>
          <w:rFonts w:ascii="Palatino Linotype" w:eastAsia="Palatino Linotype" w:hAnsi="Palatino Linotype" w:cs="Palatino Linotype"/>
          <w:b/>
          <w:sz w:val="22"/>
          <w:szCs w:val="22"/>
        </w:rPr>
        <w:t xml:space="preserve">Sujeto Obligado, </w:t>
      </w:r>
      <w:r w:rsidRPr="001D2B9B">
        <w:rPr>
          <w:rFonts w:ascii="Palatino Linotype" w:eastAsia="Palatino Linotype" w:hAnsi="Palatino Linotype" w:cs="Palatino Linotype"/>
          <w:sz w:val="22"/>
          <w:szCs w:val="22"/>
        </w:rPr>
        <w:t xml:space="preserve">en términos de los </w:t>
      </w:r>
      <w:r w:rsidRPr="001D2B9B">
        <w:rPr>
          <w:rFonts w:ascii="Palatino Linotype" w:eastAsia="Palatino Linotype" w:hAnsi="Palatino Linotype" w:cs="Palatino Linotype"/>
          <w:b/>
          <w:sz w:val="22"/>
          <w:szCs w:val="22"/>
        </w:rPr>
        <w:t>Considerandos</w:t>
      </w:r>
      <w:r w:rsidRPr="001D2B9B">
        <w:rPr>
          <w:rFonts w:ascii="Palatino Linotype" w:eastAsia="Palatino Linotype" w:hAnsi="Palatino Linotype" w:cs="Palatino Linotype"/>
          <w:sz w:val="22"/>
          <w:szCs w:val="22"/>
        </w:rPr>
        <w:t xml:space="preserve"> </w:t>
      </w:r>
      <w:r w:rsidRPr="001D2B9B">
        <w:rPr>
          <w:rFonts w:ascii="Palatino Linotype" w:eastAsia="Palatino Linotype" w:hAnsi="Palatino Linotype" w:cs="Palatino Linotype"/>
          <w:b/>
          <w:sz w:val="22"/>
          <w:szCs w:val="22"/>
        </w:rPr>
        <w:t xml:space="preserve">Cuarto </w:t>
      </w:r>
      <w:r w:rsidRPr="001D2B9B">
        <w:rPr>
          <w:rFonts w:ascii="Palatino Linotype" w:eastAsia="Palatino Linotype" w:hAnsi="Palatino Linotype" w:cs="Palatino Linotype"/>
          <w:sz w:val="22"/>
          <w:szCs w:val="22"/>
        </w:rPr>
        <w:t xml:space="preserve">y </w:t>
      </w:r>
      <w:r w:rsidRPr="001D2B9B">
        <w:rPr>
          <w:rFonts w:ascii="Palatino Linotype" w:eastAsia="Palatino Linotype" w:hAnsi="Palatino Linotype" w:cs="Palatino Linotype"/>
          <w:b/>
          <w:sz w:val="22"/>
          <w:szCs w:val="22"/>
        </w:rPr>
        <w:t>Quinto</w:t>
      </w:r>
      <w:r w:rsidRPr="001D2B9B">
        <w:rPr>
          <w:rFonts w:ascii="Palatino Linotype" w:eastAsia="Palatino Linotype" w:hAnsi="Palatino Linotype" w:cs="Palatino Linotype"/>
          <w:sz w:val="22"/>
          <w:szCs w:val="22"/>
        </w:rPr>
        <w:t xml:space="preserve"> de esta resolución, haga entrega, vía </w:t>
      </w:r>
      <w:r w:rsidRPr="001D2B9B">
        <w:rPr>
          <w:rFonts w:ascii="Palatino Linotype" w:eastAsia="Palatino Linotype" w:hAnsi="Palatino Linotype" w:cs="Palatino Linotype"/>
          <w:b/>
          <w:sz w:val="22"/>
          <w:szCs w:val="22"/>
        </w:rPr>
        <w:t>SAIMEX</w:t>
      </w:r>
      <w:r w:rsidRPr="001D2B9B">
        <w:rPr>
          <w:rFonts w:ascii="Palatino Linotype" w:eastAsia="Palatino Linotype" w:hAnsi="Palatino Linotype" w:cs="Palatino Linotype"/>
          <w:sz w:val="22"/>
          <w:szCs w:val="22"/>
        </w:rPr>
        <w:t>, previa búsqueda exhaustiva y razonable, en versión pública de ser procedente, de lo siguiente:</w:t>
      </w:r>
    </w:p>
    <w:p w14:paraId="7795D47A" w14:textId="77777777" w:rsidR="00E0130F" w:rsidRPr="001D2B9B" w:rsidRDefault="00AA79DC">
      <w:pPr>
        <w:spacing w:line="360" w:lineRule="auto"/>
        <w:ind w:left="284"/>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1. Última verificación vehicular realizada al veintitrés de junio de dos mil veinticinco, a las patrullas municipales que integran el parque vehicular.</w:t>
      </w:r>
    </w:p>
    <w:p w14:paraId="4A053FDC" w14:textId="77777777" w:rsidR="00E0130F" w:rsidRPr="001D2B9B" w:rsidRDefault="00AA79DC">
      <w:pPr>
        <w:spacing w:before="120" w:after="120"/>
        <w:ind w:left="284" w:right="49"/>
        <w:jc w:val="both"/>
        <w:rPr>
          <w:rFonts w:ascii="Palatino Linotype" w:eastAsia="Palatino Linotype" w:hAnsi="Palatino Linotype" w:cs="Palatino Linotype"/>
          <w:i/>
          <w:sz w:val="20"/>
          <w:szCs w:val="20"/>
        </w:rPr>
      </w:pPr>
      <w:bookmarkStart w:id="12" w:name="_heading=h.1fob9te" w:colFirst="0" w:colLast="0"/>
      <w:bookmarkEnd w:id="12"/>
      <w:r w:rsidRPr="001D2B9B">
        <w:rPr>
          <w:rFonts w:ascii="Palatino Linotype" w:eastAsia="Palatino Linotype" w:hAnsi="Palatino Linotype" w:cs="Palatino Linotype"/>
          <w:i/>
          <w:sz w:val="20"/>
          <w:szCs w:val="20"/>
        </w:rPr>
        <w:t>De ser necesaria la versión pública, se deberán proporcionar junto con el Acuerdo de Clasificación donde el Comité de Transparencia, confirme la eliminación de los datos clasificados como confidenciales, de conformidad con los artículos 49, fracciones II y VIII, 132, fracción II, 143, fracción I y 149 de la Ley de Transparencia y Acceso a la Información Pública del Estado de México y Municipios.</w:t>
      </w:r>
    </w:p>
    <w:p w14:paraId="466FB85B" w14:textId="77777777" w:rsidR="00E0130F" w:rsidRPr="001D2B9B" w:rsidRDefault="00AA79DC">
      <w:pPr>
        <w:spacing w:before="240" w:after="240"/>
        <w:ind w:left="284" w:right="51"/>
        <w:jc w:val="both"/>
        <w:rPr>
          <w:rFonts w:ascii="Palatino Linotype" w:eastAsia="Palatino Linotype" w:hAnsi="Palatino Linotype" w:cs="Palatino Linotype"/>
          <w:i/>
          <w:sz w:val="22"/>
          <w:szCs w:val="22"/>
        </w:rPr>
      </w:pPr>
      <w:r w:rsidRPr="001D2B9B">
        <w:rPr>
          <w:rFonts w:ascii="Palatino Linotype" w:eastAsia="Palatino Linotype" w:hAnsi="Palatino Linotype" w:cs="Palatino Linotype"/>
          <w:i/>
          <w:sz w:val="22"/>
          <w:szCs w:val="22"/>
        </w:rPr>
        <w:t xml:space="preserve">Para el caso de que el </w:t>
      </w:r>
      <w:r w:rsidRPr="001D2B9B">
        <w:rPr>
          <w:rFonts w:ascii="Palatino Linotype" w:eastAsia="Palatino Linotype" w:hAnsi="Palatino Linotype" w:cs="Palatino Linotype"/>
          <w:b/>
          <w:i/>
          <w:sz w:val="22"/>
          <w:szCs w:val="22"/>
        </w:rPr>
        <w:t>Sujeto Obligado</w:t>
      </w:r>
      <w:r w:rsidRPr="001D2B9B">
        <w:rPr>
          <w:rFonts w:ascii="Palatino Linotype" w:eastAsia="Palatino Linotype" w:hAnsi="Palatino Linotype" w:cs="Palatino Linotype"/>
          <w:i/>
          <w:sz w:val="22"/>
          <w:szCs w:val="22"/>
        </w:rPr>
        <w:t xml:space="preserve"> no cuente con la información ordenada deberá emitir el Acuerdo de Inexistencia, en términos de los artículos 169 y 170 de la Ley de Transparencia y Acceso a la Información Pública del Estado de México y Municipios.</w:t>
      </w:r>
    </w:p>
    <w:p w14:paraId="4700684E"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b/>
          <w:sz w:val="22"/>
          <w:szCs w:val="22"/>
        </w:rPr>
        <w:t xml:space="preserve">Tercero. Notifíquese, </w:t>
      </w:r>
      <w:r w:rsidRPr="001D2B9B">
        <w:rPr>
          <w:rFonts w:ascii="Palatino Linotype" w:eastAsia="Palatino Linotype" w:hAnsi="Palatino Linotype" w:cs="Palatino Linotype"/>
          <w:sz w:val="22"/>
          <w:szCs w:val="22"/>
        </w:rPr>
        <w:t xml:space="preserve">vía </w:t>
      </w:r>
      <w:r w:rsidRPr="001D2B9B">
        <w:rPr>
          <w:rFonts w:ascii="Palatino Linotype" w:eastAsia="Palatino Linotype" w:hAnsi="Palatino Linotype" w:cs="Palatino Linotype"/>
          <w:b/>
          <w:sz w:val="22"/>
          <w:szCs w:val="22"/>
        </w:rPr>
        <w:t>SAIMEX</w:t>
      </w:r>
      <w:r w:rsidRPr="001D2B9B">
        <w:rPr>
          <w:rFonts w:ascii="Palatino Linotype" w:eastAsia="Palatino Linotype" w:hAnsi="Palatino Linotype" w:cs="Palatino Linotype"/>
          <w:sz w:val="22"/>
          <w:szCs w:val="22"/>
        </w:rPr>
        <w:t xml:space="preserve">, al Titular de la Unidad de Transparencia del </w:t>
      </w:r>
      <w:r w:rsidRPr="001D2B9B">
        <w:rPr>
          <w:rFonts w:ascii="Palatino Linotype" w:eastAsia="Palatino Linotype" w:hAnsi="Palatino Linotype" w:cs="Palatino Linotype"/>
          <w:b/>
          <w:sz w:val="22"/>
          <w:szCs w:val="22"/>
        </w:rPr>
        <w:t>Sujeto Obligado,</w:t>
      </w:r>
      <w:r w:rsidRPr="001D2B9B">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5AE4BBA"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r w:rsidRPr="001D2B9B">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1D2B9B">
        <w:rPr>
          <w:rFonts w:ascii="Palatino Linotype" w:eastAsia="Palatino Linotype" w:hAnsi="Palatino Linotype" w:cs="Palatino Linotype"/>
          <w:b/>
          <w:sz w:val="22"/>
          <w:szCs w:val="22"/>
        </w:rPr>
        <w:t>Sujeto Obligado</w:t>
      </w:r>
      <w:r w:rsidRPr="001D2B9B">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3A9C2524" w14:textId="77777777" w:rsidR="00E0130F" w:rsidRPr="001D2B9B" w:rsidRDefault="00AA79DC">
      <w:pPr>
        <w:spacing w:before="240" w:after="240" w:line="360" w:lineRule="auto"/>
        <w:jc w:val="both"/>
        <w:rPr>
          <w:rFonts w:ascii="Palatino Linotype" w:eastAsia="Palatino Linotype" w:hAnsi="Palatino Linotype" w:cs="Palatino Linotype"/>
          <w:sz w:val="22"/>
          <w:szCs w:val="22"/>
        </w:rPr>
      </w:pPr>
      <w:bookmarkStart w:id="13" w:name="_heading=h.ot3qq6vxa08f" w:colFirst="0" w:colLast="0"/>
      <w:bookmarkEnd w:id="13"/>
      <w:r w:rsidRPr="001D2B9B">
        <w:rPr>
          <w:rFonts w:ascii="Palatino Linotype" w:eastAsia="Palatino Linotype" w:hAnsi="Palatino Linotype" w:cs="Palatino Linotype"/>
          <w:b/>
          <w:sz w:val="22"/>
          <w:szCs w:val="22"/>
        </w:rPr>
        <w:t xml:space="preserve">Cuarto.  Notifíquese, </w:t>
      </w:r>
      <w:r w:rsidRPr="001D2B9B">
        <w:rPr>
          <w:rFonts w:ascii="Palatino Linotype" w:eastAsia="Palatino Linotype" w:hAnsi="Palatino Linotype" w:cs="Palatino Linotype"/>
          <w:sz w:val="22"/>
          <w:szCs w:val="22"/>
        </w:rPr>
        <w:t xml:space="preserve">vía </w:t>
      </w:r>
      <w:r w:rsidRPr="001D2B9B">
        <w:rPr>
          <w:rFonts w:ascii="Palatino Linotype" w:eastAsia="Palatino Linotype" w:hAnsi="Palatino Linotype" w:cs="Palatino Linotype"/>
          <w:b/>
          <w:sz w:val="22"/>
          <w:szCs w:val="22"/>
        </w:rPr>
        <w:t>SAIMEX</w:t>
      </w:r>
      <w:r w:rsidRPr="001D2B9B">
        <w:rPr>
          <w:rFonts w:ascii="Palatino Linotype" w:eastAsia="Palatino Linotype" w:hAnsi="Palatino Linotype" w:cs="Palatino Linotype"/>
          <w:sz w:val="22"/>
          <w:szCs w:val="22"/>
        </w:rPr>
        <w:t xml:space="preserve"> a la parte </w:t>
      </w:r>
      <w:r w:rsidRPr="001D2B9B">
        <w:rPr>
          <w:rFonts w:ascii="Palatino Linotype" w:eastAsia="Palatino Linotype" w:hAnsi="Palatino Linotype" w:cs="Palatino Linotype"/>
          <w:b/>
          <w:sz w:val="22"/>
          <w:szCs w:val="22"/>
        </w:rPr>
        <w:t>Recurrente</w:t>
      </w:r>
      <w:r w:rsidRPr="001D2B9B">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1349B89D" w14:textId="1A3D35D5" w:rsidR="00E0130F" w:rsidRPr="00481476" w:rsidRDefault="00AA79DC">
      <w:pPr>
        <w:tabs>
          <w:tab w:val="left" w:pos="8647"/>
        </w:tabs>
        <w:spacing w:before="240" w:after="240" w:line="360" w:lineRule="auto"/>
        <w:ind w:right="51"/>
        <w:jc w:val="both"/>
        <w:rPr>
          <w:rFonts w:ascii="Palatino Linotype" w:eastAsia="Palatino Linotype" w:hAnsi="Palatino Linotype" w:cs="Palatino Linotype"/>
          <w:sz w:val="22"/>
          <w:szCs w:val="22"/>
        </w:rPr>
      </w:pPr>
      <w:bookmarkStart w:id="14" w:name="_heading=h.lnxbz9" w:colFirst="0" w:colLast="0"/>
      <w:bookmarkEnd w:id="14"/>
      <w:r w:rsidRPr="001D2B9B">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1610E5" w:rsidRPr="001D2B9B">
        <w:rPr>
          <w:rFonts w:ascii="Palatino Linotype" w:eastAsia="Palatino Linotype" w:hAnsi="Palatino Linotype" w:cs="Palatino Linotype"/>
          <w:sz w:val="22"/>
          <w:szCs w:val="22"/>
        </w:rPr>
        <w:t xml:space="preserve"> (AUSENCIA JUSTIFICADA)</w:t>
      </w:r>
      <w:r w:rsidRPr="001D2B9B">
        <w:rPr>
          <w:rFonts w:ascii="Palatino Linotype" w:eastAsia="Palatino Linotype" w:hAnsi="Palatino Linotype" w:cs="Palatino Linotype"/>
          <w:sz w:val="22"/>
          <w:szCs w:val="22"/>
        </w:rPr>
        <w:t>, SHARON CRISTINA MORALES MARTÍNEZ, LUIS GUSTAVO PARRA NORIEGA, Y GUADALUPE RAMÍREZ PEÑA</w:t>
      </w:r>
      <w:r w:rsidR="0064192F" w:rsidRPr="001D2B9B">
        <w:rPr>
          <w:rFonts w:ascii="Palatino Linotype" w:eastAsia="Palatino Linotype" w:hAnsi="Palatino Linotype" w:cs="Palatino Linotype"/>
          <w:sz w:val="22"/>
          <w:szCs w:val="22"/>
        </w:rPr>
        <w:t>, EMITIENDO VOTO PARTICULAR</w:t>
      </w:r>
      <w:r w:rsidRPr="001D2B9B">
        <w:rPr>
          <w:rFonts w:ascii="Palatino Linotype" w:eastAsia="Palatino Linotype" w:hAnsi="Palatino Linotype" w:cs="Palatino Linotype"/>
          <w:sz w:val="22"/>
          <w:szCs w:val="22"/>
        </w:rPr>
        <w:t>, EN LA TRIGÉSIMA NOVENA SESIÓN ORDINARIA CELEBRADA EL CINCO DE NOVIEMBRE DE DOS MIL VEINTICINCO, ANTE EL SECRETARIO TÉCNICO DEL PLENO ALEXIS TAPIA RAMÍREZ.</w:t>
      </w:r>
    </w:p>
    <w:p w14:paraId="47DF873A" w14:textId="77777777" w:rsidR="00E0130F" w:rsidRPr="00481476" w:rsidRDefault="00E0130F">
      <w:pPr>
        <w:spacing w:line="360" w:lineRule="auto"/>
        <w:jc w:val="both"/>
        <w:rPr>
          <w:rFonts w:ascii="Palatino Linotype" w:eastAsia="Palatino Linotype" w:hAnsi="Palatino Linotype" w:cs="Palatino Linotype"/>
          <w:sz w:val="22"/>
          <w:szCs w:val="22"/>
        </w:rPr>
      </w:pPr>
    </w:p>
    <w:p w14:paraId="65539BFA" w14:textId="77777777" w:rsidR="00E0130F" w:rsidRPr="00481476" w:rsidRDefault="00E0130F">
      <w:pPr>
        <w:spacing w:line="360" w:lineRule="auto"/>
        <w:jc w:val="both"/>
        <w:rPr>
          <w:rFonts w:ascii="Palatino Linotype" w:eastAsia="Palatino Linotype" w:hAnsi="Palatino Linotype" w:cs="Palatino Linotype"/>
          <w:sz w:val="22"/>
          <w:szCs w:val="22"/>
        </w:rPr>
      </w:pPr>
    </w:p>
    <w:p w14:paraId="5393B2D7" w14:textId="77777777" w:rsidR="00E0130F" w:rsidRPr="00481476" w:rsidRDefault="00E0130F">
      <w:pPr>
        <w:spacing w:line="360" w:lineRule="auto"/>
        <w:jc w:val="both"/>
        <w:rPr>
          <w:rFonts w:ascii="Palatino Linotype" w:eastAsia="Palatino Linotype" w:hAnsi="Palatino Linotype" w:cs="Palatino Linotype"/>
          <w:sz w:val="22"/>
          <w:szCs w:val="22"/>
        </w:rPr>
      </w:pPr>
    </w:p>
    <w:p w14:paraId="6440C6F5" w14:textId="77777777" w:rsidR="00E0130F" w:rsidRPr="00481476" w:rsidRDefault="00E0130F">
      <w:pPr>
        <w:spacing w:line="360" w:lineRule="auto"/>
        <w:jc w:val="both"/>
        <w:rPr>
          <w:rFonts w:ascii="Palatino Linotype" w:eastAsia="Palatino Linotype" w:hAnsi="Palatino Linotype" w:cs="Palatino Linotype"/>
          <w:sz w:val="22"/>
          <w:szCs w:val="22"/>
        </w:rPr>
      </w:pPr>
    </w:p>
    <w:p w14:paraId="241D9194" w14:textId="77777777" w:rsidR="00E0130F" w:rsidRPr="00481476" w:rsidRDefault="00E0130F">
      <w:pPr>
        <w:spacing w:line="360" w:lineRule="auto"/>
        <w:jc w:val="both"/>
        <w:rPr>
          <w:rFonts w:ascii="Palatino Linotype" w:eastAsia="Palatino Linotype" w:hAnsi="Palatino Linotype" w:cs="Palatino Linotype"/>
          <w:sz w:val="22"/>
          <w:szCs w:val="22"/>
        </w:rPr>
      </w:pPr>
    </w:p>
    <w:p w14:paraId="1D6695D0" w14:textId="77777777" w:rsidR="00E0130F" w:rsidRPr="00481476" w:rsidRDefault="00E0130F">
      <w:pPr>
        <w:spacing w:line="360" w:lineRule="auto"/>
        <w:jc w:val="both"/>
        <w:rPr>
          <w:rFonts w:ascii="Palatino Linotype" w:eastAsia="Palatino Linotype" w:hAnsi="Palatino Linotype" w:cs="Palatino Linotype"/>
          <w:sz w:val="22"/>
          <w:szCs w:val="22"/>
        </w:rPr>
      </w:pPr>
    </w:p>
    <w:p w14:paraId="038E0523" w14:textId="77777777" w:rsidR="00E0130F" w:rsidRPr="00481476" w:rsidRDefault="00E0130F">
      <w:pPr>
        <w:spacing w:line="360" w:lineRule="auto"/>
        <w:jc w:val="both"/>
        <w:rPr>
          <w:rFonts w:ascii="Palatino Linotype" w:eastAsia="Palatino Linotype" w:hAnsi="Palatino Linotype" w:cs="Palatino Linotype"/>
          <w:sz w:val="22"/>
          <w:szCs w:val="22"/>
        </w:rPr>
      </w:pPr>
    </w:p>
    <w:p w14:paraId="7A67C882" w14:textId="77777777" w:rsidR="00E0130F" w:rsidRPr="00481476" w:rsidRDefault="00E0130F">
      <w:pPr>
        <w:spacing w:line="360" w:lineRule="auto"/>
        <w:jc w:val="both"/>
        <w:rPr>
          <w:rFonts w:ascii="Palatino Linotype" w:eastAsia="Palatino Linotype" w:hAnsi="Palatino Linotype" w:cs="Palatino Linotype"/>
          <w:sz w:val="22"/>
          <w:szCs w:val="22"/>
        </w:rPr>
      </w:pPr>
    </w:p>
    <w:p w14:paraId="7A84174A" w14:textId="77777777" w:rsidR="00E0130F" w:rsidRPr="00481476" w:rsidRDefault="00E0130F">
      <w:pPr>
        <w:spacing w:line="360" w:lineRule="auto"/>
        <w:jc w:val="both"/>
        <w:rPr>
          <w:rFonts w:ascii="Palatino Linotype" w:eastAsia="Palatino Linotype" w:hAnsi="Palatino Linotype" w:cs="Palatino Linotype"/>
          <w:sz w:val="22"/>
          <w:szCs w:val="22"/>
        </w:rPr>
      </w:pPr>
    </w:p>
    <w:p w14:paraId="387E59A9" w14:textId="77777777" w:rsidR="00E0130F" w:rsidRPr="00481476" w:rsidRDefault="00E0130F">
      <w:pPr>
        <w:spacing w:line="360" w:lineRule="auto"/>
        <w:jc w:val="both"/>
        <w:rPr>
          <w:rFonts w:ascii="Palatino Linotype" w:eastAsia="Palatino Linotype" w:hAnsi="Palatino Linotype" w:cs="Palatino Linotype"/>
          <w:sz w:val="22"/>
          <w:szCs w:val="22"/>
        </w:rPr>
      </w:pPr>
    </w:p>
    <w:p w14:paraId="624271E6" w14:textId="77777777" w:rsidR="00E0130F" w:rsidRPr="00481476" w:rsidRDefault="00E0130F">
      <w:pPr>
        <w:spacing w:line="360" w:lineRule="auto"/>
        <w:jc w:val="both"/>
        <w:rPr>
          <w:rFonts w:ascii="Palatino Linotype" w:eastAsia="Palatino Linotype" w:hAnsi="Palatino Linotype" w:cs="Palatino Linotype"/>
          <w:sz w:val="22"/>
          <w:szCs w:val="22"/>
        </w:rPr>
      </w:pPr>
    </w:p>
    <w:p w14:paraId="2A1865AA" w14:textId="77777777" w:rsidR="00E0130F" w:rsidRPr="00481476" w:rsidRDefault="00E0130F">
      <w:pPr>
        <w:spacing w:line="360" w:lineRule="auto"/>
        <w:jc w:val="both"/>
        <w:rPr>
          <w:rFonts w:ascii="Palatino Linotype" w:eastAsia="Palatino Linotype" w:hAnsi="Palatino Linotype" w:cs="Palatino Linotype"/>
          <w:sz w:val="22"/>
          <w:szCs w:val="22"/>
        </w:rPr>
      </w:pPr>
    </w:p>
    <w:p w14:paraId="0500EDD3" w14:textId="77777777" w:rsidR="00E0130F" w:rsidRPr="00481476" w:rsidRDefault="00E0130F">
      <w:pPr>
        <w:spacing w:line="360" w:lineRule="auto"/>
        <w:jc w:val="both"/>
        <w:rPr>
          <w:rFonts w:ascii="Palatino Linotype" w:eastAsia="Palatino Linotype" w:hAnsi="Palatino Linotype" w:cs="Palatino Linotype"/>
          <w:sz w:val="22"/>
          <w:szCs w:val="22"/>
        </w:rPr>
      </w:pPr>
    </w:p>
    <w:p w14:paraId="0FB05A92" w14:textId="77777777" w:rsidR="00E0130F" w:rsidRPr="00481476" w:rsidRDefault="00E0130F">
      <w:pPr>
        <w:spacing w:line="360" w:lineRule="auto"/>
        <w:jc w:val="both"/>
        <w:rPr>
          <w:rFonts w:ascii="Palatino Linotype" w:eastAsia="Palatino Linotype" w:hAnsi="Palatino Linotype" w:cs="Palatino Linotype"/>
          <w:sz w:val="22"/>
          <w:szCs w:val="22"/>
        </w:rPr>
      </w:pPr>
    </w:p>
    <w:p w14:paraId="7B8F5F3D" w14:textId="77777777" w:rsidR="00E0130F" w:rsidRPr="00481476" w:rsidRDefault="00E0130F">
      <w:pPr>
        <w:spacing w:line="360" w:lineRule="auto"/>
        <w:jc w:val="both"/>
        <w:rPr>
          <w:rFonts w:ascii="Palatino Linotype" w:eastAsia="Palatino Linotype" w:hAnsi="Palatino Linotype" w:cs="Palatino Linotype"/>
          <w:sz w:val="22"/>
          <w:szCs w:val="22"/>
        </w:rPr>
      </w:pPr>
    </w:p>
    <w:p w14:paraId="46459CF3" w14:textId="77777777" w:rsidR="00E0130F" w:rsidRPr="00481476" w:rsidRDefault="00E0130F">
      <w:pPr>
        <w:spacing w:line="360" w:lineRule="auto"/>
        <w:jc w:val="both"/>
        <w:rPr>
          <w:rFonts w:ascii="Palatino Linotype" w:eastAsia="Palatino Linotype" w:hAnsi="Palatino Linotype" w:cs="Palatino Linotype"/>
          <w:sz w:val="22"/>
          <w:szCs w:val="22"/>
        </w:rPr>
      </w:pPr>
    </w:p>
    <w:p w14:paraId="77A2DE6E" w14:textId="77777777" w:rsidR="00E0130F" w:rsidRPr="00481476" w:rsidRDefault="00E0130F">
      <w:pPr>
        <w:spacing w:line="360" w:lineRule="auto"/>
        <w:jc w:val="both"/>
        <w:rPr>
          <w:rFonts w:ascii="Palatino Linotype" w:eastAsia="Palatino Linotype" w:hAnsi="Palatino Linotype" w:cs="Palatino Linotype"/>
          <w:sz w:val="22"/>
          <w:szCs w:val="22"/>
        </w:rPr>
      </w:pPr>
    </w:p>
    <w:p w14:paraId="3E3C1F17" w14:textId="77777777" w:rsidR="00E0130F" w:rsidRPr="00481476" w:rsidRDefault="00E0130F">
      <w:pPr>
        <w:spacing w:line="360" w:lineRule="auto"/>
        <w:jc w:val="both"/>
        <w:rPr>
          <w:rFonts w:ascii="Palatino Linotype" w:eastAsia="Palatino Linotype" w:hAnsi="Palatino Linotype" w:cs="Palatino Linotype"/>
          <w:sz w:val="22"/>
          <w:szCs w:val="22"/>
        </w:rPr>
      </w:pPr>
    </w:p>
    <w:p w14:paraId="23819C62" w14:textId="77777777" w:rsidR="00E0130F" w:rsidRPr="00481476" w:rsidRDefault="00E0130F">
      <w:pPr>
        <w:spacing w:line="360" w:lineRule="auto"/>
        <w:jc w:val="both"/>
        <w:rPr>
          <w:rFonts w:ascii="Palatino Linotype" w:eastAsia="Palatino Linotype" w:hAnsi="Palatino Linotype" w:cs="Palatino Linotype"/>
          <w:sz w:val="22"/>
          <w:szCs w:val="22"/>
        </w:rPr>
      </w:pPr>
    </w:p>
    <w:p w14:paraId="3E592C13" w14:textId="77777777" w:rsidR="00E0130F" w:rsidRPr="00481476" w:rsidRDefault="00E0130F">
      <w:pPr>
        <w:spacing w:line="360" w:lineRule="auto"/>
        <w:jc w:val="both"/>
        <w:rPr>
          <w:rFonts w:ascii="Palatino Linotype" w:eastAsia="Palatino Linotype" w:hAnsi="Palatino Linotype" w:cs="Palatino Linotype"/>
          <w:sz w:val="22"/>
          <w:szCs w:val="22"/>
        </w:rPr>
      </w:pPr>
    </w:p>
    <w:p w14:paraId="7DFCB1E3" w14:textId="77777777" w:rsidR="00E0130F" w:rsidRPr="00481476" w:rsidRDefault="00E0130F">
      <w:pPr>
        <w:spacing w:line="360" w:lineRule="auto"/>
        <w:jc w:val="both"/>
        <w:rPr>
          <w:rFonts w:ascii="Palatino Linotype" w:eastAsia="Palatino Linotype" w:hAnsi="Palatino Linotype" w:cs="Palatino Linotype"/>
          <w:sz w:val="22"/>
          <w:szCs w:val="22"/>
        </w:rPr>
      </w:pPr>
    </w:p>
    <w:p w14:paraId="62413B43" w14:textId="77777777" w:rsidR="00E0130F" w:rsidRPr="00481476" w:rsidRDefault="00E0130F">
      <w:pPr>
        <w:spacing w:line="360" w:lineRule="auto"/>
        <w:jc w:val="both"/>
        <w:rPr>
          <w:rFonts w:ascii="Palatino Linotype" w:eastAsia="Palatino Linotype" w:hAnsi="Palatino Linotype" w:cs="Palatino Linotype"/>
          <w:sz w:val="22"/>
          <w:szCs w:val="22"/>
        </w:rPr>
      </w:pPr>
    </w:p>
    <w:p w14:paraId="7B8B6575" w14:textId="77777777" w:rsidR="00E0130F" w:rsidRPr="00481476" w:rsidRDefault="00E0130F">
      <w:pPr>
        <w:spacing w:line="360" w:lineRule="auto"/>
        <w:jc w:val="both"/>
        <w:rPr>
          <w:rFonts w:ascii="Palatino Linotype" w:eastAsia="Palatino Linotype" w:hAnsi="Palatino Linotype" w:cs="Palatino Linotype"/>
          <w:sz w:val="22"/>
          <w:szCs w:val="22"/>
        </w:rPr>
      </w:pPr>
    </w:p>
    <w:p w14:paraId="2DC03DD4" w14:textId="77777777" w:rsidR="00E0130F" w:rsidRPr="00481476" w:rsidRDefault="00E0130F">
      <w:pPr>
        <w:spacing w:line="360" w:lineRule="auto"/>
        <w:jc w:val="both"/>
        <w:rPr>
          <w:rFonts w:ascii="Palatino Linotype" w:eastAsia="Palatino Linotype" w:hAnsi="Palatino Linotype" w:cs="Palatino Linotype"/>
          <w:sz w:val="22"/>
          <w:szCs w:val="22"/>
        </w:rPr>
      </w:pPr>
    </w:p>
    <w:p w14:paraId="4310BF76" w14:textId="77777777" w:rsidR="00E0130F" w:rsidRPr="00481476" w:rsidRDefault="00E0130F">
      <w:pPr>
        <w:spacing w:line="360" w:lineRule="auto"/>
        <w:jc w:val="both"/>
        <w:rPr>
          <w:rFonts w:ascii="Palatino Linotype" w:eastAsia="Palatino Linotype" w:hAnsi="Palatino Linotype" w:cs="Palatino Linotype"/>
          <w:sz w:val="22"/>
          <w:szCs w:val="22"/>
        </w:rPr>
      </w:pPr>
    </w:p>
    <w:p w14:paraId="748DFCB6" w14:textId="77777777" w:rsidR="00E0130F" w:rsidRPr="00481476" w:rsidRDefault="00E0130F">
      <w:pPr>
        <w:spacing w:line="360" w:lineRule="auto"/>
        <w:jc w:val="both"/>
        <w:rPr>
          <w:rFonts w:ascii="Palatino Linotype" w:eastAsia="Palatino Linotype" w:hAnsi="Palatino Linotype" w:cs="Palatino Linotype"/>
          <w:sz w:val="22"/>
          <w:szCs w:val="22"/>
        </w:rPr>
      </w:pPr>
      <w:bookmarkStart w:id="15" w:name="_heading=h.dluxxr715a9d" w:colFirst="0" w:colLast="0"/>
      <w:bookmarkEnd w:id="15"/>
    </w:p>
    <w:p w14:paraId="0624D313" w14:textId="77777777" w:rsidR="00E0130F" w:rsidRPr="00481476" w:rsidRDefault="00E0130F">
      <w:pPr>
        <w:spacing w:line="360" w:lineRule="auto"/>
        <w:jc w:val="both"/>
        <w:rPr>
          <w:rFonts w:ascii="Palatino Linotype" w:eastAsia="Palatino Linotype" w:hAnsi="Palatino Linotype" w:cs="Palatino Linotype"/>
          <w:sz w:val="22"/>
          <w:szCs w:val="22"/>
        </w:rPr>
      </w:pPr>
    </w:p>
    <w:p w14:paraId="4DC2243E" w14:textId="77777777" w:rsidR="00E0130F" w:rsidRPr="00481476" w:rsidRDefault="00E0130F">
      <w:pPr>
        <w:spacing w:line="360" w:lineRule="auto"/>
        <w:jc w:val="both"/>
        <w:rPr>
          <w:rFonts w:ascii="Palatino Linotype" w:eastAsia="Palatino Linotype" w:hAnsi="Palatino Linotype" w:cs="Palatino Linotype"/>
          <w:sz w:val="22"/>
          <w:szCs w:val="22"/>
        </w:rPr>
      </w:pPr>
    </w:p>
    <w:sectPr w:rsidR="00E0130F" w:rsidRPr="00481476">
      <w:headerReference w:type="default" r:id="rId10"/>
      <w:footerReference w:type="default" r:id="rId11"/>
      <w:headerReference w:type="first" r:id="rId12"/>
      <w:footerReference w:type="first" r:id="rId1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45E878" w14:textId="77777777" w:rsidR="00864CCF" w:rsidRDefault="00864CCF">
      <w:r>
        <w:separator/>
      </w:r>
    </w:p>
  </w:endnote>
  <w:endnote w:type="continuationSeparator" w:id="0">
    <w:p w14:paraId="321AD68C" w14:textId="77777777" w:rsidR="00864CCF" w:rsidRDefault="00864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6FAB7DC-0290-4C87-9FCB-0812838F7D36}"/>
    <w:embedBold r:id="rId2" w:fontKey="{B3D0F5A4-D222-4F12-9B34-67769A683FA9}"/>
  </w:font>
  <w:font w:name="Cambria">
    <w:panose1 w:val="02040503050406030204"/>
    <w:charset w:val="00"/>
    <w:family w:val="roman"/>
    <w:pitch w:val="variable"/>
    <w:sig w:usb0="E00006FF" w:usb1="420024FF" w:usb2="02000000" w:usb3="00000000" w:csb0="0000019F" w:csb1="00000000"/>
    <w:embedRegular r:id="rId3" w:fontKey="{D80037BA-35C7-47BC-A7A0-C4C1F2E9ED64}"/>
    <w:embedBold r:id="rId4" w:fontKey="{1F943181-CEDE-41AB-BEAC-7BD4B5E4F3BE}"/>
    <w:embedBoldItalic r:id="rId5" w:fontKey="{CFF7CD9B-48D7-4865-80AE-3C7F27599464}"/>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4BF22A10-7AC0-437B-9451-2164150252A3}"/>
  </w:font>
  <w:font w:name="Georgia">
    <w:panose1 w:val="02040502050405020303"/>
    <w:charset w:val="00"/>
    <w:family w:val="roman"/>
    <w:pitch w:val="variable"/>
    <w:sig w:usb0="00000287" w:usb1="00000000" w:usb2="00000000" w:usb3="00000000" w:csb0="0000009F" w:csb1="00000000"/>
    <w:embedRegular r:id="rId7" w:fontKey="{9438870C-D7C5-47FB-8D16-078E6C441541}"/>
    <w:embedItalic r:id="rId8" w:fontKey="{8F1F3C01-308D-4423-91C0-D3CAFAEF3B6E}"/>
  </w:font>
  <w:font w:name="Palatino Linotype">
    <w:panose1 w:val="02040502050505030304"/>
    <w:charset w:val="00"/>
    <w:family w:val="roman"/>
    <w:pitch w:val="variable"/>
    <w:sig w:usb0="E0000287" w:usb1="40000013" w:usb2="00000000" w:usb3="00000000" w:csb0="0000019F" w:csb1="00000000"/>
    <w:embedRegular r:id="rId9" w:fontKey="{238AEBBE-63F0-4482-9538-FCEC7AA7330F}"/>
    <w:embedBold r:id="rId10" w:fontKey="{72304E63-52DE-4664-B106-F5DA594E1AD7}"/>
    <w:embedItalic r:id="rId11" w:fontKey="{E6B5C10E-2132-42C9-A97C-BDCFF0AAF589}"/>
    <w:embedBoldItalic r:id="rId12" w:fontKey="{B572AD1F-63A7-4BFB-A042-0D61352B7E6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44D0D" w14:textId="327E0338" w:rsidR="00E0130F" w:rsidRDefault="00AA79D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60D3E">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60D3E">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p>
  <w:p w14:paraId="3D6CCD81" w14:textId="77777777" w:rsidR="00E0130F" w:rsidRDefault="00E0130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BB7B8" w14:textId="0F93DA98" w:rsidR="00E0130F" w:rsidRDefault="00AA79D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60D3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60D3E">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p>
  <w:p w14:paraId="1403F28D" w14:textId="77777777" w:rsidR="00E0130F" w:rsidRDefault="00E0130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D4D2B4" w14:textId="77777777" w:rsidR="00864CCF" w:rsidRDefault="00864CCF">
      <w:r>
        <w:separator/>
      </w:r>
    </w:p>
  </w:footnote>
  <w:footnote w:type="continuationSeparator" w:id="0">
    <w:p w14:paraId="715A4909" w14:textId="77777777" w:rsidR="00864CCF" w:rsidRDefault="00864CC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DCC97" w14:textId="77777777" w:rsidR="00E0130F" w:rsidRDefault="00AA79DC">
    <w:pPr>
      <w:rPr>
        <w:rFonts w:ascii="Cambria" w:eastAsia="Cambria" w:hAnsi="Cambria" w:cs="Cambria"/>
        <w:color w:val="000000"/>
      </w:rPr>
    </w:pPr>
    <w:r>
      <w:rPr>
        <w:noProof/>
      </w:rPr>
      <w:drawing>
        <wp:anchor distT="0" distB="0" distL="0" distR="0" simplePos="0" relativeHeight="251658240" behindDoc="1" locked="0" layoutInCell="1" hidden="0" allowOverlap="1" wp14:anchorId="4EB7E792" wp14:editId="003B99D2">
          <wp:simplePos x="0" y="0"/>
          <wp:positionH relativeFrom="column">
            <wp:posOffset>-1080131</wp:posOffset>
          </wp:positionH>
          <wp:positionV relativeFrom="paragraph">
            <wp:posOffset>-488257</wp:posOffset>
          </wp:positionV>
          <wp:extent cx="7809865" cy="10165715"/>
          <wp:effectExtent l="0" t="0" r="0" b="0"/>
          <wp:wrapNone/>
          <wp:docPr id="21401318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0"/>
      <w:tblW w:w="5528" w:type="dxa"/>
      <w:tblInd w:w="3261" w:type="dxa"/>
      <w:tblLayout w:type="fixed"/>
      <w:tblLook w:val="0400" w:firstRow="0" w:lastRow="0" w:firstColumn="0" w:lastColumn="0" w:noHBand="0" w:noVBand="1"/>
    </w:tblPr>
    <w:tblGrid>
      <w:gridCol w:w="2409"/>
      <w:gridCol w:w="3119"/>
    </w:tblGrid>
    <w:tr w:rsidR="00E0130F" w14:paraId="7D4A079B" w14:textId="77777777">
      <w:tc>
        <w:tcPr>
          <w:tcW w:w="2409" w:type="dxa"/>
        </w:tcPr>
        <w:p w14:paraId="596E6B89" w14:textId="77777777" w:rsidR="00E0130F" w:rsidRDefault="00AA79D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7C2046D3" w14:textId="77777777" w:rsidR="00E0130F" w:rsidRDefault="00AA79DC">
          <w:pPr>
            <w:ind w:right="-9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08579/INFOEM/IP/RR/2025</w:t>
          </w:r>
        </w:p>
      </w:tc>
    </w:tr>
    <w:tr w:rsidR="00E0130F" w14:paraId="0696EF73" w14:textId="77777777">
      <w:trPr>
        <w:trHeight w:val="228"/>
      </w:trPr>
      <w:tc>
        <w:tcPr>
          <w:tcW w:w="2409" w:type="dxa"/>
          <w:vAlign w:val="center"/>
        </w:tcPr>
        <w:p w14:paraId="1C12C85C" w14:textId="77777777" w:rsidR="00E0130F" w:rsidRDefault="00AA79D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179D3F6D" w14:textId="77777777" w:rsidR="00E0130F" w:rsidRDefault="00AA79DC">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Chicoloapan</w:t>
          </w:r>
        </w:p>
      </w:tc>
    </w:tr>
    <w:tr w:rsidR="00E0130F" w14:paraId="6BA1C918" w14:textId="77777777">
      <w:tc>
        <w:tcPr>
          <w:tcW w:w="2409" w:type="dxa"/>
          <w:vAlign w:val="center"/>
        </w:tcPr>
        <w:p w14:paraId="676CC0C1" w14:textId="77777777" w:rsidR="00E0130F" w:rsidRDefault="00AA79D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522B8BDF" w14:textId="77777777" w:rsidR="00E0130F" w:rsidRDefault="00AA79D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8AC8AD1" w14:textId="77777777" w:rsidR="00E0130F" w:rsidRDefault="00AA79DC">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ED359" w14:textId="77777777" w:rsidR="00E0130F" w:rsidRDefault="00AA79D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0988AF3C" wp14:editId="5BB74F23">
          <wp:simplePos x="0" y="0"/>
          <wp:positionH relativeFrom="column">
            <wp:posOffset>-1080130</wp:posOffset>
          </wp:positionH>
          <wp:positionV relativeFrom="paragraph">
            <wp:posOffset>-369889</wp:posOffset>
          </wp:positionV>
          <wp:extent cx="7809865" cy="10165715"/>
          <wp:effectExtent l="0" t="0" r="0" b="0"/>
          <wp:wrapNone/>
          <wp:docPr id="21401318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1"/>
      <w:tblW w:w="5670" w:type="dxa"/>
      <w:tblInd w:w="3261" w:type="dxa"/>
      <w:tblLayout w:type="fixed"/>
      <w:tblLook w:val="0400" w:firstRow="0" w:lastRow="0" w:firstColumn="0" w:lastColumn="0" w:noHBand="0" w:noVBand="1"/>
    </w:tblPr>
    <w:tblGrid>
      <w:gridCol w:w="2489"/>
      <w:gridCol w:w="3181"/>
    </w:tblGrid>
    <w:tr w:rsidR="00E0130F" w14:paraId="6E5C4F79" w14:textId="77777777">
      <w:tc>
        <w:tcPr>
          <w:tcW w:w="2489" w:type="dxa"/>
        </w:tcPr>
        <w:p w14:paraId="76EECCE7" w14:textId="77777777" w:rsidR="00E0130F" w:rsidRDefault="00AA79D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81" w:type="dxa"/>
          <w:vAlign w:val="center"/>
        </w:tcPr>
        <w:p w14:paraId="4237B660" w14:textId="77777777" w:rsidR="00E0130F" w:rsidRDefault="00AA79D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08579/INFOEM/IP/RR/2025</w:t>
          </w:r>
        </w:p>
      </w:tc>
    </w:tr>
    <w:tr w:rsidR="00E0130F" w14:paraId="0EF7FAC3" w14:textId="77777777">
      <w:tc>
        <w:tcPr>
          <w:tcW w:w="2489" w:type="dxa"/>
        </w:tcPr>
        <w:p w14:paraId="6661C38D" w14:textId="77777777" w:rsidR="00E0130F" w:rsidRDefault="00AA79D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81" w:type="dxa"/>
          <w:vAlign w:val="center"/>
        </w:tcPr>
        <w:p w14:paraId="4F97D5F5" w14:textId="74776B38" w:rsidR="00E0130F" w:rsidRDefault="00D60D3E">
          <w:pPr>
            <w:ind w:right="175"/>
            <w:jc w:val="both"/>
            <w:rPr>
              <w:rFonts w:ascii="Palatino Linotype" w:eastAsia="Palatino Linotype" w:hAnsi="Palatino Linotype" w:cs="Palatino Linotype"/>
              <w:b/>
              <w:color w:val="FF0000"/>
              <w:sz w:val="22"/>
              <w:szCs w:val="22"/>
              <w:highlight w:val="yellow"/>
            </w:rPr>
          </w:pPr>
          <w:r w:rsidRPr="00D60D3E">
            <w:rPr>
              <w:rFonts w:ascii="Palatino Linotype" w:eastAsia="Palatino Linotype" w:hAnsi="Palatino Linotype" w:cs="Palatino Linotype"/>
              <w:b/>
              <w:sz w:val="22"/>
              <w:szCs w:val="22"/>
            </w:rPr>
            <w:t>XXXX XXXXXXX XXXXXX</w:t>
          </w:r>
        </w:p>
      </w:tc>
    </w:tr>
    <w:tr w:rsidR="00E0130F" w14:paraId="5376FCF2" w14:textId="77777777">
      <w:trPr>
        <w:trHeight w:val="228"/>
      </w:trPr>
      <w:tc>
        <w:tcPr>
          <w:tcW w:w="2489" w:type="dxa"/>
          <w:vAlign w:val="center"/>
        </w:tcPr>
        <w:p w14:paraId="5A5BCDC0" w14:textId="77777777" w:rsidR="00E0130F" w:rsidRDefault="00AA79D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81" w:type="dxa"/>
          <w:vAlign w:val="center"/>
        </w:tcPr>
        <w:p w14:paraId="0EF12076" w14:textId="77777777" w:rsidR="00E0130F" w:rsidRDefault="00AA79DC">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Chicoloapan</w:t>
          </w:r>
        </w:p>
      </w:tc>
    </w:tr>
    <w:tr w:rsidR="00E0130F" w14:paraId="126678B9" w14:textId="77777777">
      <w:tc>
        <w:tcPr>
          <w:tcW w:w="2489" w:type="dxa"/>
          <w:vAlign w:val="center"/>
        </w:tcPr>
        <w:p w14:paraId="16D2C4F4" w14:textId="77777777" w:rsidR="00E0130F" w:rsidRDefault="00AA79D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81" w:type="dxa"/>
          <w:vAlign w:val="center"/>
        </w:tcPr>
        <w:p w14:paraId="2EDA93D7" w14:textId="77777777" w:rsidR="00E0130F" w:rsidRDefault="00AA79D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0320DFA" w14:textId="77777777" w:rsidR="00E0130F" w:rsidRDefault="00E0130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371DA"/>
    <w:multiLevelType w:val="multilevel"/>
    <w:tmpl w:val="1C901F6E"/>
    <w:lvl w:ilvl="0">
      <w:start w:val="1"/>
      <w:numFmt w:val="lowerLetter"/>
      <w:lvlText w:val="%1)"/>
      <w:lvlJc w:val="left"/>
      <w:pPr>
        <w:ind w:left="1353" w:hanging="359"/>
      </w:pPr>
      <w:rPr>
        <w:rFonts w:ascii="Times New Roman" w:eastAsia="Times New Roman" w:hAnsi="Times New Roman" w:cs="Times New Roman"/>
        <w:b/>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 w15:restartNumberingAfterBreak="0">
    <w:nsid w:val="0CF54269"/>
    <w:multiLevelType w:val="multilevel"/>
    <w:tmpl w:val="0004F3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23B2C6C"/>
    <w:multiLevelType w:val="multilevel"/>
    <w:tmpl w:val="CA6ACA10"/>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30F"/>
    <w:rsid w:val="001610E5"/>
    <w:rsid w:val="001D2B9B"/>
    <w:rsid w:val="004779D6"/>
    <w:rsid w:val="00481476"/>
    <w:rsid w:val="0064192F"/>
    <w:rsid w:val="00864CCF"/>
    <w:rsid w:val="00A82181"/>
    <w:rsid w:val="00AA79DC"/>
    <w:rsid w:val="00CE7956"/>
    <w:rsid w:val="00D60D3E"/>
    <w:rsid w:val="00E013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45B23"/>
  <w15:docId w15:val="{C596DCDD-1001-4F9C-8EA0-D9B049EDD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a">
    <w:basedOn w:val="TableNormalf4"/>
    <w:tblPr>
      <w:tblStyleRowBandSize w:val="1"/>
      <w:tblStyleColBandSize w:val="1"/>
      <w:tblCellMar>
        <w:left w:w="115" w:type="dxa"/>
        <w:right w:w="115" w:type="dxa"/>
      </w:tblCellMar>
    </w:tblPr>
  </w:style>
  <w:style w:type="table" w:customStyle="1" w:styleId="a0">
    <w:basedOn w:val="TableNormalf4"/>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4"/>
    <w:tblPr>
      <w:tblStyleRowBandSize w:val="1"/>
      <w:tblStyleColBandSize w:val="1"/>
      <w:tblCellMar>
        <w:left w:w="115" w:type="dxa"/>
        <w:right w:w="115" w:type="dxa"/>
      </w:tblCellMar>
    </w:tblPr>
  </w:style>
  <w:style w:type="table" w:customStyle="1" w:styleId="a2">
    <w:basedOn w:val="TableNormalf4"/>
    <w:tblPr>
      <w:tblStyleRowBandSize w:val="1"/>
      <w:tblStyleColBandSize w:val="1"/>
      <w:tblCellMar>
        <w:left w:w="115" w:type="dxa"/>
        <w:right w:w="115"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3"/>
    <w:tblPr>
      <w:tblStyleRowBandSize w:val="1"/>
      <w:tblStyleColBandSize w:val="1"/>
      <w:tblCellMar>
        <w:left w:w="115" w:type="dxa"/>
        <w:right w:w="115" w:type="dxa"/>
      </w:tblCellMar>
    </w:tblPr>
  </w:style>
  <w:style w:type="table" w:customStyle="1" w:styleId="a4">
    <w:basedOn w:val="TableNormalf3"/>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2"/>
    <w:tblPr>
      <w:tblStyleRowBandSize w:val="1"/>
      <w:tblStyleColBandSize w:val="1"/>
      <w:tblCellMar>
        <w:left w:w="108" w:type="dxa"/>
        <w:right w:w="108" w:type="dxa"/>
      </w:tblCellMar>
    </w:tblPr>
  </w:style>
  <w:style w:type="table" w:customStyle="1" w:styleId="a6">
    <w:basedOn w:val="TableNormalf2"/>
    <w:tblPr>
      <w:tblStyleRowBandSize w:val="1"/>
      <w:tblStyleColBandSize w:val="1"/>
      <w:tblCellMar>
        <w:left w:w="108" w:type="dxa"/>
        <w:right w:w="108" w:type="dxa"/>
      </w:tblCellMar>
    </w:tblPr>
  </w:style>
  <w:style w:type="table" w:customStyle="1" w:styleId="a7">
    <w:basedOn w:val="TableNormalf2"/>
    <w:tblPr>
      <w:tblStyleRowBandSize w:val="1"/>
      <w:tblStyleColBandSize w:val="1"/>
      <w:tblCellMar>
        <w:left w:w="108" w:type="dxa"/>
        <w:right w:w="108" w:type="dxa"/>
      </w:tblCellMar>
    </w:tblPr>
  </w:style>
  <w:style w:type="table" w:customStyle="1" w:styleId="a8">
    <w:basedOn w:val="TableNormalf2"/>
    <w:tblPr>
      <w:tblStyleRowBandSize w:val="1"/>
      <w:tblStyleColBandSize w:val="1"/>
      <w:tblCellMar>
        <w:left w:w="108" w:type="dxa"/>
        <w:right w:w="108" w:type="dxa"/>
      </w:tblCellMar>
    </w:tblPr>
  </w:style>
  <w:style w:type="table" w:customStyle="1" w:styleId="a9">
    <w:basedOn w:val="TableNormalf2"/>
    <w:tblPr>
      <w:tblStyleRowBandSize w:val="1"/>
      <w:tblStyleColBandSize w:val="1"/>
      <w:tblCellMar>
        <w:left w:w="108" w:type="dxa"/>
        <w:right w:w="108" w:type="dxa"/>
      </w:tblCellMar>
    </w:tblPr>
  </w:style>
  <w:style w:type="table" w:customStyle="1" w:styleId="aa">
    <w:basedOn w:val="TableNormalf2"/>
    <w:tblPr>
      <w:tblStyleRowBandSize w:val="1"/>
      <w:tblStyleColBandSize w:val="1"/>
      <w:tblCellMar>
        <w:left w:w="115" w:type="dxa"/>
        <w:right w:w="115" w:type="dxa"/>
      </w:tblCellMar>
    </w:tblPr>
  </w:style>
  <w:style w:type="table" w:customStyle="1" w:styleId="ab">
    <w:basedOn w:val="TableNormalf2"/>
    <w:tblPr>
      <w:tblStyleRowBandSize w:val="1"/>
      <w:tblStyleColBandSize w:val="1"/>
      <w:tblCellMar>
        <w:left w:w="115" w:type="dxa"/>
        <w:right w:w="115" w:type="dxa"/>
      </w:tblCellMar>
    </w:tblPr>
  </w:style>
  <w:style w:type="table" w:customStyle="1" w:styleId="ac">
    <w:basedOn w:val="TableNormalf1"/>
    <w:tblPr>
      <w:tblStyleRowBandSize w:val="1"/>
      <w:tblStyleColBandSize w:val="1"/>
      <w:tblCellMar>
        <w:left w:w="108" w:type="dxa"/>
        <w:right w:w="108" w:type="dxa"/>
      </w:tblCellMar>
    </w:tblPr>
  </w:style>
  <w:style w:type="table" w:customStyle="1" w:styleId="ad">
    <w:basedOn w:val="TableNormalf1"/>
    <w:tblPr>
      <w:tblStyleRowBandSize w:val="1"/>
      <w:tblStyleColBandSize w:val="1"/>
      <w:tblCellMar>
        <w:left w:w="115" w:type="dxa"/>
        <w:right w:w="115" w:type="dxa"/>
      </w:tblCellMar>
    </w:tblPr>
  </w:style>
  <w:style w:type="table" w:customStyle="1" w:styleId="ae">
    <w:basedOn w:val="TableNormalf1"/>
    <w:tblPr>
      <w:tblStyleRowBandSize w:val="1"/>
      <w:tblStyleColBandSize w:val="1"/>
      <w:tblCellMar>
        <w:left w:w="115" w:type="dxa"/>
        <w:right w:w="115" w:type="dxa"/>
      </w:tblCellMar>
    </w:tblPr>
  </w:style>
  <w:style w:type="table" w:customStyle="1" w:styleId="af">
    <w:basedOn w:val="TableNormalf0"/>
    <w:tblPr>
      <w:tblStyleRowBandSize w:val="1"/>
      <w:tblStyleColBandSize w:val="1"/>
      <w:tblCellMar>
        <w:left w:w="115" w:type="dxa"/>
        <w:right w:w="115" w:type="dxa"/>
      </w:tblCellMar>
    </w:tblPr>
  </w:style>
  <w:style w:type="table" w:customStyle="1" w:styleId="af0">
    <w:basedOn w:val="TableNormalf0"/>
    <w:tblPr>
      <w:tblStyleRowBandSize w:val="1"/>
      <w:tblStyleColBandSize w:val="1"/>
      <w:tblCellMar>
        <w:left w:w="115" w:type="dxa"/>
        <w:right w:w="115" w:type="dxa"/>
      </w:tblCellMar>
    </w:tblPr>
  </w:style>
  <w:style w:type="table" w:customStyle="1" w:styleId="af1">
    <w:basedOn w:val="TableNormalf0"/>
    <w:tblPr>
      <w:tblStyleRowBandSize w:val="1"/>
      <w:tblStyleColBandSize w:val="1"/>
      <w:tblCellMar>
        <w:left w:w="115" w:type="dxa"/>
        <w:right w:w="115" w:type="dxa"/>
      </w:tblCellMar>
    </w:tblPr>
  </w:style>
  <w:style w:type="table" w:customStyle="1" w:styleId="af2">
    <w:basedOn w:val="TableNormalf"/>
    <w:tblPr>
      <w:tblStyleRowBandSize w:val="1"/>
      <w:tblStyleColBandSize w:val="1"/>
      <w:tblCellMar>
        <w:left w:w="115" w:type="dxa"/>
        <w:right w:w="115" w:type="dxa"/>
      </w:tblCellMar>
    </w:tblPr>
  </w:style>
  <w:style w:type="table" w:customStyle="1" w:styleId="af3">
    <w:basedOn w:val="TableNormalf"/>
    <w:tblPr>
      <w:tblStyleRowBandSize w:val="1"/>
      <w:tblStyleColBandSize w:val="1"/>
      <w:tblCellMar>
        <w:left w:w="115" w:type="dxa"/>
        <w:right w:w="115" w:type="dxa"/>
      </w:tblCellMar>
    </w:tblPr>
  </w:style>
  <w:style w:type="table" w:customStyle="1" w:styleId="af4">
    <w:basedOn w:val="TableNormale"/>
    <w:tblPr>
      <w:tblStyleRowBandSize w:val="1"/>
      <w:tblStyleColBandSize w:val="1"/>
      <w:tblCellMar>
        <w:left w:w="115" w:type="dxa"/>
        <w:right w:w="115" w:type="dxa"/>
      </w:tblCellMar>
    </w:tblPr>
  </w:style>
  <w:style w:type="table" w:customStyle="1" w:styleId="af5">
    <w:basedOn w:val="TableNormale"/>
    <w:tblPr>
      <w:tblStyleRowBandSize w:val="1"/>
      <w:tblStyleColBandSize w:val="1"/>
      <w:tblCellMar>
        <w:left w:w="115" w:type="dxa"/>
        <w:right w:w="115" w:type="dxa"/>
      </w:tblCellMar>
    </w:tblPr>
  </w:style>
  <w:style w:type="table" w:customStyle="1" w:styleId="af6">
    <w:basedOn w:val="TableNormald"/>
    <w:tblPr>
      <w:tblStyleRowBandSize w:val="1"/>
      <w:tblStyleColBandSize w:val="1"/>
      <w:tblCellMar>
        <w:left w:w="115" w:type="dxa"/>
        <w:right w:w="115" w:type="dxa"/>
      </w:tblCellMar>
    </w:tblPr>
  </w:style>
  <w:style w:type="table" w:customStyle="1" w:styleId="af7">
    <w:basedOn w:val="TableNormald"/>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c"/>
    <w:tblPr>
      <w:tblStyleRowBandSize w:val="1"/>
      <w:tblStyleColBandSize w:val="1"/>
      <w:tblCellMar>
        <w:left w:w="115" w:type="dxa"/>
        <w:right w:w="115" w:type="dxa"/>
      </w:tblCellMar>
    </w:tblPr>
  </w:style>
  <w:style w:type="table" w:customStyle="1" w:styleId="af9">
    <w:basedOn w:val="TableNormalc"/>
    <w:tblPr>
      <w:tblStyleRowBandSize w:val="1"/>
      <w:tblStyleColBandSize w:val="1"/>
      <w:tblCellMar>
        <w:left w:w="115" w:type="dxa"/>
        <w:right w:w="115" w:type="dxa"/>
      </w:tblCellMar>
    </w:tblPr>
  </w:style>
  <w:style w:type="table" w:customStyle="1" w:styleId="afa">
    <w:basedOn w:val="TableNormalb"/>
    <w:tblPr>
      <w:tblStyleRowBandSize w:val="1"/>
      <w:tblStyleColBandSize w:val="1"/>
      <w:tblCellMar>
        <w:left w:w="115" w:type="dxa"/>
        <w:right w:w="115" w:type="dxa"/>
      </w:tblCellMar>
    </w:tblPr>
  </w:style>
  <w:style w:type="table" w:customStyle="1" w:styleId="afb">
    <w:basedOn w:val="TableNormalb"/>
    <w:tblPr>
      <w:tblStyleRowBandSize w:val="1"/>
      <w:tblStyleColBandSize w:val="1"/>
      <w:tblCellMar>
        <w:left w:w="115" w:type="dxa"/>
        <w:right w:w="115" w:type="dxa"/>
      </w:tblCellMar>
    </w:tblPr>
  </w:style>
  <w:style w:type="table" w:customStyle="1" w:styleId="afc">
    <w:basedOn w:val="TableNormala"/>
    <w:tblPr>
      <w:tblStyleRowBandSize w:val="1"/>
      <w:tblStyleColBandSize w:val="1"/>
      <w:tblCellMar>
        <w:left w:w="115" w:type="dxa"/>
        <w:right w:w="115" w:type="dxa"/>
      </w:tblCellMar>
    </w:tblPr>
  </w:style>
  <w:style w:type="table" w:customStyle="1" w:styleId="afd">
    <w:basedOn w:val="TableNormala"/>
    <w:tblPr>
      <w:tblStyleRowBandSize w:val="1"/>
      <w:tblStyleColBandSize w:val="1"/>
      <w:tblCellMar>
        <w:left w:w="115" w:type="dxa"/>
        <w:right w:w="115" w:type="dxa"/>
      </w:tblCellMar>
    </w:tblPr>
  </w:style>
  <w:style w:type="table" w:customStyle="1" w:styleId="afe">
    <w:basedOn w:val="TableNormal9"/>
    <w:tblPr>
      <w:tblStyleRowBandSize w:val="1"/>
      <w:tblStyleColBandSize w:val="1"/>
      <w:tblCellMar>
        <w:left w:w="115" w:type="dxa"/>
        <w:right w:w="115" w:type="dxa"/>
      </w:tblCellMar>
    </w:tblPr>
  </w:style>
  <w:style w:type="table" w:customStyle="1" w:styleId="aff">
    <w:basedOn w:val="TableNormal9"/>
    <w:tblPr>
      <w:tblStyleRowBandSize w:val="1"/>
      <w:tblStyleColBandSize w:val="1"/>
      <w:tblCellMar>
        <w:left w:w="115" w:type="dxa"/>
        <w:right w:w="115" w:type="dxa"/>
      </w:tblCellMar>
    </w:tblPr>
  </w:style>
  <w:style w:type="table" w:customStyle="1" w:styleId="aff0">
    <w:basedOn w:val="TableNormal8"/>
    <w:tblPr>
      <w:tblStyleRowBandSize w:val="1"/>
      <w:tblStyleColBandSize w:val="1"/>
      <w:tblCellMar>
        <w:left w:w="115" w:type="dxa"/>
        <w:right w:w="115" w:type="dxa"/>
      </w:tblCellMar>
    </w:tblPr>
  </w:style>
  <w:style w:type="table" w:customStyle="1" w:styleId="aff1">
    <w:basedOn w:val="TableNormal8"/>
    <w:tblPr>
      <w:tblStyleRowBandSize w:val="1"/>
      <w:tblStyleColBandSize w:val="1"/>
      <w:tblCellMar>
        <w:left w:w="115" w:type="dxa"/>
        <w:right w:w="115" w:type="dxa"/>
      </w:tblCellMar>
    </w:tblPr>
  </w:style>
  <w:style w:type="table" w:customStyle="1" w:styleId="aff2">
    <w:basedOn w:val="TableNormal7"/>
    <w:tblPr>
      <w:tblStyleRowBandSize w:val="1"/>
      <w:tblStyleColBandSize w:val="1"/>
      <w:tblCellMar>
        <w:left w:w="115" w:type="dxa"/>
        <w:right w:w="115" w:type="dxa"/>
      </w:tblCellMar>
    </w:tblPr>
  </w:style>
  <w:style w:type="table" w:customStyle="1" w:styleId="aff3">
    <w:basedOn w:val="TableNormal7"/>
    <w:tblPr>
      <w:tblStyleRowBandSize w:val="1"/>
      <w:tblStyleColBandSize w:val="1"/>
      <w:tblCellMar>
        <w:left w:w="115" w:type="dxa"/>
        <w:right w:w="115" w:type="dxa"/>
      </w:tblCellMar>
    </w:tblPr>
  </w:style>
  <w:style w:type="table" w:customStyle="1" w:styleId="aff4">
    <w:basedOn w:val="TableNormal6"/>
    <w:tblPr>
      <w:tblStyleRowBandSize w:val="1"/>
      <w:tblStyleColBandSize w:val="1"/>
      <w:tblCellMar>
        <w:left w:w="115" w:type="dxa"/>
        <w:right w:w="115" w:type="dxa"/>
      </w:tblCellMar>
    </w:tblPr>
  </w:style>
  <w:style w:type="table" w:customStyle="1" w:styleId="aff5">
    <w:basedOn w:val="TableNormal6"/>
    <w:tblPr>
      <w:tblStyleRowBandSize w:val="1"/>
      <w:tblStyleColBandSize w:val="1"/>
      <w:tblCellMar>
        <w:left w:w="115" w:type="dxa"/>
        <w:right w:w="115" w:type="dxa"/>
      </w:tblCellMar>
    </w:tblPr>
  </w:style>
  <w:style w:type="table" w:customStyle="1" w:styleId="aff6">
    <w:basedOn w:val="TableNormal5"/>
    <w:tblPr>
      <w:tblStyleRowBandSize w:val="1"/>
      <w:tblStyleColBandSize w:val="1"/>
      <w:tblCellMar>
        <w:left w:w="115" w:type="dxa"/>
        <w:right w:w="115" w:type="dxa"/>
      </w:tblCellMar>
    </w:tblPr>
  </w:style>
  <w:style w:type="table" w:customStyle="1" w:styleId="aff7">
    <w:basedOn w:val="TableNormal5"/>
    <w:tblPr>
      <w:tblStyleRowBandSize w:val="1"/>
      <w:tblStyleColBandSize w:val="1"/>
      <w:tblCellMar>
        <w:left w:w="115" w:type="dxa"/>
        <w:right w:w="115" w:type="dxa"/>
      </w:tblCellMar>
    </w:tblPr>
  </w:style>
  <w:style w:type="table" w:customStyle="1" w:styleId="aff8">
    <w:basedOn w:val="TableNormal4"/>
    <w:tblPr>
      <w:tblStyleRowBandSize w:val="1"/>
      <w:tblStyleColBandSize w:val="1"/>
      <w:tblCellMar>
        <w:left w:w="115" w:type="dxa"/>
        <w:right w:w="115" w:type="dxa"/>
      </w:tblCellMar>
    </w:tblPr>
  </w:style>
  <w:style w:type="table" w:customStyle="1" w:styleId="aff9">
    <w:basedOn w:val="TableNormal4"/>
    <w:tblPr>
      <w:tblStyleRowBandSize w:val="1"/>
      <w:tblStyleColBandSize w:val="1"/>
      <w:tblCellMar>
        <w:left w:w="115" w:type="dxa"/>
        <w:right w:w="115" w:type="dxa"/>
      </w:tblCellMar>
    </w:tblPr>
  </w:style>
  <w:style w:type="table" w:customStyle="1" w:styleId="affa">
    <w:basedOn w:val="TableNormal3"/>
    <w:tblPr>
      <w:tblStyleRowBandSize w:val="1"/>
      <w:tblStyleColBandSize w:val="1"/>
      <w:tblCellMar>
        <w:left w:w="115" w:type="dxa"/>
        <w:right w:w="115" w:type="dxa"/>
      </w:tblCellMar>
    </w:tblPr>
  </w:style>
  <w:style w:type="table" w:customStyle="1" w:styleId="affb">
    <w:basedOn w:val="TableNormal3"/>
    <w:tblPr>
      <w:tblStyleRowBandSize w:val="1"/>
      <w:tblStyleColBandSize w:val="1"/>
      <w:tblCellMar>
        <w:left w:w="115" w:type="dxa"/>
        <w:right w:w="115" w:type="dxa"/>
      </w:tblCellMar>
    </w:tblPr>
  </w:style>
  <w:style w:type="table" w:customStyle="1" w:styleId="affc">
    <w:basedOn w:val="TableNormal2"/>
    <w:tblPr>
      <w:tblStyleRowBandSize w:val="1"/>
      <w:tblStyleColBandSize w:val="1"/>
      <w:tblCellMar>
        <w:left w:w="115" w:type="dxa"/>
        <w:right w:w="115" w:type="dxa"/>
      </w:tblCellMar>
    </w:tblPr>
  </w:style>
  <w:style w:type="table" w:customStyle="1" w:styleId="affd">
    <w:basedOn w:val="TableNormal2"/>
    <w:tblPr>
      <w:tblStyleRowBandSize w:val="1"/>
      <w:tblStyleColBandSize w:val="1"/>
      <w:tblCellMar>
        <w:left w:w="115" w:type="dxa"/>
        <w:right w:w="115" w:type="dxa"/>
      </w:tblCellMar>
    </w:tblPr>
  </w:style>
  <w:style w:type="table" w:customStyle="1" w:styleId="affe">
    <w:basedOn w:val="TableNormal1"/>
    <w:tblPr>
      <w:tblStyleRowBandSize w:val="1"/>
      <w:tblStyleColBandSize w:val="1"/>
      <w:tblCellMar>
        <w:left w:w="115" w:type="dxa"/>
        <w:right w:w="115" w:type="dxa"/>
      </w:tblCellMar>
    </w:tblPr>
  </w:style>
  <w:style w:type="table" w:customStyle="1" w:styleId="afff">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AO1zvdQVMAier9jH4x6LCxKzag==">CgMxLjAyDmguZGFqM2oyeG82cTY2MghoLmdqZGd4czIJaC4zZHk2dmttMgloLjMwajB6bGwyCWguMnM4ZXlvMTIIaC50eWpjd3QyCWguM3pueXNoNzIJaC4yZXQ5MnAwMg5oLnY2YmVwNnV4djZuczIJaC4yanhzeHFoMgloLjF0M2g1c2YyCWguMWZvYjl0ZTIOaC5vdDNxcTZ2eGEwOGYyCGgubG54Yno5Mg5oLmRsdXh4cjcxNWE5ZDgAciExWXVDVjVmM3p3MUpFNE9UaWxneUFzOVM0NE1VTXhQc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10485</Words>
  <Characters>57671</Characters>
  <Application>Microsoft Office Word</Application>
  <DocSecurity>0</DocSecurity>
  <Lines>480</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2025-11-07T17:05:00Z</cp:lastPrinted>
  <dcterms:created xsi:type="dcterms:W3CDTF">2025-12-08T19:47:00Z</dcterms:created>
  <dcterms:modified xsi:type="dcterms:W3CDTF">2025-12-08T19:47:00Z</dcterms:modified>
</cp:coreProperties>
</file>