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2CC6" w14:textId="77777777" w:rsidR="009B26BC" w:rsidRPr="00DF1186" w:rsidRDefault="009B26BC" w:rsidP="00DF1186">
      <w:pPr>
        <w:pStyle w:val="Ttulo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7F1117C4" w:rsidR="007935E5" w:rsidRPr="00025123" w:rsidRDefault="007935E5" w:rsidP="00D2369D">
          <w:pPr>
            <w:pStyle w:val="TtuloTDC"/>
            <w:spacing w:line="360" w:lineRule="auto"/>
            <w:rPr>
              <w:b w:val="0"/>
              <w:bCs/>
              <w:szCs w:val="22"/>
              <w:lang w:val="es-ES"/>
            </w:rPr>
          </w:pPr>
          <w:r w:rsidRPr="00025123">
            <w:rPr>
              <w:b w:val="0"/>
              <w:bCs/>
              <w:szCs w:val="22"/>
              <w:lang w:val="es-ES"/>
            </w:rPr>
            <w:t xml:space="preserve">RESOLUCIÓN DEL RECURSO DE REVISIÓN </w:t>
          </w:r>
          <w:r w:rsidR="001E58DA" w:rsidRPr="00025123">
            <w:rPr>
              <w:b w:val="0"/>
              <w:bCs/>
              <w:szCs w:val="22"/>
              <w:lang w:val="es-ES"/>
            </w:rPr>
            <w:t>01631/INFOEM/IP/RR/2025</w:t>
          </w:r>
        </w:p>
        <w:p w14:paraId="52A7D41C" w14:textId="77777777" w:rsidR="00192C67" w:rsidRPr="00025123" w:rsidRDefault="00192C67" w:rsidP="00192C67">
          <w:pPr>
            <w:rPr>
              <w:lang w:val="es-ES" w:eastAsia="es-MX"/>
            </w:rPr>
          </w:pPr>
        </w:p>
        <w:p w14:paraId="662E74EA" w14:textId="77777777" w:rsidR="001306C9" w:rsidRPr="001306C9" w:rsidRDefault="007935E5" w:rsidP="001306C9">
          <w:pPr>
            <w:pStyle w:val="TDC1"/>
            <w:rPr>
              <w:rFonts w:ascii="Palatino Linotype" w:eastAsiaTheme="minorEastAsia" w:hAnsi="Palatino Linotype" w:cstheme="minorBidi"/>
              <w:noProof/>
              <w:sz w:val="22"/>
              <w:szCs w:val="22"/>
              <w:lang w:eastAsia="es-MX"/>
            </w:rPr>
          </w:pPr>
          <w:r w:rsidRPr="001306C9">
            <w:rPr>
              <w:rFonts w:ascii="Palatino Linotype" w:hAnsi="Palatino Linotype"/>
              <w:bCs/>
              <w:sz w:val="22"/>
              <w:szCs w:val="22"/>
            </w:rPr>
            <w:fldChar w:fldCharType="begin"/>
          </w:r>
          <w:r w:rsidRPr="001306C9">
            <w:rPr>
              <w:rFonts w:ascii="Palatino Linotype" w:hAnsi="Palatino Linotype"/>
              <w:bCs/>
              <w:sz w:val="22"/>
              <w:szCs w:val="22"/>
            </w:rPr>
            <w:instrText xml:space="preserve"> TOC \o "1-3" \h \z \u </w:instrText>
          </w:r>
          <w:r w:rsidRPr="001306C9">
            <w:rPr>
              <w:rFonts w:ascii="Palatino Linotype" w:hAnsi="Palatino Linotype"/>
              <w:bCs/>
              <w:sz w:val="22"/>
              <w:szCs w:val="22"/>
            </w:rPr>
            <w:fldChar w:fldCharType="separate"/>
          </w:r>
          <w:hyperlink w:anchor="_Toc193382911" w:history="1">
            <w:r w:rsidR="001306C9" w:rsidRPr="001306C9">
              <w:rPr>
                <w:rStyle w:val="Hipervnculo"/>
                <w:rFonts w:ascii="Palatino Linotype" w:hAnsi="Palatino Linotype"/>
                <w:noProof/>
                <w:sz w:val="22"/>
                <w:szCs w:val="22"/>
              </w:rPr>
              <w:t>A N T E C E D E N T E S</w:t>
            </w:r>
            <w:r w:rsidR="001306C9" w:rsidRPr="001306C9">
              <w:rPr>
                <w:rFonts w:ascii="Palatino Linotype" w:hAnsi="Palatino Linotype"/>
                <w:noProof/>
                <w:webHidden/>
                <w:sz w:val="22"/>
                <w:szCs w:val="22"/>
              </w:rPr>
              <w:tab/>
            </w:r>
            <w:r w:rsidR="001306C9" w:rsidRPr="001306C9">
              <w:rPr>
                <w:rFonts w:ascii="Palatino Linotype" w:hAnsi="Palatino Linotype"/>
                <w:noProof/>
                <w:webHidden/>
                <w:sz w:val="22"/>
                <w:szCs w:val="22"/>
              </w:rPr>
              <w:fldChar w:fldCharType="begin"/>
            </w:r>
            <w:r w:rsidR="001306C9" w:rsidRPr="001306C9">
              <w:rPr>
                <w:rFonts w:ascii="Palatino Linotype" w:hAnsi="Palatino Linotype"/>
                <w:noProof/>
                <w:webHidden/>
                <w:sz w:val="22"/>
                <w:szCs w:val="22"/>
              </w:rPr>
              <w:instrText xml:space="preserve"> PAGEREF _Toc193382911 \h </w:instrText>
            </w:r>
            <w:r w:rsidR="001306C9" w:rsidRPr="001306C9">
              <w:rPr>
                <w:rFonts w:ascii="Palatino Linotype" w:hAnsi="Palatino Linotype"/>
                <w:noProof/>
                <w:webHidden/>
                <w:sz w:val="22"/>
                <w:szCs w:val="22"/>
              </w:rPr>
            </w:r>
            <w:r w:rsidR="001306C9"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2</w:t>
            </w:r>
            <w:r w:rsidR="001306C9" w:rsidRPr="001306C9">
              <w:rPr>
                <w:rFonts w:ascii="Palatino Linotype" w:hAnsi="Palatino Linotype"/>
                <w:noProof/>
                <w:webHidden/>
                <w:sz w:val="22"/>
                <w:szCs w:val="22"/>
              </w:rPr>
              <w:fldChar w:fldCharType="end"/>
            </w:r>
          </w:hyperlink>
        </w:p>
        <w:p w14:paraId="1F4813DF"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2" w:history="1">
            <w:r w:rsidRPr="001306C9">
              <w:rPr>
                <w:rStyle w:val="Hipervnculo"/>
                <w:rFonts w:ascii="Palatino Linotype" w:hAnsi="Palatino Linotype"/>
                <w:noProof/>
                <w:sz w:val="22"/>
                <w:szCs w:val="22"/>
              </w:rPr>
              <w:t>I. Presentación de la solicitud de información</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_Toc193382912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2</w:t>
            </w:r>
            <w:r w:rsidRPr="001306C9">
              <w:rPr>
                <w:rFonts w:ascii="Palatino Linotype" w:hAnsi="Palatino Linotype"/>
                <w:noProof/>
                <w:webHidden/>
                <w:sz w:val="22"/>
                <w:szCs w:val="22"/>
              </w:rPr>
              <w:fldChar w:fldCharType="end"/>
            </w:r>
          </w:hyperlink>
        </w:p>
        <w:p w14:paraId="2B2F03D7"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3" w:history="1">
            <w:r w:rsidRPr="001306C9">
              <w:rPr>
                <w:rStyle w:val="Hipervnculo"/>
                <w:rFonts w:ascii="Palatino Linotype" w:hAnsi="Palatino Linotype"/>
                <w:noProof/>
                <w:sz w:val="22"/>
                <w:szCs w:val="22"/>
              </w:rPr>
              <w:t>II. Respuesta del Sujeto Obligado</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_Toc193382913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3</w:t>
            </w:r>
            <w:r w:rsidRPr="001306C9">
              <w:rPr>
                <w:rFonts w:ascii="Palatino Linotype" w:hAnsi="Palatino Linotype"/>
                <w:noProof/>
                <w:webHidden/>
                <w:sz w:val="22"/>
                <w:szCs w:val="22"/>
              </w:rPr>
              <w:fldChar w:fldCharType="end"/>
            </w:r>
          </w:hyperlink>
        </w:p>
        <w:p w14:paraId="45B320ED"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4" w:history="1">
            <w:r w:rsidRPr="001306C9">
              <w:rPr>
                <w:rStyle w:val="Hipervnculo"/>
                <w:rFonts w:ascii="Palatino Linotype" w:hAnsi="Palatino Linotype"/>
                <w:noProof/>
                <w:sz w:val="22"/>
                <w:szCs w:val="22"/>
                <w:lang w:eastAsia="en-US"/>
              </w:rPr>
              <w:t>III. Interposición del Recurso de Revisión</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_Toc193382914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3</w:t>
            </w:r>
            <w:r w:rsidRPr="001306C9">
              <w:rPr>
                <w:rFonts w:ascii="Palatino Linotype" w:hAnsi="Palatino Linotype"/>
                <w:noProof/>
                <w:webHidden/>
                <w:sz w:val="22"/>
                <w:szCs w:val="22"/>
              </w:rPr>
              <w:fldChar w:fldCharType="end"/>
            </w:r>
          </w:hyperlink>
        </w:p>
        <w:p w14:paraId="04030B6E"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5" w:history="1">
            <w:r w:rsidRPr="001306C9">
              <w:rPr>
                <w:rStyle w:val="Hipervnculo"/>
                <w:rFonts w:ascii="Palatino Linotype" w:hAnsi="Palatino Linotype"/>
                <w:noProof/>
                <w:sz w:val="22"/>
                <w:szCs w:val="22"/>
                <w:lang w:eastAsia="en-US"/>
              </w:rPr>
              <w:t>IV. Trámite del Recurso de Revisión ante el Instituto</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_Toc193382915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4</w:t>
            </w:r>
            <w:r w:rsidRPr="001306C9">
              <w:rPr>
                <w:rFonts w:ascii="Palatino Linotype" w:hAnsi="Palatino Linotype"/>
                <w:noProof/>
                <w:webHidden/>
                <w:sz w:val="22"/>
                <w:szCs w:val="22"/>
              </w:rPr>
              <w:fldChar w:fldCharType="end"/>
            </w:r>
          </w:hyperlink>
        </w:p>
        <w:p w14:paraId="03DA1A96" w14:textId="77777777" w:rsidR="001306C9" w:rsidRPr="001306C9" w:rsidRDefault="001306C9" w:rsidP="001306C9">
          <w:pPr>
            <w:pStyle w:val="TDC1"/>
            <w:rPr>
              <w:rFonts w:ascii="Palatino Linotype" w:eastAsiaTheme="minorEastAsia" w:hAnsi="Palatino Linotype" w:cstheme="minorBidi"/>
              <w:noProof/>
              <w:sz w:val="22"/>
              <w:szCs w:val="22"/>
              <w:lang w:eastAsia="es-MX"/>
            </w:rPr>
          </w:pPr>
          <w:hyperlink w:anchor="_Toc193382916" w:history="1">
            <w:r w:rsidRPr="001306C9">
              <w:rPr>
                <w:rStyle w:val="Hipervnculo"/>
                <w:rFonts w:ascii="Palatino Linotype" w:hAnsi="Palatino Linotype"/>
                <w:noProof/>
                <w:sz w:val="22"/>
                <w:szCs w:val="22"/>
                <w:lang w:val="es-ES"/>
              </w:rPr>
              <w:t>C O N S I D E R A N D O S</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_Toc193382916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5</w:t>
            </w:r>
            <w:r w:rsidRPr="001306C9">
              <w:rPr>
                <w:rFonts w:ascii="Palatino Linotype" w:hAnsi="Palatino Linotype"/>
                <w:noProof/>
                <w:webHidden/>
                <w:sz w:val="22"/>
                <w:szCs w:val="22"/>
              </w:rPr>
              <w:fldChar w:fldCharType="end"/>
            </w:r>
          </w:hyperlink>
        </w:p>
        <w:p w14:paraId="613A92A1"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7" w:history="1">
            <w:r w:rsidRPr="001306C9">
              <w:rPr>
                <w:rStyle w:val="Hipervnculo"/>
                <w:rFonts w:ascii="Palatino Linotype" w:eastAsia="Calibri" w:hAnsi="Palatino Linotype"/>
                <w:noProof/>
                <w:sz w:val="22"/>
                <w:szCs w:val="22"/>
                <w:lang w:val="es-ES" w:eastAsia="es-MX"/>
              </w:rPr>
              <w:t xml:space="preserve">PRIMERO. </w:t>
            </w:r>
            <w:r w:rsidRPr="001306C9">
              <w:rPr>
                <w:rStyle w:val="Hipervnculo"/>
                <w:rFonts w:ascii="Palatino Linotype" w:hAnsi="Palatino Linotype"/>
                <w:noProof/>
                <w:sz w:val="22"/>
                <w:szCs w:val="22"/>
                <w:lang w:val="es-ES"/>
              </w:rPr>
              <w:t>Competencia</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_Toc193382917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5</w:t>
            </w:r>
            <w:r w:rsidRPr="001306C9">
              <w:rPr>
                <w:rFonts w:ascii="Palatino Linotype" w:hAnsi="Palatino Linotype"/>
                <w:noProof/>
                <w:webHidden/>
                <w:sz w:val="22"/>
                <w:szCs w:val="22"/>
              </w:rPr>
              <w:fldChar w:fldCharType="end"/>
            </w:r>
          </w:hyperlink>
        </w:p>
        <w:p w14:paraId="1F1815CA"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8" w:history="1">
            <w:r w:rsidRPr="001306C9">
              <w:rPr>
                <w:rStyle w:val="Hipervnculo"/>
                <w:rFonts w:ascii="Palatino Linotype" w:eastAsia="Calibri" w:hAnsi="Palatino Linotype"/>
                <w:noProof/>
                <w:sz w:val="22"/>
                <w:szCs w:val="22"/>
                <w:lang w:val="es-ES" w:eastAsia="es-MX"/>
              </w:rPr>
              <w:t xml:space="preserve">SEGUNDO. </w:t>
            </w:r>
            <w:r w:rsidRPr="001306C9">
              <w:rPr>
                <w:rStyle w:val="Hipervnculo"/>
                <w:rFonts w:ascii="Palatino Linotype" w:hAnsi="Palatino Linotype"/>
                <w:noProof/>
                <w:sz w:val="22"/>
                <w:szCs w:val="22"/>
                <w:lang w:val="es-ES"/>
              </w:rPr>
              <w:t>Causales de improcedencia</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_Toc193382918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6</w:t>
            </w:r>
            <w:r w:rsidRPr="001306C9">
              <w:rPr>
                <w:rFonts w:ascii="Palatino Linotype" w:hAnsi="Palatino Linotype"/>
                <w:noProof/>
                <w:webHidden/>
                <w:sz w:val="22"/>
                <w:szCs w:val="22"/>
              </w:rPr>
              <w:fldChar w:fldCharType="end"/>
            </w:r>
          </w:hyperlink>
        </w:p>
        <w:p w14:paraId="7A089E0D"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19" w:history="1">
            <w:r w:rsidRPr="001306C9">
              <w:rPr>
                <w:rStyle w:val="Hipervnculo"/>
                <w:rFonts w:ascii="Palatino Linotype" w:hAnsi="Palatino Linotype"/>
                <w:noProof/>
                <w:sz w:val="22"/>
                <w:szCs w:val="22"/>
              </w:rPr>
              <w:t>TERCERO. Causales de sobreseimiento</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_Toc193382919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7</w:t>
            </w:r>
            <w:r w:rsidRPr="001306C9">
              <w:rPr>
                <w:rFonts w:ascii="Palatino Linotype" w:hAnsi="Palatino Linotype"/>
                <w:noProof/>
                <w:webHidden/>
                <w:sz w:val="22"/>
                <w:szCs w:val="22"/>
              </w:rPr>
              <w:fldChar w:fldCharType="end"/>
            </w:r>
          </w:hyperlink>
        </w:p>
        <w:p w14:paraId="37A4575A" w14:textId="77777777" w:rsidR="001306C9" w:rsidRPr="001306C9" w:rsidRDefault="001306C9" w:rsidP="001306C9">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3382920" w:history="1">
            <w:r w:rsidRPr="001306C9">
              <w:rPr>
                <w:rStyle w:val="Hipervnculo"/>
                <w:rFonts w:ascii="Palatino Linotype" w:hAnsi="Palatino Linotype"/>
                <w:noProof/>
                <w:sz w:val="22"/>
                <w:szCs w:val="22"/>
                <w:lang w:eastAsia="es-MX"/>
              </w:rPr>
              <w:t>CUARTO. Decisión</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_Toc193382920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11</w:t>
            </w:r>
            <w:r w:rsidRPr="001306C9">
              <w:rPr>
                <w:rFonts w:ascii="Palatino Linotype" w:hAnsi="Palatino Linotype"/>
                <w:noProof/>
                <w:webHidden/>
                <w:sz w:val="22"/>
                <w:szCs w:val="22"/>
              </w:rPr>
              <w:fldChar w:fldCharType="end"/>
            </w:r>
          </w:hyperlink>
        </w:p>
        <w:p w14:paraId="36B7F0A3" w14:textId="77777777" w:rsidR="001306C9" w:rsidRPr="001306C9" w:rsidRDefault="001306C9" w:rsidP="001306C9">
          <w:pPr>
            <w:pStyle w:val="TDC1"/>
            <w:rPr>
              <w:rFonts w:ascii="Palatino Linotype" w:eastAsiaTheme="minorEastAsia" w:hAnsi="Palatino Linotype" w:cstheme="minorBidi"/>
              <w:noProof/>
              <w:sz w:val="22"/>
              <w:szCs w:val="22"/>
              <w:lang w:eastAsia="es-MX"/>
            </w:rPr>
          </w:pPr>
          <w:hyperlink w:anchor="_Toc193382921" w:history="1">
            <w:r w:rsidRPr="001306C9">
              <w:rPr>
                <w:rStyle w:val="Hipervnculo"/>
                <w:rFonts w:ascii="Palatino Linotype" w:hAnsi="Palatino Linotype"/>
                <w:noProof/>
                <w:sz w:val="22"/>
                <w:szCs w:val="22"/>
              </w:rPr>
              <w:t>R E S U E L V E</w:t>
            </w:r>
            <w:r w:rsidRPr="001306C9">
              <w:rPr>
                <w:rFonts w:ascii="Palatino Linotype" w:hAnsi="Palatino Linotype"/>
                <w:noProof/>
                <w:webHidden/>
                <w:sz w:val="22"/>
                <w:szCs w:val="22"/>
              </w:rPr>
              <w:tab/>
            </w:r>
            <w:r w:rsidRPr="001306C9">
              <w:rPr>
                <w:rFonts w:ascii="Palatino Linotype" w:hAnsi="Palatino Linotype"/>
                <w:noProof/>
                <w:webHidden/>
                <w:sz w:val="22"/>
                <w:szCs w:val="22"/>
              </w:rPr>
              <w:fldChar w:fldCharType="begin"/>
            </w:r>
            <w:r w:rsidRPr="001306C9">
              <w:rPr>
                <w:rFonts w:ascii="Palatino Linotype" w:hAnsi="Palatino Linotype"/>
                <w:noProof/>
                <w:webHidden/>
                <w:sz w:val="22"/>
                <w:szCs w:val="22"/>
              </w:rPr>
              <w:instrText xml:space="preserve"> PAGEREF _Toc193382921 \h </w:instrText>
            </w:r>
            <w:r w:rsidRPr="001306C9">
              <w:rPr>
                <w:rFonts w:ascii="Palatino Linotype" w:hAnsi="Palatino Linotype"/>
                <w:noProof/>
                <w:webHidden/>
                <w:sz w:val="22"/>
                <w:szCs w:val="22"/>
              </w:rPr>
            </w:r>
            <w:r w:rsidRPr="001306C9">
              <w:rPr>
                <w:rFonts w:ascii="Palatino Linotype" w:hAnsi="Palatino Linotype"/>
                <w:noProof/>
                <w:webHidden/>
                <w:sz w:val="22"/>
                <w:szCs w:val="22"/>
              </w:rPr>
              <w:fldChar w:fldCharType="separate"/>
            </w:r>
            <w:r w:rsidR="00173379">
              <w:rPr>
                <w:rFonts w:ascii="Palatino Linotype" w:hAnsi="Palatino Linotype"/>
                <w:noProof/>
                <w:webHidden/>
                <w:sz w:val="22"/>
                <w:szCs w:val="22"/>
              </w:rPr>
              <w:t>12</w:t>
            </w:r>
            <w:r w:rsidRPr="001306C9">
              <w:rPr>
                <w:rFonts w:ascii="Palatino Linotype" w:hAnsi="Palatino Linotype"/>
                <w:noProof/>
                <w:webHidden/>
                <w:sz w:val="22"/>
                <w:szCs w:val="22"/>
              </w:rPr>
              <w:fldChar w:fldCharType="end"/>
            </w:r>
          </w:hyperlink>
        </w:p>
        <w:p w14:paraId="03C9AFF7" w14:textId="44FD5767" w:rsidR="007935E5" w:rsidRPr="00025123" w:rsidRDefault="007935E5" w:rsidP="001306C9">
          <w:pPr>
            <w:spacing w:line="360" w:lineRule="auto"/>
            <w:jc w:val="both"/>
          </w:pPr>
          <w:r w:rsidRPr="001306C9">
            <w:rPr>
              <w:rFonts w:ascii="Palatino Linotype" w:hAnsi="Palatino Linotype"/>
              <w:bCs/>
              <w:sz w:val="22"/>
              <w:szCs w:val="22"/>
              <w:lang w:val="es-ES"/>
            </w:rPr>
            <w:fldChar w:fldCharType="end"/>
          </w:r>
        </w:p>
      </w:sdtContent>
    </w:sdt>
    <w:p w14:paraId="2FFD828E" w14:textId="77777777" w:rsidR="00192C67" w:rsidRPr="00025123"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sidRPr="00025123">
        <w:rPr>
          <w:rFonts w:ascii="Palatino Linotype" w:eastAsiaTheme="minorHAnsi" w:hAnsi="Palatino Linotype" w:cs="Tahoma"/>
          <w:bCs/>
          <w:color w:val="000000" w:themeColor="text1"/>
          <w:sz w:val="22"/>
          <w:szCs w:val="22"/>
          <w:lang w:eastAsia="en-US"/>
        </w:rPr>
        <w:br w:type="column"/>
      </w:r>
    </w:p>
    <w:p w14:paraId="0ED4147D" w14:textId="2B86561B" w:rsidR="00F82637" w:rsidRPr="00025123" w:rsidRDefault="00F82637" w:rsidP="004F4E53">
      <w:pPr>
        <w:spacing w:line="360" w:lineRule="auto"/>
        <w:jc w:val="both"/>
        <w:rPr>
          <w:rFonts w:ascii="Palatino Linotype" w:eastAsiaTheme="minorHAnsi" w:hAnsi="Palatino Linotype" w:cs="Tahoma"/>
          <w:bCs/>
          <w:color w:val="000000" w:themeColor="text1"/>
          <w:sz w:val="22"/>
          <w:szCs w:val="22"/>
          <w:lang w:eastAsia="en-US"/>
        </w:rPr>
      </w:pPr>
      <w:r w:rsidRPr="00025123">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025123">
        <w:rPr>
          <w:rFonts w:ascii="Palatino Linotype" w:hAnsi="Palatino Linotype" w:cs="Tahoma"/>
          <w:bCs/>
          <w:sz w:val="22"/>
          <w:szCs w:val="22"/>
        </w:rPr>
        <w:t>Protección de Datos Personales del Estado de México y Municipios, con domicilio en Metepec, Estado de México, de fecha</w:t>
      </w:r>
      <w:r w:rsidR="00F33150" w:rsidRPr="00025123">
        <w:rPr>
          <w:rFonts w:ascii="Palatino Linotype" w:hAnsi="Palatino Linotype" w:cs="Tahoma"/>
          <w:bCs/>
          <w:sz w:val="22"/>
          <w:szCs w:val="22"/>
        </w:rPr>
        <w:t xml:space="preserve"> </w:t>
      </w:r>
      <w:r w:rsidR="001E58DA" w:rsidRPr="00025123">
        <w:rPr>
          <w:rFonts w:ascii="Palatino Linotype" w:hAnsi="Palatino Linotype" w:cs="Tahoma"/>
          <w:bCs/>
          <w:sz w:val="22"/>
          <w:szCs w:val="22"/>
        </w:rPr>
        <w:t>veinte</w:t>
      </w:r>
      <w:r w:rsidR="00520C3D" w:rsidRPr="00025123">
        <w:rPr>
          <w:rFonts w:ascii="Palatino Linotype" w:hAnsi="Palatino Linotype" w:cs="Tahoma"/>
          <w:bCs/>
          <w:sz w:val="22"/>
          <w:szCs w:val="22"/>
        </w:rPr>
        <w:t xml:space="preserve"> </w:t>
      </w:r>
      <w:r w:rsidR="004F0A2C" w:rsidRPr="00025123">
        <w:rPr>
          <w:rFonts w:ascii="Palatino Linotype" w:hAnsi="Palatino Linotype" w:cs="Tahoma"/>
          <w:bCs/>
          <w:sz w:val="22"/>
          <w:szCs w:val="22"/>
        </w:rPr>
        <w:t xml:space="preserve">de </w:t>
      </w:r>
      <w:r w:rsidR="00E266DC" w:rsidRPr="00025123">
        <w:rPr>
          <w:rFonts w:ascii="Palatino Linotype" w:hAnsi="Palatino Linotype" w:cs="Tahoma"/>
          <w:bCs/>
          <w:sz w:val="22"/>
          <w:szCs w:val="22"/>
        </w:rPr>
        <w:t xml:space="preserve">marzo </w:t>
      </w:r>
      <w:r w:rsidR="00881C2B" w:rsidRPr="00025123">
        <w:rPr>
          <w:rFonts w:ascii="Palatino Linotype" w:hAnsi="Palatino Linotype" w:cs="Tahoma"/>
          <w:bCs/>
          <w:sz w:val="22"/>
          <w:szCs w:val="22"/>
        </w:rPr>
        <w:t>de dos mil veintic</w:t>
      </w:r>
      <w:r w:rsidR="00F33150" w:rsidRPr="00025123">
        <w:rPr>
          <w:rFonts w:ascii="Palatino Linotype" w:hAnsi="Palatino Linotype" w:cs="Tahoma"/>
          <w:bCs/>
          <w:sz w:val="22"/>
          <w:szCs w:val="22"/>
        </w:rPr>
        <w:t>inco</w:t>
      </w:r>
      <w:r w:rsidRPr="00025123">
        <w:rPr>
          <w:rFonts w:ascii="Palatino Linotype" w:hAnsi="Palatino Linotype" w:cs="Tahoma"/>
          <w:bCs/>
          <w:sz w:val="22"/>
          <w:szCs w:val="22"/>
        </w:rPr>
        <w:t xml:space="preserve">. </w:t>
      </w:r>
    </w:p>
    <w:p w14:paraId="7922BAAD" w14:textId="77777777" w:rsidR="00F82637" w:rsidRPr="00025123"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337F3266" w:rsidR="00F82637" w:rsidRPr="00025123"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025123">
        <w:rPr>
          <w:rFonts w:ascii="Palatino Linotype" w:eastAsiaTheme="minorHAnsi" w:hAnsi="Palatino Linotype" w:cstheme="minorBidi"/>
          <w:b/>
          <w:bCs/>
          <w:color w:val="000000" w:themeColor="text1"/>
          <w:sz w:val="22"/>
          <w:szCs w:val="22"/>
          <w:lang w:eastAsia="en-US"/>
        </w:rPr>
        <w:t xml:space="preserve">VISTO </w:t>
      </w:r>
      <w:r w:rsidRPr="00025123">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1E58DA" w:rsidRPr="007F2413">
        <w:rPr>
          <w:rFonts w:ascii="Palatino Linotype" w:eastAsiaTheme="minorHAnsi" w:hAnsi="Palatino Linotype" w:cstheme="minorBidi"/>
          <w:b/>
          <w:bCs/>
          <w:color w:val="000000" w:themeColor="text1"/>
          <w:sz w:val="22"/>
          <w:szCs w:val="22"/>
          <w:lang w:eastAsia="en-US"/>
        </w:rPr>
        <w:t>01631/INFOEM/IP/RR/2025</w:t>
      </w:r>
      <w:r w:rsidRPr="00025123">
        <w:rPr>
          <w:rFonts w:ascii="Palatino Linotype" w:eastAsiaTheme="minorHAnsi" w:hAnsi="Palatino Linotype" w:cstheme="minorBidi"/>
          <w:color w:val="000000" w:themeColor="text1"/>
          <w:sz w:val="22"/>
          <w:szCs w:val="22"/>
          <w:lang w:eastAsia="en-US"/>
        </w:rPr>
        <w:t>, inter</w:t>
      </w:r>
      <w:r w:rsidR="001723FE" w:rsidRPr="00025123">
        <w:rPr>
          <w:rFonts w:ascii="Palatino Linotype" w:eastAsiaTheme="minorHAnsi" w:hAnsi="Palatino Linotype" w:cstheme="minorBidi"/>
          <w:color w:val="000000" w:themeColor="text1"/>
          <w:sz w:val="22"/>
          <w:szCs w:val="22"/>
          <w:lang w:eastAsia="en-US"/>
        </w:rPr>
        <w:t xml:space="preserve">puesto </w:t>
      </w:r>
      <w:r w:rsidR="007F28D2" w:rsidRPr="00025123">
        <w:rPr>
          <w:rFonts w:ascii="Palatino Linotype" w:eastAsiaTheme="minorHAnsi" w:hAnsi="Palatino Linotype" w:cstheme="minorBidi"/>
          <w:color w:val="000000" w:themeColor="text1"/>
          <w:sz w:val="22"/>
          <w:szCs w:val="22"/>
          <w:lang w:eastAsia="en-US"/>
        </w:rPr>
        <w:t>por</w:t>
      </w:r>
      <w:r w:rsidR="001E58DA" w:rsidRPr="00025123">
        <w:rPr>
          <w:rFonts w:ascii="Palatino Linotype" w:eastAsiaTheme="minorHAnsi" w:hAnsi="Palatino Linotype" w:cstheme="minorBidi"/>
          <w:color w:val="000000" w:themeColor="text1"/>
          <w:sz w:val="22"/>
          <w:szCs w:val="22"/>
          <w:lang w:eastAsia="en-US"/>
        </w:rPr>
        <w:t xml:space="preserve"> </w:t>
      </w:r>
      <w:r w:rsidR="00A65074" w:rsidRPr="00A65074">
        <w:rPr>
          <w:rFonts w:ascii="Palatino Linotype" w:eastAsiaTheme="minorHAnsi" w:hAnsi="Palatino Linotype" w:cstheme="minorBidi"/>
          <w:b/>
          <w:color w:val="000000" w:themeColor="text1"/>
          <w:sz w:val="22"/>
          <w:szCs w:val="22"/>
          <w:highlight w:val="black"/>
          <w:lang w:eastAsia="en-US"/>
        </w:rPr>
        <w:t>XXXXXX</w:t>
      </w:r>
      <w:r w:rsidR="001E58DA" w:rsidRPr="00025123">
        <w:rPr>
          <w:rFonts w:ascii="Palatino Linotype" w:eastAsiaTheme="minorHAnsi" w:hAnsi="Palatino Linotype" w:cstheme="minorBidi"/>
          <w:color w:val="000000" w:themeColor="text1"/>
          <w:sz w:val="22"/>
          <w:szCs w:val="22"/>
          <w:lang w:eastAsia="en-US"/>
        </w:rPr>
        <w:t>, en lo sucesivo,</w:t>
      </w:r>
      <w:r w:rsidR="00BA0893" w:rsidRPr="00025123">
        <w:rPr>
          <w:rFonts w:ascii="Palatino Linotype" w:eastAsiaTheme="minorHAnsi" w:hAnsi="Palatino Linotype" w:cstheme="minorBidi"/>
          <w:color w:val="000000" w:themeColor="text1"/>
          <w:sz w:val="22"/>
          <w:szCs w:val="22"/>
          <w:lang w:eastAsia="en-US"/>
        </w:rPr>
        <w:t xml:space="preserve"> </w:t>
      </w:r>
      <w:r w:rsidR="00E266DC" w:rsidRPr="00025123">
        <w:rPr>
          <w:rFonts w:ascii="Palatino Linotype" w:eastAsiaTheme="minorHAnsi" w:hAnsi="Palatino Linotype" w:cstheme="minorBidi"/>
          <w:color w:val="000000" w:themeColor="text1"/>
          <w:sz w:val="22"/>
          <w:szCs w:val="22"/>
          <w:lang w:eastAsia="en-US"/>
        </w:rPr>
        <w:t xml:space="preserve">la </w:t>
      </w:r>
      <w:r w:rsidR="00281735" w:rsidRPr="00025123">
        <w:rPr>
          <w:rFonts w:ascii="Palatino Linotype" w:eastAsiaTheme="minorHAnsi" w:hAnsi="Palatino Linotype" w:cstheme="minorBidi"/>
          <w:color w:val="000000" w:themeColor="text1"/>
          <w:sz w:val="22"/>
          <w:szCs w:val="22"/>
          <w:lang w:eastAsia="en-US"/>
        </w:rPr>
        <w:t xml:space="preserve">persona </w:t>
      </w:r>
      <w:r w:rsidRPr="00025123">
        <w:rPr>
          <w:rFonts w:ascii="Palatino Linotype" w:eastAsiaTheme="minorHAnsi" w:hAnsi="Palatino Linotype" w:cs="Tahoma"/>
          <w:color w:val="0D0D0D" w:themeColor="text1" w:themeTint="F2"/>
          <w:sz w:val="22"/>
          <w:szCs w:val="22"/>
          <w:lang w:eastAsia="en-US"/>
        </w:rPr>
        <w:t>Recurrente o Particular</w:t>
      </w:r>
      <w:r w:rsidRPr="00025123">
        <w:rPr>
          <w:rFonts w:ascii="Palatino Linotype" w:eastAsiaTheme="minorHAnsi" w:hAnsi="Palatino Linotype" w:cstheme="minorBidi"/>
          <w:color w:val="000000" w:themeColor="text1"/>
          <w:sz w:val="22"/>
          <w:szCs w:val="22"/>
          <w:lang w:eastAsia="en-US"/>
        </w:rPr>
        <w:t xml:space="preserve">, en contra de la </w:t>
      </w:r>
      <w:r w:rsidR="003B4F63" w:rsidRPr="00025123">
        <w:rPr>
          <w:rFonts w:ascii="Palatino Linotype" w:eastAsiaTheme="minorHAnsi" w:hAnsi="Palatino Linotype" w:cstheme="minorBidi"/>
          <w:color w:val="000000" w:themeColor="text1"/>
          <w:sz w:val="22"/>
          <w:szCs w:val="22"/>
          <w:lang w:eastAsia="en-US"/>
        </w:rPr>
        <w:t xml:space="preserve">falta de </w:t>
      </w:r>
      <w:r w:rsidRPr="00025123">
        <w:rPr>
          <w:rFonts w:ascii="Palatino Linotype" w:eastAsiaTheme="minorHAnsi" w:hAnsi="Palatino Linotype" w:cstheme="minorBidi"/>
          <w:color w:val="000000" w:themeColor="text1"/>
          <w:sz w:val="22"/>
          <w:szCs w:val="22"/>
          <w:lang w:eastAsia="en-US"/>
        </w:rPr>
        <w:t xml:space="preserve">respuesta del Sujeto Obligado, </w:t>
      </w:r>
      <w:r w:rsidR="00192688" w:rsidRPr="007F2413">
        <w:rPr>
          <w:rFonts w:ascii="Palatino Linotype" w:eastAsia="Calibri" w:hAnsi="Palatino Linotype" w:cs="Tahoma"/>
          <w:b/>
          <w:bCs/>
          <w:sz w:val="22"/>
          <w:szCs w:val="22"/>
          <w:lang w:eastAsia="en-US"/>
        </w:rPr>
        <w:t>Organismo Público Descentralizado para la Prestación de los Servicios de Agua Potable Alcantarillado y Saneamiento del Municipio de la Paz</w:t>
      </w:r>
      <w:r w:rsidRPr="007F2413">
        <w:rPr>
          <w:rFonts w:ascii="Palatino Linotype" w:eastAsiaTheme="minorHAnsi" w:hAnsi="Palatino Linotype" w:cstheme="minorBidi"/>
          <w:b/>
          <w:color w:val="000000" w:themeColor="text1"/>
          <w:sz w:val="22"/>
          <w:szCs w:val="22"/>
          <w:lang w:eastAsia="en-US"/>
        </w:rPr>
        <w:t>,</w:t>
      </w:r>
      <w:r w:rsidRPr="00025123">
        <w:rPr>
          <w:rFonts w:ascii="Palatino Linotype" w:eastAsiaTheme="minorHAnsi" w:hAnsi="Palatino Linotype" w:cstheme="minorBidi"/>
          <w:color w:val="000000" w:themeColor="text1"/>
          <w:sz w:val="22"/>
          <w:szCs w:val="22"/>
          <w:lang w:eastAsia="en-US"/>
        </w:rPr>
        <w:t xml:space="preserve"> a la solicitud de acceso a la información </w:t>
      </w:r>
      <w:r w:rsidR="00071ABF" w:rsidRPr="00025123">
        <w:rPr>
          <w:rFonts w:ascii="Palatino Linotype" w:eastAsiaTheme="minorHAnsi" w:hAnsi="Palatino Linotype" w:cstheme="minorBidi"/>
          <w:color w:val="000000" w:themeColor="text1"/>
          <w:sz w:val="22"/>
          <w:szCs w:val="22"/>
          <w:lang w:eastAsia="en-US"/>
        </w:rPr>
        <w:t xml:space="preserve">pública </w:t>
      </w:r>
      <w:r w:rsidR="001E58DA" w:rsidRPr="00025123">
        <w:rPr>
          <w:rFonts w:ascii="Palatino Linotype" w:eastAsiaTheme="minorHAnsi" w:hAnsi="Palatino Linotype" w:cstheme="minorBidi"/>
          <w:color w:val="000000" w:themeColor="text1"/>
          <w:sz w:val="22"/>
          <w:szCs w:val="22"/>
          <w:lang w:eastAsia="en-US"/>
        </w:rPr>
        <w:t>00007/OASLAPAZ/IP/2025</w:t>
      </w:r>
      <w:r w:rsidRPr="00025123">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025123">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025123" w:rsidRDefault="008F4B45" w:rsidP="002B57E5">
      <w:pPr>
        <w:pStyle w:val="Subttulo"/>
      </w:pPr>
    </w:p>
    <w:p w14:paraId="45CF508A" w14:textId="6496B8EC" w:rsidR="008F4B45" w:rsidRPr="00025123" w:rsidRDefault="003F5E0D" w:rsidP="002B57E5">
      <w:pPr>
        <w:pStyle w:val="Ttulo1"/>
      </w:pPr>
      <w:bookmarkStart w:id="0" w:name="_Toc193382911"/>
      <w:r w:rsidRPr="00025123">
        <w:t>A N T E C E D E N T E S</w:t>
      </w:r>
      <w:bookmarkEnd w:id="0"/>
    </w:p>
    <w:p w14:paraId="3D51A562" w14:textId="77777777" w:rsidR="008F4B45" w:rsidRPr="00025123" w:rsidRDefault="008F4B45" w:rsidP="002B57E5">
      <w:pPr>
        <w:pStyle w:val="ResolucinV"/>
      </w:pPr>
    </w:p>
    <w:p w14:paraId="07539392" w14:textId="0541120D" w:rsidR="00F469B3" w:rsidRPr="00025123" w:rsidRDefault="00F469B3" w:rsidP="002B57E5">
      <w:pPr>
        <w:pStyle w:val="Ttulo2"/>
      </w:pPr>
      <w:bookmarkStart w:id="1" w:name="_Toc193382912"/>
      <w:r w:rsidRPr="00025123">
        <w:t>I. Presentación de la solicitud de información</w:t>
      </w:r>
      <w:bookmarkEnd w:id="1"/>
    </w:p>
    <w:p w14:paraId="2C510854" w14:textId="77777777" w:rsidR="00F469B3" w:rsidRPr="00025123" w:rsidRDefault="00F469B3" w:rsidP="004F4E53">
      <w:pPr>
        <w:tabs>
          <w:tab w:val="left" w:pos="567"/>
        </w:tabs>
        <w:spacing w:line="360" w:lineRule="auto"/>
        <w:jc w:val="both"/>
        <w:rPr>
          <w:rFonts w:ascii="Palatino Linotype" w:hAnsi="Palatino Linotype" w:cs="Tahoma"/>
          <w:sz w:val="22"/>
          <w:szCs w:val="22"/>
        </w:rPr>
      </w:pPr>
    </w:p>
    <w:p w14:paraId="0F999651" w14:textId="6909D0B0" w:rsidR="00253EAE" w:rsidRPr="00025123" w:rsidRDefault="00542F88" w:rsidP="00253EAE">
      <w:pPr>
        <w:autoSpaceDE w:val="0"/>
        <w:autoSpaceDN w:val="0"/>
        <w:adjustRightInd w:val="0"/>
        <w:spacing w:line="360" w:lineRule="auto"/>
        <w:jc w:val="both"/>
        <w:rPr>
          <w:rFonts w:ascii="Palatino Linotype" w:hAnsi="Palatino Linotype" w:cs="Tahoma"/>
          <w:bCs/>
          <w:sz w:val="22"/>
          <w:szCs w:val="22"/>
        </w:rPr>
      </w:pPr>
      <w:r w:rsidRPr="00025123">
        <w:rPr>
          <w:rFonts w:ascii="Palatino Linotype" w:eastAsiaTheme="minorHAnsi" w:hAnsi="Palatino Linotype" w:cs="Tahoma"/>
          <w:color w:val="000000" w:themeColor="text1"/>
          <w:sz w:val="22"/>
          <w:szCs w:val="22"/>
          <w:lang w:eastAsia="en-US"/>
        </w:rPr>
        <w:t xml:space="preserve">El </w:t>
      </w:r>
      <w:r w:rsidR="001E58DA" w:rsidRPr="00025123">
        <w:rPr>
          <w:rFonts w:ascii="Palatino Linotype" w:eastAsiaTheme="minorHAnsi" w:hAnsi="Palatino Linotype" w:cs="Tahoma"/>
          <w:color w:val="000000" w:themeColor="text1"/>
          <w:sz w:val="22"/>
          <w:szCs w:val="22"/>
          <w:lang w:eastAsia="en-US"/>
        </w:rPr>
        <w:t xml:space="preserve">veintidós </w:t>
      </w:r>
      <w:r w:rsidR="00BA0893" w:rsidRPr="00025123">
        <w:rPr>
          <w:rFonts w:ascii="Palatino Linotype" w:eastAsiaTheme="minorHAnsi" w:hAnsi="Palatino Linotype" w:cs="Tahoma"/>
          <w:color w:val="000000" w:themeColor="text1"/>
          <w:sz w:val="22"/>
          <w:szCs w:val="22"/>
          <w:lang w:eastAsia="en-US"/>
        </w:rPr>
        <w:t>de enero de dos mil veinticinco</w:t>
      </w:r>
      <w:r w:rsidR="00E266DC" w:rsidRPr="00025123">
        <w:rPr>
          <w:rFonts w:ascii="Palatino Linotype" w:eastAsiaTheme="minorHAnsi" w:hAnsi="Palatino Linotype" w:cs="Tahoma"/>
          <w:color w:val="000000" w:themeColor="text1"/>
          <w:sz w:val="22"/>
          <w:szCs w:val="22"/>
          <w:lang w:eastAsia="en-US"/>
        </w:rPr>
        <w:t>,</w:t>
      </w:r>
      <w:r w:rsidR="00253EAE" w:rsidRPr="00025123">
        <w:rPr>
          <w:rFonts w:ascii="Palatino Linotype" w:hAnsi="Palatino Linotype" w:cs="Tahoma"/>
          <w:sz w:val="22"/>
          <w:szCs w:val="22"/>
        </w:rPr>
        <w:t xml:space="preserve"> el Particular presentó una solicitud de acceso a la información pública, a través del Sistema de Acceso a la Información Mexiquense (SAIMEX), ante el</w:t>
      </w:r>
      <w:r w:rsidR="003E16CF" w:rsidRPr="00025123">
        <w:rPr>
          <w:rFonts w:ascii="Palatino Linotype" w:eastAsia="Calibri" w:hAnsi="Palatino Linotype" w:cs="Tahoma"/>
          <w:sz w:val="22"/>
          <w:szCs w:val="22"/>
          <w:lang w:eastAsia="en-US"/>
        </w:rPr>
        <w:t xml:space="preserve"> </w:t>
      </w:r>
      <w:r w:rsidR="00192688" w:rsidRPr="00025123">
        <w:rPr>
          <w:rFonts w:ascii="Palatino Linotype" w:eastAsia="Calibri" w:hAnsi="Palatino Linotype" w:cs="Tahoma"/>
          <w:bCs/>
          <w:sz w:val="22"/>
          <w:szCs w:val="22"/>
          <w:lang w:eastAsia="en-US"/>
        </w:rPr>
        <w:t>Organismo Público Descentralizado para la Prestación de los Servicios de Agua Potable Alcantarillado y Saneamiento del Municipio de la Paz</w:t>
      </w:r>
      <w:r w:rsidR="00253EAE" w:rsidRPr="00025123">
        <w:rPr>
          <w:rFonts w:ascii="Palatino Linotype" w:hAnsi="Palatino Linotype"/>
          <w:bCs/>
          <w:sz w:val="22"/>
          <w:szCs w:val="22"/>
        </w:rPr>
        <w:t>,</w:t>
      </w:r>
      <w:r w:rsidR="00253EAE" w:rsidRPr="00025123">
        <w:rPr>
          <w:rFonts w:ascii="Palatino Linotype" w:hAnsi="Palatino Linotype" w:cs="Tahoma"/>
          <w:bCs/>
          <w:sz w:val="22"/>
          <w:szCs w:val="22"/>
        </w:rPr>
        <w:t xml:space="preserve"> en los siguientes términos:</w:t>
      </w:r>
    </w:p>
    <w:p w14:paraId="5355BB76" w14:textId="77777777" w:rsidR="001E58DA" w:rsidRPr="00025123" w:rsidRDefault="001E58DA" w:rsidP="00253EAE">
      <w:pPr>
        <w:autoSpaceDE w:val="0"/>
        <w:autoSpaceDN w:val="0"/>
        <w:adjustRightInd w:val="0"/>
        <w:spacing w:line="360" w:lineRule="auto"/>
        <w:jc w:val="both"/>
        <w:rPr>
          <w:rFonts w:ascii="Palatino Linotype" w:hAnsi="Palatino Linotype" w:cs="Tahoma"/>
          <w:bCs/>
          <w:sz w:val="22"/>
          <w:szCs w:val="22"/>
        </w:rPr>
      </w:pPr>
    </w:p>
    <w:p w14:paraId="3A2D5F2E" w14:textId="77777777" w:rsidR="001E58DA" w:rsidRPr="00025123" w:rsidRDefault="001E58DA"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122865B0" w14:textId="77777777" w:rsidR="00253EAE" w:rsidRPr="00025123"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025123" w:rsidRDefault="003A796B" w:rsidP="00253EAE">
      <w:pPr>
        <w:tabs>
          <w:tab w:val="left" w:pos="4667"/>
        </w:tabs>
        <w:spacing w:line="360" w:lineRule="auto"/>
        <w:ind w:left="567" w:right="567"/>
        <w:jc w:val="both"/>
        <w:rPr>
          <w:rFonts w:ascii="Palatino Linotype" w:hAnsi="Palatino Linotype" w:cs="Tahoma"/>
          <w:b/>
          <w:bCs/>
          <w:i/>
        </w:rPr>
      </w:pPr>
      <w:r w:rsidRPr="00025123">
        <w:rPr>
          <w:rFonts w:ascii="Palatino Linotype" w:hAnsi="Palatino Linotype" w:cs="Tahoma"/>
          <w:b/>
          <w:bCs/>
          <w:i/>
        </w:rPr>
        <w:lastRenderedPageBreak/>
        <w:t>“</w:t>
      </w:r>
      <w:r w:rsidR="00253EAE" w:rsidRPr="00025123">
        <w:rPr>
          <w:rFonts w:ascii="Palatino Linotype" w:hAnsi="Palatino Linotype" w:cs="Tahoma"/>
          <w:b/>
          <w:bCs/>
          <w:i/>
        </w:rPr>
        <w:t>DESCRIPCIÓN CLARA Y PRECISA DE LA INFORMACIÓN SOLICITADA</w:t>
      </w:r>
    </w:p>
    <w:p w14:paraId="372368C1" w14:textId="2EABBFA0" w:rsidR="00253EAE" w:rsidRPr="00025123" w:rsidRDefault="001E58DA" w:rsidP="00253EAE">
      <w:pPr>
        <w:tabs>
          <w:tab w:val="left" w:pos="4667"/>
        </w:tabs>
        <w:spacing w:line="360" w:lineRule="auto"/>
        <w:ind w:left="567" w:right="567"/>
        <w:jc w:val="both"/>
        <w:rPr>
          <w:rFonts w:ascii="Palatino Linotype" w:hAnsi="Palatino Linotype" w:cs="Tahoma"/>
          <w:bCs/>
          <w:i/>
        </w:rPr>
      </w:pPr>
      <w:r w:rsidRPr="00025123">
        <w:rPr>
          <w:rFonts w:ascii="Palatino Linotype" w:hAnsi="Palatino Linotype" w:cs="Tahoma"/>
          <w:bCs/>
          <w:i/>
        </w:rPr>
        <w:t>QUIERO QUE SE ENVIE EL CURRICULUM VITAE DEL DIRECTOR ...QUIERO QUE SE ME ENVIEN LOS DOCUMENTOS QUE ACREDITEN EL GRADO ACADEMICO Y LOS DOCUMENTOS QUE ACREDITEN SU EXPERIENCIA LABORAL</w:t>
      </w:r>
      <w:r w:rsidR="00253EAE" w:rsidRPr="00025123">
        <w:rPr>
          <w:rFonts w:ascii="Palatino Linotype" w:hAnsi="Palatino Linotype" w:cs="Tahoma"/>
          <w:bCs/>
          <w:i/>
        </w:rPr>
        <w:t>”</w:t>
      </w:r>
      <w:r w:rsidR="00071ABF" w:rsidRPr="00025123">
        <w:rPr>
          <w:rFonts w:ascii="Palatino Linotype" w:hAnsi="Palatino Linotype" w:cs="Tahoma"/>
          <w:bCs/>
          <w:i/>
        </w:rPr>
        <w:t xml:space="preserve"> (Sic.)</w:t>
      </w:r>
    </w:p>
    <w:p w14:paraId="1DBA1A78" w14:textId="77777777" w:rsidR="00A90989" w:rsidRPr="00025123" w:rsidRDefault="00A90989" w:rsidP="00E266DC">
      <w:pPr>
        <w:tabs>
          <w:tab w:val="left" w:pos="4667"/>
        </w:tabs>
        <w:spacing w:line="360" w:lineRule="auto"/>
        <w:ind w:right="567"/>
        <w:jc w:val="both"/>
        <w:rPr>
          <w:rFonts w:ascii="Palatino Linotype" w:hAnsi="Palatino Linotype" w:cs="Tahoma"/>
          <w:bCs/>
          <w:i/>
        </w:rPr>
      </w:pPr>
    </w:p>
    <w:p w14:paraId="328702F2" w14:textId="318B7756" w:rsidR="00253EAE" w:rsidRPr="00025123" w:rsidRDefault="003A796B" w:rsidP="00253EAE">
      <w:pPr>
        <w:tabs>
          <w:tab w:val="left" w:pos="4667"/>
        </w:tabs>
        <w:spacing w:line="360" w:lineRule="auto"/>
        <w:ind w:left="567" w:right="567"/>
        <w:jc w:val="both"/>
        <w:rPr>
          <w:rFonts w:ascii="Palatino Linotype" w:hAnsi="Palatino Linotype" w:cs="Tahoma"/>
          <w:b/>
          <w:bCs/>
          <w:i/>
          <w:iCs/>
        </w:rPr>
      </w:pPr>
      <w:r w:rsidRPr="00025123">
        <w:rPr>
          <w:rFonts w:ascii="Palatino Linotype" w:hAnsi="Palatino Linotype" w:cs="Tahoma"/>
          <w:b/>
          <w:bCs/>
          <w:i/>
          <w:iCs/>
        </w:rPr>
        <w:t>“</w:t>
      </w:r>
      <w:r w:rsidR="00253EAE" w:rsidRPr="00025123">
        <w:rPr>
          <w:rFonts w:ascii="Palatino Linotype" w:hAnsi="Palatino Linotype" w:cs="Tahoma"/>
          <w:b/>
          <w:bCs/>
          <w:i/>
          <w:iCs/>
        </w:rPr>
        <w:t>MODALIDAD DE ENTREGA</w:t>
      </w:r>
    </w:p>
    <w:p w14:paraId="0088BDE8" w14:textId="4E6DDB9C" w:rsidR="00253EAE" w:rsidRPr="00025123" w:rsidRDefault="00253EAE" w:rsidP="00253EAE">
      <w:pPr>
        <w:spacing w:line="360" w:lineRule="auto"/>
        <w:ind w:left="567" w:right="567"/>
        <w:jc w:val="both"/>
        <w:rPr>
          <w:rFonts w:ascii="Palatino Linotype" w:hAnsi="Palatino Linotype" w:cs="Arial"/>
          <w:bCs/>
          <w:i/>
          <w:iCs/>
        </w:rPr>
      </w:pPr>
      <w:r w:rsidRPr="00025123">
        <w:rPr>
          <w:rFonts w:ascii="Palatino Linotype" w:hAnsi="Palatino Linotype" w:cs="Arial"/>
          <w:bCs/>
          <w:i/>
          <w:iCs/>
        </w:rPr>
        <w:t xml:space="preserve">A través del SAIMEX” </w:t>
      </w:r>
    </w:p>
    <w:p w14:paraId="1A6019ED" w14:textId="77777777" w:rsidR="004805C1" w:rsidRPr="00025123" w:rsidRDefault="004805C1" w:rsidP="002B57E5">
      <w:pPr>
        <w:pStyle w:val="Ttulo2"/>
      </w:pPr>
    </w:p>
    <w:p w14:paraId="4A453407" w14:textId="335FA941" w:rsidR="00F469B3" w:rsidRPr="00025123" w:rsidRDefault="00F469B3" w:rsidP="002B57E5">
      <w:pPr>
        <w:pStyle w:val="Ttulo2"/>
      </w:pPr>
      <w:bookmarkStart w:id="2" w:name="_Toc193382913"/>
      <w:r w:rsidRPr="00025123">
        <w:t>I</w:t>
      </w:r>
      <w:r w:rsidR="004805C1" w:rsidRPr="00025123">
        <w:t>I</w:t>
      </w:r>
      <w:r w:rsidRPr="00025123">
        <w:t>. Respuesta del Sujeto Obligado</w:t>
      </w:r>
      <w:bookmarkEnd w:id="2"/>
    </w:p>
    <w:p w14:paraId="4ED48BC3" w14:textId="77777777" w:rsidR="0053216F" w:rsidRPr="00025123"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300FC30E" w:rsidR="003942CB" w:rsidRPr="00025123"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025123">
        <w:rPr>
          <w:rFonts w:ascii="Palatino Linotype" w:eastAsiaTheme="minorHAnsi" w:hAnsi="Palatino Linotype" w:cstheme="minorBidi"/>
          <w:color w:val="000000" w:themeColor="text1"/>
          <w:sz w:val="22"/>
          <w:szCs w:val="22"/>
          <w:lang w:eastAsia="en-US"/>
        </w:rPr>
        <w:t>De</w:t>
      </w:r>
      <w:r w:rsidR="00B47F6F" w:rsidRPr="00025123">
        <w:rPr>
          <w:rFonts w:ascii="Palatino Linotype" w:eastAsiaTheme="minorHAnsi" w:hAnsi="Palatino Linotype" w:cstheme="minorBidi"/>
          <w:color w:val="000000" w:themeColor="text1"/>
          <w:sz w:val="22"/>
          <w:szCs w:val="22"/>
          <w:lang w:eastAsia="en-US"/>
        </w:rPr>
        <w:t xml:space="preserve"> conformidad con el artículo 163</w:t>
      </w:r>
      <w:r w:rsidRPr="00025123">
        <w:rPr>
          <w:rFonts w:ascii="Palatino Linotype" w:eastAsiaTheme="minorHAnsi" w:hAnsi="Palatino Linotype" w:cstheme="minorBidi"/>
          <w:color w:val="000000" w:themeColor="text1"/>
          <w:sz w:val="22"/>
          <w:szCs w:val="22"/>
          <w:lang w:eastAsia="en-US"/>
        </w:rPr>
        <w:t>, párrafo primero de la Ley de Transparencia y Acceso a</w:t>
      </w:r>
    </w:p>
    <w:p w14:paraId="72793F33" w14:textId="33AE7740" w:rsidR="003942CB" w:rsidRPr="00025123"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025123">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025123">
        <w:rPr>
          <w:rFonts w:ascii="Palatino Linotype" w:eastAsia="Calibri" w:hAnsi="Palatino Linotype" w:cs="Tahoma"/>
          <w:b/>
          <w:bCs/>
          <w:sz w:val="22"/>
          <w:szCs w:val="22"/>
          <w:lang w:eastAsia="en-US"/>
        </w:rPr>
        <w:t xml:space="preserve"> </w:t>
      </w:r>
      <w:r w:rsidR="00192688" w:rsidRPr="00025123">
        <w:rPr>
          <w:rFonts w:ascii="Palatino Linotype" w:eastAsia="Calibri" w:hAnsi="Palatino Linotype" w:cs="Tahoma"/>
          <w:b/>
          <w:bCs/>
          <w:sz w:val="22"/>
          <w:szCs w:val="22"/>
          <w:lang w:eastAsia="en-US"/>
        </w:rPr>
        <w:t>Organismo Público Descentralizado para la Prestación de los Servicios de Agua Potable Alcantarillado y Saneamiento del Municipio de la Paz</w:t>
      </w:r>
      <w:r w:rsidRPr="00025123">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025123">
        <w:rPr>
          <w:rFonts w:ascii="Palatino Linotype" w:eastAsiaTheme="minorHAnsi" w:hAnsi="Palatino Linotype" w:cstheme="minorBidi"/>
          <w:b/>
          <w:color w:val="000000" w:themeColor="text1"/>
          <w:sz w:val="22"/>
          <w:szCs w:val="22"/>
          <w:lang w:eastAsia="en-US"/>
        </w:rPr>
        <w:t>configura la negativa ficta</w:t>
      </w:r>
      <w:r w:rsidRPr="00025123">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025123" w:rsidRDefault="003942CB" w:rsidP="004F4E53">
      <w:pPr>
        <w:spacing w:line="360" w:lineRule="auto"/>
        <w:jc w:val="both"/>
        <w:rPr>
          <w:rFonts w:ascii="Palatino Linotype" w:hAnsi="Palatino Linotype" w:cs="Tahoma"/>
          <w:bCs/>
          <w:iCs/>
          <w:color w:val="000000" w:themeColor="text1"/>
          <w:sz w:val="22"/>
          <w:szCs w:val="22"/>
        </w:rPr>
      </w:pPr>
    </w:p>
    <w:p w14:paraId="6E7C6651" w14:textId="396CB299" w:rsidR="00F469B3" w:rsidRPr="00025123" w:rsidRDefault="00F469B3" w:rsidP="002B57E5">
      <w:pPr>
        <w:pStyle w:val="Ttulo2"/>
        <w:rPr>
          <w:lang w:eastAsia="en-US"/>
        </w:rPr>
      </w:pPr>
      <w:bookmarkStart w:id="3" w:name="_Toc193382914"/>
      <w:r w:rsidRPr="00025123">
        <w:rPr>
          <w:lang w:eastAsia="en-US"/>
        </w:rPr>
        <w:t>I</w:t>
      </w:r>
      <w:r w:rsidR="00D2369D" w:rsidRPr="00025123">
        <w:rPr>
          <w:lang w:eastAsia="en-US"/>
        </w:rPr>
        <w:t>II</w:t>
      </w:r>
      <w:r w:rsidRPr="00025123">
        <w:rPr>
          <w:lang w:eastAsia="en-US"/>
        </w:rPr>
        <w:t>. Interposición del Recurso de Revisión</w:t>
      </w:r>
      <w:bookmarkEnd w:id="3"/>
    </w:p>
    <w:p w14:paraId="356E2604" w14:textId="77777777" w:rsidR="00F469B3" w:rsidRPr="00025123"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39A7B625" w:rsidR="00F469B3" w:rsidRPr="00025123" w:rsidRDefault="00B4118B" w:rsidP="004F4E53">
      <w:pPr>
        <w:spacing w:line="360" w:lineRule="auto"/>
        <w:jc w:val="both"/>
        <w:rPr>
          <w:rFonts w:ascii="Palatino Linotype" w:eastAsiaTheme="minorHAnsi" w:hAnsi="Palatino Linotype" w:cs="Tahoma"/>
          <w:sz w:val="22"/>
          <w:szCs w:val="22"/>
          <w:lang w:val="es-ES" w:eastAsia="en-US"/>
        </w:rPr>
      </w:pPr>
      <w:r w:rsidRPr="00025123">
        <w:rPr>
          <w:rFonts w:ascii="Palatino Linotype" w:eastAsiaTheme="minorHAnsi" w:hAnsi="Palatino Linotype" w:cs="Tahoma"/>
          <w:color w:val="000000" w:themeColor="text1"/>
          <w:sz w:val="22"/>
          <w:szCs w:val="22"/>
          <w:lang w:eastAsia="en-US"/>
        </w:rPr>
        <w:t>El</w:t>
      </w:r>
      <w:r w:rsidR="00F469B3" w:rsidRPr="00025123">
        <w:rPr>
          <w:rFonts w:ascii="Palatino Linotype" w:eastAsiaTheme="minorHAnsi" w:hAnsi="Palatino Linotype" w:cs="Tahoma"/>
          <w:color w:val="000000" w:themeColor="text1"/>
          <w:sz w:val="22"/>
          <w:szCs w:val="22"/>
          <w:lang w:eastAsia="en-US"/>
        </w:rPr>
        <w:t xml:space="preserve"> </w:t>
      </w:r>
      <w:r w:rsidR="00E266DC" w:rsidRPr="00025123">
        <w:rPr>
          <w:rFonts w:ascii="Palatino Linotype" w:hAnsi="Palatino Linotype" w:cs="Tahoma"/>
          <w:bCs/>
          <w:iCs/>
          <w:color w:val="000000" w:themeColor="text1"/>
          <w:sz w:val="22"/>
          <w:szCs w:val="22"/>
        </w:rPr>
        <w:t>diec</w:t>
      </w:r>
      <w:r w:rsidR="005073F3" w:rsidRPr="00025123">
        <w:rPr>
          <w:rFonts w:ascii="Palatino Linotype" w:hAnsi="Palatino Linotype" w:cs="Tahoma"/>
          <w:bCs/>
          <w:iCs/>
          <w:color w:val="000000" w:themeColor="text1"/>
          <w:sz w:val="22"/>
          <w:szCs w:val="22"/>
        </w:rPr>
        <w:t>iocho</w:t>
      </w:r>
      <w:r w:rsidR="00BA0893" w:rsidRPr="00025123">
        <w:rPr>
          <w:rFonts w:ascii="Palatino Linotype" w:hAnsi="Palatino Linotype" w:cs="Tahoma"/>
          <w:bCs/>
          <w:iCs/>
          <w:color w:val="000000" w:themeColor="text1"/>
          <w:sz w:val="22"/>
          <w:szCs w:val="22"/>
        </w:rPr>
        <w:t xml:space="preserve"> de febrero</w:t>
      </w:r>
      <w:r w:rsidR="00CF2FD4" w:rsidRPr="00025123">
        <w:rPr>
          <w:rFonts w:ascii="Palatino Linotype" w:hAnsi="Palatino Linotype" w:cs="Tahoma"/>
          <w:bCs/>
          <w:iCs/>
          <w:color w:val="000000" w:themeColor="text1"/>
          <w:sz w:val="22"/>
          <w:szCs w:val="22"/>
        </w:rPr>
        <w:t xml:space="preserve"> de dos mil veintic</w:t>
      </w:r>
      <w:r w:rsidR="003E16CF" w:rsidRPr="00025123">
        <w:rPr>
          <w:rFonts w:ascii="Palatino Linotype" w:hAnsi="Palatino Linotype" w:cs="Tahoma"/>
          <w:bCs/>
          <w:iCs/>
          <w:color w:val="000000" w:themeColor="text1"/>
          <w:sz w:val="22"/>
          <w:szCs w:val="22"/>
        </w:rPr>
        <w:t>inco</w:t>
      </w:r>
      <w:r w:rsidR="00F469B3" w:rsidRPr="00025123">
        <w:rPr>
          <w:rFonts w:ascii="Palatino Linotype" w:eastAsiaTheme="minorHAnsi" w:hAnsi="Palatino Linotype" w:cs="Tahoma"/>
          <w:color w:val="000000" w:themeColor="text1"/>
          <w:sz w:val="22"/>
          <w:szCs w:val="22"/>
          <w:lang w:eastAsia="en-US"/>
        </w:rPr>
        <w:t xml:space="preserve">, </w:t>
      </w:r>
      <w:r w:rsidR="00F469B3" w:rsidRPr="00025123">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025123">
        <w:rPr>
          <w:rFonts w:ascii="Palatino Linotype" w:eastAsiaTheme="minorHAnsi" w:hAnsi="Palatino Linotype" w:cs="Tahoma"/>
          <w:color w:val="000000" w:themeColor="text1"/>
          <w:sz w:val="22"/>
          <w:szCs w:val="22"/>
          <w:lang w:val="es-ES" w:eastAsia="en-US"/>
        </w:rPr>
        <w:t xml:space="preserve">falta de </w:t>
      </w:r>
      <w:r w:rsidR="00F469B3" w:rsidRPr="00025123">
        <w:rPr>
          <w:rFonts w:ascii="Palatino Linotype" w:eastAsiaTheme="minorHAnsi" w:hAnsi="Palatino Linotype" w:cs="Tahoma"/>
          <w:color w:val="000000" w:themeColor="text1"/>
          <w:sz w:val="22"/>
          <w:szCs w:val="22"/>
          <w:lang w:val="es-ES" w:eastAsia="en-US"/>
        </w:rPr>
        <w:t>respuesta por el</w:t>
      </w:r>
      <w:r w:rsidR="00542F88" w:rsidRPr="00025123">
        <w:rPr>
          <w:rFonts w:ascii="Palatino Linotype" w:eastAsia="Calibri" w:hAnsi="Palatino Linotype" w:cs="Tahoma"/>
          <w:sz w:val="22"/>
          <w:szCs w:val="22"/>
          <w:lang w:eastAsia="en-US"/>
        </w:rPr>
        <w:t xml:space="preserve"> Sujeto Obligado</w:t>
      </w:r>
      <w:r w:rsidR="00F469B3" w:rsidRPr="00025123">
        <w:rPr>
          <w:rFonts w:ascii="Palatino Linotype" w:eastAsiaTheme="minorHAnsi" w:hAnsi="Palatino Linotype" w:cs="Tahoma"/>
          <w:color w:val="000000" w:themeColor="text1"/>
          <w:sz w:val="22"/>
          <w:szCs w:val="22"/>
          <w:lang w:val="es-ES" w:eastAsia="en-US"/>
        </w:rPr>
        <w:t>, a la solicitud de información</w:t>
      </w:r>
      <w:r w:rsidR="00EB0141" w:rsidRPr="00025123">
        <w:rPr>
          <w:rFonts w:ascii="Palatino Linotype" w:eastAsiaTheme="minorHAnsi" w:hAnsi="Palatino Linotype" w:cs="Tahoma"/>
          <w:color w:val="000000" w:themeColor="text1"/>
          <w:sz w:val="22"/>
          <w:szCs w:val="22"/>
          <w:lang w:val="es-ES" w:eastAsia="en-US"/>
        </w:rPr>
        <w:t>,</w:t>
      </w:r>
      <w:r w:rsidR="00F469B3" w:rsidRPr="00025123">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025123"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025123" w:rsidRDefault="00A90989"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025123">
        <w:rPr>
          <w:rFonts w:ascii="Palatino Linotype" w:eastAsiaTheme="minorHAnsi" w:hAnsi="Palatino Linotype" w:cstheme="minorBidi"/>
          <w:b/>
          <w:bCs/>
          <w:i/>
          <w:color w:val="000000" w:themeColor="text1"/>
          <w:lang w:eastAsia="en-US"/>
        </w:rPr>
        <w:t>“</w:t>
      </w:r>
      <w:r w:rsidR="00F469B3" w:rsidRPr="00025123">
        <w:rPr>
          <w:rFonts w:ascii="Palatino Linotype" w:eastAsiaTheme="minorHAnsi" w:hAnsi="Palatino Linotype" w:cstheme="minorBidi"/>
          <w:b/>
          <w:bCs/>
          <w:i/>
          <w:color w:val="000000" w:themeColor="text1"/>
          <w:lang w:eastAsia="en-US"/>
        </w:rPr>
        <w:t>ACTO IMPUGNADO</w:t>
      </w:r>
    </w:p>
    <w:p w14:paraId="2E8033F2" w14:textId="2CC0C205" w:rsidR="00F469B3" w:rsidRPr="00025123" w:rsidRDefault="005073F3" w:rsidP="004F4E53">
      <w:pPr>
        <w:spacing w:line="360" w:lineRule="auto"/>
        <w:ind w:left="567" w:right="567"/>
        <w:jc w:val="both"/>
        <w:rPr>
          <w:rFonts w:ascii="Palatino Linotype" w:eastAsiaTheme="minorHAnsi" w:hAnsi="Palatino Linotype" w:cstheme="minorBidi"/>
          <w:i/>
          <w:color w:val="000000" w:themeColor="text1"/>
          <w:lang w:eastAsia="en-US"/>
        </w:rPr>
      </w:pPr>
      <w:r w:rsidRPr="00025123">
        <w:rPr>
          <w:rFonts w:ascii="Palatino Linotype" w:eastAsiaTheme="minorHAnsi" w:hAnsi="Palatino Linotype" w:cstheme="minorBidi"/>
          <w:i/>
          <w:color w:val="000000" w:themeColor="text1"/>
          <w:lang w:eastAsia="en-US"/>
        </w:rPr>
        <w:t>NO SE ME ENTREGA LA INFORMACION COMPLETA, SE ENTREGA INFORMACION INCOMPLETA</w:t>
      </w:r>
      <w:r w:rsidR="00E266DC" w:rsidRPr="00025123">
        <w:rPr>
          <w:rFonts w:ascii="Palatino Linotype" w:eastAsiaTheme="minorHAnsi" w:hAnsi="Palatino Linotype" w:cstheme="minorBidi"/>
          <w:i/>
          <w:color w:val="000000" w:themeColor="text1"/>
          <w:lang w:eastAsia="en-US"/>
        </w:rPr>
        <w:t xml:space="preserve">” </w:t>
      </w:r>
    </w:p>
    <w:p w14:paraId="344FD83C" w14:textId="77777777" w:rsidR="00474ED7" w:rsidRPr="00025123" w:rsidRDefault="00474ED7"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025123" w:rsidRDefault="00A90989" w:rsidP="00EB0141">
      <w:pPr>
        <w:spacing w:line="360" w:lineRule="auto"/>
        <w:ind w:left="567" w:right="567"/>
        <w:rPr>
          <w:rFonts w:ascii="Palatino Linotype" w:hAnsi="Palatino Linotype" w:cs="Tahoma"/>
          <w:b/>
          <w:bCs/>
          <w:i/>
        </w:rPr>
      </w:pPr>
      <w:r w:rsidRPr="00025123">
        <w:rPr>
          <w:rFonts w:ascii="Palatino Linotype" w:hAnsi="Palatino Linotype" w:cs="Tahoma"/>
          <w:b/>
          <w:bCs/>
          <w:i/>
        </w:rPr>
        <w:t>“</w:t>
      </w:r>
      <w:r w:rsidR="00EB0141" w:rsidRPr="00025123">
        <w:rPr>
          <w:rFonts w:ascii="Palatino Linotype" w:hAnsi="Palatino Linotype" w:cs="Tahoma"/>
          <w:b/>
          <w:bCs/>
          <w:i/>
        </w:rPr>
        <w:t>RAZONES O MOTIVOS DE LA INCONFORMIDAD</w:t>
      </w:r>
    </w:p>
    <w:p w14:paraId="1FCD9373" w14:textId="12752BA7" w:rsidR="00EB0141" w:rsidRPr="00025123" w:rsidRDefault="005073F3" w:rsidP="00AF673B">
      <w:pPr>
        <w:spacing w:line="360" w:lineRule="auto"/>
        <w:ind w:left="567" w:right="567"/>
        <w:rPr>
          <w:rFonts w:ascii="Palatino Linotype" w:hAnsi="Palatino Linotype"/>
          <w:i/>
          <w:color w:val="000000"/>
        </w:rPr>
      </w:pPr>
      <w:r w:rsidRPr="00025123">
        <w:rPr>
          <w:rFonts w:ascii="Palatino Linotype" w:hAnsi="Palatino Linotype"/>
          <w:i/>
          <w:color w:val="000000"/>
        </w:rPr>
        <w:t>NO SE ME ENTREGA LA INFORMACION COMPLETA, SE ENTREGA INFORMACION INCOMPLETA</w:t>
      </w:r>
      <w:r w:rsidR="00EB0141" w:rsidRPr="00025123">
        <w:rPr>
          <w:rFonts w:ascii="Palatino Linotype" w:hAnsi="Palatino Linotype"/>
          <w:i/>
          <w:color w:val="000000"/>
        </w:rPr>
        <w:t>”</w:t>
      </w:r>
      <w:r w:rsidR="000D19A5" w:rsidRPr="00025123">
        <w:rPr>
          <w:rFonts w:ascii="Palatino Linotype" w:hAnsi="Palatino Linotype"/>
          <w:i/>
          <w:color w:val="000000"/>
        </w:rPr>
        <w:t xml:space="preserve"> </w:t>
      </w:r>
    </w:p>
    <w:p w14:paraId="01F1B018" w14:textId="77777777" w:rsidR="00F469B3" w:rsidRPr="00025123"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025123" w:rsidRDefault="00D2369D" w:rsidP="002B57E5">
      <w:pPr>
        <w:pStyle w:val="Ttulo2"/>
        <w:rPr>
          <w:lang w:eastAsia="en-US"/>
        </w:rPr>
      </w:pPr>
      <w:bookmarkStart w:id="4" w:name="_Toc193382915"/>
      <w:r w:rsidRPr="00025123">
        <w:rPr>
          <w:lang w:eastAsia="en-US"/>
        </w:rPr>
        <w:t>I</w:t>
      </w:r>
      <w:r w:rsidR="00F469B3" w:rsidRPr="00025123">
        <w:rPr>
          <w:lang w:eastAsia="en-US"/>
        </w:rPr>
        <w:t>V. Trámite del Recurso de Revisión ante el Instituto</w:t>
      </w:r>
      <w:bookmarkEnd w:id="4"/>
    </w:p>
    <w:p w14:paraId="7F62FC39" w14:textId="77777777" w:rsidR="00320CBA" w:rsidRPr="00025123"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418D9103" w:rsidR="00F469B3" w:rsidRPr="00025123" w:rsidRDefault="00F469B3" w:rsidP="004F4E53">
      <w:pPr>
        <w:spacing w:line="360" w:lineRule="auto"/>
        <w:jc w:val="both"/>
        <w:rPr>
          <w:rFonts w:ascii="Palatino Linotype" w:eastAsia="Batang" w:hAnsi="Palatino Linotype" w:cs="Tahoma"/>
          <w:bCs/>
          <w:color w:val="000000" w:themeColor="text1"/>
          <w:sz w:val="22"/>
          <w:szCs w:val="22"/>
        </w:rPr>
      </w:pPr>
      <w:r w:rsidRPr="00025123">
        <w:rPr>
          <w:rFonts w:ascii="Palatino Linotype" w:eastAsiaTheme="minorHAnsi" w:hAnsi="Palatino Linotype" w:cstheme="minorBidi"/>
          <w:b/>
          <w:bCs/>
          <w:color w:val="000000" w:themeColor="text1"/>
          <w:sz w:val="22"/>
          <w:szCs w:val="22"/>
          <w:lang w:eastAsia="en-US"/>
        </w:rPr>
        <w:t xml:space="preserve">a) Turno del Recurso de Revisión. </w:t>
      </w:r>
      <w:r w:rsidRPr="00025123">
        <w:rPr>
          <w:rFonts w:ascii="Palatino Linotype" w:eastAsiaTheme="minorHAnsi" w:hAnsi="Palatino Linotype" w:cstheme="minorBidi"/>
          <w:color w:val="000000" w:themeColor="text1"/>
          <w:sz w:val="22"/>
          <w:szCs w:val="22"/>
          <w:lang w:eastAsia="en-US"/>
        </w:rPr>
        <w:t xml:space="preserve">El </w:t>
      </w:r>
      <w:r w:rsidR="005073F3" w:rsidRPr="00025123">
        <w:rPr>
          <w:rFonts w:ascii="Palatino Linotype" w:hAnsi="Palatino Linotype" w:cs="Tahoma"/>
          <w:bCs/>
          <w:iCs/>
          <w:color w:val="000000" w:themeColor="text1"/>
          <w:sz w:val="22"/>
          <w:szCs w:val="22"/>
        </w:rPr>
        <w:t>dieciocho</w:t>
      </w:r>
      <w:r w:rsidR="000D19A5" w:rsidRPr="00025123">
        <w:rPr>
          <w:rFonts w:ascii="Palatino Linotype" w:hAnsi="Palatino Linotype" w:cs="Tahoma"/>
          <w:bCs/>
          <w:iCs/>
          <w:color w:val="000000" w:themeColor="text1"/>
          <w:sz w:val="22"/>
          <w:szCs w:val="22"/>
        </w:rPr>
        <w:t xml:space="preserve"> de febrero</w:t>
      </w:r>
      <w:r w:rsidR="00CF2FD4" w:rsidRPr="00025123">
        <w:rPr>
          <w:rFonts w:ascii="Palatino Linotype" w:hAnsi="Palatino Linotype" w:cs="Tahoma"/>
          <w:bCs/>
          <w:iCs/>
          <w:color w:val="000000" w:themeColor="text1"/>
          <w:sz w:val="22"/>
          <w:szCs w:val="22"/>
        </w:rPr>
        <w:t xml:space="preserve"> de dos mil veintic</w:t>
      </w:r>
      <w:r w:rsidR="003E16CF" w:rsidRPr="00025123">
        <w:rPr>
          <w:rFonts w:ascii="Palatino Linotype" w:hAnsi="Palatino Linotype" w:cs="Tahoma"/>
          <w:bCs/>
          <w:iCs/>
          <w:color w:val="000000" w:themeColor="text1"/>
          <w:sz w:val="22"/>
          <w:szCs w:val="22"/>
        </w:rPr>
        <w:t>inco</w:t>
      </w:r>
      <w:r w:rsidRPr="00025123">
        <w:rPr>
          <w:rFonts w:ascii="Palatino Linotype" w:eastAsia="Batang" w:hAnsi="Palatino Linotype" w:cs="Tahoma"/>
          <w:bCs/>
          <w:color w:val="000000" w:themeColor="text1"/>
          <w:sz w:val="22"/>
          <w:szCs w:val="22"/>
        </w:rPr>
        <w:t xml:space="preserve">, el </w:t>
      </w:r>
      <w:r w:rsidRPr="00025123">
        <w:rPr>
          <w:rFonts w:ascii="Palatino Linotype" w:hAnsi="Palatino Linotype" w:cs="Tahoma"/>
          <w:color w:val="000000" w:themeColor="text1"/>
          <w:sz w:val="22"/>
          <w:szCs w:val="22"/>
          <w:lang w:val="es-ES"/>
        </w:rPr>
        <w:t>Sistema de Acceso a la Información Mexiquense (SAIMEX),</w:t>
      </w:r>
      <w:r w:rsidRPr="00025123">
        <w:rPr>
          <w:rFonts w:ascii="Palatino Linotype" w:eastAsia="Batang" w:hAnsi="Palatino Linotype" w:cs="Tahoma"/>
          <w:bCs/>
          <w:color w:val="000000" w:themeColor="text1"/>
          <w:sz w:val="22"/>
          <w:szCs w:val="22"/>
        </w:rPr>
        <w:t xml:space="preserve"> asignó el número de </w:t>
      </w:r>
      <w:r w:rsidR="00E266DC" w:rsidRPr="00025123">
        <w:rPr>
          <w:rFonts w:ascii="Palatino Linotype" w:eastAsia="Batang" w:hAnsi="Palatino Linotype" w:cs="Tahoma"/>
          <w:bCs/>
          <w:color w:val="000000" w:themeColor="text1"/>
          <w:sz w:val="22"/>
          <w:szCs w:val="22"/>
        </w:rPr>
        <w:t>expediente</w:t>
      </w:r>
      <w:r w:rsidR="00071ABF" w:rsidRPr="00025123">
        <w:rPr>
          <w:rFonts w:ascii="Palatino Linotype" w:eastAsia="Batang" w:hAnsi="Palatino Linotype" w:cs="Tahoma"/>
          <w:bCs/>
          <w:color w:val="000000" w:themeColor="text1"/>
          <w:sz w:val="22"/>
          <w:szCs w:val="22"/>
        </w:rPr>
        <w:t xml:space="preserve"> </w:t>
      </w:r>
      <w:r w:rsidR="001E58DA" w:rsidRPr="00025123">
        <w:rPr>
          <w:rFonts w:ascii="Palatino Linotype" w:eastAsia="Batang" w:hAnsi="Palatino Linotype" w:cs="Tahoma"/>
          <w:bCs/>
          <w:color w:val="000000" w:themeColor="text1"/>
          <w:sz w:val="22"/>
          <w:szCs w:val="22"/>
        </w:rPr>
        <w:t>01631/INFOEM/IP/RR/2025</w:t>
      </w:r>
      <w:r w:rsidRPr="00025123">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025123">
        <w:rPr>
          <w:rFonts w:ascii="Palatino Linotype" w:eastAsia="Batang" w:hAnsi="Palatino Linotype" w:cs="Tahoma"/>
          <w:bCs/>
          <w:color w:val="000000" w:themeColor="text1"/>
          <w:sz w:val="22"/>
          <w:szCs w:val="22"/>
        </w:rPr>
        <w:t>Organismo</w:t>
      </w:r>
      <w:r w:rsidRPr="00025123">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025123"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75DD76C2" w:rsidR="00F469B3" w:rsidRPr="00025123" w:rsidRDefault="006C349C" w:rsidP="004F4E53">
      <w:pPr>
        <w:spacing w:line="360" w:lineRule="auto"/>
        <w:jc w:val="both"/>
        <w:rPr>
          <w:rFonts w:ascii="Palatino Linotype" w:hAnsi="Palatino Linotype" w:cs="Tahoma"/>
          <w:bCs/>
          <w:iCs/>
          <w:color w:val="000000" w:themeColor="text1"/>
          <w:sz w:val="22"/>
          <w:szCs w:val="22"/>
        </w:rPr>
      </w:pPr>
      <w:r w:rsidRPr="00025123">
        <w:rPr>
          <w:rFonts w:ascii="Palatino Linotype" w:eastAsia="Batang" w:hAnsi="Palatino Linotype" w:cs="Tahoma"/>
          <w:b/>
          <w:bCs/>
          <w:color w:val="000000" w:themeColor="text1"/>
          <w:sz w:val="22"/>
          <w:szCs w:val="22"/>
        </w:rPr>
        <w:t>b</w:t>
      </w:r>
      <w:r w:rsidR="00F469B3" w:rsidRPr="00025123">
        <w:rPr>
          <w:rFonts w:ascii="Palatino Linotype" w:eastAsia="Batang" w:hAnsi="Palatino Linotype" w:cs="Tahoma"/>
          <w:b/>
          <w:bCs/>
          <w:color w:val="000000" w:themeColor="text1"/>
          <w:sz w:val="22"/>
          <w:szCs w:val="22"/>
        </w:rPr>
        <w:t xml:space="preserve">) Admisión del </w:t>
      </w:r>
      <w:r w:rsidR="00F469B3" w:rsidRPr="00025123">
        <w:rPr>
          <w:rFonts w:ascii="Palatino Linotype" w:hAnsi="Palatino Linotype" w:cs="Tahoma"/>
          <w:b/>
          <w:color w:val="000000" w:themeColor="text1"/>
          <w:sz w:val="22"/>
          <w:szCs w:val="22"/>
        </w:rPr>
        <w:t>Recurso de Revisión</w:t>
      </w:r>
      <w:r w:rsidR="00F469B3" w:rsidRPr="00025123">
        <w:rPr>
          <w:rFonts w:ascii="Palatino Linotype" w:eastAsia="Batang" w:hAnsi="Palatino Linotype" w:cs="Tahoma"/>
          <w:b/>
          <w:bCs/>
          <w:color w:val="000000" w:themeColor="text1"/>
          <w:sz w:val="22"/>
          <w:szCs w:val="22"/>
          <w:lang w:val="es-ES_tradnl"/>
        </w:rPr>
        <w:t xml:space="preserve">. </w:t>
      </w:r>
      <w:r w:rsidR="000D19A5" w:rsidRPr="00025123">
        <w:rPr>
          <w:rFonts w:ascii="Palatino Linotype" w:eastAsia="Batang" w:hAnsi="Palatino Linotype" w:cs="Tahoma"/>
          <w:bCs/>
          <w:color w:val="000000" w:themeColor="text1"/>
          <w:sz w:val="22"/>
          <w:szCs w:val="22"/>
        </w:rPr>
        <w:t xml:space="preserve">El </w:t>
      </w:r>
      <w:r w:rsidR="009A6F13" w:rsidRPr="00025123">
        <w:rPr>
          <w:rFonts w:ascii="Palatino Linotype" w:eastAsia="Batang" w:hAnsi="Palatino Linotype" w:cs="Tahoma"/>
          <w:bCs/>
          <w:color w:val="000000" w:themeColor="text1"/>
          <w:sz w:val="22"/>
          <w:szCs w:val="22"/>
        </w:rPr>
        <w:t>veinti</w:t>
      </w:r>
      <w:r w:rsidR="005073F3" w:rsidRPr="00025123">
        <w:rPr>
          <w:rFonts w:ascii="Palatino Linotype" w:eastAsia="Batang" w:hAnsi="Palatino Linotype" w:cs="Tahoma"/>
          <w:bCs/>
          <w:color w:val="000000" w:themeColor="text1"/>
          <w:sz w:val="22"/>
          <w:szCs w:val="22"/>
        </w:rPr>
        <w:t>uno</w:t>
      </w:r>
      <w:r w:rsidR="000D19A5" w:rsidRPr="00025123">
        <w:rPr>
          <w:rFonts w:ascii="Palatino Linotype" w:eastAsia="Batang" w:hAnsi="Palatino Linotype" w:cs="Tahoma"/>
          <w:bCs/>
          <w:color w:val="000000" w:themeColor="text1"/>
          <w:sz w:val="22"/>
          <w:szCs w:val="22"/>
        </w:rPr>
        <w:t xml:space="preserve"> de febrero </w:t>
      </w:r>
      <w:r w:rsidR="006213D7" w:rsidRPr="00025123">
        <w:rPr>
          <w:rFonts w:ascii="Palatino Linotype" w:hAnsi="Palatino Linotype" w:cs="Tahoma"/>
          <w:bCs/>
          <w:iCs/>
          <w:color w:val="000000" w:themeColor="text1"/>
          <w:sz w:val="22"/>
          <w:szCs w:val="22"/>
        </w:rPr>
        <w:t>de dos mil veintic</w:t>
      </w:r>
      <w:r w:rsidR="003E16CF" w:rsidRPr="00025123">
        <w:rPr>
          <w:rFonts w:ascii="Palatino Linotype" w:hAnsi="Palatino Linotype" w:cs="Tahoma"/>
          <w:bCs/>
          <w:iCs/>
          <w:color w:val="000000" w:themeColor="text1"/>
          <w:sz w:val="22"/>
          <w:szCs w:val="22"/>
        </w:rPr>
        <w:t>inco</w:t>
      </w:r>
      <w:r w:rsidR="00F469B3" w:rsidRPr="00025123">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025123">
        <w:rPr>
          <w:rFonts w:ascii="Palatino Linotype" w:eastAsia="Batang" w:hAnsi="Palatino Linotype" w:cs="Tahoma"/>
          <w:bCs/>
          <w:color w:val="000000" w:themeColor="text1"/>
          <w:sz w:val="22"/>
          <w:szCs w:val="22"/>
          <w:lang w:val="es-ES_tradnl"/>
        </w:rPr>
        <w:t>la persona</w:t>
      </w:r>
      <w:r w:rsidR="00F469B3" w:rsidRPr="00025123">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025123">
        <w:rPr>
          <w:rFonts w:ascii="Palatino Linotype" w:eastAsia="Batang" w:hAnsi="Palatino Linotype" w:cs="Tahoma"/>
          <w:bCs/>
          <w:color w:val="000000" w:themeColor="text1"/>
          <w:sz w:val="22"/>
          <w:szCs w:val="22"/>
          <w:lang w:val="es-ES_tradnl"/>
        </w:rPr>
        <w:t xml:space="preserve"> </w:t>
      </w:r>
      <w:r w:rsidR="009C4785" w:rsidRPr="00025123">
        <w:rPr>
          <w:rFonts w:ascii="Palatino Linotype" w:eastAsia="Batang" w:hAnsi="Palatino Linotype" w:cs="Tahoma"/>
          <w:bCs/>
          <w:color w:val="000000" w:themeColor="text1"/>
          <w:sz w:val="22"/>
          <w:szCs w:val="22"/>
          <w:lang w:val="es-ES_tradnl"/>
        </w:rPr>
        <w:t>mismo día</w:t>
      </w:r>
      <w:r w:rsidR="00F469B3" w:rsidRPr="00025123">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025123"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3F67ABFF" w14:textId="77777777" w:rsidR="00192688" w:rsidRPr="00025123" w:rsidRDefault="00192688"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025123" w:rsidRDefault="006C349C" w:rsidP="00947608">
      <w:pPr>
        <w:spacing w:line="360" w:lineRule="auto"/>
        <w:jc w:val="both"/>
        <w:rPr>
          <w:rFonts w:ascii="Palatino Linotype" w:hAnsi="Palatino Linotype" w:cs="Tahoma"/>
          <w:bCs/>
          <w:i/>
          <w:lang w:val="es-ES"/>
        </w:rPr>
      </w:pPr>
      <w:r w:rsidRPr="00025123">
        <w:rPr>
          <w:rFonts w:ascii="Palatino Linotype" w:hAnsi="Palatino Linotype" w:cs="Tahoma"/>
          <w:b/>
          <w:color w:val="000000" w:themeColor="text1"/>
          <w:sz w:val="22"/>
          <w:szCs w:val="22"/>
        </w:rPr>
        <w:t>c</w:t>
      </w:r>
      <w:r w:rsidR="00F469B3" w:rsidRPr="00025123">
        <w:rPr>
          <w:rFonts w:ascii="Palatino Linotype" w:hAnsi="Palatino Linotype" w:cs="Tahoma"/>
          <w:b/>
          <w:color w:val="000000" w:themeColor="text1"/>
          <w:sz w:val="22"/>
          <w:szCs w:val="22"/>
        </w:rPr>
        <w:t>)</w:t>
      </w:r>
      <w:r w:rsidR="00A31139" w:rsidRPr="00025123">
        <w:rPr>
          <w:rFonts w:ascii="Palatino Linotype" w:hAnsi="Palatino Linotype" w:cs="Tahoma"/>
          <w:color w:val="000000" w:themeColor="text1"/>
          <w:sz w:val="22"/>
          <w:szCs w:val="22"/>
          <w:lang w:val="es-ES_tradnl"/>
        </w:rPr>
        <w:t xml:space="preserve"> </w:t>
      </w:r>
      <w:r w:rsidR="00947608" w:rsidRPr="00025123">
        <w:rPr>
          <w:rFonts w:ascii="Palatino Linotype" w:hAnsi="Palatino Linotype" w:cs="Tahoma"/>
          <w:b/>
          <w:sz w:val="22"/>
          <w:szCs w:val="22"/>
          <w:lang w:val="es-ES_tradnl"/>
        </w:rPr>
        <w:t xml:space="preserve"> Informe Justificado</w:t>
      </w:r>
      <w:r w:rsidRPr="00025123">
        <w:rPr>
          <w:rFonts w:ascii="Palatino Linotype" w:hAnsi="Palatino Linotype" w:cs="Tahoma"/>
          <w:b/>
          <w:sz w:val="22"/>
          <w:szCs w:val="22"/>
          <w:lang w:val="es-ES_tradnl"/>
        </w:rPr>
        <w:t xml:space="preserve"> y Manifestaciones</w:t>
      </w:r>
      <w:r w:rsidR="00947608" w:rsidRPr="00025123">
        <w:rPr>
          <w:rFonts w:ascii="Palatino Linotype" w:hAnsi="Palatino Linotype" w:cs="Tahoma"/>
          <w:b/>
          <w:sz w:val="22"/>
          <w:szCs w:val="22"/>
          <w:lang w:val="es-ES_tradnl"/>
        </w:rPr>
        <w:t xml:space="preserve">. </w:t>
      </w:r>
      <w:r w:rsidRPr="00025123">
        <w:rPr>
          <w:rFonts w:ascii="Palatino Linotype" w:hAnsi="Palatino Linotype" w:cs="Tahoma"/>
          <w:iCs/>
          <w:sz w:val="22"/>
          <w:szCs w:val="22"/>
          <w:lang w:val="es-ES"/>
        </w:rPr>
        <w:t>Las partes fueron</w:t>
      </w:r>
      <w:r w:rsidR="00F13EF5" w:rsidRPr="00025123">
        <w:rPr>
          <w:rFonts w:ascii="Palatino Linotype" w:hAnsi="Palatino Linotype" w:cs="Tahoma"/>
          <w:iCs/>
          <w:sz w:val="22"/>
          <w:szCs w:val="22"/>
          <w:lang w:val="es-ES"/>
        </w:rPr>
        <w:t xml:space="preserve"> omis</w:t>
      </w:r>
      <w:r w:rsidRPr="00025123">
        <w:rPr>
          <w:rFonts w:ascii="Palatino Linotype" w:hAnsi="Palatino Linotype" w:cs="Tahoma"/>
          <w:iCs/>
          <w:sz w:val="22"/>
          <w:szCs w:val="22"/>
          <w:lang w:val="es-ES"/>
        </w:rPr>
        <w:t>as</w:t>
      </w:r>
      <w:r w:rsidR="00F13EF5" w:rsidRPr="00025123">
        <w:rPr>
          <w:rFonts w:ascii="Palatino Linotype" w:hAnsi="Palatino Linotype" w:cs="Tahoma"/>
          <w:iCs/>
          <w:sz w:val="22"/>
          <w:szCs w:val="22"/>
          <w:lang w:val="es-ES"/>
        </w:rPr>
        <w:t xml:space="preserve"> </w:t>
      </w:r>
      <w:r w:rsidR="00947608" w:rsidRPr="00025123">
        <w:rPr>
          <w:rFonts w:ascii="Palatino Linotype" w:hAnsi="Palatino Linotype" w:cs="Tahoma"/>
          <w:iCs/>
          <w:sz w:val="22"/>
          <w:szCs w:val="22"/>
          <w:lang w:val="es-ES"/>
        </w:rPr>
        <w:t>en emitir manifestaciones o alegatos</w:t>
      </w:r>
      <w:r w:rsidR="00947608" w:rsidRPr="00025123">
        <w:rPr>
          <w:rFonts w:ascii="Palatino Linotype" w:hAnsi="Palatino Linotype" w:cs="Tahoma"/>
          <w:sz w:val="22"/>
          <w:szCs w:val="22"/>
        </w:rPr>
        <w:t>.</w:t>
      </w:r>
    </w:p>
    <w:p w14:paraId="0BB47E08" w14:textId="3BD3176E" w:rsidR="00947608" w:rsidRPr="00025123" w:rsidRDefault="00947608" w:rsidP="004F4E53">
      <w:pPr>
        <w:spacing w:line="360" w:lineRule="auto"/>
        <w:contextualSpacing/>
        <w:jc w:val="both"/>
        <w:rPr>
          <w:rFonts w:ascii="Palatino Linotype" w:hAnsi="Palatino Linotype" w:cs="Tahoma"/>
          <w:b/>
          <w:sz w:val="18"/>
          <w:szCs w:val="22"/>
          <w:lang w:val="es-ES_tradnl"/>
        </w:rPr>
      </w:pPr>
    </w:p>
    <w:p w14:paraId="155868CD" w14:textId="5FE76D94" w:rsidR="008F4B45" w:rsidRPr="00025123" w:rsidRDefault="00CD3CA9" w:rsidP="004F4E53">
      <w:pPr>
        <w:spacing w:line="360" w:lineRule="auto"/>
        <w:jc w:val="both"/>
        <w:rPr>
          <w:rFonts w:ascii="Palatino Linotype" w:hAnsi="Palatino Linotype"/>
          <w:b/>
          <w:sz w:val="22"/>
          <w:szCs w:val="22"/>
        </w:rPr>
      </w:pPr>
      <w:r w:rsidRPr="00025123">
        <w:rPr>
          <w:rFonts w:ascii="Palatino Linotype" w:hAnsi="Palatino Linotype"/>
          <w:b/>
          <w:sz w:val="22"/>
          <w:szCs w:val="22"/>
        </w:rPr>
        <w:t>d</w:t>
      </w:r>
      <w:r w:rsidR="000553B4" w:rsidRPr="00025123">
        <w:rPr>
          <w:rFonts w:ascii="Palatino Linotype" w:hAnsi="Palatino Linotype"/>
          <w:b/>
          <w:sz w:val="22"/>
          <w:szCs w:val="22"/>
        </w:rPr>
        <w:t xml:space="preserve">) </w:t>
      </w:r>
      <w:r w:rsidR="0063734D" w:rsidRPr="00025123">
        <w:rPr>
          <w:rFonts w:ascii="Palatino Linotype" w:hAnsi="Palatino Linotype"/>
          <w:b/>
          <w:sz w:val="22"/>
          <w:szCs w:val="22"/>
        </w:rPr>
        <w:t>Cierre de instrucción.</w:t>
      </w:r>
      <w:r w:rsidR="00763D85" w:rsidRPr="00025123">
        <w:rPr>
          <w:rFonts w:ascii="Palatino Linotype" w:hAnsi="Palatino Linotype"/>
          <w:b/>
          <w:sz w:val="22"/>
          <w:szCs w:val="22"/>
        </w:rPr>
        <w:t xml:space="preserve"> </w:t>
      </w:r>
      <w:r w:rsidR="008F4B45" w:rsidRPr="00025123">
        <w:rPr>
          <w:rFonts w:ascii="Palatino Linotype" w:hAnsi="Palatino Linotype"/>
          <w:sz w:val="22"/>
          <w:szCs w:val="22"/>
        </w:rPr>
        <w:t>El</w:t>
      </w:r>
      <w:r w:rsidR="003E16CF" w:rsidRPr="00025123">
        <w:rPr>
          <w:rFonts w:ascii="Palatino Linotype" w:hAnsi="Palatino Linotype"/>
          <w:sz w:val="22"/>
          <w:szCs w:val="22"/>
        </w:rPr>
        <w:t xml:space="preserve"> </w:t>
      </w:r>
      <w:r w:rsidR="00192C67" w:rsidRPr="00025123">
        <w:rPr>
          <w:rFonts w:ascii="Palatino Linotype" w:hAnsi="Palatino Linotype"/>
          <w:sz w:val="22"/>
          <w:szCs w:val="22"/>
        </w:rPr>
        <w:t>doce</w:t>
      </w:r>
      <w:r w:rsidR="005073F3" w:rsidRPr="00025123">
        <w:rPr>
          <w:rFonts w:ascii="Palatino Linotype" w:hAnsi="Palatino Linotype"/>
          <w:sz w:val="22"/>
          <w:szCs w:val="22"/>
        </w:rPr>
        <w:t xml:space="preserve"> </w:t>
      </w:r>
      <w:r w:rsidR="009A6F13" w:rsidRPr="00025123">
        <w:rPr>
          <w:rFonts w:ascii="Palatino Linotype" w:hAnsi="Palatino Linotype"/>
          <w:sz w:val="22"/>
          <w:szCs w:val="22"/>
        </w:rPr>
        <w:t xml:space="preserve">de marzo </w:t>
      </w:r>
      <w:r w:rsidR="004F3A02" w:rsidRPr="00025123">
        <w:rPr>
          <w:rFonts w:ascii="Palatino Linotype" w:hAnsi="Palatino Linotype"/>
          <w:sz w:val="22"/>
          <w:szCs w:val="22"/>
        </w:rPr>
        <w:t>de dos mil veinti</w:t>
      </w:r>
      <w:r w:rsidR="003E16CF" w:rsidRPr="00025123">
        <w:rPr>
          <w:rFonts w:ascii="Palatino Linotype" w:hAnsi="Palatino Linotype"/>
          <w:sz w:val="22"/>
          <w:szCs w:val="22"/>
        </w:rPr>
        <w:t>cinco</w:t>
      </w:r>
      <w:r w:rsidR="008F4B45" w:rsidRPr="00025123">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025123"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025123" w:rsidRDefault="008F4B45" w:rsidP="004F4E53">
      <w:pPr>
        <w:spacing w:line="360" w:lineRule="auto"/>
        <w:contextualSpacing/>
        <w:jc w:val="both"/>
        <w:rPr>
          <w:rFonts w:ascii="Palatino Linotype" w:hAnsi="Palatino Linotype" w:cs="Tahoma"/>
          <w:color w:val="000000"/>
          <w:sz w:val="22"/>
          <w:szCs w:val="22"/>
        </w:rPr>
      </w:pPr>
      <w:r w:rsidRPr="00025123">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025123"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025123" w:rsidRDefault="004F3A02" w:rsidP="002B57E5">
      <w:pPr>
        <w:pStyle w:val="Ttulo1"/>
        <w:rPr>
          <w:lang w:val="es-ES"/>
        </w:rPr>
      </w:pPr>
      <w:bookmarkStart w:id="5" w:name="_Toc193382916"/>
      <w:r w:rsidRPr="00025123">
        <w:rPr>
          <w:lang w:val="es-ES"/>
        </w:rPr>
        <w:t>C O N S I D E R A N D O S</w:t>
      </w:r>
      <w:bookmarkEnd w:id="5"/>
    </w:p>
    <w:p w14:paraId="066231C1" w14:textId="77777777" w:rsidR="004F3A02" w:rsidRPr="00025123" w:rsidRDefault="004F3A02" w:rsidP="004F4E53">
      <w:pPr>
        <w:spacing w:line="360" w:lineRule="auto"/>
        <w:jc w:val="both"/>
        <w:rPr>
          <w:rFonts w:ascii="Palatino Linotype" w:hAnsi="Palatino Linotype" w:cs="Tahoma"/>
          <w:b/>
          <w:sz w:val="22"/>
          <w:lang w:val="es-ES"/>
        </w:rPr>
      </w:pPr>
    </w:p>
    <w:p w14:paraId="001B63FA" w14:textId="77777777" w:rsidR="004F3A02" w:rsidRPr="00025123" w:rsidRDefault="004F3A02" w:rsidP="002B57E5">
      <w:pPr>
        <w:pStyle w:val="Ttulo2"/>
        <w:rPr>
          <w:lang w:val="es-ES"/>
        </w:rPr>
      </w:pPr>
      <w:bookmarkStart w:id="6" w:name="_Toc193382917"/>
      <w:r w:rsidRPr="00025123">
        <w:rPr>
          <w:rFonts w:eastAsia="Calibri"/>
          <w:color w:val="000000"/>
          <w:lang w:val="es-ES" w:eastAsia="es-MX"/>
        </w:rPr>
        <w:t xml:space="preserve">PRIMERO. </w:t>
      </w:r>
      <w:r w:rsidRPr="00025123">
        <w:rPr>
          <w:lang w:val="es-ES"/>
        </w:rPr>
        <w:t>Competencia</w:t>
      </w:r>
      <w:bookmarkEnd w:id="6"/>
    </w:p>
    <w:p w14:paraId="35D71D67" w14:textId="77777777" w:rsidR="004F3A02" w:rsidRPr="00025123"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025123"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025123">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025123">
        <w:rPr>
          <w:rFonts w:ascii="Palatino Linotype" w:eastAsia="Palatino Linotype" w:hAnsi="Palatino Linotype" w:cs="Palatino Linotype"/>
          <w:color w:val="000000" w:themeColor="text1"/>
          <w:sz w:val="22"/>
          <w:szCs w:val="22"/>
          <w:lang w:eastAsia="es-MX"/>
        </w:rPr>
        <w:t>los</w:t>
      </w:r>
      <w:r w:rsidRPr="00025123">
        <w:rPr>
          <w:rFonts w:ascii="Palatino Linotype" w:eastAsia="Palatino Linotype" w:hAnsi="Palatino Linotype" w:cs="Palatino Linotype"/>
          <w:color w:val="000000" w:themeColor="text1"/>
          <w:sz w:val="22"/>
          <w:szCs w:val="22"/>
          <w:lang w:eastAsia="es-MX"/>
        </w:rPr>
        <w:t xml:space="preserve"> artículo</w:t>
      </w:r>
      <w:r w:rsidR="00BA5927" w:rsidRPr="00025123">
        <w:rPr>
          <w:rFonts w:ascii="Palatino Linotype" w:eastAsia="Palatino Linotype" w:hAnsi="Palatino Linotype" w:cs="Palatino Linotype"/>
          <w:color w:val="000000" w:themeColor="text1"/>
          <w:sz w:val="22"/>
          <w:szCs w:val="22"/>
          <w:lang w:eastAsia="es-MX"/>
        </w:rPr>
        <w:t>s</w:t>
      </w:r>
      <w:r w:rsidRPr="00025123">
        <w:rPr>
          <w:rFonts w:ascii="Palatino Linotype" w:eastAsia="Palatino Linotype" w:hAnsi="Palatino Linotype" w:cs="Palatino Linotype"/>
          <w:color w:val="000000" w:themeColor="text1"/>
          <w:sz w:val="22"/>
          <w:szCs w:val="22"/>
          <w:lang w:eastAsia="es-MX"/>
        </w:rPr>
        <w:t xml:space="preserve"> 5°, párrafos </w:t>
      </w:r>
      <w:r w:rsidRPr="00025123">
        <w:rPr>
          <w:rFonts w:ascii="Palatino Linotype" w:eastAsia="Palatino Linotype" w:hAnsi="Palatino Linotype" w:cs="Palatino Linotype"/>
          <w:color w:val="000000"/>
          <w:sz w:val="22"/>
          <w:szCs w:val="22"/>
          <w:lang w:eastAsia="es-MX"/>
        </w:rPr>
        <w:t>trigésimo segundo, trigésimo tercero y trigésimo cuarto</w:t>
      </w:r>
      <w:r w:rsidRPr="00025123">
        <w:rPr>
          <w:rFonts w:ascii="Palatino Linotype" w:eastAsia="Palatino Linotype" w:hAnsi="Palatino Linotype" w:cs="Palatino Linotype"/>
          <w:color w:val="000000" w:themeColor="text1"/>
          <w:sz w:val="22"/>
          <w:szCs w:val="22"/>
          <w:lang w:eastAsia="es-MX"/>
        </w:rPr>
        <w:t xml:space="preserve">, fracciones I, II, III, IV y V de la Constitución Política del Estado Libre y Soberano de México; 1°, 8°, 9°, 10, 37 y 42, fracciones I, II y III, de la Ley General de Transparencia y Acceso a la Información </w:t>
      </w:r>
      <w:r w:rsidRPr="00025123">
        <w:rPr>
          <w:rFonts w:ascii="Palatino Linotype" w:eastAsia="Palatino Linotype" w:hAnsi="Palatino Linotype" w:cs="Palatino Linotype"/>
          <w:color w:val="000000" w:themeColor="text1"/>
          <w:sz w:val="22"/>
          <w:szCs w:val="22"/>
          <w:lang w:eastAsia="es-MX"/>
        </w:rPr>
        <w:lastRenderedPageBreak/>
        <w:t>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025123"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5128E1A6" w14:textId="119A4EB1" w:rsidR="00DA08C5" w:rsidRPr="00025123" w:rsidRDefault="00DA08C5" w:rsidP="008E045A">
      <w:pPr>
        <w:pStyle w:val="Ttulo2"/>
        <w:rPr>
          <w:rFonts w:cs="Tahoma"/>
          <w:szCs w:val="22"/>
          <w:lang w:val="es-ES"/>
        </w:rPr>
      </w:pPr>
      <w:bookmarkStart w:id="7" w:name="_Toc193382918"/>
      <w:r w:rsidRPr="00025123">
        <w:rPr>
          <w:rFonts w:eastAsia="Calibri"/>
          <w:color w:val="000000"/>
          <w:lang w:val="es-ES" w:eastAsia="es-MX"/>
        </w:rPr>
        <w:t xml:space="preserve">SEGUNDO. </w:t>
      </w:r>
      <w:r w:rsidRPr="00025123">
        <w:rPr>
          <w:lang w:val="es-ES"/>
        </w:rPr>
        <w:t>Causales de improcedencia</w:t>
      </w:r>
      <w:bookmarkEnd w:id="7"/>
      <w:r w:rsidRPr="00025123">
        <w:rPr>
          <w:lang w:val="es-ES"/>
        </w:rPr>
        <w:t xml:space="preserve"> </w:t>
      </w:r>
    </w:p>
    <w:p w14:paraId="7ABB438E" w14:textId="77777777" w:rsidR="00DA08C5" w:rsidRPr="00025123" w:rsidRDefault="00DA08C5" w:rsidP="004F4E53">
      <w:pPr>
        <w:spacing w:line="360" w:lineRule="auto"/>
        <w:contextualSpacing/>
        <w:jc w:val="both"/>
        <w:rPr>
          <w:rFonts w:ascii="Palatino Linotype" w:hAnsi="Palatino Linotype"/>
          <w:sz w:val="22"/>
          <w:szCs w:val="22"/>
        </w:rPr>
      </w:pPr>
    </w:p>
    <w:p w14:paraId="7D1BAA53" w14:textId="77777777" w:rsidR="00DA08C5" w:rsidRPr="00025123" w:rsidRDefault="00DA08C5" w:rsidP="004F4E53">
      <w:pPr>
        <w:spacing w:line="360" w:lineRule="auto"/>
        <w:contextualSpacing/>
        <w:jc w:val="both"/>
        <w:rPr>
          <w:rFonts w:ascii="Palatino Linotype" w:hAnsi="Palatino Linotype" w:cs="Tahoma"/>
          <w:sz w:val="22"/>
          <w:szCs w:val="22"/>
        </w:rPr>
      </w:pPr>
      <w:r w:rsidRPr="00025123">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025123" w:rsidRDefault="00DA08C5" w:rsidP="004F4E53">
      <w:pPr>
        <w:spacing w:line="360" w:lineRule="auto"/>
        <w:contextualSpacing/>
        <w:jc w:val="both"/>
        <w:rPr>
          <w:rFonts w:ascii="Palatino Linotype" w:hAnsi="Palatino Linotype" w:cs="Tahoma"/>
          <w:sz w:val="22"/>
          <w:szCs w:val="22"/>
        </w:rPr>
      </w:pPr>
    </w:p>
    <w:p w14:paraId="35D3EE96" w14:textId="17683495" w:rsidR="00DA08C5" w:rsidRPr="00025123" w:rsidRDefault="00DA08C5" w:rsidP="004F4E53">
      <w:pPr>
        <w:spacing w:line="360" w:lineRule="auto"/>
        <w:contextualSpacing/>
        <w:jc w:val="both"/>
        <w:rPr>
          <w:rFonts w:ascii="Palatino Linotype" w:hAnsi="Palatino Linotype" w:cs="Tahoma"/>
          <w:sz w:val="22"/>
          <w:szCs w:val="22"/>
        </w:rPr>
      </w:pPr>
      <w:r w:rsidRPr="00025123">
        <w:rPr>
          <w:rFonts w:ascii="Palatino Linotype" w:hAnsi="Palatino Linotype" w:cs="Tahoma"/>
          <w:sz w:val="22"/>
          <w:szCs w:val="22"/>
        </w:rPr>
        <w:t>En el presente caso, </w:t>
      </w:r>
      <w:r w:rsidRPr="00025123">
        <w:rPr>
          <w:rFonts w:ascii="Palatino Linotype" w:hAnsi="Palatino Linotype" w:cs="Tahoma"/>
          <w:b/>
          <w:bCs/>
          <w:sz w:val="22"/>
          <w:szCs w:val="22"/>
        </w:rPr>
        <w:t>no se actualiza ninguna de las causales de improcedencia</w:t>
      </w:r>
      <w:r w:rsidRPr="00025123">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025123">
        <w:rPr>
          <w:rFonts w:ascii="Palatino Linotype" w:hAnsi="Palatino Linotype" w:cs="Tahoma"/>
          <w:sz w:val="22"/>
          <w:szCs w:val="22"/>
        </w:rPr>
        <w:t>ersona</w:t>
      </w:r>
      <w:r w:rsidRPr="00025123">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025123"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Pr="00025123" w:rsidRDefault="00DA08C5" w:rsidP="004F4E53">
      <w:pPr>
        <w:spacing w:line="360" w:lineRule="auto"/>
        <w:contextualSpacing/>
        <w:jc w:val="both"/>
        <w:rPr>
          <w:rFonts w:ascii="Palatino Linotype" w:hAnsi="Palatino Linotype" w:cs="Tahoma"/>
          <w:sz w:val="22"/>
          <w:szCs w:val="22"/>
          <w:lang w:val="es-ES"/>
        </w:rPr>
      </w:pPr>
      <w:r w:rsidRPr="00025123">
        <w:rPr>
          <w:rFonts w:ascii="Palatino Linotype" w:hAnsi="Palatino Linotype" w:cs="Tahoma"/>
          <w:sz w:val="22"/>
          <w:szCs w:val="22"/>
          <w:lang w:val="es-ES"/>
        </w:rPr>
        <w:lastRenderedPageBreak/>
        <w:t xml:space="preserve">Además, de que el Medios de Impugnación fue presentado en tiempo, toda vez que ante la ausencia de la respuesta del Ente Recurrido, se constituyó la </w:t>
      </w:r>
      <w:r w:rsidRPr="00025123">
        <w:rPr>
          <w:rFonts w:ascii="Palatino Linotype" w:hAnsi="Palatino Linotype" w:cs="Tahoma"/>
          <w:b/>
          <w:sz w:val="22"/>
          <w:szCs w:val="22"/>
          <w:lang w:val="es-ES"/>
        </w:rPr>
        <w:t>negativa ficta</w:t>
      </w:r>
      <w:r w:rsidRPr="00025123">
        <w:rPr>
          <w:rFonts w:ascii="Palatino Linotype" w:hAnsi="Palatino Linotype" w:cs="Tahoma"/>
          <w:sz w:val="22"/>
          <w:szCs w:val="22"/>
          <w:lang w:val="es-ES"/>
        </w:rPr>
        <w:t xml:space="preserve">, que genera la posibilidad de los particulares de interponer un recurso de revisión ante tal omisión, </w:t>
      </w:r>
      <w:r w:rsidRPr="00025123">
        <w:rPr>
          <w:rFonts w:ascii="Palatino Linotype" w:hAnsi="Palatino Linotype" w:cs="Tahoma"/>
          <w:sz w:val="22"/>
          <w:szCs w:val="22"/>
          <w:u w:val="single"/>
          <w:lang w:val="es-ES"/>
        </w:rPr>
        <w:t>en cualquier momento</w:t>
      </w:r>
      <w:r w:rsidRPr="00025123">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025123" w:rsidRDefault="009A3007" w:rsidP="004F4E53">
      <w:pPr>
        <w:spacing w:line="360" w:lineRule="auto"/>
        <w:contextualSpacing/>
        <w:jc w:val="both"/>
        <w:rPr>
          <w:rFonts w:ascii="Palatino Linotype" w:hAnsi="Palatino Linotype" w:cs="Tahoma"/>
          <w:sz w:val="22"/>
          <w:szCs w:val="22"/>
          <w:lang w:val="es-ES"/>
        </w:rPr>
      </w:pPr>
    </w:p>
    <w:p w14:paraId="24FE5C30" w14:textId="3AAC4311" w:rsidR="00DA08C5" w:rsidRPr="00025123" w:rsidRDefault="00DA08C5" w:rsidP="004F4E53">
      <w:pPr>
        <w:spacing w:line="360" w:lineRule="auto"/>
        <w:contextualSpacing/>
        <w:jc w:val="both"/>
        <w:rPr>
          <w:rFonts w:ascii="Palatino Linotype" w:hAnsi="Palatino Linotype" w:cs="Tahoma"/>
          <w:bCs/>
          <w:sz w:val="22"/>
          <w:szCs w:val="22"/>
          <w:lang w:val="es-ES"/>
        </w:rPr>
      </w:pPr>
      <w:r w:rsidRPr="00025123">
        <w:rPr>
          <w:rFonts w:ascii="Palatino Linotype" w:hAnsi="Palatino Linotype" w:cs="Tahoma"/>
          <w:sz w:val="22"/>
          <w:szCs w:val="22"/>
          <w:lang w:val="es-ES"/>
        </w:rPr>
        <w:t xml:space="preserve">Conforme a lo anterior, se actualiza la causal de procedencia señalada </w:t>
      </w:r>
      <w:r w:rsidR="00A76EFE" w:rsidRPr="00025123">
        <w:rPr>
          <w:rFonts w:ascii="Palatino Linotype" w:hAnsi="Palatino Linotype" w:cs="Tahoma"/>
          <w:sz w:val="22"/>
          <w:szCs w:val="22"/>
          <w:lang w:val="es-ES"/>
        </w:rPr>
        <w:t>en el artículo 179, fracción V</w:t>
      </w:r>
      <w:r w:rsidRPr="00025123">
        <w:rPr>
          <w:rFonts w:ascii="Palatino Linotype" w:hAnsi="Palatino Linotype" w:cs="Tahoma"/>
          <w:sz w:val="22"/>
          <w:szCs w:val="22"/>
          <w:lang w:val="es-ES"/>
        </w:rPr>
        <w:t>, de la Ley de la materia</w:t>
      </w:r>
      <w:r w:rsidRPr="00025123">
        <w:rPr>
          <w:rFonts w:ascii="Palatino Linotype" w:hAnsi="Palatino Linotype" w:cs="Tahoma"/>
          <w:bCs/>
          <w:sz w:val="22"/>
          <w:szCs w:val="22"/>
          <w:lang w:val="es-ES"/>
        </w:rPr>
        <w:t>, toda vez que</w:t>
      </w:r>
      <w:r w:rsidR="00A76EFE" w:rsidRPr="00025123">
        <w:rPr>
          <w:rFonts w:ascii="Palatino Linotype" w:hAnsi="Palatino Linotype" w:cs="Tahoma"/>
          <w:bCs/>
          <w:sz w:val="22"/>
          <w:szCs w:val="22"/>
          <w:lang w:val="es-ES"/>
        </w:rPr>
        <w:t xml:space="preserve"> el Solicitante se inconformó de la entrega de información incompleta.</w:t>
      </w:r>
    </w:p>
    <w:p w14:paraId="1AD964AC" w14:textId="77777777" w:rsidR="00505111" w:rsidRPr="00025123" w:rsidRDefault="00505111" w:rsidP="004F4E53">
      <w:pPr>
        <w:spacing w:line="360" w:lineRule="auto"/>
        <w:contextualSpacing/>
        <w:jc w:val="both"/>
        <w:rPr>
          <w:rFonts w:ascii="Palatino Linotype" w:hAnsi="Palatino Linotype" w:cs="Tahoma"/>
          <w:bCs/>
          <w:sz w:val="22"/>
          <w:szCs w:val="22"/>
          <w:lang w:val="es-ES"/>
        </w:rPr>
      </w:pPr>
    </w:p>
    <w:p w14:paraId="51E80A00" w14:textId="5BD49181" w:rsidR="00F93859" w:rsidRPr="00025123" w:rsidRDefault="008E045A" w:rsidP="008E045A">
      <w:pPr>
        <w:pStyle w:val="Ttulo2"/>
        <w:jc w:val="both"/>
      </w:pPr>
      <w:bookmarkStart w:id="8" w:name="_Toc193382919"/>
      <w:r w:rsidRPr="00025123">
        <w:t xml:space="preserve">TERCERO. </w:t>
      </w:r>
      <w:r w:rsidR="00F93859" w:rsidRPr="00025123">
        <w:t>Causales de sobreseimiento</w:t>
      </w:r>
      <w:bookmarkEnd w:id="8"/>
    </w:p>
    <w:p w14:paraId="4DD47685" w14:textId="77777777" w:rsidR="00F93859" w:rsidRPr="00025123"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025123" w:rsidRDefault="00F93859" w:rsidP="004F4E53">
      <w:pPr>
        <w:spacing w:line="360" w:lineRule="auto"/>
        <w:jc w:val="both"/>
        <w:rPr>
          <w:rFonts w:ascii="Palatino Linotype" w:hAnsi="Palatino Linotype" w:cs="Tahoma"/>
          <w:bCs/>
          <w:color w:val="0D0D0D" w:themeColor="text1" w:themeTint="F2"/>
          <w:sz w:val="22"/>
          <w:szCs w:val="22"/>
        </w:rPr>
      </w:pPr>
      <w:r w:rsidRPr="00025123">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04DEE2AD" w14:textId="77777777" w:rsidR="008E045A" w:rsidRPr="00025123" w:rsidRDefault="008E045A" w:rsidP="004F4E53">
      <w:pPr>
        <w:spacing w:line="360" w:lineRule="auto"/>
        <w:jc w:val="both"/>
        <w:rPr>
          <w:rFonts w:ascii="Palatino Linotype" w:hAnsi="Palatino Linotype" w:cs="Tahoma"/>
          <w:bCs/>
          <w:color w:val="0D0D0D" w:themeColor="text1" w:themeTint="F2"/>
          <w:sz w:val="22"/>
          <w:szCs w:val="22"/>
        </w:rPr>
      </w:pPr>
    </w:p>
    <w:p w14:paraId="56211151" w14:textId="77777777" w:rsidR="008E045A" w:rsidRPr="00025123" w:rsidRDefault="008E045A" w:rsidP="008E045A">
      <w:pPr>
        <w:widowControl w:val="0"/>
        <w:spacing w:line="360" w:lineRule="auto"/>
        <w:jc w:val="both"/>
        <w:rPr>
          <w:rFonts w:ascii="Palatino Linotype" w:eastAsia="Calibri" w:hAnsi="Palatino Linotype" w:cs="Tahoma"/>
          <w:sz w:val="22"/>
          <w:szCs w:val="22"/>
          <w:lang w:eastAsia="es-ES_tradnl"/>
        </w:rPr>
      </w:pPr>
      <w:r w:rsidRPr="00025123">
        <w:rPr>
          <w:rFonts w:ascii="Palatino Linotype" w:hAnsi="Palatino Linotype" w:cs="Tahoma"/>
          <w:sz w:val="22"/>
          <w:szCs w:val="22"/>
        </w:rPr>
        <w:t xml:space="preserve">El artículo 192 de la </w:t>
      </w:r>
      <w:r w:rsidRPr="00025123">
        <w:rPr>
          <w:rFonts w:ascii="Palatino Linotype" w:eastAsia="Calibri" w:hAnsi="Palatino Linotype" w:cs="Tahoma"/>
          <w:bCs/>
          <w:color w:val="000000"/>
          <w:sz w:val="22"/>
          <w:szCs w:val="22"/>
          <w:lang w:eastAsia="es-ES_tradnl"/>
        </w:rPr>
        <w:t xml:space="preserve">Ley Transparencia y Acceso a la Información Pública del Estado de México y Municipios, señala las causales por las cuales se puede sobreseer en todo o en parte el Recurso de Revisión; así, </w:t>
      </w:r>
      <w:r w:rsidRPr="00025123">
        <w:rPr>
          <w:rFonts w:ascii="Palatino Linotype" w:eastAsia="Calibri" w:hAnsi="Palatino Linotype" w:cs="Tahoma"/>
          <w:sz w:val="22"/>
          <w:szCs w:val="22"/>
          <w:lang w:eastAsia="es-ES_tradnl"/>
        </w:rPr>
        <w:t>del análisis realizado por este Instituto, se advierte que</w:t>
      </w:r>
      <w:r w:rsidRPr="00025123">
        <w:rPr>
          <w:rFonts w:ascii="Palatino Linotype" w:eastAsia="Calibri" w:hAnsi="Palatino Linotype" w:cs="Tahoma"/>
          <w:b/>
          <w:sz w:val="22"/>
          <w:szCs w:val="22"/>
          <w:lang w:eastAsia="es-ES_tradnl"/>
        </w:rPr>
        <w:t xml:space="preserve"> no se configuran las causales establecidas en las fracciones I, II, III y V, </w:t>
      </w:r>
      <w:r w:rsidRPr="00025123">
        <w:rPr>
          <w:rFonts w:ascii="Palatino Linotype" w:eastAsia="Calibri" w:hAnsi="Palatino Linotype" w:cs="Tahoma"/>
          <w:sz w:val="22"/>
          <w:szCs w:val="22"/>
          <w:lang w:eastAsia="es-ES_tradnl"/>
        </w:rPr>
        <w:t>toda vez que no hay constancias en el expediente en que se actúa, de que el Recurrente se haya desistido, fallecido, que el Sujeto Obligado hubiese modificado o revocado el acto impugnado o bien, haya quedado sin materia.</w:t>
      </w:r>
    </w:p>
    <w:p w14:paraId="4DA2289E" w14:textId="77777777" w:rsidR="008E045A" w:rsidRPr="00025123" w:rsidRDefault="008E045A" w:rsidP="008E045A">
      <w:pPr>
        <w:widowControl w:val="0"/>
        <w:spacing w:line="360" w:lineRule="auto"/>
        <w:jc w:val="both"/>
        <w:rPr>
          <w:rFonts w:ascii="Palatino Linotype" w:eastAsia="Calibri" w:hAnsi="Palatino Linotype" w:cs="Tahoma"/>
          <w:sz w:val="22"/>
          <w:szCs w:val="22"/>
          <w:lang w:eastAsia="es-ES_tradnl"/>
        </w:rPr>
      </w:pPr>
    </w:p>
    <w:p w14:paraId="60FD0738" w14:textId="77777777" w:rsidR="008E045A" w:rsidRPr="00025123" w:rsidRDefault="008E045A" w:rsidP="008E045A">
      <w:pPr>
        <w:spacing w:line="360" w:lineRule="auto"/>
        <w:jc w:val="both"/>
        <w:rPr>
          <w:rFonts w:ascii="Palatino Linotype" w:hAnsi="Palatino Linotype" w:cs="Arial"/>
          <w:bCs/>
          <w:sz w:val="22"/>
          <w:szCs w:val="22"/>
        </w:rPr>
      </w:pPr>
      <w:r w:rsidRPr="00025123">
        <w:rPr>
          <w:rFonts w:ascii="Palatino Linotype" w:eastAsia="Calibri" w:hAnsi="Palatino Linotype" w:cs="Tahoma"/>
          <w:sz w:val="22"/>
          <w:szCs w:val="22"/>
          <w:lang w:eastAsia="es-ES_tradnl"/>
        </w:rPr>
        <w:lastRenderedPageBreak/>
        <w:t xml:space="preserve">No obstante, por lo que hace a la hipótesis prevista en </w:t>
      </w:r>
      <w:r w:rsidRPr="00025123">
        <w:rPr>
          <w:rFonts w:ascii="Palatino Linotype" w:eastAsia="Calibri" w:hAnsi="Palatino Linotype" w:cs="Tahoma"/>
          <w:b/>
          <w:bCs/>
          <w:sz w:val="22"/>
          <w:szCs w:val="22"/>
          <w:lang w:eastAsia="es-ES_tradnl"/>
        </w:rPr>
        <w:t>la fracción IV,</w:t>
      </w:r>
      <w:r w:rsidRPr="00025123">
        <w:rPr>
          <w:rFonts w:ascii="Palatino Linotype" w:eastAsia="Calibri" w:hAnsi="Palatino Linotype" w:cs="Tahoma"/>
          <w:sz w:val="22"/>
          <w:szCs w:val="22"/>
          <w:lang w:eastAsia="es-ES_tradnl"/>
        </w:rPr>
        <w:t xml:space="preserve"> a saber, que, una vez admitido el Recurso de Revisión, aparezca alguna causal de improcedencia en términos de la presente Ley, </w:t>
      </w:r>
      <w:r w:rsidRPr="00025123">
        <w:rPr>
          <w:rFonts w:ascii="Palatino Linotype" w:eastAsia="Calibri" w:hAnsi="Palatino Linotype" w:cs="Tahoma"/>
          <w:bCs/>
          <w:sz w:val="22"/>
          <w:szCs w:val="22"/>
          <w:lang w:eastAsia="es-ES_tradnl"/>
        </w:rPr>
        <w:t>resulta necesario traer a colación</w:t>
      </w:r>
      <w:r w:rsidRPr="00025123">
        <w:rPr>
          <w:rFonts w:ascii="Palatino Linotype" w:eastAsia="Calibri" w:hAnsi="Palatino Linotype" w:cs="Tahoma"/>
          <w:bCs/>
          <w:sz w:val="22"/>
          <w:szCs w:val="22"/>
          <w:lang w:val="es-ES" w:eastAsia="es-ES_tradnl"/>
        </w:rPr>
        <w:t xml:space="preserve"> el artículo 191, fracción III, de dicho ordenamiento jurídico, que establece que el Recurso de Revisión será desechado por improcedente, cuando dicho medio no actualice alguno de los supuestos previstos en el diverso 179 de la presente Ley. </w:t>
      </w:r>
      <w:r w:rsidRPr="00025123">
        <w:rPr>
          <w:rFonts w:ascii="Palatino Linotype" w:hAnsi="Palatino Linotype" w:cs="Arial"/>
          <w:bCs/>
          <w:sz w:val="22"/>
          <w:szCs w:val="22"/>
        </w:rPr>
        <w:t>En ese orden de ideas, dicho artículo prevé lo siguiente:</w:t>
      </w:r>
    </w:p>
    <w:p w14:paraId="660AD6AB" w14:textId="77777777" w:rsidR="008E045A" w:rsidRPr="00025123" w:rsidRDefault="008E045A" w:rsidP="008E045A">
      <w:pPr>
        <w:spacing w:line="360" w:lineRule="auto"/>
        <w:jc w:val="both"/>
        <w:rPr>
          <w:rFonts w:ascii="Palatino Linotype" w:hAnsi="Palatino Linotype" w:cs="Arial"/>
          <w:bCs/>
          <w:sz w:val="22"/>
          <w:szCs w:val="22"/>
        </w:rPr>
      </w:pPr>
    </w:p>
    <w:p w14:paraId="48DA4A78"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
          <w:bCs/>
          <w:i/>
        </w:rPr>
        <w:t xml:space="preserve">“Artículo 179. </w:t>
      </w:r>
      <w:r w:rsidRPr="00025123">
        <w:rPr>
          <w:rFonts w:ascii="Palatino Linotype" w:hAnsi="Palatino Linotype" w:cs="Arial"/>
          <w:bCs/>
          <w:i/>
        </w:rPr>
        <w:t xml:space="preserve">El recurso de revisión es un medio de protección que la Ley otorga a los particulares, para hacer valer su derecho de acceso a la información pública, y procederá en contra de las siguientes causas: </w:t>
      </w:r>
    </w:p>
    <w:p w14:paraId="7967AA18" w14:textId="77777777" w:rsidR="008E045A" w:rsidRPr="00025123" w:rsidRDefault="008E045A" w:rsidP="008E045A">
      <w:pPr>
        <w:spacing w:line="360" w:lineRule="auto"/>
        <w:ind w:left="567" w:right="567"/>
        <w:jc w:val="both"/>
        <w:rPr>
          <w:rFonts w:ascii="Palatino Linotype" w:hAnsi="Palatino Linotype" w:cs="Arial"/>
          <w:bCs/>
          <w:i/>
        </w:rPr>
      </w:pPr>
    </w:p>
    <w:p w14:paraId="18F54605"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I. La negativa a la información solicitada; </w:t>
      </w:r>
    </w:p>
    <w:p w14:paraId="148BE57E"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II. La clasificación de la información; </w:t>
      </w:r>
    </w:p>
    <w:p w14:paraId="55EFC4AD"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III. La declaración de inexistencia de la información; </w:t>
      </w:r>
    </w:p>
    <w:p w14:paraId="6A58F9A3"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IV. La declaración de incompetencia por el sujeto obligado; </w:t>
      </w:r>
    </w:p>
    <w:p w14:paraId="726DC56B"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V. La entrega de información incompleta; </w:t>
      </w:r>
    </w:p>
    <w:p w14:paraId="783B8697"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VI. La entrega de información que no corresponda con lo solicitado; </w:t>
      </w:r>
    </w:p>
    <w:p w14:paraId="0E12BB5E"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VII. La falta de respuesta a una solicitud de acceso a la información; </w:t>
      </w:r>
    </w:p>
    <w:p w14:paraId="7FAAC07D"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VIII. La notificación, entrega o puesta a disposición de información en una modalidad o formato distinto al solicitado; </w:t>
      </w:r>
    </w:p>
    <w:p w14:paraId="54A77637"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IX. La entrega o puesta a disposición de información en un formato incomprensible y/o no accesible para el solicitante; </w:t>
      </w:r>
    </w:p>
    <w:p w14:paraId="376F1118"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X. Los costos o tiempos de entrega de la información; </w:t>
      </w:r>
    </w:p>
    <w:p w14:paraId="3AEF9BE3"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XI. La falta de trámite a una solicitud; </w:t>
      </w:r>
    </w:p>
    <w:p w14:paraId="153C28F6"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XII. La negativa a permitir la consulta directa de la información; </w:t>
      </w:r>
    </w:p>
    <w:p w14:paraId="3FFC2282"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 xml:space="preserve">XIII. La falta, deficiencia o insuficiencia de la fundamentación y/o motivación en la respuesta; y </w:t>
      </w:r>
    </w:p>
    <w:p w14:paraId="3A1B6796" w14:textId="77777777" w:rsidR="00192688" w:rsidRPr="00025123" w:rsidRDefault="00192688" w:rsidP="008E045A">
      <w:pPr>
        <w:spacing w:line="360" w:lineRule="auto"/>
        <w:ind w:left="567" w:right="567"/>
        <w:jc w:val="both"/>
        <w:rPr>
          <w:rFonts w:ascii="Palatino Linotype" w:hAnsi="Palatino Linotype" w:cs="Arial"/>
          <w:bCs/>
          <w:i/>
        </w:rPr>
      </w:pPr>
    </w:p>
    <w:p w14:paraId="46C4B775"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lastRenderedPageBreak/>
        <w:t>XIV. La orientación a un trámite específico.</w:t>
      </w:r>
    </w:p>
    <w:p w14:paraId="03BEE25E" w14:textId="77777777" w:rsidR="008E045A" w:rsidRPr="00025123" w:rsidRDefault="008E045A" w:rsidP="008E045A">
      <w:pPr>
        <w:spacing w:line="360" w:lineRule="auto"/>
        <w:ind w:left="567" w:right="567"/>
        <w:jc w:val="both"/>
        <w:rPr>
          <w:rFonts w:ascii="Palatino Linotype" w:hAnsi="Palatino Linotype" w:cs="Arial"/>
          <w:bCs/>
          <w:i/>
        </w:rPr>
      </w:pPr>
      <w:r w:rsidRPr="00025123">
        <w:rPr>
          <w:rFonts w:ascii="Palatino Linotype" w:hAnsi="Palatino Linotype" w:cs="Arial"/>
          <w:bCs/>
          <w:i/>
        </w:rPr>
        <w:t>...”</w:t>
      </w:r>
    </w:p>
    <w:p w14:paraId="4CFEE1FA" w14:textId="77777777" w:rsidR="008E045A" w:rsidRPr="00025123" w:rsidRDefault="008E045A" w:rsidP="008E045A">
      <w:pPr>
        <w:pStyle w:val="NormalWeb"/>
        <w:spacing w:after="0" w:line="360" w:lineRule="auto"/>
        <w:ind w:right="-28"/>
        <w:contextualSpacing/>
        <w:rPr>
          <w:rFonts w:ascii="Palatino Linotype" w:hAnsi="Palatino Linotype" w:cs="Tahoma"/>
          <w:bCs/>
          <w:iCs/>
          <w:sz w:val="22"/>
          <w:szCs w:val="22"/>
          <w:lang w:val="es-ES"/>
        </w:rPr>
      </w:pPr>
    </w:p>
    <w:p w14:paraId="693005A4" w14:textId="77777777" w:rsidR="008E045A" w:rsidRPr="00025123" w:rsidRDefault="008E045A" w:rsidP="008E045A">
      <w:pPr>
        <w:tabs>
          <w:tab w:val="left" w:pos="4962"/>
        </w:tabs>
        <w:spacing w:line="360" w:lineRule="auto"/>
        <w:jc w:val="both"/>
        <w:rPr>
          <w:rFonts w:ascii="Palatino Linotype" w:hAnsi="Palatino Linotype" w:cs="Tahoma"/>
          <w:sz w:val="22"/>
          <w:szCs w:val="22"/>
          <w:lang w:val="es-ES"/>
        </w:rPr>
      </w:pPr>
      <w:r w:rsidRPr="00025123">
        <w:rPr>
          <w:rFonts w:ascii="Palatino Linotype" w:hAnsi="Palatino Linotype" w:cs="Tahoma"/>
          <w:sz w:val="22"/>
          <w:szCs w:val="22"/>
          <w:lang w:val="es-ES"/>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14:paraId="72554BE7" w14:textId="77777777" w:rsidR="008E045A" w:rsidRPr="00025123" w:rsidRDefault="008E045A" w:rsidP="008E045A">
      <w:pPr>
        <w:pStyle w:val="NormalWeb"/>
        <w:spacing w:after="0" w:line="360" w:lineRule="auto"/>
        <w:ind w:right="-28"/>
        <w:contextualSpacing/>
        <w:rPr>
          <w:rFonts w:ascii="Palatino Linotype" w:hAnsi="Palatino Linotype" w:cs="Tahoma"/>
          <w:bCs/>
          <w:iCs/>
          <w:sz w:val="22"/>
          <w:szCs w:val="22"/>
          <w:lang w:val="es-ES"/>
        </w:rPr>
      </w:pPr>
    </w:p>
    <w:p w14:paraId="4D4DC944" w14:textId="77777777" w:rsidR="008E045A" w:rsidRPr="00025123" w:rsidRDefault="008E045A" w:rsidP="008E045A">
      <w:pPr>
        <w:tabs>
          <w:tab w:val="left" w:pos="4962"/>
        </w:tabs>
        <w:spacing w:line="360" w:lineRule="auto"/>
        <w:jc w:val="both"/>
        <w:rPr>
          <w:rFonts w:ascii="Palatino Linotype" w:hAnsi="Palatino Linotype" w:cs="Tahoma"/>
          <w:sz w:val="22"/>
          <w:szCs w:val="22"/>
          <w:lang w:val="es-ES"/>
        </w:rPr>
      </w:pPr>
      <w:r w:rsidRPr="00025123">
        <w:rPr>
          <w:rFonts w:ascii="Palatino Linotype" w:hAnsi="Palatino Linotype" w:cs="Tahoma"/>
          <w:sz w:val="22"/>
          <w:szCs w:val="22"/>
          <w:lang w:val="es-ES"/>
        </w:rPr>
        <w:t>Además, conforme al Diccionario de Transparencia y Acceso a la Información Pública y la página oficial de este Instituto (</w:t>
      </w:r>
      <w:hyperlink r:id="rId8" w:anchor="queEsRRdeIP" w:history="1">
        <w:r w:rsidRPr="00025123">
          <w:rPr>
            <w:rFonts w:ascii="Palatino Linotype" w:hAnsi="Palatino Linotype" w:cs="Tahoma"/>
            <w:sz w:val="22"/>
            <w:szCs w:val="22"/>
            <w:lang w:val="es-ES"/>
          </w:rPr>
          <w:t>https://www.infoem.org.mx/es/content/informacion-publica#queEsRRdeIP</w:t>
        </w:r>
      </w:hyperlink>
      <w:r w:rsidRPr="00025123">
        <w:rPr>
          <w:rFonts w:ascii="Palatino Linotype" w:hAnsi="Palatino Linotype" w:cs="Tahoma"/>
          <w:sz w:val="22"/>
          <w:szCs w:val="22"/>
          <w:lang w:val="es-ES"/>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14:paraId="3C2F025B" w14:textId="77777777" w:rsidR="008E045A" w:rsidRPr="00025123" w:rsidRDefault="008E045A" w:rsidP="008E045A">
      <w:pPr>
        <w:pStyle w:val="NormalWeb"/>
        <w:spacing w:after="0" w:line="360" w:lineRule="auto"/>
        <w:ind w:right="-28"/>
        <w:contextualSpacing/>
        <w:rPr>
          <w:rFonts w:ascii="Palatino Linotype" w:hAnsi="Palatino Linotype" w:cs="Tahoma"/>
          <w:bCs/>
          <w:iCs/>
          <w:sz w:val="22"/>
          <w:szCs w:val="22"/>
          <w:lang w:val="es-ES"/>
        </w:rPr>
      </w:pPr>
    </w:p>
    <w:p w14:paraId="727A2FED" w14:textId="77777777" w:rsidR="008E045A" w:rsidRPr="00025123" w:rsidRDefault="008E045A" w:rsidP="008E045A">
      <w:pPr>
        <w:tabs>
          <w:tab w:val="left" w:pos="4962"/>
        </w:tabs>
        <w:spacing w:line="360" w:lineRule="auto"/>
        <w:jc w:val="both"/>
        <w:rPr>
          <w:rFonts w:ascii="Palatino Linotype" w:hAnsi="Palatino Linotype" w:cs="Tahoma"/>
          <w:sz w:val="22"/>
          <w:szCs w:val="22"/>
          <w:lang w:val="es-ES"/>
        </w:rPr>
      </w:pPr>
      <w:r w:rsidRPr="00025123">
        <w:rPr>
          <w:rFonts w:ascii="Palatino Linotype" w:hAnsi="Palatino Linotype" w:cs="Tahoma"/>
          <w:sz w:val="22"/>
          <w:szCs w:val="22"/>
          <w:lang w:val="es-ES"/>
        </w:rPr>
        <w:t xml:space="preserve">Así, se logra vislumbrar que el Recurso de Revisión es una garantía secundaría al Derecho de Acceso a la Información Pública, por lo que, es procedente cuando los Particulares se inconformen con la falta de respuesta o trámite, o bien, de alguna circunstancia de la contestación realizada por los Sujetos Obligados </w:t>
      </w:r>
      <w:r w:rsidRPr="00025123">
        <w:rPr>
          <w:rFonts w:ascii="Palatino Linotype" w:hAnsi="Palatino Linotype" w:cs="Tahoma"/>
          <w:b/>
          <w:sz w:val="22"/>
          <w:szCs w:val="22"/>
          <w:u w:val="single"/>
          <w:lang w:val="es-ES"/>
        </w:rPr>
        <w:t>a una solicitud de información específica.</w:t>
      </w:r>
    </w:p>
    <w:p w14:paraId="548D9341" w14:textId="77777777" w:rsidR="008E045A" w:rsidRPr="00025123" w:rsidRDefault="008E045A" w:rsidP="008E045A">
      <w:pPr>
        <w:autoSpaceDE w:val="0"/>
        <w:autoSpaceDN w:val="0"/>
        <w:adjustRightInd w:val="0"/>
        <w:spacing w:line="360" w:lineRule="auto"/>
        <w:contextualSpacing/>
        <w:jc w:val="both"/>
        <w:rPr>
          <w:rFonts w:ascii="Palatino Linotype" w:hAnsi="Palatino Linotype" w:cs="Tahoma"/>
          <w:b/>
          <w:bCs/>
          <w:iCs/>
          <w:sz w:val="22"/>
          <w:szCs w:val="22"/>
          <w:lang w:val="es-ES"/>
        </w:rPr>
      </w:pPr>
    </w:p>
    <w:p w14:paraId="1DD2E48E" w14:textId="63BFB92C" w:rsidR="00B47F6F" w:rsidRPr="00025123" w:rsidRDefault="00B47F6F" w:rsidP="00B47F6F">
      <w:pPr>
        <w:tabs>
          <w:tab w:val="left" w:pos="4962"/>
        </w:tabs>
        <w:spacing w:line="360" w:lineRule="auto"/>
        <w:contextualSpacing/>
        <w:jc w:val="both"/>
        <w:rPr>
          <w:rFonts w:ascii="Palatino Linotype" w:eastAsia="Calibri" w:hAnsi="Palatino Linotype" w:cs="Tahoma"/>
          <w:color w:val="000000"/>
          <w:sz w:val="22"/>
          <w:szCs w:val="22"/>
          <w:lang w:eastAsia="es-MX"/>
        </w:rPr>
      </w:pPr>
      <w:r w:rsidRPr="00025123">
        <w:rPr>
          <w:rFonts w:ascii="Palatino Linotype" w:hAnsi="Palatino Linotype" w:cs="Tahoma"/>
          <w:sz w:val="22"/>
          <w:szCs w:val="22"/>
          <w:lang w:val="es-ES"/>
        </w:rPr>
        <w:t xml:space="preserve">Con base en lo anterior, y a efecto de verificar si el presente Recurso de Revisión actualiza alguna causal de procedencia del artículo 179 de la Ley de la Materia citado en párrafos que anteceden, </w:t>
      </w:r>
      <w:r w:rsidRPr="00025123">
        <w:rPr>
          <w:rFonts w:ascii="Palatino Linotype" w:hAnsi="Palatino Linotype"/>
          <w:sz w:val="22"/>
          <w:szCs w:val="22"/>
          <w:lang w:val="es-ES"/>
        </w:rPr>
        <w:t xml:space="preserve">es necesario </w:t>
      </w:r>
      <w:r w:rsidRPr="00025123">
        <w:rPr>
          <w:rFonts w:ascii="Palatino Linotype" w:eastAsia="Calibri" w:hAnsi="Palatino Linotype" w:cs="Tahoma"/>
          <w:sz w:val="22"/>
          <w:szCs w:val="22"/>
        </w:rPr>
        <w:t xml:space="preserve">precisar que el Particular </w:t>
      </w:r>
      <w:r w:rsidRPr="00025123">
        <w:rPr>
          <w:rFonts w:ascii="Palatino Linotype" w:eastAsia="Calibri" w:hAnsi="Palatino Linotype" w:cs="Tahoma"/>
          <w:color w:val="000000"/>
          <w:sz w:val="22"/>
          <w:szCs w:val="22"/>
          <w:lang w:val="es-ES" w:eastAsia="es-MX"/>
        </w:rPr>
        <w:t xml:space="preserve">requirió, del Director del Organismo, el </w:t>
      </w:r>
      <w:r w:rsidRPr="00025123">
        <w:rPr>
          <w:rFonts w:ascii="Palatino Linotype" w:eastAsia="Calibri" w:hAnsi="Palatino Linotype" w:cs="Tahoma"/>
          <w:color w:val="000000"/>
          <w:sz w:val="22"/>
          <w:szCs w:val="22"/>
          <w:lang w:eastAsia="es-MX"/>
        </w:rPr>
        <w:t>Currículum Vitae</w:t>
      </w:r>
      <w:r w:rsidRPr="00025123">
        <w:rPr>
          <w:rFonts w:ascii="Palatino Linotype" w:eastAsia="Calibri" w:hAnsi="Palatino Linotype" w:cs="Tahoma"/>
          <w:color w:val="000000"/>
          <w:sz w:val="22"/>
          <w:szCs w:val="22"/>
          <w:lang w:val="es-ES" w:eastAsia="es-MX"/>
        </w:rPr>
        <w:t xml:space="preserve">, los </w:t>
      </w:r>
      <w:r w:rsidRPr="00025123">
        <w:rPr>
          <w:rFonts w:ascii="Palatino Linotype" w:eastAsia="Calibri" w:hAnsi="Palatino Linotype" w:cs="Tahoma"/>
          <w:color w:val="000000"/>
          <w:sz w:val="22"/>
          <w:szCs w:val="22"/>
          <w:lang w:eastAsia="es-MX"/>
        </w:rPr>
        <w:t xml:space="preserve">documentos que acrediten el grado de estudios </w:t>
      </w:r>
      <w:r w:rsidRPr="00025123">
        <w:rPr>
          <w:rFonts w:ascii="Palatino Linotype" w:eastAsia="Calibri" w:hAnsi="Palatino Linotype" w:cs="Tahoma"/>
          <w:color w:val="000000"/>
          <w:sz w:val="22"/>
          <w:szCs w:val="22"/>
          <w:lang w:val="es-ES" w:eastAsia="es-MX"/>
        </w:rPr>
        <w:t xml:space="preserve">y </w:t>
      </w:r>
      <w:r w:rsidRPr="00025123">
        <w:rPr>
          <w:rFonts w:ascii="Palatino Linotype" w:eastAsia="Calibri" w:hAnsi="Palatino Linotype" w:cs="Tahoma"/>
          <w:color w:val="000000"/>
          <w:sz w:val="22"/>
          <w:szCs w:val="22"/>
          <w:lang w:eastAsia="es-MX"/>
        </w:rPr>
        <w:t>la experiencia laboral.</w:t>
      </w:r>
    </w:p>
    <w:p w14:paraId="65E16C72" w14:textId="77777777" w:rsidR="00B47F6F" w:rsidRPr="00025123" w:rsidRDefault="00B47F6F" w:rsidP="00B47F6F">
      <w:pPr>
        <w:tabs>
          <w:tab w:val="left" w:pos="4962"/>
        </w:tabs>
        <w:spacing w:line="360" w:lineRule="auto"/>
        <w:contextualSpacing/>
        <w:jc w:val="both"/>
        <w:rPr>
          <w:rFonts w:ascii="Palatino Linotype" w:eastAsia="Calibri" w:hAnsi="Palatino Linotype" w:cs="Tahoma"/>
          <w:color w:val="000000"/>
          <w:szCs w:val="22"/>
          <w:lang w:eastAsia="es-MX"/>
        </w:rPr>
      </w:pPr>
    </w:p>
    <w:p w14:paraId="3D7C9B5D" w14:textId="6B480F34" w:rsidR="00B47F6F" w:rsidRPr="00025123" w:rsidRDefault="00B47F6F" w:rsidP="00B47F6F">
      <w:pPr>
        <w:autoSpaceDE w:val="0"/>
        <w:autoSpaceDN w:val="0"/>
        <w:adjustRightInd w:val="0"/>
        <w:spacing w:line="360" w:lineRule="auto"/>
        <w:contextualSpacing/>
        <w:jc w:val="both"/>
        <w:rPr>
          <w:rFonts w:ascii="Palatino Linotype" w:hAnsi="Palatino Linotype"/>
          <w:sz w:val="22"/>
        </w:rPr>
      </w:pPr>
      <w:r w:rsidRPr="00025123">
        <w:rPr>
          <w:rFonts w:ascii="Palatino Linotype" w:eastAsia="Calibri" w:hAnsi="Palatino Linotype" w:cs="Tahoma"/>
          <w:color w:val="000000"/>
          <w:sz w:val="22"/>
          <w:szCs w:val="22"/>
          <w:lang w:val="es-ES" w:eastAsia="es-MX"/>
        </w:rPr>
        <w:lastRenderedPageBreak/>
        <w:t xml:space="preserve">Sobre el tema, el artículo 163, párrafo primero, de </w:t>
      </w:r>
      <w:r w:rsidRPr="00025123">
        <w:rPr>
          <w:rFonts w:ascii="Palatino Linotype" w:hAnsi="Palatino Linotype" w:cs="Tahoma"/>
          <w:sz w:val="22"/>
          <w:szCs w:val="22"/>
          <w:lang w:val="es-ES"/>
        </w:rPr>
        <w:t xml:space="preserve">la Ley de Transparencia y Acceso a la Información Pública del Estado de México y Municipios, precisa que, </w:t>
      </w:r>
      <w:r w:rsidRPr="00025123">
        <w:rPr>
          <w:rFonts w:ascii="Palatino Linotype" w:hAnsi="Palatino Linotype"/>
          <w:sz w:val="22"/>
        </w:rPr>
        <w:t xml:space="preserve">la Unidad de Transparencia deberá notificar la respuesta a la solicitud al interesado en el menor tiempo posible, que no podrá exceder de </w:t>
      </w:r>
      <w:r w:rsidRPr="00025123">
        <w:rPr>
          <w:rFonts w:ascii="Palatino Linotype" w:hAnsi="Palatino Linotype"/>
          <w:b/>
          <w:sz w:val="22"/>
        </w:rPr>
        <w:t>quince días hábiles</w:t>
      </w:r>
      <w:r w:rsidRPr="00025123">
        <w:rPr>
          <w:rFonts w:ascii="Palatino Linotype" w:hAnsi="Palatino Linotype"/>
          <w:sz w:val="22"/>
        </w:rPr>
        <w:t>, contados a partir del día siguiente a la presentación de aquélla.</w:t>
      </w:r>
    </w:p>
    <w:p w14:paraId="0F5BBD9A" w14:textId="77777777" w:rsidR="00B47F6F" w:rsidRPr="00025123" w:rsidRDefault="00B47F6F" w:rsidP="00B47F6F">
      <w:pPr>
        <w:autoSpaceDE w:val="0"/>
        <w:autoSpaceDN w:val="0"/>
        <w:adjustRightInd w:val="0"/>
        <w:spacing w:line="360" w:lineRule="auto"/>
        <w:contextualSpacing/>
        <w:jc w:val="both"/>
        <w:rPr>
          <w:rFonts w:ascii="Palatino Linotype" w:hAnsi="Palatino Linotype"/>
          <w:sz w:val="22"/>
        </w:rPr>
      </w:pPr>
    </w:p>
    <w:p w14:paraId="3D4874E7" w14:textId="6DA39043" w:rsidR="00B47F6F" w:rsidRPr="00025123" w:rsidRDefault="006F1D87" w:rsidP="00B47F6F">
      <w:pPr>
        <w:spacing w:line="360" w:lineRule="auto"/>
        <w:jc w:val="both"/>
        <w:rPr>
          <w:rFonts w:ascii="Palatino Linotype" w:hAnsi="Palatino Linotype" w:cs="Tahoma"/>
          <w:iCs/>
          <w:sz w:val="22"/>
          <w:szCs w:val="22"/>
        </w:rPr>
      </w:pPr>
      <w:r w:rsidRPr="00025123">
        <w:rPr>
          <w:rFonts w:ascii="Palatino Linotype" w:hAnsi="Palatino Linotype" w:cs="Tahoma"/>
          <w:iCs/>
          <w:sz w:val="22"/>
          <w:szCs w:val="22"/>
        </w:rPr>
        <w:t xml:space="preserve">En ese sentido, </w:t>
      </w:r>
      <w:r w:rsidR="006D3C87" w:rsidRPr="00025123">
        <w:rPr>
          <w:rFonts w:ascii="Palatino Linotype" w:hAnsi="Palatino Linotype" w:cs="Tahoma"/>
          <w:iCs/>
          <w:sz w:val="22"/>
          <w:szCs w:val="22"/>
        </w:rPr>
        <w:t xml:space="preserve">el requerimiento de acceso a la información se presentó el veintidós de enero de dos mil veinticinco, y </w:t>
      </w:r>
      <w:r w:rsidRPr="00025123">
        <w:rPr>
          <w:rFonts w:ascii="Palatino Linotype" w:hAnsi="Palatino Linotype" w:cs="Tahoma"/>
          <w:iCs/>
          <w:sz w:val="22"/>
          <w:szCs w:val="22"/>
        </w:rPr>
        <w:t xml:space="preserve">la interposición del Recurso de Revisión se registró el dieciocho de febrero de dos mil veinticinco, por lo que, </w:t>
      </w:r>
      <w:r w:rsidR="006D3C87" w:rsidRPr="00025123">
        <w:rPr>
          <w:rFonts w:ascii="Palatino Linotype" w:hAnsi="Palatino Linotype" w:cs="Tahoma"/>
          <w:iCs/>
          <w:sz w:val="22"/>
          <w:szCs w:val="22"/>
        </w:rPr>
        <w:t>el plazo con el que contaba el Sujeto Obligado para emitir contestación al requerimiento informativo comenzó a correr el veintitrés de enero y feneció el trece de febrero de dos mil veinticinco, es decir, el</w:t>
      </w:r>
      <w:r w:rsidR="006D3C87" w:rsidRPr="00025123">
        <w:rPr>
          <w:rFonts w:ascii="Palatino Linotype" w:eastAsia="Calibri" w:hAnsi="Palatino Linotype" w:cs="Tahoma"/>
          <w:sz w:val="22"/>
          <w:szCs w:val="22"/>
          <w:lang w:eastAsia="en-US"/>
        </w:rPr>
        <w:t xml:space="preserve"> </w:t>
      </w:r>
      <w:r w:rsidR="00192688" w:rsidRPr="00025123">
        <w:rPr>
          <w:rFonts w:ascii="Palatino Linotype" w:eastAsia="Calibri" w:hAnsi="Palatino Linotype" w:cs="Tahoma"/>
          <w:sz w:val="22"/>
          <w:szCs w:val="22"/>
          <w:lang w:eastAsia="en-US"/>
        </w:rPr>
        <w:t>Organismo Público Descentralizado para la Prestación de los Servicios de Agua Potable Alcantarillado y Saneamiento del Municipio de la Paz</w:t>
      </w:r>
      <w:r w:rsidR="006D3C87" w:rsidRPr="00025123">
        <w:rPr>
          <w:rFonts w:ascii="Palatino Linotype" w:eastAsia="Calibri" w:hAnsi="Palatino Linotype" w:cs="Tahoma"/>
          <w:sz w:val="22"/>
          <w:szCs w:val="22"/>
          <w:lang w:eastAsia="en-US"/>
        </w:rPr>
        <w:t xml:space="preserve">, </w:t>
      </w:r>
      <w:r w:rsidR="00B47F6F" w:rsidRPr="00025123">
        <w:rPr>
          <w:rFonts w:ascii="Palatino Linotype" w:hAnsi="Palatino Linotype" w:cs="Tahoma"/>
          <w:iCs/>
          <w:sz w:val="22"/>
          <w:szCs w:val="22"/>
        </w:rPr>
        <w:t>no emitió respuesta para dar contestación a la solicitud de acceso a la información pública, de</w:t>
      </w:r>
      <w:r w:rsidR="006D3C87" w:rsidRPr="00025123">
        <w:rPr>
          <w:rFonts w:ascii="Palatino Linotype" w:hAnsi="Palatino Linotype" w:cs="Tahoma"/>
          <w:iCs/>
          <w:sz w:val="22"/>
          <w:szCs w:val="22"/>
        </w:rPr>
        <w:t>ntro de los plazos establecidos.</w:t>
      </w:r>
    </w:p>
    <w:p w14:paraId="2C979FD0" w14:textId="77777777" w:rsidR="006D3C87" w:rsidRPr="00025123" w:rsidRDefault="006D3C87" w:rsidP="00B47F6F">
      <w:pPr>
        <w:spacing w:line="360" w:lineRule="auto"/>
        <w:jc w:val="both"/>
        <w:rPr>
          <w:rFonts w:ascii="Palatino Linotype" w:hAnsi="Palatino Linotype" w:cs="Tahoma"/>
          <w:iCs/>
          <w:sz w:val="22"/>
          <w:szCs w:val="22"/>
        </w:rPr>
      </w:pPr>
    </w:p>
    <w:p w14:paraId="422232CD" w14:textId="77777777" w:rsidR="00192688" w:rsidRPr="00025123" w:rsidRDefault="006D3C87" w:rsidP="00192688">
      <w:pPr>
        <w:tabs>
          <w:tab w:val="left" w:pos="4962"/>
        </w:tabs>
        <w:spacing w:line="360" w:lineRule="auto"/>
        <w:jc w:val="both"/>
        <w:rPr>
          <w:rFonts w:ascii="Palatino Linotype" w:hAnsi="Palatino Linotype" w:cs="Tahoma"/>
          <w:sz w:val="22"/>
          <w:szCs w:val="22"/>
          <w:lang w:val="es-ES"/>
        </w:rPr>
      </w:pPr>
      <w:r w:rsidRPr="00025123">
        <w:rPr>
          <w:rFonts w:ascii="Palatino Linotype" w:hAnsi="Palatino Linotype" w:cs="Tahoma"/>
          <w:iCs/>
          <w:sz w:val="22"/>
          <w:szCs w:val="22"/>
        </w:rPr>
        <w:t>Ahora bien</w:t>
      </w:r>
      <w:r w:rsidRPr="00025123">
        <w:rPr>
          <w:rFonts w:ascii="Palatino Linotype" w:hAnsi="Palatino Linotype" w:cs="Tahoma"/>
          <w:sz w:val="22"/>
          <w:szCs w:val="22"/>
          <w:lang w:val="es-ES"/>
        </w:rPr>
        <w:t xml:space="preserve">, de las constancias que obran en el expediente electrónico del Sistema de </w:t>
      </w:r>
      <w:r w:rsidRPr="00025123">
        <w:rPr>
          <w:rFonts w:ascii="Palatino Linotype" w:eastAsia="Calibri" w:hAnsi="Palatino Linotype"/>
          <w:bCs/>
          <w:sz w:val="22"/>
          <w:szCs w:val="22"/>
          <w:lang w:val="es-ES"/>
        </w:rPr>
        <w:t>Acceso a la Información Mexiquense (SAIMEX),</w:t>
      </w:r>
      <w:r w:rsidRPr="00025123">
        <w:rPr>
          <w:rFonts w:ascii="Palatino Linotype" w:hAnsi="Palatino Linotype" w:cs="Tahoma"/>
          <w:sz w:val="22"/>
          <w:szCs w:val="22"/>
          <w:lang w:val="es-ES"/>
        </w:rPr>
        <w:t xml:space="preserve"> el Particular se agravió que no se le entregó la información completa; de tal circunstancia se logra vislumbrar que la inconformidad de la persona Recurrente, radica en que el Sujeto Obligado le entregó una </w:t>
      </w:r>
      <w:r w:rsidR="00192688" w:rsidRPr="00025123">
        <w:rPr>
          <w:rFonts w:ascii="Palatino Linotype" w:hAnsi="Palatino Linotype" w:cs="Tahoma"/>
          <w:sz w:val="22"/>
          <w:szCs w:val="22"/>
          <w:lang w:val="es-ES"/>
        </w:rPr>
        <w:t>respuesta,</w:t>
      </w:r>
      <w:r w:rsidRPr="00025123">
        <w:rPr>
          <w:rFonts w:ascii="Palatino Linotype" w:hAnsi="Palatino Linotype" w:cs="Tahoma"/>
          <w:sz w:val="22"/>
          <w:szCs w:val="22"/>
          <w:lang w:val="es-ES"/>
        </w:rPr>
        <w:t xml:space="preserve"> pero </w:t>
      </w:r>
      <w:r w:rsidR="00192688" w:rsidRPr="00025123">
        <w:rPr>
          <w:rFonts w:ascii="Palatino Linotype" w:hAnsi="Palatino Linotype" w:cs="Tahoma"/>
          <w:sz w:val="22"/>
          <w:szCs w:val="22"/>
          <w:lang w:val="es-ES"/>
        </w:rPr>
        <w:t xml:space="preserve">esta es </w:t>
      </w:r>
      <w:r w:rsidRPr="00025123">
        <w:rPr>
          <w:rFonts w:ascii="Palatino Linotype" w:hAnsi="Palatino Linotype" w:cs="Tahoma"/>
          <w:sz w:val="22"/>
          <w:szCs w:val="22"/>
          <w:lang w:val="es-ES"/>
        </w:rPr>
        <w:t>incompleta</w:t>
      </w:r>
      <w:r w:rsidR="00A76EFE" w:rsidRPr="00025123">
        <w:rPr>
          <w:rFonts w:ascii="Palatino Linotype" w:hAnsi="Palatino Linotype" w:cs="Tahoma"/>
          <w:sz w:val="22"/>
          <w:szCs w:val="22"/>
          <w:lang w:val="es-ES"/>
        </w:rPr>
        <w:t>.</w:t>
      </w:r>
      <w:r w:rsidR="00192688" w:rsidRPr="00025123">
        <w:rPr>
          <w:rFonts w:ascii="Palatino Linotype" w:hAnsi="Palatino Linotype" w:cs="Tahoma"/>
          <w:sz w:val="22"/>
          <w:szCs w:val="22"/>
          <w:lang w:val="es-ES"/>
        </w:rPr>
        <w:t xml:space="preserve"> </w:t>
      </w:r>
    </w:p>
    <w:p w14:paraId="6CC64A70" w14:textId="77777777" w:rsidR="00192688" w:rsidRPr="00025123" w:rsidRDefault="00192688" w:rsidP="00192688">
      <w:pPr>
        <w:tabs>
          <w:tab w:val="left" w:pos="4962"/>
        </w:tabs>
        <w:spacing w:line="360" w:lineRule="auto"/>
        <w:jc w:val="both"/>
        <w:rPr>
          <w:rFonts w:ascii="Palatino Linotype" w:hAnsi="Palatino Linotype" w:cs="Tahoma"/>
          <w:sz w:val="22"/>
          <w:szCs w:val="22"/>
          <w:lang w:val="es-ES"/>
        </w:rPr>
      </w:pPr>
    </w:p>
    <w:p w14:paraId="302417DC" w14:textId="71321574" w:rsidR="00A76EFE" w:rsidRPr="00025123" w:rsidRDefault="00A76EFE" w:rsidP="00192688">
      <w:pPr>
        <w:tabs>
          <w:tab w:val="left" w:pos="4962"/>
        </w:tabs>
        <w:spacing w:line="360" w:lineRule="auto"/>
        <w:jc w:val="both"/>
        <w:rPr>
          <w:rFonts w:ascii="Palatino Linotype" w:hAnsi="Palatino Linotype" w:cs="Tahoma"/>
          <w:iCs/>
          <w:sz w:val="22"/>
          <w:szCs w:val="22"/>
          <w:lang w:val="es-ES"/>
        </w:rPr>
      </w:pPr>
      <w:r w:rsidRPr="00025123">
        <w:rPr>
          <w:rFonts w:ascii="Palatino Linotype" w:hAnsi="Palatino Linotype" w:cs="Tahoma"/>
          <w:iCs/>
          <w:sz w:val="22"/>
          <w:szCs w:val="22"/>
        </w:rPr>
        <w:t xml:space="preserve">Así, este Instituto verificó que, en efecto, no se registró respuesta a la solicitud de información de la persona Recurrente, en el </w:t>
      </w:r>
      <w:r w:rsidRPr="00025123">
        <w:rPr>
          <w:rFonts w:ascii="Palatino Linotype" w:hAnsi="Palatino Linotype" w:cs="Tahoma"/>
          <w:iCs/>
          <w:sz w:val="22"/>
          <w:szCs w:val="22"/>
          <w:lang w:val="es-ES"/>
        </w:rPr>
        <w:t>Sistema de Acceso a la Información Mexiquense (SAIMEX)</w:t>
      </w:r>
      <w:r w:rsidR="00192688" w:rsidRPr="00025123">
        <w:rPr>
          <w:rFonts w:ascii="Palatino Linotype" w:hAnsi="Palatino Linotype" w:cs="Tahoma"/>
          <w:iCs/>
          <w:sz w:val="22"/>
          <w:szCs w:val="22"/>
          <w:lang w:val="es-ES"/>
        </w:rPr>
        <w:t xml:space="preserve">, es decir, es inexistente la contestación del Organismo Público Descentralizado para la Prestación </w:t>
      </w:r>
      <w:r w:rsidR="00192688" w:rsidRPr="00025123">
        <w:rPr>
          <w:rFonts w:ascii="Palatino Linotype" w:hAnsi="Palatino Linotype" w:cs="Tahoma"/>
          <w:iCs/>
          <w:sz w:val="22"/>
          <w:szCs w:val="22"/>
          <w:lang w:val="es-ES"/>
        </w:rPr>
        <w:lastRenderedPageBreak/>
        <w:t>de los Servicios de Agua Potable Alcantarillado y Saneamiento del Municipio de la Paz</w:t>
      </w:r>
      <w:r w:rsidRPr="00025123">
        <w:rPr>
          <w:rFonts w:ascii="Palatino Linotype" w:hAnsi="Palatino Linotype" w:cs="Tahoma"/>
          <w:iCs/>
          <w:sz w:val="22"/>
          <w:szCs w:val="22"/>
          <w:lang w:val="es-ES"/>
        </w:rPr>
        <w:t>, tal como se observa a continuación:</w:t>
      </w:r>
    </w:p>
    <w:p w14:paraId="3FA92134" w14:textId="77777777" w:rsidR="00192688" w:rsidRPr="00025123" w:rsidRDefault="00192688" w:rsidP="00A76EFE">
      <w:pPr>
        <w:spacing w:line="360" w:lineRule="auto"/>
        <w:jc w:val="both"/>
        <w:rPr>
          <w:rFonts w:ascii="Palatino Linotype" w:hAnsi="Palatino Linotype" w:cs="Tahoma"/>
          <w:iCs/>
          <w:noProof/>
          <w:sz w:val="22"/>
          <w:szCs w:val="22"/>
          <w:lang w:eastAsia="es-MX"/>
        </w:rPr>
      </w:pPr>
    </w:p>
    <w:p w14:paraId="5FC781CC" w14:textId="77777777" w:rsidR="00A76EFE" w:rsidRPr="00025123" w:rsidRDefault="00A76EFE" w:rsidP="00A76EFE">
      <w:pPr>
        <w:spacing w:line="360" w:lineRule="auto"/>
        <w:jc w:val="center"/>
        <w:rPr>
          <w:rFonts w:ascii="Palatino Linotype" w:hAnsi="Palatino Linotype" w:cs="Tahoma"/>
          <w:iCs/>
          <w:sz w:val="22"/>
          <w:szCs w:val="22"/>
        </w:rPr>
      </w:pPr>
      <w:r w:rsidRPr="00025123">
        <w:rPr>
          <w:rFonts w:ascii="Palatino Linotype" w:hAnsi="Palatino Linotype" w:cs="Tahoma"/>
          <w:iCs/>
          <w:noProof/>
          <w:sz w:val="22"/>
          <w:szCs w:val="22"/>
          <w:lang w:eastAsia="es-MX"/>
        </w:rPr>
        <w:drawing>
          <wp:inline distT="0" distB="0" distL="0" distR="0" wp14:anchorId="4E0435EE" wp14:editId="1295C47B">
            <wp:extent cx="3516086" cy="125091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84CCB9.tmp"/>
                    <pic:cNvPicPr/>
                  </pic:nvPicPr>
                  <pic:blipFill>
                    <a:blip r:embed="rId9">
                      <a:extLst>
                        <a:ext uri="{28A0092B-C50C-407E-A947-70E740481C1C}">
                          <a14:useLocalDpi xmlns:a14="http://schemas.microsoft.com/office/drawing/2010/main" val="0"/>
                        </a:ext>
                      </a:extLst>
                    </a:blip>
                    <a:stretch>
                      <a:fillRect/>
                    </a:stretch>
                  </pic:blipFill>
                  <pic:spPr>
                    <a:xfrm>
                      <a:off x="0" y="0"/>
                      <a:ext cx="3550965" cy="1263325"/>
                    </a:xfrm>
                    <a:prstGeom prst="rect">
                      <a:avLst/>
                    </a:prstGeom>
                  </pic:spPr>
                </pic:pic>
              </a:graphicData>
            </a:graphic>
          </wp:inline>
        </w:drawing>
      </w:r>
    </w:p>
    <w:p w14:paraId="169F4E12" w14:textId="77777777" w:rsidR="00A76EFE" w:rsidRPr="00025123" w:rsidRDefault="00A76EFE" w:rsidP="00A76EFE">
      <w:pPr>
        <w:spacing w:line="360" w:lineRule="auto"/>
        <w:jc w:val="center"/>
        <w:rPr>
          <w:rFonts w:ascii="Palatino Linotype" w:hAnsi="Palatino Linotype" w:cs="Tahoma"/>
          <w:iCs/>
          <w:sz w:val="22"/>
          <w:szCs w:val="22"/>
        </w:rPr>
      </w:pPr>
    </w:p>
    <w:p w14:paraId="054FAF6D" w14:textId="2325DB7A" w:rsidR="00192688" w:rsidRPr="00025123" w:rsidRDefault="00A76EFE" w:rsidP="008E045A">
      <w:pPr>
        <w:spacing w:line="360" w:lineRule="auto"/>
        <w:jc w:val="both"/>
        <w:rPr>
          <w:rFonts w:ascii="Palatino Linotype" w:hAnsi="Palatino Linotype" w:cs="Tahoma"/>
          <w:bCs/>
          <w:sz w:val="22"/>
          <w:szCs w:val="22"/>
          <w:lang w:val="es-ES"/>
        </w:rPr>
      </w:pPr>
      <w:r w:rsidRPr="00025123">
        <w:rPr>
          <w:rFonts w:ascii="Palatino Linotype" w:hAnsi="Palatino Linotype" w:cs="Tahoma"/>
          <w:iCs/>
          <w:sz w:val="22"/>
          <w:szCs w:val="22"/>
        </w:rPr>
        <w:t xml:space="preserve">En ese orden de ideas, si bien </w:t>
      </w:r>
      <w:r w:rsidRPr="00025123">
        <w:rPr>
          <w:rFonts w:ascii="Palatino Linotype" w:hAnsi="Palatino Linotype" w:cs="Tahoma"/>
          <w:bCs/>
          <w:sz w:val="22"/>
          <w:szCs w:val="22"/>
          <w:lang w:val="es-ES"/>
        </w:rPr>
        <w:t>el Particular se inconformó de que no le entregaron la información de manera completa, el Sujeto Obligado fue omiso en dar una respuesta, es decir, no existe una respuesta incompleta</w:t>
      </w:r>
      <w:r w:rsidR="008E045A" w:rsidRPr="00025123">
        <w:rPr>
          <w:rFonts w:ascii="Palatino Linotype" w:hAnsi="Palatino Linotype" w:cs="Tahoma"/>
          <w:bCs/>
          <w:sz w:val="22"/>
          <w:szCs w:val="22"/>
          <w:lang w:val="es-ES"/>
        </w:rPr>
        <w:t xml:space="preserve">; por lo que, este Instituto considera que el Medio de Impugnación no actualiza </w:t>
      </w:r>
      <w:r w:rsidR="00192688" w:rsidRPr="00025123">
        <w:rPr>
          <w:rFonts w:ascii="Palatino Linotype" w:hAnsi="Palatino Linotype" w:cs="Tahoma"/>
          <w:bCs/>
          <w:sz w:val="22"/>
          <w:szCs w:val="22"/>
          <w:lang w:val="es-ES"/>
        </w:rPr>
        <w:t>la causal de procedencia establecida en el artículo 179, fracción V, de la Ley de Transparencia.</w:t>
      </w:r>
    </w:p>
    <w:p w14:paraId="56DD3DBE" w14:textId="77777777" w:rsidR="00192688" w:rsidRPr="00025123" w:rsidRDefault="00192688" w:rsidP="008E045A">
      <w:pPr>
        <w:spacing w:line="360" w:lineRule="auto"/>
        <w:jc w:val="both"/>
        <w:rPr>
          <w:rFonts w:ascii="Palatino Linotype" w:hAnsi="Palatino Linotype" w:cs="Tahoma"/>
          <w:bCs/>
          <w:sz w:val="22"/>
          <w:szCs w:val="22"/>
          <w:lang w:val="es-ES"/>
        </w:rPr>
      </w:pPr>
    </w:p>
    <w:p w14:paraId="5F8F18A6" w14:textId="5CE96B79" w:rsidR="008E045A" w:rsidRPr="00025123" w:rsidRDefault="008E045A" w:rsidP="008E045A">
      <w:pPr>
        <w:tabs>
          <w:tab w:val="left" w:pos="4962"/>
        </w:tabs>
        <w:spacing w:line="360" w:lineRule="auto"/>
        <w:jc w:val="both"/>
        <w:rPr>
          <w:rFonts w:ascii="Palatino Linotype" w:hAnsi="Palatino Linotype" w:cs="Tahoma"/>
          <w:sz w:val="22"/>
          <w:szCs w:val="22"/>
          <w:lang w:val="es-ES"/>
        </w:rPr>
      </w:pPr>
      <w:r w:rsidRPr="00025123">
        <w:rPr>
          <w:rFonts w:ascii="Palatino Linotype" w:hAnsi="Palatino Linotype" w:cs="Tahoma"/>
          <w:sz w:val="22"/>
          <w:szCs w:val="22"/>
          <w:lang w:val="es-ES"/>
        </w:rPr>
        <w:t xml:space="preserve">Por lo expuesto, se logra vislumbrar que, la inconformidad referida por el Particular, no actualizan ninguna causal de procedencia, pues como se refirió, </w:t>
      </w:r>
      <w:r w:rsidR="00A76EFE" w:rsidRPr="00025123">
        <w:rPr>
          <w:rFonts w:ascii="Palatino Linotype" w:hAnsi="Palatino Linotype" w:cs="Tahoma"/>
          <w:sz w:val="22"/>
          <w:szCs w:val="22"/>
          <w:lang w:val="es-ES"/>
        </w:rPr>
        <w:t xml:space="preserve">la inconformidad del Particular radica en un hecho inexistente </w:t>
      </w:r>
      <w:r w:rsidRPr="00025123">
        <w:rPr>
          <w:rFonts w:ascii="Palatino Linotype" w:hAnsi="Palatino Linotype" w:cs="Tahoma"/>
          <w:bCs/>
          <w:color w:val="000000"/>
          <w:sz w:val="22"/>
          <w:szCs w:val="22"/>
          <w:lang w:val="es-ES"/>
        </w:rPr>
        <w:t>y, por lo tanto, se materializa la</w:t>
      </w:r>
      <w:r w:rsidRPr="00025123">
        <w:rPr>
          <w:rFonts w:ascii="Palatino Linotype" w:hAnsi="Palatino Linotype" w:cs="Tahoma"/>
          <w:sz w:val="22"/>
          <w:szCs w:val="22"/>
        </w:rPr>
        <w:t xml:space="preserve"> causal de </w:t>
      </w:r>
      <w:proofErr w:type="spellStart"/>
      <w:r w:rsidRPr="00025123">
        <w:rPr>
          <w:rFonts w:ascii="Palatino Linotype" w:hAnsi="Palatino Linotype" w:cs="Tahoma"/>
          <w:sz w:val="22"/>
          <w:szCs w:val="22"/>
        </w:rPr>
        <w:t>desechamiento</w:t>
      </w:r>
      <w:proofErr w:type="spellEnd"/>
      <w:r w:rsidRPr="00025123">
        <w:rPr>
          <w:rFonts w:ascii="Palatino Linotype" w:hAnsi="Palatino Linotype" w:cs="Tahoma"/>
          <w:sz w:val="22"/>
          <w:szCs w:val="22"/>
        </w:rPr>
        <w:t xml:space="preserve"> establecida en el artículo 191, fracción III, de la Ley de la materia; sin embargo, toda vez que fue necesario admitir el Medio de Impugnación, para verificar dicha circunstancia</w:t>
      </w:r>
      <w:r w:rsidRPr="00025123">
        <w:rPr>
          <w:rFonts w:ascii="Palatino Linotype" w:hAnsi="Palatino Linotype" w:cs="Tahoma"/>
          <w:sz w:val="22"/>
          <w:szCs w:val="22"/>
          <w:lang w:val="es-ES"/>
        </w:rPr>
        <w:t xml:space="preserve">, lo procedente es </w:t>
      </w:r>
      <w:r w:rsidRPr="00025123">
        <w:rPr>
          <w:rFonts w:ascii="Palatino Linotype" w:hAnsi="Palatino Linotype" w:cs="Tahoma"/>
          <w:b/>
          <w:sz w:val="22"/>
          <w:szCs w:val="22"/>
          <w:lang w:val="es-ES"/>
        </w:rPr>
        <w:t>SOBRESEER</w:t>
      </w:r>
      <w:r w:rsidRPr="00025123">
        <w:rPr>
          <w:rFonts w:ascii="Palatino Linotype" w:hAnsi="Palatino Linotype" w:cs="Tahoma"/>
          <w:sz w:val="22"/>
          <w:szCs w:val="22"/>
          <w:lang w:val="es-ES"/>
        </w:rPr>
        <w:t xml:space="preserve"> el mismo. </w:t>
      </w:r>
    </w:p>
    <w:p w14:paraId="0FB17B70" w14:textId="77777777" w:rsidR="008E045A" w:rsidRPr="00025123" w:rsidRDefault="008E045A" w:rsidP="008E045A">
      <w:pPr>
        <w:spacing w:line="360" w:lineRule="auto"/>
        <w:jc w:val="both"/>
        <w:rPr>
          <w:rFonts w:ascii="Palatino Linotype" w:hAnsi="Palatino Linotype" w:cs="Tahoma"/>
          <w:bCs/>
          <w:sz w:val="22"/>
          <w:szCs w:val="22"/>
        </w:rPr>
      </w:pPr>
    </w:p>
    <w:p w14:paraId="26D93714" w14:textId="0D560AC9" w:rsidR="008E045A" w:rsidRPr="00025123" w:rsidRDefault="00A76EFE" w:rsidP="00A76EFE">
      <w:pPr>
        <w:pStyle w:val="Ttulo2"/>
        <w:jc w:val="both"/>
        <w:rPr>
          <w:lang w:eastAsia="es-MX"/>
        </w:rPr>
      </w:pPr>
      <w:bookmarkStart w:id="9" w:name="_Toc193382920"/>
      <w:r w:rsidRPr="00025123">
        <w:rPr>
          <w:lang w:eastAsia="es-MX"/>
        </w:rPr>
        <w:t>CUARTO. Decisión</w:t>
      </w:r>
      <w:bookmarkEnd w:id="9"/>
    </w:p>
    <w:p w14:paraId="7622C75D" w14:textId="77777777" w:rsidR="008E045A" w:rsidRPr="00025123" w:rsidRDefault="008E045A" w:rsidP="008E045A">
      <w:pPr>
        <w:spacing w:line="360" w:lineRule="auto"/>
        <w:jc w:val="both"/>
        <w:rPr>
          <w:rFonts w:ascii="Palatino Linotype" w:eastAsia="Palatino Linotype" w:hAnsi="Palatino Linotype" w:cs="Palatino Linotype"/>
          <w:b/>
          <w:sz w:val="22"/>
          <w:szCs w:val="22"/>
          <w:lang w:eastAsia="es-MX"/>
        </w:rPr>
      </w:pPr>
    </w:p>
    <w:p w14:paraId="2F473778" w14:textId="77777777" w:rsidR="008E045A" w:rsidRPr="00025123" w:rsidRDefault="008E045A" w:rsidP="008E045A">
      <w:pPr>
        <w:spacing w:line="360" w:lineRule="auto"/>
        <w:jc w:val="both"/>
        <w:rPr>
          <w:rFonts w:ascii="Palatino Linotype" w:hAnsi="Palatino Linotype" w:cs="Tahoma"/>
          <w:sz w:val="22"/>
          <w:szCs w:val="22"/>
          <w:lang w:val="es-ES"/>
        </w:rPr>
      </w:pPr>
      <w:r w:rsidRPr="00025123">
        <w:rPr>
          <w:rFonts w:ascii="Palatino Linotype" w:hAnsi="Palatino Linotype" w:cs="Tahoma"/>
          <w:sz w:val="22"/>
          <w:szCs w:val="22"/>
          <w:lang w:val="es-ES"/>
        </w:rPr>
        <w:lastRenderedPageBreak/>
        <w:t xml:space="preserve">Con fundamento en lo dispuesto en el artículo 186, fracción I de la Ley de Transparencia y Acceso a la Información Pública del Estado de México y Municipios, se considera procedente </w:t>
      </w:r>
      <w:r w:rsidRPr="00025123">
        <w:rPr>
          <w:rFonts w:ascii="Palatino Linotype" w:hAnsi="Palatino Linotype" w:cs="Tahoma"/>
          <w:b/>
          <w:sz w:val="22"/>
          <w:szCs w:val="22"/>
          <w:lang w:val="es-ES"/>
        </w:rPr>
        <w:t xml:space="preserve">SOBRESEER </w:t>
      </w:r>
      <w:r w:rsidRPr="00025123">
        <w:rPr>
          <w:rFonts w:ascii="Palatino Linotype" w:hAnsi="Palatino Linotype" w:cs="Tahoma"/>
          <w:sz w:val="22"/>
          <w:szCs w:val="22"/>
          <w:lang w:val="es-ES"/>
        </w:rPr>
        <w:t>el Recurso de Revisión, en virtud de que se actualiza la hipótesis normativa prevista en la fracción IV, del diverso 192, en relación, con el 191, fracción III, ambos del citado ordenamiento legal.</w:t>
      </w:r>
    </w:p>
    <w:p w14:paraId="5A27B3A9" w14:textId="77777777" w:rsidR="008E045A" w:rsidRPr="00025123" w:rsidRDefault="008E045A" w:rsidP="008E045A">
      <w:pPr>
        <w:spacing w:line="360" w:lineRule="auto"/>
        <w:ind w:right="-93"/>
        <w:jc w:val="both"/>
        <w:rPr>
          <w:rFonts w:ascii="Palatino Linotype" w:eastAsia="Palatino Linotype" w:hAnsi="Palatino Linotype" w:cs="Palatino Linotype"/>
          <w:sz w:val="22"/>
          <w:szCs w:val="22"/>
          <w:lang w:eastAsia="es-MX"/>
        </w:rPr>
      </w:pPr>
    </w:p>
    <w:p w14:paraId="402435A8" w14:textId="4B59E643" w:rsidR="008E045A" w:rsidRPr="00025123" w:rsidRDefault="008E045A" w:rsidP="008E045A">
      <w:pPr>
        <w:spacing w:line="360" w:lineRule="auto"/>
        <w:jc w:val="both"/>
        <w:rPr>
          <w:rFonts w:ascii="Palatino Linotype" w:eastAsia="Palatino Linotype" w:hAnsi="Palatino Linotype" w:cs="Palatino Linotype"/>
          <w:b/>
          <w:sz w:val="22"/>
          <w:szCs w:val="22"/>
          <w:lang w:eastAsia="es-MX"/>
        </w:rPr>
      </w:pPr>
      <w:r w:rsidRPr="00025123">
        <w:rPr>
          <w:rFonts w:ascii="Palatino Linotype" w:eastAsia="Palatino Linotype" w:hAnsi="Palatino Linotype" w:cs="Palatino Linotype"/>
          <w:b/>
          <w:sz w:val="22"/>
          <w:szCs w:val="22"/>
          <w:lang w:eastAsia="es-MX"/>
        </w:rPr>
        <w:t>Términos de la Resolución para conocimiento del Particular</w:t>
      </w:r>
    </w:p>
    <w:p w14:paraId="482B5103" w14:textId="77777777" w:rsidR="008E045A" w:rsidRPr="00025123" w:rsidRDefault="008E045A" w:rsidP="008E045A">
      <w:pPr>
        <w:spacing w:line="360" w:lineRule="auto"/>
        <w:jc w:val="both"/>
        <w:rPr>
          <w:rFonts w:ascii="Palatino Linotype" w:eastAsia="Palatino Linotype" w:hAnsi="Palatino Linotype" w:cs="Palatino Linotype"/>
          <w:b/>
          <w:sz w:val="22"/>
          <w:szCs w:val="22"/>
          <w:lang w:eastAsia="es-MX"/>
        </w:rPr>
      </w:pPr>
    </w:p>
    <w:p w14:paraId="037E08C1" w14:textId="6641C7DC" w:rsidR="00A76EFE" w:rsidRPr="00025123" w:rsidRDefault="008E045A" w:rsidP="008E045A">
      <w:pPr>
        <w:spacing w:line="360" w:lineRule="auto"/>
        <w:jc w:val="both"/>
        <w:rPr>
          <w:rFonts w:ascii="Palatino Linotype" w:hAnsi="Palatino Linotype" w:cs="Tahoma"/>
          <w:bCs/>
          <w:sz w:val="22"/>
          <w:szCs w:val="22"/>
        </w:rPr>
      </w:pPr>
      <w:r w:rsidRPr="00025123">
        <w:rPr>
          <w:rFonts w:ascii="Palatino Linotype" w:hAnsi="Palatino Linotype" w:cs="Tahoma"/>
          <w:bCs/>
          <w:sz w:val="22"/>
          <w:szCs w:val="22"/>
        </w:rPr>
        <w:t xml:space="preserve">Se le hace del conocimiento al Particular, que su Recurso no actualiza ninguna de las causales de procedencia establecidas en la Ley de la materia, pues </w:t>
      </w:r>
      <w:r w:rsidR="00A76EFE" w:rsidRPr="00025123">
        <w:rPr>
          <w:rFonts w:ascii="Palatino Linotype" w:hAnsi="Palatino Linotype" w:cs="Tahoma"/>
          <w:bCs/>
          <w:sz w:val="22"/>
          <w:szCs w:val="22"/>
        </w:rPr>
        <w:t>se inconformó de algo que no existe, es decir, el Sujeto Obligado no dio respuesta a su requerimiento de Información por tal motivo no puede existir una respuesta incompleta.</w:t>
      </w:r>
    </w:p>
    <w:p w14:paraId="7BCF149F" w14:textId="77777777" w:rsidR="008E045A" w:rsidRPr="00025123" w:rsidRDefault="008E045A" w:rsidP="008E045A">
      <w:pPr>
        <w:spacing w:line="360" w:lineRule="auto"/>
        <w:jc w:val="both"/>
        <w:rPr>
          <w:rFonts w:ascii="Palatino Linotype" w:eastAsia="Palatino Linotype" w:hAnsi="Palatino Linotype" w:cs="Palatino Linotype"/>
          <w:sz w:val="22"/>
          <w:szCs w:val="22"/>
          <w:lang w:eastAsia="es-MX"/>
        </w:rPr>
      </w:pPr>
    </w:p>
    <w:p w14:paraId="525713B1" w14:textId="77777777" w:rsidR="008E045A" w:rsidRPr="00025123" w:rsidRDefault="008E045A" w:rsidP="008E045A">
      <w:pPr>
        <w:spacing w:line="360" w:lineRule="auto"/>
        <w:jc w:val="both"/>
        <w:rPr>
          <w:rFonts w:ascii="Palatino Linotype" w:eastAsia="Calibri" w:hAnsi="Palatino Linotype" w:cs="Tahoma"/>
          <w:bCs/>
          <w:iCs/>
          <w:sz w:val="22"/>
          <w:szCs w:val="22"/>
          <w:lang w:val="es-ES"/>
        </w:rPr>
      </w:pPr>
      <w:r w:rsidRPr="00025123">
        <w:rPr>
          <w:rFonts w:ascii="Palatino Linotype" w:eastAsia="Calibri" w:hAnsi="Palatino Linotype" w:cs="Tahoma"/>
          <w:bCs/>
          <w:iCs/>
          <w:sz w:val="22"/>
          <w:szCs w:val="22"/>
          <w:lang w:val="es-ES"/>
        </w:rPr>
        <w:t xml:space="preserve">Finalmente, se le informa que </w:t>
      </w:r>
      <w:r w:rsidRPr="00025123">
        <w:rPr>
          <w:rFonts w:ascii="Palatino Linotype" w:eastAsia="Calibri" w:hAnsi="Palatino Linotype" w:cs="Tahoma"/>
          <w:bCs/>
          <w:iCs/>
          <w:sz w:val="22"/>
          <w:szCs w:val="22"/>
          <w:lang w:val="es-ES_tradnl"/>
        </w:rPr>
        <w:t>la labor del Instituto de Transparencia, Acceso a la Información Pública y Protección de Datos Personales del Estado de México y Municipios, por una parte, es apoyar a la población a acceder a la información pública y, por otra parte, es garantizar la protección de los datos personales.</w:t>
      </w:r>
    </w:p>
    <w:p w14:paraId="719B57EC" w14:textId="77777777" w:rsidR="008E045A" w:rsidRPr="00025123" w:rsidRDefault="008E045A" w:rsidP="008E045A">
      <w:pPr>
        <w:spacing w:line="360" w:lineRule="auto"/>
        <w:contextualSpacing/>
        <w:jc w:val="both"/>
        <w:rPr>
          <w:rFonts w:ascii="Palatino Linotype" w:eastAsia="Calibri" w:hAnsi="Palatino Linotype"/>
          <w:sz w:val="22"/>
          <w:szCs w:val="22"/>
        </w:rPr>
      </w:pPr>
    </w:p>
    <w:p w14:paraId="75AAAE08" w14:textId="1D2856B3" w:rsidR="008E045A" w:rsidRPr="00025123" w:rsidRDefault="008E045A" w:rsidP="004F4E53">
      <w:pPr>
        <w:spacing w:line="360" w:lineRule="auto"/>
        <w:contextualSpacing/>
        <w:jc w:val="both"/>
        <w:rPr>
          <w:rFonts w:ascii="Palatino Linotype" w:eastAsia="Calibri" w:hAnsi="Palatino Linotype"/>
          <w:sz w:val="22"/>
          <w:szCs w:val="22"/>
        </w:rPr>
      </w:pPr>
      <w:r w:rsidRPr="00025123">
        <w:rPr>
          <w:rFonts w:ascii="Palatino Linotype" w:eastAsia="Calibri" w:hAnsi="Palatino Linotype"/>
          <w:sz w:val="22"/>
          <w:szCs w:val="22"/>
        </w:rPr>
        <w:t xml:space="preserve">Por lo </w:t>
      </w:r>
      <w:r w:rsidR="00A76EFE" w:rsidRPr="00025123">
        <w:rPr>
          <w:rFonts w:ascii="Palatino Linotype" w:eastAsia="Calibri" w:hAnsi="Palatino Linotype"/>
          <w:sz w:val="22"/>
          <w:szCs w:val="22"/>
        </w:rPr>
        <w:t>expuesto y fundado, este Pleno:</w:t>
      </w:r>
    </w:p>
    <w:p w14:paraId="2A3C222A" w14:textId="77777777" w:rsidR="003A796B" w:rsidRPr="00025123" w:rsidRDefault="003A796B" w:rsidP="004F4E53">
      <w:pPr>
        <w:spacing w:line="360" w:lineRule="auto"/>
        <w:jc w:val="both"/>
        <w:rPr>
          <w:rFonts w:ascii="Palatino Linotype" w:hAnsi="Palatino Linotype" w:cs="Tahoma"/>
          <w:bCs/>
          <w:iCs/>
          <w:sz w:val="22"/>
          <w:szCs w:val="22"/>
        </w:rPr>
      </w:pPr>
    </w:p>
    <w:p w14:paraId="31431AD7" w14:textId="77777777" w:rsidR="00FF7C33" w:rsidRPr="00025123" w:rsidRDefault="00FF7C33" w:rsidP="002B57E5">
      <w:pPr>
        <w:pStyle w:val="Ttulo1"/>
      </w:pPr>
      <w:bookmarkStart w:id="10" w:name="_Toc193382921"/>
      <w:r w:rsidRPr="00025123">
        <w:t>R E S U E L V E</w:t>
      </w:r>
      <w:bookmarkEnd w:id="10"/>
    </w:p>
    <w:p w14:paraId="39DB2FA1" w14:textId="77777777" w:rsidR="00F57883" w:rsidRPr="00025123" w:rsidRDefault="00F57883" w:rsidP="004F4E53">
      <w:pPr>
        <w:spacing w:line="360" w:lineRule="auto"/>
        <w:jc w:val="both"/>
        <w:rPr>
          <w:rFonts w:ascii="Palatino Linotype" w:hAnsi="Palatino Linotype" w:cs="Tahoma"/>
          <w:b/>
          <w:bCs/>
          <w:iCs/>
          <w:sz w:val="22"/>
          <w:szCs w:val="22"/>
        </w:rPr>
      </w:pPr>
    </w:p>
    <w:p w14:paraId="2F92DA15" w14:textId="4F6D7400" w:rsidR="00A76EFE" w:rsidRPr="00025123" w:rsidRDefault="00FF7C33" w:rsidP="00A76EFE">
      <w:pPr>
        <w:spacing w:line="360" w:lineRule="auto"/>
        <w:jc w:val="both"/>
        <w:rPr>
          <w:rFonts w:cs="Tahoma"/>
          <w:lang w:val="es-ES"/>
        </w:rPr>
      </w:pPr>
      <w:r w:rsidRPr="00025123">
        <w:rPr>
          <w:rFonts w:ascii="Palatino Linotype" w:hAnsi="Palatino Linotype" w:cs="Tahoma"/>
          <w:b/>
          <w:bCs/>
          <w:iCs/>
          <w:sz w:val="22"/>
          <w:szCs w:val="22"/>
        </w:rPr>
        <w:t xml:space="preserve">PRIMERO. </w:t>
      </w:r>
      <w:r w:rsidR="00A76EFE" w:rsidRPr="00025123">
        <w:rPr>
          <w:rFonts w:ascii="Palatino Linotype" w:eastAsia="Calibri" w:hAnsi="Palatino Linotype"/>
          <w:bCs/>
          <w:iCs/>
          <w:sz w:val="22"/>
        </w:rPr>
        <w:t xml:space="preserve">Se </w:t>
      </w:r>
      <w:r w:rsidR="00A76EFE" w:rsidRPr="00025123">
        <w:rPr>
          <w:rFonts w:ascii="Palatino Linotype" w:eastAsia="Calibri" w:hAnsi="Palatino Linotype"/>
          <w:b/>
          <w:bCs/>
          <w:iCs/>
          <w:sz w:val="22"/>
        </w:rPr>
        <w:t xml:space="preserve">SOBRESEE </w:t>
      </w:r>
      <w:r w:rsidR="00A76EFE" w:rsidRPr="00025123">
        <w:rPr>
          <w:rFonts w:ascii="Palatino Linotype" w:eastAsia="Calibri" w:hAnsi="Palatino Linotype"/>
          <w:bCs/>
          <w:iCs/>
          <w:sz w:val="22"/>
        </w:rPr>
        <w:t>el Recurso de Revisión</w:t>
      </w:r>
      <w:r w:rsidR="00A76EFE" w:rsidRPr="00025123">
        <w:rPr>
          <w:rFonts w:ascii="Palatino Linotype" w:hAnsi="Palatino Linotype"/>
          <w:sz w:val="22"/>
        </w:rPr>
        <w:t xml:space="preserve"> </w:t>
      </w:r>
      <w:r w:rsidR="00A76EFE" w:rsidRPr="00025123">
        <w:rPr>
          <w:rFonts w:ascii="Palatino Linotype" w:eastAsia="Calibri" w:hAnsi="Palatino Linotype" w:cs="Tahoma"/>
          <w:bCs/>
          <w:color w:val="0D0D0D"/>
          <w:sz w:val="22"/>
          <w:lang w:val="es-ES_tradnl" w:eastAsia="en-US"/>
        </w:rPr>
        <w:t>01631/INFOEM/IP/RR/2025</w:t>
      </w:r>
      <w:r w:rsidR="00A76EFE" w:rsidRPr="00025123">
        <w:rPr>
          <w:rFonts w:ascii="Palatino Linotype" w:eastAsia="Calibri" w:hAnsi="Palatino Linotype"/>
          <w:bCs/>
          <w:iCs/>
          <w:sz w:val="22"/>
        </w:rPr>
        <w:t xml:space="preserve">, </w:t>
      </w:r>
      <w:r w:rsidR="00A76EFE" w:rsidRPr="00025123">
        <w:rPr>
          <w:rFonts w:ascii="Palatino Linotype" w:hAnsi="Palatino Linotype" w:cs="Tahoma"/>
          <w:bCs/>
          <w:sz w:val="22"/>
          <w:lang w:val="es-ES"/>
        </w:rPr>
        <w:t xml:space="preserve">en términos del artículo 192, fracción IV, de la Ley de Transparencia y Acceso a la Información Pública del Estado de México y Municipios, </w:t>
      </w:r>
      <w:r w:rsidR="00A76EFE" w:rsidRPr="00025123">
        <w:rPr>
          <w:rFonts w:ascii="Palatino Linotype" w:hAnsi="Palatino Linotype" w:cs="Tahoma"/>
          <w:sz w:val="22"/>
          <w:lang w:val="es-ES"/>
        </w:rPr>
        <w:t xml:space="preserve">por actualizarse la causal de improcedencia establecida en la </w:t>
      </w:r>
      <w:r w:rsidR="00A76EFE" w:rsidRPr="00025123">
        <w:rPr>
          <w:rFonts w:ascii="Palatino Linotype" w:hAnsi="Palatino Linotype" w:cs="Tahoma"/>
          <w:sz w:val="22"/>
          <w:lang w:val="es-ES"/>
        </w:rPr>
        <w:lastRenderedPageBreak/>
        <w:t>fracción III, del artículo 191 de dicho ordenamiento jurídico, en términos de los Considerandos TERCERO y CUARTO de la presente Resolución.</w:t>
      </w:r>
    </w:p>
    <w:p w14:paraId="7443E17C" w14:textId="77777777" w:rsidR="00A76EFE" w:rsidRPr="00025123" w:rsidRDefault="00A76EFE" w:rsidP="004F4E53">
      <w:pPr>
        <w:spacing w:line="360" w:lineRule="auto"/>
        <w:jc w:val="both"/>
        <w:rPr>
          <w:rFonts w:ascii="Palatino Linotype" w:hAnsi="Palatino Linotype" w:cs="Tahoma"/>
          <w:b/>
          <w:bCs/>
          <w:iCs/>
          <w:sz w:val="22"/>
          <w:szCs w:val="22"/>
        </w:rPr>
      </w:pPr>
    </w:p>
    <w:p w14:paraId="1274FDE7" w14:textId="6517CAB0" w:rsidR="00FB2C06" w:rsidRPr="00025123" w:rsidRDefault="00FB7667" w:rsidP="00FB2C06">
      <w:pPr>
        <w:spacing w:line="360" w:lineRule="auto"/>
        <w:jc w:val="both"/>
        <w:rPr>
          <w:rFonts w:ascii="Palatino Linotype" w:hAnsi="Palatino Linotype" w:cs="Tahoma"/>
          <w:b/>
          <w:bCs/>
          <w:iCs/>
          <w:sz w:val="22"/>
          <w:szCs w:val="22"/>
          <w:lang w:val="es-ES"/>
        </w:rPr>
      </w:pPr>
      <w:r w:rsidRPr="00025123">
        <w:rPr>
          <w:rFonts w:ascii="Palatino Linotype" w:hAnsi="Palatino Linotype" w:cs="Tahoma"/>
          <w:b/>
          <w:bCs/>
          <w:iCs/>
          <w:sz w:val="22"/>
          <w:szCs w:val="22"/>
          <w:lang w:val="es-ES"/>
        </w:rPr>
        <w:t>SEGUNDO</w:t>
      </w:r>
      <w:r w:rsidR="00FB2C06" w:rsidRPr="00025123">
        <w:rPr>
          <w:rFonts w:ascii="Palatino Linotype" w:hAnsi="Palatino Linotype" w:cs="Tahoma"/>
          <w:b/>
          <w:bCs/>
          <w:iCs/>
          <w:sz w:val="22"/>
          <w:szCs w:val="22"/>
          <w:lang w:val="es-ES"/>
        </w:rPr>
        <w:t xml:space="preserve">. </w:t>
      </w:r>
      <w:r w:rsidR="00FB2C06" w:rsidRPr="00025123">
        <w:rPr>
          <w:rFonts w:ascii="Palatino Linotype" w:hAnsi="Palatino Linotype"/>
          <w:b/>
          <w:color w:val="000000"/>
          <w:sz w:val="22"/>
          <w:szCs w:val="22"/>
        </w:rPr>
        <w:t xml:space="preserve">NOTIFÍQUESE POR SAIMEX </w:t>
      </w:r>
      <w:r w:rsidR="00FB2C06" w:rsidRPr="00025123">
        <w:rPr>
          <w:rFonts w:ascii="Palatino Linotype" w:hAnsi="Palatino Linotype"/>
          <w:color w:val="000000"/>
          <w:sz w:val="22"/>
          <w:szCs w:val="22"/>
        </w:rPr>
        <w:t>la presente Resolución al Titular de la Unidad de Transparencia del Sujeto Obligado.</w:t>
      </w:r>
    </w:p>
    <w:p w14:paraId="2D3D3779" w14:textId="77777777" w:rsidR="00FB2C06" w:rsidRPr="00025123" w:rsidRDefault="00FB2C06" w:rsidP="00FB2C06">
      <w:pPr>
        <w:spacing w:line="360" w:lineRule="auto"/>
        <w:jc w:val="both"/>
        <w:rPr>
          <w:rFonts w:ascii="Palatino Linotype" w:hAnsi="Palatino Linotype"/>
          <w:b/>
          <w:i/>
          <w:color w:val="000000"/>
          <w:sz w:val="22"/>
          <w:szCs w:val="22"/>
        </w:rPr>
      </w:pPr>
    </w:p>
    <w:p w14:paraId="2085EB69" w14:textId="1F30B33C" w:rsidR="00FB2C06" w:rsidRPr="00025123" w:rsidRDefault="00FB2C06" w:rsidP="00FB2C06">
      <w:pPr>
        <w:spacing w:line="360" w:lineRule="auto"/>
        <w:jc w:val="both"/>
        <w:rPr>
          <w:rFonts w:ascii="Palatino Linotype" w:hAnsi="Palatino Linotype"/>
          <w:b/>
          <w:color w:val="000000"/>
          <w:sz w:val="22"/>
          <w:szCs w:val="22"/>
        </w:rPr>
      </w:pPr>
      <w:r w:rsidRPr="00025123">
        <w:rPr>
          <w:rFonts w:ascii="Palatino Linotype" w:hAnsi="Palatino Linotype"/>
          <w:b/>
          <w:color w:val="000000"/>
          <w:sz w:val="22"/>
          <w:szCs w:val="22"/>
        </w:rPr>
        <w:t xml:space="preserve">TERCERO. NOTIFÍQUESE POR SAIMEX </w:t>
      </w:r>
      <w:r w:rsidRPr="00025123">
        <w:rPr>
          <w:rFonts w:ascii="Palatino Linotype" w:hAnsi="Palatino Linotype"/>
          <w:color w:val="000000"/>
          <w:sz w:val="22"/>
          <w:szCs w:val="22"/>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D99CCC6" w14:textId="77777777" w:rsidR="00FF7C33" w:rsidRPr="00025123" w:rsidRDefault="00FF7C33" w:rsidP="004F4E53">
      <w:pPr>
        <w:spacing w:line="360" w:lineRule="auto"/>
        <w:jc w:val="both"/>
        <w:rPr>
          <w:rFonts w:ascii="Palatino Linotype" w:hAnsi="Palatino Linotype" w:cs="Tahoma"/>
          <w:b/>
          <w:bCs/>
          <w:iCs/>
          <w:sz w:val="22"/>
          <w:szCs w:val="22"/>
        </w:rPr>
      </w:pPr>
    </w:p>
    <w:p w14:paraId="4051A84A" w14:textId="076CE686" w:rsidR="00FF7C33" w:rsidRPr="00FF7C33" w:rsidRDefault="00FF7C33" w:rsidP="004F4E53">
      <w:pPr>
        <w:spacing w:line="360" w:lineRule="auto"/>
        <w:jc w:val="both"/>
        <w:rPr>
          <w:rFonts w:ascii="Palatino Linotype" w:hAnsi="Palatino Linotype" w:cs="Tahoma"/>
          <w:bCs/>
          <w:iCs/>
          <w:sz w:val="22"/>
          <w:szCs w:val="22"/>
        </w:rPr>
      </w:pPr>
      <w:r w:rsidRPr="00025123">
        <w:rPr>
          <w:rFonts w:ascii="Palatino Linotype" w:hAnsi="Palatino Linotype" w:cs="Tahoma"/>
          <w:bCs/>
          <w:iCs/>
          <w:sz w:val="22"/>
          <w:szCs w:val="22"/>
        </w:rPr>
        <w:t>ASÍ LO RESUELVE, POR </w:t>
      </w:r>
      <w:r w:rsidRPr="00025123">
        <w:rPr>
          <w:rFonts w:ascii="Palatino Linotype" w:hAnsi="Palatino Linotype" w:cs="Tahoma"/>
          <w:b/>
          <w:bCs/>
          <w:iCs/>
          <w:sz w:val="22"/>
          <w:szCs w:val="22"/>
        </w:rPr>
        <w:t>UNANIMIDAD</w:t>
      </w:r>
      <w:r w:rsidRPr="00025123">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025123">
        <w:rPr>
          <w:rFonts w:ascii="Palatino Linotype" w:hAnsi="Palatino Linotype" w:cs="Tahoma"/>
          <w:bCs/>
          <w:iCs/>
          <w:sz w:val="22"/>
          <w:szCs w:val="22"/>
        </w:rPr>
        <w:t xml:space="preserve"> </w:t>
      </w:r>
      <w:r w:rsidR="0053276C" w:rsidRPr="00025123">
        <w:rPr>
          <w:rFonts w:ascii="Palatino Linotype" w:hAnsi="Palatino Linotype" w:cs="Tahoma"/>
          <w:bCs/>
          <w:iCs/>
          <w:sz w:val="22"/>
          <w:szCs w:val="22"/>
        </w:rPr>
        <w:t>DÉCIMA</w:t>
      </w:r>
      <w:r w:rsidR="0085485C" w:rsidRPr="00025123">
        <w:rPr>
          <w:rFonts w:ascii="Palatino Linotype" w:hAnsi="Palatino Linotype" w:cs="Tahoma"/>
          <w:bCs/>
          <w:iCs/>
          <w:sz w:val="22"/>
          <w:szCs w:val="22"/>
        </w:rPr>
        <w:t xml:space="preserve"> </w:t>
      </w:r>
      <w:r w:rsidRPr="00025123">
        <w:rPr>
          <w:rFonts w:ascii="Palatino Linotype" w:hAnsi="Palatino Linotype" w:cs="Tahoma"/>
          <w:bCs/>
          <w:iCs/>
          <w:sz w:val="22"/>
          <w:szCs w:val="22"/>
        </w:rPr>
        <w:t>SESIÓN ORDINARIA, CELEBRADA EL</w:t>
      </w:r>
      <w:r w:rsidR="000268D8" w:rsidRPr="00025123">
        <w:rPr>
          <w:rFonts w:ascii="Palatino Linotype" w:hAnsi="Palatino Linotype" w:cs="Tahoma"/>
          <w:bCs/>
          <w:iCs/>
          <w:sz w:val="22"/>
          <w:szCs w:val="22"/>
        </w:rPr>
        <w:t xml:space="preserve"> </w:t>
      </w:r>
      <w:r w:rsidR="0053276C" w:rsidRPr="00025123">
        <w:rPr>
          <w:rFonts w:ascii="Palatino Linotype" w:hAnsi="Palatino Linotype" w:cs="Tahoma"/>
          <w:bCs/>
          <w:iCs/>
          <w:sz w:val="22"/>
          <w:szCs w:val="22"/>
        </w:rPr>
        <w:t>VEINTE</w:t>
      </w:r>
      <w:r w:rsidR="00FA0593" w:rsidRPr="00025123">
        <w:rPr>
          <w:rFonts w:ascii="Palatino Linotype" w:hAnsi="Palatino Linotype" w:cs="Tahoma"/>
          <w:bCs/>
          <w:iCs/>
          <w:sz w:val="22"/>
          <w:szCs w:val="22"/>
        </w:rPr>
        <w:t xml:space="preserve"> DE MARZO </w:t>
      </w:r>
      <w:r w:rsidRPr="00025123">
        <w:rPr>
          <w:rFonts w:ascii="Palatino Linotype" w:hAnsi="Palatino Linotype" w:cs="Tahoma"/>
          <w:bCs/>
          <w:iCs/>
          <w:sz w:val="22"/>
          <w:szCs w:val="22"/>
        </w:rPr>
        <w:t>DE DOS MIL VEINTIC</w:t>
      </w:r>
      <w:r w:rsidR="000268D8" w:rsidRPr="00025123">
        <w:rPr>
          <w:rFonts w:ascii="Palatino Linotype" w:hAnsi="Palatino Linotype" w:cs="Tahoma"/>
          <w:bCs/>
          <w:iCs/>
          <w:sz w:val="22"/>
          <w:szCs w:val="22"/>
        </w:rPr>
        <w:t>INCO</w:t>
      </w:r>
      <w:r w:rsidRPr="00025123">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F99A3" w14:textId="77777777" w:rsidR="00F45BC7" w:rsidRDefault="00F45BC7" w:rsidP="00B31222">
      <w:r>
        <w:separator/>
      </w:r>
    </w:p>
  </w:endnote>
  <w:endnote w:type="continuationSeparator" w:id="0">
    <w:p w14:paraId="4BE987F5" w14:textId="77777777" w:rsidR="00F45BC7" w:rsidRDefault="00F45BC7"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2018"/>
      <w:docPartObj>
        <w:docPartGallery w:val="Page Numbers (Bottom of Page)"/>
        <w:docPartUnique/>
      </w:docPartObj>
    </w:sdtPr>
    <w:sdtContent>
      <w:sdt>
        <w:sdtPr>
          <w:id w:val="-1769616900"/>
          <w:docPartObj>
            <w:docPartGallery w:val="Page Numbers (Top of Page)"/>
            <w:docPartUnique/>
          </w:docPartObj>
        </w:sdtPr>
        <w:sdtContent>
          <w:p w14:paraId="18CEBFF0" w14:textId="77777777" w:rsidR="006F1D87" w:rsidRPr="00C13895" w:rsidRDefault="006F1D87">
            <w:pPr>
              <w:pStyle w:val="Piedepgina"/>
              <w:jc w:val="right"/>
              <w:rPr>
                <w:sz w:val="26"/>
                <w:szCs w:val="26"/>
              </w:rPr>
            </w:pPr>
          </w:p>
          <w:p w14:paraId="4EA60772" w14:textId="77777777" w:rsidR="006F1D87" w:rsidRDefault="006F1D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3379">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3379">
              <w:rPr>
                <w:b/>
                <w:bCs/>
                <w:noProof/>
              </w:rPr>
              <w:t>14</w:t>
            </w:r>
            <w:r>
              <w:rPr>
                <w:b/>
                <w:bCs/>
                <w:sz w:val="24"/>
                <w:szCs w:val="24"/>
              </w:rPr>
              <w:fldChar w:fldCharType="end"/>
            </w:r>
          </w:p>
        </w:sdtContent>
      </w:sdt>
    </w:sdtContent>
  </w:sdt>
  <w:p w14:paraId="52786F2A" w14:textId="77777777" w:rsidR="006F1D87" w:rsidRDefault="006F1D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67700"/>
      <w:docPartObj>
        <w:docPartGallery w:val="Page Numbers (Bottom of Page)"/>
        <w:docPartUnique/>
      </w:docPartObj>
    </w:sdtPr>
    <w:sdtContent>
      <w:sdt>
        <w:sdtPr>
          <w:id w:val="315386424"/>
          <w:docPartObj>
            <w:docPartGallery w:val="Page Numbers (Top of Page)"/>
            <w:docPartUnique/>
          </w:docPartObj>
        </w:sdtPr>
        <w:sdtContent>
          <w:p w14:paraId="59E12402" w14:textId="77777777" w:rsidR="006F1D87" w:rsidRDefault="006F1D87">
            <w:pPr>
              <w:pStyle w:val="Piedepgina"/>
              <w:jc w:val="right"/>
            </w:pPr>
          </w:p>
          <w:p w14:paraId="2D2F5338" w14:textId="77777777" w:rsidR="006F1D87" w:rsidRDefault="006F1D8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7337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73379">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9E2F" w14:textId="77777777" w:rsidR="00F45BC7" w:rsidRDefault="00F45BC7" w:rsidP="00B31222">
      <w:r>
        <w:separator/>
      </w:r>
    </w:p>
  </w:footnote>
  <w:footnote w:type="continuationSeparator" w:id="0">
    <w:p w14:paraId="2818F454" w14:textId="77777777" w:rsidR="00F45BC7" w:rsidRDefault="00F45BC7"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2552" w:type="dxa"/>
      <w:tblLayout w:type="fixed"/>
      <w:tblLook w:val="04A0" w:firstRow="1" w:lastRow="0" w:firstColumn="1" w:lastColumn="0" w:noHBand="0" w:noVBand="1"/>
    </w:tblPr>
    <w:tblGrid>
      <w:gridCol w:w="8222"/>
    </w:tblGrid>
    <w:tr w:rsidR="006F1D87" w:rsidRPr="005C106F" w14:paraId="50E888ED" w14:textId="77777777" w:rsidTr="00895942">
      <w:trPr>
        <w:trHeight w:val="1412"/>
      </w:trPr>
      <w:tc>
        <w:tcPr>
          <w:tcW w:w="8222" w:type="dxa"/>
          <w:shd w:val="clear" w:color="auto" w:fill="auto"/>
        </w:tcPr>
        <w:tbl>
          <w:tblPr>
            <w:tblStyle w:val="Tablaconcuadrcula"/>
            <w:tblW w:w="6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6F1D87" w14:paraId="401FF1E4" w14:textId="77777777" w:rsidTr="00192688">
            <w:trPr>
              <w:trHeight w:val="144"/>
            </w:trPr>
            <w:tc>
              <w:tcPr>
                <w:tcW w:w="2552" w:type="dxa"/>
              </w:tcPr>
              <w:p w14:paraId="2FAA5A5D" w14:textId="77777777" w:rsidR="006F1D87" w:rsidRPr="00026EBB" w:rsidRDefault="006F1D87"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435D337A" w:rsidR="006F1D87" w:rsidRPr="009C44AA" w:rsidRDefault="006F1D87"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01631/INFOEM/IP/RR/2025</w:t>
                </w:r>
              </w:p>
            </w:tc>
          </w:tr>
          <w:tr w:rsidR="006F1D87" w14:paraId="6B793921" w14:textId="77777777" w:rsidTr="00192688">
            <w:trPr>
              <w:trHeight w:val="144"/>
            </w:trPr>
            <w:tc>
              <w:tcPr>
                <w:tcW w:w="2552" w:type="dxa"/>
              </w:tcPr>
              <w:p w14:paraId="248F8814" w14:textId="77777777" w:rsidR="006F1D87" w:rsidRPr="00026EBB" w:rsidRDefault="006F1D87"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250BB46B" w:rsidR="006F1D87" w:rsidRPr="009C44AA" w:rsidRDefault="00192688"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Organismo Público Descentralizado para la Prestación de los Servicios de Agua Potable Alcantarillado y Saneamiento del Municipio de la Paz</w:t>
                </w:r>
              </w:p>
            </w:tc>
          </w:tr>
          <w:tr w:rsidR="006F1D87" w14:paraId="5F57F04A" w14:textId="77777777" w:rsidTr="00192688">
            <w:trPr>
              <w:trHeight w:val="138"/>
            </w:trPr>
            <w:tc>
              <w:tcPr>
                <w:tcW w:w="2552" w:type="dxa"/>
              </w:tcPr>
              <w:p w14:paraId="249191FD" w14:textId="77777777" w:rsidR="006F1D87" w:rsidRPr="00026EBB" w:rsidRDefault="006F1D87"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6F1D87" w:rsidRPr="009C44AA" w:rsidRDefault="006F1D87"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6F1D87" w:rsidRPr="005C106F" w:rsidRDefault="006F1D87" w:rsidP="005743D2">
          <w:pPr>
            <w:tabs>
              <w:tab w:val="right" w:pos="8838"/>
            </w:tabs>
            <w:ind w:left="-28"/>
            <w:jc w:val="both"/>
            <w:rPr>
              <w:rFonts w:ascii="Arial" w:eastAsia="Calibri" w:hAnsi="Arial" w:cs="Arial"/>
              <w:b/>
              <w:sz w:val="22"/>
              <w:szCs w:val="22"/>
              <w:lang w:eastAsia="en-US"/>
            </w:rPr>
          </w:pPr>
        </w:p>
      </w:tc>
    </w:tr>
  </w:tbl>
  <w:p w14:paraId="03D9BF59" w14:textId="4D62241B" w:rsidR="006F1D87" w:rsidRDefault="00000000"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RCA DE AGUA - HOJA RESOLUCIÓN" style="position:absolute;margin-left:-71.15pt;margin-top:-122.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4F17" w14:textId="0A90E6D4" w:rsidR="006F1D87" w:rsidRDefault="00000000">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1026" type="#_x0000_t75" alt="MARCA DE AGUA - HOJA RESOLUCIÓN" style="position:absolute;margin-left:-88.25pt;margin-top:-162.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127"/>
      <w:gridCol w:w="2405"/>
      <w:gridCol w:w="4541"/>
    </w:tblGrid>
    <w:tr w:rsidR="006F1D87" w:rsidRPr="00264223" w14:paraId="47FE01F0" w14:textId="77777777" w:rsidTr="00192688">
      <w:trPr>
        <w:trHeight w:val="466"/>
      </w:trPr>
      <w:tc>
        <w:tcPr>
          <w:tcW w:w="2127" w:type="dxa"/>
          <w:vAlign w:val="bottom"/>
        </w:tcPr>
        <w:p w14:paraId="797F08EF" w14:textId="77777777" w:rsidR="006F1D87" w:rsidRPr="00026EBB" w:rsidRDefault="006F1D87"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6F1D87" w:rsidRPr="0091633A" w:rsidRDefault="006F1D87"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541" w:type="dxa"/>
          <w:vAlign w:val="bottom"/>
        </w:tcPr>
        <w:p w14:paraId="5D029AEB" w14:textId="5281EFBE" w:rsidR="006F1D87" w:rsidRPr="00A404EA" w:rsidRDefault="006F1D87"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01631/INFOEM/IP/RR/2025</w:t>
          </w:r>
        </w:p>
      </w:tc>
    </w:tr>
    <w:tr w:rsidR="006F1D87" w:rsidRPr="00264223" w14:paraId="3B115A83" w14:textId="77777777" w:rsidTr="00192688">
      <w:trPr>
        <w:trHeight w:val="119"/>
      </w:trPr>
      <w:tc>
        <w:tcPr>
          <w:tcW w:w="2127" w:type="dxa"/>
        </w:tcPr>
        <w:p w14:paraId="769D227C" w14:textId="77777777" w:rsidR="006F1D87" w:rsidRPr="00026EBB" w:rsidRDefault="006F1D87"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6F1D87" w:rsidRPr="00026EBB" w:rsidRDefault="006F1D87"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541" w:type="dxa"/>
        </w:tcPr>
        <w:p w14:paraId="26162836" w14:textId="2ACFEA45" w:rsidR="006F1D87" w:rsidRPr="00474ED7" w:rsidRDefault="00A65074" w:rsidP="00765288">
          <w:pPr>
            <w:tabs>
              <w:tab w:val="right" w:pos="8838"/>
            </w:tabs>
            <w:spacing w:line="276" w:lineRule="auto"/>
            <w:ind w:right="-246"/>
            <w:jc w:val="both"/>
            <w:rPr>
              <w:rFonts w:ascii="Palatino Linotype" w:eastAsia="Calibri" w:hAnsi="Palatino Linotype" w:cs="Tahoma"/>
              <w:sz w:val="22"/>
              <w:szCs w:val="22"/>
              <w:lang w:eastAsia="en-US"/>
            </w:rPr>
          </w:pPr>
          <w:r w:rsidRPr="00A65074">
            <w:rPr>
              <w:rFonts w:ascii="Palatino Linotype" w:eastAsia="Calibri" w:hAnsi="Palatino Linotype" w:cs="Tahoma"/>
              <w:sz w:val="22"/>
              <w:szCs w:val="22"/>
              <w:highlight w:val="black"/>
              <w:lang w:eastAsia="en-US"/>
            </w:rPr>
            <w:t>XXXXXXX</w:t>
          </w:r>
        </w:p>
      </w:tc>
    </w:tr>
    <w:tr w:rsidR="006F1D87" w:rsidRPr="00264223" w14:paraId="111B16D3" w14:textId="77777777" w:rsidTr="00192688">
      <w:trPr>
        <w:trHeight w:val="234"/>
      </w:trPr>
      <w:tc>
        <w:tcPr>
          <w:tcW w:w="2127" w:type="dxa"/>
        </w:tcPr>
        <w:p w14:paraId="23CA2497" w14:textId="2D869CFF" w:rsidR="006F1D87" w:rsidRPr="00026EBB" w:rsidRDefault="006F1D87"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6F1D87" w:rsidRPr="00026EBB" w:rsidRDefault="006F1D87"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541" w:type="dxa"/>
        </w:tcPr>
        <w:p w14:paraId="69B99F24" w14:textId="438BAE32" w:rsidR="006F1D87" w:rsidRPr="00E07AF1" w:rsidRDefault="00192688"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Organismo Público Descentralizado para la Prestación de los Servicios de Agua Potable Alcantarillado y Saneamiento del Municipio de la Paz</w:t>
          </w:r>
        </w:p>
      </w:tc>
    </w:tr>
    <w:tr w:rsidR="006F1D87" w:rsidRPr="00264223" w14:paraId="69512480" w14:textId="77777777" w:rsidTr="00192688">
      <w:trPr>
        <w:trHeight w:val="234"/>
      </w:trPr>
      <w:tc>
        <w:tcPr>
          <w:tcW w:w="2127" w:type="dxa"/>
        </w:tcPr>
        <w:p w14:paraId="574761F6" w14:textId="77777777" w:rsidR="006F1D87" w:rsidRPr="00026EBB" w:rsidRDefault="006F1D87"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6F1D87" w:rsidRPr="00026EBB" w:rsidRDefault="006F1D87"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541" w:type="dxa"/>
        </w:tcPr>
        <w:p w14:paraId="761045C2" w14:textId="77777777" w:rsidR="006F1D87" w:rsidRDefault="006F1D87"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6F1D87" w:rsidRPr="00E67009" w:rsidRDefault="006F1D87"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1A73AA"/>
    <w:multiLevelType w:val="hybridMultilevel"/>
    <w:tmpl w:val="09E02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E82437"/>
    <w:multiLevelType w:val="hybridMultilevel"/>
    <w:tmpl w:val="F7B21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7"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6303897">
    <w:abstractNumId w:val="0"/>
  </w:num>
  <w:num w:numId="2" w16cid:durableId="1255557362">
    <w:abstractNumId w:val="17"/>
  </w:num>
  <w:num w:numId="3" w16cid:durableId="834224984">
    <w:abstractNumId w:val="43"/>
  </w:num>
  <w:num w:numId="4" w16cid:durableId="616908942">
    <w:abstractNumId w:val="15"/>
  </w:num>
  <w:num w:numId="5" w16cid:durableId="1345597799">
    <w:abstractNumId w:val="36"/>
  </w:num>
  <w:num w:numId="6" w16cid:durableId="134958331">
    <w:abstractNumId w:val="38"/>
  </w:num>
  <w:num w:numId="7" w16cid:durableId="615600020">
    <w:abstractNumId w:val="38"/>
  </w:num>
  <w:num w:numId="8" w16cid:durableId="1918979205">
    <w:abstractNumId w:val="35"/>
  </w:num>
  <w:num w:numId="9" w16cid:durableId="1730029112">
    <w:abstractNumId w:val="20"/>
  </w:num>
  <w:num w:numId="10" w16cid:durableId="488398629">
    <w:abstractNumId w:val="32"/>
  </w:num>
  <w:num w:numId="11" w16cid:durableId="760876754">
    <w:abstractNumId w:val="23"/>
  </w:num>
  <w:num w:numId="12" w16cid:durableId="737439782">
    <w:abstractNumId w:val="11"/>
  </w:num>
  <w:num w:numId="13" w16cid:durableId="409231257">
    <w:abstractNumId w:val="16"/>
  </w:num>
  <w:num w:numId="14" w16cid:durableId="322441758">
    <w:abstractNumId w:val="44"/>
  </w:num>
  <w:num w:numId="15" w16cid:durableId="1133522226">
    <w:abstractNumId w:val="5"/>
  </w:num>
  <w:num w:numId="16" w16cid:durableId="50662923">
    <w:abstractNumId w:val="37"/>
  </w:num>
  <w:num w:numId="17" w16cid:durableId="289553885">
    <w:abstractNumId w:val="34"/>
  </w:num>
  <w:num w:numId="18" w16cid:durableId="374812047">
    <w:abstractNumId w:val="42"/>
  </w:num>
  <w:num w:numId="19" w16cid:durableId="1599095871">
    <w:abstractNumId w:val="24"/>
  </w:num>
  <w:num w:numId="20" w16cid:durableId="1624996339">
    <w:abstractNumId w:val="40"/>
  </w:num>
  <w:num w:numId="21" w16cid:durableId="1546484546">
    <w:abstractNumId w:val="7"/>
  </w:num>
  <w:num w:numId="22" w16cid:durableId="41102783">
    <w:abstractNumId w:val="25"/>
  </w:num>
  <w:num w:numId="23" w16cid:durableId="468821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5345207">
    <w:abstractNumId w:val="27"/>
  </w:num>
  <w:num w:numId="25" w16cid:durableId="1065950218">
    <w:abstractNumId w:val="31"/>
  </w:num>
  <w:num w:numId="26" w16cid:durableId="2070301480">
    <w:abstractNumId w:val="17"/>
  </w:num>
  <w:num w:numId="27" w16cid:durableId="1388341101">
    <w:abstractNumId w:val="43"/>
  </w:num>
  <w:num w:numId="28" w16cid:durableId="1377392727">
    <w:abstractNumId w:val="13"/>
  </w:num>
  <w:num w:numId="29" w16cid:durableId="386806930">
    <w:abstractNumId w:val="30"/>
  </w:num>
  <w:num w:numId="30" w16cid:durableId="1099956556">
    <w:abstractNumId w:val="2"/>
  </w:num>
  <w:num w:numId="31" w16cid:durableId="750616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558768">
    <w:abstractNumId w:val="1"/>
  </w:num>
  <w:num w:numId="33" w16cid:durableId="641272201">
    <w:abstractNumId w:val="22"/>
  </w:num>
  <w:num w:numId="34" w16cid:durableId="18460895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1346380">
    <w:abstractNumId w:val="14"/>
  </w:num>
  <w:num w:numId="36" w16cid:durableId="2095857838">
    <w:abstractNumId w:val="18"/>
  </w:num>
  <w:num w:numId="37" w16cid:durableId="308051445">
    <w:abstractNumId w:val="12"/>
  </w:num>
  <w:num w:numId="38" w16cid:durableId="77102494">
    <w:abstractNumId w:val="28"/>
  </w:num>
  <w:num w:numId="39" w16cid:durableId="588463157">
    <w:abstractNumId w:val="6"/>
  </w:num>
  <w:num w:numId="40" w16cid:durableId="1472092896">
    <w:abstractNumId w:val="10"/>
  </w:num>
  <w:num w:numId="41" w16cid:durableId="32115211">
    <w:abstractNumId w:val="4"/>
  </w:num>
  <w:num w:numId="42" w16cid:durableId="1661618966">
    <w:abstractNumId w:val="29"/>
  </w:num>
  <w:num w:numId="43" w16cid:durableId="1403018928">
    <w:abstractNumId w:val="39"/>
  </w:num>
  <w:num w:numId="44" w16cid:durableId="1808888359">
    <w:abstractNumId w:val="8"/>
  </w:num>
  <w:num w:numId="45" w16cid:durableId="431097753">
    <w:abstractNumId w:val="19"/>
  </w:num>
  <w:num w:numId="46" w16cid:durableId="106124659">
    <w:abstractNumId w:val="3"/>
  </w:num>
  <w:num w:numId="47" w16cid:durableId="2082486657">
    <w:abstractNumId w:val="21"/>
  </w:num>
  <w:num w:numId="48" w16cid:durableId="11488653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5123"/>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4A1"/>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1ABF"/>
    <w:rsid w:val="00072929"/>
    <w:rsid w:val="00073274"/>
    <w:rsid w:val="0007424C"/>
    <w:rsid w:val="00076A8D"/>
    <w:rsid w:val="000813B0"/>
    <w:rsid w:val="0008148B"/>
    <w:rsid w:val="0008165E"/>
    <w:rsid w:val="00081C8C"/>
    <w:rsid w:val="00082F59"/>
    <w:rsid w:val="00087B93"/>
    <w:rsid w:val="00087F3F"/>
    <w:rsid w:val="000930AE"/>
    <w:rsid w:val="00093723"/>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19A5"/>
    <w:rsid w:val="000D3A5A"/>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6C9"/>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2DB5"/>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379"/>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2688"/>
    <w:rsid w:val="00192C67"/>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E58DA"/>
    <w:rsid w:val="001F0E9C"/>
    <w:rsid w:val="001F10AD"/>
    <w:rsid w:val="001F1540"/>
    <w:rsid w:val="001F3905"/>
    <w:rsid w:val="001F4726"/>
    <w:rsid w:val="001F652C"/>
    <w:rsid w:val="001F739F"/>
    <w:rsid w:val="001F78D9"/>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B4E"/>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603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0D5"/>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BE8"/>
    <w:rsid w:val="00405DBA"/>
    <w:rsid w:val="004100AA"/>
    <w:rsid w:val="00412203"/>
    <w:rsid w:val="00414815"/>
    <w:rsid w:val="0041563A"/>
    <w:rsid w:val="00417DE3"/>
    <w:rsid w:val="004203EE"/>
    <w:rsid w:val="00420B07"/>
    <w:rsid w:val="00420E65"/>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073F3"/>
    <w:rsid w:val="005124DC"/>
    <w:rsid w:val="00512F7F"/>
    <w:rsid w:val="0051401F"/>
    <w:rsid w:val="00515991"/>
    <w:rsid w:val="00520C3D"/>
    <w:rsid w:val="00520DD5"/>
    <w:rsid w:val="005214F8"/>
    <w:rsid w:val="005220BE"/>
    <w:rsid w:val="00525BFE"/>
    <w:rsid w:val="00526667"/>
    <w:rsid w:val="0053216F"/>
    <w:rsid w:val="0053276C"/>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83F"/>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48E5"/>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5FD"/>
    <w:rsid w:val="006C2DF5"/>
    <w:rsid w:val="006C31E0"/>
    <w:rsid w:val="006C32BB"/>
    <w:rsid w:val="006C349C"/>
    <w:rsid w:val="006C3747"/>
    <w:rsid w:val="006C4132"/>
    <w:rsid w:val="006C6F31"/>
    <w:rsid w:val="006C7760"/>
    <w:rsid w:val="006C7EEA"/>
    <w:rsid w:val="006D1767"/>
    <w:rsid w:val="006D2ADA"/>
    <w:rsid w:val="006D2B83"/>
    <w:rsid w:val="006D32A6"/>
    <w:rsid w:val="006D3C87"/>
    <w:rsid w:val="006D5217"/>
    <w:rsid w:val="006D522C"/>
    <w:rsid w:val="006D56AA"/>
    <w:rsid w:val="006D7795"/>
    <w:rsid w:val="006D789D"/>
    <w:rsid w:val="006D7ACB"/>
    <w:rsid w:val="006E00EF"/>
    <w:rsid w:val="006E0798"/>
    <w:rsid w:val="006E1340"/>
    <w:rsid w:val="006E1A7A"/>
    <w:rsid w:val="006E38AF"/>
    <w:rsid w:val="006E3DD4"/>
    <w:rsid w:val="006E4846"/>
    <w:rsid w:val="006E72B4"/>
    <w:rsid w:val="006E7ED1"/>
    <w:rsid w:val="006F01E7"/>
    <w:rsid w:val="006F1D8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5DB0"/>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2CDD"/>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5ADC"/>
    <w:rsid w:val="007E61C9"/>
    <w:rsid w:val="007E69BB"/>
    <w:rsid w:val="007E6AB8"/>
    <w:rsid w:val="007E73A4"/>
    <w:rsid w:val="007F1B4E"/>
    <w:rsid w:val="007F2109"/>
    <w:rsid w:val="007F21C5"/>
    <w:rsid w:val="007F2413"/>
    <w:rsid w:val="007F253F"/>
    <w:rsid w:val="007F28D2"/>
    <w:rsid w:val="007F3ACF"/>
    <w:rsid w:val="007F3EF1"/>
    <w:rsid w:val="007F3F90"/>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485C"/>
    <w:rsid w:val="0085598D"/>
    <w:rsid w:val="00855F4F"/>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0B9"/>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045A"/>
    <w:rsid w:val="008E1829"/>
    <w:rsid w:val="008E2327"/>
    <w:rsid w:val="008E3CEE"/>
    <w:rsid w:val="008E5077"/>
    <w:rsid w:val="008E64F0"/>
    <w:rsid w:val="008E6FF3"/>
    <w:rsid w:val="008E7B05"/>
    <w:rsid w:val="008F05F9"/>
    <w:rsid w:val="008F0D89"/>
    <w:rsid w:val="008F18ED"/>
    <w:rsid w:val="008F3EA1"/>
    <w:rsid w:val="008F46C2"/>
    <w:rsid w:val="008F4A31"/>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A6F13"/>
    <w:rsid w:val="009B190E"/>
    <w:rsid w:val="009B26BC"/>
    <w:rsid w:val="009B548D"/>
    <w:rsid w:val="009B634E"/>
    <w:rsid w:val="009B6578"/>
    <w:rsid w:val="009B6A6F"/>
    <w:rsid w:val="009B6F52"/>
    <w:rsid w:val="009C155B"/>
    <w:rsid w:val="009C1AFE"/>
    <w:rsid w:val="009C3FA3"/>
    <w:rsid w:val="009C4081"/>
    <w:rsid w:val="009C44AA"/>
    <w:rsid w:val="009C4785"/>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074"/>
    <w:rsid w:val="00A65CD8"/>
    <w:rsid w:val="00A668B7"/>
    <w:rsid w:val="00A6697B"/>
    <w:rsid w:val="00A71133"/>
    <w:rsid w:val="00A719E2"/>
    <w:rsid w:val="00A71EFF"/>
    <w:rsid w:val="00A731B6"/>
    <w:rsid w:val="00A74C2D"/>
    <w:rsid w:val="00A75570"/>
    <w:rsid w:val="00A7649A"/>
    <w:rsid w:val="00A76B34"/>
    <w:rsid w:val="00A76EFE"/>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A79DA"/>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47F6F"/>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417"/>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37A"/>
    <w:rsid w:val="00B954F3"/>
    <w:rsid w:val="00B95BCD"/>
    <w:rsid w:val="00B95CDC"/>
    <w:rsid w:val="00B95CE5"/>
    <w:rsid w:val="00BA0893"/>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2410"/>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6561"/>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6DC"/>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A72E3"/>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5BC7"/>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32A"/>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0593"/>
    <w:rsid w:val="00FA16EC"/>
    <w:rsid w:val="00FA233F"/>
    <w:rsid w:val="00FA2E05"/>
    <w:rsid w:val="00FA2E5F"/>
    <w:rsid w:val="00FA3058"/>
    <w:rsid w:val="00FA3E48"/>
    <w:rsid w:val="00FA7D57"/>
    <w:rsid w:val="00FB0008"/>
    <w:rsid w:val="00FB071C"/>
    <w:rsid w:val="00FB2C06"/>
    <w:rsid w:val="00FB3EA0"/>
    <w:rsid w:val="00FB4127"/>
    <w:rsid w:val="00FB4703"/>
    <w:rsid w:val="00FB55F4"/>
    <w:rsid w:val="00FB6B37"/>
    <w:rsid w:val="00FB7667"/>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1980-769A-40EC-8ED8-C73AF4D5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2844</Words>
  <Characters>15643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DUL SANCHEZ</cp:lastModifiedBy>
  <cp:revision>4</cp:revision>
  <cp:lastPrinted>2025-03-24T16:04:00Z</cp:lastPrinted>
  <dcterms:created xsi:type="dcterms:W3CDTF">2025-03-24T16:04:00Z</dcterms:created>
  <dcterms:modified xsi:type="dcterms:W3CDTF">2025-03-27T21:20:00Z</dcterms:modified>
</cp:coreProperties>
</file>