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25436D4C" w:rsidR="004C465F" w:rsidRDefault="004C465F" w:rsidP="001162C4">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A12F840" w:rsidR="00C4052B" w:rsidRPr="007861DD" w:rsidRDefault="00C4052B" w:rsidP="001162C4">
          <w:pPr>
            <w:pStyle w:val="TtuloTDC"/>
            <w:spacing w:before="0" w:line="360" w:lineRule="auto"/>
            <w:jc w:val="center"/>
            <w:rPr>
              <w:rFonts w:ascii="Palatino Linotype" w:hAnsi="Palatino Linotype"/>
              <w:color w:val="auto"/>
              <w:sz w:val="22"/>
              <w:szCs w:val="22"/>
            </w:rPr>
          </w:pPr>
          <w:r w:rsidRPr="007861DD">
            <w:rPr>
              <w:rFonts w:ascii="Palatino Linotype" w:hAnsi="Palatino Linotype"/>
              <w:color w:val="auto"/>
              <w:sz w:val="22"/>
              <w:szCs w:val="22"/>
              <w:lang w:val="es-ES"/>
            </w:rPr>
            <w:t xml:space="preserve">RESOLUCIÓN DEL RECURSO DE REVISIÓN </w:t>
          </w:r>
          <w:r w:rsidR="003A41C0" w:rsidRPr="007861DD">
            <w:rPr>
              <w:rFonts w:ascii="Palatino Linotype" w:hAnsi="Palatino Linotype"/>
              <w:color w:val="auto"/>
              <w:sz w:val="22"/>
              <w:szCs w:val="22"/>
            </w:rPr>
            <w:t>05861</w:t>
          </w:r>
          <w:r w:rsidR="000D392E" w:rsidRPr="007861DD">
            <w:rPr>
              <w:rFonts w:ascii="Palatino Linotype" w:hAnsi="Palatino Linotype"/>
              <w:color w:val="auto"/>
              <w:sz w:val="22"/>
              <w:szCs w:val="22"/>
            </w:rPr>
            <w:t>/INFOEM/IP/RR/2025</w:t>
          </w:r>
        </w:p>
        <w:p w14:paraId="73933EFA" w14:textId="77777777" w:rsidR="00C4052B" w:rsidRPr="007861DD" w:rsidRDefault="00C4052B" w:rsidP="001162C4">
          <w:pPr>
            <w:spacing w:after="0" w:line="360" w:lineRule="auto"/>
          </w:pPr>
        </w:p>
        <w:p w14:paraId="39559F59" w14:textId="24C6B785" w:rsidR="00E217D5" w:rsidRPr="007861DD" w:rsidRDefault="00C4052B">
          <w:pPr>
            <w:pStyle w:val="TDC1"/>
            <w:tabs>
              <w:tab w:val="right" w:leader="dot" w:pos="8921"/>
            </w:tabs>
            <w:rPr>
              <w:rFonts w:asciiTheme="minorHAnsi" w:eastAsiaTheme="minorEastAsia" w:hAnsiTheme="minorHAnsi" w:cstheme="minorBidi"/>
              <w:noProof/>
              <w:color w:val="auto"/>
            </w:rPr>
          </w:pPr>
          <w:r w:rsidRPr="007861DD">
            <w:fldChar w:fldCharType="begin"/>
          </w:r>
          <w:r w:rsidRPr="007861DD">
            <w:instrText xml:space="preserve"> TOC \o "1-3" \h \z \u </w:instrText>
          </w:r>
          <w:r w:rsidRPr="007861DD">
            <w:fldChar w:fldCharType="separate"/>
          </w:r>
          <w:hyperlink w:anchor="_Toc213244216" w:history="1">
            <w:r w:rsidR="00E217D5" w:rsidRPr="007861DD">
              <w:rPr>
                <w:rStyle w:val="Hipervnculo"/>
                <w:noProof/>
              </w:rPr>
              <w:t>A N T E C E D E N T E S</w:t>
            </w:r>
            <w:r w:rsidR="00E217D5" w:rsidRPr="007861DD">
              <w:rPr>
                <w:noProof/>
                <w:webHidden/>
              </w:rPr>
              <w:tab/>
            </w:r>
            <w:r w:rsidR="00E217D5" w:rsidRPr="007861DD">
              <w:rPr>
                <w:noProof/>
                <w:webHidden/>
              </w:rPr>
              <w:fldChar w:fldCharType="begin"/>
            </w:r>
            <w:r w:rsidR="00E217D5" w:rsidRPr="007861DD">
              <w:rPr>
                <w:noProof/>
                <w:webHidden/>
              </w:rPr>
              <w:instrText xml:space="preserve"> PAGEREF _Toc213244216 \h </w:instrText>
            </w:r>
            <w:r w:rsidR="00E217D5" w:rsidRPr="007861DD">
              <w:rPr>
                <w:noProof/>
                <w:webHidden/>
              </w:rPr>
            </w:r>
            <w:r w:rsidR="00E217D5" w:rsidRPr="007861DD">
              <w:rPr>
                <w:noProof/>
                <w:webHidden/>
              </w:rPr>
              <w:fldChar w:fldCharType="separate"/>
            </w:r>
            <w:r w:rsidR="005F130E">
              <w:rPr>
                <w:noProof/>
                <w:webHidden/>
              </w:rPr>
              <w:t>2</w:t>
            </w:r>
            <w:r w:rsidR="00E217D5" w:rsidRPr="007861DD">
              <w:rPr>
                <w:noProof/>
                <w:webHidden/>
              </w:rPr>
              <w:fldChar w:fldCharType="end"/>
            </w:r>
          </w:hyperlink>
        </w:p>
        <w:p w14:paraId="24CEE5D6" w14:textId="7605C155"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17" w:history="1">
            <w:r w:rsidRPr="007861DD">
              <w:rPr>
                <w:rStyle w:val="Hipervnculo"/>
                <w:noProof/>
                <w:lang w:eastAsia="es-ES"/>
              </w:rPr>
              <w:t>I. Presentación de la solicitud de información</w:t>
            </w:r>
            <w:r w:rsidRPr="007861DD">
              <w:rPr>
                <w:noProof/>
                <w:webHidden/>
              </w:rPr>
              <w:tab/>
            </w:r>
            <w:r w:rsidRPr="007861DD">
              <w:rPr>
                <w:noProof/>
                <w:webHidden/>
              </w:rPr>
              <w:fldChar w:fldCharType="begin"/>
            </w:r>
            <w:r w:rsidRPr="007861DD">
              <w:rPr>
                <w:noProof/>
                <w:webHidden/>
              </w:rPr>
              <w:instrText xml:space="preserve"> PAGEREF _Toc213244217 \h </w:instrText>
            </w:r>
            <w:r w:rsidRPr="007861DD">
              <w:rPr>
                <w:noProof/>
                <w:webHidden/>
              </w:rPr>
            </w:r>
            <w:r w:rsidRPr="007861DD">
              <w:rPr>
                <w:noProof/>
                <w:webHidden/>
              </w:rPr>
              <w:fldChar w:fldCharType="separate"/>
            </w:r>
            <w:r w:rsidR="005F130E">
              <w:rPr>
                <w:noProof/>
                <w:webHidden/>
              </w:rPr>
              <w:t>2</w:t>
            </w:r>
            <w:r w:rsidRPr="007861DD">
              <w:rPr>
                <w:noProof/>
                <w:webHidden/>
              </w:rPr>
              <w:fldChar w:fldCharType="end"/>
            </w:r>
          </w:hyperlink>
        </w:p>
        <w:p w14:paraId="305407AD" w14:textId="2E930823"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18" w:history="1">
            <w:r w:rsidRPr="007861DD">
              <w:rPr>
                <w:rStyle w:val="Hipervnculo"/>
                <w:rFonts w:cs="Tahoma"/>
                <w:noProof/>
              </w:rPr>
              <w:t>II.</w:t>
            </w:r>
            <w:r w:rsidRPr="007861DD">
              <w:rPr>
                <w:rStyle w:val="Hipervnculo"/>
                <w:noProof/>
              </w:rPr>
              <w:t xml:space="preserve"> Respuesta del Sujeto Obligado</w:t>
            </w:r>
            <w:r w:rsidRPr="007861DD">
              <w:rPr>
                <w:noProof/>
                <w:webHidden/>
              </w:rPr>
              <w:tab/>
            </w:r>
            <w:r w:rsidRPr="007861DD">
              <w:rPr>
                <w:noProof/>
                <w:webHidden/>
              </w:rPr>
              <w:fldChar w:fldCharType="begin"/>
            </w:r>
            <w:r w:rsidRPr="007861DD">
              <w:rPr>
                <w:noProof/>
                <w:webHidden/>
              </w:rPr>
              <w:instrText xml:space="preserve"> PAGEREF _Toc213244218 \h </w:instrText>
            </w:r>
            <w:r w:rsidRPr="007861DD">
              <w:rPr>
                <w:noProof/>
                <w:webHidden/>
              </w:rPr>
            </w:r>
            <w:r w:rsidRPr="007861DD">
              <w:rPr>
                <w:noProof/>
                <w:webHidden/>
              </w:rPr>
              <w:fldChar w:fldCharType="separate"/>
            </w:r>
            <w:r w:rsidR="005F130E">
              <w:rPr>
                <w:noProof/>
                <w:webHidden/>
              </w:rPr>
              <w:t>3</w:t>
            </w:r>
            <w:r w:rsidRPr="007861DD">
              <w:rPr>
                <w:noProof/>
                <w:webHidden/>
              </w:rPr>
              <w:fldChar w:fldCharType="end"/>
            </w:r>
          </w:hyperlink>
        </w:p>
        <w:p w14:paraId="22B755E3" w14:textId="36BDB7D6"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19" w:history="1">
            <w:r w:rsidRPr="007861DD">
              <w:rPr>
                <w:rStyle w:val="Hipervnculo"/>
                <w:noProof/>
              </w:rPr>
              <w:t>III. Interposición del Recurso de Revisión</w:t>
            </w:r>
            <w:r w:rsidRPr="007861DD">
              <w:rPr>
                <w:noProof/>
                <w:webHidden/>
              </w:rPr>
              <w:tab/>
            </w:r>
            <w:r w:rsidRPr="007861DD">
              <w:rPr>
                <w:noProof/>
                <w:webHidden/>
              </w:rPr>
              <w:fldChar w:fldCharType="begin"/>
            </w:r>
            <w:r w:rsidRPr="007861DD">
              <w:rPr>
                <w:noProof/>
                <w:webHidden/>
              </w:rPr>
              <w:instrText xml:space="preserve"> PAGEREF _Toc213244219 \h </w:instrText>
            </w:r>
            <w:r w:rsidRPr="007861DD">
              <w:rPr>
                <w:noProof/>
                <w:webHidden/>
              </w:rPr>
            </w:r>
            <w:r w:rsidRPr="007861DD">
              <w:rPr>
                <w:noProof/>
                <w:webHidden/>
              </w:rPr>
              <w:fldChar w:fldCharType="separate"/>
            </w:r>
            <w:r w:rsidR="005F130E">
              <w:rPr>
                <w:noProof/>
                <w:webHidden/>
              </w:rPr>
              <w:t>5</w:t>
            </w:r>
            <w:r w:rsidRPr="007861DD">
              <w:rPr>
                <w:noProof/>
                <w:webHidden/>
              </w:rPr>
              <w:fldChar w:fldCharType="end"/>
            </w:r>
          </w:hyperlink>
        </w:p>
        <w:p w14:paraId="6E66975D" w14:textId="3849A09B"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20" w:history="1">
            <w:r w:rsidRPr="007861DD">
              <w:rPr>
                <w:rStyle w:val="Hipervnculo"/>
                <w:noProof/>
              </w:rPr>
              <w:t>IV. Trámite del Recurso de Revisión ante este Instituto</w:t>
            </w:r>
            <w:r w:rsidRPr="007861DD">
              <w:rPr>
                <w:noProof/>
                <w:webHidden/>
              </w:rPr>
              <w:tab/>
            </w:r>
            <w:r w:rsidRPr="007861DD">
              <w:rPr>
                <w:noProof/>
                <w:webHidden/>
              </w:rPr>
              <w:fldChar w:fldCharType="begin"/>
            </w:r>
            <w:r w:rsidRPr="007861DD">
              <w:rPr>
                <w:noProof/>
                <w:webHidden/>
              </w:rPr>
              <w:instrText xml:space="preserve"> PAGEREF _Toc213244220 \h </w:instrText>
            </w:r>
            <w:r w:rsidRPr="007861DD">
              <w:rPr>
                <w:noProof/>
                <w:webHidden/>
              </w:rPr>
            </w:r>
            <w:r w:rsidRPr="007861DD">
              <w:rPr>
                <w:noProof/>
                <w:webHidden/>
              </w:rPr>
              <w:fldChar w:fldCharType="separate"/>
            </w:r>
            <w:r w:rsidR="005F130E">
              <w:rPr>
                <w:noProof/>
                <w:webHidden/>
              </w:rPr>
              <w:t>6</w:t>
            </w:r>
            <w:r w:rsidRPr="007861DD">
              <w:rPr>
                <w:noProof/>
                <w:webHidden/>
              </w:rPr>
              <w:fldChar w:fldCharType="end"/>
            </w:r>
          </w:hyperlink>
        </w:p>
        <w:p w14:paraId="70C9C9F0" w14:textId="3CE9A070" w:rsidR="00E217D5" w:rsidRPr="007861DD" w:rsidRDefault="00E217D5">
          <w:pPr>
            <w:pStyle w:val="TDC1"/>
            <w:tabs>
              <w:tab w:val="right" w:leader="dot" w:pos="8921"/>
            </w:tabs>
            <w:rPr>
              <w:rFonts w:asciiTheme="minorHAnsi" w:eastAsiaTheme="minorEastAsia" w:hAnsiTheme="minorHAnsi" w:cstheme="minorBidi"/>
              <w:noProof/>
              <w:color w:val="auto"/>
            </w:rPr>
          </w:pPr>
          <w:hyperlink w:anchor="_Toc213244221" w:history="1">
            <w:r w:rsidRPr="007861DD">
              <w:rPr>
                <w:rStyle w:val="Hipervnculo"/>
                <w:noProof/>
              </w:rPr>
              <w:t>C O N S I D E R A N D O S</w:t>
            </w:r>
            <w:r w:rsidRPr="007861DD">
              <w:rPr>
                <w:noProof/>
                <w:webHidden/>
              </w:rPr>
              <w:tab/>
            </w:r>
            <w:r w:rsidRPr="007861DD">
              <w:rPr>
                <w:noProof/>
                <w:webHidden/>
              </w:rPr>
              <w:fldChar w:fldCharType="begin"/>
            </w:r>
            <w:r w:rsidRPr="007861DD">
              <w:rPr>
                <w:noProof/>
                <w:webHidden/>
              </w:rPr>
              <w:instrText xml:space="preserve"> PAGEREF _Toc213244221 \h </w:instrText>
            </w:r>
            <w:r w:rsidRPr="007861DD">
              <w:rPr>
                <w:noProof/>
                <w:webHidden/>
              </w:rPr>
            </w:r>
            <w:r w:rsidRPr="007861DD">
              <w:rPr>
                <w:noProof/>
                <w:webHidden/>
              </w:rPr>
              <w:fldChar w:fldCharType="separate"/>
            </w:r>
            <w:r w:rsidR="005F130E">
              <w:rPr>
                <w:noProof/>
                <w:webHidden/>
              </w:rPr>
              <w:t>9</w:t>
            </w:r>
            <w:r w:rsidRPr="007861DD">
              <w:rPr>
                <w:noProof/>
                <w:webHidden/>
              </w:rPr>
              <w:fldChar w:fldCharType="end"/>
            </w:r>
          </w:hyperlink>
        </w:p>
        <w:p w14:paraId="0854DF79" w14:textId="07E75915"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22" w:history="1">
            <w:r w:rsidRPr="007861DD">
              <w:rPr>
                <w:rStyle w:val="Hipervnculo"/>
                <w:noProof/>
              </w:rPr>
              <w:t>PRIMERO. Competencia</w:t>
            </w:r>
            <w:r w:rsidRPr="007861DD">
              <w:rPr>
                <w:noProof/>
                <w:webHidden/>
              </w:rPr>
              <w:tab/>
            </w:r>
            <w:r w:rsidRPr="007861DD">
              <w:rPr>
                <w:noProof/>
                <w:webHidden/>
              </w:rPr>
              <w:fldChar w:fldCharType="begin"/>
            </w:r>
            <w:r w:rsidRPr="007861DD">
              <w:rPr>
                <w:noProof/>
                <w:webHidden/>
              </w:rPr>
              <w:instrText xml:space="preserve"> PAGEREF _Toc213244222 \h </w:instrText>
            </w:r>
            <w:r w:rsidRPr="007861DD">
              <w:rPr>
                <w:noProof/>
                <w:webHidden/>
              </w:rPr>
            </w:r>
            <w:r w:rsidRPr="007861DD">
              <w:rPr>
                <w:noProof/>
                <w:webHidden/>
              </w:rPr>
              <w:fldChar w:fldCharType="separate"/>
            </w:r>
            <w:r w:rsidR="005F130E">
              <w:rPr>
                <w:noProof/>
                <w:webHidden/>
              </w:rPr>
              <w:t>9</w:t>
            </w:r>
            <w:r w:rsidRPr="007861DD">
              <w:rPr>
                <w:noProof/>
                <w:webHidden/>
              </w:rPr>
              <w:fldChar w:fldCharType="end"/>
            </w:r>
          </w:hyperlink>
        </w:p>
        <w:p w14:paraId="3B0DCBFF" w14:textId="33C70372"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23" w:history="1">
            <w:r w:rsidRPr="007861DD">
              <w:rPr>
                <w:rStyle w:val="Hipervnculo"/>
                <w:noProof/>
              </w:rPr>
              <w:t>SEGUNDO. Causales de improcedencia y sobreseimiento</w:t>
            </w:r>
            <w:r w:rsidRPr="007861DD">
              <w:rPr>
                <w:noProof/>
                <w:webHidden/>
              </w:rPr>
              <w:tab/>
            </w:r>
            <w:r w:rsidRPr="007861DD">
              <w:rPr>
                <w:noProof/>
                <w:webHidden/>
              </w:rPr>
              <w:fldChar w:fldCharType="begin"/>
            </w:r>
            <w:r w:rsidRPr="007861DD">
              <w:rPr>
                <w:noProof/>
                <w:webHidden/>
              </w:rPr>
              <w:instrText xml:space="preserve"> PAGEREF _Toc213244223 \h </w:instrText>
            </w:r>
            <w:r w:rsidRPr="007861DD">
              <w:rPr>
                <w:noProof/>
                <w:webHidden/>
              </w:rPr>
            </w:r>
            <w:r w:rsidRPr="007861DD">
              <w:rPr>
                <w:noProof/>
                <w:webHidden/>
              </w:rPr>
              <w:fldChar w:fldCharType="separate"/>
            </w:r>
            <w:r w:rsidR="005F130E">
              <w:rPr>
                <w:noProof/>
                <w:webHidden/>
              </w:rPr>
              <w:t>10</w:t>
            </w:r>
            <w:r w:rsidRPr="007861DD">
              <w:rPr>
                <w:noProof/>
                <w:webHidden/>
              </w:rPr>
              <w:fldChar w:fldCharType="end"/>
            </w:r>
          </w:hyperlink>
        </w:p>
        <w:p w14:paraId="1B57C177" w14:textId="36001345"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24" w:history="1">
            <w:r w:rsidRPr="007861DD">
              <w:rPr>
                <w:rStyle w:val="Hipervnculo"/>
                <w:noProof/>
              </w:rPr>
              <w:t>TERCERO. Determinación de la Controversia</w:t>
            </w:r>
            <w:r w:rsidRPr="007861DD">
              <w:rPr>
                <w:noProof/>
                <w:webHidden/>
              </w:rPr>
              <w:tab/>
            </w:r>
            <w:r w:rsidRPr="007861DD">
              <w:rPr>
                <w:noProof/>
                <w:webHidden/>
              </w:rPr>
              <w:fldChar w:fldCharType="begin"/>
            </w:r>
            <w:r w:rsidRPr="007861DD">
              <w:rPr>
                <w:noProof/>
                <w:webHidden/>
              </w:rPr>
              <w:instrText xml:space="preserve"> PAGEREF _Toc213244224 \h </w:instrText>
            </w:r>
            <w:r w:rsidRPr="007861DD">
              <w:rPr>
                <w:noProof/>
                <w:webHidden/>
              </w:rPr>
            </w:r>
            <w:r w:rsidRPr="007861DD">
              <w:rPr>
                <w:noProof/>
                <w:webHidden/>
              </w:rPr>
              <w:fldChar w:fldCharType="separate"/>
            </w:r>
            <w:r w:rsidR="005F130E">
              <w:rPr>
                <w:noProof/>
                <w:webHidden/>
              </w:rPr>
              <w:t>11</w:t>
            </w:r>
            <w:r w:rsidRPr="007861DD">
              <w:rPr>
                <w:noProof/>
                <w:webHidden/>
              </w:rPr>
              <w:fldChar w:fldCharType="end"/>
            </w:r>
          </w:hyperlink>
        </w:p>
        <w:p w14:paraId="10A5C52E" w14:textId="0641E067"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25" w:history="1">
            <w:r w:rsidRPr="007861DD">
              <w:rPr>
                <w:rStyle w:val="Hipervnculo"/>
                <w:noProof/>
              </w:rPr>
              <w:t>CUARTO. Marco normativo aplicable en materia de transparencia y acceso a la información pública</w:t>
            </w:r>
            <w:r w:rsidRPr="007861DD">
              <w:rPr>
                <w:noProof/>
                <w:webHidden/>
              </w:rPr>
              <w:tab/>
            </w:r>
            <w:r w:rsidRPr="007861DD">
              <w:rPr>
                <w:noProof/>
                <w:webHidden/>
              </w:rPr>
              <w:fldChar w:fldCharType="begin"/>
            </w:r>
            <w:r w:rsidRPr="007861DD">
              <w:rPr>
                <w:noProof/>
                <w:webHidden/>
              </w:rPr>
              <w:instrText xml:space="preserve"> PAGEREF _Toc213244225 \h </w:instrText>
            </w:r>
            <w:r w:rsidRPr="007861DD">
              <w:rPr>
                <w:noProof/>
                <w:webHidden/>
              </w:rPr>
            </w:r>
            <w:r w:rsidRPr="007861DD">
              <w:rPr>
                <w:noProof/>
                <w:webHidden/>
              </w:rPr>
              <w:fldChar w:fldCharType="separate"/>
            </w:r>
            <w:r w:rsidR="005F130E">
              <w:rPr>
                <w:noProof/>
                <w:webHidden/>
              </w:rPr>
              <w:t>13</w:t>
            </w:r>
            <w:r w:rsidRPr="007861DD">
              <w:rPr>
                <w:noProof/>
                <w:webHidden/>
              </w:rPr>
              <w:fldChar w:fldCharType="end"/>
            </w:r>
          </w:hyperlink>
        </w:p>
        <w:p w14:paraId="428A2C1C" w14:textId="4EEB0D16"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26" w:history="1">
            <w:r w:rsidRPr="007861DD">
              <w:rPr>
                <w:rStyle w:val="Hipervnculo"/>
                <w:noProof/>
              </w:rPr>
              <w:t>QUINTO. Estudio de Fondo</w:t>
            </w:r>
            <w:r w:rsidRPr="007861DD">
              <w:rPr>
                <w:noProof/>
                <w:webHidden/>
              </w:rPr>
              <w:tab/>
            </w:r>
            <w:r w:rsidRPr="007861DD">
              <w:rPr>
                <w:noProof/>
                <w:webHidden/>
              </w:rPr>
              <w:fldChar w:fldCharType="begin"/>
            </w:r>
            <w:r w:rsidRPr="007861DD">
              <w:rPr>
                <w:noProof/>
                <w:webHidden/>
              </w:rPr>
              <w:instrText xml:space="preserve"> PAGEREF _Toc213244226 \h </w:instrText>
            </w:r>
            <w:r w:rsidRPr="007861DD">
              <w:rPr>
                <w:noProof/>
                <w:webHidden/>
              </w:rPr>
            </w:r>
            <w:r w:rsidRPr="007861DD">
              <w:rPr>
                <w:noProof/>
                <w:webHidden/>
              </w:rPr>
              <w:fldChar w:fldCharType="separate"/>
            </w:r>
            <w:r w:rsidR="005F130E">
              <w:rPr>
                <w:noProof/>
                <w:webHidden/>
              </w:rPr>
              <w:t>14</w:t>
            </w:r>
            <w:r w:rsidRPr="007861DD">
              <w:rPr>
                <w:noProof/>
                <w:webHidden/>
              </w:rPr>
              <w:fldChar w:fldCharType="end"/>
            </w:r>
          </w:hyperlink>
        </w:p>
        <w:p w14:paraId="49CB0311" w14:textId="0701EAD0" w:rsidR="00E217D5" w:rsidRPr="007861DD" w:rsidRDefault="00E217D5">
          <w:pPr>
            <w:pStyle w:val="TDC2"/>
            <w:tabs>
              <w:tab w:val="right" w:leader="dot" w:pos="8921"/>
            </w:tabs>
            <w:rPr>
              <w:rFonts w:asciiTheme="minorHAnsi" w:eastAsiaTheme="minorEastAsia" w:hAnsiTheme="minorHAnsi" w:cstheme="minorBidi"/>
              <w:noProof/>
              <w:color w:val="auto"/>
            </w:rPr>
          </w:pPr>
          <w:hyperlink w:anchor="_Toc213244227" w:history="1">
            <w:r w:rsidRPr="007861DD">
              <w:rPr>
                <w:rStyle w:val="Hipervnculo"/>
                <w:noProof/>
              </w:rPr>
              <w:t>SEXTO. Decisión</w:t>
            </w:r>
            <w:r w:rsidRPr="007861DD">
              <w:rPr>
                <w:noProof/>
                <w:webHidden/>
              </w:rPr>
              <w:tab/>
            </w:r>
            <w:r w:rsidRPr="007861DD">
              <w:rPr>
                <w:noProof/>
                <w:webHidden/>
              </w:rPr>
              <w:fldChar w:fldCharType="begin"/>
            </w:r>
            <w:r w:rsidRPr="007861DD">
              <w:rPr>
                <w:noProof/>
                <w:webHidden/>
              </w:rPr>
              <w:instrText xml:space="preserve"> PAGEREF _Toc213244227 \h </w:instrText>
            </w:r>
            <w:r w:rsidRPr="007861DD">
              <w:rPr>
                <w:noProof/>
                <w:webHidden/>
              </w:rPr>
            </w:r>
            <w:r w:rsidRPr="007861DD">
              <w:rPr>
                <w:noProof/>
                <w:webHidden/>
              </w:rPr>
              <w:fldChar w:fldCharType="separate"/>
            </w:r>
            <w:r w:rsidR="005F130E">
              <w:rPr>
                <w:noProof/>
                <w:webHidden/>
              </w:rPr>
              <w:t>39</w:t>
            </w:r>
            <w:r w:rsidRPr="007861DD">
              <w:rPr>
                <w:noProof/>
                <w:webHidden/>
              </w:rPr>
              <w:fldChar w:fldCharType="end"/>
            </w:r>
          </w:hyperlink>
        </w:p>
        <w:p w14:paraId="0C41754D" w14:textId="7FD93197" w:rsidR="00E217D5" w:rsidRPr="007861DD" w:rsidRDefault="00E217D5">
          <w:pPr>
            <w:pStyle w:val="TDC1"/>
            <w:tabs>
              <w:tab w:val="right" w:leader="dot" w:pos="8921"/>
            </w:tabs>
            <w:rPr>
              <w:rFonts w:asciiTheme="minorHAnsi" w:eastAsiaTheme="minorEastAsia" w:hAnsiTheme="minorHAnsi" w:cstheme="minorBidi"/>
              <w:noProof/>
              <w:color w:val="auto"/>
            </w:rPr>
          </w:pPr>
          <w:hyperlink w:anchor="_Toc213244228" w:history="1">
            <w:r w:rsidRPr="007861DD">
              <w:rPr>
                <w:rStyle w:val="Hipervnculo"/>
                <w:noProof/>
              </w:rPr>
              <w:t>R E S U E L V E</w:t>
            </w:r>
            <w:r w:rsidRPr="007861DD">
              <w:rPr>
                <w:noProof/>
                <w:webHidden/>
              </w:rPr>
              <w:tab/>
            </w:r>
            <w:r w:rsidRPr="007861DD">
              <w:rPr>
                <w:noProof/>
                <w:webHidden/>
              </w:rPr>
              <w:fldChar w:fldCharType="begin"/>
            </w:r>
            <w:r w:rsidRPr="007861DD">
              <w:rPr>
                <w:noProof/>
                <w:webHidden/>
              </w:rPr>
              <w:instrText xml:space="preserve"> PAGEREF _Toc213244228 \h </w:instrText>
            </w:r>
            <w:r w:rsidRPr="007861DD">
              <w:rPr>
                <w:noProof/>
                <w:webHidden/>
              </w:rPr>
            </w:r>
            <w:r w:rsidRPr="007861DD">
              <w:rPr>
                <w:noProof/>
                <w:webHidden/>
              </w:rPr>
              <w:fldChar w:fldCharType="separate"/>
            </w:r>
            <w:r w:rsidR="005F130E">
              <w:rPr>
                <w:noProof/>
                <w:webHidden/>
              </w:rPr>
              <w:t>40</w:t>
            </w:r>
            <w:r w:rsidRPr="007861DD">
              <w:rPr>
                <w:noProof/>
                <w:webHidden/>
              </w:rPr>
              <w:fldChar w:fldCharType="end"/>
            </w:r>
          </w:hyperlink>
        </w:p>
        <w:p w14:paraId="5B9D6C11" w14:textId="0187DE28" w:rsidR="00C4052B" w:rsidRPr="007861DD" w:rsidRDefault="00C4052B" w:rsidP="001162C4">
          <w:pPr>
            <w:spacing w:after="0" w:line="360" w:lineRule="auto"/>
          </w:pPr>
          <w:r w:rsidRPr="007861DD">
            <w:rPr>
              <w:b/>
              <w:bCs/>
              <w:lang w:val="es-ES"/>
            </w:rPr>
            <w:fldChar w:fldCharType="end"/>
          </w:r>
        </w:p>
      </w:sdtContent>
    </w:sdt>
    <w:p w14:paraId="57481942" w14:textId="77777777" w:rsidR="00C4052B" w:rsidRPr="007861DD" w:rsidRDefault="00C4052B" w:rsidP="001162C4">
      <w:pPr>
        <w:tabs>
          <w:tab w:val="left" w:pos="8931"/>
        </w:tabs>
        <w:spacing w:after="0" w:line="360" w:lineRule="auto"/>
      </w:pPr>
    </w:p>
    <w:p w14:paraId="411B5995" w14:textId="77777777" w:rsidR="00C4052B" w:rsidRPr="007861DD" w:rsidRDefault="00C4052B" w:rsidP="001162C4">
      <w:pPr>
        <w:tabs>
          <w:tab w:val="left" w:pos="8931"/>
        </w:tabs>
        <w:spacing w:after="0" w:line="360" w:lineRule="auto"/>
      </w:pPr>
    </w:p>
    <w:p w14:paraId="6784625D" w14:textId="77777777" w:rsidR="00C4052B" w:rsidRPr="007861DD" w:rsidRDefault="00C4052B" w:rsidP="001162C4">
      <w:pPr>
        <w:tabs>
          <w:tab w:val="left" w:pos="8931"/>
        </w:tabs>
        <w:spacing w:after="0" w:line="360" w:lineRule="auto"/>
      </w:pPr>
    </w:p>
    <w:p w14:paraId="140888DD" w14:textId="77777777" w:rsidR="00C4052B" w:rsidRPr="007861DD" w:rsidRDefault="00C4052B" w:rsidP="001162C4">
      <w:pPr>
        <w:tabs>
          <w:tab w:val="left" w:pos="8931"/>
        </w:tabs>
        <w:spacing w:after="0" w:line="360" w:lineRule="auto"/>
      </w:pPr>
    </w:p>
    <w:p w14:paraId="46268890" w14:textId="77777777" w:rsidR="00C4052B" w:rsidRPr="007861DD" w:rsidRDefault="00C4052B" w:rsidP="001162C4">
      <w:pPr>
        <w:tabs>
          <w:tab w:val="left" w:pos="8931"/>
        </w:tabs>
        <w:spacing w:after="0" w:line="360" w:lineRule="auto"/>
      </w:pPr>
    </w:p>
    <w:p w14:paraId="147CC638" w14:textId="77777777" w:rsidR="00C4052B" w:rsidRPr="007861DD" w:rsidRDefault="00C4052B" w:rsidP="001162C4">
      <w:pPr>
        <w:tabs>
          <w:tab w:val="left" w:pos="8931"/>
        </w:tabs>
        <w:spacing w:after="0" w:line="360" w:lineRule="auto"/>
      </w:pPr>
    </w:p>
    <w:p w14:paraId="01BB5716" w14:textId="77777777" w:rsidR="00C4052B" w:rsidRPr="007861DD" w:rsidRDefault="00C4052B" w:rsidP="001162C4">
      <w:pPr>
        <w:tabs>
          <w:tab w:val="left" w:pos="8931"/>
        </w:tabs>
        <w:spacing w:after="0" w:line="360" w:lineRule="auto"/>
      </w:pPr>
    </w:p>
    <w:p w14:paraId="62C1CEC9" w14:textId="77777777" w:rsidR="00C4052B" w:rsidRPr="007861DD" w:rsidRDefault="00C4052B" w:rsidP="001162C4">
      <w:pPr>
        <w:tabs>
          <w:tab w:val="left" w:pos="8931"/>
        </w:tabs>
        <w:spacing w:after="0" w:line="360" w:lineRule="auto"/>
      </w:pPr>
    </w:p>
    <w:p w14:paraId="3FB7EB5E" w14:textId="70CA856F" w:rsidR="005C690F" w:rsidRPr="007861DD" w:rsidRDefault="007D6307" w:rsidP="001162C4">
      <w:pPr>
        <w:tabs>
          <w:tab w:val="left" w:pos="8931"/>
        </w:tabs>
        <w:spacing w:after="0" w:line="360" w:lineRule="auto"/>
      </w:pPr>
      <w:r w:rsidRPr="007861DD">
        <w:lastRenderedPageBreak/>
        <w:t xml:space="preserve">Resolución del Pleno del Instituto de Transparencia, Acceso a la Información Pública y Protección de Datos Personales del Estado de México y Municipios, con domicilio en Metepec, Estado de México, de </w:t>
      </w:r>
      <w:r w:rsidR="00EF0C39" w:rsidRPr="007861DD">
        <w:t xml:space="preserve">fecha </w:t>
      </w:r>
      <w:r w:rsidR="003A41C0" w:rsidRPr="007861DD">
        <w:t>doce de noviembre</w:t>
      </w:r>
      <w:r w:rsidR="00CF7AA5" w:rsidRPr="007861DD">
        <w:t xml:space="preserve"> </w:t>
      </w:r>
      <w:r w:rsidR="00945CB8" w:rsidRPr="007861DD">
        <w:t>de dos mil veintic</w:t>
      </w:r>
      <w:r w:rsidR="00C11A18" w:rsidRPr="007861DD">
        <w:t>inco</w:t>
      </w:r>
      <w:r w:rsidRPr="007861DD">
        <w:t xml:space="preserve">. </w:t>
      </w:r>
    </w:p>
    <w:p w14:paraId="0DCD3B82" w14:textId="77777777" w:rsidR="005C690F" w:rsidRPr="007861DD" w:rsidRDefault="005C690F" w:rsidP="001162C4">
      <w:pPr>
        <w:spacing w:after="0" w:line="360" w:lineRule="auto"/>
        <w:rPr>
          <w:b/>
        </w:rPr>
      </w:pPr>
    </w:p>
    <w:p w14:paraId="1570B336" w14:textId="2DA34F8C" w:rsidR="005C690F" w:rsidRPr="007861DD" w:rsidRDefault="007D6307" w:rsidP="001162C4">
      <w:pPr>
        <w:spacing w:after="0" w:line="360" w:lineRule="auto"/>
        <w:rPr>
          <w:color w:val="0D0D0D"/>
        </w:rPr>
      </w:pPr>
      <w:r w:rsidRPr="007861DD">
        <w:rPr>
          <w:b/>
        </w:rPr>
        <w:t xml:space="preserve">VISTO </w:t>
      </w:r>
      <w:r w:rsidRPr="007861DD">
        <w:t xml:space="preserve">el expediente electrónico conformado con motivo del Recurso de Revisión </w:t>
      </w:r>
      <w:r w:rsidR="003A41C0" w:rsidRPr="006634F6">
        <w:rPr>
          <w:b/>
        </w:rPr>
        <w:t>05861</w:t>
      </w:r>
      <w:r w:rsidR="000D392E" w:rsidRPr="006634F6">
        <w:rPr>
          <w:b/>
        </w:rPr>
        <w:t>/INFOEM/IP/RR/2025</w:t>
      </w:r>
      <w:r w:rsidRPr="007861DD">
        <w:rPr>
          <w:bCs/>
        </w:rPr>
        <w:t xml:space="preserve">, interpuesto </w:t>
      </w:r>
      <w:r w:rsidR="008415EA" w:rsidRPr="007861DD">
        <w:rPr>
          <w:bCs/>
        </w:rPr>
        <w:t>por</w:t>
      </w:r>
      <w:r w:rsidR="00EE1006" w:rsidRPr="007861DD">
        <w:rPr>
          <w:bCs/>
        </w:rPr>
        <w:t xml:space="preserve"> </w:t>
      </w:r>
      <w:r w:rsidR="00FE3FF3" w:rsidRPr="00FE3FF3">
        <w:rPr>
          <w:b/>
          <w:highlight w:val="black"/>
        </w:rPr>
        <w:t>XXXXXXXXXXXXXXXX</w:t>
      </w:r>
      <w:r w:rsidR="003A41C0" w:rsidRPr="006634F6">
        <w:rPr>
          <w:b/>
        </w:rPr>
        <w:t>,</w:t>
      </w:r>
      <w:r w:rsidR="003A41C0" w:rsidRPr="007861DD">
        <w:rPr>
          <w:bCs/>
        </w:rPr>
        <w:t xml:space="preserve"> quien será </w:t>
      </w:r>
      <w:r w:rsidR="00D906B2" w:rsidRPr="007861DD">
        <w:rPr>
          <w:bCs/>
        </w:rPr>
        <w:t>la persona</w:t>
      </w:r>
      <w:r w:rsidRPr="007861DD">
        <w:rPr>
          <w:bCs/>
        </w:rPr>
        <w:t xml:space="preserve"> </w:t>
      </w:r>
      <w:r w:rsidRPr="007861DD">
        <w:rPr>
          <w:bCs/>
          <w:color w:val="0D0D0D"/>
        </w:rPr>
        <w:t>Recurrente o Particular, en contra de la respuesta del Sujeto Obligado</w:t>
      </w:r>
      <w:r w:rsidR="00705FBB" w:rsidRPr="007861DD">
        <w:rPr>
          <w:bCs/>
          <w:color w:val="0D0D0D"/>
        </w:rPr>
        <w:t xml:space="preserve">, </w:t>
      </w:r>
      <w:r w:rsidR="003A41C0" w:rsidRPr="006634F6">
        <w:rPr>
          <w:b/>
          <w:bCs/>
        </w:rPr>
        <w:t>Instituto de Seguridad Social del Estado de México y Municipios</w:t>
      </w:r>
      <w:r w:rsidR="00EF0C39" w:rsidRPr="006634F6">
        <w:rPr>
          <w:b/>
          <w:bCs/>
        </w:rPr>
        <w:t>,</w:t>
      </w:r>
      <w:r w:rsidRPr="006634F6">
        <w:rPr>
          <w:b/>
          <w:bCs/>
          <w:color w:val="0D0D0D"/>
        </w:rPr>
        <w:t xml:space="preserve"> </w:t>
      </w:r>
      <w:r w:rsidRPr="007861DD">
        <w:rPr>
          <w:color w:val="0D0D0D"/>
        </w:rPr>
        <w:t>a la solicitud de acceso a la información pública</w:t>
      </w:r>
      <w:r w:rsidR="00800641" w:rsidRPr="007861DD">
        <w:rPr>
          <w:color w:val="0D0D0D"/>
        </w:rPr>
        <w:t xml:space="preserve"> </w:t>
      </w:r>
      <w:r w:rsidR="00A401C8" w:rsidRPr="007861DD">
        <w:t>00</w:t>
      </w:r>
      <w:r w:rsidR="003A41C0" w:rsidRPr="007861DD">
        <w:t>385</w:t>
      </w:r>
      <w:r w:rsidR="00EE1006" w:rsidRPr="007861DD">
        <w:t>/</w:t>
      </w:r>
      <w:r w:rsidR="003A41C0" w:rsidRPr="007861DD">
        <w:t>ISSEMYM</w:t>
      </w:r>
      <w:r w:rsidR="000D392E" w:rsidRPr="007861DD">
        <w:t>/IP/2025</w:t>
      </w:r>
      <w:r w:rsidRPr="007861DD">
        <w:rPr>
          <w:color w:val="000000"/>
        </w:rPr>
        <w:t xml:space="preserve">, </w:t>
      </w:r>
      <w:r w:rsidRPr="007861DD">
        <w:rPr>
          <w:color w:val="0D0D0D"/>
        </w:rPr>
        <w:t>se emite la presente Resolución, con base en los Antecedentes y Considerandos que se exponen a continuación:</w:t>
      </w:r>
    </w:p>
    <w:p w14:paraId="1F97CEF3" w14:textId="77777777" w:rsidR="005C690F" w:rsidRPr="007861DD" w:rsidRDefault="005C690F" w:rsidP="001162C4">
      <w:pPr>
        <w:spacing w:after="0" w:line="360" w:lineRule="auto"/>
        <w:rPr>
          <w:b/>
        </w:rPr>
      </w:pPr>
    </w:p>
    <w:p w14:paraId="1DEAF9D3" w14:textId="24D35555" w:rsidR="005C690F" w:rsidRPr="007861DD" w:rsidRDefault="00CD6238" w:rsidP="001162C4">
      <w:pPr>
        <w:pStyle w:val="Ttulo1"/>
        <w:spacing w:before="0" w:after="0" w:line="360" w:lineRule="auto"/>
        <w:jc w:val="center"/>
        <w:rPr>
          <w:sz w:val="22"/>
          <w:szCs w:val="22"/>
        </w:rPr>
      </w:pPr>
      <w:bookmarkStart w:id="0" w:name="_Toc213244216"/>
      <w:r w:rsidRPr="007861DD">
        <w:rPr>
          <w:sz w:val="22"/>
          <w:szCs w:val="22"/>
        </w:rPr>
        <w:t>A N T E C E D E N T E S</w:t>
      </w:r>
      <w:bookmarkEnd w:id="0"/>
    </w:p>
    <w:p w14:paraId="5A7EDA4F" w14:textId="77777777" w:rsidR="005C690F" w:rsidRPr="007861DD" w:rsidRDefault="005C690F" w:rsidP="001162C4">
      <w:pPr>
        <w:spacing w:after="0" w:line="360" w:lineRule="auto"/>
        <w:jc w:val="center"/>
        <w:rPr>
          <w:b/>
        </w:rPr>
      </w:pPr>
    </w:p>
    <w:p w14:paraId="4930DAB9" w14:textId="701611A7" w:rsidR="00E22EA8" w:rsidRPr="007861DD" w:rsidRDefault="009215C2" w:rsidP="001162C4">
      <w:pPr>
        <w:pStyle w:val="Ttulo2"/>
        <w:spacing w:before="0" w:after="0" w:line="360" w:lineRule="auto"/>
        <w:rPr>
          <w:sz w:val="22"/>
          <w:szCs w:val="22"/>
          <w:lang w:eastAsia="es-ES"/>
        </w:rPr>
      </w:pPr>
      <w:bookmarkStart w:id="1" w:name="_Toc213244217"/>
      <w:r w:rsidRPr="007861DD">
        <w:rPr>
          <w:sz w:val="22"/>
          <w:szCs w:val="22"/>
          <w:lang w:eastAsia="es-ES"/>
        </w:rPr>
        <w:t xml:space="preserve">I. </w:t>
      </w:r>
      <w:r w:rsidR="00E22EA8" w:rsidRPr="007861DD">
        <w:rPr>
          <w:sz w:val="22"/>
          <w:szCs w:val="22"/>
          <w:lang w:eastAsia="es-ES"/>
        </w:rPr>
        <w:t>Presentación de la solicitud de información</w:t>
      </w:r>
      <w:bookmarkEnd w:id="1"/>
    </w:p>
    <w:p w14:paraId="63A20E25" w14:textId="77777777" w:rsidR="009215C2" w:rsidRPr="007861DD" w:rsidRDefault="009215C2" w:rsidP="001162C4">
      <w:pPr>
        <w:tabs>
          <w:tab w:val="left" w:pos="567"/>
        </w:tabs>
        <w:spacing w:after="0" w:line="360" w:lineRule="auto"/>
        <w:rPr>
          <w:rFonts w:eastAsia="Times New Roman" w:cs="Tahoma"/>
          <w:lang w:eastAsia="es-ES"/>
        </w:rPr>
      </w:pPr>
    </w:p>
    <w:p w14:paraId="301B8A4E" w14:textId="7355B126" w:rsidR="00E22EA8" w:rsidRPr="007861DD" w:rsidRDefault="00D906B2" w:rsidP="001162C4">
      <w:pPr>
        <w:spacing w:after="0" w:line="360" w:lineRule="auto"/>
        <w:rPr>
          <w:rFonts w:eastAsia="Times New Roman" w:cs="Tahoma"/>
          <w:lang w:eastAsia="es-ES"/>
        </w:rPr>
      </w:pPr>
      <w:r w:rsidRPr="007861DD">
        <w:rPr>
          <w:rFonts w:eastAsia="Times New Roman" w:cs="Tahoma"/>
          <w:lang w:eastAsia="es-ES"/>
        </w:rPr>
        <w:t>El</w:t>
      </w:r>
      <w:r w:rsidR="00D52EC1" w:rsidRPr="007861DD">
        <w:rPr>
          <w:rFonts w:eastAsia="Times New Roman" w:cs="Tahoma"/>
          <w:lang w:eastAsia="es-ES"/>
        </w:rPr>
        <w:t xml:space="preserve"> </w:t>
      </w:r>
      <w:r w:rsidR="003A41C0" w:rsidRPr="007861DD">
        <w:rPr>
          <w:rFonts w:eastAsia="Times New Roman" w:cs="Tahoma"/>
          <w:lang w:eastAsia="es-ES"/>
        </w:rPr>
        <w:t>siete de mayo</w:t>
      </w:r>
      <w:r w:rsidR="00A41789" w:rsidRPr="007861DD">
        <w:rPr>
          <w:rFonts w:eastAsia="Times New Roman" w:cs="Tahoma"/>
          <w:lang w:eastAsia="es-ES"/>
        </w:rPr>
        <w:t xml:space="preserve"> </w:t>
      </w:r>
      <w:r w:rsidR="008E0DC4" w:rsidRPr="007861DD">
        <w:rPr>
          <w:rFonts w:eastAsia="Times New Roman" w:cs="Tahoma"/>
          <w:lang w:eastAsia="es-ES"/>
        </w:rPr>
        <w:t>de dos mil veinticinco</w:t>
      </w:r>
      <w:r w:rsidR="00BF362A" w:rsidRPr="007861DD">
        <w:rPr>
          <w:rFonts w:eastAsia="Times New Roman" w:cs="Tahoma"/>
          <w:lang w:eastAsia="es-ES"/>
        </w:rPr>
        <w:t xml:space="preserve">, </w:t>
      </w:r>
      <w:r w:rsidR="00E22EA8" w:rsidRPr="007861DD">
        <w:rPr>
          <w:rFonts w:eastAsia="Times New Roman" w:cs="Tahoma"/>
          <w:lang w:eastAsia="es-ES"/>
        </w:rPr>
        <w:t>el Particular presentó una solicitud de acceso a la información pública, a través del Sistema de Acceso a la Información Mexiquense (SAIMEX), ante</w:t>
      </w:r>
      <w:r w:rsidR="000B3C56" w:rsidRPr="007861DD">
        <w:rPr>
          <w:rFonts w:eastAsia="Times New Roman" w:cs="Tahoma"/>
          <w:lang w:eastAsia="es-ES"/>
        </w:rPr>
        <w:t xml:space="preserve"> </w:t>
      </w:r>
      <w:r w:rsidR="00DC175C" w:rsidRPr="007861DD">
        <w:rPr>
          <w:rFonts w:eastAsia="Times New Roman" w:cs="Tahoma"/>
          <w:lang w:eastAsia="es-ES"/>
        </w:rPr>
        <w:t>el</w:t>
      </w:r>
      <w:r w:rsidR="003A41C0" w:rsidRPr="007861DD">
        <w:t xml:space="preserve"> Instituto de Seguridad Social del Estado de México y Municipios</w:t>
      </w:r>
      <w:r w:rsidR="008E0DC4" w:rsidRPr="007861DD">
        <w:rPr>
          <w:rFonts w:eastAsia="Calibri" w:cs="Times New Roman"/>
          <w:color w:val="000000"/>
        </w:rPr>
        <w:t>,</w:t>
      </w:r>
      <w:r w:rsidR="00DC175C" w:rsidRPr="007861DD">
        <w:rPr>
          <w:rFonts w:eastAsia="Calibri" w:cs="Tahoma"/>
        </w:rPr>
        <w:t xml:space="preserve"> </w:t>
      </w:r>
      <w:r w:rsidR="00E22EA8" w:rsidRPr="007861DD">
        <w:rPr>
          <w:rFonts w:eastAsia="Calibri" w:cs="Tahoma"/>
        </w:rPr>
        <w:t xml:space="preserve">en los siguientes términos: </w:t>
      </w:r>
    </w:p>
    <w:p w14:paraId="2B959865" w14:textId="77777777" w:rsidR="00E22EA8" w:rsidRPr="007861DD" w:rsidRDefault="00E22EA8" w:rsidP="001162C4">
      <w:pPr>
        <w:spacing w:after="0" w:line="360" w:lineRule="auto"/>
        <w:rPr>
          <w:rFonts w:eastAsia="Calibri" w:cs="Tahoma"/>
        </w:rPr>
      </w:pPr>
    </w:p>
    <w:p w14:paraId="3FBC9D66" w14:textId="0F26255C" w:rsidR="00A41789" w:rsidRPr="007861DD" w:rsidRDefault="00125F26" w:rsidP="001162C4">
      <w:pPr>
        <w:tabs>
          <w:tab w:val="left" w:pos="4667"/>
        </w:tabs>
        <w:spacing w:after="0" w:line="360" w:lineRule="auto"/>
        <w:ind w:left="567" w:right="567"/>
        <w:rPr>
          <w:rFonts w:eastAsia="Times New Roman" w:cs="Tahoma"/>
          <w:b/>
          <w:i/>
          <w:iCs/>
          <w:sz w:val="20"/>
          <w:szCs w:val="20"/>
          <w:lang w:eastAsia="es-ES"/>
        </w:rPr>
      </w:pPr>
      <w:r w:rsidRPr="007861DD">
        <w:rPr>
          <w:rFonts w:eastAsia="Times New Roman" w:cs="Tahoma"/>
          <w:b/>
          <w:i/>
          <w:iCs/>
          <w:sz w:val="20"/>
          <w:szCs w:val="20"/>
          <w:lang w:eastAsia="es-ES"/>
        </w:rPr>
        <w:t>“</w:t>
      </w:r>
      <w:r w:rsidR="00E22EA8" w:rsidRPr="007861DD">
        <w:rPr>
          <w:rFonts w:eastAsia="Times New Roman" w:cs="Tahoma"/>
          <w:b/>
          <w:i/>
          <w:iCs/>
          <w:sz w:val="20"/>
          <w:szCs w:val="20"/>
          <w:lang w:eastAsia="es-ES"/>
        </w:rPr>
        <w:t>DESCRIPCIÓN CLARA Y PRECI</w:t>
      </w:r>
      <w:r w:rsidR="0084143D" w:rsidRPr="007861DD">
        <w:rPr>
          <w:rFonts w:eastAsia="Times New Roman" w:cs="Tahoma"/>
          <w:b/>
          <w:i/>
          <w:iCs/>
          <w:sz w:val="20"/>
          <w:szCs w:val="20"/>
          <w:lang w:eastAsia="es-ES"/>
        </w:rPr>
        <w:t xml:space="preserve">SA DE LA </w:t>
      </w:r>
      <w:r w:rsidR="00A41789" w:rsidRPr="007861DD">
        <w:rPr>
          <w:rFonts w:eastAsia="Times New Roman" w:cs="Tahoma"/>
          <w:b/>
          <w:i/>
          <w:iCs/>
          <w:sz w:val="20"/>
          <w:szCs w:val="20"/>
          <w:lang w:eastAsia="es-ES"/>
        </w:rPr>
        <w:t>INFORMACIÓN SOLICITADA</w:t>
      </w:r>
    </w:p>
    <w:p w14:paraId="2C6BC213" w14:textId="4C5C0DC6" w:rsidR="00E22EA8" w:rsidRPr="007861DD" w:rsidRDefault="003A41C0" w:rsidP="001162C4">
      <w:pPr>
        <w:tabs>
          <w:tab w:val="left" w:pos="4667"/>
        </w:tabs>
        <w:spacing w:after="0" w:line="360" w:lineRule="auto"/>
        <w:ind w:left="567" w:right="567"/>
        <w:rPr>
          <w:rFonts w:eastAsia="Times New Roman" w:cs="Tahoma"/>
          <w:bCs/>
          <w:i/>
          <w:iCs/>
          <w:sz w:val="20"/>
          <w:szCs w:val="20"/>
          <w:lang w:eastAsia="es-ES"/>
        </w:rPr>
      </w:pPr>
      <w:r w:rsidRPr="007861DD">
        <w:rPr>
          <w:i/>
          <w:iCs/>
          <w:sz w:val="20"/>
          <w:szCs w:val="20"/>
        </w:rPr>
        <w:t xml:space="preserve">solicito copia simple digitalizada a través del sistema electrónico </w:t>
      </w:r>
      <w:proofErr w:type="spellStart"/>
      <w:r w:rsidRPr="007861DD">
        <w:rPr>
          <w:i/>
          <w:iCs/>
          <w:sz w:val="20"/>
          <w:szCs w:val="20"/>
        </w:rPr>
        <w:t>saimex</w:t>
      </w:r>
      <w:proofErr w:type="spellEnd"/>
      <w:r w:rsidRPr="007861DD">
        <w:rPr>
          <w:i/>
          <w:iCs/>
          <w:sz w:val="20"/>
          <w:szCs w:val="20"/>
        </w:rPr>
        <w:t xml:space="preserve"> de los comprobantes de todos los pagos realizados mediante cheque y transferencia electrónica a particulares durante el mes de marzo de 2025</w:t>
      </w:r>
      <w:r w:rsidR="009215C2" w:rsidRPr="007861DD">
        <w:rPr>
          <w:i/>
          <w:iCs/>
          <w:sz w:val="20"/>
          <w:szCs w:val="20"/>
        </w:rPr>
        <w:t>”</w:t>
      </w:r>
      <w:r w:rsidR="00857C17" w:rsidRPr="007861DD">
        <w:rPr>
          <w:i/>
          <w:iCs/>
          <w:sz w:val="20"/>
          <w:szCs w:val="20"/>
        </w:rPr>
        <w:t xml:space="preserve"> (Sic.)</w:t>
      </w:r>
    </w:p>
    <w:p w14:paraId="5E88ED39" w14:textId="77777777" w:rsidR="00BF362A" w:rsidRPr="007861DD" w:rsidRDefault="00BF362A" w:rsidP="001162C4">
      <w:pPr>
        <w:tabs>
          <w:tab w:val="left" w:pos="4667"/>
        </w:tabs>
        <w:spacing w:after="0" w:line="360" w:lineRule="auto"/>
        <w:ind w:left="567" w:right="567"/>
        <w:rPr>
          <w:rFonts w:eastAsia="Times New Roman" w:cs="Tahoma"/>
          <w:b/>
          <w:bCs/>
          <w:i/>
          <w:iCs/>
          <w:sz w:val="20"/>
          <w:lang w:eastAsia="es-ES"/>
        </w:rPr>
      </w:pPr>
    </w:p>
    <w:p w14:paraId="6DFE1F5E" w14:textId="77777777" w:rsidR="00D47FC1" w:rsidRPr="007861DD" w:rsidRDefault="00D47FC1" w:rsidP="001162C4">
      <w:pPr>
        <w:tabs>
          <w:tab w:val="left" w:pos="4667"/>
        </w:tabs>
        <w:spacing w:after="0" w:line="360" w:lineRule="auto"/>
        <w:ind w:left="567" w:right="567"/>
        <w:rPr>
          <w:rFonts w:eastAsia="Times New Roman" w:cs="Tahoma"/>
          <w:b/>
          <w:bCs/>
          <w:i/>
          <w:iCs/>
          <w:sz w:val="20"/>
          <w:lang w:eastAsia="es-ES"/>
        </w:rPr>
      </w:pPr>
    </w:p>
    <w:p w14:paraId="6C0DE105" w14:textId="3FEE2196" w:rsidR="00E22EA8" w:rsidRPr="007861DD" w:rsidRDefault="00125F26" w:rsidP="001162C4">
      <w:pPr>
        <w:tabs>
          <w:tab w:val="left" w:pos="4667"/>
        </w:tabs>
        <w:spacing w:after="0" w:line="360" w:lineRule="auto"/>
        <w:ind w:left="567" w:right="567"/>
        <w:rPr>
          <w:rFonts w:eastAsia="Times New Roman" w:cs="Tahoma"/>
          <w:b/>
          <w:bCs/>
          <w:i/>
          <w:iCs/>
          <w:sz w:val="20"/>
          <w:lang w:eastAsia="es-ES"/>
        </w:rPr>
      </w:pPr>
      <w:r w:rsidRPr="007861DD">
        <w:rPr>
          <w:rFonts w:eastAsia="Times New Roman" w:cs="Tahoma"/>
          <w:b/>
          <w:bCs/>
          <w:i/>
          <w:iCs/>
          <w:sz w:val="20"/>
          <w:lang w:eastAsia="es-ES"/>
        </w:rPr>
        <w:lastRenderedPageBreak/>
        <w:t>“</w:t>
      </w:r>
      <w:r w:rsidR="00E22EA8" w:rsidRPr="007861DD">
        <w:rPr>
          <w:rFonts w:eastAsia="Times New Roman" w:cs="Tahoma"/>
          <w:b/>
          <w:bCs/>
          <w:i/>
          <w:iCs/>
          <w:sz w:val="20"/>
          <w:lang w:eastAsia="es-ES"/>
        </w:rPr>
        <w:t>MODALIDAD DE ENTREGA</w:t>
      </w:r>
    </w:p>
    <w:p w14:paraId="3CA8F82F" w14:textId="1B5A8200" w:rsidR="00EB386A" w:rsidRPr="007861DD" w:rsidRDefault="00BB6693" w:rsidP="001162C4">
      <w:pPr>
        <w:spacing w:after="0" w:line="360" w:lineRule="auto"/>
        <w:ind w:left="567" w:right="567"/>
        <w:rPr>
          <w:rFonts w:eastAsia="Times New Roman" w:cs="Arial"/>
          <w:bCs/>
          <w:i/>
          <w:iCs/>
          <w:sz w:val="20"/>
          <w:lang w:eastAsia="es-ES"/>
        </w:rPr>
      </w:pPr>
      <w:r w:rsidRPr="007861DD">
        <w:rPr>
          <w:rFonts w:eastAsia="Times New Roman" w:cs="Arial"/>
          <w:bCs/>
          <w:i/>
          <w:iCs/>
          <w:sz w:val="20"/>
          <w:lang w:eastAsia="es-ES"/>
        </w:rPr>
        <w:t>A través del SAIMEX</w:t>
      </w:r>
      <w:r w:rsidR="00E22EA8" w:rsidRPr="007861DD">
        <w:rPr>
          <w:rFonts w:eastAsia="Times New Roman" w:cs="Arial"/>
          <w:bCs/>
          <w:i/>
          <w:iCs/>
          <w:sz w:val="20"/>
          <w:lang w:eastAsia="es-ES"/>
        </w:rPr>
        <w:t>”</w:t>
      </w:r>
    </w:p>
    <w:p w14:paraId="552D72DA" w14:textId="77777777" w:rsidR="00A401C8" w:rsidRPr="007861DD" w:rsidRDefault="00A401C8" w:rsidP="001162C4">
      <w:pPr>
        <w:spacing w:after="0" w:line="360" w:lineRule="auto"/>
        <w:ind w:right="567"/>
        <w:rPr>
          <w:rFonts w:eastAsia="Times New Roman" w:cs="Arial"/>
          <w:bCs/>
          <w:i/>
          <w:iCs/>
          <w:sz w:val="20"/>
          <w:lang w:eastAsia="es-ES"/>
        </w:rPr>
      </w:pPr>
    </w:p>
    <w:p w14:paraId="0A604AAC" w14:textId="38156C1F" w:rsidR="00E22EA8" w:rsidRPr="007861DD" w:rsidRDefault="000B3C56" w:rsidP="001162C4">
      <w:pPr>
        <w:pStyle w:val="Ttulo2"/>
        <w:spacing w:before="0" w:after="0" w:line="360" w:lineRule="auto"/>
        <w:rPr>
          <w:sz w:val="22"/>
          <w:szCs w:val="22"/>
        </w:rPr>
      </w:pPr>
      <w:bookmarkStart w:id="2" w:name="_Toc213244218"/>
      <w:r w:rsidRPr="007861DD">
        <w:rPr>
          <w:rFonts w:cs="Tahoma"/>
          <w:sz w:val="22"/>
          <w:szCs w:val="22"/>
        </w:rPr>
        <w:t>I</w:t>
      </w:r>
      <w:r w:rsidR="003A41C0" w:rsidRPr="007861DD">
        <w:rPr>
          <w:rFonts w:cs="Tahoma"/>
          <w:sz w:val="22"/>
          <w:szCs w:val="22"/>
        </w:rPr>
        <w:t>I</w:t>
      </w:r>
      <w:r w:rsidR="00E22EA8" w:rsidRPr="007861DD">
        <w:rPr>
          <w:rFonts w:cs="Tahoma"/>
          <w:sz w:val="22"/>
          <w:szCs w:val="22"/>
        </w:rPr>
        <w:t>.</w:t>
      </w:r>
      <w:r w:rsidR="00E22EA8" w:rsidRPr="007861DD">
        <w:rPr>
          <w:sz w:val="22"/>
          <w:szCs w:val="22"/>
        </w:rPr>
        <w:t xml:space="preserve"> Respuesta del Sujeto Obligado</w:t>
      </w:r>
      <w:bookmarkEnd w:id="2"/>
    </w:p>
    <w:p w14:paraId="10CE94A9" w14:textId="77777777" w:rsidR="00C06004" w:rsidRPr="007861DD" w:rsidRDefault="00C06004" w:rsidP="001162C4">
      <w:pPr>
        <w:autoSpaceDE w:val="0"/>
        <w:autoSpaceDN w:val="0"/>
        <w:adjustRightInd w:val="0"/>
        <w:spacing w:after="0" w:line="360" w:lineRule="auto"/>
        <w:rPr>
          <w:b/>
          <w:bCs/>
        </w:rPr>
      </w:pPr>
    </w:p>
    <w:p w14:paraId="33616137" w14:textId="73E09DD3" w:rsidR="004F614B" w:rsidRPr="007861DD" w:rsidRDefault="00EB386A" w:rsidP="001162C4">
      <w:pPr>
        <w:spacing w:after="0" w:line="360" w:lineRule="auto"/>
      </w:pPr>
      <w:r w:rsidRPr="007861DD">
        <w:t xml:space="preserve">El </w:t>
      </w:r>
      <w:r w:rsidR="004F614B" w:rsidRPr="007861DD">
        <w:t>veintidós de mayo</w:t>
      </w:r>
      <w:r w:rsidR="00CD4DE8" w:rsidRPr="007861DD">
        <w:t xml:space="preserve"> de dos mil veinticinco</w:t>
      </w:r>
      <w:r w:rsidR="00E22EA8" w:rsidRPr="007861DD">
        <w:t xml:space="preserve">, el Sujeto Obligado notificó, a través del Sistema de Acceso a la Información Mexiquense (SAIMEX), la respuesta a la solicitud de acceso a la información pública, </w:t>
      </w:r>
      <w:r w:rsidR="004F614B" w:rsidRPr="007861DD">
        <w:t>a través del oficio número 207C0401210001S-UT-1175/2025, del veinte de mayo de dos mil veinticinco, suscrito por el Titular de la Unidad de Transparencia y dirigido al Solicitante, por medio del cual mencionó lo siguiente:</w:t>
      </w:r>
    </w:p>
    <w:p w14:paraId="09F08758" w14:textId="77777777" w:rsidR="004F614B" w:rsidRPr="007861DD" w:rsidRDefault="004F614B" w:rsidP="00D47FC1">
      <w:pPr>
        <w:spacing w:after="0" w:line="360" w:lineRule="auto"/>
        <w:ind w:left="567" w:right="567"/>
      </w:pPr>
    </w:p>
    <w:p w14:paraId="6637F786" w14:textId="15F2DB78" w:rsidR="004F614B" w:rsidRPr="007861DD" w:rsidRDefault="004F614B" w:rsidP="00D47FC1">
      <w:pPr>
        <w:spacing w:after="0" w:line="360" w:lineRule="auto"/>
        <w:ind w:left="567" w:right="567"/>
        <w:rPr>
          <w:i/>
          <w:iCs/>
          <w:sz w:val="20"/>
          <w:szCs w:val="20"/>
        </w:rPr>
      </w:pPr>
      <w:r w:rsidRPr="007861DD">
        <w:rPr>
          <w:i/>
          <w:iCs/>
          <w:sz w:val="20"/>
          <w:szCs w:val="20"/>
        </w:rPr>
        <w:t>“…en fecha siete de mayo del año en curso, la Unidad de Transparencia requirió a la Servidora Pública Habilitada de la Coordinación de Administración y Finanzas, conforme a las facultades, funciones y competencias previstas en el Manual General de Organización del ISSEMYM.</w:t>
      </w:r>
    </w:p>
    <w:p w14:paraId="50B936CD" w14:textId="36AE66DB" w:rsidR="004F614B" w:rsidRPr="007861DD" w:rsidRDefault="004F614B" w:rsidP="00D47FC1">
      <w:pPr>
        <w:spacing w:after="0" w:line="360" w:lineRule="auto"/>
        <w:ind w:left="567" w:right="567"/>
        <w:rPr>
          <w:i/>
          <w:iCs/>
          <w:sz w:val="20"/>
          <w:szCs w:val="20"/>
        </w:rPr>
      </w:pPr>
      <w:r w:rsidRPr="007861DD">
        <w:rPr>
          <w:i/>
          <w:iCs/>
          <w:sz w:val="20"/>
          <w:szCs w:val="20"/>
        </w:rPr>
        <w:t>…</w:t>
      </w:r>
    </w:p>
    <w:p w14:paraId="173B9B41" w14:textId="77777777" w:rsidR="004B0431" w:rsidRPr="007861DD" w:rsidRDefault="004B0431" w:rsidP="00D47FC1">
      <w:pPr>
        <w:spacing w:after="0" w:line="360" w:lineRule="auto"/>
        <w:ind w:left="567" w:right="567"/>
        <w:rPr>
          <w:i/>
          <w:iCs/>
          <w:sz w:val="20"/>
          <w:szCs w:val="20"/>
        </w:rPr>
      </w:pPr>
      <w:r w:rsidRPr="007861DD">
        <w:rPr>
          <w:i/>
          <w:iCs/>
          <w:sz w:val="20"/>
          <w:szCs w:val="20"/>
        </w:rPr>
        <w:t xml:space="preserve">De acuerdo con lo comunicado por la </w:t>
      </w:r>
      <w:proofErr w:type="gramStart"/>
      <w:r w:rsidRPr="007861DD">
        <w:rPr>
          <w:i/>
          <w:iCs/>
          <w:sz w:val="20"/>
          <w:szCs w:val="20"/>
        </w:rPr>
        <w:t>Directora</w:t>
      </w:r>
      <w:proofErr w:type="gramEnd"/>
      <w:r w:rsidRPr="007861DD">
        <w:rPr>
          <w:i/>
          <w:iCs/>
          <w:sz w:val="20"/>
          <w:szCs w:val="20"/>
        </w:rPr>
        <w:t xml:space="preserve"> de Administración Financiera, adscrita al Servidor Público Habilitado de la Coordinación de Administración y Finanzas, se informó lo siguiente: </w:t>
      </w:r>
    </w:p>
    <w:p w14:paraId="2E554035" w14:textId="77777777" w:rsidR="004B0431" w:rsidRPr="007861DD" w:rsidRDefault="004B0431" w:rsidP="00D47FC1">
      <w:pPr>
        <w:spacing w:after="0" w:line="360" w:lineRule="auto"/>
        <w:ind w:left="567" w:right="567"/>
        <w:rPr>
          <w:i/>
          <w:iCs/>
          <w:sz w:val="20"/>
          <w:szCs w:val="20"/>
        </w:rPr>
      </w:pPr>
    </w:p>
    <w:p w14:paraId="1485BC38" w14:textId="77777777" w:rsidR="004B0431" w:rsidRPr="007861DD" w:rsidRDefault="004B0431" w:rsidP="00D47FC1">
      <w:pPr>
        <w:spacing w:after="0" w:line="360" w:lineRule="auto"/>
        <w:ind w:left="567" w:right="567"/>
        <w:rPr>
          <w:i/>
          <w:iCs/>
          <w:sz w:val="20"/>
          <w:szCs w:val="20"/>
        </w:rPr>
      </w:pPr>
      <w:r w:rsidRPr="007861DD">
        <w:rPr>
          <w:i/>
          <w:iCs/>
          <w:sz w:val="20"/>
          <w:szCs w:val="20"/>
        </w:rPr>
        <w:t xml:space="preserve">"... derivado de una búsqueda exhaustiva y razonable en los archivos que obran en esta Dirección a mi cargo, informo a usted que esta Unidad, no cuenta con información sustancial, de acuerdo con lo solicitado por el peticionario. </w:t>
      </w:r>
    </w:p>
    <w:p w14:paraId="313A1362" w14:textId="77777777" w:rsidR="004B0431" w:rsidRPr="007861DD" w:rsidRDefault="004B0431" w:rsidP="00D47FC1">
      <w:pPr>
        <w:spacing w:after="0" w:line="360" w:lineRule="auto"/>
        <w:ind w:left="567" w:right="567"/>
        <w:rPr>
          <w:i/>
          <w:iCs/>
          <w:sz w:val="20"/>
          <w:szCs w:val="20"/>
        </w:rPr>
      </w:pPr>
    </w:p>
    <w:p w14:paraId="3C6823FE" w14:textId="77777777" w:rsidR="004B0431" w:rsidRPr="007861DD" w:rsidRDefault="004B0431" w:rsidP="00D47FC1">
      <w:pPr>
        <w:spacing w:after="0" w:line="360" w:lineRule="auto"/>
        <w:ind w:left="567" w:right="567"/>
        <w:rPr>
          <w:i/>
          <w:iCs/>
          <w:sz w:val="20"/>
          <w:szCs w:val="20"/>
        </w:rPr>
      </w:pPr>
      <w:r w:rsidRPr="007861DD">
        <w:rPr>
          <w:i/>
          <w:iCs/>
          <w:sz w:val="20"/>
          <w:szCs w:val="20"/>
        </w:rPr>
        <w:t xml:space="preserve">Así mismo, en competencia de la Dirección de Administración Financiera, por cuanto hace a cheques, transferencias y facturas, se informa que se implementaron los mecanismos y acciones necesarias a efecto de realizar la búsqueda exhaustiva y razonable en los archivos de esta Dirección para localizar el soporte documental de cualquiera de las facturas de pago, revisando minuciosamente en todos los archivos, registros y documentos públicos, administrados, generados y en su posesión, tanto físicos como electrónicos, en resguardo de dicha Unidad Administrativa. </w:t>
      </w:r>
    </w:p>
    <w:p w14:paraId="042E2FA4" w14:textId="77777777" w:rsidR="004B0431" w:rsidRPr="007861DD" w:rsidRDefault="004B0431" w:rsidP="00D47FC1">
      <w:pPr>
        <w:spacing w:after="0" w:line="360" w:lineRule="auto"/>
        <w:ind w:left="567" w:right="567"/>
        <w:rPr>
          <w:i/>
          <w:iCs/>
          <w:sz w:val="20"/>
          <w:szCs w:val="20"/>
        </w:rPr>
      </w:pPr>
      <w:r w:rsidRPr="007861DD">
        <w:rPr>
          <w:i/>
          <w:iCs/>
          <w:sz w:val="20"/>
          <w:szCs w:val="20"/>
        </w:rPr>
        <w:lastRenderedPageBreak/>
        <w:t xml:space="preserve">En ese sentido la localización de la expresión documental donde se haga constar cualquiera de las facturas de pago, implicaría procesar la información de los expedientes de comprobantes fiscales y bóvedas fiscales sistematizadas de este instituto referente a las Instituciones Públicas, proveedores, prestadores de servicio y centros asistenciales, entre otras; siendo así que de expedientes por año se cuenta con aproximadamente 2,920 legajos con un promedio de 1,200 hojas por legajo dando un total de 3'504,000 hojas adicional a estos, se tienen medios magnéticos cuyo acervo asciende a más de 12,000 facturas correspondientes al periodo de enero de 2022 a la fecha y únicamente de uno de los tipos de facturas que se tienen, dando un total de 150,000 hojas, lo cual implicaría aproximadamente 540 horas-hombre para poder lograr la descarga ,impresión, revisión y organización de la documentación, además de la labor de realizar versiones públicas de los documentos. </w:t>
      </w:r>
    </w:p>
    <w:p w14:paraId="71420674" w14:textId="77777777" w:rsidR="004B0431" w:rsidRPr="007861DD" w:rsidRDefault="004B0431" w:rsidP="00D47FC1">
      <w:pPr>
        <w:spacing w:after="0" w:line="360" w:lineRule="auto"/>
        <w:ind w:left="567" w:right="567"/>
        <w:rPr>
          <w:i/>
          <w:iCs/>
          <w:sz w:val="20"/>
          <w:szCs w:val="20"/>
        </w:rPr>
      </w:pPr>
    </w:p>
    <w:p w14:paraId="0BD2D56C" w14:textId="7AE6546E" w:rsidR="004F614B" w:rsidRPr="007861DD" w:rsidRDefault="004B0431" w:rsidP="00D47FC1">
      <w:pPr>
        <w:spacing w:after="0" w:line="360" w:lineRule="auto"/>
        <w:ind w:left="567" w:right="567"/>
        <w:rPr>
          <w:i/>
          <w:iCs/>
          <w:sz w:val="20"/>
          <w:szCs w:val="20"/>
        </w:rPr>
      </w:pPr>
      <w:r w:rsidRPr="007861DD">
        <w:rPr>
          <w:i/>
          <w:iCs/>
          <w:sz w:val="20"/>
          <w:szCs w:val="20"/>
        </w:rPr>
        <w:t>Por otra parte, le informo que la bóveda fiscal del sistema de facturación solo permite el acceso de un usuario en un único equipo de cómputo para poder acceder y descargar los comprobantes fiscales.</w:t>
      </w:r>
    </w:p>
    <w:p w14:paraId="67C55BA4" w14:textId="0124E0E7" w:rsidR="004B0431" w:rsidRPr="007861DD" w:rsidRDefault="004B0431" w:rsidP="00D47FC1">
      <w:pPr>
        <w:spacing w:after="0" w:line="360" w:lineRule="auto"/>
        <w:ind w:left="567" w:right="567"/>
        <w:rPr>
          <w:i/>
          <w:iCs/>
          <w:sz w:val="20"/>
          <w:szCs w:val="20"/>
        </w:rPr>
      </w:pPr>
      <w:r w:rsidRPr="007861DD">
        <w:rPr>
          <w:i/>
          <w:iCs/>
          <w:sz w:val="20"/>
          <w:szCs w:val="20"/>
        </w:rPr>
        <w:t>…</w:t>
      </w:r>
    </w:p>
    <w:p w14:paraId="416F7850" w14:textId="79C78638" w:rsidR="004B0431" w:rsidRPr="007861DD" w:rsidRDefault="004B0431" w:rsidP="00D47FC1">
      <w:pPr>
        <w:spacing w:after="0" w:line="360" w:lineRule="auto"/>
        <w:ind w:left="567" w:right="567"/>
        <w:rPr>
          <w:i/>
          <w:iCs/>
          <w:sz w:val="20"/>
          <w:szCs w:val="20"/>
        </w:rPr>
      </w:pPr>
      <w:r w:rsidRPr="007861DD">
        <w:rPr>
          <w:i/>
          <w:iCs/>
          <w:sz w:val="20"/>
          <w:szCs w:val="20"/>
        </w:rPr>
        <w:t xml:space="preserve">Dicho lo anterior, para localizar el documento que contiene el soporte documental de cualquiera de las facturas implica realizar una investigación dentro de los archivos físicos, en virtud de que se considera en número de póliza y no así el concepto de solicitudes, aunado a que los expedientes se integran de diversas fojas no solo de la factura; a su vez se identifica </w:t>
      </w:r>
      <w:proofErr w:type="spellStart"/>
      <w:r w:rsidRPr="007861DD">
        <w:rPr>
          <w:i/>
          <w:iCs/>
          <w:sz w:val="20"/>
          <w:szCs w:val="20"/>
        </w:rPr>
        <w:t>quе</w:t>
      </w:r>
      <w:proofErr w:type="spellEnd"/>
      <w:r w:rsidRPr="007861DD">
        <w:rPr>
          <w:i/>
          <w:iCs/>
          <w:sz w:val="20"/>
          <w:szCs w:val="20"/>
        </w:rPr>
        <w:t xml:space="preserve"> algunas facturas incluyen datos personales por lo que la información conllevaría al procesamiento de estos en los documentos antes referidos, por ello, no es material jurídicamente posible proporcionar dicho soporte, puesto que, implica realizar procesamiento de la información, a lo que no está obligado…</w:t>
      </w:r>
    </w:p>
    <w:p w14:paraId="4DE0BC13" w14:textId="4E4B03D7" w:rsidR="004B0431" w:rsidRPr="007861DD" w:rsidRDefault="004B0431" w:rsidP="00D47FC1">
      <w:pPr>
        <w:spacing w:after="0" w:line="360" w:lineRule="auto"/>
        <w:ind w:left="567" w:right="567"/>
        <w:rPr>
          <w:i/>
          <w:iCs/>
          <w:sz w:val="20"/>
          <w:szCs w:val="20"/>
        </w:rPr>
      </w:pPr>
      <w:r w:rsidRPr="007861DD">
        <w:rPr>
          <w:i/>
          <w:iCs/>
          <w:sz w:val="20"/>
          <w:szCs w:val="20"/>
        </w:rPr>
        <w:t>…</w:t>
      </w:r>
    </w:p>
    <w:p w14:paraId="0D0BD505" w14:textId="1685BF35" w:rsidR="004B0431" w:rsidRPr="007861DD" w:rsidRDefault="004B0431" w:rsidP="00D47FC1">
      <w:pPr>
        <w:spacing w:after="0" w:line="360" w:lineRule="auto"/>
        <w:ind w:left="567" w:right="567"/>
        <w:rPr>
          <w:i/>
          <w:iCs/>
          <w:sz w:val="20"/>
          <w:szCs w:val="20"/>
        </w:rPr>
      </w:pPr>
      <w:r w:rsidRPr="007861DD">
        <w:rPr>
          <w:i/>
          <w:iCs/>
          <w:sz w:val="20"/>
          <w:szCs w:val="20"/>
        </w:rPr>
        <w:t xml:space="preserve">Por otra parte, y tomando en consideración que el peticionario solicita tener acceso a información pública relativa a información que obra en una factura, es decir, desea conocer sobre la cantidad, unidad de medida y clase de los bienes o mercancías o descripción del servicio o del uso o goce que amparen, en términos de la fracción VI del artículo 29 del Código Fiscal de la Federación, se hace </w:t>
      </w:r>
      <w:r w:rsidRPr="007861DD">
        <w:rPr>
          <w:i/>
          <w:iCs/>
          <w:sz w:val="20"/>
          <w:szCs w:val="20"/>
        </w:rPr>
        <w:lastRenderedPageBreak/>
        <w:t>del conocimiento que es una obligación de transparencia publicar la información del ejercicio de los egresos presupuestarios.</w:t>
      </w:r>
    </w:p>
    <w:p w14:paraId="5AA9C102" w14:textId="77777777" w:rsidR="004B0431" w:rsidRPr="007861DD" w:rsidRDefault="004B0431" w:rsidP="00D47FC1">
      <w:pPr>
        <w:spacing w:after="0" w:line="360" w:lineRule="auto"/>
        <w:ind w:left="567" w:right="567"/>
        <w:rPr>
          <w:i/>
          <w:iCs/>
          <w:sz w:val="20"/>
          <w:szCs w:val="20"/>
        </w:rPr>
      </w:pPr>
    </w:p>
    <w:p w14:paraId="1BE3274A" w14:textId="77777777" w:rsidR="004B0431" w:rsidRPr="007861DD" w:rsidRDefault="004B0431" w:rsidP="00D47FC1">
      <w:pPr>
        <w:spacing w:after="0" w:line="360" w:lineRule="auto"/>
        <w:ind w:left="567" w:right="567"/>
        <w:rPr>
          <w:i/>
          <w:iCs/>
          <w:sz w:val="20"/>
          <w:szCs w:val="20"/>
        </w:rPr>
      </w:pPr>
      <w:r w:rsidRPr="007861DD">
        <w:rPr>
          <w:i/>
          <w:iCs/>
          <w:sz w:val="20"/>
          <w:szCs w:val="20"/>
        </w:rPr>
        <w:t xml:space="preserve">Información que puede consultarse en el Sistema de Información Pública de Oficio Mexiquense (IPOMEX) correspondiente al artículo 92 fracción XXV B Ejercicio de los egresos prepuesta ríos de la Ley de Transparencia y Acceso a la Información Pública del Estado de México y Municipios, en la siguiente dirección electrónica: </w:t>
      </w:r>
    </w:p>
    <w:p w14:paraId="40FC2B8E" w14:textId="010168CB" w:rsidR="004B0431" w:rsidRPr="007861DD" w:rsidRDefault="004B0431" w:rsidP="00D47FC1">
      <w:pPr>
        <w:spacing w:after="0" w:line="360" w:lineRule="auto"/>
        <w:ind w:left="567" w:right="567"/>
        <w:rPr>
          <w:i/>
          <w:iCs/>
          <w:sz w:val="20"/>
          <w:szCs w:val="20"/>
        </w:rPr>
      </w:pPr>
      <w:hyperlink r:id="rId9" w:history="1">
        <w:r w:rsidRPr="007861DD">
          <w:rPr>
            <w:rStyle w:val="Hipervnculo"/>
            <w:i/>
            <w:iCs/>
            <w:sz w:val="20"/>
            <w:szCs w:val="20"/>
          </w:rPr>
          <w:t>http://sistemas.issemym.gob.mx/ipomex/ipodocumento.aspx55231</w:t>
        </w:r>
      </w:hyperlink>
    </w:p>
    <w:p w14:paraId="2B3E1546" w14:textId="77777777" w:rsidR="004B0431" w:rsidRPr="007861DD" w:rsidRDefault="004B0431" w:rsidP="00D47FC1">
      <w:pPr>
        <w:spacing w:after="0" w:line="360" w:lineRule="auto"/>
        <w:ind w:left="567" w:right="567"/>
        <w:rPr>
          <w:i/>
          <w:iCs/>
          <w:sz w:val="20"/>
          <w:szCs w:val="20"/>
        </w:rPr>
      </w:pPr>
    </w:p>
    <w:p w14:paraId="2EF0844D" w14:textId="79898465" w:rsidR="004B0431" w:rsidRPr="007861DD" w:rsidRDefault="004B0431" w:rsidP="00D47FC1">
      <w:pPr>
        <w:spacing w:after="0" w:line="360" w:lineRule="auto"/>
        <w:ind w:left="567" w:right="567"/>
        <w:rPr>
          <w:i/>
          <w:iCs/>
          <w:sz w:val="20"/>
          <w:szCs w:val="20"/>
        </w:rPr>
      </w:pPr>
      <w:r w:rsidRPr="007861DD">
        <w:rPr>
          <w:i/>
          <w:iCs/>
          <w:sz w:val="20"/>
          <w:szCs w:val="20"/>
        </w:rPr>
        <w:t>En dicha dirección electrónica, podrá encontrar un hipervínculo al estado analítico del ejercicio del presupuesto de egresos por clasificación por objeto de gasto, económico, administrativa y funcional, correspondiente a la información generada con fundamento en lo establecido en Ley General de Contabilidad Gubernamental en el título quinto de la Transparencia y Difusión de la Información Financiera, Capítulo I Disposiciones Genérales, artículo 58 que a la letra dice, "la información financiera que deba incluirse en internet en términos de este título deberá publicarse por lo menos trimestralmente, a excepción de los informes y documentos de naturaleza anual y otros que por virtud de esta ley o disposición legal aplicable tengan un plazo y periodicidad determinada, y difundirse en dicho, medio dentro de los treinta días naturales siguientes al cierre del periodo que corresponda. Asimismo, deberá permanecer disponible en internet la información correspondiente de los últimos seis ejercicios fiscales".</w:t>
      </w:r>
    </w:p>
    <w:p w14:paraId="0221EFF5" w14:textId="737C07C2" w:rsidR="004B0431" w:rsidRPr="007861DD" w:rsidRDefault="004B0431" w:rsidP="00D47FC1">
      <w:pPr>
        <w:spacing w:after="0" w:line="360" w:lineRule="auto"/>
        <w:ind w:left="567" w:right="567"/>
        <w:rPr>
          <w:i/>
          <w:iCs/>
          <w:sz w:val="20"/>
          <w:szCs w:val="20"/>
        </w:rPr>
      </w:pPr>
      <w:r w:rsidRPr="007861DD">
        <w:rPr>
          <w:i/>
          <w:iCs/>
          <w:sz w:val="20"/>
          <w:szCs w:val="20"/>
        </w:rPr>
        <w:t>…”</w:t>
      </w:r>
    </w:p>
    <w:p w14:paraId="0E38EDA6" w14:textId="77777777" w:rsidR="00794B3F" w:rsidRPr="007861DD" w:rsidRDefault="00794B3F" w:rsidP="001162C4">
      <w:pPr>
        <w:spacing w:after="0" w:line="360" w:lineRule="auto"/>
        <w:rPr>
          <w:i/>
          <w:iCs/>
          <w:sz w:val="20"/>
          <w:szCs w:val="20"/>
        </w:rPr>
      </w:pPr>
    </w:p>
    <w:p w14:paraId="7E7FBB31" w14:textId="1A280685" w:rsidR="00E22EA8" w:rsidRPr="007861DD" w:rsidRDefault="003A41C0" w:rsidP="001162C4">
      <w:pPr>
        <w:pStyle w:val="Ttulo2"/>
        <w:spacing w:before="0" w:after="0" w:line="360" w:lineRule="auto"/>
        <w:rPr>
          <w:sz w:val="22"/>
          <w:szCs w:val="22"/>
        </w:rPr>
      </w:pPr>
      <w:bookmarkStart w:id="3" w:name="_Toc213244219"/>
      <w:r w:rsidRPr="007861DD">
        <w:rPr>
          <w:sz w:val="22"/>
          <w:szCs w:val="22"/>
        </w:rPr>
        <w:t>III</w:t>
      </w:r>
      <w:r w:rsidR="00E22EA8" w:rsidRPr="007861DD">
        <w:rPr>
          <w:sz w:val="22"/>
          <w:szCs w:val="22"/>
        </w:rPr>
        <w:t>. Interposición del Recurso de Revisión</w:t>
      </w:r>
      <w:bookmarkEnd w:id="3"/>
    </w:p>
    <w:p w14:paraId="053D45CF" w14:textId="77777777" w:rsidR="00E22EA8" w:rsidRPr="007861DD" w:rsidRDefault="00E22EA8" w:rsidP="001162C4">
      <w:pPr>
        <w:spacing w:after="0" w:line="360" w:lineRule="auto"/>
        <w:rPr>
          <w:b/>
        </w:rPr>
      </w:pPr>
    </w:p>
    <w:p w14:paraId="355C8CC6" w14:textId="601A8421" w:rsidR="009C5A71" w:rsidRPr="007861DD" w:rsidRDefault="00083169" w:rsidP="001162C4">
      <w:pPr>
        <w:spacing w:after="0" w:line="360" w:lineRule="auto"/>
        <w:rPr>
          <w:bCs/>
        </w:rPr>
      </w:pPr>
      <w:r w:rsidRPr="007861DD">
        <w:rPr>
          <w:bCs/>
        </w:rPr>
        <w:t>El</w:t>
      </w:r>
      <w:r w:rsidR="008E5E71" w:rsidRPr="007861DD">
        <w:rPr>
          <w:bCs/>
        </w:rPr>
        <w:t xml:space="preserve"> </w:t>
      </w:r>
      <w:r w:rsidR="00A81C30" w:rsidRPr="007861DD">
        <w:t>veintitrés de mayo</w:t>
      </w:r>
      <w:r w:rsidR="00C2045C" w:rsidRPr="007861DD">
        <w:t xml:space="preserve"> </w:t>
      </w:r>
      <w:r w:rsidR="008E5E71" w:rsidRPr="007861DD">
        <w:t>de dos mil veinticinco</w:t>
      </w:r>
      <w:r w:rsidR="00E22EA8" w:rsidRPr="007861DD">
        <w:rPr>
          <w:bCs/>
        </w:rPr>
        <w:t xml:space="preserve">, se recibió en este Instituto, a través del </w:t>
      </w:r>
      <w:r w:rsidR="00E22EA8" w:rsidRPr="007861DD">
        <w:rPr>
          <w:bCs/>
          <w:lang w:val="es-ES"/>
        </w:rPr>
        <w:t>Sistema de Acceso a la Información Mexiquense (SAIMEX)</w:t>
      </w:r>
      <w:r w:rsidR="00E22EA8" w:rsidRPr="007861DD">
        <w:rPr>
          <w:bCs/>
        </w:rPr>
        <w:t xml:space="preserve">, </w:t>
      </w:r>
      <w:r w:rsidR="009019A8" w:rsidRPr="007861DD">
        <w:rPr>
          <w:bCs/>
        </w:rPr>
        <w:t xml:space="preserve">el </w:t>
      </w:r>
      <w:r w:rsidR="00E22EA8" w:rsidRPr="007861DD">
        <w:rPr>
          <w:bCs/>
        </w:rPr>
        <w:t>Recurso de Revisión interpuesto por la p</w:t>
      </w:r>
      <w:r w:rsidRPr="007861DD">
        <w:rPr>
          <w:bCs/>
        </w:rPr>
        <w:t>ersona</w:t>
      </w:r>
      <w:r w:rsidR="00E22EA8" w:rsidRPr="007861DD">
        <w:rPr>
          <w:bCs/>
        </w:rPr>
        <w:t xml:space="preserve"> Recurrente, en contra de la respuesta por el Sujeto Obligado, a la solicitud de información</w:t>
      </w:r>
      <w:r w:rsidR="00F43789" w:rsidRPr="007861DD">
        <w:rPr>
          <w:rFonts w:eastAsia="Calibri" w:cs="Times New Roman"/>
        </w:rPr>
        <w:t xml:space="preserve">, </w:t>
      </w:r>
      <w:r w:rsidR="00E22EA8" w:rsidRPr="007861DD">
        <w:rPr>
          <w:bCs/>
        </w:rPr>
        <w:t>en los siguientes términos:</w:t>
      </w:r>
    </w:p>
    <w:p w14:paraId="1B2CCD45" w14:textId="1F34B3A9" w:rsidR="00E22EA8" w:rsidRPr="007861DD" w:rsidRDefault="00E12804" w:rsidP="001162C4">
      <w:pPr>
        <w:spacing w:after="0" w:line="360" w:lineRule="auto"/>
        <w:ind w:left="567" w:right="567"/>
        <w:rPr>
          <w:bCs/>
          <w:i/>
          <w:sz w:val="20"/>
          <w:szCs w:val="20"/>
        </w:rPr>
      </w:pPr>
      <w:r w:rsidRPr="007861DD">
        <w:rPr>
          <w:b/>
          <w:bCs/>
          <w:i/>
          <w:sz w:val="20"/>
          <w:szCs w:val="20"/>
        </w:rPr>
        <w:lastRenderedPageBreak/>
        <w:t>‘’</w:t>
      </w:r>
      <w:r w:rsidR="00E22EA8" w:rsidRPr="007861DD">
        <w:rPr>
          <w:b/>
          <w:bCs/>
          <w:i/>
          <w:sz w:val="20"/>
          <w:szCs w:val="20"/>
        </w:rPr>
        <w:t>ACTO IMPUGNADO</w:t>
      </w:r>
    </w:p>
    <w:p w14:paraId="20CB87D1" w14:textId="1EF94EFE" w:rsidR="00E22EA8" w:rsidRPr="007861DD" w:rsidRDefault="003A20C8" w:rsidP="001162C4">
      <w:pPr>
        <w:spacing w:after="0" w:line="360" w:lineRule="auto"/>
        <w:ind w:left="567" w:right="567"/>
        <w:rPr>
          <w:i/>
          <w:sz w:val="20"/>
          <w:szCs w:val="20"/>
        </w:rPr>
      </w:pPr>
      <w:r w:rsidRPr="007861DD">
        <w:rPr>
          <w:i/>
          <w:iCs/>
          <w:sz w:val="20"/>
          <w:szCs w:val="20"/>
        </w:rPr>
        <w:t>NEGATIVA DEL SUJETO OBLIGADO A ENTREGAR LA INFORMACION SOLICITADA A TRAVES DE 00385/ISSEMYM/IP/2025</w:t>
      </w:r>
      <w:r w:rsidR="00E22EA8" w:rsidRPr="007861DD">
        <w:rPr>
          <w:i/>
          <w:iCs/>
          <w:sz w:val="20"/>
          <w:szCs w:val="20"/>
        </w:rPr>
        <w:t>”</w:t>
      </w:r>
      <w:r w:rsidR="002D6CA6" w:rsidRPr="007861DD">
        <w:rPr>
          <w:i/>
          <w:iCs/>
          <w:sz w:val="20"/>
          <w:szCs w:val="20"/>
        </w:rPr>
        <w:t xml:space="preserve"> (Sic.)</w:t>
      </w:r>
    </w:p>
    <w:p w14:paraId="3B2615CC" w14:textId="77777777" w:rsidR="00E22EA8" w:rsidRPr="007861DD" w:rsidRDefault="00E22EA8" w:rsidP="001162C4">
      <w:pPr>
        <w:spacing w:after="0" w:line="360" w:lineRule="auto"/>
        <w:ind w:left="567" w:right="567"/>
        <w:rPr>
          <w:i/>
          <w:sz w:val="20"/>
          <w:szCs w:val="20"/>
        </w:rPr>
      </w:pPr>
    </w:p>
    <w:p w14:paraId="3F1F07C7" w14:textId="49F2AE96" w:rsidR="00E22EA8" w:rsidRPr="007861DD" w:rsidRDefault="00E12804" w:rsidP="001162C4">
      <w:pPr>
        <w:spacing w:after="0" w:line="360" w:lineRule="auto"/>
        <w:ind w:left="567" w:right="567"/>
        <w:rPr>
          <w:b/>
          <w:i/>
          <w:sz w:val="20"/>
          <w:szCs w:val="20"/>
        </w:rPr>
      </w:pPr>
      <w:r w:rsidRPr="007861DD">
        <w:rPr>
          <w:b/>
          <w:i/>
          <w:sz w:val="20"/>
          <w:szCs w:val="20"/>
        </w:rPr>
        <w:t>‘’</w:t>
      </w:r>
      <w:r w:rsidR="00E22EA8" w:rsidRPr="007861DD">
        <w:rPr>
          <w:b/>
          <w:i/>
          <w:sz w:val="20"/>
          <w:szCs w:val="20"/>
        </w:rPr>
        <w:t>RAZONES O MOTIVOS DE LA INCONFORMIDAD</w:t>
      </w:r>
    </w:p>
    <w:p w14:paraId="31B716B5" w14:textId="1E7AFB85" w:rsidR="00E12804" w:rsidRPr="007861DD" w:rsidRDefault="003A20C8" w:rsidP="001162C4">
      <w:pPr>
        <w:spacing w:after="0" w:line="360" w:lineRule="auto"/>
        <w:ind w:left="567" w:right="567"/>
        <w:rPr>
          <w:i/>
          <w:iCs/>
          <w:sz w:val="20"/>
          <w:szCs w:val="20"/>
        </w:rPr>
      </w:pPr>
      <w:r w:rsidRPr="007861DD">
        <w:rPr>
          <w:i/>
          <w:iCs/>
          <w:sz w:val="20"/>
          <w:szCs w:val="20"/>
        </w:rPr>
        <w:t xml:space="preserve">El sujeto obligado justifica de una forma falsa y dolosa su negativa a entregar la información pública solicitada. En este caso la solicitud es muy puntual en cuanto a la documentación requerida y el periodo temporal de la misma. El sujeto obligado no tiene que realizar </w:t>
      </w:r>
      <w:proofErr w:type="spellStart"/>
      <w:r w:rsidRPr="007861DD">
        <w:rPr>
          <w:i/>
          <w:iCs/>
          <w:sz w:val="20"/>
          <w:szCs w:val="20"/>
        </w:rPr>
        <w:t>ningun</w:t>
      </w:r>
      <w:proofErr w:type="spellEnd"/>
      <w:r w:rsidRPr="007861DD">
        <w:rPr>
          <w:i/>
          <w:iCs/>
          <w:sz w:val="20"/>
          <w:szCs w:val="20"/>
        </w:rPr>
        <w:t xml:space="preserve"> procesamiento de </w:t>
      </w:r>
      <w:proofErr w:type="gramStart"/>
      <w:r w:rsidRPr="007861DD">
        <w:rPr>
          <w:i/>
          <w:iCs/>
          <w:sz w:val="20"/>
          <w:szCs w:val="20"/>
        </w:rPr>
        <w:t>la misma</w:t>
      </w:r>
      <w:proofErr w:type="gramEnd"/>
      <w:r w:rsidRPr="007861DD">
        <w:rPr>
          <w:i/>
          <w:iCs/>
          <w:sz w:val="20"/>
          <w:szCs w:val="20"/>
        </w:rPr>
        <w:t xml:space="preserve">, salvo proteger la </w:t>
      </w:r>
      <w:proofErr w:type="spellStart"/>
      <w:r w:rsidRPr="007861DD">
        <w:rPr>
          <w:i/>
          <w:iCs/>
          <w:sz w:val="20"/>
          <w:szCs w:val="20"/>
        </w:rPr>
        <w:t>informacion</w:t>
      </w:r>
      <w:proofErr w:type="spellEnd"/>
      <w:r w:rsidRPr="007861DD">
        <w:rPr>
          <w:i/>
          <w:iCs/>
          <w:sz w:val="20"/>
          <w:szCs w:val="20"/>
        </w:rPr>
        <w:t xml:space="preserve"> confidencial de los documentos requeridos, En las direcciones </w:t>
      </w:r>
      <w:proofErr w:type="spellStart"/>
      <w:r w:rsidRPr="007861DD">
        <w:rPr>
          <w:i/>
          <w:iCs/>
          <w:sz w:val="20"/>
          <w:szCs w:val="20"/>
        </w:rPr>
        <w:t>electronicas</w:t>
      </w:r>
      <w:proofErr w:type="spellEnd"/>
      <w:r w:rsidRPr="007861DD">
        <w:rPr>
          <w:i/>
          <w:iCs/>
          <w:sz w:val="20"/>
          <w:szCs w:val="20"/>
        </w:rPr>
        <w:t xml:space="preserve"> que proporciona en la respuesta no se encuentra la documentación solicitada de manera puntual. Por lo </w:t>
      </w:r>
      <w:proofErr w:type="spellStart"/>
      <w:r w:rsidRPr="007861DD">
        <w:rPr>
          <w:i/>
          <w:iCs/>
          <w:sz w:val="20"/>
          <w:szCs w:val="20"/>
        </w:rPr>
        <w:t>anterios</w:t>
      </w:r>
      <w:proofErr w:type="spellEnd"/>
      <w:r w:rsidRPr="007861DD">
        <w:rPr>
          <w:i/>
          <w:iCs/>
          <w:sz w:val="20"/>
          <w:szCs w:val="20"/>
        </w:rPr>
        <w:t xml:space="preserve">, solicito se considere la respuesta del sujeto obligado como una negativa de su parte a hacer pública la información solicitada y por lo tanto se ordene la entrega de </w:t>
      </w:r>
      <w:proofErr w:type="gramStart"/>
      <w:r w:rsidRPr="007861DD">
        <w:rPr>
          <w:i/>
          <w:iCs/>
          <w:sz w:val="20"/>
          <w:szCs w:val="20"/>
        </w:rPr>
        <w:t>la misma</w:t>
      </w:r>
      <w:proofErr w:type="gramEnd"/>
      <w:r w:rsidRPr="007861DD">
        <w:rPr>
          <w:i/>
          <w:iCs/>
          <w:sz w:val="20"/>
          <w:szCs w:val="20"/>
        </w:rPr>
        <w:t xml:space="preserve"> en los términos establecidos en la presente solicitud.</w:t>
      </w:r>
      <w:r w:rsidR="003C5F59" w:rsidRPr="007861DD">
        <w:rPr>
          <w:i/>
          <w:iCs/>
          <w:sz w:val="20"/>
          <w:szCs w:val="20"/>
        </w:rPr>
        <w:t>”</w:t>
      </w:r>
      <w:r w:rsidR="002D6CA6" w:rsidRPr="007861DD">
        <w:rPr>
          <w:i/>
          <w:iCs/>
          <w:sz w:val="20"/>
          <w:szCs w:val="20"/>
        </w:rPr>
        <w:t xml:space="preserve"> (Sic.)</w:t>
      </w:r>
    </w:p>
    <w:p w14:paraId="1DB4737B" w14:textId="77777777" w:rsidR="00F41361" w:rsidRPr="007861DD" w:rsidRDefault="00F41361" w:rsidP="001162C4">
      <w:pPr>
        <w:spacing w:after="0" w:line="360" w:lineRule="auto"/>
        <w:ind w:left="567" w:right="567"/>
        <w:rPr>
          <w:i/>
          <w:sz w:val="20"/>
          <w:szCs w:val="20"/>
        </w:rPr>
      </w:pPr>
    </w:p>
    <w:p w14:paraId="009DB65C" w14:textId="3FDB9E96" w:rsidR="00E22EA8" w:rsidRPr="007861DD" w:rsidRDefault="003A41C0" w:rsidP="001162C4">
      <w:pPr>
        <w:pStyle w:val="Ttulo2"/>
        <w:spacing w:before="0" w:after="0" w:line="360" w:lineRule="auto"/>
        <w:rPr>
          <w:sz w:val="22"/>
          <w:szCs w:val="22"/>
        </w:rPr>
      </w:pPr>
      <w:bookmarkStart w:id="4" w:name="_Toc213244220"/>
      <w:r w:rsidRPr="007861DD">
        <w:rPr>
          <w:sz w:val="22"/>
          <w:szCs w:val="22"/>
        </w:rPr>
        <w:t>IV</w:t>
      </w:r>
      <w:r w:rsidR="00E22EA8" w:rsidRPr="007861DD">
        <w:rPr>
          <w:sz w:val="22"/>
          <w:szCs w:val="22"/>
        </w:rPr>
        <w:t>. Trámite del Recurso de Revisión ante este Instituto</w:t>
      </w:r>
      <w:bookmarkEnd w:id="4"/>
    </w:p>
    <w:p w14:paraId="5C9B63F8" w14:textId="77777777" w:rsidR="009B2DAB" w:rsidRPr="007861DD" w:rsidRDefault="009B2DAB" w:rsidP="001162C4">
      <w:pPr>
        <w:spacing w:after="0" w:line="360" w:lineRule="auto"/>
        <w:rPr>
          <w:b/>
          <w:bCs/>
        </w:rPr>
      </w:pPr>
    </w:p>
    <w:p w14:paraId="173768ED" w14:textId="1942E5EE" w:rsidR="00E22EA8" w:rsidRPr="007861DD" w:rsidRDefault="00E22EA8" w:rsidP="001162C4">
      <w:pPr>
        <w:spacing w:after="0" w:line="360" w:lineRule="auto"/>
        <w:rPr>
          <w:bCs/>
        </w:rPr>
      </w:pPr>
      <w:r w:rsidRPr="007861DD">
        <w:rPr>
          <w:b/>
          <w:bCs/>
        </w:rPr>
        <w:t>a) Turno del Medio de Impugnación.</w:t>
      </w:r>
      <w:r w:rsidR="000A706F" w:rsidRPr="007861DD">
        <w:rPr>
          <w:bCs/>
        </w:rPr>
        <w:t xml:space="preserve"> </w:t>
      </w:r>
      <w:r w:rsidR="003C5F59" w:rsidRPr="007861DD">
        <w:rPr>
          <w:bCs/>
        </w:rPr>
        <w:t>E</w:t>
      </w:r>
      <w:r w:rsidR="009A25C0" w:rsidRPr="007861DD">
        <w:rPr>
          <w:bCs/>
        </w:rPr>
        <w:t>l veintitrés de mayo</w:t>
      </w:r>
      <w:r w:rsidR="00E64E18" w:rsidRPr="007861DD">
        <w:t xml:space="preserve"> de dos mil veinticinco</w:t>
      </w:r>
      <w:r w:rsidRPr="007861DD">
        <w:rPr>
          <w:bCs/>
        </w:rPr>
        <w:t xml:space="preserve">, el </w:t>
      </w:r>
      <w:r w:rsidRPr="007861DD">
        <w:rPr>
          <w:lang w:val="es-ES"/>
        </w:rPr>
        <w:t>Sistema de Acceso a la Información Mexiquense (SAIMEX),</w:t>
      </w:r>
      <w:r w:rsidRPr="007861DD">
        <w:rPr>
          <w:bCs/>
        </w:rPr>
        <w:t xml:space="preserve"> asignó el número de expediente </w:t>
      </w:r>
      <w:r w:rsidR="009A25C0" w:rsidRPr="007861DD">
        <w:rPr>
          <w:b/>
          <w:bCs/>
        </w:rPr>
        <w:t>05861</w:t>
      </w:r>
      <w:r w:rsidR="000D392E" w:rsidRPr="007861DD">
        <w:rPr>
          <w:b/>
          <w:bCs/>
        </w:rPr>
        <w:t>/INFOEM/IP/RR/2025</w:t>
      </w:r>
      <w:r w:rsidRPr="007861DD">
        <w:rPr>
          <w:bCs/>
        </w:rPr>
        <w:t xml:space="preserve">, al medio de impugnación que nos ocupa, con base en el sistema aprobado por el Pleno de este </w:t>
      </w:r>
      <w:r w:rsidR="00B65BCA" w:rsidRPr="007861DD">
        <w:rPr>
          <w:bCs/>
        </w:rPr>
        <w:t>Organismo</w:t>
      </w:r>
      <w:r w:rsidRPr="007861DD">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7861DD" w:rsidRDefault="005914EE" w:rsidP="001162C4">
      <w:pPr>
        <w:spacing w:after="0" w:line="360" w:lineRule="auto"/>
        <w:rPr>
          <w:b/>
          <w:bCs/>
        </w:rPr>
      </w:pPr>
    </w:p>
    <w:p w14:paraId="61891480" w14:textId="65B9BD1C" w:rsidR="00E22EA8" w:rsidRPr="007861DD" w:rsidRDefault="00E22EA8" w:rsidP="001162C4">
      <w:pPr>
        <w:spacing w:after="0" w:line="360" w:lineRule="auto"/>
      </w:pPr>
      <w:r w:rsidRPr="007861DD">
        <w:rPr>
          <w:b/>
          <w:bCs/>
        </w:rPr>
        <w:t>b) Admisión del Recurso de Revisión</w:t>
      </w:r>
      <w:r w:rsidRPr="007861DD">
        <w:rPr>
          <w:b/>
          <w:bCs/>
          <w:lang w:val="es-ES_tradnl"/>
        </w:rPr>
        <w:t xml:space="preserve">. </w:t>
      </w:r>
      <w:r w:rsidR="003C5F59" w:rsidRPr="007861DD">
        <w:t xml:space="preserve">El </w:t>
      </w:r>
      <w:r w:rsidR="009A25C0" w:rsidRPr="007861DD">
        <w:t>veintiocho de mayo</w:t>
      </w:r>
      <w:r w:rsidR="00E64E18" w:rsidRPr="007861DD">
        <w:t xml:space="preserve"> de dos mil veinticinco</w:t>
      </w:r>
      <w:r w:rsidRPr="007861DD">
        <w:rPr>
          <w:bCs/>
          <w:lang w:val="es-ES_tradnl"/>
        </w:rPr>
        <w:t xml:space="preserve">, se acordó la admisión del Recurso de Revisión interpuesto por </w:t>
      </w:r>
      <w:r w:rsidR="00261B92" w:rsidRPr="007861DD">
        <w:rPr>
          <w:bCs/>
          <w:lang w:val="es-ES_tradnl"/>
        </w:rPr>
        <w:t>la persona</w:t>
      </w:r>
      <w:r w:rsidRPr="007861DD">
        <w:rPr>
          <w:bCs/>
          <w:lang w:val="es-ES_tradnl"/>
        </w:rPr>
        <w:t xml:space="preserve"> Recurrente en contra del Sujeto Obligado, en términos del artículo 185, fracciones I y II de la Ley de Transparencia y Acceso a la Información Pública del Estado de México y Municipios, el cual fue notificado </w:t>
      </w:r>
      <w:r w:rsidRPr="007861DD">
        <w:rPr>
          <w:bCs/>
          <w:lang w:val="es-ES_tradnl"/>
        </w:rPr>
        <w:lastRenderedPageBreak/>
        <w:t xml:space="preserve">a las partes </w:t>
      </w:r>
      <w:r w:rsidR="00E10780" w:rsidRPr="007861DD">
        <w:rPr>
          <w:bCs/>
          <w:lang w:val="es-ES_tradnl"/>
        </w:rPr>
        <w:t>el</w:t>
      </w:r>
      <w:r w:rsidR="007C4D4E" w:rsidRPr="007861DD">
        <w:rPr>
          <w:bCs/>
          <w:lang w:val="es-ES_tradnl"/>
        </w:rPr>
        <w:t xml:space="preserve"> mismo día</w:t>
      </w:r>
      <w:r w:rsidRPr="007861DD">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7861DD" w:rsidRDefault="00E22EA8" w:rsidP="001162C4">
      <w:pPr>
        <w:spacing w:after="0" w:line="360" w:lineRule="auto"/>
        <w:rPr>
          <w:rFonts w:cs="Tahoma"/>
          <w:lang w:val="es-ES_tradnl"/>
        </w:rPr>
      </w:pPr>
    </w:p>
    <w:p w14:paraId="153EF731" w14:textId="18DBBA02" w:rsidR="009A25C0" w:rsidRPr="007861DD" w:rsidRDefault="000410E6" w:rsidP="009A25C0">
      <w:pPr>
        <w:spacing w:after="0" w:line="360" w:lineRule="auto"/>
      </w:pPr>
      <w:r w:rsidRPr="007861DD">
        <w:rPr>
          <w:b/>
        </w:rPr>
        <w:t>c) Informe Justificado</w:t>
      </w:r>
      <w:r w:rsidR="009A25C0" w:rsidRPr="007861DD">
        <w:rPr>
          <w:b/>
        </w:rPr>
        <w:t xml:space="preserve">. </w:t>
      </w:r>
      <w:r w:rsidR="009A25C0" w:rsidRPr="007861DD">
        <w:t xml:space="preserve">El </w:t>
      </w:r>
      <w:r w:rsidR="00A5590B" w:rsidRPr="007861DD">
        <w:t>seis</w:t>
      </w:r>
      <w:r w:rsidR="009A25C0" w:rsidRPr="007861DD">
        <w:t xml:space="preserve"> de junio de dos mil veinticinco, se recibió, a través del Sistema de Acceso a la Información Mexiquense (SAIMEX), el Informe Justificado del Sujeto Obligado, a través de los documentos siguientes:</w:t>
      </w:r>
    </w:p>
    <w:p w14:paraId="2B9DD74A" w14:textId="77777777" w:rsidR="009A25C0" w:rsidRPr="007861DD" w:rsidRDefault="009A25C0" w:rsidP="009A25C0">
      <w:pPr>
        <w:spacing w:after="0" w:line="360" w:lineRule="auto"/>
      </w:pPr>
    </w:p>
    <w:p w14:paraId="6158FD1C" w14:textId="49C8A15A" w:rsidR="009A25C0" w:rsidRPr="007861DD" w:rsidRDefault="009A25C0" w:rsidP="009A25C0">
      <w:pPr>
        <w:spacing w:after="0" w:line="360" w:lineRule="auto"/>
      </w:pPr>
      <w:r w:rsidRPr="007861DD">
        <w:t>i. Oficio número</w:t>
      </w:r>
      <w:r w:rsidR="00A5590B" w:rsidRPr="007861DD">
        <w:t xml:space="preserve"> </w:t>
      </w:r>
      <w:r w:rsidR="008C5768" w:rsidRPr="007861DD">
        <w:t xml:space="preserve">207C0401210001S-UT-1243/2025, del veintitrés de mayo de dos mil veinticinco, suscrito por la </w:t>
      </w:r>
      <w:proofErr w:type="gramStart"/>
      <w:r w:rsidR="008C5768" w:rsidRPr="007861DD">
        <w:t>Jefa</w:t>
      </w:r>
      <w:proofErr w:type="gramEnd"/>
      <w:r w:rsidR="008C5768" w:rsidRPr="007861DD">
        <w:t xml:space="preserve"> del Departamento de Acceso a la Información Institucional y dirigido al Coordinador de Administración y Finanzas, por medio del cual solicita se </w:t>
      </w:r>
      <w:proofErr w:type="spellStart"/>
      <w:r w:rsidR="008C5768" w:rsidRPr="007861DD">
        <w:t>de</w:t>
      </w:r>
      <w:proofErr w:type="spellEnd"/>
      <w:r w:rsidR="008C5768" w:rsidRPr="007861DD">
        <w:t xml:space="preserve"> la información peticionada.</w:t>
      </w:r>
    </w:p>
    <w:p w14:paraId="0B01F600" w14:textId="77777777" w:rsidR="008C5768" w:rsidRPr="007861DD" w:rsidRDefault="008C5768" w:rsidP="009A25C0">
      <w:pPr>
        <w:spacing w:after="0" w:line="360" w:lineRule="auto"/>
      </w:pPr>
    </w:p>
    <w:p w14:paraId="540EB124" w14:textId="7A60C9F9" w:rsidR="008C5768" w:rsidRPr="007861DD" w:rsidRDefault="008C5768" w:rsidP="009A25C0">
      <w:pPr>
        <w:spacing w:after="0" w:line="360" w:lineRule="auto"/>
      </w:pPr>
      <w:proofErr w:type="spellStart"/>
      <w:r w:rsidRPr="007861DD">
        <w:t>ii</w:t>
      </w:r>
      <w:proofErr w:type="spellEnd"/>
      <w:r w:rsidRPr="007861DD">
        <w:t xml:space="preserve">. Oficio número 207C0401750000 0000L/1130/2025, del tres de junio de dos mil veinticinco, suscrito por la </w:t>
      </w:r>
      <w:proofErr w:type="gramStart"/>
      <w:r w:rsidRPr="007861DD">
        <w:t>Directora</w:t>
      </w:r>
      <w:proofErr w:type="gramEnd"/>
      <w:r w:rsidRPr="007861DD">
        <w:t xml:space="preserve"> de Administración Financiera y dirigido al Titular de la Unidad de Transparencia, por medio del cual mencionó lo siguiente:</w:t>
      </w:r>
    </w:p>
    <w:p w14:paraId="09159E04" w14:textId="77777777" w:rsidR="008C5768" w:rsidRPr="007861DD" w:rsidRDefault="008C5768" w:rsidP="009A25C0">
      <w:pPr>
        <w:spacing w:after="0" w:line="360" w:lineRule="auto"/>
      </w:pPr>
    </w:p>
    <w:p w14:paraId="62426240" w14:textId="077E786D" w:rsidR="008C5768" w:rsidRPr="007861DD" w:rsidRDefault="008C5768" w:rsidP="00D47FC1">
      <w:pPr>
        <w:spacing w:after="0" w:line="360" w:lineRule="auto"/>
        <w:ind w:left="567" w:right="567"/>
        <w:rPr>
          <w:i/>
          <w:iCs/>
          <w:sz w:val="20"/>
          <w:szCs w:val="20"/>
        </w:rPr>
      </w:pPr>
      <w:r w:rsidRPr="007861DD">
        <w:rPr>
          <w:i/>
          <w:iCs/>
          <w:sz w:val="20"/>
          <w:szCs w:val="20"/>
        </w:rPr>
        <w:t>“…</w:t>
      </w:r>
      <w:r w:rsidR="00FD7883" w:rsidRPr="007861DD">
        <w:rPr>
          <w:i/>
          <w:iCs/>
          <w:sz w:val="20"/>
          <w:szCs w:val="20"/>
        </w:rPr>
        <w:t>derivado de una búsqueda exhaustiva y razonable en los archivos que obran en esta Dirección a mi cargo, se remiten a usted 52 estados de cuenta bancarios, en los cuales se pueden observar los pagos realizados a particulares, en el mes de marzo 2025.</w:t>
      </w:r>
    </w:p>
    <w:p w14:paraId="61D14F8A" w14:textId="77777777" w:rsidR="00FD7883" w:rsidRPr="007861DD" w:rsidRDefault="00FD7883" w:rsidP="00D47FC1">
      <w:pPr>
        <w:spacing w:after="0" w:line="360" w:lineRule="auto"/>
        <w:ind w:left="567" w:right="567"/>
        <w:rPr>
          <w:i/>
          <w:iCs/>
          <w:sz w:val="20"/>
          <w:szCs w:val="20"/>
        </w:rPr>
      </w:pPr>
    </w:p>
    <w:p w14:paraId="36A6CD89" w14:textId="79723807" w:rsidR="00FD7883" w:rsidRPr="007861DD" w:rsidRDefault="00FD7883" w:rsidP="00D47FC1">
      <w:pPr>
        <w:spacing w:after="0" w:line="360" w:lineRule="auto"/>
        <w:ind w:left="567" w:right="567"/>
        <w:rPr>
          <w:i/>
          <w:iCs/>
          <w:sz w:val="20"/>
          <w:szCs w:val="20"/>
        </w:rPr>
      </w:pPr>
      <w:r w:rsidRPr="007861DD">
        <w:rPr>
          <w:i/>
          <w:iCs/>
          <w:sz w:val="20"/>
          <w:szCs w:val="20"/>
        </w:rPr>
        <w:t xml:space="preserve">Cabe señalar que la información proporcionada contiene información de carácter confidencial, por lo que se solicita a la Unidad de Transparencia sea el conducto para someter ante el Comité de Transparencia la aprobación de la propuesta de versión pública de dichos estados de cuenta bancarios (se remite la versión íntegra y la propuesta de versión </w:t>
      </w:r>
      <w:proofErr w:type="gramStart"/>
      <w:r w:rsidRPr="007861DD">
        <w:rPr>
          <w:i/>
          <w:iCs/>
          <w:sz w:val="20"/>
          <w:szCs w:val="20"/>
        </w:rPr>
        <w:t>pública)…</w:t>
      </w:r>
      <w:proofErr w:type="gramEnd"/>
    </w:p>
    <w:p w14:paraId="7B9E9EB8" w14:textId="2C3D918C" w:rsidR="00FD7883" w:rsidRPr="007861DD" w:rsidRDefault="00FD7883" w:rsidP="00D47FC1">
      <w:pPr>
        <w:spacing w:after="0" w:line="360" w:lineRule="auto"/>
        <w:ind w:left="567" w:right="567"/>
        <w:rPr>
          <w:i/>
          <w:iCs/>
          <w:sz w:val="20"/>
          <w:szCs w:val="20"/>
        </w:rPr>
      </w:pPr>
      <w:r w:rsidRPr="007861DD">
        <w:rPr>
          <w:i/>
          <w:iCs/>
          <w:sz w:val="20"/>
          <w:szCs w:val="20"/>
        </w:rPr>
        <w:t>…”</w:t>
      </w:r>
    </w:p>
    <w:p w14:paraId="2DF30319" w14:textId="77777777" w:rsidR="009A25C0" w:rsidRPr="007861DD" w:rsidRDefault="009A25C0" w:rsidP="009A25C0">
      <w:pPr>
        <w:spacing w:after="0" w:line="360" w:lineRule="auto"/>
      </w:pPr>
    </w:p>
    <w:p w14:paraId="04B82AA1" w14:textId="2328BB52" w:rsidR="005E4AD4" w:rsidRPr="007861DD" w:rsidRDefault="005E4AD4" w:rsidP="009A25C0">
      <w:pPr>
        <w:spacing w:after="0" w:line="360" w:lineRule="auto"/>
      </w:pPr>
      <w:proofErr w:type="spellStart"/>
      <w:r w:rsidRPr="007861DD">
        <w:lastRenderedPageBreak/>
        <w:t>iii</w:t>
      </w:r>
      <w:proofErr w:type="spellEnd"/>
      <w:r w:rsidRPr="007861DD">
        <w:t>. Cincuenta y dos Estado de Cuenta Bancarios del mes de marzo de 2025, los cuales no se pusieron a la vista por contener datos personales clasificados como confidenciales, como son el RFC de Particulares.</w:t>
      </w:r>
    </w:p>
    <w:p w14:paraId="6CA6ED9D" w14:textId="77777777" w:rsidR="005E4AD4" w:rsidRPr="007861DD" w:rsidRDefault="005E4AD4" w:rsidP="009A25C0">
      <w:pPr>
        <w:spacing w:after="0" w:line="360" w:lineRule="auto"/>
      </w:pPr>
    </w:p>
    <w:p w14:paraId="0B105EC2" w14:textId="7370DB1E" w:rsidR="002F0137" w:rsidRPr="007861DD" w:rsidRDefault="005E4AD4" w:rsidP="009A25C0">
      <w:pPr>
        <w:spacing w:after="0" w:line="360" w:lineRule="auto"/>
      </w:pPr>
      <w:proofErr w:type="spellStart"/>
      <w:r w:rsidRPr="007861DD">
        <w:t>iv</w:t>
      </w:r>
      <w:proofErr w:type="spellEnd"/>
      <w:r w:rsidR="002F0137" w:rsidRPr="007861DD">
        <w:t xml:space="preserve">. </w:t>
      </w:r>
      <w:r w:rsidR="00EA0B1D" w:rsidRPr="007861DD">
        <w:t xml:space="preserve">Acta número CT/ISSEMYM-A01-21E/2025 del Comité de Transparencia, del seis de junio de dos mil veinticinco, donde se aprueba la clasificación como información confidencial de los nombres de particulares, Registro Federal de Contribuyentes (RFC) de particulares, </w:t>
      </w:r>
      <w:proofErr w:type="spellStart"/>
      <w:r w:rsidR="00EA0B1D" w:rsidRPr="007861DD">
        <w:t>clabe</w:t>
      </w:r>
      <w:proofErr w:type="spellEnd"/>
      <w:r w:rsidR="00EA0B1D" w:rsidRPr="007861DD">
        <w:t xml:space="preserve"> interbancaria de particulares, número de referencia y número de cheque contenida en los 52 estados de cuenta de Instituciones Bancarias.</w:t>
      </w:r>
    </w:p>
    <w:p w14:paraId="0E56A3A0" w14:textId="77777777" w:rsidR="00EA0B1D" w:rsidRPr="007861DD" w:rsidRDefault="00EA0B1D" w:rsidP="009A25C0">
      <w:pPr>
        <w:spacing w:after="0" w:line="360" w:lineRule="auto"/>
      </w:pPr>
    </w:p>
    <w:p w14:paraId="40592468" w14:textId="4B930BB4" w:rsidR="00EA0B1D" w:rsidRPr="007861DD" w:rsidRDefault="00EA0B1D" w:rsidP="009A25C0">
      <w:pPr>
        <w:spacing w:after="0" w:line="360" w:lineRule="auto"/>
      </w:pPr>
      <w:r w:rsidRPr="007861DD">
        <w:t xml:space="preserve">v. Oficio número 207C0401210001S-UT-1368/2025, del seis de junio de dos mil veinticinco, suscrito por el Titular de la Unidad de Transparencia y dirigido al Comisionado Ponente, por medio del cual emite su Informe Justificado. </w:t>
      </w:r>
    </w:p>
    <w:p w14:paraId="6DA91BA0" w14:textId="77777777" w:rsidR="00EA0B1D" w:rsidRPr="007861DD" w:rsidRDefault="00EA0B1D" w:rsidP="009A25C0">
      <w:pPr>
        <w:spacing w:after="0" w:line="360" w:lineRule="auto"/>
      </w:pPr>
    </w:p>
    <w:p w14:paraId="5ECAAD72" w14:textId="2BFB3E8A" w:rsidR="009A25C0" w:rsidRPr="007861DD" w:rsidRDefault="009A25C0" w:rsidP="009A25C0">
      <w:pPr>
        <w:spacing w:after="0" w:line="360" w:lineRule="auto"/>
      </w:pPr>
      <w:r w:rsidRPr="007861DD">
        <w:rPr>
          <w:b/>
        </w:rPr>
        <w:t>d) Vista del Informe Justificado.</w:t>
      </w:r>
      <w:r w:rsidRPr="007861DD">
        <w:t xml:space="preserve"> El </w:t>
      </w:r>
      <w:r w:rsidR="0061459C" w:rsidRPr="007861DD">
        <w:t>cinco</w:t>
      </w:r>
      <w:r w:rsidR="00B71619" w:rsidRPr="007861DD">
        <w:t xml:space="preserve"> de noviembre</w:t>
      </w:r>
      <w:r w:rsidRPr="007861DD">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206CE6AD" w14:textId="77777777" w:rsidR="009A25C0" w:rsidRPr="007861DD" w:rsidRDefault="009A25C0" w:rsidP="009A25C0">
      <w:pPr>
        <w:spacing w:after="0" w:line="360" w:lineRule="auto"/>
      </w:pPr>
    </w:p>
    <w:p w14:paraId="5B468EF5" w14:textId="36617DF8" w:rsidR="004A5405" w:rsidRPr="007861DD" w:rsidRDefault="009A25C0" w:rsidP="001162C4">
      <w:pPr>
        <w:spacing w:after="0" w:line="360" w:lineRule="auto"/>
        <w:rPr>
          <w:rFonts w:cs="Tahoma"/>
        </w:rPr>
      </w:pPr>
      <w:r w:rsidRPr="007861DD">
        <w:rPr>
          <w:b/>
        </w:rPr>
        <w:t>e) Ampliación de plazo para resolver.</w:t>
      </w:r>
      <w:r w:rsidRPr="007861DD">
        <w:t xml:space="preserve"> E</w:t>
      </w:r>
      <w:r w:rsidR="0061459C" w:rsidRPr="007861DD">
        <w:t>l cinco</w:t>
      </w:r>
      <w:r w:rsidR="00B71619" w:rsidRPr="007861DD">
        <w:t xml:space="preserve"> de noviembre</w:t>
      </w:r>
      <w:r w:rsidRPr="007861DD">
        <w:t xml:space="preserv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w:t>
      </w:r>
      <w:r w:rsidR="0061459C" w:rsidRPr="007861DD">
        <w:t>cuatro del mismo mes y año</w:t>
      </w:r>
      <w:r w:rsidRPr="007861DD">
        <w:t>, mediante el Sistema de Acceso a la Información Mexiquense (SAIMEX).</w:t>
      </w:r>
    </w:p>
    <w:p w14:paraId="1220E37C" w14:textId="4F0C4498" w:rsidR="003C5FE0" w:rsidRPr="007861DD" w:rsidRDefault="00104234" w:rsidP="001162C4">
      <w:pPr>
        <w:spacing w:after="0" w:line="360" w:lineRule="auto"/>
        <w:contextualSpacing/>
      </w:pPr>
      <w:bookmarkStart w:id="5" w:name="_Hlk182976945"/>
      <w:r>
        <w:rPr>
          <w:rFonts w:eastAsia="Batang" w:cs="Tahoma"/>
          <w:b/>
        </w:rPr>
        <w:lastRenderedPageBreak/>
        <w:t>f</w:t>
      </w:r>
      <w:r w:rsidR="003C5FE0" w:rsidRPr="007861DD">
        <w:rPr>
          <w:rFonts w:eastAsia="Batang" w:cs="Tahoma"/>
          <w:b/>
        </w:rPr>
        <w:t xml:space="preserve">) </w:t>
      </w:r>
      <w:r w:rsidR="00002B20" w:rsidRPr="007861DD">
        <w:rPr>
          <w:rFonts w:eastAsia="Times New Roman" w:cs="Tahoma"/>
          <w:b/>
          <w:szCs w:val="24"/>
          <w:lang w:eastAsia="es-ES"/>
        </w:rPr>
        <w:t>Cierre de instrucción.</w:t>
      </w:r>
      <w:r w:rsidR="00C06C06" w:rsidRPr="007861DD">
        <w:rPr>
          <w:rFonts w:eastAsia="Times New Roman" w:cs="Tahoma"/>
          <w:szCs w:val="24"/>
          <w:lang w:eastAsia="es-ES"/>
        </w:rPr>
        <w:t xml:space="preserve"> El </w:t>
      </w:r>
      <w:r w:rsidR="00B71619" w:rsidRPr="007861DD">
        <w:rPr>
          <w:rFonts w:eastAsia="Times New Roman" w:cs="Tahoma"/>
          <w:szCs w:val="24"/>
          <w:lang w:eastAsia="es-ES"/>
        </w:rPr>
        <w:t>once de noviembre</w:t>
      </w:r>
      <w:r w:rsidR="00002B20" w:rsidRPr="007861DD">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7861DD">
        <w:rPr>
          <w:lang w:val="es-ES"/>
        </w:rPr>
        <w:t>acto que fue notificado a las partes, mediante el Sistema de Acceso a la Información Mexiquense (SAIMEX), el mismo día.</w:t>
      </w:r>
    </w:p>
    <w:bookmarkEnd w:id="5"/>
    <w:p w14:paraId="08D98E1D" w14:textId="77777777" w:rsidR="000410E6" w:rsidRPr="007861DD" w:rsidRDefault="000410E6" w:rsidP="001162C4">
      <w:pPr>
        <w:spacing w:after="0" w:line="360" w:lineRule="auto"/>
        <w:rPr>
          <w:b/>
          <w:bCs/>
          <w:lang w:val="es-ES"/>
        </w:rPr>
      </w:pPr>
    </w:p>
    <w:p w14:paraId="1D2DAFCD" w14:textId="77777777" w:rsidR="000410E6" w:rsidRPr="007861DD" w:rsidRDefault="000410E6" w:rsidP="001162C4">
      <w:pPr>
        <w:spacing w:after="0" w:line="360" w:lineRule="auto"/>
        <w:rPr>
          <w:color w:val="000000"/>
        </w:rPr>
      </w:pPr>
      <w:proofErr w:type="gramStart"/>
      <w:r w:rsidRPr="007861DD">
        <w:rPr>
          <w:color w:val="000000"/>
        </w:rPr>
        <w:t>En razón de</w:t>
      </w:r>
      <w:proofErr w:type="gramEnd"/>
      <w:r w:rsidRPr="007861DD">
        <w:rPr>
          <w:color w:val="000000"/>
        </w:rPr>
        <w:t xml:space="preserve"> que fue debidamente sustanciado e integrado el expediente electrónico y no existe diligencia pendiente de desahogo, se emite la resolución que conforme a Derecho proceda, </w:t>
      </w:r>
      <w:proofErr w:type="gramStart"/>
      <w:r w:rsidRPr="007861DD">
        <w:rPr>
          <w:color w:val="000000"/>
        </w:rPr>
        <w:t>de acuerdo a</w:t>
      </w:r>
      <w:proofErr w:type="gramEnd"/>
      <w:r w:rsidRPr="007861DD">
        <w:rPr>
          <w:color w:val="000000"/>
        </w:rPr>
        <w:t xml:space="preserve"> los siguientes:</w:t>
      </w:r>
    </w:p>
    <w:p w14:paraId="3A10F1DA" w14:textId="77777777" w:rsidR="00674DAF" w:rsidRPr="007861DD" w:rsidRDefault="00674DAF" w:rsidP="001162C4">
      <w:pPr>
        <w:spacing w:after="0" w:line="360" w:lineRule="auto"/>
        <w:rPr>
          <w:color w:val="000000"/>
        </w:rPr>
      </w:pPr>
    </w:p>
    <w:p w14:paraId="250F6589" w14:textId="3F880C72" w:rsidR="005C690F" w:rsidRPr="007861DD" w:rsidRDefault="00CD6238" w:rsidP="001162C4">
      <w:pPr>
        <w:pStyle w:val="Ttulo1"/>
        <w:spacing w:before="0" w:after="0" w:line="360" w:lineRule="auto"/>
        <w:jc w:val="center"/>
        <w:rPr>
          <w:sz w:val="22"/>
          <w:szCs w:val="22"/>
        </w:rPr>
      </w:pPr>
      <w:bookmarkStart w:id="6" w:name="_Toc213244221"/>
      <w:r w:rsidRPr="007861DD">
        <w:rPr>
          <w:sz w:val="22"/>
          <w:szCs w:val="22"/>
        </w:rPr>
        <w:t>C O N S I D E R A N D O S</w:t>
      </w:r>
      <w:bookmarkEnd w:id="6"/>
    </w:p>
    <w:p w14:paraId="5AB6ED71" w14:textId="77777777" w:rsidR="005C690F" w:rsidRPr="007861DD" w:rsidRDefault="005C690F" w:rsidP="001162C4">
      <w:pPr>
        <w:spacing w:after="0" w:line="360" w:lineRule="auto"/>
        <w:jc w:val="center"/>
        <w:rPr>
          <w:b/>
          <w:color w:val="000000"/>
        </w:rPr>
      </w:pPr>
    </w:p>
    <w:p w14:paraId="36BFFC7E" w14:textId="2F0F17EA" w:rsidR="005C690F" w:rsidRPr="007861DD" w:rsidRDefault="007D6307" w:rsidP="001162C4">
      <w:pPr>
        <w:pStyle w:val="Ttulo2"/>
        <w:spacing w:before="0" w:after="0" w:line="360" w:lineRule="auto"/>
        <w:rPr>
          <w:sz w:val="22"/>
          <w:szCs w:val="22"/>
        </w:rPr>
      </w:pPr>
      <w:bookmarkStart w:id="7" w:name="_Toc213244222"/>
      <w:r w:rsidRPr="007861DD">
        <w:rPr>
          <w:sz w:val="22"/>
          <w:szCs w:val="22"/>
        </w:rPr>
        <w:t xml:space="preserve">PRIMERO. </w:t>
      </w:r>
      <w:r w:rsidR="00CD6238" w:rsidRPr="007861DD">
        <w:rPr>
          <w:sz w:val="22"/>
          <w:szCs w:val="22"/>
        </w:rPr>
        <w:t>Competencia</w:t>
      </w:r>
      <w:bookmarkEnd w:id="7"/>
    </w:p>
    <w:p w14:paraId="34E42005" w14:textId="77777777" w:rsidR="0084143D" w:rsidRPr="007861DD" w:rsidRDefault="0084143D" w:rsidP="001162C4">
      <w:pPr>
        <w:spacing w:after="0" w:line="360" w:lineRule="auto"/>
        <w:contextualSpacing/>
        <w:rPr>
          <w:rFonts w:eastAsia="Times New Roman" w:cs="Tahoma"/>
          <w:bCs/>
          <w:lang w:eastAsia="es-ES"/>
        </w:rPr>
      </w:pPr>
      <w:bookmarkStart w:id="8" w:name="_heading=h.30j0zll" w:colFirst="0" w:colLast="0"/>
      <w:bookmarkEnd w:id="8"/>
    </w:p>
    <w:p w14:paraId="2D8FBA5E" w14:textId="77777777" w:rsidR="003A01F2" w:rsidRPr="007861DD" w:rsidRDefault="003A01F2" w:rsidP="003A01F2">
      <w:pPr>
        <w:autoSpaceDE w:val="0"/>
        <w:autoSpaceDN w:val="0"/>
        <w:adjustRightInd w:val="0"/>
        <w:spacing w:after="0" w:line="360" w:lineRule="auto"/>
        <w:rPr>
          <w:rFonts w:eastAsia="Calibri" w:cs="Tahoma"/>
          <w:bCs/>
          <w:color w:val="000000"/>
          <w:lang w:val="es-ES" w:eastAsia="en-US"/>
        </w:rPr>
      </w:pPr>
      <w:r w:rsidRPr="007861DD">
        <w:rPr>
          <w:rFonts w:eastAsia="Calibri" w:cs="Tahoma"/>
          <w:bCs/>
          <w:color w:val="000000"/>
          <w:lang w:val="es-ES"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7861DD" w:rsidRDefault="005C690F" w:rsidP="001162C4">
      <w:pPr>
        <w:spacing w:after="0" w:line="360" w:lineRule="auto"/>
        <w:rPr>
          <w:b/>
          <w:color w:val="000000"/>
        </w:rPr>
      </w:pPr>
    </w:p>
    <w:p w14:paraId="46691DD5" w14:textId="4C1C70AD" w:rsidR="005C690F" w:rsidRPr="007861DD" w:rsidRDefault="007D6307" w:rsidP="001162C4">
      <w:pPr>
        <w:pStyle w:val="Ttulo2"/>
        <w:spacing w:before="0" w:after="0" w:line="360" w:lineRule="auto"/>
        <w:rPr>
          <w:sz w:val="22"/>
          <w:szCs w:val="22"/>
        </w:rPr>
      </w:pPr>
      <w:bookmarkStart w:id="9" w:name="_Toc213244223"/>
      <w:r w:rsidRPr="007861DD">
        <w:rPr>
          <w:sz w:val="22"/>
          <w:szCs w:val="22"/>
        </w:rPr>
        <w:t>SEGUNDO. Causales de</w:t>
      </w:r>
      <w:r w:rsidR="00CD6238" w:rsidRPr="007861DD">
        <w:rPr>
          <w:sz w:val="22"/>
          <w:szCs w:val="22"/>
        </w:rPr>
        <w:t xml:space="preserve"> improcedencia y sobreseimiento</w:t>
      </w:r>
      <w:bookmarkEnd w:id="9"/>
    </w:p>
    <w:p w14:paraId="49AA4CDE" w14:textId="77777777" w:rsidR="005C690F" w:rsidRPr="007861DD" w:rsidRDefault="005C690F" w:rsidP="001162C4">
      <w:pPr>
        <w:spacing w:after="0" w:line="360" w:lineRule="auto"/>
        <w:rPr>
          <w:color w:val="000000"/>
        </w:rPr>
      </w:pPr>
    </w:p>
    <w:p w14:paraId="2553CE58" w14:textId="77777777" w:rsidR="005C690F" w:rsidRPr="007861DD" w:rsidRDefault="007D6307" w:rsidP="001162C4">
      <w:pPr>
        <w:spacing w:after="0" w:line="360" w:lineRule="auto"/>
        <w:rPr>
          <w:color w:val="000000"/>
        </w:rPr>
      </w:pPr>
      <w:r w:rsidRPr="007861DD">
        <w:rPr>
          <w:color w:val="000000"/>
        </w:rPr>
        <w:t xml:space="preserve">De las constancias que forma parte del Recurso de Revisión que se analiza, se advierte que previo al estudio del fondo de la </w:t>
      </w:r>
      <w:r w:rsidRPr="007861DD">
        <w:rPr>
          <w:i/>
          <w:color w:val="000000"/>
        </w:rPr>
        <w:t>litis</w:t>
      </w:r>
      <w:r w:rsidRPr="007861DD">
        <w:rPr>
          <w:color w:val="000000"/>
        </w:rPr>
        <w:t>, es necesario estudiar las causales de improcedencia y sobreseimiento que se adviertan, para determinar lo que en Derecho proceda.</w:t>
      </w:r>
    </w:p>
    <w:p w14:paraId="35A30074" w14:textId="77777777" w:rsidR="009B2DAB" w:rsidRPr="007861DD" w:rsidRDefault="009B2DAB" w:rsidP="001162C4">
      <w:pPr>
        <w:spacing w:after="0" w:line="360" w:lineRule="auto"/>
        <w:rPr>
          <w:color w:val="000000"/>
        </w:rPr>
      </w:pPr>
    </w:p>
    <w:p w14:paraId="3066DF0C" w14:textId="77777777" w:rsidR="005C690F" w:rsidRPr="007861DD" w:rsidRDefault="007D6307" w:rsidP="001162C4">
      <w:pPr>
        <w:spacing w:after="0" w:line="360" w:lineRule="auto"/>
        <w:rPr>
          <w:b/>
        </w:rPr>
      </w:pPr>
      <w:r w:rsidRPr="007861DD">
        <w:rPr>
          <w:b/>
        </w:rPr>
        <w:t>Causales de improcedencia</w:t>
      </w:r>
    </w:p>
    <w:p w14:paraId="706394D4" w14:textId="77777777" w:rsidR="00304DE6" w:rsidRPr="007861DD" w:rsidRDefault="00304DE6" w:rsidP="001162C4">
      <w:pPr>
        <w:spacing w:after="0" w:line="360" w:lineRule="auto"/>
        <w:rPr>
          <w:b/>
        </w:rPr>
      </w:pPr>
    </w:p>
    <w:p w14:paraId="6C56CA88" w14:textId="77777777" w:rsidR="005C690F" w:rsidRPr="007861DD" w:rsidRDefault="007D6307" w:rsidP="001162C4">
      <w:pPr>
        <w:spacing w:after="0" w:line="360" w:lineRule="auto"/>
        <w:rPr>
          <w:color w:val="000000"/>
        </w:rPr>
      </w:pPr>
      <w:r w:rsidRPr="007861DD">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7861DD" w:rsidRDefault="005C690F" w:rsidP="001162C4">
      <w:pPr>
        <w:spacing w:after="0" w:line="360" w:lineRule="auto"/>
        <w:rPr>
          <w:color w:val="000000"/>
        </w:rPr>
      </w:pPr>
    </w:p>
    <w:p w14:paraId="22563DDB" w14:textId="33D3D011" w:rsidR="008D3B3F" w:rsidRPr="007861DD" w:rsidRDefault="007D6307" w:rsidP="001162C4">
      <w:pPr>
        <w:spacing w:after="0" w:line="360" w:lineRule="auto"/>
        <w:rPr>
          <w:color w:val="000000"/>
        </w:rPr>
      </w:pPr>
      <w:r w:rsidRPr="007861DD">
        <w:rPr>
          <w:color w:val="000000"/>
        </w:rPr>
        <w:t>En el presente caso, </w:t>
      </w:r>
      <w:r w:rsidRPr="007861DD">
        <w:rPr>
          <w:b/>
          <w:color w:val="000000"/>
        </w:rPr>
        <w:t>no se actualiza ninguna de las causales de improcedencia</w:t>
      </w:r>
      <w:r w:rsidRPr="007861DD">
        <w:rPr>
          <w:color w:val="000000"/>
        </w:rPr>
        <w:t> establecidas en el ordenamiento jurídico previamente señalado, toda vez que: este Instituto no tiene conocimiento de que se encuentre en trámite algún medio de defensa presentado por la</w:t>
      </w:r>
      <w:r w:rsidR="00261B92" w:rsidRPr="007861DD">
        <w:rPr>
          <w:color w:val="000000"/>
        </w:rPr>
        <w:t xml:space="preserve"> persona</w:t>
      </w:r>
      <w:r w:rsidRPr="007861DD">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7861DD" w:rsidRDefault="00874D8A" w:rsidP="001162C4">
      <w:pPr>
        <w:spacing w:after="0" w:line="360" w:lineRule="auto"/>
        <w:rPr>
          <w:color w:val="000000"/>
        </w:rPr>
      </w:pPr>
    </w:p>
    <w:p w14:paraId="1593A12B" w14:textId="67328C69" w:rsidR="00304DE6" w:rsidRPr="007861DD" w:rsidRDefault="007D6307" w:rsidP="001162C4">
      <w:pPr>
        <w:spacing w:after="0" w:line="360" w:lineRule="auto"/>
      </w:pPr>
      <w:r w:rsidRPr="007861DD">
        <w:lastRenderedPageBreak/>
        <w:t>Por lo cual, se actualiza la causal de procedencia del Recurso de Revisión señal</w:t>
      </w:r>
      <w:r w:rsidR="00261DF6" w:rsidRPr="007861DD">
        <w:t>ada en el artículo 179, fracci</w:t>
      </w:r>
      <w:r w:rsidR="00F437D8" w:rsidRPr="007861DD">
        <w:t>ón VI</w:t>
      </w:r>
      <w:r w:rsidRPr="007861DD">
        <w:t>, de la Ley en cita, pues la p</w:t>
      </w:r>
      <w:r w:rsidR="00261B92" w:rsidRPr="007861DD">
        <w:t>ersona</w:t>
      </w:r>
      <w:r w:rsidRPr="007861DD">
        <w:t xml:space="preserve"> Recurrente se inconformó </w:t>
      </w:r>
      <w:r w:rsidR="00321E54" w:rsidRPr="007861DD">
        <w:t xml:space="preserve">de la </w:t>
      </w:r>
      <w:r w:rsidR="00F437D8" w:rsidRPr="007861DD">
        <w:t>entrega de información que no corresponde con lo solicitado.</w:t>
      </w:r>
    </w:p>
    <w:p w14:paraId="7B59B025" w14:textId="77777777" w:rsidR="00712ED6" w:rsidRPr="007861DD" w:rsidRDefault="00712ED6" w:rsidP="001162C4">
      <w:pPr>
        <w:spacing w:after="0" w:line="360" w:lineRule="auto"/>
      </w:pPr>
    </w:p>
    <w:p w14:paraId="55FF691A" w14:textId="6D373E30" w:rsidR="005C690F" w:rsidRPr="007861DD" w:rsidRDefault="007D6307" w:rsidP="001162C4">
      <w:pPr>
        <w:spacing w:after="0" w:line="360" w:lineRule="auto"/>
        <w:rPr>
          <w:color w:val="0D0D0D"/>
        </w:rPr>
      </w:pPr>
      <w:r w:rsidRPr="007861DD">
        <w:rPr>
          <w:b/>
          <w:color w:val="0D0D0D"/>
        </w:rPr>
        <w:t>Ca</w:t>
      </w:r>
      <w:r w:rsidR="00CD6238" w:rsidRPr="007861DD">
        <w:rPr>
          <w:b/>
          <w:color w:val="0D0D0D"/>
        </w:rPr>
        <w:t>usales de sobreseimiento</w:t>
      </w:r>
    </w:p>
    <w:p w14:paraId="426FEE7A" w14:textId="77777777" w:rsidR="005C690F" w:rsidRPr="007861DD" w:rsidRDefault="005C690F" w:rsidP="001162C4">
      <w:pPr>
        <w:spacing w:after="0" w:line="360" w:lineRule="auto"/>
        <w:rPr>
          <w:color w:val="0D0D0D"/>
        </w:rPr>
      </w:pPr>
    </w:p>
    <w:p w14:paraId="5B1C849A" w14:textId="77777777" w:rsidR="005C690F" w:rsidRPr="007861DD" w:rsidRDefault="007D6307" w:rsidP="001162C4">
      <w:pPr>
        <w:spacing w:after="0" w:line="360" w:lineRule="auto"/>
        <w:rPr>
          <w:color w:val="0D0D0D"/>
        </w:rPr>
      </w:pPr>
      <w:r w:rsidRPr="007861DD">
        <w:rPr>
          <w:color w:val="0D0D0D"/>
        </w:rPr>
        <w:t>Por ser de previo y especial pronunciamiento, este Instituto analiza si se actualiza alguna causal de sobreseimiento.</w:t>
      </w:r>
    </w:p>
    <w:p w14:paraId="5CEDF034" w14:textId="77777777" w:rsidR="00A96A4E" w:rsidRPr="007861DD" w:rsidRDefault="00A96A4E" w:rsidP="001162C4">
      <w:pPr>
        <w:spacing w:after="0" w:line="360" w:lineRule="auto"/>
        <w:rPr>
          <w:color w:val="0D0D0D"/>
        </w:rPr>
      </w:pPr>
    </w:p>
    <w:p w14:paraId="766AB72D" w14:textId="77777777" w:rsidR="00BC038B" w:rsidRPr="007861DD" w:rsidRDefault="00BC038B" w:rsidP="001162C4">
      <w:pPr>
        <w:spacing w:after="0" w:line="360" w:lineRule="auto"/>
        <w:rPr>
          <w:color w:val="000000"/>
        </w:rPr>
      </w:pPr>
      <w:r w:rsidRPr="007861DD">
        <w:rPr>
          <w:color w:val="0D0D0D"/>
        </w:rPr>
        <w:t>Sobre el tema, e</w:t>
      </w:r>
      <w:r w:rsidRPr="007861DD">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7861DD" w:rsidRDefault="00BC038B" w:rsidP="001162C4">
      <w:pPr>
        <w:spacing w:after="0" w:line="360" w:lineRule="auto"/>
        <w:rPr>
          <w:color w:val="000000"/>
        </w:rPr>
      </w:pPr>
    </w:p>
    <w:p w14:paraId="5BDF3BB4" w14:textId="2A80B251" w:rsidR="00BC038B" w:rsidRPr="007861DD" w:rsidRDefault="00BC038B" w:rsidP="001162C4">
      <w:pPr>
        <w:spacing w:after="0" w:line="360" w:lineRule="auto"/>
        <w:rPr>
          <w:color w:val="0D0D0D"/>
        </w:rPr>
      </w:pPr>
      <w:r w:rsidRPr="007861DD">
        <w:rPr>
          <w:color w:val="0D0D0D"/>
        </w:rPr>
        <w:t>Por tales motivos, se considera procedente entrar al fondo del presente asunto.</w:t>
      </w:r>
    </w:p>
    <w:p w14:paraId="275D3AA1" w14:textId="77777777" w:rsidR="001A44D1" w:rsidRPr="007861DD" w:rsidRDefault="001A44D1" w:rsidP="001162C4">
      <w:pPr>
        <w:spacing w:after="0" w:line="360" w:lineRule="auto"/>
        <w:rPr>
          <w:b/>
          <w:color w:val="000000"/>
        </w:rPr>
      </w:pPr>
    </w:p>
    <w:p w14:paraId="0A6A0BAE" w14:textId="184EF292" w:rsidR="005C690F" w:rsidRPr="007861DD" w:rsidRDefault="007D6307" w:rsidP="001162C4">
      <w:pPr>
        <w:pStyle w:val="Ttulo2"/>
        <w:spacing w:before="0" w:after="0" w:line="360" w:lineRule="auto"/>
        <w:rPr>
          <w:sz w:val="22"/>
          <w:szCs w:val="22"/>
        </w:rPr>
      </w:pPr>
      <w:bookmarkStart w:id="10" w:name="_Toc213244224"/>
      <w:r w:rsidRPr="007861DD">
        <w:rPr>
          <w:sz w:val="22"/>
          <w:szCs w:val="22"/>
        </w:rPr>
        <w:t>TERCERO. De</w:t>
      </w:r>
      <w:r w:rsidR="00CD6238" w:rsidRPr="007861DD">
        <w:rPr>
          <w:sz w:val="22"/>
          <w:szCs w:val="22"/>
        </w:rPr>
        <w:t>terminación de la Controversia</w:t>
      </w:r>
      <w:bookmarkEnd w:id="10"/>
    </w:p>
    <w:p w14:paraId="4A0739CB" w14:textId="77777777" w:rsidR="00897A05" w:rsidRPr="007861DD" w:rsidRDefault="00897A05" w:rsidP="001162C4">
      <w:pPr>
        <w:spacing w:after="0" w:line="360" w:lineRule="auto"/>
        <w:rPr>
          <w:b/>
          <w:color w:val="000000"/>
        </w:rPr>
      </w:pPr>
    </w:p>
    <w:p w14:paraId="401AE661" w14:textId="5EC2FA5F" w:rsidR="008505A7" w:rsidRPr="007861DD" w:rsidRDefault="007C7BAF" w:rsidP="001162C4">
      <w:pPr>
        <w:spacing w:after="0" w:line="360" w:lineRule="auto"/>
        <w:rPr>
          <w:rFonts w:cs="Tahoma"/>
        </w:rPr>
      </w:pPr>
      <w:r w:rsidRPr="007861DD">
        <w:rPr>
          <w:rFonts w:cs="Tahoma"/>
        </w:rPr>
        <w:t xml:space="preserve">Con el objetivo de ilustrar la controversia planteada, resulta conveniente precisar, que una vez realizado el estudio de las constancias que integran el expediente en el que se actúa, se desprende que el Particular </w:t>
      </w:r>
      <w:r w:rsidR="008505A7" w:rsidRPr="007861DD">
        <w:rPr>
          <w:rFonts w:cs="Tahoma"/>
        </w:rPr>
        <w:t xml:space="preserve">requirió, los comprobantes de todos los pagos realizados </w:t>
      </w:r>
      <w:r w:rsidR="008505A7" w:rsidRPr="007861DD">
        <w:rPr>
          <w:rFonts w:cs="Tahoma"/>
        </w:rPr>
        <w:lastRenderedPageBreak/>
        <w:t>mediante cheque y transferencia electrónica a particulares</w:t>
      </w:r>
      <w:r w:rsidR="00E25560" w:rsidRPr="007861DD">
        <w:rPr>
          <w:rFonts w:cs="Tahoma"/>
        </w:rPr>
        <w:t>,</w:t>
      </w:r>
      <w:r w:rsidR="008505A7" w:rsidRPr="007861DD">
        <w:rPr>
          <w:rFonts w:cs="Tahoma"/>
        </w:rPr>
        <w:t xml:space="preserve"> del </w:t>
      </w:r>
      <w:r w:rsidR="00E25560" w:rsidRPr="007861DD">
        <w:rPr>
          <w:rFonts w:cs="Tahoma"/>
        </w:rPr>
        <w:t xml:space="preserve">primero al treinta y uno de </w:t>
      </w:r>
      <w:r w:rsidR="008505A7" w:rsidRPr="007861DD">
        <w:rPr>
          <w:rFonts w:cs="Tahoma"/>
        </w:rPr>
        <w:t xml:space="preserve">marzo de </w:t>
      </w:r>
      <w:r w:rsidR="00E25560" w:rsidRPr="007861DD">
        <w:rPr>
          <w:rFonts w:cs="Tahoma"/>
        </w:rPr>
        <w:t>dos mil veinticinco.</w:t>
      </w:r>
    </w:p>
    <w:p w14:paraId="0E12E12A" w14:textId="77777777" w:rsidR="002E21BF" w:rsidRPr="007861DD" w:rsidRDefault="002E21BF" w:rsidP="001162C4">
      <w:pPr>
        <w:spacing w:after="0" w:line="360" w:lineRule="auto"/>
        <w:rPr>
          <w:rFonts w:cs="Tahoma"/>
        </w:rPr>
      </w:pPr>
    </w:p>
    <w:p w14:paraId="0781F441" w14:textId="79BC80EF" w:rsidR="008F2D7A" w:rsidRPr="007861DD" w:rsidRDefault="007C7BAF" w:rsidP="001162C4">
      <w:pPr>
        <w:spacing w:after="0" w:line="360" w:lineRule="auto"/>
        <w:rPr>
          <w:rFonts w:cs="Tahoma"/>
          <w:lang w:val="es-ES"/>
        </w:rPr>
      </w:pPr>
      <w:r w:rsidRPr="007861DD">
        <w:rPr>
          <w:color w:val="000000"/>
        </w:rPr>
        <w:t>En respuesta, el Sujeto Obligado,</w:t>
      </w:r>
      <w:r w:rsidR="00644832" w:rsidRPr="007861DD">
        <w:rPr>
          <w:color w:val="000000"/>
        </w:rPr>
        <w:t xml:space="preserve"> </w:t>
      </w:r>
      <w:r w:rsidR="00C672CD" w:rsidRPr="007861DD">
        <w:rPr>
          <w:color w:val="000000"/>
        </w:rPr>
        <w:t>a través de</w:t>
      </w:r>
      <w:r w:rsidR="00A26E75" w:rsidRPr="007861DD">
        <w:rPr>
          <w:color w:val="000000"/>
        </w:rPr>
        <w:t xml:space="preserve"> </w:t>
      </w:r>
      <w:r w:rsidR="00E25560" w:rsidRPr="007861DD">
        <w:rPr>
          <w:color w:val="000000"/>
        </w:rPr>
        <w:t>la Directora de Administración Financiera, mencionó que, de los expedientes se tienen aproximadamente 2,920 legajos con un promedio de 1,200 hojas por legajo, dando un total de 3'504,000 hojas adicional a estos, se tienen medios magnéticos cuyo acervo asciende a más de 12,000 facturas correspondientes al periodo de enero de 2022 a la fecha y únicamente de uno de los tipos de facturas que se tienen, dando un total de 150,000 hojas, lo cual implicaría aproximadamente 540 horas-hombre para lograr la descarga, impresión, revisión y organización de la documentación, además de la labor de realizar versiones públicas de los documentos, por lo que, no es material jurídicamente posible proporcionar dicho soporte, además, entregó una liga electrónica para consultar la información que obra en una factura para consultarse en el Sistema de Información Pública de Oficio Mexiquense (IPOMEХ) correspondiente al artículo 92 fracción XXV B</w:t>
      </w:r>
      <w:r w:rsidR="00C672CD" w:rsidRPr="007861DD">
        <w:rPr>
          <w:color w:val="000000"/>
          <w:sz w:val="24"/>
        </w:rPr>
        <w:t>;</w:t>
      </w:r>
      <w:r w:rsidRPr="007861DD">
        <w:t xml:space="preserve"> </w:t>
      </w:r>
      <w:r w:rsidRPr="007861DD">
        <w:rPr>
          <w:rFonts w:cs="Tahoma"/>
          <w:lang w:val="es-ES"/>
        </w:rPr>
        <w:t>ante dicha circunstancia, el Particular se inconformó</w:t>
      </w:r>
      <w:r w:rsidR="00644832" w:rsidRPr="007861DD">
        <w:rPr>
          <w:rFonts w:cs="Tahoma"/>
          <w:lang w:val="es-ES"/>
        </w:rPr>
        <w:t xml:space="preserve"> </w:t>
      </w:r>
      <w:r w:rsidR="00966BF0" w:rsidRPr="007861DD">
        <w:rPr>
          <w:rFonts w:cs="Tahoma"/>
          <w:lang w:val="es-ES"/>
        </w:rPr>
        <w:t>de</w:t>
      </w:r>
      <w:r w:rsidR="00105B6E" w:rsidRPr="007861DD">
        <w:rPr>
          <w:rFonts w:cs="Tahoma"/>
          <w:lang w:val="es-ES"/>
        </w:rPr>
        <w:t xml:space="preserve"> la</w:t>
      </w:r>
      <w:r w:rsidR="002E21BF" w:rsidRPr="007861DD">
        <w:rPr>
          <w:rFonts w:cs="Tahoma"/>
          <w:lang w:val="es-ES"/>
        </w:rPr>
        <w:t xml:space="preserve"> entrega de información que no corresponde con lo solicitado, al mencionar que</w:t>
      </w:r>
      <w:r w:rsidR="00E25560" w:rsidRPr="007861DD">
        <w:rPr>
          <w:rFonts w:cs="Tahoma"/>
          <w:lang w:val="es-ES"/>
        </w:rPr>
        <w:t xml:space="preserve"> no le entregaron la información solicitada pues precisó la temporalidad de la información y en el enlace electrónico que proporcionó no viene la información solicitada</w:t>
      </w:r>
      <w:r w:rsidR="001A7F04" w:rsidRPr="007861DD">
        <w:rPr>
          <w:rFonts w:cs="Tahoma"/>
          <w:lang w:val="es-ES"/>
        </w:rPr>
        <w:t xml:space="preserve">, </w:t>
      </w:r>
      <w:r w:rsidRPr="007861DD">
        <w:rPr>
          <w:rFonts w:cs="Tahoma"/>
          <w:lang w:val="es-ES"/>
        </w:rPr>
        <w:t xml:space="preserve">lo cual </w:t>
      </w:r>
      <w:r w:rsidRPr="007861DD">
        <w:rPr>
          <w:rFonts w:eastAsia="Calibri" w:cs="Tahoma"/>
        </w:rPr>
        <w:t>actualiza la causal de proce</w:t>
      </w:r>
      <w:r w:rsidR="00413093" w:rsidRPr="007861DD">
        <w:rPr>
          <w:rFonts w:eastAsia="Calibri" w:cs="Tahoma"/>
        </w:rPr>
        <w:t xml:space="preserve">dencia prevista en la fracción </w:t>
      </w:r>
      <w:r w:rsidR="008F2D7A" w:rsidRPr="007861DD">
        <w:rPr>
          <w:rFonts w:eastAsia="Calibri" w:cs="Tahoma"/>
        </w:rPr>
        <w:t>VI</w:t>
      </w:r>
      <w:r w:rsidRPr="007861DD">
        <w:rPr>
          <w:rFonts w:eastAsia="Calibri" w:cs="Tahoma"/>
        </w:rPr>
        <w:t>, del artículo 179 de la Ley de Transparencia y Acceso a la Información Pública del Estado de México y Municipios</w:t>
      </w:r>
      <w:r w:rsidRPr="007861DD">
        <w:rPr>
          <w:color w:val="0D0D0D"/>
        </w:rPr>
        <w:t xml:space="preserve">. </w:t>
      </w:r>
      <w:r w:rsidRPr="007861DD">
        <w:rPr>
          <w:rFonts w:eastAsia="Calibri" w:cs="Tahoma"/>
        </w:rPr>
        <w:t>Así, las cosas, una vez admitido y notificado el Recurso de Revisión</w:t>
      </w:r>
      <w:r w:rsidR="00522A47" w:rsidRPr="007861DD">
        <w:rPr>
          <w:rFonts w:eastAsia="Calibri" w:cs="Tahoma"/>
        </w:rPr>
        <w:t xml:space="preserve"> a las partes,</w:t>
      </w:r>
      <w:r w:rsidR="00D93A2A" w:rsidRPr="007861DD">
        <w:rPr>
          <w:rFonts w:eastAsia="Calibri" w:cs="Tahoma"/>
        </w:rPr>
        <w:t xml:space="preserve"> </w:t>
      </w:r>
      <w:r w:rsidR="00E25560" w:rsidRPr="007861DD">
        <w:rPr>
          <w:rFonts w:eastAsia="Calibri" w:cs="Tahoma"/>
        </w:rPr>
        <w:t xml:space="preserve">la </w:t>
      </w:r>
      <w:proofErr w:type="gramStart"/>
      <w:r w:rsidR="00E25560" w:rsidRPr="007861DD">
        <w:rPr>
          <w:rFonts w:eastAsia="Calibri" w:cs="Tahoma"/>
        </w:rPr>
        <w:t>Directora</w:t>
      </w:r>
      <w:proofErr w:type="gramEnd"/>
      <w:r w:rsidR="00E25560" w:rsidRPr="007861DD">
        <w:rPr>
          <w:rFonts w:eastAsia="Calibri" w:cs="Tahoma"/>
        </w:rPr>
        <w:t xml:space="preserve"> de Administración Financiera entregó 52 Estados de Cuenta Bancarios del mes de marzo de dos mil veinticinco.</w:t>
      </w:r>
    </w:p>
    <w:p w14:paraId="5B0BE6AE" w14:textId="77777777" w:rsidR="008F2D7A" w:rsidRPr="007861DD" w:rsidRDefault="008F2D7A" w:rsidP="001162C4">
      <w:pPr>
        <w:tabs>
          <w:tab w:val="left" w:pos="4962"/>
        </w:tabs>
        <w:spacing w:after="0" w:line="360" w:lineRule="auto"/>
        <w:rPr>
          <w:rFonts w:eastAsia="Calibri" w:cs="Tahoma"/>
        </w:rPr>
      </w:pPr>
    </w:p>
    <w:p w14:paraId="22C5958E" w14:textId="7279D91C" w:rsidR="007C7BAF" w:rsidRPr="007861DD" w:rsidRDefault="007C7BAF" w:rsidP="001162C4">
      <w:pPr>
        <w:tabs>
          <w:tab w:val="left" w:pos="4962"/>
        </w:tabs>
        <w:spacing w:after="0" w:line="360" w:lineRule="auto"/>
        <w:rPr>
          <w:rFonts w:eastAsia="Calibri" w:cs="Tahoma"/>
          <w:bCs/>
        </w:rPr>
      </w:pPr>
      <w:r w:rsidRPr="007861DD">
        <w:rPr>
          <w:rFonts w:eastAsia="Calibri" w:cs="Tahoma"/>
          <w:iCs/>
          <w:lang w:val="es-ES" w:eastAsia="es-ES_tradnl"/>
        </w:rPr>
        <w:t>Lo anterior, se desprende de las documentales que obran en el expediente de referencia, materia de la presente resolución, consistente en: la solic</w:t>
      </w:r>
      <w:r w:rsidR="00BB3F28" w:rsidRPr="007861DD">
        <w:rPr>
          <w:rFonts w:eastAsia="Calibri" w:cs="Tahoma"/>
          <w:iCs/>
          <w:lang w:val="es-ES" w:eastAsia="es-ES_tradnl"/>
        </w:rPr>
        <w:t>i</w:t>
      </w:r>
      <w:r w:rsidR="0076190F" w:rsidRPr="007861DD">
        <w:rPr>
          <w:rFonts w:eastAsia="Calibri" w:cs="Tahoma"/>
          <w:iCs/>
          <w:lang w:val="es-ES" w:eastAsia="es-ES_tradnl"/>
        </w:rPr>
        <w:t xml:space="preserve">tud de acceso a </w:t>
      </w:r>
      <w:r w:rsidR="006E6B82" w:rsidRPr="007861DD">
        <w:rPr>
          <w:rFonts w:eastAsia="Calibri" w:cs="Tahoma"/>
          <w:iCs/>
          <w:lang w:val="es-ES" w:eastAsia="es-ES_tradnl"/>
        </w:rPr>
        <w:t>la información</w:t>
      </w:r>
      <w:r w:rsidR="00E25560" w:rsidRPr="007861DD">
        <w:rPr>
          <w:rFonts w:eastAsia="Calibri" w:cs="Tahoma"/>
          <w:iCs/>
          <w:lang w:val="es-ES" w:eastAsia="es-ES_tradnl"/>
        </w:rPr>
        <w:t xml:space="preserve">, </w:t>
      </w:r>
      <w:r w:rsidR="006E6B82" w:rsidRPr="007861DD">
        <w:rPr>
          <w:rFonts w:eastAsia="Calibri" w:cs="Tahoma"/>
          <w:iCs/>
          <w:lang w:eastAsia="es-ES_tradnl"/>
        </w:rPr>
        <w:t xml:space="preserve">el escrito </w:t>
      </w:r>
      <w:proofErr w:type="spellStart"/>
      <w:r w:rsidR="006E6B82" w:rsidRPr="007861DD">
        <w:rPr>
          <w:rFonts w:eastAsia="Calibri" w:cs="Tahoma"/>
          <w:iCs/>
          <w:lang w:eastAsia="es-ES_tradnl"/>
        </w:rPr>
        <w:t>recursal</w:t>
      </w:r>
      <w:proofErr w:type="spellEnd"/>
      <w:r w:rsidR="00E25560" w:rsidRPr="007861DD">
        <w:rPr>
          <w:rFonts w:eastAsia="Calibri" w:cs="Tahoma"/>
          <w:iCs/>
          <w:lang w:eastAsia="es-ES_tradnl"/>
        </w:rPr>
        <w:t xml:space="preserve"> y el Informe Justificado</w:t>
      </w:r>
      <w:r w:rsidRPr="007861DD">
        <w:rPr>
          <w:rFonts w:eastAsia="Calibri" w:cs="Tahoma"/>
          <w:iCs/>
          <w:lang w:eastAsia="es-ES_tradnl"/>
        </w:rPr>
        <w:t xml:space="preserve">; </w:t>
      </w:r>
      <w:r w:rsidRPr="007861DD">
        <w:rPr>
          <w:rFonts w:eastAsia="Calibri" w:cs="Tahoma"/>
          <w:bCs/>
        </w:rPr>
        <w:t xml:space="preserve">instrumentales que se toman en cuenta a efecto de </w:t>
      </w:r>
      <w:r w:rsidRPr="007861DD">
        <w:rPr>
          <w:rFonts w:eastAsia="Calibri" w:cs="Tahoma"/>
          <w:bCs/>
        </w:rPr>
        <w:lastRenderedPageBreak/>
        <w:t>resolver el presente medio de impugnación, conforme a lo dispuesto por el artículo 185, fracción IV, de la Ley de Transparencia y Acceso a la Información Pública del Estado de México y Municipios.</w:t>
      </w:r>
    </w:p>
    <w:p w14:paraId="766B3A4D" w14:textId="7FD5AF07" w:rsidR="00C672CD" w:rsidRPr="007861DD" w:rsidRDefault="00C672CD" w:rsidP="001162C4">
      <w:pPr>
        <w:pStyle w:val="Ttulo2"/>
        <w:spacing w:before="0" w:after="0" w:line="360" w:lineRule="auto"/>
        <w:rPr>
          <w:sz w:val="22"/>
          <w:szCs w:val="22"/>
        </w:rPr>
      </w:pPr>
    </w:p>
    <w:p w14:paraId="36DCBD9D" w14:textId="0AA8912A" w:rsidR="005C690F" w:rsidRPr="007861DD" w:rsidRDefault="007D6307" w:rsidP="001162C4">
      <w:pPr>
        <w:pStyle w:val="Ttulo2"/>
        <w:spacing w:before="0" w:after="0" w:line="360" w:lineRule="auto"/>
        <w:rPr>
          <w:sz w:val="22"/>
          <w:szCs w:val="22"/>
        </w:rPr>
      </w:pPr>
      <w:bookmarkStart w:id="11" w:name="_Toc213244225"/>
      <w:r w:rsidRPr="007861DD">
        <w:rPr>
          <w:sz w:val="22"/>
          <w:szCs w:val="22"/>
        </w:rPr>
        <w:t xml:space="preserve">CUARTO. Marco normativo aplicable en materia de transparencia y </w:t>
      </w:r>
      <w:r w:rsidR="00CD6238" w:rsidRPr="007861DD">
        <w:rPr>
          <w:sz w:val="22"/>
          <w:szCs w:val="22"/>
        </w:rPr>
        <w:t>acceso a la información pública</w:t>
      </w:r>
      <w:bookmarkEnd w:id="11"/>
    </w:p>
    <w:p w14:paraId="4D62F8F1" w14:textId="77777777" w:rsidR="005C690F" w:rsidRPr="007861DD" w:rsidRDefault="005C690F" w:rsidP="001162C4">
      <w:pPr>
        <w:spacing w:after="0" w:line="360" w:lineRule="auto"/>
        <w:rPr>
          <w:color w:val="000000"/>
        </w:rPr>
      </w:pPr>
    </w:p>
    <w:p w14:paraId="68F50546" w14:textId="77777777" w:rsidR="005C690F" w:rsidRPr="007861DD" w:rsidRDefault="007D6307" w:rsidP="001162C4">
      <w:pPr>
        <w:spacing w:after="0" w:line="360" w:lineRule="auto"/>
        <w:rPr>
          <w:color w:val="000000"/>
        </w:rPr>
      </w:pPr>
      <w:r w:rsidRPr="007861DD">
        <w:rPr>
          <w:color w:val="000000"/>
        </w:rPr>
        <w:t xml:space="preserve">El artículo 6°, Apartado A), fracción I de la Constitución Política de los Estados Unidos Mexicanos, establece que toda la información en posesión de cualquier </w:t>
      </w:r>
      <w:proofErr w:type="gramStart"/>
      <w:r w:rsidRPr="007861DD">
        <w:rPr>
          <w:color w:val="000000"/>
        </w:rPr>
        <w:t>autoridad,</w:t>
      </w:r>
      <w:proofErr w:type="gramEnd"/>
      <w:r w:rsidRPr="007861DD">
        <w:rPr>
          <w:color w:val="000000"/>
        </w:rPr>
        <w:t xml:space="preserve"> es pública y sólo podrá ser reservada temporalmente por razones de interés público.</w:t>
      </w:r>
    </w:p>
    <w:p w14:paraId="792A5D2D" w14:textId="77777777" w:rsidR="005C690F" w:rsidRPr="007861DD" w:rsidRDefault="005C690F" w:rsidP="001162C4">
      <w:pPr>
        <w:spacing w:after="0" w:line="360" w:lineRule="auto"/>
        <w:rPr>
          <w:color w:val="000000"/>
        </w:rPr>
      </w:pPr>
    </w:p>
    <w:p w14:paraId="69458899" w14:textId="77777777" w:rsidR="005C690F" w:rsidRPr="007861DD" w:rsidRDefault="007D6307" w:rsidP="001162C4">
      <w:pPr>
        <w:spacing w:after="0" w:line="360" w:lineRule="auto"/>
        <w:rPr>
          <w:color w:val="000000"/>
        </w:rPr>
      </w:pPr>
      <w:r w:rsidRPr="007861DD">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7861DD" w:rsidRDefault="005C690F" w:rsidP="001162C4">
      <w:pPr>
        <w:spacing w:after="0" w:line="360" w:lineRule="auto"/>
        <w:rPr>
          <w:color w:val="000000"/>
        </w:rPr>
      </w:pPr>
    </w:p>
    <w:p w14:paraId="3D8EBDEC" w14:textId="77777777" w:rsidR="005C690F" w:rsidRPr="007861DD" w:rsidRDefault="007D6307" w:rsidP="001162C4">
      <w:pPr>
        <w:spacing w:after="0" w:line="360" w:lineRule="auto"/>
        <w:rPr>
          <w:color w:val="000000"/>
        </w:rPr>
      </w:pPr>
      <w:r w:rsidRPr="007861DD">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7861DD" w:rsidRDefault="005C690F" w:rsidP="001162C4">
      <w:pPr>
        <w:spacing w:after="0" w:line="360" w:lineRule="auto"/>
        <w:rPr>
          <w:color w:val="000000"/>
        </w:rPr>
      </w:pPr>
    </w:p>
    <w:p w14:paraId="5BD9CB2E" w14:textId="77777777" w:rsidR="005C690F" w:rsidRPr="007861DD" w:rsidRDefault="007D6307" w:rsidP="001162C4">
      <w:pPr>
        <w:spacing w:after="0" w:line="360" w:lineRule="auto"/>
        <w:rPr>
          <w:color w:val="000000"/>
        </w:rPr>
      </w:pPr>
      <w:r w:rsidRPr="007861DD">
        <w:rPr>
          <w:color w:val="000000"/>
        </w:rPr>
        <w:t>El artículo 12, que, quienes generen, recopilen, administren, manejen, procesen, archiven o conserven información pública serán responsables de la misma.</w:t>
      </w:r>
    </w:p>
    <w:p w14:paraId="6BD1FFBB" w14:textId="77777777" w:rsidR="007C02D1" w:rsidRPr="007861DD" w:rsidRDefault="007C02D1" w:rsidP="001162C4">
      <w:pPr>
        <w:spacing w:after="0" w:line="360" w:lineRule="auto"/>
        <w:rPr>
          <w:color w:val="000000"/>
        </w:rPr>
      </w:pPr>
    </w:p>
    <w:p w14:paraId="3D899A16" w14:textId="77777777" w:rsidR="005C690F" w:rsidRPr="007861DD" w:rsidRDefault="007D6307" w:rsidP="001162C4">
      <w:pPr>
        <w:widowControl w:val="0"/>
        <w:spacing w:after="0" w:line="360" w:lineRule="auto"/>
        <w:rPr>
          <w:color w:val="000000"/>
        </w:rPr>
      </w:pPr>
      <w:r w:rsidRPr="007861DD">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70E5B643" w14:textId="378E2A57" w:rsidR="00B04A35" w:rsidRPr="007861DD" w:rsidRDefault="007D6307" w:rsidP="001162C4">
      <w:pPr>
        <w:spacing w:after="0" w:line="360" w:lineRule="auto"/>
        <w:rPr>
          <w:color w:val="000000"/>
        </w:rPr>
      </w:pPr>
      <w:r w:rsidRPr="007861DD">
        <w:rPr>
          <w:color w:val="000000"/>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7861DD" w:rsidRDefault="005C690F" w:rsidP="001162C4">
      <w:pPr>
        <w:spacing w:after="0" w:line="360" w:lineRule="auto"/>
      </w:pPr>
    </w:p>
    <w:p w14:paraId="3AF871E5" w14:textId="6FEB966D" w:rsidR="005C690F" w:rsidRPr="007861DD" w:rsidRDefault="00CD6238" w:rsidP="001162C4">
      <w:pPr>
        <w:pStyle w:val="Ttulo2"/>
        <w:spacing w:before="0" w:after="0" w:line="360" w:lineRule="auto"/>
        <w:rPr>
          <w:sz w:val="22"/>
          <w:szCs w:val="22"/>
        </w:rPr>
      </w:pPr>
      <w:bookmarkStart w:id="12" w:name="_Toc213244226"/>
      <w:r w:rsidRPr="007861DD">
        <w:rPr>
          <w:sz w:val="22"/>
          <w:szCs w:val="22"/>
        </w:rPr>
        <w:t>Q</w:t>
      </w:r>
      <w:r w:rsidR="0044017B" w:rsidRPr="007861DD">
        <w:rPr>
          <w:sz w:val="22"/>
          <w:szCs w:val="22"/>
        </w:rPr>
        <w:t>UINTO</w:t>
      </w:r>
      <w:r w:rsidRPr="007861DD">
        <w:rPr>
          <w:sz w:val="22"/>
          <w:szCs w:val="22"/>
        </w:rPr>
        <w:t>. Estudio de Fondo</w:t>
      </w:r>
      <w:bookmarkEnd w:id="12"/>
    </w:p>
    <w:p w14:paraId="2596B212" w14:textId="77777777" w:rsidR="00A56228" w:rsidRPr="007861DD" w:rsidRDefault="00A56228" w:rsidP="001162C4">
      <w:pPr>
        <w:spacing w:after="0" w:line="360" w:lineRule="auto"/>
        <w:rPr>
          <w:b/>
          <w:color w:val="000000"/>
        </w:rPr>
      </w:pPr>
    </w:p>
    <w:p w14:paraId="63BCC1E3" w14:textId="100FCE1F" w:rsidR="00A6674B" w:rsidRPr="007861DD" w:rsidRDefault="0064067B" w:rsidP="001162C4">
      <w:pPr>
        <w:spacing w:after="0" w:line="360" w:lineRule="auto"/>
        <w:rPr>
          <w:rFonts w:eastAsia="Times New Roman" w:cs="Tahoma"/>
          <w:bCs/>
          <w:iCs/>
          <w:lang w:eastAsia="es-ES"/>
        </w:rPr>
      </w:pPr>
      <w:r w:rsidRPr="007861DD">
        <w:rPr>
          <w:color w:val="000000"/>
        </w:rPr>
        <w:t>Expuestas las posturas de las partes, se procede al análisis de los agravios hechos valer por la persona Recurrente</w:t>
      </w:r>
      <w:r w:rsidR="00731FB9" w:rsidRPr="007861DD">
        <w:t xml:space="preserve">, </w:t>
      </w:r>
      <w:r w:rsidR="007F4407" w:rsidRPr="007861DD">
        <w:rPr>
          <w:rFonts w:eastAsia="Times New Roman" w:cs="Tahoma"/>
          <w:bCs/>
          <w:iCs/>
          <w:lang w:eastAsia="es-ES"/>
        </w:rPr>
        <w:t>por lo que, en principio es necesario contextualizar la solicitud de información</w:t>
      </w:r>
      <w:r w:rsidR="00A6674B" w:rsidRPr="007861DD">
        <w:rPr>
          <w:rFonts w:eastAsia="Times New Roman" w:cs="Tahoma"/>
          <w:bCs/>
          <w:iCs/>
          <w:lang w:eastAsia="es-ES"/>
        </w:rPr>
        <w:t>.</w:t>
      </w:r>
    </w:p>
    <w:p w14:paraId="1181F43D" w14:textId="77777777" w:rsidR="00FA340B" w:rsidRPr="007861DD" w:rsidRDefault="00FA340B" w:rsidP="001162C4">
      <w:pPr>
        <w:spacing w:after="0" w:line="360" w:lineRule="auto"/>
        <w:rPr>
          <w:rFonts w:eastAsia="Times New Roman" w:cs="Tahoma"/>
          <w:bCs/>
          <w:iCs/>
          <w:lang w:eastAsia="es-ES"/>
        </w:rPr>
      </w:pPr>
    </w:p>
    <w:p w14:paraId="27FC1E15" w14:textId="77777777" w:rsidR="00B9084C" w:rsidRPr="007861DD" w:rsidRDefault="00B9084C" w:rsidP="00B9084C">
      <w:pPr>
        <w:spacing w:after="0" w:line="360" w:lineRule="auto"/>
      </w:pPr>
      <w:r w:rsidRPr="007861DD">
        <w:t xml:space="preserve">Al respecto, el artículo 4°, fracción XVIII, de la Ley General de Contabilidad Gubernamental, establece que </w:t>
      </w:r>
      <w:r w:rsidRPr="007861DD">
        <w:rPr>
          <w:b/>
          <w:bCs/>
        </w:rPr>
        <w:t>la información financiera consiste en información presupuestaria y contable que se expresa en unidades monetarias las transacciones que realiza un ente público y los eventos económicos identificables y cuantificable</w:t>
      </w:r>
      <w:r w:rsidRPr="007861DD">
        <w:t xml:space="preserve"> la cual puede representarse por reportes, informes, estados y notas que expresan su situación financiera, los resultados de su operación y los cambios en su patrimonio.</w:t>
      </w:r>
    </w:p>
    <w:p w14:paraId="0E1AE552" w14:textId="77777777" w:rsidR="00B9084C" w:rsidRPr="007861DD" w:rsidRDefault="00B9084C" w:rsidP="00B9084C">
      <w:pPr>
        <w:spacing w:after="0" w:line="360" w:lineRule="auto"/>
      </w:pPr>
    </w:p>
    <w:p w14:paraId="38DC3E86" w14:textId="77777777" w:rsidR="00B9084C" w:rsidRPr="007861DD" w:rsidRDefault="00B9084C" w:rsidP="00B9084C">
      <w:pPr>
        <w:spacing w:after="0" w:line="360" w:lineRule="auto"/>
      </w:pPr>
      <w:r w:rsidRPr="007861DD">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74577C4F" w14:textId="77777777" w:rsidR="00B9084C" w:rsidRPr="007861DD" w:rsidRDefault="00B9084C" w:rsidP="00B9084C">
      <w:pPr>
        <w:spacing w:after="0" w:line="360" w:lineRule="auto"/>
      </w:pPr>
    </w:p>
    <w:p w14:paraId="5B48D689" w14:textId="77777777" w:rsidR="00B9084C" w:rsidRPr="007861DD" w:rsidRDefault="00B9084C" w:rsidP="00B9084C">
      <w:pPr>
        <w:spacing w:after="0" w:line="360" w:lineRule="auto"/>
      </w:pPr>
      <w:r w:rsidRPr="007861DD">
        <w:t xml:space="preserve">En ese sentido se tiene que los entes fiscalizables, tienen como obligación la de integrar y proporcionar los informes trimestrales, los cuales deberán atender los criterios generales que </w:t>
      </w:r>
      <w:r w:rsidRPr="007861DD">
        <w:lastRenderedPageBreak/>
        <w:t>regirán la contabilidad gubernamental y la emisión de información financiera de los entes públicos, cabe mencionar que estos deberán presentarse dentro de los veinte días hábiles posteriores al término del trimestre que corresponda.</w:t>
      </w:r>
    </w:p>
    <w:p w14:paraId="145B3F15" w14:textId="77777777" w:rsidR="00B9084C" w:rsidRPr="007861DD" w:rsidRDefault="00B9084C" w:rsidP="00B9084C">
      <w:pPr>
        <w:spacing w:after="0" w:line="360" w:lineRule="auto"/>
      </w:pPr>
    </w:p>
    <w:p w14:paraId="0B8FBF08" w14:textId="02F23AE2" w:rsidR="00B9084C" w:rsidRPr="007861DD" w:rsidRDefault="00B9084C" w:rsidP="00B9084C">
      <w:pPr>
        <w:spacing w:after="0" w:line="360" w:lineRule="auto"/>
      </w:pPr>
      <w:r w:rsidRPr="007861DD">
        <w:t>En ese contexto, los Sujetos Obligados deben generar pólizas contables que corresponden a un documento en el que se asientan las operaciones desarrolladas</w:t>
      </w:r>
      <w:r w:rsidR="00D47FC1" w:rsidRPr="007861DD">
        <w:t xml:space="preserve"> por las Entidades Públicas, con</w:t>
      </w:r>
      <w:r w:rsidRPr="007861DD">
        <w:t xml:space="preserve"> toda la información necesaria para su identificación; además, dichas pólizas se dividen en las siguientes:</w:t>
      </w:r>
    </w:p>
    <w:p w14:paraId="24A04470" w14:textId="77777777" w:rsidR="00B9084C" w:rsidRPr="007861DD" w:rsidRDefault="00B9084C" w:rsidP="00B9084C">
      <w:pPr>
        <w:spacing w:after="0" w:line="360" w:lineRule="auto"/>
      </w:pPr>
    </w:p>
    <w:p w14:paraId="336E4ECF" w14:textId="77777777" w:rsidR="00B9084C" w:rsidRPr="007861DD" w:rsidRDefault="00B9084C" w:rsidP="00B9084C">
      <w:pPr>
        <w:pStyle w:val="Prrafodelista"/>
        <w:numPr>
          <w:ilvl w:val="0"/>
          <w:numId w:val="9"/>
        </w:numPr>
        <w:spacing w:line="360" w:lineRule="auto"/>
      </w:pPr>
      <w:r w:rsidRPr="007861DD">
        <w:rPr>
          <w:b/>
          <w:bCs/>
        </w:rPr>
        <w:t>Póliza de Egresos:</w:t>
      </w:r>
      <w:r w:rsidRPr="007861DD">
        <w:t xml:space="preserve"> Corresponde a aquella donde se anotan las operaciones que implique egresos, es decir, la salida de dinero, en efectivo o transferencia, para el municipio. </w:t>
      </w:r>
    </w:p>
    <w:p w14:paraId="29D23809" w14:textId="77777777" w:rsidR="00B9084C" w:rsidRPr="007861DD" w:rsidRDefault="00B9084C" w:rsidP="00B9084C">
      <w:pPr>
        <w:pStyle w:val="Prrafodelista"/>
        <w:spacing w:line="360" w:lineRule="auto"/>
      </w:pPr>
    </w:p>
    <w:p w14:paraId="00BC8D23" w14:textId="77777777" w:rsidR="00B9084C" w:rsidRPr="007861DD" w:rsidRDefault="00B9084C" w:rsidP="00B9084C">
      <w:pPr>
        <w:pStyle w:val="Prrafodelista"/>
        <w:numPr>
          <w:ilvl w:val="0"/>
          <w:numId w:val="9"/>
        </w:numPr>
        <w:spacing w:line="360" w:lineRule="auto"/>
      </w:pPr>
      <w:r w:rsidRPr="007861DD">
        <w:rPr>
          <w:b/>
          <w:bCs/>
        </w:rPr>
        <w:t>Póliza Cheque:</w:t>
      </w:r>
      <w:r w:rsidRPr="007861DD">
        <w:t xml:space="preserve"> Es la que se elabora cuando la operación implique una salida de dinero del municipio, a través de un cheque.</w:t>
      </w:r>
    </w:p>
    <w:p w14:paraId="35F7A5BF" w14:textId="77777777" w:rsidR="00B9084C" w:rsidRPr="007861DD" w:rsidRDefault="00B9084C" w:rsidP="00B9084C">
      <w:pPr>
        <w:spacing w:after="0" w:line="360" w:lineRule="auto"/>
        <w:contextualSpacing/>
      </w:pPr>
    </w:p>
    <w:p w14:paraId="299A40A0" w14:textId="7B4DC805" w:rsidR="00D47FC1" w:rsidRPr="007861DD" w:rsidRDefault="00D47FC1" w:rsidP="00D47FC1">
      <w:pPr>
        <w:spacing w:after="0" w:line="360" w:lineRule="auto"/>
      </w:pPr>
      <w:r w:rsidRPr="007861DD">
        <w:t>Ahora bien, los Lineamientos para la integración y presentación de los Informes Trimestrales Estatales y Municipales del Ejercicio Fiscal 2025, establece que los Entes Fiscalizables, entre los cuales se encuentra el Sujeto Obligado, entre los formatos que maneja en el Módulo 1, se advierte que se encuentran Póliza de Egresos y Póliza Cheques, con soporte documental digitalizado (comprobantes de pago), mismos que serán entregados al Órgano Superior de Fiscalización del Estado de México.</w:t>
      </w:r>
    </w:p>
    <w:p w14:paraId="388FA570" w14:textId="77777777" w:rsidR="00160609" w:rsidRPr="007861DD" w:rsidRDefault="00160609" w:rsidP="00B9084C">
      <w:pPr>
        <w:spacing w:after="0" w:line="360" w:lineRule="auto"/>
        <w:contextualSpacing/>
        <w:rPr>
          <w:rFonts w:eastAsia="Calibri" w:cs="Tahoma"/>
          <w:bCs/>
        </w:rPr>
      </w:pPr>
    </w:p>
    <w:p w14:paraId="79CA87FC" w14:textId="3A342BED" w:rsidR="00160609" w:rsidRPr="007861DD" w:rsidRDefault="00160609" w:rsidP="00B9084C">
      <w:pPr>
        <w:spacing w:after="0" w:line="360" w:lineRule="auto"/>
        <w:contextualSpacing/>
        <w:rPr>
          <w:rFonts w:eastAsia="Calibri" w:cs="Tahoma"/>
          <w:bCs/>
        </w:rPr>
      </w:pPr>
      <w:r w:rsidRPr="007861DD">
        <w:rPr>
          <w:rFonts w:eastAsia="Calibri" w:cs="Tahoma"/>
          <w:bCs/>
        </w:rPr>
        <w:t>Ahora bien, de conformidad con el Manual de Organización del Instituto de Seguridad Social del Estado de México y Municipios, dentro de su estructura orgánica se encuentra la Coordinación de Administración y Finanzas</w:t>
      </w:r>
      <w:r w:rsidR="00062387" w:rsidRPr="007861DD">
        <w:rPr>
          <w:rFonts w:eastAsia="Calibri" w:cs="Tahoma"/>
          <w:bCs/>
        </w:rPr>
        <w:t xml:space="preserve">, que a través de su Departamento de Control de </w:t>
      </w:r>
      <w:r w:rsidR="00062387" w:rsidRPr="007861DD">
        <w:rPr>
          <w:rFonts w:eastAsia="Calibri" w:cs="Tahoma"/>
          <w:bCs/>
        </w:rPr>
        <w:lastRenderedPageBreak/>
        <w:t xml:space="preserve">Pagos y Departamento de Egresos </w:t>
      </w:r>
      <w:r w:rsidRPr="007861DD">
        <w:rPr>
          <w:rFonts w:eastAsia="Calibri" w:cs="Tahoma"/>
          <w:bCs/>
        </w:rPr>
        <w:t xml:space="preserve">se encargará de </w:t>
      </w:r>
      <w:r w:rsidR="00062387" w:rsidRPr="007861DD">
        <w:rPr>
          <w:rFonts w:eastAsia="Calibri" w:cs="Tahoma"/>
          <w:bCs/>
        </w:rPr>
        <w:t>validar y realizar la transferencia de recursos a las cuentas bancarias que correspondan, así como la emisión de cheques para el pago de obligaciones y compromisos del Instituto.</w:t>
      </w:r>
    </w:p>
    <w:p w14:paraId="54119757" w14:textId="77777777" w:rsidR="00C17735" w:rsidRPr="007861DD" w:rsidRDefault="00C17735" w:rsidP="00B9084C">
      <w:pPr>
        <w:spacing w:after="0" w:line="360" w:lineRule="auto"/>
        <w:contextualSpacing/>
        <w:rPr>
          <w:rFonts w:eastAsia="Calibri" w:cs="Tahoma"/>
          <w:bCs/>
        </w:rPr>
      </w:pPr>
    </w:p>
    <w:p w14:paraId="789E710B" w14:textId="3F98302E" w:rsidR="00B9084C" w:rsidRPr="007861DD" w:rsidRDefault="00D47FC1" w:rsidP="00B9084C">
      <w:pPr>
        <w:spacing w:after="0" w:line="360" w:lineRule="auto"/>
        <w:rPr>
          <w:color w:val="000000"/>
        </w:rPr>
      </w:pPr>
      <w:r w:rsidRPr="007861DD">
        <w:rPr>
          <w:color w:val="000000"/>
        </w:rPr>
        <w:t xml:space="preserve">Conforme a lo anterior, se logra vislumbrar que la pretensión de la persona </w:t>
      </w:r>
      <w:proofErr w:type="gramStart"/>
      <w:r w:rsidRPr="007861DD">
        <w:rPr>
          <w:color w:val="000000"/>
        </w:rPr>
        <w:t>Recurrente,</w:t>
      </w:r>
      <w:proofErr w:type="gramEnd"/>
      <w:r w:rsidRPr="007861DD">
        <w:rPr>
          <w:color w:val="000000"/>
        </w:rPr>
        <w:t xml:space="preserve"> es obtener, los comprobantes de pago por transferencia o cheque, realizados con recursos públicos</w:t>
      </w:r>
      <w:r w:rsidR="00062387" w:rsidRPr="007861DD">
        <w:rPr>
          <w:color w:val="000000"/>
        </w:rPr>
        <w:t>, del primero al treinta y uno de marzo de dos mil veinticinco.</w:t>
      </w:r>
    </w:p>
    <w:p w14:paraId="716398F9" w14:textId="77777777" w:rsidR="00B9084C" w:rsidRPr="007861DD" w:rsidRDefault="00B9084C" w:rsidP="00B9084C">
      <w:pPr>
        <w:spacing w:after="0" w:line="360" w:lineRule="auto"/>
        <w:contextualSpacing/>
        <w:rPr>
          <w:rFonts w:eastAsia="Calibri" w:cs="Tahoma"/>
          <w:bCs/>
        </w:rPr>
      </w:pPr>
    </w:p>
    <w:p w14:paraId="70511778" w14:textId="53F2F3CD" w:rsidR="00B0601E" w:rsidRPr="007861DD" w:rsidRDefault="00B0601E" w:rsidP="001162C4">
      <w:pPr>
        <w:spacing w:after="0" w:line="360" w:lineRule="auto"/>
        <w:rPr>
          <w:rFonts w:eastAsia="Times New Roman" w:cs="Tahoma"/>
          <w:bCs/>
          <w:iCs/>
          <w:lang w:eastAsia="es-ES"/>
        </w:rPr>
      </w:pPr>
      <w:r w:rsidRPr="007861DD">
        <w:rPr>
          <w:rFonts w:eastAsia="Times New Roman" w:cs="Tahoma"/>
          <w:bCs/>
          <w:iCs/>
          <w:lang w:eastAsia="es-ES"/>
        </w:rPr>
        <w:t>Establecida dicha circunstancia, de las constancias que obran en el expediente electrónico, se advierte que el Sujeto Obligado</w:t>
      </w:r>
      <w:r w:rsidR="00DF277D" w:rsidRPr="007861DD">
        <w:rPr>
          <w:rFonts w:eastAsia="Times New Roman" w:cs="Tahoma"/>
          <w:bCs/>
          <w:iCs/>
          <w:lang w:eastAsia="es-ES"/>
        </w:rPr>
        <w:t xml:space="preserve"> </w:t>
      </w:r>
      <w:r w:rsidR="00452BD6" w:rsidRPr="007861DD">
        <w:rPr>
          <w:rFonts w:eastAsia="Times New Roman" w:cs="Tahoma"/>
          <w:bCs/>
          <w:iCs/>
          <w:lang w:eastAsia="es-ES"/>
        </w:rPr>
        <w:t xml:space="preserve">dio respuesta a través de </w:t>
      </w:r>
      <w:r w:rsidR="00062387" w:rsidRPr="007861DD">
        <w:rPr>
          <w:rFonts w:eastAsia="Times New Roman" w:cs="Tahoma"/>
          <w:bCs/>
          <w:iCs/>
          <w:lang w:eastAsia="es-ES"/>
        </w:rPr>
        <w:t>la Coordinación de Administración y Finanzas</w:t>
      </w:r>
      <w:r w:rsidRPr="007861DD">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7861DD" w:rsidRDefault="00B0601E" w:rsidP="001162C4">
      <w:pPr>
        <w:spacing w:after="0" w:line="360" w:lineRule="auto"/>
        <w:rPr>
          <w:rFonts w:eastAsia="Times New Roman" w:cs="Tahoma"/>
          <w:bCs/>
          <w:iCs/>
          <w:lang w:eastAsia="es-ES"/>
        </w:rPr>
      </w:pPr>
    </w:p>
    <w:p w14:paraId="0ACE12E7" w14:textId="25527F53" w:rsidR="00452BD6" w:rsidRPr="007861DD" w:rsidRDefault="00B0601E" w:rsidP="001162C4">
      <w:pPr>
        <w:spacing w:after="0" w:line="360" w:lineRule="auto"/>
        <w:rPr>
          <w:rFonts w:eastAsia="Times New Roman" w:cs="Tahoma"/>
          <w:bCs/>
          <w:iCs/>
          <w:lang w:eastAsia="es-ES"/>
        </w:rPr>
      </w:pPr>
      <w:r w:rsidRPr="007861DD">
        <w:rPr>
          <w:rFonts w:eastAsia="Times New Roman" w:cs="Tahoma"/>
          <w:bCs/>
          <w:iCs/>
          <w:lang w:eastAsia="es-ES"/>
        </w:rPr>
        <w:t>Así y de lo plasmado en párrafos anteriores, se logra</w:t>
      </w:r>
      <w:r w:rsidR="00062387" w:rsidRPr="007861DD">
        <w:rPr>
          <w:rFonts w:eastAsia="Times New Roman" w:cs="Tahoma"/>
          <w:bCs/>
          <w:iCs/>
          <w:lang w:eastAsia="es-ES"/>
        </w:rPr>
        <w:t xml:space="preserve"> colegir que el Sujeto Obligado</w:t>
      </w:r>
      <w:r w:rsidR="00282C2E" w:rsidRPr="007861DD">
        <w:rPr>
          <w:rFonts w:eastAsia="Times New Roman" w:cs="Tahoma"/>
          <w:bCs/>
          <w:iCs/>
          <w:lang w:eastAsia="es-ES"/>
        </w:rPr>
        <w:t xml:space="preserve"> </w:t>
      </w:r>
      <w:r w:rsidRPr="007861DD">
        <w:rPr>
          <w:rFonts w:eastAsia="Times New Roman" w:cs="Tahoma"/>
          <w:bCs/>
          <w:iCs/>
          <w:lang w:eastAsia="es-ES"/>
        </w:rPr>
        <w:t>cumplió con el procedimiento de búsqueda establecido en el artículo 162 de la Ley de Transparencia y Acceso a la Información Pública del Estado de</w:t>
      </w:r>
      <w:r w:rsidR="008A519E" w:rsidRPr="007861DD">
        <w:rPr>
          <w:rFonts w:eastAsia="Times New Roman" w:cs="Tahoma"/>
          <w:bCs/>
          <w:iCs/>
          <w:lang w:eastAsia="es-ES"/>
        </w:rPr>
        <w:t xml:space="preserve"> Méxic</w:t>
      </w:r>
      <w:r w:rsidR="00062387" w:rsidRPr="007861DD">
        <w:rPr>
          <w:rFonts w:eastAsia="Times New Roman" w:cs="Tahoma"/>
          <w:bCs/>
          <w:iCs/>
          <w:lang w:eastAsia="es-ES"/>
        </w:rPr>
        <w:t xml:space="preserve">o y Municipios, toda vez que </w:t>
      </w:r>
      <w:r w:rsidR="008A519E" w:rsidRPr="007861DD">
        <w:rPr>
          <w:rFonts w:eastAsia="Times New Roman" w:cs="Tahoma"/>
          <w:bCs/>
          <w:iCs/>
          <w:lang w:eastAsia="es-ES"/>
        </w:rPr>
        <w:t>turno la solicitud de información</w:t>
      </w:r>
      <w:r w:rsidR="00062387" w:rsidRPr="007861DD">
        <w:rPr>
          <w:rFonts w:eastAsia="Times New Roman" w:cs="Tahoma"/>
          <w:bCs/>
          <w:iCs/>
          <w:lang w:eastAsia="es-ES"/>
        </w:rPr>
        <w:t xml:space="preserve"> al área competente de conocer de los pagos.</w:t>
      </w:r>
    </w:p>
    <w:p w14:paraId="3A404F9F" w14:textId="508DB3DC" w:rsidR="008A519E" w:rsidRPr="007861DD" w:rsidRDefault="008A519E" w:rsidP="001162C4">
      <w:pPr>
        <w:spacing w:after="0" w:line="360" w:lineRule="auto"/>
        <w:rPr>
          <w:rFonts w:eastAsia="Times New Roman" w:cs="Tahoma"/>
          <w:bCs/>
          <w:iCs/>
          <w:lang w:eastAsia="es-ES"/>
        </w:rPr>
      </w:pPr>
    </w:p>
    <w:p w14:paraId="28E6D349" w14:textId="29EDD295" w:rsidR="00062387" w:rsidRPr="007861DD" w:rsidRDefault="00B83D05" w:rsidP="001162C4">
      <w:pPr>
        <w:spacing w:after="0" w:line="360" w:lineRule="auto"/>
        <w:rPr>
          <w:rFonts w:eastAsia="Times New Roman" w:cs="Tahoma"/>
          <w:bCs/>
          <w:iCs/>
          <w:lang w:eastAsia="es-ES"/>
        </w:rPr>
      </w:pPr>
      <w:r w:rsidRPr="007861DD">
        <w:rPr>
          <w:rFonts w:eastAsia="Times New Roman" w:cs="Tahoma"/>
          <w:bCs/>
          <w:iCs/>
          <w:lang w:eastAsia="es-ES"/>
        </w:rPr>
        <w:t>Ahora bien, en respuesta</w:t>
      </w:r>
      <w:r w:rsidR="003303EB" w:rsidRPr="007861DD">
        <w:rPr>
          <w:rFonts w:eastAsia="Times New Roman" w:cs="Tahoma"/>
          <w:bCs/>
          <w:iCs/>
          <w:lang w:eastAsia="es-ES"/>
        </w:rPr>
        <w:t>,</w:t>
      </w:r>
      <w:r w:rsidR="00E638C3" w:rsidRPr="007861DD">
        <w:rPr>
          <w:rFonts w:eastAsia="Times New Roman" w:cs="Tahoma"/>
          <w:bCs/>
          <w:iCs/>
          <w:lang w:eastAsia="es-ES"/>
        </w:rPr>
        <w:t xml:space="preserve"> </w:t>
      </w:r>
      <w:r w:rsidR="00062387" w:rsidRPr="007861DD">
        <w:rPr>
          <w:rFonts w:eastAsia="Times New Roman" w:cs="Tahoma"/>
          <w:bCs/>
          <w:iCs/>
          <w:lang w:eastAsia="es-ES"/>
        </w:rPr>
        <w:t xml:space="preserve">la Coordinación de Administración y Finanzas mencionó que </w:t>
      </w:r>
      <w:r w:rsidR="00C17735" w:rsidRPr="007861DD">
        <w:rPr>
          <w:rFonts w:eastAsia="Times New Roman" w:cs="Tahoma"/>
          <w:bCs/>
          <w:iCs/>
          <w:lang w:eastAsia="es-ES"/>
        </w:rPr>
        <w:t xml:space="preserve">de los expedientes </w:t>
      </w:r>
      <w:r w:rsidR="00997199" w:rsidRPr="007861DD">
        <w:rPr>
          <w:rFonts w:eastAsia="Times New Roman" w:cs="Tahoma"/>
          <w:bCs/>
          <w:iCs/>
          <w:lang w:eastAsia="es-ES"/>
        </w:rPr>
        <w:t>que tenían la información se conformaban de</w:t>
      </w:r>
      <w:r w:rsidR="00C17735" w:rsidRPr="007861DD">
        <w:rPr>
          <w:rFonts w:eastAsia="Times New Roman" w:cs="Tahoma"/>
          <w:bCs/>
          <w:iCs/>
          <w:lang w:eastAsia="es-ES"/>
        </w:rPr>
        <w:t xml:space="preserve"> aproximadamente 2,920 </w:t>
      </w:r>
      <w:r w:rsidR="00C17735" w:rsidRPr="007861DD">
        <w:rPr>
          <w:rFonts w:eastAsia="Times New Roman" w:cs="Tahoma"/>
          <w:bCs/>
          <w:iCs/>
          <w:lang w:eastAsia="es-ES"/>
        </w:rPr>
        <w:lastRenderedPageBreak/>
        <w:t>legajos</w:t>
      </w:r>
      <w:r w:rsidR="00997199" w:rsidRPr="007861DD">
        <w:rPr>
          <w:rFonts w:eastAsia="Times New Roman" w:cs="Tahoma"/>
          <w:bCs/>
          <w:iCs/>
          <w:lang w:eastAsia="es-ES"/>
        </w:rPr>
        <w:t>,</w:t>
      </w:r>
      <w:r w:rsidR="00C17735" w:rsidRPr="007861DD">
        <w:rPr>
          <w:rFonts w:eastAsia="Times New Roman" w:cs="Tahoma"/>
          <w:bCs/>
          <w:iCs/>
          <w:lang w:eastAsia="es-ES"/>
        </w:rPr>
        <w:t xml:space="preserve"> con un promedio de 1,200 hojas por legajo, dando un total de 3'504,000 hojas adicional a estos, se tienen medios magnéticos cuyo acervo asciende a más de 12,000 facturas correspondientes al periodo de enero de 2022 a la fecha y únicamente de uno de los tipos de facturas que se tienen, dando un total de 150,000 hojas, lo cual implicaría aproximadamente 540 horas-hombre para lograr la descarga, impresión, revisión y organización de la documentación, además de la labor de realizar versiones públicas de los documentos, por lo que, no es material jurídicamente posible proporcionar dicho soporte.</w:t>
      </w:r>
    </w:p>
    <w:p w14:paraId="479D61DD" w14:textId="77777777" w:rsidR="00C17735" w:rsidRPr="007861DD" w:rsidRDefault="00C17735" w:rsidP="001162C4">
      <w:pPr>
        <w:spacing w:after="0" w:line="360" w:lineRule="auto"/>
        <w:rPr>
          <w:rFonts w:eastAsia="Times New Roman" w:cs="Tahoma"/>
          <w:bCs/>
          <w:iCs/>
          <w:lang w:eastAsia="es-ES"/>
        </w:rPr>
      </w:pPr>
    </w:p>
    <w:p w14:paraId="06BC354F" w14:textId="324293C3" w:rsidR="00C17735" w:rsidRPr="007861DD" w:rsidRDefault="00C17735" w:rsidP="00C17735">
      <w:pPr>
        <w:spacing w:after="0" w:line="360" w:lineRule="auto"/>
        <w:rPr>
          <w:rFonts w:eastAsia="Times New Roman" w:cs="Tahoma"/>
          <w:bCs/>
          <w:iCs/>
          <w:lang w:eastAsia="es-ES"/>
        </w:rPr>
      </w:pPr>
      <w:r w:rsidRPr="007861DD">
        <w:rPr>
          <w:rFonts w:eastAsia="Times New Roman" w:cs="Tahoma"/>
          <w:bCs/>
          <w:iCs/>
          <w:lang w:eastAsia="es-ES"/>
        </w:rPr>
        <w:t xml:space="preserve">En ese sentido, el Particular específico una temporalidad de la cual requería la información, a saber, del primero al treinta y uno de marzo de dos mil veinticinco y no desde </w:t>
      </w:r>
      <w:r w:rsidR="00997199" w:rsidRPr="007861DD">
        <w:rPr>
          <w:rFonts w:eastAsia="Times New Roman" w:cs="Tahoma"/>
          <w:bCs/>
          <w:iCs/>
          <w:lang w:eastAsia="es-ES"/>
        </w:rPr>
        <w:t>el dos mil veintidós</w:t>
      </w:r>
      <w:r w:rsidRPr="007861DD">
        <w:rPr>
          <w:rFonts w:eastAsia="Times New Roman" w:cs="Tahoma"/>
          <w:bCs/>
          <w:iCs/>
          <w:lang w:eastAsia="es-ES"/>
        </w:rPr>
        <w:t xml:space="preserve"> como lo menciona el Sujeto Obligado, por lo tanto, la respuesta es incongruente</w:t>
      </w:r>
      <w:r w:rsidRPr="007861DD">
        <w:rPr>
          <w:rFonts w:cs="Tahoma"/>
          <w:bCs/>
          <w:iCs/>
        </w:rPr>
        <w:t xml:space="preserve">; </w:t>
      </w:r>
      <w:r w:rsidRPr="007861DD">
        <w:rPr>
          <w:rFonts w:eastAsia="Times New Roman" w:cs="Tahoma"/>
          <w:bCs/>
          <w:iCs/>
          <w:lang w:val="es-ES" w:eastAsia="es-ES"/>
        </w:rPr>
        <w:t>s</w:t>
      </w:r>
      <w:r w:rsidRPr="007861DD">
        <w:rPr>
          <w:rFonts w:eastAsia="Calibri" w:cs="Tahoma"/>
          <w:lang w:val="es-ES"/>
        </w:rPr>
        <w:t xml:space="preserve">obre el tema </w:t>
      </w:r>
      <w:r w:rsidRPr="007861DD">
        <w:rPr>
          <w:rFonts w:eastAsia="Calibri" w:cs="Times New Roman"/>
        </w:rPr>
        <w:t xml:space="preserve">el </w:t>
      </w:r>
      <w:r w:rsidRPr="007861DD">
        <w:rPr>
          <w:rFonts w:eastAsia="Times New Roman" w:cs="Tahoma"/>
          <w:lang w:val="es-ES" w:eastAsia="es-ES"/>
        </w:rPr>
        <w:t>artículo 1.8, fracción IX, del Código Administrativo del Estado de México, establece que para que un acto administrativo tenga validez, deberá guardar congruencia con lo solicitado.</w:t>
      </w:r>
    </w:p>
    <w:p w14:paraId="7D55C567" w14:textId="77777777" w:rsidR="00C17735" w:rsidRPr="007861DD" w:rsidRDefault="00C17735" w:rsidP="00C17735">
      <w:pPr>
        <w:spacing w:after="0" w:line="360" w:lineRule="auto"/>
        <w:rPr>
          <w:rFonts w:eastAsia="Times New Roman" w:cs="Tahoma"/>
          <w:lang w:val="es-ES" w:eastAsia="es-ES"/>
        </w:rPr>
      </w:pPr>
    </w:p>
    <w:p w14:paraId="5E82F8FA" w14:textId="77777777" w:rsidR="00C17735" w:rsidRPr="007861DD" w:rsidRDefault="00C17735" w:rsidP="00C17735">
      <w:pPr>
        <w:tabs>
          <w:tab w:val="center" w:pos="4522"/>
        </w:tabs>
        <w:spacing w:after="0" w:line="360" w:lineRule="auto"/>
        <w:rPr>
          <w:rFonts w:eastAsia="Calibri" w:cs="Times New Roman"/>
          <w:color w:val="000000"/>
        </w:rPr>
      </w:pPr>
      <w:r w:rsidRPr="007861DD">
        <w:rPr>
          <w:rFonts w:eastAsia="Calibri" w:cs="Times New Roman"/>
          <w:color w:val="000000"/>
        </w:rPr>
        <w:t xml:space="preserve">Situación que se robustece, con </w:t>
      </w:r>
      <w:r w:rsidRPr="007861DD">
        <w:rPr>
          <w:rFonts w:eastAsia="Calibri" w:cs="Tahoma"/>
          <w:bCs/>
          <w:lang w:val="es-ES"/>
        </w:rPr>
        <w:t>el Criterio Orientador</w:t>
      </w:r>
      <w:r w:rsidRPr="007861DD">
        <w:rPr>
          <w:rFonts w:eastAsia="Calibri" w:cs="Tahoma"/>
          <w:bCs/>
          <w:lang w:val="x-none"/>
        </w:rPr>
        <w:t xml:space="preserve">, con clave de control </w:t>
      </w:r>
      <w:r w:rsidRPr="007861DD">
        <w:rPr>
          <w:rFonts w:eastAsia="Calibri" w:cs="Tahoma"/>
          <w:bCs/>
          <w:lang w:val="es-ES"/>
        </w:rPr>
        <w:t xml:space="preserve">SO/002/2017, de la Segunda Época, emitido por el entonces Instituto Nacional de Transparencia, Acceso a la Información y Protección de Datos Personales vigente a la fecha de la solicitud, que </w:t>
      </w:r>
      <w:r w:rsidRPr="007861DD">
        <w:rPr>
          <w:rFonts w:eastAsia="Calibri" w:cs="Times New Roman"/>
          <w:color w:val="000000"/>
        </w:rPr>
        <w:t xml:space="preserve">establece que todo acto administrativo debe apegarse al </w:t>
      </w:r>
      <w:r w:rsidRPr="007861DD">
        <w:rPr>
          <w:rFonts w:eastAsia="Calibri" w:cs="Times New Roman"/>
          <w:b/>
          <w:bCs/>
          <w:color w:val="000000"/>
        </w:rPr>
        <w:t>principio de congruencia</w:t>
      </w:r>
      <w:r w:rsidRPr="007861DD">
        <w:rPr>
          <w:rFonts w:eastAsia="Calibri" w:cs="Times New Roman"/>
          <w:color w:val="000000"/>
        </w:rPr>
        <w:t xml:space="preserve">, entendiendo por éste que </w:t>
      </w:r>
      <w:r w:rsidRPr="007861DD">
        <w:rPr>
          <w:rFonts w:eastAsia="Calibri" w:cs="Tahoma"/>
          <w:bCs/>
          <w:iCs/>
        </w:rPr>
        <w:t>exista concordancia entre el requerimiento formulado por el particular y la respuesta proporcionada por el sujeto obligado</w:t>
      </w:r>
      <w:r w:rsidRPr="007861DD">
        <w:rPr>
          <w:rFonts w:eastAsia="Calibri" w:cs="Times New Roman"/>
          <w:color w:val="000000"/>
        </w:rPr>
        <w:t>,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33D34E8D" w14:textId="77777777" w:rsidR="00C17735" w:rsidRPr="007861DD" w:rsidRDefault="00C17735" w:rsidP="00C17735">
      <w:pPr>
        <w:tabs>
          <w:tab w:val="center" w:pos="4522"/>
        </w:tabs>
        <w:spacing w:after="0" w:line="360" w:lineRule="auto"/>
        <w:rPr>
          <w:rFonts w:eastAsia="Calibri" w:cs="Times New Roman"/>
          <w:color w:val="000000"/>
        </w:rPr>
      </w:pPr>
    </w:p>
    <w:p w14:paraId="4C7938A2" w14:textId="77777777" w:rsidR="00C17735" w:rsidRPr="007861DD" w:rsidRDefault="00C17735" w:rsidP="00C17735">
      <w:pPr>
        <w:tabs>
          <w:tab w:val="center" w:pos="4522"/>
        </w:tabs>
        <w:spacing w:after="0" w:line="360" w:lineRule="auto"/>
        <w:rPr>
          <w:rFonts w:eastAsia="Calibri" w:cs="Times New Roman"/>
          <w:color w:val="000000"/>
        </w:rPr>
      </w:pPr>
    </w:p>
    <w:p w14:paraId="629D0231" w14:textId="615D1BF1" w:rsidR="00C17735" w:rsidRPr="007861DD" w:rsidRDefault="00C17735" w:rsidP="001162C4">
      <w:pPr>
        <w:spacing w:after="0" w:line="360" w:lineRule="auto"/>
        <w:rPr>
          <w:rFonts w:eastAsia="Calibri" w:cs="Tahoma"/>
          <w:bCs/>
          <w:color w:val="auto"/>
          <w:lang w:val="es-ES" w:eastAsia="en-US"/>
        </w:rPr>
      </w:pPr>
      <w:r w:rsidRPr="007861DD">
        <w:rPr>
          <w:rFonts w:eastAsia="Calibri" w:cs="Tahoma"/>
          <w:bCs/>
          <w:color w:val="auto"/>
          <w:lang w:val="es-ES" w:eastAsia="en-US"/>
        </w:rPr>
        <w:lastRenderedPageBreak/>
        <w:t xml:space="preserve">Derivado de lo anterior, se logra vislumbrar que el Sujeto Obligado no atendió de manera correcta la solicitud de información, pues no entregó la información solicitada aduciendo que era mucha la información generada desde el ejercicio fiscal </w:t>
      </w:r>
      <w:r w:rsidR="00997199" w:rsidRPr="007861DD">
        <w:rPr>
          <w:rFonts w:eastAsia="Calibri" w:cs="Tahoma"/>
          <w:bCs/>
          <w:color w:val="auto"/>
          <w:lang w:val="es-ES" w:eastAsia="en-US"/>
        </w:rPr>
        <w:t>dos mil veintidós, cuando la pretensión de la persona Recurrente es obtener únicamente de un mes del presente ejercicio fiscal.</w:t>
      </w:r>
    </w:p>
    <w:p w14:paraId="5593F985" w14:textId="77777777" w:rsidR="00C17735" w:rsidRPr="007861DD" w:rsidRDefault="00C17735" w:rsidP="001162C4">
      <w:pPr>
        <w:spacing w:after="0" w:line="360" w:lineRule="auto"/>
        <w:rPr>
          <w:rFonts w:eastAsia="Calibri" w:cs="Tahoma"/>
          <w:bCs/>
          <w:color w:val="auto"/>
          <w:lang w:val="es-ES" w:eastAsia="en-US"/>
        </w:rPr>
      </w:pPr>
    </w:p>
    <w:p w14:paraId="28D83E95" w14:textId="40B4210C" w:rsidR="00C17735" w:rsidRPr="007861DD" w:rsidRDefault="00C17735" w:rsidP="001162C4">
      <w:pPr>
        <w:spacing w:after="0" w:line="360" w:lineRule="auto"/>
        <w:rPr>
          <w:rFonts w:eastAsia="Calibri" w:cs="Tahoma"/>
          <w:bCs/>
          <w:color w:val="auto"/>
          <w:lang w:val="es-ES" w:eastAsia="en-US"/>
        </w:rPr>
      </w:pPr>
      <w:r w:rsidRPr="007861DD">
        <w:rPr>
          <w:rFonts w:eastAsia="Calibri" w:cs="Tahoma"/>
          <w:bCs/>
          <w:color w:val="auto"/>
          <w:lang w:val="es-ES" w:eastAsia="en-US"/>
        </w:rPr>
        <w:t>Asimismo, entregó una liga electrónica para consultar la información que obra en una factura para consultarse en el Sistema de Información Pública de Oficio Mexiquense (IPOMEХ) correspondiente al artículo 92 fracción XXV B, como se muestra a continuación:</w:t>
      </w:r>
    </w:p>
    <w:p w14:paraId="5964AE4A" w14:textId="77777777" w:rsidR="00C17735" w:rsidRPr="007861DD" w:rsidRDefault="00C17735" w:rsidP="001162C4">
      <w:pPr>
        <w:spacing w:after="0" w:line="360" w:lineRule="auto"/>
        <w:rPr>
          <w:rFonts w:eastAsia="Calibri" w:cs="Tahoma"/>
          <w:bCs/>
          <w:color w:val="auto"/>
          <w:lang w:val="es-ES" w:eastAsia="en-US"/>
        </w:rPr>
      </w:pPr>
    </w:p>
    <w:p w14:paraId="067F3111" w14:textId="423C9E0A" w:rsidR="00C17735" w:rsidRPr="007861DD" w:rsidRDefault="00C17735" w:rsidP="00C17735">
      <w:pPr>
        <w:spacing w:after="0" w:line="360" w:lineRule="auto"/>
        <w:jc w:val="center"/>
        <w:rPr>
          <w:rFonts w:eastAsia="Calibri" w:cs="Tahoma"/>
          <w:bCs/>
          <w:color w:val="auto"/>
          <w:lang w:val="es-ES" w:eastAsia="en-US"/>
        </w:rPr>
      </w:pPr>
      <w:r w:rsidRPr="007861DD">
        <w:rPr>
          <w:rFonts w:eastAsia="Calibri" w:cs="Tahoma"/>
          <w:bCs/>
          <w:noProof/>
          <w:color w:val="auto"/>
        </w:rPr>
        <w:drawing>
          <wp:inline distT="0" distB="0" distL="0" distR="0" wp14:anchorId="2A87C132" wp14:editId="0100B5A2">
            <wp:extent cx="5210902" cy="2905530"/>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B4DEFC.tmp"/>
                    <pic:cNvPicPr/>
                  </pic:nvPicPr>
                  <pic:blipFill>
                    <a:blip r:embed="rId10">
                      <a:extLst>
                        <a:ext uri="{28A0092B-C50C-407E-A947-70E740481C1C}">
                          <a14:useLocalDpi xmlns:a14="http://schemas.microsoft.com/office/drawing/2010/main" val="0"/>
                        </a:ext>
                      </a:extLst>
                    </a:blip>
                    <a:stretch>
                      <a:fillRect/>
                    </a:stretch>
                  </pic:blipFill>
                  <pic:spPr>
                    <a:xfrm>
                      <a:off x="0" y="0"/>
                      <a:ext cx="5210902" cy="2905530"/>
                    </a:xfrm>
                    <a:prstGeom prst="rect">
                      <a:avLst/>
                    </a:prstGeom>
                  </pic:spPr>
                </pic:pic>
              </a:graphicData>
            </a:graphic>
          </wp:inline>
        </w:drawing>
      </w:r>
    </w:p>
    <w:p w14:paraId="7C8319C8" w14:textId="77777777" w:rsidR="00C17735" w:rsidRPr="007861DD" w:rsidRDefault="00C17735" w:rsidP="001162C4">
      <w:pPr>
        <w:spacing w:after="0" w:line="360" w:lineRule="auto"/>
        <w:rPr>
          <w:rFonts w:eastAsia="Calibri" w:cs="Tahoma"/>
          <w:bCs/>
          <w:color w:val="auto"/>
          <w:lang w:val="es-ES" w:eastAsia="en-US"/>
        </w:rPr>
      </w:pPr>
    </w:p>
    <w:p w14:paraId="74EF0738" w14:textId="77777777" w:rsidR="00C17735" w:rsidRPr="007861DD" w:rsidRDefault="00C17735" w:rsidP="00C17735">
      <w:pPr>
        <w:widowControl w:val="0"/>
        <w:autoSpaceDE w:val="0"/>
        <w:autoSpaceDN w:val="0"/>
        <w:adjustRightInd w:val="0"/>
        <w:spacing w:after="0" w:line="360" w:lineRule="auto"/>
        <w:contextualSpacing/>
        <w:rPr>
          <w:rFonts w:eastAsia="Times New Roman" w:cs="Times New Roman"/>
          <w:color w:val="222222"/>
          <w:sz w:val="20"/>
          <w:szCs w:val="20"/>
        </w:rPr>
      </w:pPr>
      <w:r w:rsidRPr="007861DD">
        <w:rPr>
          <w:rFonts w:cs="Tahoma"/>
        </w:rPr>
        <w:t>En ese sentido, si bien adjuntó una liga electrónica para consultar la información</w:t>
      </w:r>
      <w:r w:rsidRPr="007861DD">
        <w:rPr>
          <w:rFonts w:eastAsia="Times New Roman" w:cs="Times New Roman"/>
          <w:color w:val="222222"/>
        </w:rPr>
        <w:t xml:space="preserve">, se logra vislumbrar que se encuentra en un formato cerrado, es decir, que no se puede copiar y pegar para tener acceso; sobre el tema, Trujillo, Humberto (2019), en el “Diccionario de Transparencia y Acceso a la Información Pública” (p. 136 y 137), precisa que cuando un Sujeto </w:t>
      </w:r>
      <w:r w:rsidRPr="007861DD">
        <w:rPr>
          <w:rFonts w:eastAsia="Times New Roman" w:cs="Times New Roman"/>
          <w:color w:val="222222"/>
        </w:rPr>
        <w:lastRenderedPageBreak/>
        <w:t>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0F4DC98" w14:textId="77777777" w:rsidR="00C17735" w:rsidRPr="007861DD" w:rsidRDefault="00C17735" w:rsidP="00C17735">
      <w:pPr>
        <w:widowControl w:val="0"/>
        <w:autoSpaceDE w:val="0"/>
        <w:autoSpaceDN w:val="0"/>
        <w:adjustRightInd w:val="0"/>
        <w:spacing w:after="0" w:line="360" w:lineRule="auto"/>
        <w:contextualSpacing/>
        <w:rPr>
          <w:rFonts w:eastAsia="Times New Roman" w:cs="Times New Roman"/>
          <w:color w:val="222222"/>
        </w:rPr>
      </w:pPr>
      <w:r w:rsidRPr="007861DD">
        <w:rPr>
          <w:rFonts w:eastAsia="Times New Roman" w:cs="Times New Roman"/>
          <w:color w:val="222222"/>
        </w:rPr>
        <w:t> </w:t>
      </w:r>
    </w:p>
    <w:p w14:paraId="1CBF6067" w14:textId="77777777" w:rsidR="00C17735" w:rsidRPr="007861DD" w:rsidRDefault="00C17735" w:rsidP="00C17735">
      <w:pPr>
        <w:widowControl w:val="0"/>
        <w:autoSpaceDE w:val="0"/>
        <w:autoSpaceDN w:val="0"/>
        <w:adjustRightInd w:val="0"/>
        <w:spacing w:after="0" w:line="360" w:lineRule="auto"/>
        <w:contextualSpacing/>
        <w:rPr>
          <w:color w:val="000000"/>
        </w:rPr>
      </w:pPr>
      <w:r w:rsidRPr="007861DD">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4E21732" w14:textId="77777777" w:rsidR="00C17735" w:rsidRPr="007861DD" w:rsidRDefault="00C17735" w:rsidP="00C17735">
      <w:pPr>
        <w:widowControl w:val="0"/>
        <w:autoSpaceDE w:val="0"/>
        <w:autoSpaceDN w:val="0"/>
        <w:adjustRightInd w:val="0"/>
        <w:spacing w:after="0" w:line="360" w:lineRule="auto"/>
        <w:contextualSpacing/>
        <w:rPr>
          <w:color w:val="000000"/>
        </w:rPr>
      </w:pPr>
      <w:r w:rsidRPr="007861DD">
        <w:rPr>
          <w:color w:val="000000"/>
        </w:rPr>
        <w:t> </w:t>
      </w:r>
    </w:p>
    <w:p w14:paraId="20A0D9D1" w14:textId="77777777" w:rsidR="00C17735" w:rsidRPr="007861DD" w:rsidRDefault="00C17735" w:rsidP="00C17735">
      <w:pPr>
        <w:widowControl w:val="0"/>
        <w:autoSpaceDE w:val="0"/>
        <w:autoSpaceDN w:val="0"/>
        <w:adjustRightInd w:val="0"/>
        <w:spacing w:after="0" w:line="360" w:lineRule="auto"/>
        <w:contextualSpacing/>
        <w:rPr>
          <w:color w:val="000000"/>
        </w:rPr>
      </w:pPr>
      <w:r w:rsidRPr="007861DD">
        <w:rPr>
          <w:color w:val="000000"/>
        </w:rPr>
        <w:t>En ese contexto, el artículo 3°, fracciones VIII y XVI de la Ley de Transparencia y Acceso a la Información Pública del Estado de México y Municipios, precisan lo siguiente:</w:t>
      </w:r>
    </w:p>
    <w:p w14:paraId="55D0FC1E" w14:textId="77777777" w:rsidR="00C17735" w:rsidRPr="007861DD" w:rsidRDefault="00C17735" w:rsidP="00C17735">
      <w:pPr>
        <w:widowControl w:val="0"/>
        <w:autoSpaceDE w:val="0"/>
        <w:autoSpaceDN w:val="0"/>
        <w:adjustRightInd w:val="0"/>
        <w:spacing w:after="0" w:line="360" w:lineRule="auto"/>
        <w:contextualSpacing/>
        <w:rPr>
          <w:color w:val="000000"/>
        </w:rPr>
      </w:pPr>
    </w:p>
    <w:p w14:paraId="4D64F8E5" w14:textId="77777777" w:rsidR="00C17735" w:rsidRPr="007861DD" w:rsidRDefault="00C17735" w:rsidP="00C17735">
      <w:pPr>
        <w:widowControl w:val="0"/>
        <w:numPr>
          <w:ilvl w:val="0"/>
          <w:numId w:val="11"/>
        </w:numPr>
        <w:autoSpaceDE w:val="0"/>
        <w:autoSpaceDN w:val="0"/>
        <w:adjustRightInd w:val="0"/>
        <w:spacing w:after="0" w:line="360" w:lineRule="auto"/>
        <w:contextualSpacing/>
        <w:rPr>
          <w:rFonts w:eastAsia="Times New Roman" w:cs="Times New Roman"/>
          <w:color w:val="000000"/>
          <w:szCs w:val="24"/>
          <w:lang w:eastAsia="es-ES"/>
        </w:rPr>
      </w:pPr>
      <w:r w:rsidRPr="007861DD">
        <w:rPr>
          <w:rFonts w:eastAsia="Times New Roman" w:cs="Times New Roman"/>
          <w:b/>
          <w:bCs/>
          <w:color w:val="000000"/>
          <w:szCs w:val="24"/>
          <w:lang w:eastAsia="es-ES"/>
        </w:rPr>
        <w:t>Dato abierto:</w:t>
      </w:r>
      <w:r w:rsidRPr="007861DD">
        <w:rPr>
          <w:rFonts w:eastAsia="Times New Roman" w:cs="Times New Roman"/>
          <w:color w:val="000000"/>
          <w:szCs w:val="24"/>
          <w:lang w:eastAsia="es-ES"/>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5AD358B" w14:textId="77777777" w:rsidR="00C17735" w:rsidRPr="007861DD" w:rsidRDefault="00C17735" w:rsidP="00C17735">
      <w:pPr>
        <w:widowControl w:val="0"/>
        <w:autoSpaceDE w:val="0"/>
        <w:autoSpaceDN w:val="0"/>
        <w:adjustRightInd w:val="0"/>
        <w:spacing w:after="0" w:line="360" w:lineRule="auto"/>
        <w:contextualSpacing/>
        <w:rPr>
          <w:color w:val="000000"/>
        </w:rPr>
      </w:pPr>
      <w:r w:rsidRPr="007861DD">
        <w:rPr>
          <w:color w:val="000000"/>
        </w:rPr>
        <w:t> </w:t>
      </w:r>
    </w:p>
    <w:p w14:paraId="50EBF2DB" w14:textId="77777777" w:rsidR="00C17735" w:rsidRPr="007861DD" w:rsidRDefault="00C17735" w:rsidP="00C17735">
      <w:pPr>
        <w:widowControl w:val="0"/>
        <w:numPr>
          <w:ilvl w:val="0"/>
          <w:numId w:val="10"/>
        </w:numPr>
        <w:autoSpaceDE w:val="0"/>
        <w:autoSpaceDN w:val="0"/>
        <w:adjustRightInd w:val="0"/>
        <w:spacing w:after="0" w:line="360" w:lineRule="auto"/>
        <w:contextualSpacing/>
        <w:rPr>
          <w:rFonts w:cs="Times New Roman"/>
          <w:color w:val="000000"/>
          <w:szCs w:val="24"/>
          <w:lang w:eastAsia="es-ES"/>
        </w:rPr>
      </w:pPr>
      <w:r w:rsidRPr="007861DD">
        <w:rPr>
          <w:rFonts w:cs="Times New Roman"/>
          <w:b/>
          <w:bCs/>
          <w:color w:val="000000"/>
          <w:szCs w:val="24"/>
          <w:lang w:eastAsia="es-ES"/>
        </w:rPr>
        <w:t>Formato accesible:</w:t>
      </w:r>
      <w:r w:rsidRPr="007861DD">
        <w:rPr>
          <w:rFonts w:cs="Times New Roman"/>
          <w:color w:val="000000"/>
          <w:szCs w:val="24"/>
          <w:lang w:eastAsia="es-ES"/>
        </w:rPr>
        <w:t>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6D0A1D7" w14:textId="77777777" w:rsidR="00C17735" w:rsidRPr="007861DD" w:rsidRDefault="00C17735" w:rsidP="00C17735">
      <w:pPr>
        <w:widowControl w:val="0"/>
        <w:autoSpaceDE w:val="0"/>
        <w:autoSpaceDN w:val="0"/>
        <w:adjustRightInd w:val="0"/>
        <w:spacing w:after="0" w:line="360" w:lineRule="auto"/>
        <w:contextualSpacing/>
        <w:rPr>
          <w:color w:val="000000"/>
        </w:rPr>
      </w:pPr>
      <w:r w:rsidRPr="007861DD">
        <w:rPr>
          <w:color w:val="000000"/>
        </w:rPr>
        <w:t> </w:t>
      </w:r>
    </w:p>
    <w:p w14:paraId="0CDD6643" w14:textId="77777777" w:rsidR="00C17735" w:rsidRPr="007861DD" w:rsidRDefault="00C17735" w:rsidP="00C17735">
      <w:pPr>
        <w:widowControl w:val="0"/>
        <w:autoSpaceDE w:val="0"/>
        <w:autoSpaceDN w:val="0"/>
        <w:adjustRightInd w:val="0"/>
        <w:spacing w:after="0" w:line="360" w:lineRule="auto"/>
        <w:contextualSpacing/>
        <w:rPr>
          <w:color w:val="000000"/>
        </w:rPr>
      </w:pPr>
      <w:r w:rsidRPr="007861DD">
        <w:rPr>
          <w:color w:val="000000"/>
        </w:rPr>
        <w:t xml:space="preserve">Conforme a lo anterior, se considera que en el caso de que la información peticionada obre en ligas electrónicas, el Sujeto Obligado deberá privilegiar la entrega de estas, en datos </w:t>
      </w:r>
      <w:r w:rsidRPr="007861DD">
        <w:rPr>
          <w:color w:val="000000"/>
        </w:rPr>
        <w:lastRenderedPageBreak/>
        <w:t>abiertos, es decir, en un formato que permita la accesibilidad y facilidad a los Particulares, para obtener la información contenida en estas.</w:t>
      </w:r>
    </w:p>
    <w:p w14:paraId="24A8D1D0" w14:textId="77777777" w:rsidR="00C17735" w:rsidRPr="007861DD" w:rsidRDefault="00C17735" w:rsidP="00C17735">
      <w:pPr>
        <w:widowControl w:val="0"/>
        <w:autoSpaceDE w:val="0"/>
        <w:autoSpaceDN w:val="0"/>
        <w:adjustRightInd w:val="0"/>
        <w:spacing w:after="0" w:line="360" w:lineRule="auto"/>
        <w:contextualSpacing/>
        <w:rPr>
          <w:color w:val="000000"/>
        </w:rPr>
      </w:pPr>
      <w:r w:rsidRPr="007861DD">
        <w:rPr>
          <w:color w:val="000000"/>
        </w:rPr>
        <w:t> </w:t>
      </w:r>
    </w:p>
    <w:p w14:paraId="7B85D840" w14:textId="77777777" w:rsidR="00C17735" w:rsidRPr="007861DD" w:rsidRDefault="00C17735" w:rsidP="00C17735">
      <w:pPr>
        <w:widowControl w:val="0"/>
        <w:autoSpaceDE w:val="0"/>
        <w:autoSpaceDN w:val="0"/>
        <w:adjustRightInd w:val="0"/>
        <w:spacing w:after="0" w:line="360" w:lineRule="auto"/>
        <w:contextualSpacing/>
        <w:rPr>
          <w:color w:val="000000"/>
        </w:rPr>
      </w:pPr>
      <w:r w:rsidRPr="007861DD">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8C5F839" w14:textId="77777777" w:rsidR="00C17735" w:rsidRPr="007861DD" w:rsidRDefault="00C17735" w:rsidP="00C17735">
      <w:pPr>
        <w:widowControl w:val="0"/>
        <w:autoSpaceDE w:val="0"/>
        <w:autoSpaceDN w:val="0"/>
        <w:adjustRightInd w:val="0"/>
        <w:spacing w:after="0" w:line="360" w:lineRule="auto"/>
        <w:contextualSpacing/>
        <w:rPr>
          <w:color w:val="000000"/>
        </w:rPr>
      </w:pPr>
    </w:p>
    <w:p w14:paraId="3DD08EFB" w14:textId="57549C39" w:rsidR="00C17735" w:rsidRPr="007861DD" w:rsidRDefault="00C17735" w:rsidP="00C17735">
      <w:pPr>
        <w:widowControl w:val="0"/>
        <w:autoSpaceDE w:val="0"/>
        <w:autoSpaceDN w:val="0"/>
        <w:adjustRightInd w:val="0"/>
        <w:spacing w:after="0" w:line="360" w:lineRule="auto"/>
        <w:contextualSpacing/>
      </w:pPr>
      <w:r w:rsidRPr="007861DD">
        <w:t>Como se logra observar, el Sujeto Obligado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w:t>
      </w:r>
      <w:r w:rsidR="001A62D1" w:rsidRPr="007861DD">
        <w:t>rmación contenida en las mismas</w:t>
      </w:r>
      <w:r w:rsidRPr="007861DD">
        <w:t>. Sin menoscabar lo anterior, este Instituto revisó la liga electrónica remitida, la cual da acceso a lo siguiente:</w:t>
      </w:r>
    </w:p>
    <w:p w14:paraId="63FA13D7" w14:textId="77777777" w:rsidR="001A62D1" w:rsidRPr="007861DD" w:rsidRDefault="001A62D1" w:rsidP="00C17735">
      <w:pPr>
        <w:widowControl w:val="0"/>
        <w:autoSpaceDE w:val="0"/>
        <w:autoSpaceDN w:val="0"/>
        <w:adjustRightInd w:val="0"/>
        <w:spacing w:after="0" w:line="360" w:lineRule="auto"/>
        <w:contextualSpacing/>
      </w:pPr>
    </w:p>
    <w:p w14:paraId="0BD816D8" w14:textId="6B7EB741" w:rsidR="001A62D1" w:rsidRPr="007861DD" w:rsidRDefault="001A62D1" w:rsidP="00C17735">
      <w:pPr>
        <w:widowControl w:val="0"/>
        <w:autoSpaceDE w:val="0"/>
        <w:autoSpaceDN w:val="0"/>
        <w:adjustRightInd w:val="0"/>
        <w:spacing w:after="0" w:line="360" w:lineRule="auto"/>
        <w:contextualSpacing/>
      </w:pPr>
      <w:r w:rsidRPr="007861DD">
        <w:rPr>
          <w:noProof/>
        </w:rPr>
        <w:drawing>
          <wp:inline distT="0" distB="0" distL="0" distR="0" wp14:anchorId="7749293A" wp14:editId="227B85D2">
            <wp:extent cx="5671185" cy="1173480"/>
            <wp:effectExtent l="0" t="0" r="571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B4B796.tmp"/>
                    <pic:cNvPicPr/>
                  </pic:nvPicPr>
                  <pic:blipFill>
                    <a:blip r:embed="rId11">
                      <a:extLst>
                        <a:ext uri="{28A0092B-C50C-407E-A947-70E740481C1C}">
                          <a14:useLocalDpi xmlns:a14="http://schemas.microsoft.com/office/drawing/2010/main" val="0"/>
                        </a:ext>
                      </a:extLst>
                    </a:blip>
                    <a:stretch>
                      <a:fillRect/>
                    </a:stretch>
                  </pic:blipFill>
                  <pic:spPr>
                    <a:xfrm>
                      <a:off x="0" y="0"/>
                      <a:ext cx="5671185" cy="1173480"/>
                    </a:xfrm>
                    <a:prstGeom prst="rect">
                      <a:avLst/>
                    </a:prstGeom>
                  </pic:spPr>
                </pic:pic>
              </a:graphicData>
            </a:graphic>
          </wp:inline>
        </w:drawing>
      </w:r>
    </w:p>
    <w:p w14:paraId="4F461C37" w14:textId="77777777" w:rsidR="00C17735" w:rsidRPr="007861DD" w:rsidRDefault="00C17735" w:rsidP="00C17735">
      <w:pPr>
        <w:spacing w:after="0" w:line="360" w:lineRule="auto"/>
        <w:rPr>
          <w:rFonts w:cs="Tahoma"/>
        </w:rPr>
      </w:pPr>
    </w:p>
    <w:p w14:paraId="4511AE38" w14:textId="36DDD365" w:rsidR="00C17735" w:rsidRPr="007861DD" w:rsidRDefault="00C17735" w:rsidP="00C17735">
      <w:pPr>
        <w:spacing w:after="0" w:line="360" w:lineRule="auto"/>
        <w:rPr>
          <w:rFonts w:eastAsia="Calibri" w:cs="Times New Roman"/>
          <w:color w:val="000000"/>
        </w:rPr>
      </w:pPr>
      <w:r w:rsidRPr="007861DD">
        <w:rPr>
          <w:rFonts w:eastAsia="Calibri" w:cs="Tahoma"/>
          <w:bCs/>
        </w:rPr>
        <w:t xml:space="preserve">Como se logra observar, el Sujeto Obligado si bien señaló una página electrónica, la entrego en formato cerrado y si al revisar dicha liga electrónica no contiene la información solicitada, por lo tanto, incumplió con lo establecido en el artículo 161 de la Ley de Transparencia y </w:t>
      </w:r>
      <w:r w:rsidRPr="007861DD">
        <w:rPr>
          <w:rFonts w:eastAsia="Calibri" w:cs="Tahoma"/>
          <w:bCs/>
        </w:rPr>
        <w:lastRenderedPageBreak/>
        <w:t>Acceso a la Información Pública del Estado de México y Municipios</w:t>
      </w:r>
      <w:r w:rsidRPr="007861DD">
        <w:rPr>
          <w:rFonts w:eastAsia="Calibri" w:cs="Times New Roman"/>
          <w:color w:val="000000"/>
        </w:rPr>
        <w:t xml:space="preserve">, por lo que, el agravio resulta </w:t>
      </w:r>
      <w:r w:rsidRPr="007861DD">
        <w:rPr>
          <w:rFonts w:eastAsia="Calibri" w:cs="Times New Roman"/>
          <w:b/>
          <w:color w:val="000000"/>
        </w:rPr>
        <w:t>FUNDADO</w:t>
      </w:r>
      <w:r w:rsidR="001A62D1" w:rsidRPr="007861DD">
        <w:rPr>
          <w:rFonts w:eastAsia="Calibri" w:cs="Times New Roman"/>
          <w:color w:val="000000"/>
        </w:rPr>
        <w:t xml:space="preserve">; no obstante, durante la sustanciación del medio de impugnación, el Sujeto Obligado en Informe Justificado, a través de la Directora de Administración Financiera entregó 52 Estados de Cuenta Bancarios del mes de marzo de dos mil veinticinco, en versión pública, con el Acuerdo de Clasificación emitido </w:t>
      </w:r>
      <w:r w:rsidR="008355C5" w:rsidRPr="007861DD">
        <w:rPr>
          <w:rFonts w:eastAsia="Calibri" w:cs="Times New Roman"/>
          <w:color w:val="000000"/>
        </w:rPr>
        <w:t>por el Comité de Transparencia.</w:t>
      </w:r>
    </w:p>
    <w:p w14:paraId="1FA01795" w14:textId="77777777" w:rsidR="001A62D1" w:rsidRPr="007861DD" w:rsidRDefault="001A62D1" w:rsidP="00C17735">
      <w:pPr>
        <w:spacing w:after="0" w:line="360" w:lineRule="auto"/>
        <w:rPr>
          <w:rFonts w:eastAsia="Calibri" w:cs="Times New Roman"/>
          <w:color w:val="000000"/>
        </w:rPr>
      </w:pPr>
    </w:p>
    <w:p w14:paraId="52557D8C" w14:textId="100B4EAE" w:rsidR="00C17735" w:rsidRPr="007861DD" w:rsidRDefault="00CD3A00" w:rsidP="001162C4">
      <w:pPr>
        <w:spacing w:after="0" w:line="360" w:lineRule="auto"/>
        <w:rPr>
          <w:rFonts w:eastAsia="Times New Roman" w:cs="Tahoma"/>
          <w:bCs/>
          <w:iCs/>
          <w:lang w:eastAsia="es-ES"/>
        </w:rPr>
      </w:pPr>
      <w:r w:rsidRPr="007861DD">
        <w:rPr>
          <w:rFonts w:eastAsia="Calibri" w:cs="Times New Roman"/>
          <w:color w:val="000000"/>
        </w:rPr>
        <w:t xml:space="preserve">En ese sentido, si bien un Estado de Cuenta Bancario es </w:t>
      </w:r>
      <w:r w:rsidRPr="007861DD">
        <w:rPr>
          <w:rFonts w:eastAsia="Times New Roman" w:cs="Tahoma"/>
          <w:bCs/>
          <w:iCs/>
          <w:lang w:eastAsia="es-ES"/>
        </w:rPr>
        <w:t>un documento oficial que detalla todos los movimientos (depósitos, retiros, pagos, transferencias, etc.) y el saldo de una cuenta financiera durante un período específico, usualmente mensual</w:t>
      </w:r>
      <w:r w:rsidR="00997199" w:rsidRPr="007861DD">
        <w:rPr>
          <w:rFonts w:eastAsia="Times New Roman" w:cs="Tahoma"/>
          <w:bCs/>
          <w:iCs/>
          <w:lang w:eastAsia="es-ES"/>
        </w:rPr>
        <w:t xml:space="preserve">, no corresponde al documento solicitado, pues </w:t>
      </w:r>
      <w:r w:rsidRPr="007861DD">
        <w:rPr>
          <w:rFonts w:eastAsia="Times New Roman" w:cs="Tahoma"/>
          <w:bCs/>
          <w:iCs/>
          <w:lang w:eastAsia="es-ES"/>
        </w:rPr>
        <w:t xml:space="preserve">un comprobante de pago es </w:t>
      </w:r>
      <w:r w:rsidR="00997199" w:rsidRPr="007861DD">
        <w:rPr>
          <w:rFonts w:eastAsia="Times New Roman" w:cs="Tahoma"/>
          <w:bCs/>
          <w:iCs/>
          <w:lang w:eastAsia="es-ES"/>
        </w:rPr>
        <w:t>la</w:t>
      </w:r>
      <w:r w:rsidRPr="007861DD">
        <w:rPr>
          <w:rFonts w:eastAsia="Times New Roman" w:cs="Tahoma"/>
          <w:bCs/>
          <w:iCs/>
          <w:lang w:eastAsia="es-ES"/>
        </w:rPr>
        <w:t xml:space="preserve"> prueba de que se </w:t>
      </w:r>
      <w:r w:rsidR="00997199" w:rsidRPr="007861DD">
        <w:rPr>
          <w:rFonts w:eastAsia="Times New Roman" w:cs="Tahoma"/>
          <w:bCs/>
          <w:iCs/>
          <w:lang w:eastAsia="es-ES"/>
        </w:rPr>
        <w:t>realizó</w:t>
      </w:r>
      <w:r w:rsidRPr="007861DD">
        <w:rPr>
          <w:rFonts w:eastAsia="Times New Roman" w:cs="Tahoma"/>
          <w:bCs/>
          <w:iCs/>
          <w:lang w:eastAsia="es-ES"/>
        </w:rPr>
        <w:t xml:space="preserve"> una transacción, como un recibo</w:t>
      </w:r>
      <w:r w:rsidR="00997199" w:rsidRPr="007861DD">
        <w:rPr>
          <w:rFonts w:eastAsia="Times New Roman" w:cs="Tahoma"/>
          <w:bCs/>
          <w:iCs/>
          <w:lang w:eastAsia="es-ES"/>
        </w:rPr>
        <w:t>, póliza o</w:t>
      </w:r>
      <w:r w:rsidRPr="007861DD">
        <w:rPr>
          <w:rFonts w:eastAsia="Times New Roman" w:cs="Tahoma"/>
          <w:bCs/>
          <w:iCs/>
          <w:lang w:eastAsia="es-ES"/>
        </w:rPr>
        <w:t xml:space="preserve"> cheque</w:t>
      </w:r>
      <w:r w:rsidR="00997199" w:rsidRPr="007861DD">
        <w:rPr>
          <w:rFonts w:eastAsia="Times New Roman" w:cs="Tahoma"/>
          <w:bCs/>
          <w:iCs/>
          <w:lang w:eastAsia="es-ES"/>
        </w:rPr>
        <w:t>; en otras palabras, el documento entregado en Informe Justificado da cuenta de los movimientos realizados en una cuenta bancaria; mientras que el documento solicitado es aquel que acredita la erogación de recursos públicos.</w:t>
      </w:r>
    </w:p>
    <w:p w14:paraId="4BF6D1C6" w14:textId="77777777" w:rsidR="00CD3A00" w:rsidRPr="007861DD" w:rsidRDefault="00CD3A00" w:rsidP="001162C4">
      <w:pPr>
        <w:spacing w:after="0" w:line="360" w:lineRule="auto"/>
        <w:rPr>
          <w:rFonts w:eastAsia="Times New Roman" w:cs="Tahoma"/>
          <w:bCs/>
          <w:iCs/>
          <w:lang w:eastAsia="es-ES"/>
        </w:rPr>
      </w:pPr>
    </w:p>
    <w:p w14:paraId="56DA753E" w14:textId="48818799" w:rsidR="00CD3A00" w:rsidRPr="007861DD" w:rsidRDefault="00CD3A00" w:rsidP="001162C4">
      <w:pPr>
        <w:spacing w:after="0" w:line="360" w:lineRule="auto"/>
        <w:rPr>
          <w:rFonts w:eastAsia="Times New Roman" w:cs="Tahoma"/>
          <w:bCs/>
          <w:iCs/>
          <w:lang w:eastAsia="es-ES"/>
        </w:rPr>
      </w:pPr>
      <w:r w:rsidRPr="007861DD">
        <w:rPr>
          <w:rFonts w:eastAsia="Times New Roman" w:cs="Tahoma"/>
          <w:bCs/>
          <w:iCs/>
          <w:lang w:eastAsia="es-ES"/>
        </w:rPr>
        <w:t>Por tal motivo, la información entregada no atiend</w:t>
      </w:r>
      <w:r w:rsidR="00997199" w:rsidRPr="007861DD">
        <w:rPr>
          <w:rFonts w:eastAsia="Times New Roman" w:cs="Tahoma"/>
          <w:bCs/>
          <w:iCs/>
          <w:lang w:eastAsia="es-ES"/>
        </w:rPr>
        <w:t>e lo solicitado</w:t>
      </w:r>
      <w:r w:rsidRPr="007861DD">
        <w:rPr>
          <w:rFonts w:eastAsia="Times New Roman" w:cs="Tahoma"/>
          <w:bCs/>
          <w:iCs/>
          <w:lang w:eastAsia="es-ES"/>
        </w:rPr>
        <w:t>, por lo que, este Instituto considera que, para atender el requerimiento de información, el Sujeto Obligado deberá realizar una búsqueda exhaustiva y razonable en la Coordinación de Administración y Finanzas, a efecto de que proporcione, los comprobantes de todos los pagos realizados mediante cheque y transferencia electrónica, del primero al treinta y uno de marzo de dos mil veinticinco.</w:t>
      </w:r>
    </w:p>
    <w:p w14:paraId="15E85300" w14:textId="77777777" w:rsidR="00CD3A00" w:rsidRPr="007861DD" w:rsidRDefault="00CD3A00" w:rsidP="001162C4">
      <w:pPr>
        <w:spacing w:after="0" w:line="360" w:lineRule="auto"/>
        <w:rPr>
          <w:rFonts w:eastAsia="Times New Roman" w:cs="Tahoma"/>
          <w:bCs/>
          <w:iCs/>
          <w:lang w:eastAsia="es-ES"/>
        </w:rPr>
      </w:pPr>
    </w:p>
    <w:p w14:paraId="667D251A" w14:textId="77777777" w:rsidR="00CD3A00" w:rsidRPr="007861DD" w:rsidRDefault="00CD3A00" w:rsidP="00CD3A00">
      <w:pPr>
        <w:spacing w:after="0" w:line="360" w:lineRule="auto"/>
        <w:rPr>
          <w:rFonts w:eastAsia="Times New Roman" w:cs="Tahoma"/>
          <w:bCs/>
          <w:iCs/>
          <w:lang w:eastAsia="es-ES"/>
        </w:rPr>
      </w:pPr>
      <w:r w:rsidRPr="007861DD">
        <w:rPr>
          <w:rFonts w:eastAsia="Times New Roman" w:cs="Tahoma"/>
          <w:bCs/>
          <w:iCs/>
          <w:lang w:eastAsia="es-ES"/>
        </w:rP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7861DD">
        <w:rPr>
          <w:rFonts w:eastAsia="Times New Roman" w:cs="Tahoma"/>
          <w:bCs/>
          <w:iCs/>
          <w:lang w:eastAsia="es-ES"/>
        </w:rPr>
        <w:lastRenderedPageBreak/>
        <w:t>procesamiento de la misma, ni presentarla conforme al interés del Solicitante, además, que tampoco deberá generarla, resumirla, efectuar cálculos o practicar investigaciones.</w:t>
      </w:r>
    </w:p>
    <w:p w14:paraId="6A05470F" w14:textId="77777777" w:rsidR="00CD3A00" w:rsidRPr="007861DD" w:rsidRDefault="00CD3A00" w:rsidP="00CD3A00">
      <w:pPr>
        <w:spacing w:after="0" w:line="360" w:lineRule="auto"/>
        <w:rPr>
          <w:rFonts w:eastAsia="Times New Roman" w:cs="Tahoma"/>
          <w:bCs/>
          <w:iCs/>
          <w:lang w:eastAsia="es-ES"/>
        </w:rPr>
      </w:pPr>
    </w:p>
    <w:p w14:paraId="67840AE0" w14:textId="77777777" w:rsidR="00CD3A00" w:rsidRPr="007861DD" w:rsidRDefault="00CD3A00" w:rsidP="00CD3A00">
      <w:pPr>
        <w:spacing w:after="0" w:line="360" w:lineRule="auto"/>
        <w:rPr>
          <w:rFonts w:eastAsia="Times New Roman" w:cs="Tahoma"/>
          <w:bCs/>
          <w:iCs/>
          <w:lang w:eastAsia="es-ES"/>
        </w:rPr>
      </w:pPr>
      <w:r w:rsidRPr="007861DD">
        <w:rPr>
          <w:rFonts w:eastAsia="Times New Roman" w:cs="Tahoma"/>
          <w:bCs/>
          <w:iCs/>
          <w:lang w:eastAsia="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4FA219F4" w14:textId="77777777" w:rsidR="00CD3A00" w:rsidRPr="007861DD" w:rsidRDefault="00CD3A00" w:rsidP="00CD3A00">
      <w:pPr>
        <w:spacing w:after="0" w:line="360" w:lineRule="auto"/>
        <w:rPr>
          <w:rFonts w:eastAsia="Times New Roman" w:cs="Tahoma"/>
          <w:bCs/>
          <w:iCs/>
          <w:lang w:eastAsia="es-ES"/>
        </w:rPr>
      </w:pPr>
    </w:p>
    <w:p w14:paraId="0CC4F77A" w14:textId="18CA72AB" w:rsidR="00CD3A00" w:rsidRPr="007861DD" w:rsidRDefault="00CD3A00" w:rsidP="00CD3A00">
      <w:pPr>
        <w:spacing w:after="0" w:line="360" w:lineRule="auto"/>
        <w:rPr>
          <w:rFonts w:eastAsia="Times New Roman" w:cs="Tahoma"/>
          <w:bCs/>
          <w:iCs/>
          <w:lang w:eastAsia="es-ES"/>
        </w:rPr>
      </w:pPr>
      <w:r w:rsidRPr="007861DD">
        <w:rPr>
          <w:rFonts w:eastAsia="Times New Roman" w:cs="Tahoma"/>
          <w:bCs/>
          <w:iCs/>
          <w:lang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w:t>
      </w:r>
    </w:p>
    <w:p w14:paraId="299DD979" w14:textId="77777777" w:rsidR="00CD3A00" w:rsidRPr="007861DD" w:rsidRDefault="00CD3A00" w:rsidP="00CD3A00">
      <w:pPr>
        <w:spacing w:after="0" w:line="360" w:lineRule="auto"/>
        <w:rPr>
          <w:rFonts w:eastAsia="Times New Roman" w:cs="Tahoma"/>
          <w:bCs/>
          <w:iCs/>
          <w:lang w:eastAsia="es-ES"/>
        </w:rPr>
      </w:pPr>
    </w:p>
    <w:p w14:paraId="6C977B5E" w14:textId="2C3BE2E8" w:rsidR="008355C5" w:rsidRPr="007861DD" w:rsidRDefault="00997199" w:rsidP="008355C5">
      <w:pPr>
        <w:tabs>
          <w:tab w:val="left" w:pos="4962"/>
        </w:tabs>
        <w:spacing w:after="0" w:line="360" w:lineRule="auto"/>
        <w:rPr>
          <w:rFonts w:eastAsia="Calibri" w:cs="Arial"/>
          <w:color w:val="000000"/>
          <w:lang w:eastAsia="en-US"/>
        </w:rPr>
      </w:pPr>
      <w:r w:rsidRPr="007861DD">
        <w:rPr>
          <w:rFonts w:eastAsia="Calibri" w:cs="Arial"/>
          <w:color w:val="000000"/>
          <w:lang w:eastAsia="en-US"/>
        </w:rPr>
        <w:t>A</w:t>
      </w:r>
      <w:r w:rsidR="008355C5" w:rsidRPr="007861DD">
        <w:rPr>
          <w:rFonts w:eastAsia="Calibri" w:cs="Arial"/>
          <w:color w:val="000000"/>
          <w:lang w:eastAsia="en-US"/>
        </w:rPr>
        <w:t xml:space="preserve">hora bien, este Instituto considera que los documentos que den cuenta de la información </w:t>
      </w:r>
      <w:proofErr w:type="gramStart"/>
      <w:r w:rsidR="008355C5" w:rsidRPr="007861DD">
        <w:rPr>
          <w:rFonts w:eastAsia="Calibri" w:cs="Arial"/>
          <w:color w:val="000000"/>
          <w:lang w:eastAsia="en-US"/>
        </w:rPr>
        <w:t>solicitada,</w:t>
      </w:r>
      <w:proofErr w:type="gramEnd"/>
      <w:r w:rsidR="008355C5" w:rsidRPr="007861DD">
        <w:rPr>
          <w:rFonts w:eastAsia="Calibri" w:cs="Arial"/>
          <w:color w:val="000000"/>
          <w:lang w:eastAsia="en-US"/>
        </w:rPr>
        <w:t xml:space="preserve"> pudieran contener los siguientes datos:</w:t>
      </w:r>
    </w:p>
    <w:p w14:paraId="0A64BACA" w14:textId="77777777" w:rsidR="008355C5" w:rsidRPr="007861DD" w:rsidRDefault="008355C5" w:rsidP="008355C5">
      <w:pPr>
        <w:tabs>
          <w:tab w:val="left" w:pos="4962"/>
        </w:tabs>
        <w:spacing w:after="0" w:line="360" w:lineRule="auto"/>
        <w:rPr>
          <w:rFonts w:eastAsia="Calibri" w:cs="Arial"/>
          <w:color w:val="000000"/>
          <w:lang w:eastAsia="en-US"/>
        </w:rPr>
      </w:pPr>
    </w:p>
    <w:p w14:paraId="555E91C0" w14:textId="77777777" w:rsidR="008355C5" w:rsidRPr="007861DD" w:rsidRDefault="008355C5" w:rsidP="008355C5">
      <w:pPr>
        <w:numPr>
          <w:ilvl w:val="0"/>
          <w:numId w:val="13"/>
        </w:numPr>
        <w:spacing w:after="0" w:line="360" w:lineRule="auto"/>
        <w:contextualSpacing/>
        <w:rPr>
          <w:rFonts w:eastAsia="Times New Roman" w:cs="Times New Roman"/>
          <w:color w:val="000000"/>
          <w:szCs w:val="24"/>
          <w:lang w:eastAsia="es-ES"/>
        </w:rPr>
      </w:pPr>
      <w:r w:rsidRPr="007861DD">
        <w:rPr>
          <w:rFonts w:eastAsia="Times New Roman" w:cs="Times New Roman"/>
          <w:color w:val="000000"/>
          <w:szCs w:val="24"/>
          <w:lang w:eastAsia="es-ES"/>
        </w:rPr>
        <w:t>Nombre de persona física o Razón social;</w:t>
      </w:r>
    </w:p>
    <w:p w14:paraId="280A5FB3" w14:textId="77777777" w:rsidR="008355C5" w:rsidRPr="007861DD" w:rsidRDefault="008355C5" w:rsidP="008355C5">
      <w:pPr>
        <w:numPr>
          <w:ilvl w:val="0"/>
          <w:numId w:val="13"/>
        </w:numPr>
        <w:spacing w:after="0" w:line="360" w:lineRule="auto"/>
        <w:contextualSpacing/>
        <w:rPr>
          <w:rFonts w:eastAsia="Times New Roman" w:cs="Times New Roman"/>
          <w:color w:val="000000"/>
          <w:szCs w:val="24"/>
          <w:lang w:eastAsia="es-ES"/>
        </w:rPr>
      </w:pPr>
      <w:r w:rsidRPr="007861DD">
        <w:rPr>
          <w:rFonts w:eastAsia="Times New Roman" w:cs="Times New Roman"/>
          <w:color w:val="000000"/>
          <w:szCs w:val="24"/>
          <w:lang w:eastAsia="es-ES"/>
        </w:rPr>
        <w:t>Número de cuenta bancaria o clave interbancaria;</w:t>
      </w:r>
    </w:p>
    <w:p w14:paraId="31060D8D" w14:textId="77777777" w:rsidR="008355C5" w:rsidRPr="007861DD" w:rsidRDefault="008355C5" w:rsidP="008355C5">
      <w:pPr>
        <w:numPr>
          <w:ilvl w:val="0"/>
          <w:numId w:val="13"/>
        </w:numPr>
        <w:spacing w:after="0" w:line="360" w:lineRule="auto"/>
        <w:contextualSpacing/>
        <w:rPr>
          <w:rFonts w:eastAsia="Times New Roman" w:cs="Times New Roman"/>
          <w:color w:val="000000"/>
          <w:szCs w:val="24"/>
          <w:lang w:eastAsia="es-ES"/>
        </w:rPr>
      </w:pPr>
      <w:r w:rsidRPr="007861DD">
        <w:rPr>
          <w:rFonts w:eastAsia="Calibri" w:cs="Tahoma"/>
          <w:bCs/>
          <w:iCs/>
          <w:color w:val="000000"/>
          <w:szCs w:val="24"/>
          <w:lang w:val="es-ES" w:eastAsia="es-ES"/>
        </w:rPr>
        <w:t>Nombre de institución bancaria, y</w:t>
      </w:r>
    </w:p>
    <w:p w14:paraId="5042A48D" w14:textId="77777777" w:rsidR="008355C5" w:rsidRPr="007861DD" w:rsidRDefault="008355C5" w:rsidP="008355C5">
      <w:pPr>
        <w:widowControl w:val="0"/>
        <w:numPr>
          <w:ilvl w:val="0"/>
          <w:numId w:val="13"/>
        </w:numPr>
        <w:tabs>
          <w:tab w:val="center" w:pos="4522"/>
        </w:tabs>
        <w:spacing w:after="0" w:line="360" w:lineRule="auto"/>
        <w:contextualSpacing/>
        <w:rPr>
          <w:rFonts w:eastAsia="Calibri" w:cs="Tahoma"/>
          <w:color w:val="000000"/>
          <w:szCs w:val="24"/>
          <w:lang w:val="es-ES" w:eastAsia="es-ES"/>
        </w:rPr>
      </w:pPr>
      <w:r w:rsidRPr="007861DD">
        <w:rPr>
          <w:rFonts w:eastAsia="Calibri" w:cs="Tahoma"/>
          <w:color w:val="000000"/>
          <w:szCs w:val="24"/>
          <w:lang w:val="es-ES" w:eastAsia="es-ES"/>
        </w:rPr>
        <w:t>Registro Federal de Contribuyentes.</w:t>
      </w:r>
    </w:p>
    <w:p w14:paraId="27AF9642" w14:textId="77777777" w:rsidR="008355C5" w:rsidRPr="007861DD" w:rsidRDefault="008355C5" w:rsidP="008355C5">
      <w:pPr>
        <w:spacing w:after="0" w:line="360" w:lineRule="auto"/>
        <w:ind w:right="142"/>
        <w:rPr>
          <w:color w:val="000000"/>
        </w:rPr>
      </w:pPr>
    </w:p>
    <w:p w14:paraId="16241E12" w14:textId="77777777" w:rsidR="008355C5" w:rsidRPr="007861DD" w:rsidRDefault="008355C5" w:rsidP="008355C5">
      <w:pPr>
        <w:spacing w:after="0" w:line="360" w:lineRule="auto"/>
        <w:ind w:right="142"/>
        <w:rPr>
          <w:color w:val="000000"/>
        </w:rPr>
      </w:pPr>
      <w:r w:rsidRPr="007861DD">
        <w:rPr>
          <w:color w:val="000000"/>
        </w:rPr>
        <w:t>El artículo 143, fracción I, de la Ley de Transparencia Local, establece que la información privada y los datos personales, concernientes a una persona física o jurídica colectiva identificada o identificable son confidenciales.</w:t>
      </w:r>
    </w:p>
    <w:p w14:paraId="1A2366D7" w14:textId="77777777" w:rsidR="008355C5" w:rsidRPr="007861DD" w:rsidRDefault="008355C5" w:rsidP="008355C5">
      <w:pPr>
        <w:spacing w:after="0" w:line="360" w:lineRule="auto"/>
        <w:ind w:right="142"/>
        <w:rPr>
          <w:color w:val="000000"/>
        </w:rPr>
      </w:pPr>
    </w:p>
    <w:p w14:paraId="02A265F2" w14:textId="77777777" w:rsidR="008355C5" w:rsidRPr="007861DD" w:rsidRDefault="008355C5" w:rsidP="008355C5">
      <w:pPr>
        <w:spacing w:after="0" w:line="360" w:lineRule="auto"/>
        <w:ind w:right="-28"/>
        <w:contextualSpacing/>
        <w:rPr>
          <w:rFonts w:eastAsia="Times New Roman" w:cs="Times New Roman"/>
          <w:color w:val="auto"/>
          <w:lang w:eastAsia="es-ES"/>
        </w:rPr>
      </w:pPr>
      <w:r w:rsidRPr="007861DD">
        <w:rPr>
          <w:rFonts w:eastAsia="Times New Roman" w:cs="Times New Roman"/>
          <w:color w:val="auto"/>
          <w:lang w:eastAsia="es-ES"/>
        </w:rPr>
        <w:t xml:space="preserve">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7861DD">
        <w:rPr>
          <w:rFonts w:eastAsia="Times New Roman" w:cs="Times New Roman"/>
          <w:color w:val="auto"/>
          <w:lang w:eastAsia="es-ES"/>
        </w:rPr>
        <w:t>ii</w:t>
      </w:r>
      <w:proofErr w:type="spellEnd"/>
      <w:r w:rsidRPr="007861DD">
        <w:rPr>
          <w:rFonts w:eastAsia="Times New Roman" w:cs="Times New Roman"/>
          <w:color w:val="auto"/>
          <w:lang w:eastAsia="es-ES"/>
        </w:rPr>
        <w:t xml:space="preserve">) por ley tenga el carácter de pública, </w:t>
      </w:r>
      <w:proofErr w:type="spellStart"/>
      <w:r w:rsidRPr="007861DD">
        <w:rPr>
          <w:rFonts w:eastAsia="Times New Roman" w:cs="Times New Roman"/>
          <w:color w:val="auto"/>
          <w:lang w:eastAsia="es-ES"/>
        </w:rPr>
        <w:t>iii</w:t>
      </w:r>
      <w:proofErr w:type="spellEnd"/>
      <w:r w:rsidRPr="007861DD">
        <w:rPr>
          <w:rFonts w:eastAsia="Times New Roman" w:cs="Times New Roman"/>
          <w:color w:val="auto"/>
          <w:lang w:eastAsia="es-ES"/>
        </w:rPr>
        <w:t xml:space="preserve">) exista una orden judicial, </w:t>
      </w:r>
      <w:proofErr w:type="spellStart"/>
      <w:r w:rsidRPr="007861DD">
        <w:rPr>
          <w:rFonts w:eastAsia="Times New Roman" w:cs="Times New Roman"/>
          <w:color w:val="auto"/>
          <w:lang w:eastAsia="es-ES"/>
        </w:rPr>
        <w:t>iv</w:t>
      </w:r>
      <w:proofErr w:type="spellEnd"/>
      <w:r w:rsidRPr="007861DD">
        <w:rPr>
          <w:rFonts w:eastAsia="Times New Roman" w:cs="Times New Roman"/>
          <w:color w:val="auto"/>
          <w:lang w:eastAsia="es-ES"/>
        </w:rPr>
        <w:t>) por razones de seguridad nacional y salubridad general o v) para proteger los derechos de terceros o cuando se transmita entre sujetos obligados en términos de los tratados y los acuerdos interinstitucionales.</w:t>
      </w:r>
    </w:p>
    <w:p w14:paraId="2B2D9A61" w14:textId="77777777" w:rsidR="008355C5" w:rsidRPr="007861DD" w:rsidRDefault="008355C5" w:rsidP="008355C5">
      <w:pPr>
        <w:spacing w:after="0" w:line="360" w:lineRule="auto"/>
        <w:ind w:right="-28"/>
        <w:contextualSpacing/>
        <w:rPr>
          <w:rFonts w:eastAsia="Times New Roman" w:cs="Times New Roman"/>
          <w:color w:val="auto"/>
          <w:lang w:eastAsia="es-ES"/>
        </w:rPr>
      </w:pPr>
    </w:p>
    <w:p w14:paraId="0F884E31" w14:textId="77777777" w:rsidR="008355C5" w:rsidRPr="007861DD" w:rsidRDefault="008355C5" w:rsidP="008355C5">
      <w:pPr>
        <w:spacing w:after="0" w:line="360" w:lineRule="auto"/>
        <w:ind w:right="-28"/>
        <w:contextualSpacing/>
        <w:rPr>
          <w:rFonts w:eastAsia="Times New Roman" w:cs="Times New Roman"/>
          <w:color w:val="auto"/>
          <w:lang w:eastAsia="es-ES"/>
        </w:rPr>
      </w:pPr>
      <w:r w:rsidRPr="007861DD">
        <w:rPr>
          <w:rFonts w:eastAsia="Times New Roman" w:cs="Times New Roman"/>
          <w:color w:val="auto"/>
          <w:lang w:eastAsia="es-ES"/>
        </w:rPr>
        <w:t>En términos de lo expuesto, la documentación y aquellos datos que se consideren confidenciales, serán una limitante del derecho de acceso a la información, siempre y cuando:</w:t>
      </w:r>
    </w:p>
    <w:p w14:paraId="7B2C54D6" w14:textId="77777777" w:rsidR="008355C5" w:rsidRPr="007861DD" w:rsidRDefault="008355C5" w:rsidP="008355C5">
      <w:pPr>
        <w:spacing w:after="0" w:line="360" w:lineRule="auto"/>
        <w:ind w:right="-28"/>
        <w:contextualSpacing/>
        <w:rPr>
          <w:rFonts w:eastAsia="Times New Roman" w:cs="Times New Roman"/>
          <w:color w:val="auto"/>
          <w:lang w:eastAsia="es-ES"/>
        </w:rPr>
      </w:pPr>
    </w:p>
    <w:p w14:paraId="6EBF87EE" w14:textId="77777777" w:rsidR="008355C5" w:rsidRPr="007861DD" w:rsidRDefault="008355C5" w:rsidP="008355C5">
      <w:pPr>
        <w:numPr>
          <w:ilvl w:val="0"/>
          <w:numId w:val="12"/>
        </w:numPr>
        <w:spacing w:after="0" w:line="360" w:lineRule="auto"/>
        <w:ind w:right="-28"/>
        <w:contextualSpacing/>
        <w:rPr>
          <w:rFonts w:eastAsia="Times New Roman" w:cs="Times New Roman"/>
          <w:color w:val="auto"/>
          <w:szCs w:val="24"/>
          <w:lang w:eastAsia="es-ES"/>
        </w:rPr>
      </w:pPr>
      <w:r w:rsidRPr="007861DD">
        <w:rPr>
          <w:rFonts w:eastAsia="Times New Roman" w:cs="Times New Roman"/>
          <w:color w:val="auto"/>
          <w:szCs w:val="24"/>
          <w:lang w:eastAsia="es-ES"/>
        </w:rPr>
        <w:t xml:space="preserve">Se trate de datos personales o información privada; esto es, información concerniente a una persona física o jurídico colectiva y que esta sea identificada o identificable. </w:t>
      </w:r>
    </w:p>
    <w:p w14:paraId="44CEAEC5" w14:textId="77777777" w:rsidR="008355C5" w:rsidRPr="007861DD" w:rsidRDefault="008355C5" w:rsidP="008355C5">
      <w:pPr>
        <w:numPr>
          <w:ilvl w:val="0"/>
          <w:numId w:val="12"/>
        </w:numPr>
        <w:spacing w:after="0" w:line="360" w:lineRule="auto"/>
        <w:ind w:right="-28"/>
        <w:contextualSpacing/>
        <w:rPr>
          <w:rFonts w:eastAsia="Times New Roman" w:cs="Times New Roman"/>
          <w:color w:val="auto"/>
          <w:szCs w:val="24"/>
          <w:lang w:eastAsia="es-ES"/>
        </w:rPr>
      </w:pPr>
      <w:r w:rsidRPr="007861DD">
        <w:rPr>
          <w:rFonts w:eastAsia="Times New Roman" w:cs="Times New Roman"/>
          <w:color w:val="auto"/>
          <w:szCs w:val="24"/>
          <w:lang w:eastAsia="es-ES"/>
        </w:rPr>
        <w:t xml:space="preserve">Para la difusión de los datos, se requiera el consentimiento del titular. </w:t>
      </w:r>
    </w:p>
    <w:p w14:paraId="48139867" w14:textId="77777777" w:rsidR="008355C5" w:rsidRPr="007861DD" w:rsidRDefault="008355C5" w:rsidP="008355C5">
      <w:pPr>
        <w:spacing w:after="0" w:line="360" w:lineRule="auto"/>
        <w:ind w:right="-28"/>
        <w:contextualSpacing/>
        <w:rPr>
          <w:rFonts w:eastAsia="Times New Roman" w:cs="Times New Roman"/>
          <w:color w:val="auto"/>
          <w:lang w:eastAsia="es-ES"/>
        </w:rPr>
      </w:pPr>
    </w:p>
    <w:p w14:paraId="32CA8348" w14:textId="77777777" w:rsidR="008355C5" w:rsidRPr="007861DD" w:rsidRDefault="008355C5" w:rsidP="008355C5">
      <w:pPr>
        <w:spacing w:after="0" w:line="360" w:lineRule="auto"/>
        <w:ind w:right="-28"/>
        <w:contextualSpacing/>
        <w:rPr>
          <w:rFonts w:eastAsia="Times New Roman" w:cs="Times New Roman"/>
          <w:color w:val="auto"/>
          <w:lang w:eastAsia="es-ES"/>
        </w:rPr>
      </w:pPr>
      <w:r w:rsidRPr="007861DD">
        <w:rPr>
          <w:rFonts w:eastAsia="Times New Roman" w:cs="Times New Roman"/>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E1B2F29" w14:textId="77777777" w:rsidR="008355C5" w:rsidRPr="007861DD" w:rsidRDefault="008355C5" w:rsidP="008355C5">
      <w:pPr>
        <w:spacing w:after="0" w:line="360" w:lineRule="auto"/>
        <w:ind w:right="-28"/>
        <w:contextualSpacing/>
        <w:rPr>
          <w:rFonts w:eastAsia="Times New Roman" w:cs="Times New Roman"/>
          <w:color w:val="auto"/>
          <w:lang w:eastAsia="es-ES"/>
        </w:rPr>
      </w:pPr>
    </w:p>
    <w:p w14:paraId="13ECEEBF" w14:textId="77777777" w:rsidR="008355C5" w:rsidRPr="007861DD" w:rsidRDefault="008355C5" w:rsidP="008355C5">
      <w:pPr>
        <w:spacing w:after="0" w:line="360" w:lineRule="auto"/>
        <w:ind w:right="-28"/>
        <w:contextualSpacing/>
        <w:rPr>
          <w:rFonts w:eastAsia="Times New Roman" w:cs="Times New Roman"/>
          <w:color w:val="auto"/>
          <w:lang w:eastAsia="es-ES"/>
        </w:rPr>
      </w:pPr>
      <w:r w:rsidRPr="007861DD">
        <w:rPr>
          <w:rFonts w:eastAsia="Times New Roman" w:cs="Times New Roman"/>
          <w:color w:val="auto"/>
          <w:lang w:eastAsia="es-ES"/>
        </w:rPr>
        <w:lastRenderedPageBreak/>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038FC75E" w14:textId="77777777" w:rsidR="008355C5" w:rsidRPr="007861DD" w:rsidRDefault="008355C5" w:rsidP="008355C5">
      <w:pPr>
        <w:spacing w:after="0" w:line="360" w:lineRule="auto"/>
        <w:ind w:right="-28"/>
        <w:contextualSpacing/>
        <w:rPr>
          <w:rFonts w:eastAsia="Times New Roman" w:cs="Times New Roman"/>
          <w:color w:val="auto"/>
          <w:lang w:eastAsia="es-ES"/>
        </w:rPr>
      </w:pPr>
    </w:p>
    <w:p w14:paraId="3DE01A8B" w14:textId="77777777" w:rsidR="008355C5" w:rsidRPr="007861DD" w:rsidRDefault="008355C5" w:rsidP="008355C5">
      <w:pPr>
        <w:numPr>
          <w:ilvl w:val="0"/>
          <w:numId w:val="2"/>
        </w:numPr>
        <w:spacing w:after="0" w:line="360" w:lineRule="auto"/>
        <w:contextualSpacing/>
        <w:rPr>
          <w:rFonts w:eastAsia="Calibri" w:cs="Tahoma"/>
          <w:b/>
          <w:bCs/>
          <w:color w:val="000000"/>
          <w:lang w:eastAsia="en-US"/>
        </w:rPr>
      </w:pPr>
      <w:r w:rsidRPr="007861DD">
        <w:rPr>
          <w:rFonts w:eastAsia="Calibri" w:cs="Tahoma"/>
          <w:b/>
          <w:bCs/>
          <w:color w:val="000000"/>
          <w:lang w:eastAsia="en-US"/>
        </w:rPr>
        <w:t>Nombre de personas físicas proveedores y que recibieron recursos públicos por cualquier motivo.</w:t>
      </w:r>
    </w:p>
    <w:p w14:paraId="59672594" w14:textId="77777777" w:rsidR="008355C5" w:rsidRPr="007861DD" w:rsidRDefault="008355C5" w:rsidP="008355C5">
      <w:pPr>
        <w:spacing w:after="0" w:line="360" w:lineRule="auto"/>
        <w:ind w:left="720"/>
        <w:contextualSpacing/>
        <w:rPr>
          <w:rFonts w:eastAsia="Calibri" w:cs="Tahoma"/>
          <w:b/>
          <w:bCs/>
          <w:color w:val="000000"/>
          <w:lang w:eastAsia="en-US"/>
        </w:rPr>
      </w:pPr>
    </w:p>
    <w:p w14:paraId="65198BDC" w14:textId="77777777" w:rsidR="008355C5" w:rsidRPr="007861DD" w:rsidRDefault="008355C5" w:rsidP="008355C5">
      <w:pPr>
        <w:spacing w:after="0" w:line="360" w:lineRule="auto"/>
        <w:ind w:right="-93"/>
        <w:rPr>
          <w:rFonts w:eastAsia="Calibri" w:cs="Tahoma"/>
          <w:bCs/>
          <w:color w:val="000000"/>
          <w:lang w:val="es-ES_tradnl" w:eastAsia="en-US"/>
        </w:rPr>
      </w:pPr>
      <w:r w:rsidRPr="007861DD">
        <w:rPr>
          <w:rFonts w:eastAsia="Calibri" w:cs="Tahoma"/>
          <w:bCs/>
          <w:color w:val="000000"/>
          <w:lang w:eastAsia="en-US"/>
        </w:rPr>
        <w:t xml:space="preserve">Al respecto, cabe precisar que el nombre se integra </w:t>
      </w:r>
      <w:r w:rsidRPr="007861DD">
        <w:rPr>
          <w:rFonts w:eastAsia="Calibri" w:cs="Tahoma"/>
          <w:bCs/>
          <w:color w:val="000000"/>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7861DD">
        <w:rPr>
          <w:rFonts w:eastAsia="Calibri" w:cs="Tahoma"/>
          <w:bCs/>
          <w:i/>
          <w:color w:val="000000"/>
          <w:lang w:val="es-ES_tradnl" w:eastAsia="en-US"/>
        </w:rPr>
        <w:t>per se</w:t>
      </w:r>
      <w:r w:rsidRPr="007861DD">
        <w:rPr>
          <w:rFonts w:eastAsia="Calibri" w:cs="Tahoma"/>
          <w:bCs/>
          <w:color w:val="000000"/>
          <w:lang w:val="es-ES_tradnl" w:eastAsia="en-US"/>
        </w:rPr>
        <w:t xml:space="preserve"> es un elemento que hace a una persona física identificada o identificable.</w:t>
      </w:r>
    </w:p>
    <w:p w14:paraId="201762BF" w14:textId="77777777" w:rsidR="008355C5" w:rsidRPr="007861DD" w:rsidRDefault="008355C5" w:rsidP="008355C5">
      <w:pPr>
        <w:spacing w:after="0" w:line="360" w:lineRule="auto"/>
        <w:ind w:right="-93"/>
        <w:rPr>
          <w:rFonts w:eastAsia="Calibri" w:cs="Tahoma"/>
          <w:bCs/>
          <w:color w:val="000000"/>
          <w:lang w:val="es-ES_tradnl" w:eastAsia="en-US"/>
        </w:rPr>
      </w:pPr>
    </w:p>
    <w:p w14:paraId="3C33FB79" w14:textId="77777777" w:rsidR="008355C5" w:rsidRPr="007861DD" w:rsidRDefault="008355C5" w:rsidP="008355C5">
      <w:pPr>
        <w:spacing w:after="0" w:line="360" w:lineRule="auto"/>
        <w:ind w:right="-93"/>
        <w:rPr>
          <w:rFonts w:eastAsia="Calibri" w:cs="Tahoma"/>
          <w:bCs/>
          <w:color w:val="000000"/>
          <w:lang w:val="es-ES_tradnl" w:eastAsia="en-US"/>
        </w:rPr>
      </w:pPr>
      <w:r w:rsidRPr="007861DD">
        <w:rPr>
          <w:rFonts w:eastAsia="Calibri" w:cs="Tahoma"/>
          <w:bCs/>
          <w:color w:val="000000"/>
          <w:lang w:val="es-ES_tradnl" w:eastAsia="en-US"/>
        </w:rPr>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7861DD">
        <w:rPr>
          <w:rFonts w:eastAsia="Calibri" w:cs="Tahoma"/>
          <w:b/>
          <w:bCs/>
          <w:color w:val="000000"/>
          <w:lang w:val="es-ES_tradnl" w:eastAsia="en-US"/>
        </w:rPr>
        <w:t>los nombres de aquellos que reciben recursos públicos (proveedores y que brindaron apoyo dentro del Sujeto Obligado),</w:t>
      </w:r>
      <w:r w:rsidRPr="007861DD">
        <w:rPr>
          <w:rFonts w:eastAsia="Calibri" w:cs="Tahoma"/>
          <w:bCs/>
          <w:color w:val="000000"/>
          <w:lang w:val="es-ES_tradnl" w:eastAsia="en-US"/>
        </w:rPr>
        <w:t xml:space="preserve"> ya que la difusión de dicho dato constituye una obligación de transparencia por parte de los sujetos obligados.</w:t>
      </w:r>
    </w:p>
    <w:p w14:paraId="314332BD" w14:textId="77777777" w:rsidR="008355C5" w:rsidRPr="007861DD" w:rsidRDefault="008355C5" w:rsidP="008355C5">
      <w:pPr>
        <w:spacing w:after="0" w:line="360" w:lineRule="auto"/>
        <w:ind w:right="-93"/>
        <w:rPr>
          <w:rFonts w:eastAsia="Calibri" w:cs="Tahoma"/>
          <w:bCs/>
          <w:color w:val="000000"/>
          <w:lang w:val="es-ES_tradnl" w:eastAsia="en-US"/>
        </w:rPr>
      </w:pPr>
    </w:p>
    <w:p w14:paraId="79FE5812" w14:textId="77777777" w:rsidR="008355C5" w:rsidRPr="007861DD" w:rsidRDefault="008355C5" w:rsidP="008355C5">
      <w:pPr>
        <w:spacing w:after="0" w:line="360" w:lineRule="auto"/>
        <w:ind w:right="-93"/>
        <w:rPr>
          <w:rFonts w:eastAsia="Calibri" w:cs="Tahoma"/>
          <w:b/>
          <w:bCs/>
          <w:color w:val="000000"/>
          <w:lang w:val="es-ES_tradnl" w:eastAsia="en-US"/>
        </w:rPr>
      </w:pPr>
      <w:r w:rsidRPr="007861DD">
        <w:rPr>
          <w:rFonts w:eastAsia="Calibri" w:cs="Tahoma"/>
          <w:bCs/>
          <w:color w:val="000000"/>
          <w:lang w:val="es-ES_tradnl" w:eastAsia="en-US"/>
        </w:rPr>
        <w:t xml:space="preserve">Toma sustento con el artículo 92, fracciones VII, XXXI y XXXVI, de la Ley de la materia, el cual establece que los sujetos obligados tienen la obligación de poner a disposición del público y mantener actualizada de acuerdo con sus facultades, atribuciones, funciones u objeto social, </w:t>
      </w:r>
      <w:r w:rsidRPr="007861DD">
        <w:rPr>
          <w:rFonts w:eastAsia="Calibri" w:cs="Tahoma"/>
          <w:bCs/>
          <w:color w:val="000000"/>
          <w:lang w:val="es-ES_tradnl" w:eastAsia="en-US"/>
        </w:rPr>
        <w:lastRenderedPageBreak/>
        <w:t xml:space="preserve">según corresponda el directorio, que deberá incluir al menos, entre otros datos, </w:t>
      </w:r>
      <w:r w:rsidRPr="007861DD">
        <w:rPr>
          <w:rFonts w:eastAsia="Calibri" w:cs="Tahoma"/>
          <w:b/>
          <w:bCs/>
          <w:color w:val="000000"/>
          <w:lang w:val="es-ES_tradnl" w:eastAsia="en-US"/>
        </w:rPr>
        <w:t>el nombre del servidor público; así como, el Padrón de proveedores y contratistas y el listado de personas físicas o jurídico-colectivas, que por cualquier motivo se les asignaron recursos públicos.</w:t>
      </w:r>
    </w:p>
    <w:p w14:paraId="2D859B75" w14:textId="77777777" w:rsidR="008355C5" w:rsidRPr="007861DD" w:rsidRDefault="008355C5" w:rsidP="008355C5">
      <w:pPr>
        <w:spacing w:after="0" w:line="360" w:lineRule="auto"/>
        <w:ind w:right="-93"/>
        <w:rPr>
          <w:rFonts w:eastAsia="Calibri" w:cs="Tahoma"/>
          <w:b/>
          <w:bCs/>
          <w:color w:val="000000"/>
          <w:lang w:val="es-ES_tradnl" w:eastAsia="en-US"/>
        </w:rPr>
      </w:pPr>
    </w:p>
    <w:p w14:paraId="79A9A726" w14:textId="77777777" w:rsidR="008355C5" w:rsidRPr="007861DD" w:rsidRDefault="008355C5" w:rsidP="008355C5">
      <w:pPr>
        <w:spacing w:after="0" w:line="360" w:lineRule="auto"/>
        <w:ind w:right="-93"/>
        <w:rPr>
          <w:rFonts w:eastAsia="Calibri" w:cs="Tahoma"/>
          <w:bCs/>
          <w:color w:val="000000"/>
          <w:lang w:val="es-ES_tradnl" w:eastAsia="en-US"/>
        </w:rPr>
      </w:pPr>
      <w:r w:rsidRPr="007861DD">
        <w:rPr>
          <w:rFonts w:eastAsia="Calibri" w:cs="Tahoma"/>
          <w:bCs/>
          <w:color w:val="000000"/>
          <w:lang w:val="es-ES_tradnl" w:eastAsia="en-US"/>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7C7E603A" w14:textId="77777777" w:rsidR="008355C5" w:rsidRPr="007861DD" w:rsidRDefault="008355C5" w:rsidP="008355C5">
      <w:pPr>
        <w:spacing w:after="0" w:line="360" w:lineRule="auto"/>
        <w:ind w:right="-93"/>
        <w:rPr>
          <w:rFonts w:eastAsia="Calibri" w:cs="Tahoma"/>
          <w:bCs/>
          <w:color w:val="000000"/>
          <w:lang w:val="es-ES_tradnl" w:eastAsia="en-US"/>
        </w:rPr>
      </w:pPr>
    </w:p>
    <w:p w14:paraId="173E81FD" w14:textId="77777777" w:rsidR="008355C5" w:rsidRPr="007861DD" w:rsidRDefault="008355C5" w:rsidP="008355C5">
      <w:pPr>
        <w:spacing w:after="0" w:line="360" w:lineRule="auto"/>
        <w:ind w:right="-93"/>
        <w:rPr>
          <w:rFonts w:eastAsia="Calibri" w:cs="Tahoma"/>
          <w:b/>
          <w:bCs/>
          <w:color w:val="000000"/>
          <w:lang w:val="es-ES_tradnl" w:eastAsia="en-US"/>
        </w:rPr>
      </w:pPr>
      <w:r w:rsidRPr="007861DD">
        <w:rPr>
          <w:noProof/>
          <w:color w:val="000000"/>
        </w:rPr>
        <w:drawing>
          <wp:inline distT="0" distB="0" distL="0" distR="0" wp14:anchorId="551A984E" wp14:editId="7851B8E1">
            <wp:extent cx="5743575" cy="752475"/>
            <wp:effectExtent l="0" t="0" r="9525" b="9525"/>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2">
                      <a:extLst>
                        <a:ext uri="{28A0092B-C50C-407E-A947-70E740481C1C}">
                          <a14:useLocalDpi xmlns:a14="http://schemas.microsoft.com/office/drawing/2010/main" val="0"/>
                        </a:ext>
                      </a:extLst>
                    </a:blip>
                    <a:srcRect b="84505"/>
                    <a:stretch>
                      <a:fillRect/>
                    </a:stretch>
                  </pic:blipFill>
                  <pic:spPr bwMode="auto">
                    <a:xfrm>
                      <a:off x="0" y="0"/>
                      <a:ext cx="5743575" cy="752475"/>
                    </a:xfrm>
                    <a:prstGeom prst="rect">
                      <a:avLst/>
                    </a:prstGeom>
                    <a:noFill/>
                    <a:ln>
                      <a:noFill/>
                    </a:ln>
                  </pic:spPr>
                </pic:pic>
              </a:graphicData>
            </a:graphic>
          </wp:inline>
        </w:drawing>
      </w:r>
    </w:p>
    <w:p w14:paraId="540D968F" w14:textId="77777777" w:rsidR="008355C5" w:rsidRPr="007861DD" w:rsidRDefault="008355C5" w:rsidP="008355C5">
      <w:pPr>
        <w:spacing w:after="0" w:line="360" w:lineRule="auto"/>
        <w:ind w:right="-93"/>
        <w:rPr>
          <w:rFonts w:eastAsia="Calibri" w:cs="Tahoma"/>
          <w:b/>
          <w:bCs/>
          <w:color w:val="000000"/>
          <w:lang w:val="es-ES_tradnl" w:eastAsia="en-US"/>
        </w:rPr>
      </w:pPr>
      <w:r w:rsidRPr="007861DD">
        <w:rPr>
          <w:noProof/>
          <w:color w:val="000000"/>
        </w:rPr>
        <w:drawing>
          <wp:inline distT="0" distB="0" distL="0" distR="0" wp14:anchorId="722E9A0E" wp14:editId="00D8F0EB">
            <wp:extent cx="5743575" cy="495300"/>
            <wp:effectExtent l="0" t="0" r="9525" b="0"/>
            <wp:docPr id="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2">
                      <a:extLst>
                        <a:ext uri="{28A0092B-C50C-407E-A947-70E740481C1C}">
                          <a14:useLocalDpi xmlns:a14="http://schemas.microsoft.com/office/drawing/2010/main" val="0"/>
                        </a:ext>
                      </a:extLst>
                    </a:blip>
                    <a:srcRect t="89838" b="-38"/>
                    <a:stretch>
                      <a:fillRect/>
                    </a:stretch>
                  </pic:blipFill>
                  <pic:spPr bwMode="auto">
                    <a:xfrm>
                      <a:off x="0" y="0"/>
                      <a:ext cx="5743575" cy="495300"/>
                    </a:xfrm>
                    <a:prstGeom prst="rect">
                      <a:avLst/>
                    </a:prstGeom>
                    <a:noFill/>
                    <a:ln>
                      <a:noFill/>
                    </a:ln>
                  </pic:spPr>
                </pic:pic>
              </a:graphicData>
            </a:graphic>
          </wp:inline>
        </w:drawing>
      </w:r>
    </w:p>
    <w:p w14:paraId="2855C903" w14:textId="77777777" w:rsidR="008355C5" w:rsidRPr="007861DD" w:rsidRDefault="008355C5" w:rsidP="008355C5">
      <w:pPr>
        <w:spacing w:after="0" w:line="360" w:lineRule="auto"/>
        <w:ind w:right="-93"/>
        <w:rPr>
          <w:rFonts w:eastAsia="Calibri" w:cs="Tahoma"/>
          <w:b/>
          <w:bCs/>
          <w:color w:val="000000"/>
          <w:lang w:val="es-ES_tradnl" w:eastAsia="en-US"/>
        </w:rPr>
      </w:pPr>
    </w:p>
    <w:p w14:paraId="7E0D427D" w14:textId="77777777" w:rsidR="008355C5" w:rsidRPr="007861DD" w:rsidRDefault="008355C5" w:rsidP="008355C5">
      <w:pPr>
        <w:spacing w:after="0" w:line="360" w:lineRule="auto"/>
        <w:ind w:right="-93"/>
        <w:rPr>
          <w:rFonts w:eastAsia="Calibri" w:cs="Tahoma"/>
          <w:b/>
          <w:bCs/>
          <w:color w:val="000000"/>
          <w:lang w:val="es-ES_tradnl" w:eastAsia="en-US"/>
        </w:rPr>
      </w:pPr>
      <w:r w:rsidRPr="007861DD">
        <w:rPr>
          <w:noProof/>
          <w:color w:val="000000"/>
        </w:rPr>
        <w:drawing>
          <wp:inline distT="0" distB="0" distL="0" distR="0" wp14:anchorId="1D9F1528" wp14:editId="7AFB5255">
            <wp:extent cx="5743575" cy="1704975"/>
            <wp:effectExtent l="0" t="0" r="9525" b="9525"/>
            <wp:docPr id="8" name="Imagen 1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3575" cy="1704975"/>
                    </a:xfrm>
                    <a:prstGeom prst="rect">
                      <a:avLst/>
                    </a:prstGeom>
                    <a:noFill/>
                    <a:ln>
                      <a:noFill/>
                    </a:ln>
                  </pic:spPr>
                </pic:pic>
              </a:graphicData>
            </a:graphic>
          </wp:inline>
        </w:drawing>
      </w:r>
    </w:p>
    <w:p w14:paraId="5DBCC3C6" w14:textId="77777777" w:rsidR="008355C5" w:rsidRPr="007861DD" w:rsidRDefault="008355C5" w:rsidP="008355C5">
      <w:pPr>
        <w:spacing w:after="0" w:line="360" w:lineRule="auto"/>
        <w:ind w:right="-93"/>
        <w:rPr>
          <w:rFonts w:eastAsia="Calibri" w:cs="Tahoma"/>
          <w:b/>
          <w:bCs/>
          <w:color w:val="000000"/>
          <w:lang w:val="es-ES_tradnl" w:eastAsia="en-US"/>
        </w:rPr>
      </w:pPr>
    </w:p>
    <w:p w14:paraId="2DAF6144" w14:textId="77777777" w:rsidR="008355C5" w:rsidRPr="007861DD" w:rsidRDefault="008355C5" w:rsidP="008355C5">
      <w:pPr>
        <w:spacing w:after="0" w:line="360" w:lineRule="auto"/>
        <w:ind w:right="-93"/>
        <w:rPr>
          <w:rFonts w:eastAsia="Calibri" w:cs="Tahoma"/>
          <w:b/>
          <w:bCs/>
          <w:color w:val="000000"/>
          <w:lang w:val="es-ES_tradnl" w:eastAsia="en-US"/>
        </w:rPr>
      </w:pPr>
      <w:r w:rsidRPr="007861DD">
        <w:rPr>
          <w:rFonts w:eastAsia="Calibri" w:cs="Tahoma"/>
          <w:bCs/>
          <w:color w:val="000000"/>
          <w:lang w:val="es-ES_tradnl" w:eastAsia="en-US"/>
        </w:rPr>
        <w:lastRenderedPageBreak/>
        <w:t xml:space="preserve">Por lo tanto, la Ley de Transparencia y Acceso a la Información Pública del Estado de México y Municipios, considera que </w:t>
      </w:r>
      <w:r w:rsidRPr="007861DD">
        <w:rPr>
          <w:rFonts w:eastAsia="Calibri" w:cs="Tahoma"/>
          <w:b/>
          <w:bCs/>
          <w:color w:val="000000"/>
          <w:lang w:val="es-ES_tradnl" w:eastAsia="en-US"/>
        </w:rPr>
        <w:t xml:space="preserve">los datos de aquellas personas que recibieron recursos públicos, por regla general, </w:t>
      </w:r>
      <w:r w:rsidRPr="007861DD">
        <w:rPr>
          <w:rFonts w:eastAsia="Calibri" w:cs="Tahoma"/>
          <w:bCs/>
          <w:color w:val="000000"/>
          <w:lang w:val="es-ES_tradnl" w:eastAsia="en-US"/>
        </w:rPr>
        <w:t xml:space="preserve">son de naturaleza pública, ya que su publicidad orienta a cumplir los objetivos que persigue la Ley; toda vez, </w:t>
      </w:r>
      <w:r w:rsidRPr="007861DD">
        <w:rPr>
          <w:rFonts w:eastAsia="Calibri" w:cs="Tahoma"/>
          <w:b/>
          <w:bCs/>
          <w:color w:val="000000"/>
          <w:lang w:val="es-ES_tradnl" w:eastAsia="en-US"/>
        </w:rPr>
        <w:t>que ayuda a transparentar a quienes se les han otorgado recursos públicos, así como, porque razones se les otorgaron dichos montos.</w:t>
      </w:r>
    </w:p>
    <w:p w14:paraId="3C333B7B" w14:textId="77777777" w:rsidR="008355C5" w:rsidRPr="007861DD" w:rsidRDefault="008355C5" w:rsidP="008355C5">
      <w:pPr>
        <w:spacing w:after="0" w:line="360" w:lineRule="auto"/>
        <w:rPr>
          <w:rFonts w:eastAsia="Calibri" w:cs="Tahoma"/>
          <w:b/>
          <w:bCs/>
          <w:color w:val="000000"/>
          <w:lang w:val="es-ES_tradnl" w:eastAsia="en-US"/>
        </w:rPr>
      </w:pPr>
    </w:p>
    <w:p w14:paraId="147DA5FE"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Por lo que, se considera que no procede la clasificación del nombre de los proveedores y personas que recibieron recursos públicos (becas, finiquitos, entre otros), en términos del artículo 143, fracción I de la Ley de Transparencia y Acceso a la Información Pública del Estado de México y Municipios.</w:t>
      </w:r>
    </w:p>
    <w:p w14:paraId="3355BF9D" w14:textId="77777777" w:rsidR="008355C5" w:rsidRPr="007861DD" w:rsidRDefault="008355C5" w:rsidP="008355C5">
      <w:pPr>
        <w:spacing w:after="0" w:line="360" w:lineRule="auto"/>
        <w:ind w:right="-28"/>
        <w:contextualSpacing/>
        <w:rPr>
          <w:rFonts w:eastAsia="Times New Roman" w:cs="Times New Roman"/>
          <w:color w:val="auto"/>
          <w:lang w:eastAsia="es-ES"/>
        </w:rPr>
      </w:pPr>
    </w:p>
    <w:p w14:paraId="7BA4C8AB" w14:textId="77777777" w:rsidR="008355C5" w:rsidRPr="007861DD" w:rsidRDefault="008355C5" w:rsidP="008355C5">
      <w:pPr>
        <w:numPr>
          <w:ilvl w:val="0"/>
          <w:numId w:val="2"/>
        </w:numPr>
        <w:spacing w:after="0" w:line="360" w:lineRule="auto"/>
        <w:contextualSpacing/>
        <w:rPr>
          <w:rFonts w:eastAsia="Calibri" w:cs="Tahoma"/>
          <w:b/>
          <w:bCs/>
          <w:color w:val="auto"/>
          <w:szCs w:val="24"/>
          <w:lang w:eastAsia="es-ES"/>
        </w:rPr>
      </w:pPr>
      <w:r w:rsidRPr="007861DD">
        <w:rPr>
          <w:rFonts w:eastAsia="Calibri" w:cs="Tahoma"/>
          <w:b/>
          <w:bCs/>
          <w:color w:val="auto"/>
          <w:szCs w:val="24"/>
          <w:lang w:val="es-ES" w:eastAsia="es-ES"/>
        </w:rPr>
        <w:t>Nombre de menores de edad</w:t>
      </w:r>
    </w:p>
    <w:p w14:paraId="7BB331C4" w14:textId="77777777" w:rsidR="008355C5" w:rsidRPr="007861DD" w:rsidRDefault="008355C5" w:rsidP="008355C5">
      <w:pPr>
        <w:spacing w:after="0" w:line="360" w:lineRule="auto"/>
        <w:ind w:left="720"/>
        <w:contextualSpacing/>
        <w:rPr>
          <w:rFonts w:eastAsia="Calibri" w:cs="Tahoma"/>
          <w:b/>
          <w:bCs/>
          <w:color w:val="auto"/>
          <w:szCs w:val="24"/>
          <w:lang w:eastAsia="es-ES"/>
        </w:rPr>
      </w:pPr>
    </w:p>
    <w:p w14:paraId="248930E7"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En ese orden de ideas, es de hacer hincapié que, en el presente caso, se trata de menores de edad, por lo cual, resulta necesario traer a colación, el artículo 2°, párrafo segundo, de la Ley General de los Derechos de Niñas, Niños y Adolescentes, que precisa que el interés superior de la niñez deberá ser considerado primordial en la toma de decisiones sobre la cuestión debatida que involucre a menores de edad.</w:t>
      </w:r>
    </w:p>
    <w:p w14:paraId="3E25DBC5"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 </w:t>
      </w:r>
    </w:p>
    <w:p w14:paraId="4D6CE3D7"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En ese orden de ideas, la jurisprudencia con número 1a./J. 25/2012 (9a.), emitida por la Primera Sala de la Suprema Corte de Justicia de la Nación, publicada en la Gaceta del Semanario Judicial de la Federación y su Gaceta, Libro XV, Tomo 1, de diciembre de 2012, página 344, establece que el interés superior del menor, implica que el desarrollo de los niños y el ejercicio de sus derechos deber ser considerados como criterios rectores para la aplicación de las normas relaticos a la vida de estos.</w:t>
      </w:r>
    </w:p>
    <w:p w14:paraId="656D8FB0"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 </w:t>
      </w:r>
    </w:p>
    <w:p w14:paraId="372E31F3"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lastRenderedPageBreak/>
        <w:t>Así, el artículo 76, de la Ley General de los Derechos de Niñas, Niños y Adolescentes, establece que las niñas, niños y adolescentes tienen derecho a la intimidad personal y familiar; así como, a la protección de sus datos personales; además, que no podrán ser objeto de injerencias arbitrarias o ilegales, en su vida privada o bien, de divulgaciones o difusiones ilícitas de información o datos personales, incluyendo de aquella que tenga el carácter informativo a la opinión pública y que atenten contra su honra, imagen o reputación.</w:t>
      </w:r>
    </w:p>
    <w:p w14:paraId="023EF70C"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 </w:t>
      </w:r>
    </w:p>
    <w:p w14:paraId="44982A93"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Conforme a lo anterior, se puede colegir que en los casos en que se debe analizar los datos personales de menores de edad, prevalecerá el derecho a la protección de estos, pues se debe asegurar en todo momento el interés superior de los niños; por lo que, aquellos datos que los hagan identificables, tal como es el caso de su nombre, se deberá buscar su resguardo, a través de la clasificación de la información, para evitar vulneraciones en su privacidad.</w:t>
      </w:r>
    </w:p>
    <w:p w14:paraId="1CA6317C"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 </w:t>
      </w:r>
    </w:p>
    <w:p w14:paraId="2EC511A1"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En otro orden de ideas, si bien el nombre de los beneficiarios de un programa municipal, por regla general son públicos, lo cierto es que existe la excepción, concerniente a que se trate de menores de edad, pues conforme a la normatividad aplicable, se debe buscar siempre la protección de la información de estos, para salvaguardar el interés superior de los menores; situación que se robustece en el artículo 8° de la Ley de Protección de Datos Personales del Sujetos Obligados del Estado de México y Municipios, que precisa que no se publicarán datos personales de niños y adolescentes, a excepción del consentimiento de su representante; además, que en el tratamiento de estos, se privilegiará el interés superior de estos.</w:t>
      </w:r>
    </w:p>
    <w:p w14:paraId="59420E13"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 </w:t>
      </w:r>
    </w:p>
    <w:p w14:paraId="5622DEC5"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 xml:space="preserve">Lo anterior, se robustece el Criterio reiterado 04/19 de este Instituto, publicado en el Periódico Oficial del Gobierno del Estado Libre y Soberano de México “Gaceta de Gobierno”, el dieciocho de diciembre de dos mil diecinueve, que establece que el nombre de las personas menores de edad, son datos confidenciales, pues su publicación revelaría las condiciones </w:t>
      </w:r>
      <w:r w:rsidRPr="007861DD">
        <w:rPr>
          <w:rFonts w:eastAsia="Calibri" w:cs="Tahoma"/>
          <w:bCs/>
          <w:color w:val="000000"/>
          <w:lang w:eastAsia="en-US"/>
        </w:rPr>
        <w:lastRenderedPageBreak/>
        <w:t>sociales, culturales y plena identidad; además, que corresponden a grupos vulnerables y sociales, en condiciones de desventaja, por lo cual, es necesario su protección.</w:t>
      </w:r>
    </w:p>
    <w:p w14:paraId="12C90CAD"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 </w:t>
      </w:r>
    </w:p>
    <w:p w14:paraId="45F80BE9" w14:textId="77777777" w:rsidR="008355C5" w:rsidRPr="007861DD" w:rsidRDefault="008355C5" w:rsidP="008355C5">
      <w:pPr>
        <w:spacing w:after="0" w:line="360" w:lineRule="auto"/>
        <w:rPr>
          <w:rFonts w:eastAsia="Calibri" w:cs="Tahoma"/>
          <w:bCs/>
          <w:color w:val="000000"/>
          <w:lang w:eastAsia="en-US"/>
        </w:rPr>
      </w:pPr>
      <w:r w:rsidRPr="007861DD">
        <w:rPr>
          <w:rFonts w:eastAsia="Calibri" w:cs="Tahoma"/>
          <w:bCs/>
          <w:color w:val="000000"/>
          <w:lang w:eastAsia="en-US"/>
        </w:rPr>
        <w:t>Conforme a lo anterior, se advierte que el nombre de beneficiarios, menores de edad es un dato confidencial, en términos del artículo 143, fracción I de la Ley de Transparencia y Acceso a la Información Pública del estado de México y Municipios.</w:t>
      </w:r>
    </w:p>
    <w:p w14:paraId="57EDB2EC" w14:textId="77777777" w:rsidR="008355C5" w:rsidRPr="007861DD" w:rsidRDefault="008355C5" w:rsidP="008355C5">
      <w:pPr>
        <w:spacing w:after="0" w:line="360" w:lineRule="auto"/>
        <w:rPr>
          <w:rFonts w:eastAsia="Calibri" w:cs="Tahoma"/>
          <w:bCs/>
          <w:color w:val="000000"/>
          <w:lang w:eastAsia="en-US"/>
        </w:rPr>
      </w:pPr>
    </w:p>
    <w:p w14:paraId="54F5FA4C" w14:textId="77777777" w:rsidR="008355C5" w:rsidRPr="007861DD" w:rsidRDefault="008355C5" w:rsidP="008355C5">
      <w:pPr>
        <w:spacing w:after="0" w:line="360" w:lineRule="auto"/>
        <w:ind w:left="720"/>
        <w:rPr>
          <w:rFonts w:ascii="Times New Roman" w:eastAsia="Times New Roman" w:hAnsi="Times New Roman" w:cs="Times New Roman"/>
          <w:color w:val="222222"/>
          <w:sz w:val="20"/>
          <w:szCs w:val="20"/>
          <w:lang w:eastAsia="es-ES_tradnl"/>
        </w:rPr>
      </w:pPr>
      <w:r w:rsidRPr="007861DD">
        <w:rPr>
          <w:rFonts w:eastAsia="Times New Roman" w:cs="Times New Roman"/>
          <w:b/>
          <w:bCs/>
          <w:color w:val="000000"/>
          <w:lang w:val="es-ES_tradnl" w:eastAsia="es-ES_tradnl"/>
        </w:rPr>
        <w:t>Nombre de particulares que recibieron el pago de pensión alimenticia</w:t>
      </w:r>
    </w:p>
    <w:p w14:paraId="7B902B65" w14:textId="77777777" w:rsidR="008355C5" w:rsidRPr="007861DD" w:rsidRDefault="008355C5" w:rsidP="008355C5">
      <w:pPr>
        <w:spacing w:after="0" w:line="360" w:lineRule="auto"/>
        <w:ind w:left="720"/>
        <w:rPr>
          <w:rFonts w:ascii="Times New Roman" w:eastAsia="Times New Roman" w:hAnsi="Times New Roman" w:cs="Times New Roman"/>
          <w:color w:val="222222"/>
          <w:sz w:val="20"/>
          <w:szCs w:val="20"/>
          <w:lang w:eastAsia="es-ES_tradnl"/>
        </w:rPr>
      </w:pPr>
      <w:r w:rsidRPr="007861DD">
        <w:rPr>
          <w:rFonts w:eastAsia="Times New Roman" w:cs="Times New Roman"/>
          <w:b/>
          <w:bCs/>
          <w:color w:val="000000"/>
          <w:lang w:val="es-ES_tradnl" w:eastAsia="es-ES_tradnl"/>
        </w:rPr>
        <w:t> </w:t>
      </w:r>
    </w:p>
    <w:p w14:paraId="64DDB035" w14:textId="77777777" w:rsidR="008355C5" w:rsidRPr="007861DD" w:rsidRDefault="008355C5" w:rsidP="008355C5">
      <w:pPr>
        <w:spacing w:after="0" w:line="360" w:lineRule="auto"/>
        <w:rPr>
          <w:rFonts w:ascii="Times New Roman" w:eastAsia="Times New Roman" w:hAnsi="Times New Roman" w:cs="Times New Roman"/>
          <w:color w:val="222222"/>
          <w:sz w:val="20"/>
          <w:szCs w:val="20"/>
          <w:lang w:eastAsia="es-ES_tradnl"/>
        </w:rPr>
      </w:pPr>
      <w:r w:rsidRPr="007861DD">
        <w:rPr>
          <w:rFonts w:eastAsia="Times New Roman" w:cs="Times New Roman"/>
          <w:color w:val="222222"/>
          <w:lang w:eastAsia="es-ES_tradnl"/>
        </w:rPr>
        <w:t>Al respecto, se debe señalar que el dato en cuestión corresponde a la persona que recibe una retención realizada a un trabajador, correspondiente al pago de pensión alimenticia, es decir, es un monto pagado con recursos propios de los trabajadores, por lo que, se considera que el nombre es clasificado, como confidencial, pues únicamente atañe a la vida privada de las personas.</w:t>
      </w:r>
    </w:p>
    <w:p w14:paraId="27BDDE76" w14:textId="77777777" w:rsidR="008355C5" w:rsidRPr="007861DD" w:rsidRDefault="008355C5" w:rsidP="008355C5">
      <w:pPr>
        <w:spacing w:after="0" w:line="360" w:lineRule="auto"/>
        <w:rPr>
          <w:rFonts w:ascii="Times New Roman" w:eastAsia="Times New Roman" w:hAnsi="Times New Roman" w:cs="Times New Roman"/>
          <w:color w:val="222222"/>
          <w:sz w:val="20"/>
          <w:szCs w:val="20"/>
          <w:lang w:eastAsia="es-ES_tradnl"/>
        </w:rPr>
      </w:pPr>
      <w:r w:rsidRPr="007861DD">
        <w:rPr>
          <w:rFonts w:eastAsia="Times New Roman" w:cs="Times New Roman"/>
          <w:b/>
          <w:bCs/>
          <w:color w:val="222222"/>
          <w:lang w:eastAsia="es-ES_tradnl"/>
        </w:rPr>
        <w:t> </w:t>
      </w:r>
    </w:p>
    <w:p w14:paraId="3A0C1C59" w14:textId="77777777" w:rsidR="008355C5" w:rsidRPr="007861DD" w:rsidRDefault="008355C5" w:rsidP="008355C5">
      <w:pPr>
        <w:spacing w:after="0" w:line="360" w:lineRule="auto"/>
        <w:rPr>
          <w:rFonts w:ascii="Times New Roman" w:eastAsia="Times New Roman" w:hAnsi="Times New Roman" w:cs="Times New Roman"/>
          <w:color w:val="222222"/>
          <w:sz w:val="20"/>
          <w:szCs w:val="20"/>
          <w:lang w:eastAsia="es-ES_tradnl"/>
        </w:rPr>
      </w:pPr>
      <w:r w:rsidRPr="007861DD">
        <w:rPr>
          <w:rFonts w:eastAsia="Times New Roman" w:cs="Times New Roman"/>
          <w:color w:val="222222"/>
          <w:lang w:eastAsia="es-ES_tradnl"/>
        </w:rPr>
        <w:t>Al respecto </w:t>
      </w:r>
      <w:r w:rsidRPr="007861DD">
        <w:rPr>
          <w:rFonts w:eastAsia="Times New Roman" w:cs="Times New Roman"/>
          <w:color w:val="222222"/>
          <w:lang w:val="es-ES" w:eastAsia="es-ES_tradnl"/>
        </w:rPr>
        <w:t>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7DA8671B" w14:textId="77777777" w:rsidR="008355C5" w:rsidRPr="007861DD" w:rsidRDefault="008355C5" w:rsidP="008355C5">
      <w:pPr>
        <w:spacing w:after="0" w:line="360" w:lineRule="auto"/>
        <w:rPr>
          <w:rFonts w:ascii="Times New Roman" w:eastAsia="Times New Roman" w:hAnsi="Times New Roman" w:cs="Times New Roman"/>
          <w:color w:val="222222"/>
          <w:sz w:val="20"/>
          <w:szCs w:val="20"/>
          <w:lang w:eastAsia="es-ES_tradnl"/>
        </w:rPr>
      </w:pPr>
      <w:r w:rsidRPr="007861DD">
        <w:rPr>
          <w:rFonts w:eastAsia="Times New Roman" w:cs="Times New Roman"/>
          <w:color w:val="222222"/>
          <w:lang w:val="es-ES" w:eastAsia="es-ES_tradnl"/>
        </w:rPr>
        <w:t> </w:t>
      </w:r>
    </w:p>
    <w:p w14:paraId="408882C6" w14:textId="77777777" w:rsidR="008355C5" w:rsidRPr="007861DD" w:rsidRDefault="008355C5" w:rsidP="008355C5">
      <w:pPr>
        <w:spacing w:after="0" w:line="360" w:lineRule="auto"/>
        <w:ind w:left="567" w:right="567"/>
        <w:rPr>
          <w:rFonts w:ascii="Times New Roman" w:eastAsia="Times New Roman" w:hAnsi="Times New Roman" w:cs="Times New Roman"/>
          <w:color w:val="222222"/>
          <w:sz w:val="20"/>
          <w:szCs w:val="20"/>
          <w:lang w:eastAsia="es-ES_tradnl"/>
        </w:rPr>
      </w:pPr>
      <w:r w:rsidRPr="007861DD">
        <w:rPr>
          <w:rFonts w:eastAsia="Times New Roman" w:cs="Times New Roman"/>
          <w:i/>
          <w:iCs/>
          <w:color w:val="222222"/>
          <w:sz w:val="20"/>
          <w:szCs w:val="20"/>
          <w:lang w:val="es-ES" w:eastAsia="es-ES_tradnl"/>
        </w:rPr>
        <w:t>“</w:t>
      </w:r>
      <w:r w:rsidRPr="007861DD">
        <w:rPr>
          <w:rFonts w:eastAsia="Times New Roman" w:cs="Times New Roman"/>
          <w:b/>
          <w:bCs/>
          <w:i/>
          <w:iCs/>
          <w:color w:val="222222"/>
          <w:sz w:val="20"/>
          <w:szCs w:val="20"/>
          <w:lang w:val="es-ES" w:eastAsia="es-ES_tradnl"/>
        </w:rPr>
        <w:t>DERECHO A LA VIDA PRIVADA. SU CONTENIDO GENERAL Y LA IMPORTANCIA DE NO DESCONTEXTUALIZAR LAS REFERENCIAS A LA MISMA. </w:t>
      </w:r>
      <w:r w:rsidRPr="007861DD">
        <w:rPr>
          <w:rFonts w:eastAsia="Times New Roman" w:cs="Times New Roman"/>
          <w:i/>
          <w:iCs/>
          <w:color w:val="222222"/>
          <w:sz w:val="20"/>
          <w:szCs w:val="20"/>
          <w:lang w:val="es-ES" w:eastAsia="es-ES_tradnl"/>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w:t>
      </w:r>
      <w:r w:rsidRPr="007861DD">
        <w:rPr>
          <w:rFonts w:eastAsia="Times New Roman" w:cs="Times New Roman"/>
          <w:i/>
          <w:iCs/>
          <w:color w:val="222222"/>
          <w:sz w:val="20"/>
          <w:szCs w:val="20"/>
          <w:lang w:val="es-ES" w:eastAsia="es-ES_tradnl"/>
        </w:rPr>
        <w:lastRenderedPageBreak/>
        <w:t>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7861DD">
        <w:rPr>
          <w:rFonts w:eastAsia="Times New Roman" w:cs="Times New Roman"/>
          <w:b/>
          <w:bCs/>
          <w:i/>
          <w:iCs/>
          <w:color w:val="222222"/>
          <w:sz w:val="20"/>
          <w:szCs w:val="20"/>
          <w:lang w:val="es-ES" w:eastAsia="es-ES_tradnl"/>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7861DD">
        <w:rPr>
          <w:rFonts w:eastAsia="Times New Roman" w:cs="Times New Roman"/>
          <w:i/>
          <w:iCs/>
          <w:color w:val="222222"/>
          <w:sz w:val="20"/>
          <w:szCs w:val="20"/>
          <w:lang w:val="es-ES" w:eastAsia="es-ES_tradnl"/>
        </w:rPr>
        <w:t>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7861DD">
        <w:rPr>
          <w:rFonts w:eastAsia="Times New Roman" w:cs="Times New Roman"/>
          <w:b/>
          <w:bCs/>
          <w:i/>
          <w:iCs/>
          <w:color w:val="222222"/>
          <w:sz w:val="20"/>
          <w:szCs w:val="20"/>
          <w:lang w:val="es-ES" w:eastAsia="es-ES_tradnl"/>
        </w:rPr>
        <w:t xml:space="preserve">En un sentido amplio, entonces, la protección constitucional de la vida privada implica poder conducir parte de la vida de uno </w:t>
      </w:r>
      <w:r w:rsidRPr="007861DD">
        <w:rPr>
          <w:rFonts w:eastAsia="Times New Roman" w:cs="Times New Roman"/>
          <w:b/>
          <w:bCs/>
          <w:i/>
          <w:iCs/>
          <w:color w:val="222222"/>
          <w:sz w:val="20"/>
          <w:szCs w:val="20"/>
          <w:lang w:val="es-ES" w:eastAsia="es-ES_tradnl"/>
        </w:rPr>
        <w:lastRenderedPageBreak/>
        <w:t>protegido de la mirada y las injerencias de los demás</w:t>
      </w:r>
      <w:r w:rsidRPr="007861DD">
        <w:rPr>
          <w:rFonts w:eastAsia="Times New Roman" w:cs="Times New Roman"/>
          <w:i/>
          <w:iCs/>
          <w:color w:val="222222"/>
          <w:sz w:val="20"/>
          <w:szCs w:val="20"/>
          <w:lang w:val="es-ES" w:eastAsia="es-ES_tradnl"/>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500DCB75" w14:textId="77777777" w:rsidR="008355C5" w:rsidRPr="007861DD" w:rsidRDefault="008355C5" w:rsidP="008355C5">
      <w:pPr>
        <w:spacing w:after="0" w:line="360" w:lineRule="auto"/>
        <w:rPr>
          <w:rFonts w:ascii="Times New Roman" w:eastAsia="Times New Roman" w:hAnsi="Times New Roman" w:cs="Times New Roman"/>
          <w:color w:val="222222"/>
          <w:sz w:val="20"/>
          <w:szCs w:val="20"/>
          <w:lang w:eastAsia="es-ES_tradnl"/>
        </w:rPr>
      </w:pPr>
      <w:r w:rsidRPr="007861DD">
        <w:rPr>
          <w:rFonts w:eastAsia="Times New Roman" w:cs="Times New Roman"/>
          <w:color w:val="222222"/>
          <w:lang w:val="es-ES" w:eastAsia="es-ES_tradnl"/>
        </w:rPr>
        <w:t> </w:t>
      </w:r>
    </w:p>
    <w:p w14:paraId="3C432610" w14:textId="77777777" w:rsidR="008355C5" w:rsidRPr="007861DD" w:rsidRDefault="008355C5" w:rsidP="008355C5">
      <w:pPr>
        <w:spacing w:after="0" w:line="360" w:lineRule="auto"/>
        <w:rPr>
          <w:rFonts w:ascii="Times New Roman" w:eastAsia="Times New Roman" w:hAnsi="Times New Roman" w:cs="Times New Roman"/>
          <w:color w:val="222222"/>
          <w:sz w:val="20"/>
          <w:szCs w:val="20"/>
          <w:lang w:eastAsia="es-ES_tradnl"/>
        </w:rPr>
      </w:pPr>
      <w:r w:rsidRPr="007861DD">
        <w:rPr>
          <w:rFonts w:eastAsia="Times New Roman" w:cs="Times New Roman"/>
          <w:color w:val="222222"/>
          <w:lang w:val="es-ES" w:eastAsia="es-ES_tradnl"/>
        </w:rPr>
        <w:t>De conformidad con lo señalado, se colige que </w:t>
      </w:r>
      <w:r w:rsidRPr="007861DD">
        <w:rPr>
          <w:rFonts w:eastAsia="Times New Roman" w:cs="Times New Roman"/>
          <w:b/>
          <w:bCs/>
          <w:color w:val="222222"/>
          <w:lang w:val="es-ES" w:eastAsia="es-ES_tradnl"/>
        </w:rPr>
        <w:t>las actividades que realicen los particulares, dentro del ámbito privado, o dentro de la esfera particular, es información que debe protegerse, lo cual acontece en el presente caso, pues se trata del pago de pensión alimenticia, misma que únicamente le atañe al trabajador al cual se le hace la retención y las persona a la cual se le entrega la misma.</w:t>
      </w:r>
    </w:p>
    <w:p w14:paraId="7718167D" w14:textId="77777777" w:rsidR="008355C5" w:rsidRPr="007861DD" w:rsidRDefault="008355C5" w:rsidP="008355C5">
      <w:pPr>
        <w:spacing w:after="0" w:line="360" w:lineRule="auto"/>
        <w:rPr>
          <w:rFonts w:ascii="Times New Roman" w:eastAsia="Times New Roman" w:hAnsi="Times New Roman" w:cs="Times New Roman"/>
          <w:color w:val="222222"/>
          <w:sz w:val="20"/>
          <w:szCs w:val="20"/>
          <w:lang w:eastAsia="es-ES_tradnl"/>
        </w:rPr>
      </w:pPr>
      <w:r w:rsidRPr="007861DD">
        <w:rPr>
          <w:rFonts w:eastAsia="Times New Roman" w:cs="Times New Roman"/>
          <w:color w:val="222222"/>
          <w:lang w:eastAsia="es-ES_tradnl"/>
        </w:rPr>
        <w:t> </w:t>
      </w:r>
    </w:p>
    <w:p w14:paraId="7223C214" w14:textId="77777777" w:rsidR="008355C5" w:rsidRPr="007861DD" w:rsidRDefault="008355C5" w:rsidP="008355C5">
      <w:pPr>
        <w:spacing w:after="0" w:line="360" w:lineRule="auto"/>
        <w:rPr>
          <w:rFonts w:ascii="Times New Roman" w:eastAsia="Times New Roman" w:hAnsi="Times New Roman" w:cs="Times New Roman"/>
          <w:color w:val="222222"/>
          <w:sz w:val="20"/>
          <w:szCs w:val="20"/>
          <w:lang w:eastAsia="es-ES_tradnl"/>
        </w:rPr>
      </w:pPr>
      <w:r w:rsidRPr="007861DD">
        <w:rPr>
          <w:rFonts w:eastAsia="Times New Roman" w:cs="Times New Roman"/>
          <w:color w:val="222222"/>
          <w:lang w:eastAsia="es-ES_tradnl"/>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60D95F17" w14:textId="77777777" w:rsidR="008355C5" w:rsidRPr="007861DD" w:rsidRDefault="008355C5" w:rsidP="008355C5">
      <w:pPr>
        <w:spacing w:after="0" w:line="360" w:lineRule="auto"/>
        <w:rPr>
          <w:rFonts w:eastAsia="Calibri" w:cs="Tahoma"/>
          <w:bCs/>
          <w:color w:val="000000"/>
          <w:lang w:eastAsia="en-US"/>
        </w:rPr>
      </w:pPr>
    </w:p>
    <w:p w14:paraId="0E21EFDE" w14:textId="77777777" w:rsidR="008355C5" w:rsidRPr="007861DD" w:rsidRDefault="008355C5" w:rsidP="008355C5">
      <w:pPr>
        <w:numPr>
          <w:ilvl w:val="0"/>
          <w:numId w:val="2"/>
        </w:numPr>
        <w:spacing w:after="0" w:line="360" w:lineRule="auto"/>
        <w:contextualSpacing/>
        <w:jc w:val="left"/>
        <w:rPr>
          <w:rFonts w:eastAsia="Calibri" w:cs="Tahoma"/>
          <w:b/>
          <w:bCs/>
          <w:color w:val="auto"/>
        </w:rPr>
      </w:pPr>
      <w:r w:rsidRPr="007861DD">
        <w:rPr>
          <w:rFonts w:eastAsia="Calibri" w:cs="Tahoma"/>
          <w:b/>
          <w:bCs/>
          <w:color w:val="auto"/>
        </w:rPr>
        <w:t>Denominación o razón Social de personas morales.</w:t>
      </w:r>
    </w:p>
    <w:p w14:paraId="46FBCA73" w14:textId="77777777" w:rsidR="008355C5" w:rsidRPr="007861DD" w:rsidRDefault="008355C5" w:rsidP="008355C5">
      <w:pPr>
        <w:spacing w:after="0" w:line="360" w:lineRule="auto"/>
        <w:rPr>
          <w:rFonts w:eastAsia="Calibri" w:cs="Tahoma"/>
          <w:b/>
          <w:bCs/>
          <w:color w:val="auto"/>
        </w:rPr>
      </w:pPr>
    </w:p>
    <w:p w14:paraId="44927D76" w14:textId="77777777" w:rsidR="008355C5" w:rsidRPr="007861DD" w:rsidRDefault="008355C5" w:rsidP="008355C5">
      <w:pPr>
        <w:spacing w:after="0" w:line="360" w:lineRule="auto"/>
        <w:rPr>
          <w:rFonts w:eastAsia="Calibri" w:cs="Tahoma"/>
          <w:bCs/>
          <w:color w:val="auto"/>
        </w:rPr>
      </w:pPr>
      <w:r w:rsidRPr="007861DD">
        <w:rPr>
          <w:rFonts w:eastAsia="Calibri" w:cs="Tahoma"/>
          <w:bCs/>
          <w:color w:val="auto"/>
        </w:rPr>
        <w:t xml:space="preserve">Al respecto, se considera que la denominación o razón social de una persona moral, es pública, pues dichos datos se encuentran inscritos en el Registro Público del Comercio; lo anterior, toma sustento en el </w:t>
      </w:r>
      <w:r w:rsidRPr="007861DD">
        <w:rPr>
          <w:rFonts w:eastAsia="Calibri" w:cs="Tahoma"/>
          <w:bCs/>
          <w:color w:val="auto"/>
          <w:lang w:val="es-ES"/>
        </w:rPr>
        <w:t xml:space="preserve">Criterio Orientador, de la Segunda Época, con número de registro </w:t>
      </w:r>
      <w:r w:rsidRPr="007861DD">
        <w:rPr>
          <w:rFonts w:eastAsia="Calibri" w:cs="Tahoma"/>
          <w:bCs/>
          <w:color w:val="auto"/>
        </w:rPr>
        <w:t xml:space="preserve">SO/008/2019, emitido por el entonces Instituto Nacional de Transparencia, Acceso a </w:t>
      </w:r>
      <w:r w:rsidRPr="007861DD">
        <w:rPr>
          <w:rFonts w:eastAsia="Calibri" w:cs="Tahoma"/>
          <w:bCs/>
          <w:color w:val="auto"/>
        </w:rPr>
        <w:lastRenderedPageBreak/>
        <w:t xml:space="preserve">la Información y Protección de Datos Personales, el cual establece que la denominación o razón </w:t>
      </w:r>
      <w:proofErr w:type="spellStart"/>
      <w:r w:rsidRPr="007861DD">
        <w:rPr>
          <w:rFonts w:eastAsia="Calibri" w:cs="Tahoma"/>
          <w:bCs/>
          <w:color w:val="auto"/>
        </w:rPr>
        <w:t>socual</w:t>
      </w:r>
      <w:proofErr w:type="spellEnd"/>
      <w:r w:rsidRPr="007861DD">
        <w:rPr>
          <w:rFonts w:eastAsia="Calibri" w:cs="Tahoma"/>
          <w:bCs/>
          <w:color w:val="auto"/>
        </w:rPr>
        <w:t xml:space="preserve"> de las personas morales es pública, por encontrarse inscritas en el Registro Público del Comercio.</w:t>
      </w:r>
    </w:p>
    <w:p w14:paraId="42E3EFFC" w14:textId="77777777" w:rsidR="008355C5" w:rsidRPr="007861DD" w:rsidRDefault="008355C5" w:rsidP="008355C5">
      <w:pPr>
        <w:spacing w:after="0" w:line="360" w:lineRule="auto"/>
        <w:rPr>
          <w:rFonts w:eastAsia="Calibri" w:cs="Tahoma"/>
          <w:b/>
          <w:bCs/>
          <w:color w:val="auto"/>
        </w:rPr>
      </w:pPr>
    </w:p>
    <w:p w14:paraId="3D7A6167" w14:textId="77777777" w:rsidR="008355C5" w:rsidRPr="007861DD" w:rsidRDefault="008355C5" w:rsidP="008355C5">
      <w:pPr>
        <w:spacing w:after="0" w:line="360" w:lineRule="auto"/>
        <w:rPr>
          <w:rFonts w:eastAsia="Calibri" w:cs="Tahoma"/>
          <w:bCs/>
          <w:color w:val="auto"/>
          <w:lang w:val="es-ES_tradnl"/>
        </w:rPr>
      </w:pPr>
      <w:r w:rsidRPr="007861DD">
        <w:rPr>
          <w:rFonts w:eastAsia="Calibri" w:cs="Tahoma"/>
          <w:bCs/>
          <w:color w:val="auto"/>
        </w:rPr>
        <w:t>Lo anterior, se robustece con el hecho de que el Ente Recurrido tiene como obligación común de transparencia, poner a disposición del público el nombre de las personas que reciben recursos públicos, de parte del Sujeto Obligado.</w:t>
      </w:r>
    </w:p>
    <w:p w14:paraId="1AF77181" w14:textId="77777777" w:rsidR="008355C5" w:rsidRPr="007861DD" w:rsidRDefault="008355C5" w:rsidP="008355C5">
      <w:pPr>
        <w:spacing w:after="0" w:line="360" w:lineRule="auto"/>
        <w:rPr>
          <w:rFonts w:eastAsia="Calibri" w:cs="Tahoma"/>
          <w:bCs/>
          <w:color w:val="auto"/>
          <w:lang w:val="es-ES_tradnl"/>
        </w:rPr>
      </w:pPr>
    </w:p>
    <w:p w14:paraId="21CA2779" w14:textId="77777777" w:rsidR="008355C5" w:rsidRPr="007861DD" w:rsidRDefault="008355C5" w:rsidP="008355C5">
      <w:pPr>
        <w:spacing w:after="0" w:line="360" w:lineRule="auto"/>
        <w:rPr>
          <w:rFonts w:eastAsia="Calibri" w:cs="Tahoma"/>
          <w:bCs/>
          <w:color w:val="auto"/>
        </w:rPr>
      </w:pPr>
      <w:r w:rsidRPr="007861DD">
        <w:rPr>
          <w:rFonts w:eastAsia="Calibri" w:cs="Tahoma"/>
          <w:bCs/>
          <w:color w:val="auto"/>
          <w:lang w:val="es-ES_tradnl"/>
        </w:rPr>
        <w:t>Por lo tanto, no procede la clasificación de la denominación o razón social de personas morales, en términos del artículo 143, fracción I, de la Ley de Transparencia y Acceso a la Información Pública del Estado de México y Municipios.</w:t>
      </w:r>
    </w:p>
    <w:p w14:paraId="63591CFB" w14:textId="77777777" w:rsidR="008355C5" w:rsidRPr="007861DD" w:rsidRDefault="008355C5" w:rsidP="008355C5">
      <w:pPr>
        <w:spacing w:after="0" w:line="360" w:lineRule="auto"/>
        <w:ind w:right="-28"/>
        <w:contextualSpacing/>
        <w:rPr>
          <w:rFonts w:eastAsia="Times New Roman" w:cs="Times New Roman"/>
          <w:color w:val="auto"/>
          <w:lang w:eastAsia="es-ES"/>
        </w:rPr>
      </w:pPr>
    </w:p>
    <w:p w14:paraId="6CB9A2B8" w14:textId="77777777" w:rsidR="008355C5" w:rsidRPr="007861DD" w:rsidRDefault="008355C5" w:rsidP="008355C5">
      <w:pPr>
        <w:numPr>
          <w:ilvl w:val="0"/>
          <w:numId w:val="14"/>
        </w:numPr>
        <w:spacing w:after="0" w:line="360" w:lineRule="auto"/>
        <w:jc w:val="left"/>
        <w:rPr>
          <w:rFonts w:eastAsia="Calibri" w:cs="Tahoma"/>
          <w:b/>
          <w:iCs/>
          <w:color w:val="000000"/>
          <w:szCs w:val="24"/>
          <w:lang w:val="es-ES"/>
        </w:rPr>
      </w:pPr>
      <w:r w:rsidRPr="007861DD">
        <w:rPr>
          <w:rFonts w:eastAsia="Calibri" w:cs="Tahoma"/>
          <w:b/>
          <w:bCs/>
          <w:color w:val="000000"/>
          <w:szCs w:val="24"/>
        </w:rPr>
        <w:t xml:space="preserve">Registro Federal de Contribuyentes </w:t>
      </w:r>
    </w:p>
    <w:p w14:paraId="28A46F5F" w14:textId="77777777" w:rsidR="008355C5" w:rsidRPr="007861DD" w:rsidRDefault="008355C5" w:rsidP="008355C5">
      <w:pPr>
        <w:widowControl w:val="0"/>
        <w:tabs>
          <w:tab w:val="center" w:pos="4522"/>
        </w:tabs>
        <w:spacing w:after="0" w:line="360" w:lineRule="auto"/>
        <w:rPr>
          <w:rFonts w:eastAsia="Calibri" w:cs="Tahoma"/>
          <w:b/>
          <w:bCs/>
          <w:iCs/>
          <w:color w:val="000000"/>
          <w:szCs w:val="24"/>
          <w:lang w:val="es-ES"/>
        </w:rPr>
      </w:pPr>
    </w:p>
    <w:p w14:paraId="4751532C" w14:textId="77777777" w:rsidR="008355C5" w:rsidRPr="007861DD" w:rsidRDefault="008355C5" w:rsidP="008355C5">
      <w:pPr>
        <w:spacing w:after="0" w:line="360" w:lineRule="auto"/>
        <w:contextualSpacing/>
        <w:rPr>
          <w:rFonts w:eastAsia="Calibri" w:cs="Tahoma"/>
          <w:b/>
          <w:bCs/>
          <w:iCs/>
          <w:color w:val="000000"/>
          <w:szCs w:val="24"/>
          <w:lang w:val="es-ES"/>
        </w:rPr>
      </w:pPr>
      <w:r w:rsidRPr="007861DD">
        <w:rPr>
          <w:rFonts w:eastAsia="Calibri" w:cs="Tahoma"/>
          <w:b/>
          <w:bCs/>
          <w:iCs/>
          <w:color w:val="000000"/>
          <w:szCs w:val="24"/>
          <w:lang w:val="es-ES"/>
        </w:rPr>
        <w:t>Persona física (</w:t>
      </w:r>
      <w:r w:rsidRPr="007861DD">
        <w:rPr>
          <w:rFonts w:eastAsia="Times New Roman" w:cs="Tahoma"/>
          <w:color w:val="auto"/>
        </w:rPr>
        <w:t>particular</w:t>
      </w:r>
      <w:r w:rsidRPr="007861DD">
        <w:rPr>
          <w:rFonts w:eastAsia="Calibri" w:cs="Tahoma"/>
          <w:b/>
          <w:bCs/>
          <w:iCs/>
          <w:color w:val="000000"/>
          <w:szCs w:val="24"/>
          <w:lang w:val="es-ES"/>
        </w:rPr>
        <w:t>)</w:t>
      </w:r>
    </w:p>
    <w:p w14:paraId="15F099A7" w14:textId="77777777" w:rsidR="008355C5" w:rsidRPr="007861DD" w:rsidRDefault="008355C5" w:rsidP="008355C5">
      <w:pPr>
        <w:spacing w:after="0" w:line="360" w:lineRule="auto"/>
        <w:contextualSpacing/>
        <w:rPr>
          <w:rFonts w:eastAsia="Calibri" w:cs="Tahoma"/>
          <w:bCs/>
          <w:color w:val="auto"/>
          <w:lang w:val="es-ES_tradnl" w:eastAsia="en-US"/>
        </w:rPr>
      </w:pPr>
    </w:p>
    <w:p w14:paraId="4A4346E7" w14:textId="77777777" w:rsidR="008355C5" w:rsidRPr="007861DD" w:rsidRDefault="008355C5" w:rsidP="008355C5">
      <w:pPr>
        <w:spacing w:after="0" w:line="360" w:lineRule="auto"/>
        <w:contextualSpacing/>
        <w:rPr>
          <w:rFonts w:eastAsia="Times New Roman" w:cs="Tahoma"/>
          <w:color w:val="auto"/>
        </w:rPr>
      </w:pPr>
      <w:r w:rsidRPr="007861DD">
        <w:rPr>
          <w:rFonts w:eastAsia="Times New Roman" w:cs="Tahoma"/>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203DE58" w14:textId="77777777" w:rsidR="008355C5" w:rsidRPr="007861DD" w:rsidRDefault="008355C5" w:rsidP="008355C5">
      <w:pPr>
        <w:spacing w:after="0" w:line="360" w:lineRule="auto"/>
        <w:contextualSpacing/>
        <w:rPr>
          <w:rFonts w:eastAsia="Times New Roman" w:cs="Tahoma"/>
          <w:color w:val="auto"/>
        </w:rPr>
      </w:pPr>
    </w:p>
    <w:p w14:paraId="397581F4" w14:textId="77777777" w:rsidR="008355C5" w:rsidRPr="007861DD" w:rsidRDefault="008355C5" w:rsidP="008355C5">
      <w:pPr>
        <w:widowControl w:val="0"/>
        <w:spacing w:after="0" w:line="360" w:lineRule="auto"/>
        <w:contextualSpacing/>
        <w:rPr>
          <w:rFonts w:eastAsia="Times New Roman" w:cs="Tahoma"/>
          <w:color w:val="auto"/>
        </w:rPr>
      </w:pPr>
      <w:proofErr w:type="gramStart"/>
      <w:r w:rsidRPr="007861DD">
        <w:rPr>
          <w:rFonts w:eastAsia="Times New Roman" w:cs="Tahoma"/>
          <w:color w:val="auto"/>
        </w:rPr>
        <w:t>De acuerdo a</w:t>
      </w:r>
      <w:proofErr w:type="gramEnd"/>
      <w:r w:rsidRPr="007861DD">
        <w:rPr>
          <w:rFonts w:eastAsia="Times New Roman" w:cs="Tahoma"/>
          <w:color w:val="auto"/>
        </w:rPr>
        <w:t xml:space="preserve"> lo establecido en el artículo en comento, esta clave se compone de trece caracteres alfanuméricos, con datos obtenidos de los apellidos, nombre(s), fecha de nacimiento del titular, más una </w:t>
      </w:r>
      <w:proofErr w:type="spellStart"/>
      <w:r w:rsidRPr="007861DD">
        <w:rPr>
          <w:rFonts w:eastAsia="Times New Roman" w:cs="Tahoma"/>
          <w:color w:val="auto"/>
        </w:rPr>
        <w:t>homoclave</w:t>
      </w:r>
      <w:proofErr w:type="spellEnd"/>
      <w:r w:rsidRPr="007861DD">
        <w:rPr>
          <w:rFonts w:eastAsia="Times New Roman" w:cs="Tahoma"/>
          <w:color w:val="auto"/>
        </w:rPr>
        <w:t xml:space="preserve"> que establece el sistema automático del Servicio </w:t>
      </w:r>
      <w:r w:rsidRPr="007861DD">
        <w:rPr>
          <w:rFonts w:eastAsia="Times New Roman" w:cs="Tahoma"/>
          <w:color w:val="auto"/>
        </w:rPr>
        <w:lastRenderedPageBreak/>
        <w:t>de Administración Tributaria.</w:t>
      </w:r>
    </w:p>
    <w:p w14:paraId="6C073904" w14:textId="77777777" w:rsidR="008355C5" w:rsidRPr="007861DD" w:rsidRDefault="008355C5" w:rsidP="008355C5">
      <w:pPr>
        <w:spacing w:after="0" w:line="360" w:lineRule="auto"/>
        <w:contextualSpacing/>
        <w:rPr>
          <w:rFonts w:eastAsia="Times New Roman" w:cs="Tahoma"/>
          <w:color w:val="auto"/>
        </w:rPr>
      </w:pPr>
    </w:p>
    <w:p w14:paraId="6C234450" w14:textId="77777777" w:rsidR="008355C5" w:rsidRPr="007861DD" w:rsidRDefault="008355C5" w:rsidP="008355C5">
      <w:pPr>
        <w:spacing w:after="0" w:line="360" w:lineRule="auto"/>
        <w:contextualSpacing/>
        <w:rPr>
          <w:rFonts w:eastAsia="Times New Roman" w:cs="Tahoma"/>
          <w:color w:val="auto"/>
        </w:rPr>
      </w:pPr>
      <w:r w:rsidRPr="007861DD">
        <w:rPr>
          <w:rFonts w:eastAsia="Times New Roman" w:cs="Tahoma"/>
          <w:color w:val="auto"/>
        </w:rPr>
        <w:t xml:space="preserve">Ahora bien, la clave del Registro Federal de </w:t>
      </w:r>
      <w:proofErr w:type="gramStart"/>
      <w:r w:rsidRPr="007861DD">
        <w:rPr>
          <w:rFonts w:eastAsia="Times New Roman" w:cs="Tahoma"/>
          <w:color w:val="auto"/>
        </w:rPr>
        <w:t>Contribuyentes,</w:t>
      </w:r>
      <w:proofErr w:type="gramEnd"/>
      <w:r w:rsidRPr="007861DD">
        <w:rPr>
          <w:rFonts w:eastAsia="Times New Roman" w:cs="Tahoma"/>
          <w:color w:val="auto"/>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000A6A1" w14:textId="77777777" w:rsidR="008355C5" w:rsidRPr="007861DD" w:rsidRDefault="008355C5" w:rsidP="008355C5">
      <w:pPr>
        <w:spacing w:after="0" w:line="360" w:lineRule="auto"/>
        <w:contextualSpacing/>
        <w:rPr>
          <w:rFonts w:eastAsia="Times New Roman" w:cs="Tahoma"/>
          <w:color w:val="auto"/>
        </w:rPr>
      </w:pPr>
    </w:p>
    <w:p w14:paraId="540521D0" w14:textId="77777777" w:rsidR="008355C5" w:rsidRPr="007861DD" w:rsidRDefault="008355C5" w:rsidP="008355C5">
      <w:pPr>
        <w:spacing w:after="0" w:line="360" w:lineRule="auto"/>
        <w:contextualSpacing/>
        <w:rPr>
          <w:rFonts w:eastAsia="Times New Roman" w:cs="Tahoma"/>
          <w:color w:val="auto"/>
        </w:rPr>
      </w:pPr>
      <w:r w:rsidRPr="007861DD">
        <w:rPr>
          <w:rFonts w:eastAsia="Times New Roman" w:cs="Tahoma"/>
          <w:color w:val="auto"/>
        </w:rPr>
        <w:t>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w:t>
      </w:r>
    </w:p>
    <w:p w14:paraId="63EF12A9" w14:textId="77777777" w:rsidR="008355C5" w:rsidRPr="007861DD" w:rsidRDefault="008355C5" w:rsidP="008355C5">
      <w:pPr>
        <w:spacing w:after="0" w:line="360" w:lineRule="auto"/>
        <w:contextualSpacing/>
        <w:rPr>
          <w:rFonts w:eastAsia="Times New Roman" w:cs="Tahoma"/>
          <w:color w:val="auto"/>
        </w:rPr>
      </w:pPr>
    </w:p>
    <w:p w14:paraId="65ABBF06" w14:textId="77777777" w:rsidR="008355C5" w:rsidRPr="007861DD" w:rsidRDefault="008355C5" w:rsidP="008355C5">
      <w:pPr>
        <w:spacing w:after="0" w:line="360" w:lineRule="auto"/>
        <w:rPr>
          <w:rFonts w:eastAsia="Calibri" w:cs="Tahoma"/>
          <w:bCs/>
          <w:color w:val="auto"/>
        </w:rPr>
      </w:pPr>
      <w:r w:rsidRPr="007861DD">
        <w:rPr>
          <w:rFonts w:eastAsia="Calibri" w:cs="Tahoma"/>
          <w:bCs/>
          <w:color w:val="auto"/>
        </w:rPr>
        <w:t>Lo anterior, resulta congruente con el Criterio Orientador, con clave de control SO/019/2017 emitido por el entonces Instituto Nacional de Transparencia, Acceso a la Información y Protección de Datos Personales, en el cual se señala lo siguiente:</w:t>
      </w:r>
    </w:p>
    <w:p w14:paraId="08CC3D06" w14:textId="77777777" w:rsidR="008355C5" w:rsidRPr="007861DD" w:rsidRDefault="008355C5" w:rsidP="008355C5">
      <w:pPr>
        <w:spacing w:after="0" w:line="360" w:lineRule="auto"/>
        <w:contextualSpacing/>
        <w:rPr>
          <w:rFonts w:eastAsia="Times New Roman" w:cs="Tahoma"/>
          <w:color w:val="auto"/>
        </w:rPr>
      </w:pPr>
    </w:p>
    <w:p w14:paraId="1E4DBB9D" w14:textId="77777777" w:rsidR="008355C5" w:rsidRPr="007861DD" w:rsidRDefault="008355C5" w:rsidP="008355C5">
      <w:pPr>
        <w:spacing w:after="0" w:line="360" w:lineRule="auto"/>
        <w:ind w:left="567" w:right="567"/>
        <w:contextualSpacing/>
        <w:rPr>
          <w:rFonts w:eastAsia="Times New Roman" w:cs="Tahoma"/>
          <w:i/>
          <w:iCs/>
          <w:color w:val="auto"/>
          <w:sz w:val="20"/>
          <w:szCs w:val="20"/>
          <w:lang w:eastAsia="es-ES"/>
        </w:rPr>
      </w:pPr>
      <w:r w:rsidRPr="007861DD">
        <w:rPr>
          <w:rFonts w:eastAsia="Times New Roman" w:cs="Tahoma"/>
          <w:b/>
          <w:i/>
          <w:iCs/>
          <w:color w:val="auto"/>
          <w:sz w:val="20"/>
          <w:szCs w:val="20"/>
          <w:lang w:eastAsia="es-ES"/>
        </w:rPr>
        <w:t>“Registro Federal de Contribuyentes (RFC) de personas físicas.</w:t>
      </w:r>
      <w:r w:rsidRPr="007861DD">
        <w:rPr>
          <w:rFonts w:eastAsia="Times New Roman" w:cs="Tahoma"/>
          <w:i/>
          <w:iCs/>
          <w:color w:val="auto"/>
          <w:sz w:val="20"/>
          <w:szCs w:val="20"/>
          <w:lang w:eastAsia="es-ES"/>
        </w:rPr>
        <w:t xml:space="preserve"> El RFC es una clave de carácter fiscal, única e irrepetible, que permite identificar al titular, su edad y fecha de nacimiento, por lo que es un dato personal de carácter confidencial.”</w:t>
      </w:r>
    </w:p>
    <w:p w14:paraId="272344DD" w14:textId="77777777" w:rsidR="008355C5" w:rsidRPr="007861DD" w:rsidRDefault="008355C5" w:rsidP="008355C5">
      <w:pPr>
        <w:spacing w:after="0" w:line="360" w:lineRule="auto"/>
        <w:ind w:left="567" w:right="567"/>
        <w:contextualSpacing/>
        <w:rPr>
          <w:rFonts w:eastAsia="Times New Roman" w:cs="Tahoma"/>
          <w:color w:val="auto"/>
          <w:lang w:eastAsia="es-ES"/>
        </w:rPr>
      </w:pPr>
    </w:p>
    <w:p w14:paraId="0F158910" w14:textId="77777777" w:rsidR="008355C5" w:rsidRPr="007861DD" w:rsidRDefault="008355C5" w:rsidP="008355C5">
      <w:pPr>
        <w:widowControl w:val="0"/>
        <w:spacing w:after="0" w:line="360" w:lineRule="auto"/>
        <w:contextualSpacing/>
        <w:rPr>
          <w:rFonts w:eastAsia="Calibri" w:cs="Tahoma"/>
          <w:bCs/>
          <w:color w:val="auto"/>
          <w:lang w:eastAsia="en-US"/>
        </w:rPr>
      </w:pPr>
      <w:r w:rsidRPr="007861DD">
        <w:rPr>
          <w:rFonts w:eastAsia="Times New Roman" w:cs="Tahoma"/>
          <w:color w:val="auto"/>
        </w:rPr>
        <w:t xml:space="preserve">De tal suerte, el Registro Federal de Contribuyentes de los particulares no guarda relación con la transparencia de los recursos públicos, así como tampoco con el desempeño laboral que pueda tener una persona, por lo que constituye un dato personal confidencial </w:t>
      </w:r>
      <w:r w:rsidRPr="007861DD">
        <w:rPr>
          <w:rFonts w:eastAsia="Times New Roman" w:cs="Tahoma"/>
          <w:color w:val="auto"/>
          <w:lang w:eastAsia="es-ES"/>
        </w:rPr>
        <w:t xml:space="preserve">al actualizar el supuesto normativo del artículo 143, fracción I de la Ley de Transparencia y </w:t>
      </w:r>
      <w:r w:rsidRPr="007861DD">
        <w:rPr>
          <w:rFonts w:eastAsia="Times New Roman" w:cs="Tahoma"/>
          <w:color w:val="auto"/>
          <w:lang w:eastAsia="es-ES"/>
        </w:rPr>
        <w:lastRenderedPageBreak/>
        <w:t>Acceso a la Información Pública del Estado de México y Municipios</w:t>
      </w:r>
      <w:r w:rsidRPr="007861DD">
        <w:rPr>
          <w:rFonts w:eastAsia="Times New Roman" w:cs="Tahoma"/>
          <w:color w:val="auto"/>
        </w:rPr>
        <w:t>.</w:t>
      </w:r>
    </w:p>
    <w:p w14:paraId="4837D5D2" w14:textId="77777777" w:rsidR="008355C5" w:rsidRPr="007861DD" w:rsidRDefault="008355C5" w:rsidP="008355C5">
      <w:pPr>
        <w:widowControl w:val="0"/>
        <w:tabs>
          <w:tab w:val="center" w:pos="4522"/>
        </w:tabs>
        <w:spacing w:after="0" w:line="360" w:lineRule="auto"/>
        <w:rPr>
          <w:rFonts w:eastAsia="Calibri" w:cs="Tahoma"/>
          <w:b/>
          <w:bCs/>
          <w:iCs/>
          <w:color w:val="000000"/>
          <w:szCs w:val="24"/>
          <w:lang w:val="es-ES"/>
        </w:rPr>
      </w:pPr>
    </w:p>
    <w:p w14:paraId="2112BD2C" w14:textId="77777777" w:rsidR="008355C5" w:rsidRPr="007861DD" w:rsidRDefault="008355C5" w:rsidP="008355C5">
      <w:pPr>
        <w:widowControl w:val="0"/>
        <w:tabs>
          <w:tab w:val="center" w:pos="4522"/>
        </w:tabs>
        <w:spacing w:after="0" w:line="360" w:lineRule="auto"/>
        <w:rPr>
          <w:rFonts w:eastAsia="Calibri" w:cs="Tahoma"/>
          <w:b/>
          <w:bCs/>
          <w:color w:val="000000"/>
          <w:szCs w:val="24"/>
          <w:lang w:val="es-ES_tradnl"/>
        </w:rPr>
      </w:pPr>
      <w:r w:rsidRPr="007861DD">
        <w:rPr>
          <w:rFonts w:eastAsia="Calibri" w:cs="Tahoma"/>
          <w:b/>
          <w:bCs/>
          <w:color w:val="000000"/>
          <w:szCs w:val="24"/>
          <w:lang w:val="es-ES_tradnl"/>
        </w:rPr>
        <w:t>Persona física (proveedor o contratista)</w:t>
      </w:r>
    </w:p>
    <w:p w14:paraId="66EFF954" w14:textId="77777777" w:rsidR="008355C5" w:rsidRPr="007861DD" w:rsidRDefault="008355C5" w:rsidP="008355C5">
      <w:pPr>
        <w:widowControl w:val="0"/>
        <w:tabs>
          <w:tab w:val="center" w:pos="4522"/>
        </w:tabs>
        <w:spacing w:after="0" w:line="360" w:lineRule="auto"/>
        <w:rPr>
          <w:rFonts w:eastAsia="Calibri" w:cs="Tahoma"/>
          <w:b/>
          <w:bCs/>
          <w:color w:val="000000"/>
          <w:szCs w:val="24"/>
          <w:lang w:val="es-ES_tradnl"/>
        </w:rPr>
      </w:pPr>
    </w:p>
    <w:p w14:paraId="1F3CFC23"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color w:val="000000"/>
          <w:szCs w:val="24"/>
        </w:rPr>
        <w:t>Al respecto, es necesario precisar que</w:t>
      </w:r>
      <w:r w:rsidRPr="007861DD">
        <w:rPr>
          <w:rFonts w:eastAsia="Calibri" w:cs="Tahoma"/>
          <w:bCs/>
          <w:color w:val="000000"/>
          <w:szCs w:val="24"/>
          <w:lang w:val="es-ES_tradnl"/>
        </w:rPr>
        <w:t xml:space="preserve"> </w:t>
      </w:r>
      <w:r w:rsidRPr="007861DD">
        <w:rPr>
          <w:rFonts w:eastAsia="Calibri" w:cs="Tahoma"/>
          <w:bCs/>
          <w:color w:val="000000"/>
          <w:szCs w:val="24"/>
        </w:rPr>
        <w:t xml:space="preserve">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7861DD">
        <w:rPr>
          <w:rFonts w:eastAsia="Calibri" w:cs="Tahoma"/>
          <w:b/>
          <w:bCs/>
          <w:color w:val="000000"/>
          <w:szCs w:val="24"/>
        </w:rPr>
        <w:t>la cédula de identificación fiscal (Registro Federal de Contribuyentes);</w:t>
      </w:r>
      <w:r w:rsidRPr="007861DD">
        <w:rPr>
          <w:rFonts w:eastAsia="Calibri" w:cs="Tahoma"/>
          <w:bCs/>
          <w:color w:val="000000"/>
          <w:szCs w:val="24"/>
        </w:rPr>
        <w:t xml:space="preserve"> por lo que la entrega de dicho dato permite verificar cumplimiento de esta disposición legal.</w:t>
      </w:r>
    </w:p>
    <w:p w14:paraId="01A17E6B"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2B7B8F16" w14:textId="77777777" w:rsidR="008355C5" w:rsidRPr="007861DD" w:rsidRDefault="008355C5" w:rsidP="008355C5">
      <w:pPr>
        <w:widowControl w:val="0"/>
        <w:tabs>
          <w:tab w:val="center" w:pos="4522"/>
        </w:tabs>
        <w:spacing w:after="0" w:line="360" w:lineRule="auto"/>
        <w:rPr>
          <w:rFonts w:eastAsia="Calibri" w:cs="Tahoma"/>
          <w:b/>
          <w:bCs/>
          <w:color w:val="000000"/>
          <w:szCs w:val="24"/>
        </w:rPr>
      </w:pPr>
      <w:r w:rsidRPr="007861DD">
        <w:rPr>
          <w:rFonts w:eastAsia="Calibri" w:cs="Tahoma"/>
          <w:bCs/>
          <w:color w:val="000000"/>
          <w:szCs w:val="24"/>
        </w:rPr>
        <w:t xml:space="preserve">Por lo tanto, </w:t>
      </w:r>
      <w:r w:rsidRPr="007861DD">
        <w:rPr>
          <w:rFonts w:eastAsia="Calibri" w:cs="Tahoma"/>
          <w:b/>
          <w:bCs/>
          <w:color w:val="000000"/>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7861DD">
        <w:rPr>
          <w:rFonts w:eastAsia="Calibri" w:cs="Tahoma"/>
          <w:bCs/>
          <w:color w:val="000000"/>
          <w:szCs w:val="24"/>
        </w:rPr>
        <w:t xml:space="preserve">, ya que, sin este, no se pueden realizar dichas acciones, </w:t>
      </w:r>
      <w:r w:rsidRPr="007861DD">
        <w:rPr>
          <w:rFonts w:eastAsia="Calibri" w:cs="Tahoma"/>
          <w:b/>
          <w:bCs/>
          <w:color w:val="000000"/>
          <w:szCs w:val="24"/>
        </w:rPr>
        <w:t>por lo que su entrega es un elemento adicional que respalda la legalidad de los procesos adquisitivos.</w:t>
      </w:r>
    </w:p>
    <w:p w14:paraId="3E2D0C05" w14:textId="77777777" w:rsidR="008355C5" w:rsidRPr="007861DD" w:rsidRDefault="008355C5" w:rsidP="008355C5">
      <w:pPr>
        <w:widowControl w:val="0"/>
        <w:tabs>
          <w:tab w:val="center" w:pos="4522"/>
        </w:tabs>
        <w:spacing w:after="0" w:line="360" w:lineRule="auto"/>
        <w:rPr>
          <w:rFonts w:eastAsia="Calibri" w:cs="Tahoma"/>
          <w:b/>
          <w:bCs/>
          <w:color w:val="000000"/>
          <w:szCs w:val="24"/>
        </w:rPr>
      </w:pPr>
    </w:p>
    <w:p w14:paraId="6132F6AA"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 xml:space="preserve">En ese contexto, entregar el Registro Federal de Contribuyentes aún de personas físicas cuando son proveedores de instituciones públicas, </w:t>
      </w:r>
      <w:r w:rsidRPr="007861DD">
        <w:rPr>
          <w:rFonts w:eastAsia="Calibri" w:cs="Tahoma"/>
          <w:b/>
          <w:bCs/>
          <w:color w:val="000000"/>
          <w:szCs w:val="24"/>
        </w:rPr>
        <w:t>propiciaría la rendición de cuentas</w:t>
      </w:r>
      <w:r w:rsidRPr="007861DD">
        <w:rPr>
          <w:rFonts w:eastAsia="Calibri" w:cs="Tahoma"/>
          <w:bCs/>
          <w:color w:val="000000"/>
          <w:szCs w:val="24"/>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7B2DCDFE"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27447B3E"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lastRenderedPageBreak/>
        <w:t xml:space="preserve">Lo anterior, se robustece con el </w:t>
      </w:r>
      <w:r w:rsidRPr="007861DD">
        <w:rPr>
          <w:rFonts w:eastAsia="Calibri" w:cs="Tahoma"/>
          <w:bCs/>
          <w:color w:val="000000"/>
          <w:szCs w:val="24"/>
          <w:lang w:val="es-ES"/>
        </w:rPr>
        <w:t xml:space="preserve">Criterio Orientador, de la Segunda Época, con número de registro </w:t>
      </w:r>
      <w:r w:rsidRPr="007861DD">
        <w:rPr>
          <w:rFonts w:eastAsia="Calibri" w:cs="Tahoma"/>
          <w:bCs/>
          <w:color w:val="000000"/>
          <w:szCs w:val="24"/>
        </w:rPr>
        <w:t>SO/004/2021, emitido por el Instituto Nacional de Transparencia, Acceso a la Información y Protección de Datos Personales, en el cual se señala lo siguiente:</w:t>
      </w:r>
    </w:p>
    <w:p w14:paraId="0938B7A5"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5FE9D84E" w14:textId="77777777" w:rsidR="008355C5" w:rsidRPr="007861DD" w:rsidRDefault="008355C5" w:rsidP="008355C5">
      <w:pPr>
        <w:tabs>
          <w:tab w:val="center" w:pos="4522"/>
        </w:tabs>
        <w:spacing w:after="0" w:line="360" w:lineRule="auto"/>
        <w:ind w:left="567" w:right="567"/>
        <w:rPr>
          <w:rFonts w:eastAsia="Calibri" w:cs="Tahoma"/>
          <w:bCs/>
          <w:i/>
          <w:color w:val="000000"/>
          <w:sz w:val="20"/>
        </w:rPr>
      </w:pPr>
      <w:r w:rsidRPr="007861DD">
        <w:rPr>
          <w:rFonts w:eastAsia="Calibri" w:cs="Tahoma"/>
          <w:b/>
          <w:i/>
          <w:color w:val="000000"/>
          <w:sz w:val="20"/>
        </w:rPr>
        <w:t xml:space="preserve">“Registro Federal de Contribuyentes (RFC) de personas físicas proveedores o contratistas. </w:t>
      </w:r>
      <w:r w:rsidRPr="007861DD">
        <w:rPr>
          <w:rFonts w:eastAsia="Calibri" w:cs="Tahoma"/>
          <w:bCs/>
          <w:i/>
          <w:color w:val="000000"/>
          <w:sz w:val="20"/>
        </w:rPr>
        <w:t xml:space="preserve">El RFC de contratistas o proveedores de sujetos obligados debe ser público, </w:t>
      </w:r>
      <w:proofErr w:type="gramStart"/>
      <w:r w:rsidRPr="007861DD">
        <w:rPr>
          <w:rFonts w:eastAsia="Calibri" w:cs="Tahoma"/>
          <w:bCs/>
          <w:i/>
          <w:color w:val="000000"/>
          <w:sz w:val="20"/>
        </w:rPr>
        <w:t>ya que</w:t>
      </w:r>
      <w:proofErr w:type="gramEnd"/>
      <w:r w:rsidRPr="007861DD">
        <w:rPr>
          <w:rFonts w:eastAsia="Calibri" w:cs="Tahoma"/>
          <w:bCs/>
          <w:i/>
          <w:color w:val="000000"/>
          <w:sz w:val="20"/>
        </w:rPr>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291C1E5A"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36C51965" w14:textId="77777777" w:rsidR="008355C5" w:rsidRPr="007861DD" w:rsidRDefault="008355C5" w:rsidP="008355C5">
      <w:pPr>
        <w:widowControl w:val="0"/>
        <w:tabs>
          <w:tab w:val="center" w:pos="4522"/>
        </w:tabs>
        <w:spacing w:after="0" w:line="360" w:lineRule="auto"/>
        <w:rPr>
          <w:rFonts w:eastAsia="Calibri" w:cs="Tahoma"/>
          <w:b/>
          <w:color w:val="000000"/>
          <w:szCs w:val="24"/>
          <w:u w:val="single"/>
        </w:rPr>
      </w:pPr>
      <w:r w:rsidRPr="007861DD">
        <w:rPr>
          <w:rFonts w:eastAsia="Calibri" w:cs="Tahoma"/>
          <w:bCs/>
          <w:color w:val="000000"/>
          <w:szCs w:val="24"/>
        </w:rPr>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426C0218" w14:textId="77777777" w:rsidR="008355C5" w:rsidRPr="007861DD" w:rsidRDefault="008355C5" w:rsidP="008355C5">
      <w:pPr>
        <w:widowControl w:val="0"/>
        <w:tabs>
          <w:tab w:val="center" w:pos="4522"/>
        </w:tabs>
        <w:spacing w:after="0" w:line="360" w:lineRule="auto"/>
        <w:rPr>
          <w:rFonts w:eastAsia="Calibri" w:cs="Tahoma"/>
          <w:b/>
          <w:color w:val="000000"/>
          <w:szCs w:val="24"/>
          <w:lang w:val="es-ES_tradnl"/>
        </w:rPr>
      </w:pPr>
    </w:p>
    <w:p w14:paraId="44993AB8" w14:textId="77777777" w:rsidR="008355C5" w:rsidRPr="007861DD" w:rsidRDefault="008355C5" w:rsidP="008355C5">
      <w:pPr>
        <w:widowControl w:val="0"/>
        <w:tabs>
          <w:tab w:val="center" w:pos="4522"/>
        </w:tabs>
        <w:spacing w:after="0" w:line="360" w:lineRule="auto"/>
        <w:rPr>
          <w:rFonts w:eastAsia="Calibri" w:cs="Tahoma"/>
          <w:b/>
          <w:color w:val="000000"/>
          <w:szCs w:val="24"/>
        </w:rPr>
      </w:pPr>
      <w:r w:rsidRPr="007861DD">
        <w:rPr>
          <w:rFonts w:eastAsia="Calibri" w:cs="Tahoma"/>
          <w:b/>
          <w:color w:val="000000"/>
          <w:szCs w:val="24"/>
        </w:rPr>
        <w:t>Persona Moral</w:t>
      </w:r>
    </w:p>
    <w:p w14:paraId="456E832E"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3BAB497D"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w:t>
      </w:r>
      <w:r w:rsidRPr="007861DD">
        <w:rPr>
          <w:rFonts w:eastAsia="Calibri" w:cs="Tahoma"/>
          <w:bCs/>
          <w:color w:val="000000"/>
          <w:szCs w:val="24"/>
        </w:rPr>
        <w:lastRenderedPageBreak/>
        <w:t>firmas ante las autoridades fiscales o ante notario o fedatario público. Derivado del trámite se obtiene, entre otros, la cédula de identificación fiscal o constancia de registro.</w:t>
      </w:r>
    </w:p>
    <w:p w14:paraId="352F08B8"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686E392F"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Por ende, la información correspondiente al Registro Federal de Contribuyentes de una persona moral da cuenta del cumplimiento o no en sus obligaciones fiscales; por tanto, no se actualiza su clasificación como confidencial.</w:t>
      </w:r>
    </w:p>
    <w:p w14:paraId="67949EB5"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4B996F67"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 xml:space="preserve">Además, resulta aplicable por analogía el </w:t>
      </w:r>
      <w:r w:rsidRPr="007861DD">
        <w:rPr>
          <w:rFonts w:eastAsia="Calibri" w:cs="Tahoma"/>
          <w:bCs/>
          <w:color w:val="000000"/>
          <w:szCs w:val="24"/>
          <w:lang w:val="es-ES"/>
        </w:rPr>
        <w:t xml:space="preserve">Criterio Orientador, de la Segunda Época, con número de registro </w:t>
      </w:r>
      <w:r w:rsidRPr="007861DD">
        <w:rPr>
          <w:rFonts w:eastAsia="Calibri" w:cs="Tahoma"/>
          <w:bCs/>
          <w:color w:val="000000"/>
          <w:szCs w:val="24"/>
        </w:rPr>
        <w:t>SO/008/2019,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14:paraId="5853A09A"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1B451A26"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4508F45A" w14:textId="77777777" w:rsidR="008355C5" w:rsidRPr="007861DD" w:rsidRDefault="008355C5" w:rsidP="008355C5">
      <w:pPr>
        <w:spacing w:after="0" w:line="360" w:lineRule="auto"/>
        <w:rPr>
          <w:color w:val="000000"/>
        </w:rPr>
      </w:pPr>
    </w:p>
    <w:p w14:paraId="039304A7" w14:textId="77777777" w:rsidR="008355C5" w:rsidRPr="007861DD" w:rsidRDefault="008355C5" w:rsidP="008355C5">
      <w:pPr>
        <w:widowControl w:val="0"/>
        <w:numPr>
          <w:ilvl w:val="0"/>
          <w:numId w:val="15"/>
        </w:numPr>
        <w:tabs>
          <w:tab w:val="center" w:pos="4522"/>
        </w:tabs>
        <w:spacing w:after="0" w:line="360" w:lineRule="auto"/>
        <w:rPr>
          <w:rFonts w:eastAsia="Calibri" w:cs="Tahoma"/>
          <w:b/>
          <w:bCs/>
          <w:iCs/>
          <w:color w:val="000000"/>
          <w:szCs w:val="24"/>
          <w:lang w:val="es-ES"/>
        </w:rPr>
      </w:pPr>
      <w:r w:rsidRPr="007861DD">
        <w:rPr>
          <w:rFonts w:eastAsia="Calibri" w:cs="Tahoma"/>
          <w:b/>
          <w:bCs/>
          <w:iCs/>
          <w:color w:val="000000"/>
          <w:szCs w:val="24"/>
          <w:lang w:val="es-ES"/>
        </w:rPr>
        <w:t>Cuenta bancaria y clave interbancaria de personas físicas o morales (particulares, proveedores, contratistas, entre otros)</w:t>
      </w:r>
    </w:p>
    <w:p w14:paraId="3A2639FC"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678B3EAD"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 xml:space="preserve">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w:t>
      </w:r>
      <w:r w:rsidRPr="007861DD">
        <w:rPr>
          <w:rFonts w:eastAsia="Calibri" w:cs="Tahoma"/>
          <w:bCs/>
          <w:color w:val="000000"/>
          <w:szCs w:val="24"/>
        </w:rPr>
        <w:lastRenderedPageBreak/>
        <w:t>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63F073A6"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 </w:t>
      </w:r>
    </w:p>
    <w:p w14:paraId="1A918A5D" w14:textId="77777777" w:rsidR="008355C5" w:rsidRPr="007861DD" w:rsidRDefault="008355C5" w:rsidP="008355C5">
      <w:pPr>
        <w:tabs>
          <w:tab w:val="center" w:pos="4522"/>
        </w:tabs>
        <w:spacing w:after="0" w:line="360" w:lineRule="auto"/>
        <w:rPr>
          <w:rFonts w:eastAsia="Calibri" w:cs="Tahoma"/>
          <w:bCs/>
          <w:color w:val="000000"/>
          <w:szCs w:val="24"/>
        </w:rPr>
      </w:pPr>
      <w:r w:rsidRPr="007861DD">
        <w:rPr>
          <w:rFonts w:eastAsia="Calibri" w:cs="Tahoma"/>
          <w:bCs/>
          <w:color w:val="000000"/>
          <w:szCs w:val="24"/>
        </w:rPr>
        <w:t xml:space="preserve">A mayor abundamiento, resulta necesario traer a colación el </w:t>
      </w:r>
      <w:r w:rsidRPr="007861DD">
        <w:rPr>
          <w:rFonts w:eastAsia="Calibri" w:cs="Tahoma"/>
          <w:bCs/>
          <w:iCs/>
          <w:color w:val="000000"/>
          <w:szCs w:val="24"/>
          <w:lang w:val="es-ES"/>
        </w:rPr>
        <w:t xml:space="preserve">Criterio Orientador, de la Segunda Época, con número de registro </w:t>
      </w:r>
      <w:r w:rsidRPr="007861DD">
        <w:rPr>
          <w:rFonts w:eastAsia="Calibri" w:cs="Tahoma"/>
          <w:bCs/>
          <w:iCs/>
          <w:color w:val="000000"/>
          <w:szCs w:val="24"/>
        </w:rPr>
        <w:t xml:space="preserve">SO/010/2017, </w:t>
      </w:r>
      <w:r w:rsidRPr="007861DD">
        <w:rPr>
          <w:rFonts w:eastAsia="Calibri" w:cs="Tahoma"/>
          <w:bCs/>
          <w:iCs/>
          <w:color w:val="000000"/>
          <w:szCs w:val="24"/>
          <w:lang w:val="es-ES"/>
        </w:rPr>
        <w:t>emitido por el Instituto Nacional de Transparencia, Acceso a la Información y Protección de Datos Personales</w:t>
      </w:r>
      <w:r w:rsidRPr="007861DD">
        <w:rPr>
          <w:rFonts w:eastAsia="Calibri" w:cs="Tahoma"/>
          <w:bCs/>
          <w:color w:val="000000"/>
          <w:szCs w:val="24"/>
        </w:rPr>
        <w:t>, mismo que establece lo siguiente:</w:t>
      </w:r>
    </w:p>
    <w:p w14:paraId="5B2D04F8" w14:textId="77777777" w:rsidR="008355C5" w:rsidRPr="007861DD" w:rsidRDefault="008355C5" w:rsidP="008355C5">
      <w:pPr>
        <w:tabs>
          <w:tab w:val="center" w:pos="4522"/>
        </w:tabs>
        <w:spacing w:after="0" w:line="360" w:lineRule="auto"/>
        <w:rPr>
          <w:rFonts w:eastAsia="Calibri" w:cs="Tahoma"/>
          <w:bCs/>
          <w:color w:val="000000"/>
          <w:szCs w:val="24"/>
        </w:rPr>
      </w:pPr>
    </w:p>
    <w:p w14:paraId="5C75CA34" w14:textId="77777777" w:rsidR="008355C5" w:rsidRPr="007861DD" w:rsidRDefault="008355C5" w:rsidP="008355C5">
      <w:pPr>
        <w:widowControl w:val="0"/>
        <w:tabs>
          <w:tab w:val="center" w:pos="4522"/>
        </w:tabs>
        <w:spacing w:after="0" w:line="360" w:lineRule="auto"/>
        <w:ind w:left="567" w:right="567"/>
        <w:rPr>
          <w:rFonts w:eastAsia="Calibri" w:cs="Tahoma"/>
          <w:bCs/>
          <w:i/>
          <w:color w:val="000000"/>
          <w:sz w:val="20"/>
          <w:szCs w:val="20"/>
        </w:rPr>
      </w:pPr>
      <w:r w:rsidRPr="007861DD">
        <w:rPr>
          <w:rFonts w:eastAsia="Calibri" w:cs="Tahoma"/>
          <w:bCs/>
          <w:i/>
          <w:color w:val="000000"/>
          <w:sz w:val="20"/>
          <w:szCs w:val="20"/>
        </w:rPr>
        <w:t>“</w:t>
      </w:r>
      <w:r w:rsidRPr="007861DD">
        <w:rPr>
          <w:rFonts w:eastAsia="Calibri" w:cs="Tahoma"/>
          <w:b/>
          <w:bCs/>
          <w:i/>
          <w:color w:val="000000"/>
          <w:sz w:val="20"/>
          <w:szCs w:val="20"/>
        </w:rPr>
        <w:t>Cuentas bancarias y/o CLABE interbancaria de personas físicas y morales privadas.</w:t>
      </w:r>
      <w:r w:rsidRPr="007861DD">
        <w:rPr>
          <w:rFonts w:eastAsia="Calibri" w:cs="Tahoma"/>
          <w:bCs/>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DDB247A"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 </w:t>
      </w:r>
    </w:p>
    <w:p w14:paraId="4B133243"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 xml:space="preserve">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 </w:t>
      </w:r>
    </w:p>
    <w:p w14:paraId="3A7C1B4B" w14:textId="77777777" w:rsidR="008355C5" w:rsidRPr="007861DD" w:rsidRDefault="008355C5" w:rsidP="008355C5">
      <w:pPr>
        <w:widowControl w:val="0"/>
        <w:tabs>
          <w:tab w:val="center" w:pos="4522"/>
        </w:tabs>
        <w:spacing w:after="0" w:line="360" w:lineRule="auto"/>
        <w:rPr>
          <w:rFonts w:eastAsia="Calibri" w:cs="Tahoma"/>
          <w:color w:val="000000"/>
          <w:szCs w:val="24"/>
          <w:lang w:val="es-ES"/>
        </w:rPr>
      </w:pPr>
    </w:p>
    <w:p w14:paraId="462FD5C0" w14:textId="77777777" w:rsidR="008355C5" w:rsidRPr="007861DD" w:rsidRDefault="008355C5" w:rsidP="008355C5">
      <w:pPr>
        <w:widowControl w:val="0"/>
        <w:numPr>
          <w:ilvl w:val="0"/>
          <w:numId w:val="2"/>
        </w:numPr>
        <w:tabs>
          <w:tab w:val="center" w:pos="4522"/>
        </w:tabs>
        <w:spacing w:after="0" w:line="360" w:lineRule="auto"/>
        <w:rPr>
          <w:rFonts w:eastAsia="Calibri" w:cs="Tahoma"/>
          <w:b/>
          <w:bCs/>
          <w:iCs/>
          <w:color w:val="000000"/>
          <w:szCs w:val="24"/>
        </w:rPr>
      </w:pPr>
      <w:r w:rsidRPr="007861DD">
        <w:rPr>
          <w:rFonts w:eastAsia="Calibri" w:cs="Tahoma"/>
          <w:b/>
          <w:bCs/>
          <w:iCs/>
          <w:color w:val="000000"/>
          <w:szCs w:val="24"/>
        </w:rPr>
        <w:t>Nombre de institución bancaria</w:t>
      </w:r>
    </w:p>
    <w:p w14:paraId="342807DC"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7EC245FB"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lastRenderedPageBreak/>
        <w:t>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7E039DD3"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6BCA9A5D"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En ese orden de ideas, en el portal de la Comisión Nacional para la Protección y Defensa de los Usuarios de Servicios Financieros (</w:t>
      </w:r>
      <w:r w:rsidRPr="007861DD">
        <w:rPr>
          <w:rFonts w:eastAsia="Calibri" w:cs="Tahoma"/>
          <w:bCs/>
          <w:iCs/>
          <w:color w:val="000000"/>
          <w:szCs w:val="24"/>
        </w:rPr>
        <w:t xml:space="preserve">consultadas el dieciocho de enero de dos mil veintitrés), </w:t>
      </w:r>
      <w:r w:rsidRPr="007861DD">
        <w:rPr>
          <w:rFonts w:eastAsia="Calibri" w:cs="Tahoma"/>
          <w:bCs/>
          <w:color w:val="000000"/>
          <w:szCs w:val="24"/>
        </w:rPr>
        <w:t xml:space="preserve">en </w:t>
      </w:r>
      <w:hyperlink r:id="rId14" w:history="1">
        <w:r w:rsidRPr="007861DD">
          <w:rPr>
            <w:rFonts w:eastAsia="Calibri" w:cs="Tahoma"/>
            <w:bCs/>
            <w:color w:val="0000FF"/>
            <w:szCs w:val="24"/>
            <w:u w:val="single"/>
          </w:rPr>
          <w:t>https://www.condusef.gob.mx/Revista/index.php/usuario-inteligente/condusef-responde/777-la-condusef-te-puede-ayudar</w:t>
        </w:r>
      </w:hyperlink>
      <w:r w:rsidRPr="007861DD">
        <w:rPr>
          <w:rFonts w:eastAsia="Calibri" w:cs="Tahoma"/>
          <w:bCs/>
          <w:color w:val="000000"/>
          <w:szCs w:val="24"/>
        </w:rPr>
        <w:t>), se establece que los bancos son instituciones financieras; conforme a lo anterior, se puede advertir que las instituciones bancarias, son personas morales.</w:t>
      </w:r>
    </w:p>
    <w:p w14:paraId="5690E595"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0FC47274"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 xml:space="preserve">En ese orden de ideas, se considera que la denominación o razón social de una persona moral, es pública, pues dichos datos se encuentran inscritos en el Registro Público del Comercio; lo anterior, toma sustento en el </w:t>
      </w:r>
      <w:r w:rsidRPr="007861DD">
        <w:rPr>
          <w:rFonts w:eastAsia="Calibri" w:cs="Tahoma"/>
          <w:bCs/>
          <w:iCs/>
          <w:color w:val="000000"/>
          <w:szCs w:val="24"/>
          <w:lang w:val="es-ES"/>
        </w:rPr>
        <w:t xml:space="preserve">Criterio Orientador, de la Segunda Época, con número de registro </w:t>
      </w:r>
      <w:r w:rsidRPr="007861DD">
        <w:rPr>
          <w:rFonts w:eastAsia="Calibri" w:cs="Tahoma"/>
          <w:bCs/>
          <w:iCs/>
          <w:color w:val="000000"/>
          <w:szCs w:val="24"/>
        </w:rPr>
        <w:t xml:space="preserve">SO/008/2019, </w:t>
      </w:r>
      <w:r w:rsidRPr="007861DD">
        <w:rPr>
          <w:rFonts w:eastAsia="Calibri" w:cs="Tahoma"/>
          <w:bCs/>
          <w:iCs/>
          <w:color w:val="000000"/>
          <w:szCs w:val="24"/>
          <w:lang w:val="es-ES"/>
        </w:rPr>
        <w:t>emitido por el Instituto Nacional de Transparencia, Acceso a la Información y Protección de Datos Personales,</w:t>
      </w:r>
      <w:r w:rsidRPr="007861DD">
        <w:rPr>
          <w:rFonts w:eastAsia="Calibri" w:cs="Tahoma"/>
          <w:bCs/>
          <w:color w:val="000000"/>
          <w:szCs w:val="24"/>
        </w:rPr>
        <w:t xml:space="preserve"> previamente referido.</w:t>
      </w:r>
    </w:p>
    <w:p w14:paraId="7E678023"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63ABC12A" w14:textId="77777777" w:rsidR="008355C5" w:rsidRPr="007861DD" w:rsidRDefault="008355C5" w:rsidP="008355C5">
      <w:pPr>
        <w:tabs>
          <w:tab w:val="center" w:pos="4522"/>
        </w:tabs>
        <w:spacing w:after="0" w:line="360" w:lineRule="auto"/>
        <w:rPr>
          <w:rFonts w:eastAsia="Calibri" w:cs="Tahoma"/>
          <w:bCs/>
          <w:color w:val="000000"/>
          <w:szCs w:val="24"/>
        </w:rPr>
      </w:pPr>
      <w:r w:rsidRPr="007861DD">
        <w:rPr>
          <w:rFonts w:eastAsia="Calibri" w:cs="Tahoma"/>
          <w:bCs/>
          <w:color w:val="000000"/>
          <w:szCs w:val="24"/>
        </w:rPr>
        <w:t xml:space="preserve">Lo anterior, se robustece con el hecho de que existe el Sistema de Registro de Prestadores de Servicios Financieros en la liga </w:t>
      </w:r>
      <w:hyperlink r:id="rId15" w:history="1">
        <w:r w:rsidRPr="007861DD">
          <w:rPr>
            <w:rFonts w:eastAsia="Calibri" w:cs="Tahoma"/>
            <w:bCs/>
            <w:color w:val="0000FF"/>
            <w:szCs w:val="24"/>
            <w:u w:val="single"/>
          </w:rPr>
          <w:t>https://webapps.condusef.gob.mx/SIPRES/jsp/pub/index.jsp</w:t>
        </w:r>
      </w:hyperlink>
      <w:r w:rsidRPr="007861DD">
        <w:rPr>
          <w:rFonts w:eastAsia="Calibri" w:cs="Tahoma"/>
          <w:bCs/>
          <w:color w:val="000000"/>
          <w:szCs w:val="24"/>
        </w:rPr>
        <w:t xml:space="preserve">), que es un registro de </w:t>
      </w:r>
      <w:r w:rsidRPr="007861DD">
        <w:rPr>
          <w:rFonts w:eastAsia="Calibri" w:cs="Tahoma"/>
          <w:b/>
          <w:bCs/>
          <w:color w:val="000000"/>
          <w:szCs w:val="24"/>
        </w:rPr>
        <w:t xml:space="preserve">carácter público, </w:t>
      </w:r>
      <w:r w:rsidRPr="007861DD">
        <w:rPr>
          <w:rFonts w:eastAsia="Calibri" w:cs="Tahoma"/>
          <w:bCs/>
          <w:color w:val="000000"/>
          <w:szCs w:val="24"/>
        </w:rPr>
        <w:t>cuyo objetivo principal, consiste en proporcionar información corporativa y general de las instituciones financieras</w:t>
      </w:r>
      <w:r w:rsidRPr="007861DD">
        <w:rPr>
          <w:rFonts w:eastAsia="Calibri" w:cs="Tahoma"/>
          <w:b/>
          <w:bCs/>
          <w:color w:val="000000"/>
          <w:szCs w:val="24"/>
        </w:rPr>
        <w:t xml:space="preserve">; además, que permite conocer al público general, información de dichos entes, </w:t>
      </w:r>
      <w:r w:rsidRPr="007861DD">
        <w:rPr>
          <w:rFonts w:eastAsia="Calibri" w:cs="Tahoma"/>
          <w:bCs/>
          <w:color w:val="000000"/>
          <w:szCs w:val="24"/>
        </w:rPr>
        <w:t xml:space="preserve">se muestra un ejemplo a continuación: </w:t>
      </w:r>
    </w:p>
    <w:p w14:paraId="4F1E4B3D"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58393AFA" w14:textId="77777777" w:rsidR="008355C5" w:rsidRPr="007861DD" w:rsidRDefault="008355C5" w:rsidP="008355C5">
      <w:pPr>
        <w:widowControl w:val="0"/>
        <w:tabs>
          <w:tab w:val="center" w:pos="4522"/>
        </w:tabs>
        <w:spacing w:after="0" w:line="360" w:lineRule="auto"/>
        <w:jc w:val="center"/>
        <w:rPr>
          <w:rFonts w:eastAsia="Calibri" w:cs="Tahoma"/>
          <w:bCs/>
          <w:color w:val="000000"/>
          <w:szCs w:val="24"/>
        </w:rPr>
      </w:pPr>
      <w:r w:rsidRPr="007861DD">
        <w:rPr>
          <w:rFonts w:eastAsia="Calibri" w:cs="Tahoma"/>
          <w:noProof/>
          <w:color w:val="000000"/>
          <w:szCs w:val="24"/>
        </w:rPr>
        <w:drawing>
          <wp:inline distT="0" distB="0" distL="0" distR="0" wp14:anchorId="16927211" wp14:editId="5F218439">
            <wp:extent cx="5476025" cy="2838450"/>
            <wp:effectExtent l="0" t="0" r="0" b="0"/>
            <wp:docPr id="1432513716" name="Imagen 8"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Imagen que contiene Escala de tiemp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t="2" b="381"/>
                    <a:stretch>
                      <a:fillRect/>
                    </a:stretch>
                  </pic:blipFill>
                  <pic:spPr bwMode="auto">
                    <a:xfrm>
                      <a:off x="0" y="0"/>
                      <a:ext cx="5481595" cy="2841337"/>
                    </a:xfrm>
                    <a:prstGeom prst="rect">
                      <a:avLst/>
                    </a:prstGeom>
                    <a:noFill/>
                    <a:ln>
                      <a:noFill/>
                    </a:ln>
                  </pic:spPr>
                </pic:pic>
              </a:graphicData>
            </a:graphic>
          </wp:inline>
        </w:drawing>
      </w:r>
    </w:p>
    <w:p w14:paraId="26985E2A" w14:textId="77777777" w:rsidR="008355C5" w:rsidRPr="007861DD" w:rsidRDefault="008355C5" w:rsidP="008355C5">
      <w:pPr>
        <w:widowControl w:val="0"/>
        <w:tabs>
          <w:tab w:val="center" w:pos="4522"/>
        </w:tabs>
        <w:spacing w:after="0" w:line="360" w:lineRule="auto"/>
        <w:jc w:val="center"/>
        <w:rPr>
          <w:rFonts w:eastAsia="Calibri" w:cs="Tahoma"/>
          <w:bCs/>
          <w:color w:val="000000"/>
          <w:szCs w:val="24"/>
        </w:rPr>
      </w:pPr>
    </w:p>
    <w:p w14:paraId="3E6146D4"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Conforme a lo anterior, se logra vislumbrar que el nombre de las instituciones bancarias en primera instancia es de naturaleza pública; sin embargo, en el presente caso, se relacionada con el hecho de que corresponde al banco en el cual una persona física o moral decidió recibir recursos; es decir, daría cuenta de la decisión voluntaria de recibir el pago en una determinada institución; lo cual se relaciona con la cuenta y clave interbancaria, mismos que son confidenciales.</w:t>
      </w:r>
    </w:p>
    <w:p w14:paraId="34E6F720"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1BA364BD" w14:textId="77777777" w:rsidR="008355C5" w:rsidRPr="007861DD" w:rsidRDefault="008355C5" w:rsidP="008355C5">
      <w:pPr>
        <w:widowControl w:val="0"/>
        <w:tabs>
          <w:tab w:val="center" w:pos="4522"/>
        </w:tabs>
        <w:spacing w:after="0" w:line="360" w:lineRule="auto"/>
        <w:rPr>
          <w:rFonts w:eastAsia="Calibri" w:cs="Tahoma"/>
          <w:bCs/>
          <w:color w:val="000000"/>
          <w:szCs w:val="24"/>
        </w:rPr>
      </w:pPr>
      <w:r w:rsidRPr="007861DD">
        <w:rPr>
          <w:rFonts w:eastAsia="Calibri" w:cs="Tahoma"/>
          <w:bCs/>
          <w:color w:val="000000"/>
          <w:szCs w:val="24"/>
        </w:rPr>
        <w:t xml:space="preserve">Además, revelaría el lugar en donde en que la persona recibió los recursos, lo cual únicamente está relacionado a su vida íntima o privada de la persona moral; por lo que, este Instituto considera que el nombre de la institución </w:t>
      </w:r>
      <w:proofErr w:type="gramStart"/>
      <w:r w:rsidRPr="007861DD">
        <w:rPr>
          <w:rFonts w:eastAsia="Calibri" w:cs="Tahoma"/>
          <w:bCs/>
          <w:color w:val="000000"/>
          <w:szCs w:val="24"/>
        </w:rPr>
        <w:t>bancaria,</w:t>
      </w:r>
      <w:proofErr w:type="gramEnd"/>
      <w:r w:rsidRPr="007861DD">
        <w:rPr>
          <w:rFonts w:eastAsia="Calibri" w:cs="Tahoma"/>
          <w:bCs/>
          <w:color w:val="000000"/>
          <w:szCs w:val="24"/>
        </w:rPr>
        <w:t xml:space="preserve"> actualiza la causal de clasificación prevista en el artículo 143, fracción I, de la Ley de Transparencia y Acceso a la Información Pública del Estado de México y Municipios.</w:t>
      </w:r>
    </w:p>
    <w:p w14:paraId="665C5F87" w14:textId="77777777" w:rsidR="008355C5" w:rsidRPr="007861DD" w:rsidRDefault="008355C5" w:rsidP="008355C5">
      <w:pPr>
        <w:widowControl w:val="0"/>
        <w:tabs>
          <w:tab w:val="center" w:pos="4522"/>
        </w:tabs>
        <w:spacing w:after="0" w:line="360" w:lineRule="auto"/>
        <w:rPr>
          <w:rFonts w:eastAsia="Calibri" w:cs="Tahoma"/>
          <w:bCs/>
          <w:color w:val="000000"/>
          <w:szCs w:val="24"/>
        </w:rPr>
      </w:pPr>
    </w:p>
    <w:p w14:paraId="00C9B914" w14:textId="77777777" w:rsidR="008355C5" w:rsidRPr="007861DD" w:rsidRDefault="008355C5" w:rsidP="008355C5">
      <w:pPr>
        <w:spacing w:after="0" w:line="360" w:lineRule="auto"/>
        <w:ind w:right="-28"/>
        <w:contextualSpacing/>
        <w:rPr>
          <w:rFonts w:eastAsia="Times New Roman" w:cs="Times New Roman"/>
          <w:color w:val="auto"/>
          <w:lang w:eastAsia="es-ES"/>
        </w:rPr>
      </w:pPr>
      <w:r w:rsidRPr="007861DD">
        <w:rPr>
          <w:rFonts w:eastAsia="Times New Roman" w:cs="Times New Roman"/>
          <w:color w:val="auto"/>
          <w:lang w:eastAsia="es-ES"/>
        </w:rPr>
        <w:t xml:space="preserve">Así, el Sujeto Obligado, deberá elaborar la versión pública respectiva, tomando en consideración los datos analizados;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5CDF17B" w14:textId="77777777" w:rsidR="008355C5" w:rsidRPr="007861DD" w:rsidRDefault="008355C5" w:rsidP="008355C5">
      <w:pPr>
        <w:spacing w:after="0" w:line="360" w:lineRule="auto"/>
        <w:ind w:right="-28"/>
        <w:contextualSpacing/>
        <w:rPr>
          <w:rFonts w:eastAsia="Times New Roman" w:cs="Times New Roman"/>
          <w:color w:val="auto"/>
          <w:lang w:eastAsia="es-ES"/>
        </w:rPr>
      </w:pPr>
    </w:p>
    <w:p w14:paraId="58B5E4E2" w14:textId="77777777" w:rsidR="008355C5" w:rsidRPr="007861DD" w:rsidRDefault="008355C5" w:rsidP="008355C5">
      <w:pPr>
        <w:spacing w:after="0" w:line="360" w:lineRule="auto"/>
        <w:ind w:right="-28"/>
        <w:contextualSpacing/>
        <w:rPr>
          <w:rFonts w:eastAsia="Times New Roman" w:cs="Times New Roman"/>
          <w:color w:val="auto"/>
          <w:lang w:eastAsia="es-ES"/>
        </w:rPr>
      </w:pPr>
      <w:r w:rsidRPr="007861DD">
        <w:rPr>
          <w:rFonts w:eastAsia="Times New Roman" w:cs="Times New Roman"/>
          <w:color w:val="auto"/>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F5142C5" w14:textId="6325A6FF" w:rsidR="00B247CD" w:rsidRPr="007861DD" w:rsidRDefault="00B247CD" w:rsidP="00060791">
      <w:pPr>
        <w:spacing w:after="0" w:line="360" w:lineRule="auto"/>
        <w:rPr>
          <w:rFonts w:eastAsia="Times New Roman" w:cs="Tahoma"/>
          <w:bCs/>
          <w:iCs/>
          <w:lang w:eastAsia="es-ES"/>
        </w:rPr>
      </w:pPr>
    </w:p>
    <w:p w14:paraId="0CCF70E8" w14:textId="77777777" w:rsidR="00D1318A" w:rsidRPr="007861DD" w:rsidRDefault="00D1318A" w:rsidP="001162C4">
      <w:pPr>
        <w:pStyle w:val="Ttulo2"/>
        <w:spacing w:before="0" w:after="0" w:line="360" w:lineRule="auto"/>
        <w:rPr>
          <w:sz w:val="22"/>
          <w:szCs w:val="22"/>
        </w:rPr>
      </w:pPr>
      <w:bookmarkStart w:id="13" w:name="_Toc213244227"/>
      <w:r w:rsidRPr="007861DD">
        <w:rPr>
          <w:sz w:val="22"/>
          <w:szCs w:val="22"/>
        </w:rPr>
        <w:t>SEXTO. Decisión</w:t>
      </w:r>
      <w:bookmarkEnd w:id="13"/>
    </w:p>
    <w:p w14:paraId="0D2B29DC" w14:textId="77777777" w:rsidR="00D1318A" w:rsidRPr="007861DD" w:rsidRDefault="00D1318A" w:rsidP="001162C4">
      <w:pPr>
        <w:spacing w:after="0" w:line="360" w:lineRule="auto"/>
        <w:contextualSpacing/>
        <w:rPr>
          <w:rFonts w:eastAsia="Calibri" w:cs="Tahoma"/>
          <w:b/>
        </w:rPr>
      </w:pPr>
    </w:p>
    <w:p w14:paraId="4BF18B87" w14:textId="01572243" w:rsidR="00D1318A" w:rsidRPr="007861DD" w:rsidRDefault="00D1318A" w:rsidP="001162C4">
      <w:pPr>
        <w:spacing w:after="0" w:line="360" w:lineRule="auto"/>
      </w:pPr>
      <w:r w:rsidRPr="007861DD">
        <w:t xml:space="preserve">De acuerdo con lo expuesto y, con fundamento en el artículo 186, fracción III, de la Ley de Transparencia y Acceso a la Información Pública del Estado de México y Municipios, este </w:t>
      </w:r>
      <w:r w:rsidRPr="007861DD">
        <w:lastRenderedPageBreak/>
        <w:t xml:space="preserve">Instituto considera procedente </w:t>
      </w:r>
      <w:r w:rsidR="00BF460D" w:rsidRPr="007861DD">
        <w:rPr>
          <w:b/>
        </w:rPr>
        <w:t>REVOCAR</w:t>
      </w:r>
      <w:r w:rsidRPr="007861DD">
        <w:rPr>
          <w:b/>
        </w:rPr>
        <w:t xml:space="preserve"> </w:t>
      </w:r>
      <w:r w:rsidRPr="007861DD">
        <w:t>la resp</w:t>
      </w:r>
      <w:r w:rsidR="00655068" w:rsidRPr="007861DD">
        <w:t>uesta del</w:t>
      </w:r>
      <w:r w:rsidR="008355C5" w:rsidRPr="007861DD">
        <w:t xml:space="preserve"> Instituto de Seguridad Social del Estado de México y Municipios</w:t>
      </w:r>
      <w:r w:rsidRPr="007861DD">
        <w:rPr>
          <w:b/>
        </w:rPr>
        <w:t xml:space="preserve">, </w:t>
      </w:r>
      <w:r w:rsidRPr="007861DD">
        <w:t xml:space="preserve">a efecto de que </w:t>
      </w:r>
      <w:r w:rsidR="004076BD" w:rsidRPr="007861DD">
        <w:t>entregue</w:t>
      </w:r>
      <w:r w:rsidR="00287797" w:rsidRPr="007861DD">
        <w:t xml:space="preserve"> la información solicitada</w:t>
      </w:r>
      <w:r w:rsidR="001C6B7A" w:rsidRPr="007861DD">
        <w:t>.</w:t>
      </w:r>
    </w:p>
    <w:p w14:paraId="13D4A44D" w14:textId="77777777" w:rsidR="004306AC" w:rsidRPr="007861DD" w:rsidRDefault="004306AC" w:rsidP="001162C4">
      <w:pPr>
        <w:spacing w:after="0" w:line="360" w:lineRule="auto"/>
      </w:pPr>
    </w:p>
    <w:p w14:paraId="0C829323" w14:textId="77777777" w:rsidR="00D1318A" w:rsidRPr="007861DD" w:rsidRDefault="00D1318A" w:rsidP="001162C4">
      <w:pPr>
        <w:spacing w:after="0" w:line="360" w:lineRule="auto"/>
        <w:contextualSpacing/>
        <w:rPr>
          <w:rFonts w:eastAsia="Calibri" w:cs="Tahoma"/>
          <w:b/>
          <w:bCs/>
        </w:rPr>
      </w:pPr>
      <w:r w:rsidRPr="007861DD">
        <w:rPr>
          <w:rFonts w:eastAsia="Calibri" w:cs="Tahoma"/>
          <w:b/>
          <w:bCs/>
        </w:rPr>
        <w:t>Términos de la Resolución para conocimiento del Particular</w:t>
      </w:r>
    </w:p>
    <w:p w14:paraId="08535812" w14:textId="77777777" w:rsidR="00D1318A" w:rsidRPr="007861DD" w:rsidRDefault="00D1318A" w:rsidP="001162C4">
      <w:pPr>
        <w:spacing w:after="0" w:line="360" w:lineRule="auto"/>
        <w:contextualSpacing/>
        <w:rPr>
          <w:rFonts w:eastAsia="Calibri" w:cs="Tahoma"/>
          <w:b/>
          <w:bCs/>
        </w:rPr>
      </w:pPr>
    </w:p>
    <w:p w14:paraId="6C1631CC" w14:textId="77777777" w:rsidR="00997199" w:rsidRPr="007861DD" w:rsidRDefault="00D1318A" w:rsidP="001162C4">
      <w:pPr>
        <w:spacing w:after="0" w:line="360" w:lineRule="auto"/>
      </w:pPr>
      <w:r w:rsidRPr="007861DD">
        <w:t xml:space="preserve">Se le hace del conocimiento a la persona Recurrente que, en el presente asunto, se le da </w:t>
      </w:r>
      <w:r w:rsidR="001C6B7A" w:rsidRPr="007861DD">
        <w:t xml:space="preserve">parcialmente </w:t>
      </w:r>
      <w:r w:rsidRPr="007861DD">
        <w:t xml:space="preserve">la razón, pues </w:t>
      </w:r>
      <w:r w:rsidR="00715343" w:rsidRPr="007861DD">
        <w:t xml:space="preserve">si bien </w:t>
      </w:r>
      <w:r w:rsidR="004076BD" w:rsidRPr="007861DD">
        <w:t>el Sujeto Obligado</w:t>
      </w:r>
      <w:r w:rsidR="00BF460D" w:rsidRPr="007861DD">
        <w:t xml:space="preserve"> dio respuesta</w:t>
      </w:r>
      <w:r w:rsidR="00D44453" w:rsidRPr="007861DD">
        <w:t>, esta no atiende lo solicitado</w:t>
      </w:r>
      <w:r w:rsidRPr="007861DD">
        <w:t>, por lo que, deberá hacer la entre</w:t>
      </w:r>
      <w:r w:rsidR="00655068" w:rsidRPr="007861DD">
        <w:t>ga</w:t>
      </w:r>
      <w:r w:rsidR="00287797" w:rsidRPr="007861DD">
        <w:t xml:space="preserve"> de la información solicitada</w:t>
      </w:r>
      <w:r w:rsidR="00997199" w:rsidRPr="007861DD">
        <w:t>.</w:t>
      </w:r>
    </w:p>
    <w:p w14:paraId="4026D254" w14:textId="77777777" w:rsidR="00997199" w:rsidRPr="007861DD" w:rsidRDefault="00997199" w:rsidP="001162C4">
      <w:pPr>
        <w:spacing w:after="0" w:line="360" w:lineRule="auto"/>
      </w:pPr>
    </w:p>
    <w:p w14:paraId="01AB06B6" w14:textId="77777777" w:rsidR="00997199" w:rsidRPr="007861DD" w:rsidRDefault="00997199" w:rsidP="00997199">
      <w:pPr>
        <w:spacing w:after="0" w:line="360" w:lineRule="auto"/>
        <w:rPr>
          <w:color w:val="auto"/>
        </w:rPr>
      </w:pPr>
      <w:r w:rsidRPr="007861DD">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51AD938A" w14:textId="77777777" w:rsidR="00E50794" w:rsidRPr="007861DD" w:rsidRDefault="00E50794" w:rsidP="001162C4">
      <w:pPr>
        <w:spacing w:after="0" w:line="360" w:lineRule="auto"/>
      </w:pPr>
    </w:p>
    <w:p w14:paraId="1C805ED0" w14:textId="77777777" w:rsidR="00D1318A" w:rsidRPr="007861DD" w:rsidRDefault="00D1318A" w:rsidP="001162C4">
      <w:pPr>
        <w:spacing w:after="0" w:line="360" w:lineRule="auto"/>
        <w:contextualSpacing/>
        <w:rPr>
          <w:rFonts w:eastAsia="Calibri"/>
        </w:rPr>
      </w:pPr>
      <w:r w:rsidRPr="007861DD">
        <w:rPr>
          <w:rFonts w:eastAsia="Calibri"/>
        </w:rPr>
        <w:t>Por lo expuesto y fundado, este Pleno:</w:t>
      </w:r>
    </w:p>
    <w:p w14:paraId="7E4B6E8F" w14:textId="77777777" w:rsidR="00057905" w:rsidRPr="007861DD" w:rsidRDefault="00057905" w:rsidP="001162C4">
      <w:pPr>
        <w:spacing w:after="0" w:line="360" w:lineRule="auto"/>
        <w:contextualSpacing/>
        <w:rPr>
          <w:rFonts w:eastAsia="Calibri"/>
        </w:rPr>
      </w:pPr>
    </w:p>
    <w:p w14:paraId="4969F2B6" w14:textId="77777777" w:rsidR="00D1318A" w:rsidRPr="007861DD" w:rsidRDefault="00D1318A" w:rsidP="001162C4">
      <w:pPr>
        <w:pStyle w:val="Ttulo1"/>
        <w:spacing w:before="0" w:after="0" w:line="360" w:lineRule="auto"/>
        <w:jc w:val="center"/>
        <w:rPr>
          <w:sz w:val="22"/>
          <w:szCs w:val="22"/>
        </w:rPr>
      </w:pPr>
      <w:bookmarkStart w:id="14" w:name="_Toc213244228"/>
      <w:r w:rsidRPr="007861DD">
        <w:rPr>
          <w:sz w:val="22"/>
          <w:szCs w:val="22"/>
        </w:rPr>
        <w:t>R E S U E L V E</w:t>
      </w:r>
      <w:bookmarkEnd w:id="14"/>
    </w:p>
    <w:p w14:paraId="00911B7E" w14:textId="77777777" w:rsidR="00D1318A" w:rsidRPr="007861DD" w:rsidRDefault="00D1318A" w:rsidP="001162C4">
      <w:pPr>
        <w:spacing w:after="0" w:line="360" w:lineRule="auto"/>
        <w:contextualSpacing/>
        <w:rPr>
          <w:rFonts w:eastAsia="Calibri"/>
          <w:b/>
          <w:bCs/>
        </w:rPr>
      </w:pPr>
    </w:p>
    <w:p w14:paraId="59D86F6A" w14:textId="6A6FF614" w:rsidR="00D1318A" w:rsidRPr="007861DD" w:rsidRDefault="00D1318A" w:rsidP="001162C4">
      <w:pPr>
        <w:spacing w:after="0" w:line="360" w:lineRule="auto"/>
        <w:contextualSpacing/>
        <w:rPr>
          <w:bCs/>
        </w:rPr>
      </w:pPr>
      <w:r w:rsidRPr="007861DD">
        <w:rPr>
          <w:rFonts w:cs="Tahoma"/>
          <w:b/>
          <w:bCs/>
        </w:rPr>
        <w:t xml:space="preserve">PRIMERO. </w:t>
      </w:r>
      <w:r w:rsidRPr="007861DD">
        <w:rPr>
          <w:rFonts w:cs="Tahoma"/>
          <w:bCs/>
        </w:rPr>
        <w:t xml:space="preserve">Se </w:t>
      </w:r>
      <w:r w:rsidR="00BF460D" w:rsidRPr="007861DD">
        <w:rPr>
          <w:rFonts w:cs="Tahoma"/>
          <w:b/>
          <w:bCs/>
        </w:rPr>
        <w:t>REVOCA</w:t>
      </w:r>
      <w:r w:rsidRPr="007861DD">
        <w:rPr>
          <w:rFonts w:cs="Tahoma"/>
          <w:b/>
          <w:bCs/>
        </w:rPr>
        <w:t xml:space="preserve"> </w:t>
      </w:r>
      <w:r w:rsidRPr="007861DD">
        <w:rPr>
          <w:rFonts w:cs="Tahoma"/>
          <w:bCs/>
        </w:rPr>
        <w:t>la respuesta entrega</w:t>
      </w:r>
      <w:r w:rsidR="00655068" w:rsidRPr="007861DD">
        <w:rPr>
          <w:rFonts w:cs="Tahoma"/>
          <w:bCs/>
        </w:rPr>
        <w:t>da por el</w:t>
      </w:r>
      <w:r w:rsidR="008355C5" w:rsidRPr="007861DD">
        <w:rPr>
          <w:rFonts w:cs="Tahoma"/>
          <w:bCs/>
        </w:rPr>
        <w:t xml:space="preserve"> Instituto de Seguridad Social del Estado de México y Municipios</w:t>
      </w:r>
      <w:r w:rsidRPr="007861DD">
        <w:rPr>
          <w:rFonts w:cs="Tahoma"/>
          <w:bCs/>
        </w:rPr>
        <w:t>, a la solicitud de información</w:t>
      </w:r>
      <w:r w:rsidR="00655068" w:rsidRPr="007861DD">
        <w:t xml:space="preserve"> </w:t>
      </w:r>
      <w:r w:rsidR="004068E7" w:rsidRPr="007861DD">
        <w:t>0</w:t>
      </w:r>
      <w:r w:rsidR="008355C5" w:rsidRPr="007861DD">
        <w:t>0385</w:t>
      </w:r>
      <w:r w:rsidR="004068E7" w:rsidRPr="007861DD">
        <w:t>/</w:t>
      </w:r>
      <w:r w:rsidR="008355C5" w:rsidRPr="007861DD">
        <w:t>ISSEMYM</w:t>
      </w:r>
      <w:r w:rsidR="000D392E" w:rsidRPr="007861DD">
        <w:t>/IP/2025</w:t>
      </w:r>
      <w:r w:rsidRPr="007861DD">
        <w:rPr>
          <w:bCs/>
        </w:rPr>
        <w:t xml:space="preserve">, por resultar </w:t>
      </w:r>
      <w:r w:rsidRPr="007861DD">
        <w:rPr>
          <w:b/>
          <w:bCs/>
        </w:rPr>
        <w:t>FUNDADAS</w:t>
      </w:r>
      <w:r w:rsidRPr="007861DD">
        <w:rPr>
          <w:rFonts w:cs="Tahoma"/>
          <w:b/>
          <w:bCs/>
        </w:rPr>
        <w:t xml:space="preserve"> </w:t>
      </w:r>
      <w:r w:rsidRPr="007861DD">
        <w:rPr>
          <w:rFonts w:eastAsia="Calibri" w:cs="Tahoma"/>
          <w:bCs/>
        </w:rPr>
        <w:t>las razones o motivos de inconformidad hechos valer por el Recurrente</w:t>
      </w:r>
      <w:r w:rsidRPr="007861DD">
        <w:rPr>
          <w:rFonts w:cs="Tahoma"/>
          <w:bCs/>
        </w:rPr>
        <w:t xml:space="preserve">, </w:t>
      </w:r>
      <w:r w:rsidRPr="007861DD">
        <w:rPr>
          <w:rFonts w:eastAsia="Calibri" w:cs="Tahoma"/>
          <w:bCs/>
        </w:rPr>
        <w:t>en términos de los considerandos QUINTO y SEXTO de la presente Resolución.</w:t>
      </w:r>
    </w:p>
    <w:p w14:paraId="5F3709A7" w14:textId="77777777" w:rsidR="00D1318A" w:rsidRPr="007861DD" w:rsidRDefault="00D1318A" w:rsidP="001162C4">
      <w:pPr>
        <w:spacing w:after="0" w:line="360" w:lineRule="auto"/>
        <w:contextualSpacing/>
        <w:rPr>
          <w:rFonts w:eastAsia="Times New Roman" w:cs="Tahoma"/>
          <w:bCs/>
          <w:lang w:eastAsia="es-ES"/>
        </w:rPr>
      </w:pPr>
    </w:p>
    <w:p w14:paraId="471D42A8" w14:textId="424629BA" w:rsidR="00D44453" w:rsidRPr="007861DD" w:rsidRDefault="00D1318A" w:rsidP="008355C5">
      <w:pPr>
        <w:spacing w:after="0" w:line="360" w:lineRule="auto"/>
        <w:rPr>
          <w:rFonts w:cs="Tahoma"/>
        </w:rPr>
      </w:pPr>
      <w:r w:rsidRPr="007861DD">
        <w:rPr>
          <w:rFonts w:cs="Tahoma"/>
          <w:b/>
          <w:bCs/>
        </w:rPr>
        <w:t xml:space="preserve">SEGUNDO. </w:t>
      </w:r>
      <w:r w:rsidRPr="007861DD">
        <w:t xml:space="preserve">Se </w:t>
      </w:r>
      <w:r w:rsidRPr="007861DD">
        <w:rPr>
          <w:b/>
        </w:rPr>
        <w:t>ORDENA</w:t>
      </w:r>
      <w:r w:rsidRPr="007861DD">
        <w:t xml:space="preserve"> al Ente Recurrido</w:t>
      </w:r>
      <w:r w:rsidRPr="007861DD">
        <w:rPr>
          <w:b/>
        </w:rPr>
        <w:t xml:space="preserve">, </w:t>
      </w:r>
      <w:r w:rsidR="004068E7" w:rsidRPr="007861DD">
        <w:t>a efecto de que</w:t>
      </w:r>
      <w:r w:rsidR="00287797" w:rsidRPr="007861DD">
        <w:t xml:space="preserve"> previa búsqueda exhaustiva</w:t>
      </w:r>
      <w:r w:rsidR="004068E7" w:rsidRPr="007861DD">
        <w:t xml:space="preserve"> </w:t>
      </w:r>
      <w:r w:rsidRPr="007861DD">
        <w:t>entregue</w:t>
      </w:r>
      <w:r w:rsidR="001C6B7A" w:rsidRPr="007861DD">
        <w:t xml:space="preserve">, </w:t>
      </w:r>
      <w:r w:rsidRPr="007861DD">
        <w:t>a través del Sistema de Acceso a la I</w:t>
      </w:r>
      <w:r w:rsidR="00715343" w:rsidRPr="007861DD">
        <w:t>nformación Mexiquense (SAIMEX)</w:t>
      </w:r>
      <w:r w:rsidR="004068E7" w:rsidRPr="007861DD">
        <w:t xml:space="preserve">, </w:t>
      </w:r>
      <w:r w:rsidR="00B17B55" w:rsidRPr="007861DD">
        <w:t xml:space="preserve">versión pública, </w:t>
      </w:r>
      <w:r w:rsidR="00ED6859" w:rsidRPr="007861DD">
        <w:rPr>
          <w:rFonts w:cs="Tahoma"/>
        </w:rPr>
        <w:t>lo</w:t>
      </w:r>
      <w:r w:rsidR="008355C5" w:rsidRPr="007861DD">
        <w:rPr>
          <w:rFonts w:cs="Tahoma"/>
        </w:rPr>
        <w:t xml:space="preserve"> siguiente:</w:t>
      </w:r>
    </w:p>
    <w:p w14:paraId="0928A647" w14:textId="77777777" w:rsidR="008355C5" w:rsidRPr="007861DD" w:rsidRDefault="008355C5" w:rsidP="008355C5">
      <w:pPr>
        <w:spacing w:after="0" w:line="360" w:lineRule="auto"/>
        <w:rPr>
          <w:rFonts w:cs="Tahoma"/>
        </w:rPr>
      </w:pPr>
    </w:p>
    <w:p w14:paraId="777FA8F0" w14:textId="690F48A9" w:rsidR="008355C5" w:rsidRPr="007861DD" w:rsidRDefault="008355C5" w:rsidP="00997199">
      <w:pPr>
        <w:pStyle w:val="Prrafodelista"/>
        <w:numPr>
          <w:ilvl w:val="0"/>
          <w:numId w:val="17"/>
        </w:numPr>
        <w:spacing w:line="360" w:lineRule="auto"/>
        <w:rPr>
          <w:rFonts w:cs="Tahoma"/>
        </w:rPr>
      </w:pPr>
      <w:r w:rsidRPr="007861DD">
        <w:rPr>
          <w:rFonts w:cs="Tahoma"/>
        </w:rPr>
        <w:t>Los comprobantes de los pagos realizados mediante cheque y transferencia electrónica a particulares, del primero al treinta y uno de marzo de dos mil veinticinco.</w:t>
      </w:r>
    </w:p>
    <w:p w14:paraId="0C9C6468" w14:textId="77777777" w:rsidR="00ED6859" w:rsidRPr="007861DD" w:rsidRDefault="00ED6859" w:rsidP="001162C4">
      <w:pPr>
        <w:spacing w:after="0" w:line="360" w:lineRule="auto"/>
      </w:pPr>
    </w:p>
    <w:p w14:paraId="386E4130" w14:textId="0E8D7B4D" w:rsidR="00ED6859" w:rsidRPr="007861DD" w:rsidRDefault="00ED6859" w:rsidP="001162C4">
      <w:pPr>
        <w:spacing w:after="0" w:line="360" w:lineRule="auto"/>
        <w:rPr>
          <w:rFonts w:cs="Tahoma"/>
          <w:bCs/>
          <w:iCs/>
          <w:lang w:eastAsia="es-ES"/>
        </w:rPr>
      </w:pPr>
      <w:r w:rsidRPr="007861DD">
        <w:rPr>
          <w:rFonts w:cs="Tahoma"/>
          <w:bCs/>
          <w:iCs/>
          <w:lang w:eastAsia="es-ES"/>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1E8FDD21" w14:textId="77777777" w:rsidR="00F712A4" w:rsidRPr="007861DD" w:rsidRDefault="00F712A4" w:rsidP="001162C4">
      <w:pPr>
        <w:spacing w:after="0" w:line="360" w:lineRule="auto"/>
        <w:rPr>
          <w:rFonts w:cs="Tahoma"/>
          <w:bCs/>
          <w:iCs/>
        </w:rPr>
      </w:pPr>
    </w:p>
    <w:p w14:paraId="24AEF816" w14:textId="77777777" w:rsidR="00997199" w:rsidRPr="007861DD" w:rsidRDefault="00D1318A" w:rsidP="001162C4">
      <w:pPr>
        <w:spacing w:after="0" w:line="360" w:lineRule="auto"/>
        <w:ind w:right="-28"/>
        <w:contextualSpacing/>
        <w:rPr>
          <w:rFonts w:cs="Tahoma"/>
          <w:bCs/>
          <w:iCs/>
        </w:rPr>
      </w:pPr>
      <w:r w:rsidRPr="007861DD">
        <w:rPr>
          <w:rFonts w:eastAsia="Calibri" w:cs="Tahoma"/>
          <w:b/>
          <w:bCs/>
        </w:rPr>
        <w:t xml:space="preserve">TERCERO. </w:t>
      </w:r>
      <w:r w:rsidRPr="007861DD">
        <w:rPr>
          <w:rFonts w:cs="Tahoma"/>
          <w:b/>
          <w:bCs/>
          <w:iCs/>
        </w:rPr>
        <w:t xml:space="preserve">NOTIFÍQUESE POR SAIMEX </w:t>
      </w:r>
      <w:r w:rsidRPr="007861DD">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7861DD">
        <w:rPr>
          <w:rFonts w:cs="Tahoma"/>
          <w:bCs/>
          <w:iCs/>
        </w:rPr>
        <w:t>Ley de Transparencia y Acceso a la Información Pública del Estado de México y Municipios</w:t>
      </w:r>
      <w:r w:rsidR="00AC6629" w:rsidRPr="007861DD">
        <w:rPr>
          <w:rFonts w:cs="Tahoma"/>
          <w:bCs/>
          <w:iCs/>
        </w:rPr>
        <w:t xml:space="preserve">. </w:t>
      </w:r>
    </w:p>
    <w:p w14:paraId="53215E2D" w14:textId="77777777" w:rsidR="00997199" w:rsidRPr="007861DD" w:rsidRDefault="00997199" w:rsidP="001162C4">
      <w:pPr>
        <w:spacing w:after="0" w:line="360" w:lineRule="auto"/>
        <w:ind w:right="-28"/>
        <w:contextualSpacing/>
        <w:rPr>
          <w:rFonts w:cs="Tahoma"/>
          <w:bCs/>
          <w:iCs/>
        </w:rPr>
      </w:pPr>
    </w:p>
    <w:p w14:paraId="3EAE0142" w14:textId="67701D4F" w:rsidR="00D1318A" w:rsidRPr="007861DD" w:rsidRDefault="00D1318A" w:rsidP="001162C4">
      <w:pPr>
        <w:spacing w:after="0" w:line="360" w:lineRule="auto"/>
        <w:ind w:right="-28"/>
        <w:contextualSpacing/>
        <w:rPr>
          <w:rFonts w:cs="Tahoma"/>
          <w:bCs/>
          <w:iCs/>
        </w:rPr>
      </w:pPr>
      <w:r w:rsidRPr="007861DD">
        <w:rPr>
          <w:rFonts w:eastAsia="Calibri" w:cs="Tahoma"/>
          <w:iCs/>
          <w:color w:val="000000"/>
        </w:rPr>
        <w:t xml:space="preserve">De conformidad con el artículo 198 de la </w:t>
      </w:r>
      <w:r w:rsidR="005B142C" w:rsidRPr="007861DD">
        <w:rPr>
          <w:rFonts w:cs="Tahoma"/>
          <w:bCs/>
          <w:iCs/>
        </w:rPr>
        <w:t>Ley de Transparencia y Acceso a la Información Pública del Estado de México y Municipios</w:t>
      </w:r>
      <w:r w:rsidRPr="007861DD">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7861DD" w:rsidRDefault="00D1318A" w:rsidP="001162C4">
      <w:pPr>
        <w:spacing w:after="0" w:line="360" w:lineRule="auto"/>
        <w:contextualSpacing/>
        <w:rPr>
          <w:rFonts w:eastAsia="Calibri" w:cs="Tahoma"/>
          <w:color w:val="000000"/>
          <w:lang w:val="es-ES"/>
        </w:rPr>
      </w:pPr>
    </w:p>
    <w:p w14:paraId="3F59EFC7" w14:textId="77777777" w:rsidR="00D1318A" w:rsidRPr="007861DD" w:rsidRDefault="00D1318A" w:rsidP="001162C4">
      <w:pPr>
        <w:spacing w:after="0" w:line="360" w:lineRule="auto"/>
        <w:contextualSpacing/>
        <w:rPr>
          <w:rFonts w:cs="Tahoma"/>
        </w:rPr>
      </w:pPr>
      <w:r w:rsidRPr="007861DD">
        <w:rPr>
          <w:rFonts w:eastAsia="Calibri" w:cs="Tahoma"/>
          <w:b/>
        </w:rPr>
        <w:lastRenderedPageBreak/>
        <w:t>CUARTO</w:t>
      </w:r>
      <w:r w:rsidRPr="007861DD">
        <w:rPr>
          <w:rFonts w:eastAsia="Calibri" w:cs="Tahoma"/>
          <w:b/>
          <w:bCs/>
        </w:rPr>
        <w:t xml:space="preserve">. </w:t>
      </w:r>
      <w:r w:rsidRPr="007861DD">
        <w:rPr>
          <w:rFonts w:cs="Tahoma"/>
          <w:b/>
        </w:rPr>
        <w:t>NOTIFÍQUESE POR SAIMEX</w:t>
      </w:r>
      <w:r w:rsidRPr="007861DD">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7861DD" w:rsidRDefault="00D1318A" w:rsidP="001162C4">
      <w:pPr>
        <w:spacing w:after="0" w:line="360" w:lineRule="auto"/>
        <w:contextualSpacing/>
        <w:rPr>
          <w:rFonts w:cs="Arial"/>
          <w:b/>
          <w:bCs/>
        </w:rPr>
      </w:pPr>
    </w:p>
    <w:p w14:paraId="440D22CF" w14:textId="7AF499F7" w:rsidR="00D1318A" w:rsidRDefault="00D1318A" w:rsidP="001162C4">
      <w:pPr>
        <w:spacing w:after="0" w:line="360" w:lineRule="auto"/>
        <w:contextualSpacing/>
        <w:rPr>
          <w:rFonts w:cs="Tahoma"/>
          <w:b/>
          <w:bCs/>
        </w:rPr>
      </w:pPr>
      <w:r w:rsidRPr="007861DD">
        <w:rPr>
          <w:rFonts w:eastAsia="Calibri" w:cs="Tahoma"/>
          <w:bCs/>
        </w:rPr>
        <w:t>ASÍ LO RESUELVE, POR </w:t>
      </w:r>
      <w:r w:rsidRPr="007861DD">
        <w:rPr>
          <w:rFonts w:eastAsia="Calibri" w:cs="Tahoma"/>
          <w:b/>
          <w:bCs/>
        </w:rPr>
        <w:t>UNANIMIDAD</w:t>
      </w:r>
      <w:r w:rsidRPr="007861DD">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7861DD">
        <w:rPr>
          <w:rFonts w:eastAsia="Calibri" w:cs="Tahoma"/>
          <w:bCs/>
        </w:rPr>
        <w:t xml:space="preserve">, EN LA </w:t>
      </w:r>
      <w:r w:rsidR="00280D16" w:rsidRPr="007861DD">
        <w:rPr>
          <w:rFonts w:eastAsia="Calibri" w:cs="Tahoma"/>
          <w:bCs/>
        </w:rPr>
        <w:t xml:space="preserve">CUADRAGÉSIMA </w:t>
      </w:r>
      <w:r w:rsidRPr="007861DD">
        <w:rPr>
          <w:rFonts w:eastAsia="Calibri" w:cs="Tahoma"/>
          <w:bCs/>
        </w:rPr>
        <w:t>SESIÓN ORDINA</w:t>
      </w:r>
      <w:r w:rsidR="00715343" w:rsidRPr="007861DD">
        <w:rPr>
          <w:rFonts w:eastAsia="Calibri" w:cs="Tahoma"/>
          <w:bCs/>
        </w:rPr>
        <w:t>RIA, C</w:t>
      </w:r>
      <w:r w:rsidR="0052714E" w:rsidRPr="007861DD">
        <w:rPr>
          <w:rFonts w:eastAsia="Calibri" w:cs="Tahoma"/>
          <w:bCs/>
        </w:rPr>
        <w:t xml:space="preserve">ELEBRADA EL </w:t>
      </w:r>
      <w:r w:rsidR="00280D16" w:rsidRPr="007861DD">
        <w:rPr>
          <w:rFonts w:eastAsia="Calibri" w:cs="Tahoma"/>
          <w:bCs/>
        </w:rPr>
        <w:t>DOCE DE NOVIEMBRE</w:t>
      </w:r>
      <w:r w:rsidR="00655068" w:rsidRPr="007861DD">
        <w:rPr>
          <w:rFonts w:eastAsia="Calibri" w:cs="Tahoma"/>
          <w:bCs/>
        </w:rPr>
        <w:t xml:space="preserve"> </w:t>
      </w:r>
      <w:r w:rsidRPr="007861DD">
        <w:rPr>
          <w:rFonts w:eastAsia="Calibri" w:cs="Tahoma"/>
          <w:bCs/>
        </w:rPr>
        <w:t>DE DOS MIL VEINTICINCO, ANTE EL SECRETARIO TÉCNICO DEL PLENO, ALEXIS TAPIA RAMÍREZ.</w:t>
      </w:r>
    </w:p>
    <w:p w14:paraId="2BA380C7" w14:textId="77777777" w:rsidR="00D1318A" w:rsidRPr="00D1318A" w:rsidRDefault="00D1318A" w:rsidP="001162C4">
      <w:pPr>
        <w:spacing w:after="0" w:line="360" w:lineRule="auto"/>
        <w:ind w:right="-28"/>
        <w:rPr>
          <w:color w:val="auto"/>
        </w:rPr>
      </w:pPr>
    </w:p>
    <w:p w14:paraId="1FFCF4F3" w14:textId="77777777" w:rsidR="00B02499" w:rsidRDefault="00B02499" w:rsidP="001162C4">
      <w:pPr>
        <w:spacing w:after="0" w:line="360" w:lineRule="auto"/>
        <w:rPr>
          <w:rFonts w:eastAsia="Calibri" w:cs="Times New Roman"/>
          <w:b/>
          <w:bCs/>
        </w:rPr>
      </w:pPr>
    </w:p>
    <w:p w14:paraId="654C889D" w14:textId="77777777" w:rsidR="00B02499" w:rsidRPr="00681B34" w:rsidRDefault="00B02499" w:rsidP="001162C4">
      <w:pPr>
        <w:spacing w:after="0" w:line="360" w:lineRule="auto"/>
        <w:rPr>
          <w:rFonts w:eastAsia="Calibri" w:cs="Times New Roman"/>
          <w:b/>
          <w:bCs/>
        </w:rPr>
      </w:pPr>
    </w:p>
    <w:p w14:paraId="097C707A" w14:textId="77777777" w:rsidR="004A10B0" w:rsidRDefault="004A10B0" w:rsidP="001162C4">
      <w:pPr>
        <w:spacing w:after="0" w:line="360" w:lineRule="auto"/>
        <w:contextualSpacing/>
        <w:rPr>
          <w:rFonts w:eastAsia="Calibri" w:cs="Times New Roman"/>
          <w:color w:val="000000"/>
        </w:rPr>
      </w:pPr>
    </w:p>
    <w:p w14:paraId="3677DBED" w14:textId="77777777" w:rsidR="004A10B0" w:rsidRDefault="004A10B0" w:rsidP="001162C4">
      <w:pPr>
        <w:spacing w:after="0" w:line="360" w:lineRule="auto"/>
        <w:contextualSpacing/>
        <w:rPr>
          <w:color w:val="000000"/>
        </w:rPr>
      </w:pPr>
    </w:p>
    <w:p w14:paraId="74E8DB3F" w14:textId="77777777" w:rsidR="00C556AB" w:rsidRDefault="00C556AB" w:rsidP="001162C4">
      <w:pPr>
        <w:spacing w:after="0" w:line="360" w:lineRule="auto"/>
      </w:pPr>
    </w:p>
    <w:p w14:paraId="1A555613" w14:textId="77777777" w:rsidR="00023BBD" w:rsidRPr="00E64957" w:rsidRDefault="00023BBD" w:rsidP="001162C4">
      <w:pPr>
        <w:spacing w:after="0" w:line="360" w:lineRule="auto"/>
      </w:pPr>
    </w:p>
    <w:p w14:paraId="2DB71CAF" w14:textId="49BEE08C" w:rsidR="001D4F21" w:rsidRDefault="001D4F21" w:rsidP="001162C4">
      <w:pPr>
        <w:spacing w:after="0" w:line="360" w:lineRule="auto"/>
        <w:rPr>
          <w:color w:val="000000"/>
        </w:rPr>
      </w:pPr>
    </w:p>
    <w:p w14:paraId="38B4EF2E" w14:textId="77777777" w:rsidR="001D4F21" w:rsidRDefault="001D4F21" w:rsidP="001162C4">
      <w:pPr>
        <w:spacing w:after="0" w:line="360" w:lineRule="auto"/>
        <w:rPr>
          <w:color w:val="000000"/>
        </w:rPr>
      </w:pPr>
    </w:p>
    <w:p w14:paraId="0F7A4B5F" w14:textId="77777777" w:rsidR="00997199" w:rsidRDefault="00997199" w:rsidP="001162C4">
      <w:pPr>
        <w:spacing w:after="0" w:line="360" w:lineRule="auto"/>
        <w:rPr>
          <w:color w:val="000000"/>
        </w:rPr>
      </w:pPr>
    </w:p>
    <w:p w14:paraId="5BC4CFF5" w14:textId="77777777" w:rsidR="00997199" w:rsidRDefault="00997199" w:rsidP="001162C4">
      <w:pPr>
        <w:spacing w:after="0" w:line="360" w:lineRule="auto"/>
        <w:rPr>
          <w:color w:val="000000"/>
        </w:rPr>
      </w:pPr>
    </w:p>
    <w:p w14:paraId="233E4343" w14:textId="77777777" w:rsidR="00997199" w:rsidRDefault="00997199" w:rsidP="001162C4">
      <w:pPr>
        <w:spacing w:after="0" w:line="360" w:lineRule="auto"/>
        <w:rPr>
          <w:color w:val="000000"/>
        </w:rPr>
      </w:pPr>
    </w:p>
    <w:p w14:paraId="773D34E6" w14:textId="77777777" w:rsidR="00997199" w:rsidRDefault="00997199" w:rsidP="001162C4">
      <w:pPr>
        <w:spacing w:after="0" w:line="360" w:lineRule="auto"/>
        <w:rPr>
          <w:color w:val="000000"/>
        </w:rPr>
      </w:pPr>
    </w:p>
    <w:p w14:paraId="20D1BB3E" w14:textId="77777777" w:rsidR="00997199" w:rsidRDefault="00997199" w:rsidP="001162C4">
      <w:pPr>
        <w:spacing w:after="0" w:line="360" w:lineRule="auto"/>
        <w:rPr>
          <w:color w:val="000000"/>
        </w:rPr>
      </w:pPr>
    </w:p>
    <w:p w14:paraId="4201A0A0" w14:textId="77777777" w:rsidR="00E864E9" w:rsidRDefault="00E864E9" w:rsidP="001162C4">
      <w:pPr>
        <w:tabs>
          <w:tab w:val="right" w:pos="8931"/>
        </w:tabs>
        <w:spacing w:after="0" w:line="360" w:lineRule="auto"/>
      </w:pPr>
    </w:p>
    <w:p w14:paraId="543728D1" w14:textId="77777777" w:rsidR="00E864E9" w:rsidRDefault="00E864E9" w:rsidP="001162C4">
      <w:pPr>
        <w:tabs>
          <w:tab w:val="right" w:pos="8931"/>
        </w:tabs>
        <w:spacing w:after="0" w:line="360" w:lineRule="auto"/>
      </w:pPr>
    </w:p>
    <w:p w14:paraId="0E4439D0" w14:textId="5248D3C9" w:rsidR="007B58B9" w:rsidRDefault="007B58B9" w:rsidP="001162C4">
      <w:pPr>
        <w:spacing w:after="0" w:line="360" w:lineRule="auto"/>
      </w:pPr>
    </w:p>
    <w:p w14:paraId="26916C77" w14:textId="77777777" w:rsidR="00A37EDE" w:rsidRPr="007B58B9" w:rsidRDefault="00A37EDE" w:rsidP="001162C4">
      <w:pPr>
        <w:spacing w:after="0" w:line="360" w:lineRule="auto"/>
      </w:pPr>
    </w:p>
    <w:sectPr w:rsidR="00A37EDE" w:rsidRPr="007B58B9" w:rsidSect="000B49C4">
      <w:headerReference w:type="even" r:id="rId17"/>
      <w:headerReference w:type="default" r:id="rId18"/>
      <w:footerReference w:type="even" r:id="rId19"/>
      <w:footerReference w:type="default" r:id="rId20"/>
      <w:headerReference w:type="first" r:id="rId21"/>
      <w:footerReference w:type="first" r:id="rId2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F4FE" w14:textId="77777777" w:rsidR="001A43EC" w:rsidRDefault="001A43EC">
      <w:pPr>
        <w:spacing w:after="0" w:line="240" w:lineRule="auto"/>
      </w:pPr>
      <w:r>
        <w:separator/>
      </w:r>
    </w:p>
  </w:endnote>
  <w:endnote w:type="continuationSeparator" w:id="0">
    <w:p w14:paraId="17BEF4FA" w14:textId="77777777" w:rsidR="001A43EC" w:rsidRDefault="001A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50174722" w:rsidR="001A62D1" w:rsidRDefault="001A62D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F130E">
      <w:rPr>
        <w:b/>
        <w:noProof/>
        <w:color w:val="000000"/>
        <w:sz w:val="24"/>
        <w:szCs w:val="24"/>
      </w:rPr>
      <w:t>43</w:t>
    </w:r>
    <w:r>
      <w:rPr>
        <w:b/>
        <w:color w:val="000000"/>
        <w:sz w:val="24"/>
        <w:szCs w:val="24"/>
      </w:rPr>
      <w:fldChar w:fldCharType="end"/>
    </w:r>
  </w:p>
  <w:p w14:paraId="7EB9860B" w14:textId="77777777" w:rsidR="001A62D1" w:rsidRDefault="001A62D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1A62D1" w:rsidRDefault="001A62D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04234">
      <w:rPr>
        <w:b/>
        <w:noProof/>
        <w:color w:val="000000"/>
        <w:sz w:val="24"/>
        <w:szCs w:val="24"/>
      </w:rPr>
      <w:t>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04234">
      <w:rPr>
        <w:b/>
        <w:noProof/>
        <w:color w:val="000000"/>
        <w:sz w:val="24"/>
        <w:szCs w:val="24"/>
      </w:rPr>
      <w:t>43</w:t>
    </w:r>
    <w:r>
      <w:rPr>
        <w:b/>
        <w:color w:val="000000"/>
        <w:sz w:val="24"/>
        <w:szCs w:val="24"/>
      </w:rPr>
      <w:fldChar w:fldCharType="end"/>
    </w:r>
  </w:p>
  <w:p w14:paraId="0D7FA8D9" w14:textId="77777777" w:rsidR="001A62D1" w:rsidRDefault="001A62D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1A62D1" w:rsidRDefault="001A62D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C5221">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C5221">
      <w:rPr>
        <w:b/>
        <w:noProof/>
        <w:color w:val="000000"/>
        <w:sz w:val="24"/>
        <w:szCs w:val="24"/>
      </w:rPr>
      <w:t>1</w:t>
    </w:r>
    <w:r>
      <w:rPr>
        <w:b/>
        <w:color w:val="000000"/>
        <w:sz w:val="24"/>
        <w:szCs w:val="24"/>
      </w:rPr>
      <w:fldChar w:fldCharType="end"/>
    </w:r>
  </w:p>
  <w:p w14:paraId="6796AF5F" w14:textId="77777777" w:rsidR="001A62D1" w:rsidRDefault="001A62D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1F18" w14:textId="77777777" w:rsidR="001A43EC" w:rsidRDefault="001A43EC">
      <w:pPr>
        <w:spacing w:after="0" w:line="240" w:lineRule="auto"/>
      </w:pPr>
      <w:r>
        <w:separator/>
      </w:r>
    </w:p>
  </w:footnote>
  <w:footnote w:type="continuationSeparator" w:id="0">
    <w:p w14:paraId="64861054" w14:textId="77777777" w:rsidR="001A43EC" w:rsidRDefault="001A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1A62D1" w:rsidRDefault="001A62D1">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A62D1" w14:paraId="10C29E94" w14:textId="77777777">
      <w:trPr>
        <w:trHeight w:val="132"/>
      </w:trPr>
      <w:tc>
        <w:tcPr>
          <w:tcW w:w="2691" w:type="dxa"/>
        </w:tcPr>
        <w:p w14:paraId="7D85A4B8" w14:textId="77777777" w:rsidR="001A62D1" w:rsidRDefault="001A62D1">
          <w:pPr>
            <w:tabs>
              <w:tab w:val="right" w:pos="8838"/>
            </w:tabs>
            <w:ind w:right="-105"/>
            <w:rPr>
              <w:b/>
            </w:rPr>
          </w:pPr>
          <w:r>
            <w:rPr>
              <w:b/>
            </w:rPr>
            <w:t>Recurso de Revisión:</w:t>
          </w:r>
        </w:p>
      </w:tc>
      <w:tc>
        <w:tcPr>
          <w:tcW w:w="3405" w:type="dxa"/>
        </w:tcPr>
        <w:p w14:paraId="0B0D1A9D" w14:textId="77777777" w:rsidR="001A62D1" w:rsidRDefault="001A62D1">
          <w:pPr>
            <w:tabs>
              <w:tab w:val="right" w:pos="8838"/>
            </w:tabs>
            <w:ind w:left="-28" w:right="-32"/>
          </w:pPr>
          <w:r>
            <w:t>03846/INFOEM/IP/RR/2020</w:t>
          </w:r>
        </w:p>
      </w:tc>
    </w:tr>
    <w:tr w:rsidR="001A62D1" w14:paraId="2F47AC72" w14:textId="77777777">
      <w:trPr>
        <w:trHeight w:val="261"/>
      </w:trPr>
      <w:tc>
        <w:tcPr>
          <w:tcW w:w="2691" w:type="dxa"/>
        </w:tcPr>
        <w:p w14:paraId="154A4752" w14:textId="77777777" w:rsidR="001A62D1" w:rsidRDefault="001A62D1">
          <w:pPr>
            <w:tabs>
              <w:tab w:val="right" w:pos="8838"/>
            </w:tabs>
            <w:ind w:right="-105"/>
            <w:rPr>
              <w:b/>
            </w:rPr>
          </w:pPr>
          <w:r>
            <w:rPr>
              <w:b/>
            </w:rPr>
            <w:t>Sujeto Obligado:</w:t>
          </w:r>
        </w:p>
      </w:tc>
      <w:tc>
        <w:tcPr>
          <w:tcW w:w="3405" w:type="dxa"/>
        </w:tcPr>
        <w:p w14:paraId="5D9EC711" w14:textId="77777777" w:rsidR="001A62D1" w:rsidRDefault="001A62D1">
          <w:pPr>
            <w:tabs>
              <w:tab w:val="right" w:pos="8838"/>
            </w:tabs>
            <w:ind w:right="-32"/>
          </w:pPr>
          <w:r>
            <w:t>Ayuntamiento de Temascalcingo</w:t>
          </w:r>
        </w:p>
      </w:tc>
    </w:tr>
    <w:tr w:rsidR="001A62D1" w14:paraId="11FBB450" w14:textId="77777777">
      <w:trPr>
        <w:trHeight w:val="261"/>
      </w:trPr>
      <w:tc>
        <w:tcPr>
          <w:tcW w:w="2691" w:type="dxa"/>
        </w:tcPr>
        <w:p w14:paraId="6BAF6003" w14:textId="77777777" w:rsidR="001A62D1" w:rsidRDefault="001A62D1">
          <w:pPr>
            <w:tabs>
              <w:tab w:val="right" w:pos="8838"/>
            </w:tabs>
            <w:ind w:right="-105"/>
            <w:rPr>
              <w:b/>
            </w:rPr>
          </w:pPr>
          <w:r>
            <w:rPr>
              <w:b/>
            </w:rPr>
            <w:t>Comisionado Ponente:</w:t>
          </w:r>
        </w:p>
      </w:tc>
      <w:tc>
        <w:tcPr>
          <w:tcW w:w="3405" w:type="dxa"/>
        </w:tcPr>
        <w:p w14:paraId="420341AF" w14:textId="77777777" w:rsidR="001A62D1" w:rsidRDefault="001A62D1">
          <w:pPr>
            <w:tabs>
              <w:tab w:val="right" w:pos="8838"/>
            </w:tabs>
            <w:ind w:right="-32"/>
            <w:rPr>
              <w:b/>
            </w:rPr>
          </w:pPr>
          <w:r>
            <w:t>Luis Gustavo Parra Noriega</w:t>
          </w:r>
        </w:p>
      </w:tc>
    </w:tr>
  </w:tbl>
  <w:p w14:paraId="00411D75" w14:textId="77777777" w:rsidR="001A62D1" w:rsidRDefault="00544DA6">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1A62D1" w:rsidRDefault="00544DA6">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1.45pt;margin-top:-140.8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378"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409"/>
      <w:gridCol w:w="3969"/>
    </w:tblGrid>
    <w:tr w:rsidR="001A62D1" w14:paraId="40D5D5A3" w14:textId="77777777" w:rsidTr="00D47FC1">
      <w:trPr>
        <w:trHeight w:val="138"/>
      </w:trPr>
      <w:tc>
        <w:tcPr>
          <w:tcW w:w="2409" w:type="dxa"/>
          <w:vAlign w:val="center"/>
        </w:tcPr>
        <w:p w14:paraId="43377EBE" w14:textId="77777777" w:rsidR="001A62D1" w:rsidRDefault="001A62D1" w:rsidP="008C266D">
          <w:pPr>
            <w:tabs>
              <w:tab w:val="right" w:pos="8838"/>
            </w:tabs>
            <w:ind w:left="-108" w:right="-105"/>
            <w:jc w:val="left"/>
            <w:rPr>
              <w:b/>
            </w:rPr>
          </w:pPr>
        </w:p>
        <w:p w14:paraId="1DB5C8D0" w14:textId="7E98B3D2" w:rsidR="001A62D1" w:rsidRDefault="001A62D1" w:rsidP="008C266D">
          <w:pPr>
            <w:tabs>
              <w:tab w:val="right" w:pos="8838"/>
            </w:tabs>
            <w:ind w:left="-108" w:right="-105"/>
            <w:jc w:val="left"/>
            <w:rPr>
              <w:b/>
            </w:rPr>
          </w:pPr>
          <w:r>
            <w:rPr>
              <w:b/>
            </w:rPr>
            <w:t>Recurso de Revisión:</w:t>
          </w:r>
        </w:p>
      </w:tc>
      <w:tc>
        <w:tcPr>
          <w:tcW w:w="3969" w:type="dxa"/>
        </w:tcPr>
        <w:p w14:paraId="5BCC69C4" w14:textId="77777777" w:rsidR="001A62D1" w:rsidRPr="00EF0C39" w:rsidRDefault="001A62D1" w:rsidP="008C266D">
          <w:pPr>
            <w:tabs>
              <w:tab w:val="right" w:pos="8838"/>
            </w:tabs>
            <w:ind w:right="57"/>
          </w:pPr>
        </w:p>
        <w:p w14:paraId="61E59D71" w14:textId="1A0DDB28" w:rsidR="001A62D1" w:rsidRPr="00EF0C39" w:rsidRDefault="001A62D1" w:rsidP="008C266D">
          <w:pPr>
            <w:tabs>
              <w:tab w:val="right" w:pos="8838"/>
            </w:tabs>
            <w:ind w:right="57"/>
          </w:pPr>
          <w:r>
            <w:t>05861/INFOEM/IP/RR/2025</w:t>
          </w:r>
        </w:p>
      </w:tc>
    </w:tr>
    <w:tr w:rsidR="001A62D1" w14:paraId="7A281F30" w14:textId="77777777" w:rsidTr="00D47FC1">
      <w:trPr>
        <w:trHeight w:val="273"/>
      </w:trPr>
      <w:tc>
        <w:tcPr>
          <w:tcW w:w="2409" w:type="dxa"/>
        </w:tcPr>
        <w:p w14:paraId="6671A308" w14:textId="77777777" w:rsidR="001A62D1" w:rsidRDefault="001A62D1" w:rsidP="008C266D">
          <w:pPr>
            <w:tabs>
              <w:tab w:val="right" w:pos="8838"/>
            </w:tabs>
            <w:ind w:left="-108" w:right="-105"/>
            <w:rPr>
              <w:b/>
            </w:rPr>
          </w:pPr>
          <w:r>
            <w:rPr>
              <w:b/>
            </w:rPr>
            <w:t>Sujeto Obligado:</w:t>
          </w:r>
        </w:p>
      </w:tc>
      <w:tc>
        <w:tcPr>
          <w:tcW w:w="3969" w:type="dxa"/>
        </w:tcPr>
        <w:p w14:paraId="30885B6D" w14:textId="6C8420C0" w:rsidR="001A62D1" w:rsidRPr="00EF0C39" w:rsidRDefault="001A62D1" w:rsidP="007B4717">
          <w:pPr>
            <w:tabs>
              <w:tab w:val="right" w:pos="8838"/>
            </w:tabs>
            <w:ind w:right="180"/>
          </w:pPr>
          <w:r w:rsidRPr="00481E67">
            <w:t>Instituto de Seguridad Social del Estado de México y Municipios</w:t>
          </w:r>
        </w:p>
      </w:tc>
    </w:tr>
    <w:tr w:rsidR="001A62D1" w14:paraId="00C22F2F" w14:textId="77777777" w:rsidTr="00D47FC1">
      <w:trPr>
        <w:trHeight w:val="273"/>
      </w:trPr>
      <w:tc>
        <w:tcPr>
          <w:tcW w:w="2409" w:type="dxa"/>
        </w:tcPr>
        <w:p w14:paraId="70417649" w14:textId="77777777" w:rsidR="001A62D1" w:rsidRDefault="001A62D1" w:rsidP="008C266D">
          <w:pPr>
            <w:tabs>
              <w:tab w:val="right" w:pos="8838"/>
            </w:tabs>
            <w:ind w:left="-108" w:right="-105"/>
            <w:rPr>
              <w:b/>
            </w:rPr>
          </w:pPr>
          <w:r>
            <w:rPr>
              <w:b/>
            </w:rPr>
            <w:t>Comisionado Ponente:</w:t>
          </w:r>
        </w:p>
      </w:tc>
      <w:tc>
        <w:tcPr>
          <w:tcW w:w="3969" w:type="dxa"/>
        </w:tcPr>
        <w:p w14:paraId="5E6EB38B" w14:textId="77777777" w:rsidR="001A62D1" w:rsidRPr="00EF0C39" w:rsidRDefault="001A62D1" w:rsidP="008C266D">
          <w:pPr>
            <w:tabs>
              <w:tab w:val="right" w:pos="8838"/>
            </w:tabs>
            <w:ind w:right="-170"/>
          </w:pPr>
          <w:r w:rsidRPr="00EF0C39">
            <w:t>Luis Gustavo Parra Noriega</w:t>
          </w:r>
        </w:p>
        <w:p w14:paraId="1A63C67B" w14:textId="77777777" w:rsidR="001A62D1" w:rsidRPr="00EF0C39" w:rsidRDefault="001A62D1" w:rsidP="008C266D">
          <w:pPr>
            <w:tabs>
              <w:tab w:val="right" w:pos="8838"/>
            </w:tabs>
            <w:ind w:right="-170"/>
            <w:rPr>
              <w:b/>
            </w:rPr>
          </w:pPr>
        </w:p>
      </w:tc>
    </w:tr>
  </w:tbl>
  <w:p w14:paraId="3498D107" w14:textId="7E17876C" w:rsidR="001A62D1" w:rsidRDefault="001A62D1"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1A62D1" w:rsidRDefault="001A62D1">
    <w:pPr>
      <w:widowControl w:val="0"/>
      <w:pBdr>
        <w:top w:val="nil"/>
        <w:left w:val="nil"/>
        <w:bottom w:val="nil"/>
        <w:right w:val="nil"/>
        <w:between w:val="nil"/>
      </w:pBdr>
      <w:spacing w:after="0" w:line="276" w:lineRule="auto"/>
      <w:jc w:val="left"/>
      <w:rPr>
        <w:color w:val="000000"/>
      </w:rPr>
    </w:pPr>
  </w:p>
  <w:tbl>
    <w:tblPr>
      <w:tblStyle w:val="1"/>
      <w:tblW w:w="6804"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A62D1" w14:paraId="6B3232BD" w14:textId="77777777" w:rsidTr="00481E67">
      <w:trPr>
        <w:trHeight w:val="132"/>
      </w:trPr>
      <w:tc>
        <w:tcPr>
          <w:tcW w:w="2551" w:type="dxa"/>
        </w:tcPr>
        <w:p w14:paraId="38F16E2F" w14:textId="77777777" w:rsidR="001A62D1" w:rsidRDefault="001A62D1">
          <w:pPr>
            <w:tabs>
              <w:tab w:val="right" w:pos="8838"/>
            </w:tabs>
            <w:ind w:right="-105"/>
            <w:rPr>
              <w:b/>
            </w:rPr>
          </w:pPr>
          <w:r>
            <w:rPr>
              <w:b/>
            </w:rPr>
            <w:t>Recurso de Revisión:</w:t>
          </w:r>
        </w:p>
      </w:tc>
      <w:tc>
        <w:tcPr>
          <w:tcW w:w="4253" w:type="dxa"/>
        </w:tcPr>
        <w:p w14:paraId="211CDC0A" w14:textId="425C51BB" w:rsidR="001A62D1" w:rsidRPr="00026C6B" w:rsidRDefault="001A62D1" w:rsidP="00026C6B">
          <w:r>
            <w:t>05861/INFOEM/IP/RR/2025</w:t>
          </w:r>
        </w:p>
      </w:tc>
    </w:tr>
    <w:tr w:rsidR="001A62D1" w14:paraId="6AA3CC58" w14:textId="77777777" w:rsidTr="00481E67">
      <w:trPr>
        <w:trHeight w:val="132"/>
      </w:trPr>
      <w:tc>
        <w:tcPr>
          <w:tcW w:w="2551" w:type="dxa"/>
        </w:tcPr>
        <w:p w14:paraId="7FD164F5" w14:textId="77777777" w:rsidR="001A62D1" w:rsidRDefault="001A62D1">
          <w:pPr>
            <w:tabs>
              <w:tab w:val="left" w:pos="1875"/>
            </w:tabs>
            <w:ind w:right="-105"/>
            <w:rPr>
              <w:b/>
            </w:rPr>
          </w:pPr>
          <w:r>
            <w:rPr>
              <w:b/>
            </w:rPr>
            <w:t>Recurrente:</w:t>
          </w:r>
          <w:r>
            <w:rPr>
              <w:b/>
            </w:rPr>
            <w:tab/>
          </w:r>
        </w:p>
      </w:tc>
      <w:tc>
        <w:tcPr>
          <w:tcW w:w="4253" w:type="dxa"/>
        </w:tcPr>
        <w:p w14:paraId="1F1B0537" w14:textId="617C76B8" w:rsidR="001A62D1" w:rsidRPr="00EF0C39" w:rsidRDefault="00FE3FF3" w:rsidP="006D7FDA">
          <w:pPr>
            <w:tabs>
              <w:tab w:val="right" w:pos="8838"/>
            </w:tabs>
            <w:ind w:right="-250"/>
          </w:pPr>
          <w:r w:rsidRPr="00FE3FF3">
            <w:rPr>
              <w:highlight w:val="black"/>
            </w:rPr>
            <w:t>XXXXXXXXXXXXXXXX</w:t>
          </w:r>
        </w:p>
      </w:tc>
    </w:tr>
    <w:tr w:rsidR="001A62D1" w14:paraId="5113CAA6" w14:textId="77777777" w:rsidTr="00481E67">
      <w:trPr>
        <w:trHeight w:val="261"/>
      </w:trPr>
      <w:tc>
        <w:tcPr>
          <w:tcW w:w="2551" w:type="dxa"/>
        </w:tcPr>
        <w:p w14:paraId="28E3431B" w14:textId="30EC7C18" w:rsidR="001A62D1" w:rsidRDefault="001A62D1">
          <w:pPr>
            <w:tabs>
              <w:tab w:val="right" w:pos="8838"/>
            </w:tabs>
            <w:ind w:right="-105"/>
            <w:rPr>
              <w:b/>
            </w:rPr>
          </w:pPr>
          <w:r>
            <w:rPr>
              <w:b/>
            </w:rPr>
            <w:t>Sujeto Obligado:</w:t>
          </w:r>
        </w:p>
      </w:tc>
      <w:tc>
        <w:tcPr>
          <w:tcW w:w="4253" w:type="dxa"/>
        </w:tcPr>
        <w:p w14:paraId="3192354E" w14:textId="26DBE4E2" w:rsidR="001A62D1" w:rsidRPr="00481E67" w:rsidRDefault="001A62D1" w:rsidP="00481E67">
          <w:pPr>
            <w:ind w:right="597"/>
          </w:pPr>
          <w:r w:rsidRPr="00481E67">
            <w:t>Instituto de Seguridad Social del Estado de México y Municipios</w:t>
          </w:r>
        </w:p>
      </w:tc>
    </w:tr>
    <w:tr w:rsidR="001A62D1" w14:paraId="5D4C2A35" w14:textId="77777777" w:rsidTr="00481E67">
      <w:trPr>
        <w:trHeight w:val="261"/>
      </w:trPr>
      <w:tc>
        <w:tcPr>
          <w:tcW w:w="2551" w:type="dxa"/>
        </w:tcPr>
        <w:p w14:paraId="7F522FEC" w14:textId="77777777" w:rsidR="001A62D1" w:rsidRDefault="001A62D1">
          <w:pPr>
            <w:tabs>
              <w:tab w:val="right" w:pos="8838"/>
            </w:tabs>
            <w:ind w:right="-105"/>
            <w:rPr>
              <w:b/>
            </w:rPr>
          </w:pPr>
          <w:r>
            <w:rPr>
              <w:b/>
            </w:rPr>
            <w:t>Comisionado Ponente:</w:t>
          </w:r>
        </w:p>
      </w:tc>
      <w:tc>
        <w:tcPr>
          <w:tcW w:w="4253" w:type="dxa"/>
        </w:tcPr>
        <w:p w14:paraId="0F0566F9" w14:textId="77777777" w:rsidR="001A62D1" w:rsidRPr="00EF0C39" w:rsidRDefault="001A62D1" w:rsidP="00C46A25">
          <w:pPr>
            <w:tabs>
              <w:tab w:val="right" w:pos="8838"/>
            </w:tabs>
            <w:ind w:right="-32"/>
            <w:rPr>
              <w:b/>
            </w:rPr>
          </w:pPr>
          <w:r w:rsidRPr="00EF0C39">
            <w:t>Luis Gustavo Parra Noriega</w:t>
          </w:r>
        </w:p>
      </w:tc>
    </w:tr>
  </w:tbl>
  <w:p w14:paraId="4DFC2598" w14:textId="77777777" w:rsidR="001A62D1" w:rsidRDefault="00544DA6">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1CCB54C7"/>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F57862"/>
    <w:multiLevelType w:val="hybridMultilevel"/>
    <w:tmpl w:val="4D8696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082807"/>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046F81"/>
    <w:multiLevelType w:val="hybridMultilevel"/>
    <w:tmpl w:val="EEDAC6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3514178"/>
    <w:multiLevelType w:val="hybridMultilevel"/>
    <w:tmpl w:val="BFC225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58547C"/>
    <w:multiLevelType w:val="hybridMultilevel"/>
    <w:tmpl w:val="BFC22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C90AB4"/>
    <w:multiLevelType w:val="hybridMultilevel"/>
    <w:tmpl w:val="A4F82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77802906"/>
    <w:multiLevelType w:val="hybridMultilevel"/>
    <w:tmpl w:val="F48A02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6957362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25591">
    <w:abstractNumId w:val="2"/>
  </w:num>
  <w:num w:numId="3" w16cid:durableId="1046023175">
    <w:abstractNumId w:val="5"/>
  </w:num>
  <w:num w:numId="4" w16cid:durableId="1069813541">
    <w:abstractNumId w:val="9"/>
  </w:num>
  <w:num w:numId="5" w16cid:durableId="1533764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635112">
    <w:abstractNumId w:val="16"/>
  </w:num>
  <w:num w:numId="7" w16cid:durableId="838814687">
    <w:abstractNumId w:val="1"/>
  </w:num>
  <w:num w:numId="8" w16cid:durableId="845093852">
    <w:abstractNumId w:val="8"/>
  </w:num>
  <w:num w:numId="9" w16cid:durableId="853687609">
    <w:abstractNumId w:val="11"/>
  </w:num>
  <w:num w:numId="10" w16cid:durableId="1383403945">
    <w:abstractNumId w:val="3"/>
  </w:num>
  <w:num w:numId="11" w16cid:durableId="922373494">
    <w:abstractNumId w:val="0"/>
  </w:num>
  <w:num w:numId="12" w16cid:durableId="1061100825">
    <w:abstractNumId w:val="4"/>
  </w:num>
  <w:num w:numId="13" w16cid:durableId="810639246">
    <w:abstractNumId w:val="7"/>
  </w:num>
  <w:num w:numId="14" w16cid:durableId="1926721029">
    <w:abstractNumId w:val="14"/>
  </w:num>
  <w:num w:numId="15" w16cid:durableId="1117723519">
    <w:abstractNumId w:val="13"/>
  </w:num>
  <w:num w:numId="16" w16cid:durableId="145826997">
    <w:abstractNumId w:val="15"/>
  </w:num>
  <w:num w:numId="17" w16cid:durableId="125836566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288F"/>
    <w:rsid w:val="00033026"/>
    <w:rsid w:val="00033186"/>
    <w:rsid w:val="0003318A"/>
    <w:rsid w:val="00033683"/>
    <w:rsid w:val="00033AF2"/>
    <w:rsid w:val="00033F2C"/>
    <w:rsid w:val="00035D5D"/>
    <w:rsid w:val="0003740E"/>
    <w:rsid w:val="0003782D"/>
    <w:rsid w:val="000410E6"/>
    <w:rsid w:val="0004134C"/>
    <w:rsid w:val="000426D2"/>
    <w:rsid w:val="00050E2E"/>
    <w:rsid w:val="0005769F"/>
    <w:rsid w:val="00057905"/>
    <w:rsid w:val="000602BA"/>
    <w:rsid w:val="00060791"/>
    <w:rsid w:val="00061123"/>
    <w:rsid w:val="00062387"/>
    <w:rsid w:val="00064936"/>
    <w:rsid w:val="00067A48"/>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1C4F"/>
    <w:rsid w:val="000E3169"/>
    <w:rsid w:val="000F3B49"/>
    <w:rsid w:val="000F4583"/>
    <w:rsid w:val="000F4AC1"/>
    <w:rsid w:val="000F562C"/>
    <w:rsid w:val="000F6219"/>
    <w:rsid w:val="000F6E36"/>
    <w:rsid w:val="00104234"/>
    <w:rsid w:val="001055EA"/>
    <w:rsid w:val="00105B6E"/>
    <w:rsid w:val="001061B1"/>
    <w:rsid w:val="001065C6"/>
    <w:rsid w:val="0011010D"/>
    <w:rsid w:val="001135C1"/>
    <w:rsid w:val="001150A1"/>
    <w:rsid w:val="00115992"/>
    <w:rsid w:val="001162C4"/>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194"/>
    <w:rsid w:val="001558BD"/>
    <w:rsid w:val="00155BD1"/>
    <w:rsid w:val="001566D4"/>
    <w:rsid w:val="001578F5"/>
    <w:rsid w:val="00160609"/>
    <w:rsid w:val="0016373E"/>
    <w:rsid w:val="00163D9F"/>
    <w:rsid w:val="00165AB2"/>
    <w:rsid w:val="0016642B"/>
    <w:rsid w:val="00166452"/>
    <w:rsid w:val="00166907"/>
    <w:rsid w:val="00166A42"/>
    <w:rsid w:val="0016727D"/>
    <w:rsid w:val="0016793F"/>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934"/>
    <w:rsid w:val="001A3C87"/>
    <w:rsid w:val="001A43EC"/>
    <w:rsid w:val="001A44D1"/>
    <w:rsid w:val="001A5A72"/>
    <w:rsid w:val="001A5B6F"/>
    <w:rsid w:val="001A62D1"/>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5FDF"/>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24AD"/>
    <w:rsid w:val="00273A4E"/>
    <w:rsid w:val="00274745"/>
    <w:rsid w:val="00274EC1"/>
    <w:rsid w:val="002779C0"/>
    <w:rsid w:val="00280625"/>
    <w:rsid w:val="00280CF8"/>
    <w:rsid w:val="00280D16"/>
    <w:rsid w:val="00282176"/>
    <w:rsid w:val="002822A3"/>
    <w:rsid w:val="0028277C"/>
    <w:rsid w:val="00282C2E"/>
    <w:rsid w:val="002845CF"/>
    <w:rsid w:val="00287374"/>
    <w:rsid w:val="00287797"/>
    <w:rsid w:val="0029130B"/>
    <w:rsid w:val="00291318"/>
    <w:rsid w:val="0029310D"/>
    <w:rsid w:val="00293A22"/>
    <w:rsid w:val="00294C03"/>
    <w:rsid w:val="0029536C"/>
    <w:rsid w:val="00295482"/>
    <w:rsid w:val="0029784D"/>
    <w:rsid w:val="002A02CD"/>
    <w:rsid w:val="002A376A"/>
    <w:rsid w:val="002A3A8E"/>
    <w:rsid w:val="002A5DEB"/>
    <w:rsid w:val="002A6695"/>
    <w:rsid w:val="002B2FEA"/>
    <w:rsid w:val="002B5A2D"/>
    <w:rsid w:val="002B772B"/>
    <w:rsid w:val="002C061B"/>
    <w:rsid w:val="002C0C3A"/>
    <w:rsid w:val="002C3C0A"/>
    <w:rsid w:val="002C4A39"/>
    <w:rsid w:val="002C4D41"/>
    <w:rsid w:val="002C516D"/>
    <w:rsid w:val="002C5879"/>
    <w:rsid w:val="002C7C43"/>
    <w:rsid w:val="002D2107"/>
    <w:rsid w:val="002D2619"/>
    <w:rsid w:val="002D2A77"/>
    <w:rsid w:val="002D6CA6"/>
    <w:rsid w:val="002E21BF"/>
    <w:rsid w:val="002E2627"/>
    <w:rsid w:val="002E2D9D"/>
    <w:rsid w:val="002E34B7"/>
    <w:rsid w:val="002E5C60"/>
    <w:rsid w:val="002E6125"/>
    <w:rsid w:val="002E6BEC"/>
    <w:rsid w:val="002E7C9D"/>
    <w:rsid w:val="002F0137"/>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2655B"/>
    <w:rsid w:val="003303EB"/>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66D05"/>
    <w:rsid w:val="00376AE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01F2"/>
    <w:rsid w:val="003A103F"/>
    <w:rsid w:val="003A20C8"/>
    <w:rsid w:val="003A2B31"/>
    <w:rsid w:val="003A41C0"/>
    <w:rsid w:val="003A47C4"/>
    <w:rsid w:val="003A4BB8"/>
    <w:rsid w:val="003A4CF8"/>
    <w:rsid w:val="003A4EEC"/>
    <w:rsid w:val="003B3C6F"/>
    <w:rsid w:val="003B5A66"/>
    <w:rsid w:val="003B6D7F"/>
    <w:rsid w:val="003B6E04"/>
    <w:rsid w:val="003B6F0C"/>
    <w:rsid w:val="003C13CD"/>
    <w:rsid w:val="003C28F2"/>
    <w:rsid w:val="003C331A"/>
    <w:rsid w:val="003C5F59"/>
    <w:rsid w:val="003C5FE0"/>
    <w:rsid w:val="003C7338"/>
    <w:rsid w:val="003D0D51"/>
    <w:rsid w:val="003D1DC8"/>
    <w:rsid w:val="003D25DC"/>
    <w:rsid w:val="003D313E"/>
    <w:rsid w:val="003D35DB"/>
    <w:rsid w:val="003D6C3F"/>
    <w:rsid w:val="003E00B8"/>
    <w:rsid w:val="003E088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698"/>
    <w:rsid w:val="003F5F91"/>
    <w:rsid w:val="003F6C55"/>
    <w:rsid w:val="0040398B"/>
    <w:rsid w:val="00403D51"/>
    <w:rsid w:val="00404B15"/>
    <w:rsid w:val="004068E7"/>
    <w:rsid w:val="004076BD"/>
    <w:rsid w:val="0041096D"/>
    <w:rsid w:val="004111B6"/>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2BD6"/>
    <w:rsid w:val="00455EA5"/>
    <w:rsid w:val="00456B23"/>
    <w:rsid w:val="00461DF2"/>
    <w:rsid w:val="00462ED0"/>
    <w:rsid w:val="00463218"/>
    <w:rsid w:val="004649E0"/>
    <w:rsid w:val="0046597D"/>
    <w:rsid w:val="00467659"/>
    <w:rsid w:val="00471E99"/>
    <w:rsid w:val="004721AA"/>
    <w:rsid w:val="0047290D"/>
    <w:rsid w:val="00473151"/>
    <w:rsid w:val="00473542"/>
    <w:rsid w:val="00474793"/>
    <w:rsid w:val="00475E62"/>
    <w:rsid w:val="00481E67"/>
    <w:rsid w:val="00481F23"/>
    <w:rsid w:val="00483320"/>
    <w:rsid w:val="00484E27"/>
    <w:rsid w:val="00487556"/>
    <w:rsid w:val="00492333"/>
    <w:rsid w:val="0049696B"/>
    <w:rsid w:val="0049788F"/>
    <w:rsid w:val="004A10B0"/>
    <w:rsid w:val="004A10E6"/>
    <w:rsid w:val="004A5405"/>
    <w:rsid w:val="004B0431"/>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D8F"/>
    <w:rsid w:val="004D243B"/>
    <w:rsid w:val="004D63D9"/>
    <w:rsid w:val="004E0AD6"/>
    <w:rsid w:val="004E22FF"/>
    <w:rsid w:val="004E2EF2"/>
    <w:rsid w:val="004E3063"/>
    <w:rsid w:val="004E47CC"/>
    <w:rsid w:val="004F0490"/>
    <w:rsid w:val="004F2DE2"/>
    <w:rsid w:val="004F525F"/>
    <w:rsid w:val="004F56D3"/>
    <w:rsid w:val="004F59FB"/>
    <w:rsid w:val="004F614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0AEA"/>
    <w:rsid w:val="00572946"/>
    <w:rsid w:val="005732F8"/>
    <w:rsid w:val="00580345"/>
    <w:rsid w:val="005816DE"/>
    <w:rsid w:val="00582FC0"/>
    <w:rsid w:val="00585C29"/>
    <w:rsid w:val="005867A9"/>
    <w:rsid w:val="0058767A"/>
    <w:rsid w:val="00590FB7"/>
    <w:rsid w:val="005914EE"/>
    <w:rsid w:val="00595FCC"/>
    <w:rsid w:val="005A0A77"/>
    <w:rsid w:val="005A381E"/>
    <w:rsid w:val="005A39F4"/>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E4AD4"/>
    <w:rsid w:val="005F130E"/>
    <w:rsid w:val="005F199D"/>
    <w:rsid w:val="005F2EFC"/>
    <w:rsid w:val="005F36FE"/>
    <w:rsid w:val="005F38B6"/>
    <w:rsid w:val="005F4B93"/>
    <w:rsid w:val="005F5498"/>
    <w:rsid w:val="005F773E"/>
    <w:rsid w:val="005F785A"/>
    <w:rsid w:val="00600A20"/>
    <w:rsid w:val="00601E94"/>
    <w:rsid w:val="00602E5C"/>
    <w:rsid w:val="006033D0"/>
    <w:rsid w:val="006037C1"/>
    <w:rsid w:val="006059DA"/>
    <w:rsid w:val="00606B1A"/>
    <w:rsid w:val="00611A0B"/>
    <w:rsid w:val="0061303E"/>
    <w:rsid w:val="0061459C"/>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34F6"/>
    <w:rsid w:val="0066640F"/>
    <w:rsid w:val="006664D4"/>
    <w:rsid w:val="00667F81"/>
    <w:rsid w:val="00670EAA"/>
    <w:rsid w:val="006715A0"/>
    <w:rsid w:val="00671B21"/>
    <w:rsid w:val="00671B38"/>
    <w:rsid w:val="00671BB1"/>
    <w:rsid w:val="006731C7"/>
    <w:rsid w:val="00673306"/>
    <w:rsid w:val="00674DAF"/>
    <w:rsid w:val="00674E18"/>
    <w:rsid w:val="006771FF"/>
    <w:rsid w:val="00677F38"/>
    <w:rsid w:val="006800BB"/>
    <w:rsid w:val="00680F20"/>
    <w:rsid w:val="00684E69"/>
    <w:rsid w:val="00687BCB"/>
    <w:rsid w:val="00690202"/>
    <w:rsid w:val="0069037C"/>
    <w:rsid w:val="00692763"/>
    <w:rsid w:val="00692CEE"/>
    <w:rsid w:val="00694971"/>
    <w:rsid w:val="0069657C"/>
    <w:rsid w:val="006A0CDD"/>
    <w:rsid w:val="006A40F4"/>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393A"/>
    <w:rsid w:val="006E6B82"/>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3611B"/>
    <w:rsid w:val="00736B03"/>
    <w:rsid w:val="00736E1C"/>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861DD"/>
    <w:rsid w:val="00792220"/>
    <w:rsid w:val="00792309"/>
    <w:rsid w:val="00792DF8"/>
    <w:rsid w:val="00794774"/>
    <w:rsid w:val="00794B3F"/>
    <w:rsid w:val="00796030"/>
    <w:rsid w:val="007962A6"/>
    <w:rsid w:val="00796712"/>
    <w:rsid w:val="007A097D"/>
    <w:rsid w:val="007A0BC3"/>
    <w:rsid w:val="007A0D80"/>
    <w:rsid w:val="007A1ACB"/>
    <w:rsid w:val="007A2872"/>
    <w:rsid w:val="007A3334"/>
    <w:rsid w:val="007A540E"/>
    <w:rsid w:val="007A6A27"/>
    <w:rsid w:val="007B0293"/>
    <w:rsid w:val="007B24BB"/>
    <w:rsid w:val="007B38A7"/>
    <w:rsid w:val="007B4143"/>
    <w:rsid w:val="007B4717"/>
    <w:rsid w:val="007B4E28"/>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55C5"/>
    <w:rsid w:val="00836749"/>
    <w:rsid w:val="0084143D"/>
    <w:rsid w:val="008415EA"/>
    <w:rsid w:val="008416D9"/>
    <w:rsid w:val="008441D0"/>
    <w:rsid w:val="008449E4"/>
    <w:rsid w:val="008473B9"/>
    <w:rsid w:val="008505A7"/>
    <w:rsid w:val="00850BF6"/>
    <w:rsid w:val="00853828"/>
    <w:rsid w:val="00853A05"/>
    <w:rsid w:val="00853AA3"/>
    <w:rsid w:val="008546E5"/>
    <w:rsid w:val="0085490B"/>
    <w:rsid w:val="00857A87"/>
    <w:rsid w:val="00857B5B"/>
    <w:rsid w:val="00857C17"/>
    <w:rsid w:val="008614CC"/>
    <w:rsid w:val="0086265B"/>
    <w:rsid w:val="0086309F"/>
    <w:rsid w:val="008638A5"/>
    <w:rsid w:val="00864C7E"/>
    <w:rsid w:val="008659B7"/>
    <w:rsid w:val="008659CE"/>
    <w:rsid w:val="00865C80"/>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768"/>
    <w:rsid w:val="008C584E"/>
    <w:rsid w:val="008D28E1"/>
    <w:rsid w:val="008D3B3F"/>
    <w:rsid w:val="008D43A8"/>
    <w:rsid w:val="008D46FC"/>
    <w:rsid w:val="008D58F4"/>
    <w:rsid w:val="008D7C22"/>
    <w:rsid w:val="008E0D53"/>
    <w:rsid w:val="008E0DC4"/>
    <w:rsid w:val="008E5E71"/>
    <w:rsid w:val="008E736C"/>
    <w:rsid w:val="008E7959"/>
    <w:rsid w:val="008F0749"/>
    <w:rsid w:val="008F2D7A"/>
    <w:rsid w:val="008F4E82"/>
    <w:rsid w:val="008F5691"/>
    <w:rsid w:val="008F5A51"/>
    <w:rsid w:val="00900625"/>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F61"/>
    <w:rsid w:val="00922F8C"/>
    <w:rsid w:val="00926758"/>
    <w:rsid w:val="00927131"/>
    <w:rsid w:val="009319F4"/>
    <w:rsid w:val="00933E27"/>
    <w:rsid w:val="00934D26"/>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521"/>
    <w:rsid w:val="00962C51"/>
    <w:rsid w:val="00963E6F"/>
    <w:rsid w:val="009643D0"/>
    <w:rsid w:val="009644D7"/>
    <w:rsid w:val="00965741"/>
    <w:rsid w:val="0096639A"/>
    <w:rsid w:val="00966606"/>
    <w:rsid w:val="00966BF0"/>
    <w:rsid w:val="00972243"/>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199"/>
    <w:rsid w:val="009973CB"/>
    <w:rsid w:val="00997E6B"/>
    <w:rsid w:val="009A08E5"/>
    <w:rsid w:val="009A25C0"/>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1A4C"/>
    <w:rsid w:val="009F2202"/>
    <w:rsid w:val="009F3790"/>
    <w:rsid w:val="009F39DF"/>
    <w:rsid w:val="009F6813"/>
    <w:rsid w:val="00A02DDB"/>
    <w:rsid w:val="00A03F8F"/>
    <w:rsid w:val="00A042BC"/>
    <w:rsid w:val="00A045F2"/>
    <w:rsid w:val="00A065C8"/>
    <w:rsid w:val="00A071E9"/>
    <w:rsid w:val="00A1369B"/>
    <w:rsid w:val="00A1415D"/>
    <w:rsid w:val="00A15402"/>
    <w:rsid w:val="00A16D8E"/>
    <w:rsid w:val="00A20875"/>
    <w:rsid w:val="00A244C7"/>
    <w:rsid w:val="00A26E75"/>
    <w:rsid w:val="00A27704"/>
    <w:rsid w:val="00A27FF0"/>
    <w:rsid w:val="00A33F9B"/>
    <w:rsid w:val="00A34702"/>
    <w:rsid w:val="00A361DB"/>
    <w:rsid w:val="00A363DD"/>
    <w:rsid w:val="00A36DDE"/>
    <w:rsid w:val="00A36E65"/>
    <w:rsid w:val="00A37912"/>
    <w:rsid w:val="00A37EDE"/>
    <w:rsid w:val="00A401C8"/>
    <w:rsid w:val="00A41789"/>
    <w:rsid w:val="00A41A9E"/>
    <w:rsid w:val="00A43BA2"/>
    <w:rsid w:val="00A45EE8"/>
    <w:rsid w:val="00A462A9"/>
    <w:rsid w:val="00A46E2C"/>
    <w:rsid w:val="00A46FFB"/>
    <w:rsid w:val="00A47A50"/>
    <w:rsid w:val="00A51D86"/>
    <w:rsid w:val="00A52408"/>
    <w:rsid w:val="00A538A9"/>
    <w:rsid w:val="00A54AEE"/>
    <w:rsid w:val="00A5590B"/>
    <w:rsid w:val="00A55E82"/>
    <w:rsid w:val="00A56228"/>
    <w:rsid w:val="00A576F9"/>
    <w:rsid w:val="00A60433"/>
    <w:rsid w:val="00A60BDF"/>
    <w:rsid w:val="00A620E2"/>
    <w:rsid w:val="00A63444"/>
    <w:rsid w:val="00A63E30"/>
    <w:rsid w:val="00A6488A"/>
    <w:rsid w:val="00A660B5"/>
    <w:rsid w:val="00A6674B"/>
    <w:rsid w:val="00A71C66"/>
    <w:rsid w:val="00A73E9A"/>
    <w:rsid w:val="00A7487F"/>
    <w:rsid w:val="00A753B3"/>
    <w:rsid w:val="00A75C5D"/>
    <w:rsid w:val="00A7749F"/>
    <w:rsid w:val="00A805B7"/>
    <w:rsid w:val="00A81C30"/>
    <w:rsid w:val="00A8342D"/>
    <w:rsid w:val="00A84E9B"/>
    <w:rsid w:val="00A85D07"/>
    <w:rsid w:val="00A87E91"/>
    <w:rsid w:val="00A915DD"/>
    <w:rsid w:val="00A9286C"/>
    <w:rsid w:val="00A94490"/>
    <w:rsid w:val="00A95E07"/>
    <w:rsid w:val="00A96A4E"/>
    <w:rsid w:val="00AA21E0"/>
    <w:rsid w:val="00AA345B"/>
    <w:rsid w:val="00AA3CD8"/>
    <w:rsid w:val="00AA556D"/>
    <w:rsid w:val="00AA6BA1"/>
    <w:rsid w:val="00AB0BA1"/>
    <w:rsid w:val="00AB1C9F"/>
    <w:rsid w:val="00AB328F"/>
    <w:rsid w:val="00AB3C8D"/>
    <w:rsid w:val="00AB4AC2"/>
    <w:rsid w:val="00AB4F34"/>
    <w:rsid w:val="00AB51A8"/>
    <w:rsid w:val="00AC0AE0"/>
    <w:rsid w:val="00AC45E1"/>
    <w:rsid w:val="00AC4EC9"/>
    <w:rsid w:val="00AC5221"/>
    <w:rsid w:val="00AC5582"/>
    <w:rsid w:val="00AC5D01"/>
    <w:rsid w:val="00AC6629"/>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10A1"/>
    <w:rsid w:val="00B123FB"/>
    <w:rsid w:val="00B1247F"/>
    <w:rsid w:val="00B153FA"/>
    <w:rsid w:val="00B15D1C"/>
    <w:rsid w:val="00B179C3"/>
    <w:rsid w:val="00B17B55"/>
    <w:rsid w:val="00B20814"/>
    <w:rsid w:val="00B22A17"/>
    <w:rsid w:val="00B22B9F"/>
    <w:rsid w:val="00B22F78"/>
    <w:rsid w:val="00B247CD"/>
    <w:rsid w:val="00B27131"/>
    <w:rsid w:val="00B27951"/>
    <w:rsid w:val="00B31892"/>
    <w:rsid w:val="00B32602"/>
    <w:rsid w:val="00B32689"/>
    <w:rsid w:val="00B331EC"/>
    <w:rsid w:val="00B35DA2"/>
    <w:rsid w:val="00B35F83"/>
    <w:rsid w:val="00B36A30"/>
    <w:rsid w:val="00B37A6D"/>
    <w:rsid w:val="00B418F0"/>
    <w:rsid w:val="00B42F31"/>
    <w:rsid w:val="00B43C12"/>
    <w:rsid w:val="00B43D92"/>
    <w:rsid w:val="00B51050"/>
    <w:rsid w:val="00B52CAD"/>
    <w:rsid w:val="00B53EAF"/>
    <w:rsid w:val="00B554D6"/>
    <w:rsid w:val="00B6454E"/>
    <w:rsid w:val="00B65BCA"/>
    <w:rsid w:val="00B6639B"/>
    <w:rsid w:val="00B66F84"/>
    <w:rsid w:val="00B675A3"/>
    <w:rsid w:val="00B67947"/>
    <w:rsid w:val="00B71619"/>
    <w:rsid w:val="00B7570D"/>
    <w:rsid w:val="00B75C77"/>
    <w:rsid w:val="00B80E36"/>
    <w:rsid w:val="00B83D05"/>
    <w:rsid w:val="00B84F6E"/>
    <w:rsid w:val="00B859EC"/>
    <w:rsid w:val="00B87AFC"/>
    <w:rsid w:val="00B901B7"/>
    <w:rsid w:val="00B90713"/>
    <w:rsid w:val="00B9084C"/>
    <w:rsid w:val="00B92069"/>
    <w:rsid w:val="00B92FFF"/>
    <w:rsid w:val="00B9500B"/>
    <w:rsid w:val="00B970C0"/>
    <w:rsid w:val="00BA1D80"/>
    <w:rsid w:val="00BA4E6F"/>
    <w:rsid w:val="00BA56A8"/>
    <w:rsid w:val="00BA6C50"/>
    <w:rsid w:val="00BA784F"/>
    <w:rsid w:val="00BA7A1E"/>
    <w:rsid w:val="00BB05C0"/>
    <w:rsid w:val="00BB3F28"/>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1528"/>
    <w:rsid w:val="00C06004"/>
    <w:rsid w:val="00C06389"/>
    <w:rsid w:val="00C06C06"/>
    <w:rsid w:val="00C11279"/>
    <w:rsid w:val="00C11A18"/>
    <w:rsid w:val="00C12B98"/>
    <w:rsid w:val="00C13A67"/>
    <w:rsid w:val="00C13CD5"/>
    <w:rsid w:val="00C14481"/>
    <w:rsid w:val="00C157A7"/>
    <w:rsid w:val="00C16735"/>
    <w:rsid w:val="00C17735"/>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45CB"/>
    <w:rsid w:val="00CA4C3A"/>
    <w:rsid w:val="00CA4E57"/>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2B96"/>
    <w:rsid w:val="00CD3A00"/>
    <w:rsid w:val="00CD4DE8"/>
    <w:rsid w:val="00CD5841"/>
    <w:rsid w:val="00CD5A8F"/>
    <w:rsid w:val="00CD611D"/>
    <w:rsid w:val="00CD6238"/>
    <w:rsid w:val="00CD6617"/>
    <w:rsid w:val="00CD6876"/>
    <w:rsid w:val="00CD6D28"/>
    <w:rsid w:val="00CE0F1F"/>
    <w:rsid w:val="00CE2494"/>
    <w:rsid w:val="00CE2973"/>
    <w:rsid w:val="00CE2A8C"/>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524"/>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A13"/>
    <w:rsid w:val="00D36A9F"/>
    <w:rsid w:val="00D42E23"/>
    <w:rsid w:val="00D43A3A"/>
    <w:rsid w:val="00D44453"/>
    <w:rsid w:val="00D466A8"/>
    <w:rsid w:val="00D46E14"/>
    <w:rsid w:val="00D474D0"/>
    <w:rsid w:val="00D47FC1"/>
    <w:rsid w:val="00D51004"/>
    <w:rsid w:val="00D5128D"/>
    <w:rsid w:val="00D52E5B"/>
    <w:rsid w:val="00D52EC1"/>
    <w:rsid w:val="00D55A56"/>
    <w:rsid w:val="00D579E6"/>
    <w:rsid w:val="00D61CB8"/>
    <w:rsid w:val="00D61FF9"/>
    <w:rsid w:val="00D62480"/>
    <w:rsid w:val="00D629E3"/>
    <w:rsid w:val="00D64273"/>
    <w:rsid w:val="00D64B8A"/>
    <w:rsid w:val="00D64C4F"/>
    <w:rsid w:val="00D65180"/>
    <w:rsid w:val="00D66DDB"/>
    <w:rsid w:val="00D70766"/>
    <w:rsid w:val="00D708AE"/>
    <w:rsid w:val="00D72175"/>
    <w:rsid w:val="00D7252C"/>
    <w:rsid w:val="00D74D06"/>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12AE"/>
    <w:rsid w:val="00DE224D"/>
    <w:rsid w:val="00DE379D"/>
    <w:rsid w:val="00DE41C5"/>
    <w:rsid w:val="00DF277D"/>
    <w:rsid w:val="00DF37DE"/>
    <w:rsid w:val="00DF43D9"/>
    <w:rsid w:val="00DF59CE"/>
    <w:rsid w:val="00DF60BC"/>
    <w:rsid w:val="00DF7F84"/>
    <w:rsid w:val="00E00BC4"/>
    <w:rsid w:val="00E022A1"/>
    <w:rsid w:val="00E0245B"/>
    <w:rsid w:val="00E02A52"/>
    <w:rsid w:val="00E0447A"/>
    <w:rsid w:val="00E052B8"/>
    <w:rsid w:val="00E10780"/>
    <w:rsid w:val="00E11168"/>
    <w:rsid w:val="00E12804"/>
    <w:rsid w:val="00E134FA"/>
    <w:rsid w:val="00E14594"/>
    <w:rsid w:val="00E16729"/>
    <w:rsid w:val="00E217D5"/>
    <w:rsid w:val="00E21EC5"/>
    <w:rsid w:val="00E22006"/>
    <w:rsid w:val="00E22EA8"/>
    <w:rsid w:val="00E23058"/>
    <w:rsid w:val="00E24F0F"/>
    <w:rsid w:val="00E25560"/>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3F31"/>
    <w:rsid w:val="00E54144"/>
    <w:rsid w:val="00E547F7"/>
    <w:rsid w:val="00E57404"/>
    <w:rsid w:val="00E57797"/>
    <w:rsid w:val="00E57A6E"/>
    <w:rsid w:val="00E638C3"/>
    <w:rsid w:val="00E64BEF"/>
    <w:rsid w:val="00E64E18"/>
    <w:rsid w:val="00E66BEB"/>
    <w:rsid w:val="00E6707F"/>
    <w:rsid w:val="00E71771"/>
    <w:rsid w:val="00E71F80"/>
    <w:rsid w:val="00E73985"/>
    <w:rsid w:val="00E7452D"/>
    <w:rsid w:val="00E74CB0"/>
    <w:rsid w:val="00E81B7C"/>
    <w:rsid w:val="00E85AC5"/>
    <w:rsid w:val="00E864E9"/>
    <w:rsid w:val="00E865E5"/>
    <w:rsid w:val="00E909E3"/>
    <w:rsid w:val="00E91C8A"/>
    <w:rsid w:val="00E91D41"/>
    <w:rsid w:val="00E9742F"/>
    <w:rsid w:val="00EA0B1D"/>
    <w:rsid w:val="00EA372C"/>
    <w:rsid w:val="00EA3CD3"/>
    <w:rsid w:val="00EA5AC2"/>
    <w:rsid w:val="00EA7F32"/>
    <w:rsid w:val="00EB020F"/>
    <w:rsid w:val="00EB1470"/>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7BB"/>
    <w:rsid w:val="00ED6859"/>
    <w:rsid w:val="00EE1006"/>
    <w:rsid w:val="00EE1B70"/>
    <w:rsid w:val="00EE3EC4"/>
    <w:rsid w:val="00EE53C1"/>
    <w:rsid w:val="00EF0C39"/>
    <w:rsid w:val="00EF36E1"/>
    <w:rsid w:val="00EF6C8B"/>
    <w:rsid w:val="00F028A5"/>
    <w:rsid w:val="00F02ACE"/>
    <w:rsid w:val="00F03463"/>
    <w:rsid w:val="00F03E2D"/>
    <w:rsid w:val="00F05082"/>
    <w:rsid w:val="00F056AD"/>
    <w:rsid w:val="00F06AF6"/>
    <w:rsid w:val="00F104DF"/>
    <w:rsid w:val="00F10AC0"/>
    <w:rsid w:val="00F1255F"/>
    <w:rsid w:val="00F1561E"/>
    <w:rsid w:val="00F16F36"/>
    <w:rsid w:val="00F20567"/>
    <w:rsid w:val="00F21BA6"/>
    <w:rsid w:val="00F25709"/>
    <w:rsid w:val="00F26C65"/>
    <w:rsid w:val="00F316B5"/>
    <w:rsid w:val="00F3721C"/>
    <w:rsid w:val="00F378E3"/>
    <w:rsid w:val="00F41361"/>
    <w:rsid w:val="00F41B36"/>
    <w:rsid w:val="00F42088"/>
    <w:rsid w:val="00F43789"/>
    <w:rsid w:val="00F437D8"/>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6486"/>
    <w:rsid w:val="00F66940"/>
    <w:rsid w:val="00F70847"/>
    <w:rsid w:val="00F70A24"/>
    <w:rsid w:val="00F712A4"/>
    <w:rsid w:val="00F71565"/>
    <w:rsid w:val="00F7237E"/>
    <w:rsid w:val="00F73D29"/>
    <w:rsid w:val="00F7642B"/>
    <w:rsid w:val="00F80790"/>
    <w:rsid w:val="00F8257C"/>
    <w:rsid w:val="00F84FFC"/>
    <w:rsid w:val="00F8788F"/>
    <w:rsid w:val="00F87926"/>
    <w:rsid w:val="00F908B7"/>
    <w:rsid w:val="00F91851"/>
    <w:rsid w:val="00F933B4"/>
    <w:rsid w:val="00F936DE"/>
    <w:rsid w:val="00F93F64"/>
    <w:rsid w:val="00F955F5"/>
    <w:rsid w:val="00FA03D1"/>
    <w:rsid w:val="00FA2ED3"/>
    <w:rsid w:val="00FA340B"/>
    <w:rsid w:val="00FA36A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7236"/>
    <w:rsid w:val="00FC74A2"/>
    <w:rsid w:val="00FD34DC"/>
    <w:rsid w:val="00FD3D7D"/>
    <w:rsid w:val="00FD5141"/>
    <w:rsid w:val="00FD5CCF"/>
    <w:rsid w:val="00FD667D"/>
    <w:rsid w:val="00FD7883"/>
    <w:rsid w:val="00FE3FF3"/>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1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4B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6802885">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10245894">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093432">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4975995">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2439877">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5581465">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ebapps.condusef.gob.mx/SIPRES/jsp/pub/index.jsp" TargetMode="External"/><Relationship Id="rId23" Type="http://schemas.openxmlformats.org/officeDocument/2006/relationships/fontTable" Target="fontTable.xml"/><Relationship Id="rId10" Type="http://schemas.openxmlformats.org/officeDocument/2006/relationships/image" Target="media/image1.tmp"/><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istemas.issemym.gob.mx/ipomex/ipodocumento.aspx55231" TargetMode="External"/><Relationship Id="rId14" Type="http://schemas.openxmlformats.org/officeDocument/2006/relationships/hyperlink" Target="https://www.condusef.gob.mx/Revista/index.php/usuario-inteligente/condusef-responde/777-la-condusef-te-puede-ayuda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7194D2-D0F8-4FE8-96FA-633C508B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10786</Words>
  <Characters>59323</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Israel Martinez Serrano</cp:lastModifiedBy>
  <cp:revision>5</cp:revision>
  <cp:lastPrinted>2025-11-14T12:36:00Z</cp:lastPrinted>
  <dcterms:created xsi:type="dcterms:W3CDTF">2025-11-14T12:36:00Z</dcterms:created>
  <dcterms:modified xsi:type="dcterms:W3CDTF">2025-12-04T21:33:00Z</dcterms:modified>
</cp:coreProperties>
</file>