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120" w:line="360" w:lineRule="auto"/>
        <w:ind w:right="49"/>
        <w:jc w:val="both"/>
        <w:rPr>
          <w:rFonts w:ascii="Palatino Linotype" w:cs="Palatino Linotype" w:eastAsia="Palatino Linotype" w:hAnsi="Palatino Linotype"/>
          <w:strike w:val="1"/>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veintiocho de mayo de dos mil veinticinco.</w:t>
      </w:r>
      <w:r w:rsidDel="00000000" w:rsidR="00000000" w:rsidRPr="00000000">
        <w:rPr>
          <w:rtl w:val="0"/>
        </w:rPr>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02774/INFOEM/IP/RR/2025</w:t>
      </w:r>
      <w:r w:rsidDel="00000000" w:rsidR="00000000" w:rsidRPr="00000000">
        <w:rPr>
          <w:rFonts w:ascii="Palatino Linotype" w:cs="Palatino Linotype" w:eastAsia="Palatino Linotype" w:hAnsi="Palatino Linotype"/>
          <w:sz w:val="24"/>
          <w:szCs w:val="24"/>
          <w:rtl w:val="0"/>
        </w:rPr>
        <w:t xml:space="preserve">, interpuesto por</w:t>
      </w:r>
      <w:r w:rsidDel="00000000" w:rsidR="00000000" w:rsidRPr="00000000">
        <w:rPr>
          <w:rFonts w:ascii="Palatino Linotype" w:cs="Palatino Linotype" w:eastAsia="Palatino Linotype" w:hAnsi="Palatino Linotype"/>
          <w:b w:val="1"/>
          <w:sz w:val="24"/>
          <w:szCs w:val="24"/>
          <w:rtl w:val="0"/>
        </w:rPr>
        <w:t xml:space="preserve"> XXXXX XXXX XXXXXXX XXXXXX</w:t>
      </w:r>
      <w:r w:rsidDel="00000000" w:rsidR="00000000" w:rsidRPr="00000000">
        <w:rPr>
          <w:rFonts w:ascii="Palatino Linotype" w:cs="Palatino Linotype" w:eastAsia="Palatino Linotype" w:hAnsi="Palatino Linotype"/>
          <w:sz w:val="24"/>
          <w:szCs w:val="24"/>
          <w:rtl w:val="0"/>
        </w:rPr>
        <w:t xml:space="preserve">, en lo sucesivo se le denominara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sz w:val="24"/>
          <w:szCs w:val="24"/>
          <w:rtl w:val="0"/>
        </w:rPr>
        <w:t xml:space="preserve">00016/OCOYOAC/IP/2025</w:t>
      </w:r>
      <w:r w:rsidDel="00000000" w:rsidR="00000000" w:rsidRPr="00000000">
        <w:rPr>
          <w:rFonts w:ascii="Palatino Linotype" w:cs="Palatino Linotype" w:eastAsia="Palatino Linotype" w:hAnsi="Palatino Linotype"/>
          <w:sz w:val="24"/>
          <w:szCs w:val="24"/>
          <w:rtl w:val="0"/>
        </w:rPr>
        <w:t xml:space="preserve">, por parte del </w:t>
      </w:r>
      <w:r w:rsidDel="00000000" w:rsidR="00000000" w:rsidRPr="00000000">
        <w:rPr>
          <w:rFonts w:ascii="Palatino Linotype" w:cs="Palatino Linotype" w:eastAsia="Palatino Linotype" w:hAnsi="Palatino Linotype"/>
          <w:b w:val="1"/>
          <w:sz w:val="24"/>
          <w:szCs w:val="24"/>
          <w:rtl w:val="0"/>
        </w:rPr>
        <w:t xml:space="preserve">Ayuntamiento de Ocoyoacac</w:t>
      </w:r>
      <w:r w:rsidDel="00000000" w:rsidR="00000000" w:rsidRPr="00000000">
        <w:rPr>
          <w:rFonts w:ascii="Palatino Linotype" w:cs="Palatino Linotype" w:eastAsia="Palatino Linotype" w:hAnsi="Palatino Linotype"/>
          <w:sz w:val="24"/>
          <w:szCs w:val="24"/>
          <w:rtl w:val="0"/>
        </w:rPr>
        <w:t xml:space="preserve">, en lo sucesivo</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  </w:t>
      </w:r>
    </w:p>
    <w:p w:rsidR="00000000" w:rsidDel="00000000" w:rsidP="00000000" w:rsidRDefault="00000000" w:rsidRPr="00000000" w14:paraId="0000000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 N T E C E D E N T E S</w:t>
      </w:r>
      <w:r w:rsidDel="00000000" w:rsidR="00000000" w:rsidRPr="00000000">
        <w:rPr>
          <w:rtl w:val="0"/>
        </w:rPr>
      </w:r>
    </w:p>
    <w:p w:rsidR="00000000" w:rsidDel="00000000" w:rsidP="00000000" w:rsidRDefault="00000000" w:rsidRPr="00000000" w14:paraId="00000006">
      <w:pPr>
        <w:spacing w:after="0" w:line="360" w:lineRule="auto"/>
        <w:ind w:right="49"/>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 </w:t>
      </w:r>
      <w:r w:rsidDel="00000000" w:rsidR="00000000" w:rsidRPr="00000000">
        <w:rPr>
          <w:rFonts w:ascii="Palatino Linotype" w:cs="Palatino Linotype" w:eastAsia="Palatino Linotype" w:hAnsi="Palatino Linotype"/>
          <w:sz w:val="24"/>
          <w:szCs w:val="24"/>
          <w:rtl w:val="0"/>
        </w:rPr>
        <w:t xml:space="preserve">Con fecha cuatro de febrero de dos mil veinticinco,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sz w:val="24"/>
          <w:szCs w:val="24"/>
          <w:rtl w:val="0"/>
        </w:rPr>
        <w:t xml:space="preserve">00016/OCOYOAC/IP/2025</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la siguiente información:</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276" w:lineRule="auto"/>
        <w:ind w:left="709"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los Recibos de nómina o CFDI en su versión pública del C. José Manuel Bobadilla Blancas que correspondan a las quincenas de los meses de julio, agosto, septiembre, octubre y noviembre, todos del año 2023, quien se desempeñó como bombero en el ayuntamiento de Ocoyoacac, Estado de México, persona que cuenta con CURP número XXXXXXXXXXXXXXXXXX.” (Sic).</w:t>
      </w:r>
    </w:p>
    <w:p w:rsidR="00000000" w:rsidDel="00000000" w:rsidP="00000000" w:rsidRDefault="00000000" w:rsidRPr="00000000" w14:paraId="0000000A">
      <w:pPr>
        <w:spacing w:after="0" w:line="276" w:lineRule="auto"/>
        <w:ind w:left="709" w:right="758"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SAIMEX. </w:t>
      </w:r>
    </w:p>
    <w:p w:rsidR="00000000" w:rsidDel="00000000" w:rsidP="00000000" w:rsidRDefault="00000000" w:rsidRPr="00000000" w14:paraId="0000000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2. PRÓRROGA. </w:t>
      </w:r>
      <w:r w:rsidDel="00000000" w:rsidR="00000000" w:rsidRPr="00000000">
        <w:rPr>
          <w:rFonts w:ascii="Palatino Linotype" w:cs="Palatino Linotype" w:eastAsia="Palatino Linotype" w:hAnsi="Palatino Linotype"/>
          <w:sz w:val="24"/>
          <w:szCs w:val="24"/>
          <w:rtl w:val="0"/>
        </w:rPr>
        <w:t xml:space="preserve">En fecha veinticuatro de febrero de dos mil veinticinco, EL SUJETO OBLIGADO solicito una prórroga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como se advierte a continuación: </w:t>
      </w:r>
      <w:r w:rsidDel="00000000" w:rsidR="00000000" w:rsidRPr="00000000">
        <w:rPr>
          <w:rtl w:val="0"/>
        </w:rPr>
      </w:r>
    </w:p>
    <w:p w:rsidR="00000000" w:rsidDel="00000000" w:rsidP="00000000" w:rsidRDefault="00000000" w:rsidRPr="00000000" w14:paraId="0000000E">
      <w:pPr>
        <w:spacing w:after="0" w:line="360" w:lineRule="auto"/>
        <w:ind w:left="35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F">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0">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hago de su conocimiento que, mediante la Sexta Sesión Extraordinaria del Comité de Transparencia del Ayuntamiento de Ocoyoacac, Estado de México, se autorizó una prórroga de 07 siete días hábiles, para dar atención a su requerimiento de información.</w:t>
      </w:r>
    </w:p>
    <w:p w:rsidR="00000000" w:rsidDel="00000000" w:rsidP="00000000" w:rsidRDefault="00000000" w:rsidRPr="00000000" w14:paraId="00000011">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Bardo Martínez Miranda</w:t>
      </w:r>
    </w:p>
    <w:p w:rsidR="00000000" w:rsidDel="00000000" w:rsidP="00000000" w:rsidRDefault="00000000" w:rsidRPr="00000000" w14:paraId="00000012">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Responsable de la Unidad de Transparencia</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ind w:left="7306" w:hanging="36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adjunto el archivo electrónico:</w:t>
      </w:r>
    </w:p>
    <w:p w:rsidR="00000000" w:rsidDel="00000000" w:rsidP="00000000" w:rsidRDefault="00000000" w:rsidRPr="00000000" w14:paraId="0000001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PMO-UT-169-2025.pdf</w:t>
      </w:r>
      <w:r w:rsidDel="00000000" w:rsidR="00000000" w:rsidRPr="00000000">
        <w:rPr>
          <w:rFonts w:ascii="Palatino Linotype" w:cs="Palatino Linotype" w:eastAsia="Palatino Linotype" w:hAnsi="Palatino Linotype"/>
          <w:sz w:val="24"/>
          <w:szCs w:val="24"/>
          <w:rtl w:val="0"/>
        </w:rPr>
        <w:t xml:space="preserve">”: Oficio de fecha veinticuatro de febrero de dos mil veinticinco, signado por el Titular de la Unidad de Transparencia, mediante el cual señala que mediante la Sexta Sesión Extraordinaria del Comité de Transparencia, se autorizó la prórroga de siete días hábiles para dar atención al requerimiento de información. </w:t>
      </w:r>
    </w:p>
    <w:p w:rsidR="00000000" w:rsidDel="00000000" w:rsidP="00000000" w:rsidRDefault="00000000" w:rsidRPr="00000000" w14:paraId="0000001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OCO-CJ-56-2025.pdf</w:t>
      </w:r>
      <w:r w:rsidDel="00000000" w:rsidR="00000000" w:rsidRPr="00000000">
        <w:rPr>
          <w:rFonts w:ascii="Palatino Linotype" w:cs="Palatino Linotype" w:eastAsia="Palatino Linotype" w:hAnsi="Palatino Linotype"/>
          <w:sz w:val="24"/>
          <w:szCs w:val="24"/>
          <w:rtl w:val="0"/>
        </w:rPr>
        <w:t xml:space="preserve">”: Oficio de fecha veinticuatro de febrero de dos mil veinticinco, signado por el Consejero Jurídico, mediante el cual solicita la ampliación de plazo hasta por siete días hábiles para dar atención a la solicitud de información por el Comité de Transparencia, se autorizó la prórroga de siete días hábiles para dar atención al requerimiento de información.</w:t>
      </w:r>
    </w:p>
    <w:p w:rsidR="00000000" w:rsidDel="00000000" w:rsidP="00000000" w:rsidRDefault="00000000" w:rsidRPr="00000000" w14:paraId="00000019">
      <w:pPr>
        <w:spacing w:after="0" w:line="360" w:lineRule="auto"/>
        <w:jc w:val="both"/>
        <w:rPr>
          <w:rFonts w:ascii="Palatino Linotype" w:cs="Palatino Linotype" w:eastAsia="Palatino Linotype" w:hAnsi="Palatino Linotype"/>
          <w:b w:val="1"/>
          <w:i w:val="1"/>
          <w:sz w:val="24"/>
          <w:szCs w:val="24"/>
          <w:u w:val="single"/>
        </w:rPr>
      </w:pPr>
      <w:r w:rsidDel="00000000" w:rsidR="00000000" w:rsidRPr="00000000">
        <w:rPr>
          <w:rtl w:val="0"/>
        </w:rPr>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SEXTA SESION EXTAORDINARIA.pdf</w:t>
      </w:r>
      <w:r w:rsidDel="00000000" w:rsidR="00000000" w:rsidRPr="00000000">
        <w:rPr>
          <w:rFonts w:ascii="Palatino Linotype" w:cs="Palatino Linotype" w:eastAsia="Palatino Linotype" w:hAnsi="Palatino Linotype"/>
          <w:sz w:val="24"/>
          <w:szCs w:val="24"/>
          <w:rtl w:val="0"/>
        </w:rPr>
        <w:t xml:space="preserve">”: Acta de la Sexta Sesión Extraordinaria del Comité de Transparencia en donde su segundo punto del orden del día se aprueba la prórroga de siete días hábiles para dar atención al requerimiento de información.</w:t>
      </w:r>
    </w:p>
    <w:p w:rsidR="00000000" w:rsidDel="00000000" w:rsidP="00000000" w:rsidRDefault="00000000" w:rsidRPr="00000000" w14:paraId="0000001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RESPUESTA.  </w:t>
      </w:r>
      <w:r w:rsidDel="00000000" w:rsidR="00000000" w:rsidRPr="00000000">
        <w:rPr>
          <w:rFonts w:ascii="Palatino Linotype" w:cs="Palatino Linotype" w:eastAsia="Palatino Linotype" w:hAnsi="Palatino Linotype"/>
          <w:sz w:val="24"/>
          <w:szCs w:val="24"/>
          <w:rtl w:val="0"/>
        </w:rPr>
        <w:t xml:space="preserve">Con fecha veintisiete de febrero del dos mil veinticinco,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en los siguientes términos: </w:t>
      </w:r>
    </w:p>
    <w:p w:rsidR="00000000" w:rsidDel="00000000" w:rsidP="00000000" w:rsidRDefault="00000000" w:rsidRPr="00000000" w14:paraId="0000001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F">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notifica respuesta por parte del servidor publico habilitado mediante oficio PMO/UT/171/2025, a traves del Titular de la Unidad de Transparencia del Ayuntamiento de Ocoyoacac.</w:t>
      </w:r>
    </w:p>
    <w:p w:rsidR="00000000" w:rsidDel="00000000" w:rsidP="00000000" w:rsidRDefault="00000000" w:rsidRPr="00000000" w14:paraId="00000020">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1">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Bardo Martínez Miranda” (Sic).</w:t>
      </w:r>
    </w:p>
    <w:p w:rsidR="00000000" w:rsidDel="00000000" w:rsidP="00000000" w:rsidRDefault="00000000" w:rsidRPr="00000000" w14:paraId="00000022">
      <w:pPr>
        <w:spacing w:after="0" w:line="276" w:lineRule="auto"/>
        <w:ind w:right="902"/>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3">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adjuntó para tal efecto los archivos electrónicos:</w:t>
      </w:r>
    </w:p>
    <w:p w:rsidR="00000000" w:rsidDel="00000000" w:rsidP="00000000" w:rsidRDefault="00000000" w:rsidRPr="00000000" w14:paraId="00000024">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SEPTIMA SESION EXTRAORDINARIA.pdf</w:t>
      </w:r>
      <w:r w:rsidDel="00000000" w:rsidR="00000000" w:rsidRPr="00000000">
        <w:rPr>
          <w:rFonts w:ascii="Palatino Linotype" w:cs="Palatino Linotype" w:eastAsia="Palatino Linotype" w:hAnsi="Palatino Linotype"/>
          <w:sz w:val="24"/>
          <w:szCs w:val="24"/>
          <w:rtl w:val="0"/>
        </w:rPr>
        <w:t xml:space="preserve">”: Acta de la Séptima Sesión Extraordinaria del Comité de Transparencia en donde su segundo punto del orden del día se aprueba la clasificación como reservada de la información.</w:t>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b w:val="1"/>
          <w:i w:val="1"/>
          <w:sz w:val="24"/>
          <w:szCs w:val="24"/>
          <w:u w:val="single"/>
        </w:rPr>
      </w:pPr>
      <w:r w:rsidDel="00000000" w:rsidR="00000000" w:rsidRPr="00000000">
        <w:rPr>
          <w:rtl w:val="0"/>
        </w:rPr>
      </w:r>
    </w:p>
    <w:p w:rsidR="00000000" w:rsidDel="00000000" w:rsidP="00000000" w:rsidRDefault="00000000" w:rsidRPr="00000000" w14:paraId="0000002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formato de registro de clasificacion de informacion 16-2025.pdf</w:t>
      </w:r>
      <w:r w:rsidDel="00000000" w:rsidR="00000000" w:rsidRPr="00000000">
        <w:rPr>
          <w:rFonts w:ascii="Palatino Linotype" w:cs="Palatino Linotype" w:eastAsia="Palatino Linotype" w:hAnsi="Palatino Linotype"/>
          <w:sz w:val="24"/>
          <w:szCs w:val="24"/>
          <w:rtl w:val="0"/>
        </w:rPr>
        <w:t xml:space="preserve">”: Cuadro de clasificación.</w:t>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b w:val="1"/>
          <w:i w:val="1"/>
          <w:sz w:val="24"/>
          <w:szCs w:val="24"/>
          <w:u w:val="single"/>
        </w:rPr>
      </w:pPr>
      <w:r w:rsidDel="00000000" w:rsidR="00000000" w:rsidRPr="00000000">
        <w:rPr>
          <w:rtl w:val="0"/>
        </w:rPr>
      </w:r>
    </w:p>
    <w:p w:rsidR="00000000" w:rsidDel="00000000" w:rsidP="00000000" w:rsidRDefault="00000000" w:rsidRPr="00000000" w14:paraId="0000002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OCO-CJ-59-2025.pdf</w:t>
      </w:r>
      <w:r w:rsidDel="00000000" w:rsidR="00000000" w:rsidRPr="00000000">
        <w:rPr>
          <w:rFonts w:ascii="Palatino Linotype" w:cs="Palatino Linotype" w:eastAsia="Palatino Linotype" w:hAnsi="Palatino Linotype"/>
          <w:sz w:val="24"/>
          <w:szCs w:val="24"/>
          <w:rtl w:val="0"/>
        </w:rPr>
        <w:t xml:space="preserve">”: Oficio del mes de febrero de dos mil veinticinco, signado por el Consejero Jurídico, mediante el cual señala que la información solicitada se encuentra vinculada de manera directa a un procedimiento contencioso de carácter laboral seguido en forma de juicio ante una instancia competente del Estado de México, por lo cual guarda el carácter de información reservada. </w:t>
      </w:r>
    </w:p>
    <w:p w:rsidR="00000000" w:rsidDel="00000000" w:rsidP="00000000" w:rsidRDefault="00000000" w:rsidRPr="00000000" w14:paraId="0000002A">
      <w:pPr>
        <w:spacing w:after="0" w:line="360" w:lineRule="auto"/>
        <w:jc w:val="both"/>
        <w:rPr>
          <w:rFonts w:ascii="Palatino Linotype" w:cs="Palatino Linotype" w:eastAsia="Palatino Linotype" w:hAnsi="Palatino Linotype"/>
          <w:b w:val="1"/>
          <w:i w:val="1"/>
          <w:sz w:val="24"/>
          <w:szCs w:val="24"/>
          <w:u w:val="single"/>
        </w:rPr>
      </w:pPr>
      <w:r w:rsidDel="00000000" w:rsidR="00000000" w:rsidRPr="00000000">
        <w:rPr>
          <w:rtl w:val="0"/>
        </w:rPr>
      </w:r>
    </w:p>
    <w:p w:rsidR="00000000" w:rsidDel="00000000" w:rsidP="00000000" w:rsidRDefault="00000000" w:rsidRPr="00000000" w14:paraId="0000002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PMO-UT-171-2025.pdf</w:t>
      </w:r>
      <w:r w:rsidDel="00000000" w:rsidR="00000000" w:rsidRPr="00000000">
        <w:rPr>
          <w:rFonts w:ascii="Palatino Linotype" w:cs="Palatino Linotype" w:eastAsia="Palatino Linotype" w:hAnsi="Palatino Linotype"/>
          <w:sz w:val="24"/>
          <w:szCs w:val="24"/>
          <w:rtl w:val="0"/>
        </w:rPr>
        <w:t xml:space="preserve">”: Oficio de fecha veintisiete de febrero de dos mil veinticinco, signado por el Titular de la Unidad de Transparencia, mediante el cual señala que adjunta el oficio proporcionado por la Consejería Jurídica y el Comité de Transparencia. </w:t>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D">
      <w:pPr>
        <w:spacing w:after="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DEL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w:t>
      </w:r>
      <w:r w:rsidDel="00000000" w:rsidR="00000000" w:rsidRPr="00000000">
        <w:rPr>
          <w:rFonts w:ascii="Palatino Linotype" w:cs="Palatino Linotype" w:eastAsia="Palatino Linotype" w:hAnsi="Palatino Linotype"/>
          <w:sz w:val="24"/>
          <w:szCs w:val="24"/>
          <w:rtl w:val="0"/>
        </w:rPr>
        <w:t xml:space="preserve">en fecha once de marzo de dos mil veinticinco,</w:t>
      </w:r>
      <w:r w:rsidDel="00000000" w:rsidR="00000000" w:rsidRPr="00000000">
        <w:rPr>
          <w:rFonts w:ascii="Palatino Linotype" w:cs="Palatino Linotype" w:eastAsia="Palatino Linotype" w:hAnsi="Palatino Linotype"/>
          <w:b w:val="1"/>
          <w:sz w:val="24"/>
          <w:szCs w:val="24"/>
          <w:rtl w:val="0"/>
        </w:rPr>
        <w:t xml:space="preserve"> LA PARTE RECURRENTE </w:t>
      </w:r>
      <w:r w:rsidDel="00000000" w:rsidR="00000000" w:rsidRPr="00000000">
        <w:rPr>
          <w:rFonts w:ascii="Palatino Linotype" w:cs="Palatino Linotype" w:eastAsia="Palatino Linotype" w:hAnsi="Palatino Linotype"/>
          <w:sz w:val="24"/>
          <w:szCs w:val="24"/>
          <w:rtl w:val="0"/>
        </w:rPr>
        <w:t xml:space="preserve">interpuso el recurso de revisión, con el expediente número </w:t>
      </w:r>
      <w:r w:rsidDel="00000000" w:rsidR="00000000" w:rsidRPr="00000000">
        <w:rPr>
          <w:rFonts w:ascii="Palatino Linotype" w:cs="Palatino Linotype" w:eastAsia="Palatino Linotype" w:hAnsi="Palatino Linotype"/>
          <w:b w:val="1"/>
          <w:sz w:val="24"/>
          <w:szCs w:val="24"/>
          <w:rtl w:val="0"/>
        </w:rPr>
        <w:t xml:space="preserve">02774/INFOEM/IP/RR/2025</w:t>
      </w:r>
      <w:r w:rsidDel="00000000" w:rsidR="00000000" w:rsidRPr="00000000">
        <w:rPr>
          <w:rFonts w:ascii="Palatino Linotype" w:cs="Palatino Linotype" w:eastAsia="Palatino Linotype" w:hAnsi="Palatino Linotype"/>
          <w:sz w:val="24"/>
          <w:szCs w:val="24"/>
          <w:rtl w:val="0"/>
        </w:rPr>
        <w:t xml:space="preserve">, en el cual manifiesta, lo siguiente:</w:t>
      </w:r>
    </w:p>
    <w:p w:rsidR="00000000" w:rsidDel="00000000" w:rsidP="00000000" w:rsidRDefault="00000000" w:rsidRPr="00000000" w14:paraId="0000002E">
      <w:pPr>
        <w:spacing w:after="0" w:line="360" w:lineRule="auto"/>
        <w:ind w:right="-234"/>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after="0" w:line="276" w:lineRule="auto"/>
        <w:ind w:left="720" w:hanging="36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Acto Impugnado:</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76" w:lineRule="auto"/>
        <w:ind w:left="720"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31">
      <w:pPr>
        <w:tabs>
          <w:tab w:val="left" w:leader="none" w:pos="8222"/>
        </w:tabs>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interpone recurso de revisión en contra de la reserva de información realizada mediante acta número CT/OCO/SO/07/2025 de la Séptima Sesión Extraordinaria del Comité de Transparencia del Ayuntamiento de Ocoyoacac, Estado de México, derivado de la solicitud de información número 00016/OCOYOAC/IP/2025.” [sic]</w:t>
      </w:r>
    </w:p>
    <w:p w:rsidR="00000000" w:rsidDel="00000000" w:rsidP="00000000" w:rsidRDefault="00000000" w:rsidRPr="00000000" w14:paraId="00000032">
      <w:pPr>
        <w:tabs>
          <w:tab w:val="left" w:leader="none" w:pos="8222"/>
        </w:tabs>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Razones o Motivos de Inconformidad</w:t>
      </w: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76" w:lineRule="auto"/>
        <w:ind w:left="720" w:firstLine="0"/>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35">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i w:val="1"/>
          <w:rtl w:val="0"/>
        </w:rPr>
        <w:t xml:space="preserve">El Ayuntamiento de Ocoyoacac realizo una reserva de la información mediante acta número CT/OCO/SO/07/2025 de la Séptima Sesión del Comité de Transparencia del Ayuntamiento de Ocoyoacac, Estado de México de fecha veinte de febrero de dos mil veinticinco, información que la suscrita solicitó mediante el folio número 00016/OCOYOAC/IP/2025, argumentando que la misma puede ser perjudicial en un procedimiento diverso del cual, el C. José Manuel Bobadilla Blancas actúa como parte Actora y el sujeto obligado como parte demandada. Sin embargo, la suscrita considera que los argumentos en los que se basan para realizar la misma, carecen de completa fundamentación, toda vez que la información solicitada, tal y como se solicita, en ningún momento puede vulnerar la conducción del procedimiento laboral que tenga el sujeto obligado con el C. José Manuel Bobadilla Blancas, esto en razón de que únicamente se solicita la versión pública del recibo de nómina, solicitando que dentro del mismo, contenga su nombre, cargo y percepción quincenal. Ahora bien, el supuesto en el cual se fundamentan, requiere que el sujeto obligado acredite la aplicación de la prueba de daño, situación que no realiza dentro del acta por la que reservan la información. Además que el sujeto obligado pretende justificar su actuar basándose en que la entrega de información podría generar una ventaja en contra del mismo, sin embargo, la suscrita advierte que la supuesta justificación no es suficiente para generar la reserva, en razón de que la información es de carácter público y es imposible que genere una desventaja para el sujeto obligado, por lo tanto no existe un riesgo real, demostrable e identificable, toda vez que del acta que nos ocupa, no se desprende situación o escenario del cual se advierta un riesgo. Lo anterior aunado a que No proporcionan los datos completos y correctos del expediente en donde supuestamente se ventila un juicio ante un tribunal del Estado; por lo que no existe certeza sobre la existencia del presunto procedimiento que se tramita, con motivo de la información solicitada. De manera que no queda claro el motivo por el cual se me niega información con carácter de público. Al respecto es claro que el juicio o procedimiento NO se ventila ante la Autoridad Solicitada, por lo que esta no puede afirmar que la información solicitada forma parte de un procedimiento y que por ello no puede entregarse, o que puede perjudicar al procedimiento, por lo tanto no se acepta que la Autoridad afirme que no puede proporcionar la información bajo ese insulso argumento.” [sic]</w:t>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4"/>
          <w:szCs w:val="24"/>
          <w:rtl w:val="0"/>
        </w:rPr>
        <w:t xml:space="preserve">Guadalupe Ramírez Peña, </w:t>
      </w:r>
      <w:r w:rsidDel="00000000" w:rsidR="00000000" w:rsidRPr="00000000">
        <w:rPr>
          <w:rFonts w:ascii="Palatino Linotype" w:cs="Palatino Linotype" w:eastAsia="Palatino Linotype" w:hAnsi="Palatino Linotype"/>
          <w:sz w:val="24"/>
          <w:szCs w:val="24"/>
          <w:rtl w:val="0"/>
        </w:rPr>
        <w:t xml:space="preserve">a efecto de que analizara sobre su admisión o su desechamiento.</w:t>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ADMISIÓN DEL RECURSO DE REVISIÓN.</w:t>
      </w:r>
      <w:r w:rsidDel="00000000" w:rsidR="00000000" w:rsidRPr="00000000">
        <w:rPr>
          <w:rFonts w:ascii="Palatino Linotype" w:cs="Palatino Linotype" w:eastAsia="Palatino Linotype" w:hAnsi="Palatino Linotype"/>
          <w:sz w:val="24"/>
          <w:szCs w:val="24"/>
          <w:rtl w:val="0"/>
        </w:rPr>
        <w:t xml:space="preserve"> Con fecha</w:t>
      </w:r>
      <w:r w:rsidDel="00000000" w:rsidR="00000000" w:rsidRPr="00000000">
        <w:rPr>
          <w:rFonts w:ascii="Palatino Linotype" w:cs="Palatino Linotype" w:eastAsia="Palatino Linotype" w:hAnsi="Palatino Linotype"/>
          <w:b w:val="1"/>
          <w:sz w:val="24"/>
          <w:szCs w:val="24"/>
          <w:rtl w:val="0"/>
        </w:rPr>
        <w:t xml:space="preserve"> catorce de marzo de dos mil veinticinco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presentará su informe justificado.</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MANIFESTACIONES.</w:t>
      </w:r>
      <w:r w:rsidDel="00000000" w:rsidR="00000000" w:rsidRPr="00000000">
        <w:rPr>
          <w:rFonts w:ascii="Palatino Linotype" w:cs="Palatino Linotype" w:eastAsia="Palatino Linotype" w:hAnsi="Palatino Linotype"/>
          <w:sz w:val="24"/>
          <w:szCs w:val="24"/>
          <w:rtl w:val="0"/>
        </w:rPr>
        <w:t xml:space="preserve"> Con fecha diecinueve de marzo de dos mil veinticinco se recibió, a través del Sistema de Acceso a la Información Mexiquense (SAIMEX), el informe justificado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través del siguiente archivo electrónico: </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i w:val="1"/>
          <w:sz w:val="24"/>
          <w:szCs w:val="24"/>
          <w:u w:val="single"/>
          <w:rtl w:val="0"/>
        </w:rPr>
        <w:t xml:space="preserve">OCO-CJ-093-2025 INFORME JUSTIFICADO.pdf</w:t>
      </w:r>
      <w:r w:rsidDel="00000000" w:rsidR="00000000" w:rsidRPr="00000000">
        <w:rPr>
          <w:rFonts w:ascii="Palatino Linotype" w:cs="Palatino Linotype" w:eastAsia="Palatino Linotype" w:hAnsi="Palatino Linotype"/>
          <w:sz w:val="24"/>
          <w:szCs w:val="24"/>
          <w:rtl w:val="0"/>
        </w:rPr>
        <w:t xml:space="preserve">”: Oficio de fecha dieciocho de marzo de dos mil veinticinco, signado por el Consejero Jurídico, mediante el cual describe las constancias que obran en el SAIMEX, ratificando en términos generales su respuesta inicial.</w:t>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Documento que no se puso a la vista de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ya que se advierte información de carácter confidencial.  </w:t>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8. AMPLIACIÓN DEL TÉRMINO PARA RESOLVER. </w:t>
      </w:r>
      <w:r w:rsidDel="00000000" w:rsidR="00000000" w:rsidRPr="00000000">
        <w:rPr>
          <w:rFonts w:ascii="Palatino Linotype" w:cs="Palatino Linotype" w:eastAsia="Palatino Linotype" w:hAnsi="Palatino Linotype"/>
          <w:sz w:val="24"/>
          <w:szCs w:val="24"/>
          <w:rtl w:val="0"/>
        </w:rPr>
        <w:t xml:space="preserve">El veinte de mayo de dos mil veinticinco,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sz w:val="24"/>
          <w:szCs w:val="24"/>
        </w:rPr>
      </w:pPr>
      <w:bookmarkStart w:colFirst="0" w:colLast="0" w:name="_heading=h.bkpzki9sj38z" w:id="0"/>
      <w:bookmarkEnd w:id="0"/>
      <w:r w:rsidDel="00000000" w:rsidR="00000000" w:rsidRPr="00000000">
        <w:rPr>
          <w:rFonts w:ascii="Palatino Linotype" w:cs="Palatino Linotype" w:eastAsia="Palatino Linotype" w:hAnsi="Palatino Linotype"/>
          <w:b w:val="1"/>
          <w:sz w:val="24"/>
          <w:szCs w:val="24"/>
          <w:rtl w:val="0"/>
        </w:rPr>
        <w:t xml:space="preserve">9. CIERRE DE INSTRUCCIÓN. </w:t>
      </w:r>
      <w:r w:rsidDel="00000000" w:rsidR="00000000" w:rsidRPr="00000000">
        <w:rPr>
          <w:rFonts w:ascii="Palatino Linotype" w:cs="Palatino Linotype" w:eastAsia="Palatino Linotype" w:hAnsi="Palatino Linotype"/>
          <w:sz w:val="24"/>
          <w:szCs w:val="24"/>
          <w:rtl w:val="0"/>
        </w:rPr>
        <w:t xml:space="preserve">El veinte de mayo de dos mil veinticinco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4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6">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O N S I D E R A N D O S</w:t>
      </w:r>
    </w:p>
    <w:p w:rsidR="00000000" w:rsidDel="00000000" w:rsidP="00000000" w:rsidRDefault="00000000" w:rsidRPr="00000000" w14:paraId="00000047">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esta fue pronunciada el día veintisiete de febrero del año dos mil veinticinco, mientras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fecha once de marzo de dos mil veinticinco, es decir, al séptimo día hábil de haber recibido la respuesta. </w:t>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p>
    <w:p w:rsidR="00000000" w:rsidDel="00000000" w:rsidP="00000000" w:rsidRDefault="00000000" w:rsidRPr="00000000" w14:paraId="0000004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I. La negativa a la información solicitada;”</w:t>
      </w:r>
      <w:r w:rsidDel="00000000" w:rsidR="00000000" w:rsidRPr="00000000">
        <w:rPr>
          <w:rtl w:val="0"/>
        </w:rPr>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satisface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w:t>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8">
      <w:pPr>
        <w:tabs>
          <w:tab w:val="left" w:leader="none" w:pos="709"/>
        </w:tabs>
        <w:spacing w:after="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9">
      <w:pPr>
        <w:tabs>
          <w:tab w:val="left" w:leader="none" w:pos="709"/>
        </w:tabs>
        <w:spacing w:after="0" w:line="276"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A">
      <w:pPr>
        <w:tabs>
          <w:tab w:val="left" w:leader="none" w:pos="709"/>
        </w:tabs>
        <w:spacing w:after="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B">
      <w:pPr>
        <w:tabs>
          <w:tab w:val="left" w:leader="none" w:pos="709"/>
        </w:tabs>
        <w:spacing w:after="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C">
      <w:pPr>
        <w:spacing w:after="0" w:line="276" w:lineRule="auto"/>
        <w:ind w:left="851" w:right="9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5D">
      <w:pPr>
        <w:spacing w:after="0" w:line="276" w:lineRule="auto"/>
        <w:ind w:left="851" w:right="9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5E">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w:t>
      </w:r>
      <w:r w:rsidDel="00000000" w:rsidR="00000000" w:rsidRPr="00000000">
        <w:rPr>
          <w:rFonts w:ascii="Palatino Linotype" w:cs="Palatino Linotype" w:eastAsia="Palatino Linotype" w:hAnsi="Palatino Linotype"/>
          <w:i w:val="1"/>
          <w:rtl w:val="0"/>
        </w:rPr>
        <w:t xml:space="preserve">y las entidades federativas, en el ámbito de sus respectivas competencias, se regirán por los siguientes principios y bases:</w:t>
      </w:r>
    </w:p>
    <w:p w:rsidR="00000000" w:rsidDel="00000000" w:rsidP="00000000" w:rsidRDefault="00000000" w:rsidRPr="00000000" w14:paraId="0000005F">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0">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61">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rsidR="00000000" w:rsidDel="00000000" w:rsidP="00000000" w:rsidRDefault="00000000" w:rsidRPr="00000000" w14:paraId="00000062">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63">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64">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5">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Las leyes determinarán la manera en que los sujetos obligados deberán hacer pública la información relativa a los recursos públicos que entreguen a personas físicas o morales. </w:t>
      </w:r>
    </w:p>
    <w:p w:rsidR="00000000" w:rsidDel="00000000" w:rsidP="00000000" w:rsidRDefault="00000000" w:rsidRPr="00000000" w14:paraId="00000066">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La inobservancia a las disposiciones en materia de acceso a la información pública será sancionada en los términos que dispongan las leyes. </w:t>
      </w:r>
    </w:p>
    <w:p w:rsidR="00000000" w:rsidDel="00000000" w:rsidP="00000000" w:rsidRDefault="00000000" w:rsidRPr="00000000" w14:paraId="00000067">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8">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w:t>
      </w:r>
    </w:p>
    <w:p w:rsidR="00000000" w:rsidDel="00000000" w:rsidP="00000000" w:rsidRDefault="00000000" w:rsidRPr="00000000" w14:paraId="00000069">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w:t>
      </w:r>
    </w:p>
    <w:p w:rsidR="00000000" w:rsidDel="00000000" w:rsidP="00000000" w:rsidRDefault="00000000" w:rsidRPr="00000000" w14:paraId="0000006A">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B">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w:t>
      </w:r>
    </w:p>
    <w:p w:rsidR="00000000" w:rsidDel="00000000" w:rsidP="00000000" w:rsidRDefault="00000000" w:rsidRPr="00000000" w14:paraId="0000006C">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D">
      <w:pPr>
        <w:spacing w:after="0" w:line="276" w:lineRule="auto"/>
        <w:ind w:left="851" w:right="901"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rtl w:val="0"/>
        </w:rPr>
        <w:t xml:space="preserve">El ejercicio de este derecho se regirá por los principios de certeza, legalidad, independencia, imparcialidad, eficacia, objetividad, profesionalismo, transparencia y máxima publicidad.</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E">
      <w:pPr>
        <w:spacing w:after="0" w:line="276" w:lineRule="auto"/>
        <w:ind w:left="851" w:right="851"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F">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70">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1">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lugar, es conveniente analizar si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2">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3">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4">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5">
      <w:pPr>
        <w:spacing w:after="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6">
      <w:pPr>
        <w:spacing w:after="0" w:line="276" w:lineRule="auto"/>
        <w:ind w:left="709" w:right="7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9">
      <w:pPr>
        <w:spacing w:after="0" w:line="276"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A">
      <w:pPr>
        <w:spacing w:after="0" w:line="276"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strike w:val="1"/>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Fonts w:ascii="Palatino Linotype" w:cs="Palatino Linotype" w:eastAsia="Palatino Linotype" w:hAnsi="Palatino Linotype"/>
          <w:strike w:val="1"/>
          <w:sz w:val="24"/>
          <w:szCs w:val="24"/>
          <w:rtl w:val="0"/>
        </w:rPr>
        <w:t xml:space="preserve"> </w:t>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strike w:val="1"/>
          <w:sz w:val="24"/>
          <w:szCs w:val="24"/>
        </w:rPr>
      </w:pPr>
      <w:r w:rsidDel="00000000" w:rsidR="00000000" w:rsidRPr="00000000">
        <w:rPr>
          <w:rtl w:val="0"/>
        </w:rPr>
      </w:r>
    </w:p>
    <w:p w:rsidR="00000000" w:rsidDel="00000000" w:rsidP="00000000" w:rsidRDefault="00000000" w:rsidRPr="00000000" w14:paraId="0000007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conviene mencionar que la Ley de Transparencia vigente en el Estado de México refiere: </w:t>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2">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rtl w:val="0"/>
        </w:rPr>
        <w:t xml:space="preserve"> y reutilización de la información que generen.</w:t>
      </w:r>
    </w:p>
    <w:p w:rsidR="00000000" w:rsidDel="00000000" w:rsidP="00000000" w:rsidRDefault="00000000" w:rsidRPr="00000000" w14:paraId="00000083">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 </w:t>
      </w:r>
      <w:r w:rsidDel="00000000" w:rsidR="00000000" w:rsidRPr="00000000">
        <w:rPr>
          <w:rFonts w:ascii="Palatino Linotype" w:cs="Palatino Linotype" w:eastAsia="Palatino Linotype" w:hAnsi="Palatino Linotype"/>
          <w:b w:val="1"/>
          <w:i w:val="1"/>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4">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85">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86">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B">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8C">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E">
      <w:pPr>
        <w:spacing w:after="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1">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92">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3">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9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7">
      <w:pPr>
        <w:spacing w:after="0" w:line="276"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los artículos 92 de la Ley de la Materia.</w:t>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Aclarado lo anterior, de esta manera, se procede al análisis de la respuesta e informe justificado proporcionado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efecto de determinar si es suficiente para tener por colmado el derecho de acceso a la información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ordenar la entrega del o los documentos que lo satisfagan.</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1"/>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4111"/>
        <w:gridCol w:w="1276"/>
        <w:tblGridChange w:id="0">
          <w:tblGrid>
            <w:gridCol w:w="3397"/>
            <w:gridCol w:w="4111"/>
            <w:gridCol w:w="1276"/>
          </w:tblGrid>
        </w:tblGridChange>
      </w:tblGrid>
      <w:tr>
        <w:trPr>
          <w:cantSplit w:val="0"/>
          <w:tblHeader w:val="0"/>
        </w:trPr>
        <w:tc>
          <w:tcPr>
            <w:shd w:fill="aeaaaa" w:val="clear"/>
          </w:tcPr>
          <w:p w:rsidR="00000000" w:rsidDel="00000000" w:rsidP="00000000" w:rsidRDefault="00000000" w:rsidRPr="00000000" w14:paraId="0000009C">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shd w:fill="aeaaaa" w:val="clear"/>
          </w:tcPr>
          <w:p w:rsidR="00000000" w:rsidDel="00000000" w:rsidP="00000000" w:rsidRDefault="00000000" w:rsidRPr="00000000" w14:paraId="0000009D">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aeaaaa" w:val="clear"/>
          </w:tcPr>
          <w:p w:rsidR="00000000" w:rsidDel="00000000" w:rsidP="00000000" w:rsidRDefault="00000000" w:rsidRPr="00000000" w14:paraId="0000009E">
            <w:pPr>
              <w:spacing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r>
      <w:tr>
        <w:trPr>
          <w:cantSplit w:val="0"/>
          <w:tblHeader w:val="0"/>
        </w:trPr>
        <w:tc>
          <w:tcPr>
            <w:shd w:fill="auto" w:val="clear"/>
          </w:tcPr>
          <w:p w:rsidR="00000000" w:rsidDel="00000000" w:rsidP="00000000" w:rsidRDefault="00000000" w:rsidRPr="00000000" w14:paraId="0000009F">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Recibos de nómina o CFDI de las quincenas del mes de julio, agosto, septiembre, octubre y noviembre, del dos mil veintitrés. </w:t>
            </w:r>
          </w:p>
        </w:tc>
        <w:tc>
          <w:tcPr>
            <w:shd w:fill="auto" w:val="clear"/>
          </w:tcPr>
          <w:p w:rsidR="00000000" w:rsidDel="00000000" w:rsidP="00000000" w:rsidRDefault="00000000" w:rsidRPr="00000000" w14:paraId="000000A0">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Consejero Jurídico, señala que la información solicitada se encuentra vinculada de manera directa a un procedimiento contencioso de carácter laboral seguido en forma de juicio ante una instancia competente del Estado de México, por lo cual guarda el carácter de información reservada.</w:t>
            </w:r>
          </w:p>
        </w:tc>
        <w:tc>
          <w:tcPr/>
          <w:p w:rsidR="00000000" w:rsidDel="00000000" w:rsidP="00000000" w:rsidRDefault="00000000" w:rsidRPr="00000000" w14:paraId="000000A1">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Ratifica. </w:t>
            </w:r>
          </w:p>
        </w:tc>
      </w:tr>
    </w:tbl>
    <w:p w:rsidR="00000000" w:rsidDel="00000000" w:rsidP="00000000" w:rsidRDefault="00000000" w:rsidRPr="00000000" w14:paraId="000000A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cabe precisar, que conforme al artículo 20 de la Ley de Transparencia y Acceso a la Información Pública del Estado de México y Municipios, ante la negativa de acceso a la información o su inexistencia, el sujeto obligado deberá demostrar que se encuentra en alguna de las excepciones establecidas en la normatividad aplicable.</w:t>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según Trujillo, Humberto (2019), en el “Diccionario de Transparencia y Acceso a la Información Pública” (p. 201), </w:t>
      </w:r>
      <w:r w:rsidDel="00000000" w:rsidR="00000000" w:rsidRPr="00000000">
        <w:rPr>
          <w:rFonts w:ascii="Palatino Linotype" w:cs="Palatino Linotype" w:eastAsia="Palatino Linotype" w:hAnsi="Palatino Linotype"/>
          <w:b w:val="1"/>
          <w:sz w:val="24"/>
          <w:szCs w:val="24"/>
          <w:rtl w:val="0"/>
        </w:rPr>
        <w:t xml:space="preserve">la negativa de acceso a la información </w:t>
      </w:r>
      <w:r w:rsidDel="00000000" w:rsidR="00000000" w:rsidRPr="00000000">
        <w:rPr>
          <w:rFonts w:ascii="Palatino Linotype" w:cs="Palatino Linotype" w:eastAsia="Palatino Linotype" w:hAnsi="Palatino Linotype"/>
          <w:sz w:val="24"/>
          <w:szCs w:val="24"/>
          <w:rtl w:val="0"/>
        </w:rPr>
        <w:t xml:space="preserve">ocurre cuanto de manera fundada y motivada, una autoridad la niega o la limita, por alguna de las siguientes razones: </w:t>
      </w:r>
    </w:p>
    <w:p w:rsidR="00000000" w:rsidDel="00000000" w:rsidP="00000000" w:rsidRDefault="00000000" w:rsidRPr="00000000" w14:paraId="000000A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La inexistencia de la información (p. 171): </w:t>
      </w:r>
      <w:r w:rsidDel="00000000" w:rsidR="00000000" w:rsidRPr="00000000">
        <w:rPr>
          <w:rFonts w:ascii="Palatino Linotype" w:cs="Palatino Linotype" w:eastAsia="Palatino Linotype" w:hAnsi="Palatino Linotype"/>
          <w:sz w:val="24"/>
          <w:szCs w:val="24"/>
          <w:rtl w:val="0"/>
        </w:rPr>
        <w:t xml:space="preserve">Sucede cuando la información solicitada no se encuentra en los archivos públicos o clasificados de los entes sujetos a las Leyes de Transparencia.</w:t>
      </w:r>
      <w:r w:rsidDel="00000000" w:rsidR="00000000" w:rsidRPr="00000000">
        <w:rPr>
          <w:rtl w:val="0"/>
        </w:rPr>
      </w:r>
    </w:p>
    <w:p w:rsidR="00000000" w:rsidDel="00000000" w:rsidP="00000000" w:rsidRDefault="00000000" w:rsidRPr="00000000" w14:paraId="000000A8">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La incompetencia del Sujeto Obligado (p. 171): </w:t>
      </w:r>
      <w:r w:rsidDel="00000000" w:rsidR="00000000" w:rsidRPr="00000000">
        <w:rPr>
          <w:rFonts w:ascii="Palatino Linotype" w:cs="Palatino Linotype" w:eastAsia="Palatino Linotype" w:hAnsi="Palatino Linotype"/>
          <w:sz w:val="24"/>
          <w:szCs w:val="24"/>
          <w:rtl w:val="0"/>
        </w:rPr>
        <w:t xml:space="preserve">Ocurre cuando el Sujeto Obligado carece de atribuciones para poseer la información peticionada.</w:t>
      </w:r>
      <w:r w:rsidDel="00000000" w:rsidR="00000000" w:rsidRPr="00000000">
        <w:rPr>
          <w:rtl w:val="0"/>
        </w:rPr>
      </w:r>
    </w:p>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La clasificación de la información (p. 70): Es el proceso o conjunto de acciones que realizan los sujetos obligados para establecer que determinada información se encuentra en alguno de los supuestos de reserva o confidencialidad establecidos en la legislación en materia de transparencia.</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b w:val="1"/>
          <w:sz w:val="24"/>
          <w:szCs w:val="24"/>
          <w:u w:val="single"/>
        </w:rPr>
      </w:pPr>
      <w:r w:rsidDel="00000000" w:rsidR="00000000" w:rsidRPr="00000000">
        <w:rPr>
          <w:rtl w:val="0"/>
        </w:rPr>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En ese orden de ideas y en atención a lo anterior, es de señalar que las excepciones al derecho de acceso a la información, consisten en que la documentación sea inexistente, </w:t>
      </w:r>
      <w:r w:rsidDel="00000000" w:rsidR="00000000" w:rsidRPr="00000000">
        <w:rPr>
          <w:rFonts w:ascii="Palatino Linotype" w:cs="Palatino Linotype" w:eastAsia="Palatino Linotype" w:hAnsi="Palatino Linotype"/>
          <w:b w:val="1"/>
          <w:sz w:val="24"/>
          <w:szCs w:val="24"/>
          <w:rtl w:val="0"/>
        </w:rPr>
        <w:t xml:space="preserve">se encuentre clasificada</w:t>
      </w:r>
      <w:r w:rsidDel="00000000" w:rsidR="00000000" w:rsidRPr="00000000">
        <w:rPr>
          <w:rFonts w:ascii="Palatino Linotype" w:cs="Palatino Linotype" w:eastAsia="Palatino Linotype" w:hAnsi="Palatino Linotype"/>
          <w:sz w:val="24"/>
          <w:szCs w:val="24"/>
          <w:rtl w:val="0"/>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Del="00000000" w:rsidR="00000000" w:rsidRPr="00000000">
        <w:rPr>
          <w:rFonts w:ascii="Palatino Linotype" w:cs="Palatino Linotype" w:eastAsia="Palatino Linotype" w:hAnsi="Palatino Linotype"/>
          <w:b w:val="1"/>
          <w:sz w:val="24"/>
          <w:szCs w:val="24"/>
          <w:rtl w:val="0"/>
        </w:rPr>
        <w:t xml:space="preserve">confidenciales o reservados.</w:t>
      </w:r>
    </w:p>
    <w:p w:rsidR="00000000" w:rsidDel="00000000" w:rsidP="00000000" w:rsidRDefault="00000000" w:rsidRPr="00000000" w14:paraId="000000AC">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A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los artículos 122, 128 y 130 de la Ley Transparencia y Acceso a la Información Pública del Estado de México y Municipios, se prevé que </w:t>
      </w:r>
      <w:r w:rsidDel="00000000" w:rsidR="00000000" w:rsidRPr="00000000">
        <w:rPr>
          <w:rFonts w:ascii="Palatino Linotype" w:cs="Palatino Linotype" w:eastAsia="Palatino Linotype" w:hAnsi="Palatino Linotype"/>
          <w:b w:val="1"/>
          <w:sz w:val="24"/>
          <w:szCs w:val="24"/>
          <w:rtl w:val="0"/>
        </w:rPr>
        <w:t xml:space="preserve">la clasificación </w:t>
      </w:r>
      <w:r w:rsidDel="00000000" w:rsidR="00000000" w:rsidRPr="00000000">
        <w:rPr>
          <w:rFonts w:ascii="Palatino Linotype" w:cs="Palatino Linotype" w:eastAsia="Palatino Linotype" w:hAnsi="Palatino Linotype"/>
          <w:sz w:val="24"/>
          <w:szCs w:val="24"/>
          <w:rtl w:val="0"/>
        </w:rPr>
        <w:t xml:space="preserve">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000000" w:rsidDel="00000000" w:rsidP="00000000" w:rsidRDefault="00000000" w:rsidRPr="00000000" w14:paraId="000000A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cual, en los casos en que se niegue el acceso a la información, por actualizarse alguno de los supuestos de clasificación, </w:t>
      </w:r>
      <w:r w:rsidDel="00000000" w:rsidR="00000000" w:rsidRPr="00000000">
        <w:rPr>
          <w:rFonts w:ascii="Palatino Linotype" w:cs="Palatino Linotype" w:eastAsia="Palatino Linotype" w:hAnsi="Palatino Linotype"/>
          <w:b w:val="1"/>
          <w:sz w:val="24"/>
          <w:szCs w:val="24"/>
          <w:rtl w:val="0"/>
        </w:rPr>
        <w:t xml:space="preserve">el Comité de Transparencia deberá confirmar, modificar o revocar la decisión; </w:t>
      </w:r>
      <w:r w:rsidDel="00000000" w:rsidR="00000000" w:rsidRPr="00000000">
        <w:rPr>
          <w:rFonts w:ascii="Palatino Linotype" w:cs="Palatino Linotype" w:eastAsia="Palatino Linotype" w:hAnsi="Palatino Linotype"/>
          <w:sz w:val="24"/>
          <w:szCs w:val="24"/>
          <w:rtl w:val="0"/>
        </w:rPr>
        <w:t xml:space="preserve">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Por su parte, según Bonifaz, Leticia (2016), en la “Ley General de Transparencia y Acceso a la Información Pública Comentada” (p. 342), la </w:t>
      </w:r>
      <w:r w:rsidDel="00000000" w:rsidR="00000000" w:rsidRPr="00000000">
        <w:rPr>
          <w:rFonts w:ascii="Palatino Linotype" w:cs="Palatino Linotype" w:eastAsia="Palatino Linotype" w:hAnsi="Palatino Linotype"/>
          <w:b w:val="1"/>
          <w:sz w:val="24"/>
          <w:szCs w:val="24"/>
          <w:rtl w:val="0"/>
        </w:rPr>
        <w:t xml:space="preserve">clasificación de la información</w:t>
      </w:r>
      <w:r w:rsidDel="00000000" w:rsidR="00000000" w:rsidRPr="00000000">
        <w:rPr>
          <w:rFonts w:ascii="Palatino Linotype" w:cs="Palatino Linotype" w:eastAsia="Palatino Linotype" w:hAnsi="Palatino Linotype"/>
          <w:sz w:val="24"/>
          <w:szCs w:val="24"/>
          <w:rtl w:val="0"/>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Del="00000000" w:rsidR="00000000" w:rsidRPr="00000000">
        <w:rPr>
          <w:rFonts w:ascii="Palatino Linotype" w:cs="Palatino Linotype" w:eastAsia="Palatino Linotype" w:hAnsi="Palatino Linotype"/>
          <w:b w:val="1"/>
          <w:sz w:val="24"/>
          <w:szCs w:val="24"/>
          <w:rtl w:val="0"/>
        </w:rPr>
        <w:t xml:space="preserve">de manera adecuada la negativa de información.</w:t>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tomando en consideración que, en su respuesta,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clasificó como información solicitada como reservada,  es necesario citar el criterio orientador 29/10 emitido por el entonces Instituto Nacional de Transparencia, Acceso a la Información y Protección de Datos Personales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el cual refiere lo siguiente:</w:t>
      </w:r>
    </w:p>
    <w:p w:rsidR="00000000" w:rsidDel="00000000" w:rsidP="00000000" w:rsidRDefault="00000000" w:rsidRPr="00000000" w14:paraId="000000B4">
      <w:pPr>
        <w:spacing w:after="240" w:before="240" w:line="240" w:lineRule="auto"/>
        <w:ind w:left="850" w:right="77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i w:val="1"/>
          <w:rtl w:val="0"/>
        </w:rPr>
        <w:t xml:space="preserve">“La clasificación y la inexistencia de información son conceptos que no pueden coexistir. </w:t>
      </w:r>
      <w:r w:rsidDel="00000000" w:rsidR="00000000" w:rsidRPr="00000000">
        <w:rPr>
          <w:rFonts w:ascii="Palatino Linotype" w:cs="Palatino Linotype" w:eastAsia="Palatino Linotype" w:hAnsi="Palatino Linotype"/>
          <w:i w:val="1"/>
          <w:rtl w:val="0"/>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Del="00000000" w:rsidR="00000000" w:rsidRPr="00000000">
        <w:rPr>
          <w:rFonts w:ascii="Palatino Linotype" w:cs="Palatino Linotype" w:eastAsia="Palatino Linotype" w:hAnsi="Palatino Linotype"/>
          <w:b w:val="1"/>
          <w:i w:val="1"/>
          <w:rtl w:val="0"/>
        </w:rPr>
        <w:t xml:space="preserve">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consiguiente, se tiene que  al pretender clasificar clasificar como información reservada los recibos de nómina del periodo solicitado,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asume contar con la documentación requerida. </w:t>
      </w:r>
    </w:p>
    <w:p w:rsidR="00000000" w:rsidDel="00000000" w:rsidP="00000000" w:rsidRDefault="00000000" w:rsidRPr="00000000" w14:paraId="000000B6">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Naturaleza pública de la información solicitada. </w:t>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b w:val="1"/>
          <w:sz w:val="28"/>
          <w:szCs w:val="28"/>
          <w:u w:val="single"/>
        </w:rPr>
      </w:pPr>
      <w:r w:rsidDel="00000000" w:rsidR="00000000" w:rsidRPr="00000000">
        <w:rPr>
          <w:rtl w:val="0"/>
        </w:rPr>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para realizar el análisis de la reserva de la información es necesario valorar la naturaleza de la información solicitada, en el presente caso, es de señalar que la </w:t>
      </w:r>
      <w:r w:rsidDel="00000000" w:rsidR="00000000" w:rsidRPr="00000000">
        <w:rPr>
          <w:rFonts w:ascii="Palatino Linotype" w:cs="Palatino Linotype" w:eastAsia="Palatino Linotype" w:hAnsi="Palatino Linotype"/>
          <w:b w:val="1"/>
          <w:sz w:val="24"/>
          <w:szCs w:val="24"/>
          <w:rtl w:val="0"/>
        </w:rPr>
        <w:t xml:space="preserve">pretensión </w:t>
      </w:r>
      <w:r w:rsidDel="00000000" w:rsidR="00000000" w:rsidRPr="00000000">
        <w:rPr>
          <w:rFonts w:ascii="Palatino Linotype" w:cs="Palatino Linotype" w:eastAsia="Palatino Linotype" w:hAnsi="Palatino Linotype"/>
          <w:sz w:val="24"/>
          <w:szCs w:val="24"/>
          <w:rtl w:val="0"/>
        </w:rPr>
        <w:t xml:space="preserve">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es obtener recibos de nómina. </w:t>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la nómina, el Glosario localizado en la página de Transparencia Presupuestaria de la Secretaría de Hacienda y Crédito Público (consultado en </w:t>
      </w:r>
      <w:hyperlink r:id="rId8">
        <w:r w:rsidDel="00000000" w:rsidR="00000000" w:rsidRPr="00000000">
          <w:rPr>
            <w:rFonts w:ascii="Palatino Linotype" w:cs="Palatino Linotype" w:eastAsia="Palatino Linotype" w:hAnsi="Palatino Linotype"/>
            <w:sz w:val="24"/>
            <w:szCs w:val="24"/>
            <w:u w:val="single"/>
            <w:rtl w:val="0"/>
          </w:rPr>
          <w:t xml:space="preserve">https://www.transparenciapresupuestaria.gob.mx/es/PTP/Glosario</w:t>
        </w:r>
      </w:hyperlink>
      <w:r w:rsidDel="00000000" w:rsidR="00000000" w:rsidRPr="00000000">
        <w:rPr>
          <w:rFonts w:ascii="Palatino Linotype" w:cs="Palatino Linotype" w:eastAsia="Palatino Linotype" w:hAnsi="Palatino Linotype"/>
          <w:sz w:val="24"/>
          <w:szCs w:val="24"/>
          <w:rtl w:val="0"/>
        </w:rPr>
        <w:t xml:space="preserve">), establece que:</w:t>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D">
      <w:pPr>
        <w:spacing w:after="0" w:line="36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4186953" cy="1197435"/>
            <wp:effectExtent b="0" l="0" r="0" t="0"/>
            <wp:docPr id="10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86953" cy="119743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misma manera, el Glosario de términos más usuales en la Administración Pública Federal, emitido por la Secretaría de Hacienda y Crédito Público (</w:t>
      </w:r>
      <w:hyperlink r:id="rId10">
        <w:r w:rsidDel="00000000" w:rsidR="00000000" w:rsidRPr="00000000">
          <w:rPr>
            <w:rFonts w:ascii="Palatino Linotype" w:cs="Palatino Linotype" w:eastAsia="Palatino Linotype" w:hAnsi="Palatino Linotype"/>
            <w:sz w:val="24"/>
            <w:szCs w:val="24"/>
            <w:u w:val="single"/>
            <w:rtl w:val="0"/>
          </w:rPr>
          <w:t xml:space="preserve">http://www.apartados.hacienda.gob.mx/contabilidad/documentos/informe_cuenta/1998/cuenta_publica/Glosario/n.htm</w:t>
        </w:r>
      </w:hyperlink>
      <w:r w:rsidDel="00000000" w:rsidR="00000000" w:rsidRPr="00000000">
        <w:rPr>
          <w:rFonts w:ascii="Palatino Linotype" w:cs="Palatino Linotype" w:eastAsia="Palatino Linotype" w:hAnsi="Palatino Linotype"/>
          <w:sz w:val="24"/>
          <w:szCs w:val="24"/>
          <w:rtl w:val="0"/>
        </w:rPr>
        <w:t xml:space="preserve">), establece que la nómina es un listado general de los trabajadores de una institución, en el cual se asientan las percepciones brutas, deducciones y alcance neto de las mismas.</w:t>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se puede advertir que la nómina se puede referir a lo siguiente:</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2">
      <w:pPr>
        <w:tabs>
          <w:tab w:val="left" w:leader="none" w:pos="8222"/>
        </w:tabs>
        <w:spacing w:after="0" w:line="360" w:lineRule="auto"/>
        <w:ind w:left="567" w:right="70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Relación de trabajadores con las percepciones monetarias de cada uno.</w:t>
      </w:r>
    </w:p>
    <w:p w:rsidR="00000000" w:rsidDel="00000000" w:rsidP="00000000" w:rsidRDefault="00000000" w:rsidRPr="00000000" w14:paraId="000000C3">
      <w:pPr>
        <w:tabs>
          <w:tab w:val="left" w:leader="none" w:pos="8222"/>
        </w:tabs>
        <w:spacing w:after="0" w:line="360" w:lineRule="auto"/>
        <w:ind w:left="567" w:right="709" w:firstLine="0"/>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b)      Recibo individual que contiene las prestaciones y deducciones de un trabajador.</w:t>
      </w:r>
    </w:p>
    <w:p w:rsidR="00000000" w:rsidDel="00000000" w:rsidP="00000000" w:rsidRDefault="00000000" w:rsidRPr="00000000" w14:paraId="000000C4">
      <w:pPr>
        <w:tabs>
          <w:tab w:val="left" w:leader="none" w:pos="8222"/>
        </w:tabs>
        <w:spacing w:after="0" w:line="360" w:lineRule="auto"/>
        <w:ind w:left="567" w:right="70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       Listado general de los servidores públicos de una institución o dependencia, en el cual se asientan las percepciones brutas, deducciones y alcance neto de las mismas.</w:t>
      </w:r>
    </w:p>
    <w:p w:rsidR="00000000" w:rsidDel="00000000" w:rsidP="00000000" w:rsidRDefault="00000000" w:rsidRPr="00000000" w14:paraId="000000C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 conformidad con el artículo 147 de la Constitución Política del Estado Libre y Soberano de México, los trabajadores al servicio del Estado, como los miembros de los organismos públicos descentralizados,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0C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rsidR="00000000" w:rsidDel="00000000" w:rsidP="00000000" w:rsidRDefault="00000000" w:rsidRPr="00000000" w14:paraId="000000C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rsidR="00000000" w:rsidDel="00000000" w:rsidP="00000000" w:rsidRDefault="00000000" w:rsidRPr="00000000" w14:paraId="000000C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la Ley del Trabajo de los Servidores Públicos del Estado y Municipios, en su artículo 220 K, fracciones II y IV, establece que: </w:t>
      </w:r>
    </w:p>
    <w:p w:rsidR="00000000" w:rsidDel="00000000" w:rsidP="00000000" w:rsidRDefault="00000000" w:rsidRPr="00000000" w14:paraId="000000C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E">
      <w:pPr>
        <w:spacing w:after="0" w:line="276" w:lineRule="auto"/>
        <w:ind w:left="567" w:right="84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220 K</w:t>
      </w:r>
      <w:r w:rsidDel="00000000" w:rsidR="00000000" w:rsidRPr="00000000">
        <w:rPr>
          <w:rFonts w:ascii="Palatino Linotype" w:cs="Palatino Linotype" w:eastAsia="Palatino Linotype" w:hAnsi="Palatino Linotype"/>
          <w:i w:val="1"/>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CF">
      <w:pPr>
        <w:spacing w:after="0" w:line="276" w:lineRule="auto"/>
        <w:ind w:left="567" w:right="84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0">
      <w:pPr>
        <w:spacing w:after="0" w:line="276" w:lineRule="auto"/>
        <w:ind w:left="567" w:right="84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w:t>
      </w:r>
      <w:r w:rsidDel="00000000" w:rsidR="00000000" w:rsidRPr="00000000">
        <w:rPr>
          <w:rFonts w:ascii="Palatino Linotype" w:cs="Palatino Linotype" w:eastAsia="Palatino Linotype" w:hAnsi="Palatino Linotype"/>
          <w:b w:val="1"/>
          <w:i w:val="1"/>
          <w:rtl w:val="0"/>
        </w:rPr>
        <w:t xml:space="preserve">. Recibos de pagos de salarios</w:t>
      </w:r>
      <w:r w:rsidDel="00000000" w:rsidR="00000000" w:rsidRPr="00000000">
        <w:rPr>
          <w:rFonts w:ascii="Palatino Linotype" w:cs="Palatino Linotype" w:eastAsia="Palatino Linotype" w:hAnsi="Palatino Linotype"/>
          <w:i w:val="1"/>
          <w:rtl w:val="0"/>
        </w:rPr>
        <w:t xml:space="preserve"> o las constancias documentales del pago de salario cuando sea por depósito o mediante información electrónica;</w:t>
      </w:r>
    </w:p>
    <w:p w:rsidR="00000000" w:rsidDel="00000000" w:rsidP="00000000" w:rsidRDefault="00000000" w:rsidRPr="00000000" w14:paraId="000000D1">
      <w:pPr>
        <w:spacing w:after="0" w:line="276" w:lineRule="auto"/>
        <w:ind w:left="567" w:right="84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2">
      <w:pPr>
        <w:spacing w:after="0" w:line="276" w:lineRule="auto"/>
        <w:ind w:left="567" w:right="84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0D3">
      <w:pPr>
        <w:spacing w:after="0" w:lineRule="auto"/>
        <w:ind w:left="567" w:right="843"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del precepto normativo se advierte que entre los documentos que tiene la obligación de conservar el Sujeto Obligado, se encuentran los </w:t>
      </w:r>
      <w:r w:rsidDel="00000000" w:rsidR="00000000" w:rsidRPr="00000000">
        <w:rPr>
          <w:rFonts w:ascii="Palatino Linotype" w:cs="Palatino Linotype" w:eastAsia="Palatino Linotype" w:hAnsi="Palatino Linotype"/>
          <w:b w:val="1"/>
          <w:sz w:val="24"/>
          <w:szCs w:val="24"/>
          <w:rtl w:val="0"/>
        </w:rPr>
        <w:t xml:space="preserve">recibos de pago de salarios o las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constancias documentales del pago de sueldos</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D5">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respecto a los datos que componen el Comprobante Fiscal Digital por Internet, en principio es de mencionar que este es una factura electrónica emitida a los trabajadores dentro de una relación laboral para hacer constatar sus ingresos percibidos, así como las retenciones de impuestos u otros descuentos laborales aplicados. </w:t>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Del="00000000" w:rsidR="00000000" w:rsidRPr="00000000">
        <w:rPr>
          <w:rFonts w:ascii="Palatino Linotype" w:cs="Palatino Linotype" w:eastAsia="Palatino Linotype" w:hAnsi="Palatino Linotype"/>
          <w:b w:val="1"/>
          <w:sz w:val="24"/>
          <w:szCs w:val="24"/>
          <w:rtl w:val="0"/>
        </w:rPr>
        <w:t xml:space="preserve">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Del="00000000" w:rsidR="00000000" w:rsidRPr="00000000">
        <w:rPr>
          <w:rFonts w:ascii="Palatino Linotype" w:cs="Palatino Linotype" w:eastAsia="Palatino Linotype" w:hAnsi="Palatino Linotype"/>
          <w:sz w:val="24"/>
          <w:szCs w:val="24"/>
          <w:rtl w:val="0"/>
        </w:rPr>
        <w:t xml:space="preserve">,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el nombre del servidor público, su cargo, monto de percepciones netas y brutas, por mencionar algunas. </w:t>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0D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E">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 “LEY GENERAL DE TRANSPARENCIA Y ACCESO A LA INFORMACIÓN PÚBLICA</w:t>
      </w:r>
    </w:p>
    <w:p w:rsidR="00000000" w:rsidDel="00000000" w:rsidP="00000000" w:rsidRDefault="00000000" w:rsidRPr="00000000" w14:paraId="000000DF">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70.</w:t>
      </w:r>
      <w:r w:rsidDel="00000000" w:rsidR="00000000" w:rsidRPr="00000000">
        <w:rPr>
          <w:rFonts w:ascii="Palatino Linotype" w:cs="Palatino Linotype" w:eastAsia="Palatino Linotype" w:hAnsi="Palatino Linotype"/>
          <w:i w:val="1"/>
          <w:rtl w:val="0"/>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E0">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E1">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0E2">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E3">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p>
    <w:p w:rsidR="00000000" w:rsidDel="00000000" w:rsidP="00000000" w:rsidRDefault="00000000" w:rsidRPr="00000000" w14:paraId="000000E4">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E5">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E6">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E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widowControl w:val="0"/>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Toma relevancia, lo señalado en el artículo 2°, fracción VII de la Ley General de Transparencia y Acceso a la Información Pública y de la Ley de Transparencia y Acceso a la Información Pública del Estado de México y Municipios, el cual establece como objetivo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w:t>
      </w:r>
    </w:p>
    <w:p w:rsidR="00000000" w:rsidDel="00000000" w:rsidP="00000000" w:rsidRDefault="00000000" w:rsidRPr="00000000" w14:paraId="000000E9">
      <w:pPr>
        <w:widowControl w:val="0"/>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logra observar, el derecho de acceso a la información pública, es una herramienta con la que, cuentan los particulares, para conocer la forma en que los Gobiernos Municipales, cumplen sus atribuciones y obligaciones, así como, ejercen los recursos públicos con los que cuentan; esto es, sirven para que los Sujetos Obligados rindan cuentas a la ciudadanía, de su hacer diario, que incluye dar a conocer sobre la información de su personal.</w:t>
      </w:r>
    </w:p>
    <w:p w:rsidR="00000000" w:rsidDel="00000000" w:rsidP="00000000" w:rsidRDefault="00000000" w:rsidRPr="00000000" w14:paraId="000000E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todo lo expuesto, es de interés público, proporcionar información solicitada, pues rinde cuentas de que el Sujeto Obligado está cumpliendo atribuciones y fines específicos; además, que transparenta, las acciones realizadas por este, para mejorar la calidad de vida de los ciudadanos que se encuentran dentro del Municipio.</w:t>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sz w:val="24"/>
          <w:szCs w:val="24"/>
          <w:rtl w:val="0"/>
        </w:rPr>
        <w:t xml:space="preserve">Cabe recalcar que se negó el acceso al número de bomberos, al considerar que estaba clasificada como reservada, en términos del artículo 140, fracción VIII de la Ley de Transparencia y Acceso al a Información Pública del Estado de México y Municipios, el 113, fracción XI de la Ley General de Transparencia y Acceso a la Información Pública y con el Trigésimo de los Lineamientos Generales.</w:t>
      </w:r>
      <w:r w:rsidDel="00000000" w:rsidR="00000000" w:rsidRPr="00000000">
        <w:rPr>
          <w:rFonts w:ascii="Palatino Linotype" w:cs="Palatino Linotype" w:eastAsia="Palatino Linotype" w:hAnsi="Palatino Linotype"/>
          <w:b w:val="1"/>
          <w:sz w:val="24"/>
          <w:szCs w:val="24"/>
          <w:u w:val="single"/>
          <w:rtl w:val="0"/>
        </w:rPr>
        <w:t xml:space="preserve"> </w:t>
      </w:r>
    </w:p>
    <w:p w:rsidR="00000000" w:rsidDel="00000000" w:rsidP="00000000" w:rsidRDefault="00000000" w:rsidRPr="00000000" w14:paraId="000000E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el artículo 140, fracción VIII, de la Ley de Transparencia y Acceso a la Información Pública del Estado de México y Municipios, (homólogo del artículo 113, fracción I de la Ley General de Transparencia y Acceso a la Información Pública), prevé lo siguiente:</w:t>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140.</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0F3">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4">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Vulnere la conducción de los expedientes judiciales o de los procedimientos administrativos seguidos en forma de juicio, en tanto no hayan quedado firmes;</w:t>
      </w:r>
    </w:p>
    <w:p w:rsidR="00000000" w:rsidDel="00000000" w:rsidP="00000000" w:rsidRDefault="00000000" w:rsidRPr="00000000" w14:paraId="000000F5">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F6">
      <w:pPr>
        <w:tabs>
          <w:tab w:val="left" w:leader="none" w:pos="4962"/>
        </w:tabs>
        <w:spacing w:after="0" w:line="360" w:lineRule="auto"/>
        <w:ind w:left="567" w:right="56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7">
      <w:pPr>
        <w:tabs>
          <w:tab w:val="left" w:leader="none" w:pos="4962"/>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dicho precepto normativo se desprende que podrá clasificarse como información reservada aquella cuya publicación vulnere la conducción de los expedientes judiciales o de los procedimientos administrativos seguidos en forma de juicio, en tanto no hayan quedado firmes.</w:t>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tabs>
          <w:tab w:val="left" w:leader="none" w:pos="4962"/>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los Lineamientos generales en materia de clasificación y desclasificación de la información, así como para la elaboración de versiones públicas -en adelante Lineamientos Generales- disponen:</w:t>
      </w:r>
    </w:p>
    <w:p w:rsidR="00000000" w:rsidDel="00000000" w:rsidP="00000000" w:rsidRDefault="00000000" w:rsidRPr="00000000" w14:paraId="000000FA">
      <w:pPr>
        <w:spacing w:after="0"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B">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Trigésimo. </w:t>
      </w:r>
      <w:r w:rsidDel="00000000" w:rsidR="00000000" w:rsidRPr="00000000">
        <w:rPr>
          <w:rFonts w:ascii="Palatino Linotype" w:cs="Palatino Linotype" w:eastAsia="Palatino Linotype" w:hAnsi="Palatino Linotype"/>
          <w:i w:val="1"/>
          <w:rtl w:val="0"/>
        </w:rPr>
        <w:t xml:space="preserve">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rsidR="00000000" w:rsidDel="00000000" w:rsidP="00000000" w:rsidRDefault="00000000" w:rsidRPr="00000000" w14:paraId="000000FC">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existencia de un juicio o procedimiento administrativo materialmente jurisdiccional, que se encuentre en trámite;</w:t>
      </w:r>
    </w:p>
    <w:p w:rsidR="00000000" w:rsidDel="00000000" w:rsidP="00000000" w:rsidRDefault="00000000" w:rsidRPr="00000000" w14:paraId="000000FD">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Que la información solicitada se refiera a actuaciones, diligencias o constancias propias del procedimiento, y</w:t>
      </w:r>
    </w:p>
    <w:p w:rsidR="00000000" w:rsidDel="00000000" w:rsidP="00000000" w:rsidRDefault="00000000" w:rsidRPr="00000000" w14:paraId="000000FE">
      <w:pPr>
        <w:tabs>
          <w:tab w:val="left" w:leader="none" w:pos="4962"/>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Que su difusión afecte o interrumpa la libertad de decisión de las autoridades dentro del juicio o procedimiento administrativo seguido en forma de juicio.”</w:t>
      </w:r>
    </w:p>
    <w:p w:rsidR="00000000" w:rsidDel="00000000" w:rsidP="00000000" w:rsidRDefault="00000000" w:rsidRPr="00000000" w14:paraId="000000F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es posible observar que podrá clasificarse como información reservada, aquélla que comprometa la seguridad pública o bien, entorpezca los sistemas de coordinación interinstitucional en materia de seguridad pública, pueda menoscabar o dificultar las estrategias contra la evasión de reos o la capacidad de las autoridades para disuadir o prevenir disturbios sociales. </w:t>
      </w:r>
    </w:p>
    <w:p w:rsidR="00000000" w:rsidDel="00000000" w:rsidP="00000000" w:rsidRDefault="00000000" w:rsidRPr="00000000" w14:paraId="0000010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misma manera, será información reservada aquella que vulnere la conducción de los expedientes judiciales o de los procedimientos administrativos seguidos en forma de juicio.</w:t>
      </w:r>
    </w:p>
    <w:p w:rsidR="00000000" w:rsidDel="00000000" w:rsidP="00000000" w:rsidRDefault="00000000" w:rsidRPr="00000000" w14:paraId="0000010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embargo, no se advierte de qué forma, proporcionar los recibos de nómina requeridos vulnere la conducción de los expedientes judiciales o de los procedimientos administrativos seguidos en forma de juicio, por las siguientes consideraciones:</w:t>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entorpece las actuaciones, diligencias o constancias propias del procedimiento. </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8">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Tampoco afecta o interrumpa la libertad de decisión de las autoridades dentro del juicio o procedimiento administrativo seguido en forma de juicio.</w:t>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no se logra advertir la forma en lo peticionad; además, contrario a lo señalado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este Instituto no advierte un riesgo real, demostrable e identificable que supere al interés público o bien perjudique los expedientes judiciales o de los procedimientos administrativos seguidos en forma de juicio.</w:t>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tales consideraciones, se concluye que no se actualiza la causal de reserva establecida en el artículo 140, fracción XVIII, de la Ley de Transparencia y Acceso a la Información Pública del Estado de México y Municipios.</w:t>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se colige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tiene la posibilidad y la obligación de proporcionar la información requerida, debido a que no se actualizó la causal de reserva invocada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ya que se determinó que la información requerida era de naturaleza pública.</w:t>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cabe señalar que la reserva de la información fue propuesta por la Consejería Jurídica, quien cuenta con las siguientes funciones y atribuciones:</w:t>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2">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BANDO MUNICIPAL DE OCOYOACAC 2025</w:t>
      </w:r>
    </w:p>
    <w:p w:rsidR="00000000" w:rsidDel="00000000" w:rsidP="00000000" w:rsidRDefault="00000000" w:rsidRPr="00000000" w14:paraId="00000113">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1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80.-</w:t>
      </w:r>
      <w:r w:rsidDel="00000000" w:rsidR="00000000" w:rsidRPr="00000000">
        <w:rPr>
          <w:rFonts w:ascii="Palatino Linotype" w:cs="Palatino Linotype" w:eastAsia="Palatino Linotype" w:hAnsi="Palatino Linotype"/>
          <w:i w:val="1"/>
          <w:rtl w:val="0"/>
        </w:rPr>
        <w:t xml:space="preserve"> La persona titular de la presidencia municipal contará con las siguientes unidades administrativas de carácter auxiliar, para la atención y desahogo de los asuntos de su competencia, así como para el cumplimiento de los objetivos institucionales y la atención de materias específicas, que deriven del marco normativo general:</w:t>
      </w:r>
    </w:p>
    <w:p w:rsidR="00000000" w:rsidDel="00000000" w:rsidP="00000000" w:rsidRDefault="00000000" w:rsidRPr="00000000" w14:paraId="0000011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5. Consejería Jurídica: Tendrá la atribución de representar legalmente al Ayuntamiento en su conjunto o a cualquiera de sus miembros, en los procedimientos administrativos y jurisdiccionales del orden local, estatal y federal en los que éste sea parte, previo otorgamiento de poder por la persona titular de la presidencia municipal.</w:t>
      </w:r>
    </w:p>
    <w:p w:rsidR="00000000" w:rsidDel="00000000" w:rsidP="00000000" w:rsidRDefault="00000000" w:rsidRPr="00000000" w14:paraId="0000011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a lo anterior, la Consejería Jurídica tiene la atribución de representar legalmente al Ayuntamiento en su conjunto o a cualquiera de sus miembros, en los procedimientos administrativos y jurisdiccionales del orden local, estatal y federal en los que éste sea parte, no obstante, se advierte lo siguiente:</w:t>
      </w:r>
    </w:p>
    <w:p w:rsidR="00000000" w:rsidDel="00000000" w:rsidP="00000000" w:rsidRDefault="00000000" w:rsidRPr="00000000" w14:paraId="0000011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9">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MANUAL DE ORGANIZACIÓN DE LA DIRECCIÓN DE ADMINISTRACIÓN</w:t>
      </w:r>
    </w:p>
    <w:p w:rsidR="00000000" w:rsidDel="00000000" w:rsidP="00000000" w:rsidRDefault="00000000" w:rsidRPr="00000000" w14:paraId="0000011A">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1B">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1.1.2. Departamentos de Nómina.</w:t>
      </w:r>
    </w:p>
    <w:p w:rsidR="00000000" w:rsidDel="00000000" w:rsidP="00000000" w:rsidRDefault="00000000" w:rsidRPr="00000000" w14:paraId="0000011C">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Funciones:</w:t>
      </w:r>
    </w:p>
    <w:p w:rsidR="00000000" w:rsidDel="00000000" w:rsidP="00000000" w:rsidRDefault="00000000" w:rsidRPr="00000000" w14:paraId="0000011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Emitir comprobantes de pago, copias simples y certificadas de nómina a solicitud de servidores y ex servidores públicos de la administración pública municipal</w:t>
      </w:r>
    </w:p>
    <w:p w:rsidR="00000000" w:rsidDel="00000000" w:rsidP="00000000" w:rsidRDefault="00000000" w:rsidRPr="00000000" w14:paraId="0000011F">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0">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Integrar el listado de nómina y entregarlo al Departamento de Control de Pagos de Servicios Personales de la Tesorería Municipal quincenalmente o cuando sea requerido, para su dispersión en la institución bancaria correspondiente;</w:t>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el Departamento de Nómina, emite comprobantes de pago copias simples y certificadas de nómina a solicitud de servidores y ex servidores públicos de la administración pública municipal, además de integrar el listado de nómina y entregarlo al Departamento de Control de Pagos de Servicios Personales de la Tesorería Municipal quincenalmente o cuando sea requerido. </w:t>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a lo anterior, se determina que la respuesta no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12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127">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ffffff" w:val="clea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este orden de ideas, se advierte que efectivamente la Unidad de Transparencia no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129">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rtl w:val="0"/>
        </w:rPr>
        <w:t xml:space="preserve">se turnen a todas las Áreas competentes </w:t>
      </w:r>
      <w:r w:rsidDel="00000000" w:rsidR="00000000" w:rsidRPr="00000000">
        <w:rPr>
          <w:rFonts w:ascii="Palatino Linotype" w:cs="Palatino Linotype" w:eastAsia="Palatino Linotype" w:hAnsi="Palatino Linotype"/>
          <w:i w:val="1"/>
          <w:rtl w:val="0"/>
        </w:rPr>
        <w:t xml:space="preserve">que cuenten con la información o deban tenerla de acuerdo a sus facultades, competencias y funciones, con el objeto de que realicen una búsqueda exhaustiva y razonable de la información solicitada.”</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2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respuesta rendida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se desprende en el caso que el pronunciamiento vertido no colma el derecho de acceso a la información de la persona solicitante, por ello, se determina </w:t>
      </w:r>
      <w:r w:rsidDel="00000000" w:rsidR="00000000" w:rsidRPr="00000000">
        <w:rPr>
          <w:rFonts w:ascii="Palatino Linotype" w:cs="Palatino Linotype" w:eastAsia="Palatino Linotype" w:hAnsi="Palatino Linotype"/>
          <w:b w:val="1"/>
          <w:sz w:val="24"/>
          <w:szCs w:val="24"/>
          <w:rtl w:val="0"/>
        </w:rPr>
        <w:t xml:space="preserve">ORDENAR</w:t>
      </w:r>
      <w:r w:rsidDel="00000000" w:rsidR="00000000" w:rsidRPr="00000000">
        <w:rPr>
          <w:rFonts w:ascii="Palatino Linotype" w:cs="Palatino Linotype" w:eastAsia="Palatino Linotype" w:hAnsi="Palatino Linotype"/>
          <w:sz w:val="24"/>
          <w:szCs w:val="24"/>
          <w:rtl w:val="0"/>
        </w:rPr>
        <w:t xml:space="preserve"> la entrega de los recibos de nómina meses de julio, agosto, septiembre, octubre y noviembre del año dos mil veintitrés del servidor público referido en la solicitud de información de ser procedente en versión pública, en términos del considerando quinto. </w:t>
      </w:r>
    </w:p>
    <w:p w:rsidR="00000000" w:rsidDel="00000000" w:rsidP="00000000" w:rsidRDefault="00000000" w:rsidRPr="00000000" w14:paraId="0000012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no pasa desapercibido mencionar que de acuerdo a la respuesta emitida por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se advierte que el servidor público referido en la solitud es actor en una demanda laboral, cabe precisar que el nombre de la persona que demandó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y que dicha demanda inició un procedimiento del cual aún no ha concluido, debe ser motivo de protección, ello en atención a que este Órgano Garante debe ofrecer la mayor protección de una persona que al demandar ejercita su derecho a reclamar ante un órgano el cumplimiento de sus derechos laborales, por lo que, dar a conocer su nombre puede hacerlo identificable, sirve como sustento el criterio 19/13 emitido por el Instituto Nacional de Transparencia, Acceso a la Información y Protección de Datos Personales (INAI), antes IFAI; el cual a la letra precisa:</w:t>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0">
      <w:pPr>
        <w:spacing w:after="0" w:line="276" w:lineRule="auto"/>
        <w:ind w:left="851"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Nombre de actores en juicios laborales constituye, en principio, información confidencial.</w:t>
      </w:r>
      <w:r w:rsidDel="00000000" w:rsidR="00000000" w:rsidRPr="00000000">
        <w:rPr>
          <w:rFonts w:ascii="Palatino Linotype" w:cs="Palatino Linotype" w:eastAsia="Palatino Linotype" w:hAnsi="Palatino Linotype"/>
          <w:i w:val="1"/>
          <w:rtl w:val="0"/>
        </w:rPr>
        <w:t xml:space="preserve"> El nombre es un atributo de la personalidad y la manifestación principal del derecho a la identidad, en razón de que por sí mismo permite identificar a una persona física. </w:t>
      </w:r>
      <w:r w:rsidDel="00000000" w:rsidR="00000000" w:rsidRPr="00000000">
        <w:rPr>
          <w:rFonts w:ascii="Palatino Linotype" w:cs="Palatino Linotype" w:eastAsia="Palatino Linotype" w:hAnsi="Palatino Linotype"/>
          <w:b w:val="1"/>
          <w:i w:val="1"/>
          <w:rtl w:val="0"/>
        </w:rPr>
        <w:t xml:space="preserve">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w:t>
      </w:r>
      <w:r w:rsidDel="00000000" w:rsidR="00000000" w:rsidRPr="00000000">
        <w:rPr>
          <w:rFonts w:ascii="Palatino Linotype" w:cs="Palatino Linotype" w:eastAsia="Palatino Linotype" w:hAnsi="Palatino Linotype"/>
          <w:b w:val="1"/>
          <w:i w:val="1"/>
          <w:u w:val="single"/>
          <w:rtl w:val="0"/>
        </w:rPr>
        <w:t xml:space="preserve">cuestiones de carácter estrictamente privado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En este tenor, el nombre de los actores de los juicios laborales que se encuentran en trámite o que, en su defecto, concluyeron con la emisión de un laudo desfavorable a los intereses personales del actor constituye </w:t>
      </w:r>
      <w:r w:rsidDel="00000000" w:rsidR="00000000" w:rsidRPr="00000000">
        <w:rPr>
          <w:rFonts w:ascii="Palatino Linotype" w:cs="Palatino Linotype" w:eastAsia="Palatino Linotype" w:hAnsi="Palatino Linotype"/>
          <w:b w:val="1"/>
          <w:i w:val="1"/>
          <w:u w:val="single"/>
          <w:rtl w:val="0"/>
        </w:rPr>
        <w:t xml:space="preserve">información confidencial</w:t>
      </w:r>
      <w:r w:rsidDel="00000000" w:rsidR="00000000" w:rsidRPr="00000000">
        <w:rPr>
          <w:rFonts w:ascii="Palatino Linotype" w:cs="Palatino Linotype" w:eastAsia="Palatino Linotype" w:hAnsi="Palatino Linotype"/>
          <w:b w:val="1"/>
          <w:i w:val="1"/>
          <w:rtl w:val="0"/>
        </w:rPr>
        <w:t xml:space="preserve">, conforme a lo dispuesto en el artículo 18, fracción II de la Ley Federal de Transparencia y Acceso a la Información Pública Gubernamental. </w:t>
      </w:r>
      <w:r w:rsidDel="00000000" w:rsidR="00000000" w:rsidRPr="00000000">
        <w:rPr>
          <w:rFonts w:ascii="Palatino Linotype" w:cs="Palatino Linotype" w:eastAsia="Palatino Linotype" w:hAnsi="Palatino Linotype"/>
          <w:i w:val="1"/>
          <w:rtl w:val="0"/>
        </w:rPr>
        <w:t xml:space="preserve">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rsidR="00000000" w:rsidDel="00000000" w:rsidP="00000000" w:rsidRDefault="00000000" w:rsidRPr="00000000" w14:paraId="00000131">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atención a ello, se advierte que el nombre de los actores en los procedimientos laborales en trámite, permite identificar a los actores que presentaron una demanda laboral y participan en un juicio, acción que constituye una decisión personal que refleja un acto de voluntad de quien lo realiza, para la obtención de algunas prestaciones laborales o económicas, lo cual constituye cuestiones de carácter estrictamente privado.</w:t>
      </w:r>
    </w:p>
    <w:p w:rsidR="00000000" w:rsidDel="00000000" w:rsidP="00000000" w:rsidRDefault="00000000" w:rsidRPr="00000000" w14:paraId="0000013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nombre de una persona corresponde un dato personal; sin embargo, acorde a lo que se solicita, se trata del nombre personas que posiblemente fueron servidores públicos; aunque también, es posible que entre los demandantes existan servidores públicos, el punto a destacar es que la decisión de una persona de presentar una demanda en contra de su patrón, porque consideran que se violó alguno de sus derechos, constituye una decisión personal, que no está de ninguna manera vinculada con sus funciones ni con ejercicio de recursos públicos hasta en tanto le sea otorgada alguna cantidad derivada de estas demandas.</w:t>
      </w:r>
    </w:p>
    <w:p w:rsidR="00000000" w:rsidDel="00000000" w:rsidP="00000000" w:rsidRDefault="00000000" w:rsidRPr="00000000" w14:paraId="0000013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efecto, si una persona presenta una demanda laboral en contra de un Sujeto Obligado y está aún no ha quedado firme, constituye un dato personal confidencial y debe ser protegido en términos del artículo 143, fracción I de la Ley de Transparencia y Acceso a la Información Pública del Estado de México y Municipios.</w:t>
      </w:r>
    </w:p>
    <w:p w:rsidR="00000000" w:rsidDel="00000000" w:rsidP="00000000" w:rsidRDefault="00000000" w:rsidRPr="00000000" w14:paraId="0000013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se considera procedente dar vista a la </w:t>
      </w:r>
      <w:r w:rsidDel="00000000" w:rsidR="00000000" w:rsidRPr="00000000">
        <w:rPr>
          <w:rFonts w:ascii="Palatino Linotype" w:cs="Palatino Linotype" w:eastAsia="Palatino Linotype" w:hAnsi="Palatino Linotype"/>
          <w:b w:val="1"/>
          <w:sz w:val="24"/>
          <w:szCs w:val="24"/>
          <w:rtl w:val="0"/>
        </w:rPr>
        <w:t xml:space="preserve">Dirección General de Protección de Datos Personales</w:t>
      </w:r>
      <w:r w:rsidDel="00000000" w:rsidR="00000000" w:rsidRPr="00000000">
        <w:rPr>
          <w:rFonts w:ascii="Palatino Linotype" w:cs="Palatino Linotype" w:eastAsia="Palatino Linotype" w:hAnsi="Palatino Linotype"/>
          <w:sz w:val="24"/>
          <w:szCs w:val="24"/>
          <w:rtl w:val="0"/>
        </w:rPr>
        <w:t xml:space="preserve">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000000" w:rsidDel="00000000" w:rsidP="00000000" w:rsidRDefault="00000000" w:rsidRPr="00000000" w14:paraId="0000013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los principios y derechos en materia de datos personales tendrán como límite en cuanto a su observancia y ejercicio, la protección de seguridad nacional, el orden, la seguridad, la salud públicos, así como los derechos de terceros. </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se insta atentamente al particular a guardar confidencialidad respecto de los datos personales remitidos indebidamente mediante respuesta primigenia, en atención a las disposiciones establecidas en la Ley Federal de Protección de Datos Personales en Posesión de los Particulares. </w:t>
      </w:r>
    </w:p>
    <w:p w:rsidR="00000000" w:rsidDel="00000000" w:rsidP="00000000" w:rsidRDefault="00000000" w:rsidRPr="00000000" w14:paraId="0000013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ind w:right="51"/>
        <w:jc w:val="both"/>
        <w:rPr>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w:t>
      </w:r>
      <w:r w:rsidDel="00000000" w:rsidR="00000000" w:rsidRPr="00000000">
        <w:rPr>
          <w:rFonts w:ascii="Palatino Linotype" w:cs="Palatino Linotype" w:eastAsia="Palatino Linotype" w:hAnsi="Palatino Linotype"/>
          <w:sz w:val="24"/>
          <w:szCs w:val="24"/>
          <w:rtl w:val="0"/>
        </w:rPr>
        <w:t xml:space="preserve">Como fue debidamente apuntado,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r w:rsidDel="00000000" w:rsidR="00000000" w:rsidRPr="00000000">
        <w:rPr>
          <w:rtl w:val="0"/>
        </w:rPr>
      </w:r>
    </w:p>
    <w:p w:rsidR="00000000" w:rsidDel="00000000" w:rsidP="00000000" w:rsidRDefault="00000000" w:rsidRPr="00000000" w14:paraId="0000013E">
      <w:pPr>
        <w:spacing w:after="0" w:line="360" w:lineRule="auto"/>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ind w:right="49"/>
        <w:jc w:val="both"/>
        <w:rPr>
          <w:sz w:val="24"/>
          <w:szCs w:val="24"/>
        </w:rPr>
      </w:pPr>
      <w:r w:rsidDel="00000000" w:rsidR="00000000" w:rsidRPr="00000000">
        <w:rPr>
          <w:rFonts w:ascii="Palatino Linotype" w:cs="Palatino Linotype" w:eastAsia="Palatino Linotype" w:hAnsi="Palatino Linotype"/>
          <w:sz w:val="24"/>
          <w:szCs w:val="24"/>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360" w:lineRule="auto"/>
        <w:ind w:right="49"/>
        <w:jc w:val="both"/>
        <w:rPr>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360" w:lineRule="auto"/>
        <w:ind w:right="49"/>
        <w:jc w:val="both"/>
        <w:rPr>
          <w:sz w:val="24"/>
          <w:szCs w:val="24"/>
        </w:rPr>
      </w:pPr>
      <w:r w:rsidDel="00000000" w:rsidR="00000000" w:rsidRPr="00000000">
        <w:rPr>
          <w:rFonts w:ascii="Palatino Linotype" w:cs="Palatino Linotype" w:eastAsia="Palatino Linotype" w:hAnsi="Palatino Linotype"/>
          <w:sz w:val="24"/>
          <w:szCs w:val="24"/>
          <w:rtl w:val="0"/>
        </w:rPr>
        <w:t xml:space="preserve">Al respecto, los artículos 3, fracciones IX, XX, XXI, XXXII, XLV; 6, 91, 137, 143 fracción I, de la Ley de Transparencia y Acceso a la Información Pública del Estado de México y Municipios vigente establecen:</w:t>
      </w:r>
      <w:r w:rsidDel="00000000" w:rsidR="00000000" w:rsidRPr="00000000">
        <w:rPr>
          <w:rtl w:val="0"/>
        </w:rPr>
      </w:r>
    </w:p>
    <w:p w:rsidR="00000000" w:rsidDel="00000000" w:rsidP="00000000" w:rsidRDefault="00000000" w:rsidRPr="00000000" w14:paraId="00000143">
      <w:pPr>
        <w:spacing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XXI. Información confidencial</w:t>
      </w:r>
      <w:r w:rsidDel="00000000" w:rsidR="00000000" w:rsidRPr="00000000">
        <w:rPr>
          <w:rFonts w:ascii="Palatino Linotype" w:cs="Palatino Linotype" w:eastAsia="Palatino Linotype" w:hAnsi="Palatino Linotype"/>
          <w:i w:val="1"/>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 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 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jurídico colectiva identificada o identificable;</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56">
      <w:pPr>
        <w:spacing w:after="0" w:line="360" w:lineRule="auto"/>
        <w:rPr>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360" w:lineRule="auto"/>
        <w:ind w:right="50"/>
        <w:jc w:val="both"/>
        <w:rPr>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deberá proceder a testar los datos personales que se encuentre contenidos en los documentos a entregar para satisfacer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r w:rsidDel="00000000" w:rsidR="00000000" w:rsidRPr="00000000">
        <w:rPr>
          <w:rtl w:val="0"/>
        </w:rPr>
      </w:r>
    </w:p>
    <w:p w:rsidR="00000000" w:rsidDel="00000000" w:rsidP="00000000" w:rsidRDefault="00000000" w:rsidRPr="00000000" w14:paraId="00000158">
      <w:pPr>
        <w:spacing w:after="0" w:line="360" w:lineRule="auto"/>
        <w:rPr>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360" w:lineRule="auto"/>
        <w:ind w:right="50"/>
        <w:jc w:val="both"/>
        <w:rPr>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15A">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4"/>
          <w:szCs w:val="24"/>
          <w:rtl w:val="0"/>
        </w:rPr>
        <w:t xml:space="preserve">Registro Federal de Contribuyentes</w:t>
      </w:r>
      <w:r w:rsidDel="00000000" w:rsidR="00000000" w:rsidRPr="00000000">
        <w:rPr>
          <w:rFonts w:ascii="Palatino Linotype" w:cs="Palatino Linotype" w:eastAsia="Palatino Linotype" w:hAnsi="Palatino Linotype"/>
          <w:sz w:val="24"/>
          <w:szCs w:val="24"/>
          <w:rtl w:val="0"/>
        </w:rPr>
        <w:t xml:space="preserve"> (RFC), la </w:t>
      </w:r>
      <w:r w:rsidDel="00000000" w:rsidR="00000000" w:rsidRPr="00000000">
        <w:rPr>
          <w:rFonts w:ascii="Palatino Linotype" w:cs="Palatino Linotype" w:eastAsia="Palatino Linotype" w:hAnsi="Palatino Linotype"/>
          <w:b w:val="1"/>
          <w:sz w:val="24"/>
          <w:szCs w:val="24"/>
          <w:rtl w:val="0"/>
        </w:rPr>
        <w:t xml:space="preserve">Clave Única de Registro de Población</w:t>
      </w:r>
      <w:r w:rsidDel="00000000" w:rsidR="00000000" w:rsidRPr="00000000">
        <w:rPr>
          <w:rFonts w:ascii="Palatino Linotype" w:cs="Palatino Linotype" w:eastAsia="Palatino Linotype" w:hAnsi="Palatino Linotype"/>
          <w:sz w:val="24"/>
          <w:szCs w:val="24"/>
          <w:rtl w:val="0"/>
        </w:rPr>
        <w:t xml:space="preserve"> (CURP),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w:t>
      </w:r>
      <w:r w:rsidDel="00000000" w:rsidR="00000000" w:rsidRPr="00000000">
        <w:rPr>
          <w:rFonts w:ascii="Palatino Linotype" w:cs="Palatino Linotype" w:eastAsia="Palatino Linotype" w:hAnsi="Palatino Linotype"/>
          <w:sz w:val="24"/>
          <w:szCs w:val="24"/>
          <w:rtl w:val="0"/>
        </w:rPr>
        <w:t xml:space="preserve"> (ISSEMYM, u otros), los </w:t>
      </w:r>
      <w:r w:rsidDel="00000000" w:rsidR="00000000" w:rsidRPr="00000000">
        <w:rPr>
          <w:rFonts w:ascii="Palatino Linotype" w:cs="Palatino Linotype" w:eastAsia="Palatino Linotype" w:hAnsi="Palatino Linotype"/>
          <w:b w:val="1"/>
          <w:sz w:val="24"/>
          <w:szCs w:val="24"/>
          <w:rtl w:val="0"/>
        </w:rPr>
        <w:t xml:space="preserve">números de cuentas bancarias</w:t>
      </w:r>
      <w:r w:rsidDel="00000000" w:rsidR="00000000" w:rsidRPr="00000000">
        <w:rPr>
          <w:rFonts w:ascii="Palatino Linotype" w:cs="Palatino Linotype" w:eastAsia="Palatino Linotype" w:hAnsi="Palatino Linotype"/>
          <w:sz w:val="24"/>
          <w:szCs w:val="24"/>
          <w:rtl w:val="0"/>
        </w:rPr>
        <w:t xml:space="preserve">, claves estandarizadas – interbancarias - (CLABES) y de tarjetas, los </w:t>
      </w:r>
      <w:r w:rsidDel="00000000" w:rsidR="00000000" w:rsidRPr="00000000">
        <w:rPr>
          <w:rFonts w:ascii="Palatino Linotype" w:cs="Palatino Linotype" w:eastAsia="Palatino Linotype" w:hAnsi="Palatino Linotype"/>
          <w:b w:val="1"/>
          <w:sz w:val="24"/>
          <w:szCs w:val="24"/>
          <w:rtl w:val="0"/>
        </w:rPr>
        <w:t xml:space="preserve">préstamos o descuentos</w:t>
      </w:r>
      <w:r w:rsidDel="00000000" w:rsidR="00000000" w:rsidRPr="00000000">
        <w:rPr>
          <w:rFonts w:ascii="Palatino Linotype" w:cs="Palatino Linotype" w:eastAsia="Palatino Linotype" w:hAnsi="Palatino Linotype"/>
          <w:sz w:val="24"/>
          <w:szCs w:val="24"/>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sz w:val="24"/>
          <w:szCs w:val="24"/>
          <w:rtl w:val="0"/>
        </w:rPr>
        <w:t xml:space="preserve"> número de empleado, </w:t>
      </w:r>
      <w:r w:rsidDel="00000000" w:rsidR="00000000" w:rsidRPr="00000000">
        <w:rPr>
          <w:rFonts w:ascii="Palatino Linotype" w:cs="Palatino Linotype" w:eastAsia="Palatino Linotype" w:hAnsi="Palatino Linotype"/>
          <w:sz w:val="24"/>
          <w:szCs w:val="24"/>
          <w:rtl w:val="0"/>
        </w:rPr>
        <w:t xml:space="preserve">así como de ser el caso, el </w:t>
      </w:r>
      <w:r w:rsidDel="00000000" w:rsidR="00000000" w:rsidRPr="00000000">
        <w:rPr>
          <w:rFonts w:ascii="Palatino Linotype" w:cs="Palatino Linotype" w:eastAsia="Palatino Linotype" w:hAnsi="Palatino Linotype"/>
          <w:b w:val="1"/>
          <w:sz w:val="24"/>
          <w:szCs w:val="24"/>
          <w:rtl w:val="0"/>
        </w:rPr>
        <w:t xml:space="preserve">folio fiscal</w:t>
      </w:r>
      <w:r w:rsidDel="00000000" w:rsidR="00000000" w:rsidRPr="00000000">
        <w:rPr>
          <w:rFonts w:ascii="Palatino Linotype" w:cs="Palatino Linotype" w:eastAsia="Palatino Linotype" w:hAnsi="Palatino Linotype"/>
          <w:sz w:val="24"/>
          <w:szCs w:val="24"/>
          <w:rtl w:val="0"/>
        </w:rPr>
        <w:t xml:space="preserve">, la  </w:t>
      </w:r>
      <w:r w:rsidDel="00000000" w:rsidR="00000000" w:rsidRPr="00000000">
        <w:rPr>
          <w:rFonts w:ascii="Palatino Linotype" w:cs="Palatino Linotype" w:eastAsia="Palatino Linotype" w:hAnsi="Palatino Linotype"/>
          <w:b w:val="1"/>
          <w:sz w:val="24"/>
          <w:szCs w:val="24"/>
          <w:rtl w:val="0"/>
        </w:rPr>
        <w:t xml:space="preserve">cadena original, </w:t>
      </w:r>
      <w:r w:rsidDel="00000000" w:rsidR="00000000" w:rsidRPr="00000000">
        <w:rPr>
          <w:rFonts w:ascii="Palatino Linotype" w:cs="Palatino Linotype" w:eastAsia="Palatino Linotype" w:hAnsi="Palatino Linotype"/>
          <w:sz w:val="24"/>
          <w:szCs w:val="24"/>
          <w:rtl w:val="0"/>
        </w:rPr>
        <w:t xml:space="preserve">los</w:t>
      </w:r>
      <w:r w:rsidDel="00000000" w:rsidR="00000000" w:rsidRPr="00000000">
        <w:rPr>
          <w:rFonts w:ascii="Palatino Linotype" w:cs="Palatino Linotype" w:eastAsia="Palatino Linotype" w:hAnsi="Palatino Linotype"/>
          <w:b w:val="1"/>
          <w:sz w:val="24"/>
          <w:szCs w:val="24"/>
          <w:rtl w:val="0"/>
        </w:rPr>
        <w:t xml:space="preserve"> códigos bidimensionales o códigos QR,</w:t>
      </w:r>
      <w:r w:rsidDel="00000000" w:rsidR="00000000" w:rsidRPr="00000000">
        <w:rPr>
          <w:rFonts w:ascii="Palatino Linotype" w:cs="Palatino Linotype" w:eastAsia="Palatino Linotype" w:hAnsi="Palatino Linotype"/>
          <w:sz w:val="24"/>
          <w:szCs w:val="24"/>
          <w:rtl w:val="0"/>
        </w:rPr>
        <w:t xml:space="preserve"> y cualquier información de carácter fiscal, bajo las siguientes consideraciones. </w:t>
      </w:r>
      <w:r w:rsidDel="00000000" w:rsidR="00000000" w:rsidRPr="00000000">
        <w:rPr>
          <w:rtl w:val="0"/>
        </w:rPr>
      </w:r>
    </w:p>
    <w:p w:rsidR="00000000" w:rsidDel="00000000" w:rsidP="00000000" w:rsidRDefault="00000000" w:rsidRPr="00000000" w14:paraId="0000015C">
      <w:pPr>
        <w:spacing w:after="0" w:line="360" w:lineRule="auto"/>
        <w:rPr>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360" w:lineRule="auto"/>
        <w:ind w:right="50"/>
        <w:jc w:val="both"/>
        <w:rPr>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15E">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r w:rsidDel="00000000" w:rsidR="00000000" w:rsidRPr="00000000">
        <w:rPr>
          <w:rtl w:val="0"/>
        </w:rPr>
      </w:r>
    </w:p>
    <w:p w:rsidR="00000000" w:rsidDel="00000000" w:rsidP="00000000" w:rsidRDefault="00000000" w:rsidRPr="00000000" w14:paraId="00000162">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Lo anterior es compartido por el Instituto Nacional de Transparencia, Acceso a la Información y Protección de Datos Personales, INAI, a través del Criterio 19/17, el cual es del tenor literal siguiente:</w:t>
      </w:r>
      <w:r w:rsidDel="00000000" w:rsidR="00000000" w:rsidRPr="00000000">
        <w:rPr>
          <w:rtl w:val="0"/>
        </w:rPr>
      </w:r>
    </w:p>
    <w:p w:rsidR="00000000" w:rsidDel="00000000" w:rsidP="00000000" w:rsidRDefault="00000000" w:rsidRPr="00000000" w14:paraId="00000164">
      <w:pPr>
        <w:spacing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864" w:right="864" w:firstLine="0"/>
        <w:jc w:val="both"/>
        <w:rPr/>
      </w:pPr>
      <w:r w:rsidDel="00000000" w:rsidR="00000000" w:rsidRPr="00000000">
        <w:rPr>
          <w:rFonts w:ascii="Palatino Linotype" w:cs="Palatino Linotype" w:eastAsia="Palatino Linotype" w:hAnsi="Palatino Linotype"/>
          <w:b w:val="1"/>
          <w:i w:val="1"/>
          <w:rtl w:val="0"/>
        </w:rPr>
        <w:t xml:space="preserve"> 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r w:rsidDel="00000000" w:rsidR="00000000" w:rsidRPr="00000000">
        <w:rPr>
          <w:rtl w:val="0"/>
        </w:rPr>
      </w:r>
    </w:p>
    <w:p w:rsidR="00000000" w:rsidDel="00000000" w:rsidP="00000000" w:rsidRDefault="00000000" w:rsidRPr="00000000" w14:paraId="0000016A">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Argumento que es compartido por el Instituto Nacional de Transparencia, Acceso a la Información y Protección de Datos Personales, INAI, conforme al criterio 18/17, el cual refiere:</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360" w:lineRule="auto"/>
        <w:ind w:left="864" w:right="864" w:firstLine="0"/>
        <w:jc w:val="both"/>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Del="00000000" w:rsidR="00000000" w:rsidRPr="00000000">
        <w:rPr>
          <w:rtl w:val="0"/>
        </w:rPr>
      </w:r>
    </w:p>
    <w:p w:rsidR="00000000" w:rsidDel="00000000" w:rsidP="00000000" w:rsidRDefault="00000000" w:rsidRPr="00000000" w14:paraId="0000016E">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r w:rsidDel="00000000" w:rsidR="00000000" w:rsidRPr="00000000">
        <w:rPr>
          <w:rtl w:val="0"/>
        </w:rPr>
      </w:r>
    </w:p>
    <w:p w:rsidR="00000000" w:rsidDel="00000000" w:rsidP="00000000" w:rsidRDefault="00000000" w:rsidRPr="00000000" w14:paraId="00000170">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r w:rsidDel="00000000" w:rsidR="00000000" w:rsidRPr="00000000">
        <w:rPr>
          <w:rtl w:val="0"/>
        </w:rPr>
      </w:r>
    </w:p>
    <w:p w:rsidR="00000000" w:rsidDel="00000000" w:rsidP="00000000" w:rsidRDefault="00000000" w:rsidRPr="00000000" w14:paraId="00000172">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r w:rsidDel="00000000" w:rsidR="00000000" w:rsidRPr="00000000">
        <w:rPr>
          <w:rtl w:val="0"/>
        </w:rPr>
      </w:r>
    </w:p>
    <w:p w:rsidR="00000000" w:rsidDel="00000000" w:rsidP="00000000" w:rsidRDefault="00000000" w:rsidRPr="00000000" w14:paraId="00000176">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esa virtud, este Pleno determina que dicha información no puede ser del dominio público, toda vez que se podría dar un uso inadecuado a la misma o cometer algún ilícito o fraude como ya ha sido expuesto. </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Lo argumentado encuentra sustento en los criterios 10/17 y 11/17 emitidos por el Instituto Nacional de Transparencia, Acceso a la Información y Protección de Datos Personales, INAI, que llevan por rubro y texto los siguientes:</w:t>
      </w:r>
      <w:r w:rsidDel="00000000" w:rsidR="00000000" w:rsidRPr="00000000">
        <w:rPr>
          <w:rtl w:val="0"/>
        </w:rPr>
      </w:r>
    </w:p>
    <w:p w:rsidR="00000000" w:rsidDel="00000000" w:rsidP="00000000" w:rsidRDefault="00000000" w:rsidRPr="00000000" w14:paraId="0000017C">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17E">
      <w:pPr>
        <w:spacing w:after="0" w:line="276" w:lineRule="auto"/>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b w:val="1"/>
          <w:i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Por cuanto hace a los </w:t>
      </w:r>
      <w:r w:rsidDel="00000000" w:rsidR="00000000" w:rsidRPr="00000000">
        <w:rPr>
          <w:rFonts w:ascii="Palatino Linotype" w:cs="Palatino Linotype" w:eastAsia="Palatino Linotype" w:hAnsi="Palatino Linotype"/>
          <w:b w:val="1"/>
          <w:sz w:val="24"/>
          <w:szCs w:val="24"/>
          <w:rtl w:val="0"/>
        </w:rPr>
        <w:t xml:space="preserve">préstamos o descuentos de carácter personal</w:t>
      </w:r>
      <w:r w:rsidDel="00000000" w:rsidR="00000000" w:rsidRPr="00000000">
        <w:rPr>
          <w:rFonts w:ascii="Palatino Linotype" w:cs="Palatino Linotype" w:eastAsia="Palatino Linotype" w:hAnsi="Palatino Linotype"/>
          <w:sz w:val="24"/>
          <w:szCs w:val="24"/>
          <w:rtl w:val="0"/>
        </w:rPr>
        <w:t xml:space="preserve">, en virtud de no tener relación con la prestación del servicio y al no involucrar instituciones públicas, se consideran datos confidenciales.</w:t>
      </w:r>
      <w:r w:rsidDel="00000000" w:rsidR="00000000" w:rsidRPr="00000000">
        <w:rPr>
          <w:rtl w:val="0"/>
        </w:rPr>
      </w:r>
    </w:p>
    <w:p w:rsidR="00000000" w:rsidDel="00000000" w:rsidP="00000000" w:rsidRDefault="00000000" w:rsidRPr="00000000" w14:paraId="00000182">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Para entender los límites y alcances de esta restricción, es oportuno recurrir al artículo 84 de la Ley del Trabajo de los Servidores Públicos del Estado y Municipios:</w:t>
      </w:r>
      <w:r w:rsidDel="00000000" w:rsidR="00000000" w:rsidRPr="00000000">
        <w:rPr>
          <w:rtl w:val="0"/>
        </w:rPr>
      </w:r>
    </w:p>
    <w:p w:rsidR="00000000" w:rsidDel="00000000" w:rsidP="00000000" w:rsidRDefault="00000000" w:rsidRPr="00000000" w14:paraId="00000184">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ARTÍCULO 84. </w:t>
      </w:r>
      <w:r w:rsidDel="00000000" w:rsidR="00000000" w:rsidRPr="00000000">
        <w:rPr>
          <w:rFonts w:ascii="Palatino Linotype" w:cs="Palatino Linotype" w:eastAsia="Palatino Linotype" w:hAnsi="Palatino Linotype"/>
          <w:i w:val="1"/>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I. Gravámenes fiscales relacionados con el sueldo;</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II. Deudas contraídas con las instituciones públicas o dependencias por concepto de anticipos de sueldo, pagos hechos con exceso, errores o pérdidas debidamente comprobados;</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III. Cuotas sindicales;</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IV. Cuotas de aportación a fondos para la constitución de cooperativas y de cajas de ahorro, siempre que el servidor público hubiese manifestado previamente, de manera expresa, su conformidad;</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V. Descuentos ordenados por el Instituto de Seguridad Social del Estado de México y Municipios, con motivo de cuotas y obligaciones contraídas con éste por los servidores públicos;</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VI. Obligaciones a cargo del servidor público con las que haya consentido,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VII. Faltas de puntualidad o de asistencia injustificadas;</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VIII. Pensiones alimenticias ordenadas por la autoridad judicial;</w:t>
      </w:r>
      <w:r w:rsidDel="00000000" w:rsidR="00000000" w:rsidRPr="00000000">
        <w:rPr>
          <w:rFonts w:ascii="Palatino Linotype" w:cs="Palatino Linotype" w:eastAsia="Palatino Linotype" w:hAnsi="Palatino Linotype"/>
          <w:i w:val="1"/>
          <w:rtl w:val="0"/>
        </w:rPr>
        <w:t xml:space="preserve"> o</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IX. Cualquier otro convenido con instituciones de servicios y aceptado por el servidor público.</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i w:val="1"/>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Del="00000000" w:rsidR="00000000" w:rsidRPr="00000000">
        <w:rPr>
          <w:rtl w:val="0"/>
        </w:rPr>
      </w:r>
    </w:p>
    <w:p w:rsidR="00000000" w:rsidDel="00000000" w:rsidP="00000000" w:rsidRDefault="00000000" w:rsidRPr="00000000" w14:paraId="00000190">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Con relación al </w:t>
      </w:r>
      <w:r w:rsidDel="00000000" w:rsidR="00000000" w:rsidRPr="00000000">
        <w:rPr>
          <w:rFonts w:ascii="Palatino Linotype" w:cs="Palatino Linotype" w:eastAsia="Palatino Linotype" w:hAnsi="Palatino Linotype"/>
          <w:b w:val="1"/>
          <w:sz w:val="24"/>
          <w:szCs w:val="24"/>
          <w:rtl w:val="0"/>
        </w:rPr>
        <w:t xml:space="preserve">número de empleado</w:t>
      </w:r>
      <w:r w:rsidDel="00000000" w:rsidR="00000000" w:rsidRPr="00000000">
        <w:rPr>
          <w:rFonts w:ascii="Palatino Linotype" w:cs="Palatino Linotype" w:eastAsia="Palatino Linotype" w:hAnsi="Palatino Linotype"/>
          <w:sz w:val="24"/>
          <w:szCs w:val="24"/>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r w:rsidDel="00000000" w:rsidR="00000000" w:rsidRPr="00000000">
        <w:rPr>
          <w:rtl w:val="0"/>
        </w:rPr>
      </w:r>
    </w:p>
    <w:p w:rsidR="00000000" w:rsidDel="00000000" w:rsidP="00000000" w:rsidRDefault="00000000" w:rsidRPr="00000000" w14:paraId="00000195">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76"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Número de empleado. </w:t>
      </w:r>
      <w:r w:rsidDel="00000000" w:rsidR="00000000" w:rsidRPr="00000000">
        <w:rPr>
          <w:rFonts w:ascii="Palatino Linotype" w:cs="Palatino Linotype" w:eastAsia="Palatino Linotype" w:hAnsi="Palatino Linotype"/>
          <w:i w:val="1"/>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r w:rsidDel="00000000" w:rsidR="00000000" w:rsidRPr="00000000">
        <w:rPr>
          <w:rtl w:val="0"/>
        </w:rPr>
      </w:r>
    </w:p>
    <w:p w:rsidR="00000000" w:rsidDel="00000000" w:rsidP="00000000" w:rsidRDefault="00000000" w:rsidRPr="00000000" w14:paraId="00000197">
      <w:pPr>
        <w:spacing w:after="0" w:line="360" w:lineRule="auto"/>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r w:rsidDel="00000000" w:rsidR="00000000" w:rsidRPr="00000000">
        <w:rPr>
          <w:rtl w:val="0"/>
        </w:rPr>
      </w:r>
    </w:p>
    <w:p w:rsidR="00000000" w:rsidDel="00000000" w:rsidP="00000000" w:rsidRDefault="00000000" w:rsidRPr="00000000" w14:paraId="00000199">
      <w:pPr>
        <w:spacing w:after="0" w:line="360" w:lineRule="auto"/>
        <w:rPr>
          <w:sz w:val="24"/>
          <w:szCs w:val="24"/>
        </w:rPr>
      </w:pPr>
      <w:r w:rsidDel="00000000" w:rsidR="00000000" w:rsidRPr="00000000">
        <w:rPr>
          <w:sz w:val="24"/>
          <w:szCs w:val="24"/>
          <w:rtl w:val="0"/>
        </w:rPr>
        <w:br w:type="textWrapping"/>
      </w:r>
      <w:r w:rsidDel="00000000" w:rsidR="00000000" w:rsidRPr="00000000">
        <w:rPr>
          <w:rFonts w:ascii="Palatino Linotype" w:cs="Palatino Linotype" w:eastAsia="Palatino Linotype" w:hAnsi="Palatino Linotype"/>
          <w:b w:val="1"/>
          <w:sz w:val="24"/>
          <w:szCs w:val="24"/>
          <w:rtl w:val="0"/>
        </w:rPr>
        <w:t xml:space="preserve">De la información fiscal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La </w:t>
      </w:r>
      <w:r w:rsidDel="00000000" w:rsidR="00000000" w:rsidRPr="00000000">
        <w:rPr>
          <w:rFonts w:ascii="Palatino Linotype" w:cs="Palatino Linotype" w:eastAsia="Palatino Linotype" w:hAnsi="Palatino Linotype"/>
          <w:b w:val="1"/>
          <w:sz w:val="24"/>
          <w:szCs w:val="24"/>
          <w:rtl w:val="0"/>
        </w:rPr>
        <w:t xml:space="preserve">Cadena Original</w:t>
      </w:r>
      <w:r w:rsidDel="00000000" w:rsidR="00000000" w:rsidRPr="00000000">
        <w:rPr>
          <w:rFonts w:ascii="Palatino Linotype" w:cs="Palatino Linotype" w:eastAsia="Palatino Linotype" w:hAnsi="Palatino Linotype"/>
          <w:sz w:val="24"/>
          <w:szCs w:val="24"/>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analizar dicha circunstancia con la finalidad de proteger, de ser el caso, la información a través de su clasificación por actualizarse el supuesto de confidencialidad.</w:t>
      </w:r>
      <w:r w:rsidDel="00000000" w:rsidR="00000000" w:rsidRPr="00000000">
        <w:rPr>
          <w:rtl w:val="0"/>
        </w:rPr>
      </w:r>
    </w:p>
    <w:p w:rsidR="00000000" w:rsidDel="00000000" w:rsidP="00000000" w:rsidRDefault="00000000" w:rsidRPr="00000000" w14:paraId="0000019B">
      <w:pPr>
        <w:spacing w:after="0" w:line="360" w:lineRule="auto"/>
        <w:rPr>
          <w:sz w:val="24"/>
          <w:szCs w:val="24"/>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Los </w:t>
      </w:r>
      <w:r w:rsidDel="00000000" w:rsidR="00000000" w:rsidRPr="00000000">
        <w:rPr>
          <w:rFonts w:ascii="Palatino Linotype" w:cs="Palatino Linotype" w:eastAsia="Palatino Linotype" w:hAnsi="Palatino Linotype"/>
          <w:b w:val="1"/>
          <w:sz w:val="24"/>
          <w:szCs w:val="24"/>
          <w:rtl w:val="0"/>
        </w:rPr>
        <w:t xml:space="preserve">códigos bidimensionales</w:t>
      </w:r>
      <w:r w:rsidDel="00000000" w:rsidR="00000000" w:rsidRPr="00000000">
        <w:rPr>
          <w:rFonts w:ascii="Palatino Linotype" w:cs="Palatino Linotype" w:eastAsia="Palatino Linotype" w:hAnsi="Palatino Linotype"/>
          <w:sz w:val="24"/>
          <w:szCs w:val="24"/>
          <w:rtl w:val="0"/>
        </w:rPr>
        <w:t xml:space="preserve"> o </w:t>
      </w:r>
      <w:r w:rsidDel="00000000" w:rsidR="00000000" w:rsidRPr="00000000">
        <w:rPr>
          <w:rFonts w:ascii="Palatino Linotype" w:cs="Palatino Linotype" w:eastAsia="Palatino Linotype" w:hAnsi="Palatino Linotype"/>
          <w:b w:val="1"/>
          <w:sz w:val="24"/>
          <w:szCs w:val="24"/>
          <w:rtl w:val="0"/>
        </w:rPr>
        <w:t xml:space="preserve">códigos QR, </w:t>
      </w:r>
      <w:r w:rsidDel="00000000" w:rsidR="00000000" w:rsidRPr="00000000">
        <w:rPr>
          <w:rFonts w:ascii="Palatino Linotype" w:cs="Palatino Linotype" w:eastAsia="Palatino Linotype" w:hAnsi="Palatino Linotype"/>
          <w:sz w:val="24"/>
          <w:szCs w:val="24"/>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analizar dicha circunstancia con la finalidad de determinar si se actualiza algún supuesto de confidencialidad.</w:t>
      </w:r>
      <w:r w:rsidDel="00000000" w:rsidR="00000000" w:rsidRPr="00000000">
        <w:rPr>
          <w:rtl w:val="0"/>
        </w:rPr>
      </w:r>
    </w:p>
    <w:p w:rsidR="00000000" w:rsidDel="00000000" w:rsidP="00000000" w:rsidRDefault="00000000" w:rsidRPr="00000000" w14:paraId="0000019D">
      <w:pPr>
        <w:spacing w:after="0" w:line="360" w:lineRule="auto"/>
        <w:rPr>
          <w:sz w:val="24"/>
          <w:szCs w:val="24"/>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tal sentido, si derivado del análisis efectuado por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9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sz w:val="24"/>
          <w:szCs w:val="24"/>
          <w:u w:val="single"/>
          <w:rtl w:val="0"/>
        </w:rPr>
        <w:t xml:space="preserve">razones, motivos o circunstancias especiales</w:t>
      </w:r>
      <w:r w:rsidDel="00000000" w:rsidR="00000000" w:rsidRPr="00000000">
        <w:rPr>
          <w:rFonts w:ascii="Palatino Linotype" w:cs="Palatino Linotype" w:eastAsia="Palatino Linotype" w:hAnsi="Palatino Linotype"/>
          <w:sz w:val="24"/>
          <w:szCs w:val="24"/>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r w:rsidDel="00000000" w:rsidR="00000000" w:rsidRPr="00000000">
        <w:rPr>
          <w:rtl w:val="0"/>
        </w:rPr>
      </w:r>
    </w:p>
    <w:p w:rsidR="00000000" w:rsidDel="00000000" w:rsidP="00000000" w:rsidRDefault="00000000" w:rsidRPr="00000000" w14:paraId="000001A1">
      <w:pPr>
        <w:spacing w:after="0" w:line="360" w:lineRule="auto"/>
        <w:rPr>
          <w:sz w:val="24"/>
          <w:szCs w:val="24"/>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360" w:lineRule="auto"/>
        <w:ind w:right="50"/>
        <w:jc w:val="both"/>
        <w:rPr>
          <w:sz w:val="24"/>
          <w:szCs w:val="24"/>
        </w:rPr>
      </w:pPr>
      <w:r w:rsidDel="00000000" w:rsidR="00000000" w:rsidRPr="00000000">
        <w:rPr>
          <w:rFonts w:ascii="Palatino Linotype" w:cs="Palatino Linotype" w:eastAsia="Palatino Linotype" w:hAnsi="Palatino Linotype"/>
          <w:sz w:val="24"/>
          <w:szCs w:val="24"/>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r w:rsidDel="00000000" w:rsidR="00000000" w:rsidRPr="00000000">
        <w:rPr>
          <w:rtl w:val="0"/>
        </w:rPr>
      </w:r>
    </w:p>
    <w:p w:rsidR="00000000" w:rsidDel="00000000" w:rsidP="00000000" w:rsidRDefault="00000000" w:rsidRPr="00000000" w14:paraId="000001A3">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Artículo 49. Los Comités de Transparencia tendrán las siguientes atribuciones:</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VIII. Aprobar, modificar o revocar la clasificación de la información;</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A8">
      <w:pPr>
        <w:spacing w:after="0" w:line="276" w:lineRule="auto"/>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X. Presentar ante el Comité, el proyecto de clasificación de información…</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AD">
      <w:pPr>
        <w:spacing w:after="0" w:line="276" w:lineRule="auto"/>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Artículo 59. Los servidores públicos habilitados tendrán las funciones siguientes:</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76"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r w:rsidDel="00000000" w:rsidR="00000000" w:rsidRPr="00000000">
        <w:rPr>
          <w:rtl w:val="0"/>
        </w:rPr>
      </w:r>
    </w:p>
    <w:p w:rsidR="00000000" w:rsidDel="00000000" w:rsidP="00000000" w:rsidRDefault="00000000" w:rsidRPr="00000000" w14:paraId="000001B4">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Para lo cual, a su vez en el caso de información de carácter confidencial, se debe atender a lo que señala el artículo 149 de la Ley de Transparencia Local vigente, que se lee como sigue:</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864" w:right="864" w:firstLine="0"/>
        <w:jc w:val="both"/>
        <w:rPr/>
      </w:pPr>
      <w:r w:rsidDel="00000000" w:rsidR="00000000" w:rsidRPr="00000000">
        <w:rPr>
          <w:rFonts w:ascii="Palatino Linotype" w:cs="Palatino Linotype" w:eastAsia="Palatino Linotype" w:hAnsi="Palatino Linotype"/>
          <w:i w:val="1"/>
          <w:rtl w:val="0"/>
        </w:rPr>
        <w:t xml:space="preserve">Artículo 149. El acuerdo que clasifique la información como confidencial deberá contener un razonamiento lógico en el que demuestre que la información se encuentra en alguna o algunas de las hipótesis previstas en la presente Ley.</w:t>
      </w:r>
      <w:r w:rsidDel="00000000" w:rsidR="00000000" w:rsidRPr="00000000">
        <w:rPr>
          <w:rtl w:val="0"/>
        </w:rPr>
      </w:r>
    </w:p>
    <w:p w:rsidR="00000000" w:rsidDel="00000000" w:rsidP="00000000" w:rsidRDefault="00000000" w:rsidRPr="00000000" w14:paraId="000001B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360" w:lineRule="auto"/>
        <w:ind w:right="49"/>
        <w:jc w:val="both"/>
        <w:rPr>
          <w:sz w:val="24"/>
          <w:szCs w:val="24"/>
        </w:rPr>
      </w:pPr>
      <w:r w:rsidDel="00000000" w:rsidR="00000000" w:rsidRPr="00000000">
        <w:rPr>
          <w:rFonts w:ascii="Palatino Linotype" w:cs="Palatino Linotype" w:eastAsia="Palatino Linotype" w:hAnsi="Palatino Linotype"/>
          <w:sz w:val="24"/>
          <w:szCs w:val="24"/>
          <w:rtl w:val="0"/>
        </w:rPr>
        <w:t xml:space="preserve">Por último, respecto a la versión pública de los documentos que contenga la información solicitada, cabe señalar que 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36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clasificación de la información se llevará a cabo en el momento en que:</w:t>
      </w: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 autoridad competente; o</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rtl w:val="0"/>
        </w:rPr>
        <w:t xml:space="preserve">fundando y motivando la</w:t>
      </w:r>
      <w:r w:rsidDel="00000000" w:rsidR="00000000" w:rsidRPr="00000000">
        <w:rPr>
          <w:rFonts w:ascii="Palatino Linotype" w:cs="Palatino Linotype" w:eastAsia="Palatino Linotype" w:hAnsi="Palatino Linotype"/>
          <w:i w:val="1"/>
          <w:rtl w:val="0"/>
        </w:rPr>
        <w:t xml:space="preserve"> reserva o </w:t>
      </w:r>
      <w:r w:rsidDel="00000000" w:rsidR="00000000" w:rsidRPr="00000000">
        <w:rPr>
          <w:rFonts w:ascii="Palatino Linotype" w:cs="Palatino Linotype" w:eastAsia="Palatino Linotype" w:hAnsi="Palatino Linotype"/>
          <w:b w:val="1"/>
          <w:i w:val="1"/>
          <w:rtl w:val="0"/>
        </w:rPr>
        <w:t xml:space="preserve">confidencialidad</w:t>
      </w:r>
      <w:r w:rsidDel="00000000" w:rsidR="00000000" w:rsidRPr="00000000">
        <w:rPr>
          <w:rFonts w:ascii="Palatino Linotype" w:cs="Palatino Linotype" w:eastAsia="Palatino Linotype" w:hAnsi="Palatino Linotype"/>
          <w:i w:val="1"/>
          <w:rtl w:val="0"/>
        </w:rPr>
        <w:t xml:space="preserve">, a través de la resolución que para tal efecto emita el Comité de Transparencia.</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Cuarto.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Para clasificar la información como</w:t>
      </w:r>
      <w:r w:rsidDel="00000000" w:rsidR="00000000" w:rsidRPr="00000000">
        <w:rPr>
          <w:rFonts w:ascii="Palatino Linotype" w:cs="Palatino Linotype" w:eastAsia="Palatino Linotype" w:hAnsi="Palatino Linotype"/>
          <w:i w:val="1"/>
          <w:rtl w:val="0"/>
        </w:rPr>
        <w:t xml:space="preserve"> reservada o </w:t>
      </w:r>
      <w:r w:rsidDel="00000000" w:rsidR="00000000" w:rsidRPr="00000000">
        <w:rPr>
          <w:rFonts w:ascii="Palatino Linotype" w:cs="Palatino Linotype" w:eastAsia="Palatino Linotype" w:hAnsi="Palatino Linotype"/>
          <w:b w:val="1"/>
          <w:i w:val="1"/>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Quinto.</w:t>
      </w:r>
      <w:r w:rsidDel="00000000" w:rsidR="00000000" w:rsidRPr="00000000">
        <w:rPr>
          <w:rFonts w:ascii="Palatino Linotype" w:cs="Palatino Linotype" w:eastAsia="Palatino Linotype" w:hAnsi="Palatino Linotype"/>
          <w:i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Sexto.</w:t>
      </w:r>
      <w:r w:rsidDel="00000000" w:rsidR="00000000" w:rsidRPr="00000000">
        <w:rPr>
          <w:rFonts w:ascii="Palatino Linotype" w:cs="Palatino Linotype" w:eastAsia="Palatino Linotype" w:hAnsi="Palatino Linotype"/>
          <w:i w:val="1"/>
          <w:rtl w:val="0"/>
        </w:rPr>
        <w:t xml:space="preserve"> Se deroga. </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Séptimo.</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del Comité de Transparencia, el órgano garante competente, o en cumplimiento a una sentencia del Poder Judicial; o</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Se generen versiones públicas para dar cumplimiento a las obligaciones detransparencia previstas en la Ley General, la Ley Federal y las correspondientes de laentidades federativas.</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titulares de las áreas deberán revisar la información requerida al momento de larecepción de una solicitud de acceso, para verificar, conforme a su naturaleza, si encuadraen una causal de reserva o de confidencialidad.</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Octavo.</w:t>
      </w:r>
      <w:r w:rsidDel="00000000" w:rsidR="00000000" w:rsidRPr="00000000">
        <w:rPr>
          <w:rFonts w:ascii="Palatino Linotype" w:cs="Palatino Linotype" w:eastAsia="Palatino Linotype" w:hAnsi="Palatino Linotype"/>
          <w:i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Noveno.</w:t>
      </w:r>
      <w:r w:rsidDel="00000000" w:rsidR="00000000" w:rsidRPr="00000000">
        <w:rPr>
          <w:rFonts w:ascii="Palatino Linotype" w:cs="Palatino Linotype" w:eastAsia="Palatino Linotype" w:hAnsi="Palatino Linotype"/>
          <w:i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w:t>
      </w:r>
      <w:r w:rsidDel="00000000" w:rsidR="00000000" w:rsidRPr="00000000">
        <w:rPr>
          <w:rFonts w:ascii="Palatino Linotype" w:cs="Palatino Linotype" w:eastAsia="Palatino Linotype" w:hAnsi="Palatino Linotype"/>
          <w:i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 primero.</w:t>
      </w:r>
      <w:r w:rsidDel="00000000" w:rsidR="00000000" w:rsidRPr="00000000">
        <w:rPr>
          <w:rFonts w:ascii="Palatino Linotype" w:cs="Palatino Linotype" w:eastAsia="Palatino Linotype" w:hAnsi="Palatino Linotype"/>
          <w:i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276" w:lineRule="auto"/>
        <w:ind w:right="8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D">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séptimo, trigésimo octavo y trigésimo noveno de la Constitución Política del Estado Libre y Soberano de México; 2, fracción II; 29, 36 fracciones I y II; 176, 178, 181, 185 y 186 fracción III de la Ley de Transparencia y Acceso a la Información Pública del Estado de México y Municipios, este Pleno</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1D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F">
      <w:pPr>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1E0">
      <w:pPr>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E1">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fundados los motivos de inconformidad hechos valer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02774/INFOEM/IP/RR/2025</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por lo que, en términos del considerando </w:t>
      </w: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esta resolución, se </w:t>
      </w:r>
      <w:r w:rsidDel="00000000" w:rsidR="00000000" w:rsidRPr="00000000">
        <w:rPr>
          <w:rFonts w:ascii="Palatino Linotype" w:cs="Palatino Linotype" w:eastAsia="Palatino Linotype" w:hAnsi="Palatino Linotype"/>
          <w:b w:val="1"/>
          <w:sz w:val="24"/>
          <w:szCs w:val="24"/>
          <w:rtl w:val="0"/>
        </w:rPr>
        <w:t xml:space="preserve">REVOCA </w:t>
      </w:r>
      <w:r w:rsidDel="00000000" w:rsidR="00000000" w:rsidRPr="00000000">
        <w:rPr>
          <w:rFonts w:ascii="Palatino Linotype" w:cs="Palatino Linotype" w:eastAsia="Palatino Linotype" w:hAnsi="Palatino Linotype"/>
          <w:sz w:val="24"/>
          <w:szCs w:val="24"/>
          <w:rtl w:val="0"/>
        </w:rPr>
        <w:t xml:space="preserve">la respuesta emitida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1E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3">
      <w:pPr>
        <w:spacing w:after="0" w:line="360" w:lineRule="auto"/>
        <w:jc w:val="both"/>
        <w:rPr>
          <w:rFonts w:ascii="Palatino Linotype" w:cs="Palatino Linotype" w:eastAsia="Palatino Linotype" w:hAnsi="Palatino Linotype"/>
          <w:sz w:val="24"/>
          <w:szCs w:val="24"/>
        </w:rPr>
      </w:pPr>
      <w:bookmarkStart w:colFirst="0" w:colLast="0" w:name="_heading=h.kelgs2428oa6" w:id="1"/>
      <w:bookmarkEnd w:id="1"/>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w:t>
      </w:r>
      <w:r w:rsidDel="00000000" w:rsidR="00000000" w:rsidRPr="00000000">
        <w:rPr>
          <w:rFonts w:ascii="Palatino Linotype" w:cs="Palatino Linotype" w:eastAsia="Palatino Linotype" w:hAnsi="Palatino Linotype"/>
          <w:b w:val="1"/>
          <w:sz w:val="24"/>
          <w:szCs w:val="24"/>
          <w:rtl w:val="0"/>
        </w:rPr>
        <w:t xml:space="preserve"> ORDENA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términos de los Considerandos </w:t>
      </w:r>
      <w:r w:rsidDel="00000000" w:rsidR="00000000" w:rsidRPr="00000000">
        <w:rPr>
          <w:rFonts w:ascii="Palatino Linotype" w:cs="Palatino Linotype" w:eastAsia="Palatino Linotype" w:hAnsi="Palatino Linotype"/>
          <w:b w:val="1"/>
          <w:sz w:val="24"/>
          <w:szCs w:val="24"/>
          <w:rtl w:val="0"/>
        </w:rPr>
        <w:t xml:space="preserve">Cuarto y Quinto </w:t>
      </w:r>
      <w:r w:rsidDel="00000000" w:rsidR="00000000" w:rsidRPr="00000000">
        <w:rPr>
          <w:rFonts w:ascii="Palatino Linotype" w:cs="Palatino Linotype" w:eastAsia="Palatino Linotype" w:hAnsi="Palatino Linotype"/>
          <w:sz w:val="24"/>
          <w:szCs w:val="24"/>
          <w:rtl w:val="0"/>
        </w:rPr>
        <w:t xml:space="preserve">de esta resolución, haga entrega, previa búsqueda exhaustiva y razonable, 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de ser procedente en versión pública, del servidor público referido en la solicitud de información, lo siguiente: </w:t>
      </w:r>
    </w:p>
    <w:p w:rsidR="00000000" w:rsidDel="00000000" w:rsidP="00000000" w:rsidRDefault="00000000" w:rsidRPr="00000000" w14:paraId="000001E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5">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Recibos de nómina de los meses de julio, agosto, septiembre, octubre y noviembre del año dos mil veintitrés.</w:t>
      </w:r>
    </w:p>
    <w:p w:rsidR="00000000" w:rsidDel="00000000" w:rsidP="00000000" w:rsidRDefault="00000000" w:rsidRPr="00000000" w14:paraId="000001E6">
      <w:pPr>
        <w:spacing w:after="0"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7">
      <w:pPr>
        <w:spacing w:after="0" w:line="276" w:lineRule="auto"/>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sz w:val="24"/>
          <w:szCs w:val="24"/>
          <w:rtl w:val="0"/>
        </w:rPr>
        <w:t xml:space="preserve">LA PARTE RECURRENTE</w:t>
      </w: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1E8">
      <w:pPr>
        <w:spacing w:after="0" w:line="276" w:lineRule="auto"/>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E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EA">
      <w:pPr>
        <w:spacing w:after="0" w:line="360" w:lineRule="auto"/>
        <w:jc w:val="both"/>
        <w:rPr>
          <w:rFonts w:ascii="Palatino Linotype" w:cs="Palatino Linotype" w:eastAsia="Palatino Linotype" w:hAnsi="Palatino Linotype"/>
          <w:b w:val="1"/>
          <w:sz w:val="24"/>
          <w:szCs w:val="24"/>
        </w:rPr>
      </w:pPr>
      <w:bookmarkStart w:colFirst="0" w:colLast="0" w:name="_heading=h.3znysh7" w:id="2"/>
      <w:bookmarkEnd w:id="2"/>
      <w:r w:rsidDel="00000000" w:rsidR="00000000" w:rsidRPr="00000000">
        <w:rPr>
          <w:rtl w:val="0"/>
        </w:rPr>
      </w:r>
    </w:p>
    <w:p w:rsidR="00000000" w:rsidDel="00000000" w:rsidP="00000000" w:rsidRDefault="00000000" w:rsidRPr="00000000" w14:paraId="000001E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1E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 </w:t>
      </w:r>
      <w:r w:rsidDel="00000000" w:rsidR="00000000" w:rsidRPr="00000000">
        <w:rPr>
          <w:rFonts w:ascii="Palatino Linotype" w:cs="Palatino Linotype" w:eastAsia="Palatino Linotype" w:hAnsi="Palatino Linotype"/>
          <w:sz w:val="24"/>
          <w:szCs w:val="24"/>
          <w:rtl w:val="0"/>
        </w:rPr>
        <w:t xml:space="preserve">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EE">
      <w:pPr>
        <w:spacing w:after="240" w:before="240" w:line="360" w:lineRule="auto"/>
        <w:ind w:right="4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w:t>
      </w:r>
      <w:r w:rsidDel="00000000" w:rsidR="00000000" w:rsidRPr="00000000">
        <w:rPr>
          <w:rFonts w:ascii="Palatino Linotype" w:cs="Palatino Linotype" w:eastAsia="Palatino Linotype" w:hAnsi="Palatino Linotype"/>
          <w:sz w:val="24"/>
          <w:szCs w:val="24"/>
          <w:rtl w:val="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w:t>
      </w:r>
      <w:r w:rsidDel="00000000" w:rsidR="00000000" w:rsidRPr="00000000">
        <w:rPr>
          <w:rFonts w:ascii="Palatino Linotype" w:cs="Palatino Linotype" w:eastAsia="Palatino Linotype" w:hAnsi="Palatino Linotype"/>
          <w:b w:val="1"/>
          <w:sz w:val="24"/>
          <w:szCs w:val="24"/>
          <w:rtl w:val="0"/>
        </w:rPr>
        <w:t xml:space="preserve">Dirección General de Protección de Datos Personales de este Instituto</w:t>
      </w:r>
      <w:r w:rsidDel="00000000" w:rsidR="00000000" w:rsidRPr="00000000">
        <w:rPr>
          <w:rFonts w:ascii="Palatino Linotype" w:cs="Palatino Linotype" w:eastAsia="Palatino Linotype" w:hAnsi="Palatino Linotype"/>
          <w:sz w:val="24"/>
          <w:szCs w:val="24"/>
          <w:rtl w:val="0"/>
        </w:rPr>
        <w:t xml:space="preserve">, en términos de lo dispuesto en el Considerando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la presente Resolución.</w:t>
      </w:r>
    </w:p>
    <w:p w:rsidR="00000000" w:rsidDel="00000000" w:rsidP="00000000" w:rsidRDefault="00000000" w:rsidRPr="00000000" w14:paraId="000001EF">
      <w:pPr>
        <w:spacing w:after="240" w:before="240" w:line="360" w:lineRule="auto"/>
        <w:ind w:right="4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0">
      <w:pPr>
        <w:spacing w:after="240" w:before="240" w:line="360" w:lineRule="auto"/>
        <w:ind w:right="4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EN LA DÉCIMA NOVENA SESIÓN ORDINARIA CELEBRADA EL VEINTIOCHO DE MAYO DE DOS MIL VEINTICINCO, ANTE EL SECRETARIO TÉCNICO DEL PLENO ALEXIS TAPIA RAMÍREZ.</w:t>
      </w:r>
    </w:p>
    <w:p w:rsidR="00000000" w:rsidDel="00000000" w:rsidP="00000000" w:rsidRDefault="00000000" w:rsidRPr="00000000" w14:paraId="000001F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0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color w:val="000000"/>
          <w:sz w:val="20"/>
          <w:szCs w:val="20"/>
          <w:rtl w:val="0"/>
        </w:rPr>
        <w:t xml:space="preserve"> (…)</w:t>
      </w:r>
    </w:p>
  </w:footnote>
  <w:footnote w:id="1">
    <w:p w:rsidR="00000000" w:rsidDel="00000000" w:rsidP="00000000" w:rsidRDefault="00000000" w:rsidRPr="00000000" w14:paraId="0000020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-698499</wp:posOffset>
          </wp:positionH>
          <wp:positionV relativeFrom="paragraph">
            <wp:posOffset>-123824</wp:posOffset>
          </wp:positionV>
          <wp:extent cx="7353300" cy="8658225"/>
          <wp:effectExtent b="0" l="0" r="0" t="0"/>
          <wp:wrapNone/>
          <wp:docPr id="10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tbl>
    <w:tblPr>
      <w:tblStyle w:val="Table2"/>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208">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209">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02774/INFOEM/IP/RR/2025.</w:t>
          </w:r>
        </w:p>
      </w:tc>
    </w:tr>
    <w:tr>
      <w:trPr>
        <w:cantSplit w:val="0"/>
        <w:trHeight w:val="484.4223632812499" w:hRule="atLeast"/>
        <w:tblHeader w:val="0"/>
      </w:trPr>
      <w:tc>
        <w:tcPr/>
        <w:p w:rsidR="00000000" w:rsidDel="00000000" w:rsidP="00000000" w:rsidRDefault="00000000" w:rsidRPr="00000000" w14:paraId="0000020A">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20B">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20C">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20D">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Ocoyoacac.</w:t>
          </w:r>
        </w:p>
      </w:tc>
    </w:tr>
    <w:tr>
      <w:trPr>
        <w:cantSplit w:val="0"/>
        <w:trHeight w:val="373" w:hRule="atLeast"/>
        <w:tblHeader w:val="0"/>
      </w:trPr>
      <w:tc>
        <w:tcPr/>
        <w:p w:rsidR="00000000" w:rsidDel="00000000" w:rsidP="00000000" w:rsidRDefault="00000000" w:rsidRPr="00000000" w14:paraId="0000020E">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20F">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-55879</wp:posOffset>
          </wp:positionV>
          <wp:extent cx="7353300" cy="8658225"/>
          <wp:effectExtent b="0" l="0" r="0" t="0"/>
          <wp:wrapNone/>
          <wp:docPr id="10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tbl>
    <w:tblPr>
      <w:tblStyle w:val="Table3"/>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212">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213">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02774/INFOEM/IP/RR/2025.</w:t>
          </w:r>
        </w:p>
      </w:tc>
    </w:tr>
    <w:tr>
      <w:trPr>
        <w:cantSplit w:val="0"/>
        <w:trHeight w:val="212" w:hRule="atLeast"/>
        <w:tblHeader w:val="0"/>
      </w:trPr>
      <w:tc>
        <w:tcPr/>
        <w:p w:rsidR="00000000" w:rsidDel="00000000" w:rsidP="00000000" w:rsidRDefault="00000000" w:rsidRPr="00000000" w14:paraId="00000214">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215">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XXXXX XXXX XXXXXXX XXXXXX.</w:t>
          </w:r>
        </w:p>
      </w:tc>
    </w:tr>
    <w:tr>
      <w:trPr>
        <w:cantSplit w:val="0"/>
        <w:trHeight w:val="264" w:hRule="atLeast"/>
        <w:tblHeader w:val="0"/>
      </w:trPr>
      <w:tc>
        <w:tcPr/>
        <w:p w:rsidR="00000000" w:rsidDel="00000000" w:rsidP="00000000" w:rsidRDefault="00000000" w:rsidRPr="00000000" w14:paraId="00000216">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217">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Ocoyoacac.</w:t>
          </w:r>
        </w:p>
      </w:tc>
    </w:tr>
    <w:tr>
      <w:trPr>
        <w:cantSplit w:val="0"/>
        <w:trHeight w:val="373" w:hRule="atLeast"/>
        <w:tblHeader w:val="0"/>
      </w:trPr>
      <w:tc>
        <w:tcPr/>
        <w:p w:rsidR="00000000" w:rsidDel="00000000" w:rsidP="00000000" w:rsidRDefault="00000000" w:rsidRPr="00000000" w14:paraId="00000218">
          <w:pPr>
            <w:tabs>
              <w:tab w:val="left" w:leader="none"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219">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7"/>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71B53"/>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71B5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71B53"/>
  </w:style>
  <w:style w:type="paragraph" w:styleId="Piedepgina">
    <w:name w:val="footer"/>
    <w:basedOn w:val="Normal"/>
    <w:link w:val="PiedepginaCar"/>
    <w:uiPriority w:val="99"/>
    <w:unhideWhenUsed w:val="1"/>
    <w:rsid w:val="00271B5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71B53"/>
  </w:style>
  <w:style w:type="paragraph" w:styleId="Listaconvietas3">
    <w:name w:val="List Bullet 3"/>
    <w:basedOn w:val="Normal"/>
    <w:uiPriority w:val="99"/>
    <w:unhideWhenUsed w:val="1"/>
    <w:rsid w:val="00271B53"/>
    <w:pPr>
      <w:numPr>
        <w:numId w:val="1"/>
      </w:numPr>
      <w:spacing w:after="0" w:line="240" w:lineRule="auto"/>
      <w:ind w:left="7306"/>
      <w:contextualSpacing w:val="1"/>
    </w:pPr>
    <w:rPr>
      <w:rFonts w:ascii="Times New Roman" w:cs="Times New Roman" w:eastAsia="Times New Roman" w:hAnsi="Times New Roman"/>
      <w:sz w:val="24"/>
      <w:szCs w:val="24"/>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A381F"/>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rsid w:val="00CA381F"/>
  </w:style>
  <w:style w:type="paragraph" w:styleId="NormalWeb">
    <w:name w:val="Normal (Web)"/>
    <w:basedOn w:val="Normal"/>
    <w:uiPriority w:val="99"/>
    <w:unhideWhenUsed w:val="1"/>
    <w:rsid w:val="00E228F0"/>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apartados.hacienda.gob.mx/contabilidad/documentos/informe_cuenta/1998/cuenta_publica/Glosario/n.htm"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transparenciapresupuestaria.gob.mx/es/PTP/Glosar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1OzIal6NlPjSqMo2eS88d2I1wQ==">CgMxLjAyDmguYmtwemtpOXNqMzh6Mg5oLmtlbGdzMjQyOG9hNjIJaC4zem55c2g3OAByITFTVWRzM0xUd3JaOEdLSXlxM1RxY3I0WmUzWHBLV1ZoUA==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2025-06-11T17:14:00Z</dcterms:created>
  <dc:creator>INFOEM505</dc:creator>
</cp:coreProperties>
</file>