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BC93F" w14:textId="44D02F72" w:rsidR="00E31311" w:rsidRPr="001C0CF3" w:rsidRDefault="00DF6EAE" w:rsidP="001C0CF3">
      <w:pPr>
        <w:tabs>
          <w:tab w:val="left" w:pos="3465"/>
        </w:tabs>
        <w:spacing w:line="360" w:lineRule="auto"/>
        <w:jc w:val="both"/>
        <w:rPr>
          <w:rFonts w:ascii="Palatino Linotype" w:eastAsia="Palatino Linotype" w:hAnsi="Palatino Linotype" w:cs="Palatino Linotype"/>
          <w:color w:val="000000" w:themeColor="text1"/>
        </w:rPr>
      </w:pPr>
      <w:bookmarkStart w:id="0" w:name="_GoBack"/>
      <w:bookmarkEnd w:id="0"/>
      <w:r w:rsidRPr="001C0CF3">
        <w:rPr>
          <w:rFonts w:ascii="Palatino Linotype" w:eastAsia="Palatino Linotype" w:hAnsi="Palatino Linotype" w:cs="Palatino Linotype"/>
          <w:color w:val="000000" w:themeColor="text1"/>
        </w:rPr>
        <w:t>Resolución del Pleno del Instituto de Transparencia, Acceso a la Información Pública y Protección de Datos Personales del Estado de México y Municipios, con domicilio en Metepec, Esta</w:t>
      </w:r>
      <w:r w:rsidR="001660E4" w:rsidRPr="001C0CF3">
        <w:rPr>
          <w:rFonts w:ascii="Palatino Linotype" w:eastAsia="Palatino Linotype" w:hAnsi="Palatino Linotype" w:cs="Palatino Linotype"/>
          <w:color w:val="000000" w:themeColor="text1"/>
        </w:rPr>
        <w:t xml:space="preserve">do de México; </w:t>
      </w:r>
      <w:r w:rsidR="001660E4" w:rsidRPr="001C0CF3">
        <w:rPr>
          <w:rFonts w:ascii="Palatino Linotype" w:eastAsia="Palatino Linotype" w:hAnsi="Palatino Linotype" w:cs="Palatino Linotype"/>
          <w:b/>
          <w:color w:val="000000" w:themeColor="text1"/>
        </w:rPr>
        <w:t xml:space="preserve">de fecha </w:t>
      </w:r>
      <w:r w:rsidR="0026278A" w:rsidRPr="001C0CF3">
        <w:rPr>
          <w:rFonts w:ascii="Palatino Linotype" w:eastAsia="Palatino Linotype" w:hAnsi="Palatino Linotype" w:cs="Palatino Linotype"/>
          <w:b/>
          <w:color w:val="000000" w:themeColor="text1"/>
        </w:rPr>
        <w:t>veintidós</w:t>
      </w:r>
      <w:r w:rsidR="000C6210">
        <w:rPr>
          <w:rFonts w:ascii="Palatino Linotype" w:eastAsia="Palatino Linotype" w:hAnsi="Palatino Linotype" w:cs="Palatino Linotype"/>
          <w:b/>
          <w:color w:val="000000" w:themeColor="text1"/>
        </w:rPr>
        <w:t xml:space="preserve"> (22)</w:t>
      </w:r>
      <w:r w:rsidR="002527DC" w:rsidRPr="001C0CF3">
        <w:rPr>
          <w:rFonts w:ascii="Palatino Linotype" w:eastAsia="Palatino Linotype" w:hAnsi="Palatino Linotype" w:cs="Palatino Linotype"/>
          <w:b/>
          <w:color w:val="000000" w:themeColor="text1"/>
        </w:rPr>
        <w:t xml:space="preserve"> de </w:t>
      </w:r>
      <w:r w:rsidR="00DE7756" w:rsidRPr="001C0CF3">
        <w:rPr>
          <w:rFonts w:ascii="Palatino Linotype" w:eastAsia="Palatino Linotype" w:hAnsi="Palatino Linotype" w:cs="Palatino Linotype"/>
          <w:b/>
          <w:color w:val="000000" w:themeColor="text1"/>
        </w:rPr>
        <w:t>o</w:t>
      </w:r>
      <w:r w:rsidR="00E533E3" w:rsidRPr="001C0CF3">
        <w:rPr>
          <w:rFonts w:ascii="Palatino Linotype" w:eastAsia="Palatino Linotype" w:hAnsi="Palatino Linotype" w:cs="Palatino Linotype"/>
          <w:b/>
          <w:color w:val="000000" w:themeColor="text1"/>
        </w:rPr>
        <w:t>ctubre</w:t>
      </w:r>
      <w:r w:rsidR="001660E4" w:rsidRPr="001C0CF3">
        <w:rPr>
          <w:rFonts w:ascii="Palatino Linotype" w:eastAsia="Palatino Linotype" w:hAnsi="Palatino Linotype" w:cs="Palatino Linotype"/>
          <w:b/>
          <w:color w:val="000000" w:themeColor="text1"/>
        </w:rPr>
        <w:t xml:space="preserve"> de dos mil veinticinco</w:t>
      </w:r>
      <w:r w:rsidRPr="001C0CF3">
        <w:rPr>
          <w:rFonts w:ascii="Palatino Linotype" w:eastAsia="Palatino Linotype" w:hAnsi="Palatino Linotype" w:cs="Palatino Linotype"/>
          <w:color w:val="000000" w:themeColor="text1"/>
        </w:rPr>
        <w:t>.</w:t>
      </w:r>
    </w:p>
    <w:p w14:paraId="40245F63" w14:textId="77777777" w:rsidR="00E31311" w:rsidRPr="001C0CF3" w:rsidRDefault="00E31311" w:rsidP="001C0CF3">
      <w:pPr>
        <w:tabs>
          <w:tab w:val="left" w:pos="3465"/>
        </w:tabs>
        <w:spacing w:line="360" w:lineRule="auto"/>
        <w:jc w:val="both"/>
        <w:rPr>
          <w:rFonts w:ascii="Palatino Linotype" w:eastAsia="Palatino Linotype" w:hAnsi="Palatino Linotype" w:cs="Palatino Linotype"/>
          <w:color w:val="000000" w:themeColor="text1"/>
        </w:rPr>
      </w:pPr>
    </w:p>
    <w:p w14:paraId="4E6C2936" w14:textId="58C369DE" w:rsidR="00E31311" w:rsidRPr="001C0CF3" w:rsidRDefault="00DF6EAE" w:rsidP="001C0CF3">
      <w:pPr>
        <w:spacing w:line="360" w:lineRule="auto"/>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b/>
          <w:color w:val="000000" w:themeColor="text1"/>
        </w:rPr>
        <w:t>VISTO</w:t>
      </w:r>
      <w:r w:rsidRPr="001C0CF3">
        <w:rPr>
          <w:rFonts w:ascii="Palatino Linotype" w:eastAsia="Palatino Linotype" w:hAnsi="Palatino Linotype" w:cs="Palatino Linotype"/>
          <w:color w:val="000000" w:themeColor="text1"/>
        </w:rPr>
        <w:t xml:space="preserve"> el expediente elec</w:t>
      </w:r>
      <w:r w:rsidR="00A73D35" w:rsidRPr="001C0CF3">
        <w:rPr>
          <w:rFonts w:ascii="Palatino Linotype" w:eastAsia="Palatino Linotype" w:hAnsi="Palatino Linotype" w:cs="Palatino Linotype"/>
          <w:color w:val="000000" w:themeColor="text1"/>
        </w:rPr>
        <w:t>trónico formado con motivo del Recurso de R</w:t>
      </w:r>
      <w:r w:rsidRPr="001C0CF3">
        <w:rPr>
          <w:rFonts w:ascii="Palatino Linotype" w:eastAsia="Palatino Linotype" w:hAnsi="Palatino Linotype" w:cs="Palatino Linotype"/>
          <w:color w:val="000000" w:themeColor="text1"/>
        </w:rPr>
        <w:t xml:space="preserve">evisión </w:t>
      </w:r>
      <w:r w:rsidR="009C5FFA" w:rsidRPr="001C0CF3">
        <w:rPr>
          <w:rFonts w:ascii="Palatino Linotype" w:eastAsia="Palatino Linotype" w:hAnsi="Palatino Linotype" w:cs="Palatino Linotype"/>
          <w:b/>
          <w:color w:val="000000" w:themeColor="text1"/>
        </w:rPr>
        <w:t>04443/INFOEM/IP/RR/2025</w:t>
      </w:r>
      <w:r w:rsidRPr="001C0CF3">
        <w:rPr>
          <w:rFonts w:ascii="Palatino Linotype" w:eastAsia="Palatino Linotype" w:hAnsi="Palatino Linotype" w:cs="Palatino Linotype"/>
          <w:b/>
          <w:color w:val="000000" w:themeColor="text1"/>
        </w:rPr>
        <w:t xml:space="preserve">, </w:t>
      </w:r>
      <w:r w:rsidRPr="001C0CF3">
        <w:rPr>
          <w:rFonts w:ascii="Palatino Linotype" w:eastAsia="Palatino Linotype" w:hAnsi="Palatino Linotype" w:cs="Palatino Linotype"/>
          <w:color w:val="000000" w:themeColor="text1"/>
        </w:rPr>
        <w:t>promovido por</w:t>
      </w:r>
      <w:r w:rsidR="001660E4" w:rsidRPr="001C0CF3">
        <w:rPr>
          <w:rFonts w:ascii="Palatino Linotype" w:eastAsia="Palatino Linotype" w:hAnsi="Palatino Linotype" w:cs="Palatino Linotype"/>
          <w:b/>
          <w:color w:val="000000" w:themeColor="text1"/>
        </w:rPr>
        <w:t xml:space="preserve"> </w:t>
      </w:r>
      <w:r w:rsidR="00D6507E">
        <w:rPr>
          <w:rFonts w:ascii="Palatino Linotype" w:eastAsia="Palatino Linotype" w:hAnsi="Palatino Linotype" w:cs="Palatino Linotype"/>
          <w:b/>
          <w:color w:val="000000" w:themeColor="text1"/>
        </w:rPr>
        <w:t>XXXX</w:t>
      </w:r>
      <w:r w:rsidRPr="001C0CF3">
        <w:rPr>
          <w:rFonts w:ascii="Palatino Linotype" w:eastAsia="Palatino Linotype" w:hAnsi="Palatino Linotype" w:cs="Palatino Linotype"/>
          <w:color w:val="000000" w:themeColor="text1"/>
        </w:rPr>
        <w:t xml:space="preserve">, a quien en lo sucesivo se le identificará como </w:t>
      </w:r>
      <w:r w:rsidR="0026278A" w:rsidRPr="001C0CF3">
        <w:rPr>
          <w:rFonts w:ascii="Palatino Linotype" w:eastAsia="Palatino Linotype" w:hAnsi="Palatino Linotype" w:cs="Palatino Linotype"/>
          <w:b/>
          <w:color w:val="000000" w:themeColor="text1"/>
        </w:rPr>
        <w:t>EL RECURRENTE</w:t>
      </w:r>
      <w:r w:rsidRPr="001C0CF3">
        <w:rPr>
          <w:rFonts w:ascii="Palatino Linotype" w:eastAsia="Palatino Linotype" w:hAnsi="Palatino Linotype" w:cs="Palatino Linotype"/>
          <w:color w:val="000000" w:themeColor="text1"/>
        </w:rPr>
        <w:t xml:space="preserve">, en contra de la respuesta del </w:t>
      </w:r>
      <w:r w:rsidR="009C5FFA" w:rsidRPr="001C0CF3">
        <w:rPr>
          <w:rFonts w:ascii="Palatino Linotype" w:eastAsia="Palatino Linotype" w:hAnsi="Palatino Linotype" w:cs="Palatino Linotype"/>
          <w:b/>
          <w:color w:val="000000" w:themeColor="text1"/>
        </w:rPr>
        <w:t>Ayuntamiento de Almoloya de Juárez</w:t>
      </w:r>
      <w:r w:rsidRPr="001C0CF3">
        <w:rPr>
          <w:rFonts w:ascii="Palatino Linotype" w:eastAsia="Palatino Linotype" w:hAnsi="Palatino Linotype" w:cs="Palatino Linotype"/>
          <w:b/>
          <w:color w:val="000000" w:themeColor="text1"/>
        </w:rPr>
        <w:t xml:space="preserve">, </w:t>
      </w:r>
      <w:r w:rsidRPr="001C0CF3">
        <w:rPr>
          <w:rFonts w:ascii="Palatino Linotype" w:eastAsia="Palatino Linotype" w:hAnsi="Palatino Linotype" w:cs="Palatino Linotype"/>
          <w:color w:val="000000" w:themeColor="text1"/>
        </w:rPr>
        <w:t>en adelante el</w:t>
      </w:r>
      <w:r w:rsidRPr="001C0CF3">
        <w:rPr>
          <w:rFonts w:ascii="Palatino Linotype" w:eastAsia="Palatino Linotype" w:hAnsi="Palatino Linotype" w:cs="Palatino Linotype"/>
          <w:b/>
          <w:color w:val="000000" w:themeColor="text1"/>
        </w:rPr>
        <w:t xml:space="preserve"> SUJETO OBLIGADO</w:t>
      </w:r>
      <w:r w:rsidRPr="001C0CF3">
        <w:rPr>
          <w:rFonts w:ascii="Palatino Linotype" w:eastAsia="Palatino Linotype" w:hAnsi="Palatino Linotype" w:cs="Palatino Linotype"/>
          <w:color w:val="000000" w:themeColor="text1"/>
        </w:rPr>
        <w:t xml:space="preserve">, se procede a dictar la presente </w:t>
      </w:r>
      <w:r w:rsidR="00A73D35" w:rsidRPr="001C0CF3">
        <w:rPr>
          <w:rFonts w:ascii="Palatino Linotype" w:eastAsia="Palatino Linotype" w:hAnsi="Palatino Linotype" w:cs="Palatino Linotype"/>
          <w:color w:val="000000" w:themeColor="text1"/>
        </w:rPr>
        <w:t>R</w:t>
      </w:r>
      <w:r w:rsidRPr="001C0CF3">
        <w:rPr>
          <w:rFonts w:ascii="Palatino Linotype" w:eastAsia="Palatino Linotype" w:hAnsi="Palatino Linotype" w:cs="Palatino Linotype"/>
          <w:color w:val="000000" w:themeColor="text1"/>
        </w:rPr>
        <w:t>esolución, con base en los siguientes:</w:t>
      </w:r>
    </w:p>
    <w:p w14:paraId="2675EB10" w14:textId="77777777" w:rsidR="00E31311" w:rsidRPr="001C0CF3" w:rsidRDefault="00E31311" w:rsidP="001C0CF3">
      <w:pPr>
        <w:spacing w:line="360" w:lineRule="auto"/>
        <w:jc w:val="both"/>
        <w:rPr>
          <w:rFonts w:ascii="Palatino Linotype" w:eastAsia="Palatino Linotype" w:hAnsi="Palatino Linotype" w:cs="Palatino Linotype"/>
          <w:b/>
          <w:color w:val="000000" w:themeColor="text1"/>
        </w:rPr>
      </w:pPr>
    </w:p>
    <w:p w14:paraId="14C7949D" w14:textId="77777777" w:rsidR="00E31311" w:rsidRPr="001C0CF3" w:rsidRDefault="00DF6EAE" w:rsidP="001C0CF3">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1C0CF3">
        <w:rPr>
          <w:rFonts w:ascii="Palatino Linotype" w:eastAsia="Palatino Linotype" w:hAnsi="Palatino Linotype" w:cs="Palatino Linotype"/>
          <w:b/>
          <w:color w:val="000000" w:themeColor="text1"/>
          <w:sz w:val="24"/>
          <w:szCs w:val="24"/>
        </w:rPr>
        <w:t>A N T E C E D E N T E S</w:t>
      </w:r>
    </w:p>
    <w:p w14:paraId="479D0FAB" w14:textId="77777777" w:rsidR="00E31311" w:rsidRPr="001C0CF3" w:rsidRDefault="00E31311" w:rsidP="001C0CF3">
      <w:pPr>
        <w:spacing w:line="360" w:lineRule="auto"/>
        <w:jc w:val="both"/>
        <w:rPr>
          <w:rFonts w:ascii="Palatino Linotype" w:hAnsi="Palatino Linotype"/>
          <w:color w:val="000000" w:themeColor="text1"/>
        </w:rPr>
      </w:pPr>
    </w:p>
    <w:p w14:paraId="6F6EFBA5" w14:textId="362D387A" w:rsidR="00E31311" w:rsidRPr="001C0CF3" w:rsidRDefault="00DF6EAE"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eastAsia="Palatino Linotype" w:hAnsi="Palatino Linotype" w:cs="Palatino Linotype"/>
          <w:color w:val="000000" w:themeColor="text1"/>
        </w:rPr>
        <w:t>El día</w:t>
      </w:r>
      <w:r w:rsidR="001660E4" w:rsidRPr="001C0CF3">
        <w:rPr>
          <w:rFonts w:ascii="Palatino Linotype" w:eastAsia="Palatino Linotype" w:hAnsi="Palatino Linotype" w:cs="Palatino Linotype"/>
          <w:b/>
          <w:color w:val="000000" w:themeColor="text1"/>
        </w:rPr>
        <w:t xml:space="preserve"> </w:t>
      </w:r>
      <w:r w:rsidR="009C5FFA" w:rsidRPr="001C0CF3">
        <w:rPr>
          <w:rFonts w:ascii="Palatino Linotype" w:eastAsia="Palatino Linotype" w:hAnsi="Palatino Linotype" w:cs="Palatino Linotype"/>
          <w:b/>
          <w:color w:val="000000" w:themeColor="text1"/>
        </w:rPr>
        <w:t>veintiuno</w:t>
      </w:r>
      <w:r w:rsidR="00FF41DB" w:rsidRPr="001C0CF3">
        <w:rPr>
          <w:rFonts w:ascii="Palatino Linotype" w:eastAsia="Palatino Linotype" w:hAnsi="Palatino Linotype" w:cs="Palatino Linotype"/>
          <w:b/>
          <w:color w:val="000000" w:themeColor="text1"/>
        </w:rPr>
        <w:t xml:space="preserve"> de </w:t>
      </w:r>
      <w:r w:rsidR="009C5FFA" w:rsidRPr="001C0CF3">
        <w:rPr>
          <w:rFonts w:ascii="Palatino Linotype" w:eastAsia="Palatino Linotype" w:hAnsi="Palatino Linotype" w:cs="Palatino Linotype"/>
          <w:b/>
          <w:color w:val="000000" w:themeColor="text1"/>
        </w:rPr>
        <w:t>marzo</w:t>
      </w:r>
      <w:r w:rsidR="00A278EC" w:rsidRPr="001C0CF3">
        <w:rPr>
          <w:rFonts w:ascii="Palatino Linotype" w:eastAsia="Palatino Linotype" w:hAnsi="Palatino Linotype" w:cs="Palatino Linotype"/>
          <w:b/>
          <w:color w:val="000000" w:themeColor="text1"/>
        </w:rPr>
        <w:t xml:space="preserve"> </w:t>
      </w:r>
      <w:r w:rsidR="00BB66B2" w:rsidRPr="001C0CF3">
        <w:rPr>
          <w:rFonts w:ascii="Palatino Linotype" w:eastAsia="Palatino Linotype" w:hAnsi="Palatino Linotype" w:cs="Palatino Linotype"/>
          <w:b/>
          <w:color w:val="000000" w:themeColor="text1"/>
        </w:rPr>
        <w:t>dos mil veinticinco</w:t>
      </w:r>
      <w:r w:rsidRPr="001C0CF3">
        <w:rPr>
          <w:rFonts w:ascii="Palatino Linotype" w:eastAsia="Palatino Linotype" w:hAnsi="Palatino Linotype" w:cs="Palatino Linotype"/>
          <w:b/>
          <w:color w:val="000000" w:themeColor="text1"/>
        </w:rPr>
        <w:t xml:space="preserve">, </w:t>
      </w:r>
      <w:r w:rsidRPr="001C0CF3">
        <w:rPr>
          <w:rFonts w:ascii="Palatino Linotype" w:eastAsia="Palatino Linotype" w:hAnsi="Palatino Linotype" w:cs="Palatino Linotype"/>
          <w:color w:val="000000" w:themeColor="text1"/>
        </w:rPr>
        <w:t xml:space="preserve">se presentó ante el </w:t>
      </w:r>
      <w:r w:rsidRPr="001C0CF3">
        <w:rPr>
          <w:rFonts w:ascii="Palatino Linotype" w:eastAsia="Palatino Linotype" w:hAnsi="Palatino Linotype" w:cs="Palatino Linotype"/>
          <w:b/>
          <w:color w:val="000000" w:themeColor="text1"/>
        </w:rPr>
        <w:t>SUJETO OBLIGADO</w:t>
      </w:r>
      <w:r w:rsidR="00A87FF1" w:rsidRPr="001C0CF3">
        <w:rPr>
          <w:rFonts w:ascii="Palatino Linotype" w:eastAsia="Palatino Linotype" w:hAnsi="Palatino Linotype" w:cs="Palatino Linotype"/>
          <w:color w:val="000000" w:themeColor="text1"/>
        </w:rPr>
        <w:t xml:space="preserve"> vía</w:t>
      </w:r>
      <w:r w:rsidR="005706CE" w:rsidRPr="001C0CF3">
        <w:rPr>
          <w:rFonts w:ascii="Palatino Linotype" w:eastAsia="Palatino Linotype" w:hAnsi="Palatino Linotype" w:cs="Palatino Linotype"/>
          <w:color w:val="000000" w:themeColor="text1"/>
        </w:rPr>
        <w:t xml:space="preserve"> </w:t>
      </w:r>
      <w:r w:rsidR="00A87FF1" w:rsidRPr="001C0CF3">
        <w:rPr>
          <w:rFonts w:ascii="Palatino Linotype" w:eastAsia="Palatino Linotype" w:hAnsi="Palatino Linotype" w:cs="Palatino Linotype"/>
          <w:color w:val="000000" w:themeColor="text1"/>
        </w:rPr>
        <w:t>Sistema de Acceso a la Información Mexiquense</w:t>
      </w:r>
      <w:r w:rsidR="005706CE" w:rsidRPr="001C0CF3">
        <w:rPr>
          <w:rFonts w:ascii="Palatino Linotype" w:eastAsia="Palatino Linotype" w:hAnsi="Palatino Linotype" w:cs="Palatino Linotype"/>
          <w:color w:val="000000" w:themeColor="text1"/>
        </w:rPr>
        <w:t xml:space="preserve"> (SAIMEX)</w:t>
      </w:r>
      <w:r w:rsidRPr="001C0CF3">
        <w:rPr>
          <w:rFonts w:ascii="Palatino Linotype" w:eastAsia="Palatino Linotype" w:hAnsi="Palatino Linotype" w:cs="Palatino Linotype"/>
          <w:color w:val="000000" w:themeColor="text1"/>
        </w:rPr>
        <w:t>, la solicitud de información pública registrada con el número</w:t>
      </w:r>
      <w:r w:rsidRPr="001C0CF3">
        <w:rPr>
          <w:rFonts w:ascii="Palatino Linotype" w:eastAsia="Palatino Linotype" w:hAnsi="Palatino Linotype" w:cs="Palatino Linotype"/>
          <w:b/>
          <w:color w:val="000000" w:themeColor="text1"/>
        </w:rPr>
        <w:t xml:space="preserve">  </w:t>
      </w:r>
      <w:r w:rsidR="00230DA5" w:rsidRPr="001C0CF3">
        <w:rPr>
          <w:rFonts w:ascii="Palatino Linotype" w:eastAsia="Palatino Linotype" w:hAnsi="Palatino Linotype" w:cs="Palatino Linotype"/>
          <w:b/>
          <w:color w:val="000000" w:themeColor="text1"/>
        </w:rPr>
        <w:t>00144/ALMOJU/IP/2025</w:t>
      </w:r>
      <w:r w:rsidRPr="001C0CF3">
        <w:rPr>
          <w:rFonts w:ascii="Palatino Linotype" w:eastAsia="Palatino Linotype" w:hAnsi="Palatino Linotype" w:cs="Palatino Linotype"/>
          <w:b/>
          <w:color w:val="000000" w:themeColor="text1"/>
        </w:rPr>
        <w:t xml:space="preserve">; </w:t>
      </w:r>
      <w:r w:rsidRPr="001C0CF3">
        <w:rPr>
          <w:rFonts w:ascii="Palatino Linotype" w:eastAsia="Palatino Linotype" w:hAnsi="Palatino Linotype" w:cs="Palatino Linotype"/>
          <w:color w:val="000000" w:themeColor="text1"/>
        </w:rPr>
        <w:t xml:space="preserve">en la que se </w:t>
      </w:r>
      <w:r w:rsidR="00E533E3" w:rsidRPr="001C0CF3">
        <w:rPr>
          <w:rFonts w:ascii="Palatino Linotype" w:eastAsia="Palatino Linotype" w:hAnsi="Palatino Linotype" w:cs="Palatino Linotype"/>
          <w:color w:val="000000" w:themeColor="text1"/>
        </w:rPr>
        <w:t>requirió</w:t>
      </w:r>
      <w:r w:rsidRPr="001C0CF3">
        <w:rPr>
          <w:rFonts w:ascii="Palatino Linotype" w:eastAsia="Palatino Linotype" w:hAnsi="Palatino Linotype" w:cs="Palatino Linotype"/>
          <w:color w:val="000000" w:themeColor="text1"/>
        </w:rPr>
        <w:t xml:space="preserve"> la siguiente información:</w:t>
      </w:r>
    </w:p>
    <w:p w14:paraId="0FB8D1B2" w14:textId="77777777" w:rsidR="00E31311" w:rsidRPr="001C0CF3" w:rsidRDefault="00E31311" w:rsidP="001C0CF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0514ABE" w14:textId="560E5D80" w:rsidR="00E31311" w:rsidRPr="001C0CF3" w:rsidRDefault="00A87FF1" w:rsidP="001C0CF3">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w:t>
      </w:r>
      <w:r w:rsidR="00230DA5" w:rsidRPr="001C0CF3">
        <w:rPr>
          <w:rFonts w:ascii="Palatino Linotype" w:eastAsia="Palatino Linotype" w:hAnsi="Palatino Linotype" w:cs="Palatino Linotype"/>
          <w:i/>
          <w:color w:val="000000" w:themeColor="text1"/>
        </w:rPr>
        <w:t>RELACION DE GASTOS MENSUALES PARA MANTENIMIENTO DE ALUMBRADO PUBLICO 2025</w:t>
      </w:r>
      <w:r w:rsidR="00DF6EAE" w:rsidRPr="001C0CF3">
        <w:rPr>
          <w:rFonts w:ascii="Palatino Linotype" w:eastAsia="Palatino Linotype" w:hAnsi="Palatino Linotype" w:cs="Palatino Linotype"/>
          <w:i/>
          <w:color w:val="000000" w:themeColor="text1"/>
        </w:rPr>
        <w:t>”</w:t>
      </w:r>
    </w:p>
    <w:p w14:paraId="7D4EAA1F" w14:textId="77777777" w:rsidR="00FF41DB" w:rsidRPr="001C0CF3" w:rsidRDefault="00FF41DB" w:rsidP="001C0CF3">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54AC75A3" w14:textId="6AE5C361" w:rsidR="00E31311" w:rsidRPr="001C0CF3" w:rsidRDefault="00A87FF1" w:rsidP="001C0CF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1C0CF3">
        <w:rPr>
          <w:rFonts w:ascii="Palatino Linotype" w:eastAsia="Palatino Linotype" w:hAnsi="Palatino Linotype" w:cs="Palatino Linotype"/>
          <w:color w:val="000000" w:themeColor="text1"/>
        </w:rPr>
        <w:t>Se eligió como modalidad de entrega</w:t>
      </w:r>
      <w:r w:rsidR="00370DEE" w:rsidRPr="001C0CF3">
        <w:rPr>
          <w:rFonts w:ascii="Palatino Linotype" w:eastAsia="Palatino Linotype" w:hAnsi="Palatino Linotype" w:cs="Palatino Linotype"/>
          <w:color w:val="000000" w:themeColor="text1"/>
        </w:rPr>
        <w:t>:</w:t>
      </w:r>
      <w:r w:rsidRPr="001C0CF3">
        <w:rPr>
          <w:rFonts w:ascii="Palatino Linotype" w:eastAsia="Palatino Linotype" w:hAnsi="Palatino Linotype" w:cs="Palatino Linotype"/>
          <w:color w:val="000000" w:themeColor="text1"/>
        </w:rPr>
        <w:t xml:space="preserve"> </w:t>
      </w:r>
      <w:r w:rsidRPr="001C0CF3">
        <w:rPr>
          <w:rFonts w:ascii="Palatino Linotype" w:eastAsia="Palatino Linotype" w:hAnsi="Palatino Linotype" w:cs="Palatino Linotype"/>
          <w:b/>
          <w:color w:val="000000" w:themeColor="text1"/>
        </w:rPr>
        <w:t>SAIMEX</w:t>
      </w:r>
    </w:p>
    <w:p w14:paraId="7729D6D0" w14:textId="77777777" w:rsidR="00E31311" w:rsidRPr="001C0CF3" w:rsidRDefault="00E31311" w:rsidP="001C0CF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7530B5B8" w14:textId="3A473A10" w:rsidR="003348C6" w:rsidRPr="001C0CF3" w:rsidRDefault="001660E4"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1C0CF3">
        <w:rPr>
          <w:rFonts w:ascii="Palatino Linotype" w:eastAsia="Palatino Linotype" w:hAnsi="Palatino Linotype" w:cs="Palatino Linotype"/>
          <w:color w:val="000000" w:themeColor="text1"/>
        </w:rPr>
        <w:t xml:space="preserve">En fecha </w:t>
      </w:r>
      <w:r w:rsidR="00230DA5" w:rsidRPr="001C0CF3">
        <w:rPr>
          <w:rFonts w:ascii="Palatino Linotype" w:eastAsia="Palatino Linotype" w:hAnsi="Palatino Linotype" w:cs="Palatino Linotype"/>
          <w:b/>
          <w:color w:val="000000" w:themeColor="text1"/>
        </w:rPr>
        <w:t>diez</w:t>
      </w:r>
      <w:r w:rsidR="00FF41DB" w:rsidRPr="001C0CF3">
        <w:rPr>
          <w:rFonts w:ascii="Palatino Linotype" w:eastAsia="Palatino Linotype" w:hAnsi="Palatino Linotype" w:cs="Palatino Linotype"/>
          <w:b/>
          <w:color w:val="000000" w:themeColor="text1"/>
        </w:rPr>
        <w:t xml:space="preserve"> de abril</w:t>
      </w:r>
      <w:r w:rsidRPr="001C0CF3">
        <w:rPr>
          <w:rFonts w:ascii="Palatino Linotype" w:eastAsia="Palatino Linotype" w:hAnsi="Palatino Linotype" w:cs="Palatino Linotype"/>
          <w:b/>
          <w:color w:val="000000" w:themeColor="text1"/>
        </w:rPr>
        <w:t xml:space="preserve"> </w:t>
      </w:r>
      <w:r w:rsidR="00816C30" w:rsidRPr="001C0CF3">
        <w:rPr>
          <w:rFonts w:ascii="Palatino Linotype" w:eastAsia="Palatino Linotype" w:hAnsi="Palatino Linotype" w:cs="Palatino Linotype"/>
          <w:b/>
          <w:color w:val="000000" w:themeColor="text1"/>
        </w:rPr>
        <w:t>de dos mil veinticinc</w:t>
      </w:r>
      <w:r w:rsidR="00DF6EAE" w:rsidRPr="001C0CF3">
        <w:rPr>
          <w:rFonts w:ascii="Palatino Linotype" w:eastAsia="Palatino Linotype" w:hAnsi="Palatino Linotype" w:cs="Palatino Linotype"/>
          <w:b/>
          <w:color w:val="000000" w:themeColor="text1"/>
        </w:rPr>
        <w:t>o</w:t>
      </w:r>
      <w:r w:rsidR="00DF6EAE" w:rsidRPr="001C0CF3">
        <w:rPr>
          <w:rFonts w:ascii="Palatino Linotype" w:eastAsia="Palatino Linotype" w:hAnsi="Palatino Linotype" w:cs="Palatino Linotype"/>
          <w:color w:val="000000" w:themeColor="text1"/>
        </w:rPr>
        <w:t xml:space="preserve"> el </w:t>
      </w:r>
      <w:r w:rsidR="00DF6EAE" w:rsidRPr="001C0CF3">
        <w:rPr>
          <w:rFonts w:ascii="Palatino Linotype" w:eastAsia="Palatino Linotype" w:hAnsi="Palatino Linotype" w:cs="Palatino Linotype"/>
          <w:b/>
          <w:color w:val="000000" w:themeColor="text1"/>
        </w:rPr>
        <w:t>SUJETO OBLIGADO,</w:t>
      </w:r>
      <w:r w:rsidR="00DF6EAE" w:rsidRPr="001C0CF3">
        <w:rPr>
          <w:rFonts w:ascii="Palatino Linotype" w:eastAsia="Palatino Linotype" w:hAnsi="Palatino Linotype" w:cs="Palatino Linotype"/>
          <w:color w:val="000000" w:themeColor="text1"/>
        </w:rPr>
        <w:t xml:space="preserve"> dio respuesta a la solicitud</w:t>
      </w:r>
      <w:r w:rsidR="003142E9" w:rsidRPr="001C0CF3">
        <w:rPr>
          <w:rFonts w:ascii="Palatino Linotype" w:eastAsia="Palatino Linotype" w:hAnsi="Palatino Linotype" w:cs="Palatino Linotype"/>
          <w:color w:val="000000" w:themeColor="text1"/>
        </w:rPr>
        <w:t xml:space="preserve">, </w:t>
      </w:r>
      <w:r w:rsidR="00FF41DB" w:rsidRPr="001C0CF3">
        <w:rPr>
          <w:rFonts w:ascii="Palatino Linotype" w:eastAsia="Palatino Linotype" w:hAnsi="Palatino Linotype" w:cs="Palatino Linotype"/>
          <w:color w:val="000000" w:themeColor="text1"/>
        </w:rPr>
        <w:t xml:space="preserve">un archivo denominado </w:t>
      </w:r>
      <w:r w:rsidR="00CB42D1" w:rsidRPr="001C0CF3">
        <w:rPr>
          <w:rFonts w:ascii="Palatino Linotype" w:eastAsia="Palatino Linotype" w:hAnsi="Palatino Linotype" w:cs="Palatino Linotype"/>
          <w:b/>
          <w:i/>
          <w:color w:val="000000" w:themeColor="text1"/>
        </w:rPr>
        <w:t xml:space="preserve">Resp. Sol. 00144-2025.pdf, </w:t>
      </w:r>
      <w:r w:rsidR="00CB42D1" w:rsidRPr="001C0CF3">
        <w:rPr>
          <w:rFonts w:ascii="Palatino Linotype" w:eastAsia="Palatino Linotype" w:hAnsi="Palatino Linotype" w:cs="Palatino Linotype"/>
          <w:color w:val="000000" w:themeColor="text1"/>
        </w:rPr>
        <w:t xml:space="preserve">cuyo contenido corresponde </w:t>
      </w:r>
      <w:r w:rsidR="00CB42D1" w:rsidRPr="001C0CF3">
        <w:rPr>
          <w:rFonts w:ascii="Palatino Linotype" w:eastAsia="Palatino Linotype" w:hAnsi="Palatino Linotype" w:cs="Palatino Linotype"/>
          <w:color w:val="000000" w:themeColor="text1"/>
        </w:rPr>
        <w:lastRenderedPageBreak/>
        <w:t>a dos oficios, el primero suscrito por el Titular de la Unidad de Transparencia y dirigido al Director de Conservación y Servicios Metropolitanos, a través del cual le hace el requerimiento para dar atención a la solicitud de información y, el segundo a través del cual el servidor público habilitado de referencia da contestación, informando que luego de una búsqueda exhaustiva y razonable de la información no se encontró documento alguno que dé cuenta de lo solicitado al no ser competencia de dicha unidad administrativa el generarla.</w:t>
      </w:r>
    </w:p>
    <w:p w14:paraId="13BEA4C6" w14:textId="77777777" w:rsidR="003348C6" w:rsidRPr="001C0CF3" w:rsidRDefault="003348C6" w:rsidP="001C0CF3">
      <w:pPr>
        <w:pBdr>
          <w:top w:val="nil"/>
          <w:left w:val="nil"/>
          <w:bottom w:val="nil"/>
          <w:right w:val="nil"/>
          <w:between w:val="nil"/>
        </w:pBdr>
        <w:tabs>
          <w:tab w:val="left" w:pos="0"/>
        </w:tabs>
        <w:spacing w:line="360" w:lineRule="auto"/>
        <w:jc w:val="both"/>
        <w:rPr>
          <w:rFonts w:ascii="Palatino Linotype" w:hAnsi="Palatino Linotype"/>
          <w:color w:val="000000" w:themeColor="text1"/>
        </w:rPr>
      </w:pPr>
    </w:p>
    <w:p w14:paraId="19BA69B7" w14:textId="56D4C22A" w:rsidR="00E31311" w:rsidRPr="001C0CF3" w:rsidRDefault="00AE1941" w:rsidP="001C0CF3">
      <w:pPr>
        <w:numPr>
          <w:ilvl w:val="0"/>
          <w:numId w:val="3"/>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1C0CF3">
        <w:rPr>
          <w:rFonts w:ascii="Palatino Linotype" w:eastAsia="Palatino Linotype" w:hAnsi="Palatino Linotype" w:cs="Palatino Linotype"/>
          <w:color w:val="000000" w:themeColor="text1"/>
        </w:rPr>
        <w:t xml:space="preserve">Inconforme con la respuesta el </w:t>
      </w:r>
      <w:r w:rsidR="00CB42D1" w:rsidRPr="001C0CF3">
        <w:rPr>
          <w:rFonts w:ascii="Palatino Linotype" w:eastAsia="Palatino Linotype" w:hAnsi="Palatino Linotype" w:cs="Palatino Linotype"/>
          <w:b/>
          <w:color w:val="000000" w:themeColor="text1"/>
        </w:rPr>
        <w:t>quince</w:t>
      </w:r>
      <w:r w:rsidR="003348C6" w:rsidRPr="001C0CF3">
        <w:rPr>
          <w:rFonts w:ascii="Palatino Linotype" w:eastAsia="Palatino Linotype" w:hAnsi="Palatino Linotype" w:cs="Palatino Linotype"/>
          <w:b/>
          <w:color w:val="000000" w:themeColor="text1"/>
        </w:rPr>
        <w:t xml:space="preserve"> de abril</w:t>
      </w:r>
      <w:r w:rsidRPr="001C0CF3">
        <w:rPr>
          <w:rFonts w:ascii="Palatino Linotype" w:eastAsia="Palatino Linotype" w:hAnsi="Palatino Linotype" w:cs="Palatino Linotype"/>
          <w:b/>
          <w:color w:val="000000" w:themeColor="text1"/>
        </w:rPr>
        <w:t xml:space="preserve"> del año en curso</w:t>
      </w:r>
      <w:r w:rsidRPr="001C0CF3">
        <w:rPr>
          <w:rFonts w:ascii="Palatino Linotype" w:eastAsia="Palatino Linotype" w:hAnsi="Palatino Linotype" w:cs="Palatino Linotype"/>
          <w:color w:val="000000" w:themeColor="text1"/>
        </w:rPr>
        <w:t xml:space="preserve">, </w:t>
      </w:r>
      <w:r w:rsidR="00DF6EAE" w:rsidRPr="001C0CF3">
        <w:rPr>
          <w:rFonts w:ascii="Palatino Linotype" w:eastAsia="Palatino Linotype" w:hAnsi="Palatino Linotype" w:cs="Palatino Linotype"/>
          <w:color w:val="000000" w:themeColor="text1"/>
        </w:rPr>
        <w:t>interpuso el recurso de revisión en contra de la respuesta, manifestando las siguientes razones o motivos de inconformidad:</w:t>
      </w:r>
    </w:p>
    <w:p w14:paraId="1F763EBD" w14:textId="77777777" w:rsidR="00A87FF1" w:rsidRPr="001C0CF3" w:rsidRDefault="00A87FF1" w:rsidP="001C0CF3">
      <w:pPr>
        <w:pBdr>
          <w:top w:val="nil"/>
          <w:left w:val="nil"/>
          <w:bottom w:val="nil"/>
          <w:right w:val="nil"/>
          <w:between w:val="nil"/>
        </w:pBdr>
        <w:tabs>
          <w:tab w:val="left" w:pos="0"/>
        </w:tabs>
        <w:spacing w:line="360" w:lineRule="auto"/>
        <w:jc w:val="both"/>
        <w:rPr>
          <w:rFonts w:ascii="Palatino Linotype" w:hAnsi="Palatino Linotype"/>
          <w:color w:val="000000" w:themeColor="text1"/>
        </w:rPr>
      </w:pPr>
    </w:p>
    <w:p w14:paraId="1651A76A" w14:textId="343A824B" w:rsidR="00E31311" w:rsidRPr="001C0CF3" w:rsidRDefault="00DF6EAE" w:rsidP="001C0CF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bookmarkStart w:id="2" w:name="_heading=h.30j0zll" w:colFirst="0" w:colLast="0"/>
      <w:bookmarkEnd w:id="2"/>
      <w:r w:rsidRPr="001C0CF3">
        <w:rPr>
          <w:rFonts w:ascii="Palatino Linotype" w:eastAsia="Palatino Linotype" w:hAnsi="Palatino Linotype" w:cs="Palatino Linotype"/>
          <w:b/>
          <w:color w:val="000000" w:themeColor="text1"/>
        </w:rPr>
        <w:t xml:space="preserve">Acto impugnado: </w:t>
      </w:r>
      <w:r w:rsidR="00A87FF1" w:rsidRPr="001C0CF3">
        <w:rPr>
          <w:rFonts w:ascii="Palatino Linotype" w:eastAsia="Palatino Linotype" w:hAnsi="Palatino Linotype" w:cs="Palatino Linotype"/>
          <w:i/>
          <w:color w:val="000000" w:themeColor="text1"/>
        </w:rPr>
        <w:t>“</w:t>
      </w:r>
      <w:r w:rsidR="00CB42D1" w:rsidRPr="001C0CF3">
        <w:rPr>
          <w:rFonts w:ascii="Palatino Linotype" w:eastAsia="Palatino Linotype" w:hAnsi="Palatino Linotype" w:cs="Palatino Linotype"/>
          <w:i/>
          <w:color w:val="000000" w:themeColor="text1"/>
        </w:rPr>
        <w:t>negativa</w:t>
      </w:r>
      <w:r w:rsidRPr="001C0CF3">
        <w:rPr>
          <w:rFonts w:ascii="Palatino Linotype" w:eastAsia="Palatino Linotype" w:hAnsi="Palatino Linotype" w:cs="Palatino Linotype"/>
          <w:i/>
          <w:color w:val="000000" w:themeColor="text1"/>
        </w:rPr>
        <w:t>”</w:t>
      </w:r>
    </w:p>
    <w:p w14:paraId="55903D50" w14:textId="77777777" w:rsidR="00A87FF1" w:rsidRPr="001C0CF3" w:rsidRDefault="00A87FF1" w:rsidP="001C0CF3">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14:paraId="198CFB8F" w14:textId="4BE6ADD8" w:rsidR="00E31311" w:rsidRPr="001C0CF3" w:rsidRDefault="00DF6EAE" w:rsidP="001C0CF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color w:val="000000" w:themeColor="text1"/>
        </w:rPr>
        <w:t>Razones o Motivos de Inconformidad:</w:t>
      </w:r>
      <w:r w:rsidR="00A87FF1" w:rsidRPr="001C0CF3">
        <w:rPr>
          <w:rFonts w:ascii="Palatino Linotype" w:eastAsia="Palatino Linotype" w:hAnsi="Palatino Linotype" w:cs="Palatino Linotype"/>
          <w:i/>
          <w:color w:val="000000" w:themeColor="text1"/>
        </w:rPr>
        <w:t xml:space="preserve"> “</w:t>
      </w:r>
      <w:r w:rsidR="00CB42D1" w:rsidRPr="001C0CF3">
        <w:rPr>
          <w:rFonts w:ascii="Palatino Linotype" w:eastAsia="Palatino Linotype" w:hAnsi="Palatino Linotype" w:cs="Palatino Linotype"/>
          <w:i/>
          <w:color w:val="000000" w:themeColor="text1"/>
        </w:rPr>
        <w:t>no dan informacion</w:t>
      </w:r>
      <w:r w:rsidRPr="001C0CF3">
        <w:rPr>
          <w:rFonts w:ascii="Palatino Linotype" w:eastAsia="Palatino Linotype" w:hAnsi="Palatino Linotype" w:cs="Palatino Linotype"/>
          <w:i/>
          <w:color w:val="000000" w:themeColor="text1"/>
        </w:rPr>
        <w:t>”</w:t>
      </w:r>
    </w:p>
    <w:p w14:paraId="509B5A17" w14:textId="77777777" w:rsidR="00E734A3" w:rsidRPr="001C0CF3" w:rsidRDefault="00E734A3" w:rsidP="001C0CF3">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14:paraId="4F566009" w14:textId="7007DEFF" w:rsidR="00E31311" w:rsidRPr="001C0CF3" w:rsidRDefault="00DF6EAE"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eastAsia="Palatino Linotype" w:hAnsi="Palatino Linotype" w:cs="Palatino Linotype"/>
          <w:color w:val="000000" w:themeColor="text1"/>
        </w:rPr>
        <w:t>La Comisionada Ponente con fundamento en lo dispuesto por el artículo 185 fracción II de la ley de la materia, a través del a</w:t>
      </w:r>
      <w:r w:rsidR="00A87FF1" w:rsidRPr="001C0CF3">
        <w:rPr>
          <w:rFonts w:ascii="Palatino Linotype" w:eastAsia="Palatino Linotype" w:hAnsi="Palatino Linotype" w:cs="Palatino Linotype"/>
          <w:color w:val="000000" w:themeColor="text1"/>
        </w:rPr>
        <w:t xml:space="preserve">cuerdo de admisión de fecha </w:t>
      </w:r>
      <w:r w:rsidR="00315842" w:rsidRPr="001C0CF3">
        <w:rPr>
          <w:rFonts w:ascii="Palatino Linotype" w:eastAsia="Palatino Linotype" w:hAnsi="Palatino Linotype" w:cs="Palatino Linotype"/>
          <w:color w:val="000000" w:themeColor="text1"/>
        </w:rPr>
        <w:t>seis de may</w:t>
      </w:r>
      <w:r w:rsidR="00816C30" w:rsidRPr="001C0CF3">
        <w:rPr>
          <w:rFonts w:ascii="Palatino Linotype" w:eastAsia="Palatino Linotype" w:hAnsi="Palatino Linotype" w:cs="Palatino Linotype"/>
          <w:color w:val="000000" w:themeColor="text1"/>
        </w:rPr>
        <w:t>o</w:t>
      </w:r>
      <w:r w:rsidRPr="001C0CF3">
        <w:rPr>
          <w:rFonts w:ascii="Palatino Linotype" w:eastAsia="Palatino Linotype" w:hAnsi="Palatino Linotype" w:cs="Palatino Linotype"/>
          <w:b/>
          <w:color w:val="000000" w:themeColor="text1"/>
        </w:rPr>
        <w:t xml:space="preserve"> </w:t>
      </w:r>
      <w:r w:rsidR="002008D5" w:rsidRPr="001C0CF3">
        <w:rPr>
          <w:rFonts w:ascii="Palatino Linotype" w:eastAsia="Palatino Linotype" w:hAnsi="Palatino Linotype" w:cs="Palatino Linotype"/>
          <w:color w:val="000000" w:themeColor="text1"/>
        </w:rPr>
        <w:t>de dos mil veinticinc</w:t>
      </w:r>
      <w:r w:rsidRPr="001C0CF3">
        <w:rPr>
          <w:rFonts w:ascii="Palatino Linotype" w:eastAsia="Palatino Linotype" w:hAnsi="Palatino Linotype" w:cs="Palatino Linotype"/>
          <w:color w:val="000000" w:themeColor="text1"/>
        </w:rPr>
        <w:t xml:space="preserve">o, puso a disposición de las partes el expediente electrónico vía </w:t>
      </w:r>
      <w:r w:rsidRPr="001C0CF3">
        <w:rPr>
          <w:rFonts w:ascii="Palatino Linotype" w:eastAsia="Palatino Linotype" w:hAnsi="Palatino Linotype" w:cs="Palatino Linotype"/>
          <w:b/>
          <w:color w:val="000000" w:themeColor="text1"/>
        </w:rPr>
        <w:t xml:space="preserve">SAIMEX </w:t>
      </w:r>
      <w:r w:rsidRPr="001C0CF3">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corresponda a los casos concretos, y el </w:t>
      </w:r>
      <w:r w:rsidRPr="001C0CF3">
        <w:rPr>
          <w:rFonts w:ascii="Palatino Linotype" w:eastAsia="Palatino Linotype" w:hAnsi="Palatino Linotype" w:cs="Palatino Linotype"/>
          <w:b/>
          <w:color w:val="000000" w:themeColor="text1"/>
        </w:rPr>
        <w:t>SUJETO OBLIGADO</w:t>
      </w:r>
      <w:r w:rsidRPr="001C0CF3">
        <w:rPr>
          <w:rFonts w:ascii="Palatino Linotype" w:eastAsia="Palatino Linotype" w:hAnsi="Palatino Linotype" w:cs="Palatino Linotype"/>
          <w:color w:val="000000" w:themeColor="text1"/>
        </w:rPr>
        <w:t xml:space="preserve"> presentará el Informe Justificado procedente.</w:t>
      </w:r>
    </w:p>
    <w:p w14:paraId="3FAF191A" w14:textId="77777777" w:rsidR="00BD011E" w:rsidRPr="001C0CF3" w:rsidRDefault="00BD011E" w:rsidP="001C0CF3">
      <w:pPr>
        <w:pBdr>
          <w:top w:val="nil"/>
          <w:left w:val="nil"/>
          <w:bottom w:val="nil"/>
          <w:right w:val="nil"/>
          <w:between w:val="nil"/>
        </w:pBdr>
        <w:spacing w:line="360" w:lineRule="auto"/>
        <w:jc w:val="both"/>
        <w:rPr>
          <w:rFonts w:ascii="Palatino Linotype" w:hAnsi="Palatino Linotype"/>
          <w:color w:val="000000" w:themeColor="text1"/>
        </w:rPr>
      </w:pPr>
    </w:p>
    <w:p w14:paraId="3B62E080" w14:textId="2D5100E8" w:rsidR="005F324D" w:rsidRPr="001C0CF3" w:rsidRDefault="00DF6EAE"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lastRenderedPageBreak/>
        <w:t xml:space="preserve">De lo anterior, el </w:t>
      </w:r>
      <w:r w:rsidRPr="001C0CF3">
        <w:rPr>
          <w:rFonts w:ascii="Palatino Linotype" w:eastAsia="Palatino Linotype" w:hAnsi="Palatino Linotype" w:cs="Palatino Linotype"/>
          <w:b/>
          <w:color w:val="000000" w:themeColor="text1"/>
        </w:rPr>
        <w:t xml:space="preserve">SUJETO OBLIGADO </w:t>
      </w:r>
      <w:r w:rsidR="00315842" w:rsidRPr="001C0CF3">
        <w:rPr>
          <w:rFonts w:ascii="Palatino Linotype" w:eastAsia="Palatino Linotype" w:hAnsi="Palatino Linotype" w:cs="Palatino Linotype"/>
          <w:color w:val="000000" w:themeColor="text1"/>
        </w:rPr>
        <w:t xml:space="preserve">fue omiso en </w:t>
      </w:r>
      <w:r w:rsidR="00CB42D1" w:rsidRPr="001C0CF3">
        <w:rPr>
          <w:rFonts w:ascii="Palatino Linotype" w:eastAsia="Palatino Linotype" w:hAnsi="Palatino Linotype" w:cs="Palatino Linotype"/>
          <w:color w:val="000000" w:themeColor="text1"/>
        </w:rPr>
        <w:t>rendir el informe justificado correspondiente</w:t>
      </w:r>
      <w:r w:rsidR="00C255CF" w:rsidRPr="001C0CF3">
        <w:rPr>
          <w:rFonts w:ascii="Palatino Linotype" w:eastAsia="Palatino Linotype" w:hAnsi="Palatino Linotype" w:cs="Palatino Linotype"/>
          <w:color w:val="000000" w:themeColor="text1"/>
        </w:rPr>
        <w:t>.</w:t>
      </w:r>
      <w:r w:rsidR="00CB42D1" w:rsidRPr="001C0CF3">
        <w:rPr>
          <w:rFonts w:ascii="Palatino Linotype" w:eastAsia="Palatino Linotype" w:hAnsi="Palatino Linotype" w:cs="Palatino Linotype"/>
          <w:color w:val="000000" w:themeColor="text1"/>
        </w:rPr>
        <w:t xml:space="preserve"> Por su parte el</w:t>
      </w:r>
      <w:r w:rsidR="00315842" w:rsidRPr="001C0CF3">
        <w:rPr>
          <w:rFonts w:ascii="Palatino Linotype" w:eastAsia="Palatino Linotype" w:hAnsi="Palatino Linotype" w:cs="Palatino Linotype"/>
          <w:color w:val="000000" w:themeColor="text1"/>
        </w:rPr>
        <w:t xml:space="preserve"> ahora </w:t>
      </w:r>
      <w:r w:rsidR="00315842" w:rsidRPr="001C0CF3">
        <w:rPr>
          <w:rFonts w:ascii="Palatino Linotype" w:eastAsia="Palatino Linotype" w:hAnsi="Palatino Linotype" w:cs="Palatino Linotype"/>
          <w:b/>
          <w:color w:val="000000" w:themeColor="text1"/>
        </w:rPr>
        <w:t>RECURRENTE</w:t>
      </w:r>
      <w:r w:rsidR="00315842" w:rsidRPr="001C0CF3">
        <w:rPr>
          <w:rFonts w:ascii="Palatino Linotype" w:eastAsia="Palatino Linotype" w:hAnsi="Palatino Linotype" w:cs="Palatino Linotype"/>
          <w:color w:val="000000" w:themeColor="text1"/>
        </w:rPr>
        <w:t xml:space="preserve"> </w:t>
      </w:r>
      <w:r w:rsidR="00CB42D1" w:rsidRPr="001C0CF3">
        <w:rPr>
          <w:rFonts w:ascii="Palatino Linotype" w:eastAsia="Palatino Linotype" w:hAnsi="Palatino Linotype" w:cs="Palatino Linotype"/>
          <w:color w:val="000000" w:themeColor="text1"/>
        </w:rPr>
        <w:t>fue omiso en realizar manifestaciones que a su derecho conviniera y asistiera.</w:t>
      </w:r>
    </w:p>
    <w:p w14:paraId="32B67A14" w14:textId="77777777" w:rsidR="00AE1941" w:rsidRPr="001C0CF3" w:rsidRDefault="00AE1941" w:rsidP="001C0CF3">
      <w:pPr>
        <w:spacing w:line="360" w:lineRule="auto"/>
        <w:jc w:val="both"/>
        <w:rPr>
          <w:rFonts w:ascii="Palatino Linotype" w:hAnsi="Palatino Linotype"/>
          <w:color w:val="000000" w:themeColor="text1"/>
        </w:rPr>
      </w:pPr>
    </w:p>
    <w:p w14:paraId="1D761E85" w14:textId="017CCEE7" w:rsidR="00E31311" w:rsidRPr="001C0CF3" w:rsidRDefault="00DF6EAE"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bookmarkStart w:id="3" w:name="_heading=h.1fob9te" w:colFirst="0" w:colLast="0"/>
      <w:bookmarkEnd w:id="3"/>
      <w:r w:rsidRPr="001C0CF3">
        <w:rPr>
          <w:rFonts w:ascii="Palatino Linotype" w:eastAsia="Palatino Linotype" w:hAnsi="Palatino Linotype" w:cs="Palatino Linotype"/>
          <w:color w:val="000000" w:themeColor="text1"/>
        </w:rPr>
        <w:t xml:space="preserve">Seguidamente, mediante </w:t>
      </w:r>
      <w:r w:rsidR="00D746B0" w:rsidRPr="001C0CF3">
        <w:rPr>
          <w:rFonts w:ascii="Palatino Linotype" w:eastAsia="Palatino Linotype" w:hAnsi="Palatino Linotype" w:cs="Palatino Linotype"/>
          <w:color w:val="000000" w:themeColor="text1"/>
        </w:rPr>
        <w:t>acuerdo</w:t>
      </w:r>
      <w:r w:rsidR="0058489C" w:rsidRPr="001C0CF3">
        <w:rPr>
          <w:rFonts w:ascii="Palatino Linotype" w:eastAsia="Palatino Linotype" w:hAnsi="Palatino Linotype" w:cs="Palatino Linotype"/>
          <w:color w:val="000000" w:themeColor="text1"/>
        </w:rPr>
        <w:t>s</w:t>
      </w:r>
      <w:r w:rsidR="00D746B0" w:rsidRPr="001C0CF3">
        <w:rPr>
          <w:rFonts w:ascii="Palatino Linotype" w:eastAsia="Palatino Linotype" w:hAnsi="Palatino Linotype" w:cs="Palatino Linotype"/>
          <w:color w:val="000000" w:themeColor="text1"/>
        </w:rPr>
        <w:t xml:space="preserve"> de fecha </w:t>
      </w:r>
      <w:r w:rsidR="00CB42D1" w:rsidRPr="001C0CF3">
        <w:rPr>
          <w:rFonts w:ascii="Palatino Linotype" w:eastAsia="Palatino Linotype" w:hAnsi="Palatino Linotype" w:cs="Palatino Linotype"/>
          <w:b/>
          <w:color w:val="000000" w:themeColor="text1"/>
        </w:rPr>
        <w:t>catorce</w:t>
      </w:r>
      <w:r w:rsidR="00315842" w:rsidRPr="001C0CF3">
        <w:rPr>
          <w:rFonts w:ascii="Palatino Linotype" w:eastAsia="Palatino Linotype" w:hAnsi="Palatino Linotype" w:cs="Palatino Linotype"/>
          <w:b/>
          <w:color w:val="000000" w:themeColor="text1"/>
        </w:rPr>
        <w:t xml:space="preserve"> de octubre</w:t>
      </w:r>
      <w:r w:rsidR="0090601E" w:rsidRPr="001C0CF3">
        <w:rPr>
          <w:rFonts w:ascii="Palatino Linotype" w:eastAsia="Palatino Linotype" w:hAnsi="Palatino Linotype" w:cs="Palatino Linotype"/>
          <w:b/>
          <w:color w:val="000000" w:themeColor="text1"/>
        </w:rPr>
        <w:t xml:space="preserve"> de dos mil veinticinco</w:t>
      </w:r>
      <w:r w:rsidRPr="001C0CF3">
        <w:rPr>
          <w:rFonts w:ascii="Palatino Linotype" w:eastAsia="Palatino Linotype" w:hAnsi="Palatino Linotype" w:cs="Palatino Linotype"/>
          <w:b/>
          <w:color w:val="000000" w:themeColor="text1"/>
        </w:rPr>
        <w:t xml:space="preserve"> </w:t>
      </w:r>
      <w:r w:rsidR="00271F83" w:rsidRPr="001C0CF3">
        <w:rPr>
          <w:rFonts w:ascii="Palatino Linotype" w:eastAsia="Palatino Linotype" w:hAnsi="Palatino Linotype" w:cs="Palatino Linotype"/>
          <w:color w:val="000000" w:themeColor="text1"/>
        </w:rPr>
        <w:t xml:space="preserve">se </w:t>
      </w:r>
      <w:r w:rsidRPr="001C0CF3">
        <w:rPr>
          <w:rFonts w:ascii="Palatino Linotype" w:eastAsia="Palatino Linotype" w:hAnsi="Palatino Linotype" w:cs="Palatino Linotype"/>
          <w:color w:val="000000" w:themeColor="text1"/>
        </w:rPr>
        <w:t>decretó el cierre de instrucción,</w:t>
      </w:r>
      <w:r w:rsidR="00CB42D1" w:rsidRPr="001C0CF3">
        <w:rPr>
          <w:rFonts w:ascii="Palatino Linotype" w:eastAsia="Palatino Linotype" w:hAnsi="Palatino Linotype" w:cs="Palatino Linotype"/>
          <w:color w:val="000000" w:themeColor="text1"/>
        </w:rPr>
        <w:t xml:space="preserve"> consecutivamente</w:t>
      </w:r>
      <w:r w:rsidRPr="001C0CF3">
        <w:rPr>
          <w:rFonts w:ascii="Palatino Linotype" w:eastAsia="Palatino Linotype" w:hAnsi="Palatino Linotype" w:cs="Palatino Linotype"/>
          <w:color w:val="000000" w:themeColor="text1"/>
        </w:rPr>
        <w:t xml:space="preserve"> </w:t>
      </w:r>
      <w:r w:rsidR="00CB42D1" w:rsidRPr="001C0CF3">
        <w:rPr>
          <w:rFonts w:ascii="Palatino Linotype" w:eastAsia="Palatino Linotype" w:hAnsi="Palatino Linotype" w:cs="Palatino Linotype"/>
          <w:color w:val="000000" w:themeColor="text1"/>
        </w:rPr>
        <w:t xml:space="preserve">se amplió el termino para resolver, </w:t>
      </w:r>
      <w:r w:rsidRPr="001C0CF3">
        <w:rPr>
          <w:rFonts w:ascii="Palatino Linotype" w:eastAsia="Palatino Linotype" w:hAnsi="Palatino Linotype" w:cs="Palatino Linotype"/>
          <w:color w:val="000000" w:themeColor="text1"/>
        </w:rPr>
        <w:t xml:space="preserve">por lo que no habiendo más que hacer constar, </w:t>
      </w:r>
      <w:r w:rsidR="001C0CF3">
        <w:rPr>
          <w:rFonts w:ascii="Palatino Linotype" w:eastAsia="Palatino Linotype" w:hAnsi="Palatino Linotype" w:cs="Palatino Linotype"/>
          <w:color w:val="000000" w:themeColor="text1"/>
        </w:rPr>
        <w:t>y</w:t>
      </w:r>
    </w:p>
    <w:p w14:paraId="577D9235" w14:textId="77777777" w:rsidR="00E31311" w:rsidRPr="001C0CF3" w:rsidRDefault="00E31311" w:rsidP="001C0CF3">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075ED672" w14:textId="77777777" w:rsidR="00E31311" w:rsidRPr="001C0CF3" w:rsidRDefault="00DF6EAE" w:rsidP="001C0CF3">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1C0CF3">
        <w:rPr>
          <w:rFonts w:ascii="Palatino Linotype" w:eastAsia="Palatino Linotype" w:hAnsi="Palatino Linotype" w:cs="Palatino Linotype"/>
          <w:b/>
          <w:color w:val="000000" w:themeColor="text1"/>
        </w:rPr>
        <w:t>C O N S I D E R A N D O</w:t>
      </w:r>
    </w:p>
    <w:p w14:paraId="5C558910" w14:textId="77777777" w:rsidR="00E31311" w:rsidRPr="001C0CF3" w:rsidRDefault="00E31311" w:rsidP="001C0CF3">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587806C0" w14:textId="77777777" w:rsidR="00E31311" w:rsidRPr="001C0CF3" w:rsidRDefault="00DF6EAE" w:rsidP="001C0CF3">
      <w:pPr>
        <w:pStyle w:val="Ttulo2"/>
        <w:spacing w:before="0" w:line="360" w:lineRule="auto"/>
        <w:rPr>
          <w:rFonts w:ascii="Palatino Linotype" w:eastAsia="Palatino Linotype" w:hAnsi="Palatino Linotype" w:cs="Palatino Linotype"/>
          <w:b/>
          <w:color w:val="000000" w:themeColor="text1"/>
          <w:sz w:val="24"/>
          <w:szCs w:val="24"/>
        </w:rPr>
      </w:pPr>
      <w:bookmarkStart w:id="4" w:name="_heading=h.3znysh7" w:colFirst="0" w:colLast="0"/>
      <w:bookmarkEnd w:id="4"/>
      <w:r w:rsidRPr="001C0CF3">
        <w:rPr>
          <w:rFonts w:ascii="Palatino Linotype" w:eastAsia="Palatino Linotype" w:hAnsi="Palatino Linotype" w:cs="Palatino Linotype"/>
          <w:b/>
          <w:color w:val="000000" w:themeColor="text1"/>
          <w:sz w:val="24"/>
          <w:szCs w:val="24"/>
        </w:rPr>
        <w:t>PRIMERO. De la competencia</w:t>
      </w:r>
    </w:p>
    <w:p w14:paraId="2575DFB1" w14:textId="77777777" w:rsidR="00E5357F" w:rsidRPr="001C0CF3" w:rsidRDefault="00E5357F"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hAnsi="Palatino Linotype" w:cs="Arial"/>
          <w:color w:val="000000" w:themeColor="text1"/>
        </w:rPr>
        <w:t xml:space="preserve">El Instituto de Transparencia, Acceso a la Información Pública y Protección de Datos Personales del Estado de México y Municipios, es competente para conocer y resolver el presente recurso de revisión interpuesto por la parte </w:t>
      </w:r>
      <w:r w:rsidRPr="001C0CF3">
        <w:rPr>
          <w:rFonts w:ascii="Palatino Linotype" w:eastAsia="Palatino Linotype" w:hAnsi="Palatino Linotype" w:cs="Palatino Linotype"/>
          <w:color w:val="000000" w:themeColor="text1"/>
        </w:rPr>
        <w:t>recurrente</w:t>
      </w:r>
      <w:r w:rsidRPr="001C0CF3">
        <w:rPr>
          <w:rFonts w:ascii="Palatino Linotype" w:hAnsi="Palatino Linotype" w:cs="Arial"/>
          <w:color w:val="000000" w:themeColor="text1"/>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2CC13EF" w14:textId="77777777" w:rsidR="00E31311" w:rsidRPr="001C0CF3" w:rsidRDefault="00E31311" w:rsidP="001C0CF3">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5A25908A" w14:textId="77777777" w:rsidR="00E31311" w:rsidRPr="001C0CF3" w:rsidRDefault="00DF6EAE" w:rsidP="001C0CF3">
      <w:pPr>
        <w:pStyle w:val="Ttulo2"/>
        <w:spacing w:before="0" w:line="360" w:lineRule="auto"/>
        <w:jc w:val="both"/>
        <w:rPr>
          <w:rFonts w:ascii="Palatino Linotype" w:eastAsia="Palatino Linotype" w:hAnsi="Palatino Linotype" w:cs="Palatino Linotype"/>
          <w:b/>
          <w:color w:val="000000" w:themeColor="text1"/>
          <w:sz w:val="24"/>
          <w:szCs w:val="24"/>
        </w:rPr>
      </w:pPr>
      <w:bookmarkStart w:id="5" w:name="_heading=h.2et92p0" w:colFirst="0" w:colLast="0"/>
      <w:bookmarkEnd w:id="5"/>
      <w:r w:rsidRPr="001C0CF3">
        <w:rPr>
          <w:rFonts w:ascii="Palatino Linotype" w:eastAsia="Palatino Linotype" w:hAnsi="Palatino Linotype" w:cs="Palatino Linotype"/>
          <w:b/>
          <w:color w:val="000000" w:themeColor="text1"/>
          <w:sz w:val="24"/>
          <w:szCs w:val="24"/>
        </w:rPr>
        <w:lastRenderedPageBreak/>
        <w:t>SEGUNDO. De la oportunidad y procedencia.</w:t>
      </w:r>
    </w:p>
    <w:p w14:paraId="6E26DA5E" w14:textId="77777777" w:rsidR="006B1EE0" w:rsidRPr="001C0CF3" w:rsidRDefault="006B1EE0"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Este Órgano Garante considera que el medio de impugnación reúne los requisitos de procedencia 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639438FD" w14:textId="77777777" w:rsidR="00405DED" w:rsidRPr="001C0CF3" w:rsidRDefault="00405DED" w:rsidP="001C0CF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4F5013F" w14:textId="3D86CDFE" w:rsidR="00026FCC" w:rsidRPr="001C0CF3" w:rsidRDefault="00026FCC"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 xml:space="preserve">Por otro lado, es de suma importancia señalar que la parte recurrente no proporciona un </w:t>
      </w:r>
      <w:r w:rsidRPr="001C0CF3">
        <w:rPr>
          <w:rFonts w:ascii="Palatino Linotype" w:eastAsia="Palatino Linotype" w:hAnsi="Palatino Linotype" w:cs="Palatino Linotype"/>
          <w:b/>
          <w:color w:val="000000" w:themeColor="text1"/>
        </w:rPr>
        <w:t>nombre</w:t>
      </w:r>
      <w:r w:rsidR="0026278A" w:rsidRPr="001C0CF3">
        <w:rPr>
          <w:rFonts w:ascii="Palatino Linotype" w:eastAsia="Palatino Linotype" w:hAnsi="Palatino Linotype" w:cs="Palatino Linotype"/>
          <w:b/>
          <w:color w:val="000000" w:themeColor="text1"/>
        </w:rPr>
        <w:t xml:space="preserve"> completo</w:t>
      </w:r>
      <w:r w:rsidR="0026278A" w:rsidRPr="001C0CF3">
        <w:rPr>
          <w:rFonts w:ascii="Palatino Linotype" w:eastAsia="Palatino Linotype" w:hAnsi="Palatino Linotype" w:cs="Palatino Linotype"/>
          <w:color w:val="000000" w:themeColor="text1"/>
        </w:rPr>
        <w:t xml:space="preserve"> </w:t>
      </w:r>
      <w:r w:rsidRPr="001C0CF3">
        <w:rPr>
          <w:rFonts w:ascii="Palatino Linotype" w:eastAsia="Palatino Linotype" w:hAnsi="Palatino Linotype" w:cs="Palatino Linotype"/>
          <w:color w:val="000000" w:themeColor="text1"/>
        </w:rPr>
        <w:t>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386DCB3" w14:textId="77777777" w:rsidR="00026FCC" w:rsidRPr="001C0CF3" w:rsidRDefault="00026FC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w:t>
      </w:r>
      <w:r w:rsidRPr="001C0CF3">
        <w:rPr>
          <w:rFonts w:ascii="Palatino Linotype" w:eastAsia="Palatino Linotype" w:hAnsi="Palatino Linotype" w:cs="Palatino Linotype"/>
          <w:b/>
          <w:i/>
          <w:color w:val="000000" w:themeColor="text1"/>
        </w:rPr>
        <w:t>Las solicitudes anónimas</w:t>
      </w:r>
      <w:r w:rsidRPr="001C0CF3">
        <w:rPr>
          <w:rFonts w:ascii="Palatino Linotype" w:eastAsia="Palatino Linotype" w:hAnsi="Palatino Linotype" w:cs="Palatino Linotype"/>
          <w:i/>
          <w:color w:val="000000" w:themeColor="text1"/>
        </w:rPr>
        <w:t xml:space="preserve">, con nombre incompleto o seudónimo </w:t>
      </w:r>
      <w:r w:rsidRPr="001C0CF3">
        <w:rPr>
          <w:rFonts w:ascii="Palatino Linotype" w:eastAsia="Palatino Linotype" w:hAnsi="Palatino Linotype" w:cs="Palatino Linotype"/>
          <w:b/>
          <w:i/>
          <w:color w:val="000000" w:themeColor="text1"/>
        </w:rPr>
        <w:t>serán procedentes para su trámite por parte del sujeto obligado ante quien se presente</w:t>
      </w:r>
      <w:r w:rsidRPr="001C0CF3">
        <w:rPr>
          <w:rFonts w:ascii="Palatino Linotype" w:eastAsia="Palatino Linotype" w:hAnsi="Palatino Linotype" w:cs="Palatino Linotype"/>
          <w:i/>
          <w:color w:val="000000" w:themeColor="text1"/>
        </w:rPr>
        <w:t>. No podrá requerirse información adicional con motivo del nombre proporcionado por el solicitante."</w:t>
      </w:r>
    </w:p>
    <w:p w14:paraId="47CDBD5B" w14:textId="77777777" w:rsidR="00026FCC" w:rsidRPr="001C0CF3" w:rsidRDefault="00026FCC" w:rsidP="001C0CF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AE62F57" w14:textId="77777777" w:rsidR="00026FCC" w:rsidRPr="001C0CF3" w:rsidRDefault="00026FCC"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3E56D9F9" w14:textId="77777777" w:rsidR="00026FCC" w:rsidRPr="001C0CF3" w:rsidRDefault="00026FCC" w:rsidP="001C0CF3">
      <w:pPr>
        <w:pStyle w:val="Prrafodelista"/>
        <w:spacing w:line="360" w:lineRule="auto"/>
        <w:ind w:left="0"/>
        <w:jc w:val="both"/>
        <w:rPr>
          <w:rFonts w:ascii="Palatino Linotype" w:eastAsia="Palatino Linotype" w:hAnsi="Palatino Linotype" w:cs="Palatino Linotype"/>
          <w:color w:val="000000" w:themeColor="text1"/>
        </w:rPr>
      </w:pPr>
    </w:p>
    <w:p w14:paraId="758BC002" w14:textId="77777777" w:rsidR="00405DED" w:rsidRPr="001C0CF3" w:rsidRDefault="00405DED"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lastRenderedPageBreak/>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0D52031E" w14:textId="77777777" w:rsidR="006B1EE0" w:rsidRPr="001C0CF3" w:rsidRDefault="006B1EE0" w:rsidP="001C0CF3">
      <w:pPr>
        <w:spacing w:line="360" w:lineRule="auto"/>
        <w:jc w:val="both"/>
        <w:rPr>
          <w:rFonts w:ascii="Palatino Linotype" w:eastAsia="Palatino Linotype" w:hAnsi="Palatino Linotype" w:cs="Palatino Linotype"/>
          <w:color w:val="000000" w:themeColor="text1"/>
        </w:rPr>
      </w:pPr>
    </w:p>
    <w:p w14:paraId="1E4E4914" w14:textId="77777777" w:rsidR="006B1EE0" w:rsidRPr="001C0CF3" w:rsidRDefault="006B1EE0"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Finalmente, el escrito contiene las formalidades previstas por el artículo 180 último párrafo de la citada Ley de la materia, por lo que es procedente que este Instituto conozca y resuelva el presente recurso.</w:t>
      </w:r>
    </w:p>
    <w:p w14:paraId="3C563A11" w14:textId="77777777" w:rsidR="00405DED" w:rsidRPr="001C0CF3" w:rsidRDefault="00405DED" w:rsidP="001C0CF3">
      <w:pPr>
        <w:pStyle w:val="Prrafodelista"/>
        <w:spacing w:line="360" w:lineRule="auto"/>
        <w:ind w:left="0"/>
        <w:jc w:val="both"/>
        <w:rPr>
          <w:rFonts w:ascii="Palatino Linotype" w:eastAsia="Palatino Linotype" w:hAnsi="Palatino Linotype" w:cs="Palatino Linotype"/>
          <w:color w:val="000000" w:themeColor="text1"/>
        </w:rPr>
      </w:pPr>
    </w:p>
    <w:p w14:paraId="52FE61AF" w14:textId="77777777" w:rsidR="00E31311" w:rsidRPr="001C0CF3" w:rsidRDefault="00DF6EAE" w:rsidP="001C0CF3">
      <w:pPr>
        <w:pStyle w:val="Ttulo1"/>
        <w:spacing w:before="0" w:line="360" w:lineRule="auto"/>
        <w:jc w:val="both"/>
        <w:rPr>
          <w:rFonts w:ascii="Palatino Linotype" w:eastAsia="Palatino Linotype" w:hAnsi="Palatino Linotype" w:cs="Palatino Linotype"/>
          <w:b/>
          <w:color w:val="000000" w:themeColor="text1"/>
          <w:sz w:val="24"/>
          <w:szCs w:val="24"/>
        </w:rPr>
      </w:pPr>
      <w:bookmarkStart w:id="6" w:name="_heading=h.tyjcwt" w:colFirst="0" w:colLast="0"/>
      <w:bookmarkEnd w:id="6"/>
      <w:r w:rsidRPr="001C0CF3">
        <w:rPr>
          <w:rFonts w:ascii="Palatino Linotype" w:eastAsia="Palatino Linotype" w:hAnsi="Palatino Linotype" w:cs="Palatino Linotype"/>
          <w:b/>
          <w:color w:val="000000" w:themeColor="text1"/>
          <w:sz w:val="24"/>
          <w:szCs w:val="24"/>
        </w:rPr>
        <w:t xml:space="preserve">TERCERO. Del planteamiento de la </w:t>
      </w:r>
      <w:r w:rsidRPr="001C0CF3">
        <w:rPr>
          <w:rFonts w:ascii="Palatino Linotype" w:eastAsia="Palatino Linotype" w:hAnsi="Palatino Linotype" w:cs="Palatino Linotype"/>
          <w:b/>
          <w:i/>
          <w:color w:val="000000" w:themeColor="text1"/>
          <w:sz w:val="24"/>
          <w:szCs w:val="24"/>
        </w:rPr>
        <w:t>Litis</w:t>
      </w:r>
      <w:r w:rsidRPr="001C0CF3">
        <w:rPr>
          <w:rFonts w:ascii="Palatino Linotype" w:eastAsia="Palatino Linotype" w:hAnsi="Palatino Linotype" w:cs="Palatino Linotype"/>
          <w:b/>
          <w:color w:val="000000" w:themeColor="text1"/>
          <w:sz w:val="24"/>
          <w:szCs w:val="24"/>
        </w:rPr>
        <w:t>.</w:t>
      </w:r>
    </w:p>
    <w:p w14:paraId="1F407899" w14:textId="77777777" w:rsidR="00E31311" w:rsidRPr="001C0CF3" w:rsidRDefault="00DF6EAE"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eastAsia="Palatino Linotype" w:hAnsi="Palatino Linotype" w:cs="Palatino Linotype"/>
          <w:color w:val="000000" w:themeColor="text1"/>
        </w:rPr>
        <w:t>Se solicitó tener acceso, a la información que a continuación se desagrega:</w:t>
      </w:r>
    </w:p>
    <w:p w14:paraId="6FA33200" w14:textId="1CD4E401" w:rsidR="009F32B0" w:rsidRPr="000C6210" w:rsidRDefault="00026FCC" w:rsidP="001C0CF3">
      <w:pPr>
        <w:pStyle w:val="Prrafodelista"/>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b/>
          <w:color w:val="000000" w:themeColor="text1"/>
        </w:rPr>
        <w:t xml:space="preserve">Relación de gastos mensuales </w:t>
      </w:r>
      <w:r w:rsidR="0026278A" w:rsidRPr="001C0CF3">
        <w:rPr>
          <w:rFonts w:ascii="Palatino Linotype" w:eastAsia="Palatino Linotype" w:hAnsi="Palatino Linotype" w:cs="Palatino Linotype"/>
          <w:b/>
          <w:color w:val="000000" w:themeColor="text1"/>
        </w:rPr>
        <w:t>por concepto de</w:t>
      </w:r>
      <w:r w:rsidRPr="001C0CF3">
        <w:rPr>
          <w:rFonts w:ascii="Palatino Linotype" w:eastAsia="Palatino Linotype" w:hAnsi="Palatino Linotype" w:cs="Palatino Linotype"/>
          <w:b/>
          <w:color w:val="000000" w:themeColor="text1"/>
        </w:rPr>
        <w:t xml:space="preserve"> mantenimiento de alumbrado público </w:t>
      </w:r>
      <w:r w:rsidR="0026278A" w:rsidRPr="001C0CF3">
        <w:rPr>
          <w:rFonts w:ascii="Palatino Linotype" w:eastAsia="Palatino Linotype" w:hAnsi="Palatino Linotype" w:cs="Palatino Linotype"/>
          <w:b/>
          <w:color w:val="000000" w:themeColor="text1"/>
        </w:rPr>
        <w:t xml:space="preserve">en el año </w:t>
      </w:r>
      <w:r w:rsidRPr="001C0CF3">
        <w:rPr>
          <w:rFonts w:ascii="Palatino Linotype" w:eastAsia="Palatino Linotype" w:hAnsi="Palatino Linotype" w:cs="Palatino Linotype"/>
          <w:b/>
          <w:color w:val="000000" w:themeColor="text1"/>
        </w:rPr>
        <w:t>2025</w:t>
      </w:r>
      <w:r w:rsidR="00E734A3" w:rsidRPr="001C0CF3">
        <w:rPr>
          <w:rFonts w:ascii="Palatino Linotype" w:eastAsia="Palatino Linotype" w:hAnsi="Palatino Linotype" w:cs="Palatino Linotype"/>
          <w:b/>
          <w:color w:val="000000" w:themeColor="text1"/>
        </w:rPr>
        <w:t>.</w:t>
      </w:r>
    </w:p>
    <w:p w14:paraId="01B9130B" w14:textId="77777777" w:rsidR="000C6210" w:rsidRPr="001C0CF3" w:rsidRDefault="000C6210" w:rsidP="000C6210">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rPr>
      </w:pPr>
    </w:p>
    <w:p w14:paraId="2E981F30" w14:textId="6FBDA592" w:rsidR="00E31311" w:rsidRPr="001C0CF3" w:rsidRDefault="006B1EE0" w:rsidP="001C0CF3">
      <w:pPr>
        <w:numPr>
          <w:ilvl w:val="0"/>
          <w:numId w:val="3"/>
        </w:numPr>
        <w:spacing w:line="360" w:lineRule="auto"/>
        <w:ind w:left="0" w:firstLine="0"/>
        <w:jc w:val="both"/>
        <w:rPr>
          <w:rFonts w:ascii="Palatino Linotype" w:hAnsi="Palatino Linotype"/>
          <w:color w:val="000000" w:themeColor="text1"/>
        </w:rPr>
      </w:pPr>
      <w:r w:rsidRPr="001C0CF3">
        <w:rPr>
          <w:rFonts w:ascii="Palatino Linotype" w:eastAsia="Palatino Linotype" w:hAnsi="Palatino Linotype" w:cs="Palatino Linotype"/>
          <w:color w:val="000000" w:themeColor="text1"/>
        </w:rPr>
        <w:t xml:space="preserve">En respuesta, el </w:t>
      </w:r>
      <w:r w:rsidRPr="001C0CF3">
        <w:rPr>
          <w:rFonts w:ascii="Palatino Linotype" w:eastAsia="Palatino Linotype" w:hAnsi="Palatino Linotype" w:cs="Palatino Linotype"/>
          <w:b/>
          <w:color w:val="000000" w:themeColor="text1"/>
        </w:rPr>
        <w:t xml:space="preserve">SUJETO OBLIGADO </w:t>
      </w:r>
      <w:r w:rsidRPr="001C0CF3">
        <w:rPr>
          <w:rFonts w:ascii="Palatino Linotype" w:eastAsia="Palatino Linotype" w:hAnsi="Palatino Linotype" w:cs="Palatino Linotype"/>
          <w:color w:val="000000" w:themeColor="text1"/>
        </w:rPr>
        <w:t>remitió la información ya descrita en e</w:t>
      </w:r>
      <w:r w:rsidR="00150225" w:rsidRPr="001C0CF3">
        <w:rPr>
          <w:rFonts w:ascii="Palatino Linotype" w:eastAsia="Palatino Linotype" w:hAnsi="Palatino Linotype" w:cs="Palatino Linotype"/>
          <w:color w:val="000000" w:themeColor="text1"/>
        </w:rPr>
        <w:t>l párrafo 2. Inconforme con la misma</w:t>
      </w:r>
      <w:r w:rsidRPr="001C0CF3">
        <w:rPr>
          <w:rFonts w:ascii="Palatino Linotype" w:eastAsia="Palatino Linotype" w:hAnsi="Palatino Linotype" w:cs="Palatino Linotype"/>
          <w:color w:val="000000" w:themeColor="text1"/>
        </w:rPr>
        <w:t xml:space="preserve">, se interpuso recurso de revisión </w:t>
      </w:r>
      <w:r w:rsidR="00150225" w:rsidRPr="001C0CF3">
        <w:rPr>
          <w:rFonts w:ascii="Palatino Linotype" w:eastAsia="Palatino Linotype" w:hAnsi="Palatino Linotype" w:cs="Palatino Linotype"/>
          <w:color w:val="000000" w:themeColor="text1"/>
        </w:rPr>
        <w:t xml:space="preserve">en contra de la </w:t>
      </w:r>
      <w:r w:rsidR="00E5357F" w:rsidRPr="001C0CF3">
        <w:rPr>
          <w:rFonts w:ascii="Palatino Linotype" w:eastAsia="Palatino Linotype" w:hAnsi="Palatino Linotype" w:cs="Palatino Linotype"/>
          <w:color w:val="000000" w:themeColor="text1"/>
        </w:rPr>
        <w:t xml:space="preserve">negativa a la entrega de la información; </w:t>
      </w:r>
      <w:r w:rsidR="00E938F5" w:rsidRPr="001C0CF3">
        <w:rPr>
          <w:rFonts w:ascii="Palatino Linotype" w:eastAsia="Palatino Linotype" w:hAnsi="Palatino Linotype" w:cs="Palatino Linotype"/>
          <w:color w:val="000000" w:themeColor="text1"/>
        </w:rPr>
        <w:t>por lo tanto</w:t>
      </w:r>
      <w:r w:rsidR="00DF6EAE" w:rsidRPr="001C0CF3">
        <w:rPr>
          <w:rFonts w:ascii="Palatino Linotype" w:eastAsia="Palatino Linotype" w:hAnsi="Palatino Linotype" w:cs="Palatino Linotype"/>
          <w:color w:val="000000" w:themeColor="text1"/>
        </w:rPr>
        <w:t xml:space="preserve"> la </w:t>
      </w:r>
      <w:r w:rsidR="00DF6EAE" w:rsidRPr="001C0CF3">
        <w:rPr>
          <w:rFonts w:ascii="Palatino Linotype" w:eastAsia="Palatino Linotype" w:hAnsi="Palatino Linotype" w:cs="Palatino Linotype"/>
          <w:i/>
          <w:color w:val="000000" w:themeColor="text1"/>
        </w:rPr>
        <w:t>Litis</w:t>
      </w:r>
      <w:r w:rsidR="00DF6EAE" w:rsidRPr="001C0CF3">
        <w:rPr>
          <w:rFonts w:ascii="Palatino Linotype" w:eastAsia="Palatino Linotype" w:hAnsi="Palatino Linotype" w:cs="Palatino Linotype"/>
          <w:color w:val="000000" w:themeColor="text1"/>
        </w:rPr>
        <w:t xml:space="preserve"> a resolver en este recurso se circunscribe a determinar si se actualiza la causal de procedencia prevista en el artículo 179, </w:t>
      </w:r>
      <w:r w:rsidR="00E5357F" w:rsidRPr="001C0CF3">
        <w:rPr>
          <w:rFonts w:ascii="Palatino Linotype" w:eastAsia="Palatino Linotype" w:hAnsi="Palatino Linotype" w:cs="Palatino Linotype"/>
          <w:b/>
          <w:color w:val="000000" w:themeColor="text1"/>
        </w:rPr>
        <w:t>fracción</w:t>
      </w:r>
      <w:r w:rsidR="00DF6EAE" w:rsidRPr="001C0CF3">
        <w:rPr>
          <w:rFonts w:ascii="Palatino Linotype" w:eastAsia="Palatino Linotype" w:hAnsi="Palatino Linotype" w:cs="Palatino Linotype"/>
          <w:b/>
          <w:color w:val="000000" w:themeColor="text1"/>
        </w:rPr>
        <w:t xml:space="preserve"> </w:t>
      </w:r>
      <w:r w:rsidR="00E5357F" w:rsidRPr="001C0CF3">
        <w:rPr>
          <w:rFonts w:ascii="Palatino Linotype" w:eastAsia="Palatino Linotype" w:hAnsi="Palatino Linotype" w:cs="Palatino Linotype"/>
          <w:b/>
          <w:color w:val="000000" w:themeColor="text1"/>
        </w:rPr>
        <w:t>I</w:t>
      </w:r>
      <w:r w:rsidR="00236042" w:rsidRPr="001C0CF3">
        <w:rPr>
          <w:rFonts w:ascii="Palatino Linotype" w:eastAsia="Palatino Linotype" w:hAnsi="Palatino Linotype" w:cs="Palatino Linotype"/>
          <w:b/>
          <w:color w:val="000000" w:themeColor="text1"/>
        </w:rPr>
        <w:t xml:space="preserve"> </w:t>
      </w:r>
      <w:r w:rsidR="00DF6EAE" w:rsidRPr="001C0CF3">
        <w:rPr>
          <w:rFonts w:ascii="Palatino Linotype" w:eastAsia="Palatino Linotype" w:hAnsi="Palatino Linotype" w:cs="Palatino Linotype"/>
          <w:color w:val="000000" w:themeColor="text1"/>
        </w:rPr>
        <w:t xml:space="preserve">de la </w:t>
      </w:r>
      <w:r w:rsidR="00DF6EAE" w:rsidRPr="001C0CF3">
        <w:rPr>
          <w:rFonts w:ascii="Palatino Linotype" w:eastAsia="Palatino Linotype" w:hAnsi="Palatino Linotype" w:cs="Palatino Linotype"/>
          <w:b/>
          <w:color w:val="000000" w:themeColor="text1"/>
        </w:rPr>
        <w:t xml:space="preserve">Ley de </w:t>
      </w:r>
      <w:r w:rsidR="00DF6EAE" w:rsidRPr="001C0CF3">
        <w:rPr>
          <w:rFonts w:ascii="Palatino Linotype" w:eastAsia="Palatino Linotype" w:hAnsi="Palatino Linotype" w:cs="Palatino Linotype"/>
          <w:color w:val="000000" w:themeColor="text1"/>
        </w:rPr>
        <w:t>Transparencia</w:t>
      </w:r>
      <w:r w:rsidR="00DF6EAE" w:rsidRPr="001C0CF3">
        <w:rPr>
          <w:rFonts w:ascii="Palatino Linotype" w:eastAsia="Palatino Linotype" w:hAnsi="Palatino Linotype" w:cs="Palatino Linotype"/>
          <w:b/>
          <w:color w:val="000000" w:themeColor="text1"/>
        </w:rPr>
        <w:t xml:space="preserve"> y Acceso a la Información Pública del Estado de México y Municipios</w:t>
      </w:r>
      <w:r w:rsidR="00DF6EAE" w:rsidRPr="001C0CF3">
        <w:rPr>
          <w:rFonts w:ascii="Palatino Linotype" w:eastAsia="Palatino Linotype" w:hAnsi="Palatino Linotype" w:cs="Palatino Linotype"/>
          <w:color w:val="000000" w:themeColor="text1"/>
        </w:rPr>
        <w:t xml:space="preserve">; </w:t>
      </w:r>
      <w:r w:rsidR="00E734A3" w:rsidRPr="001C0CF3">
        <w:rPr>
          <w:rFonts w:ascii="Palatino Linotype" w:eastAsia="Palatino Linotype" w:hAnsi="Palatino Linotype" w:cs="Palatino Linotype"/>
          <w:color w:val="000000" w:themeColor="text1"/>
        </w:rPr>
        <w:t>fracción</w:t>
      </w:r>
      <w:r w:rsidR="00DF6EAE" w:rsidRPr="001C0CF3">
        <w:rPr>
          <w:rFonts w:ascii="Palatino Linotype" w:eastAsia="Palatino Linotype" w:hAnsi="Palatino Linotype" w:cs="Palatino Linotype"/>
          <w:color w:val="000000" w:themeColor="text1"/>
        </w:rPr>
        <w:t xml:space="preserve"> que determina la hipót</w:t>
      </w:r>
      <w:r w:rsidR="00677898" w:rsidRPr="001C0CF3">
        <w:rPr>
          <w:rFonts w:ascii="Palatino Linotype" w:eastAsia="Palatino Linotype" w:hAnsi="Palatino Linotype" w:cs="Palatino Linotype"/>
          <w:color w:val="000000" w:themeColor="text1"/>
        </w:rPr>
        <w:t xml:space="preserve">esis jurídica relativa a </w:t>
      </w:r>
      <w:r w:rsidR="00236042" w:rsidRPr="001C0CF3">
        <w:rPr>
          <w:rFonts w:ascii="Palatino Linotype" w:eastAsia="Palatino Linotype" w:hAnsi="Palatino Linotype" w:cs="Palatino Linotype"/>
          <w:color w:val="000000" w:themeColor="text1"/>
        </w:rPr>
        <w:t xml:space="preserve">la </w:t>
      </w:r>
      <w:r w:rsidR="00E5357F" w:rsidRPr="001C0CF3">
        <w:rPr>
          <w:rFonts w:ascii="Palatino Linotype" w:eastAsia="Palatino Linotype" w:hAnsi="Palatino Linotype" w:cs="Palatino Linotype"/>
          <w:color w:val="000000" w:themeColor="text1"/>
        </w:rPr>
        <w:t>negativa de la entrega de la información</w:t>
      </w:r>
      <w:r w:rsidR="00DF6EAE" w:rsidRPr="001C0CF3">
        <w:rPr>
          <w:rFonts w:ascii="Palatino Linotype" w:eastAsia="Palatino Linotype" w:hAnsi="Palatino Linotype" w:cs="Palatino Linotype"/>
          <w:color w:val="000000" w:themeColor="text1"/>
        </w:rPr>
        <w:t xml:space="preserve">; contexto del cual se dolió </w:t>
      </w:r>
      <w:r w:rsidR="0026278A" w:rsidRPr="001C0CF3">
        <w:rPr>
          <w:rFonts w:ascii="Palatino Linotype" w:eastAsia="Palatino Linotype" w:hAnsi="Palatino Linotype" w:cs="Palatino Linotype"/>
          <w:b/>
          <w:color w:val="000000" w:themeColor="text1"/>
        </w:rPr>
        <w:t>EL RECURRENTE</w:t>
      </w:r>
      <w:r w:rsidR="00DF6EAE" w:rsidRPr="001C0CF3">
        <w:rPr>
          <w:rFonts w:ascii="Palatino Linotype" w:eastAsia="Palatino Linotype" w:hAnsi="Palatino Linotype" w:cs="Palatino Linotype"/>
          <w:b/>
          <w:color w:val="000000" w:themeColor="text1"/>
        </w:rPr>
        <w:t xml:space="preserve"> </w:t>
      </w:r>
      <w:r w:rsidR="00DF6EAE" w:rsidRPr="001C0CF3">
        <w:rPr>
          <w:rFonts w:ascii="Palatino Linotype" w:eastAsia="Palatino Linotype" w:hAnsi="Palatino Linotype" w:cs="Palatino Linotype"/>
          <w:color w:val="000000" w:themeColor="text1"/>
        </w:rPr>
        <w:t>al momento de interponer su inconformidad.</w:t>
      </w:r>
    </w:p>
    <w:p w14:paraId="1CF14909" w14:textId="77777777" w:rsidR="00150225" w:rsidRPr="001C0CF3" w:rsidRDefault="00150225" w:rsidP="001C0CF3">
      <w:pPr>
        <w:pStyle w:val="Prrafodelista"/>
        <w:spacing w:line="360" w:lineRule="auto"/>
        <w:ind w:left="0"/>
        <w:jc w:val="both"/>
        <w:rPr>
          <w:rFonts w:ascii="Palatino Linotype" w:hAnsi="Palatino Linotype"/>
          <w:color w:val="000000" w:themeColor="text1"/>
        </w:rPr>
      </w:pPr>
    </w:p>
    <w:p w14:paraId="6F8B9484" w14:textId="77777777" w:rsidR="00E31311" w:rsidRPr="001C0CF3" w:rsidRDefault="00DF6EAE" w:rsidP="001C0CF3">
      <w:pPr>
        <w:numPr>
          <w:ilvl w:val="0"/>
          <w:numId w:val="3"/>
        </w:numPr>
        <w:spacing w:line="360" w:lineRule="auto"/>
        <w:ind w:left="0" w:firstLine="0"/>
        <w:jc w:val="both"/>
        <w:rPr>
          <w:rFonts w:ascii="Palatino Linotype" w:hAnsi="Palatino Linotype"/>
          <w:color w:val="000000" w:themeColor="text1"/>
        </w:rPr>
      </w:pPr>
      <w:r w:rsidRPr="001C0CF3">
        <w:rPr>
          <w:rFonts w:ascii="Palatino Linotype" w:eastAsia="Palatino Linotype" w:hAnsi="Palatino Linotype" w:cs="Palatino Linotype"/>
          <w:color w:val="000000" w:themeColor="text1"/>
        </w:rPr>
        <w:lastRenderedPageBreak/>
        <w:t xml:space="preserve">De modo tal que el presente recurso de revisión se abocará en determinar si el </w:t>
      </w:r>
      <w:r w:rsidRPr="001C0CF3">
        <w:rPr>
          <w:rFonts w:ascii="Palatino Linotype" w:eastAsia="Palatino Linotype" w:hAnsi="Palatino Linotype" w:cs="Palatino Linotype"/>
          <w:b/>
          <w:color w:val="000000" w:themeColor="text1"/>
        </w:rPr>
        <w:t>SUJETO</w:t>
      </w:r>
      <w:r w:rsidRPr="001C0CF3">
        <w:rPr>
          <w:rFonts w:ascii="Palatino Linotype" w:eastAsia="Palatino Linotype" w:hAnsi="Palatino Linotype" w:cs="Palatino Linotype"/>
          <w:color w:val="000000" w:themeColor="text1"/>
        </w:rPr>
        <w:t xml:space="preserve"> </w:t>
      </w:r>
      <w:r w:rsidRPr="001C0CF3">
        <w:rPr>
          <w:rFonts w:ascii="Palatino Linotype" w:eastAsia="Palatino Linotype" w:hAnsi="Palatino Linotype" w:cs="Palatino Linotype"/>
          <w:b/>
          <w:color w:val="000000" w:themeColor="text1"/>
        </w:rPr>
        <w:t>OBLIGADO</w:t>
      </w:r>
      <w:r w:rsidRPr="001C0CF3">
        <w:rPr>
          <w:rFonts w:ascii="Palatino Linotype" w:eastAsia="Palatino Linotype" w:hAnsi="Palatino Linotype" w:cs="Palatino Linotype"/>
          <w:color w:val="000000" w:themeColor="text1"/>
        </w:rPr>
        <w:t xml:space="preserve"> con su respuesta ciertamente actualiza la causal de procedencia</w:t>
      </w:r>
      <w:r w:rsidRPr="001C0CF3">
        <w:rPr>
          <w:rFonts w:ascii="Palatino Linotype" w:eastAsia="Palatino Linotype" w:hAnsi="Palatino Linotype" w:cs="Palatino Linotype"/>
          <w:b/>
          <w:color w:val="000000" w:themeColor="text1"/>
        </w:rPr>
        <w:t xml:space="preserve"> </w:t>
      </w:r>
      <w:r w:rsidRPr="001C0CF3">
        <w:rPr>
          <w:rFonts w:ascii="Palatino Linotype" w:eastAsia="Palatino Linotype" w:hAnsi="Palatino Linotype" w:cs="Palatino Linotype"/>
          <w:color w:val="000000" w:themeColor="text1"/>
        </w:rPr>
        <w:t xml:space="preserve">antes señalada. </w:t>
      </w:r>
    </w:p>
    <w:p w14:paraId="58CD7946" w14:textId="77777777" w:rsidR="00E31311" w:rsidRPr="001C0CF3" w:rsidRDefault="00E31311" w:rsidP="001C0CF3">
      <w:pPr>
        <w:spacing w:line="360" w:lineRule="auto"/>
        <w:jc w:val="both"/>
        <w:rPr>
          <w:rFonts w:ascii="Palatino Linotype" w:eastAsia="Palatino Linotype" w:hAnsi="Palatino Linotype" w:cs="Palatino Linotype"/>
          <w:color w:val="000000" w:themeColor="text1"/>
        </w:rPr>
      </w:pPr>
    </w:p>
    <w:p w14:paraId="5DB24CDE" w14:textId="77777777" w:rsidR="00E31311" w:rsidRPr="001C0CF3" w:rsidRDefault="00DF6EAE" w:rsidP="001C0CF3">
      <w:pPr>
        <w:pStyle w:val="Ttulo2"/>
        <w:spacing w:before="0" w:line="360" w:lineRule="auto"/>
        <w:jc w:val="both"/>
        <w:rPr>
          <w:rFonts w:ascii="Palatino Linotype" w:eastAsia="Palatino Linotype" w:hAnsi="Palatino Linotype" w:cs="Palatino Linotype"/>
          <w:b/>
          <w:color w:val="000000" w:themeColor="text1"/>
          <w:sz w:val="24"/>
          <w:szCs w:val="24"/>
        </w:rPr>
      </w:pPr>
      <w:bookmarkStart w:id="7" w:name="_heading=h.3dy6vkm" w:colFirst="0" w:colLast="0"/>
      <w:bookmarkEnd w:id="7"/>
      <w:r w:rsidRPr="001C0CF3">
        <w:rPr>
          <w:rFonts w:ascii="Palatino Linotype" w:eastAsia="Palatino Linotype" w:hAnsi="Palatino Linotype" w:cs="Palatino Linotype"/>
          <w:b/>
          <w:color w:val="000000" w:themeColor="text1"/>
          <w:sz w:val="24"/>
          <w:szCs w:val="24"/>
        </w:rPr>
        <w:t>CUARTO. Del estudio y resolución del asunto.</w:t>
      </w:r>
    </w:p>
    <w:p w14:paraId="1C3BC3B5" w14:textId="77777777" w:rsidR="006B1EE0" w:rsidRPr="001C0CF3" w:rsidRDefault="006B1EE0" w:rsidP="001C0CF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3BCFAF2D" w14:textId="77777777" w:rsidR="006B1EE0" w:rsidRPr="001C0CF3" w:rsidRDefault="006B1EE0" w:rsidP="001C0CF3">
      <w:pPr>
        <w:spacing w:line="360" w:lineRule="auto"/>
        <w:jc w:val="both"/>
        <w:rPr>
          <w:rFonts w:ascii="Palatino Linotype" w:eastAsia="Palatino Linotype" w:hAnsi="Palatino Linotype" w:cs="Palatino Linotype"/>
          <w:color w:val="000000" w:themeColor="text1"/>
        </w:rPr>
      </w:pPr>
    </w:p>
    <w:p w14:paraId="29802292" w14:textId="77777777" w:rsidR="006B1EE0" w:rsidRPr="001C0CF3" w:rsidRDefault="006B1EE0" w:rsidP="001C0CF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023C252" w14:textId="77777777" w:rsidR="00E533E3" w:rsidRPr="001C0CF3" w:rsidRDefault="00E533E3" w:rsidP="001C0CF3">
      <w:pPr>
        <w:pStyle w:val="Prrafodelista"/>
        <w:spacing w:line="360" w:lineRule="auto"/>
        <w:ind w:left="0"/>
        <w:jc w:val="both"/>
        <w:rPr>
          <w:rFonts w:ascii="Palatino Linotype" w:eastAsia="Palatino Linotype" w:hAnsi="Palatino Linotype" w:cs="Palatino Linotype"/>
          <w:color w:val="000000" w:themeColor="text1"/>
        </w:rPr>
      </w:pPr>
    </w:p>
    <w:p w14:paraId="2A875423" w14:textId="77777777" w:rsidR="006B1EE0" w:rsidRPr="001C0CF3" w:rsidRDefault="006B1EE0" w:rsidP="001C0CF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w:t>
      </w:r>
      <w:r w:rsidRPr="001C0CF3">
        <w:rPr>
          <w:rFonts w:ascii="Palatino Linotype" w:eastAsia="Palatino Linotype" w:hAnsi="Palatino Linotype" w:cs="Palatino Linotype"/>
          <w:color w:val="000000" w:themeColor="text1"/>
        </w:rPr>
        <w:lastRenderedPageBreak/>
        <w:t>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24B38C39" w14:textId="77777777" w:rsidR="00773A75" w:rsidRPr="001C0CF3" w:rsidRDefault="00773A75" w:rsidP="001C0CF3">
      <w:pPr>
        <w:pStyle w:val="Prrafodelista"/>
        <w:spacing w:line="360" w:lineRule="auto"/>
        <w:ind w:left="0"/>
        <w:jc w:val="both"/>
        <w:rPr>
          <w:rFonts w:ascii="Palatino Linotype" w:eastAsia="Palatino Linotype" w:hAnsi="Palatino Linotype" w:cs="Palatino Linotype"/>
          <w:color w:val="000000" w:themeColor="text1"/>
        </w:rPr>
      </w:pPr>
    </w:p>
    <w:p w14:paraId="17172174" w14:textId="3B722867" w:rsidR="00236042" w:rsidRPr="001C0CF3" w:rsidRDefault="006B1EE0" w:rsidP="001C0CF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 xml:space="preserve">Una vez sentado lo anterior, resulta oportuno </w:t>
      </w:r>
      <w:r w:rsidR="00E533E3" w:rsidRPr="001C0CF3">
        <w:rPr>
          <w:rFonts w:ascii="Palatino Linotype" w:eastAsia="Palatino Linotype" w:hAnsi="Palatino Linotype" w:cs="Palatino Linotype"/>
          <w:color w:val="000000" w:themeColor="text1"/>
        </w:rPr>
        <w:t xml:space="preserve">traer a contexto </w:t>
      </w:r>
      <w:r w:rsidR="00867CC3" w:rsidRPr="001C0CF3">
        <w:rPr>
          <w:rFonts w:ascii="Palatino Linotype" w:eastAsia="Palatino Linotype" w:hAnsi="Palatino Linotype" w:cs="Palatino Linotype"/>
          <w:color w:val="000000" w:themeColor="text1"/>
        </w:rPr>
        <w:t>la respuesta emitida por parte del Director de Conservación y Servicios Metropolitanos de Almoloya de Juárez, quien informó que luego de una búsqueda exhaustiva y razonable no se localizó soporte documental al respecto, derivado que esa unidad administrativa no lo genera.</w:t>
      </w:r>
    </w:p>
    <w:p w14:paraId="6D6B2233" w14:textId="77777777" w:rsidR="00236042" w:rsidRPr="001C0CF3" w:rsidRDefault="00236042" w:rsidP="001C0CF3">
      <w:pPr>
        <w:pStyle w:val="Prrafodelista"/>
        <w:spacing w:line="360" w:lineRule="auto"/>
        <w:ind w:left="0"/>
        <w:jc w:val="both"/>
        <w:rPr>
          <w:rFonts w:ascii="Palatino Linotype" w:eastAsia="Palatino Linotype" w:hAnsi="Palatino Linotype" w:cs="Palatino Linotype"/>
          <w:color w:val="000000" w:themeColor="text1"/>
        </w:rPr>
      </w:pPr>
    </w:p>
    <w:p w14:paraId="51DFC5E9" w14:textId="3F59186C" w:rsidR="00663372" w:rsidRPr="001C0CF3" w:rsidRDefault="00663372" w:rsidP="001C0CF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Pronunciamiento del cual si bien es cierto no se puede dudar de la veracidad, es necesario precisar que no resulta suficiente para tener por colmada la solicitud de información. Al respecto resulta necesario realizar las siguientes precisiones.</w:t>
      </w:r>
    </w:p>
    <w:p w14:paraId="3121D61E" w14:textId="77777777" w:rsidR="00663372" w:rsidRPr="001C0CF3" w:rsidRDefault="00663372" w:rsidP="001C0CF3">
      <w:pPr>
        <w:pStyle w:val="Prrafodelista"/>
        <w:spacing w:line="360" w:lineRule="auto"/>
        <w:ind w:left="0"/>
        <w:jc w:val="both"/>
        <w:rPr>
          <w:rFonts w:ascii="Palatino Linotype" w:eastAsia="Palatino Linotype" w:hAnsi="Palatino Linotype" w:cs="Palatino Linotype"/>
          <w:color w:val="000000" w:themeColor="text1"/>
        </w:rPr>
      </w:pPr>
    </w:p>
    <w:p w14:paraId="580ACB30" w14:textId="2D98E7F7" w:rsidR="00663372" w:rsidRPr="001C0CF3" w:rsidRDefault="00663372" w:rsidP="001C0CF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Que el alumbrado público es un servicio público, como se desprende de los siguientes preceptos contenidos en el Bando Municipal del Ayuntamiento de Almoloya de Juárez, vigente para la actual anualidad:</w:t>
      </w:r>
    </w:p>
    <w:p w14:paraId="0F4C721D" w14:textId="5FFDF680" w:rsidR="00663372" w:rsidRPr="001C0CF3" w:rsidRDefault="00663372" w:rsidP="001C0CF3">
      <w:pPr>
        <w:pStyle w:val="Prrafodelista"/>
        <w:spacing w:line="360" w:lineRule="auto"/>
        <w:ind w:left="0"/>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 xml:space="preserve">“Artículo 82.- </w:t>
      </w:r>
      <w:r w:rsidRPr="001C0CF3">
        <w:rPr>
          <w:rFonts w:ascii="Palatino Linotype" w:eastAsia="Palatino Linotype" w:hAnsi="Palatino Linotype" w:cs="Palatino Linotype"/>
          <w:b/>
          <w:i/>
          <w:color w:val="000000" w:themeColor="text1"/>
        </w:rPr>
        <w:t>Los servicios públicos</w:t>
      </w:r>
      <w:r w:rsidRPr="001C0CF3">
        <w:rPr>
          <w:rFonts w:ascii="Palatino Linotype" w:eastAsia="Palatino Linotype" w:hAnsi="Palatino Linotype" w:cs="Palatino Linotype"/>
          <w:i/>
          <w:color w:val="000000" w:themeColor="text1"/>
        </w:rPr>
        <w:t xml:space="preserve"> son el conjunto de actividades derivadas de la función administrativa, a fin de garantizar la debida satisfacción del interés general o colectivo, </w:t>
      </w:r>
      <w:r w:rsidRPr="001C0CF3">
        <w:rPr>
          <w:rFonts w:ascii="Palatino Linotype" w:eastAsia="Palatino Linotype" w:hAnsi="Palatino Linotype" w:cs="Palatino Linotype"/>
          <w:b/>
          <w:i/>
          <w:color w:val="000000" w:themeColor="text1"/>
        </w:rPr>
        <w:t>vigilados en todo momento por el Ayuntamiento a través de la Dirección de Conservación y Servicios Metropolitanos</w:t>
      </w:r>
      <w:r w:rsidRPr="001C0CF3">
        <w:rPr>
          <w:rFonts w:ascii="Palatino Linotype" w:eastAsia="Palatino Linotype" w:hAnsi="Palatino Linotype" w:cs="Palatino Linotype"/>
          <w:i/>
          <w:color w:val="000000" w:themeColor="text1"/>
        </w:rPr>
        <w:t>.”</w:t>
      </w:r>
    </w:p>
    <w:p w14:paraId="02C2726B" w14:textId="77777777" w:rsidR="00663372" w:rsidRPr="001C0CF3" w:rsidRDefault="00663372" w:rsidP="001C0CF3">
      <w:pPr>
        <w:pStyle w:val="Prrafodelista"/>
        <w:spacing w:line="360" w:lineRule="auto"/>
        <w:ind w:left="0"/>
        <w:jc w:val="both"/>
        <w:rPr>
          <w:rFonts w:ascii="Palatino Linotype" w:eastAsia="Palatino Linotype" w:hAnsi="Palatino Linotype" w:cs="Palatino Linotype"/>
          <w:i/>
          <w:color w:val="000000" w:themeColor="text1"/>
        </w:rPr>
      </w:pPr>
    </w:p>
    <w:p w14:paraId="1A55EEEE" w14:textId="54F8C245" w:rsidR="00663372" w:rsidRPr="001C0CF3" w:rsidRDefault="00663372" w:rsidP="001C0CF3">
      <w:pPr>
        <w:pStyle w:val="Prrafodelista"/>
        <w:spacing w:line="360" w:lineRule="auto"/>
        <w:ind w:left="0"/>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lastRenderedPageBreak/>
        <w:t>Artículo 85.- El Ayuntamiento tiene a su cargo la planeación, prestación, administración, ejecución, conservación y evaluación de los servicios públicos municipales, de los cuales se consideran de manera enunciativa y no limitativa los siguientes:</w:t>
      </w:r>
    </w:p>
    <w:p w14:paraId="6DBBF2CE" w14:textId="77777777" w:rsidR="00663372" w:rsidRPr="001C0CF3" w:rsidRDefault="00663372" w:rsidP="001C0CF3">
      <w:pPr>
        <w:pStyle w:val="Prrafodelista"/>
        <w:spacing w:line="360" w:lineRule="auto"/>
        <w:ind w:left="0"/>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I.- Agua potable, alcantarillado, saneamiento y aguas residuales;</w:t>
      </w:r>
    </w:p>
    <w:p w14:paraId="5E5EBA93" w14:textId="77777777" w:rsidR="00663372" w:rsidRPr="001C0CF3" w:rsidRDefault="00663372" w:rsidP="001C0CF3">
      <w:pPr>
        <w:pStyle w:val="Prrafodelista"/>
        <w:spacing w:line="360" w:lineRule="auto"/>
        <w:ind w:left="0"/>
        <w:jc w:val="both"/>
        <w:rPr>
          <w:rFonts w:ascii="Palatino Linotype" w:eastAsia="Palatino Linotype" w:hAnsi="Palatino Linotype" w:cs="Palatino Linotype"/>
          <w:b/>
          <w:i/>
          <w:color w:val="000000" w:themeColor="text1"/>
        </w:rPr>
      </w:pPr>
      <w:r w:rsidRPr="001C0CF3">
        <w:rPr>
          <w:rFonts w:ascii="Palatino Linotype" w:eastAsia="Palatino Linotype" w:hAnsi="Palatino Linotype" w:cs="Palatino Linotype"/>
          <w:b/>
          <w:i/>
          <w:color w:val="000000" w:themeColor="text1"/>
        </w:rPr>
        <w:t>II.- Alumbrado público;</w:t>
      </w:r>
    </w:p>
    <w:p w14:paraId="7612B291" w14:textId="2364C9A6" w:rsidR="00663372" w:rsidRPr="001C0CF3" w:rsidRDefault="00663372" w:rsidP="001C0CF3">
      <w:pPr>
        <w:pStyle w:val="Prrafodelista"/>
        <w:spacing w:line="360" w:lineRule="auto"/>
        <w:ind w:left="0"/>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III.- Limpia, recolección segregada, traslado, tratamiento y disposición final de los residuos sólidos urbanos;</w:t>
      </w:r>
    </w:p>
    <w:p w14:paraId="6C3577DD" w14:textId="369A08C7" w:rsidR="00663372" w:rsidRPr="001C0CF3" w:rsidRDefault="00663372" w:rsidP="001C0CF3">
      <w:pPr>
        <w:pStyle w:val="Prrafodelista"/>
        <w:spacing w:line="360" w:lineRule="auto"/>
        <w:ind w:left="0"/>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IV.- Barrido manual de aceras, calles, camellones y plaza principal del primer cuadro de la cabecera municipal;</w:t>
      </w:r>
    </w:p>
    <w:p w14:paraId="5A445CB5" w14:textId="77777777" w:rsidR="00663372" w:rsidRPr="001C0CF3" w:rsidRDefault="00663372" w:rsidP="001C0CF3">
      <w:pPr>
        <w:pStyle w:val="Prrafodelista"/>
        <w:spacing w:line="360" w:lineRule="auto"/>
        <w:ind w:left="0"/>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V.- Panteones;</w:t>
      </w:r>
    </w:p>
    <w:p w14:paraId="0BA57CAD" w14:textId="77777777" w:rsidR="00663372" w:rsidRPr="001C0CF3" w:rsidRDefault="00663372" w:rsidP="001C0CF3">
      <w:pPr>
        <w:pStyle w:val="Prrafodelista"/>
        <w:spacing w:line="360" w:lineRule="auto"/>
        <w:ind w:left="0"/>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VI.- Calles, parques, jardines, áreas verdes y recreativas;</w:t>
      </w:r>
    </w:p>
    <w:p w14:paraId="66ACA20E" w14:textId="77777777" w:rsidR="00663372" w:rsidRPr="001C0CF3" w:rsidRDefault="00663372" w:rsidP="001C0CF3">
      <w:pPr>
        <w:pStyle w:val="Prrafodelista"/>
        <w:spacing w:line="360" w:lineRule="auto"/>
        <w:ind w:left="0"/>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VII.- Embellecimiento y conservación de los poblados, centros urbanos y obras de interés social;</w:t>
      </w:r>
    </w:p>
    <w:p w14:paraId="07D1EF8C" w14:textId="41922C12" w:rsidR="00663372" w:rsidRPr="001C0CF3" w:rsidRDefault="00663372" w:rsidP="001C0CF3">
      <w:pPr>
        <w:pStyle w:val="Prrafodelista"/>
        <w:spacing w:line="360" w:lineRule="auto"/>
        <w:ind w:left="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i/>
          <w:color w:val="000000" w:themeColor="text1"/>
        </w:rPr>
        <w:t>VIII.- Los demás servicios públicos que determinen las disposiciones jurídicas.”</w:t>
      </w:r>
      <w:r w:rsidRPr="001C0CF3">
        <w:rPr>
          <w:rFonts w:ascii="Palatino Linotype" w:eastAsia="Palatino Linotype" w:hAnsi="Palatino Linotype" w:cs="Palatino Linotype"/>
          <w:color w:val="000000" w:themeColor="text1"/>
        </w:rPr>
        <w:t xml:space="preserve"> Énfasis añadido</w:t>
      </w:r>
    </w:p>
    <w:p w14:paraId="5E07BA42" w14:textId="77777777" w:rsidR="00663372" w:rsidRPr="001C0CF3" w:rsidRDefault="00663372" w:rsidP="001C0CF3">
      <w:pPr>
        <w:pStyle w:val="Prrafodelista"/>
        <w:spacing w:line="360" w:lineRule="auto"/>
        <w:ind w:left="0"/>
        <w:jc w:val="both"/>
        <w:rPr>
          <w:rFonts w:ascii="Palatino Linotype" w:eastAsia="Palatino Linotype" w:hAnsi="Palatino Linotype" w:cs="Palatino Linotype"/>
          <w:color w:val="000000" w:themeColor="text1"/>
        </w:rPr>
      </w:pPr>
    </w:p>
    <w:p w14:paraId="34CCD26B" w14:textId="77777777" w:rsidR="00E30417" w:rsidRPr="001C0CF3" w:rsidRDefault="00535FBE" w:rsidP="001C0CF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Asimismo, como se observa de los preceptos transcritos, se desprende que ciertamente la Dirección de Conservación y Servicios Metropolitanos es competente de emitir un pronunciamiento al respecto, al ser el área encargada de tareas relacionadas con los servicios públicos urbanos: mantenimiento del mobiliario urbano, espacios verdes y mantenimiento de infraestructura que afecta la calidad de vida en áreas metropolitanas y del Municipio. No obstante es de recordar que la solicitud versa respecto de gastos erogados.</w:t>
      </w:r>
    </w:p>
    <w:p w14:paraId="14DCB885" w14:textId="77777777" w:rsidR="00E30417" w:rsidRPr="001C0CF3" w:rsidRDefault="00E30417" w:rsidP="001C0CF3">
      <w:pPr>
        <w:spacing w:line="360" w:lineRule="auto"/>
        <w:jc w:val="both"/>
        <w:rPr>
          <w:rFonts w:ascii="Palatino Linotype" w:eastAsia="Palatino Linotype" w:hAnsi="Palatino Linotype" w:cs="Palatino Linotype"/>
          <w:color w:val="000000" w:themeColor="text1"/>
        </w:rPr>
      </w:pPr>
    </w:p>
    <w:p w14:paraId="4283FF3A" w14:textId="30B1176F" w:rsidR="00E30417" w:rsidRPr="001C0CF3" w:rsidRDefault="00E30417" w:rsidP="001C0CF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P</w:t>
      </w:r>
      <w:r w:rsidR="00C401D4" w:rsidRPr="001C0CF3">
        <w:rPr>
          <w:rFonts w:ascii="Palatino Linotype" w:eastAsia="Palatino Linotype" w:hAnsi="Palatino Linotype" w:cs="Palatino Linotype"/>
          <w:color w:val="000000" w:themeColor="text1"/>
        </w:rPr>
        <w:t>or lo que es necesario</w:t>
      </w:r>
      <w:r w:rsidRPr="001C0CF3">
        <w:rPr>
          <w:rFonts w:ascii="Palatino Linotype" w:hAnsi="Palatino Linotype"/>
          <w:color w:val="000000" w:themeColor="text1"/>
        </w:rPr>
        <w:t xml:space="preserve"> traer a colación, el artículo 115, fracción III, inciso b), de la Constitución Política de los Estados Unidos Mexicanos, establece que los Municipios tendrán </w:t>
      </w:r>
      <w:r w:rsidRPr="001C0CF3">
        <w:rPr>
          <w:rFonts w:ascii="Palatino Linotype" w:hAnsi="Palatino Linotype"/>
          <w:color w:val="000000" w:themeColor="text1"/>
        </w:rPr>
        <w:lastRenderedPageBreak/>
        <w:t>a su cargo, diversas funciones y servicios públicos, entre los que se encuentra el de alumbrado público.</w:t>
      </w:r>
    </w:p>
    <w:p w14:paraId="5CE334E0" w14:textId="77777777" w:rsidR="00E30417" w:rsidRPr="001C0CF3" w:rsidRDefault="00E30417" w:rsidP="001C0CF3">
      <w:pPr>
        <w:tabs>
          <w:tab w:val="left" w:pos="4962"/>
        </w:tabs>
        <w:spacing w:line="360" w:lineRule="auto"/>
        <w:jc w:val="both"/>
        <w:rPr>
          <w:rFonts w:ascii="Palatino Linotype" w:hAnsi="Palatino Linotype"/>
          <w:color w:val="000000" w:themeColor="text1"/>
        </w:rPr>
      </w:pPr>
    </w:p>
    <w:p w14:paraId="1370694B" w14:textId="77777777" w:rsidR="00E30417" w:rsidRPr="001C0CF3" w:rsidRDefault="00E30417" w:rsidP="001C0CF3">
      <w:pPr>
        <w:numPr>
          <w:ilvl w:val="0"/>
          <w:numId w:val="3"/>
        </w:numP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De la misma manera, el segundo párrafo, del artículo 122 de la Constitución Política del Estado Libre y Soberano de México, establece que los Ayuntamientos de los municipios, tendrán a su cargo las funciones y servicios públicos que señale la fracción III, del artículo 115 de la Carta Magna.</w:t>
      </w:r>
    </w:p>
    <w:p w14:paraId="5A8415A5" w14:textId="77777777" w:rsidR="00E30417" w:rsidRPr="001C0CF3" w:rsidRDefault="00E30417" w:rsidP="001C0CF3">
      <w:pPr>
        <w:tabs>
          <w:tab w:val="left" w:pos="4962"/>
        </w:tabs>
        <w:spacing w:line="360" w:lineRule="auto"/>
        <w:jc w:val="both"/>
        <w:rPr>
          <w:rFonts w:ascii="Palatino Linotype" w:hAnsi="Palatino Linotype"/>
          <w:color w:val="000000" w:themeColor="text1"/>
        </w:rPr>
      </w:pPr>
    </w:p>
    <w:p w14:paraId="183F4C03" w14:textId="77777777" w:rsidR="00E30417" w:rsidRPr="001C0CF3" w:rsidRDefault="00E30417" w:rsidP="001C0CF3">
      <w:pPr>
        <w:numPr>
          <w:ilvl w:val="0"/>
          <w:numId w:val="3"/>
        </w:numP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En ese sentido, los artículos 125, fracción II y 126 de la Ley Orgánica Municipal del Estado de México, establecen que los municipios tendrán a su cargo la prestación, explotación, administración y conservación de los servicios públicos municipales, entre los que se encuentran el de Alumbrado Público; además, que dicho servicio deberá realizarse por los ayuntamientos, a través de sus unidades administrativas u organismos auxiliares, quienes podrán coordinarse con el Estado y otros municipios para mejorar la eficacia del mismo; por lo cual, podrá concesionarse a terceros, la prestación de esta.</w:t>
      </w:r>
    </w:p>
    <w:p w14:paraId="4F53C63D" w14:textId="77777777" w:rsidR="00E30417" w:rsidRPr="001C0CF3" w:rsidRDefault="00E30417" w:rsidP="001C0CF3">
      <w:pPr>
        <w:tabs>
          <w:tab w:val="left" w:pos="4962"/>
        </w:tabs>
        <w:spacing w:line="360" w:lineRule="auto"/>
        <w:jc w:val="both"/>
        <w:rPr>
          <w:rFonts w:ascii="Palatino Linotype" w:hAnsi="Palatino Linotype"/>
          <w:color w:val="000000" w:themeColor="text1"/>
        </w:rPr>
      </w:pPr>
    </w:p>
    <w:p w14:paraId="1DEFAA5F" w14:textId="77777777" w:rsidR="00E30417" w:rsidRPr="001C0CF3" w:rsidRDefault="00E30417"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 xml:space="preserve">Ahora bien, la Guía Técnica 7 Elaboración y Ejercicio de Presupuesto de Egresos del Instituto Nacional para el Federalismo y el Desarrollo Municipal, establece que el Presupuesto </w:t>
      </w:r>
      <w:r w:rsidRPr="001C0CF3">
        <w:rPr>
          <w:rFonts w:ascii="Palatino Linotype" w:hAnsi="Palatino Linotype" w:cs="Arial"/>
          <w:color w:val="000000" w:themeColor="text1"/>
        </w:rPr>
        <w:t>de</w:t>
      </w:r>
      <w:r w:rsidRPr="001C0CF3">
        <w:rPr>
          <w:rFonts w:ascii="Palatino Linotype" w:hAnsi="Palatino Linotype"/>
          <w:color w:val="000000" w:themeColor="text1"/>
        </w:rPr>
        <w:t xml:space="preserve"> Egresos constituye el programa anual de gastos del municipio, que permite al Ayuntamiento:</w:t>
      </w:r>
    </w:p>
    <w:p w14:paraId="3BEA5FA9" w14:textId="77777777" w:rsidR="00E30417" w:rsidRPr="001C0CF3" w:rsidRDefault="00E30417" w:rsidP="001C0CF3">
      <w:pPr>
        <w:numPr>
          <w:ilvl w:val="0"/>
          <w:numId w:val="37"/>
        </w:numP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Prever los recursos financieros necesarios para la administración municipal;</w:t>
      </w:r>
    </w:p>
    <w:p w14:paraId="29649FFA" w14:textId="77777777" w:rsidR="00E30417" w:rsidRPr="001C0CF3" w:rsidRDefault="00E30417" w:rsidP="001C0CF3">
      <w:pPr>
        <w:numPr>
          <w:ilvl w:val="0"/>
          <w:numId w:val="37"/>
        </w:numP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Llevar el control estricto de los gastos de la administración municipal, y</w:t>
      </w:r>
    </w:p>
    <w:p w14:paraId="1459FB89" w14:textId="77777777" w:rsidR="00E30417" w:rsidRPr="001C0CF3" w:rsidRDefault="00E30417" w:rsidP="001C0CF3">
      <w:pPr>
        <w:numPr>
          <w:ilvl w:val="0"/>
          <w:numId w:val="37"/>
        </w:numP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Manejar adecuada y honestamente los fondos financieros del municipio.</w:t>
      </w:r>
    </w:p>
    <w:p w14:paraId="5B1375B5" w14:textId="77777777" w:rsidR="00E30417" w:rsidRPr="001C0CF3" w:rsidRDefault="00E30417" w:rsidP="001C0CF3">
      <w:pPr>
        <w:spacing w:line="360" w:lineRule="auto"/>
        <w:jc w:val="both"/>
        <w:rPr>
          <w:rFonts w:ascii="Palatino Linotype" w:hAnsi="Palatino Linotype"/>
          <w:color w:val="000000" w:themeColor="text1"/>
        </w:rPr>
      </w:pPr>
    </w:p>
    <w:p w14:paraId="149790C6" w14:textId="77777777" w:rsidR="00E30417" w:rsidRPr="001C0CF3" w:rsidRDefault="00E30417"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lastRenderedPageBreak/>
        <w:t xml:space="preserve">Además, precisa que dicho documento debe ser elaborado tomando en cuenta el monto disponible de los ingresos del Ayuntamiento; en ese sentido, el artículo 285 del Código Financiero del Estado de México y Municipios, precisa que el Ayuntamiento es el encargado de aprobar el Presupuesto de Egresos del Municipio. </w:t>
      </w:r>
    </w:p>
    <w:p w14:paraId="1599C49D" w14:textId="77777777" w:rsidR="00E30417" w:rsidRPr="001C0CF3" w:rsidRDefault="00E30417" w:rsidP="001C0CF3">
      <w:pPr>
        <w:spacing w:line="360" w:lineRule="auto"/>
        <w:jc w:val="both"/>
        <w:rPr>
          <w:rFonts w:ascii="Palatino Linotype" w:hAnsi="Palatino Linotype"/>
          <w:color w:val="000000" w:themeColor="text1"/>
        </w:rPr>
      </w:pPr>
    </w:p>
    <w:p w14:paraId="471875DB" w14:textId="77777777" w:rsidR="00E30417" w:rsidRPr="001C0CF3" w:rsidRDefault="00E30417"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Además, el artículo 31, fracción XIX, de la Ley Orgánica Municipal del Estado de México, establece que los Ayuntamientos serán los encargados de aprobar anualmente, el Presupuesto de Egresos, en base a los ingresos presupuestados para el ejercicio de corresponda.</w:t>
      </w:r>
      <w:r w:rsidRPr="001C0CF3">
        <w:rPr>
          <w:rFonts w:ascii="Palatino Linotype" w:hAnsi="Palatino Linotype"/>
          <w:b/>
          <w:color w:val="000000" w:themeColor="text1"/>
        </w:rPr>
        <w:t xml:space="preserve"> </w:t>
      </w:r>
    </w:p>
    <w:p w14:paraId="106E1C97" w14:textId="77777777" w:rsidR="00E30417" w:rsidRPr="001C0CF3" w:rsidRDefault="00E30417" w:rsidP="001C0CF3">
      <w:pPr>
        <w:spacing w:line="360" w:lineRule="auto"/>
        <w:jc w:val="both"/>
        <w:rPr>
          <w:rFonts w:ascii="Palatino Linotype" w:hAnsi="Palatino Linotype"/>
          <w:color w:val="000000" w:themeColor="text1"/>
        </w:rPr>
      </w:pPr>
    </w:p>
    <w:p w14:paraId="6B4B9203" w14:textId="77777777" w:rsidR="00E30417" w:rsidRPr="001C0CF3" w:rsidRDefault="00E30417"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En ese orden de ideas, de conformidad con el artículo 100 y 101, fracción II, de dicho ordenamiento jurídico, el Presupuesto de Egresos, deberá contener las previsiones de gasto público y se conformará, entre otras cosas, por la</w:t>
      </w:r>
      <w:r w:rsidRPr="001C0CF3">
        <w:rPr>
          <w:rFonts w:ascii="Palatino Linotype" w:hAnsi="Palatino Linotype"/>
          <w:b/>
          <w:color w:val="000000" w:themeColor="text1"/>
        </w:rPr>
        <w:t xml:space="preserve"> </w:t>
      </w:r>
      <w:r w:rsidRPr="001C0CF3">
        <w:rPr>
          <w:rFonts w:ascii="Palatino Linotype" w:hAnsi="Palatino Linotype"/>
          <w:color w:val="000000" w:themeColor="text1"/>
        </w:rPr>
        <w:t>estimación de los ingresos y gastos del ejercicio fiscal calendarizados.</w:t>
      </w:r>
    </w:p>
    <w:p w14:paraId="4D2D7008" w14:textId="77777777" w:rsidR="00E30417" w:rsidRPr="001C0CF3" w:rsidRDefault="00E30417" w:rsidP="001C0CF3">
      <w:pPr>
        <w:spacing w:line="360" w:lineRule="auto"/>
        <w:jc w:val="both"/>
        <w:rPr>
          <w:rFonts w:ascii="Palatino Linotype" w:hAnsi="Palatino Linotype"/>
          <w:color w:val="000000" w:themeColor="text1"/>
        </w:rPr>
      </w:pPr>
    </w:p>
    <w:p w14:paraId="632FAEF5" w14:textId="18FFFA07" w:rsidR="00E30417" w:rsidRPr="001C0CF3" w:rsidRDefault="00E30417"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Así, el Manual para la Planeación, Programación y Presupuesto de Egresos Municipal, establece que el Presupuesto es la estimación financiera anticipada de los ingresos y egresos del gobierno, necesarios para cumplir con los objetivos establecidos; además, que el mismo involucra planes, políticas, programas, proyectos, estrategias y objetivos del municipio.</w:t>
      </w:r>
    </w:p>
    <w:p w14:paraId="3757D4DB" w14:textId="77777777" w:rsidR="00E30417" w:rsidRPr="001C0CF3" w:rsidRDefault="00E30417" w:rsidP="001C0CF3">
      <w:pPr>
        <w:tabs>
          <w:tab w:val="left" w:pos="4962"/>
        </w:tabs>
        <w:spacing w:line="360" w:lineRule="auto"/>
        <w:jc w:val="both"/>
        <w:rPr>
          <w:rFonts w:ascii="Palatino Linotype" w:hAnsi="Palatino Linotype"/>
          <w:color w:val="000000" w:themeColor="text1"/>
        </w:rPr>
      </w:pPr>
    </w:p>
    <w:p w14:paraId="3F8DA5F5" w14:textId="77777777" w:rsidR="00E30417" w:rsidRPr="001C0CF3" w:rsidRDefault="00E30417"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Asimismo, el Glosario de Términos, de dichos Manuales, establecen que el presupuesto es la estimación financiera anticipada de los egresos e ingresos del gobierno, necesario para cumplir con los propósitos de un programa determinado; por otra parte, establece lo siguiente:</w:t>
      </w:r>
    </w:p>
    <w:p w14:paraId="6B0373BC" w14:textId="77777777" w:rsidR="00E30417" w:rsidRPr="001C0CF3" w:rsidRDefault="00E30417" w:rsidP="001C0CF3">
      <w:pPr>
        <w:numPr>
          <w:ilvl w:val="0"/>
          <w:numId w:val="35"/>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b/>
          <w:color w:val="000000" w:themeColor="text1"/>
        </w:rPr>
        <w:lastRenderedPageBreak/>
        <w:t xml:space="preserve">Presupuesto Autorizado: </w:t>
      </w:r>
      <w:r w:rsidRPr="001C0CF3">
        <w:rPr>
          <w:rFonts w:ascii="Palatino Linotype" w:hAnsi="Palatino Linotype"/>
          <w:color w:val="000000" w:themeColor="text1"/>
        </w:rPr>
        <w:t>Es el monto de recursos que se autoriza ejercer en un ejercicio fiscal, a través del Decreto del Presupuesto de Egresos.</w:t>
      </w:r>
    </w:p>
    <w:p w14:paraId="71288AA0" w14:textId="77777777" w:rsidR="00E30417" w:rsidRPr="001C0CF3" w:rsidRDefault="00E30417" w:rsidP="001C0CF3">
      <w:pPr>
        <w:numPr>
          <w:ilvl w:val="0"/>
          <w:numId w:val="35"/>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 xml:space="preserve"> </w:t>
      </w:r>
      <w:r w:rsidRPr="001C0CF3">
        <w:rPr>
          <w:rFonts w:ascii="Palatino Linotype" w:hAnsi="Palatino Linotype"/>
          <w:b/>
          <w:color w:val="000000" w:themeColor="text1"/>
        </w:rPr>
        <w:t>Presupuesto Ejercido</w:t>
      </w:r>
      <w:r w:rsidRPr="001C0CF3">
        <w:rPr>
          <w:rFonts w:ascii="Palatino Linotype" w:hAnsi="Palatino Linotype"/>
          <w:color w:val="000000" w:themeColor="text1"/>
        </w:rPr>
        <w:t>: Es el importe de erogaciones realizadas, respaldadas por los documentos comprobatorios presentados a la dependencia una vez autorizadas para su pago, con cargo al presupuesto autorizado.</w:t>
      </w:r>
    </w:p>
    <w:p w14:paraId="3B5B100A" w14:textId="77777777" w:rsidR="00E30417" w:rsidRPr="001C0CF3" w:rsidRDefault="00E30417" w:rsidP="001C0CF3">
      <w:pPr>
        <w:tabs>
          <w:tab w:val="left" w:pos="4962"/>
        </w:tabs>
        <w:spacing w:line="360" w:lineRule="auto"/>
        <w:jc w:val="both"/>
        <w:rPr>
          <w:rFonts w:ascii="Palatino Linotype" w:hAnsi="Palatino Linotype"/>
          <w:color w:val="000000" w:themeColor="text1"/>
        </w:rPr>
      </w:pPr>
    </w:p>
    <w:p w14:paraId="2F832979" w14:textId="77777777" w:rsidR="00E30417" w:rsidRPr="001C0CF3" w:rsidRDefault="00E30417"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Además, los Manuales citados, contienen el Clasificador por Objeto del Gasto Estatal y Municipal, la cual establece la estructura del Clasificador por Objeto del Gasto, que se conforma de la siguiente manera:</w:t>
      </w:r>
    </w:p>
    <w:p w14:paraId="47B571E1" w14:textId="77777777" w:rsidR="00E30417" w:rsidRPr="001C0CF3" w:rsidRDefault="00E30417" w:rsidP="001C0CF3">
      <w:pPr>
        <w:numPr>
          <w:ilvl w:val="0"/>
          <w:numId w:val="36"/>
        </w:numPr>
        <w:pBdr>
          <w:top w:val="nil"/>
          <w:left w:val="nil"/>
          <w:bottom w:val="nil"/>
          <w:right w:val="nil"/>
          <w:between w:val="nil"/>
        </w:pBdr>
        <w:spacing w:line="360" w:lineRule="auto"/>
        <w:ind w:left="0" w:firstLine="0"/>
        <w:jc w:val="both"/>
        <w:rPr>
          <w:rFonts w:ascii="Palatino Linotype" w:hAnsi="Palatino Linotype"/>
          <w:b/>
          <w:color w:val="000000" w:themeColor="text1"/>
        </w:rPr>
      </w:pPr>
      <w:r w:rsidRPr="001C0CF3">
        <w:rPr>
          <w:rFonts w:ascii="Palatino Linotype" w:hAnsi="Palatino Linotype"/>
          <w:b/>
          <w:color w:val="000000" w:themeColor="text1"/>
        </w:rPr>
        <w:t xml:space="preserve">Capítulo: </w:t>
      </w:r>
      <w:r w:rsidRPr="001C0CF3">
        <w:rPr>
          <w:rFonts w:ascii="Palatino Linotype" w:hAnsi="Palatino Linotype"/>
          <w:color w:val="000000" w:themeColor="text1"/>
        </w:rPr>
        <w:t>Es el mayor nivel de agregación que identifica el conjunto homogéneo y ordenado de los bienes y servicios requeridos por los entes públicos, es el primer dígito de la codificación;</w:t>
      </w:r>
    </w:p>
    <w:p w14:paraId="73B8D97B" w14:textId="77777777" w:rsidR="00E30417" w:rsidRPr="001C0CF3" w:rsidRDefault="00E30417" w:rsidP="001C0CF3">
      <w:pPr>
        <w:numPr>
          <w:ilvl w:val="0"/>
          <w:numId w:val="36"/>
        </w:numPr>
        <w:pBdr>
          <w:top w:val="nil"/>
          <w:left w:val="nil"/>
          <w:bottom w:val="nil"/>
          <w:right w:val="nil"/>
          <w:between w:val="nil"/>
        </w:pBdr>
        <w:spacing w:line="360" w:lineRule="auto"/>
        <w:ind w:left="0" w:firstLine="0"/>
        <w:jc w:val="both"/>
        <w:rPr>
          <w:rFonts w:ascii="Palatino Linotype" w:hAnsi="Palatino Linotype"/>
          <w:b/>
          <w:color w:val="000000" w:themeColor="text1"/>
        </w:rPr>
      </w:pPr>
      <w:r w:rsidRPr="001C0CF3">
        <w:rPr>
          <w:rFonts w:ascii="Palatino Linotype" w:hAnsi="Palatino Linotype"/>
          <w:b/>
          <w:color w:val="000000" w:themeColor="text1"/>
        </w:rPr>
        <w:t xml:space="preserve">Concepto (Subcapítulo): </w:t>
      </w:r>
      <w:r w:rsidRPr="001C0CF3">
        <w:rPr>
          <w:rFonts w:ascii="Palatino Linotype" w:hAnsi="Palatino Linotype"/>
          <w:color w:val="000000" w:themeColor="text1"/>
        </w:rPr>
        <w:t>Son los subconjuntos homogéneos y ordenados en forma específica, producto de la desagregación de los bienes y servicios, incluidos en cada capítulo, por lo que, es el segundo dígito de la estructura, y</w:t>
      </w:r>
    </w:p>
    <w:p w14:paraId="59316536" w14:textId="77777777" w:rsidR="00E30417" w:rsidRPr="001C0CF3" w:rsidRDefault="00E30417" w:rsidP="001C0CF3">
      <w:pPr>
        <w:numPr>
          <w:ilvl w:val="0"/>
          <w:numId w:val="36"/>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b/>
          <w:color w:val="000000" w:themeColor="text1"/>
        </w:rPr>
        <w:t xml:space="preserve">Partida: </w:t>
      </w:r>
      <w:r w:rsidRPr="001C0CF3">
        <w:rPr>
          <w:rFonts w:ascii="Palatino Linotype" w:hAnsi="Palatino Linotype"/>
          <w:color w:val="000000" w:themeColor="text1"/>
        </w:rPr>
        <w:t>Corresponde al nivel de agregación más específico en el cual se describen las expresiones concretas y detalladas de los bienes y servicios que se adquieren, el cual se subdivide en:</w:t>
      </w:r>
    </w:p>
    <w:p w14:paraId="6923C54D" w14:textId="77777777" w:rsidR="00E30417" w:rsidRPr="001C0CF3" w:rsidRDefault="00E30417" w:rsidP="001C0CF3">
      <w:pPr>
        <w:numPr>
          <w:ilvl w:val="0"/>
          <w:numId w:val="38"/>
        </w:numPr>
        <w:pBdr>
          <w:top w:val="nil"/>
          <w:left w:val="nil"/>
          <w:bottom w:val="nil"/>
          <w:right w:val="nil"/>
          <w:between w:val="nil"/>
        </w:pBdr>
        <w:spacing w:line="360" w:lineRule="auto"/>
        <w:ind w:left="0" w:firstLine="0"/>
        <w:jc w:val="both"/>
        <w:rPr>
          <w:rFonts w:ascii="Palatino Linotype" w:hAnsi="Palatino Linotype"/>
          <w:b/>
          <w:color w:val="000000" w:themeColor="text1"/>
        </w:rPr>
      </w:pPr>
      <w:r w:rsidRPr="001C0CF3">
        <w:rPr>
          <w:rFonts w:ascii="Palatino Linotype" w:hAnsi="Palatino Linotype"/>
          <w:b/>
          <w:color w:val="000000" w:themeColor="text1"/>
        </w:rPr>
        <w:t xml:space="preserve">Genérica: </w:t>
      </w:r>
      <w:r w:rsidRPr="001C0CF3">
        <w:rPr>
          <w:rFonts w:ascii="Palatino Linotype" w:hAnsi="Palatino Linotype"/>
          <w:color w:val="000000" w:themeColor="text1"/>
        </w:rPr>
        <w:t>Se refiere al tercer dígito, el cual busca la armonización de todos los niveles de gobierno, y</w:t>
      </w:r>
    </w:p>
    <w:p w14:paraId="05E6D735" w14:textId="77777777" w:rsidR="00E30417" w:rsidRPr="001C0CF3" w:rsidRDefault="00E30417" w:rsidP="001C0CF3">
      <w:pPr>
        <w:numPr>
          <w:ilvl w:val="0"/>
          <w:numId w:val="38"/>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b/>
          <w:color w:val="000000" w:themeColor="text1"/>
        </w:rPr>
        <w:t xml:space="preserve">Específica: </w:t>
      </w:r>
      <w:r w:rsidRPr="001C0CF3">
        <w:rPr>
          <w:rFonts w:ascii="Palatino Linotype" w:hAnsi="Palatino Linotype"/>
          <w:color w:val="000000" w:themeColor="text1"/>
        </w:rPr>
        <w:t>Es el cuarto digito, mismo que permite a las unidades administrativas, generar su apertura, conservando la estructura básica, con el fin de mantener la armonización contable.</w:t>
      </w:r>
    </w:p>
    <w:p w14:paraId="03DAC2A8" w14:textId="77777777" w:rsidR="00E30417" w:rsidRPr="001C0CF3" w:rsidRDefault="00E30417" w:rsidP="001C0CF3">
      <w:pPr>
        <w:spacing w:line="360" w:lineRule="auto"/>
        <w:jc w:val="both"/>
        <w:rPr>
          <w:rFonts w:ascii="Palatino Linotype" w:hAnsi="Palatino Linotype"/>
          <w:color w:val="000000" w:themeColor="text1"/>
        </w:rPr>
      </w:pPr>
    </w:p>
    <w:p w14:paraId="7A6A558F" w14:textId="77777777" w:rsidR="00E30417" w:rsidRPr="001C0CF3" w:rsidRDefault="00E30417"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lastRenderedPageBreak/>
        <w:t xml:space="preserve">En ese orden de ideas, el Clasificador por Objeto del Gasto Municipal, entre las que se encuentra la </w:t>
      </w:r>
      <w:r w:rsidRPr="001C0CF3">
        <w:rPr>
          <w:rFonts w:ascii="Palatino Linotype" w:hAnsi="Palatino Linotype"/>
          <w:b/>
          <w:color w:val="000000" w:themeColor="text1"/>
        </w:rPr>
        <w:t>3000, correspondiente a</w:t>
      </w:r>
      <w:r w:rsidRPr="001C0CF3">
        <w:rPr>
          <w:rFonts w:ascii="Palatino Linotype" w:hAnsi="Palatino Linotype"/>
          <w:color w:val="000000" w:themeColor="text1"/>
        </w:rPr>
        <w:t xml:space="preserve"> </w:t>
      </w:r>
      <w:r w:rsidRPr="001C0CF3">
        <w:rPr>
          <w:rFonts w:ascii="Palatino Linotype" w:hAnsi="Palatino Linotype"/>
          <w:b/>
          <w:color w:val="000000" w:themeColor="text1"/>
        </w:rPr>
        <w:t xml:space="preserve">Servicios Generales, </w:t>
      </w:r>
      <w:r w:rsidRPr="001C0CF3">
        <w:rPr>
          <w:rFonts w:ascii="Palatino Linotype" w:hAnsi="Palatino Linotype"/>
          <w:color w:val="000000" w:themeColor="text1"/>
        </w:rPr>
        <w:t xml:space="preserve">la cual contiene la partida </w:t>
      </w:r>
      <w:r w:rsidRPr="001C0CF3">
        <w:rPr>
          <w:rFonts w:ascii="Palatino Linotype" w:hAnsi="Palatino Linotype"/>
          <w:b/>
          <w:color w:val="000000" w:themeColor="text1"/>
        </w:rPr>
        <w:t>3100 Servicios Básicos</w:t>
      </w:r>
      <w:r w:rsidRPr="001C0CF3">
        <w:rPr>
          <w:rFonts w:ascii="Palatino Linotype" w:hAnsi="Palatino Linotype"/>
          <w:color w:val="000000" w:themeColor="text1"/>
        </w:rPr>
        <w:t xml:space="preserve">, que son las asignaciones destinadas a cubrir las erogaciones por concepto de servicios básicos necesarios para el funcionamiento de los entes públicos. Comprende servicios tales como: postal, telegráfico, telefónico, </w:t>
      </w:r>
      <w:r w:rsidRPr="001C0CF3">
        <w:rPr>
          <w:rFonts w:ascii="Palatino Linotype" w:hAnsi="Palatino Linotype"/>
          <w:color w:val="000000" w:themeColor="text1"/>
          <w:u w:val="single"/>
        </w:rPr>
        <w:t>energía eléctrica</w:t>
      </w:r>
      <w:r w:rsidRPr="001C0CF3">
        <w:rPr>
          <w:rFonts w:ascii="Palatino Linotype" w:hAnsi="Palatino Linotype"/>
          <w:color w:val="000000" w:themeColor="text1"/>
        </w:rPr>
        <w:t>, agua, transmisión de datos, radiocomunicaciones y otros análogos, la cual se subdivide en las siguientes:</w:t>
      </w:r>
    </w:p>
    <w:p w14:paraId="1AFE4A2A" w14:textId="77777777" w:rsidR="00E30417" w:rsidRPr="001C0CF3" w:rsidRDefault="00E30417" w:rsidP="001C0CF3">
      <w:pPr>
        <w:numPr>
          <w:ilvl w:val="0"/>
          <w:numId w:val="39"/>
        </w:numPr>
        <w:shd w:val="clear" w:color="auto" w:fill="FFFFFF"/>
        <w:spacing w:line="360" w:lineRule="auto"/>
        <w:ind w:left="0" w:firstLine="0"/>
        <w:jc w:val="both"/>
        <w:rPr>
          <w:rFonts w:ascii="Palatino Linotype" w:hAnsi="Palatino Linotype"/>
          <w:color w:val="000000" w:themeColor="text1"/>
        </w:rPr>
      </w:pPr>
      <w:r w:rsidRPr="001C0CF3">
        <w:rPr>
          <w:rFonts w:ascii="Palatino Linotype" w:hAnsi="Palatino Linotype"/>
          <w:b/>
          <w:color w:val="000000" w:themeColor="text1"/>
        </w:rPr>
        <w:t>3110 Energía eléctrica.</w:t>
      </w:r>
      <w:r w:rsidRPr="001C0CF3">
        <w:rPr>
          <w:rFonts w:ascii="Palatino Linotype" w:hAnsi="Palatino Linotype"/>
          <w:color w:val="000000" w:themeColor="text1"/>
        </w:rPr>
        <w:t xml:space="preserve"> Asignaciones destinadas a cubrir el importe del consumo de energía eléctrica, necesarios para el funcionamiento de las instalaciones oficiales. Incluye alumbrado público, y</w:t>
      </w:r>
    </w:p>
    <w:p w14:paraId="286FE2C2" w14:textId="77777777" w:rsidR="00E30417" w:rsidRPr="001C0CF3" w:rsidRDefault="00E30417" w:rsidP="001C0CF3">
      <w:pPr>
        <w:numPr>
          <w:ilvl w:val="0"/>
          <w:numId w:val="39"/>
        </w:numPr>
        <w:shd w:val="clear" w:color="auto" w:fill="FFFFFF"/>
        <w:spacing w:line="360" w:lineRule="auto"/>
        <w:ind w:left="0" w:firstLine="0"/>
        <w:jc w:val="both"/>
        <w:rPr>
          <w:rFonts w:ascii="Palatino Linotype" w:hAnsi="Palatino Linotype"/>
          <w:color w:val="000000" w:themeColor="text1"/>
        </w:rPr>
      </w:pPr>
      <w:r w:rsidRPr="001C0CF3">
        <w:rPr>
          <w:rFonts w:ascii="Palatino Linotype" w:hAnsi="Palatino Linotype"/>
          <w:b/>
          <w:color w:val="000000" w:themeColor="text1"/>
        </w:rPr>
        <w:t xml:space="preserve">3111 Servicio de energía eléctrica. </w:t>
      </w:r>
      <w:r w:rsidRPr="001C0CF3">
        <w:rPr>
          <w:rFonts w:ascii="Palatino Linotype" w:hAnsi="Palatino Linotype"/>
          <w:color w:val="000000" w:themeColor="text1"/>
        </w:rPr>
        <w:t>Asignaciones para pagar el servicio de energía eléctrica de instalaciones oficiales.</w:t>
      </w:r>
    </w:p>
    <w:p w14:paraId="675AFA7A" w14:textId="77777777" w:rsidR="00E30417" w:rsidRPr="001C0CF3" w:rsidRDefault="00E30417" w:rsidP="001C0CF3">
      <w:pPr>
        <w:numPr>
          <w:ilvl w:val="0"/>
          <w:numId w:val="39"/>
        </w:numPr>
        <w:shd w:val="clear" w:color="auto" w:fill="FFFFFF"/>
        <w:spacing w:line="360" w:lineRule="auto"/>
        <w:ind w:left="0" w:firstLine="0"/>
        <w:jc w:val="both"/>
        <w:rPr>
          <w:rFonts w:ascii="Palatino Linotype" w:hAnsi="Palatino Linotype"/>
          <w:color w:val="000000" w:themeColor="text1"/>
        </w:rPr>
      </w:pPr>
      <w:r w:rsidRPr="001C0CF3">
        <w:rPr>
          <w:rFonts w:ascii="Palatino Linotype" w:hAnsi="Palatino Linotype"/>
          <w:b/>
          <w:color w:val="000000" w:themeColor="text1"/>
        </w:rPr>
        <w:t>3112 Servicio de energía eléctrica para alumbrado público.</w:t>
      </w:r>
      <w:r w:rsidRPr="001C0CF3">
        <w:rPr>
          <w:rFonts w:ascii="Palatino Linotype" w:hAnsi="Palatino Linotype"/>
          <w:color w:val="000000" w:themeColor="text1"/>
        </w:rPr>
        <w:t xml:space="preserve"> Asignación para el pago del servicio de alumbrado público.</w:t>
      </w:r>
    </w:p>
    <w:p w14:paraId="2847F788" w14:textId="77777777" w:rsidR="00E30417" w:rsidRPr="001C0CF3" w:rsidRDefault="00E30417" w:rsidP="001C0CF3">
      <w:pPr>
        <w:shd w:val="clear" w:color="auto" w:fill="FFFFFF"/>
        <w:spacing w:line="360" w:lineRule="auto"/>
        <w:jc w:val="both"/>
        <w:rPr>
          <w:rFonts w:ascii="Palatino Linotype" w:hAnsi="Palatino Linotype"/>
          <w:color w:val="000000" w:themeColor="text1"/>
        </w:rPr>
      </w:pPr>
    </w:p>
    <w:p w14:paraId="6BEFF4BF" w14:textId="77777777" w:rsidR="00E30417" w:rsidRPr="001C0CF3" w:rsidRDefault="00E30417"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Además, cuenta con las siguientes partidas específicas:</w:t>
      </w:r>
    </w:p>
    <w:p w14:paraId="148A21AE" w14:textId="77777777" w:rsidR="00E30417" w:rsidRPr="001C0CF3" w:rsidRDefault="00E30417" w:rsidP="001C0CF3">
      <w:pPr>
        <w:numPr>
          <w:ilvl w:val="0"/>
          <w:numId w:val="40"/>
        </w:numPr>
        <w:shd w:val="clear" w:color="auto" w:fill="FFFFFF"/>
        <w:spacing w:line="360" w:lineRule="auto"/>
        <w:ind w:left="0" w:firstLine="0"/>
        <w:jc w:val="both"/>
        <w:rPr>
          <w:rFonts w:ascii="Palatino Linotype" w:hAnsi="Palatino Linotype"/>
          <w:color w:val="000000" w:themeColor="text1"/>
        </w:rPr>
      </w:pPr>
      <w:r w:rsidRPr="001C0CF3">
        <w:rPr>
          <w:rFonts w:ascii="Palatino Linotype" w:hAnsi="Palatino Linotype"/>
          <w:b/>
          <w:color w:val="000000" w:themeColor="text1"/>
        </w:rPr>
        <w:t>5693 Maquinaria y equipo para alumbrado público.</w:t>
      </w:r>
      <w:r w:rsidRPr="001C0CF3">
        <w:rPr>
          <w:rFonts w:ascii="Palatino Linotype" w:hAnsi="Palatino Linotype"/>
          <w:color w:val="000000" w:themeColor="text1"/>
        </w:rPr>
        <w:t xml:space="preserve"> Asignaciones destinadas a la adquisición de toda clase de equipamiento para las instalaciones del servicio de alumbrado público, y</w:t>
      </w:r>
    </w:p>
    <w:p w14:paraId="123ABE98" w14:textId="77777777" w:rsidR="00E30417" w:rsidRPr="001C0CF3" w:rsidRDefault="00E30417" w:rsidP="001C0CF3">
      <w:pPr>
        <w:numPr>
          <w:ilvl w:val="0"/>
          <w:numId w:val="40"/>
        </w:numPr>
        <w:shd w:val="clear" w:color="auto" w:fill="FFFFFF"/>
        <w:spacing w:line="360" w:lineRule="auto"/>
        <w:ind w:left="0" w:firstLine="0"/>
        <w:jc w:val="both"/>
        <w:rPr>
          <w:rFonts w:ascii="Palatino Linotype" w:hAnsi="Palatino Linotype"/>
          <w:color w:val="000000" w:themeColor="text1"/>
        </w:rPr>
      </w:pPr>
      <w:r w:rsidRPr="001C0CF3">
        <w:rPr>
          <w:rFonts w:ascii="Palatino Linotype" w:hAnsi="Palatino Linotype"/>
          <w:b/>
          <w:color w:val="000000" w:themeColor="text1"/>
        </w:rPr>
        <w:t xml:space="preserve">6159 Reparación y mantenimiento de vialidades y alumbrado. </w:t>
      </w:r>
      <w:r w:rsidRPr="001C0CF3">
        <w:rPr>
          <w:rFonts w:ascii="Palatino Linotype" w:hAnsi="Palatino Linotype"/>
          <w:color w:val="000000" w:themeColor="text1"/>
        </w:rPr>
        <w:t>Asignaciones destinadas a los servicios de reparación y mantenimiento de vialidades, señalamientos y alumbrado público.</w:t>
      </w:r>
    </w:p>
    <w:p w14:paraId="604939E5" w14:textId="77777777" w:rsidR="00E30417" w:rsidRPr="001C0CF3" w:rsidRDefault="00E30417" w:rsidP="001C0CF3">
      <w:pPr>
        <w:pStyle w:val="Prrafodelista"/>
        <w:spacing w:line="360" w:lineRule="auto"/>
        <w:ind w:left="0"/>
        <w:rPr>
          <w:rFonts w:ascii="Palatino Linotype" w:hAnsi="Palatino Linotype"/>
          <w:color w:val="000000" w:themeColor="text1"/>
        </w:rPr>
      </w:pPr>
    </w:p>
    <w:p w14:paraId="72AE9167" w14:textId="77777777" w:rsidR="00E30417" w:rsidRPr="001C0CF3" w:rsidRDefault="00E30417"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 xml:space="preserve">Conforme a lo anterior, se logra vislumbrar que el Sujeto Obligado tiene competencia para conocer de lo peticionado, además, que la pretensión de la persona Solicitante, es </w:t>
      </w:r>
      <w:r w:rsidRPr="001C0CF3">
        <w:rPr>
          <w:rFonts w:ascii="Palatino Linotype" w:hAnsi="Palatino Linotype"/>
          <w:color w:val="000000" w:themeColor="text1"/>
        </w:rPr>
        <w:lastRenderedPageBreak/>
        <w:t>obtener respecto al servicio de alumbrado público, los documentos donde conste, lo siguiente:</w:t>
      </w:r>
    </w:p>
    <w:p w14:paraId="43FF4053" w14:textId="77777777" w:rsidR="00E30417" w:rsidRPr="001C0CF3" w:rsidRDefault="00E30417" w:rsidP="001C0CF3">
      <w:pPr>
        <w:numPr>
          <w:ilvl w:val="0"/>
          <w:numId w:val="34"/>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Presupuesto asignado para el ejercicio fiscal dos mil veinticuatro, y</w:t>
      </w:r>
    </w:p>
    <w:p w14:paraId="4A350332" w14:textId="77777777" w:rsidR="00E30417" w:rsidRPr="001C0CF3" w:rsidRDefault="00E30417" w:rsidP="001C0CF3">
      <w:pPr>
        <w:numPr>
          <w:ilvl w:val="0"/>
          <w:numId w:val="34"/>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Presupuesto ejercido del primero de enero al treinta y uno de diciembre de dos mil veintitrés, que incluya los conceptos (bienes o servicios) marcas y lugares de instalación.</w:t>
      </w:r>
    </w:p>
    <w:p w14:paraId="6EC86A21" w14:textId="77777777" w:rsidR="00E30417" w:rsidRPr="001C0CF3" w:rsidRDefault="00E30417" w:rsidP="001C0CF3">
      <w:pPr>
        <w:spacing w:line="360" w:lineRule="auto"/>
        <w:jc w:val="both"/>
        <w:rPr>
          <w:rFonts w:ascii="Palatino Linotype" w:hAnsi="Palatino Linotype"/>
          <w:color w:val="000000" w:themeColor="text1"/>
        </w:rPr>
      </w:pPr>
    </w:p>
    <w:p w14:paraId="199C7372" w14:textId="5E91E1B6" w:rsidR="00E30417" w:rsidRPr="001C0CF3" w:rsidRDefault="00E30417"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Establecido lo anterior, de las constancias que obran en el expediente, se logra vislumbrar que el Sujeto Obligado no turno la solicitud alguna</w:t>
      </w:r>
      <w:r w:rsidR="00D807EF" w:rsidRPr="001C0CF3">
        <w:rPr>
          <w:rFonts w:ascii="Palatino Linotype" w:hAnsi="Palatino Linotype"/>
          <w:color w:val="000000" w:themeColor="text1"/>
        </w:rPr>
        <w:t xml:space="preserve"> otra</w:t>
      </w:r>
      <w:r w:rsidRPr="001C0CF3">
        <w:rPr>
          <w:rFonts w:ascii="Palatino Linotype" w:hAnsi="Palatino Linotype"/>
          <w:color w:val="000000" w:themeColor="text1"/>
        </w:rPr>
        <w:t xml:space="preserve"> unidad administrativa</w:t>
      </w:r>
      <w:r w:rsidR="00D807EF" w:rsidRPr="001C0CF3">
        <w:rPr>
          <w:rFonts w:ascii="Palatino Linotype" w:hAnsi="Palatino Linotype"/>
          <w:color w:val="000000" w:themeColor="text1"/>
        </w:rPr>
        <w:t xml:space="preserve"> competente adicional de la que se pronuncia</w:t>
      </w:r>
      <w:r w:rsidRPr="001C0CF3">
        <w:rPr>
          <w:rFonts w:ascii="Palatino Linotype" w:hAnsi="Palatino Linotype"/>
          <w:color w:val="000000" w:themeColor="text1"/>
        </w:rPr>
        <w:t>, por lo que se procede a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4A45B14F" w14:textId="77777777" w:rsidR="00E30417" w:rsidRPr="001C0CF3" w:rsidRDefault="00E30417" w:rsidP="001C0CF3">
      <w:pPr>
        <w:numPr>
          <w:ilvl w:val="0"/>
          <w:numId w:val="41"/>
        </w:numP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7372C836" w14:textId="77777777" w:rsidR="00E30417" w:rsidRPr="001C0CF3" w:rsidRDefault="00E30417" w:rsidP="001C0CF3">
      <w:pPr>
        <w:numPr>
          <w:ilvl w:val="0"/>
          <w:numId w:val="41"/>
        </w:numP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3F7B7AE2" w14:textId="77777777" w:rsidR="00D807EF" w:rsidRPr="001C0CF3" w:rsidRDefault="00D807EF" w:rsidP="001C0CF3">
      <w:pPr>
        <w:pStyle w:val="Prrafodelista"/>
        <w:spacing w:line="360" w:lineRule="auto"/>
        <w:ind w:left="0"/>
        <w:rPr>
          <w:rFonts w:ascii="Palatino Linotype" w:hAnsi="Palatino Linotype"/>
          <w:color w:val="000000" w:themeColor="text1"/>
        </w:rPr>
      </w:pPr>
    </w:p>
    <w:p w14:paraId="1577BCD3" w14:textId="758384A0" w:rsidR="00E30417" w:rsidRPr="001C0CF3" w:rsidRDefault="00E30417"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 xml:space="preserve">Así, a efecto de precisar el procedimiento de búsqueda que debió seguir el Ente Recurrido, es necesario recordar que el Sujeto Obligado cuenta con una Tesorería Municipal, </w:t>
      </w:r>
      <w:r w:rsidRPr="001C0CF3">
        <w:rPr>
          <w:rFonts w:ascii="Palatino Linotype" w:hAnsi="Palatino Linotype"/>
          <w:color w:val="000000" w:themeColor="text1"/>
        </w:rPr>
        <w:lastRenderedPageBreak/>
        <w:t>encargada de ver todas las cuestiones relacionadas con el Presupuesto de Egresos, así como, de ver las erogaciones realizadas.</w:t>
      </w:r>
    </w:p>
    <w:p w14:paraId="2D93B236" w14:textId="77777777" w:rsidR="00E30417" w:rsidRPr="001C0CF3" w:rsidRDefault="00E30417" w:rsidP="001C0CF3">
      <w:pPr>
        <w:spacing w:line="360" w:lineRule="auto"/>
        <w:jc w:val="both"/>
        <w:rPr>
          <w:rFonts w:ascii="Palatino Linotype" w:hAnsi="Palatino Linotype"/>
          <w:color w:val="000000" w:themeColor="text1"/>
        </w:rPr>
      </w:pPr>
    </w:p>
    <w:p w14:paraId="16288701" w14:textId="1732334C" w:rsidR="00D807EF" w:rsidRPr="001C0CF3" w:rsidRDefault="00E30417"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 xml:space="preserve">Conforme a lo anterior, se </w:t>
      </w:r>
      <w:r w:rsidR="00D807EF" w:rsidRPr="001C0CF3">
        <w:rPr>
          <w:rFonts w:ascii="Palatino Linotype" w:hAnsi="Palatino Linotype"/>
          <w:color w:val="000000" w:themeColor="text1"/>
        </w:rPr>
        <w:t>insiste</w:t>
      </w:r>
      <w:r w:rsidRPr="001C0CF3">
        <w:rPr>
          <w:rFonts w:ascii="Palatino Linotype" w:hAnsi="Palatino Linotype"/>
          <w:color w:val="000000" w:themeColor="text1"/>
        </w:rPr>
        <w:t xml:space="preserve"> el </w:t>
      </w:r>
      <w:r w:rsidR="00D807EF" w:rsidRPr="001C0CF3">
        <w:rPr>
          <w:rFonts w:ascii="Palatino Linotype" w:hAnsi="Palatino Linotype"/>
          <w:b/>
          <w:color w:val="000000" w:themeColor="text1"/>
        </w:rPr>
        <w:t>SUJETO OBLIGADO</w:t>
      </w:r>
      <w:r w:rsidRPr="001C0CF3">
        <w:rPr>
          <w:rFonts w:ascii="Palatino Linotype" w:hAnsi="Palatino Linotype"/>
          <w:color w:val="000000" w:themeColor="text1"/>
        </w:rPr>
        <w:t xml:space="preserve"> no turnó la solicitud de información a las áreas competentes para conocer de la información peticionada, por lo que, se considera que no cumplió con el procedimiento de búsqueda, establecido en el artículo 162 de la Ley de Transparencia y Acceso a la Información Pública del Estado de México y Municipios. </w:t>
      </w:r>
    </w:p>
    <w:p w14:paraId="3E69EF50" w14:textId="77777777" w:rsidR="0027532C" w:rsidRPr="001C0CF3" w:rsidRDefault="0027532C" w:rsidP="001C0CF3">
      <w:pPr>
        <w:pStyle w:val="Prrafodelista"/>
        <w:ind w:left="0"/>
        <w:rPr>
          <w:rFonts w:ascii="Palatino Linotype" w:hAnsi="Palatino Linotype"/>
          <w:color w:val="000000" w:themeColor="text1"/>
        </w:rPr>
      </w:pPr>
    </w:p>
    <w:p w14:paraId="5C9672DC" w14:textId="257D7704" w:rsidR="00E30417" w:rsidRPr="001C0CF3" w:rsidRDefault="0027532C"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 xml:space="preserve">Atento a lo anterior se tiene </w:t>
      </w:r>
      <w:r w:rsidR="00E30417" w:rsidRPr="001C0CF3">
        <w:rPr>
          <w:rFonts w:ascii="Palatino Linotype" w:hAnsi="Palatino Linotype"/>
          <w:color w:val="000000" w:themeColor="text1"/>
        </w:rPr>
        <w:t xml:space="preserve">que el agravio es </w:t>
      </w:r>
      <w:r w:rsidR="00E30417" w:rsidRPr="001C0CF3">
        <w:rPr>
          <w:rFonts w:ascii="Palatino Linotype" w:hAnsi="Palatino Linotype"/>
          <w:b/>
          <w:color w:val="000000" w:themeColor="text1"/>
        </w:rPr>
        <w:t xml:space="preserve">FUNDADO; </w:t>
      </w:r>
      <w:r w:rsidR="00E30417" w:rsidRPr="001C0CF3">
        <w:rPr>
          <w:rFonts w:ascii="Palatino Linotype" w:hAnsi="Palatino Linotype"/>
          <w:color w:val="000000" w:themeColor="text1"/>
        </w:rPr>
        <w:t>por lo que, se considera que, para atender el requerimiento de información, el Sujeto Obligado deberá realizar una búsqueda exhaustiva y razonable en los archivos de las unidades administrativas competentes, a efecto de proporcionar los documentos que den cuenta del presupuesto asignado y ejercido para alumbrado público</w:t>
      </w:r>
      <w:r w:rsidR="00D807EF" w:rsidRPr="001C0CF3">
        <w:rPr>
          <w:rFonts w:ascii="Palatino Linotype" w:hAnsi="Palatino Linotype"/>
          <w:color w:val="000000" w:themeColor="text1"/>
        </w:rPr>
        <w:t xml:space="preserve"> en el ejercicio 2025 a la fecha de la solicitud</w:t>
      </w:r>
      <w:r w:rsidR="00E30417" w:rsidRPr="001C0CF3">
        <w:rPr>
          <w:rFonts w:ascii="Palatino Linotype" w:hAnsi="Palatino Linotype"/>
          <w:color w:val="000000" w:themeColor="text1"/>
        </w:rPr>
        <w:t>.</w:t>
      </w:r>
      <w:r w:rsidR="00D807EF" w:rsidRPr="001C0CF3">
        <w:rPr>
          <w:rFonts w:ascii="Palatino Linotype" w:hAnsi="Palatino Linotype"/>
          <w:color w:val="000000" w:themeColor="text1"/>
        </w:rPr>
        <w:t xml:space="preserve"> En virtud que además existen </w:t>
      </w:r>
      <w:r w:rsidR="00763159" w:rsidRPr="001C0CF3">
        <w:rPr>
          <w:rFonts w:ascii="Palatino Linotype" w:hAnsi="Palatino Linotype"/>
          <w:color w:val="000000" w:themeColor="text1"/>
        </w:rPr>
        <w:t>indicios</w:t>
      </w:r>
      <w:r w:rsidR="00D807EF" w:rsidRPr="001C0CF3">
        <w:rPr>
          <w:rFonts w:ascii="Palatino Linotype" w:hAnsi="Palatino Linotype"/>
          <w:color w:val="000000" w:themeColor="text1"/>
        </w:rPr>
        <w:t xml:space="preserve"> que la información se generó, posee y administra</w:t>
      </w:r>
      <w:r w:rsidR="00763159" w:rsidRPr="001C0CF3">
        <w:rPr>
          <w:rFonts w:ascii="Palatino Linotype" w:hAnsi="Palatino Linotype"/>
          <w:color w:val="000000" w:themeColor="text1"/>
        </w:rPr>
        <w:t>, conforme a la</w:t>
      </w:r>
      <w:r w:rsidR="00881EAA" w:rsidRPr="001C0CF3">
        <w:rPr>
          <w:rFonts w:ascii="Palatino Linotype" w:hAnsi="Palatino Linotype"/>
          <w:color w:val="000000" w:themeColor="text1"/>
        </w:rPr>
        <w:t>s</w:t>
      </w:r>
      <w:r w:rsidR="00763159" w:rsidRPr="001C0CF3">
        <w:rPr>
          <w:rFonts w:ascii="Palatino Linotype" w:hAnsi="Palatino Linotype"/>
          <w:color w:val="000000" w:themeColor="text1"/>
        </w:rPr>
        <w:t xml:space="preserve"> siguiente</w:t>
      </w:r>
      <w:r w:rsidR="00881EAA" w:rsidRPr="001C0CF3">
        <w:rPr>
          <w:rFonts w:ascii="Palatino Linotype" w:hAnsi="Palatino Linotype"/>
          <w:color w:val="000000" w:themeColor="text1"/>
        </w:rPr>
        <w:t>s</w:t>
      </w:r>
      <w:r w:rsidR="00763159" w:rsidRPr="001C0CF3">
        <w:rPr>
          <w:rFonts w:ascii="Palatino Linotype" w:hAnsi="Palatino Linotype"/>
          <w:color w:val="000000" w:themeColor="text1"/>
        </w:rPr>
        <w:t xml:space="preserve"> nota</w:t>
      </w:r>
      <w:r w:rsidR="00881EAA" w:rsidRPr="001C0CF3">
        <w:rPr>
          <w:rFonts w:ascii="Palatino Linotype" w:hAnsi="Palatino Linotype"/>
          <w:color w:val="000000" w:themeColor="text1"/>
        </w:rPr>
        <w:t>s</w:t>
      </w:r>
      <w:r w:rsidR="00763159" w:rsidRPr="001C0CF3">
        <w:rPr>
          <w:rFonts w:ascii="Palatino Linotype" w:hAnsi="Palatino Linotype"/>
          <w:color w:val="000000" w:themeColor="text1"/>
        </w:rPr>
        <w:t xml:space="preserve"> publicada</w:t>
      </w:r>
      <w:r w:rsidR="00881EAA" w:rsidRPr="001C0CF3">
        <w:rPr>
          <w:rFonts w:ascii="Palatino Linotype" w:hAnsi="Palatino Linotype"/>
          <w:color w:val="000000" w:themeColor="text1"/>
        </w:rPr>
        <w:t>s</w:t>
      </w:r>
      <w:r w:rsidR="00763159" w:rsidRPr="001C0CF3">
        <w:rPr>
          <w:rFonts w:ascii="Palatino Linotype" w:hAnsi="Palatino Linotype"/>
          <w:color w:val="000000" w:themeColor="text1"/>
        </w:rPr>
        <w:t xml:space="preserve"> por el propio Ayuntamiento</w:t>
      </w:r>
      <w:r w:rsidR="00881EAA" w:rsidRPr="001C0CF3">
        <w:rPr>
          <w:rFonts w:ascii="Palatino Linotype" w:hAnsi="Palatino Linotype"/>
          <w:color w:val="000000" w:themeColor="text1"/>
        </w:rPr>
        <w:t xml:space="preserve"> y una periodística</w:t>
      </w:r>
      <w:r w:rsidR="00763159" w:rsidRPr="001C0CF3">
        <w:rPr>
          <w:rFonts w:ascii="Palatino Linotype" w:hAnsi="Palatino Linotype"/>
          <w:color w:val="000000" w:themeColor="text1"/>
        </w:rPr>
        <w:t>:</w:t>
      </w:r>
    </w:p>
    <w:p w14:paraId="5DB012C3" w14:textId="429706F2" w:rsidR="00763159" w:rsidRPr="001C0CF3" w:rsidRDefault="00763159" w:rsidP="001C0CF3">
      <w:pPr>
        <w:spacing w:line="360" w:lineRule="auto"/>
        <w:jc w:val="center"/>
        <w:rPr>
          <w:rFonts w:ascii="Palatino Linotype" w:hAnsi="Palatino Linotype"/>
          <w:color w:val="000000" w:themeColor="text1"/>
        </w:rPr>
      </w:pPr>
      <w:r w:rsidRPr="001C0CF3">
        <w:rPr>
          <w:rFonts w:ascii="Palatino Linotype" w:hAnsi="Palatino Linotype"/>
          <w:noProof/>
          <w:color w:val="000000" w:themeColor="text1"/>
          <w:lang w:val="es-MX" w:eastAsia="es-MX"/>
        </w:rPr>
        <w:lastRenderedPageBreak/>
        <w:drawing>
          <wp:inline distT="0" distB="0" distL="0" distR="0" wp14:anchorId="41707C9E" wp14:editId="51D7103E">
            <wp:extent cx="5663565" cy="348043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3565" cy="3480435"/>
                    </a:xfrm>
                    <a:prstGeom prst="rect">
                      <a:avLst/>
                    </a:prstGeom>
                    <a:noFill/>
                    <a:ln>
                      <a:noFill/>
                    </a:ln>
                  </pic:spPr>
                </pic:pic>
              </a:graphicData>
            </a:graphic>
          </wp:inline>
        </w:drawing>
      </w:r>
    </w:p>
    <w:p w14:paraId="36F24563" w14:textId="517DC237" w:rsidR="00763159" w:rsidRPr="001C0CF3" w:rsidRDefault="00763159" w:rsidP="001C0CF3">
      <w:pPr>
        <w:spacing w:line="360" w:lineRule="auto"/>
        <w:jc w:val="center"/>
        <w:rPr>
          <w:rFonts w:ascii="Palatino Linotype" w:hAnsi="Palatino Linotype"/>
          <w:color w:val="000000" w:themeColor="text1"/>
        </w:rPr>
      </w:pPr>
      <w:r w:rsidRPr="001C0CF3">
        <w:rPr>
          <w:rFonts w:ascii="Palatino Linotype" w:hAnsi="Palatino Linotype"/>
          <w:color w:val="000000" w:themeColor="text1"/>
        </w:rPr>
        <w:t>(…)</w:t>
      </w:r>
    </w:p>
    <w:p w14:paraId="60909D0F" w14:textId="49019B76" w:rsidR="00763159" w:rsidRPr="001C0CF3" w:rsidRDefault="00763159" w:rsidP="001C0CF3">
      <w:pPr>
        <w:spacing w:line="360" w:lineRule="auto"/>
        <w:jc w:val="center"/>
        <w:rPr>
          <w:rFonts w:ascii="Palatino Linotype" w:hAnsi="Palatino Linotype"/>
          <w:color w:val="000000" w:themeColor="text1"/>
        </w:rPr>
      </w:pPr>
      <w:r w:rsidRPr="001C0CF3">
        <w:rPr>
          <w:rFonts w:ascii="Palatino Linotype" w:hAnsi="Palatino Linotype"/>
          <w:noProof/>
          <w:color w:val="000000" w:themeColor="text1"/>
          <w:lang w:val="es-MX" w:eastAsia="es-MX"/>
        </w:rPr>
        <w:drawing>
          <wp:inline distT="0" distB="0" distL="0" distR="0" wp14:anchorId="5DB5E3D8" wp14:editId="07EFE2B9">
            <wp:extent cx="5671185" cy="95377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1185" cy="953770"/>
                    </a:xfrm>
                    <a:prstGeom prst="rect">
                      <a:avLst/>
                    </a:prstGeom>
                  </pic:spPr>
                </pic:pic>
              </a:graphicData>
            </a:graphic>
          </wp:inline>
        </w:drawing>
      </w:r>
    </w:p>
    <w:p w14:paraId="1A3291D1" w14:textId="3C1F3627" w:rsidR="00763159" w:rsidRPr="001C0CF3" w:rsidRDefault="00763159" w:rsidP="001C0CF3">
      <w:pPr>
        <w:jc w:val="center"/>
        <w:rPr>
          <w:rFonts w:ascii="Palatino Linotype" w:hAnsi="Palatino Linotype"/>
          <w:color w:val="000000" w:themeColor="text1"/>
        </w:rPr>
      </w:pPr>
      <w:r w:rsidRPr="001C0CF3">
        <w:rPr>
          <w:rFonts w:ascii="Palatino Linotype" w:hAnsi="Palatino Linotype"/>
          <w:color w:val="000000" w:themeColor="text1"/>
        </w:rPr>
        <w:t>https://almoloyadejuarez.gob.mx/2025/01/30/modernizaran-alumbrado-publico-en-almoloya-de-juarez/</w:t>
      </w:r>
    </w:p>
    <w:p w14:paraId="146D45AB" w14:textId="77777777" w:rsidR="00763159" w:rsidRPr="001C0CF3" w:rsidRDefault="00763159" w:rsidP="001C0CF3">
      <w:pPr>
        <w:spacing w:line="360" w:lineRule="auto"/>
        <w:jc w:val="center"/>
        <w:rPr>
          <w:rFonts w:ascii="Palatino Linotype" w:hAnsi="Palatino Linotype"/>
          <w:color w:val="000000" w:themeColor="text1"/>
        </w:rPr>
      </w:pPr>
    </w:p>
    <w:p w14:paraId="12C15C82" w14:textId="732627A2" w:rsidR="00E30417" w:rsidRPr="001C0CF3" w:rsidRDefault="00763159" w:rsidP="001C0CF3">
      <w:pPr>
        <w:spacing w:line="360" w:lineRule="auto"/>
        <w:jc w:val="both"/>
        <w:rPr>
          <w:rFonts w:ascii="Palatino Linotype" w:hAnsi="Palatino Linotype"/>
          <w:color w:val="000000" w:themeColor="text1"/>
        </w:rPr>
      </w:pPr>
      <w:r w:rsidRPr="001C0CF3">
        <w:rPr>
          <w:rFonts w:ascii="Palatino Linotype" w:hAnsi="Palatino Linotype"/>
          <w:noProof/>
          <w:color w:val="000000" w:themeColor="text1"/>
          <w:lang w:val="es-MX" w:eastAsia="es-MX"/>
        </w:rPr>
        <w:lastRenderedPageBreak/>
        <w:drawing>
          <wp:inline distT="0" distB="0" distL="0" distR="0" wp14:anchorId="19CB7414" wp14:editId="5C9F657F">
            <wp:extent cx="5671185" cy="4156075"/>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1185" cy="4156075"/>
                    </a:xfrm>
                    <a:prstGeom prst="rect">
                      <a:avLst/>
                    </a:prstGeom>
                  </pic:spPr>
                </pic:pic>
              </a:graphicData>
            </a:graphic>
          </wp:inline>
        </w:drawing>
      </w:r>
    </w:p>
    <w:p w14:paraId="6A05912D" w14:textId="5002E5B1" w:rsidR="00763159" w:rsidRPr="001C0CF3" w:rsidRDefault="00763159" w:rsidP="001C0CF3">
      <w:pPr>
        <w:jc w:val="center"/>
        <w:rPr>
          <w:rFonts w:ascii="Palatino Linotype" w:hAnsi="Palatino Linotype"/>
          <w:color w:val="000000" w:themeColor="text1"/>
        </w:rPr>
      </w:pPr>
      <w:r w:rsidRPr="001C0CF3">
        <w:rPr>
          <w:rFonts w:ascii="Palatino Linotype" w:hAnsi="Palatino Linotype"/>
          <w:color w:val="000000" w:themeColor="text1"/>
        </w:rPr>
        <w:t>https://almoloyadejuarez.gob.mx/2025/01/28/mejora-almoloya-de-juarez-infraestructura-para-recoleccion-de-basura-y-alumbrado-publico/</w:t>
      </w:r>
    </w:p>
    <w:p w14:paraId="18D98C88" w14:textId="77777777" w:rsidR="00763159" w:rsidRPr="001C0CF3" w:rsidRDefault="00763159" w:rsidP="001C0CF3">
      <w:pPr>
        <w:spacing w:line="360" w:lineRule="auto"/>
        <w:jc w:val="both"/>
        <w:rPr>
          <w:rFonts w:ascii="Palatino Linotype" w:hAnsi="Palatino Linotype"/>
          <w:color w:val="000000" w:themeColor="text1"/>
        </w:rPr>
      </w:pPr>
    </w:p>
    <w:p w14:paraId="18529C3C" w14:textId="63E957CD" w:rsidR="00881EAA" w:rsidRPr="001C0CF3" w:rsidRDefault="00881EAA" w:rsidP="001C0CF3">
      <w:pPr>
        <w:spacing w:line="360" w:lineRule="auto"/>
        <w:jc w:val="both"/>
        <w:rPr>
          <w:rFonts w:ascii="Palatino Linotype" w:hAnsi="Palatino Linotype"/>
          <w:color w:val="000000" w:themeColor="text1"/>
        </w:rPr>
      </w:pPr>
      <w:r w:rsidRPr="001C0CF3">
        <w:rPr>
          <w:rFonts w:ascii="Palatino Linotype" w:hAnsi="Palatino Linotype"/>
          <w:noProof/>
          <w:color w:val="000000" w:themeColor="text1"/>
          <w:lang w:val="es-MX" w:eastAsia="es-MX"/>
        </w:rPr>
        <w:lastRenderedPageBreak/>
        <w:drawing>
          <wp:inline distT="0" distB="0" distL="0" distR="0" wp14:anchorId="09DA4D4F" wp14:editId="53F5B7A5">
            <wp:extent cx="5671185" cy="2467610"/>
            <wp:effectExtent l="0" t="0" r="5715"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1185" cy="2467610"/>
                    </a:xfrm>
                    <a:prstGeom prst="rect">
                      <a:avLst/>
                    </a:prstGeom>
                  </pic:spPr>
                </pic:pic>
              </a:graphicData>
            </a:graphic>
          </wp:inline>
        </w:drawing>
      </w:r>
    </w:p>
    <w:p w14:paraId="149320FE" w14:textId="0CCC5F50" w:rsidR="00881EAA" w:rsidRPr="001C0CF3" w:rsidRDefault="00881EAA" w:rsidP="001C0CF3">
      <w:pPr>
        <w:jc w:val="center"/>
        <w:rPr>
          <w:rFonts w:ascii="Palatino Linotype" w:hAnsi="Palatino Linotype"/>
          <w:color w:val="000000" w:themeColor="text1"/>
        </w:rPr>
      </w:pPr>
      <w:r w:rsidRPr="001C0CF3">
        <w:rPr>
          <w:rFonts w:ascii="Palatino Linotype" w:hAnsi="Palatino Linotype"/>
          <w:color w:val="000000" w:themeColor="text1"/>
        </w:rPr>
        <w:t>https://oem.com.mx/elsoldetoluca/local/iluminaran-los-fraccionamientos-de-almoloya-de-juarez-para-garantizar-su-seguridad-21469195</w:t>
      </w:r>
    </w:p>
    <w:p w14:paraId="070DED9B" w14:textId="77777777" w:rsidR="00BA3349" w:rsidRPr="001C0CF3" w:rsidRDefault="00BA3349" w:rsidP="001C0CF3">
      <w:pPr>
        <w:spacing w:line="360" w:lineRule="auto"/>
        <w:jc w:val="both"/>
        <w:rPr>
          <w:rFonts w:ascii="Palatino Linotype" w:hAnsi="Palatino Linotype"/>
          <w:color w:val="000000" w:themeColor="text1"/>
        </w:rPr>
      </w:pPr>
    </w:p>
    <w:p w14:paraId="44B799AE" w14:textId="77777777" w:rsidR="00C730A7" w:rsidRDefault="00C730A7"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 xml:space="preserve">En ese contexto, sobre el valor probatorio de las notas periodísticas, cabe traer a </w:t>
      </w:r>
      <w:r w:rsidRPr="001C0CF3">
        <w:rPr>
          <w:rFonts w:ascii="Palatino Linotype" w:hAnsi="Palatino Linotype"/>
          <w:color w:val="000000" w:themeColor="text1"/>
        </w:rPr>
        <w:t>colación</w:t>
      </w:r>
      <w:r w:rsidRPr="001C0CF3">
        <w:rPr>
          <w:rFonts w:ascii="Palatino Linotype" w:eastAsia="Palatino Linotype" w:hAnsi="Palatino Linotype" w:cs="Palatino Linotype"/>
          <w:color w:val="000000" w:themeColor="text1"/>
        </w:rPr>
        <w:t xml:space="preserve">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1C0CF3">
        <w:rPr>
          <w:rFonts w:ascii="Palatino Linotype" w:eastAsia="Palatino Linotype" w:hAnsi="Palatino Linotype" w:cs="Palatino Linotype"/>
          <w:b/>
          <w:i/>
          <w:color w:val="000000" w:themeColor="text1"/>
        </w:rPr>
        <w:t>“NOTAS PERIODISTICAS, EL CONOCIMIENTO QUE DE ELLAS SE OBTIENE NO CONSTITUYE ‘UN HECHO PUBLICO Y NOTORIO’”</w:t>
      </w:r>
      <w:r w:rsidRPr="001C0CF3">
        <w:rPr>
          <w:rFonts w:ascii="Palatino Linotype" w:eastAsia="Palatino Linotype" w:hAnsi="Palatino Linotype" w:cs="Palatino Linotype"/>
          <w:color w:val="000000" w:themeColor="text1"/>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forma parte de la cultura propia de un círculo social determinado, en el tiempo de su realización.</w:t>
      </w:r>
    </w:p>
    <w:p w14:paraId="341C2C51" w14:textId="77777777" w:rsidR="000C6210" w:rsidRPr="001C0CF3" w:rsidRDefault="000C6210" w:rsidP="000C621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82B4221" w14:textId="36E97C2E" w:rsidR="003E5D13" w:rsidRPr="001C0CF3" w:rsidRDefault="00C730A7"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lastRenderedPageBreak/>
        <w:t xml:space="preserve">Luego entonces es procedente que se localice el soporte documental en que conste o se advierta </w:t>
      </w:r>
      <w:r w:rsidR="003E5D13" w:rsidRPr="001C0CF3">
        <w:rPr>
          <w:rFonts w:ascii="Palatino Linotype" w:eastAsia="Palatino Linotype" w:hAnsi="Palatino Linotype" w:cs="Palatino Linotype"/>
          <w:color w:val="000000" w:themeColor="text1"/>
        </w:rPr>
        <w:t>los</w:t>
      </w:r>
      <w:r w:rsidRPr="001C0CF3">
        <w:rPr>
          <w:rFonts w:ascii="Palatino Linotype" w:eastAsia="Palatino Linotype" w:hAnsi="Palatino Linotype" w:cs="Palatino Linotype"/>
          <w:color w:val="000000" w:themeColor="text1"/>
        </w:rPr>
        <w:t xml:space="preserve"> gastos, por concepto de mantenimiento a alumbrado público. No pasando desapercibido el concepto </w:t>
      </w:r>
      <w:r w:rsidR="003E5D13" w:rsidRPr="001C0CF3">
        <w:rPr>
          <w:rFonts w:ascii="Palatino Linotype" w:eastAsia="Palatino Linotype" w:hAnsi="Palatino Linotype" w:cs="Palatino Linotype"/>
          <w:color w:val="000000" w:themeColor="text1"/>
        </w:rPr>
        <w:t>referido por el particular:</w:t>
      </w:r>
      <w:r w:rsidRPr="001C0CF3">
        <w:rPr>
          <w:rFonts w:ascii="Palatino Linotype" w:eastAsia="Palatino Linotype" w:hAnsi="Palatino Linotype" w:cs="Palatino Linotype"/>
          <w:color w:val="000000" w:themeColor="text1"/>
        </w:rPr>
        <w:t xml:space="preserve"> </w:t>
      </w:r>
      <w:r w:rsidRPr="001C0CF3">
        <w:rPr>
          <w:rFonts w:ascii="Palatino Linotype" w:eastAsia="Palatino Linotype" w:hAnsi="Palatino Linotype" w:cs="Palatino Linotype"/>
          <w:i/>
          <w:color w:val="000000" w:themeColor="text1"/>
        </w:rPr>
        <w:t>relación</w:t>
      </w:r>
      <w:r w:rsidR="003E5D13" w:rsidRPr="001C0CF3">
        <w:rPr>
          <w:rFonts w:ascii="Palatino Linotype" w:eastAsia="Palatino Linotype" w:hAnsi="Palatino Linotype" w:cs="Palatino Linotype"/>
          <w:color w:val="000000" w:themeColor="text1"/>
        </w:rPr>
        <w:t xml:space="preserve">. Al respecto recordar que el acceso a la información pública es un derecho que se colma con la entrega del soporte documental en que conste o se advierta la información  solicitada, no existiendo la obligación de los sujetos obligados de generar documentos </w:t>
      </w:r>
      <w:r w:rsidR="003E5D13" w:rsidRPr="001C0CF3">
        <w:rPr>
          <w:rFonts w:ascii="Palatino Linotype" w:eastAsia="Palatino Linotype" w:hAnsi="Palatino Linotype" w:cs="Palatino Linotype"/>
          <w:i/>
          <w:color w:val="000000" w:themeColor="text1"/>
        </w:rPr>
        <w:t xml:space="preserve">ad hoc </w:t>
      </w:r>
      <w:r w:rsidR="003E5D13" w:rsidRPr="001C0CF3">
        <w:rPr>
          <w:rFonts w:ascii="Palatino Linotype" w:eastAsia="Palatino Linotype" w:hAnsi="Palatino Linotype" w:cs="Palatino Linotype"/>
          <w:color w:val="000000" w:themeColor="text1"/>
        </w:rPr>
        <w:t>a efecto de colmar las pretensiones particulares de los solicitantes.</w:t>
      </w:r>
    </w:p>
    <w:p w14:paraId="4E94A1F0" w14:textId="77777777" w:rsidR="003E5D13" w:rsidRPr="001C0CF3" w:rsidRDefault="003E5D13" w:rsidP="001C0CF3">
      <w:pPr>
        <w:pStyle w:val="Prrafodelista"/>
        <w:spacing w:line="360" w:lineRule="auto"/>
        <w:ind w:left="0"/>
        <w:rPr>
          <w:rFonts w:ascii="Palatino Linotype" w:eastAsia="Palatino Linotype" w:hAnsi="Palatino Linotype" w:cs="Palatino Linotype"/>
          <w:color w:val="000000" w:themeColor="text1"/>
        </w:rPr>
      </w:pPr>
    </w:p>
    <w:p w14:paraId="371545A3" w14:textId="77777777" w:rsidR="003E5D13" w:rsidRPr="001C0CF3" w:rsidRDefault="003E5D13"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eastAsia="MS Mincho" w:hAnsi="Palatino Linotype" w:cs="Arial"/>
          <w:color w:val="000000" w:themeColor="text1"/>
        </w:rPr>
        <w:t>C</w:t>
      </w:r>
      <w:r w:rsidRPr="001C0CF3">
        <w:rPr>
          <w:rFonts w:ascii="Palatino Linotype" w:hAnsi="Palatino Linotype" w:cs="Arial"/>
          <w:color w:val="000000" w:themeColor="text1"/>
        </w:rPr>
        <w:t xml:space="preserve">omo apoyo a lo anterior, es aplicable por analogía el </w:t>
      </w:r>
      <w:r w:rsidRPr="001C0CF3">
        <w:rPr>
          <w:rFonts w:ascii="Palatino Linotype" w:hAnsi="Palatino Linotype" w:cs="Arial"/>
          <w:b/>
          <w:color w:val="000000" w:themeColor="text1"/>
        </w:rPr>
        <w:t>Criterio 03/17</w:t>
      </w:r>
      <w:r w:rsidRPr="001C0CF3">
        <w:rPr>
          <w:rFonts w:ascii="Palatino Linotype" w:hAnsi="Palatino Linotype" w:cs="Arial"/>
          <w:color w:val="000000" w:themeColor="text1"/>
        </w:rPr>
        <w:t xml:space="preserve">, emitido por el Pleno </w:t>
      </w:r>
      <w:r w:rsidRPr="001C0CF3">
        <w:rPr>
          <w:rFonts w:ascii="Palatino Linotype" w:eastAsia="Palatino Linotype" w:hAnsi="Palatino Linotype" w:cs="Palatino Linotype"/>
          <w:color w:val="000000" w:themeColor="text1"/>
        </w:rPr>
        <w:t>del</w:t>
      </w:r>
      <w:r w:rsidRPr="001C0CF3">
        <w:rPr>
          <w:rFonts w:ascii="Palatino Linotype" w:hAnsi="Palatino Linotype" w:cs="Arial"/>
          <w:color w:val="000000" w:themeColor="text1"/>
        </w:rPr>
        <w:t xml:space="preserve"> Instituto Nacional de Transparencia, Acceso a la Información y Protección de Datos Personales (INAI)</w:t>
      </w:r>
      <w:r w:rsidRPr="001C0CF3">
        <w:rPr>
          <w:rFonts w:ascii="Palatino Linotype" w:hAnsi="Palatino Linotype" w:cs="Arial"/>
          <w:bCs/>
          <w:color w:val="000000" w:themeColor="text1"/>
        </w:rPr>
        <w:t>, que a la letra dice:</w:t>
      </w:r>
    </w:p>
    <w:p w14:paraId="37DCF66C" w14:textId="32E6534B" w:rsidR="000C6210" w:rsidRDefault="003E5D13" w:rsidP="001C0CF3">
      <w:pPr>
        <w:pStyle w:val="Prrafodelista"/>
        <w:spacing w:line="360" w:lineRule="auto"/>
        <w:ind w:left="0"/>
        <w:jc w:val="both"/>
        <w:rPr>
          <w:rFonts w:ascii="Palatino Linotype" w:hAnsi="Palatino Linotype" w:cs="Arial"/>
          <w:bCs/>
          <w:i/>
          <w:color w:val="000000" w:themeColor="text1"/>
        </w:rPr>
      </w:pPr>
      <w:r w:rsidRPr="001C0CF3">
        <w:rPr>
          <w:rFonts w:ascii="Palatino Linotype" w:hAnsi="Palatino Linotype" w:cs="Arial"/>
          <w:b/>
          <w:bCs/>
          <w:i/>
          <w:color w:val="000000" w:themeColor="text1"/>
        </w:rPr>
        <w:t xml:space="preserve">“No existe obligación de elaborar documentos ad hoc para atender las solicitudes de acceso a la información. </w:t>
      </w:r>
      <w:r w:rsidRPr="001C0CF3">
        <w:rPr>
          <w:rFonts w:ascii="Palatino Linotype" w:hAnsi="Palatino Linotype" w:cs="Arial"/>
          <w:bCs/>
          <w:i/>
          <w:color w:val="000000" w:themeColor="text1"/>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91637B7" w14:textId="77777777" w:rsidR="000C6210" w:rsidRPr="001C0CF3" w:rsidRDefault="000C6210" w:rsidP="001C0CF3">
      <w:pPr>
        <w:pStyle w:val="Prrafodelista"/>
        <w:spacing w:line="360" w:lineRule="auto"/>
        <w:ind w:left="0"/>
        <w:jc w:val="both"/>
        <w:rPr>
          <w:rFonts w:ascii="Palatino Linotype" w:hAnsi="Palatino Linotype" w:cs="Arial"/>
          <w:bCs/>
          <w:i/>
          <w:color w:val="000000" w:themeColor="text1"/>
        </w:rPr>
      </w:pPr>
    </w:p>
    <w:p w14:paraId="311F9A16" w14:textId="77777777" w:rsidR="003E5D13" w:rsidRPr="001C0CF3" w:rsidRDefault="003E5D13" w:rsidP="001C0CF3">
      <w:pPr>
        <w:numPr>
          <w:ilvl w:val="0"/>
          <w:numId w:val="3"/>
        </w:numPr>
        <w:pBdr>
          <w:top w:val="nil"/>
          <w:left w:val="nil"/>
          <w:bottom w:val="nil"/>
          <w:right w:val="nil"/>
          <w:between w:val="nil"/>
        </w:pBdr>
        <w:spacing w:line="360" w:lineRule="auto"/>
        <w:ind w:left="0" w:firstLine="0"/>
        <w:jc w:val="both"/>
        <w:rPr>
          <w:rFonts w:ascii="Palatino Linotype" w:hAnsi="Palatino Linotype" w:cs="Arial"/>
          <w:i/>
          <w:color w:val="000000" w:themeColor="text1"/>
        </w:rPr>
      </w:pPr>
      <w:r w:rsidRPr="001C0CF3">
        <w:rPr>
          <w:rFonts w:ascii="Palatino Linotype" w:hAnsi="Palatino Linotype" w:cs="Arial"/>
          <w:color w:val="000000" w:themeColor="text1"/>
        </w:rPr>
        <w:t xml:space="preserve">Así las cosas, de lo anterior, se desprende, que la información generada, obtenida, adquirida, </w:t>
      </w:r>
      <w:r w:rsidRPr="001C0CF3">
        <w:rPr>
          <w:rFonts w:ascii="Palatino Linotype" w:hAnsi="Palatino Linotype" w:cs="Arial"/>
          <w:bCs/>
          <w:color w:val="000000" w:themeColor="text1"/>
        </w:rPr>
        <w:t>transmitida</w:t>
      </w:r>
      <w:r w:rsidRPr="001C0CF3">
        <w:rPr>
          <w:rFonts w:ascii="Palatino Linotype" w:hAnsi="Palatino Linotype" w:cs="Arial"/>
          <w:color w:val="000000" w:themeColor="text1"/>
        </w:rPr>
        <w:t xml:space="preserve">, administrada o en posesión de los Sujetos Obligados, será accesible </w:t>
      </w:r>
      <w:r w:rsidRPr="001C0CF3">
        <w:rPr>
          <w:rFonts w:ascii="Palatino Linotype" w:hAnsi="Palatino Linotype" w:cs="Arial"/>
          <w:color w:val="000000" w:themeColor="text1"/>
        </w:rPr>
        <w:lastRenderedPageBreak/>
        <w:t xml:space="preserve">de manera permanente a cualquier persona, privilegiando el principio de máxima </w:t>
      </w:r>
      <w:r w:rsidRPr="001C0CF3">
        <w:rPr>
          <w:rFonts w:ascii="Palatino Linotype" w:eastAsia="MS Mincho" w:hAnsi="Palatino Linotype" w:cs="Arial"/>
          <w:color w:val="000000" w:themeColor="text1"/>
        </w:rPr>
        <w:t>publicidad</w:t>
      </w:r>
      <w:r w:rsidRPr="001C0CF3">
        <w:rPr>
          <w:rFonts w:ascii="Palatino Linotype" w:hAnsi="Palatino Linotype" w:cs="Arial"/>
          <w:color w:val="000000" w:themeColor="text1"/>
        </w:rPr>
        <w:t xml:space="preserve"> de la información.</w:t>
      </w:r>
    </w:p>
    <w:p w14:paraId="24670FF7" w14:textId="77777777" w:rsidR="003E5D13" w:rsidRPr="001C0CF3" w:rsidRDefault="003E5D13" w:rsidP="001C0CF3">
      <w:pPr>
        <w:pStyle w:val="Prrafodelista"/>
        <w:spacing w:line="360" w:lineRule="auto"/>
        <w:ind w:left="0"/>
        <w:jc w:val="both"/>
        <w:rPr>
          <w:rFonts w:ascii="Palatino Linotype" w:hAnsi="Palatino Linotype" w:cs="Arial"/>
          <w:i/>
          <w:color w:val="000000" w:themeColor="text1"/>
        </w:rPr>
      </w:pPr>
    </w:p>
    <w:p w14:paraId="20DC45A2" w14:textId="77777777" w:rsidR="003E5D13" w:rsidRPr="001C0CF3" w:rsidRDefault="003E5D13" w:rsidP="001C0CF3">
      <w:pPr>
        <w:numPr>
          <w:ilvl w:val="0"/>
          <w:numId w:val="3"/>
        </w:numPr>
        <w:pBdr>
          <w:top w:val="nil"/>
          <w:left w:val="nil"/>
          <w:bottom w:val="nil"/>
          <w:right w:val="nil"/>
          <w:between w:val="nil"/>
        </w:pBdr>
        <w:spacing w:line="360" w:lineRule="auto"/>
        <w:ind w:left="0" w:firstLine="0"/>
        <w:jc w:val="both"/>
        <w:rPr>
          <w:rFonts w:ascii="Palatino Linotype" w:hAnsi="Palatino Linotype" w:cs="Arial"/>
          <w:i/>
          <w:color w:val="000000" w:themeColor="text1"/>
        </w:rPr>
      </w:pPr>
      <w:r w:rsidRPr="001C0CF3">
        <w:rPr>
          <w:rFonts w:ascii="Palatino Linotype" w:hAnsi="Palatino Linotype" w:cs="Arial"/>
          <w:color w:val="000000" w:themeColor="text1"/>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D113578" w14:textId="77777777" w:rsidR="003E5D13" w:rsidRPr="001C0CF3" w:rsidRDefault="003E5D13" w:rsidP="001C0CF3">
      <w:pPr>
        <w:pStyle w:val="Prrafodelista"/>
        <w:spacing w:line="360" w:lineRule="auto"/>
        <w:ind w:left="0"/>
        <w:jc w:val="both"/>
        <w:rPr>
          <w:rFonts w:ascii="Palatino Linotype" w:hAnsi="Palatino Linotype" w:cs="Arial"/>
          <w:i/>
          <w:color w:val="000000" w:themeColor="text1"/>
        </w:rPr>
      </w:pPr>
      <w:r w:rsidRPr="001C0CF3">
        <w:rPr>
          <w:rFonts w:ascii="Palatino Linotype" w:hAnsi="Palatino Linotype" w:cs="Arial"/>
          <w:i/>
          <w:color w:val="000000" w:themeColor="text1"/>
        </w:rPr>
        <w:t>“</w:t>
      </w:r>
      <w:r w:rsidRPr="001C0CF3">
        <w:rPr>
          <w:rFonts w:ascii="Palatino Linotype" w:hAnsi="Palatino Linotype" w:cs="Arial"/>
          <w:b/>
          <w:i/>
          <w:color w:val="000000" w:themeColor="text1"/>
        </w:rPr>
        <w:t>Artículo 12.</w:t>
      </w:r>
      <w:r w:rsidRPr="001C0CF3">
        <w:rPr>
          <w:rFonts w:ascii="Palatino Linotype" w:hAnsi="Palatino Linotype" w:cs="Arial"/>
          <w:i/>
          <w:color w:val="000000" w:themeColor="text1"/>
        </w:rPr>
        <w:t xml:space="preserve"> Quienes generen, recopilen, administren, manejen, procesen, archiven o conserven información pública serán responsables de la misma en los términos de las disposiciones jurídicas aplicables. </w:t>
      </w:r>
    </w:p>
    <w:p w14:paraId="783D20D8" w14:textId="77777777" w:rsidR="003E5D13" w:rsidRPr="001C0CF3" w:rsidRDefault="003E5D13" w:rsidP="001C0CF3">
      <w:pPr>
        <w:pStyle w:val="Prrafodelista"/>
        <w:spacing w:line="360" w:lineRule="auto"/>
        <w:ind w:left="0"/>
        <w:jc w:val="both"/>
        <w:rPr>
          <w:rFonts w:ascii="Palatino Linotype" w:hAnsi="Palatino Linotype" w:cs="Arial"/>
          <w:b/>
          <w:i/>
          <w:color w:val="000000" w:themeColor="text1"/>
          <w:u w:val="single"/>
        </w:rPr>
      </w:pPr>
    </w:p>
    <w:p w14:paraId="5C220005" w14:textId="77777777" w:rsidR="003E5D13" w:rsidRPr="001C0CF3" w:rsidRDefault="003E5D13" w:rsidP="001C0CF3">
      <w:pPr>
        <w:pStyle w:val="Prrafodelista"/>
        <w:spacing w:line="360" w:lineRule="auto"/>
        <w:ind w:left="0"/>
        <w:jc w:val="both"/>
        <w:rPr>
          <w:rFonts w:ascii="Palatino Linotype" w:hAnsi="Palatino Linotype" w:cs="Arial"/>
          <w:i/>
          <w:color w:val="000000" w:themeColor="text1"/>
        </w:rPr>
      </w:pPr>
      <w:r w:rsidRPr="001C0CF3">
        <w:rPr>
          <w:rFonts w:ascii="Palatino Linotype" w:hAnsi="Palatino Linotype" w:cs="Arial"/>
          <w:b/>
          <w:i/>
          <w:color w:val="000000" w:themeColor="text1"/>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C0CF3">
        <w:rPr>
          <w:rFonts w:ascii="Palatino Linotype" w:hAnsi="Palatino Linotype" w:cs="Arial"/>
          <w:i/>
          <w:color w:val="000000" w:themeColor="text1"/>
        </w:rPr>
        <w:t>”</w:t>
      </w:r>
    </w:p>
    <w:p w14:paraId="1F679BE8" w14:textId="77777777" w:rsidR="003E5D13" w:rsidRPr="001C0CF3" w:rsidRDefault="003E5D13" w:rsidP="001C0CF3">
      <w:pPr>
        <w:pStyle w:val="Prrafodelista"/>
        <w:spacing w:line="360" w:lineRule="auto"/>
        <w:ind w:left="0"/>
        <w:jc w:val="both"/>
        <w:rPr>
          <w:rFonts w:ascii="Palatino Linotype" w:hAnsi="Palatino Linotype" w:cs="Arial"/>
          <w:color w:val="000000" w:themeColor="text1"/>
        </w:rPr>
      </w:pPr>
      <w:r w:rsidRPr="001C0CF3">
        <w:rPr>
          <w:rFonts w:ascii="Palatino Linotype" w:hAnsi="Palatino Linotype" w:cs="Arial"/>
          <w:color w:val="000000" w:themeColor="text1"/>
        </w:rPr>
        <w:t>Énfasis añadido</w:t>
      </w:r>
    </w:p>
    <w:p w14:paraId="64D4CFD2" w14:textId="77777777" w:rsidR="003E5D13" w:rsidRPr="001C0CF3" w:rsidRDefault="003E5D13" w:rsidP="001C0CF3">
      <w:pPr>
        <w:pStyle w:val="Prrafodelista"/>
        <w:spacing w:line="360" w:lineRule="auto"/>
        <w:ind w:left="0"/>
        <w:jc w:val="both"/>
        <w:rPr>
          <w:rFonts w:ascii="Palatino Linotype" w:hAnsi="Palatino Linotype" w:cs="Arial"/>
          <w:color w:val="000000" w:themeColor="text1"/>
        </w:rPr>
      </w:pPr>
    </w:p>
    <w:p w14:paraId="5335A280" w14:textId="77777777" w:rsidR="003E5D13" w:rsidRPr="001C0CF3" w:rsidRDefault="003E5D13" w:rsidP="001C0CF3">
      <w:pPr>
        <w:numPr>
          <w:ilvl w:val="0"/>
          <w:numId w:val="3"/>
        </w:numPr>
        <w:pBdr>
          <w:top w:val="nil"/>
          <w:left w:val="nil"/>
          <w:bottom w:val="nil"/>
          <w:right w:val="nil"/>
          <w:between w:val="nil"/>
        </w:pBdr>
        <w:spacing w:line="360" w:lineRule="auto"/>
        <w:ind w:left="0" w:firstLine="0"/>
        <w:jc w:val="both"/>
        <w:rPr>
          <w:rFonts w:ascii="Palatino Linotype" w:hAnsi="Palatino Linotype" w:cs="Arial"/>
          <w:color w:val="000000" w:themeColor="text1"/>
        </w:rPr>
      </w:pPr>
      <w:r w:rsidRPr="001C0CF3">
        <w:rPr>
          <w:rFonts w:ascii="Palatino Linotype" w:hAnsi="Palatino Linotype" w:cs="Arial"/>
          <w:color w:val="000000" w:themeColor="text1"/>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w:t>
      </w:r>
      <w:r w:rsidRPr="001C0CF3">
        <w:rPr>
          <w:rFonts w:ascii="Palatino Linotype" w:hAnsi="Palatino Linotype" w:cs="Arial"/>
          <w:color w:val="000000" w:themeColor="text1"/>
        </w:rPr>
        <w:lastRenderedPageBreak/>
        <w:t>que implica que es deber de los Sujetos Obligados, garantizar el derecho de acceso a la información pública.</w:t>
      </w:r>
    </w:p>
    <w:p w14:paraId="4BA7E1F7" w14:textId="77777777" w:rsidR="003E5D13" w:rsidRPr="001C0CF3" w:rsidRDefault="003E5D13" w:rsidP="001C0CF3">
      <w:pPr>
        <w:pStyle w:val="Prrafodelista"/>
        <w:autoSpaceDE w:val="0"/>
        <w:autoSpaceDN w:val="0"/>
        <w:adjustRightInd w:val="0"/>
        <w:spacing w:line="360" w:lineRule="auto"/>
        <w:ind w:left="0"/>
        <w:jc w:val="both"/>
        <w:rPr>
          <w:rFonts w:ascii="Palatino Linotype" w:hAnsi="Palatino Linotype" w:cs="Arial"/>
          <w:color w:val="000000" w:themeColor="text1"/>
        </w:rPr>
      </w:pPr>
    </w:p>
    <w:p w14:paraId="1F06A100" w14:textId="77777777" w:rsidR="00E30417" w:rsidRPr="001C0CF3" w:rsidRDefault="00E30417"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 xml:space="preserve">Dicha situación toma sustento en el artículo 12 de la Ley de Transparencia y Acceso a la Información </w:t>
      </w:r>
      <w:r w:rsidRPr="001C0CF3">
        <w:rPr>
          <w:rFonts w:ascii="Palatino Linotype" w:hAnsi="Palatino Linotype" w:cs="Arial"/>
          <w:color w:val="000000" w:themeColor="text1"/>
        </w:rPr>
        <w:t>Pública</w:t>
      </w:r>
      <w:r w:rsidRPr="001C0CF3">
        <w:rPr>
          <w:rFonts w:ascii="Palatino Linotype" w:hAnsi="Palatino Linotype"/>
          <w:color w:val="000000" w:themeColor="text1"/>
        </w:rPr>
        <w:t xml:space="preserve">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5C5B3233" w14:textId="77777777" w:rsidR="00E30417" w:rsidRPr="001C0CF3" w:rsidRDefault="00E30417" w:rsidP="001C0CF3">
      <w:pPr>
        <w:spacing w:line="360" w:lineRule="auto"/>
        <w:jc w:val="both"/>
        <w:rPr>
          <w:rFonts w:ascii="Palatino Linotype" w:hAnsi="Palatino Linotype"/>
          <w:color w:val="000000" w:themeColor="text1"/>
        </w:rPr>
      </w:pPr>
    </w:p>
    <w:p w14:paraId="31A1A705" w14:textId="77777777" w:rsidR="00E30417" w:rsidRPr="001C0CF3" w:rsidRDefault="00E30417"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 xml:space="preserve">De esta manera, el derecho de acceso a la información pública se satisface en aquellos casos en que se entregue el soporte documental en el que conste la información solicitada, sin necesidad de elaborar documentos </w:t>
      </w:r>
      <w:r w:rsidRPr="001C0CF3">
        <w:rPr>
          <w:rFonts w:ascii="Palatino Linotype" w:hAnsi="Palatino Linotype"/>
          <w:i/>
          <w:color w:val="000000" w:themeColor="text1"/>
        </w:rPr>
        <w:t>ad hoc</w:t>
      </w:r>
      <w:r w:rsidRPr="001C0CF3">
        <w:rPr>
          <w:rFonts w:ascii="Palatino Linotype" w:hAnsi="Palatino Linotype"/>
          <w:color w:val="000000" w:themeColor="text1"/>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3201C9FC" w14:textId="77777777" w:rsidR="0026278A" w:rsidRPr="001C0CF3" w:rsidRDefault="0026278A" w:rsidP="001C0CF3">
      <w:pPr>
        <w:rPr>
          <w:rFonts w:ascii="Palatino Linotype" w:hAnsi="Palatino Linotype"/>
          <w:color w:val="000000" w:themeColor="text1"/>
        </w:rPr>
      </w:pPr>
    </w:p>
    <w:p w14:paraId="417B4B3A" w14:textId="6877F149" w:rsidR="0026278A" w:rsidRPr="001C0CF3" w:rsidRDefault="0026278A"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hAnsi="Palatino Linotype"/>
          <w:color w:val="000000" w:themeColor="text1"/>
        </w:rPr>
        <w:t xml:space="preserve">Finalmente no pasa desapercibido el lapso temporal </w:t>
      </w:r>
      <w:r w:rsidR="000E1E57" w:rsidRPr="001C0CF3">
        <w:rPr>
          <w:rFonts w:ascii="Palatino Linotype" w:hAnsi="Palatino Linotype"/>
          <w:color w:val="000000" w:themeColor="text1"/>
        </w:rPr>
        <w:t>del cual se requiere la información y, que corresponde al ejercicio fiscal 2025</w:t>
      </w:r>
      <w:r w:rsidR="00715A97" w:rsidRPr="001C0CF3">
        <w:rPr>
          <w:rFonts w:ascii="Palatino Linotype" w:hAnsi="Palatino Linotype"/>
          <w:color w:val="000000" w:themeColor="text1"/>
        </w:rPr>
        <w:t>: corresponde a una s</w:t>
      </w:r>
      <w:r w:rsidR="000E1E57" w:rsidRPr="001C0CF3">
        <w:rPr>
          <w:rFonts w:ascii="Palatino Linotype" w:hAnsi="Palatino Linotype"/>
          <w:color w:val="000000" w:themeColor="text1"/>
        </w:rPr>
        <w:t>ituación que no puede atenderse de manera puntual; toda vez que la solicitud ingresó el día veintiuno de marzo del año en curso, es decir que no está concluido el ejercicio, al estar por cumplirse únicamente el primer trimestre. En ese mismo sentido</w:t>
      </w:r>
      <w:r w:rsidR="00715A97" w:rsidRPr="001C0CF3">
        <w:rPr>
          <w:rFonts w:ascii="Palatino Linotype" w:hAnsi="Palatino Linotype"/>
          <w:color w:val="000000" w:themeColor="text1"/>
        </w:rPr>
        <w:t xml:space="preserve"> se solicitó la información desagregada por mes, pero al no estar concluidos su totalidad se considera dable ordenar la información al mayor grado de desagregación en los extremos temporales comprendidos del 01 de enero al 21 de marzo de 2025.</w:t>
      </w:r>
    </w:p>
    <w:p w14:paraId="652C4E67" w14:textId="01466706" w:rsidR="00A448A3" w:rsidRPr="001C0CF3" w:rsidRDefault="00A448A3"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lastRenderedPageBreak/>
        <w:t xml:space="preserve">Con la determinación anterior quedará por colmado el derecho de acceso a la </w:t>
      </w:r>
      <w:r w:rsidRPr="001C0CF3">
        <w:rPr>
          <w:rFonts w:ascii="Palatino Linotype" w:hAnsi="Palatino Linotype" w:cs="Arial"/>
          <w:color w:val="000000" w:themeColor="text1"/>
        </w:rPr>
        <w:t>información</w:t>
      </w:r>
      <w:r w:rsidRPr="001C0CF3">
        <w:rPr>
          <w:rFonts w:ascii="Palatino Linotype" w:eastAsia="Palatino Linotype" w:hAnsi="Palatino Linotype" w:cs="Palatino Linotype"/>
          <w:color w:val="000000" w:themeColor="text1"/>
        </w:rPr>
        <w:t xml:space="preserve"> del </w:t>
      </w:r>
      <w:r w:rsidRPr="001C0CF3">
        <w:rPr>
          <w:rFonts w:ascii="Palatino Linotype" w:hAnsi="Palatino Linotype"/>
          <w:color w:val="000000" w:themeColor="text1"/>
        </w:rPr>
        <w:t>ahora</w:t>
      </w:r>
      <w:r w:rsidRPr="001C0CF3">
        <w:rPr>
          <w:rFonts w:ascii="Palatino Linotype" w:eastAsia="Palatino Linotype" w:hAnsi="Palatino Linotype" w:cs="Palatino Linotype"/>
          <w:color w:val="000000" w:themeColor="text1"/>
        </w:rPr>
        <w:t xml:space="preserve"> </w:t>
      </w:r>
      <w:r w:rsidRPr="001C0CF3">
        <w:rPr>
          <w:rFonts w:ascii="Palatino Linotype" w:hAnsi="Palatino Linotype" w:cs="Times New Roman"/>
          <w:color w:val="000000" w:themeColor="text1"/>
        </w:rPr>
        <w:t>Recurrente</w:t>
      </w:r>
      <w:r w:rsidRPr="001C0CF3">
        <w:rPr>
          <w:rFonts w:ascii="Palatino Linotype" w:eastAsia="Palatino Linotype" w:hAnsi="Palatino Linotype" w:cs="Palatino Linotype"/>
          <w:color w:val="000000" w:themeColor="text1"/>
        </w:rPr>
        <w:t xml:space="preserve">; toda vez que el Derecho que tutela este Órgano Garante corresponde a la  </w:t>
      </w:r>
      <w:r w:rsidRPr="001C0CF3">
        <w:rPr>
          <w:rFonts w:ascii="Palatino Linotype" w:eastAsia="Palatino Linotype" w:hAnsi="Palatino Linotype" w:cs="Palatino Linotype"/>
          <w:i/>
          <w:color w:val="000000" w:themeColor="text1"/>
        </w:rPr>
        <w:t>igualdad de oportunidades para recibir, buscar e impartir información</w:t>
      </w:r>
      <w:r w:rsidRPr="001C0CF3">
        <w:rPr>
          <w:rFonts w:ascii="Palatino Linotype" w:eastAsia="Palatino Linotype" w:hAnsi="Palatino Linotype" w:cs="Palatino Linotype"/>
          <w:i/>
          <w:color w:val="000000" w:themeColor="text1"/>
          <w:vertAlign w:val="superscript"/>
        </w:rPr>
        <w:footnoteReference w:id="1"/>
      </w:r>
      <w:r w:rsidRPr="001C0CF3">
        <w:rPr>
          <w:rFonts w:ascii="Palatino Linotype" w:eastAsia="Palatino Linotype" w:hAnsi="Palatino Linotype" w:cs="Palatino Linotype"/>
          <w:i/>
          <w:color w:val="000000" w:themeColor="text1"/>
        </w:rPr>
        <w:t xml:space="preserve"> en posesión de cualquier autoridad, entidad, órgano y organismo de los </w:t>
      </w:r>
      <w:r w:rsidRPr="001C0CF3">
        <w:rPr>
          <w:rFonts w:ascii="Palatino Linotype" w:eastAsia="Palatino Linotype" w:hAnsi="Palatino Linotype" w:cs="Palatino Linotype"/>
          <w:color w:val="000000" w:themeColor="text1"/>
        </w:rPr>
        <w:t>poderes</w:t>
      </w:r>
      <w:r w:rsidRPr="001C0CF3">
        <w:rPr>
          <w:rFonts w:ascii="Palatino Linotype" w:eastAsia="Palatino Linotype" w:hAnsi="Palatino Linotype" w:cs="Palatino Linotype"/>
          <w:i/>
          <w:color w:val="000000" w:themeColor="text1"/>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C0CF3">
        <w:rPr>
          <w:rFonts w:ascii="Palatino Linotype" w:eastAsia="Palatino Linotype" w:hAnsi="Palatino Linotype" w:cs="Palatino Linotype"/>
          <w:color w:val="000000" w:themeColor="text1"/>
          <w:vertAlign w:val="superscript"/>
        </w:rPr>
        <w:footnoteReference w:id="2"/>
      </w:r>
      <w:r w:rsidRPr="001C0CF3">
        <w:rPr>
          <w:rFonts w:ascii="Palatino Linotype" w:eastAsia="Palatino Linotype" w:hAnsi="Palatino Linotype" w:cs="Palatino Linotype"/>
          <w:i/>
          <w:color w:val="000000" w:themeColor="text1"/>
        </w:rPr>
        <w:t xml:space="preserve"> </w:t>
      </w:r>
      <w:r w:rsidRPr="001C0CF3">
        <w:rPr>
          <w:rFonts w:ascii="Palatino Linotype" w:eastAsia="Palatino Linotype" w:hAnsi="Palatino Linotype" w:cs="Palatino Linotype"/>
          <w:color w:val="000000" w:themeColor="text1"/>
        </w:rPr>
        <w:t xml:space="preserve">que se constituye como una herramienta fundamental para </w:t>
      </w:r>
      <w:r w:rsidRPr="001C0CF3">
        <w:rPr>
          <w:rFonts w:ascii="Palatino Linotype" w:eastAsia="Palatino Linotype" w:hAnsi="Palatino Linotype" w:cs="Palatino Linotype"/>
          <w:i/>
          <w:color w:val="000000" w:themeColor="text1"/>
        </w:rPr>
        <w:t>ejercer control democrático de las gestiones estatales, de forma tal que puedan cuestionar, indagar y considerar si se está dando un adecuado cumplimiento de las funciones públicas,</w:t>
      </w:r>
      <w:r w:rsidRPr="001C0CF3">
        <w:rPr>
          <w:rFonts w:ascii="Palatino Linotype" w:eastAsia="Palatino Linotype" w:hAnsi="Palatino Linotype" w:cs="Palatino Linotype"/>
          <w:i/>
          <w:color w:val="000000" w:themeColor="text1"/>
          <w:vertAlign w:val="superscript"/>
        </w:rPr>
        <w:footnoteReference w:id="3"/>
      </w:r>
      <w:r w:rsidRPr="001C0CF3">
        <w:rPr>
          <w:rFonts w:ascii="Palatino Linotype" w:eastAsia="Palatino Linotype" w:hAnsi="Palatino Linotype" w:cs="Palatino Linotype"/>
          <w:color w:val="000000" w:themeColor="text1"/>
        </w:rPr>
        <w:t>fomentando</w:t>
      </w:r>
      <w:r w:rsidRPr="001C0CF3">
        <w:rPr>
          <w:rFonts w:ascii="Palatino Linotype" w:eastAsia="Palatino Linotype" w:hAnsi="Palatino Linotype" w:cs="Palatino Linotype"/>
          <w:i/>
          <w:color w:val="000000" w:themeColor="text1"/>
        </w:rPr>
        <w:t xml:space="preserve"> la transparencia de las actividades estatales y</w:t>
      </w:r>
      <w:r w:rsidRPr="001C0CF3">
        <w:rPr>
          <w:rFonts w:ascii="Palatino Linotype" w:eastAsia="Palatino Linotype" w:hAnsi="Palatino Linotype" w:cs="Palatino Linotype"/>
          <w:color w:val="000000" w:themeColor="text1"/>
        </w:rPr>
        <w:t xml:space="preserve"> promoviendo</w:t>
      </w:r>
      <w:r w:rsidRPr="001C0CF3">
        <w:rPr>
          <w:rFonts w:ascii="Palatino Linotype" w:eastAsia="Palatino Linotype" w:hAnsi="Palatino Linotype" w:cs="Palatino Linotype"/>
          <w:i/>
          <w:color w:val="000000" w:themeColor="text1"/>
        </w:rPr>
        <w:t xml:space="preserve"> la responsabilidad de los funcionarios sobre su gestión pública</w:t>
      </w:r>
      <w:r w:rsidRPr="001C0CF3">
        <w:rPr>
          <w:rFonts w:ascii="Palatino Linotype" w:eastAsia="Palatino Linotype" w:hAnsi="Palatino Linotype" w:cs="Palatino Linotype"/>
          <w:i/>
          <w:color w:val="000000" w:themeColor="text1"/>
          <w:vertAlign w:val="superscript"/>
        </w:rPr>
        <w:footnoteReference w:id="4"/>
      </w:r>
      <w:r w:rsidRPr="001C0CF3">
        <w:rPr>
          <w:rFonts w:ascii="Palatino Linotype" w:eastAsia="Palatino Linotype" w:hAnsi="Palatino Linotype" w:cs="Palatino Linotype"/>
          <w:i/>
          <w:color w:val="000000" w:themeColor="text1"/>
        </w:rPr>
        <w:t xml:space="preserve"> </w:t>
      </w:r>
      <w:r w:rsidRPr="001C0CF3">
        <w:rPr>
          <w:rFonts w:ascii="Palatino Linotype" w:eastAsia="Palatino Linotype" w:hAnsi="Palatino Linotype" w:cs="Palatino Linotype"/>
          <w:color w:val="000000" w:themeColor="text1"/>
        </w:rPr>
        <w:t>que permite</w:t>
      </w:r>
      <w:r w:rsidRPr="001C0CF3">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r w:rsidRPr="001C0CF3">
        <w:rPr>
          <w:rFonts w:ascii="Palatino Linotype" w:eastAsia="Palatino Linotype" w:hAnsi="Palatino Linotype" w:cs="Palatino Linotype"/>
          <w:i/>
          <w:color w:val="000000" w:themeColor="text1"/>
          <w:vertAlign w:val="superscript"/>
        </w:rPr>
        <w:footnoteReference w:id="5"/>
      </w:r>
      <w:r w:rsidRPr="001C0CF3">
        <w:rPr>
          <w:rFonts w:ascii="Palatino Linotype" w:eastAsia="Palatino Linotype" w:hAnsi="Palatino Linotype" w:cs="Palatino Linotype"/>
          <w:color w:val="000000" w:themeColor="text1"/>
        </w:rPr>
        <w:t xml:space="preserve"> ” </w:t>
      </w:r>
    </w:p>
    <w:p w14:paraId="6FC8A0D4" w14:textId="77777777" w:rsidR="00A448A3" w:rsidRPr="001C0CF3" w:rsidRDefault="00A448A3" w:rsidP="001C0CF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14:paraId="7ECED5EE" w14:textId="77777777" w:rsidR="00A448A3" w:rsidRPr="001C0CF3" w:rsidRDefault="00A448A3"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color w:val="000000" w:themeColor="text1"/>
        </w:rPr>
        <w:t xml:space="preserve">Para entender los alcances de la información pública se considera importante citar el criterio de interpretación </w:t>
      </w:r>
      <w:r w:rsidRPr="001C0CF3">
        <w:rPr>
          <w:rFonts w:ascii="Palatino Linotype" w:hAnsi="Palatino Linotype" w:cs="Times New Roman"/>
          <w:color w:val="000000" w:themeColor="text1"/>
        </w:rPr>
        <w:t>en</w:t>
      </w:r>
      <w:r w:rsidRPr="001C0CF3">
        <w:rPr>
          <w:rFonts w:ascii="Palatino Linotype" w:eastAsia="Palatino Linotype" w:hAnsi="Palatino Linotype" w:cs="Palatino Linotype"/>
          <w:color w:val="000000" w:themeColor="text1"/>
        </w:rPr>
        <w:t xml:space="preserve"> el orden administrativo número 0002-11, emitido por Acuerdo del Pleno de este Instituto de Transparencia y Acceso a la Información Pública del Estado de México y Municipios, publicado en el Periódico Oficial del Gobierno del Estado Libre y </w:t>
      </w:r>
      <w:r w:rsidRPr="001C0CF3">
        <w:rPr>
          <w:rFonts w:ascii="Palatino Linotype" w:eastAsia="Palatino Linotype" w:hAnsi="Palatino Linotype" w:cs="Palatino Linotype"/>
          <w:color w:val="000000" w:themeColor="text1"/>
        </w:rPr>
        <w:lastRenderedPageBreak/>
        <w:t>Soberano de México “Gaceta del Gobierno” el diecinueve de octubre de dos mil once, cuyo rubro y texto dispone:</w:t>
      </w:r>
    </w:p>
    <w:p w14:paraId="622F5C17" w14:textId="77777777" w:rsidR="00A448A3" w:rsidRPr="001C0CF3" w:rsidRDefault="00A448A3" w:rsidP="001C0CF3">
      <w:pPr>
        <w:spacing w:line="360" w:lineRule="auto"/>
        <w:jc w:val="both"/>
        <w:rPr>
          <w:rFonts w:ascii="Palatino Linotype" w:eastAsia="Palatino Linotype" w:hAnsi="Palatino Linotype" w:cs="Palatino Linotype"/>
          <w:b/>
          <w:i/>
          <w:color w:val="000000" w:themeColor="text1"/>
        </w:rPr>
      </w:pPr>
      <w:r w:rsidRPr="001C0CF3">
        <w:rPr>
          <w:rFonts w:ascii="Palatino Linotype" w:eastAsia="Palatino Linotype" w:hAnsi="Palatino Linotype" w:cs="Palatino Linotype"/>
          <w:b/>
          <w:i/>
          <w:color w:val="000000" w:themeColor="text1"/>
        </w:rPr>
        <w:t>“CRITERIO 0002-11</w:t>
      </w:r>
    </w:p>
    <w:p w14:paraId="4DECD617" w14:textId="77777777" w:rsidR="00A448A3" w:rsidRPr="001C0CF3" w:rsidRDefault="00A448A3"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INFORMACIÓN PÚBLICA, CONCEPTO DE, EN MATERIA DE TRANSPARENCIA. INTERPRETACIÓN TEMÁTICA DE LOS ARTÍCULOS 2, FRACCIÓN V, XV, Y XVI, 3, 4,11 Y 41.</w:t>
      </w:r>
      <w:r w:rsidRPr="001C0CF3">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1DE143D" w14:textId="77777777" w:rsidR="00A448A3" w:rsidRPr="001C0CF3" w:rsidRDefault="00A448A3"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14:paraId="0FBB2082" w14:textId="77777777" w:rsidR="00A448A3" w:rsidRPr="001C0CF3" w:rsidRDefault="00A448A3"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Que se trate de información registrada en cualquier soporte documental, que en ejercicio de las atribuciones conferidas, sea generada por los Sujetos Obligados;</w:t>
      </w:r>
    </w:p>
    <w:p w14:paraId="18DAE57C" w14:textId="77777777" w:rsidR="00A448A3" w:rsidRPr="001C0CF3" w:rsidRDefault="00A448A3"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Que se trate de información registrada en cualquier soporte documental, que en ejercicio de las atribuciones conferidas, sea administrada por los Sujetos Obligados, y</w:t>
      </w:r>
    </w:p>
    <w:p w14:paraId="20A279C0" w14:textId="77777777" w:rsidR="00A448A3" w:rsidRPr="001C0CF3" w:rsidRDefault="00A448A3"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Que se trate de información registrada en cualquier soporte documental, que en ejercicio de las atribuciones conferidas, se encuentre en posesión de los Sujetos Obligados.”</w:t>
      </w:r>
    </w:p>
    <w:p w14:paraId="14257AF7" w14:textId="77777777" w:rsidR="00A448A3" w:rsidRPr="001C0CF3" w:rsidRDefault="00A448A3" w:rsidP="001C0CF3">
      <w:pPr>
        <w:spacing w:line="360" w:lineRule="auto"/>
        <w:jc w:val="both"/>
        <w:rPr>
          <w:rFonts w:ascii="Palatino Linotype" w:eastAsia="Palatino Linotype" w:hAnsi="Palatino Linotype" w:cs="Palatino Linotype"/>
          <w:i/>
          <w:color w:val="000000" w:themeColor="text1"/>
        </w:rPr>
      </w:pPr>
    </w:p>
    <w:p w14:paraId="7CEB22C1" w14:textId="77777777" w:rsidR="00A448A3" w:rsidRPr="001C0CF3" w:rsidRDefault="00A448A3"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El derecho de acceso a la información encuentra su materia elemental en los documentos, y la Ley de Transparencia local  nos brinda el siguiente concepto, para darnos un mejor panorama:</w:t>
      </w:r>
    </w:p>
    <w:p w14:paraId="3B80F547" w14:textId="77777777" w:rsidR="00A448A3" w:rsidRPr="001C0CF3" w:rsidRDefault="00A448A3"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 xml:space="preserve">XI. Documento: </w:t>
      </w:r>
      <w:r w:rsidRPr="001C0CF3">
        <w:rPr>
          <w:rFonts w:ascii="Palatino Linotype" w:eastAsia="Palatino Linotype" w:hAnsi="Palatino Linotype" w:cs="Palatino Linotype"/>
          <w:i/>
          <w:color w:val="000000" w:themeColor="text1"/>
        </w:rPr>
        <w:t xml:space="preserve">Los expedientes, reportes, estudios, actas, resoluciones, oficios, correspondencia, acuerdos, directivas, directrices, circulares, contratos, convenios, instructivos, notas, memorandos, estadísticas o bien, </w:t>
      </w:r>
      <w:r w:rsidRPr="001C0CF3">
        <w:rPr>
          <w:rFonts w:ascii="Palatino Linotype" w:eastAsia="Palatino Linotype" w:hAnsi="Palatino Linotype" w:cs="Palatino Linotype"/>
          <w:b/>
          <w:i/>
          <w:color w:val="000000" w:themeColor="text1"/>
        </w:rPr>
        <w:t>cualquier otro registro</w:t>
      </w:r>
      <w:r w:rsidRPr="001C0CF3">
        <w:rPr>
          <w:rFonts w:ascii="Palatino Linotype" w:eastAsia="Palatino Linotype" w:hAnsi="Palatino Linotype" w:cs="Palatino Linotype"/>
          <w:i/>
          <w:color w:val="000000" w:themeColor="text1"/>
        </w:rPr>
        <w:t xml:space="preserve"> que documente el ejercicio de las facultades, funciones y </w:t>
      </w:r>
      <w:r w:rsidRPr="001C0CF3">
        <w:rPr>
          <w:rFonts w:ascii="Palatino Linotype" w:eastAsia="Palatino Linotype" w:hAnsi="Palatino Linotype" w:cs="Palatino Linotype"/>
          <w:i/>
          <w:color w:val="000000" w:themeColor="text1"/>
        </w:rPr>
        <w:lastRenderedPageBreak/>
        <w:t>competencias de los sujetos obligados, sus servidores públicos e integrantes, sin importar su fuente o fecha de elaboración. Los documentos podrán estar en cualquier medio, sea escrito, impreso, sonoro, visual, electrónico, informático u holográfico;</w:t>
      </w:r>
    </w:p>
    <w:p w14:paraId="5D4E86A6" w14:textId="77777777" w:rsidR="00A448A3" w:rsidRPr="001C0CF3" w:rsidRDefault="00A448A3" w:rsidP="001C0CF3">
      <w:pPr>
        <w:spacing w:line="360" w:lineRule="auto"/>
        <w:jc w:val="both"/>
        <w:rPr>
          <w:rFonts w:ascii="Palatino Linotype" w:eastAsia="Palatino Linotype" w:hAnsi="Palatino Linotype" w:cs="Palatino Linotype"/>
          <w:i/>
          <w:color w:val="000000" w:themeColor="text1"/>
        </w:rPr>
      </w:pPr>
    </w:p>
    <w:p w14:paraId="289070B0" w14:textId="77777777" w:rsidR="00A448A3" w:rsidRPr="001C0CF3" w:rsidRDefault="00A448A3"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 xml:space="preserve">Es así que, todos los actos de autoridad que realicen los Sujetos Obligados </w:t>
      </w:r>
      <w:r w:rsidRPr="001C0CF3">
        <w:rPr>
          <w:rFonts w:ascii="Palatino Linotype" w:eastAsia="Palatino Linotype" w:hAnsi="Palatino Linotype" w:cs="Palatino Linotype"/>
          <w:b/>
          <w:color w:val="000000" w:themeColor="text1"/>
        </w:rPr>
        <w:t xml:space="preserve">deben estar </w:t>
      </w:r>
      <w:r w:rsidRPr="001C0CF3">
        <w:rPr>
          <w:rFonts w:ascii="Palatino Linotype" w:eastAsia="Palatino Linotype" w:hAnsi="Palatino Linotype" w:cs="Palatino Linotype"/>
          <w:color w:val="000000" w:themeColor="text1"/>
        </w:rPr>
        <w:t>documentados y, bajo el más alto estándar de transparencia deberán poner toda la información que se encuentre en su posesión, a disposición de los particulares que la soliciten.</w:t>
      </w:r>
    </w:p>
    <w:p w14:paraId="483FD65F" w14:textId="77777777" w:rsidR="00A448A3" w:rsidRPr="001C0CF3" w:rsidRDefault="00A448A3" w:rsidP="001C0CF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14:paraId="540FCA76" w14:textId="77777777" w:rsidR="00A448A3" w:rsidRPr="001C0CF3" w:rsidRDefault="00A448A3"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Además, debemos tomar en cuenta los artículos 4 y 12 (antes transcrito), de la Ley de Transparencia y Acceso a la Información Pública del Estado de México y Municipios, los cuales establecen lo siguiente:</w:t>
      </w:r>
    </w:p>
    <w:p w14:paraId="5AE01FF8" w14:textId="77777777" w:rsidR="00A448A3" w:rsidRPr="001C0CF3" w:rsidRDefault="00A448A3"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 xml:space="preserve">“Artículo 4. </w:t>
      </w:r>
      <w:r w:rsidRPr="001C0CF3">
        <w:rPr>
          <w:rFonts w:ascii="Palatino Linotype" w:eastAsia="Palatino Linotype" w:hAnsi="Palatino Linotype" w:cs="Palatino Linotype"/>
          <w:i/>
          <w:color w:val="000000" w:themeColor="text1"/>
        </w:rPr>
        <w:t>El derecho humano de acceso a la información pública es la prerrogativa de las personas para buscar, difundir, investigar, recabar, recibir y solicitar información pública, sin necesidad de acreditar personalidad ni interés jurídico.</w:t>
      </w:r>
    </w:p>
    <w:p w14:paraId="633756AA" w14:textId="77777777" w:rsidR="00A448A3" w:rsidRPr="001C0CF3" w:rsidRDefault="00A448A3"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Toda la información</w:t>
      </w:r>
      <w:r w:rsidRPr="001C0CF3">
        <w:rPr>
          <w:rFonts w:ascii="Palatino Linotype" w:eastAsia="Palatino Linotype" w:hAnsi="Palatino Linotype" w:cs="Palatino Linotype"/>
          <w:i/>
          <w:color w:val="000000" w:themeColor="text1"/>
        </w:rPr>
        <w:t xml:space="preserve"> generada, obtenida, adquirida, transformada, administrada o </w:t>
      </w:r>
      <w:r w:rsidRPr="001C0CF3">
        <w:rPr>
          <w:rFonts w:ascii="Palatino Linotype" w:eastAsia="Palatino Linotype" w:hAnsi="Palatino Linotype" w:cs="Palatino Linotype"/>
          <w:b/>
          <w:i/>
          <w:color w:val="000000" w:themeColor="text1"/>
        </w:rPr>
        <w:t>en posesión de los sujetos obligados es pública</w:t>
      </w:r>
      <w:r w:rsidRPr="001C0CF3">
        <w:rPr>
          <w:rFonts w:ascii="Palatino Linotype" w:eastAsia="Palatino Linotype" w:hAnsi="Palatino Linotype" w:cs="Palatino Linotype"/>
          <w:i/>
          <w:color w:val="000000" w:themeColor="text1"/>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D04B556" w14:textId="77777777" w:rsidR="00A448A3" w:rsidRPr="001C0CF3" w:rsidRDefault="00A448A3"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554320D9" w14:textId="77777777" w:rsidR="00A448A3" w:rsidRPr="001C0CF3" w:rsidRDefault="00A448A3"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C0CF3">
        <w:rPr>
          <w:rFonts w:ascii="Palatino Linotype" w:eastAsia="Palatino Linotype" w:hAnsi="Palatino Linotype" w:cs="Palatino Linotype"/>
          <w:color w:val="000000" w:themeColor="text1"/>
          <w:vertAlign w:val="superscript"/>
        </w:rPr>
        <w:footnoteReference w:id="6"/>
      </w:r>
      <w:r w:rsidRPr="001C0CF3">
        <w:rPr>
          <w:rFonts w:ascii="Palatino Linotype" w:eastAsia="Palatino Linotype" w:hAnsi="Palatino Linotype" w:cs="Palatino Linotype"/>
          <w:color w:val="000000" w:themeColor="text1"/>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0B500C50" w14:textId="77777777" w:rsidR="00A448A3" w:rsidRPr="001C0CF3" w:rsidRDefault="00A448A3" w:rsidP="001C0CF3">
      <w:pPr>
        <w:spacing w:line="360" w:lineRule="auto"/>
        <w:jc w:val="both"/>
        <w:rPr>
          <w:rFonts w:ascii="Palatino Linotype" w:eastAsia="Palatino Linotype" w:hAnsi="Palatino Linotype" w:cs="Palatino Linotype"/>
          <w:color w:val="000000" w:themeColor="text1"/>
        </w:rPr>
      </w:pPr>
    </w:p>
    <w:p w14:paraId="18F5069F" w14:textId="77777777" w:rsidR="00A448A3" w:rsidRPr="001C0CF3" w:rsidRDefault="00A448A3"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0B0BC606" w14:textId="77777777" w:rsidR="00A448A3" w:rsidRPr="001C0CF3" w:rsidRDefault="00A448A3" w:rsidP="001C0CF3">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ACCESO A LA INFORMACIÓN. IMPLICACIÓN DEL PRINCIPIO DE MÁXIMA PUBLICIDAD EN EL DERECHO FUNDAMENTAL RELATIVO.</w:t>
      </w:r>
      <w:r w:rsidRPr="001C0CF3">
        <w:rPr>
          <w:rFonts w:ascii="Palatino Linotype" w:eastAsia="Palatino Linotype" w:hAnsi="Palatino Linotype" w:cs="Palatino Linotype"/>
          <w:i/>
          <w:color w:val="000000" w:themeColor="text1"/>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w:t>
      </w:r>
      <w:r w:rsidRPr="001C0CF3">
        <w:rPr>
          <w:rFonts w:ascii="Palatino Linotype" w:eastAsia="Palatino Linotype" w:hAnsi="Palatino Linotype" w:cs="Palatino Linotype"/>
          <w:i/>
          <w:color w:val="000000" w:themeColor="text1"/>
        </w:rPr>
        <w:lastRenderedPageBreak/>
        <w:t>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53435B99" w14:textId="77777777" w:rsidR="005F652F" w:rsidRPr="001C0CF3" w:rsidRDefault="005F652F" w:rsidP="001C0CF3">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color w:val="000000" w:themeColor="text1"/>
        </w:rPr>
      </w:pPr>
    </w:p>
    <w:p w14:paraId="04BA7538" w14:textId="77777777" w:rsidR="0027532C" w:rsidRPr="001C0CF3" w:rsidRDefault="0027532C" w:rsidP="001C0CF3">
      <w:pPr>
        <w:pStyle w:val="Prrafodelista"/>
        <w:tabs>
          <w:tab w:val="left" w:pos="284"/>
          <w:tab w:val="left" w:pos="426"/>
        </w:tabs>
        <w:spacing w:line="360" w:lineRule="auto"/>
        <w:ind w:left="0"/>
        <w:jc w:val="both"/>
        <w:rPr>
          <w:rFonts w:ascii="Palatino Linotype" w:eastAsia="Palatino Linotype" w:hAnsi="Palatino Linotype" w:cs="Palatino Linotype"/>
          <w:b/>
          <w:color w:val="000000" w:themeColor="text1"/>
        </w:rPr>
      </w:pPr>
      <w:r w:rsidRPr="001C0CF3">
        <w:rPr>
          <w:rFonts w:ascii="Palatino Linotype" w:eastAsia="Palatino Linotype" w:hAnsi="Palatino Linotype" w:cs="Palatino Linotype"/>
          <w:b/>
          <w:color w:val="000000" w:themeColor="text1"/>
        </w:rPr>
        <w:t>QUINTO. De la versión pública.</w:t>
      </w:r>
    </w:p>
    <w:p w14:paraId="3D73BD0C" w14:textId="515192D8" w:rsidR="0027532C" w:rsidRPr="001C0CF3" w:rsidRDefault="0027532C"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 xml:space="preserve">Finalmente, debe señalarse que </w:t>
      </w:r>
      <w:r w:rsidR="0026278A" w:rsidRPr="001C0CF3">
        <w:rPr>
          <w:rFonts w:ascii="Palatino Linotype" w:eastAsia="Palatino Linotype" w:hAnsi="Palatino Linotype" w:cs="Palatino Linotype"/>
          <w:color w:val="000000" w:themeColor="text1"/>
        </w:rPr>
        <w:t>lo ordenado eventualmente pudiera contener</w:t>
      </w:r>
      <w:r w:rsidRPr="001C0CF3">
        <w:rPr>
          <w:rFonts w:ascii="Palatino Linotype" w:eastAsia="Palatino Linotype" w:hAnsi="Palatino Linotype" w:cs="Palatino Linotype"/>
          <w:color w:val="000000" w:themeColor="text1"/>
        </w:rPr>
        <w:t xml:space="preserve"> datos personales</w:t>
      </w:r>
      <w:r w:rsidR="0026278A" w:rsidRPr="001C0CF3">
        <w:rPr>
          <w:rFonts w:ascii="Palatino Linotype" w:eastAsia="Palatino Linotype" w:hAnsi="Palatino Linotype" w:cs="Palatino Linotype"/>
          <w:color w:val="000000" w:themeColor="text1"/>
        </w:rPr>
        <w:t>; que de ser el caso</w:t>
      </w:r>
      <w:r w:rsidRPr="001C0CF3">
        <w:rPr>
          <w:rFonts w:ascii="Palatino Linotype" w:eastAsia="Palatino Linotype" w:hAnsi="Palatino Linotype" w:cs="Palatino Linotype"/>
          <w:color w:val="000000" w:themeColor="text1"/>
        </w:rPr>
        <w:t xml:space="preserve"> deberán ser protegidos como ya quedó asentado en el Considerando anterior del presente proveído. Para dar cumplimiento a la presente resolución, contengan datos que deban ser clasificados, el </w:t>
      </w:r>
      <w:r w:rsidRPr="001C0CF3">
        <w:rPr>
          <w:rFonts w:ascii="Palatino Linotype" w:eastAsia="Palatino Linotype" w:hAnsi="Palatino Linotype" w:cs="Palatino Linotype"/>
          <w:b/>
          <w:color w:val="000000" w:themeColor="text1"/>
        </w:rPr>
        <w:t>SUJETO OBLIGADO</w:t>
      </w:r>
      <w:r w:rsidRPr="001C0CF3">
        <w:rPr>
          <w:rFonts w:ascii="Palatino Linotype" w:eastAsia="Palatino Linotype" w:hAnsi="Palatino Linotype" w:cs="Palatino Linotype"/>
          <w:color w:val="000000" w:themeColor="text1"/>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43D80DE3" w14:textId="77777777" w:rsidR="00DA26B9" w:rsidRPr="001C0CF3" w:rsidRDefault="00DA26B9" w:rsidP="001C0CF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C284B9B" w14:textId="77777777" w:rsidR="0027532C" w:rsidRPr="001C0CF3" w:rsidRDefault="0027532C"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50E93DCB" w14:textId="77777777" w:rsidR="0027532C" w:rsidRPr="001C0CF3" w:rsidRDefault="0027532C" w:rsidP="001C0CF3">
      <w:pPr>
        <w:spacing w:line="360" w:lineRule="auto"/>
        <w:jc w:val="both"/>
        <w:rPr>
          <w:rFonts w:ascii="Palatino Linotype" w:eastAsia="Palatino Linotype" w:hAnsi="Palatino Linotype" w:cs="Palatino Linotype"/>
          <w:b/>
          <w:i/>
          <w:color w:val="000000" w:themeColor="text1"/>
        </w:rPr>
      </w:pPr>
      <w:r w:rsidRPr="001C0CF3">
        <w:rPr>
          <w:rFonts w:ascii="Palatino Linotype" w:eastAsia="Palatino Linotype" w:hAnsi="Palatino Linotype" w:cs="Palatino Linotype"/>
          <w:b/>
          <w:i/>
          <w:color w:val="000000" w:themeColor="text1"/>
        </w:rPr>
        <w:lastRenderedPageBreak/>
        <w:t xml:space="preserve"> “Artículo 3. Para los efectos de la presente Ley se entenderá por:</w:t>
      </w:r>
    </w:p>
    <w:p w14:paraId="1EF46F56"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IX. Datos personales:</w:t>
      </w:r>
      <w:r w:rsidRPr="001C0CF3">
        <w:rPr>
          <w:rFonts w:ascii="Palatino Linotype" w:eastAsia="Palatino Linotype" w:hAnsi="Palatino Linotype" w:cs="Palatino Linotype"/>
          <w:i/>
          <w:color w:val="000000" w:themeColor="text1"/>
        </w:rPr>
        <w:t xml:space="preserve"> </w:t>
      </w:r>
      <w:r w:rsidRPr="001C0CF3">
        <w:rPr>
          <w:rFonts w:ascii="Palatino Linotype" w:eastAsia="Palatino Linotype" w:hAnsi="Palatino Linotype" w:cs="Palatino Linotype"/>
          <w:b/>
          <w:i/>
          <w:color w:val="000000" w:themeColor="text1"/>
        </w:rPr>
        <w:t>La información concerniente a una persona, identificada o identificable</w:t>
      </w:r>
      <w:r w:rsidRPr="001C0CF3">
        <w:rPr>
          <w:rFonts w:ascii="Palatino Linotype" w:eastAsia="Palatino Linotype" w:hAnsi="Palatino Linotype" w:cs="Palatino Linotype"/>
          <w:i/>
          <w:color w:val="000000" w:themeColor="text1"/>
        </w:rPr>
        <w:t xml:space="preserve"> según lo dispuesto por la Ley de Protección de Datos Personales del Estado de México;</w:t>
      </w:r>
    </w:p>
    <w:p w14:paraId="226000DF"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XX. Información clasificada:</w:t>
      </w:r>
      <w:r w:rsidRPr="001C0CF3">
        <w:rPr>
          <w:rFonts w:ascii="Palatino Linotype" w:eastAsia="Palatino Linotype" w:hAnsi="Palatino Linotype" w:cs="Palatino Linotype"/>
          <w:i/>
          <w:color w:val="000000" w:themeColor="text1"/>
        </w:rPr>
        <w:t xml:space="preserve"> Aquella considerada por la presente Ley como reservada o confidencial;</w:t>
      </w:r>
    </w:p>
    <w:p w14:paraId="580E418E"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XXXII. Protección de Datos Personales:</w:t>
      </w:r>
      <w:r w:rsidRPr="001C0CF3">
        <w:rPr>
          <w:rFonts w:ascii="Palatino Linotype" w:eastAsia="Palatino Linotype" w:hAnsi="Palatino Linotype" w:cs="Palatino Linotype"/>
          <w:i/>
          <w:color w:val="000000" w:themeColor="text1"/>
        </w:rPr>
        <w:t xml:space="preserve"> Derecho humano que tutela la privacidad de datos personales en poder de los sujetos obligados y sujetos particulares;</w:t>
      </w:r>
    </w:p>
    <w:p w14:paraId="35F5B68F"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XLV. Versión pública</w:t>
      </w:r>
      <w:r w:rsidRPr="001C0CF3">
        <w:rPr>
          <w:rFonts w:ascii="Palatino Linotype" w:eastAsia="Palatino Linotype" w:hAnsi="Palatino Linotype" w:cs="Palatino Linotype"/>
          <w:i/>
          <w:color w:val="000000" w:themeColor="text1"/>
        </w:rPr>
        <w:t>: Documento en el que se elimine, suprime o borra la información clasificada como reservada o confidencial para permitir su acceso.”</w:t>
      </w:r>
    </w:p>
    <w:p w14:paraId="2E695ADA"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p>
    <w:p w14:paraId="1ACF1AF0"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“Artículo 6.</w:t>
      </w:r>
      <w:r w:rsidRPr="001C0CF3">
        <w:rPr>
          <w:rFonts w:ascii="Palatino Linotype" w:eastAsia="Palatino Linotype" w:hAnsi="Palatino Linotype" w:cs="Palatino Linotype"/>
          <w:i/>
          <w:color w:val="000000" w:themeColor="text1"/>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6493671"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p>
    <w:p w14:paraId="11BA4AF2"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 </w:t>
      </w:r>
      <w:r w:rsidRPr="001C0CF3">
        <w:rPr>
          <w:rFonts w:ascii="Palatino Linotype" w:eastAsia="Palatino Linotype" w:hAnsi="Palatino Linotype" w:cs="Palatino Linotype"/>
          <w:b/>
          <w:i/>
          <w:color w:val="000000" w:themeColor="text1"/>
        </w:rPr>
        <w:t>Artículo 49.</w:t>
      </w:r>
      <w:r w:rsidRPr="001C0CF3">
        <w:rPr>
          <w:rFonts w:ascii="Palatino Linotype" w:eastAsia="Palatino Linotype" w:hAnsi="Palatino Linotype" w:cs="Palatino Linotype"/>
          <w:i/>
          <w:color w:val="000000" w:themeColor="text1"/>
        </w:rPr>
        <w:t> Los Comités de Transparencia tendrán las siguientes atribuciones:</w:t>
      </w:r>
    </w:p>
    <w:p w14:paraId="32D9DABD"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w:t>
      </w:r>
    </w:p>
    <w:p w14:paraId="6AA960AB"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VIII</w:t>
      </w:r>
      <w:r w:rsidRPr="001C0CF3">
        <w:rPr>
          <w:rFonts w:ascii="Palatino Linotype" w:eastAsia="Palatino Linotype" w:hAnsi="Palatino Linotype" w:cs="Palatino Linotype"/>
          <w:i/>
          <w:color w:val="000000" w:themeColor="text1"/>
        </w:rPr>
        <w:t>. Aprobar, modificar o revocar la clasificación de la información;</w:t>
      </w:r>
    </w:p>
    <w:p w14:paraId="7EEE826B"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w:t>
      </w:r>
    </w:p>
    <w:p w14:paraId="1C85AD15" w14:textId="77777777" w:rsidR="00DA26B9" w:rsidRPr="001C0CF3" w:rsidRDefault="00DA26B9" w:rsidP="001C0CF3">
      <w:pPr>
        <w:spacing w:line="360" w:lineRule="auto"/>
        <w:jc w:val="both"/>
        <w:rPr>
          <w:rFonts w:ascii="Palatino Linotype" w:eastAsia="Palatino Linotype" w:hAnsi="Palatino Linotype" w:cs="Palatino Linotype"/>
          <w:i/>
          <w:color w:val="000000" w:themeColor="text1"/>
        </w:rPr>
      </w:pPr>
    </w:p>
    <w:p w14:paraId="1F0E3E35"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 xml:space="preserve">Artículo 91. </w:t>
      </w:r>
      <w:r w:rsidRPr="001C0CF3">
        <w:rPr>
          <w:rFonts w:ascii="Palatino Linotype" w:eastAsia="Palatino Linotype" w:hAnsi="Palatino Linotype" w:cs="Palatino Linotype"/>
          <w:i/>
          <w:color w:val="000000" w:themeColor="text1"/>
        </w:rPr>
        <w:t>El acceso a la información pública será restringido excepcionalmente, cuando ésta sea clasificada como reservada o confidencial.</w:t>
      </w:r>
    </w:p>
    <w:p w14:paraId="00752A22"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p>
    <w:p w14:paraId="29DE1AA4" w14:textId="77777777" w:rsidR="0027532C" w:rsidRPr="001C0CF3" w:rsidRDefault="0027532C" w:rsidP="001C0CF3">
      <w:pPr>
        <w:spacing w:line="360" w:lineRule="auto"/>
        <w:jc w:val="both"/>
        <w:rPr>
          <w:rFonts w:ascii="Palatino Linotype" w:eastAsia="Palatino Linotype" w:hAnsi="Palatino Linotype" w:cs="Palatino Linotype"/>
          <w:b/>
          <w:i/>
          <w:color w:val="000000" w:themeColor="text1"/>
        </w:rPr>
      </w:pPr>
      <w:r w:rsidRPr="001C0CF3">
        <w:rPr>
          <w:rFonts w:ascii="Palatino Linotype" w:eastAsia="Palatino Linotype" w:hAnsi="Palatino Linotype" w:cs="Palatino Linotype"/>
          <w:b/>
          <w:i/>
          <w:color w:val="000000" w:themeColor="text1"/>
        </w:rPr>
        <w:lastRenderedPageBreak/>
        <w:t>“Artículo 137.</w:t>
      </w:r>
      <w:r w:rsidRPr="001C0CF3">
        <w:rPr>
          <w:rFonts w:ascii="Palatino Linotype" w:eastAsia="Palatino Linotype" w:hAnsi="Palatino Linotype" w:cs="Palatino Linotype"/>
          <w:i/>
          <w:color w:val="000000" w:themeColor="text1"/>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8B0D993" w14:textId="77777777" w:rsidR="0027532C" w:rsidRPr="001C0CF3" w:rsidRDefault="0027532C" w:rsidP="001C0CF3">
      <w:pPr>
        <w:spacing w:line="360" w:lineRule="auto"/>
        <w:jc w:val="both"/>
        <w:rPr>
          <w:rFonts w:ascii="Palatino Linotype" w:eastAsia="Palatino Linotype" w:hAnsi="Palatino Linotype" w:cs="Palatino Linotype"/>
          <w:b/>
          <w:i/>
          <w:color w:val="000000" w:themeColor="text1"/>
        </w:rPr>
      </w:pPr>
    </w:p>
    <w:p w14:paraId="4397B322"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“Artículo 143</w:t>
      </w:r>
      <w:r w:rsidRPr="001C0CF3">
        <w:rPr>
          <w:rFonts w:ascii="Palatino Linotype" w:eastAsia="Palatino Linotype" w:hAnsi="Palatino Linotype" w:cs="Palatino Linotype"/>
          <w:i/>
          <w:color w:val="000000" w:themeColor="text1"/>
        </w:rPr>
        <w:t>. Para los efectos de esta Ley se considera información confidencial, la clasificada como tal, de manera permanente, por su naturaleza, cuando:</w:t>
      </w:r>
    </w:p>
    <w:p w14:paraId="2DBFEF87"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I.</w:t>
      </w:r>
      <w:r w:rsidRPr="001C0CF3">
        <w:rPr>
          <w:rFonts w:ascii="Palatino Linotype" w:eastAsia="Palatino Linotype" w:hAnsi="Palatino Linotype" w:cs="Palatino Linotype"/>
          <w:i/>
          <w:color w:val="000000" w:themeColor="text1"/>
        </w:rPr>
        <w:t xml:space="preserve"> Se refiera a la información privada y los datos personales concernientes a una persona física o jurídica colectiva identificada o identificable;</w:t>
      </w:r>
    </w:p>
    <w:p w14:paraId="3754CF28"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II. Los secretos bancario, fiduciario, industrial, comercial, fiscal, bursátil y postal, cuya titularidad corresponda a particulares, sujetos de derecho internacional o a sujetos obligados cuando no involucren el ejercicio de recursos públicos; y</w:t>
      </w:r>
    </w:p>
    <w:p w14:paraId="4B9C0573"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 xml:space="preserve">III. La que presenten los particulares a los sujetos obligados, de conformidad con lo dispuesto por las leyes o los tratados internacionales.” </w:t>
      </w:r>
    </w:p>
    <w:p w14:paraId="3B89F767"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p>
    <w:p w14:paraId="36E4F01A" w14:textId="790B5DE1" w:rsidR="0027532C" w:rsidRPr="001C0CF3" w:rsidRDefault="0027532C"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w:t>
      </w:r>
      <w:r w:rsidR="0026278A" w:rsidRPr="001C0CF3">
        <w:rPr>
          <w:rFonts w:ascii="Palatino Linotype" w:eastAsia="Palatino Linotype" w:hAnsi="Palatino Linotype" w:cs="Palatino Linotype"/>
          <w:color w:val="000000" w:themeColor="text1"/>
        </w:rPr>
        <w:t>EL RECURRENTE</w:t>
      </w:r>
      <w:r w:rsidRPr="001C0CF3">
        <w:rPr>
          <w:rFonts w:ascii="Palatino Linotype" w:eastAsia="Palatino Linotype" w:hAnsi="Palatino Linotype" w:cs="Palatino Linotype"/>
          <w:color w:val="000000" w:themeColor="text1"/>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w:t>
      </w:r>
      <w:r w:rsidRPr="001C0CF3">
        <w:rPr>
          <w:rFonts w:ascii="Palatino Linotype" w:eastAsia="Palatino Linotype" w:hAnsi="Palatino Linotype" w:cs="Palatino Linotype"/>
          <w:color w:val="000000" w:themeColor="text1"/>
        </w:rPr>
        <w:lastRenderedPageBreak/>
        <w:t>riesgo grave para aquel de acuerdo a lo que señala la fracción XII del artículo 4 de la Ley de Protección de Datos Personales en Posesión de Sujetos Obligados del Estado de México.</w:t>
      </w:r>
    </w:p>
    <w:p w14:paraId="07DBEC71" w14:textId="77777777" w:rsidR="0027532C" w:rsidRPr="001C0CF3" w:rsidRDefault="0027532C" w:rsidP="001C0CF3">
      <w:pPr>
        <w:spacing w:line="360" w:lineRule="auto"/>
        <w:jc w:val="both"/>
        <w:rPr>
          <w:rFonts w:ascii="Palatino Linotype" w:eastAsia="Palatino Linotype" w:hAnsi="Palatino Linotype" w:cs="Palatino Linotype"/>
          <w:color w:val="000000" w:themeColor="text1"/>
        </w:rPr>
      </w:pPr>
    </w:p>
    <w:p w14:paraId="1B0A5A1C" w14:textId="77777777" w:rsidR="0027532C" w:rsidRPr="001C0CF3" w:rsidRDefault="0027532C"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72F9A58" w14:textId="77777777" w:rsidR="0027532C" w:rsidRPr="001C0CF3" w:rsidRDefault="0027532C" w:rsidP="001C0CF3">
      <w:pPr>
        <w:pStyle w:val="Prrafodelista"/>
        <w:spacing w:line="360" w:lineRule="auto"/>
        <w:ind w:left="0"/>
        <w:rPr>
          <w:rFonts w:ascii="Palatino Linotype" w:eastAsia="Palatino Linotype" w:hAnsi="Palatino Linotype" w:cs="Palatino Linotype"/>
          <w:color w:val="000000" w:themeColor="text1"/>
        </w:rPr>
      </w:pPr>
    </w:p>
    <w:p w14:paraId="78410851" w14:textId="77777777" w:rsidR="0027532C" w:rsidRPr="001C0CF3" w:rsidRDefault="0027532C"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71E9106C"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“Artículo 49.</w:t>
      </w:r>
      <w:r w:rsidRPr="001C0CF3">
        <w:rPr>
          <w:rFonts w:ascii="Palatino Linotype" w:eastAsia="Palatino Linotype" w:hAnsi="Palatino Linotype" w:cs="Palatino Linotype"/>
          <w:i/>
          <w:color w:val="000000" w:themeColor="text1"/>
        </w:rPr>
        <w:t xml:space="preserve"> </w:t>
      </w:r>
      <w:r w:rsidRPr="001C0CF3">
        <w:rPr>
          <w:rFonts w:ascii="Palatino Linotype" w:eastAsia="Palatino Linotype" w:hAnsi="Palatino Linotype" w:cs="Palatino Linotype"/>
          <w:b/>
          <w:i/>
          <w:color w:val="000000" w:themeColor="text1"/>
        </w:rPr>
        <w:t>Los Comités de Transparencia</w:t>
      </w:r>
      <w:r w:rsidRPr="001C0CF3">
        <w:rPr>
          <w:rFonts w:ascii="Palatino Linotype" w:eastAsia="Palatino Linotype" w:hAnsi="Palatino Linotype" w:cs="Palatino Linotype"/>
          <w:i/>
          <w:color w:val="000000" w:themeColor="text1"/>
        </w:rPr>
        <w:t xml:space="preserve"> tendrán las siguientes atribuciones:</w:t>
      </w:r>
    </w:p>
    <w:p w14:paraId="1527E8F6"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VIII. Aprobar, modificar o revocar la clasificación de la información</w:t>
      </w:r>
      <w:r w:rsidRPr="001C0CF3">
        <w:rPr>
          <w:rFonts w:ascii="Palatino Linotype" w:eastAsia="Palatino Linotype" w:hAnsi="Palatino Linotype" w:cs="Palatino Linotype"/>
          <w:i/>
          <w:color w:val="000000" w:themeColor="text1"/>
        </w:rPr>
        <w:t>…”</w:t>
      </w:r>
    </w:p>
    <w:p w14:paraId="3720E43C"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w:t>
      </w:r>
      <w:r w:rsidRPr="001C0CF3">
        <w:rPr>
          <w:rFonts w:ascii="Palatino Linotype" w:eastAsia="Palatino Linotype" w:hAnsi="Palatino Linotype" w:cs="Palatino Linotype"/>
          <w:b/>
          <w:i/>
          <w:color w:val="000000" w:themeColor="text1"/>
        </w:rPr>
        <w:t>Artículo 53.</w:t>
      </w:r>
      <w:r w:rsidRPr="001C0CF3">
        <w:rPr>
          <w:rFonts w:ascii="Palatino Linotype" w:eastAsia="Palatino Linotype" w:hAnsi="Palatino Linotype" w:cs="Palatino Linotype"/>
          <w:i/>
          <w:color w:val="000000" w:themeColor="text1"/>
        </w:rPr>
        <w:t xml:space="preserve"> Las </w:t>
      </w:r>
      <w:r w:rsidRPr="001C0CF3">
        <w:rPr>
          <w:rFonts w:ascii="Palatino Linotype" w:eastAsia="Palatino Linotype" w:hAnsi="Palatino Linotype" w:cs="Palatino Linotype"/>
          <w:b/>
          <w:i/>
          <w:color w:val="000000" w:themeColor="text1"/>
        </w:rPr>
        <w:t>Unidades de Transparencia</w:t>
      </w:r>
      <w:r w:rsidRPr="001C0CF3">
        <w:rPr>
          <w:rFonts w:ascii="Palatino Linotype" w:eastAsia="Palatino Linotype" w:hAnsi="Palatino Linotype" w:cs="Palatino Linotype"/>
          <w:i/>
          <w:color w:val="000000" w:themeColor="text1"/>
        </w:rPr>
        <w:t xml:space="preserve"> tendrán las siguientes </w:t>
      </w:r>
      <w:r w:rsidRPr="001C0CF3">
        <w:rPr>
          <w:rFonts w:ascii="Palatino Linotype" w:eastAsia="Palatino Linotype" w:hAnsi="Palatino Linotype" w:cs="Palatino Linotype"/>
          <w:b/>
          <w:i/>
          <w:color w:val="000000" w:themeColor="text1"/>
        </w:rPr>
        <w:t>funciones</w:t>
      </w:r>
      <w:r w:rsidRPr="001C0CF3">
        <w:rPr>
          <w:rFonts w:ascii="Palatino Linotype" w:eastAsia="Palatino Linotype" w:hAnsi="Palatino Linotype" w:cs="Palatino Linotype"/>
          <w:i/>
          <w:color w:val="000000" w:themeColor="text1"/>
        </w:rPr>
        <w:t>:</w:t>
      </w:r>
    </w:p>
    <w:p w14:paraId="03E0947D"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X. Presentar ante el Comité, el proyecto de clasificación de información</w:t>
      </w:r>
      <w:r w:rsidRPr="001C0CF3">
        <w:rPr>
          <w:rFonts w:ascii="Palatino Linotype" w:eastAsia="Palatino Linotype" w:hAnsi="Palatino Linotype" w:cs="Palatino Linotype"/>
          <w:i/>
          <w:color w:val="000000" w:themeColor="text1"/>
        </w:rPr>
        <w:t xml:space="preserve">…” </w:t>
      </w:r>
    </w:p>
    <w:p w14:paraId="59AD25D9"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“Artículo 59.</w:t>
      </w:r>
      <w:r w:rsidRPr="001C0CF3">
        <w:rPr>
          <w:rFonts w:ascii="Palatino Linotype" w:eastAsia="Palatino Linotype" w:hAnsi="Palatino Linotype" w:cs="Palatino Linotype"/>
          <w:i/>
          <w:color w:val="000000" w:themeColor="text1"/>
        </w:rPr>
        <w:t xml:space="preserve"> Los </w:t>
      </w:r>
      <w:r w:rsidRPr="001C0CF3">
        <w:rPr>
          <w:rFonts w:ascii="Palatino Linotype" w:eastAsia="Palatino Linotype" w:hAnsi="Palatino Linotype" w:cs="Palatino Linotype"/>
          <w:b/>
          <w:i/>
          <w:color w:val="000000" w:themeColor="text1"/>
        </w:rPr>
        <w:t>servidores públicos habilitados</w:t>
      </w:r>
      <w:r w:rsidRPr="001C0CF3">
        <w:rPr>
          <w:rFonts w:ascii="Palatino Linotype" w:eastAsia="Palatino Linotype" w:hAnsi="Palatino Linotype" w:cs="Palatino Linotype"/>
          <w:i/>
          <w:color w:val="000000" w:themeColor="text1"/>
        </w:rPr>
        <w:t xml:space="preserve"> tendrán las </w:t>
      </w:r>
      <w:r w:rsidRPr="001C0CF3">
        <w:rPr>
          <w:rFonts w:ascii="Palatino Linotype" w:eastAsia="Palatino Linotype" w:hAnsi="Palatino Linotype" w:cs="Palatino Linotype"/>
          <w:b/>
          <w:i/>
          <w:color w:val="000000" w:themeColor="text1"/>
        </w:rPr>
        <w:t>funciones</w:t>
      </w:r>
      <w:r w:rsidRPr="001C0CF3">
        <w:rPr>
          <w:rFonts w:ascii="Palatino Linotype" w:eastAsia="Palatino Linotype" w:hAnsi="Palatino Linotype" w:cs="Palatino Linotype"/>
          <w:i/>
          <w:color w:val="000000" w:themeColor="text1"/>
        </w:rPr>
        <w:t xml:space="preserve"> siguientes:</w:t>
      </w:r>
    </w:p>
    <w:p w14:paraId="6291D6A3"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b/>
          <w:i/>
          <w:color w:val="000000" w:themeColor="text1"/>
        </w:rPr>
        <w:t>V. Integrar y presentar al responsable de la Unidad de Transparencia la propuesta de clasificación de información</w:t>
      </w:r>
      <w:r w:rsidRPr="001C0CF3">
        <w:rPr>
          <w:rFonts w:ascii="Palatino Linotype" w:eastAsia="Palatino Linotype" w:hAnsi="Palatino Linotype" w:cs="Palatino Linotype"/>
          <w:i/>
          <w:color w:val="000000" w:themeColor="text1"/>
        </w:rPr>
        <w:t>, la cual tendrá los fundamentos y argumentos en que se basa dicha propuesta…”</w:t>
      </w:r>
    </w:p>
    <w:p w14:paraId="0FE41F22"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p>
    <w:p w14:paraId="3D8B0EC1" w14:textId="77777777" w:rsidR="0027532C" w:rsidRPr="001C0CF3" w:rsidRDefault="0027532C"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5495621" w14:textId="77777777" w:rsidR="00DA26B9" w:rsidRPr="001C0CF3" w:rsidRDefault="00DA26B9" w:rsidP="001C0CF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AC1CCD2" w14:textId="77777777" w:rsidR="0027532C" w:rsidRPr="001C0CF3" w:rsidRDefault="0027532C"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Para lo cual, a su vez en el caso de información de carácter confidencial, se debe atender a lo que señala el artículo 149 de la Ley de Transparencia Local vigente, que se lee como sigue:</w:t>
      </w:r>
    </w:p>
    <w:p w14:paraId="17DB4B70"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w:t>
      </w:r>
      <w:r w:rsidRPr="001C0CF3">
        <w:rPr>
          <w:rFonts w:ascii="Palatino Linotype" w:eastAsia="Palatino Linotype" w:hAnsi="Palatino Linotype" w:cs="Palatino Linotype"/>
          <w:b/>
          <w:i/>
          <w:color w:val="000000" w:themeColor="text1"/>
        </w:rPr>
        <w:t>Artículo 149.</w:t>
      </w:r>
      <w:r w:rsidRPr="001C0CF3">
        <w:rPr>
          <w:rFonts w:ascii="Palatino Linotype" w:eastAsia="Palatino Linotype" w:hAnsi="Palatino Linotype" w:cs="Palatino Linotype"/>
          <w:i/>
          <w:color w:val="000000" w:themeColor="text1"/>
        </w:rPr>
        <w:t xml:space="preserve"> El </w:t>
      </w:r>
      <w:r w:rsidRPr="001C0CF3">
        <w:rPr>
          <w:rFonts w:ascii="Palatino Linotype" w:eastAsia="Palatino Linotype" w:hAnsi="Palatino Linotype" w:cs="Palatino Linotype"/>
          <w:b/>
          <w:i/>
          <w:color w:val="000000" w:themeColor="text1"/>
        </w:rPr>
        <w:t>acuerdo que clasifique la información como confidencial</w:t>
      </w:r>
      <w:r w:rsidRPr="001C0CF3">
        <w:rPr>
          <w:rFonts w:ascii="Palatino Linotype" w:eastAsia="Palatino Linotype" w:hAnsi="Palatino Linotype" w:cs="Palatino Linotype"/>
          <w:i/>
          <w:color w:val="000000" w:themeColor="text1"/>
        </w:rPr>
        <w:t xml:space="preserve"> deberá contener un razonamiento lógico en el que demuestre que la información se encuentra en alguna o algunas de las hipótesis previstas en la presente Ley.”</w:t>
      </w:r>
    </w:p>
    <w:p w14:paraId="52E9D58A"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p>
    <w:p w14:paraId="6FB1DE68" w14:textId="77777777" w:rsidR="0027532C" w:rsidRPr="001C0CF3" w:rsidRDefault="0027532C"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5AE1C5E" w14:textId="77777777" w:rsidR="0027532C" w:rsidRPr="001C0CF3" w:rsidRDefault="0027532C" w:rsidP="001C0CF3">
      <w:pPr>
        <w:pStyle w:val="Prrafodelista"/>
        <w:tabs>
          <w:tab w:val="left" w:pos="284"/>
          <w:tab w:val="left" w:pos="426"/>
        </w:tabs>
        <w:spacing w:line="360" w:lineRule="auto"/>
        <w:ind w:left="0"/>
        <w:jc w:val="both"/>
        <w:rPr>
          <w:rFonts w:ascii="Palatino Linotype" w:eastAsia="Palatino Linotype" w:hAnsi="Palatino Linotype" w:cs="Palatino Linotype"/>
          <w:color w:val="000000" w:themeColor="text1"/>
        </w:rPr>
      </w:pPr>
    </w:p>
    <w:p w14:paraId="49134263" w14:textId="101B4993" w:rsidR="0027532C" w:rsidRPr="001C0CF3" w:rsidRDefault="00DA26B9"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highlight w:val="white"/>
        </w:rPr>
      </w:pPr>
      <w:r w:rsidRPr="001C0CF3">
        <w:rPr>
          <w:rFonts w:ascii="Palatino Linotype" w:eastAsia="Palatino Linotype" w:hAnsi="Palatino Linotype" w:cs="Palatino Linotype"/>
          <w:color w:val="000000" w:themeColor="text1"/>
        </w:rPr>
        <w:lastRenderedPageBreak/>
        <w:t>Luego entonces,</w:t>
      </w:r>
      <w:r w:rsidR="0027532C" w:rsidRPr="001C0CF3">
        <w:rPr>
          <w:rFonts w:ascii="Palatino Linotype" w:eastAsia="Palatino Linotype" w:hAnsi="Palatino Linotype" w:cs="Palatino Linotype"/>
          <w:color w:val="000000" w:themeColor="text1"/>
        </w:rPr>
        <w:t xml:space="preserve"> la versión pública que elabore el </w:t>
      </w:r>
      <w:r w:rsidR="0027532C" w:rsidRPr="001C0CF3">
        <w:rPr>
          <w:rFonts w:ascii="Palatino Linotype" w:eastAsia="Palatino Linotype" w:hAnsi="Palatino Linotype" w:cs="Palatino Linotype"/>
          <w:b/>
          <w:color w:val="000000" w:themeColor="text1"/>
        </w:rPr>
        <w:t>SUJETO OBLIGADO</w:t>
      </w:r>
      <w:r w:rsidR="0027532C" w:rsidRPr="001C0CF3">
        <w:rPr>
          <w:rFonts w:ascii="Palatino Linotype" w:eastAsia="Palatino Linotype" w:hAnsi="Palatino Linotype" w:cs="Palatino Linotype"/>
          <w:color w:val="000000" w:themeColor="text1"/>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sidR="0027532C" w:rsidRPr="001C0CF3">
        <w:rPr>
          <w:rFonts w:ascii="Palatino Linotype" w:eastAsia="Palatino Linotype" w:hAnsi="Palatino Linotype" w:cs="Palatino Linotype"/>
          <w:color w:val="000000" w:themeColor="text1"/>
          <w:highlight w:val="white"/>
        </w:rPr>
        <w:t>.</w:t>
      </w:r>
    </w:p>
    <w:p w14:paraId="02E6A28B" w14:textId="77777777" w:rsidR="0027532C" w:rsidRPr="001C0CF3" w:rsidRDefault="0027532C" w:rsidP="001C0CF3">
      <w:pPr>
        <w:pStyle w:val="Prrafodelista"/>
        <w:tabs>
          <w:tab w:val="left" w:pos="284"/>
          <w:tab w:val="left" w:pos="426"/>
        </w:tabs>
        <w:spacing w:line="360" w:lineRule="auto"/>
        <w:ind w:left="0"/>
        <w:jc w:val="both"/>
        <w:rPr>
          <w:rFonts w:ascii="Palatino Linotype" w:eastAsia="Palatino Linotype" w:hAnsi="Palatino Linotype" w:cs="Palatino Linotype"/>
          <w:color w:val="000000" w:themeColor="text1"/>
          <w:highlight w:val="white"/>
        </w:rPr>
      </w:pPr>
    </w:p>
    <w:p w14:paraId="64F64D84" w14:textId="77777777" w:rsidR="0027532C" w:rsidRPr="001C0CF3" w:rsidRDefault="0027532C"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Efectivamente, cuando se clasifica información como confidencial o reservada es importante someterlo al Comité de Transparencia, quien debe confirmar, modificar o revocar la clasificación.</w:t>
      </w:r>
    </w:p>
    <w:p w14:paraId="5808A270" w14:textId="77777777" w:rsidR="0027532C" w:rsidRPr="001C0CF3" w:rsidRDefault="0027532C" w:rsidP="001C0CF3">
      <w:pPr>
        <w:pStyle w:val="Prrafodelista"/>
        <w:spacing w:line="360" w:lineRule="auto"/>
        <w:ind w:left="0"/>
        <w:rPr>
          <w:rFonts w:ascii="Palatino Linotype" w:eastAsia="Palatino Linotype" w:hAnsi="Palatino Linotype" w:cs="Palatino Linotype"/>
          <w:color w:val="000000" w:themeColor="text1"/>
        </w:rPr>
      </w:pPr>
    </w:p>
    <w:p w14:paraId="5E4C793A" w14:textId="77777777" w:rsidR="0027532C" w:rsidRPr="001C0CF3" w:rsidRDefault="0027532C"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Por lo tanto, la entrega de documentos en su versión pública debe acompañarse necesariamente del Acuerdo del Comité de Transparencia que la sustente, en el que se expongan los fundamentos y razonamientos que llevaron al </w:t>
      </w:r>
      <w:r w:rsidRPr="001C0CF3">
        <w:rPr>
          <w:rFonts w:ascii="Palatino Linotype" w:eastAsia="Palatino Linotype" w:hAnsi="Palatino Linotype" w:cs="Palatino Linotype"/>
          <w:b/>
          <w:color w:val="000000" w:themeColor="text1"/>
        </w:rPr>
        <w:t>SUJETO OBLIGADO</w:t>
      </w:r>
      <w:r w:rsidRPr="001C0CF3">
        <w:rPr>
          <w:rFonts w:ascii="Palatino Linotype" w:eastAsia="Palatino Linotype" w:hAnsi="Palatino Linotype" w:cs="Palatino Linotype"/>
          <w:color w:val="000000" w:themeColor="text1"/>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1C0CF3">
        <w:rPr>
          <w:rFonts w:ascii="Palatino Linotype" w:eastAsia="Palatino Linotype" w:hAnsi="Palatino Linotype" w:cs="Palatino Linotype"/>
          <w:b/>
          <w:color w:val="000000" w:themeColor="text1"/>
        </w:rPr>
        <w:t>RECURRENTE.</w:t>
      </w:r>
    </w:p>
    <w:p w14:paraId="6F70CAAE" w14:textId="77777777" w:rsidR="0027532C" w:rsidRPr="001C0CF3" w:rsidRDefault="0027532C"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551C5950" w14:textId="77777777" w:rsidR="0027532C" w:rsidRPr="001C0CF3" w:rsidRDefault="0027532C" w:rsidP="001C0CF3">
      <w:pPr>
        <w:pStyle w:val="Prrafodelista"/>
        <w:spacing w:line="360" w:lineRule="auto"/>
        <w:ind w:left="0"/>
        <w:rPr>
          <w:rFonts w:ascii="Palatino Linotype" w:eastAsia="Palatino Linotype" w:hAnsi="Palatino Linotype" w:cs="Palatino Linotype"/>
          <w:color w:val="000000" w:themeColor="text1"/>
        </w:rPr>
      </w:pPr>
    </w:p>
    <w:p w14:paraId="3B9B45AD" w14:textId="77777777" w:rsidR="0027532C" w:rsidRPr="001C0CF3" w:rsidRDefault="0027532C"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ECCE21A" w14:textId="77777777" w:rsidR="0027532C" w:rsidRPr="001C0CF3" w:rsidRDefault="0027532C" w:rsidP="001C0CF3">
      <w:pPr>
        <w:pStyle w:val="Prrafodelista"/>
        <w:spacing w:line="360" w:lineRule="auto"/>
        <w:ind w:left="0"/>
        <w:rPr>
          <w:rFonts w:ascii="Palatino Linotype" w:eastAsia="Palatino Linotype" w:hAnsi="Palatino Linotype" w:cs="Palatino Linotype"/>
          <w:color w:val="000000" w:themeColor="text1"/>
        </w:rPr>
      </w:pPr>
    </w:p>
    <w:p w14:paraId="250ADAA3" w14:textId="77777777" w:rsidR="0027532C" w:rsidRPr="001C0CF3" w:rsidRDefault="0027532C"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Entorno a lo que aquí nos interesa, los Lineamientos Quincuagésimo sexto, Quincuagésimo séptimo y Quincuagésimo octavo, establecen lo siguiente:</w:t>
      </w:r>
    </w:p>
    <w:p w14:paraId="61B075C7" w14:textId="77777777" w:rsidR="00DA26B9" w:rsidRPr="001C0CF3" w:rsidRDefault="00DA26B9" w:rsidP="001C0CF3">
      <w:pPr>
        <w:pStyle w:val="Prrafodelista"/>
        <w:ind w:left="0"/>
        <w:rPr>
          <w:rFonts w:ascii="Palatino Linotype" w:eastAsia="Palatino Linotype" w:hAnsi="Palatino Linotype" w:cs="Palatino Linotype"/>
          <w:color w:val="000000" w:themeColor="text1"/>
        </w:rPr>
      </w:pPr>
    </w:p>
    <w:p w14:paraId="2C7254DD"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“Quincuagésimo sexto</w:t>
      </w:r>
      <w:r w:rsidRPr="001C0CF3">
        <w:rPr>
          <w:rFonts w:ascii="Palatino Linotype" w:eastAsia="Palatino Linotype" w:hAnsi="Palatino Linotype" w:cs="Palatino Linotype"/>
          <w:b/>
          <w:i/>
          <w:color w:val="000000" w:themeColor="text1"/>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92E7E39"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 xml:space="preserve">Quincuagésimo séptimo. Se considera, en principio, como información pública y no podrá omitirse de las versiones públicas la siguiente: </w:t>
      </w:r>
    </w:p>
    <w:p w14:paraId="47AD25AD"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lastRenderedPageBreak/>
        <w:t xml:space="preserve">I. La relativa a las Obligaciones de Transparencia que contempla el Título V de la Ley General y las demás disposiciones legales aplicables; </w:t>
      </w:r>
    </w:p>
    <w:p w14:paraId="588B36F0"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 xml:space="preserve">II. El nombre de los servidores públicos en los documentos, y sus firmas autógrafas, cuando sean utilizados en el ejercicio de las facultades conferidas para el desempeño del servicio público, y </w:t>
      </w:r>
    </w:p>
    <w:p w14:paraId="6FC76DE6"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III. La información que documente decisiones y los actos de autoridad concluidos de los sujetos obligados, así como el ejercicio de las facultades o actividades de los servidores públicos, de manera que se pueda valorar el desempeño de los mismos.</w:t>
      </w:r>
    </w:p>
    <w:p w14:paraId="50D01327"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 xml:space="preserve">Lo anterior, siempre y cuando no se acredite alguna causal de clasificación, prevista en las leyes o en los tratados internaciones suscritos por el Estado mexicano. </w:t>
      </w:r>
    </w:p>
    <w:p w14:paraId="597BB015"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r w:rsidRPr="001C0CF3">
        <w:rPr>
          <w:rFonts w:ascii="Palatino Linotype" w:eastAsia="Palatino Linotype" w:hAnsi="Palatino Linotype" w:cs="Palatino Linotype"/>
          <w:i/>
          <w:color w:val="000000" w:themeColor="text1"/>
        </w:rPr>
        <w:t>Quincuagésimo octavo. Los sujetos obligados garantizarán que los sistemas o medios empleados para eliminar la información en las versiones públicas no permitan la recuperación o visualización de la misma.”</w:t>
      </w:r>
    </w:p>
    <w:p w14:paraId="791F0B90" w14:textId="77777777" w:rsidR="0027532C" w:rsidRPr="001C0CF3" w:rsidRDefault="0027532C" w:rsidP="001C0CF3">
      <w:pPr>
        <w:spacing w:line="360" w:lineRule="auto"/>
        <w:jc w:val="both"/>
        <w:rPr>
          <w:rFonts w:ascii="Palatino Linotype" w:eastAsia="Palatino Linotype" w:hAnsi="Palatino Linotype" w:cs="Palatino Linotype"/>
          <w:i/>
          <w:color w:val="000000" w:themeColor="text1"/>
        </w:rPr>
      </w:pPr>
    </w:p>
    <w:p w14:paraId="370B8FC5" w14:textId="77777777" w:rsidR="0027532C" w:rsidRPr="001C0CF3" w:rsidRDefault="0027532C"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 xml:space="preserve">Por lo tanto, </w:t>
      </w:r>
      <w:r w:rsidRPr="001C0CF3">
        <w:rPr>
          <w:rFonts w:ascii="Palatino Linotype" w:eastAsia="Palatino Linotype" w:hAnsi="Palatino Linotype" w:cs="Palatino Linotype"/>
          <w:b/>
          <w:color w:val="000000" w:themeColor="text1"/>
        </w:rPr>
        <w:t xml:space="preserve">la entrega de documentos en su versión pública debe acompañarse </w:t>
      </w:r>
      <w:r w:rsidRPr="001C0CF3">
        <w:rPr>
          <w:rFonts w:ascii="Palatino Linotype" w:eastAsia="Palatino Linotype" w:hAnsi="Palatino Linotype" w:cs="Palatino Linotype"/>
          <w:color w:val="000000" w:themeColor="text1"/>
        </w:rPr>
        <w:t>necesariamente</w:t>
      </w:r>
      <w:r w:rsidRPr="001C0CF3">
        <w:rPr>
          <w:rFonts w:ascii="Palatino Linotype" w:eastAsia="Palatino Linotype" w:hAnsi="Palatino Linotype" w:cs="Palatino Linotype"/>
          <w:b/>
          <w:color w:val="000000" w:themeColor="text1"/>
        </w:rPr>
        <w:t xml:space="preserve"> del Acuerdo del Comité de Transparencia que la sustente el cual debe estar debidamente fundado y motivado, en el que se expongan los fundamentos y razonamientos que llevaron al Sujeto Obligado a testar, suprimir o eliminar datos de dicho soporte documental</w:t>
      </w:r>
      <w:r w:rsidRPr="001C0CF3">
        <w:rPr>
          <w:rFonts w:ascii="Palatino Linotype" w:eastAsia="Palatino Linotype" w:hAnsi="Palatino Linotype" w:cs="Palatino Linotype"/>
          <w:color w:val="000000" w:themeColor="text1"/>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39204DA" w14:textId="77777777" w:rsidR="0027532C" w:rsidRPr="001C0CF3" w:rsidRDefault="0027532C"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lastRenderedPageBreak/>
        <w:t>Los sujetos obligados</w:t>
      </w:r>
      <w:r w:rsidRPr="001C0CF3">
        <w:rPr>
          <w:rFonts w:ascii="Palatino Linotype" w:eastAsia="Palatino Linotype" w:hAnsi="Palatino Linotype" w:cs="Palatino Linotype"/>
          <w:b/>
          <w:color w:val="000000" w:themeColor="text1"/>
        </w:rPr>
        <w:t xml:space="preserve"> </w:t>
      </w:r>
      <w:r w:rsidRPr="001C0CF3">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3D0FCEF" w14:textId="77777777" w:rsidR="0027532C" w:rsidRPr="001C0CF3" w:rsidRDefault="0027532C" w:rsidP="001C0CF3">
      <w:pPr>
        <w:tabs>
          <w:tab w:val="left" w:pos="284"/>
        </w:tabs>
        <w:spacing w:line="360" w:lineRule="auto"/>
        <w:jc w:val="both"/>
        <w:rPr>
          <w:rFonts w:ascii="Palatino Linotype" w:eastAsia="Palatino Linotype" w:hAnsi="Palatino Linotype" w:cs="Palatino Linotype"/>
          <w:color w:val="000000" w:themeColor="text1"/>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91"/>
        <w:gridCol w:w="7085"/>
      </w:tblGrid>
      <w:tr w:rsidR="001C0CF3" w:rsidRPr="001C0CF3" w14:paraId="5B9D8225" w14:textId="77777777" w:rsidTr="000C6210">
        <w:tc>
          <w:tcPr>
            <w:tcW w:w="2691" w:type="dxa"/>
            <w:tcBorders>
              <w:top w:val="single" w:sz="4" w:space="0" w:color="BFBFBF"/>
              <w:left w:val="single" w:sz="4" w:space="0" w:color="BFBFBF"/>
              <w:bottom w:val="single" w:sz="4" w:space="0" w:color="BFBFBF"/>
              <w:right w:val="single" w:sz="4" w:space="0" w:color="BFBFBF"/>
            </w:tcBorders>
            <w:hideMark/>
          </w:tcPr>
          <w:p w14:paraId="03841938" w14:textId="77777777" w:rsidR="0027532C" w:rsidRPr="001C0CF3" w:rsidRDefault="0027532C" w:rsidP="001C0CF3">
            <w:pPr>
              <w:tabs>
                <w:tab w:val="left" w:pos="284"/>
              </w:tabs>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a) Requisitos previos.</w:t>
            </w:r>
          </w:p>
        </w:tc>
        <w:tc>
          <w:tcPr>
            <w:tcW w:w="7085" w:type="dxa"/>
            <w:tcBorders>
              <w:top w:val="single" w:sz="4" w:space="0" w:color="BFBFBF"/>
              <w:left w:val="single" w:sz="4" w:space="0" w:color="BFBFBF"/>
              <w:bottom w:val="single" w:sz="4" w:space="0" w:color="BFBFBF"/>
              <w:right w:val="single" w:sz="4" w:space="0" w:color="BFBFBF"/>
            </w:tcBorders>
          </w:tcPr>
          <w:p w14:paraId="7DC83C40"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5BC6B53"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Al hacerlo tienen que precisar de qué información se trata, señalando el supuesto de clasificación (confidencialidad o reserva).</w:t>
            </w:r>
          </w:p>
          <w:p w14:paraId="286DFD3C"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Además, se debe señalar el procedimiento, de los tres que establecen los artículos 132 y 106 de la Ley Estatal y General, respectivamente.</w:t>
            </w:r>
          </w:p>
          <w:p w14:paraId="1E98B579"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 xml:space="preserve">El último de estos requisitos previos consiste en que no se pueden emitir acuerdos de carácter general ni particular, esto es, </w:t>
            </w:r>
            <w:r w:rsidRPr="001C0CF3">
              <w:rPr>
                <w:rFonts w:ascii="Palatino Linotype" w:eastAsia="Palatino Linotype" w:hAnsi="Palatino Linotype" w:cs="Palatino Linotype"/>
                <w:color w:val="000000" w:themeColor="text1"/>
                <w:u w:val="single"/>
                <w:lang w:eastAsia="en-US"/>
              </w:rPr>
              <w:t>no se puede hacer un acuerdo para clasificar de manera general todos los documentos de un expediente o área, sin</w:t>
            </w:r>
            <w:r w:rsidRPr="001C0CF3">
              <w:rPr>
                <w:rFonts w:ascii="Palatino Linotype" w:eastAsia="Palatino Linotype" w:hAnsi="Palatino Linotype" w:cs="Palatino Linotype"/>
                <w:color w:val="000000" w:themeColor="text1"/>
                <w:lang w:eastAsia="en-US"/>
              </w:rPr>
              <w:t xml:space="preserve"> individualizar su análisis y tampoco se puede hacer un acuerdo por cada dato que se vaya a clasificar dentro de un documento con diez datos, por ejemplo, susceptibles de ser clasificados.</w:t>
            </w:r>
          </w:p>
          <w:p w14:paraId="6376B228"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p>
        </w:tc>
      </w:tr>
      <w:tr w:rsidR="001C0CF3" w:rsidRPr="001C0CF3" w14:paraId="163EB310" w14:textId="77777777" w:rsidTr="000C6210">
        <w:tc>
          <w:tcPr>
            <w:tcW w:w="2691" w:type="dxa"/>
            <w:tcBorders>
              <w:top w:val="single" w:sz="4" w:space="0" w:color="BFBFBF"/>
              <w:left w:val="single" w:sz="4" w:space="0" w:color="BFBFBF"/>
              <w:bottom w:val="single" w:sz="4" w:space="0" w:color="BFBFBF"/>
              <w:right w:val="single" w:sz="4" w:space="0" w:color="BFBFBF"/>
            </w:tcBorders>
            <w:hideMark/>
          </w:tcPr>
          <w:p w14:paraId="4496A892" w14:textId="77777777" w:rsidR="0027532C" w:rsidRPr="001C0CF3" w:rsidRDefault="0027532C" w:rsidP="001C0CF3">
            <w:pPr>
              <w:tabs>
                <w:tab w:val="left" w:pos="284"/>
              </w:tabs>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b) Supuestos de clasificación.</w:t>
            </w:r>
          </w:p>
        </w:tc>
        <w:tc>
          <w:tcPr>
            <w:tcW w:w="7085" w:type="dxa"/>
            <w:tcBorders>
              <w:top w:val="single" w:sz="4" w:space="0" w:color="BFBFBF"/>
              <w:left w:val="single" w:sz="4" w:space="0" w:color="BFBFBF"/>
              <w:bottom w:val="single" w:sz="4" w:space="0" w:color="BFBFBF"/>
              <w:right w:val="single" w:sz="4" w:space="0" w:color="BFBFBF"/>
            </w:tcBorders>
          </w:tcPr>
          <w:p w14:paraId="62CDCECA"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Las disposiciones constitucionales y legales en la materia establecen los dos supuestos generales para clasificar la información: por reserva y por confidencialidad.</w:t>
            </w:r>
          </w:p>
          <w:p w14:paraId="0C830EDA"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w:t>
            </w:r>
            <w:r w:rsidRPr="001C0CF3">
              <w:rPr>
                <w:rFonts w:ascii="Palatino Linotype" w:eastAsia="Palatino Linotype" w:hAnsi="Palatino Linotype" w:cs="Palatino Linotype"/>
                <w:color w:val="000000" w:themeColor="text1"/>
                <w:lang w:eastAsia="en-US"/>
              </w:rPr>
              <w:lastRenderedPageBreak/>
              <w:t>debe realizarse de manera restrictiva y limitada, por lo que debe acreditarse que se cumple con esta condición y no se pueden ampliar las excepciones o supuestos de clasificación aduciendo analogía o mayoría de razón.</w:t>
            </w:r>
          </w:p>
          <w:p w14:paraId="1ADD7127"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 xml:space="preserve">El </w:t>
            </w:r>
            <w:r w:rsidRPr="001C0CF3">
              <w:rPr>
                <w:rFonts w:ascii="Palatino Linotype" w:eastAsia="Palatino Linotype" w:hAnsi="Palatino Linotype" w:cs="Palatino Linotype"/>
                <w:b/>
                <w:color w:val="000000" w:themeColor="text1"/>
                <w:lang w:eastAsia="en-US"/>
              </w:rPr>
              <w:t>Sujeto Obligado</w:t>
            </w:r>
            <w:r w:rsidRPr="001C0CF3">
              <w:rPr>
                <w:rFonts w:ascii="Palatino Linotype" w:eastAsia="Palatino Linotype" w:hAnsi="Palatino Linotype" w:cs="Palatino Linotype"/>
                <w:color w:val="000000" w:themeColor="text1"/>
                <w:lang w:eastAsia="en-U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3C4AA23C"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p>
        </w:tc>
      </w:tr>
      <w:tr w:rsidR="001C0CF3" w:rsidRPr="001C0CF3" w14:paraId="06C67DFE" w14:textId="77777777" w:rsidTr="000C6210">
        <w:tc>
          <w:tcPr>
            <w:tcW w:w="2691" w:type="dxa"/>
            <w:tcBorders>
              <w:top w:val="single" w:sz="4" w:space="0" w:color="BFBFBF"/>
              <w:left w:val="single" w:sz="4" w:space="0" w:color="BFBFBF"/>
              <w:bottom w:val="single" w:sz="4" w:space="0" w:color="BFBFBF"/>
              <w:right w:val="single" w:sz="4" w:space="0" w:color="BFBFBF"/>
            </w:tcBorders>
            <w:hideMark/>
          </w:tcPr>
          <w:p w14:paraId="7E68296D" w14:textId="77777777" w:rsidR="0027532C" w:rsidRPr="001C0CF3" w:rsidRDefault="0027532C" w:rsidP="001C0CF3">
            <w:pPr>
              <w:tabs>
                <w:tab w:val="left" w:pos="284"/>
              </w:tabs>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lastRenderedPageBreak/>
              <w:t>c) Formalidades para emitir el acuerdo de clasificación.</w:t>
            </w:r>
          </w:p>
        </w:tc>
        <w:tc>
          <w:tcPr>
            <w:tcW w:w="7085" w:type="dxa"/>
            <w:tcBorders>
              <w:top w:val="single" w:sz="4" w:space="0" w:color="BFBFBF"/>
              <w:left w:val="single" w:sz="4" w:space="0" w:color="BFBFBF"/>
              <w:bottom w:val="single" w:sz="4" w:space="0" w:color="BFBFBF"/>
              <w:right w:val="single" w:sz="4" w:space="0" w:color="BFBFBF"/>
            </w:tcBorders>
          </w:tcPr>
          <w:p w14:paraId="7D0A38C6"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 xml:space="preserve">El Comité de Transparencia, según lo dispuesto en los artículos cuenta con las facultades para aprobar, modificar o revocar la clasificación de la información que haya propuesto. </w:t>
            </w:r>
          </w:p>
          <w:p w14:paraId="0C30FFA4"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 xml:space="preserve">Es necesario que </w:t>
            </w:r>
            <w:r w:rsidRPr="001C0CF3">
              <w:rPr>
                <w:rFonts w:ascii="Palatino Linotype" w:eastAsia="Palatino Linotype" w:hAnsi="Palatino Linotype" w:cs="Palatino Linotype"/>
                <w:b/>
                <w:color w:val="000000" w:themeColor="text1"/>
                <w:u w:val="single"/>
                <w:lang w:eastAsia="en-US"/>
              </w:rPr>
              <w:t>el acto reúna con los requisitos elementales</w:t>
            </w:r>
            <w:r w:rsidRPr="001C0CF3">
              <w:rPr>
                <w:rFonts w:ascii="Palatino Linotype" w:eastAsia="Palatino Linotype" w:hAnsi="Palatino Linotype" w:cs="Palatino Linotype"/>
                <w:color w:val="000000" w:themeColor="text1"/>
                <w:lang w:eastAsia="en-US"/>
              </w:rPr>
              <w:t>, entre ellos, que la autoridad que va a emitir el acto de autoridad sea la legalmente facultada para ello.</w:t>
            </w:r>
          </w:p>
          <w:p w14:paraId="4ECBE5DB"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7F3DF3FF"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p>
        </w:tc>
      </w:tr>
      <w:tr w:rsidR="001C0CF3" w:rsidRPr="001C0CF3" w14:paraId="6052ED67" w14:textId="77777777" w:rsidTr="000C6210">
        <w:tc>
          <w:tcPr>
            <w:tcW w:w="2691" w:type="dxa"/>
            <w:tcBorders>
              <w:top w:val="single" w:sz="4" w:space="0" w:color="BFBFBF"/>
              <w:left w:val="single" w:sz="4" w:space="0" w:color="BFBFBF"/>
              <w:bottom w:val="single" w:sz="4" w:space="0" w:color="BFBFBF"/>
              <w:right w:val="single" w:sz="4" w:space="0" w:color="BFBFBF"/>
            </w:tcBorders>
          </w:tcPr>
          <w:p w14:paraId="07DC3299" w14:textId="77777777" w:rsidR="0027532C" w:rsidRPr="001C0CF3" w:rsidRDefault="0027532C" w:rsidP="001C0CF3">
            <w:pPr>
              <w:tabs>
                <w:tab w:val="left" w:pos="284"/>
              </w:tabs>
              <w:rPr>
                <w:rFonts w:ascii="Palatino Linotype" w:eastAsia="Palatino Linotype" w:hAnsi="Palatino Linotype" w:cs="Palatino Linotype"/>
                <w:color w:val="000000" w:themeColor="text1"/>
                <w:lang w:eastAsia="en-US"/>
              </w:rPr>
            </w:pPr>
          </w:p>
          <w:p w14:paraId="258DC956"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 xml:space="preserve">d) Requisitos de fondo del acuerdo de clasificación. </w:t>
            </w:r>
          </w:p>
        </w:tc>
        <w:tc>
          <w:tcPr>
            <w:tcW w:w="7085" w:type="dxa"/>
            <w:tcBorders>
              <w:top w:val="single" w:sz="4" w:space="0" w:color="BFBFBF"/>
              <w:left w:val="single" w:sz="4" w:space="0" w:color="BFBFBF"/>
              <w:bottom w:val="single" w:sz="4" w:space="0" w:color="BFBFBF"/>
              <w:right w:val="single" w:sz="4" w:space="0" w:color="BFBFBF"/>
            </w:tcBorders>
          </w:tcPr>
          <w:p w14:paraId="4B71B318"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C0CF3">
              <w:rPr>
                <w:rFonts w:ascii="Palatino Linotype" w:eastAsia="Palatino Linotype" w:hAnsi="Palatino Linotype" w:cs="Palatino Linotype"/>
                <w:b/>
                <w:color w:val="000000" w:themeColor="text1"/>
                <w:lang w:eastAsia="en-US"/>
              </w:rPr>
              <w:t>Sujetos Obligados</w:t>
            </w:r>
            <w:r w:rsidRPr="001C0CF3">
              <w:rPr>
                <w:rFonts w:ascii="Palatino Linotype" w:eastAsia="Palatino Linotype" w:hAnsi="Palatino Linotype" w:cs="Palatino Linotype"/>
                <w:color w:val="000000" w:themeColor="text1"/>
                <w:lang w:eastAsia="en-US"/>
              </w:rPr>
              <w:t xml:space="preserve">, por lo que deberán fundar y motivar debidamente la clasificación. </w:t>
            </w:r>
          </w:p>
          <w:p w14:paraId="63F08B2A"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lastRenderedPageBreak/>
              <w:t xml:space="preserve">De lo anterior, se desprende que para una correcta </w:t>
            </w:r>
            <w:r w:rsidRPr="001C0CF3">
              <w:rPr>
                <w:rFonts w:ascii="Palatino Linotype" w:eastAsia="Palatino Linotype" w:hAnsi="Palatino Linotype" w:cs="Palatino Linotype"/>
                <w:b/>
                <w:color w:val="000000" w:themeColor="text1"/>
                <w:lang w:eastAsia="en-US"/>
              </w:rPr>
              <w:t>clasificación total o parcial</w:t>
            </w:r>
            <w:r w:rsidRPr="001C0CF3">
              <w:rPr>
                <w:rFonts w:ascii="Palatino Linotype" w:eastAsia="Palatino Linotype" w:hAnsi="Palatino Linotype" w:cs="Palatino Linotype"/>
                <w:color w:val="000000" w:themeColor="text1"/>
                <w:lang w:eastAsia="en-U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E17B63B"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EB6C576"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En ese mismo sentido, el numeral trigésimo tercero fracción V de los Lineamientos Generales, precisa que para motivar la clasificación se deben acreditar las circunstancias de tiempo, modo y lugar.</w:t>
            </w:r>
          </w:p>
          <w:p w14:paraId="14C1F30C"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 xml:space="preserve">Ahora bien, </w:t>
            </w:r>
            <w:r w:rsidRPr="001C0CF3">
              <w:rPr>
                <w:rFonts w:ascii="Palatino Linotype" w:eastAsia="Palatino Linotype" w:hAnsi="Palatino Linotype" w:cs="Palatino Linotype"/>
                <w:b/>
                <w:color w:val="000000" w:themeColor="text1"/>
                <w:u w:val="single"/>
                <w:lang w:eastAsia="en-US"/>
              </w:rPr>
              <w:t>para cada caso además de fundar y motivar</w:t>
            </w:r>
            <w:r w:rsidRPr="001C0CF3">
              <w:rPr>
                <w:rFonts w:ascii="Palatino Linotype" w:eastAsia="Palatino Linotype" w:hAnsi="Palatino Linotype" w:cs="Palatino Linotype"/>
                <w:color w:val="000000" w:themeColor="text1"/>
                <w:lang w:eastAsia="en-US"/>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14:paraId="6F95C928"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p>
        </w:tc>
      </w:tr>
      <w:tr w:rsidR="0027532C" w:rsidRPr="001C0CF3" w14:paraId="49E1BA8F" w14:textId="77777777" w:rsidTr="000C6210">
        <w:tc>
          <w:tcPr>
            <w:tcW w:w="2691" w:type="dxa"/>
            <w:tcBorders>
              <w:top w:val="single" w:sz="4" w:space="0" w:color="BFBFBF"/>
              <w:left w:val="single" w:sz="4" w:space="0" w:color="BFBFBF"/>
              <w:bottom w:val="single" w:sz="4" w:space="0" w:color="BFBFBF"/>
              <w:right w:val="single" w:sz="4" w:space="0" w:color="BFBFBF"/>
            </w:tcBorders>
            <w:hideMark/>
          </w:tcPr>
          <w:p w14:paraId="686A7B95"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lastRenderedPageBreak/>
              <w:t xml:space="preserve">e) Condiciones especiales de la clasificación de la información como confidencial. </w:t>
            </w:r>
          </w:p>
        </w:tc>
        <w:tc>
          <w:tcPr>
            <w:tcW w:w="7085" w:type="dxa"/>
            <w:tcBorders>
              <w:top w:val="single" w:sz="4" w:space="0" w:color="BFBFBF"/>
              <w:left w:val="single" w:sz="4" w:space="0" w:color="BFBFBF"/>
              <w:bottom w:val="single" w:sz="4" w:space="0" w:color="BFBFBF"/>
              <w:right w:val="single" w:sz="4" w:space="0" w:color="BFBFBF"/>
            </w:tcBorders>
          </w:tcPr>
          <w:p w14:paraId="5813E3EF"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 xml:space="preserve">Los artículos 148 y 120 de la Ley Estatal y de la Ley General, respectivamente, establecen que aun tratándose de datos personales, se podrán proporcionar, incluso sin solicitar el consentimiento de su titular. </w:t>
            </w:r>
          </w:p>
          <w:p w14:paraId="0E1C3BBE" w14:textId="77777777" w:rsidR="0027532C" w:rsidRPr="001C0CF3" w:rsidRDefault="0027532C" w:rsidP="001C0CF3">
            <w:pPr>
              <w:tabs>
                <w:tab w:val="left" w:pos="284"/>
              </w:tabs>
              <w:jc w:val="both"/>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C2C9B6C" w14:textId="77777777" w:rsidR="0027532C" w:rsidRPr="001C0CF3" w:rsidRDefault="0027532C" w:rsidP="001C0CF3">
            <w:pPr>
              <w:tabs>
                <w:tab w:val="left" w:pos="284"/>
              </w:tabs>
              <w:rPr>
                <w:rFonts w:ascii="Palatino Linotype" w:eastAsia="Palatino Linotype" w:hAnsi="Palatino Linotype" w:cs="Palatino Linotype"/>
                <w:color w:val="000000" w:themeColor="text1"/>
                <w:lang w:eastAsia="en-US"/>
              </w:rPr>
            </w:pPr>
            <w:r w:rsidRPr="001C0CF3">
              <w:rPr>
                <w:rFonts w:ascii="Palatino Linotype" w:eastAsia="Palatino Linotype" w:hAnsi="Palatino Linotype" w:cs="Palatino Linotype"/>
                <w:color w:val="000000" w:themeColor="text1"/>
                <w:lang w:eastAsia="en-US"/>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14:paraId="06536F4E" w14:textId="77777777" w:rsidR="0027532C" w:rsidRPr="001C0CF3" w:rsidRDefault="0027532C" w:rsidP="001C0CF3">
            <w:pPr>
              <w:tabs>
                <w:tab w:val="left" w:pos="284"/>
              </w:tabs>
              <w:rPr>
                <w:rFonts w:ascii="Palatino Linotype" w:eastAsia="Palatino Linotype" w:hAnsi="Palatino Linotype" w:cs="Palatino Linotype"/>
                <w:color w:val="000000" w:themeColor="text1"/>
                <w:lang w:eastAsia="en-US"/>
              </w:rPr>
            </w:pPr>
          </w:p>
        </w:tc>
      </w:tr>
    </w:tbl>
    <w:p w14:paraId="73BED4C4" w14:textId="77777777" w:rsidR="0027532C" w:rsidRPr="001C0CF3" w:rsidRDefault="0027532C" w:rsidP="001C0CF3">
      <w:pPr>
        <w:tabs>
          <w:tab w:val="left" w:pos="284"/>
        </w:tabs>
        <w:spacing w:line="360" w:lineRule="auto"/>
        <w:rPr>
          <w:rFonts w:ascii="Palatino Linotype" w:eastAsia="Palatino Linotype" w:hAnsi="Palatino Linotype" w:cs="Palatino Linotype"/>
          <w:color w:val="000000" w:themeColor="text1"/>
        </w:rPr>
      </w:pPr>
    </w:p>
    <w:p w14:paraId="7AF554B7" w14:textId="77777777" w:rsidR="0027532C" w:rsidRPr="001C0CF3" w:rsidRDefault="0027532C" w:rsidP="001C0CF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 xml:space="preserve">Si el servidor </w:t>
      </w:r>
      <w:r w:rsidRPr="001C0CF3">
        <w:rPr>
          <w:rFonts w:ascii="Palatino Linotype" w:eastAsia="Arial Unicode MS" w:hAnsi="Palatino Linotype" w:cs="Arial"/>
          <w:color w:val="000000" w:themeColor="text1"/>
        </w:rPr>
        <w:t>público</w:t>
      </w:r>
      <w:r w:rsidRPr="001C0CF3">
        <w:rPr>
          <w:rFonts w:ascii="Palatino Linotype" w:eastAsia="Palatino Linotype" w:hAnsi="Palatino Linotype" w:cs="Palatino Linotype"/>
          <w:color w:val="000000" w:themeColor="text1"/>
        </w:rPr>
        <w:t xml:space="preserve"> incumple con estas formalidades y entrega la información sin proteger los datos personales incumple con lo que estipula las disposiciones legales establecidas, asimismo que si entrega un documento testado sin el debido acuerdo de clasificación.</w:t>
      </w:r>
    </w:p>
    <w:p w14:paraId="29354EA7" w14:textId="77777777" w:rsidR="0027532C" w:rsidRPr="001C0CF3" w:rsidRDefault="0027532C" w:rsidP="001C0CF3">
      <w:pPr>
        <w:pBdr>
          <w:top w:val="nil"/>
          <w:left w:val="nil"/>
          <w:bottom w:val="nil"/>
          <w:right w:val="nil"/>
          <w:between w:val="nil"/>
        </w:pBdr>
        <w:spacing w:line="360" w:lineRule="auto"/>
        <w:jc w:val="both"/>
        <w:rPr>
          <w:rFonts w:ascii="Palatino Linotype" w:hAnsi="Palatino Linotype"/>
          <w:color w:val="000000" w:themeColor="text1"/>
        </w:rPr>
      </w:pPr>
    </w:p>
    <w:p w14:paraId="0DF38A48" w14:textId="77777777" w:rsidR="00A448A3" w:rsidRPr="000C6210" w:rsidRDefault="00A448A3" w:rsidP="001C0CF3">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C0CF3">
        <w:rPr>
          <w:rFonts w:ascii="Palatino Linotype" w:eastAsia="Palatino Linotype" w:hAnsi="Palatino Linotype" w:cs="Palatino Linotype"/>
          <w:color w:val="000000" w:themeColor="text1"/>
        </w:rPr>
        <w:t xml:space="preserve">Por lo anteriormente expuesto y fundado, este </w:t>
      </w:r>
      <w:r w:rsidRPr="001C0CF3">
        <w:rPr>
          <w:rFonts w:ascii="Palatino Linotype" w:eastAsia="Palatino Linotype" w:hAnsi="Palatino Linotype" w:cs="Palatino Linotype"/>
          <w:b/>
          <w:color w:val="000000" w:themeColor="text1"/>
        </w:rPr>
        <w:t>ÓRGANO GARANTE</w:t>
      </w:r>
      <w:r w:rsidRPr="001C0CF3">
        <w:rPr>
          <w:rFonts w:ascii="Palatino Linotype" w:eastAsia="Palatino Linotype" w:hAnsi="Palatino Linotype" w:cs="Palatino Linotype"/>
          <w:color w:val="000000" w:themeColor="text1"/>
        </w:rPr>
        <w:t xml:space="preserve"> emite los siguientes: </w:t>
      </w:r>
    </w:p>
    <w:p w14:paraId="7A552786" w14:textId="77777777" w:rsidR="000C6210" w:rsidRDefault="000C6210" w:rsidP="000C6210">
      <w:pPr>
        <w:pStyle w:val="Prrafodelista"/>
        <w:rPr>
          <w:rFonts w:ascii="Palatino Linotype" w:hAnsi="Palatino Linotype"/>
          <w:color w:val="000000" w:themeColor="text1"/>
        </w:rPr>
      </w:pPr>
    </w:p>
    <w:p w14:paraId="7E400D8F" w14:textId="77777777" w:rsidR="000C6210" w:rsidRPr="001C0CF3" w:rsidRDefault="000C6210" w:rsidP="000C6210">
      <w:pPr>
        <w:pBdr>
          <w:top w:val="nil"/>
          <w:left w:val="nil"/>
          <w:bottom w:val="nil"/>
          <w:right w:val="nil"/>
          <w:between w:val="nil"/>
        </w:pBdr>
        <w:spacing w:line="360" w:lineRule="auto"/>
        <w:jc w:val="both"/>
        <w:rPr>
          <w:rFonts w:ascii="Palatino Linotype" w:hAnsi="Palatino Linotype"/>
          <w:color w:val="000000" w:themeColor="text1"/>
        </w:rPr>
      </w:pPr>
    </w:p>
    <w:p w14:paraId="3ECD8C3C" w14:textId="77777777" w:rsidR="00955CFD" w:rsidRPr="001C0CF3" w:rsidRDefault="00955CFD" w:rsidP="001C0CF3">
      <w:pPr>
        <w:keepNext/>
        <w:keepLines/>
        <w:spacing w:line="360" w:lineRule="auto"/>
        <w:jc w:val="center"/>
        <w:rPr>
          <w:rFonts w:ascii="Palatino Linotype" w:eastAsia="Palatino Linotype" w:hAnsi="Palatino Linotype" w:cs="Palatino Linotype"/>
          <w:b/>
          <w:color w:val="000000" w:themeColor="text1"/>
        </w:rPr>
      </w:pPr>
      <w:r w:rsidRPr="001C0CF3">
        <w:rPr>
          <w:rFonts w:ascii="Palatino Linotype" w:eastAsia="Palatino Linotype" w:hAnsi="Palatino Linotype" w:cs="Palatino Linotype"/>
          <w:b/>
          <w:color w:val="000000" w:themeColor="text1"/>
        </w:rPr>
        <w:t>R E S O L U T I V O S</w:t>
      </w:r>
    </w:p>
    <w:p w14:paraId="6E89B069" w14:textId="77777777" w:rsidR="00955CFD" w:rsidRPr="001C0CF3" w:rsidRDefault="00955CFD" w:rsidP="001C0CF3">
      <w:pPr>
        <w:spacing w:line="360" w:lineRule="auto"/>
        <w:jc w:val="both"/>
        <w:rPr>
          <w:rFonts w:ascii="Palatino Linotype" w:eastAsia="Palatino Linotype" w:hAnsi="Palatino Linotype" w:cs="Palatino Linotype"/>
          <w:b/>
          <w:color w:val="000000" w:themeColor="text1"/>
        </w:rPr>
      </w:pPr>
      <w:r w:rsidRPr="001C0CF3">
        <w:rPr>
          <w:rFonts w:ascii="Palatino Linotype" w:eastAsia="Palatino Linotype" w:hAnsi="Palatino Linotype" w:cs="Palatino Linotype"/>
          <w:b/>
          <w:color w:val="000000" w:themeColor="text1"/>
        </w:rPr>
        <w:tab/>
      </w:r>
    </w:p>
    <w:p w14:paraId="3341AB73" w14:textId="4AFD2F79" w:rsidR="00AD2640" w:rsidRPr="001C0CF3" w:rsidRDefault="00AD2640" w:rsidP="001C0CF3">
      <w:pPr>
        <w:spacing w:line="360" w:lineRule="auto"/>
        <w:jc w:val="both"/>
        <w:rPr>
          <w:rFonts w:ascii="Palatino Linotype" w:eastAsia="Times New Roman" w:hAnsi="Palatino Linotype" w:cs="Arial"/>
          <w:color w:val="000000" w:themeColor="text1"/>
          <w:lang w:val="es-ES"/>
        </w:rPr>
      </w:pPr>
      <w:r w:rsidRPr="001C0CF3">
        <w:rPr>
          <w:rFonts w:ascii="Palatino Linotype" w:eastAsia="Times New Roman" w:hAnsi="Palatino Linotype" w:cs="Arial"/>
          <w:b/>
          <w:color w:val="000000" w:themeColor="text1"/>
        </w:rPr>
        <w:t>PRIMERO</w:t>
      </w:r>
      <w:r w:rsidRPr="001C0CF3">
        <w:rPr>
          <w:rFonts w:ascii="Palatino Linotype" w:eastAsia="Times New Roman" w:hAnsi="Palatino Linotype" w:cs="Arial"/>
          <w:color w:val="000000" w:themeColor="text1"/>
          <w:lang w:val="es-ES"/>
        </w:rPr>
        <w:t xml:space="preserve">. Resultan fundadas las razones o motivos de inconformidad hechos valer en el Recurso de Revisión </w:t>
      </w:r>
      <w:r w:rsidR="009C5FFA" w:rsidRPr="001C0CF3">
        <w:rPr>
          <w:rFonts w:ascii="Palatino Linotype" w:hAnsi="Palatino Linotype" w:cs="Arial"/>
          <w:b/>
          <w:bCs/>
          <w:color w:val="000000" w:themeColor="text1"/>
          <w:lang w:eastAsia="es-MX"/>
        </w:rPr>
        <w:t>04443/INFOEM/IP/RR/2025</w:t>
      </w:r>
      <w:r w:rsidRPr="001C0CF3">
        <w:rPr>
          <w:rFonts w:ascii="Palatino Linotype" w:hAnsi="Palatino Linotype"/>
          <w:color w:val="000000" w:themeColor="text1"/>
        </w:rPr>
        <w:t>,</w:t>
      </w:r>
      <w:r w:rsidRPr="001C0CF3">
        <w:rPr>
          <w:rFonts w:ascii="Palatino Linotype" w:eastAsia="Times New Roman" w:hAnsi="Palatino Linotype" w:cs="Arial"/>
          <w:b/>
          <w:color w:val="000000" w:themeColor="text1"/>
          <w:lang w:val="es-ES"/>
        </w:rPr>
        <w:t xml:space="preserve"> </w:t>
      </w:r>
      <w:r w:rsidRPr="001C0CF3">
        <w:rPr>
          <w:rFonts w:ascii="Palatino Linotype" w:eastAsia="Times New Roman" w:hAnsi="Palatino Linotype" w:cs="Arial"/>
          <w:color w:val="000000" w:themeColor="text1"/>
          <w:lang w:val="es-ES"/>
        </w:rPr>
        <w:t>en términos de</w:t>
      </w:r>
      <w:r w:rsidR="0027532C" w:rsidRPr="001C0CF3">
        <w:rPr>
          <w:rFonts w:ascii="Palatino Linotype" w:eastAsia="Times New Roman" w:hAnsi="Palatino Linotype" w:cs="Arial"/>
          <w:color w:val="000000" w:themeColor="text1"/>
          <w:lang w:val="es-ES"/>
        </w:rPr>
        <w:t xml:space="preserve"> </w:t>
      </w:r>
      <w:r w:rsidR="000D1C97" w:rsidRPr="001C0CF3">
        <w:rPr>
          <w:rFonts w:ascii="Palatino Linotype" w:eastAsia="Times New Roman" w:hAnsi="Palatino Linotype" w:cs="Arial"/>
          <w:color w:val="000000" w:themeColor="text1"/>
          <w:lang w:val="es-ES"/>
        </w:rPr>
        <w:t>l</w:t>
      </w:r>
      <w:r w:rsidR="0027532C" w:rsidRPr="001C0CF3">
        <w:rPr>
          <w:rFonts w:ascii="Palatino Linotype" w:eastAsia="Times New Roman" w:hAnsi="Palatino Linotype" w:cs="Arial"/>
          <w:color w:val="000000" w:themeColor="text1"/>
          <w:lang w:val="es-ES"/>
        </w:rPr>
        <w:t>os</w:t>
      </w:r>
      <w:r w:rsidR="000D1C97" w:rsidRPr="001C0CF3">
        <w:rPr>
          <w:rFonts w:ascii="Palatino Linotype" w:eastAsia="Times New Roman" w:hAnsi="Palatino Linotype" w:cs="Arial"/>
          <w:color w:val="000000" w:themeColor="text1"/>
          <w:lang w:val="es-ES"/>
        </w:rPr>
        <w:t xml:space="preserve"> </w:t>
      </w:r>
      <w:r w:rsidRPr="001C0CF3">
        <w:rPr>
          <w:rFonts w:ascii="Palatino Linotype" w:eastAsia="Times New Roman" w:hAnsi="Palatino Linotype" w:cs="Arial"/>
          <w:color w:val="000000" w:themeColor="text1"/>
          <w:lang w:val="es-ES"/>
        </w:rPr>
        <w:t>Considerando</w:t>
      </w:r>
      <w:r w:rsidR="0027532C" w:rsidRPr="001C0CF3">
        <w:rPr>
          <w:rFonts w:ascii="Palatino Linotype" w:eastAsia="Times New Roman" w:hAnsi="Palatino Linotype" w:cs="Arial"/>
          <w:color w:val="000000" w:themeColor="text1"/>
          <w:lang w:val="es-ES"/>
        </w:rPr>
        <w:t>s</w:t>
      </w:r>
      <w:r w:rsidRPr="001C0CF3">
        <w:rPr>
          <w:rFonts w:ascii="Palatino Linotype" w:eastAsia="Times New Roman" w:hAnsi="Palatino Linotype" w:cs="Arial"/>
          <w:color w:val="000000" w:themeColor="text1"/>
          <w:lang w:val="es-ES"/>
        </w:rPr>
        <w:t xml:space="preserve"> </w:t>
      </w:r>
      <w:r w:rsidRPr="001C0CF3">
        <w:rPr>
          <w:rFonts w:ascii="Palatino Linotype" w:eastAsia="Times New Roman" w:hAnsi="Palatino Linotype" w:cs="Arial"/>
          <w:b/>
          <w:color w:val="000000" w:themeColor="text1"/>
          <w:lang w:val="es-ES"/>
        </w:rPr>
        <w:t xml:space="preserve">Cuarto </w:t>
      </w:r>
      <w:r w:rsidR="0027532C" w:rsidRPr="001C0CF3">
        <w:rPr>
          <w:rFonts w:ascii="Palatino Linotype" w:eastAsia="Times New Roman" w:hAnsi="Palatino Linotype" w:cs="Arial"/>
          <w:color w:val="000000" w:themeColor="text1"/>
          <w:lang w:val="es-ES"/>
        </w:rPr>
        <w:t>y</w:t>
      </w:r>
      <w:r w:rsidR="0027532C" w:rsidRPr="001C0CF3">
        <w:rPr>
          <w:rFonts w:ascii="Palatino Linotype" w:eastAsia="Times New Roman" w:hAnsi="Palatino Linotype" w:cs="Arial"/>
          <w:b/>
          <w:color w:val="000000" w:themeColor="text1"/>
          <w:lang w:val="es-ES"/>
        </w:rPr>
        <w:t xml:space="preserve"> Quinto </w:t>
      </w:r>
      <w:r w:rsidRPr="001C0CF3">
        <w:rPr>
          <w:rFonts w:ascii="Palatino Linotype" w:eastAsia="Times New Roman" w:hAnsi="Palatino Linotype" w:cs="Arial"/>
          <w:color w:val="000000" w:themeColor="text1"/>
          <w:lang w:val="es-ES"/>
        </w:rPr>
        <w:t>de la presente Resolución.</w:t>
      </w:r>
    </w:p>
    <w:p w14:paraId="795B25A1" w14:textId="77777777" w:rsidR="00AD2640" w:rsidRPr="001C0CF3" w:rsidRDefault="00AD2640" w:rsidP="001C0CF3">
      <w:pPr>
        <w:spacing w:line="360" w:lineRule="auto"/>
        <w:jc w:val="both"/>
        <w:rPr>
          <w:rFonts w:ascii="Palatino Linotype" w:eastAsia="Times New Roman" w:hAnsi="Palatino Linotype" w:cs="Arial"/>
          <w:color w:val="000000" w:themeColor="text1"/>
          <w:lang w:val="es-ES"/>
        </w:rPr>
      </w:pPr>
    </w:p>
    <w:p w14:paraId="38BF7CF0" w14:textId="5C706AFD" w:rsidR="00D53A15" w:rsidRPr="001C0CF3" w:rsidRDefault="00D53A15" w:rsidP="001C0CF3">
      <w:pPr>
        <w:pBdr>
          <w:top w:val="nil"/>
          <w:left w:val="nil"/>
          <w:bottom w:val="nil"/>
          <w:right w:val="nil"/>
          <w:between w:val="nil"/>
        </w:pBdr>
        <w:tabs>
          <w:tab w:val="left" w:pos="9639"/>
        </w:tabs>
        <w:spacing w:line="360" w:lineRule="auto"/>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b/>
          <w:color w:val="000000" w:themeColor="text1"/>
        </w:rPr>
        <w:t xml:space="preserve">SEGUNDO. </w:t>
      </w:r>
      <w:r w:rsidRPr="001C0CF3">
        <w:rPr>
          <w:rFonts w:ascii="Palatino Linotype" w:eastAsia="Palatino Linotype" w:hAnsi="Palatino Linotype" w:cs="Palatino Linotype"/>
          <w:color w:val="000000" w:themeColor="text1"/>
        </w:rPr>
        <w:t xml:space="preserve">Se </w:t>
      </w:r>
      <w:r w:rsidR="00DA26B9" w:rsidRPr="001C0CF3">
        <w:rPr>
          <w:rFonts w:ascii="Palatino Linotype" w:eastAsia="Palatino Linotype" w:hAnsi="Palatino Linotype" w:cs="Palatino Linotype"/>
          <w:b/>
          <w:color w:val="000000" w:themeColor="text1"/>
        </w:rPr>
        <w:t>REVO</w:t>
      </w:r>
      <w:r w:rsidRPr="001C0CF3">
        <w:rPr>
          <w:rFonts w:ascii="Palatino Linotype" w:eastAsia="Palatino Linotype" w:hAnsi="Palatino Linotype" w:cs="Palatino Linotype"/>
          <w:b/>
          <w:color w:val="000000" w:themeColor="text1"/>
        </w:rPr>
        <w:t>CA</w:t>
      </w:r>
      <w:r w:rsidRPr="001C0CF3">
        <w:rPr>
          <w:rFonts w:ascii="Palatino Linotype" w:eastAsia="Palatino Linotype" w:hAnsi="Palatino Linotype" w:cs="Palatino Linotype"/>
          <w:color w:val="000000" w:themeColor="text1"/>
        </w:rPr>
        <w:t xml:space="preserve"> la respuesta </w:t>
      </w:r>
      <w:r w:rsidR="0026278A" w:rsidRPr="001C0CF3">
        <w:rPr>
          <w:rFonts w:ascii="Palatino Linotype" w:eastAsia="Palatino Linotype" w:hAnsi="Palatino Linotype" w:cs="Palatino Linotype"/>
          <w:color w:val="000000" w:themeColor="text1"/>
        </w:rPr>
        <w:t xml:space="preserve">emitida </w:t>
      </w:r>
      <w:r w:rsidRPr="001C0CF3">
        <w:rPr>
          <w:rFonts w:ascii="Palatino Linotype" w:eastAsia="Palatino Linotype" w:hAnsi="Palatino Linotype" w:cs="Palatino Linotype"/>
          <w:color w:val="000000" w:themeColor="text1"/>
        </w:rPr>
        <w:t xml:space="preserve">a la Solicitud de Información </w:t>
      </w:r>
      <w:r w:rsidR="00230DA5" w:rsidRPr="001C0CF3">
        <w:rPr>
          <w:rFonts w:ascii="Palatino Linotype" w:eastAsia="Palatino Linotype" w:hAnsi="Palatino Linotype" w:cs="Palatino Linotype"/>
          <w:b/>
          <w:color w:val="000000" w:themeColor="text1"/>
        </w:rPr>
        <w:t>00144/ALMOJU/IP/2025</w:t>
      </w:r>
      <w:r w:rsidRPr="001C0CF3">
        <w:rPr>
          <w:rFonts w:ascii="Palatino Linotype" w:eastAsia="Palatino Linotype" w:hAnsi="Palatino Linotype" w:cs="Palatino Linotype"/>
          <w:b/>
          <w:color w:val="000000" w:themeColor="text1"/>
        </w:rPr>
        <w:t xml:space="preserve"> </w:t>
      </w:r>
      <w:r w:rsidRPr="001C0CF3">
        <w:rPr>
          <w:rFonts w:ascii="Palatino Linotype" w:eastAsia="Palatino Linotype" w:hAnsi="Palatino Linotype" w:cs="Palatino Linotype"/>
          <w:color w:val="000000" w:themeColor="text1"/>
        </w:rPr>
        <w:t xml:space="preserve">y se </w:t>
      </w:r>
      <w:r w:rsidRPr="001C0CF3">
        <w:rPr>
          <w:rFonts w:ascii="Palatino Linotype" w:eastAsia="Palatino Linotype" w:hAnsi="Palatino Linotype" w:cs="Palatino Linotype"/>
          <w:b/>
          <w:color w:val="000000" w:themeColor="text1"/>
        </w:rPr>
        <w:t xml:space="preserve">ORDENA </w:t>
      </w:r>
      <w:r w:rsidRPr="001C0CF3">
        <w:rPr>
          <w:rFonts w:ascii="Palatino Linotype" w:eastAsia="Palatino Linotype" w:hAnsi="Palatino Linotype" w:cs="Palatino Linotype"/>
          <w:color w:val="000000" w:themeColor="text1"/>
        </w:rPr>
        <w:t xml:space="preserve">al </w:t>
      </w:r>
      <w:r w:rsidR="009C5FFA" w:rsidRPr="001C0CF3">
        <w:rPr>
          <w:rFonts w:ascii="Palatino Linotype" w:eastAsia="Palatino Linotype" w:hAnsi="Palatino Linotype" w:cs="Palatino Linotype"/>
          <w:b/>
          <w:color w:val="000000" w:themeColor="text1"/>
        </w:rPr>
        <w:t>Ayuntamiento de Almoloya de Juárez</w:t>
      </w:r>
      <w:r w:rsidRPr="001C0CF3">
        <w:rPr>
          <w:rFonts w:ascii="Palatino Linotype" w:eastAsia="Palatino Linotype" w:hAnsi="Palatino Linotype" w:cs="Palatino Linotype"/>
          <w:b/>
          <w:color w:val="000000" w:themeColor="text1"/>
        </w:rPr>
        <w:t xml:space="preserve"> </w:t>
      </w:r>
      <w:r w:rsidRPr="001C0CF3">
        <w:rPr>
          <w:rFonts w:ascii="Palatino Linotype" w:eastAsia="Palatino Linotype" w:hAnsi="Palatino Linotype" w:cs="Palatino Linotype"/>
          <w:color w:val="000000" w:themeColor="text1"/>
        </w:rPr>
        <w:t xml:space="preserve">entregar, </w:t>
      </w:r>
      <w:r w:rsidR="0027532C" w:rsidRPr="001C0CF3">
        <w:rPr>
          <w:rFonts w:ascii="Palatino Linotype" w:eastAsia="Palatino Linotype" w:hAnsi="Palatino Linotype" w:cs="Palatino Linotype"/>
          <w:color w:val="000000" w:themeColor="text1"/>
        </w:rPr>
        <w:t xml:space="preserve">vía </w:t>
      </w:r>
      <w:r w:rsidR="0027532C" w:rsidRPr="001C0CF3">
        <w:rPr>
          <w:rFonts w:ascii="Palatino Linotype" w:eastAsia="Palatino Linotype" w:hAnsi="Palatino Linotype" w:cs="Palatino Linotype"/>
          <w:b/>
          <w:color w:val="000000" w:themeColor="text1"/>
        </w:rPr>
        <w:t>SAIMEX</w:t>
      </w:r>
      <w:r w:rsidR="00DA26B9" w:rsidRPr="001C0CF3">
        <w:rPr>
          <w:rFonts w:ascii="Palatino Linotype" w:eastAsia="Palatino Linotype" w:hAnsi="Palatino Linotype" w:cs="Palatino Linotype"/>
          <w:b/>
          <w:color w:val="000000" w:themeColor="text1"/>
        </w:rPr>
        <w:t xml:space="preserve"> </w:t>
      </w:r>
      <w:r w:rsidR="00DA26B9" w:rsidRPr="001C0CF3">
        <w:rPr>
          <w:rFonts w:ascii="Palatino Linotype" w:eastAsia="Palatino Linotype" w:hAnsi="Palatino Linotype" w:cs="Palatino Linotype"/>
          <w:color w:val="000000" w:themeColor="text1"/>
        </w:rPr>
        <w:t>previa búsqueda exhaustiva y razonable</w:t>
      </w:r>
      <w:r w:rsidRPr="001C0CF3">
        <w:rPr>
          <w:rFonts w:ascii="Palatino Linotype" w:eastAsia="Palatino Linotype" w:hAnsi="Palatino Linotype" w:cs="Palatino Linotype"/>
          <w:color w:val="000000" w:themeColor="text1"/>
        </w:rPr>
        <w:t xml:space="preserve">, </w:t>
      </w:r>
      <w:r w:rsidR="0027532C" w:rsidRPr="001C0CF3">
        <w:rPr>
          <w:rFonts w:ascii="Palatino Linotype" w:eastAsia="Palatino Linotype" w:hAnsi="Palatino Linotype" w:cs="Palatino Linotype"/>
          <w:color w:val="000000" w:themeColor="text1"/>
        </w:rPr>
        <w:t xml:space="preserve">de ser el caso en versión </w:t>
      </w:r>
      <w:r w:rsidR="00DA26B9" w:rsidRPr="001C0CF3">
        <w:rPr>
          <w:rFonts w:ascii="Palatino Linotype" w:eastAsia="Palatino Linotype" w:hAnsi="Palatino Linotype" w:cs="Palatino Linotype"/>
          <w:color w:val="000000" w:themeColor="text1"/>
        </w:rPr>
        <w:t>pública</w:t>
      </w:r>
      <w:r w:rsidR="0027532C" w:rsidRPr="001C0CF3">
        <w:rPr>
          <w:rFonts w:ascii="Palatino Linotype" w:eastAsia="Palatino Linotype" w:hAnsi="Palatino Linotype" w:cs="Palatino Linotype"/>
          <w:color w:val="000000" w:themeColor="text1"/>
        </w:rPr>
        <w:t xml:space="preserve">, </w:t>
      </w:r>
      <w:r w:rsidRPr="001C0CF3">
        <w:rPr>
          <w:rFonts w:ascii="Palatino Linotype" w:eastAsia="Palatino Linotype" w:hAnsi="Palatino Linotype" w:cs="Palatino Linotype"/>
          <w:color w:val="000000" w:themeColor="text1"/>
        </w:rPr>
        <w:t>la siguiente información:</w:t>
      </w:r>
    </w:p>
    <w:p w14:paraId="28B1C9E0" w14:textId="4EDFCCF4" w:rsidR="000D1C97" w:rsidRPr="001C0CF3" w:rsidRDefault="0010341E" w:rsidP="001C0CF3">
      <w:pPr>
        <w:pStyle w:val="Prrafodelista"/>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b/>
          <w:color w:val="000000" w:themeColor="text1"/>
        </w:rPr>
        <w:lastRenderedPageBreak/>
        <w:t>Soporte documental en que conste o se adviertan los gastos</w:t>
      </w:r>
      <w:r w:rsidR="0026278A" w:rsidRPr="001C0CF3">
        <w:rPr>
          <w:rFonts w:ascii="Palatino Linotype" w:eastAsia="Palatino Linotype" w:hAnsi="Palatino Linotype" w:cs="Palatino Linotype"/>
          <w:b/>
          <w:color w:val="000000" w:themeColor="text1"/>
        </w:rPr>
        <w:t xml:space="preserve"> por concepto de mantenimiento al alumbrado público,</w:t>
      </w:r>
      <w:r w:rsidRPr="001C0CF3">
        <w:rPr>
          <w:rFonts w:ascii="Palatino Linotype" w:eastAsia="Palatino Linotype" w:hAnsi="Palatino Linotype" w:cs="Palatino Linotype"/>
          <w:b/>
          <w:color w:val="000000" w:themeColor="text1"/>
        </w:rPr>
        <w:t xml:space="preserve"> del 01 de enero al 21 de marzo de 2025</w:t>
      </w:r>
      <w:r w:rsidR="0026278A" w:rsidRPr="001C0CF3">
        <w:rPr>
          <w:rFonts w:ascii="Palatino Linotype" w:eastAsia="Palatino Linotype" w:hAnsi="Palatino Linotype" w:cs="Palatino Linotype"/>
          <w:b/>
          <w:color w:val="000000" w:themeColor="text1"/>
        </w:rPr>
        <w:t>, al mayor grado de desagregación.</w:t>
      </w:r>
    </w:p>
    <w:p w14:paraId="327956C5" w14:textId="77777777" w:rsidR="0038108A" w:rsidRPr="001C0CF3" w:rsidRDefault="0038108A" w:rsidP="001C0CF3">
      <w:pPr>
        <w:tabs>
          <w:tab w:val="left" w:pos="8080"/>
        </w:tabs>
        <w:spacing w:line="360" w:lineRule="auto"/>
        <w:jc w:val="both"/>
        <w:rPr>
          <w:rFonts w:ascii="Palatino Linotype" w:eastAsia="Palatino Linotype" w:hAnsi="Palatino Linotype" w:cs="Palatino Linotype"/>
          <w:color w:val="000000" w:themeColor="text1"/>
        </w:rPr>
      </w:pPr>
    </w:p>
    <w:p w14:paraId="53B79700" w14:textId="77777777" w:rsidR="0027532C" w:rsidRPr="001C0CF3" w:rsidRDefault="0027532C" w:rsidP="001C0CF3">
      <w:pPr>
        <w:tabs>
          <w:tab w:val="left" w:pos="8080"/>
        </w:tabs>
        <w:spacing w:line="360" w:lineRule="auto"/>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fracciones II y VIII, 132, fracción II y 143 de la Ley de 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del </w:t>
      </w:r>
      <w:r w:rsidRPr="001C0CF3">
        <w:rPr>
          <w:rFonts w:ascii="Palatino Linotype" w:eastAsia="Palatino Linotype" w:hAnsi="Palatino Linotype" w:cs="Palatino Linotype"/>
          <w:b/>
          <w:color w:val="000000" w:themeColor="text1"/>
        </w:rPr>
        <w:t>RECURRENTE</w:t>
      </w:r>
      <w:r w:rsidRPr="001C0CF3">
        <w:rPr>
          <w:rFonts w:ascii="Palatino Linotype" w:eastAsia="Palatino Linotype" w:hAnsi="Palatino Linotype" w:cs="Palatino Linotype"/>
          <w:color w:val="000000" w:themeColor="text1"/>
        </w:rPr>
        <w:t>.</w:t>
      </w:r>
    </w:p>
    <w:p w14:paraId="79E4DDD4" w14:textId="77777777" w:rsidR="005F652F" w:rsidRPr="001C0CF3" w:rsidRDefault="005F652F" w:rsidP="001C0CF3">
      <w:pPr>
        <w:tabs>
          <w:tab w:val="left" w:pos="8080"/>
        </w:tabs>
        <w:spacing w:line="360" w:lineRule="auto"/>
        <w:jc w:val="both"/>
        <w:rPr>
          <w:rFonts w:ascii="Palatino Linotype" w:hAnsi="Palatino Linotype" w:cs="Arial"/>
          <w:color w:val="000000" w:themeColor="text1"/>
        </w:rPr>
      </w:pPr>
    </w:p>
    <w:p w14:paraId="09880E66" w14:textId="51D40C4F" w:rsidR="00D53A15" w:rsidRPr="001C0CF3" w:rsidRDefault="00D53A15" w:rsidP="001C0CF3">
      <w:pPr>
        <w:tabs>
          <w:tab w:val="left" w:pos="284"/>
          <w:tab w:val="left" w:pos="8080"/>
        </w:tabs>
        <w:spacing w:line="360" w:lineRule="auto"/>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b/>
          <w:color w:val="000000" w:themeColor="text1"/>
        </w:rPr>
        <w:t>TERCERO. NOTIFÍQUESE</w:t>
      </w:r>
      <w:r w:rsidR="005F652F" w:rsidRPr="001C0CF3">
        <w:rPr>
          <w:rFonts w:ascii="Palatino Linotype" w:eastAsia="Palatino Linotype" w:hAnsi="Palatino Linotype" w:cs="Palatino Linotype"/>
          <w:color w:val="000000" w:themeColor="text1"/>
        </w:rPr>
        <w:t xml:space="preserve"> la presente R</w:t>
      </w:r>
      <w:r w:rsidRPr="001C0CF3">
        <w:rPr>
          <w:rFonts w:ascii="Palatino Linotype" w:eastAsia="Palatino Linotype" w:hAnsi="Palatino Linotype" w:cs="Palatino Linotype"/>
          <w:color w:val="000000" w:themeColor="text1"/>
        </w:rPr>
        <w:t xml:space="preserve">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1C0CF3">
        <w:rPr>
          <w:rFonts w:ascii="Palatino Linotype" w:eastAsia="Palatino Linotype" w:hAnsi="Palatino Linotype" w:cs="Palatino Linotype"/>
          <w:b/>
          <w:color w:val="000000" w:themeColor="text1"/>
        </w:rPr>
        <w:t xml:space="preserve">dé cumplimiento a lo ordenado dentro del plazo de diez días hábiles, </w:t>
      </w:r>
      <w:r w:rsidRPr="001C0CF3">
        <w:rPr>
          <w:rFonts w:ascii="Palatino Linotype" w:eastAsia="Palatino Linotype" w:hAnsi="Palatino Linotype" w:cs="Palatino Linotype"/>
          <w:color w:val="000000" w:themeColor="text1"/>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39D1B86" w14:textId="77777777" w:rsidR="00D53A15" w:rsidRPr="001C0CF3" w:rsidRDefault="00D53A15" w:rsidP="001C0CF3">
      <w:pPr>
        <w:tabs>
          <w:tab w:val="left" w:pos="284"/>
          <w:tab w:val="left" w:pos="8080"/>
        </w:tabs>
        <w:spacing w:line="360" w:lineRule="auto"/>
        <w:jc w:val="both"/>
        <w:rPr>
          <w:rFonts w:ascii="Palatino Linotype" w:eastAsia="Palatino Linotype" w:hAnsi="Palatino Linotype" w:cs="Palatino Linotype"/>
          <w:color w:val="000000" w:themeColor="text1"/>
        </w:rPr>
      </w:pPr>
    </w:p>
    <w:p w14:paraId="7D35AD8E" w14:textId="373C7983" w:rsidR="00D53A15" w:rsidRPr="001C0CF3" w:rsidRDefault="00D53A15" w:rsidP="001C0CF3">
      <w:pPr>
        <w:shd w:val="clear" w:color="auto" w:fill="FFFFFF"/>
        <w:tabs>
          <w:tab w:val="left" w:pos="284"/>
        </w:tabs>
        <w:spacing w:line="360" w:lineRule="auto"/>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b/>
          <w:color w:val="000000" w:themeColor="text1"/>
        </w:rPr>
        <w:t xml:space="preserve">CUARTO. Notifíquese </w:t>
      </w:r>
      <w:r w:rsidRPr="001C0CF3">
        <w:rPr>
          <w:rFonts w:ascii="Palatino Linotype" w:eastAsia="Palatino Linotype" w:hAnsi="Palatino Linotype" w:cs="Palatino Linotype"/>
          <w:color w:val="000000" w:themeColor="text1"/>
        </w:rPr>
        <w:t>a</w:t>
      </w:r>
      <w:r w:rsidR="005F652F" w:rsidRPr="001C0CF3">
        <w:rPr>
          <w:rFonts w:ascii="Palatino Linotype" w:eastAsia="Palatino Linotype" w:hAnsi="Palatino Linotype" w:cs="Palatino Linotype"/>
          <w:color w:val="000000" w:themeColor="text1"/>
        </w:rPr>
        <w:t xml:space="preserve"> </w:t>
      </w:r>
      <w:r w:rsidR="0026278A" w:rsidRPr="001C0CF3">
        <w:rPr>
          <w:rFonts w:ascii="Palatino Linotype" w:eastAsia="Palatino Linotype" w:hAnsi="Palatino Linotype" w:cs="Palatino Linotype"/>
          <w:color w:val="000000" w:themeColor="text1"/>
        </w:rPr>
        <w:t>EL RECURRENTE</w:t>
      </w:r>
      <w:r w:rsidRPr="001C0CF3">
        <w:rPr>
          <w:rFonts w:ascii="Palatino Linotype" w:eastAsia="Palatino Linotype" w:hAnsi="Palatino Linotype" w:cs="Palatino Linotype"/>
          <w:b/>
          <w:color w:val="000000" w:themeColor="text1"/>
        </w:rPr>
        <w:t xml:space="preserve"> </w:t>
      </w:r>
      <w:r w:rsidR="005F652F" w:rsidRPr="001C0CF3">
        <w:rPr>
          <w:rFonts w:ascii="Palatino Linotype" w:eastAsia="Palatino Linotype" w:hAnsi="Palatino Linotype" w:cs="Palatino Linotype"/>
          <w:color w:val="000000" w:themeColor="text1"/>
        </w:rPr>
        <w:t>la presente R</w:t>
      </w:r>
      <w:r w:rsidRPr="001C0CF3">
        <w:rPr>
          <w:rFonts w:ascii="Palatino Linotype" w:eastAsia="Palatino Linotype" w:hAnsi="Palatino Linotype" w:cs="Palatino Linotype"/>
          <w:color w:val="000000" w:themeColor="text1"/>
        </w:rPr>
        <w:t>esolución a través del Sistema de Acceso a la Información Mexiquense (SAIMEX).</w:t>
      </w:r>
    </w:p>
    <w:p w14:paraId="0F50248A" w14:textId="77777777" w:rsidR="00D53A15" w:rsidRPr="001C0CF3" w:rsidRDefault="00D53A15" w:rsidP="001C0CF3">
      <w:pPr>
        <w:shd w:val="clear" w:color="auto" w:fill="FFFFFF"/>
        <w:tabs>
          <w:tab w:val="left" w:pos="284"/>
        </w:tabs>
        <w:spacing w:line="360" w:lineRule="auto"/>
        <w:jc w:val="both"/>
        <w:rPr>
          <w:rFonts w:ascii="Palatino Linotype" w:eastAsia="Palatino Linotype" w:hAnsi="Palatino Linotype" w:cs="Palatino Linotype"/>
          <w:color w:val="000000" w:themeColor="text1"/>
        </w:rPr>
      </w:pPr>
    </w:p>
    <w:p w14:paraId="109670AB" w14:textId="26506E6D" w:rsidR="00D53A15" w:rsidRPr="001C0CF3" w:rsidRDefault="00D53A15" w:rsidP="001C0CF3">
      <w:pPr>
        <w:spacing w:line="360" w:lineRule="auto"/>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b/>
          <w:color w:val="000000" w:themeColor="text1"/>
        </w:rPr>
        <w:lastRenderedPageBreak/>
        <w:t xml:space="preserve">QUINTO. </w:t>
      </w:r>
      <w:r w:rsidRPr="001C0CF3">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w:t>
      </w:r>
      <w:r w:rsidR="005F652F" w:rsidRPr="001C0CF3">
        <w:rPr>
          <w:rFonts w:ascii="Palatino Linotype" w:eastAsia="Palatino Linotype" w:hAnsi="Palatino Linotype" w:cs="Palatino Linotype"/>
          <w:color w:val="000000" w:themeColor="text1"/>
        </w:rPr>
        <w:t>el cumplimiento de la presente R</w:t>
      </w:r>
      <w:r w:rsidRPr="001C0CF3">
        <w:rPr>
          <w:rFonts w:ascii="Palatino Linotype" w:eastAsia="Palatino Linotype" w:hAnsi="Palatino Linotype" w:cs="Palatino Linotype"/>
          <w:color w:val="000000" w:themeColor="text1"/>
        </w:rPr>
        <w:t>esolución.</w:t>
      </w:r>
    </w:p>
    <w:p w14:paraId="766CFBE0" w14:textId="77777777" w:rsidR="00D53A15" w:rsidRPr="001C0CF3" w:rsidRDefault="00D53A15" w:rsidP="001C0CF3">
      <w:pPr>
        <w:spacing w:line="360" w:lineRule="auto"/>
        <w:jc w:val="both"/>
        <w:rPr>
          <w:rFonts w:ascii="Palatino Linotype" w:eastAsia="Palatino Linotype" w:hAnsi="Palatino Linotype" w:cs="Palatino Linotype"/>
          <w:color w:val="000000" w:themeColor="text1"/>
        </w:rPr>
      </w:pPr>
    </w:p>
    <w:p w14:paraId="4E07C393" w14:textId="13A59601" w:rsidR="00D53A15" w:rsidRPr="001C0CF3" w:rsidRDefault="00D53A15" w:rsidP="001C0CF3">
      <w:pPr>
        <w:shd w:val="clear" w:color="auto" w:fill="FFFFFF"/>
        <w:spacing w:line="360" w:lineRule="auto"/>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b/>
          <w:color w:val="000000" w:themeColor="text1"/>
        </w:rPr>
        <w:t>SEXTO.</w:t>
      </w:r>
      <w:r w:rsidRPr="001C0CF3">
        <w:rPr>
          <w:rFonts w:ascii="Palatino Linotype" w:eastAsia="Palatino Linotype" w:hAnsi="Palatino Linotype" w:cs="Palatino Linotype"/>
          <w:color w:val="000000" w:themeColor="text1"/>
        </w:rPr>
        <w:t xml:space="preserve"> Se hace del conocimiento de</w:t>
      </w:r>
      <w:r w:rsidR="005F652F" w:rsidRPr="001C0CF3">
        <w:rPr>
          <w:rFonts w:ascii="Palatino Linotype" w:eastAsia="Palatino Linotype" w:hAnsi="Palatino Linotype" w:cs="Palatino Linotype"/>
          <w:color w:val="000000" w:themeColor="text1"/>
        </w:rPr>
        <w:t xml:space="preserve"> </w:t>
      </w:r>
      <w:r w:rsidR="0026278A" w:rsidRPr="001C0CF3">
        <w:rPr>
          <w:rFonts w:ascii="Palatino Linotype" w:eastAsia="Palatino Linotype" w:hAnsi="Palatino Linotype" w:cs="Palatino Linotype"/>
          <w:color w:val="000000" w:themeColor="text1"/>
        </w:rPr>
        <w:t>EL RECURRENTE</w:t>
      </w:r>
      <w:r w:rsidRPr="001C0CF3">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045F1896" w14:textId="77777777" w:rsidR="005F652F" w:rsidRDefault="005F652F" w:rsidP="001C0CF3">
      <w:pPr>
        <w:shd w:val="clear" w:color="auto" w:fill="FFFFFF"/>
        <w:spacing w:line="360" w:lineRule="auto"/>
        <w:jc w:val="both"/>
        <w:rPr>
          <w:rFonts w:ascii="Palatino Linotype" w:eastAsia="Palatino Linotype" w:hAnsi="Palatino Linotype" w:cs="Palatino Linotype"/>
          <w:color w:val="000000" w:themeColor="text1"/>
        </w:rPr>
      </w:pPr>
    </w:p>
    <w:p w14:paraId="7948E7F1" w14:textId="77777777" w:rsidR="001C0CF3" w:rsidRPr="00444783" w:rsidRDefault="001C0CF3" w:rsidP="001C0CF3">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rPr>
        <w:t xml:space="preserve">OCTAVA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VEINTIDÓS (22</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p>
    <w:p w14:paraId="06F6907F" w14:textId="77777777" w:rsidR="00E31311" w:rsidRPr="001C0CF3" w:rsidRDefault="00E31311" w:rsidP="001C0CF3">
      <w:pPr>
        <w:spacing w:line="360" w:lineRule="auto"/>
        <w:jc w:val="both"/>
        <w:rPr>
          <w:rFonts w:ascii="Palatino Linotype" w:eastAsia="Palatino Linotype" w:hAnsi="Palatino Linotype" w:cs="Palatino Linotype"/>
          <w:color w:val="000000" w:themeColor="text1"/>
        </w:rPr>
      </w:pPr>
    </w:p>
    <w:p w14:paraId="3C120A7D" w14:textId="77777777" w:rsidR="00E31311" w:rsidRPr="001C0CF3" w:rsidRDefault="00E31311" w:rsidP="001C0CF3">
      <w:pPr>
        <w:spacing w:line="360" w:lineRule="auto"/>
        <w:jc w:val="both"/>
        <w:rPr>
          <w:rFonts w:ascii="Palatino Linotype" w:eastAsia="Palatino Linotype" w:hAnsi="Palatino Linotype" w:cs="Palatino Linotype"/>
          <w:color w:val="000000" w:themeColor="text1"/>
        </w:rPr>
      </w:pPr>
    </w:p>
    <w:p w14:paraId="1B2939A6" w14:textId="77777777" w:rsidR="00E31311" w:rsidRPr="001C0CF3" w:rsidRDefault="00E31311" w:rsidP="001C0CF3">
      <w:pPr>
        <w:spacing w:line="360" w:lineRule="auto"/>
        <w:jc w:val="both"/>
        <w:rPr>
          <w:rFonts w:ascii="Palatino Linotype" w:eastAsia="Palatino Linotype" w:hAnsi="Palatino Linotype" w:cs="Palatino Linotype"/>
          <w:color w:val="000000" w:themeColor="text1"/>
        </w:rPr>
      </w:pPr>
    </w:p>
    <w:p w14:paraId="17955FC9" w14:textId="77777777" w:rsidR="00E31311" w:rsidRPr="001C0CF3" w:rsidRDefault="00E31311" w:rsidP="001C0CF3">
      <w:pPr>
        <w:spacing w:line="360" w:lineRule="auto"/>
        <w:jc w:val="both"/>
        <w:rPr>
          <w:rFonts w:ascii="Palatino Linotype" w:eastAsia="Palatino Linotype" w:hAnsi="Palatino Linotype" w:cs="Palatino Linotype"/>
          <w:color w:val="000000" w:themeColor="text1"/>
        </w:rPr>
      </w:pPr>
    </w:p>
    <w:p w14:paraId="58886AA0" w14:textId="77777777" w:rsidR="00E31311" w:rsidRPr="001C0CF3" w:rsidRDefault="00E31311" w:rsidP="001C0CF3">
      <w:pPr>
        <w:spacing w:line="360" w:lineRule="auto"/>
        <w:jc w:val="both"/>
        <w:rPr>
          <w:rFonts w:ascii="Palatino Linotype" w:eastAsia="Palatino Linotype" w:hAnsi="Palatino Linotype" w:cs="Palatino Linotype"/>
          <w:color w:val="000000" w:themeColor="text1"/>
        </w:rPr>
      </w:pPr>
    </w:p>
    <w:p w14:paraId="046F5658" w14:textId="77777777" w:rsidR="00E31311" w:rsidRPr="001C0CF3" w:rsidRDefault="00E31311" w:rsidP="001C0CF3">
      <w:pPr>
        <w:spacing w:line="360" w:lineRule="auto"/>
        <w:jc w:val="both"/>
        <w:rPr>
          <w:rFonts w:ascii="Palatino Linotype" w:eastAsia="Palatino Linotype" w:hAnsi="Palatino Linotype" w:cs="Palatino Linotype"/>
          <w:color w:val="000000" w:themeColor="text1"/>
        </w:rPr>
      </w:pPr>
    </w:p>
    <w:p w14:paraId="3E5015C2" w14:textId="77777777" w:rsidR="00E31311" w:rsidRPr="001C0CF3" w:rsidRDefault="00E31311" w:rsidP="001C0CF3">
      <w:pPr>
        <w:spacing w:line="360" w:lineRule="auto"/>
        <w:jc w:val="both"/>
        <w:rPr>
          <w:rFonts w:ascii="Palatino Linotype" w:eastAsia="Palatino Linotype" w:hAnsi="Palatino Linotype" w:cs="Palatino Linotype"/>
          <w:color w:val="000000" w:themeColor="text1"/>
        </w:rPr>
      </w:pPr>
    </w:p>
    <w:p w14:paraId="215F7843" w14:textId="77777777" w:rsidR="00E31311" w:rsidRPr="001C0CF3" w:rsidRDefault="00E31311" w:rsidP="001C0CF3">
      <w:pPr>
        <w:spacing w:line="360" w:lineRule="auto"/>
        <w:jc w:val="both"/>
        <w:rPr>
          <w:rFonts w:ascii="Palatino Linotype" w:eastAsia="Palatino Linotype" w:hAnsi="Palatino Linotype" w:cs="Palatino Linotype"/>
          <w:color w:val="000000" w:themeColor="text1"/>
        </w:rPr>
      </w:pPr>
    </w:p>
    <w:p w14:paraId="66957270" w14:textId="77777777" w:rsidR="00E31311" w:rsidRPr="001C0CF3" w:rsidRDefault="00E31311" w:rsidP="001C0CF3">
      <w:pPr>
        <w:spacing w:line="360" w:lineRule="auto"/>
        <w:jc w:val="both"/>
        <w:rPr>
          <w:rFonts w:ascii="Palatino Linotype" w:eastAsia="Palatino Linotype" w:hAnsi="Palatino Linotype" w:cs="Palatino Linotype"/>
          <w:color w:val="000000" w:themeColor="text1"/>
        </w:rPr>
      </w:pPr>
    </w:p>
    <w:p w14:paraId="0E541333" w14:textId="77777777" w:rsidR="00E31311" w:rsidRPr="001C0CF3" w:rsidRDefault="00E31311" w:rsidP="001C0CF3">
      <w:pPr>
        <w:spacing w:line="360" w:lineRule="auto"/>
        <w:jc w:val="both"/>
        <w:rPr>
          <w:rFonts w:ascii="Palatino Linotype" w:eastAsia="Palatino Linotype" w:hAnsi="Palatino Linotype" w:cs="Palatino Linotype"/>
          <w:color w:val="000000" w:themeColor="text1"/>
        </w:rPr>
      </w:pPr>
    </w:p>
    <w:p w14:paraId="4A713D34" w14:textId="77777777" w:rsidR="00E31311" w:rsidRPr="001C0CF3" w:rsidRDefault="00E31311" w:rsidP="001C0CF3">
      <w:pPr>
        <w:spacing w:line="360" w:lineRule="auto"/>
        <w:jc w:val="both"/>
        <w:rPr>
          <w:rFonts w:ascii="Palatino Linotype" w:eastAsia="Palatino Linotype" w:hAnsi="Palatino Linotype" w:cs="Palatino Linotype"/>
          <w:color w:val="000000" w:themeColor="text1"/>
        </w:rPr>
      </w:pPr>
    </w:p>
    <w:p w14:paraId="7545DE23" w14:textId="77777777" w:rsidR="00E31311" w:rsidRPr="001C0CF3" w:rsidRDefault="00E31311" w:rsidP="001C0CF3">
      <w:pPr>
        <w:spacing w:line="360" w:lineRule="auto"/>
        <w:jc w:val="both"/>
        <w:rPr>
          <w:rFonts w:ascii="Palatino Linotype" w:eastAsia="Palatino Linotype" w:hAnsi="Palatino Linotype" w:cs="Palatino Linotype"/>
          <w:color w:val="000000" w:themeColor="text1"/>
        </w:rPr>
      </w:pPr>
    </w:p>
    <w:p w14:paraId="1467D449" w14:textId="77777777" w:rsidR="00E31311" w:rsidRPr="001C0CF3" w:rsidRDefault="00E31311" w:rsidP="001C0CF3">
      <w:pPr>
        <w:spacing w:line="360" w:lineRule="auto"/>
        <w:jc w:val="both"/>
        <w:rPr>
          <w:rFonts w:ascii="Palatino Linotype" w:eastAsia="Palatino Linotype" w:hAnsi="Palatino Linotype" w:cs="Palatino Linotype"/>
          <w:color w:val="000000" w:themeColor="text1"/>
        </w:rPr>
      </w:pPr>
    </w:p>
    <w:p w14:paraId="6E47B9D3" w14:textId="77777777" w:rsidR="00E31311" w:rsidRPr="001C0CF3" w:rsidRDefault="00E31311" w:rsidP="001C0CF3">
      <w:pPr>
        <w:spacing w:line="360" w:lineRule="auto"/>
        <w:jc w:val="both"/>
        <w:rPr>
          <w:rFonts w:ascii="Palatino Linotype" w:eastAsia="Palatino Linotype" w:hAnsi="Palatino Linotype" w:cs="Palatino Linotype"/>
          <w:color w:val="000000" w:themeColor="text1"/>
        </w:rPr>
      </w:pPr>
    </w:p>
    <w:p w14:paraId="50B0D487" w14:textId="77777777" w:rsidR="00E31311" w:rsidRPr="001C0CF3" w:rsidRDefault="00E31311" w:rsidP="001C0CF3">
      <w:pPr>
        <w:spacing w:line="360" w:lineRule="auto"/>
        <w:jc w:val="both"/>
        <w:rPr>
          <w:rFonts w:ascii="Palatino Linotype" w:eastAsia="Palatino Linotype" w:hAnsi="Palatino Linotype" w:cs="Palatino Linotype"/>
          <w:color w:val="000000" w:themeColor="text1"/>
        </w:rPr>
      </w:pPr>
    </w:p>
    <w:p w14:paraId="2AD62911" w14:textId="77777777" w:rsidR="00E31311" w:rsidRPr="001C0CF3" w:rsidRDefault="00E31311" w:rsidP="001C0CF3">
      <w:pPr>
        <w:spacing w:line="360" w:lineRule="auto"/>
        <w:jc w:val="both"/>
        <w:rPr>
          <w:rFonts w:ascii="Palatino Linotype" w:eastAsia="Palatino Linotype" w:hAnsi="Palatino Linotype" w:cs="Palatino Linotype"/>
          <w:color w:val="000000" w:themeColor="text1"/>
        </w:rPr>
      </w:pPr>
    </w:p>
    <w:p w14:paraId="74F24BD6" w14:textId="77777777" w:rsidR="00E31311" w:rsidRPr="001C0CF3" w:rsidRDefault="00E31311" w:rsidP="001C0CF3">
      <w:pPr>
        <w:spacing w:line="360" w:lineRule="auto"/>
        <w:jc w:val="both"/>
        <w:rPr>
          <w:rFonts w:ascii="Palatino Linotype" w:eastAsia="Palatino Linotype" w:hAnsi="Palatino Linotype" w:cs="Palatino Linotype"/>
          <w:color w:val="000000" w:themeColor="text1"/>
        </w:rPr>
      </w:pPr>
    </w:p>
    <w:p w14:paraId="0E5448B5" w14:textId="77777777" w:rsidR="00E31311" w:rsidRPr="001C0CF3" w:rsidRDefault="00DF6EAE" w:rsidP="001C0CF3">
      <w:pPr>
        <w:tabs>
          <w:tab w:val="left" w:pos="3374"/>
        </w:tabs>
        <w:spacing w:line="360" w:lineRule="auto"/>
        <w:jc w:val="both"/>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ab/>
      </w:r>
    </w:p>
    <w:p w14:paraId="5275F3E3" w14:textId="77777777" w:rsidR="00E31311" w:rsidRPr="001C0CF3" w:rsidRDefault="00E31311" w:rsidP="001C0CF3">
      <w:pPr>
        <w:tabs>
          <w:tab w:val="left" w:pos="3374"/>
        </w:tabs>
        <w:spacing w:line="360" w:lineRule="auto"/>
        <w:jc w:val="both"/>
        <w:rPr>
          <w:rFonts w:ascii="Palatino Linotype" w:eastAsia="Palatino Linotype" w:hAnsi="Palatino Linotype" w:cs="Palatino Linotype"/>
          <w:color w:val="000000" w:themeColor="text1"/>
        </w:rPr>
      </w:pPr>
    </w:p>
    <w:p w14:paraId="121A24C8" w14:textId="77777777" w:rsidR="00E31311" w:rsidRPr="001C0CF3" w:rsidRDefault="00E31311" w:rsidP="001C0CF3">
      <w:pPr>
        <w:tabs>
          <w:tab w:val="left" w:pos="3374"/>
        </w:tabs>
        <w:spacing w:line="360" w:lineRule="auto"/>
        <w:jc w:val="both"/>
        <w:rPr>
          <w:rFonts w:ascii="Palatino Linotype" w:eastAsia="Palatino Linotype" w:hAnsi="Palatino Linotype" w:cs="Palatino Linotype"/>
          <w:color w:val="000000" w:themeColor="text1"/>
        </w:rPr>
      </w:pPr>
    </w:p>
    <w:p w14:paraId="1001D3EB" w14:textId="77777777" w:rsidR="00E31311" w:rsidRPr="001C0CF3" w:rsidRDefault="00E31311" w:rsidP="001C0CF3">
      <w:pPr>
        <w:tabs>
          <w:tab w:val="left" w:pos="3374"/>
        </w:tabs>
        <w:spacing w:line="360" w:lineRule="auto"/>
        <w:jc w:val="both"/>
        <w:rPr>
          <w:rFonts w:ascii="Palatino Linotype" w:eastAsia="Palatino Linotype" w:hAnsi="Palatino Linotype" w:cs="Palatino Linotype"/>
          <w:color w:val="000000" w:themeColor="text1"/>
        </w:rPr>
      </w:pPr>
    </w:p>
    <w:p w14:paraId="312B87E2" w14:textId="77777777" w:rsidR="00E31311" w:rsidRPr="001C0CF3" w:rsidRDefault="00E31311" w:rsidP="001C0CF3">
      <w:pPr>
        <w:tabs>
          <w:tab w:val="left" w:pos="3374"/>
        </w:tabs>
        <w:spacing w:line="360" w:lineRule="auto"/>
        <w:jc w:val="both"/>
        <w:rPr>
          <w:rFonts w:ascii="Palatino Linotype" w:eastAsia="Palatino Linotype" w:hAnsi="Palatino Linotype" w:cs="Palatino Linotype"/>
          <w:color w:val="000000" w:themeColor="text1"/>
        </w:rPr>
      </w:pPr>
    </w:p>
    <w:p w14:paraId="6E08B4B4" w14:textId="77777777" w:rsidR="00E31311" w:rsidRPr="001C0CF3" w:rsidRDefault="00E31311" w:rsidP="001C0CF3">
      <w:pPr>
        <w:tabs>
          <w:tab w:val="left" w:pos="3374"/>
        </w:tabs>
        <w:spacing w:line="360" w:lineRule="auto"/>
        <w:jc w:val="both"/>
        <w:rPr>
          <w:rFonts w:ascii="Palatino Linotype" w:eastAsia="Palatino Linotype" w:hAnsi="Palatino Linotype" w:cs="Palatino Linotype"/>
          <w:color w:val="000000" w:themeColor="text1"/>
        </w:rPr>
      </w:pPr>
    </w:p>
    <w:p w14:paraId="5F0941CB" w14:textId="77777777" w:rsidR="00E31311" w:rsidRPr="001C0CF3" w:rsidRDefault="00E31311" w:rsidP="001C0CF3">
      <w:pPr>
        <w:tabs>
          <w:tab w:val="left" w:pos="3374"/>
        </w:tabs>
        <w:spacing w:line="360" w:lineRule="auto"/>
        <w:jc w:val="both"/>
        <w:rPr>
          <w:rFonts w:ascii="Palatino Linotype" w:eastAsia="Palatino Linotype" w:hAnsi="Palatino Linotype" w:cs="Palatino Linotype"/>
          <w:color w:val="000000" w:themeColor="text1"/>
        </w:rPr>
      </w:pPr>
    </w:p>
    <w:p w14:paraId="012DF1E0" w14:textId="77777777" w:rsidR="00E31311" w:rsidRPr="001C0CF3" w:rsidRDefault="00E31311" w:rsidP="001C0CF3">
      <w:pPr>
        <w:tabs>
          <w:tab w:val="left" w:pos="3374"/>
        </w:tabs>
        <w:spacing w:line="360" w:lineRule="auto"/>
        <w:jc w:val="both"/>
        <w:rPr>
          <w:rFonts w:ascii="Palatino Linotype" w:eastAsia="Palatino Linotype" w:hAnsi="Palatino Linotype" w:cs="Palatino Linotype"/>
          <w:color w:val="000000" w:themeColor="text1"/>
        </w:rPr>
      </w:pPr>
    </w:p>
    <w:p w14:paraId="5AA4CBC8" w14:textId="77777777" w:rsidR="00E31311" w:rsidRPr="001C0CF3" w:rsidRDefault="00E31311" w:rsidP="001C0CF3">
      <w:pPr>
        <w:tabs>
          <w:tab w:val="left" w:pos="3374"/>
        </w:tabs>
        <w:spacing w:line="360" w:lineRule="auto"/>
        <w:jc w:val="both"/>
        <w:rPr>
          <w:rFonts w:ascii="Palatino Linotype" w:eastAsia="Palatino Linotype" w:hAnsi="Palatino Linotype" w:cs="Palatino Linotype"/>
          <w:color w:val="000000" w:themeColor="text1"/>
        </w:rPr>
      </w:pPr>
    </w:p>
    <w:p w14:paraId="1F89CD5C" w14:textId="77777777" w:rsidR="00E31311" w:rsidRPr="001C0CF3" w:rsidRDefault="00E31311" w:rsidP="001C0CF3">
      <w:pPr>
        <w:tabs>
          <w:tab w:val="left" w:pos="3374"/>
        </w:tabs>
        <w:spacing w:line="360" w:lineRule="auto"/>
        <w:jc w:val="both"/>
        <w:rPr>
          <w:rFonts w:ascii="Palatino Linotype" w:eastAsia="Palatino Linotype" w:hAnsi="Palatino Linotype" w:cs="Palatino Linotype"/>
          <w:color w:val="000000" w:themeColor="text1"/>
        </w:rPr>
      </w:pPr>
    </w:p>
    <w:sectPr w:rsidR="00E31311" w:rsidRPr="001C0CF3" w:rsidSect="000C6210">
      <w:headerReference w:type="even" r:id="rId13"/>
      <w:headerReference w:type="default" r:id="rId14"/>
      <w:footerReference w:type="default" r:id="rId15"/>
      <w:headerReference w:type="first" r:id="rId16"/>
      <w:footerReference w:type="first" r:id="rId17"/>
      <w:pgSz w:w="12240" w:h="15840"/>
      <w:pgMar w:top="2268" w:right="758" w:bottom="1843"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A3340" w14:textId="77777777" w:rsidR="00256A9F" w:rsidRDefault="00256A9F">
      <w:r>
        <w:separator/>
      </w:r>
    </w:p>
  </w:endnote>
  <w:endnote w:type="continuationSeparator" w:id="0">
    <w:p w14:paraId="09AD5AFF" w14:textId="77777777" w:rsidR="00256A9F" w:rsidRDefault="00256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84A10" w14:textId="77777777" w:rsidR="0027532C" w:rsidRDefault="0027532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D6507E">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D6507E">
      <w:rPr>
        <w:rFonts w:ascii="Palatino Linotype" w:eastAsia="Palatino Linotype" w:hAnsi="Palatino Linotype" w:cs="Palatino Linotype"/>
        <w:noProof/>
        <w:color w:val="000000"/>
        <w:sz w:val="20"/>
        <w:szCs w:val="20"/>
      </w:rPr>
      <w:t>39</w:t>
    </w:r>
    <w:r>
      <w:rPr>
        <w:rFonts w:ascii="Palatino Linotype" w:eastAsia="Palatino Linotype" w:hAnsi="Palatino Linotype" w:cs="Palatino Linotype"/>
        <w:color w:val="000000"/>
        <w:sz w:val="20"/>
        <w:szCs w:val="20"/>
      </w:rPr>
      <w:fldChar w:fldCharType="end"/>
    </w:r>
  </w:p>
  <w:p w14:paraId="1F8E410C" w14:textId="77777777" w:rsidR="0027532C" w:rsidRDefault="0027532C">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5DF14" w14:textId="77777777" w:rsidR="0027532C" w:rsidRDefault="0027532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D6507E">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D6507E">
      <w:rPr>
        <w:rFonts w:ascii="Palatino Linotype" w:eastAsia="Palatino Linotype" w:hAnsi="Palatino Linotype" w:cs="Palatino Linotype"/>
        <w:noProof/>
        <w:color w:val="000000"/>
        <w:sz w:val="20"/>
        <w:szCs w:val="20"/>
      </w:rPr>
      <w:t>39</w:t>
    </w:r>
    <w:r>
      <w:rPr>
        <w:rFonts w:ascii="Palatino Linotype" w:eastAsia="Palatino Linotype" w:hAnsi="Palatino Linotype" w:cs="Palatino Linotype"/>
        <w:color w:val="000000"/>
        <w:sz w:val="20"/>
        <w:szCs w:val="20"/>
      </w:rPr>
      <w:fldChar w:fldCharType="end"/>
    </w:r>
  </w:p>
  <w:p w14:paraId="585C0264" w14:textId="77777777" w:rsidR="0027532C" w:rsidRDefault="0027532C">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68EA2" w14:textId="77777777" w:rsidR="00256A9F" w:rsidRDefault="00256A9F">
      <w:r>
        <w:separator/>
      </w:r>
    </w:p>
  </w:footnote>
  <w:footnote w:type="continuationSeparator" w:id="0">
    <w:p w14:paraId="28CF35A9" w14:textId="77777777" w:rsidR="00256A9F" w:rsidRDefault="00256A9F">
      <w:r>
        <w:continuationSeparator/>
      </w:r>
    </w:p>
  </w:footnote>
  <w:footnote w:id="1">
    <w:p w14:paraId="700B2D2F" w14:textId="77777777" w:rsidR="0027532C" w:rsidRDefault="0027532C" w:rsidP="00A448A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77D14A80" w14:textId="77777777" w:rsidR="0027532C" w:rsidRDefault="0027532C" w:rsidP="00A448A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3323F607" w14:textId="77777777" w:rsidR="0027532C" w:rsidRDefault="0027532C" w:rsidP="00A448A3">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14:paraId="05A2492E" w14:textId="77777777" w:rsidR="0027532C" w:rsidRDefault="0027532C" w:rsidP="00A448A3">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14:paraId="3DDE2CFF" w14:textId="77777777" w:rsidR="0027532C" w:rsidRDefault="0027532C" w:rsidP="00A448A3">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14:paraId="0F7110D3" w14:textId="77777777" w:rsidR="0027532C" w:rsidRDefault="0027532C" w:rsidP="00A448A3">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14:paraId="7F9F2E7D" w14:textId="77777777" w:rsidR="0027532C" w:rsidRDefault="0027532C" w:rsidP="00A448A3">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18C76853" w14:textId="77777777" w:rsidR="0027532C" w:rsidRDefault="0027532C" w:rsidP="00A448A3">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B5DF8" w14:textId="77777777" w:rsidR="0027532C" w:rsidRDefault="00256A9F">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740F8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654" w:type="dxa"/>
      <w:tblInd w:w="2694" w:type="dxa"/>
      <w:tblLayout w:type="fixed"/>
      <w:tblLook w:val="0400" w:firstRow="0" w:lastRow="0" w:firstColumn="0" w:lastColumn="0" w:noHBand="0" w:noVBand="1"/>
    </w:tblPr>
    <w:tblGrid>
      <w:gridCol w:w="2976"/>
      <w:gridCol w:w="4678"/>
    </w:tblGrid>
    <w:tr w:rsidR="0027532C" w14:paraId="711F0762" w14:textId="77777777" w:rsidTr="001C0CF3">
      <w:trPr>
        <w:trHeight w:val="227"/>
      </w:trPr>
      <w:tc>
        <w:tcPr>
          <w:tcW w:w="2976" w:type="dxa"/>
          <w:vAlign w:val="center"/>
        </w:tcPr>
        <w:p w14:paraId="2381561A" w14:textId="77777777" w:rsidR="0027532C" w:rsidRPr="001C0CF3" w:rsidRDefault="0027532C" w:rsidP="001C0CF3">
          <w:pPr>
            <w:ind w:right="34"/>
            <w:jc w:val="right"/>
            <w:rPr>
              <w:rFonts w:ascii="Palatino Linotype" w:eastAsia="Palatino Linotype" w:hAnsi="Palatino Linotype" w:cs="Palatino Linotype"/>
              <w:b/>
              <w:color w:val="000000" w:themeColor="text1"/>
            </w:rPr>
          </w:pPr>
          <w:r w:rsidRPr="001C0CF3">
            <w:rPr>
              <w:rFonts w:ascii="Palatino Linotype" w:eastAsia="Palatino Linotype" w:hAnsi="Palatino Linotype" w:cs="Palatino Linotype"/>
              <w:b/>
              <w:color w:val="000000" w:themeColor="text1"/>
            </w:rPr>
            <w:t>Recurso de Revisión:</w:t>
          </w:r>
        </w:p>
      </w:tc>
      <w:tc>
        <w:tcPr>
          <w:tcW w:w="4678" w:type="dxa"/>
          <w:vAlign w:val="center"/>
        </w:tcPr>
        <w:p w14:paraId="33D0ECF3" w14:textId="67C7BF80" w:rsidR="0027532C" w:rsidRPr="001C0CF3" w:rsidRDefault="0027532C" w:rsidP="001C0CF3">
          <w:pPr>
            <w:pBdr>
              <w:top w:val="nil"/>
              <w:left w:val="nil"/>
              <w:bottom w:val="nil"/>
              <w:right w:val="nil"/>
              <w:between w:val="nil"/>
            </w:pBdr>
            <w:tabs>
              <w:tab w:val="right" w:pos="8838"/>
            </w:tabs>
            <w:rPr>
              <w:rFonts w:ascii="Palatino Linotype" w:eastAsia="Palatino Linotype" w:hAnsi="Palatino Linotype" w:cs="Palatino Linotype"/>
              <w:color w:val="000000" w:themeColor="text1"/>
              <w:highlight w:val="green"/>
            </w:rPr>
          </w:pPr>
          <w:r w:rsidRPr="001C0CF3">
            <w:rPr>
              <w:rFonts w:ascii="Palatino Linotype" w:eastAsia="Palatino Linotype" w:hAnsi="Palatino Linotype" w:cs="Palatino Linotype"/>
              <w:color w:val="000000" w:themeColor="text1"/>
            </w:rPr>
            <w:t>04443/INFOEM/IP/RR/2025</w:t>
          </w:r>
        </w:p>
      </w:tc>
    </w:tr>
    <w:tr w:rsidR="0027532C" w14:paraId="0486EFBB" w14:textId="77777777" w:rsidTr="001C0CF3">
      <w:trPr>
        <w:trHeight w:val="242"/>
      </w:trPr>
      <w:tc>
        <w:tcPr>
          <w:tcW w:w="2976" w:type="dxa"/>
          <w:vAlign w:val="center"/>
        </w:tcPr>
        <w:p w14:paraId="4E6B2406" w14:textId="77777777" w:rsidR="0027532C" w:rsidRPr="001C0CF3" w:rsidRDefault="0027532C" w:rsidP="001C0CF3">
          <w:pPr>
            <w:ind w:right="34"/>
            <w:jc w:val="right"/>
            <w:rPr>
              <w:rFonts w:ascii="Palatino Linotype" w:eastAsia="Palatino Linotype" w:hAnsi="Palatino Linotype" w:cs="Palatino Linotype"/>
              <w:b/>
              <w:color w:val="000000" w:themeColor="text1"/>
            </w:rPr>
          </w:pPr>
          <w:r w:rsidRPr="001C0CF3">
            <w:rPr>
              <w:rFonts w:ascii="Palatino Linotype" w:eastAsia="Palatino Linotype" w:hAnsi="Palatino Linotype" w:cs="Palatino Linotype"/>
              <w:b/>
              <w:color w:val="000000" w:themeColor="text1"/>
            </w:rPr>
            <w:t>Sujeto Obligado:</w:t>
          </w:r>
        </w:p>
      </w:tc>
      <w:tc>
        <w:tcPr>
          <w:tcW w:w="4678" w:type="dxa"/>
          <w:vAlign w:val="center"/>
        </w:tcPr>
        <w:p w14:paraId="7F51E9E5" w14:textId="7B2C92E3" w:rsidR="0027532C" w:rsidRPr="001C0CF3" w:rsidRDefault="0027532C" w:rsidP="001C0CF3">
          <w:pPr>
            <w:pBdr>
              <w:top w:val="nil"/>
              <w:left w:val="nil"/>
              <w:bottom w:val="nil"/>
              <w:right w:val="nil"/>
              <w:between w:val="nil"/>
            </w:pBdr>
            <w:tabs>
              <w:tab w:val="right" w:pos="8838"/>
            </w:tabs>
            <w:jc w:val="both"/>
            <w:rPr>
              <w:rFonts w:ascii="Palatino Linotype" w:eastAsia="Palatino Linotype" w:hAnsi="Palatino Linotype" w:cs="Palatino Linotype"/>
              <w:color w:val="000000" w:themeColor="text1"/>
              <w:highlight w:val="green"/>
            </w:rPr>
          </w:pPr>
          <w:r w:rsidRPr="001C0CF3">
            <w:rPr>
              <w:rFonts w:ascii="Palatino Linotype" w:eastAsia="Palatino Linotype" w:hAnsi="Palatino Linotype" w:cs="Palatino Linotype"/>
              <w:color w:val="000000" w:themeColor="text1"/>
            </w:rPr>
            <w:t>Ayuntamiento de Almoloya de Juárez</w:t>
          </w:r>
        </w:p>
      </w:tc>
    </w:tr>
    <w:tr w:rsidR="0027532C" w14:paraId="6592E54E" w14:textId="77777777" w:rsidTr="001C0CF3">
      <w:trPr>
        <w:trHeight w:val="342"/>
      </w:trPr>
      <w:tc>
        <w:tcPr>
          <w:tcW w:w="2976" w:type="dxa"/>
          <w:vAlign w:val="center"/>
        </w:tcPr>
        <w:p w14:paraId="47A77E06" w14:textId="77777777" w:rsidR="0027532C" w:rsidRPr="001C0CF3" w:rsidRDefault="0027532C" w:rsidP="001C0CF3">
          <w:pPr>
            <w:ind w:right="34"/>
            <w:jc w:val="right"/>
            <w:rPr>
              <w:rFonts w:ascii="Palatino Linotype" w:eastAsia="Palatino Linotype" w:hAnsi="Palatino Linotype" w:cs="Palatino Linotype"/>
              <w:b/>
              <w:color w:val="000000" w:themeColor="text1"/>
            </w:rPr>
          </w:pPr>
          <w:r w:rsidRPr="001C0CF3">
            <w:rPr>
              <w:rFonts w:ascii="Palatino Linotype" w:eastAsia="Palatino Linotype" w:hAnsi="Palatino Linotype" w:cs="Palatino Linotype"/>
              <w:b/>
              <w:color w:val="000000" w:themeColor="text1"/>
            </w:rPr>
            <w:t>Comisionada Ponente:</w:t>
          </w:r>
        </w:p>
      </w:tc>
      <w:tc>
        <w:tcPr>
          <w:tcW w:w="4678" w:type="dxa"/>
          <w:vAlign w:val="center"/>
        </w:tcPr>
        <w:p w14:paraId="7F9A82A5" w14:textId="77777777" w:rsidR="0027532C" w:rsidRPr="001C0CF3" w:rsidRDefault="0027532C" w:rsidP="001C0CF3">
          <w:pPr>
            <w:pBdr>
              <w:top w:val="nil"/>
              <w:left w:val="nil"/>
              <w:bottom w:val="nil"/>
              <w:right w:val="nil"/>
              <w:between w:val="nil"/>
            </w:pBdr>
            <w:tabs>
              <w:tab w:val="right" w:pos="8838"/>
            </w:tabs>
            <w:rPr>
              <w:rFonts w:ascii="Palatino Linotype" w:eastAsia="Palatino Linotype" w:hAnsi="Palatino Linotype" w:cs="Palatino Linotype"/>
              <w:color w:val="000000" w:themeColor="text1"/>
            </w:rPr>
          </w:pPr>
          <w:r w:rsidRPr="001C0CF3">
            <w:rPr>
              <w:rFonts w:ascii="Palatino Linotype" w:eastAsia="Palatino Linotype" w:hAnsi="Palatino Linotype" w:cs="Palatino Linotype"/>
              <w:color w:val="000000" w:themeColor="text1"/>
            </w:rPr>
            <w:t>María del Rosario Mejía Ayala</w:t>
          </w:r>
        </w:p>
      </w:tc>
    </w:tr>
  </w:tbl>
  <w:p w14:paraId="4F73DACB" w14:textId="77777777" w:rsidR="0027532C" w:rsidRDefault="00256A9F">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w14:anchorId="136863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8363" w:type="dxa"/>
      <w:tblInd w:w="2835" w:type="dxa"/>
      <w:tblLayout w:type="fixed"/>
      <w:tblLook w:val="0400" w:firstRow="0" w:lastRow="0" w:firstColumn="0" w:lastColumn="0" w:noHBand="0" w:noVBand="1"/>
    </w:tblPr>
    <w:tblGrid>
      <w:gridCol w:w="2977"/>
      <w:gridCol w:w="5386"/>
    </w:tblGrid>
    <w:tr w:rsidR="0027532C" w14:paraId="47CAF126" w14:textId="77777777" w:rsidTr="000C6210">
      <w:trPr>
        <w:trHeight w:val="227"/>
      </w:trPr>
      <w:tc>
        <w:tcPr>
          <w:tcW w:w="2977" w:type="dxa"/>
          <w:vAlign w:val="center"/>
        </w:tcPr>
        <w:p w14:paraId="5157749A" w14:textId="77777777" w:rsidR="0027532C" w:rsidRPr="001C0CF3" w:rsidRDefault="0027532C">
          <w:pPr>
            <w:jc w:val="right"/>
            <w:rPr>
              <w:rFonts w:ascii="Palatino Linotype" w:eastAsia="Palatino Linotype" w:hAnsi="Palatino Linotype" w:cs="Palatino Linotype"/>
              <w:b/>
            </w:rPr>
          </w:pPr>
          <w:r w:rsidRPr="001C0CF3">
            <w:rPr>
              <w:rFonts w:ascii="Palatino Linotype" w:eastAsia="Palatino Linotype" w:hAnsi="Palatino Linotype" w:cs="Palatino Linotype"/>
              <w:b/>
            </w:rPr>
            <w:t>Recurso de Revisión:</w:t>
          </w:r>
        </w:p>
      </w:tc>
      <w:tc>
        <w:tcPr>
          <w:tcW w:w="5386" w:type="dxa"/>
          <w:vAlign w:val="center"/>
        </w:tcPr>
        <w:p w14:paraId="2321190E" w14:textId="239D621F" w:rsidR="0027532C" w:rsidRPr="001C0CF3" w:rsidRDefault="0027532C" w:rsidP="001C0CF3">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sidRPr="001C0CF3">
            <w:rPr>
              <w:rFonts w:ascii="Palatino Linotype" w:eastAsia="Palatino Linotype" w:hAnsi="Palatino Linotype" w:cs="Palatino Linotype"/>
              <w:color w:val="000000"/>
            </w:rPr>
            <w:t>04443/INFOEM/IP/RR/2025</w:t>
          </w:r>
        </w:p>
      </w:tc>
    </w:tr>
    <w:tr w:rsidR="0027532C" w14:paraId="150D4D97" w14:textId="77777777" w:rsidTr="000C6210">
      <w:trPr>
        <w:trHeight w:val="242"/>
      </w:trPr>
      <w:tc>
        <w:tcPr>
          <w:tcW w:w="2977" w:type="dxa"/>
          <w:vAlign w:val="center"/>
        </w:tcPr>
        <w:p w14:paraId="4F920815" w14:textId="77777777" w:rsidR="0027532C" w:rsidRPr="001C0CF3" w:rsidRDefault="0027532C">
          <w:pPr>
            <w:jc w:val="right"/>
            <w:rPr>
              <w:rFonts w:ascii="Palatino Linotype" w:eastAsia="Palatino Linotype" w:hAnsi="Palatino Linotype" w:cs="Palatino Linotype"/>
              <w:b/>
            </w:rPr>
          </w:pPr>
          <w:r w:rsidRPr="001C0CF3">
            <w:rPr>
              <w:rFonts w:ascii="Palatino Linotype" w:eastAsia="Palatino Linotype" w:hAnsi="Palatino Linotype" w:cs="Palatino Linotype"/>
              <w:b/>
            </w:rPr>
            <w:t>Recurrente:</w:t>
          </w:r>
        </w:p>
      </w:tc>
      <w:tc>
        <w:tcPr>
          <w:tcW w:w="5386" w:type="dxa"/>
        </w:tcPr>
        <w:p w14:paraId="304D0032" w14:textId="74B9C309" w:rsidR="0027532C" w:rsidRPr="001C0CF3" w:rsidRDefault="00D6507E" w:rsidP="001C0CF3">
          <w:pPr>
            <w:pBdr>
              <w:top w:val="nil"/>
              <w:left w:val="nil"/>
              <w:bottom w:val="nil"/>
              <w:right w:val="nil"/>
              <w:between w:val="nil"/>
            </w:pBdr>
            <w:tabs>
              <w:tab w:val="right" w:pos="8838"/>
              <w:tab w:val="left" w:pos="521"/>
            </w:tabs>
            <w:rPr>
              <w:rFonts w:ascii="Palatino Linotype" w:eastAsia="Palatino Linotype" w:hAnsi="Palatino Linotype" w:cs="Palatino Linotype"/>
              <w:highlight w:val="green"/>
            </w:rPr>
          </w:pPr>
          <w:r>
            <w:rPr>
              <w:rFonts w:ascii="Palatino Linotype" w:eastAsia="Palatino Linotype" w:hAnsi="Palatino Linotype" w:cs="Palatino Linotype"/>
            </w:rPr>
            <w:t>XXXX</w:t>
          </w:r>
        </w:p>
      </w:tc>
    </w:tr>
    <w:tr w:rsidR="0027532C" w14:paraId="76942F6F" w14:textId="77777777" w:rsidTr="000C6210">
      <w:trPr>
        <w:trHeight w:val="342"/>
      </w:trPr>
      <w:tc>
        <w:tcPr>
          <w:tcW w:w="2977" w:type="dxa"/>
          <w:vAlign w:val="center"/>
        </w:tcPr>
        <w:p w14:paraId="3A666203" w14:textId="77777777" w:rsidR="0027532C" w:rsidRPr="001C0CF3" w:rsidRDefault="0027532C">
          <w:pPr>
            <w:jc w:val="right"/>
            <w:rPr>
              <w:rFonts w:ascii="Palatino Linotype" w:eastAsia="Palatino Linotype" w:hAnsi="Palatino Linotype" w:cs="Palatino Linotype"/>
              <w:b/>
            </w:rPr>
          </w:pPr>
          <w:r w:rsidRPr="001C0CF3">
            <w:rPr>
              <w:rFonts w:ascii="Palatino Linotype" w:eastAsia="Palatino Linotype" w:hAnsi="Palatino Linotype" w:cs="Palatino Linotype"/>
              <w:b/>
            </w:rPr>
            <w:t>Sujeto Obligado:</w:t>
          </w:r>
        </w:p>
      </w:tc>
      <w:tc>
        <w:tcPr>
          <w:tcW w:w="5386" w:type="dxa"/>
          <w:vAlign w:val="center"/>
        </w:tcPr>
        <w:p w14:paraId="04CAE3DC" w14:textId="6083C070" w:rsidR="0027532C" w:rsidRPr="001C0CF3" w:rsidRDefault="0027532C" w:rsidP="001C0CF3">
          <w:pPr>
            <w:pBdr>
              <w:top w:val="nil"/>
              <w:left w:val="nil"/>
              <w:bottom w:val="nil"/>
              <w:right w:val="nil"/>
              <w:between w:val="nil"/>
            </w:pBdr>
            <w:tabs>
              <w:tab w:val="right" w:pos="8838"/>
            </w:tabs>
            <w:jc w:val="both"/>
            <w:rPr>
              <w:rFonts w:ascii="Palatino Linotype" w:eastAsia="Palatino Linotype" w:hAnsi="Palatino Linotype" w:cs="Palatino Linotype"/>
              <w:color w:val="000000"/>
              <w:highlight w:val="green"/>
            </w:rPr>
          </w:pPr>
          <w:r w:rsidRPr="001C0CF3">
            <w:rPr>
              <w:rFonts w:ascii="Palatino Linotype" w:eastAsia="Palatino Linotype" w:hAnsi="Palatino Linotype" w:cs="Palatino Linotype"/>
              <w:color w:val="000000"/>
            </w:rPr>
            <w:t>Ayuntamiento de Almoloya de Juárez</w:t>
          </w:r>
        </w:p>
      </w:tc>
    </w:tr>
    <w:tr w:rsidR="0027532C" w14:paraId="41E21AE0" w14:textId="77777777" w:rsidTr="000C6210">
      <w:trPr>
        <w:trHeight w:val="342"/>
      </w:trPr>
      <w:tc>
        <w:tcPr>
          <w:tcW w:w="2977" w:type="dxa"/>
          <w:vAlign w:val="center"/>
        </w:tcPr>
        <w:p w14:paraId="2DEC9E3A" w14:textId="77777777" w:rsidR="0027532C" w:rsidRPr="001C0CF3" w:rsidRDefault="0027532C">
          <w:pPr>
            <w:jc w:val="right"/>
            <w:rPr>
              <w:rFonts w:ascii="Palatino Linotype" w:eastAsia="Palatino Linotype" w:hAnsi="Palatino Linotype" w:cs="Palatino Linotype"/>
              <w:b/>
            </w:rPr>
          </w:pPr>
          <w:r w:rsidRPr="001C0CF3">
            <w:rPr>
              <w:rFonts w:ascii="Palatino Linotype" w:eastAsia="Palatino Linotype" w:hAnsi="Palatino Linotype" w:cs="Palatino Linotype"/>
              <w:b/>
            </w:rPr>
            <w:t>Comisionada Ponente:</w:t>
          </w:r>
        </w:p>
      </w:tc>
      <w:tc>
        <w:tcPr>
          <w:tcW w:w="5386" w:type="dxa"/>
          <w:vAlign w:val="center"/>
        </w:tcPr>
        <w:p w14:paraId="697ED5EF" w14:textId="77777777" w:rsidR="0027532C" w:rsidRPr="001C0CF3" w:rsidRDefault="0027532C" w:rsidP="001C0CF3">
          <w:pPr>
            <w:pBdr>
              <w:top w:val="nil"/>
              <w:left w:val="nil"/>
              <w:bottom w:val="nil"/>
              <w:right w:val="nil"/>
              <w:between w:val="nil"/>
            </w:pBdr>
            <w:tabs>
              <w:tab w:val="right" w:pos="8838"/>
            </w:tabs>
            <w:rPr>
              <w:rFonts w:ascii="Palatino Linotype" w:eastAsia="Palatino Linotype" w:hAnsi="Palatino Linotype" w:cs="Palatino Linotype"/>
              <w:color w:val="000000"/>
            </w:rPr>
          </w:pPr>
          <w:r w:rsidRPr="001C0CF3">
            <w:rPr>
              <w:rFonts w:ascii="Palatino Linotype" w:eastAsia="Palatino Linotype" w:hAnsi="Palatino Linotype" w:cs="Palatino Linotype"/>
              <w:color w:val="000000"/>
            </w:rPr>
            <w:t>María del Rosario Mejía Ayala</w:t>
          </w:r>
        </w:p>
      </w:tc>
    </w:tr>
  </w:tbl>
  <w:p w14:paraId="1A2DD02E" w14:textId="77777777" w:rsidR="0027532C" w:rsidRDefault="00256A9F">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26C5C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2401D"/>
    <w:multiLevelType w:val="multilevel"/>
    <w:tmpl w:val="C6F089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FC00E5"/>
    <w:multiLevelType w:val="multilevel"/>
    <w:tmpl w:val="00200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DF59BC"/>
    <w:multiLevelType w:val="multilevel"/>
    <w:tmpl w:val="66D2FDAA"/>
    <w:lvl w:ilvl="0">
      <w:start w:val="1"/>
      <w:numFmt w:val="bullet"/>
      <w:lvlText w:val=""/>
      <w:lvlJc w:val="left"/>
      <w:pPr>
        <w:ind w:left="720" w:hanging="360"/>
      </w:pPr>
      <w:rPr>
        <w:rFonts w:ascii="Symbol" w:hAnsi="Symbol" w:hint="default"/>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6777BF4"/>
    <w:multiLevelType w:val="hybridMultilevel"/>
    <w:tmpl w:val="4710BB7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DB0BF5"/>
    <w:multiLevelType w:val="multilevel"/>
    <w:tmpl w:val="E084DBA0"/>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69476B"/>
    <w:multiLevelType w:val="hybridMultilevel"/>
    <w:tmpl w:val="20B29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5D3A1E"/>
    <w:multiLevelType w:val="multilevel"/>
    <w:tmpl w:val="8698D6B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199350E5"/>
    <w:multiLevelType w:val="hybridMultilevel"/>
    <w:tmpl w:val="2EDC35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A7D6BF8"/>
    <w:multiLevelType w:val="hybridMultilevel"/>
    <w:tmpl w:val="0CD24E90"/>
    <w:lvl w:ilvl="0" w:tplc="080A0001">
      <w:start w:val="1"/>
      <w:numFmt w:val="bullet"/>
      <w:lvlText w:val=""/>
      <w:lvlJc w:val="left"/>
      <w:pPr>
        <w:ind w:left="1498" w:hanging="360"/>
      </w:pPr>
      <w:rPr>
        <w:rFonts w:ascii="Symbol" w:hAnsi="Symbol"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9" w15:restartNumberingAfterBreak="0">
    <w:nsid w:val="1B2D5048"/>
    <w:multiLevelType w:val="multilevel"/>
    <w:tmpl w:val="4FACD004"/>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8"/>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B66C04"/>
    <w:multiLevelType w:val="hybridMultilevel"/>
    <w:tmpl w:val="517A1F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8365323"/>
    <w:multiLevelType w:val="multilevel"/>
    <w:tmpl w:val="4434E6B8"/>
    <w:lvl w:ilvl="0">
      <w:start w:val="1"/>
      <w:numFmt w:val="decimal"/>
      <w:lvlText w:val="%1."/>
      <w:lvlJc w:val="left"/>
      <w:pPr>
        <w:ind w:left="644"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BA5260"/>
    <w:multiLevelType w:val="multilevel"/>
    <w:tmpl w:val="DB304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42298C"/>
    <w:multiLevelType w:val="multilevel"/>
    <w:tmpl w:val="531E0EEA"/>
    <w:lvl w:ilvl="0">
      <w:start w:val="1"/>
      <w:numFmt w:val="decimal"/>
      <w:lvlText w:val="%1."/>
      <w:lvlJc w:val="left"/>
      <w:pPr>
        <w:ind w:left="359"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3196"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561888"/>
    <w:multiLevelType w:val="multilevel"/>
    <w:tmpl w:val="ACCC93AE"/>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7F0B3C"/>
    <w:multiLevelType w:val="multilevel"/>
    <w:tmpl w:val="6AAE189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306766A"/>
    <w:multiLevelType w:val="multilevel"/>
    <w:tmpl w:val="40B48C68"/>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43606DC1"/>
    <w:multiLevelType w:val="hybridMultilevel"/>
    <w:tmpl w:val="9DA08CA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44EE1296"/>
    <w:multiLevelType w:val="multilevel"/>
    <w:tmpl w:val="4F06203C"/>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0" w15:restartNumberingAfterBreak="0">
    <w:nsid w:val="49162466"/>
    <w:multiLevelType w:val="multilevel"/>
    <w:tmpl w:val="35CAE1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49481B3B"/>
    <w:multiLevelType w:val="hybridMultilevel"/>
    <w:tmpl w:val="346429AE"/>
    <w:lvl w:ilvl="0" w:tplc="E17E487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537B66FE"/>
    <w:multiLevelType w:val="multilevel"/>
    <w:tmpl w:val="B464E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3F11811"/>
    <w:multiLevelType w:val="multilevel"/>
    <w:tmpl w:val="0568B9FC"/>
    <w:lvl w:ilvl="0">
      <w:start w:val="1"/>
      <w:numFmt w:val="decimal"/>
      <w:lvlText w:val="%1."/>
      <w:lvlJc w:val="left"/>
      <w:pPr>
        <w:ind w:left="644" w:hanging="358"/>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590B3B35"/>
    <w:multiLevelType w:val="multilevel"/>
    <w:tmpl w:val="551200D6"/>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26" w15:restartNumberingAfterBreak="0">
    <w:nsid w:val="5A177B67"/>
    <w:multiLevelType w:val="multilevel"/>
    <w:tmpl w:val="D236FA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0C4DB2"/>
    <w:multiLevelType w:val="multilevel"/>
    <w:tmpl w:val="C5306C4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A9686B"/>
    <w:multiLevelType w:val="multilevel"/>
    <w:tmpl w:val="4064CE7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30" w15:restartNumberingAfterBreak="0">
    <w:nsid w:val="63E51343"/>
    <w:multiLevelType w:val="hybridMultilevel"/>
    <w:tmpl w:val="F0464C62"/>
    <w:lvl w:ilvl="0" w:tplc="C4DE36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665A5835"/>
    <w:multiLevelType w:val="multilevel"/>
    <w:tmpl w:val="BAD6327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AA0407A"/>
    <w:multiLevelType w:val="hybridMultilevel"/>
    <w:tmpl w:val="41D8750E"/>
    <w:lvl w:ilvl="0" w:tplc="14F8B11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6B086ED3"/>
    <w:multiLevelType w:val="multilevel"/>
    <w:tmpl w:val="DD8C0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EF62B62"/>
    <w:multiLevelType w:val="multilevel"/>
    <w:tmpl w:val="F1304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2451CE5"/>
    <w:multiLevelType w:val="multilevel"/>
    <w:tmpl w:val="700E4C1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6" w15:restartNumberingAfterBreak="0">
    <w:nsid w:val="728648D0"/>
    <w:multiLevelType w:val="hybridMultilevel"/>
    <w:tmpl w:val="21B0B1D6"/>
    <w:lvl w:ilvl="0" w:tplc="26FE601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3CE7B48"/>
    <w:multiLevelType w:val="multilevel"/>
    <w:tmpl w:val="83560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5C26308"/>
    <w:multiLevelType w:val="multilevel"/>
    <w:tmpl w:val="CC5CA2F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8C33608"/>
    <w:multiLevelType w:val="multilevel"/>
    <w:tmpl w:val="0BECB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A891DE8"/>
    <w:multiLevelType w:val="hybridMultilevel"/>
    <w:tmpl w:val="611A79E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7F3C7353"/>
    <w:multiLevelType w:val="multilevel"/>
    <w:tmpl w:val="EC84365C"/>
    <w:lvl w:ilvl="0">
      <w:start w:val="1"/>
      <w:numFmt w:val="lowerLetter"/>
      <w:lvlText w:val="%1)"/>
      <w:lvlJc w:val="left"/>
      <w:pPr>
        <w:ind w:left="1713" w:hanging="360"/>
      </w:pPr>
      <w:rPr>
        <w:b/>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num w:numId="1">
    <w:abstractNumId w:val="38"/>
  </w:num>
  <w:num w:numId="2">
    <w:abstractNumId w:val="25"/>
  </w:num>
  <w:num w:numId="3">
    <w:abstractNumId w:val="11"/>
  </w:num>
  <w:num w:numId="4">
    <w:abstractNumId w:val="29"/>
  </w:num>
  <w:num w:numId="5">
    <w:abstractNumId w:val="6"/>
  </w:num>
  <w:num w:numId="6">
    <w:abstractNumId w:val="7"/>
  </w:num>
  <w:num w:numId="7">
    <w:abstractNumId w:val="40"/>
  </w:num>
  <w:num w:numId="8">
    <w:abstractNumId w:val="8"/>
  </w:num>
  <w:num w:numId="9">
    <w:abstractNumId w:val="14"/>
  </w:num>
  <w:num w:numId="10">
    <w:abstractNumId w:val="13"/>
  </w:num>
  <w:num w:numId="11">
    <w:abstractNumId w:val="21"/>
  </w:num>
  <w:num w:numId="12">
    <w:abstractNumId w:val="18"/>
  </w:num>
  <w:num w:numId="13">
    <w:abstractNumId w:val="26"/>
  </w:num>
  <w:num w:numId="14">
    <w:abstractNumId w:val="15"/>
  </w:num>
  <w:num w:numId="15">
    <w:abstractNumId w:val="20"/>
  </w:num>
  <w:num w:numId="16">
    <w:abstractNumId w:val="10"/>
  </w:num>
  <w:num w:numId="17">
    <w:abstractNumId w:val="28"/>
  </w:num>
  <w:num w:numId="18">
    <w:abstractNumId w:val="35"/>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41"/>
  </w:num>
  <w:num w:numId="22">
    <w:abstractNumId w:val="36"/>
  </w:num>
  <w:num w:numId="23">
    <w:abstractNumId w:val="3"/>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7"/>
  </w:num>
  <w:num w:numId="28">
    <w:abstractNumId w:val="9"/>
  </w:num>
  <w:num w:numId="29">
    <w:abstractNumId w:val="5"/>
  </w:num>
  <w:num w:numId="30">
    <w:abstractNumId w:val="31"/>
  </w:num>
  <w:num w:numId="31">
    <w:abstractNumId w:val="39"/>
  </w:num>
  <w:num w:numId="32">
    <w:abstractNumId w:val="33"/>
  </w:num>
  <w:num w:numId="33">
    <w:abstractNumId w:val="19"/>
  </w:num>
  <w:num w:numId="34">
    <w:abstractNumId w:val="22"/>
  </w:num>
  <w:num w:numId="35">
    <w:abstractNumId w:val="12"/>
  </w:num>
  <w:num w:numId="36">
    <w:abstractNumId w:val="37"/>
  </w:num>
  <w:num w:numId="37">
    <w:abstractNumId w:val="34"/>
  </w:num>
  <w:num w:numId="38">
    <w:abstractNumId w:val="17"/>
  </w:num>
  <w:num w:numId="39">
    <w:abstractNumId w:val="0"/>
  </w:num>
  <w:num w:numId="40">
    <w:abstractNumId w:val="1"/>
  </w:num>
  <w:num w:numId="41">
    <w:abstractNumId w:val="2"/>
  </w:num>
  <w:num w:numId="42">
    <w:abstractNumId w:val="16"/>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311"/>
    <w:rsid w:val="000121A2"/>
    <w:rsid w:val="00014868"/>
    <w:rsid w:val="00026FCC"/>
    <w:rsid w:val="00035F7A"/>
    <w:rsid w:val="00053058"/>
    <w:rsid w:val="00053794"/>
    <w:rsid w:val="00060749"/>
    <w:rsid w:val="00067153"/>
    <w:rsid w:val="0007156C"/>
    <w:rsid w:val="000B1552"/>
    <w:rsid w:val="000C6210"/>
    <w:rsid w:val="000D1587"/>
    <w:rsid w:val="000D1C97"/>
    <w:rsid w:val="000E1E57"/>
    <w:rsid w:val="0010095F"/>
    <w:rsid w:val="0010341E"/>
    <w:rsid w:val="00110519"/>
    <w:rsid w:val="00141693"/>
    <w:rsid w:val="00150225"/>
    <w:rsid w:val="001660E4"/>
    <w:rsid w:val="00167EAE"/>
    <w:rsid w:val="001751BA"/>
    <w:rsid w:val="00177064"/>
    <w:rsid w:val="001A5A2D"/>
    <w:rsid w:val="001A6C55"/>
    <w:rsid w:val="001B560B"/>
    <w:rsid w:val="001C0CF3"/>
    <w:rsid w:val="001C2DE1"/>
    <w:rsid w:val="001C3493"/>
    <w:rsid w:val="001D3C85"/>
    <w:rsid w:val="002008D5"/>
    <w:rsid w:val="00225E9D"/>
    <w:rsid w:val="00230DA5"/>
    <w:rsid w:val="00236042"/>
    <w:rsid w:val="002527DC"/>
    <w:rsid w:val="00256A9F"/>
    <w:rsid w:val="0026278A"/>
    <w:rsid w:val="00270C40"/>
    <w:rsid w:val="00271F83"/>
    <w:rsid w:val="0027532C"/>
    <w:rsid w:val="00293D4F"/>
    <w:rsid w:val="002A206D"/>
    <w:rsid w:val="002A2988"/>
    <w:rsid w:val="002E46FD"/>
    <w:rsid w:val="002F0B1D"/>
    <w:rsid w:val="002F71A2"/>
    <w:rsid w:val="003142E9"/>
    <w:rsid w:val="00315842"/>
    <w:rsid w:val="003213C3"/>
    <w:rsid w:val="003348C6"/>
    <w:rsid w:val="00345480"/>
    <w:rsid w:val="003660CB"/>
    <w:rsid w:val="00370DEE"/>
    <w:rsid w:val="0038108A"/>
    <w:rsid w:val="00383965"/>
    <w:rsid w:val="003961D2"/>
    <w:rsid w:val="003A058D"/>
    <w:rsid w:val="003B3844"/>
    <w:rsid w:val="003B42C1"/>
    <w:rsid w:val="003C5FD9"/>
    <w:rsid w:val="003E5D13"/>
    <w:rsid w:val="00405DED"/>
    <w:rsid w:val="004140A4"/>
    <w:rsid w:val="00423492"/>
    <w:rsid w:val="004455BD"/>
    <w:rsid w:val="00452529"/>
    <w:rsid w:val="00457C3C"/>
    <w:rsid w:val="00472526"/>
    <w:rsid w:val="00480F1E"/>
    <w:rsid w:val="00492E9C"/>
    <w:rsid w:val="004B3254"/>
    <w:rsid w:val="004E0E4F"/>
    <w:rsid w:val="005124E8"/>
    <w:rsid w:val="00514616"/>
    <w:rsid w:val="005222A2"/>
    <w:rsid w:val="00533334"/>
    <w:rsid w:val="00535FBE"/>
    <w:rsid w:val="00540656"/>
    <w:rsid w:val="00547C4E"/>
    <w:rsid w:val="00552084"/>
    <w:rsid w:val="005706CE"/>
    <w:rsid w:val="00580C53"/>
    <w:rsid w:val="0058489C"/>
    <w:rsid w:val="0059798B"/>
    <w:rsid w:val="005B176B"/>
    <w:rsid w:val="005B2192"/>
    <w:rsid w:val="005B32A7"/>
    <w:rsid w:val="005D1B66"/>
    <w:rsid w:val="005D3ED6"/>
    <w:rsid w:val="005E2747"/>
    <w:rsid w:val="005E7C16"/>
    <w:rsid w:val="005F324D"/>
    <w:rsid w:val="005F652F"/>
    <w:rsid w:val="006130D8"/>
    <w:rsid w:val="006521FD"/>
    <w:rsid w:val="00663372"/>
    <w:rsid w:val="00677898"/>
    <w:rsid w:val="006820D0"/>
    <w:rsid w:val="006927F3"/>
    <w:rsid w:val="006A7088"/>
    <w:rsid w:val="006B1EE0"/>
    <w:rsid w:val="006C5D09"/>
    <w:rsid w:val="006D6DED"/>
    <w:rsid w:val="006E55BD"/>
    <w:rsid w:val="006F426A"/>
    <w:rsid w:val="00715A97"/>
    <w:rsid w:val="00720536"/>
    <w:rsid w:val="00725714"/>
    <w:rsid w:val="00727197"/>
    <w:rsid w:val="007504D1"/>
    <w:rsid w:val="00763159"/>
    <w:rsid w:val="00763338"/>
    <w:rsid w:val="00766ED5"/>
    <w:rsid w:val="00767598"/>
    <w:rsid w:val="00773A75"/>
    <w:rsid w:val="007821F9"/>
    <w:rsid w:val="00793A5A"/>
    <w:rsid w:val="00796E5A"/>
    <w:rsid w:val="007B2482"/>
    <w:rsid w:val="007C0C24"/>
    <w:rsid w:val="007E0116"/>
    <w:rsid w:val="0080200B"/>
    <w:rsid w:val="008159C0"/>
    <w:rsid w:val="00816C30"/>
    <w:rsid w:val="0083142E"/>
    <w:rsid w:val="0084754F"/>
    <w:rsid w:val="008526DE"/>
    <w:rsid w:val="00867CC3"/>
    <w:rsid w:val="00870ED3"/>
    <w:rsid w:val="00881EAA"/>
    <w:rsid w:val="00883B66"/>
    <w:rsid w:val="008A7920"/>
    <w:rsid w:val="008B645E"/>
    <w:rsid w:val="008D0878"/>
    <w:rsid w:val="0090601E"/>
    <w:rsid w:val="00917F48"/>
    <w:rsid w:val="009207A3"/>
    <w:rsid w:val="00922440"/>
    <w:rsid w:val="00955CFD"/>
    <w:rsid w:val="00961B5F"/>
    <w:rsid w:val="009C5FFA"/>
    <w:rsid w:val="009D6A1C"/>
    <w:rsid w:val="009E172B"/>
    <w:rsid w:val="009F25B7"/>
    <w:rsid w:val="009F32B0"/>
    <w:rsid w:val="00A170D1"/>
    <w:rsid w:val="00A20B58"/>
    <w:rsid w:val="00A278EC"/>
    <w:rsid w:val="00A30B7E"/>
    <w:rsid w:val="00A42A06"/>
    <w:rsid w:val="00A441F1"/>
    <w:rsid w:val="00A448A3"/>
    <w:rsid w:val="00A73D35"/>
    <w:rsid w:val="00A80C86"/>
    <w:rsid w:val="00A81164"/>
    <w:rsid w:val="00A87FF1"/>
    <w:rsid w:val="00AC4F9C"/>
    <w:rsid w:val="00AC66DE"/>
    <w:rsid w:val="00AD2640"/>
    <w:rsid w:val="00AE1941"/>
    <w:rsid w:val="00B33882"/>
    <w:rsid w:val="00B8054A"/>
    <w:rsid w:val="00B81C16"/>
    <w:rsid w:val="00B8290A"/>
    <w:rsid w:val="00BA0D64"/>
    <w:rsid w:val="00BA3349"/>
    <w:rsid w:val="00BB66B2"/>
    <w:rsid w:val="00BB76B5"/>
    <w:rsid w:val="00BC23C6"/>
    <w:rsid w:val="00BD011E"/>
    <w:rsid w:val="00BE1F96"/>
    <w:rsid w:val="00BF273E"/>
    <w:rsid w:val="00BF6A3A"/>
    <w:rsid w:val="00C225B1"/>
    <w:rsid w:val="00C255CF"/>
    <w:rsid w:val="00C401D4"/>
    <w:rsid w:val="00C602DB"/>
    <w:rsid w:val="00C730A7"/>
    <w:rsid w:val="00CB204B"/>
    <w:rsid w:val="00CB42D1"/>
    <w:rsid w:val="00CD2423"/>
    <w:rsid w:val="00D1478B"/>
    <w:rsid w:val="00D22B72"/>
    <w:rsid w:val="00D275EF"/>
    <w:rsid w:val="00D4141C"/>
    <w:rsid w:val="00D44622"/>
    <w:rsid w:val="00D53A15"/>
    <w:rsid w:val="00D61D82"/>
    <w:rsid w:val="00D6507E"/>
    <w:rsid w:val="00D746B0"/>
    <w:rsid w:val="00D807EF"/>
    <w:rsid w:val="00D9308A"/>
    <w:rsid w:val="00DA26B9"/>
    <w:rsid w:val="00DB4176"/>
    <w:rsid w:val="00DC3FEC"/>
    <w:rsid w:val="00DD1BC6"/>
    <w:rsid w:val="00DE7756"/>
    <w:rsid w:val="00DF6E12"/>
    <w:rsid w:val="00DF6EAE"/>
    <w:rsid w:val="00E13957"/>
    <w:rsid w:val="00E30417"/>
    <w:rsid w:val="00E31311"/>
    <w:rsid w:val="00E31D41"/>
    <w:rsid w:val="00E37824"/>
    <w:rsid w:val="00E533E3"/>
    <w:rsid w:val="00E5357F"/>
    <w:rsid w:val="00E734A3"/>
    <w:rsid w:val="00E76B45"/>
    <w:rsid w:val="00E85BC6"/>
    <w:rsid w:val="00E938F5"/>
    <w:rsid w:val="00EA71E6"/>
    <w:rsid w:val="00EC5740"/>
    <w:rsid w:val="00ED06C3"/>
    <w:rsid w:val="00F049CA"/>
    <w:rsid w:val="00F17970"/>
    <w:rsid w:val="00F37149"/>
    <w:rsid w:val="00F40924"/>
    <w:rsid w:val="00F57977"/>
    <w:rsid w:val="00FB567C"/>
    <w:rsid w:val="00FC0B11"/>
    <w:rsid w:val="00FF41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45E3A7"/>
  <w15:docId w15:val="{0AD45E22-F306-495E-BA3A-0420B7B5A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1B4"/>
    <w:rPr>
      <w:rFonts w:eastAsiaTheme="minorEastAsia"/>
      <w:lang w:eastAsia="es-ES"/>
    </w:rPr>
  </w:style>
  <w:style w:type="paragraph" w:styleId="Ttulo1">
    <w:name w:val="heading 1"/>
    <w:basedOn w:val="Normal"/>
    <w:next w:val="Normal"/>
    <w:link w:val="Ttulo1Car"/>
    <w:uiPriority w:val="1"/>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4C20DC"/>
    <w:pPr>
      <w:spacing w:before="120" w:after="120"/>
      <w:ind w:left="283"/>
      <w:jc w:val="center"/>
    </w:pPr>
    <w:rPr>
      <w:rFonts w:eastAsia="Calibri" w:cs="Times New Roman"/>
      <w:sz w:val="22"/>
      <w:szCs w:val="22"/>
      <w:lang w:val="x-none" w:eastAsia="en-US"/>
    </w:rPr>
  </w:style>
  <w:style w:type="character" w:customStyle="1" w:styleId="SangradetextonormalCar">
    <w:name w:val="Sangría de texto normal Car"/>
    <w:basedOn w:val="Fuentedeprrafopredeter"/>
    <w:link w:val="Sangradetextonormal"/>
    <w:rsid w:val="004C20DC"/>
    <w:rPr>
      <w:rFonts w:ascii="Calibri" w:eastAsia="Calibri" w:hAnsi="Calibri" w:cs="Times New Roman"/>
      <w:lang w:val="x-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paragraph" w:customStyle="1" w:styleId="Default">
    <w:name w:val="Default"/>
    <w:qFormat/>
    <w:rsid w:val="00D1478B"/>
    <w:pPr>
      <w:autoSpaceDE w:val="0"/>
      <w:autoSpaceDN w:val="0"/>
      <w:adjustRightInd w:val="0"/>
    </w:pPr>
    <w:rPr>
      <w:rFonts w:ascii="Arial" w:eastAsiaTheme="minorHAnsi" w:hAnsi="Arial" w:cs="Arial"/>
      <w:color w:val="000000"/>
      <w:lang w:val="es-MX" w:eastAsia="en-US"/>
    </w:rPr>
  </w:style>
  <w:style w:type="paragraph" w:styleId="Sinespaciado">
    <w:name w:val="No Spacing"/>
    <w:aliases w:val="Francesa,INAI"/>
    <w:link w:val="SinespaciadoCar"/>
    <w:uiPriority w:val="1"/>
    <w:qFormat/>
    <w:rsid w:val="00293D4F"/>
    <w:rPr>
      <w:rFonts w:asciiTheme="minorHAnsi" w:eastAsiaTheme="minorHAnsi" w:hAnsiTheme="minorHAnsi" w:cstheme="minorBidi"/>
      <w:sz w:val="22"/>
      <w:szCs w:val="22"/>
      <w:lang w:val="es-MX" w:eastAsia="en-US"/>
    </w:rPr>
  </w:style>
  <w:style w:type="character" w:customStyle="1" w:styleId="SinespaciadoCar">
    <w:name w:val="Sin espaciado Car"/>
    <w:aliases w:val="Francesa Car,INAI Car"/>
    <w:link w:val="Sinespaciado"/>
    <w:uiPriority w:val="1"/>
    <w:qFormat/>
    <w:locked/>
    <w:rsid w:val="00293D4F"/>
    <w:rPr>
      <w:rFonts w:asciiTheme="minorHAnsi" w:eastAsiaTheme="minorHAnsi" w:hAnsiTheme="minorHAnsi" w:cstheme="minorBidi"/>
      <w:sz w:val="22"/>
      <w:szCs w:val="22"/>
      <w:lang w:val="es-MX" w:eastAsia="en-US"/>
    </w:rPr>
  </w:style>
  <w:style w:type="character" w:customStyle="1" w:styleId="PuestoCar">
    <w:name w:val="Puesto Car"/>
    <w:aliases w:val="Cita textual Car"/>
    <w:basedOn w:val="Fuentedeprrafopredeter"/>
    <w:link w:val="Puesto"/>
    <w:uiPriority w:val="10"/>
    <w:rsid w:val="00A448A3"/>
    <w:rPr>
      <w:rFonts w:eastAsiaTheme="minorEastAsia"/>
      <w:b/>
      <w:sz w:val="72"/>
      <w:szCs w:val="7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2334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xtir3TVLr3cTl888M9WsI9OyqA==">CgMxLjAyCGguZ2pkZ3hzMgloLjMwajB6bGwyCWguMWZvYjl0ZTIJaC4zem55c2g3MgloLjJldDkycDAyCGgudHlqY3d0MgloLjNkeTZ2a20yCWguMXQzaDVzZjIJaC40ZDM0b2c4OAByITFPc2MtYUNmaC1NV0NnRXBOSVZuN2R3UEFKbW5sRTU0SQ==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C847CF-1936-4DA1-A50D-69695350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39</Pages>
  <Words>8868</Words>
  <Characters>48776</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57529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Belen Sanchez Estrada</dc:creator>
  <cp:lastModifiedBy>Cuenta Microsoft</cp:lastModifiedBy>
  <cp:revision>5</cp:revision>
  <dcterms:created xsi:type="dcterms:W3CDTF">2025-10-15T20:28:00Z</dcterms:created>
  <dcterms:modified xsi:type="dcterms:W3CDTF">2025-11-13T18:39:00Z</dcterms:modified>
</cp:coreProperties>
</file>