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EEAEB3" w14:textId="77777777" w:rsidR="00021793" w:rsidRPr="00095A2C" w:rsidRDefault="00122CAC">
      <w:pPr>
        <w:spacing w:before="240" w:after="240" w:line="360" w:lineRule="auto"/>
        <w:jc w:val="both"/>
        <w:rPr>
          <w:rFonts w:ascii="Palatino Linotype" w:eastAsia="Palatino Linotype" w:hAnsi="Palatino Linotype" w:cs="Palatino Linotype"/>
          <w:sz w:val="22"/>
          <w:szCs w:val="22"/>
        </w:rPr>
      </w:pPr>
      <w:r w:rsidRPr="00095A2C">
        <w:rPr>
          <w:rFonts w:ascii="Palatino Linotype" w:eastAsia="Palatino Linotype" w:hAnsi="Palatino Linotype" w:cs="Palatino Linotype"/>
          <w:sz w:val="22"/>
          <w:szCs w:val="22"/>
        </w:rPr>
        <w:t xml:space="preserve">Resolución del Pleno del Instituto de Transparencia, Acceso a la Información Pública y Protección de Datos Personales del Estado de México y Municipios, con domicilio en Metepec, Estado de México, a </w:t>
      </w:r>
      <w:r w:rsidR="00147F00" w:rsidRPr="00095A2C">
        <w:rPr>
          <w:rFonts w:ascii="Palatino Linotype" w:eastAsia="Palatino Linotype" w:hAnsi="Palatino Linotype" w:cs="Palatino Linotype"/>
          <w:b/>
          <w:sz w:val="22"/>
          <w:szCs w:val="22"/>
        </w:rPr>
        <w:t>doce</w:t>
      </w:r>
      <w:r w:rsidR="003B2F2C" w:rsidRPr="00095A2C">
        <w:rPr>
          <w:rFonts w:ascii="Palatino Linotype" w:eastAsia="Palatino Linotype" w:hAnsi="Palatino Linotype" w:cs="Palatino Linotype"/>
          <w:b/>
          <w:sz w:val="22"/>
          <w:szCs w:val="22"/>
        </w:rPr>
        <w:t xml:space="preserve"> de marzo</w:t>
      </w:r>
      <w:r w:rsidRPr="00095A2C">
        <w:rPr>
          <w:rFonts w:ascii="Palatino Linotype" w:eastAsia="Palatino Linotype" w:hAnsi="Palatino Linotype" w:cs="Palatino Linotype"/>
          <w:b/>
          <w:sz w:val="22"/>
          <w:szCs w:val="22"/>
        </w:rPr>
        <w:t xml:space="preserve"> de dos mil veinticinco</w:t>
      </w:r>
      <w:r w:rsidRPr="00095A2C">
        <w:rPr>
          <w:rFonts w:ascii="Palatino Linotype" w:eastAsia="Palatino Linotype" w:hAnsi="Palatino Linotype" w:cs="Palatino Linotype"/>
          <w:sz w:val="22"/>
          <w:szCs w:val="22"/>
        </w:rPr>
        <w:t xml:space="preserve">. </w:t>
      </w:r>
    </w:p>
    <w:p w14:paraId="52B0CCFD" w14:textId="77777777" w:rsidR="00021793" w:rsidRPr="00095A2C" w:rsidRDefault="00122CAC">
      <w:pPr>
        <w:tabs>
          <w:tab w:val="left" w:pos="5812"/>
        </w:tabs>
        <w:spacing w:before="240" w:after="240" w:line="360" w:lineRule="auto"/>
        <w:jc w:val="both"/>
        <w:rPr>
          <w:rFonts w:ascii="Palatino Linotype" w:eastAsia="Palatino Linotype" w:hAnsi="Palatino Linotype" w:cs="Palatino Linotype"/>
          <w:sz w:val="22"/>
          <w:szCs w:val="22"/>
        </w:rPr>
      </w:pPr>
      <w:r w:rsidRPr="00095A2C">
        <w:rPr>
          <w:rFonts w:ascii="Palatino Linotype" w:eastAsia="Palatino Linotype" w:hAnsi="Palatino Linotype" w:cs="Palatino Linotype"/>
          <w:b/>
          <w:sz w:val="22"/>
          <w:szCs w:val="22"/>
        </w:rPr>
        <w:t>Visto</w:t>
      </w:r>
      <w:r w:rsidRPr="00095A2C">
        <w:rPr>
          <w:rFonts w:ascii="Palatino Linotype" w:eastAsia="Palatino Linotype" w:hAnsi="Palatino Linotype" w:cs="Palatino Linotype"/>
          <w:sz w:val="22"/>
          <w:szCs w:val="22"/>
        </w:rPr>
        <w:t xml:space="preserve"> el expediente formado con motivo del recurso de revisión </w:t>
      </w:r>
      <w:r w:rsidR="00147F00" w:rsidRPr="00095A2C">
        <w:rPr>
          <w:rFonts w:ascii="Palatino Linotype" w:eastAsia="Palatino Linotype" w:hAnsi="Palatino Linotype" w:cs="Palatino Linotype"/>
          <w:b/>
          <w:sz w:val="22"/>
          <w:szCs w:val="22"/>
        </w:rPr>
        <w:t>00889/INFOEM/IP/RR/2025</w:t>
      </w:r>
      <w:r w:rsidRPr="00095A2C">
        <w:rPr>
          <w:rFonts w:ascii="Palatino Linotype" w:eastAsia="Palatino Linotype" w:hAnsi="Palatino Linotype" w:cs="Palatino Linotype"/>
          <w:sz w:val="22"/>
          <w:szCs w:val="22"/>
        </w:rPr>
        <w:t>, interpuesto por</w:t>
      </w:r>
      <w:r w:rsidRPr="00095A2C">
        <w:rPr>
          <w:rFonts w:ascii="Palatino Linotype" w:eastAsia="Palatino Linotype" w:hAnsi="Palatino Linotype" w:cs="Palatino Linotype"/>
          <w:b/>
          <w:sz w:val="22"/>
          <w:szCs w:val="22"/>
        </w:rPr>
        <w:t xml:space="preserve"> </w:t>
      </w:r>
      <w:r w:rsidR="00147F00" w:rsidRPr="00095A2C">
        <w:rPr>
          <w:rFonts w:ascii="Palatino Linotype" w:eastAsia="Palatino Linotype" w:hAnsi="Palatino Linotype" w:cs="Palatino Linotype"/>
          <w:b/>
          <w:sz w:val="22"/>
          <w:szCs w:val="22"/>
        </w:rPr>
        <w:t>un particular de manera anónima</w:t>
      </w:r>
      <w:r w:rsidR="003B2F2C" w:rsidRPr="00095A2C">
        <w:rPr>
          <w:rFonts w:ascii="Palatino Linotype" w:eastAsia="Palatino Linotype" w:hAnsi="Palatino Linotype" w:cs="Palatino Linotype"/>
          <w:b/>
          <w:sz w:val="22"/>
          <w:szCs w:val="22"/>
        </w:rPr>
        <w:t xml:space="preserve"> </w:t>
      </w:r>
      <w:r w:rsidRPr="00095A2C">
        <w:rPr>
          <w:rFonts w:ascii="Palatino Linotype" w:eastAsia="Palatino Linotype" w:hAnsi="Palatino Linotype" w:cs="Palatino Linotype"/>
          <w:sz w:val="22"/>
          <w:szCs w:val="22"/>
        </w:rPr>
        <w:t>en lo sucesivo,</w:t>
      </w:r>
      <w:r w:rsidRPr="00095A2C">
        <w:rPr>
          <w:rFonts w:ascii="Palatino Linotype" w:eastAsia="Palatino Linotype" w:hAnsi="Palatino Linotype" w:cs="Palatino Linotype"/>
          <w:b/>
          <w:sz w:val="22"/>
          <w:szCs w:val="22"/>
        </w:rPr>
        <w:t xml:space="preserve"> la parte</w:t>
      </w:r>
      <w:r w:rsidRPr="00095A2C">
        <w:rPr>
          <w:rFonts w:ascii="Palatino Linotype" w:eastAsia="Palatino Linotype" w:hAnsi="Palatino Linotype" w:cs="Palatino Linotype"/>
          <w:sz w:val="22"/>
          <w:szCs w:val="22"/>
        </w:rPr>
        <w:t xml:space="preserve"> </w:t>
      </w:r>
      <w:r w:rsidRPr="00095A2C">
        <w:rPr>
          <w:rFonts w:ascii="Palatino Linotype" w:eastAsia="Palatino Linotype" w:hAnsi="Palatino Linotype" w:cs="Palatino Linotype"/>
          <w:b/>
          <w:sz w:val="22"/>
          <w:szCs w:val="22"/>
        </w:rPr>
        <w:t>Recurrente,</w:t>
      </w:r>
      <w:r w:rsidRPr="00095A2C">
        <w:rPr>
          <w:rFonts w:ascii="Palatino Linotype" w:eastAsia="Palatino Linotype" w:hAnsi="Palatino Linotype" w:cs="Palatino Linotype"/>
          <w:sz w:val="22"/>
          <w:szCs w:val="22"/>
        </w:rPr>
        <w:t xml:space="preserve"> en contra de la respuesta a la solicitud de información con número de folio</w:t>
      </w:r>
      <w:r w:rsidRPr="00095A2C">
        <w:rPr>
          <w:rFonts w:ascii="Palatino Linotype" w:eastAsia="Palatino Linotype" w:hAnsi="Palatino Linotype" w:cs="Palatino Linotype"/>
          <w:b/>
          <w:sz w:val="22"/>
          <w:szCs w:val="22"/>
        </w:rPr>
        <w:t xml:space="preserve"> </w:t>
      </w:r>
      <w:r w:rsidR="00147F00" w:rsidRPr="00095A2C">
        <w:rPr>
          <w:rFonts w:ascii="Palatino Linotype" w:eastAsia="Palatino Linotype" w:hAnsi="Palatino Linotype" w:cs="Palatino Linotype"/>
          <w:b/>
          <w:sz w:val="22"/>
          <w:szCs w:val="22"/>
        </w:rPr>
        <w:t>00032/TOLUCA/IP/2025</w:t>
      </w:r>
      <w:r w:rsidRPr="00095A2C">
        <w:rPr>
          <w:rFonts w:ascii="Palatino Linotype" w:eastAsia="Palatino Linotype" w:hAnsi="Palatino Linotype" w:cs="Palatino Linotype"/>
          <w:b/>
          <w:sz w:val="22"/>
          <w:szCs w:val="22"/>
        </w:rPr>
        <w:t xml:space="preserve">, </w:t>
      </w:r>
      <w:r w:rsidRPr="00095A2C">
        <w:rPr>
          <w:rFonts w:ascii="Palatino Linotype" w:eastAsia="Palatino Linotype" w:hAnsi="Palatino Linotype" w:cs="Palatino Linotype"/>
          <w:sz w:val="22"/>
          <w:szCs w:val="22"/>
        </w:rPr>
        <w:t xml:space="preserve">por parte del </w:t>
      </w:r>
      <w:r w:rsidR="00147F00" w:rsidRPr="00095A2C">
        <w:rPr>
          <w:rFonts w:ascii="Palatino Linotype" w:eastAsia="Palatino Linotype" w:hAnsi="Palatino Linotype" w:cs="Palatino Linotype"/>
          <w:b/>
          <w:sz w:val="22"/>
          <w:szCs w:val="22"/>
        </w:rPr>
        <w:t>Ayuntamiento de Toluca</w:t>
      </w:r>
      <w:r w:rsidRPr="00095A2C">
        <w:rPr>
          <w:rFonts w:ascii="Palatino Linotype" w:eastAsia="Palatino Linotype" w:hAnsi="Palatino Linotype" w:cs="Palatino Linotype"/>
          <w:b/>
          <w:sz w:val="22"/>
          <w:szCs w:val="22"/>
        </w:rPr>
        <w:t xml:space="preserve">, </w:t>
      </w:r>
      <w:r w:rsidRPr="00095A2C">
        <w:rPr>
          <w:rFonts w:ascii="Palatino Linotype" w:eastAsia="Palatino Linotype" w:hAnsi="Palatino Linotype" w:cs="Palatino Linotype"/>
          <w:sz w:val="22"/>
          <w:szCs w:val="22"/>
        </w:rPr>
        <w:t xml:space="preserve">en lo sucesivo el </w:t>
      </w:r>
      <w:r w:rsidRPr="00095A2C">
        <w:rPr>
          <w:rFonts w:ascii="Palatino Linotype" w:eastAsia="Palatino Linotype" w:hAnsi="Palatino Linotype" w:cs="Palatino Linotype"/>
          <w:b/>
          <w:sz w:val="22"/>
          <w:szCs w:val="22"/>
        </w:rPr>
        <w:t xml:space="preserve">Sujeto Obligado, </w:t>
      </w:r>
      <w:r w:rsidRPr="00095A2C">
        <w:rPr>
          <w:rFonts w:ascii="Palatino Linotype" w:eastAsia="Palatino Linotype" w:hAnsi="Palatino Linotype" w:cs="Palatino Linotype"/>
          <w:sz w:val="22"/>
          <w:szCs w:val="22"/>
        </w:rPr>
        <w:t xml:space="preserve">se procede a dictar la presente resolución con base en los siguientes: </w:t>
      </w:r>
    </w:p>
    <w:p w14:paraId="63B4D615" w14:textId="77777777" w:rsidR="00021793" w:rsidRPr="00095A2C" w:rsidRDefault="00122CAC">
      <w:pPr>
        <w:spacing w:before="240" w:after="240" w:line="360" w:lineRule="auto"/>
        <w:jc w:val="center"/>
        <w:rPr>
          <w:rFonts w:ascii="Palatino Linotype" w:eastAsia="Palatino Linotype" w:hAnsi="Palatino Linotype" w:cs="Palatino Linotype"/>
          <w:b/>
          <w:sz w:val="22"/>
          <w:szCs w:val="22"/>
        </w:rPr>
      </w:pPr>
      <w:r w:rsidRPr="00095A2C">
        <w:rPr>
          <w:rFonts w:ascii="Palatino Linotype" w:eastAsia="Palatino Linotype" w:hAnsi="Palatino Linotype" w:cs="Palatino Linotype"/>
          <w:b/>
          <w:sz w:val="22"/>
          <w:szCs w:val="22"/>
        </w:rPr>
        <w:t>I. A N T E C E D E N T E S</w:t>
      </w:r>
    </w:p>
    <w:p w14:paraId="2B85CB1B" w14:textId="1B00400B" w:rsidR="00021793" w:rsidRPr="00095A2C" w:rsidRDefault="00122CAC">
      <w:pPr>
        <w:spacing w:before="240" w:after="240" w:line="360" w:lineRule="auto"/>
        <w:jc w:val="both"/>
        <w:rPr>
          <w:rFonts w:ascii="Palatino Linotype" w:eastAsia="Palatino Linotype" w:hAnsi="Palatino Linotype" w:cs="Palatino Linotype"/>
          <w:sz w:val="22"/>
          <w:szCs w:val="22"/>
        </w:rPr>
      </w:pPr>
      <w:bookmarkStart w:id="0" w:name="_heading=h.4d34og8" w:colFirst="0" w:colLast="0"/>
      <w:bookmarkEnd w:id="0"/>
      <w:r w:rsidRPr="00095A2C">
        <w:rPr>
          <w:rFonts w:ascii="Palatino Linotype" w:eastAsia="Palatino Linotype" w:hAnsi="Palatino Linotype" w:cs="Palatino Linotype"/>
          <w:b/>
          <w:sz w:val="22"/>
          <w:szCs w:val="22"/>
        </w:rPr>
        <w:t>1. Solicitud de acceso a la información.</w:t>
      </w:r>
      <w:r w:rsidRPr="00095A2C">
        <w:rPr>
          <w:rFonts w:ascii="Palatino Linotype" w:eastAsia="Palatino Linotype" w:hAnsi="Palatino Linotype" w:cs="Palatino Linotype"/>
          <w:sz w:val="22"/>
          <w:szCs w:val="22"/>
        </w:rPr>
        <w:t xml:space="preserve"> </w:t>
      </w:r>
      <w:r w:rsidR="00B427CC" w:rsidRPr="00095A2C">
        <w:rPr>
          <w:rFonts w:ascii="Palatino Linotype" w:eastAsia="Palatino Linotype" w:hAnsi="Palatino Linotype" w:cs="Palatino Linotype"/>
          <w:sz w:val="22"/>
          <w:szCs w:val="22"/>
        </w:rPr>
        <w:t xml:space="preserve">De las constancias que obran en el expediente electrónico, se advierte que la persona solicitante presentó su solicitud el </w:t>
      </w:r>
      <w:r w:rsidR="00B427CC" w:rsidRPr="00095A2C">
        <w:rPr>
          <w:rFonts w:ascii="Palatino Linotype" w:eastAsia="Palatino Linotype" w:hAnsi="Palatino Linotype" w:cs="Palatino Linotype"/>
          <w:b/>
          <w:sz w:val="22"/>
          <w:szCs w:val="22"/>
        </w:rPr>
        <w:t>tres de enero del dos mil veinticinco</w:t>
      </w:r>
      <w:r w:rsidR="00B427CC" w:rsidRPr="00095A2C">
        <w:rPr>
          <w:rFonts w:ascii="Palatino Linotype" w:eastAsia="Palatino Linotype" w:hAnsi="Palatino Linotype" w:cs="Palatino Linotype"/>
          <w:sz w:val="22"/>
          <w:szCs w:val="22"/>
        </w:rPr>
        <w:t xml:space="preserve">, sin embargo, al ser un día inhábil, de conformidad con el Calendario Oficial en materia de Transparencia, Acceso a la Información Pública y Protección de Datos Personales del Estado de México y Municipios, esta se tuvo por presentada al día hábil siguiente que es el </w:t>
      </w:r>
      <w:r w:rsidR="00B427CC" w:rsidRPr="00095A2C">
        <w:rPr>
          <w:rFonts w:ascii="Palatino Linotype" w:eastAsia="Palatino Linotype" w:hAnsi="Palatino Linotype" w:cs="Palatino Linotype"/>
          <w:b/>
          <w:sz w:val="22"/>
          <w:szCs w:val="22"/>
        </w:rPr>
        <w:t>trece de enero de dos mil veinticinco</w:t>
      </w:r>
      <w:r w:rsidR="00B427CC" w:rsidRPr="00095A2C">
        <w:rPr>
          <w:rFonts w:ascii="Palatino Linotype" w:eastAsia="Palatino Linotype" w:hAnsi="Palatino Linotype" w:cs="Palatino Linotype"/>
          <w:sz w:val="22"/>
          <w:szCs w:val="22"/>
          <w:lang w:val="es-ES"/>
        </w:rPr>
        <w:t xml:space="preserve">, a través del Sistema de Acceso a la Información Mexiquense, en lo subsecuente el </w:t>
      </w:r>
      <w:r w:rsidR="00B427CC" w:rsidRPr="00095A2C">
        <w:rPr>
          <w:rFonts w:ascii="Palatino Linotype" w:eastAsia="Palatino Linotype" w:hAnsi="Palatino Linotype" w:cs="Palatino Linotype"/>
          <w:b/>
          <w:sz w:val="22"/>
          <w:szCs w:val="22"/>
          <w:lang w:val="es-ES"/>
        </w:rPr>
        <w:t>SAIMEX,</w:t>
      </w:r>
      <w:r w:rsidR="00B427CC" w:rsidRPr="00095A2C">
        <w:rPr>
          <w:rFonts w:ascii="Palatino Linotype" w:eastAsia="Palatino Linotype" w:hAnsi="Palatino Linotype" w:cs="Palatino Linotype"/>
          <w:sz w:val="22"/>
          <w:szCs w:val="22"/>
          <w:lang w:val="es-ES"/>
        </w:rPr>
        <w:t xml:space="preserve"> ante el </w:t>
      </w:r>
      <w:r w:rsidR="00B427CC" w:rsidRPr="00095A2C">
        <w:rPr>
          <w:rFonts w:ascii="Palatino Linotype" w:eastAsia="Palatino Linotype" w:hAnsi="Palatino Linotype" w:cs="Palatino Linotype"/>
          <w:b/>
          <w:sz w:val="22"/>
          <w:szCs w:val="22"/>
          <w:lang w:val="es-ES"/>
        </w:rPr>
        <w:t>Sujeto Obligado</w:t>
      </w:r>
      <w:r w:rsidR="00B427CC" w:rsidRPr="00095A2C">
        <w:rPr>
          <w:rFonts w:ascii="Palatino Linotype" w:eastAsia="Palatino Linotype" w:hAnsi="Palatino Linotype" w:cs="Palatino Linotype"/>
          <w:sz w:val="22"/>
          <w:szCs w:val="22"/>
          <w:lang w:val="es-ES"/>
        </w:rPr>
        <w:t xml:space="preserve">, la solicitud de acceso a la información pública, a la que se le asignó el número </w:t>
      </w:r>
      <w:r w:rsidR="00B427CC" w:rsidRPr="00095A2C">
        <w:rPr>
          <w:rFonts w:ascii="Palatino Linotype" w:eastAsia="Palatino Linotype" w:hAnsi="Palatino Linotype" w:cs="Palatino Linotype"/>
          <w:b/>
          <w:sz w:val="22"/>
          <w:szCs w:val="22"/>
        </w:rPr>
        <w:t>00032/TOLUCA/IP/2025</w:t>
      </w:r>
      <w:r w:rsidR="00B427CC" w:rsidRPr="00095A2C">
        <w:rPr>
          <w:rFonts w:ascii="Palatino Linotype" w:eastAsia="Palatino Linotype" w:hAnsi="Palatino Linotype" w:cs="Palatino Linotype"/>
          <w:sz w:val="22"/>
          <w:szCs w:val="22"/>
          <w:lang w:val="es-ES"/>
        </w:rPr>
        <w:t xml:space="preserve">, a través del Sistema de Acceso a la Información Mexiquense, en lo subsecuente el </w:t>
      </w:r>
      <w:r w:rsidR="00B427CC" w:rsidRPr="00095A2C">
        <w:rPr>
          <w:rFonts w:ascii="Palatino Linotype" w:eastAsia="Palatino Linotype" w:hAnsi="Palatino Linotype" w:cs="Palatino Linotype"/>
          <w:b/>
          <w:sz w:val="22"/>
          <w:szCs w:val="22"/>
          <w:lang w:val="es-ES"/>
        </w:rPr>
        <w:t>SAIMEX</w:t>
      </w:r>
      <w:r w:rsidRPr="00095A2C">
        <w:rPr>
          <w:rFonts w:ascii="Palatino Linotype" w:eastAsia="Palatino Linotype" w:hAnsi="Palatino Linotype" w:cs="Palatino Linotype"/>
          <w:sz w:val="22"/>
          <w:szCs w:val="22"/>
        </w:rPr>
        <w:t xml:space="preserve">, mediante la cual requirió la información siguiente: </w:t>
      </w:r>
    </w:p>
    <w:p w14:paraId="46CD9EBA" w14:textId="77777777" w:rsidR="00021793" w:rsidRPr="00095A2C" w:rsidRDefault="00122CAC">
      <w:pPr>
        <w:spacing w:before="120" w:after="120"/>
        <w:ind w:left="567" w:right="902"/>
        <w:jc w:val="both"/>
        <w:rPr>
          <w:rFonts w:ascii="Palatino Linotype" w:eastAsia="Palatino Linotype" w:hAnsi="Palatino Linotype" w:cs="Palatino Linotype"/>
          <w:b/>
          <w:i/>
          <w:sz w:val="22"/>
          <w:szCs w:val="22"/>
        </w:rPr>
      </w:pPr>
      <w:bookmarkStart w:id="1" w:name="_heading=h.gjdgxs" w:colFirst="0" w:colLast="0"/>
      <w:bookmarkEnd w:id="1"/>
      <w:r w:rsidRPr="00095A2C">
        <w:rPr>
          <w:rFonts w:ascii="Palatino Linotype" w:eastAsia="Palatino Linotype" w:hAnsi="Palatino Linotype" w:cs="Palatino Linotype"/>
          <w:i/>
          <w:sz w:val="22"/>
          <w:szCs w:val="22"/>
        </w:rPr>
        <w:t xml:space="preserve"> “</w:t>
      </w:r>
      <w:r w:rsidR="00147F00" w:rsidRPr="00095A2C">
        <w:rPr>
          <w:rFonts w:ascii="Palatino Linotype" w:eastAsia="Palatino Linotype" w:hAnsi="Palatino Linotype" w:cs="Palatino Linotype"/>
          <w:i/>
          <w:sz w:val="22"/>
          <w:szCs w:val="22"/>
        </w:rPr>
        <w:t xml:space="preserve">De conformidad con el artículo 5 constitucional y 4 de LTYAIP se solicita </w:t>
      </w:r>
      <w:r w:rsidR="00147F00" w:rsidRPr="00095A2C">
        <w:rPr>
          <w:rFonts w:ascii="Palatino Linotype" w:eastAsia="Palatino Linotype" w:hAnsi="Palatino Linotype" w:cs="Palatino Linotype"/>
          <w:b/>
          <w:i/>
          <w:sz w:val="22"/>
          <w:szCs w:val="22"/>
          <w:u w:val="single"/>
        </w:rPr>
        <w:t>los oficios firmados por el contralor en enero 2024</w:t>
      </w:r>
      <w:r w:rsidR="00FB1035" w:rsidRPr="00095A2C">
        <w:rPr>
          <w:rFonts w:ascii="Palatino Linotype" w:eastAsia="Palatino Linotype" w:hAnsi="Palatino Linotype" w:cs="Palatino Linotype"/>
          <w:i/>
          <w:sz w:val="22"/>
          <w:szCs w:val="22"/>
        </w:rPr>
        <w:t>” (S</w:t>
      </w:r>
      <w:r w:rsidRPr="00095A2C">
        <w:rPr>
          <w:rFonts w:ascii="Palatino Linotype" w:eastAsia="Palatino Linotype" w:hAnsi="Palatino Linotype" w:cs="Palatino Linotype"/>
          <w:i/>
          <w:sz w:val="22"/>
          <w:szCs w:val="22"/>
        </w:rPr>
        <w:t xml:space="preserve">ic) </w:t>
      </w:r>
    </w:p>
    <w:p w14:paraId="594F3031" w14:textId="77777777" w:rsidR="00021793" w:rsidRPr="00095A2C" w:rsidRDefault="00122CAC">
      <w:pPr>
        <w:spacing w:before="240" w:after="240" w:line="360" w:lineRule="auto"/>
        <w:jc w:val="both"/>
        <w:rPr>
          <w:rFonts w:ascii="Palatino Linotype" w:eastAsia="Palatino Linotype" w:hAnsi="Palatino Linotype" w:cs="Palatino Linotype"/>
          <w:sz w:val="22"/>
          <w:szCs w:val="22"/>
        </w:rPr>
      </w:pPr>
      <w:bookmarkStart w:id="2" w:name="_heading=h.3dy6vkm" w:colFirst="0" w:colLast="0"/>
      <w:bookmarkEnd w:id="2"/>
      <w:r w:rsidRPr="00095A2C">
        <w:rPr>
          <w:rFonts w:ascii="Palatino Linotype" w:eastAsia="Palatino Linotype" w:hAnsi="Palatino Linotype" w:cs="Palatino Linotype"/>
          <w:b/>
          <w:sz w:val="22"/>
          <w:szCs w:val="22"/>
        </w:rPr>
        <w:t xml:space="preserve">Modalidad de Entrega: </w:t>
      </w:r>
      <w:r w:rsidRPr="00095A2C">
        <w:rPr>
          <w:rFonts w:ascii="Palatino Linotype" w:eastAsia="Palatino Linotype" w:hAnsi="Palatino Linotype" w:cs="Palatino Linotype"/>
          <w:sz w:val="22"/>
          <w:szCs w:val="22"/>
        </w:rPr>
        <w:t xml:space="preserve">A través del </w:t>
      </w:r>
      <w:r w:rsidRPr="00095A2C">
        <w:rPr>
          <w:rFonts w:ascii="Palatino Linotype" w:eastAsia="Palatino Linotype" w:hAnsi="Palatino Linotype" w:cs="Palatino Linotype"/>
          <w:b/>
          <w:sz w:val="22"/>
          <w:szCs w:val="22"/>
        </w:rPr>
        <w:t>SAIMEX</w:t>
      </w:r>
      <w:r w:rsidRPr="00095A2C">
        <w:rPr>
          <w:rFonts w:ascii="Palatino Linotype" w:eastAsia="Palatino Linotype" w:hAnsi="Palatino Linotype" w:cs="Palatino Linotype"/>
          <w:sz w:val="22"/>
          <w:szCs w:val="22"/>
        </w:rPr>
        <w:t>.</w:t>
      </w:r>
    </w:p>
    <w:p w14:paraId="4DF8B3D9" w14:textId="77777777" w:rsidR="003B2F2C" w:rsidRPr="00095A2C" w:rsidRDefault="00122CAC" w:rsidP="00147F00">
      <w:pPr>
        <w:pBdr>
          <w:top w:val="nil"/>
          <w:left w:val="nil"/>
          <w:bottom w:val="nil"/>
          <w:right w:val="nil"/>
          <w:between w:val="nil"/>
        </w:pBdr>
        <w:tabs>
          <w:tab w:val="left" w:pos="3119"/>
        </w:tabs>
        <w:spacing w:before="240" w:after="240" w:line="360" w:lineRule="auto"/>
        <w:jc w:val="both"/>
        <w:rPr>
          <w:rFonts w:ascii="Palatino Linotype" w:eastAsia="Palatino Linotype" w:hAnsi="Palatino Linotype" w:cs="Palatino Linotype"/>
          <w:sz w:val="22"/>
          <w:szCs w:val="22"/>
        </w:rPr>
      </w:pPr>
      <w:r w:rsidRPr="00095A2C">
        <w:rPr>
          <w:rFonts w:ascii="Palatino Linotype" w:eastAsia="Palatino Linotype" w:hAnsi="Palatino Linotype" w:cs="Palatino Linotype"/>
          <w:b/>
          <w:sz w:val="22"/>
          <w:szCs w:val="22"/>
        </w:rPr>
        <w:lastRenderedPageBreak/>
        <w:t xml:space="preserve">2. </w:t>
      </w:r>
      <w:r w:rsidR="003B2F2C" w:rsidRPr="00095A2C">
        <w:rPr>
          <w:rFonts w:ascii="Palatino Linotype" w:eastAsia="Palatino Linotype" w:hAnsi="Palatino Linotype" w:cs="Palatino Linotype"/>
          <w:b/>
          <w:sz w:val="22"/>
          <w:szCs w:val="22"/>
        </w:rPr>
        <w:t xml:space="preserve">Respuesta. </w:t>
      </w:r>
      <w:r w:rsidR="003B2F2C" w:rsidRPr="00095A2C">
        <w:rPr>
          <w:rFonts w:ascii="Palatino Linotype" w:eastAsia="Palatino Linotype" w:hAnsi="Palatino Linotype" w:cs="Palatino Linotype"/>
          <w:sz w:val="22"/>
          <w:szCs w:val="22"/>
        </w:rPr>
        <w:t xml:space="preserve">El </w:t>
      </w:r>
      <w:r w:rsidR="00147F00" w:rsidRPr="00095A2C">
        <w:rPr>
          <w:rFonts w:ascii="Palatino Linotype" w:eastAsia="Palatino Linotype" w:hAnsi="Palatino Linotype" w:cs="Palatino Linotype"/>
          <w:b/>
          <w:sz w:val="22"/>
          <w:szCs w:val="22"/>
        </w:rPr>
        <w:t>cinc</w:t>
      </w:r>
      <w:r w:rsidR="003B2F2C" w:rsidRPr="00095A2C">
        <w:rPr>
          <w:rFonts w:ascii="Palatino Linotype" w:eastAsia="Palatino Linotype" w:hAnsi="Palatino Linotype" w:cs="Palatino Linotype"/>
          <w:b/>
          <w:sz w:val="22"/>
          <w:szCs w:val="22"/>
        </w:rPr>
        <w:t>o de febrero de dos mil veinticinco</w:t>
      </w:r>
      <w:r w:rsidR="003B2F2C" w:rsidRPr="00095A2C">
        <w:rPr>
          <w:rFonts w:ascii="Palatino Linotype" w:eastAsia="Palatino Linotype" w:hAnsi="Palatino Linotype" w:cs="Palatino Linotype"/>
          <w:sz w:val="22"/>
          <w:szCs w:val="22"/>
        </w:rPr>
        <w:t>, el</w:t>
      </w:r>
      <w:r w:rsidR="003B2F2C" w:rsidRPr="00095A2C">
        <w:rPr>
          <w:rFonts w:ascii="Palatino Linotype" w:eastAsia="Palatino Linotype" w:hAnsi="Palatino Linotype" w:cs="Palatino Linotype"/>
          <w:b/>
          <w:sz w:val="22"/>
          <w:szCs w:val="22"/>
        </w:rPr>
        <w:t xml:space="preserve"> Sujeto Obligado </w:t>
      </w:r>
      <w:r w:rsidR="003B2F2C" w:rsidRPr="00095A2C">
        <w:rPr>
          <w:rFonts w:ascii="Palatino Linotype" w:eastAsia="Palatino Linotype" w:hAnsi="Palatino Linotype" w:cs="Palatino Linotype"/>
          <w:sz w:val="22"/>
          <w:szCs w:val="22"/>
        </w:rPr>
        <w:t>notificó a la persona solicitante, la respuesta a su solicitud de información en los términos siguientes:</w:t>
      </w:r>
    </w:p>
    <w:p w14:paraId="591862D3" w14:textId="77777777" w:rsidR="00147F00" w:rsidRPr="00095A2C" w:rsidRDefault="003B2F2C" w:rsidP="00147F00">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w:t>
      </w:r>
      <w:r w:rsidR="00147F00" w:rsidRPr="00095A2C">
        <w:rPr>
          <w:rFonts w:ascii="Palatino Linotype" w:eastAsia="Palatino Linotype" w:hAnsi="Palatino Linotype" w:cs="Palatino Linotype"/>
          <w:i/>
          <w:sz w:val="22"/>
          <w:szCs w:val="22"/>
        </w:rPr>
        <w:t>En respuesta a la solicitud recibida, nos permitimos hacer de su conocimiento que con fundamento en el artículo 53, Fracciones: II, V y VI de la Ley de Transparencia y Acceso a la Información Pública del Estado de México y Municipios, le contestamos que:</w:t>
      </w:r>
    </w:p>
    <w:p w14:paraId="17940E13" w14:textId="77777777" w:rsidR="00147F00" w:rsidRPr="00095A2C" w:rsidRDefault="00147F00" w:rsidP="00147F00">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En atención a la solicitud con folio 0032/TOLUCA/IP/2025, me permito adjuntar al presente la respuesta correspondiente. Sin más por el momento, reciba un saludo.</w:t>
      </w:r>
    </w:p>
    <w:p w14:paraId="25ECA514" w14:textId="77777777" w:rsidR="00147F00" w:rsidRPr="00095A2C" w:rsidRDefault="00147F00" w:rsidP="00147F00">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ATENTAMENTE</w:t>
      </w:r>
    </w:p>
    <w:p w14:paraId="0285B042" w14:textId="77777777" w:rsidR="003B2F2C" w:rsidRPr="00095A2C" w:rsidRDefault="00147F00" w:rsidP="00147F00">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Dr. Nahum Miguel Mendoza Morales</w:t>
      </w:r>
      <w:r w:rsidR="003B2F2C" w:rsidRPr="00095A2C">
        <w:rPr>
          <w:rFonts w:ascii="Palatino Linotype" w:eastAsia="Palatino Linotype" w:hAnsi="Palatino Linotype" w:cs="Palatino Linotype"/>
          <w:i/>
          <w:sz w:val="22"/>
          <w:szCs w:val="22"/>
        </w:rPr>
        <w:t>”</w:t>
      </w:r>
    </w:p>
    <w:p w14:paraId="5DC78C19" w14:textId="77777777" w:rsidR="00021793" w:rsidRPr="00095A2C" w:rsidRDefault="00122CAC">
      <w:pPr>
        <w:spacing w:before="240" w:after="240" w:line="360" w:lineRule="auto"/>
        <w:ind w:left="567" w:right="49"/>
        <w:jc w:val="both"/>
        <w:rPr>
          <w:rFonts w:ascii="Palatino Linotype" w:eastAsia="Palatino Linotype" w:hAnsi="Palatino Linotype" w:cs="Palatino Linotype"/>
          <w:b/>
          <w:sz w:val="22"/>
          <w:szCs w:val="22"/>
        </w:rPr>
      </w:pPr>
      <w:r w:rsidRPr="00095A2C">
        <w:rPr>
          <w:rFonts w:ascii="Palatino Linotype" w:eastAsia="Palatino Linotype" w:hAnsi="Palatino Linotype" w:cs="Palatino Linotype"/>
          <w:b/>
          <w:sz w:val="22"/>
          <w:szCs w:val="22"/>
        </w:rPr>
        <w:t>Archivos adjuntos:</w:t>
      </w:r>
    </w:p>
    <w:p w14:paraId="4B5676CC" w14:textId="77777777" w:rsidR="00147F00" w:rsidRPr="00095A2C" w:rsidRDefault="00147F00" w:rsidP="00FB1035">
      <w:pPr>
        <w:spacing w:before="240" w:after="240" w:line="360" w:lineRule="auto"/>
        <w:ind w:left="567" w:right="900"/>
        <w:jc w:val="both"/>
        <w:rPr>
          <w:rFonts w:ascii="Palatino Linotype" w:eastAsia="Palatino Linotype" w:hAnsi="Palatino Linotype" w:cs="Palatino Linotype"/>
          <w:sz w:val="22"/>
          <w:szCs w:val="22"/>
        </w:rPr>
      </w:pPr>
      <w:r w:rsidRPr="00095A2C">
        <w:rPr>
          <w:rFonts w:ascii="Palatino Linotype" w:eastAsia="Palatino Linotype" w:hAnsi="Palatino Linotype" w:cs="Palatino Linotype"/>
          <w:b/>
          <w:i/>
          <w:sz w:val="22"/>
          <w:szCs w:val="22"/>
        </w:rPr>
        <w:t xml:space="preserve">“RESPUESTA 00032. 2025.pdf”: </w:t>
      </w:r>
      <w:r w:rsidRPr="00095A2C">
        <w:rPr>
          <w:rFonts w:ascii="Palatino Linotype" w:eastAsia="Palatino Linotype" w:hAnsi="Palatino Linotype" w:cs="Palatino Linotype"/>
          <w:sz w:val="22"/>
          <w:szCs w:val="22"/>
        </w:rPr>
        <w:t xml:space="preserve">Documento que se compone de dos fojas, suscrito por la persona Titular de la Unidad de Transparencia, por el cual notifica a la persona solicitante de información que la Contraloría Municipal informó que después de realizar una búsqueda exhaustiva y razonable en los archivos que obran en la Contraloría, se anexa relación de los oficios firmados </w:t>
      </w:r>
      <w:r w:rsidR="00FB1035" w:rsidRPr="00095A2C">
        <w:rPr>
          <w:rFonts w:ascii="Palatino Linotype" w:eastAsia="Palatino Linotype" w:hAnsi="Palatino Linotype" w:cs="Palatino Linotype"/>
          <w:sz w:val="22"/>
          <w:szCs w:val="22"/>
        </w:rPr>
        <w:t xml:space="preserve">por la </w:t>
      </w:r>
      <w:proofErr w:type="gramStart"/>
      <w:r w:rsidR="00FB1035" w:rsidRPr="00095A2C">
        <w:rPr>
          <w:rFonts w:ascii="Palatino Linotype" w:eastAsia="Palatino Linotype" w:hAnsi="Palatino Linotype" w:cs="Palatino Linotype"/>
          <w:sz w:val="22"/>
          <w:szCs w:val="22"/>
        </w:rPr>
        <w:t>Delegada</w:t>
      </w:r>
      <w:proofErr w:type="gramEnd"/>
      <w:r w:rsidR="00FB1035" w:rsidRPr="00095A2C">
        <w:rPr>
          <w:rFonts w:ascii="Palatino Linotype" w:eastAsia="Palatino Linotype" w:hAnsi="Palatino Linotype" w:cs="Palatino Linotype"/>
          <w:sz w:val="22"/>
          <w:szCs w:val="22"/>
        </w:rPr>
        <w:t xml:space="preserve"> Administrativa de la Contraloría Municipal.</w:t>
      </w:r>
    </w:p>
    <w:p w14:paraId="4F18472D" w14:textId="77777777" w:rsidR="00147F00" w:rsidRPr="00095A2C" w:rsidRDefault="00147F00" w:rsidP="00FB1035">
      <w:pPr>
        <w:spacing w:before="240" w:after="240" w:line="360" w:lineRule="auto"/>
        <w:ind w:left="567" w:right="900"/>
        <w:jc w:val="both"/>
        <w:rPr>
          <w:rFonts w:ascii="Palatino Linotype" w:eastAsia="Palatino Linotype" w:hAnsi="Palatino Linotype" w:cs="Palatino Linotype"/>
          <w:sz w:val="22"/>
          <w:szCs w:val="22"/>
        </w:rPr>
      </w:pPr>
      <w:r w:rsidRPr="00095A2C">
        <w:rPr>
          <w:rFonts w:ascii="Palatino Linotype" w:eastAsia="Palatino Linotype" w:hAnsi="Palatino Linotype" w:cs="Palatino Linotype"/>
          <w:b/>
          <w:i/>
          <w:sz w:val="22"/>
          <w:szCs w:val="22"/>
        </w:rPr>
        <w:t>“2025-OFI-0057-SMX-32.pdf”</w:t>
      </w:r>
      <w:r w:rsidR="00FB1035" w:rsidRPr="00095A2C">
        <w:rPr>
          <w:rFonts w:ascii="Palatino Linotype" w:eastAsia="Palatino Linotype" w:hAnsi="Palatino Linotype" w:cs="Palatino Linotype"/>
          <w:b/>
          <w:i/>
          <w:sz w:val="22"/>
          <w:szCs w:val="22"/>
        </w:rPr>
        <w:t xml:space="preserve">: </w:t>
      </w:r>
      <w:r w:rsidR="00FB1035" w:rsidRPr="00095A2C">
        <w:rPr>
          <w:rFonts w:ascii="Palatino Linotype" w:eastAsia="Palatino Linotype" w:hAnsi="Palatino Linotype" w:cs="Palatino Linotype"/>
          <w:sz w:val="22"/>
          <w:szCs w:val="22"/>
        </w:rPr>
        <w:t>Documento que se compone de once fojas y da cuenta de los oficios firmados por la Contraloría Municipal en el mes de enero de 2024.</w:t>
      </w:r>
    </w:p>
    <w:p w14:paraId="716F65BB" w14:textId="77777777" w:rsidR="00021793" w:rsidRPr="00095A2C" w:rsidRDefault="00122CAC">
      <w:pPr>
        <w:spacing w:before="240" w:after="240" w:line="360" w:lineRule="auto"/>
        <w:ind w:right="49"/>
        <w:jc w:val="both"/>
        <w:rPr>
          <w:rFonts w:ascii="Palatino Linotype" w:eastAsia="Palatino Linotype" w:hAnsi="Palatino Linotype" w:cs="Palatino Linotype"/>
          <w:sz w:val="22"/>
          <w:szCs w:val="22"/>
        </w:rPr>
      </w:pPr>
      <w:r w:rsidRPr="00095A2C">
        <w:rPr>
          <w:rFonts w:ascii="Palatino Linotype" w:eastAsia="Palatino Linotype" w:hAnsi="Palatino Linotype" w:cs="Palatino Linotype"/>
          <w:b/>
          <w:sz w:val="22"/>
          <w:szCs w:val="22"/>
        </w:rPr>
        <w:t xml:space="preserve">3. Interposición del recurso de revisión. </w:t>
      </w:r>
      <w:r w:rsidRPr="00095A2C">
        <w:rPr>
          <w:rFonts w:ascii="Palatino Linotype" w:eastAsia="Palatino Linotype" w:hAnsi="Palatino Linotype" w:cs="Palatino Linotype"/>
          <w:sz w:val="22"/>
          <w:szCs w:val="22"/>
        </w:rPr>
        <w:t xml:space="preserve">Inconforme con los términos de la respuesta emitida por parte del </w:t>
      </w:r>
      <w:r w:rsidRPr="00095A2C">
        <w:rPr>
          <w:rFonts w:ascii="Palatino Linotype" w:eastAsia="Palatino Linotype" w:hAnsi="Palatino Linotype" w:cs="Palatino Linotype"/>
          <w:b/>
          <w:sz w:val="22"/>
          <w:szCs w:val="22"/>
        </w:rPr>
        <w:t>Sujeto Obligado</w:t>
      </w:r>
      <w:r w:rsidRPr="00095A2C">
        <w:rPr>
          <w:rFonts w:ascii="Palatino Linotype" w:eastAsia="Palatino Linotype" w:hAnsi="Palatino Linotype" w:cs="Palatino Linotype"/>
          <w:sz w:val="22"/>
          <w:szCs w:val="22"/>
        </w:rPr>
        <w:t xml:space="preserve">, el </w:t>
      </w:r>
      <w:r w:rsidR="00FB1035" w:rsidRPr="00095A2C">
        <w:rPr>
          <w:rFonts w:ascii="Palatino Linotype" w:eastAsia="Palatino Linotype" w:hAnsi="Palatino Linotype" w:cs="Palatino Linotype"/>
          <w:b/>
          <w:sz w:val="22"/>
          <w:szCs w:val="22"/>
        </w:rPr>
        <w:t>siete</w:t>
      </w:r>
      <w:r w:rsidR="00731467" w:rsidRPr="00095A2C">
        <w:rPr>
          <w:rFonts w:ascii="Palatino Linotype" w:eastAsia="Palatino Linotype" w:hAnsi="Palatino Linotype" w:cs="Palatino Linotype"/>
          <w:b/>
          <w:sz w:val="22"/>
          <w:szCs w:val="22"/>
        </w:rPr>
        <w:t xml:space="preserve"> de febrero</w:t>
      </w:r>
      <w:r w:rsidRPr="00095A2C">
        <w:rPr>
          <w:rFonts w:ascii="Palatino Linotype" w:eastAsia="Palatino Linotype" w:hAnsi="Palatino Linotype" w:cs="Palatino Linotype"/>
          <w:b/>
          <w:sz w:val="22"/>
          <w:szCs w:val="22"/>
        </w:rPr>
        <w:t xml:space="preserve"> de d</w:t>
      </w:r>
      <w:r w:rsidR="00731467" w:rsidRPr="00095A2C">
        <w:rPr>
          <w:rFonts w:ascii="Palatino Linotype" w:eastAsia="Palatino Linotype" w:hAnsi="Palatino Linotype" w:cs="Palatino Linotype"/>
          <w:b/>
          <w:sz w:val="22"/>
          <w:szCs w:val="22"/>
        </w:rPr>
        <w:t>os mil veinticinc</w:t>
      </w:r>
      <w:r w:rsidRPr="00095A2C">
        <w:rPr>
          <w:rFonts w:ascii="Palatino Linotype" w:eastAsia="Palatino Linotype" w:hAnsi="Palatino Linotype" w:cs="Palatino Linotype"/>
          <w:b/>
          <w:sz w:val="22"/>
          <w:szCs w:val="22"/>
        </w:rPr>
        <w:t xml:space="preserve">o, </w:t>
      </w:r>
      <w:r w:rsidRPr="00095A2C">
        <w:rPr>
          <w:rFonts w:ascii="Palatino Linotype" w:eastAsia="Palatino Linotype" w:hAnsi="Palatino Linotype" w:cs="Palatino Linotype"/>
          <w:sz w:val="22"/>
          <w:szCs w:val="22"/>
        </w:rPr>
        <w:t xml:space="preserve">la parte </w:t>
      </w:r>
      <w:r w:rsidRPr="00095A2C">
        <w:rPr>
          <w:rFonts w:ascii="Palatino Linotype" w:eastAsia="Palatino Linotype" w:hAnsi="Palatino Linotype" w:cs="Palatino Linotype"/>
          <w:b/>
          <w:sz w:val="22"/>
          <w:szCs w:val="22"/>
        </w:rPr>
        <w:t>Recurrente</w:t>
      </w:r>
      <w:r w:rsidRPr="00095A2C">
        <w:rPr>
          <w:rFonts w:ascii="Palatino Linotype" w:eastAsia="Palatino Linotype" w:hAnsi="Palatino Linotype" w:cs="Palatino Linotype"/>
          <w:sz w:val="22"/>
          <w:szCs w:val="22"/>
        </w:rPr>
        <w:t xml:space="preserve"> interpuso el recurso de revisión a través de </w:t>
      </w:r>
      <w:r w:rsidRPr="00095A2C">
        <w:rPr>
          <w:rFonts w:ascii="Palatino Linotype" w:eastAsia="Palatino Linotype" w:hAnsi="Palatino Linotype" w:cs="Palatino Linotype"/>
          <w:b/>
          <w:sz w:val="22"/>
          <w:szCs w:val="22"/>
        </w:rPr>
        <w:t xml:space="preserve">SAIMEX, </w:t>
      </w:r>
      <w:r w:rsidRPr="00095A2C">
        <w:rPr>
          <w:rFonts w:ascii="Palatino Linotype" w:eastAsia="Palatino Linotype" w:hAnsi="Palatino Linotype" w:cs="Palatino Linotype"/>
          <w:sz w:val="22"/>
          <w:szCs w:val="22"/>
        </w:rPr>
        <w:t>en donde se manifestó de la siguiente manera:</w:t>
      </w:r>
    </w:p>
    <w:p w14:paraId="599EB5B6" w14:textId="77777777" w:rsidR="00021793" w:rsidRPr="00095A2C" w:rsidRDefault="00122CAC">
      <w:pPr>
        <w:tabs>
          <w:tab w:val="left" w:pos="2745"/>
        </w:tabs>
        <w:spacing w:before="240" w:after="240" w:line="276" w:lineRule="auto"/>
        <w:ind w:left="567" w:right="900"/>
        <w:jc w:val="both"/>
        <w:rPr>
          <w:rFonts w:ascii="Palatino Linotype" w:eastAsia="Palatino Linotype" w:hAnsi="Palatino Linotype" w:cs="Palatino Linotype"/>
          <w:b/>
          <w:sz w:val="22"/>
          <w:szCs w:val="22"/>
        </w:rPr>
      </w:pPr>
      <w:r w:rsidRPr="00095A2C">
        <w:rPr>
          <w:rFonts w:ascii="Palatino Linotype" w:eastAsia="Palatino Linotype" w:hAnsi="Palatino Linotype" w:cs="Palatino Linotype"/>
          <w:b/>
          <w:sz w:val="22"/>
          <w:szCs w:val="22"/>
        </w:rPr>
        <w:lastRenderedPageBreak/>
        <w:t xml:space="preserve">a) Acto impugnado: </w:t>
      </w:r>
      <w:r w:rsidRPr="00095A2C">
        <w:rPr>
          <w:rFonts w:ascii="Palatino Linotype" w:eastAsia="Palatino Linotype" w:hAnsi="Palatino Linotype" w:cs="Palatino Linotype"/>
          <w:i/>
          <w:sz w:val="22"/>
          <w:szCs w:val="22"/>
        </w:rPr>
        <w:t>“</w:t>
      </w:r>
      <w:r w:rsidR="00FB1035" w:rsidRPr="00095A2C">
        <w:rPr>
          <w:rFonts w:ascii="Palatino Linotype" w:eastAsia="Palatino Linotype" w:hAnsi="Palatino Linotype" w:cs="Palatino Linotype"/>
          <w:i/>
          <w:sz w:val="22"/>
          <w:szCs w:val="22"/>
        </w:rPr>
        <w:t>La respuesta a mi solicitud</w:t>
      </w:r>
      <w:r w:rsidRPr="00095A2C">
        <w:rPr>
          <w:rFonts w:ascii="Palatino Linotype" w:eastAsia="Palatino Linotype" w:hAnsi="Palatino Linotype" w:cs="Palatino Linotype"/>
          <w:i/>
          <w:sz w:val="22"/>
          <w:szCs w:val="22"/>
        </w:rPr>
        <w:t>” (Sic)</w:t>
      </w:r>
    </w:p>
    <w:p w14:paraId="38ADEDD8" w14:textId="77777777" w:rsidR="00021793" w:rsidRPr="00095A2C" w:rsidRDefault="00122CAC" w:rsidP="00FB1035">
      <w:pPr>
        <w:spacing w:line="276" w:lineRule="auto"/>
        <w:ind w:left="567" w:right="900"/>
        <w:jc w:val="both"/>
        <w:rPr>
          <w:rFonts w:ascii="Palatino Linotype" w:eastAsia="Palatino Linotype" w:hAnsi="Palatino Linotype" w:cs="Palatino Linotype"/>
          <w:sz w:val="22"/>
          <w:szCs w:val="22"/>
        </w:rPr>
      </w:pPr>
      <w:bookmarkStart w:id="3" w:name="_heading=h.30j0zll" w:colFirst="0" w:colLast="0"/>
      <w:bookmarkEnd w:id="3"/>
      <w:r w:rsidRPr="00095A2C">
        <w:rPr>
          <w:rFonts w:ascii="Palatino Linotype" w:eastAsia="Palatino Linotype" w:hAnsi="Palatino Linotype" w:cs="Palatino Linotype"/>
          <w:b/>
          <w:sz w:val="22"/>
          <w:szCs w:val="22"/>
        </w:rPr>
        <w:t>b) Razones o motivos de inconformidad</w:t>
      </w:r>
      <w:r w:rsidRPr="00095A2C">
        <w:rPr>
          <w:rFonts w:ascii="Palatino Linotype" w:eastAsia="Palatino Linotype" w:hAnsi="Palatino Linotype" w:cs="Palatino Linotype"/>
          <w:sz w:val="22"/>
          <w:szCs w:val="22"/>
        </w:rPr>
        <w:t xml:space="preserve">: </w:t>
      </w:r>
      <w:r w:rsidRPr="00095A2C">
        <w:rPr>
          <w:rFonts w:ascii="Palatino Linotype" w:eastAsia="Palatino Linotype" w:hAnsi="Palatino Linotype" w:cs="Palatino Linotype"/>
          <w:i/>
          <w:sz w:val="22"/>
          <w:szCs w:val="22"/>
        </w:rPr>
        <w:t>“</w:t>
      </w:r>
      <w:r w:rsidR="00FB1035" w:rsidRPr="00095A2C">
        <w:rPr>
          <w:rFonts w:ascii="Palatino Linotype" w:eastAsia="Palatino Linotype" w:hAnsi="Palatino Linotype" w:cs="Palatino Linotype"/>
          <w:i/>
          <w:sz w:val="22"/>
          <w:szCs w:val="22"/>
        </w:rPr>
        <w:t>Me entrega una lista peor se solicita los oficios</w:t>
      </w:r>
      <w:r w:rsidRPr="00095A2C">
        <w:rPr>
          <w:rFonts w:ascii="Palatino Linotype" w:eastAsia="Palatino Linotype" w:hAnsi="Palatino Linotype" w:cs="Palatino Linotype"/>
          <w:i/>
          <w:sz w:val="22"/>
          <w:szCs w:val="22"/>
        </w:rPr>
        <w:t>” (Sic)</w:t>
      </w:r>
    </w:p>
    <w:p w14:paraId="038A5270" w14:textId="77777777" w:rsidR="00FB1035" w:rsidRPr="00095A2C" w:rsidRDefault="00FB1035" w:rsidP="00FB1035">
      <w:pPr>
        <w:spacing w:line="276" w:lineRule="auto"/>
        <w:ind w:left="567" w:right="900"/>
        <w:jc w:val="both"/>
        <w:rPr>
          <w:rFonts w:ascii="Palatino Linotype" w:eastAsia="Palatino Linotype" w:hAnsi="Palatino Linotype" w:cs="Palatino Linotype"/>
          <w:sz w:val="22"/>
          <w:szCs w:val="22"/>
        </w:rPr>
      </w:pPr>
    </w:p>
    <w:p w14:paraId="6C89336E" w14:textId="77777777" w:rsidR="00021793" w:rsidRPr="00095A2C" w:rsidRDefault="00122CAC">
      <w:pPr>
        <w:spacing w:line="360" w:lineRule="auto"/>
        <w:jc w:val="both"/>
        <w:rPr>
          <w:rFonts w:ascii="Palatino Linotype" w:eastAsia="Palatino Linotype" w:hAnsi="Palatino Linotype" w:cs="Palatino Linotype"/>
          <w:sz w:val="22"/>
          <w:szCs w:val="22"/>
        </w:rPr>
      </w:pPr>
      <w:r w:rsidRPr="00095A2C">
        <w:rPr>
          <w:rFonts w:ascii="Palatino Linotype" w:eastAsia="Palatino Linotype" w:hAnsi="Palatino Linotype" w:cs="Palatino Linotype"/>
          <w:b/>
          <w:sz w:val="22"/>
          <w:szCs w:val="22"/>
        </w:rPr>
        <w:t xml:space="preserve">4. Turno. </w:t>
      </w:r>
      <w:r w:rsidRPr="00095A2C">
        <w:rPr>
          <w:rFonts w:ascii="Palatino Linotype" w:eastAsia="Palatino Linotype" w:hAnsi="Palatino Linotype" w:cs="Palatino Linotype"/>
          <w:sz w:val="22"/>
          <w:szCs w:val="22"/>
        </w:rPr>
        <w:t xml:space="preserve">De conformidad con el artículo 185 fracción I de la Ley de Transparencia y Acceso a la Información Pública del Estado de México y Municipios vigente, el presente recurso de revisión se turnó por el sistema electrónico del Instituto de Transparencia, Acceso a la Información Pública y Protección de Datos Personales del Estado de México y Municipios, a la Comisionada </w:t>
      </w:r>
      <w:r w:rsidRPr="00095A2C">
        <w:rPr>
          <w:rFonts w:ascii="Palatino Linotype" w:eastAsia="Palatino Linotype" w:hAnsi="Palatino Linotype" w:cs="Palatino Linotype"/>
          <w:b/>
          <w:sz w:val="22"/>
          <w:szCs w:val="22"/>
        </w:rPr>
        <w:t xml:space="preserve">Guadalupe Ramírez Peña, </w:t>
      </w:r>
      <w:r w:rsidRPr="00095A2C">
        <w:rPr>
          <w:rFonts w:ascii="Palatino Linotype" w:eastAsia="Palatino Linotype" w:hAnsi="Palatino Linotype" w:cs="Palatino Linotype"/>
          <w:sz w:val="22"/>
          <w:szCs w:val="22"/>
        </w:rPr>
        <w:t>a efecto de que analizara sobre su admisión o su desechamiento.</w:t>
      </w:r>
    </w:p>
    <w:p w14:paraId="6686EB42" w14:textId="77777777" w:rsidR="00021793" w:rsidRPr="00095A2C" w:rsidRDefault="00122CAC">
      <w:pPr>
        <w:spacing w:before="240" w:after="240" w:line="360" w:lineRule="auto"/>
        <w:jc w:val="both"/>
        <w:rPr>
          <w:rFonts w:ascii="Palatino Linotype" w:eastAsia="Palatino Linotype" w:hAnsi="Palatino Linotype" w:cs="Palatino Linotype"/>
          <w:sz w:val="22"/>
          <w:szCs w:val="22"/>
        </w:rPr>
      </w:pPr>
      <w:bookmarkStart w:id="4" w:name="_heading=h.2s8eyo1" w:colFirst="0" w:colLast="0"/>
      <w:bookmarkEnd w:id="4"/>
      <w:r w:rsidRPr="00095A2C">
        <w:rPr>
          <w:rFonts w:ascii="Palatino Linotype" w:eastAsia="Palatino Linotype" w:hAnsi="Palatino Linotype" w:cs="Palatino Linotype"/>
          <w:b/>
          <w:sz w:val="22"/>
          <w:szCs w:val="22"/>
        </w:rPr>
        <w:t>5. Admisión del Recurso de revisión.</w:t>
      </w:r>
      <w:r w:rsidRPr="00095A2C">
        <w:rPr>
          <w:rFonts w:ascii="Palatino Linotype" w:eastAsia="Palatino Linotype" w:hAnsi="Palatino Linotype" w:cs="Palatino Linotype"/>
          <w:sz w:val="22"/>
          <w:szCs w:val="22"/>
        </w:rPr>
        <w:t xml:space="preserve"> El</w:t>
      </w:r>
      <w:r w:rsidR="00FB1035" w:rsidRPr="00095A2C">
        <w:rPr>
          <w:rFonts w:ascii="Palatino Linotype" w:eastAsia="Palatino Linotype" w:hAnsi="Palatino Linotype" w:cs="Palatino Linotype"/>
          <w:b/>
          <w:sz w:val="22"/>
          <w:szCs w:val="22"/>
        </w:rPr>
        <w:t xml:space="preserve"> trece</w:t>
      </w:r>
      <w:r w:rsidR="00731467" w:rsidRPr="00095A2C">
        <w:rPr>
          <w:rFonts w:ascii="Palatino Linotype" w:eastAsia="Palatino Linotype" w:hAnsi="Palatino Linotype" w:cs="Palatino Linotype"/>
          <w:b/>
          <w:sz w:val="22"/>
          <w:szCs w:val="22"/>
        </w:rPr>
        <w:t xml:space="preserve"> de febrero de dos mil veinticinc</w:t>
      </w:r>
      <w:r w:rsidRPr="00095A2C">
        <w:rPr>
          <w:rFonts w:ascii="Palatino Linotype" w:eastAsia="Palatino Linotype" w:hAnsi="Palatino Linotype" w:cs="Palatino Linotype"/>
          <w:b/>
          <w:sz w:val="22"/>
          <w:szCs w:val="22"/>
        </w:rPr>
        <w:t xml:space="preserve">o, </w:t>
      </w:r>
      <w:r w:rsidRPr="00095A2C">
        <w:rPr>
          <w:rFonts w:ascii="Palatino Linotype" w:eastAsia="Palatino Linotype" w:hAnsi="Palatino Linotype" w:cs="Palatino Linotype"/>
          <w:sz w:val="22"/>
          <w:szCs w:val="22"/>
        </w:rPr>
        <w:t xml:space="preserve">este Instituto de Transparencia, Acceso a la Información Pública y Protección de Datos Personales del Estado de México y Municipios, admitió a trámite el recurso de revisión que ahora se resuelve, dando un plazo máximo de siete días hábiles para que las partes manifestaran lo que a su derecho resultara conveniente, ofrecieran pruebas, formularan alegatos y el </w:t>
      </w:r>
      <w:r w:rsidRPr="00095A2C">
        <w:rPr>
          <w:rFonts w:ascii="Palatino Linotype" w:eastAsia="Palatino Linotype" w:hAnsi="Palatino Linotype" w:cs="Palatino Linotype"/>
          <w:b/>
          <w:sz w:val="22"/>
          <w:szCs w:val="22"/>
        </w:rPr>
        <w:t xml:space="preserve">Sujeto Obligado </w:t>
      </w:r>
      <w:r w:rsidRPr="00095A2C">
        <w:rPr>
          <w:rFonts w:ascii="Palatino Linotype" w:eastAsia="Palatino Linotype" w:hAnsi="Palatino Linotype" w:cs="Palatino Linotype"/>
          <w:sz w:val="22"/>
          <w:szCs w:val="22"/>
        </w:rPr>
        <w:t>presentara su informe justificado.</w:t>
      </w:r>
    </w:p>
    <w:p w14:paraId="60FC3D2F" w14:textId="77777777" w:rsidR="00731467" w:rsidRPr="00095A2C" w:rsidRDefault="00122CAC" w:rsidP="00CB2B76">
      <w:pPr>
        <w:widowControl w:val="0"/>
        <w:spacing w:line="360" w:lineRule="auto"/>
        <w:ind w:right="49"/>
        <w:jc w:val="both"/>
        <w:rPr>
          <w:rFonts w:ascii="Palatino Linotype" w:eastAsia="Palatino Linotype" w:hAnsi="Palatino Linotype" w:cs="Palatino Linotype"/>
          <w:sz w:val="22"/>
          <w:szCs w:val="22"/>
        </w:rPr>
      </w:pPr>
      <w:r w:rsidRPr="00095A2C">
        <w:rPr>
          <w:rFonts w:ascii="Palatino Linotype" w:eastAsia="Palatino Linotype" w:hAnsi="Palatino Linotype" w:cs="Palatino Linotype"/>
          <w:b/>
          <w:sz w:val="22"/>
          <w:szCs w:val="22"/>
        </w:rPr>
        <w:t xml:space="preserve">6. Manifestaciones e Informe Justificado. </w:t>
      </w:r>
      <w:r w:rsidRPr="00095A2C">
        <w:rPr>
          <w:rFonts w:ascii="Palatino Linotype" w:eastAsia="Palatino Linotype" w:hAnsi="Palatino Linotype" w:cs="Palatino Linotype"/>
          <w:sz w:val="22"/>
          <w:szCs w:val="22"/>
        </w:rPr>
        <w:t xml:space="preserve">De constancias del expediente electrónico del SAIMEX, se observa que </w:t>
      </w:r>
      <w:r w:rsidR="00FB1035" w:rsidRPr="00095A2C">
        <w:rPr>
          <w:rFonts w:ascii="Palatino Linotype" w:eastAsia="Palatino Linotype" w:hAnsi="Palatino Linotype" w:cs="Palatino Linotype"/>
          <w:sz w:val="22"/>
          <w:szCs w:val="22"/>
        </w:rPr>
        <w:t xml:space="preserve">el día </w:t>
      </w:r>
      <w:r w:rsidR="00FB1035" w:rsidRPr="00095A2C">
        <w:rPr>
          <w:rFonts w:ascii="Palatino Linotype" w:eastAsia="Palatino Linotype" w:hAnsi="Palatino Linotype" w:cs="Palatino Linotype"/>
          <w:b/>
          <w:sz w:val="22"/>
          <w:szCs w:val="22"/>
        </w:rPr>
        <w:t>veinticuatro</w:t>
      </w:r>
      <w:r w:rsidR="00731467" w:rsidRPr="00095A2C">
        <w:rPr>
          <w:rFonts w:ascii="Palatino Linotype" w:eastAsia="Palatino Linotype" w:hAnsi="Palatino Linotype" w:cs="Palatino Linotype"/>
          <w:b/>
          <w:sz w:val="22"/>
          <w:szCs w:val="22"/>
        </w:rPr>
        <w:t xml:space="preserve"> de febrero de dos mil veinticinco</w:t>
      </w:r>
      <w:r w:rsidR="00731467" w:rsidRPr="00095A2C">
        <w:rPr>
          <w:rFonts w:ascii="Palatino Linotype" w:eastAsia="Palatino Linotype" w:hAnsi="Palatino Linotype" w:cs="Palatino Linotype"/>
          <w:sz w:val="22"/>
          <w:szCs w:val="22"/>
        </w:rPr>
        <w:t xml:space="preserve">, el </w:t>
      </w:r>
      <w:r w:rsidR="00731467" w:rsidRPr="00095A2C">
        <w:rPr>
          <w:rFonts w:ascii="Palatino Linotype" w:eastAsia="Palatino Linotype" w:hAnsi="Palatino Linotype" w:cs="Palatino Linotype"/>
          <w:b/>
          <w:sz w:val="22"/>
          <w:szCs w:val="22"/>
        </w:rPr>
        <w:t>Sujeto Obligado</w:t>
      </w:r>
      <w:r w:rsidR="00731467" w:rsidRPr="00095A2C">
        <w:rPr>
          <w:rFonts w:ascii="Palatino Linotype" w:eastAsia="Palatino Linotype" w:hAnsi="Palatino Linotype" w:cs="Palatino Linotype"/>
          <w:sz w:val="22"/>
          <w:szCs w:val="22"/>
        </w:rPr>
        <w:t xml:space="preserve"> remitió su </w:t>
      </w:r>
      <w:r w:rsidR="00FB1035" w:rsidRPr="00095A2C">
        <w:rPr>
          <w:rFonts w:ascii="Palatino Linotype" w:eastAsia="Palatino Linotype" w:hAnsi="Palatino Linotype" w:cs="Palatino Linotype"/>
          <w:sz w:val="22"/>
          <w:szCs w:val="22"/>
        </w:rPr>
        <w:t>informe justificado mediante el archivo electrónico</w:t>
      </w:r>
      <w:r w:rsidR="00CB2B76" w:rsidRPr="00095A2C">
        <w:rPr>
          <w:rFonts w:ascii="Palatino Linotype" w:eastAsia="Palatino Linotype" w:hAnsi="Palatino Linotype" w:cs="Palatino Linotype"/>
          <w:sz w:val="22"/>
          <w:szCs w:val="22"/>
        </w:rPr>
        <w:t xml:space="preserve">, </w:t>
      </w:r>
      <w:r w:rsidR="00731467" w:rsidRPr="00095A2C">
        <w:rPr>
          <w:rFonts w:ascii="Palatino Linotype" w:eastAsia="Palatino Linotype" w:hAnsi="Palatino Linotype" w:cs="Palatino Linotype"/>
          <w:b/>
          <w:i/>
          <w:sz w:val="22"/>
          <w:szCs w:val="22"/>
        </w:rPr>
        <w:t>“</w:t>
      </w:r>
      <w:r w:rsidR="00FB1035" w:rsidRPr="00095A2C">
        <w:rPr>
          <w:rFonts w:ascii="Palatino Linotype" w:eastAsia="Palatino Linotype" w:hAnsi="Palatino Linotype" w:cs="Palatino Linotype"/>
          <w:b/>
          <w:i/>
          <w:sz w:val="22"/>
          <w:szCs w:val="22"/>
        </w:rPr>
        <w:t>RR-889-2025.pdf</w:t>
      </w:r>
      <w:r w:rsidR="00731467" w:rsidRPr="00095A2C">
        <w:rPr>
          <w:rFonts w:ascii="Palatino Linotype" w:eastAsia="Palatino Linotype" w:hAnsi="Palatino Linotype" w:cs="Palatino Linotype"/>
          <w:b/>
          <w:i/>
          <w:sz w:val="22"/>
          <w:szCs w:val="22"/>
        </w:rPr>
        <w:t>.pdf</w:t>
      </w:r>
      <w:r w:rsidR="00CB2B76" w:rsidRPr="00095A2C">
        <w:rPr>
          <w:rFonts w:ascii="Palatino Linotype" w:eastAsia="Palatino Linotype" w:hAnsi="Palatino Linotype" w:cs="Palatino Linotype"/>
          <w:b/>
          <w:i/>
          <w:sz w:val="22"/>
          <w:szCs w:val="22"/>
        </w:rPr>
        <w:t xml:space="preserve">”, </w:t>
      </w:r>
      <w:r w:rsidR="00CB2B76" w:rsidRPr="00095A2C">
        <w:rPr>
          <w:rFonts w:ascii="Palatino Linotype" w:eastAsia="Palatino Linotype" w:hAnsi="Palatino Linotype" w:cs="Palatino Linotype"/>
          <w:sz w:val="22"/>
          <w:szCs w:val="22"/>
        </w:rPr>
        <w:t>el cual se compone de doce fojas, mediante el cual, la persona titular de la Unidad de Transparencia ratifica los términos de la respuesta inicial.</w:t>
      </w:r>
    </w:p>
    <w:p w14:paraId="47C417BB" w14:textId="77777777" w:rsidR="00731467" w:rsidRPr="00095A2C" w:rsidRDefault="00731467">
      <w:pPr>
        <w:widowControl w:val="0"/>
        <w:spacing w:line="360" w:lineRule="auto"/>
        <w:ind w:right="49"/>
        <w:jc w:val="both"/>
        <w:rPr>
          <w:rFonts w:ascii="Palatino Linotype" w:eastAsia="Palatino Linotype" w:hAnsi="Palatino Linotype" w:cs="Palatino Linotype"/>
          <w:sz w:val="22"/>
          <w:szCs w:val="22"/>
        </w:rPr>
      </w:pPr>
    </w:p>
    <w:p w14:paraId="6E0D8559" w14:textId="57AA91C4" w:rsidR="00B427CC" w:rsidRPr="00095A2C" w:rsidRDefault="00B655C2">
      <w:pPr>
        <w:widowControl w:val="0"/>
        <w:spacing w:line="360" w:lineRule="auto"/>
        <w:ind w:right="49"/>
        <w:jc w:val="both"/>
        <w:rPr>
          <w:rFonts w:ascii="Palatino Linotype" w:eastAsia="Palatino Linotype" w:hAnsi="Palatino Linotype" w:cs="Palatino Linotype"/>
          <w:sz w:val="22"/>
          <w:szCs w:val="22"/>
        </w:rPr>
      </w:pPr>
      <w:r w:rsidRPr="00095A2C">
        <w:rPr>
          <w:rFonts w:ascii="Palatino Linotype" w:eastAsia="Palatino Linotype" w:hAnsi="Palatino Linotype" w:cs="Palatino Linotype"/>
          <w:sz w:val="22"/>
          <w:szCs w:val="22"/>
        </w:rPr>
        <w:t xml:space="preserve">Es de precisar que una vez analizada esta documentación, se determinó ponerla a la vista de </w:t>
      </w:r>
      <w:r w:rsidRPr="00095A2C">
        <w:rPr>
          <w:rFonts w:ascii="Palatino Linotype" w:eastAsia="Palatino Linotype" w:hAnsi="Palatino Linotype" w:cs="Palatino Linotype"/>
          <w:b/>
          <w:sz w:val="22"/>
          <w:szCs w:val="22"/>
        </w:rPr>
        <w:t>la parte Recurrente</w:t>
      </w:r>
      <w:r w:rsidRPr="00095A2C">
        <w:rPr>
          <w:rFonts w:ascii="Palatino Linotype" w:eastAsia="Palatino Linotype" w:hAnsi="Palatino Linotype" w:cs="Palatino Linotype"/>
          <w:sz w:val="22"/>
          <w:szCs w:val="22"/>
        </w:rPr>
        <w:t xml:space="preserve"> mediante acue</w:t>
      </w:r>
      <w:r w:rsidR="00B427CC" w:rsidRPr="00095A2C">
        <w:rPr>
          <w:rFonts w:ascii="Palatino Linotype" w:eastAsia="Palatino Linotype" w:hAnsi="Palatino Linotype" w:cs="Palatino Linotype"/>
          <w:sz w:val="22"/>
          <w:szCs w:val="22"/>
        </w:rPr>
        <w:t>rdo</w:t>
      </w:r>
      <w:r w:rsidRPr="00095A2C">
        <w:rPr>
          <w:rFonts w:ascii="Palatino Linotype" w:eastAsia="Palatino Linotype" w:hAnsi="Palatino Linotype" w:cs="Palatino Linotype"/>
          <w:sz w:val="22"/>
          <w:szCs w:val="22"/>
        </w:rPr>
        <w:t xml:space="preserve"> suscritos</w:t>
      </w:r>
      <w:r w:rsidR="00CB2B76" w:rsidRPr="00095A2C">
        <w:rPr>
          <w:rFonts w:ascii="Palatino Linotype" w:eastAsia="Palatino Linotype" w:hAnsi="Palatino Linotype" w:cs="Palatino Linotype"/>
          <w:sz w:val="22"/>
          <w:szCs w:val="22"/>
        </w:rPr>
        <w:t xml:space="preserve"> por la Comisionada Ponente, el</w:t>
      </w:r>
      <w:r w:rsidR="00B427CC" w:rsidRPr="00095A2C">
        <w:rPr>
          <w:rFonts w:ascii="Palatino Linotype" w:eastAsia="Palatino Linotype" w:hAnsi="Palatino Linotype" w:cs="Palatino Linotype"/>
          <w:sz w:val="22"/>
          <w:szCs w:val="22"/>
        </w:rPr>
        <w:t xml:space="preserve"> día</w:t>
      </w:r>
      <w:r w:rsidRPr="00095A2C">
        <w:rPr>
          <w:rFonts w:ascii="Palatino Linotype" w:eastAsia="Palatino Linotype" w:hAnsi="Palatino Linotype" w:cs="Palatino Linotype"/>
          <w:sz w:val="22"/>
          <w:szCs w:val="22"/>
        </w:rPr>
        <w:t xml:space="preserve"> </w:t>
      </w:r>
      <w:r w:rsidR="00CB2B76" w:rsidRPr="00095A2C">
        <w:rPr>
          <w:rFonts w:ascii="Palatino Linotype" w:eastAsia="Palatino Linotype" w:hAnsi="Palatino Linotype" w:cs="Palatino Linotype"/>
          <w:b/>
          <w:sz w:val="22"/>
          <w:szCs w:val="22"/>
        </w:rPr>
        <w:t>cuatro de marz</w:t>
      </w:r>
      <w:r w:rsidRPr="00095A2C">
        <w:rPr>
          <w:rFonts w:ascii="Palatino Linotype" w:eastAsia="Palatino Linotype" w:hAnsi="Palatino Linotype" w:cs="Palatino Linotype"/>
          <w:b/>
          <w:sz w:val="22"/>
          <w:szCs w:val="22"/>
        </w:rPr>
        <w:t>o de dos mil veinticinco</w:t>
      </w:r>
      <w:r w:rsidR="00F83806" w:rsidRPr="00095A2C">
        <w:rPr>
          <w:rFonts w:ascii="Palatino Linotype" w:eastAsia="Palatino Linotype" w:hAnsi="Palatino Linotype" w:cs="Palatino Linotype"/>
          <w:sz w:val="22"/>
          <w:szCs w:val="22"/>
        </w:rPr>
        <w:t xml:space="preserve">, teniendo constancia de que </w:t>
      </w:r>
      <w:r w:rsidR="00F83806" w:rsidRPr="00095A2C">
        <w:rPr>
          <w:rFonts w:ascii="Palatino Linotype" w:eastAsia="Palatino Linotype" w:hAnsi="Palatino Linotype" w:cs="Palatino Linotype"/>
          <w:b/>
          <w:sz w:val="22"/>
          <w:szCs w:val="22"/>
        </w:rPr>
        <w:t>la parte Recurrente</w:t>
      </w:r>
      <w:r w:rsidR="00F83806" w:rsidRPr="00095A2C">
        <w:rPr>
          <w:rFonts w:ascii="Palatino Linotype" w:eastAsia="Palatino Linotype" w:hAnsi="Palatino Linotype" w:cs="Palatino Linotype"/>
          <w:sz w:val="22"/>
          <w:szCs w:val="22"/>
        </w:rPr>
        <w:t xml:space="preserve"> fue omisa en </w:t>
      </w:r>
      <w:r w:rsidR="00FB1035" w:rsidRPr="00095A2C">
        <w:rPr>
          <w:rFonts w:ascii="Palatino Linotype" w:eastAsia="Palatino Linotype" w:hAnsi="Palatino Linotype" w:cs="Palatino Linotype"/>
          <w:sz w:val="22"/>
          <w:szCs w:val="22"/>
        </w:rPr>
        <w:t>rendir sus manifestaciones o alegatos</w:t>
      </w:r>
      <w:r w:rsidR="00122CAC" w:rsidRPr="00095A2C">
        <w:rPr>
          <w:rFonts w:ascii="Palatino Linotype" w:eastAsia="Palatino Linotype" w:hAnsi="Palatino Linotype" w:cs="Palatino Linotype"/>
          <w:sz w:val="22"/>
          <w:szCs w:val="22"/>
        </w:rPr>
        <w:t xml:space="preserve">, por lo que se tiene por precluido su </w:t>
      </w:r>
      <w:r w:rsidR="00122CAC" w:rsidRPr="00095A2C">
        <w:rPr>
          <w:rFonts w:ascii="Palatino Linotype" w:eastAsia="Palatino Linotype" w:hAnsi="Palatino Linotype" w:cs="Palatino Linotype"/>
          <w:sz w:val="22"/>
          <w:szCs w:val="22"/>
        </w:rPr>
        <w:lastRenderedPageBreak/>
        <w:t xml:space="preserve">derecho para tal efecto. </w:t>
      </w:r>
    </w:p>
    <w:p w14:paraId="4EA76B47" w14:textId="254D08D5" w:rsidR="00021793" w:rsidRPr="00095A2C" w:rsidRDefault="00B427CC" w:rsidP="00F83806">
      <w:pPr>
        <w:widowControl w:val="0"/>
        <w:spacing w:line="360" w:lineRule="auto"/>
        <w:ind w:right="49"/>
        <w:jc w:val="center"/>
        <w:rPr>
          <w:rFonts w:ascii="Palatino Linotype" w:eastAsia="Palatino Linotype" w:hAnsi="Palatino Linotype" w:cs="Palatino Linotype"/>
          <w:sz w:val="22"/>
          <w:szCs w:val="22"/>
        </w:rPr>
      </w:pPr>
      <w:r w:rsidRPr="00095A2C">
        <w:rPr>
          <w:rFonts w:ascii="Palatino Linotype" w:eastAsia="Palatino Linotype" w:hAnsi="Palatino Linotype" w:cs="Palatino Linotype"/>
          <w:noProof/>
          <w:sz w:val="22"/>
          <w:szCs w:val="22"/>
        </w:rPr>
        <w:drawing>
          <wp:inline distT="0" distB="0" distL="0" distR="0" wp14:anchorId="1758A98D" wp14:editId="0F58AB26">
            <wp:extent cx="5612130" cy="2395220"/>
            <wp:effectExtent l="19050" t="19050" r="26670" b="2413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612130" cy="2395220"/>
                    </a:xfrm>
                    <a:prstGeom prst="rect">
                      <a:avLst/>
                    </a:prstGeom>
                    <a:ln>
                      <a:solidFill>
                        <a:schemeClr val="tx1"/>
                      </a:solidFill>
                    </a:ln>
                  </pic:spPr>
                </pic:pic>
              </a:graphicData>
            </a:graphic>
          </wp:inline>
        </w:drawing>
      </w:r>
    </w:p>
    <w:p w14:paraId="07CB5BBD" w14:textId="77777777" w:rsidR="00021793" w:rsidRPr="00095A2C" w:rsidRDefault="00122CAC">
      <w:pPr>
        <w:spacing w:after="240" w:line="360" w:lineRule="auto"/>
        <w:jc w:val="both"/>
        <w:rPr>
          <w:rFonts w:ascii="Palatino Linotype" w:eastAsia="Palatino Linotype" w:hAnsi="Palatino Linotype" w:cs="Palatino Linotype"/>
          <w:b/>
          <w:sz w:val="22"/>
          <w:szCs w:val="22"/>
        </w:rPr>
      </w:pPr>
      <w:r w:rsidRPr="00095A2C">
        <w:rPr>
          <w:rFonts w:ascii="Palatino Linotype" w:eastAsia="Palatino Linotype" w:hAnsi="Palatino Linotype" w:cs="Palatino Linotype"/>
          <w:b/>
          <w:sz w:val="22"/>
          <w:szCs w:val="22"/>
        </w:rPr>
        <w:t xml:space="preserve">7. Cierre de instrucción. </w:t>
      </w:r>
      <w:r w:rsidRPr="00095A2C">
        <w:rPr>
          <w:rFonts w:ascii="Palatino Linotype" w:eastAsia="Palatino Linotype" w:hAnsi="Palatino Linotype" w:cs="Palatino Linotype"/>
          <w:sz w:val="22"/>
          <w:szCs w:val="22"/>
        </w:rPr>
        <w:t xml:space="preserve">Una vez transcurrido el periodo otorgado a las partes para realizar sus manifestaciones y no habiendo documentos que integrar al expediente, el </w:t>
      </w:r>
      <w:r w:rsidR="00CB2B76" w:rsidRPr="00095A2C">
        <w:rPr>
          <w:rFonts w:ascii="Palatino Linotype" w:eastAsia="Palatino Linotype" w:hAnsi="Palatino Linotype" w:cs="Palatino Linotype"/>
          <w:b/>
          <w:sz w:val="22"/>
          <w:szCs w:val="22"/>
        </w:rPr>
        <w:t>diez</w:t>
      </w:r>
      <w:r w:rsidR="00F83806" w:rsidRPr="00095A2C">
        <w:rPr>
          <w:rFonts w:ascii="Palatino Linotype" w:eastAsia="Palatino Linotype" w:hAnsi="Palatino Linotype" w:cs="Palatino Linotype"/>
          <w:b/>
          <w:sz w:val="22"/>
          <w:szCs w:val="22"/>
        </w:rPr>
        <w:t xml:space="preserve"> de marzo</w:t>
      </w:r>
      <w:r w:rsidRPr="00095A2C">
        <w:rPr>
          <w:rFonts w:ascii="Palatino Linotype" w:eastAsia="Palatino Linotype" w:hAnsi="Palatino Linotype" w:cs="Palatino Linotype"/>
          <w:b/>
          <w:sz w:val="22"/>
          <w:szCs w:val="22"/>
        </w:rPr>
        <w:t xml:space="preserve"> de dos mil veinticinco,</w:t>
      </w:r>
      <w:r w:rsidRPr="00095A2C">
        <w:rPr>
          <w:rFonts w:ascii="Palatino Linotype" w:eastAsia="Palatino Linotype" w:hAnsi="Palatino Linotype" w:cs="Palatino Linotype"/>
          <w:sz w:val="22"/>
          <w:szCs w:val="22"/>
        </w:rPr>
        <w:t xml:space="preserve"> la Comisionada Ponente determinó el cierre de instrucción en términos de la fracción VI del artículo 185 de la Ley de Transparencia y Acceso a la Información Pública del Estado de México y Municipios.</w:t>
      </w:r>
    </w:p>
    <w:p w14:paraId="1F8B0614" w14:textId="77777777" w:rsidR="00021793" w:rsidRPr="00095A2C" w:rsidRDefault="00122CAC">
      <w:pPr>
        <w:spacing w:before="240" w:after="240" w:line="360" w:lineRule="auto"/>
        <w:jc w:val="both"/>
        <w:rPr>
          <w:rFonts w:ascii="Palatino Linotype" w:eastAsia="Palatino Linotype" w:hAnsi="Palatino Linotype" w:cs="Palatino Linotype"/>
          <w:sz w:val="22"/>
          <w:szCs w:val="22"/>
        </w:rPr>
      </w:pPr>
      <w:r w:rsidRPr="00095A2C">
        <w:rPr>
          <w:rFonts w:ascii="Palatino Linotype" w:eastAsia="Palatino Linotype" w:hAnsi="Palatino Linotype" w:cs="Palatino Linotype"/>
          <w:sz w:val="22"/>
          <w:szCs w:val="22"/>
        </w:rPr>
        <w:t xml:space="preserve">En razón de que fue debidamente sustanciado el expediente electrónico y no existe diligencia pendiente de desahogo, se emite la Resolución que conforme a Derecho proceda, de acuerdo con los siguientes: </w:t>
      </w:r>
    </w:p>
    <w:p w14:paraId="3374EB62" w14:textId="77777777" w:rsidR="00021793" w:rsidRPr="00095A2C" w:rsidRDefault="00122CAC">
      <w:pPr>
        <w:widowControl w:val="0"/>
        <w:spacing w:before="240" w:after="240" w:line="360" w:lineRule="auto"/>
        <w:jc w:val="center"/>
        <w:rPr>
          <w:rFonts w:ascii="Palatino Linotype" w:eastAsia="Palatino Linotype" w:hAnsi="Palatino Linotype" w:cs="Palatino Linotype"/>
          <w:b/>
        </w:rPr>
      </w:pPr>
      <w:r w:rsidRPr="00095A2C">
        <w:rPr>
          <w:rFonts w:ascii="Palatino Linotype" w:eastAsia="Palatino Linotype" w:hAnsi="Palatino Linotype" w:cs="Palatino Linotype"/>
          <w:b/>
        </w:rPr>
        <w:t>II. C O N S I D E R A N D O S</w:t>
      </w:r>
    </w:p>
    <w:p w14:paraId="2776D855" w14:textId="77777777" w:rsidR="00021793" w:rsidRPr="00095A2C" w:rsidRDefault="00122CAC">
      <w:pPr>
        <w:spacing w:before="240" w:after="240" w:line="360" w:lineRule="auto"/>
        <w:jc w:val="both"/>
        <w:rPr>
          <w:rFonts w:ascii="Palatino Linotype" w:eastAsia="Palatino Linotype" w:hAnsi="Palatino Linotype" w:cs="Palatino Linotype"/>
          <w:sz w:val="22"/>
          <w:szCs w:val="22"/>
        </w:rPr>
      </w:pPr>
      <w:r w:rsidRPr="00095A2C">
        <w:rPr>
          <w:rFonts w:ascii="Palatino Linotype" w:eastAsia="Palatino Linotype" w:hAnsi="Palatino Linotype" w:cs="Palatino Linotype"/>
          <w:b/>
          <w:sz w:val="22"/>
          <w:szCs w:val="22"/>
        </w:rPr>
        <w:t>Primero. Competencia.</w:t>
      </w:r>
      <w:r w:rsidRPr="00095A2C">
        <w:rPr>
          <w:rFonts w:ascii="Palatino Linotype" w:eastAsia="Palatino Linotype" w:hAnsi="Palatino Linotype" w:cs="Palatino Linotype"/>
          <w:sz w:val="22"/>
          <w:szCs w:val="22"/>
        </w:rPr>
        <w:t xml:space="preserve"> El Instituto de Transparencia, Acceso a la Información Pública y Protección de Datos Personales del Estado de México y Municipios, es competente para conocer y resolver el presente recurso de revisión interpuesto por la parte recurrente, conforme a lo dispuesto en los artículos 5 párrafos trigésimo tercero, trigésimo cuarto y trigésimo quinto fracciones IV y V de la Constitución Política del Estado Libre y Soberano de México; 2, fracción II; 29, 36 fracciones I y II; 176, 178, 181, 185, fracción I, 186 y 188 de la </w:t>
      </w:r>
      <w:r w:rsidRPr="00095A2C">
        <w:rPr>
          <w:rFonts w:ascii="Palatino Linotype" w:eastAsia="Palatino Linotype" w:hAnsi="Palatino Linotype" w:cs="Palatino Linotype"/>
          <w:sz w:val="22"/>
          <w:szCs w:val="22"/>
        </w:rPr>
        <w:lastRenderedPageBreak/>
        <w:t>Ley Transparencia y Acceso a la Información Pública del Estado de México y Municipios; 9, fracciones I y XXIII y 11 del Reglamento Interior del Instituto de Transparencia, Acceso a la Información Pública y Protección de Datos Personales del Estado de México y Municipios.</w:t>
      </w:r>
    </w:p>
    <w:p w14:paraId="15560488" w14:textId="77777777" w:rsidR="00021793" w:rsidRPr="00095A2C" w:rsidRDefault="00122CAC">
      <w:pPr>
        <w:spacing w:before="240" w:after="240" w:line="360" w:lineRule="auto"/>
        <w:jc w:val="both"/>
        <w:rPr>
          <w:rFonts w:ascii="Palatino Linotype" w:eastAsia="Palatino Linotype" w:hAnsi="Palatino Linotype" w:cs="Palatino Linotype"/>
          <w:sz w:val="22"/>
          <w:szCs w:val="22"/>
        </w:rPr>
      </w:pPr>
      <w:bookmarkStart w:id="5" w:name="_heading=h.tyjcwt" w:colFirst="0" w:colLast="0"/>
      <w:bookmarkEnd w:id="5"/>
      <w:r w:rsidRPr="00095A2C">
        <w:rPr>
          <w:rFonts w:ascii="Palatino Linotype" w:eastAsia="Palatino Linotype" w:hAnsi="Palatino Linotype" w:cs="Palatino Linotype"/>
          <w:b/>
          <w:sz w:val="22"/>
          <w:szCs w:val="22"/>
        </w:rPr>
        <w:t>Segundo. Oportunidad y Procedibilidad del Recurso de Revisión</w:t>
      </w:r>
      <w:r w:rsidRPr="00095A2C">
        <w:rPr>
          <w:rFonts w:ascii="Palatino Linotype" w:eastAsia="Palatino Linotype" w:hAnsi="Palatino Linotype" w:cs="Palatino Linotype"/>
          <w:sz w:val="22"/>
          <w:szCs w:val="22"/>
        </w:rPr>
        <w:t>. Previo al estudio del fondo del asunto, se procede a analizar los requisitos de oportunidad y procedibilidad que debe reunir el recurso de revisión interpuesto, previstos en los artículos 178 y 180 de la Ley de Transparencia y Acceso a la Información Pública del Estado de México y Municipios.</w:t>
      </w:r>
    </w:p>
    <w:p w14:paraId="1FF88C1B" w14:textId="77777777" w:rsidR="00021793" w:rsidRPr="00095A2C" w:rsidRDefault="00122CAC">
      <w:pPr>
        <w:spacing w:before="240" w:after="240" w:line="360" w:lineRule="auto"/>
        <w:jc w:val="both"/>
        <w:rPr>
          <w:rFonts w:ascii="Palatino Linotype" w:eastAsia="Palatino Linotype" w:hAnsi="Palatino Linotype" w:cs="Palatino Linotype"/>
          <w:sz w:val="22"/>
          <w:szCs w:val="22"/>
        </w:rPr>
      </w:pPr>
      <w:r w:rsidRPr="00095A2C">
        <w:rPr>
          <w:rFonts w:ascii="Palatino Linotype" w:eastAsia="Palatino Linotype" w:hAnsi="Palatino Linotype" w:cs="Palatino Linotype"/>
          <w:sz w:val="22"/>
          <w:szCs w:val="22"/>
        </w:rPr>
        <w:t xml:space="preserve">El recurso de revisión fue interpuesto dentro del plazo de quince días hábiles, previsto en el artículo 178 de la Ley de Transparencia y Acceso a la Información Pública del Estado de México y Municipios, toda vez que el </w:t>
      </w:r>
      <w:r w:rsidRPr="00095A2C">
        <w:rPr>
          <w:rFonts w:ascii="Palatino Linotype" w:eastAsia="Palatino Linotype" w:hAnsi="Palatino Linotype" w:cs="Palatino Linotype"/>
          <w:b/>
          <w:sz w:val="22"/>
          <w:szCs w:val="22"/>
        </w:rPr>
        <w:t xml:space="preserve">Sujeto Obligado </w:t>
      </w:r>
      <w:r w:rsidRPr="00095A2C">
        <w:rPr>
          <w:rFonts w:ascii="Palatino Linotype" w:eastAsia="Palatino Linotype" w:hAnsi="Palatino Linotype" w:cs="Palatino Linotype"/>
          <w:sz w:val="22"/>
          <w:szCs w:val="22"/>
        </w:rPr>
        <w:t xml:space="preserve">remitió la respuesta a la solicitud de información el </w:t>
      </w:r>
      <w:r w:rsidR="00CB2B76" w:rsidRPr="00095A2C">
        <w:rPr>
          <w:rFonts w:ascii="Palatino Linotype" w:eastAsia="Palatino Linotype" w:hAnsi="Palatino Linotype" w:cs="Palatino Linotype"/>
          <w:b/>
          <w:sz w:val="22"/>
          <w:szCs w:val="22"/>
        </w:rPr>
        <w:t>cinco</w:t>
      </w:r>
      <w:r w:rsidRPr="00095A2C">
        <w:rPr>
          <w:rFonts w:ascii="Palatino Linotype" w:eastAsia="Palatino Linotype" w:hAnsi="Palatino Linotype" w:cs="Palatino Linotype"/>
          <w:b/>
          <w:sz w:val="22"/>
          <w:szCs w:val="22"/>
        </w:rPr>
        <w:t xml:space="preserve"> de </w:t>
      </w:r>
      <w:r w:rsidR="00F83806" w:rsidRPr="00095A2C">
        <w:rPr>
          <w:rFonts w:ascii="Palatino Linotype" w:eastAsia="Palatino Linotype" w:hAnsi="Palatino Linotype" w:cs="Palatino Linotype"/>
          <w:b/>
          <w:sz w:val="22"/>
          <w:szCs w:val="22"/>
        </w:rPr>
        <w:t>febrero</w:t>
      </w:r>
      <w:r w:rsidRPr="00095A2C">
        <w:rPr>
          <w:rFonts w:ascii="Palatino Linotype" w:eastAsia="Palatino Linotype" w:hAnsi="Palatino Linotype" w:cs="Palatino Linotype"/>
          <w:sz w:val="22"/>
          <w:szCs w:val="22"/>
        </w:rPr>
        <w:t xml:space="preserve"> </w:t>
      </w:r>
      <w:r w:rsidR="00F83806" w:rsidRPr="00095A2C">
        <w:rPr>
          <w:rFonts w:ascii="Palatino Linotype" w:eastAsia="Palatino Linotype" w:hAnsi="Palatino Linotype" w:cs="Palatino Linotype"/>
          <w:b/>
          <w:sz w:val="22"/>
          <w:szCs w:val="22"/>
        </w:rPr>
        <w:t>de dos mil veinticinc</w:t>
      </w:r>
      <w:r w:rsidRPr="00095A2C">
        <w:rPr>
          <w:rFonts w:ascii="Palatino Linotype" w:eastAsia="Palatino Linotype" w:hAnsi="Palatino Linotype" w:cs="Palatino Linotype"/>
          <w:b/>
          <w:sz w:val="22"/>
          <w:szCs w:val="22"/>
        </w:rPr>
        <w:t xml:space="preserve">o, </w:t>
      </w:r>
      <w:r w:rsidRPr="00095A2C">
        <w:rPr>
          <w:rFonts w:ascii="Palatino Linotype" w:eastAsia="Palatino Linotype" w:hAnsi="Palatino Linotype" w:cs="Palatino Linotype"/>
          <w:sz w:val="22"/>
          <w:szCs w:val="22"/>
        </w:rPr>
        <w:t xml:space="preserve">mientras que el recurso de revisión interpuesto por </w:t>
      </w:r>
      <w:r w:rsidRPr="00095A2C">
        <w:rPr>
          <w:rFonts w:ascii="Palatino Linotype" w:eastAsia="Palatino Linotype" w:hAnsi="Palatino Linotype" w:cs="Palatino Linotype"/>
          <w:b/>
          <w:sz w:val="22"/>
          <w:szCs w:val="22"/>
        </w:rPr>
        <w:t>la parte</w:t>
      </w:r>
      <w:r w:rsidRPr="00095A2C">
        <w:rPr>
          <w:rFonts w:ascii="Palatino Linotype" w:eastAsia="Palatino Linotype" w:hAnsi="Palatino Linotype" w:cs="Palatino Linotype"/>
          <w:sz w:val="22"/>
          <w:szCs w:val="22"/>
        </w:rPr>
        <w:t xml:space="preserve"> </w:t>
      </w:r>
      <w:r w:rsidRPr="00095A2C">
        <w:rPr>
          <w:rFonts w:ascii="Palatino Linotype" w:eastAsia="Palatino Linotype" w:hAnsi="Palatino Linotype" w:cs="Palatino Linotype"/>
          <w:b/>
          <w:sz w:val="22"/>
          <w:szCs w:val="22"/>
        </w:rPr>
        <w:t>Recurrente</w:t>
      </w:r>
      <w:r w:rsidRPr="00095A2C">
        <w:rPr>
          <w:rFonts w:ascii="Palatino Linotype" w:eastAsia="Palatino Linotype" w:hAnsi="Palatino Linotype" w:cs="Palatino Linotype"/>
          <w:sz w:val="22"/>
          <w:szCs w:val="22"/>
        </w:rPr>
        <w:t xml:space="preserve">, se tuvo por presentado el día </w:t>
      </w:r>
      <w:r w:rsidR="00CB2B76" w:rsidRPr="00095A2C">
        <w:rPr>
          <w:rFonts w:ascii="Palatino Linotype" w:eastAsia="Palatino Linotype" w:hAnsi="Palatino Linotype" w:cs="Palatino Linotype"/>
          <w:b/>
          <w:sz w:val="22"/>
          <w:szCs w:val="22"/>
        </w:rPr>
        <w:t>siete</w:t>
      </w:r>
      <w:r w:rsidRPr="00095A2C">
        <w:rPr>
          <w:rFonts w:ascii="Palatino Linotype" w:eastAsia="Palatino Linotype" w:hAnsi="Palatino Linotype" w:cs="Palatino Linotype"/>
          <w:b/>
          <w:sz w:val="22"/>
          <w:szCs w:val="22"/>
        </w:rPr>
        <w:t xml:space="preserve"> de </w:t>
      </w:r>
      <w:r w:rsidR="00F83806" w:rsidRPr="00095A2C">
        <w:rPr>
          <w:rFonts w:ascii="Palatino Linotype" w:eastAsia="Palatino Linotype" w:hAnsi="Palatino Linotype" w:cs="Palatino Linotype"/>
          <w:b/>
          <w:sz w:val="22"/>
          <w:szCs w:val="22"/>
        </w:rPr>
        <w:t>febrero</w:t>
      </w:r>
      <w:r w:rsidRPr="00095A2C">
        <w:rPr>
          <w:rFonts w:ascii="Palatino Linotype" w:eastAsia="Palatino Linotype" w:hAnsi="Palatino Linotype" w:cs="Palatino Linotype"/>
          <w:b/>
          <w:sz w:val="22"/>
          <w:szCs w:val="22"/>
        </w:rPr>
        <w:t xml:space="preserve"> </w:t>
      </w:r>
      <w:r w:rsidR="00F83806" w:rsidRPr="00095A2C">
        <w:rPr>
          <w:rFonts w:ascii="Palatino Linotype" w:eastAsia="Palatino Linotype" w:hAnsi="Palatino Linotype" w:cs="Palatino Linotype"/>
          <w:b/>
          <w:sz w:val="22"/>
          <w:szCs w:val="22"/>
        </w:rPr>
        <w:t>de dos mil veinticinco</w:t>
      </w:r>
      <w:r w:rsidRPr="00095A2C">
        <w:rPr>
          <w:rFonts w:ascii="Palatino Linotype" w:eastAsia="Palatino Linotype" w:hAnsi="Palatino Linotype" w:cs="Palatino Linotype"/>
          <w:b/>
          <w:sz w:val="22"/>
          <w:szCs w:val="22"/>
        </w:rPr>
        <w:t xml:space="preserve">, </w:t>
      </w:r>
      <w:r w:rsidRPr="00095A2C">
        <w:rPr>
          <w:rFonts w:ascii="Palatino Linotype" w:eastAsia="Palatino Linotype" w:hAnsi="Palatino Linotype" w:cs="Palatino Linotype"/>
          <w:sz w:val="22"/>
          <w:szCs w:val="22"/>
        </w:rPr>
        <w:t xml:space="preserve">esto es, el </w:t>
      </w:r>
      <w:r w:rsidR="00F83806" w:rsidRPr="00095A2C">
        <w:rPr>
          <w:rFonts w:ascii="Palatino Linotype" w:eastAsia="Palatino Linotype" w:hAnsi="Palatino Linotype" w:cs="Palatino Linotype"/>
          <w:b/>
          <w:sz w:val="22"/>
          <w:szCs w:val="22"/>
        </w:rPr>
        <w:t>segundo</w:t>
      </w:r>
      <w:r w:rsidRPr="00095A2C">
        <w:rPr>
          <w:rFonts w:ascii="Palatino Linotype" w:eastAsia="Palatino Linotype" w:hAnsi="Palatino Linotype" w:cs="Palatino Linotype"/>
          <w:b/>
          <w:sz w:val="22"/>
          <w:szCs w:val="22"/>
        </w:rPr>
        <w:t xml:space="preserve"> día hábil en el que tuvo conocimiento de la respuesta impugnada.</w:t>
      </w:r>
      <w:r w:rsidRPr="00095A2C">
        <w:rPr>
          <w:rFonts w:ascii="Palatino Linotype" w:eastAsia="Palatino Linotype" w:hAnsi="Palatino Linotype" w:cs="Palatino Linotype"/>
          <w:sz w:val="22"/>
          <w:szCs w:val="22"/>
        </w:rPr>
        <w:t xml:space="preserve"> </w:t>
      </w:r>
    </w:p>
    <w:p w14:paraId="1D23B237" w14:textId="77777777" w:rsidR="00021793" w:rsidRPr="00095A2C" w:rsidRDefault="00122CAC">
      <w:pPr>
        <w:spacing w:before="240" w:after="240" w:line="360" w:lineRule="auto"/>
        <w:jc w:val="both"/>
        <w:rPr>
          <w:rFonts w:ascii="Palatino Linotype" w:eastAsia="Palatino Linotype" w:hAnsi="Palatino Linotype" w:cs="Palatino Linotype"/>
          <w:sz w:val="22"/>
          <w:szCs w:val="22"/>
        </w:rPr>
      </w:pPr>
      <w:r w:rsidRPr="00095A2C">
        <w:rPr>
          <w:rFonts w:ascii="Palatino Linotype" w:eastAsia="Palatino Linotype" w:hAnsi="Palatino Linotype" w:cs="Palatino Linotype"/>
          <w:sz w:val="22"/>
          <w:szCs w:val="22"/>
        </w:rPr>
        <w:t>En este sentido, se concluye que el presente recurso de revisión se encuentra dentro de los márgenes temporales previstos en las disposiciones legales referidas.</w:t>
      </w:r>
    </w:p>
    <w:p w14:paraId="7D78A99D" w14:textId="1BE6A405" w:rsidR="00CB2B76" w:rsidRPr="00095A2C" w:rsidRDefault="00CB2B76" w:rsidP="00CB2B76">
      <w:pPr>
        <w:spacing w:before="240" w:after="240" w:line="360" w:lineRule="auto"/>
        <w:ind w:right="49"/>
        <w:jc w:val="both"/>
        <w:rPr>
          <w:rFonts w:ascii="Palatino Linotype" w:eastAsia="Palatino Linotype" w:hAnsi="Palatino Linotype" w:cs="Palatino Linotype"/>
          <w:sz w:val="22"/>
          <w:szCs w:val="22"/>
        </w:rPr>
      </w:pPr>
      <w:r w:rsidRPr="00095A2C">
        <w:rPr>
          <w:rFonts w:ascii="Palatino Linotype" w:eastAsia="Palatino Linotype" w:hAnsi="Palatino Linotype" w:cs="Palatino Linotype"/>
          <w:sz w:val="22"/>
          <w:szCs w:val="22"/>
        </w:rPr>
        <w:t xml:space="preserve">Asimismo por cuanto hace a la procedibilidad del recurso de revisión, es de suma importancia señalar que </w:t>
      </w:r>
      <w:r w:rsidRPr="00095A2C">
        <w:rPr>
          <w:rFonts w:ascii="Palatino Linotype" w:eastAsia="Palatino Linotype" w:hAnsi="Palatino Linotype" w:cs="Palatino Linotype"/>
          <w:b/>
          <w:sz w:val="22"/>
          <w:szCs w:val="22"/>
        </w:rPr>
        <w:t>la parte</w:t>
      </w:r>
      <w:r w:rsidRPr="00095A2C">
        <w:rPr>
          <w:rFonts w:ascii="Palatino Linotype" w:eastAsia="Palatino Linotype" w:hAnsi="Palatino Linotype" w:cs="Palatino Linotype"/>
          <w:sz w:val="22"/>
          <w:szCs w:val="22"/>
        </w:rPr>
        <w:t xml:space="preserve"> </w:t>
      </w:r>
      <w:r w:rsidRPr="00095A2C">
        <w:rPr>
          <w:rFonts w:ascii="Palatino Linotype" w:eastAsia="Palatino Linotype" w:hAnsi="Palatino Linotype" w:cs="Palatino Linotype"/>
          <w:b/>
          <w:sz w:val="22"/>
          <w:szCs w:val="22"/>
        </w:rPr>
        <w:t>Recurrente</w:t>
      </w:r>
      <w:r w:rsidRPr="00095A2C">
        <w:rPr>
          <w:rFonts w:ascii="Palatino Linotype" w:eastAsia="Palatino Linotype" w:hAnsi="Palatino Linotype" w:cs="Palatino Linotype"/>
          <w:sz w:val="22"/>
          <w:szCs w:val="22"/>
        </w:rPr>
        <w:t xml:space="preserve"> </w:t>
      </w:r>
      <w:r w:rsidR="00B427CC" w:rsidRPr="00095A2C">
        <w:rPr>
          <w:rFonts w:ascii="Palatino Linotype" w:eastAsia="Palatino Linotype" w:hAnsi="Palatino Linotype" w:cs="Palatino Linotype"/>
          <w:b/>
          <w:sz w:val="22"/>
          <w:szCs w:val="22"/>
          <w:u w:val="single"/>
        </w:rPr>
        <w:t>fue omiso en proporcionar nombre o seudónimo</w:t>
      </w:r>
      <w:r w:rsidRPr="00095A2C">
        <w:rPr>
          <w:rFonts w:ascii="Palatino Linotype" w:eastAsia="Palatino Linotype" w:hAnsi="Palatino Linotype" w:cs="Palatino Linotype"/>
          <w:sz w:val="22"/>
          <w:szCs w:val="22"/>
        </w:rPr>
        <w:t xml:space="preserve"> con el que desea que se le identifique</w:t>
      </w:r>
      <w:r w:rsidRPr="00095A2C">
        <w:rPr>
          <w:rFonts w:ascii="Palatino Linotype" w:eastAsia="Palatino Linotype" w:hAnsi="Palatino Linotype" w:cs="Palatino Linotype"/>
          <w:b/>
          <w:sz w:val="22"/>
          <w:szCs w:val="22"/>
        </w:rPr>
        <w:t>,</w:t>
      </w:r>
      <w:r w:rsidRPr="00095A2C">
        <w:rPr>
          <w:rFonts w:ascii="Palatino Linotype" w:eastAsia="Palatino Linotype" w:hAnsi="Palatino Linotype" w:cs="Palatino Linotype"/>
          <w:sz w:val="22"/>
          <w:szCs w:val="22"/>
        </w:rPr>
        <w:t xml:space="preserve"> como se advierte en el detalle de seguimiento del SAIMEX, no obstante, el no proporcionar el nombre no es motivo para archivar la solicitud de acceso a la información pública como concluida, conforme a lo previsto en el artículo 155, penúltimo párrafo de la Ley de Transparencia y Acceso a la Información Pública del Estado de México y Municipios que establece lo siguiente:</w:t>
      </w:r>
    </w:p>
    <w:p w14:paraId="190FF0BC" w14:textId="77777777" w:rsidR="00CB2B76" w:rsidRPr="00095A2C" w:rsidRDefault="00CB2B76" w:rsidP="00CB2B76">
      <w:pPr>
        <w:spacing w:before="240" w:after="240" w:line="276" w:lineRule="auto"/>
        <w:ind w:left="851" w:right="902"/>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lastRenderedPageBreak/>
        <w:t>"</w:t>
      </w:r>
      <w:r w:rsidRPr="00095A2C">
        <w:rPr>
          <w:rFonts w:ascii="Palatino Linotype" w:eastAsia="Palatino Linotype" w:hAnsi="Palatino Linotype" w:cs="Palatino Linotype"/>
          <w:b/>
          <w:i/>
          <w:sz w:val="22"/>
          <w:szCs w:val="22"/>
        </w:rPr>
        <w:t xml:space="preserve">Las solicitudes </w:t>
      </w:r>
      <w:r w:rsidRPr="00095A2C">
        <w:rPr>
          <w:rFonts w:ascii="Palatino Linotype" w:eastAsia="Palatino Linotype" w:hAnsi="Palatino Linotype" w:cs="Palatino Linotype"/>
          <w:i/>
          <w:sz w:val="22"/>
          <w:szCs w:val="22"/>
        </w:rPr>
        <w:t xml:space="preserve">anónimas, con </w:t>
      </w:r>
      <w:r w:rsidRPr="00095A2C">
        <w:rPr>
          <w:rFonts w:ascii="Palatino Linotype" w:eastAsia="Palatino Linotype" w:hAnsi="Palatino Linotype" w:cs="Palatino Linotype"/>
          <w:b/>
          <w:i/>
          <w:sz w:val="22"/>
          <w:szCs w:val="22"/>
        </w:rPr>
        <w:t>nombre incompleto o seudónimo</w:t>
      </w:r>
      <w:r w:rsidRPr="00095A2C">
        <w:rPr>
          <w:rFonts w:ascii="Palatino Linotype" w:eastAsia="Palatino Linotype" w:hAnsi="Palatino Linotype" w:cs="Palatino Linotype"/>
          <w:i/>
          <w:sz w:val="22"/>
          <w:szCs w:val="22"/>
        </w:rPr>
        <w:t xml:space="preserve"> </w:t>
      </w:r>
      <w:r w:rsidRPr="00095A2C">
        <w:rPr>
          <w:rFonts w:ascii="Palatino Linotype" w:eastAsia="Palatino Linotype" w:hAnsi="Palatino Linotype" w:cs="Palatino Linotype"/>
          <w:b/>
          <w:i/>
          <w:sz w:val="22"/>
          <w:szCs w:val="22"/>
        </w:rPr>
        <w:t>serán procedentes para su trámite por parte del sujeto obligado ante quien se presente</w:t>
      </w:r>
      <w:r w:rsidRPr="00095A2C">
        <w:rPr>
          <w:rFonts w:ascii="Palatino Linotype" w:eastAsia="Palatino Linotype" w:hAnsi="Palatino Linotype" w:cs="Palatino Linotype"/>
          <w:i/>
          <w:sz w:val="22"/>
          <w:szCs w:val="22"/>
        </w:rPr>
        <w:t>. No podrá requerirse información adicional con motivo del nombre proporcionado por el solicitante."(Énfasis añadido)</w:t>
      </w:r>
    </w:p>
    <w:p w14:paraId="13932A27" w14:textId="77777777" w:rsidR="00021793" w:rsidRPr="00095A2C" w:rsidRDefault="00122CAC">
      <w:pPr>
        <w:tabs>
          <w:tab w:val="left" w:pos="7938"/>
        </w:tabs>
        <w:spacing w:before="240" w:after="240" w:line="360" w:lineRule="auto"/>
        <w:jc w:val="both"/>
        <w:rPr>
          <w:rFonts w:ascii="Palatino Linotype" w:eastAsia="Palatino Linotype" w:hAnsi="Palatino Linotype" w:cs="Palatino Linotype"/>
          <w:sz w:val="22"/>
          <w:szCs w:val="22"/>
        </w:rPr>
      </w:pPr>
      <w:bookmarkStart w:id="6" w:name="_heading=h.3znysh7" w:colFirst="0" w:colLast="0"/>
      <w:bookmarkEnd w:id="6"/>
      <w:r w:rsidRPr="00095A2C">
        <w:rPr>
          <w:rFonts w:ascii="Palatino Linotype" w:eastAsia="Palatino Linotype" w:hAnsi="Palatino Linotype" w:cs="Palatino Linotype"/>
          <w:sz w:val="22"/>
          <w:szCs w:val="22"/>
        </w:rPr>
        <w:t>Al mismo tiempo, por cuanto hace a la procedibilidad del recurso de revisión, una vez realizado el análisis del formato de interposición del recurso, se concluye la acreditación plena de los elementos formales precisados por el artículo 180 de la Ley de Transparencia y Acceso a la Información Pública del Estado de México y Municipios, en atención a que fue presentado mediante el formato visible en el SAIMEX.</w:t>
      </w:r>
    </w:p>
    <w:p w14:paraId="0FC4C315" w14:textId="77777777" w:rsidR="00021793" w:rsidRPr="00095A2C" w:rsidRDefault="00122CAC">
      <w:pPr>
        <w:spacing w:before="240" w:after="240" w:line="360" w:lineRule="auto"/>
        <w:jc w:val="both"/>
        <w:rPr>
          <w:rFonts w:ascii="Palatino Linotype" w:eastAsia="Palatino Linotype" w:hAnsi="Palatino Linotype" w:cs="Palatino Linotype"/>
          <w:sz w:val="22"/>
          <w:szCs w:val="22"/>
        </w:rPr>
      </w:pPr>
      <w:r w:rsidRPr="00095A2C">
        <w:rPr>
          <w:rFonts w:ascii="Palatino Linotype" w:eastAsia="Palatino Linotype" w:hAnsi="Palatino Linotype" w:cs="Palatino Linotype"/>
          <w:sz w:val="22"/>
          <w:szCs w:val="22"/>
        </w:rPr>
        <w:t xml:space="preserve">Finalmente, se advierte que resulta procedente la interposición del recurso, según lo manifestado por </w:t>
      </w:r>
      <w:r w:rsidRPr="00095A2C">
        <w:rPr>
          <w:rFonts w:ascii="Palatino Linotype" w:eastAsia="Palatino Linotype" w:hAnsi="Palatino Linotype" w:cs="Palatino Linotype"/>
          <w:b/>
          <w:sz w:val="22"/>
          <w:szCs w:val="22"/>
        </w:rPr>
        <w:t>la parte</w:t>
      </w:r>
      <w:r w:rsidRPr="00095A2C">
        <w:rPr>
          <w:rFonts w:ascii="Palatino Linotype" w:eastAsia="Palatino Linotype" w:hAnsi="Palatino Linotype" w:cs="Palatino Linotype"/>
          <w:sz w:val="22"/>
          <w:szCs w:val="22"/>
        </w:rPr>
        <w:t xml:space="preserve"> </w:t>
      </w:r>
      <w:r w:rsidRPr="00095A2C">
        <w:rPr>
          <w:rFonts w:ascii="Palatino Linotype" w:eastAsia="Palatino Linotype" w:hAnsi="Palatino Linotype" w:cs="Palatino Linotype"/>
          <w:b/>
          <w:sz w:val="22"/>
          <w:szCs w:val="22"/>
        </w:rPr>
        <w:t>Recurrente</w:t>
      </w:r>
      <w:r w:rsidRPr="00095A2C">
        <w:rPr>
          <w:rFonts w:ascii="Palatino Linotype" w:eastAsia="Palatino Linotype" w:hAnsi="Palatino Linotype" w:cs="Palatino Linotype"/>
          <w:sz w:val="22"/>
          <w:szCs w:val="22"/>
        </w:rPr>
        <w:t xml:space="preserve"> en sus motivos de inconformidad, de acuerdo </w:t>
      </w:r>
      <w:r w:rsidR="00F83806" w:rsidRPr="00095A2C">
        <w:rPr>
          <w:rFonts w:ascii="Palatino Linotype" w:eastAsia="Palatino Linotype" w:hAnsi="Palatino Linotype" w:cs="Palatino Linotype"/>
          <w:sz w:val="22"/>
          <w:szCs w:val="22"/>
        </w:rPr>
        <w:t xml:space="preserve">al artículo 179, fracción </w:t>
      </w:r>
      <w:r w:rsidR="00CB2B76" w:rsidRPr="00095A2C">
        <w:rPr>
          <w:rFonts w:ascii="Palatino Linotype" w:eastAsia="Palatino Linotype" w:hAnsi="Palatino Linotype" w:cs="Palatino Linotype"/>
          <w:sz w:val="22"/>
          <w:szCs w:val="22"/>
        </w:rPr>
        <w:t>V</w:t>
      </w:r>
      <w:r w:rsidR="00F83806" w:rsidRPr="00095A2C">
        <w:rPr>
          <w:rFonts w:ascii="Palatino Linotype" w:eastAsia="Palatino Linotype" w:hAnsi="Palatino Linotype" w:cs="Palatino Linotype"/>
          <w:sz w:val="22"/>
          <w:szCs w:val="22"/>
        </w:rPr>
        <w:t>I</w:t>
      </w:r>
      <w:r w:rsidRPr="00095A2C">
        <w:rPr>
          <w:rFonts w:ascii="Palatino Linotype" w:eastAsia="Palatino Linotype" w:hAnsi="Palatino Linotype" w:cs="Palatino Linotype"/>
          <w:sz w:val="22"/>
          <w:szCs w:val="22"/>
        </w:rPr>
        <w:t xml:space="preserve"> del ordenamiento legal citado, que a la letra dice: </w:t>
      </w:r>
    </w:p>
    <w:p w14:paraId="0A7CB6DA" w14:textId="77777777" w:rsidR="00021793" w:rsidRPr="00095A2C" w:rsidRDefault="00122CAC">
      <w:pPr>
        <w:spacing w:before="120" w:after="120"/>
        <w:ind w:left="567" w:right="902"/>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w:t>
      </w:r>
      <w:r w:rsidRPr="00095A2C">
        <w:rPr>
          <w:rFonts w:ascii="Palatino Linotype" w:eastAsia="Palatino Linotype" w:hAnsi="Palatino Linotype" w:cs="Palatino Linotype"/>
          <w:b/>
          <w:i/>
          <w:sz w:val="22"/>
          <w:szCs w:val="22"/>
        </w:rPr>
        <w:t>Artículo 179.</w:t>
      </w:r>
      <w:r w:rsidRPr="00095A2C">
        <w:rPr>
          <w:rFonts w:ascii="Palatino Linotype" w:eastAsia="Palatino Linotype" w:hAnsi="Palatino Linotype" w:cs="Palatino Linotype"/>
          <w:i/>
          <w:sz w:val="22"/>
          <w:szCs w:val="22"/>
        </w:rPr>
        <w:t xml:space="preserve"> El recurso de revisión es un medio de protección que la Ley otorga a los particulares, para hacer valer su derecho de acceso a la información pública, y procederá en contra de las siguientes causas:</w:t>
      </w:r>
    </w:p>
    <w:p w14:paraId="6D7F81D7" w14:textId="77777777" w:rsidR="00CB2B76" w:rsidRPr="00095A2C" w:rsidRDefault="00CB2B76">
      <w:pPr>
        <w:spacing w:before="120" w:after="120"/>
        <w:ind w:left="567" w:right="902"/>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w:t>
      </w:r>
    </w:p>
    <w:p w14:paraId="4FA4FB3B" w14:textId="77777777" w:rsidR="00021793" w:rsidRPr="00095A2C" w:rsidRDefault="00CB2B76" w:rsidP="00F83806">
      <w:pPr>
        <w:spacing w:before="120" w:after="120"/>
        <w:ind w:left="567" w:right="902"/>
        <w:jc w:val="both"/>
        <w:rPr>
          <w:rFonts w:ascii="Palatino Linotype" w:eastAsia="Palatino Linotype" w:hAnsi="Palatino Linotype" w:cs="Palatino Linotype"/>
          <w:b/>
          <w:i/>
          <w:sz w:val="22"/>
          <w:szCs w:val="22"/>
        </w:rPr>
      </w:pPr>
      <w:r w:rsidRPr="00095A2C">
        <w:rPr>
          <w:rFonts w:ascii="Palatino Linotype" w:eastAsia="Palatino Linotype" w:hAnsi="Palatino Linotype" w:cs="Palatino Linotype"/>
          <w:b/>
          <w:i/>
          <w:sz w:val="22"/>
          <w:szCs w:val="22"/>
        </w:rPr>
        <w:t>VI. La entrega de información que no corresponda con lo solicitado;</w:t>
      </w:r>
      <w:r w:rsidR="00122CAC" w:rsidRPr="00095A2C">
        <w:rPr>
          <w:rFonts w:ascii="Palatino Linotype" w:eastAsia="Palatino Linotype" w:hAnsi="Palatino Linotype" w:cs="Palatino Linotype"/>
          <w:b/>
          <w:i/>
          <w:sz w:val="22"/>
          <w:szCs w:val="22"/>
        </w:rPr>
        <w:t xml:space="preserve">” </w:t>
      </w:r>
      <w:r w:rsidR="00122CAC" w:rsidRPr="00095A2C">
        <w:rPr>
          <w:rFonts w:ascii="Palatino Linotype" w:eastAsia="Palatino Linotype" w:hAnsi="Palatino Linotype" w:cs="Palatino Linotype"/>
          <w:i/>
          <w:sz w:val="22"/>
          <w:szCs w:val="22"/>
        </w:rPr>
        <w:t>(Énfasis añadido)</w:t>
      </w:r>
    </w:p>
    <w:p w14:paraId="0746F675" w14:textId="77777777" w:rsidR="00021793" w:rsidRPr="00095A2C" w:rsidRDefault="00122CAC">
      <w:pPr>
        <w:spacing w:before="240" w:after="240" w:line="360" w:lineRule="auto"/>
        <w:jc w:val="both"/>
        <w:rPr>
          <w:rFonts w:ascii="Palatino Linotype" w:eastAsia="Palatino Linotype" w:hAnsi="Palatino Linotype" w:cs="Palatino Linotype"/>
          <w:b/>
          <w:sz w:val="22"/>
          <w:szCs w:val="22"/>
        </w:rPr>
      </w:pPr>
      <w:r w:rsidRPr="00095A2C">
        <w:rPr>
          <w:rFonts w:ascii="Palatino Linotype" w:eastAsia="Palatino Linotype" w:hAnsi="Palatino Linotype" w:cs="Palatino Linotype"/>
          <w:b/>
          <w:sz w:val="22"/>
          <w:szCs w:val="22"/>
        </w:rPr>
        <w:t xml:space="preserve">Tercero. Materia de la revisión. </w:t>
      </w:r>
      <w:r w:rsidRPr="00095A2C">
        <w:rPr>
          <w:rFonts w:ascii="Palatino Linotype" w:eastAsia="Palatino Linotype" w:hAnsi="Palatino Linotype" w:cs="Palatino Linotype"/>
          <w:sz w:val="22"/>
          <w:szCs w:val="22"/>
        </w:rPr>
        <w:t xml:space="preserve">De la revisión a las constancias y documentos que obran en el expediente electrónico se advierte, que el tema sobre el que este Organismo Garante de Transparencia y Acceso a la Información se pronunciará será: </w:t>
      </w:r>
      <w:r w:rsidRPr="00095A2C">
        <w:rPr>
          <w:rFonts w:ascii="Palatino Linotype" w:eastAsia="Palatino Linotype" w:hAnsi="Palatino Linotype" w:cs="Palatino Linotype"/>
          <w:b/>
          <w:sz w:val="22"/>
          <w:szCs w:val="22"/>
        </w:rPr>
        <w:t>verificar si la respuesta</w:t>
      </w:r>
      <w:r w:rsidR="00F83806" w:rsidRPr="00095A2C">
        <w:rPr>
          <w:rFonts w:ascii="Palatino Linotype" w:eastAsia="Palatino Linotype" w:hAnsi="Palatino Linotype" w:cs="Palatino Linotype"/>
          <w:b/>
          <w:sz w:val="22"/>
          <w:szCs w:val="22"/>
        </w:rPr>
        <w:t xml:space="preserve"> e informe justificado otorgados por el Sujeto Obligado son adecuados</w:t>
      </w:r>
      <w:r w:rsidRPr="00095A2C">
        <w:rPr>
          <w:rFonts w:ascii="Palatino Linotype" w:eastAsia="Palatino Linotype" w:hAnsi="Palatino Linotype" w:cs="Palatino Linotype"/>
          <w:b/>
          <w:sz w:val="22"/>
          <w:szCs w:val="22"/>
        </w:rPr>
        <w:t xml:space="preserve"> y suficiente</w:t>
      </w:r>
      <w:r w:rsidR="00F83806" w:rsidRPr="00095A2C">
        <w:rPr>
          <w:rFonts w:ascii="Palatino Linotype" w:eastAsia="Palatino Linotype" w:hAnsi="Palatino Linotype" w:cs="Palatino Linotype"/>
          <w:b/>
          <w:sz w:val="22"/>
          <w:szCs w:val="22"/>
        </w:rPr>
        <w:t>s</w:t>
      </w:r>
      <w:r w:rsidRPr="00095A2C">
        <w:rPr>
          <w:rFonts w:ascii="Palatino Linotype" w:eastAsia="Palatino Linotype" w:hAnsi="Palatino Linotype" w:cs="Palatino Linotype"/>
          <w:b/>
          <w:sz w:val="22"/>
          <w:szCs w:val="22"/>
        </w:rPr>
        <w:t xml:space="preserve"> para satisfacer el derecho de acceso a la información pública </w:t>
      </w:r>
      <w:r w:rsidRPr="00095A2C">
        <w:rPr>
          <w:rFonts w:ascii="Palatino Linotype" w:eastAsia="Palatino Linotype" w:hAnsi="Palatino Linotype" w:cs="Palatino Linotype"/>
          <w:sz w:val="22"/>
          <w:szCs w:val="22"/>
        </w:rPr>
        <w:t xml:space="preserve">de </w:t>
      </w:r>
      <w:r w:rsidRPr="00095A2C">
        <w:rPr>
          <w:rFonts w:ascii="Palatino Linotype" w:eastAsia="Palatino Linotype" w:hAnsi="Palatino Linotype" w:cs="Palatino Linotype"/>
          <w:b/>
          <w:sz w:val="22"/>
          <w:szCs w:val="22"/>
        </w:rPr>
        <w:t>la parte</w:t>
      </w:r>
      <w:r w:rsidRPr="00095A2C">
        <w:rPr>
          <w:rFonts w:ascii="Palatino Linotype" w:eastAsia="Palatino Linotype" w:hAnsi="Palatino Linotype" w:cs="Palatino Linotype"/>
          <w:sz w:val="22"/>
          <w:szCs w:val="22"/>
        </w:rPr>
        <w:t xml:space="preserve"> </w:t>
      </w:r>
      <w:r w:rsidRPr="00095A2C">
        <w:rPr>
          <w:rFonts w:ascii="Palatino Linotype" w:eastAsia="Palatino Linotype" w:hAnsi="Palatino Linotype" w:cs="Palatino Linotype"/>
          <w:b/>
          <w:sz w:val="22"/>
          <w:szCs w:val="22"/>
        </w:rPr>
        <w:t>Recurrente</w:t>
      </w:r>
      <w:r w:rsidRPr="00095A2C">
        <w:rPr>
          <w:rFonts w:ascii="Palatino Linotype" w:eastAsia="Palatino Linotype" w:hAnsi="Palatino Linotype" w:cs="Palatino Linotype"/>
          <w:sz w:val="22"/>
          <w:szCs w:val="22"/>
        </w:rPr>
        <w:t>, o en su defecto, en caso de ser procedente, ordenar la entrega de información.</w:t>
      </w:r>
    </w:p>
    <w:p w14:paraId="486988D2" w14:textId="77777777" w:rsidR="00021793" w:rsidRPr="00095A2C" w:rsidRDefault="00122CAC">
      <w:pPr>
        <w:pBdr>
          <w:top w:val="nil"/>
          <w:left w:val="nil"/>
          <w:bottom w:val="nil"/>
          <w:right w:val="nil"/>
          <w:between w:val="nil"/>
        </w:pBdr>
        <w:spacing w:before="240" w:after="240" w:line="360" w:lineRule="auto"/>
        <w:jc w:val="both"/>
        <w:rPr>
          <w:sz w:val="22"/>
          <w:szCs w:val="22"/>
        </w:rPr>
      </w:pPr>
      <w:bookmarkStart w:id="7" w:name="_heading=h.2et92p0" w:colFirst="0" w:colLast="0"/>
      <w:bookmarkEnd w:id="7"/>
      <w:r w:rsidRPr="00095A2C">
        <w:rPr>
          <w:rFonts w:ascii="Palatino Linotype" w:eastAsia="Palatino Linotype" w:hAnsi="Palatino Linotype" w:cs="Palatino Linotype"/>
          <w:b/>
          <w:sz w:val="22"/>
          <w:szCs w:val="22"/>
        </w:rPr>
        <w:t xml:space="preserve">Cuarto. Estudio del asunto </w:t>
      </w:r>
      <w:r w:rsidRPr="00095A2C">
        <w:rPr>
          <w:rFonts w:ascii="Palatino Linotype" w:eastAsia="Palatino Linotype" w:hAnsi="Palatino Linotype" w:cs="Palatino Linotype"/>
          <w:sz w:val="22"/>
          <w:szCs w:val="22"/>
        </w:rPr>
        <w:t xml:space="preserve">Antes de entrar al análisis de los pronunciamientos del </w:t>
      </w:r>
      <w:r w:rsidRPr="00095A2C">
        <w:rPr>
          <w:rFonts w:ascii="Palatino Linotype" w:eastAsia="Palatino Linotype" w:hAnsi="Palatino Linotype" w:cs="Palatino Linotype"/>
          <w:b/>
          <w:sz w:val="22"/>
          <w:szCs w:val="22"/>
        </w:rPr>
        <w:t>Sujeto Obligado</w:t>
      </w:r>
      <w:r w:rsidRPr="00095A2C">
        <w:rPr>
          <w:rFonts w:ascii="Palatino Linotype" w:eastAsia="Palatino Linotype" w:hAnsi="Palatino Linotype" w:cs="Palatino Linotype"/>
          <w:sz w:val="22"/>
          <w:szCs w:val="22"/>
        </w:rPr>
        <w:t xml:space="preserve"> en la respuesta proporcionada, es necesario mencionar que el derecho de acceso </w:t>
      </w:r>
      <w:r w:rsidRPr="00095A2C">
        <w:rPr>
          <w:rFonts w:ascii="Palatino Linotype" w:eastAsia="Palatino Linotype" w:hAnsi="Palatino Linotype" w:cs="Palatino Linotype"/>
          <w:sz w:val="22"/>
          <w:szCs w:val="22"/>
        </w:rPr>
        <w:lastRenderedPageBreak/>
        <w:t>a la información está consagrado en instrumentos internacionales de los cuales el Estado Mexicano se ha adherido, sin oponer reserva alguna sobre lo que nos interesa, adoptando dichas disposiciones al Derecho Interno, específicamente a nivel Constitucional, tal y como lo prevén los arábigos 1 párrafos primero, segundo y tercero y 6 apartado A fracciones I, II, III, IV, V, VI y VII que a la letra señalan:</w:t>
      </w:r>
    </w:p>
    <w:p w14:paraId="13B2C179" w14:textId="77777777" w:rsidR="00021793" w:rsidRPr="00095A2C" w:rsidRDefault="00122CAC">
      <w:pPr>
        <w:pBdr>
          <w:top w:val="nil"/>
          <w:left w:val="nil"/>
          <w:bottom w:val="nil"/>
          <w:right w:val="nil"/>
          <w:between w:val="nil"/>
        </w:pBdr>
        <w:spacing w:before="240" w:after="240"/>
        <w:ind w:left="851" w:right="850"/>
        <w:jc w:val="both"/>
      </w:pPr>
      <w:r w:rsidRPr="00095A2C">
        <w:rPr>
          <w:rFonts w:ascii="Palatino Linotype" w:eastAsia="Palatino Linotype" w:hAnsi="Palatino Linotype" w:cs="Palatino Linotype"/>
          <w:b/>
          <w:i/>
          <w:sz w:val="22"/>
          <w:szCs w:val="22"/>
          <w:u w:val="single"/>
        </w:rPr>
        <w:t>“Artículo 1o. En los Estados Unidos Mexicanos todas las personas gozarán de los derechos humanos reconocidos en esta Constitución y en los tratados internacionales de los que el Estado Mexicano sea parte</w:t>
      </w:r>
      <w:r w:rsidRPr="00095A2C">
        <w:rPr>
          <w:rFonts w:ascii="Palatino Linotype" w:eastAsia="Palatino Linotype" w:hAnsi="Palatino Linotype" w:cs="Palatino Linotype"/>
          <w:i/>
          <w:sz w:val="22"/>
          <w:szCs w:val="22"/>
        </w:rPr>
        <w:t>, así como de las garantías para su protección, cuyo ejercicio no podrá restringirse ni suspenderse, salvo en los casos y bajo las condiciones que esta Constitución establece.</w:t>
      </w:r>
    </w:p>
    <w:p w14:paraId="4BB508FC" w14:textId="77777777" w:rsidR="00021793" w:rsidRPr="00095A2C" w:rsidRDefault="00122CAC">
      <w:pPr>
        <w:pBdr>
          <w:top w:val="nil"/>
          <w:left w:val="nil"/>
          <w:bottom w:val="nil"/>
          <w:right w:val="nil"/>
          <w:between w:val="nil"/>
        </w:pBdr>
        <w:spacing w:before="240" w:after="240"/>
        <w:ind w:left="851" w:right="850"/>
        <w:jc w:val="both"/>
      </w:pPr>
      <w:r w:rsidRPr="00095A2C">
        <w:rPr>
          <w:rFonts w:ascii="Palatino Linotype" w:eastAsia="Palatino Linotype" w:hAnsi="Palatino Linotype" w:cs="Palatino Linotype"/>
          <w:b/>
          <w:i/>
          <w:sz w:val="22"/>
          <w:szCs w:val="22"/>
        </w:rPr>
        <w:t>Las normas relativas a los derechos humanos se interpretarán de conformidad con esta Constitución y con los tratados internacionales de la materia favoreciendo en todo tiempo a las personas la protección más amplia.</w:t>
      </w:r>
    </w:p>
    <w:p w14:paraId="7B269711" w14:textId="77777777" w:rsidR="00021793" w:rsidRPr="00095A2C" w:rsidRDefault="00122CAC">
      <w:pPr>
        <w:pBdr>
          <w:top w:val="nil"/>
          <w:left w:val="nil"/>
          <w:bottom w:val="nil"/>
          <w:right w:val="nil"/>
          <w:between w:val="nil"/>
        </w:pBdr>
        <w:spacing w:before="240" w:after="240"/>
        <w:ind w:left="851" w:right="850"/>
        <w:jc w:val="both"/>
      </w:pPr>
      <w:r w:rsidRPr="00095A2C">
        <w:rPr>
          <w:rFonts w:ascii="Palatino Linotype" w:eastAsia="Palatino Linotype" w:hAnsi="Palatino Linotype" w:cs="Palatino Linotype"/>
          <w:b/>
          <w:i/>
          <w:sz w:val="22"/>
          <w:szCs w:val="22"/>
          <w:u w:val="single"/>
        </w:rPr>
        <w:t>Todas las autoridades, en el ámbito de sus competencias, tienen la obligación de promover, respetar, proteger y garantizar los derechos humanos de conformidad con los principios de universalidad, interdependencia, indivisibilidad y progresividad.</w:t>
      </w:r>
      <w:r w:rsidRPr="00095A2C">
        <w:rPr>
          <w:rFonts w:ascii="Palatino Linotype" w:eastAsia="Palatino Linotype" w:hAnsi="Palatino Linotype" w:cs="Palatino Linotype"/>
          <w:i/>
          <w:sz w:val="22"/>
          <w:szCs w:val="22"/>
        </w:rPr>
        <w:t xml:space="preserve"> En consecuencia, el Estado deberá prevenir, investigar, sancionar y reparar las violaciones a los derechos humanos, en los términos que establezca la ley</w:t>
      </w:r>
    </w:p>
    <w:p w14:paraId="127E5A1E" w14:textId="77777777" w:rsidR="00021793" w:rsidRPr="00095A2C" w:rsidRDefault="00122CAC">
      <w:pPr>
        <w:pBdr>
          <w:top w:val="nil"/>
          <w:left w:val="nil"/>
          <w:bottom w:val="nil"/>
          <w:right w:val="nil"/>
          <w:between w:val="nil"/>
        </w:pBdr>
        <w:spacing w:before="240" w:after="240"/>
        <w:ind w:left="851" w:right="850"/>
        <w:jc w:val="both"/>
      </w:pPr>
      <w:r w:rsidRPr="00095A2C">
        <w:rPr>
          <w:rFonts w:ascii="Palatino Linotype" w:eastAsia="Palatino Linotype" w:hAnsi="Palatino Linotype" w:cs="Palatino Linotype"/>
          <w:i/>
          <w:sz w:val="22"/>
          <w:szCs w:val="22"/>
        </w:rPr>
        <w:t>[…]</w:t>
      </w:r>
    </w:p>
    <w:p w14:paraId="1453FCF4" w14:textId="77777777" w:rsidR="00021793" w:rsidRPr="00095A2C" w:rsidRDefault="00122CAC">
      <w:pPr>
        <w:pBdr>
          <w:top w:val="nil"/>
          <w:left w:val="nil"/>
          <w:bottom w:val="nil"/>
          <w:right w:val="nil"/>
          <w:between w:val="nil"/>
        </w:pBdr>
        <w:spacing w:before="240" w:after="240"/>
        <w:ind w:left="851" w:right="901"/>
        <w:jc w:val="both"/>
      </w:pPr>
      <w:r w:rsidRPr="00095A2C">
        <w:rPr>
          <w:rFonts w:ascii="Palatino Linotype" w:eastAsia="Palatino Linotype" w:hAnsi="Palatino Linotype" w:cs="Palatino Linotype"/>
          <w:b/>
          <w:i/>
          <w:sz w:val="22"/>
          <w:szCs w:val="22"/>
        </w:rPr>
        <w:t>“Artículo 6o.</w:t>
      </w:r>
    </w:p>
    <w:p w14:paraId="751BDE20" w14:textId="77777777" w:rsidR="00021793" w:rsidRPr="00095A2C" w:rsidRDefault="00122CAC">
      <w:pPr>
        <w:pBdr>
          <w:top w:val="nil"/>
          <w:left w:val="nil"/>
          <w:bottom w:val="nil"/>
          <w:right w:val="nil"/>
          <w:between w:val="nil"/>
        </w:pBdr>
        <w:spacing w:before="240" w:after="240"/>
        <w:ind w:left="851" w:right="901"/>
        <w:jc w:val="both"/>
      </w:pPr>
      <w:r w:rsidRPr="00095A2C">
        <w:rPr>
          <w:rFonts w:ascii="Palatino Linotype" w:eastAsia="Palatino Linotype" w:hAnsi="Palatino Linotype" w:cs="Palatino Linotype"/>
          <w:i/>
          <w:sz w:val="22"/>
          <w:szCs w:val="22"/>
        </w:rPr>
        <w:t>[...]</w:t>
      </w:r>
    </w:p>
    <w:p w14:paraId="49256863" w14:textId="77777777" w:rsidR="00021793" w:rsidRPr="00095A2C" w:rsidRDefault="00122CAC">
      <w:pPr>
        <w:pBdr>
          <w:top w:val="nil"/>
          <w:left w:val="nil"/>
          <w:bottom w:val="nil"/>
          <w:right w:val="nil"/>
          <w:between w:val="nil"/>
        </w:pBdr>
        <w:spacing w:before="240" w:after="240"/>
        <w:ind w:left="851" w:right="851"/>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b/>
          <w:i/>
          <w:sz w:val="22"/>
          <w:szCs w:val="22"/>
        </w:rPr>
        <w:t xml:space="preserve">A. Para el ejercicio del derecho de acceso a la información, la Federación y </w:t>
      </w:r>
      <w:r w:rsidRPr="00095A2C">
        <w:rPr>
          <w:rFonts w:ascii="Palatino Linotype" w:eastAsia="Palatino Linotype" w:hAnsi="Palatino Linotype" w:cs="Palatino Linotype"/>
          <w:b/>
          <w:i/>
          <w:sz w:val="22"/>
          <w:szCs w:val="22"/>
          <w:u w:val="single"/>
        </w:rPr>
        <w:t>las entidades federativas</w:t>
      </w:r>
      <w:r w:rsidRPr="00095A2C">
        <w:rPr>
          <w:rFonts w:ascii="Palatino Linotype" w:eastAsia="Palatino Linotype" w:hAnsi="Palatino Linotype" w:cs="Palatino Linotype"/>
          <w:b/>
          <w:i/>
          <w:sz w:val="22"/>
          <w:szCs w:val="22"/>
        </w:rPr>
        <w:t>,</w:t>
      </w:r>
      <w:r w:rsidRPr="00095A2C">
        <w:rPr>
          <w:rFonts w:ascii="Palatino Linotype" w:eastAsia="Palatino Linotype" w:hAnsi="Palatino Linotype" w:cs="Palatino Linotype"/>
          <w:i/>
          <w:sz w:val="22"/>
          <w:szCs w:val="22"/>
        </w:rPr>
        <w:t xml:space="preserve"> en el ámbito de sus respectivas competencias, se regirán por los siguientes principios y bases:</w:t>
      </w:r>
    </w:p>
    <w:p w14:paraId="3B22740F" w14:textId="77777777" w:rsidR="00021793" w:rsidRPr="00095A2C" w:rsidRDefault="00122CAC">
      <w:pPr>
        <w:pBdr>
          <w:top w:val="nil"/>
          <w:left w:val="nil"/>
          <w:bottom w:val="nil"/>
          <w:right w:val="nil"/>
          <w:between w:val="nil"/>
        </w:pBdr>
        <w:spacing w:before="240" w:after="240"/>
        <w:ind w:left="851" w:right="851"/>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 </w:t>
      </w:r>
      <w:r w:rsidRPr="00095A2C">
        <w:rPr>
          <w:rFonts w:ascii="Palatino Linotype" w:eastAsia="Palatino Linotype" w:hAnsi="Palatino Linotype" w:cs="Palatino Linotype"/>
          <w:b/>
          <w:i/>
          <w:sz w:val="22"/>
          <w:szCs w:val="22"/>
        </w:rPr>
        <w:t xml:space="preserve">I. </w:t>
      </w:r>
      <w:r w:rsidRPr="00095A2C">
        <w:rPr>
          <w:rFonts w:ascii="Palatino Linotype" w:eastAsia="Palatino Linotype" w:hAnsi="Palatino Linotype" w:cs="Palatino Linotype"/>
          <w:b/>
          <w:i/>
          <w:sz w:val="22"/>
          <w:szCs w:val="22"/>
          <w:u w:val="single"/>
        </w:rPr>
        <w:t>Toda la información en posesión de cualquier autoridad, entidad, órgano y organismo de los Poderes</w:t>
      </w:r>
      <w:r w:rsidRPr="00095A2C">
        <w:rPr>
          <w:rFonts w:ascii="Palatino Linotype" w:eastAsia="Palatino Linotype" w:hAnsi="Palatino Linotype" w:cs="Palatino Linotype"/>
          <w:i/>
          <w:sz w:val="22"/>
          <w:szCs w:val="22"/>
        </w:rPr>
        <w:t xml:space="preserve"> Ejecutivo, Legislativo y Judicial, órganos autónomos, partidos políticos, fideicomisos y fondos públicos, así como de cualquier persona física, moral o sindicato que reciba y ejerza recursos públicos o </w:t>
      </w:r>
      <w:r w:rsidRPr="00095A2C">
        <w:rPr>
          <w:rFonts w:ascii="Palatino Linotype" w:eastAsia="Palatino Linotype" w:hAnsi="Palatino Linotype" w:cs="Palatino Linotype"/>
          <w:i/>
          <w:sz w:val="22"/>
          <w:szCs w:val="22"/>
        </w:rPr>
        <w:lastRenderedPageBreak/>
        <w:t xml:space="preserve">realice actos de autoridad en el ámbito federal, estatal y municipal, </w:t>
      </w:r>
      <w:r w:rsidRPr="00095A2C">
        <w:rPr>
          <w:rFonts w:ascii="Palatino Linotype" w:eastAsia="Palatino Linotype" w:hAnsi="Palatino Linotype" w:cs="Palatino Linotype"/>
          <w:b/>
          <w:i/>
          <w:sz w:val="22"/>
          <w:szCs w:val="22"/>
        </w:rPr>
        <w:t>es pública y sólo podrá ser reservada temporalmente por razones de interés público y seguridad nacional,</w:t>
      </w:r>
      <w:r w:rsidRPr="00095A2C">
        <w:rPr>
          <w:rFonts w:ascii="Palatino Linotype" w:eastAsia="Palatino Linotype" w:hAnsi="Palatino Linotype" w:cs="Palatino Linotype"/>
          <w:i/>
          <w:sz w:val="22"/>
          <w:szCs w:val="22"/>
        </w:rPr>
        <w:t xml:space="preserve"> en los términos que fijen las leyes. En la interpretación de este derecho deberá prevalecer el principio de máxima publicidad. Los sujetos obligados deberán documentar todo acto que derive del ejercicio de sus facultades, competencias o funciones, la ley determinará los supuestos específicos bajo los cuales procederá la declaración de inexistencia de la información.</w:t>
      </w:r>
    </w:p>
    <w:p w14:paraId="33CB31FA" w14:textId="77777777" w:rsidR="00021793" w:rsidRPr="00095A2C" w:rsidRDefault="00122CAC">
      <w:pPr>
        <w:pBdr>
          <w:top w:val="nil"/>
          <w:left w:val="nil"/>
          <w:bottom w:val="nil"/>
          <w:right w:val="nil"/>
          <w:between w:val="nil"/>
        </w:pBdr>
        <w:spacing w:before="240" w:after="240"/>
        <w:ind w:left="851" w:right="851"/>
        <w:jc w:val="both"/>
        <w:rPr>
          <w:rFonts w:ascii="Palatino Linotype" w:eastAsia="Palatino Linotype" w:hAnsi="Palatino Linotype" w:cs="Palatino Linotype"/>
          <w:b/>
          <w:i/>
          <w:sz w:val="22"/>
          <w:szCs w:val="22"/>
        </w:rPr>
      </w:pPr>
      <w:r w:rsidRPr="00095A2C">
        <w:rPr>
          <w:rFonts w:ascii="Palatino Linotype" w:eastAsia="Palatino Linotype" w:hAnsi="Palatino Linotype" w:cs="Palatino Linotype"/>
          <w:b/>
          <w:i/>
          <w:sz w:val="22"/>
          <w:szCs w:val="22"/>
        </w:rPr>
        <w:t>II. La información que se refiere a la vida privada y los datos personales será protegida en los términos y con las excepciones que fijen las leyes. Para tal efecto, los sujetos obligados contarán con las facultades suficientes para su atención.</w:t>
      </w:r>
    </w:p>
    <w:p w14:paraId="15490516" w14:textId="77777777" w:rsidR="00021793" w:rsidRPr="00095A2C" w:rsidRDefault="00122CAC">
      <w:pPr>
        <w:pBdr>
          <w:top w:val="nil"/>
          <w:left w:val="nil"/>
          <w:bottom w:val="nil"/>
          <w:right w:val="nil"/>
          <w:between w:val="nil"/>
        </w:pBdr>
        <w:spacing w:before="240" w:after="240"/>
        <w:ind w:left="851" w:right="851"/>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 </w:t>
      </w:r>
      <w:r w:rsidRPr="00095A2C">
        <w:rPr>
          <w:rFonts w:ascii="Palatino Linotype" w:eastAsia="Palatino Linotype" w:hAnsi="Palatino Linotype" w:cs="Palatino Linotype"/>
          <w:b/>
          <w:i/>
          <w:sz w:val="22"/>
          <w:szCs w:val="22"/>
        </w:rPr>
        <w:t xml:space="preserve">III. </w:t>
      </w:r>
      <w:r w:rsidRPr="00095A2C">
        <w:rPr>
          <w:rFonts w:ascii="Palatino Linotype" w:eastAsia="Palatino Linotype" w:hAnsi="Palatino Linotype" w:cs="Palatino Linotype"/>
          <w:b/>
          <w:i/>
          <w:sz w:val="22"/>
          <w:szCs w:val="22"/>
          <w:u w:val="single"/>
        </w:rPr>
        <w:t>Toda persona, sin necesidad de acreditar interés alguno o justificar su utilización, tendrá acceso gratuito a la información pública,</w:t>
      </w:r>
      <w:r w:rsidRPr="00095A2C">
        <w:rPr>
          <w:rFonts w:ascii="Palatino Linotype" w:eastAsia="Palatino Linotype" w:hAnsi="Palatino Linotype" w:cs="Palatino Linotype"/>
          <w:i/>
          <w:sz w:val="22"/>
          <w:szCs w:val="22"/>
        </w:rPr>
        <w:t xml:space="preserve"> a sus datos personales o a la rectificación de éstos.</w:t>
      </w:r>
    </w:p>
    <w:p w14:paraId="2D54D87D" w14:textId="77777777" w:rsidR="00021793" w:rsidRPr="00095A2C" w:rsidRDefault="00122CAC">
      <w:pPr>
        <w:pBdr>
          <w:top w:val="nil"/>
          <w:left w:val="nil"/>
          <w:bottom w:val="nil"/>
          <w:right w:val="nil"/>
          <w:between w:val="nil"/>
        </w:pBdr>
        <w:spacing w:before="240" w:after="240"/>
        <w:ind w:left="851" w:right="851"/>
        <w:jc w:val="both"/>
      </w:pPr>
      <w:r w:rsidRPr="00095A2C">
        <w:rPr>
          <w:rFonts w:ascii="Palatino Linotype" w:eastAsia="Palatino Linotype" w:hAnsi="Palatino Linotype" w:cs="Palatino Linotype"/>
          <w:b/>
          <w:i/>
          <w:sz w:val="22"/>
          <w:szCs w:val="22"/>
        </w:rPr>
        <w:t>…</w:t>
      </w:r>
    </w:p>
    <w:p w14:paraId="2B01EF6E" w14:textId="77777777" w:rsidR="00021793" w:rsidRPr="00095A2C" w:rsidRDefault="00122CAC">
      <w:pPr>
        <w:pBdr>
          <w:top w:val="nil"/>
          <w:left w:val="nil"/>
          <w:bottom w:val="nil"/>
          <w:right w:val="nil"/>
          <w:between w:val="nil"/>
        </w:pBdr>
        <w:spacing w:before="240" w:after="240"/>
        <w:ind w:left="851" w:right="851"/>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b/>
          <w:i/>
          <w:sz w:val="22"/>
          <w:szCs w:val="22"/>
        </w:rPr>
        <w:t>IV.</w:t>
      </w:r>
      <w:r w:rsidRPr="00095A2C">
        <w:rPr>
          <w:rFonts w:ascii="Palatino Linotype" w:eastAsia="Palatino Linotype" w:hAnsi="Palatino Linotype" w:cs="Palatino Linotype"/>
          <w:i/>
          <w:sz w:val="22"/>
          <w:szCs w:val="22"/>
        </w:rPr>
        <w:t xml:space="preserve"> Se establecerán mecanismos de acceso a la información pública y procedimientos de revisión expeditos que se sustanciarán ante las instancias competentes en los términos que fija esta Constitución y las leyes.</w:t>
      </w:r>
    </w:p>
    <w:p w14:paraId="044B1566" w14:textId="77777777" w:rsidR="00021793" w:rsidRPr="00095A2C" w:rsidRDefault="00122CAC">
      <w:pPr>
        <w:pBdr>
          <w:top w:val="nil"/>
          <w:left w:val="nil"/>
          <w:bottom w:val="nil"/>
          <w:right w:val="nil"/>
          <w:between w:val="nil"/>
        </w:pBdr>
        <w:spacing w:before="240" w:after="240"/>
        <w:ind w:left="851" w:right="851"/>
        <w:jc w:val="both"/>
      </w:pPr>
      <w:r w:rsidRPr="00095A2C">
        <w:rPr>
          <w:rFonts w:ascii="Palatino Linotype" w:eastAsia="Palatino Linotype" w:hAnsi="Palatino Linotype" w:cs="Palatino Linotype"/>
          <w:b/>
          <w:i/>
          <w:sz w:val="22"/>
          <w:szCs w:val="22"/>
        </w:rPr>
        <w:t xml:space="preserve">V. </w:t>
      </w:r>
      <w:r w:rsidRPr="00095A2C">
        <w:rPr>
          <w:rFonts w:ascii="Palatino Linotype" w:eastAsia="Palatino Linotype" w:hAnsi="Palatino Linotype" w:cs="Palatino Linotype"/>
          <w:i/>
          <w:sz w:val="22"/>
          <w:szCs w:val="22"/>
        </w:rPr>
        <w:t>Los sujetos obligados deberán preservar sus documentos en archivos administrativos actualizados y publicarán, a través de los medios electrónicos disponibles, la información completa y actualizada sobre el ejercicio de los recursos públicos y los indicadores que permitan rendir cuenta del cumplimiento de sus objetivos y de los resultados obtenidos.</w:t>
      </w:r>
    </w:p>
    <w:p w14:paraId="4F8093A4" w14:textId="77777777" w:rsidR="00021793" w:rsidRPr="00095A2C" w:rsidRDefault="00122CAC">
      <w:pPr>
        <w:pBdr>
          <w:top w:val="nil"/>
          <w:left w:val="nil"/>
          <w:bottom w:val="nil"/>
          <w:right w:val="nil"/>
          <w:between w:val="nil"/>
        </w:pBdr>
        <w:spacing w:before="240" w:after="240"/>
        <w:ind w:left="851" w:right="851"/>
        <w:jc w:val="both"/>
      </w:pPr>
      <w:r w:rsidRPr="00095A2C">
        <w:rPr>
          <w:rFonts w:ascii="Palatino Linotype" w:eastAsia="Palatino Linotype" w:hAnsi="Palatino Linotype" w:cs="Palatino Linotype"/>
          <w:i/>
          <w:sz w:val="22"/>
          <w:szCs w:val="22"/>
        </w:rPr>
        <w:t> </w:t>
      </w:r>
      <w:r w:rsidRPr="00095A2C">
        <w:rPr>
          <w:rFonts w:ascii="Palatino Linotype" w:eastAsia="Palatino Linotype" w:hAnsi="Palatino Linotype" w:cs="Palatino Linotype"/>
          <w:b/>
          <w:i/>
          <w:sz w:val="22"/>
          <w:szCs w:val="22"/>
        </w:rPr>
        <w:t xml:space="preserve">VI. </w:t>
      </w:r>
      <w:r w:rsidRPr="00095A2C">
        <w:rPr>
          <w:rFonts w:ascii="Palatino Linotype" w:eastAsia="Palatino Linotype" w:hAnsi="Palatino Linotype" w:cs="Palatino Linotype"/>
          <w:i/>
          <w:sz w:val="22"/>
          <w:szCs w:val="22"/>
        </w:rPr>
        <w:t>Las leyes determinarán la manera en que los sujetos obligados deberán hacer pública la información relativa a los recursos públicos que entreguen a personas físicas o morales.</w:t>
      </w:r>
    </w:p>
    <w:p w14:paraId="12ACCD27" w14:textId="77777777" w:rsidR="00021793" w:rsidRPr="00095A2C" w:rsidRDefault="00122CAC">
      <w:pPr>
        <w:pBdr>
          <w:top w:val="nil"/>
          <w:left w:val="nil"/>
          <w:bottom w:val="nil"/>
          <w:right w:val="nil"/>
          <w:between w:val="nil"/>
        </w:pBdr>
        <w:spacing w:before="240" w:after="240"/>
        <w:ind w:left="851" w:right="851"/>
        <w:jc w:val="both"/>
      </w:pPr>
      <w:r w:rsidRPr="00095A2C">
        <w:rPr>
          <w:rFonts w:ascii="Palatino Linotype" w:eastAsia="Palatino Linotype" w:hAnsi="Palatino Linotype" w:cs="Palatino Linotype"/>
          <w:i/>
          <w:sz w:val="22"/>
          <w:szCs w:val="22"/>
        </w:rPr>
        <w:t> </w:t>
      </w:r>
      <w:r w:rsidRPr="00095A2C">
        <w:rPr>
          <w:rFonts w:ascii="Palatino Linotype" w:eastAsia="Palatino Linotype" w:hAnsi="Palatino Linotype" w:cs="Palatino Linotype"/>
          <w:b/>
          <w:i/>
          <w:sz w:val="22"/>
          <w:szCs w:val="22"/>
        </w:rPr>
        <w:t xml:space="preserve">VII. </w:t>
      </w:r>
      <w:r w:rsidRPr="00095A2C">
        <w:rPr>
          <w:rFonts w:ascii="Palatino Linotype" w:eastAsia="Palatino Linotype" w:hAnsi="Palatino Linotype" w:cs="Palatino Linotype"/>
          <w:i/>
          <w:sz w:val="22"/>
          <w:szCs w:val="22"/>
        </w:rPr>
        <w:t>La inobservancia a las disposiciones en materia de acceso a la información pública será sancionada en los términos que dispongan las leyes. [...]”</w:t>
      </w:r>
    </w:p>
    <w:p w14:paraId="0A470B17" w14:textId="77777777" w:rsidR="00021793" w:rsidRPr="00095A2C" w:rsidRDefault="00122CAC">
      <w:pPr>
        <w:pBdr>
          <w:top w:val="nil"/>
          <w:left w:val="nil"/>
          <w:bottom w:val="nil"/>
          <w:right w:val="nil"/>
          <w:between w:val="nil"/>
        </w:pBdr>
        <w:spacing w:before="240" w:after="240" w:line="360" w:lineRule="auto"/>
        <w:jc w:val="both"/>
        <w:rPr>
          <w:sz w:val="22"/>
          <w:szCs w:val="22"/>
        </w:rPr>
      </w:pPr>
      <w:r w:rsidRPr="00095A2C">
        <w:rPr>
          <w:rFonts w:ascii="Palatino Linotype" w:eastAsia="Palatino Linotype" w:hAnsi="Palatino Linotype" w:cs="Palatino Linotype"/>
          <w:sz w:val="22"/>
          <w:szCs w:val="22"/>
        </w:rPr>
        <w:t xml:space="preserve">Esto es, que cualquier persona tiene el derecho al acceso de la información pública, información que consiste en aquella que sea generada, obtenida, adquirida, transformada, administrada o en posesión de los Sujetos Obligados, como así también lo señala la Ley de Transparencia y Acceso a la Información Pública del Estado de México y Municipios en su </w:t>
      </w:r>
      <w:r w:rsidRPr="00095A2C">
        <w:rPr>
          <w:rFonts w:ascii="Palatino Linotype" w:eastAsia="Palatino Linotype" w:hAnsi="Palatino Linotype" w:cs="Palatino Linotype"/>
          <w:sz w:val="22"/>
          <w:szCs w:val="22"/>
        </w:rPr>
        <w:lastRenderedPageBreak/>
        <w:t>artículo 4, que toda la información generada, obtenida, adquirida, transformada, administrada o en posesión de los sujetos obligados, es pública y accesible, de manera permanente a cualquier persona, privilegiando el principio de máxima publicidad, como así lo establece dicha determinación, que a continuación se transcribe para un mejor entendimiento:</w:t>
      </w:r>
    </w:p>
    <w:p w14:paraId="6281347D" w14:textId="77777777" w:rsidR="00021793" w:rsidRPr="00095A2C" w:rsidRDefault="00122CAC">
      <w:pPr>
        <w:pBdr>
          <w:top w:val="nil"/>
          <w:left w:val="nil"/>
          <w:bottom w:val="nil"/>
          <w:right w:val="nil"/>
          <w:between w:val="nil"/>
        </w:pBdr>
        <w:spacing w:before="240" w:after="240"/>
        <w:ind w:left="709" w:right="760"/>
        <w:jc w:val="both"/>
      </w:pPr>
      <w:r w:rsidRPr="00095A2C">
        <w:rPr>
          <w:rFonts w:ascii="Palatino Linotype" w:eastAsia="Palatino Linotype" w:hAnsi="Palatino Linotype" w:cs="Palatino Linotype"/>
          <w:i/>
          <w:sz w:val="22"/>
          <w:szCs w:val="22"/>
        </w:rPr>
        <w:t>“</w:t>
      </w:r>
      <w:r w:rsidRPr="00095A2C">
        <w:rPr>
          <w:rFonts w:ascii="Palatino Linotype" w:eastAsia="Palatino Linotype" w:hAnsi="Palatino Linotype" w:cs="Palatino Linotype"/>
          <w:b/>
          <w:i/>
          <w:sz w:val="22"/>
          <w:szCs w:val="22"/>
        </w:rPr>
        <w:t>Artículo 4</w:t>
      </w:r>
      <w:r w:rsidRPr="00095A2C">
        <w:rPr>
          <w:rFonts w:ascii="Palatino Linotype" w:eastAsia="Palatino Linotype" w:hAnsi="Palatino Linotype" w:cs="Palatino Linotype"/>
          <w:i/>
          <w:sz w:val="22"/>
          <w:szCs w:val="22"/>
        </w:rPr>
        <w:t>. El derecho humano de acceso a la información pública es la prerrogativa de las personas para buscar, difundir, investigar, recabar, recibir y solicitar información pública, sin necesidad de acreditar personalidad ni interés jurídico. </w:t>
      </w:r>
    </w:p>
    <w:p w14:paraId="11C79606" w14:textId="77777777" w:rsidR="00021793" w:rsidRPr="00095A2C" w:rsidRDefault="00122CAC">
      <w:pPr>
        <w:pBdr>
          <w:top w:val="nil"/>
          <w:left w:val="nil"/>
          <w:bottom w:val="nil"/>
          <w:right w:val="nil"/>
          <w:between w:val="nil"/>
        </w:pBdr>
        <w:spacing w:before="240" w:after="240"/>
        <w:ind w:left="709" w:right="760"/>
        <w:jc w:val="both"/>
      </w:pPr>
      <w:r w:rsidRPr="00095A2C">
        <w:rPr>
          <w:rFonts w:ascii="Palatino Linotype" w:eastAsia="Palatino Linotype" w:hAnsi="Palatino Linotype" w:cs="Palatino Linotype"/>
          <w:b/>
          <w:i/>
          <w:sz w:val="22"/>
          <w:szCs w:val="22"/>
        </w:rPr>
        <w:t>Toda la información generada, obtenida, adquirida, transformada, administrada o en posesión de los sujetos obligados es pública y accesible de manera permanente a cualquier persona, en los términos y condiciones que se establezcan en los tratados internacionales de los que el Estado mexicano sea parte, en la Ley General, la presente Ley y demás disposiciones de la materia, privilegiando el principio de máxima publicidad de la información. Solo podrá ser clasificada excepcionalmente Ley de Transparencia y Acceso a la Información Pública del Estado de México y Municipios 29 como reservada temporalmente por razones de interés público, en los términos de las causas legítimas y estrictamente necesarias previstas por esta Ley.</w:t>
      </w:r>
    </w:p>
    <w:p w14:paraId="30D32C43" w14:textId="77777777" w:rsidR="00021793" w:rsidRPr="00095A2C" w:rsidRDefault="00122CAC">
      <w:pPr>
        <w:pBdr>
          <w:top w:val="nil"/>
          <w:left w:val="nil"/>
          <w:bottom w:val="nil"/>
          <w:right w:val="nil"/>
          <w:between w:val="nil"/>
        </w:pBdr>
        <w:spacing w:before="240" w:after="240"/>
        <w:ind w:left="709" w:right="760"/>
        <w:jc w:val="both"/>
      </w:pPr>
      <w:r w:rsidRPr="00095A2C">
        <w:rPr>
          <w:rFonts w:ascii="Palatino Linotype" w:eastAsia="Palatino Linotype" w:hAnsi="Palatino Linotype" w:cs="Palatino Linotype"/>
          <w:i/>
          <w:sz w:val="22"/>
          <w:szCs w:val="22"/>
        </w:rPr>
        <w:t>Los sujetos obligados deben poner en práctica, políticas y programas de acceso a la información que se apeguen a criterios de publicidad, veracidad, oportunidad, precisión y suficiencia en beneficio de los solicitantes.”</w:t>
      </w:r>
    </w:p>
    <w:p w14:paraId="3055D624" w14:textId="77777777" w:rsidR="00021793" w:rsidRPr="00095A2C" w:rsidRDefault="00122CAC">
      <w:pPr>
        <w:pBdr>
          <w:top w:val="nil"/>
          <w:left w:val="nil"/>
          <w:bottom w:val="nil"/>
          <w:right w:val="nil"/>
          <w:between w:val="nil"/>
        </w:pBdr>
        <w:spacing w:before="240" w:after="240" w:line="360" w:lineRule="auto"/>
        <w:jc w:val="both"/>
        <w:rPr>
          <w:sz w:val="22"/>
          <w:szCs w:val="22"/>
        </w:rPr>
      </w:pPr>
      <w:r w:rsidRPr="00095A2C">
        <w:rPr>
          <w:rFonts w:ascii="Palatino Linotype" w:eastAsia="Palatino Linotype" w:hAnsi="Palatino Linotype" w:cs="Palatino Linotype"/>
          <w:sz w:val="22"/>
          <w:szCs w:val="22"/>
        </w:rPr>
        <w:t>De lo precedente, se desprende que los Sujetos Obligados tiene la obligación o deber de atender las solicitudes de acceso a la información pública que se les hagan de su conocimiento y proporcionar la información pública que obren en su poder como así lo establece el artículo 12 de la Ley de Transparencia y Acceso a la Información Pública del Estado de México y Municipios, el cual a la letra dice:</w:t>
      </w:r>
    </w:p>
    <w:p w14:paraId="6804E7B6" w14:textId="77777777" w:rsidR="00021793" w:rsidRPr="00095A2C" w:rsidRDefault="00122CAC">
      <w:pPr>
        <w:pBdr>
          <w:top w:val="nil"/>
          <w:left w:val="nil"/>
          <w:bottom w:val="nil"/>
          <w:right w:val="nil"/>
          <w:between w:val="nil"/>
        </w:pBdr>
        <w:spacing w:before="240" w:after="240"/>
        <w:ind w:left="567" w:right="758"/>
        <w:jc w:val="both"/>
        <w:rPr>
          <w:sz w:val="22"/>
          <w:szCs w:val="22"/>
        </w:rPr>
      </w:pPr>
      <w:r w:rsidRPr="00095A2C">
        <w:rPr>
          <w:rFonts w:ascii="Palatino Linotype" w:eastAsia="Palatino Linotype" w:hAnsi="Palatino Linotype" w:cs="Palatino Linotype"/>
          <w:i/>
          <w:sz w:val="22"/>
          <w:szCs w:val="22"/>
        </w:rPr>
        <w:t>“</w:t>
      </w:r>
      <w:r w:rsidRPr="00095A2C">
        <w:rPr>
          <w:rFonts w:ascii="Palatino Linotype" w:eastAsia="Palatino Linotype" w:hAnsi="Palatino Linotype" w:cs="Palatino Linotype"/>
          <w:b/>
          <w:i/>
          <w:sz w:val="22"/>
          <w:szCs w:val="22"/>
        </w:rPr>
        <w:t>Artículo 12</w:t>
      </w:r>
      <w:r w:rsidRPr="00095A2C">
        <w:rPr>
          <w:rFonts w:ascii="Palatino Linotype" w:eastAsia="Palatino Linotype" w:hAnsi="Palatino Linotype" w:cs="Palatino Linotype"/>
          <w:i/>
          <w:sz w:val="22"/>
          <w:szCs w:val="22"/>
        </w:rPr>
        <w:t>. Quienes generen, recopilen, administren, manejen, procesen, archiven o conserven información pública serán responsables de la misma en los términos de las disposiciones jurídicas aplicables. </w:t>
      </w:r>
    </w:p>
    <w:p w14:paraId="1F3A19A5" w14:textId="77777777" w:rsidR="00021793" w:rsidRPr="00095A2C" w:rsidRDefault="00122CAC">
      <w:pPr>
        <w:pBdr>
          <w:top w:val="nil"/>
          <w:left w:val="nil"/>
          <w:bottom w:val="nil"/>
          <w:right w:val="nil"/>
          <w:between w:val="nil"/>
        </w:pBdr>
        <w:spacing w:before="240" w:after="240"/>
        <w:ind w:left="567" w:right="758"/>
        <w:jc w:val="both"/>
        <w:rPr>
          <w:sz w:val="22"/>
          <w:szCs w:val="22"/>
        </w:rPr>
      </w:pPr>
      <w:r w:rsidRPr="00095A2C">
        <w:rPr>
          <w:rFonts w:ascii="Palatino Linotype" w:eastAsia="Palatino Linotype" w:hAnsi="Palatino Linotype" w:cs="Palatino Linotype"/>
          <w:i/>
          <w:sz w:val="22"/>
          <w:szCs w:val="22"/>
        </w:rPr>
        <w:lastRenderedPageBreak/>
        <w:t xml:space="preserve">Los sujetos obligados sólo proporcionarán la información pública que se les requiera y que obre en sus archivos y en el estado en que ésta se encuentre. La obligación de proporcionar información no comprende el procesamiento de la misma, ni el presentarla conforme al interés del solicitante; no estarán obligados a generarla, resumirla, efectuar cálculos o practicar investigaciones.” </w:t>
      </w:r>
    </w:p>
    <w:p w14:paraId="12F69155" w14:textId="77777777" w:rsidR="00021793" w:rsidRPr="00095A2C" w:rsidRDefault="00122CAC">
      <w:pPr>
        <w:pBdr>
          <w:top w:val="nil"/>
          <w:left w:val="nil"/>
          <w:bottom w:val="nil"/>
          <w:right w:val="nil"/>
          <w:between w:val="nil"/>
        </w:pBdr>
        <w:spacing w:before="240" w:after="240" w:line="360" w:lineRule="auto"/>
        <w:jc w:val="both"/>
        <w:rPr>
          <w:sz w:val="22"/>
          <w:szCs w:val="22"/>
        </w:rPr>
      </w:pPr>
      <w:r w:rsidRPr="00095A2C">
        <w:rPr>
          <w:rFonts w:ascii="Palatino Linotype" w:eastAsia="Palatino Linotype" w:hAnsi="Palatino Linotype" w:cs="Palatino Linotype"/>
          <w:sz w:val="22"/>
          <w:szCs w:val="22"/>
        </w:rPr>
        <w:t>Es decir, que el derecho de acceso a la información pública se satisface en aquellos casos en que se entregue documento en que conste la información requerida, toda vez que, los Sujetos Obligados</w:t>
      </w:r>
      <w:r w:rsidRPr="00095A2C">
        <w:rPr>
          <w:rFonts w:ascii="Palatino Linotype" w:eastAsia="Palatino Linotype" w:hAnsi="Palatino Linotype" w:cs="Palatino Linotype"/>
          <w:b/>
          <w:sz w:val="22"/>
          <w:szCs w:val="22"/>
        </w:rPr>
        <w:t xml:space="preserve"> </w:t>
      </w:r>
      <w:r w:rsidRPr="00095A2C">
        <w:rPr>
          <w:rFonts w:ascii="Palatino Linotype" w:eastAsia="Palatino Linotype" w:hAnsi="Palatino Linotype" w:cs="Palatino Linotype"/>
          <w:sz w:val="22"/>
          <w:szCs w:val="22"/>
        </w:rPr>
        <w:t xml:space="preserve">no tienen el deber de generar, poseer o administrar la información pública con el grado de detalle solicitado; esto es, que no tienen el deber de generar un documento </w:t>
      </w:r>
      <w:r w:rsidRPr="00095A2C">
        <w:rPr>
          <w:rFonts w:ascii="Palatino Linotype" w:eastAsia="Palatino Linotype" w:hAnsi="Palatino Linotype" w:cs="Palatino Linotype"/>
          <w:i/>
          <w:sz w:val="22"/>
          <w:szCs w:val="22"/>
        </w:rPr>
        <w:t>ad hoc</w:t>
      </w:r>
      <w:r w:rsidRPr="00095A2C">
        <w:rPr>
          <w:rFonts w:ascii="Palatino Linotype" w:eastAsia="Palatino Linotype" w:hAnsi="Palatino Linotype" w:cs="Palatino Linotype"/>
          <w:sz w:val="22"/>
          <w:szCs w:val="22"/>
        </w:rPr>
        <w:t>, para satisfacer el derecho de acceso a la información pública, como así lo establece el criterio 03/17 emitido por el Instituto Nacional de Transparencia, Acceso a la Información Pública y Protección de Datos Personales, el cual señala lo siguiente:</w:t>
      </w:r>
    </w:p>
    <w:p w14:paraId="18321ACF" w14:textId="77777777" w:rsidR="00021793" w:rsidRPr="00095A2C" w:rsidRDefault="00122CAC">
      <w:pPr>
        <w:pBdr>
          <w:top w:val="nil"/>
          <w:left w:val="nil"/>
          <w:bottom w:val="nil"/>
          <w:right w:val="nil"/>
          <w:between w:val="nil"/>
        </w:pBdr>
        <w:spacing w:before="240" w:after="240"/>
        <w:ind w:left="567" w:right="900"/>
        <w:jc w:val="both"/>
        <w:rPr>
          <w:sz w:val="22"/>
          <w:szCs w:val="22"/>
        </w:rPr>
      </w:pPr>
      <w:r w:rsidRPr="00095A2C">
        <w:rPr>
          <w:rFonts w:ascii="Palatino Linotype" w:eastAsia="Palatino Linotype" w:hAnsi="Palatino Linotype" w:cs="Palatino Linotype"/>
          <w:b/>
          <w:i/>
          <w:sz w:val="22"/>
          <w:szCs w:val="22"/>
        </w:rPr>
        <w:t>03/17</w:t>
      </w:r>
    </w:p>
    <w:p w14:paraId="553B4220" w14:textId="77777777" w:rsidR="00021793" w:rsidRPr="00095A2C" w:rsidRDefault="00122CAC">
      <w:pPr>
        <w:pBdr>
          <w:top w:val="nil"/>
          <w:left w:val="nil"/>
          <w:bottom w:val="nil"/>
          <w:right w:val="nil"/>
          <w:between w:val="nil"/>
        </w:pBdr>
        <w:spacing w:before="240" w:after="240"/>
        <w:ind w:left="567" w:right="900"/>
        <w:jc w:val="both"/>
        <w:rPr>
          <w:sz w:val="22"/>
          <w:szCs w:val="22"/>
        </w:rPr>
      </w:pPr>
      <w:r w:rsidRPr="00095A2C">
        <w:rPr>
          <w:rFonts w:ascii="Palatino Linotype" w:eastAsia="Palatino Linotype" w:hAnsi="Palatino Linotype" w:cs="Palatino Linotype"/>
          <w:b/>
          <w:i/>
          <w:sz w:val="22"/>
          <w:szCs w:val="22"/>
        </w:rPr>
        <w:t>“NO EXISTE OBLIGACIÓN DE ELABORAR DOCUMENTOS AD HOC PARA ATENDER LAS SOLICITUDES DE ACCESO A LA INFORMACIÓN.</w:t>
      </w:r>
    </w:p>
    <w:p w14:paraId="5D64B80A" w14:textId="77777777" w:rsidR="00021793" w:rsidRPr="00095A2C" w:rsidRDefault="00122CAC">
      <w:pPr>
        <w:pBdr>
          <w:top w:val="nil"/>
          <w:left w:val="nil"/>
          <w:bottom w:val="nil"/>
          <w:right w:val="nil"/>
          <w:between w:val="nil"/>
        </w:pBdr>
        <w:spacing w:before="240" w:after="240"/>
        <w:ind w:left="567" w:right="900"/>
        <w:jc w:val="both"/>
        <w:rPr>
          <w:sz w:val="22"/>
          <w:szCs w:val="22"/>
        </w:rPr>
      </w:pPr>
      <w:r w:rsidRPr="00095A2C">
        <w:rPr>
          <w:rFonts w:ascii="Palatino Linotype" w:eastAsia="Palatino Linotype" w:hAnsi="Palatino Linotype" w:cs="Palatino Linotype"/>
          <w:i/>
          <w:sz w:val="22"/>
          <w:szCs w:val="22"/>
        </w:rPr>
        <w:t>Los artículos 129 de la Ley General de Transparencia y Acceso a la Información Pública y 130, párrafo cuarto, de la Ley Federal de Transparencia y Acceso a la Información Pública, señalan que los sujetos obligados deberán otorgar acceso a los documentos que se encuentren en sus archivos o que estén obligados a documentar, de acuerdo con sus facultades, competencias o funciones, conforme a Las características físicas de la información o del lugar donde se encuentre. Por lo anterior, los sujetos obligados deben garantizar el derecho de acceso a la información del particular, proporcionando la información con la que cuentan en el formato en que la misma obre en sus archivos; sin necesidad de elaborar documentos ad hoc para atender las solicitudes de información.”</w:t>
      </w:r>
    </w:p>
    <w:p w14:paraId="7BF53F7B" w14:textId="77777777" w:rsidR="00021793" w:rsidRPr="00095A2C" w:rsidRDefault="00122CAC">
      <w:pPr>
        <w:pBdr>
          <w:top w:val="nil"/>
          <w:left w:val="nil"/>
          <w:bottom w:val="nil"/>
          <w:right w:val="nil"/>
          <w:between w:val="nil"/>
        </w:pBdr>
        <w:spacing w:before="240" w:after="240" w:line="360" w:lineRule="auto"/>
        <w:jc w:val="both"/>
        <w:rPr>
          <w:sz w:val="22"/>
          <w:szCs w:val="22"/>
        </w:rPr>
      </w:pPr>
      <w:r w:rsidRPr="00095A2C">
        <w:rPr>
          <w:rFonts w:ascii="Palatino Linotype" w:eastAsia="Palatino Linotype" w:hAnsi="Palatino Linotype" w:cs="Palatino Linotype"/>
          <w:sz w:val="22"/>
          <w:szCs w:val="22"/>
        </w:rPr>
        <w:t>Por otra parte, y aunado a lo antepuesto, el último párrafo del artículo 24 de la Ley de la materia, dispone que los Sujetos Obligados sólo proporcionarán la información pública que generen, administren o posean en el ejercicio de sus atribuciones; por consiguiente, la información pública se encuentra a disposición de cualquier persona, lo que implica que es deber de los Sujetos Obligados, garantizar el Derecho de Acceso a la Información Pública.</w:t>
      </w:r>
    </w:p>
    <w:p w14:paraId="0A914873" w14:textId="77777777" w:rsidR="00021793" w:rsidRPr="00095A2C" w:rsidRDefault="00122CAC">
      <w:pPr>
        <w:pBdr>
          <w:top w:val="nil"/>
          <w:left w:val="nil"/>
          <w:bottom w:val="nil"/>
          <w:right w:val="nil"/>
          <w:between w:val="nil"/>
        </w:pBdr>
        <w:spacing w:before="240" w:after="240" w:line="360" w:lineRule="auto"/>
        <w:ind w:right="49"/>
        <w:jc w:val="both"/>
        <w:rPr>
          <w:sz w:val="22"/>
          <w:szCs w:val="22"/>
        </w:rPr>
      </w:pPr>
      <w:r w:rsidRPr="00095A2C">
        <w:rPr>
          <w:rFonts w:ascii="Palatino Linotype" w:eastAsia="Palatino Linotype" w:hAnsi="Palatino Linotype" w:cs="Palatino Linotype"/>
          <w:sz w:val="22"/>
          <w:szCs w:val="22"/>
        </w:rPr>
        <w:lastRenderedPageBreak/>
        <w:t>Siempre y cuando no se trate de información reservada o clasificada, que difundirla pondría en riesgo la seguridad jurídica y física del titular de la información, debiendo tener audacia los Sujetos Obligados para cuidar esta información a través del acuerdo clasificatorio del comité de transparencia y la versión pública que emita el servidor público habilitado de cada Sujeto Obligado; como así se establece en la Ley de Transparencia y Acceso a la Información Pública del Estado de México y Municipios.</w:t>
      </w:r>
    </w:p>
    <w:p w14:paraId="02951383" w14:textId="77777777" w:rsidR="00021793" w:rsidRPr="00095A2C" w:rsidRDefault="00122CAC">
      <w:pPr>
        <w:pBdr>
          <w:top w:val="nil"/>
          <w:left w:val="nil"/>
          <w:bottom w:val="nil"/>
          <w:right w:val="nil"/>
          <w:between w:val="nil"/>
        </w:pBdr>
        <w:spacing w:before="240" w:after="240" w:line="360" w:lineRule="auto"/>
        <w:jc w:val="both"/>
        <w:rPr>
          <w:sz w:val="22"/>
          <w:szCs w:val="22"/>
        </w:rPr>
      </w:pPr>
      <w:r w:rsidRPr="00095A2C">
        <w:rPr>
          <w:rFonts w:ascii="Palatino Linotype" w:eastAsia="Palatino Linotype" w:hAnsi="Palatino Linotype" w:cs="Palatino Linotype"/>
          <w:sz w:val="22"/>
          <w:szCs w:val="22"/>
        </w:rPr>
        <w:t>En conclusión, el derecho de acceso a la información pública, consiste en que la información solicitada conste en un documento en cualquiera de sus formas, a saber: expedientes, reportes, estudios, actas, resoluciones, oficios, correspondencia, acuerdos, directivas, directrices, circulares, contratos, convenios, instructivos, notas, memorandos, estadísticas o bien, cualquier otro registro que documente el ejercicio de las facultades, funciones y competencias de los Sujetos Obligados; los que, podrán estar en cualquier medio, sea escrito, impreso, sonoro, visual, electrónico, informático u holográfico de conformidad con el artículo 3, fracción XI de la Ley de la materia, el cual señala lo siguiente: </w:t>
      </w:r>
    </w:p>
    <w:p w14:paraId="2C1A30C1" w14:textId="77777777" w:rsidR="00021793" w:rsidRPr="00095A2C" w:rsidRDefault="00122CAC">
      <w:pPr>
        <w:pBdr>
          <w:top w:val="nil"/>
          <w:left w:val="nil"/>
          <w:bottom w:val="nil"/>
          <w:right w:val="nil"/>
          <w:between w:val="nil"/>
        </w:pBdr>
        <w:spacing w:before="240" w:after="240"/>
        <w:ind w:left="567" w:right="567"/>
        <w:jc w:val="both"/>
        <w:rPr>
          <w:sz w:val="22"/>
          <w:szCs w:val="22"/>
        </w:rPr>
      </w:pPr>
      <w:r w:rsidRPr="00095A2C">
        <w:rPr>
          <w:rFonts w:ascii="Palatino Linotype" w:eastAsia="Palatino Linotype" w:hAnsi="Palatino Linotype" w:cs="Palatino Linotype"/>
          <w:i/>
          <w:sz w:val="22"/>
          <w:szCs w:val="22"/>
        </w:rPr>
        <w:t>“</w:t>
      </w:r>
      <w:r w:rsidRPr="00095A2C">
        <w:rPr>
          <w:rFonts w:ascii="Palatino Linotype" w:eastAsia="Palatino Linotype" w:hAnsi="Palatino Linotype" w:cs="Palatino Linotype"/>
          <w:b/>
          <w:i/>
          <w:sz w:val="22"/>
          <w:szCs w:val="22"/>
        </w:rPr>
        <w:t xml:space="preserve">Artículo 3. </w:t>
      </w:r>
      <w:r w:rsidRPr="00095A2C">
        <w:rPr>
          <w:rFonts w:ascii="Palatino Linotype" w:eastAsia="Palatino Linotype" w:hAnsi="Palatino Linotype" w:cs="Palatino Linotype"/>
          <w:i/>
          <w:sz w:val="22"/>
          <w:szCs w:val="22"/>
        </w:rPr>
        <w:t>Para los efectos de la presente Ley se entenderá por:</w:t>
      </w:r>
    </w:p>
    <w:p w14:paraId="03CD1D62" w14:textId="77777777" w:rsidR="00021793" w:rsidRPr="00095A2C" w:rsidRDefault="00122CAC">
      <w:pPr>
        <w:pBdr>
          <w:top w:val="nil"/>
          <w:left w:val="nil"/>
          <w:bottom w:val="nil"/>
          <w:right w:val="nil"/>
          <w:between w:val="nil"/>
        </w:pBdr>
        <w:spacing w:before="240" w:after="240"/>
        <w:ind w:left="567" w:right="567"/>
        <w:jc w:val="both"/>
        <w:rPr>
          <w:sz w:val="22"/>
          <w:szCs w:val="22"/>
        </w:rPr>
      </w:pPr>
      <w:r w:rsidRPr="00095A2C">
        <w:rPr>
          <w:rFonts w:ascii="Palatino Linotype" w:eastAsia="Palatino Linotype" w:hAnsi="Palatino Linotype" w:cs="Palatino Linotype"/>
          <w:i/>
          <w:sz w:val="22"/>
          <w:szCs w:val="22"/>
        </w:rPr>
        <w:t>…</w:t>
      </w:r>
    </w:p>
    <w:p w14:paraId="6EECE4BB" w14:textId="77777777" w:rsidR="00021793" w:rsidRPr="00095A2C" w:rsidRDefault="00122CAC">
      <w:pPr>
        <w:pBdr>
          <w:top w:val="nil"/>
          <w:left w:val="nil"/>
          <w:bottom w:val="nil"/>
          <w:right w:val="nil"/>
          <w:between w:val="nil"/>
        </w:pBdr>
        <w:spacing w:before="240" w:after="240"/>
        <w:ind w:left="567" w:right="567"/>
        <w:jc w:val="both"/>
        <w:rPr>
          <w:sz w:val="22"/>
          <w:szCs w:val="22"/>
        </w:rPr>
      </w:pPr>
      <w:r w:rsidRPr="00095A2C">
        <w:rPr>
          <w:rFonts w:ascii="Palatino Linotype" w:eastAsia="Palatino Linotype" w:hAnsi="Palatino Linotype" w:cs="Palatino Linotype"/>
          <w:b/>
          <w:i/>
          <w:sz w:val="22"/>
          <w:szCs w:val="22"/>
        </w:rPr>
        <w:t>XI. Documento:</w:t>
      </w:r>
      <w:r w:rsidRPr="00095A2C">
        <w:rPr>
          <w:rFonts w:ascii="Palatino Linotype" w:eastAsia="Palatino Linotype" w:hAnsi="Palatino Linotype" w:cs="Palatino Linotype"/>
          <w:i/>
          <w:sz w:val="22"/>
          <w:szCs w:val="22"/>
        </w:rPr>
        <w:t xml:space="preserve"> Los expedientes, reportes, estudios, actas, resoluciones, oficios, correspondencia, acuerdos, directivas, directrices, circulares, contratos, convenios, instructivos, notas, memorandos, estadísticas o bien, cualquier otro registro que documente el ejercicio de las facultades, funciones y competencias de los sujetos obligados, sus servidores públicos e integrantes, sin importar su fuente o fecha de elaboración. Los documentos podrán estar en cualquier medio, sea escrito, impreso, sonoro, visual, electrónico, informático u holográfico</w:t>
      </w:r>
      <w:r w:rsidRPr="00095A2C">
        <w:rPr>
          <w:rFonts w:ascii="Palatino Linotype" w:eastAsia="Palatino Linotype" w:hAnsi="Palatino Linotype" w:cs="Palatino Linotype"/>
          <w:b/>
          <w:i/>
          <w:sz w:val="22"/>
          <w:szCs w:val="22"/>
        </w:rPr>
        <w:t>…</w:t>
      </w:r>
      <w:r w:rsidRPr="00095A2C">
        <w:rPr>
          <w:rFonts w:ascii="Palatino Linotype" w:eastAsia="Palatino Linotype" w:hAnsi="Palatino Linotype" w:cs="Palatino Linotype"/>
          <w:i/>
          <w:sz w:val="22"/>
          <w:szCs w:val="22"/>
        </w:rPr>
        <w:t>”</w:t>
      </w:r>
    </w:p>
    <w:p w14:paraId="110FD99D" w14:textId="77777777" w:rsidR="00021793" w:rsidRPr="00095A2C" w:rsidRDefault="00122CAC">
      <w:pPr>
        <w:pBdr>
          <w:top w:val="nil"/>
          <w:left w:val="nil"/>
          <w:bottom w:val="nil"/>
          <w:right w:val="nil"/>
          <w:between w:val="nil"/>
        </w:pBdr>
        <w:spacing w:before="240" w:after="240" w:line="360" w:lineRule="auto"/>
        <w:jc w:val="both"/>
        <w:rPr>
          <w:sz w:val="22"/>
          <w:szCs w:val="22"/>
        </w:rPr>
      </w:pPr>
      <w:r w:rsidRPr="00095A2C">
        <w:rPr>
          <w:rFonts w:ascii="Palatino Linotype" w:eastAsia="Palatino Linotype" w:hAnsi="Palatino Linotype" w:cs="Palatino Linotype"/>
          <w:sz w:val="22"/>
          <w:szCs w:val="22"/>
        </w:rPr>
        <w:t xml:space="preserve">Siendo aplicable, el Criterio de interpretación en el orden administrativo número 0002-11, emitido por Acuerdo del Pleno del Instituto de Transparencia y Acceso a la Información Pública del Estado de México y Municipios; publicado en el Periódico Oficial del Gobierno </w:t>
      </w:r>
      <w:r w:rsidRPr="00095A2C">
        <w:rPr>
          <w:rFonts w:ascii="Palatino Linotype" w:eastAsia="Palatino Linotype" w:hAnsi="Palatino Linotype" w:cs="Palatino Linotype"/>
          <w:sz w:val="22"/>
          <w:szCs w:val="22"/>
        </w:rPr>
        <w:lastRenderedPageBreak/>
        <w:t>del Estado Libre y Soberano de México “Gaceta del Gobierno”, el diecinueve de octubre de dos mil once, cuyo rubro y texto refieren lo siguiente:</w:t>
      </w:r>
    </w:p>
    <w:p w14:paraId="281C234B" w14:textId="77777777" w:rsidR="00021793" w:rsidRPr="00095A2C" w:rsidRDefault="00122CAC">
      <w:pPr>
        <w:pBdr>
          <w:top w:val="nil"/>
          <w:left w:val="nil"/>
          <w:bottom w:val="nil"/>
          <w:right w:val="nil"/>
          <w:between w:val="nil"/>
        </w:pBdr>
        <w:spacing w:before="240" w:after="240"/>
        <w:ind w:left="567" w:right="567"/>
        <w:jc w:val="both"/>
        <w:rPr>
          <w:sz w:val="22"/>
          <w:szCs w:val="22"/>
        </w:rPr>
      </w:pPr>
      <w:r w:rsidRPr="00095A2C">
        <w:rPr>
          <w:rFonts w:ascii="Palatino Linotype" w:eastAsia="Palatino Linotype" w:hAnsi="Palatino Linotype" w:cs="Palatino Linotype"/>
          <w:b/>
          <w:sz w:val="22"/>
          <w:szCs w:val="22"/>
        </w:rPr>
        <w:t>“</w:t>
      </w:r>
      <w:r w:rsidRPr="00095A2C">
        <w:rPr>
          <w:rFonts w:ascii="Palatino Linotype" w:eastAsia="Palatino Linotype" w:hAnsi="Palatino Linotype" w:cs="Palatino Linotype"/>
          <w:b/>
          <w:i/>
          <w:sz w:val="22"/>
          <w:szCs w:val="22"/>
        </w:rPr>
        <w:t>CRITERIO 0002-11</w:t>
      </w:r>
    </w:p>
    <w:p w14:paraId="5A82C41E" w14:textId="77777777" w:rsidR="00021793" w:rsidRPr="00095A2C" w:rsidRDefault="00122CAC">
      <w:pPr>
        <w:pBdr>
          <w:top w:val="nil"/>
          <w:left w:val="nil"/>
          <w:bottom w:val="nil"/>
          <w:right w:val="nil"/>
          <w:between w:val="nil"/>
        </w:pBdr>
        <w:spacing w:before="240" w:after="240"/>
        <w:ind w:left="567" w:right="567"/>
        <w:jc w:val="both"/>
        <w:rPr>
          <w:sz w:val="22"/>
          <w:szCs w:val="22"/>
        </w:rPr>
      </w:pPr>
      <w:r w:rsidRPr="00095A2C">
        <w:rPr>
          <w:rFonts w:ascii="Palatino Linotype" w:eastAsia="Palatino Linotype" w:hAnsi="Palatino Linotype" w:cs="Palatino Linotype"/>
          <w:b/>
          <w:i/>
          <w:sz w:val="22"/>
          <w:szCs w:val="22"/>
        </w:rPr>
        <w:t>INFORMACIÓN PÚBLICA, CONCEPTO DE, EN MATERIA DE TRANSPARENCIA. INTERPRETACIÓN SISTEMÁTICA DE LOS ARTÍCULOS 2°, FRACCIÓN V, XV, Y XVI, 3°, 4°, 11 Y 41.</w:t>
      </w:r>
      <w:r w:rsidRPr="00095A2C">
        <w:rPr>
          <w:rFonts w:ascii="Palatino Linotype" w:eastAsia="Palatino Linotype" w:hAnsi="Palatino Linotype" w:cs="Palatino Linotype"/>
          <w:i/>
          <w:sz w:val="22"/>
          <w:szCs w:val="22"/>
        </w:rPr>
        <w:t xml:space="preserve"> De conformidad con los artículos antes referidos, el derecho de acceso a la información pública, se define en cuanto a su alcance y resultado material, el acceso a los archivos, registros y documentos públicos, administrados, generados o en posesión de los órganos u organismos públicos, en virtud del ejercicio de sus funciones de derecho público, sin importar su fuente, soporte o fecha de elaboración.</w:t>
      </w:r>
    </w:p>
    <w:p w14:paraId="65AAA4DD" w14:textId="77777777" w:rsidR="00021793" w:rsidRPr="00095A2C" w:rsidRDefault="00122CAC">
      <w:pPr>
        <w:pBdr>
          <w:top w:val="nil"/>
          <w:left w:val="nil"/>
          <w:bottom w:val="nil"/>
          <w:right w:val="nil"/>
          <w:between w:val="nil"/>
        </w:pBdr>
        <w:spacing w:before="240" w:after="240"/>
        <w:ind w:left="567" w:right="567"/>
        <w:jc w:val="both"/>
        <w:rPr>
          <w:sz w:val="22"/>
          <w:szCs w:val="22"/>
        </w:rPr>
      </w:pPr>
      <w:r w:rsidRPr="00095A2C">
        <w:rPr>
          <w:rFonts w:ascii="Palatino Linotype" w:eastAsia="Palatino Linotype" w:hAnsi="Palatino Linotype" w:cs="Palatino Linotype"/>
          <w:i/>
          <w:sz w:val="22"/>
          <w:szCs w:val="22"/>
        </w:rPr>
        <w:t>En consecuencia el acceso a la información se refiere a que se cumplan cualquiera de los siguientes tres supuestos:</w:t>
      </w:r>
    </w:p>
    <w:p w14:paraId="5E8396B0" w14:textId="77777777" w:rsidR="00021793" w:rsidRPr="00095A2C" w:rsidRDefault="00122CAC">
      <w:pPr>
        <w:numPr>
          <w:ilvl w:val="0"/>
          <w:numId w:val="6"/>
        </w:numPr>
        <w:pBdr>
          <w:top w:val="nil"/>
          <w:left w:val="nil"/>
          <w:bottom w:val="nil"/>
          <w:right w:val="nil"/>
          <w:between w:val="nil"/>
        </w:pBdr>
        <w:spacing w:before="240" w:after="240"/>
        <w:ind w:left="567" w:right="567"/>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Que se trate de información registrada en cualquier soporte documental, que en ejercicio de las atribuciones conferidas, sea generada por los Sujetos Obligados;</w:t>
      </w:r>
    </w:p>
    <w:p w14:paraId="7938C70F" w14:textId="77777777" w:rsidR="00021793" w:rsidRPr="00095A2C" w:rsidRDefault="00122CAC">
      <w:pPr>
        <w:numPr>
          <w:ilvl w:val="0"/>
          <w:numId w:val="6"/>
        </w:numPr>
        <w:pBdr>
          <w:top w:val="nil"/>
          <w:left w:val="nil"/>
          <w:bottom w:val="nil"/>
          <w:right w:val="nil"/>
          <w:between w:val="nil"/>
        </w:pBdr>
        <w:spacing w:before="240" w:after="240"/>
        <w:ind w:left="567" w:right="567"/>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Que se trate de información registrada en cualquier soporte documental, que en ejercicio de las atribuciones conferidas, sea administrada por los Sujetos Obligados, y</w:t>
      </w:r>
    </w:p>
    <w:p w14:paraId="12398496" w14:textId="77777777" w:rsidR="00021793" w:rsidRPr="00095A2C" w:rsidRDefault="00122CAC">
      <w:pPr>
        <w:pBdr>
          <w:top w:val="nil"/>
          <w:left w:val="nil"/>
          <w:bottom w:val="nil"/>
          <w:right w:val="nil"/>
          <w:between w:val="nil"/>
        </w:pBdr>
        <w:spacing w:before="240" w:after="240"/>
        <w:ind w:left="567" w:right="567" w:hanging="284"/>
        <w:jc w:val="both"/>
        <w:rPr>
          <w:sz w:val="22"/>
          <w:szCs w:val="22"/>
        </w:rPr>
      </w:pPr>
      <w:r w:rsidRPr="00095A2C">
        <w:rPr>
          <w:rFonts w:ascii="Palatino Linotype" w:eastAsia="Palatino Linotype" w:hAnsi="Palatino Linotype" w:cs="Palatino Linotype"/>
          <w:i/>
          <w:sz w:val="22"/>
          <w:szCs w:val="22"/>
        </w:rPr>
        <w:t xml:space="preserve">3. </w:t>
      </w:r>
      <w:r w:rsidRPr="00095A2C">
        <w:rPr>
          <w:rFonts w:ascii="Palatino Linotype" w:eastAsia="Palatino Linotype" w:hAnsi="Palatino Linotype" w:cs="Palatino Linotype"/>
          <w:b/>
          <w:i/>
          <w:sz w:val="22"/>
          <w:szCs w:val="22"/>
        </w:rPr>
        <w:t xml:space="preserve">Que se trate de información registrada en cualquier soporte documental, que en ejercicio de las atribuciones conferidas, se encuentre en posesión de los Sujetos Obligados.” </w:t>
      </w:r>
      <w:r w:rsidRPr="00095A2C">
        <w:rPr>
          <w:rFonts w:ascii="Palatino Linotype" w:eastAsia="Palatino Linotype" w:hAnsi="Palatino Linotype" w:cs="Palatino Linotype"/>
          <w:i/>
          <w:sz w:val="22"/>
          <w:szCs w:val="22"/>
        </w:rPr>
        <w:t>(Énfasis añadido)</w:t>
      </w:r>
    </w:p>
    <w:p w14:paraId="43A024F7" w14:textId="77777777" w:rsidR="00021793" w:rsidRPr="00095A2C" w:rsidRDefault="00122CAC">
      <w:pPr>
        <w:pBdr>
          <w:top w:val="nil"/>
          <w:left w:val="nil"/>
          <w:bottom w:val="nil"/>
          <w:right w:val="nil"/>
          <w:between w:val="nil"/>
        </w:pBdr>
        <w:spacing w:before="240" w:after="240" w:line="360" w:lineRule="auto"/>
        <w:jc w:val="both"/>
        <w:rPr>
          <w:rFonts w:ascii="Palatino Linotype" w:eastAsia="Palatino Linotype" w:hAnsi="Palatino Linotype" w:cs="Palatino Linotype"/>
          <w:sz w:val="22"/>
          <w:szCs w:val="22"/>
        </w:rPr>
      </w:pPr>
      <w:r w:rsidRPr="00095A2C">
        <w:rPr>
          <w:rFonts w:ascii="Palatino Linotype" w:eastAsia="Palatino Linotype" w:hAnsi="Palatino Linotype" w:cs="Palatino Linotype"/>
          <w:sz w:val="22"/>
          <w:szCs w:val="22"/>
        </w:rPr>
        <w:t xml:space="preserve">De ahí que el </w:t>
      </w:r>
      <w:r w:rsidRPr="00095A2C">
        <w:rPr>
          <w:rFonts w:ascii="Palatino Linotype" w:eastAsia="Palatino Linotype" w:hAnsi="Palatino Linotype" w:cs="Palatino Linotype"/>
          <w:b/>
          <w:sz w:val="22"/>
          <w:szCs w:val="22"/>
        </w:rPr>
        <w:t>Sujeto Obligado</w:t>
      </w:r>
      <w:r w:rsidRPr="00095A2C">
        <w:rPr>
          <w:rFonts w:ascii="Palatino Linotype" w:eastAsia="Palatino Linotype" w:hAnsi="Palatino Linotype" w:cs="Palatino Linotype"/>
          <w:sz w:val="22"/>
          <w:szCs w:val="22"/>
        </w:rPr>
        <w:t xml:space="preserve"> cuenta con el deber de satisfacer las solicitudes de acceso a la información que le sean formuladas y entregar la información pública que obre en sus archivos; más aún si la misma se trata de información pública de oficio la cual se relaciona con aquella que se genere de acuerdo con sus facultades, atribuciones señaladas por la Ley en la materia, así como de interés público, es decir, aquella que resulta relevante o beneficiosa para la sociedad y no simplemente de interés individual, y cuya divulgación resulta útil para que el público comprenda las actividades que llevan a cabo los Sujetos Obligados.</w:t>
      </w:r>
    </w:p>
    <w:p w14:paraId="71B6F397" w14:textId="77777777" w:rsidR="00021793" w:rsidRPr="00095A2C" w:rsidRDefault="00122CAC">
      <w:pPr>
        <w:pBdr>
          <w:top w:val="nil"/>
          <w:left w:val="nil"/>
          <w:bottom w:val="nil"/>
          <w:right w:val="nil"/>
          <w:between w:val="nil"/>
        </w:pBdr>
        <w:spacing w:before="240" w:after="240" w:line="360" w:lineRule="auto"/>
        <w:jc w:val="both"/>
        <w:rPr>
          <w:rFonts w:ascii="Palatino Linotype" w:eastAsia="Palatino Linotype" w:hAnsi="Palatino Linotype" w:cs="Palatino Linotype"/>
          <w:sz w:val="22"/>
          <w:szCs w:val="22"/>
        </w:rPr>
      </w:pPr>
      <w:r w:rsidRPr="00095A2C">
        <w:rPr>
          <w:rFonts w:ascii="Palatino Linotype" w:eastAsia="Palatino Linotype" w:hAnsi="Palatino Linotype" w:cs="Palatino Linotype"/>
          <w:sz w:val="22"/>
          <w:szCs w:val="22"/>
        </w:rPr>
        <w:lastRenderedPageBreak/>
        <w:t xml:space="preserve">Ahora bien, para profundizar en el estudio del presente asunto, es conveniente recordar que de un análisis a la solicitud de información, se advierte que la parte solicitante requirió al </w:t>
      </w:r>
      <w:r w:rsidRPr="00095A2C">
        <w:rPr>
          <w:rFonts w:ascii="Palatino Linotype" w:eastAsia="Palatino Linotype" w:hAnsi="Palatino Linotype" w:cs="Palatino Linotype"/>
          <w:b/>
          <w:sz w:val="22"/>
          <w:szCs w:val="22"/>
        </w:rPr>
        <w:t>Sujeto Obligado</w:t>
      </w:r>
      <w:r w:rsidRPr="00095A2C">
        <w:rPr>
          <w:rFonts w:ascii="Palatino Linotype" w:eastAsia="Palatino Linotype" w:hAnsi="Palatino Linotype" w:cs="Palatino Linotype"/>
          <w:sz w:val="22"/>
          <w:szCs w:val="22"/>
        </w:rPr>
        <w:t>, le proporcionara lo siguiente:</w:t>
      </w:r>
    </w:p>
    <w:p w14:paraId="12ABDC39" w14:textId="77777777" w:rsidR="00CB2B76" w:rsidRPr="00095A2C" w:rsidRDefault="00CB2B76" w:rsidP="00CB2B76">
      <w:pPr>
        <w:pStyle w:val="Prrafodelista"/>
        <w:numPr>
          <w:ilvl w:val="0"/>
          <w:numId w:val="10"/>
        </w:numPr>
        <w:pBdr>
          <w:top w:val="nil"/>
          <w:left w:val="nil"/>
          <w:bottom w:val="nil"/>
          <w:right w:val="nil"/>
          <w:between w:val="nil"/>
        </w:pBdr>
        <w:spacing w:before="240" w:after="240" w:line="360" w:lineRule="auto"/>
        <w:ind w:left="567" w:hanging="141"/>
        <w:jc w:val="both"/>
        <w:rPr>
          <w:rFonts w:ascii="Palatino Linotype" w:eastAsia="Palatino Linotype" w:hAnsi="Palatino Linotype" w:cs="Palatino Linotype"/>
          <w:b/>
          <w:sz w:val="22"/>
          <w:szCs w:val="22"/>
        </w:rPr>
      </w:pPr>
      <w:r w:rsidRPr="00095A2C">
        <w:rPr>
          <w:rFonts w:ascii="Palatino Linotype" w:eastAsia="Palatino Linotype" w:hAnsi="Palatino Linotype" w:cs="Palatino Linotype"/>
          <w:b/>
          <w:sz w:val="22"/>
          <w:szCs w:val="22"/>
        </w:rPr>
        <w:t>Los oficios firmados por el contralor en enero 2024</w:t>
      </w:r>
    </w:p>
    <w:p w14:paraId="662C2DA1" w14:textId="77777777" w:rsidR="00CB2B76" w:rsidRPr="00095A2C" w:rsidRDefault="00122CAC" w:rsidP="00CB2B76">
      <w:pPr>
        <w:spacing w:before="240" w:after="240" w:line="360" w:lineRule="auto"/>
        <w:ind w:right="49"/>
        <w:jc w:val="both"/>
        <w:rPr>
          <w:rFonts w:ascii="Palatino Linotype" w:eastAsia="Palatino Linotype" w:hAnsi="Palatino Linotype" w:cs="Palatino Linotype"/>
          <w:b/>
          <w:sz w:val="22"/>
          <w:szCs w:val="22"/>
          <w:u w:val="single"/>
        </w:rPr>
      </w:pPr>
      <w:r w:rsidRPr="00095A2C">
        <w:rPr>
          <w:rFonts w:ascii="Palatino Linotype" w:eastAsia="Palatino Linotype" w:hAnsi="Palatino Linotype" w:cs="Palatino Linotype"/>
          <w:sz w:val="22"/>
          <w:szCs w:val="22"/>
        </w:rPr>
        <w:t xml:space="preserve">En respuesta, el </w:t>
      </w:r>
      <w:r w:rsidRPr="00095A2C">
        <w:rPr>
          <w:rFonts w:ascii="Palatino Linotype" w:eastAsia="Palatino Linotype" w:hAnsi="Palatino Linotype" w:cs="Palatino Linotype"/>
          <w:b/>
          <w:sz w:val="22"/>
          <w:szCs w:val="22"/>
        </w:rPr>
        <w:t>Sujeto Obligado</w:t>
      </w:r>
      <w:r w:rsidR="00CB2B76" w:rsidRPr="00095A2C">
        <w:rPr>
          <w:rFonts w:ascii="Palatino Linotype" w:eastAsia="Palatino Linotype" w:hAnsi="Palatino Linotype" w:cs="Palatino Linotype"/>
          <w:sz w:val="22"/>
          <w:szCs w:val="22"/>
        </w:rPr>
        <w:t>, manifestó que</w:t>
      </w:r>
      <w:r w:rsidR="00CB2B76" w:rsidRPr="00095A2C">
        <w:rPr>
          <w:rFonts w:ascii="Palatino Linotype" w:eastAsia="Palatino Linotype" w:hAnsi="Palatino Linotype" w:cs="Palatino Linotype"/>
          <w:b/>
          <w:sz w:val="22"/>
          <w:szCs w:val="22"/>
        </w:rPr>
        <w:t xml:space="preserve"> </w:t>
      </w:r>
      <w:r w:rsidR="00CB2B76" w:rsidRPr="00095A2C">
        <w:rPr>
          <w:rFonts w:ascii="Palatino Linotype" w:eastAsia="Palatino Linotype" w:hAnsi="Palatino Linotype" w:cs="Palatino Linotype"/>
          <w:sz w:val="22"/>
          <w:szCs w:val="22"/>
        </w:rPr>
        <w:t xml:space="preserve">la Contraloría Municipal informó que después de realizar una búsqueda exhaustiva y razonable en los archivos que obran en la Contraloría, anexaba la </w:t>
      </w:r>
      <w:r w:rsidR="00CB2B76" w:rsidRPr="00095A2C">
        <w:rPr>
          <w:rFonts w:ascii="Palatino Linotype" w:eastAsia="Palatino Linotype" w:hAnsi="Palatino Linotype" w:cs="Palatino Linotype"/>
          <w:b/>
          <w:sz w:val="22"/>
          <w:szCs w:val="22"/>
          <w:u w:val="single"/>
        </w:rPr>
        <w:t>relación de los oficios firmados por la Delegada Administrativa de la Contraloría Municipal.</w:t>
      </w:r>
    </w:p>
    <w:p w14:paraId="47DF58CC" w14:textId="77777777" w:rsidR="00CB2B76" w:rsidRPr="00095A2C" w:rsidRDefault="00CB2B76" w:rsidP="00CB2B76">
      <w:pPr>
        <w:spacing w:before="240" w:after="240" w:line="360" w:lineRule="auto"/>
        <w:ind w:right="49"/>
        <w:jc w:val="both"/>
        <w:rPr>
          <w:rFonts w:ascii="Palatino Linotype" w:eastAsia="Palatino Linotype" w:hAnsi="Palatino Linotype" w:cs="Palatino Linotype"/>
          <w:sz w:val="22"/>
          <w:szCs w:val="22"/>
        </w:rPr>
      </w:pPr>
      <w:r w:rsidRPr="00095A2C">
        <w:rPr>
          <w:rFonts w:ascii="Palatino Linotype" w:eastAsia="Palatino Linotype" w:hAnsi="Palatino Linotype" w:cs="Palatino Linotype"/>
          <w:sz w:val="22"/>
          <w:szCs w:val="22"/>
        </w:rPr>
        <w:t>De manera posterior, adjuntó una relación de</w:t>
      </w:r>
      <w:r w:rsidRPr="00095A2C">
        <w:rPr>
          <w:rFonts w:ascii="Palatino Linotype" w:eastAsia="Palatino Linotype" w:hAnsi="Palatino Linotype" w:cs="Palatino Linotype"/>
          <w:b/>
          <w:sz w:val="22"/>
          <w:szCs w:val="22"/>
        </w:rPr>
        <w:t xml:space="preserve"> </w:t>
      </w:r>
      <w:r w:rsidRPr="00095A2C">
        <w:rPr>
          <w:rFonts w:ascii="Palatino Linotype" w:eastAsia="Palatino Linotype" w:hAnsi="Palatino Linotype" w:cs="Palatino Linotype"/>
          <w:sz w:val="22"/>
          <w:szCs w:val="22"/>
        </w:rPr>
        <w:t>los oficios firmados por la Contraloría Municipal en el mes de enero de 2024.</w:t>
      </w:r>
    </w:p>
    <w:p w14:paraId="5E5E65BF" w14:textId="77777777" w:rsidR="00CB2B76" w:rsidRPr="00095A2C" w:rsidRDefault="00122CAC">
      <w:pPr>
        <w:spacing w:before="240" w:after="240" w:line="360" w:lineRule="auto"/>
        <w:jc w:val="both"/>
        <w:rPr>
          <w:rFonts w:ascii="Palatino Linotype" w:eastAsia="Palatino Linotype" w:hAnsi="Palatino Linotype" w:cs="Palatino Linotype"/>
          <w:sz w:val="22"/>
          <w:szCs w:val="22"/>
        </w:rPr>
      </w:pPr>
      <w:r w:rsidRPr="00095A2C">
        <w:rPr>
          <w:rFonts w:ascii="Palatino Linotype" w:eastAsia="Palatino Linotype" w:hAnsi="Palatino Linotype" w:cs="Palatino Linotype"/>
          <w:sz w:val="22"/>
          <w:szCs w:val="22"/>
        </w:rPr>
        <w:t xml:space="preserve">En esta tesitura, una vez conocida la respuesta emitida por el </w:t>
      </w:r>
      <w:r w:rsidRPr="00095A2C">
        <w:rPr>
          <w:rFonts w:ascii="Palatino Linotype" w:eastAsia="Palatino Linotype" w:hAnsi="Palatino Linotype" w:cs="Palatino Linotype"/>
          <w:b/>
          <w:sz w:val="22"/>
          <w:szCs w:val="22"/>
        </w:rPr>
        <w:t>Sujeto Obligado</w:t>
      </w:r>
      <w:r w:rsidRPr="00095A2C">
        <w:rPr>
          <w:rFonts w:ascii="Palatino Linotype" w:eastAsia="Palatino Linotype" w:hAnsi="Palatino Linotype" w:cs="Palatino Linotype"/>
          <w:sz w:val="22"/>
          <w:szCs w:val="22"/>
        </w:rPr>
        <w:t xml:space="preserve">, </w:t>
      </w:r>
      <w:r w:rsidRPr="00095A2C">
        <w:rPr>
          <w:rFonts w:ascii="Palatino Linotype" w:eastAsia="Palatino Linotype" w:hAnsi="Palatino Linotype" w:cs="Palatino Linotype"/>
          <w:b/>
          <w:sz w:val="22"/>
          <w:szCs w:val="22"/>
        </w:rPr>
        <w:t>la parte Recurrente</w:t>
      </w:r>
      <w:r w:rsidRPr="00095A2C">
        <w:rPr>
          <w:rFonts w:ascii="Palatino Linotype" w:eastAsia="Palatino Linotype" w:hAnsi="Palatino Linotype" w:cs="Palatino Linotype"/>
          <w:sz w:val="22"/>
          <w:szCs w:val="22"/>
        </w:rPr>
        <w:t>, al no estar conforme con los términos de la misma, interpuso el recurso de revisión que nos ocupa, inconformándose medularmente respecto de</w:t>
      </w:r>
      <w:r w:rsidR="00CB2B76" w:rsidRPr="00095A2C">
        <w:rPr>
          <w:rFonts w:ascii="Palatino Linotype" w:eastAsia="Palatino Linotype" w:hAnsi="Palatino Linotype" w:cs="Palatino Linotype"/>
          <w:sz w:val="22"/>
          <w:szCs w:val="22"/>
        </w:rPr>
        <w:t xml:space="preserve"> que la información proporcionada no corresponde con lo solicitado, toda vez que el particular requirió oficios pero el </w:t>
      </w:r>
      <w:r w:rsidR="00CB2B76" w:rsidRPr="00095A2C">
        <w:rPr>
          <w:rFonts w:ascii="Palatino Linotype" w:eastAsia="Palatino Linotype" w:hAnsi="Palatino Linotype" w:cs="Palatino Linotype"/>
          <w:b/>
          <w:sz w:val="22"/>
          <w:szCs w:val="22"/>
        </w:rPr>
        <w:t>Sujeto Obligado</w:t>
      </w:r>
      <w:r w:rsidR="00CB2B76" w:rsidRPr="00095A2C">
        <w:rPr>
          <w:rFonts w:ascii="Palatino Linotype" w:eastAsia="Palatino Linotype" w:hAnsi="Palatino Linotype" w:cs="Palatino Linotype"/>
          <w:sz w:val="22"/>
          <w:szCs w:val="22"/>
        </w:rPr>
        <w:t xml:space="preserve"> le hizo entrega de una relación de oficios.</w:t>
      </w:r>
    </w:p>
    <w:p w14:paraId="66722FD8" w14:textId="77777777" w:rsidR="00021793" w:rsidRPr="00095A2C" w:rsidRDefault="00122CAC">
      <w:pPr>
        <w:spacing w:before="240" w:after="240" w:line="360" w:lineRule="auto"/>
        <w:jc w:val="both"/>
        <w:rPr>
          <w:rFonts w:ascii="Palatino Linotype" w:eastAsia="Palatino Linotype" w:hAnsi="Palatino Linotype" w:cs="Palatino Linotype"/>
          <w:sz w:val="22"/>
          <w:szCs w:val="22"/>
        </w:rPr>
      </w:pPr>
      <w:r w:rsidRPr="00095A2C">
        <w:rPr>
          <w:rFonts w:ascii="Palatino Linotype" w:eastAsia="Palatino Linotype" w:hAnsi="Palatino Linotype" w:cs="Palatino Linotype"/>
          <w:sz w:val="22"/>
          <w:szCs w:val="22"/>
        </w:rPr>
        <w:t xml:space="preserve">Así las cosas, durante la etapa de manifestaciones e informe justificado, se tiene que </w:t>
      </w:r>
      <w:r w:rsidR="00F83806" w:rsidRPr="00095A2C">
        <w:rPr>
          <w:rFonts w:ascii="Palatino Linotype" w:eastAsia="Palatino Linotype" w:hAnsi="Palatino Linotype" w:cs="Palatino Linotype"/>
          <w:sz w:val="22"/>
          <w:szCs w:val="22"/>
        </w:rPr>
        <w:t xml:space="preserve">el </w:t>
      </w:r>
      <w:r w:rsidR="00F83806" w:rsidRPr="00095A2C">
        <w:rPr>
          <w:rFonts w:ascii="Palatino Linotype" w:eastAsia="Palatino Linotype" w:hAnsi="Palatino Linotype" w:cs="Palatino Linotype"/>
          <w:b/>
          <w:sz w:val="22"/>
          <w:szCs w:val="22"/>
        </w:rPr>
        <w:t xml:space="preserve">Sujeto Obligado </w:t>
      </w:r>
      <w:r w:rsidR="007820D7" w:rsidRPr="00095A2C">
        <w:rPr>
          <w:rFonts w:ascii="Palatino Linotype" w:eastAsia="Palatino Linotype" w:hAnsi="Palatino Linotype" w:cs="Palatino Linotype"/>
          <w:sz w:val="22"/>
          <w:szCs w:val="22"/>
        </w:rPr>
        <w:t xml:space="preserve">ratificó los términos de la respuesta emitida inicialmente, </w:t>
      </w:r>
      <w:r w:rsidR="00F83806" w:rsidRPr="00095A2C">
        <w:rPr>
          <w:rFonts w:ascii="Palatino Linotype" w:eastAsia="Palatino Linotype" w:hAnsi="Palatino Linotype" w:cs="Palatino Linotype"/>
          <w:sz w:val="22"/>
          <w:szCs w:val="22"/>
        </w:rPr>
        <w:t>mientras que</w:t>
      </w:r>
      <w:r w:rsidR="00F83806" w:rsidRPr="00095A2C">
        <w:rPr>
          <w:rFonts w:ascii="Palatino Linotype" w:eastAsia="Palatino Linotype" w:hAnsi="Palatino Linotype" w:cs="Palatino Linotype"/>
          <w:b/>
          <w:sz w:val="22"/>
          <w:szCs w:val="22"/>
        </w:rPr>
        <w:t xml:space="preserve"> la parte Recurrente</w:t>
      </w:r>
      <w:r w:rsidR="00F83806" w:rsidRPr="00095A2C">
        <w:rPr>
          <w:rFonts w:ascii="Palatino Linotype" w:eastAsia="Palatino Linotype" w:hAnsi="Palatino Linotype" w:cs="Palatino Linotype"/>
          <w:b/>
          <w:sz w:val="22"/>
          <w:szCs w:val="22"/>
          <w:u w:val="single"/>
        </w:rPr>
        <w:t xml:space="preserve"> </w:t>
      </w:r>
      <w:r w:rsidR="00F83806" w:rsidRPr="00095A2C">
        <w:rPr>
          <w:rFonts w:ascii="Palatino Linotype" w:eastAsia="Palatino Linotype" w:hAnsi="Palatino Linotype" w:cs="Palatino Linotype"/>
          <w:sz w:val="22"/>
          <w:szCs w:val="22"/>
        </w:rPr>
        <w:t xml:space="preserve">fue omisa en </w:t>
      </w:r>
      <w:r w:rsidRPr="00095A2C">
        <w:rPr>
          <w:rFonts w:ascii="Palatino Linotype" w:eastAsia="Palatino Linotype" w:hAnsi="Palatino Linotype" w:cs="Palatino Linotype"/>
          <w:sz w:val="22"/>
          <w:szCs w:val="22"/>
        </w:rPr>
        <w:t xml:space="preserve">pronunciarse en esta etapa, por lo que se tuvo por precluido el plazo para tal efecto y se procede a emitir la resolución que conforme a derecho corresponda. </w:t>
      </w:r>
    </w:p>
    <w:p w14:paraId="2837A1C0" w14:textId="77777777" w:rsidR="007820D7" w:rsidRPr="00095A2C" w:rsidRDefault="007820D7">
      <w:pPr>
        <w:spacing w:before="240" w:after="240" w:line="360" w:lineRule="auto"/>
        <w:jc w:val="both"/>
        <w:rPr>
          <w:rFonts w:ascii="Palatino Linotype" w:eastAsia="Palatino Linotype" w:hAnsi="Palatino Linotype" w:cs="Palatino Linotype"/>
          <w:sz w:val="22"/>
          <w:szCs w:val="22"/>
        </w:rPr>
      </w:pPr>
      <w:r w:rsidRPr="00095A2C">
        <w:rPr>
          <w:rFonts w:ascii="Palatino Linotype" w:eastAsia="Palatino Linotype" w:hAnsi="Palatino Linotype" w:cs="Palatino Linotype"/>
          <w:sz w:val="22"/>
          <w:szCs w:val="22"/>
        </w:rPr>
        <w:t xml:space="preserve">Ahora bien, de las constancias que obran en el expediente electrónico, se advierte que el </w:t>
      </w:r>
      <w:r w:rsidRPr="00095A2C">
        <w:rPr>
          <w:rFonts w:ascii="Palatino Linotype" w:eastAsia="Palatino Linotype" w:hAnsi="Palatino Linotype" w:cs="Palatino Linotype"/>
          <w:b/>
          <w:sz w:val="22"/>
          <w:szCs w:val="22"/>
        </w:rPr>
        <w:t>Sujeto Obligado</w:t>
      </w:r>
      <w:r w:rsidRPr="00095A2C">
        <w:rPr>
          <w:rFonts w:ascii="Palatino Linotype" w:eastAsia="Palatino Linotype" w:hAnsi="Palatino Linotype" w:cs="Palatino Linotype"/>
          <w:sz w:val="22"/>
          <w:szCs w:val="22"/>
        </w:rPr>
        <w:t>, turnó la solicitud de información a la Contraloría Municipal, a la cual de conformidad con el Código Reglamentario del Ayuntamiento de Toluca, le corresponden las siguientes atribuciones:</w:t>
      </w:r>
    </w:p>
    <w:p w14:paraId="794510D2" w14:textId="77777777" w:rsidR="007820D7" w:rsidRPr="00095A2C" w:rsidRDefault="00B2302A" w:rsidP="00B2302A">
      <w:pPr>
        <w:spacing w:before="240" w:after="240" w:line="276" w:lineRule="auto"/>
        <w:ind w:left="567" w:right="900"/>
        <w:jc w:val="both"/>
        <w:rPr>
          <w:rFonts w:ascii="Palatino Linotype" w:eastAsia="Palatino Linotype" w:hAnsi="Palatino Linotype" w:cs="Palatino Linotype"/>
          <w:b/>
          <w:i/>
          <w:sz w:val="22"/>
          <w:szCs w:val="22"/>
        </w:rPr>
      </w:pPr>
      <w:r w:rsidRPr="00095A2C">
        <w:rPr>
          <w:rFonts w:ascii="Palatino Linotype" w:eastAsia="Palatino Linotype" w:hAnsi="Palatino Linotype" w:cs="Palatino Linotype"/>
          <w:i/>
          <w:sz w:val="22"/>
          <w:szCs w:val="22"/>
        </w:rPr>
        <w:lastRenderedPageBreak/>
        <w:t>“</w:t>
      </w:r>
      <w:r w:rsidR="007820D7" w:rsidRPr="00095A2C">
        <w:rPr>
          <w:rFonts w:ascii="Palatino Linotype" w:eastAsia="Palatino Linotype" w:hAnsi="Palatino Linotype" w:cs="Palatino Linotype"/>
          <w:b/>
          <w:i/>
          <w:sz w:val="22"/>
          <w:szCs w:val="22"/>
        </w:rPr>
        <w:t>SECCIÓN QUINTA</w:t>
      </w:r>
    </w:p>
    <w:p w14:paraId="69A352D4"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b/>
          <w:i/>
          <w:sz w:val="22"/>
          <w:szCs w:val="22"/>
        </w:rPr>
      </w:pPr>
      <w:r w:rsidRPr="00095A2C">
        <w:rPr>
          <w:rFonts w:ascii="Palatino Linotype" w:eastAsia="Palatino Linotype" w:hAnsi="Palatino Linotype" w:cs="Palatino Linotype"/>
          <w:b/>
          <w:i/>
          <w:sz w:val="22"/>
          <w:szCs w:val="22"/>
        </w:rPr>
        <w:t>DE LA CONTRALORÍA</w:t>
      </w:r>
    </w:p>
    <w:p w14:paraId="39AD89AD"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Artículo 3.25. La o el titular de la Contraloría tendrá las siguientes atribuciones:</w:t>
      </w:r>
    </w:p>
    <w:p w14:paraId="51877296"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I. Aplicar las normas y criterios en materia de control y evaluación;</w:t>
      </w:r>
    </w:p>
    <w:p w14:paraId="5443BBEF"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II. Fiscalizar que los ingresos que se perciban, sean recaudados y registrados conforme a la normatividad aplicable;</w:t>
      </w:r>
    </w:p>
    <w:p w14:paraId="458D98B0"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III. Fiscalizar el ejercicio del gasto público municipal y su congruencia con el presupuesto de egresos, conforme a la normatividad aplicable;</w:t>
      </w:r>
    </w:p>
    <w:p w14:paraId="6427821C"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IV. Planear, programar, ejecutar, organizar y coordinar el sistema de control y evaluación de la administración pública municipal;</w:t>
      </w:r>
    </w:p>
    <w:p w14:paraId="5AB754C5"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V. Asesorar a las o los titulares de los órganos de control interno de los organismos de la administración pública municipal y a las o los servidores públicos municipales en materia de declaraciones de situación patrimonial, de intereses, así como de conductas presuntamente constitutivas de faltas administrativas en las que también pudieran incurrir particulares, por conductas sancionables en términos de la Ley de Responsabilidades Administrativas del Estado de México y Municipios;</w:t>
      </w:r>
    </w:p>
    <w:p w14:paraId="463BF949"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VI. Establecer las bases generales para la realización de acciones de control y evaluación;</w:t>
      </w:r>
    </w:p>
    <w:p w14:paraId="05D738B2"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VII. Revisar, y en su caso, fiscalizar el ingreso, egreso, manejo, custodia y aplicación de los recursos federales, estatales y municipales asignados al Ayuntamiento, conforme a la normatividad aplicable;</w:t>
      </w:r>
    </w:p>
    <w:p w14:paraId="2CA6A99B"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VIII. Vigilar en el ámbito de sus atribuciones, el cumplimiento de las obligaciones de proveedores, prestadores de servicios y contratistas, adquiridas con la administración pública municipal;</w:t>
      </w:r>
    </w:p>
    <w:p w14:paraId="10C567D8"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IX. Coordinarse con el Órgano Superior de Fiscalización del Estado de México, la Contraloría del Poder Legislativo y con la Secretaría de la Contraloría del Gobierno del Estado de México para el cumplimiento de sus funciones;</w:t>
      </w:r>
    </w:p>
    <w:p w14:paraId="002D765B"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lastRenderedPageBreak/>
        <w:t>X. Designar a las o los auditores externos y proponer al Ayuntamiento, en su caso, a las o los comisarios de los organismos auxiliares de la administración pública municipal;</w:t>
      </w:r>
    </w:p>
    <w:p w14:paraId="6B222CF7"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XI. Operar el Sistema de Atención Mexiquense que administra la Secretaría de la Contraloría del Gobierno del Estado de México; así como, recibir denuncias por hechos presuntamente constitutivos de faltas administrativas de las o los servidores públicos municipales o de particulares por conductas sancionables en términos de la Ley de Responsabilidades Administrativas del Estado de México y Municipios, y en su caso turnar a la autoridad investigadora competente;</w:t>
      </w:r>
    </w:p>
    <w:p w14:paraId="1923EA82"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XII. Realizar auditorías y evaluaciones e informar del resultado de las mismas al Ayuntamiento;</w:t>
      </w:r>
    </w:p>
    <w:p w14:paraId="11E838F3"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XIII. Participar y vigilar en la entrega-recepción de las unidades administrativas de las dependencias, organismos auxiliares y fideicomisos del municipio, aplicando los Lineamientos que Norman la Entrega-Recepción de los Ayuntamientos, sus</w:t>
      </w:r>
    </w:p>
    <w:p w14:paraId="14DD6CD7"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Dependencias y Organismos Descentralizados;</w:t>
      </w:r>
    </w:p>
    <w:p w14:paraId="0DA52E2E"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XIV. Dictaminar los estados financieros del municipio, a través de la o el auditor externo designado;</w:t>
      </w:r>
    </w:p>
    <w:p w14:paraId="14E9456C"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XV. Verificar que se remitan los informes correspondientes al Órgano Superior de Fiscalización del Estado de México;</w:t>
      </w:r>
    </w:p>
    <w:p w14:paraId="5419083D"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XVI. Vigilar que los ingresos municipales se enteren a la Tesorería Municipal, conforme a la normatividad aplicable;</w:t>
      </w:r>
    </w:p>
    <w:p w14:paraId="5F5DFB5A"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XVII. Participar en la elaboración y actualización del inventario general de los bienes muebles e inmuebles propiedad del municipio;</w:t>
      </w:r>
    </w:p>
    <w:p w14:paraId="33809AD1"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XVIII. Participar en el Comité de bienes muebles e inmuebles del Municipio de Toluca;</w:t>
      </w:r>
    </w:p>
    <w:p w14:paraId="67C005B6"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 xml:space="preserve">XIX. Iniciar los procesos de investigación, substanciación, resolución y en su caso ejecución, tratándose de faltas administrativas no graves, a través de las áreas administrativas especializadas, respecto de las conductas que deriven del </w:t>
      </w:r>
      <w:r w:rsidRPr="00095A2C">
        <w:rPr>
          <w:rFonts w:ascii="Palatino Linotype" w:eastAsia="Palatino Linotype" w:hAnsi="Palatino Linotype" w:cs="Palatino Linotype"/>
          <w:i/>
          <w:sz w:val="22"/>
          <w:szCs w:val="22"/>
        </w:rPr>
        <w:lastRenderedPageBreak/>
        <w:t>incumplimiento de obligaciones de las o los servidores públicos municipales en el ámbito de su competencia, en términos de la Ley de Responsabilidades Administrativas del Estado de México y Municipios;</w:t>
      </w:r>
    </w:p>
    <w:p w14:paraId="4CA80363"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XX. Iniciar la investigación, substanciación y remitir al Tribunal de Justicia Administrativa, los autos originales del expediente para la continuación del procedimiento y su resolución por dicho órgano; cuando se trate de faltas administrativas graves o faltas de particulares, en términos de la Ley de Responsabilidades Administrativas del Estado de México y Municipios;</w:t>
      </w:r>
    </w:p>
    <w:p w14:paraId="6496D8DC"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XXI. Practicar de oficio o a solicitud de parte, las investigaciones sobre el incumplimiento de las obligaciones de las o los servidores públicos municipales, en términos de la Ley de Responsabilidades Administrativas del Estado de México y Municipios;</w:t>
      </w:r>
    </w:p>
    <w:p w14:paraId="0A0A5F58"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XXII. Conocer, investigar, y emitir el dictamen de procedencia o de no remoción de las autoridades auxiliares, para ser turnado al Ayuntamiento, a efecto de que sus integrantes, previa garantía de audiencia determinen la remoción o no de las autoridades auxiliares, en términos de lo dispuesto en el artículo 62 de la Ley Orgánica Municipal del Estado de México y demás disposiciones jurídicas aplicables;</w:t>
      </w:r>
    </w:p>
    <w:p w14:paraId="4AF86A44"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XXIII. Valorar las recomendaciones que haga el Comité Coordinador Municipal a las unidades administrativas, y adoptar las medidas necesarias para el fortalecimiento institucional en su desempeño y control interno;</w:t>
      </w:r>
    </w:p>
    <w:p w14:paraId="37118E7E"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XXIV. Implementar los mecanismos internos que prevengan actos u omisiones que pudieran constituir faltas administrativas, en los términos establecidos por el Sistema Estatal Anticorrupción y la Ley de Responsabilidades Administrativas del Estado de México y Municipios y evaluar anualmente sus resultados;</w:t>
      </w:r>
    </w:p>
    <w:p w14:paraId="37943ECE"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XXV. Instrumentar la investigación de las inconformidades que se interpongan con motivo de las licitaciones públicas, adjudicaciones directas e invitaciones restringidas convocadas por el municipio de Toluca, cuando se lleven a cabo con recursos municipales en términos de las disposiciones jurídicas aplicables;</w:t>
      </w:r>
    </w:p>
    <w:p w14:paraId="4D3A462B"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lastRenderedPageBreak/>
        <w:t>XXVI. Realizar las acciones de control y evaluación que se consideren necesarias para verificar el cumplimiento de la normatividad;</w:t>
      </w:r>
    </w:p>
    <w:p w14:paraId="4FA2B796"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XXVII. Programar, ordenar y realizar auditorías y revisiones de control interno a las unidades administrativas del municipio de Toluca y dar seguimiento a la atención de las recomendaciones, acciones de mejora y, en su caso, las determinadas por otras instancias de fiscalización;</w:t>
      </w:r>
    </w:p>
    <w:p w14:paraId="3069D8C6"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XXVIII. Recibir y dar seguimiento a las sugerencias y reconocimientos que sean turnados a través del Sistema de Atención Mexiquense, en términos de las disposiciones aplicables;</w:t>
      </w:r>
    </w:p>
    <w:p w14:paraId="67ADF141"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XXIX. Recibir las denuncias por declaraciones de situación patrimonial que contengan posibles conflictos de intereses de las y los servidores públicos del municipio de Toluca, y turnar a la autoridad competente para la práctica de las investigaciones correspondientes que permitan identificar la existencia o no de presuntas infracciones;</w:t>
      </w:r>
    </w:p>
    <w:p w14:paraId="170D35D7"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XXX. Determinar la abstención de iniciar el procedimiento de responsabilidad administrativa, o de imponer sanciones a las o los servidores públicos municipales, cuando se acredite que no existió daño ni perjuicio a la Hacienda Pública Estatal o Municipal o al patrimonio de los entes públicos, así como en los supuestos que determina la Ley de Responsabilidades Administrativas del Estado de México y Municipios;</w:t>
      </w:r>
    </w:p>
    <w:p w14:paraId="70D729CE"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XXXI. Presentar denuncias por hechos que las leyes señalen como delitos ante la Fiscalía General de Justicia del Estado de México, o ante su homólogo en el ámbito federal o, en su caso, instar a la Consejería Jurídica del Ayuntamiento, a que formule las querellas respectivas en el supuesto de detectar conductas que puedan ser constitutivas de delitos;</w:t>
      </w:r>
    </w:p>
    <w:p w14:paraId="096BC697"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XXXII. Verificar el cumplimiento y evaluar los resultados de los programas y proyectos especiales en que participen las unidades administrativas del municipio de Toluca;</w:t>
      </w:r>
    </w:p>
    <w:p w14:paraId="06AE40FC"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 xml:space="preserve">XXXIII. Remitir a la autoridad competente los recursos de revocación y reclamación que interpongan las y los servidores públicos del municipio de Toluca, así como las </w:t>
      </w:r>
      <w:r w:rsidRPr="00095A2C">
        <w:rPr>
          <w:rFonts w:ascii="Palatino Linotype" w:eastAsia="Palatino Linotype" w:hAnsi="Palatino Linotype" w:cs="Palatino Linotype"/>
          <w:i/>
          <w:sz w:val="22"/>
          <w:szCs w:val="22"/>
        </w:rPr>
        <w:lastRenderedPageBreak/>
        <w:t>y los particulares que sean parte en el proceso administrativo, respecto de las resoluciones por las que se les impongan sanciones administrativas, y dar seguimiento al cumplimiento de las resoluciones dictadas por los órganos jurisdiccionales;</w:t>
      </w:r>
    </w:p>
    <w:p w14:paraId="65FFCAE0"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XXXIV. Supervisar la ejecución de los procedimientos de contratación pública por parte de las y los contratantes, para garantizar que se lleve a cabo en los términos de las disposiciones en la materia, ordenando las verificaciones procedentes;</w:t>
      </w:r>
    </w:p>
    <w:p w14:paraId="2116F095"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XXXV. Requerir a las unidades administrativas del municipio de Toluca, información y documentación para cumplir con sus atribuciones, así como brindar la asesoría que le requieran en el ámbito de su competencia;</w:t>
      </w:r>
    </w:p>
    <w:p w14:paraId="08184B9D"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XXXVI. Expedir copias certificadas de la documentación que se encuentre en sus archivos, así como a la que tenga acceso con motivo de las investigaciones que practique;</w:t>
      </w:r>
    </w:p>
    <w:p w14:paraId="27198474"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XXXVII. Coordinar y supervisar la verificación de la evolución del patrimonio de las y los servidores públicos que se le turnen, conforme al procedimiento de investigación a que se refiere la Ley de Responsabilidades Admin</w:t>
      </w:r>
      <w:r w:rsidR="00B2302A" w:rsidRPr="00095A2C">
        <w:rPr>
          <w:rFonts w:ascii="Palatino Linotype" w:eastAsia="Palatino Linotype" w:hAnsi="Palatino Linotype" w:cs="Palatino Linotype"/>
          <w:i/>
          <w:sz w:val="22"/>
          <w:szCs w:val="22"/>
        </w:rPr>
        <w:t xml:space="preserve">istrativas del Estado de México </w:t>
      </w:r>
      <w:r w:rsidRPr="00095A2C">
        <w:rPr>
          <w:rFonts w:ascii="Palatino Linotype" w:eastAsia="Palatino Linotype" w:hAnsi="Palatino Linotype" w:cs="Palatino Linotype"/>
          <w:i/>
          <w:sz w:val="22"/>
          <w:szCs w:val="22"/>
        </w:rPr>
        <w:t>y Municipios;</w:t>
      </w:r>
    </w:p>
    <w:p w14:paraId="18FB1562"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XXXVIII. Coordinar, vigilar, supervisar el cumplimiento y con</w:t>
      </w:r>
      <w:r w:rsidR="00B2302A" w:rsidRPr="00095A2C">
        <w:rPr>
          <w:rFonts w:ascii="Palatino Linotype" w:eastAsia="Palatino Linotype" w:hAnsi="Palatino Linotype" w:cs="Palatino Linotype"/>
          <w:i/>
          <w:sz w:val="22"/>
          <w:szCs w:val="22"/>
        </w:rPr>
        <w:t xml:space="preserve">trolar la recepción, registro y </w:t>
      </w:r>
      <w:r w:rsidRPr="00095A2C">
        <w:rPr>
          <w:rFonts w:ascii="Palatino Linotype" w:eastAsia="Palatino Linotype" w:hAnsi="Palatino Linotype" w:cs="Palatino Linotype"/>
          <w:i/>
          <w:sz w:val="22"/>
          <w:szCs w:val="22"/>
        </w:rPr>
        <w:t>resguardo de las declaraciones de situación patrimon</w:t>
      </w:r>
      <w:r w:rsidR="00B2302A" w:rsidRPr="00095A2C">
        <w:rPr>
          <w:rFonts w:ascii="Palatino Linotype" w:eastAsia="Palatino Linotype" w:hAnsi="Palatino Linotype" w:cs="Palatino Linotype"/>
          <w:i/>
          <w:sz w:val="22"/>
          <w:szCs w:val="22"/>
        </w:rPr>
        <w:t xml:space="preserve">ial y de intereses de las y los </w:t>
      </w:r>
      <w:r w:rsidRPr="00095A2C">
        <w:rPr>
          <w:rFonts w:ascii="Palatino Linotype" w:eastAsia="Palatino Linotype" w:hAnsi="Palatino Linotype" w:cs="Palatino Linotype"/>
          <w:i/>
          <w:sz w:val="22"/>
          <w:szCs w:val="22"/>
        </w:rPr>
        <w:t xml:space="preserve">servidores públicos, para suministrar la información </w:t>
      </w:r>
      <w:r w:rsidR="00B2302A" w:rsidRPr="00095A2C">
        <w:rPr>
          <w:rFonts w:ascii="Palatino Linotype" w:eastAsia="Palatino Linotype" w:hAnsi="Palatino Linotype" w:cs="Palatino Linotype"/>
          <w:i/>
          <w:sz w:val="22"/>
          <w:szCs w:val="22"/>
        </w:rPr>
        <w:t xml:space="preserve">a la Plataforma Digital Estatal </w:t>
      </w:r>
      <w:r w:rsidRPr="00095A2C">
        <w:rPr>
          <w:rFonts w:ascii="Palatino Linotype" w:eastAsia="Palatino Linotype" w:hAnsi="Palatino Linotype" w:cs="Palatino Linotype"/>
          <w:i/>
          <w:sz w:val="22"/>
          <w:szCs w:val="22"/>
        </w:rPr>
        <w:t>del Sistema Nacional Anticorrupción;</w:t>
      </w:r>
    </w:p>
    <w:p w14:paraId="73700FC3"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XL. Ordenar las acciones necesarias para la inte</w:t>
      </w:r>
      <w:r w:rsidR="00B2302A" w:rsidRPr="00095A2C">
        <w:rPr>
          <w:rFonts w:ascii="Palatino Linotype" w:eastAsia="Palatino Linotype" w:hAnsi="Palatino Linotype" w:cs="Palatino Linotype"/>
          <w:i/>
          <w:sz w:val="22"/>
          <w:szCs w:val="22"/>
        </w:rPr>
        <w:t xml:space="preserve">gración del padrón de las o los </w:t>
      </w:r>
      <w:r w:rsidRPr="00095A2C">
        <w:rPr>
          <w:rFonts w:ascii="Palatino Linotype" w:eastAsia="Palatino Linotype" w:hAnsi="Palatino Linotype" w:cs="Palatino Linotype"/>
          <w:i/>
          <w:sz w:val="22"/>
          <w:szCs w:val="22"/>
        </w:rPr>
        <w:t>servidores públicos a presentar declaracione</w:t>
      </w:r>
      <w:r w:rsidR="00B2302A" w:rsidRPr="00095A2C">
        <w:rPr>
          <w:rFonts w:ascii="Palatino Linotype" w:eastAsia="Palatino Linotype" w:hAnsi="Palatino Linotype" w:cs="Palatino Linotype"/>
          <w:i/>
          <w:sz w:val="22"/>
          <w:szCs w:val="22"/>
        </w:rPr>
        <w:t xml:space="preserve">s de situación patrimonial y de </w:t>
      </w:r>
      <w:r w:rsidRPr="00095A2C">
        <w:rPr>
          <w:rFonts w:ascii="Palatino Linotype" w:eastAsia="Palatino Linotype" w:hAnsi="Palatino Linotype" w:cs="Palatino Linotype"/>
          <w:i/>
          <w:sz w:val="22"/>
          <w:szCs w:val="22"/>
        </w:rPr>
        <w:t>intereses, conforme a las disposiciones jurídicas aplicables;</w:t>
      </w:r>
    </w:p>
    <w:p w14:paraId="2D19B0C4"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XLI. Coordinar la recepción, a través de los medios elec</w:t>
      </w:r>
      <w:r w:rsidR="00B2302A" w:rsidRPr="00095A2C">
        <w:rPr>
          <w:rFonts w:ascii="Palatino Linotype" w:eastAsia="Palatino Linotype" w:hAnsi="Palatino Linotype" w:cs="Palatino Linotype"/>
          <w:i/>
          <w:sz w:val="22"/>
          <w:szCs w:val="22"/>
        </w:rPr>
        <w:t xml:space="preserve">trónicos que para tal efecto se </w:t>
      </w:r>
      <w:r w:rsidRPr="00095A2C">
        <w:rPr>
          <w:rFonts w:ascii="Palatino Linotype" w:eastAsia="Palatino Linotype" w:hAnsi="Palatino Linotype" w:cs="Palatino Linotype"/>
          <w:i/>
          <w:sz w:val="22"/>
          <w:szCs w:val="22"/>
        </w:rPr>
        <w:t xml:space="preserve">establezcan, de las sanciones impuestas por las </w:t>
      </w:r>
      <w:r w:rsidR="00B2302A" w:rsidRPr="00095A2C">
        <w:rPr>
          <w:rFonts w:ascii="Palatino Linotype" w:eastAsia="Palatino Linotype" w:hAnsi="Palatino Linotype" w:cs="Palatino Linotype"/>
          <w:i/>
          <w:sz w:val="22"/>
          <w:szCs w:val="22"/>
        </w:rPr>
        <w:t xml:space="preserve">autoridades competentes a las y </w:t>
      </w:r>
      <w:r w:rsidRPr="00095A2C">
        <w:rPr>
          <w:rFonts w:ascii="Palatino Linotype" w:eastAsia="Palatino Linotype" w:hAnsi="Palatino Linotype" w:cs="Palatino Linotype"/>
          <w:i/>
          <w:sz w:val="22"/>
          <w:szCs w:val="22"/>
        </w:rPr>
        <w:t>los servidores públicos y las y los particulare</w:t>
      </w:r>
      <w:r w:rsidR="00B2302A" w:rsidRPr="00095A2C">
        <w:rPr>
          <w:rFonts w:ascii="Palatino Linotype" w:eastAsia="Palatino Linotype" w:hAnsi="Palatino Linotype" w:cs="Palatino Linotype"/>
          <w:i/>
          <w:sz w:val="22"/>
          <w:szCs w:val="22"/>
        </w:rPr>
        <w:t xml:space="preserve">s, de conformidad con la Ley de </w:t>
      </w:r>
      <w:r w:rsidRPr="00095A2C">
        <w:rPr>
          <w:rFonts w:ascii="Palatino Linotype" w:eastAsia="Palatino Linotype" w:hAnsi="Palatino Linotype" w:cs="Palatino Linotype"/>
          <w:i/>
          <w:sz w:val="22"/>
          <w:szCs w:val="22"/>
        </w:rPr>
        <w:t>Responsabilidades Administrativas del Estado de M</w:t>
      </w:r>
      <w:r w:rsidR="00B2302A" w:rsidRPr="00095A2C">
        <w:rPr>
          <w:rFonts w:ascii="Palatino Linotype" w:eastAsia="Palatino Linotype" w:hAnsi="Palatino Linotype" w:cs="Palatino Linotype"/>
          <w:i/>
          <w:sz w:val="22"/>
          <w:szCs w:val="22"/>
        </w:rPr>
        <w:t xml:space="preserve">éxico y Municipios, y llevar el </w:t>
      </w:r>
      <w:r w:rsidRPr="00095A2C">
        <w:rPr>
          <w:rFonts w:ascii="Palatino Linotype" w:eastAsia="Palatino Linotype" w:hAnsi="Palatino Linotype" w:cs="Palatino Linotype"/>
          <w:i/>
          <w:sz w:val="22"/>
          <w:szCs w:val="22"/>
        </w:rPr>
        <w:t>registro de las mismas para suministrar la información a la Plat</w:t>
      </w:r>
      <w:r w:rsidR="00B2302A" w:rsidRPr="00095A2C">
        <w:rPr>
          <w:rFonts w:ascii="Palatino Linotype" w:eastAsia="Palatino Linotype" w:hAnsi="Palatino Linotype" w:cs="Palatino Linotype"/>
          <w:i/>
          <w:sz w:val="22"/>
          <w:szCs w:val="22"/>
        </w:rPr>
        <w:t xml:space="preserve">aforma Digital del </w:t>
      </w:r>
      <w:r w:rsidRPr="00095A2C">
        <w:rPr>
          <w:rFonts w:ascii="Palatino Linotype" w:eastAsia="Palatino Linotype" w:hAnsi="Palatino Linotype" w:cs="Palatino Linotype"/>
          <w:i/>
          <w:sz w:val="22"/>
          <w:szCs w:val="22"/>
        </w:rPr>
        <w:t>Sistema Estatal Anticorrupción;</w:t>
      </w:r>
    </w:p>
    <w:p w14:paraId="4D9F0BAB"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lastRenderedPageBreak/>
        <w:t>XLII. Verificar el cumplimiento de las bases y convenios</w:t>
      </w:r>
      <w:r w:rsidR="00B2302A" w:rsidRPr="00095A2C">
        <w:rPr>
          <w:rFonts w:ascii="Palatino Linotype" w:eastAsia="Palatino Linotype" w:hAnsi="Palatino Linotype" w:cs="Palatino Linotype"/>
          <w:i/>
          <w:sz w:val="22"/>
          <w:szCs w:val="22"/>
        </w:rPr>
        <w:t xml:space="preserve"> de coordinación celebrados con </w:t>
      </w:r>
      <w:r w:rsidRPr="00095A2C">
        <w:rPr>
          <w:rFonts w:ascii="Palatino Linotype" w:eastAsia="Palatino Linotype" w:hAnsi="Palatino Linotype" w:cs="Palatino Linotype"/>
          <w:i/>
          <w:sz w:val="22"/>
          <w:szCs w:val="22"/>
        </w:rPr>
        <w:t>otras autoridades competentes, en materi</w:t>
      </w:r>
      <w:r w:rsidR="00B2302A" w:rsidRPr="00095A2C">
        <w:rPr>
          <w:rFonts w:ascii="Palatino Linotype" w:eastAsia="Palatino Linotype" w:hAnsi="Palatino Linotype" w:cs="Palatino Linotype"/>
          <w:i/>
          <w:sz w:val="22"/>
          <w:szCs w:val="22"/>
        </w:rPr>
        <w:t xml:space="preserve">a de declaraciones de situación </w:t>
      </w:r>
      <w:r w:rsidRPr="00095A2C">
        <w:rPr>
          <w:rFonts w:ascii="Palatino Linotype" w:eastAsia="Palatino Linotype" w:hAnsi="Palatino Linotype" w:cs="Palatino Linotype"/>
          <w:i/>
          <w:sz w:val="22"/>
          <w:szCs w:val="22"/>
        </w:rPr>
        <w:t>patrimonial y de intereses;</w:t>
      </w:r>
    </w:p>
    <w:p w14:paraId="698F8F5D"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XLIII. Garantizar la operación del Programa de Contraloría S</w:t>
      </w:r>
      <w:r w:rsidR="00B2302A" w:rsidRPr="00095A2C">
        <w:rPr>
          <w:rFonts w:ascii="Palatino Linotype" w:eastAsia="Palatino Linotype" w:hAnsi="Palatino Linotype" w:cs="Palatino Linotype"/>
          <w:i/>
          <w:sz w:val="22"/>
          <w:szCs w:val="22"/>
        </w:rPr>
        <w:t xml:space="preserve">ocial, a través de la promoción </w:t>
      </w:r>
      <w:r w:rsidRPr="00095A2C">
        <w:rPr>
          <w:rFonts w:ascii="Palatino Linotype" w:eastAsia="Palatino Linotype" w:hAnsi="Palatino Linotype" w:cs="Palatino Linotype"/>
          <w:i/>
          <w:sz w:val="22"/>
          <w:szCs w:val="22"/>
        </w:rPr>
        <w:t xml:space="preserve">de la participación ciudadana en la supervisión </w:t>
      </w:r>
      <w:r w:rsidR="00B2302A" w:rsidRPr="00095A2C">
        <w:rPr>
          <w:rFonts w:ascii="Palatino Linotype" w:eastAsia="Palatino Linotype" w:hAnsi="Palatino Linotype" w:cs="Palatino Linotype"/>
          <w:i/>
          <w:sz w:val="22"/>
          <w:szCs w:val="22"/>
        </w:rPr>
        <w:t xml:space="preserve">y fiscalización de los recursos </w:t>
      </w:r>
      <w:r w:rsidRPr="00095A2C">
        <w:rPr>
          <w:rFonts w:ascii="Palatino Linotype" w:eastAsia="Palatino Linotype" w:hAnsi="Palatino Linotype" w:cs="Palatino Linotype"/>
          <w:i/>
          <w:sz w:val="22"/>
          <w:szCs w:val="22"/>
        </w:rPr>
        <w:t>públicos federales, estatales y/o municipales, des</w:t>
      </w:r>
      <w:r w:rsidR="00B2302A" w:rsidRPr="00095A2C">
        <w:rPr>
          <w:rFonts w:ascii="Palatino Linotype" w:eastAsia="Palatino Linotype" w:hAnsi="Palatino Linotype" w:cs="Palatino Linotype"/>
          <w:i/>
          <w:sz w:val="22"/>
          <w:szCs w:val="22"/>
        </w:rPr>
        <w:t xml:space="preserve">tinados a la ejecución de obras </w:t>
      </w:r>
      <w:r w:rsidRPr="00095A2C">
        <w:rPr>
          <w:rFonts w:ascii="Palatino Linotype" w:eastAsia="Palatino Linotype" w:hAnsi="Palatino Linotype" w:cs="Palatino Linotype"/>
          <w:i/>
          <w:sz w:val="22"/>
          <w:szCs w:val="22"/>
        </w:rPr>
        <w:t>y/o acciones dentro del municipio de Toluca; y</w:t>
      </w:r>
    </w:p>
    <w:p w14:paraId="437BC05F" w14:textId="77777777" w:rsidR="007820D7" w:rsidRPr="00095A2C" w:rsidRDefault="007820D7" w:rsidP="00B2302A">
      <w:pPr>
        <w:spacing w:before="240" w:after="240" w:line="276" w:lineRule="auto"/>
        <w:ind w:left="567" w:right="900"/>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i/>
          <w:sz w:val="22"/>
          <w:szCs w:val="22"/>
        </w:rPr>
        <w:t>XLIV. Las demás que le confieran otros ordenamientos jur</w:t>
      </w:r>
      <w:r w:rsidR="00B2302A" w:rsidRPr="00095A2C">
        <w:rPr>
          <w:rFonts w:ascii="Palatino Linotype" w:eastAsia="Palatino Linotype" w:hAnsi="Palatino Linotype" w:cs="Palatino Linotype"/>
          <w:i/>
          <w:sz w:val="22"/>
          <w:szCs w:val="22"/>
        </w:rPr>
        <w:t xml:space="preserve">ídicos, el H. Ayuntamiento y el </w:t>
      </w:r>
      <w:r w:rsidRPr="00095A2C">
        <w:rPr>
          <w:rFonts w:ascii="Palatino Linotype" w:eastAsia="Palatino Linotype" w:hAnsi="Palatino Linotype" w:cs="Palatino Linotype"/>
          <w:i/>
          <w:sz w:val="22"/>
          <w:szCs w:val="22"/>
        </w:rPr>
        <w:t>presidente municipal.</w:t>
      </w:r>
      <w:r w:rsidR="00B2302A" w:rsidRPr="00095A2C">
        <w:rPr>
          <w:rFonts w:ascii="Palatino Linotype" w:eastAsia="Palatino Linotype" w:hAnsi="Palatino Linotype" w:cs="Palatino Linotype"/>
          <w:i/>
          <w:sz w:val="22"/>
          <w:szCs w:val="22"/>
        </w:rPr>
        <w:t>”</w:t>
      </w:r>
    </w:p>
    <w:p w14:paraId="7D8FD154" w14:textId="77777777" w:rsidR="007820D7" w:rsidRPr="00095A2C" w:rsidRDefault="00B2302A" w:rsidP="007820D7">
      <w:pPr>
        <w:pBdr>
          <w:top w:val="nil"/>
          <w:left w:val="nil"/>
          <w:bottom w:val="nil"/>
          <w:right w:val="nil"/>
          <w:between w:val="nil"/>
        </w:pBdr>
        <w:tabs>
          <w:tab w:val="left" w:pos="284"/>
        </w:tabs>
        <w:spacing w:line="360" w:lineRule="auto"/>
        <w:ind w:right="49"/>
        <w:jc w:val="both"/>
        <w:rPr>
          <w:rFonts w:ascii="Palatino Linotype" w:eastAsia="Palatino Linotype" w:hAnsi="Palatino Linotype" w:cs="Palatino Linotype"/>
          <w:sz w:val="22"/>
          <w:szCs w:val="22"/>
        </w:rPr>
      </w:pPr>
      <w:r w:rsidRPr="00095A2C">
        <w:rPr>
          <w:rFonts w:ascii="Palatino Linotype" w:eastAsia="Palatino Linotype" w:hAnsi="Palatino Linotype" w:cs="Palatino Linotype"/>
          <w:sz w:val="22"/>
          <w:szCs w:val="22"/>
        </w:rPr>
        <w:t xml:space="preserve">De lo anteriormente citado, es dable afirmar que el </w:t>
      </w:r>
      <w:r w:rsidRPr="00095A2C">
        <w:rPr>
          <w:rFonts w:ascii="Palatino Linotype" w:eastAsia="Palatino Linotype" w:hAnsi="Palatino Linotype" w:cs="Palatino Linotype"/>
          <w:b/>
          <w:sz w:val="22"/>
          <w:szCs w:val="22"/>
        </w:rPr>
        <w:t>Sujeto Obligado</w:t>
      </w:r>
      <w:r w:rsidRPr="00095A2C">
        <w:rPr>
          <w:rFonts w:ascii="Palatino Linotype" w:eastAsia="Palatino Linotype" w:hAnsi="Palatino Linotype" w:cs="Palatino Linotype"/>
          <w:sz w:val="22"/>
          <w:szCs w:val="22"/>
        </w:rPr>
        <w:t xml:space="preserve"> cumplió con el procedimiento de búsqueda, toda vez que turnó el presente requerimiento de información a la Contraloría Municipal que es el área del que requiere la información el particular, por consiguiente, </w:t>
      </w:r>
      <w:r w:rsidR="007820D7" w:rsidRPr="00095A2C">
        <w:rPr>
          <w:rFonts w:ascii="Palatino Linotype" w:eastAsia="Palatino Linotype" w:hAnsi="Palatino Linotype" w:cs="Palatino Linotype"/>
          <w:sz w:val="22"/>
          <w:szCs w:val="22"/>
        </w:rPr>
        <w:t xml:space="preserve">en el presente asunto obra un pronunciamiento de la unidad administrativa competente, por lo que se determina que el </w:t>
      </w:r>
      <w:r w:rsidR="007820D7" w:rsidRPr="00095A2C">
        <w:rPr>
          <w:rFonts w:ascii="Palatino Linotype" w:eastAsia="Palatino Linotype" w:hAnsi="Palatino Linotype" w:cs="Palatino Linotype"/>
          <w:b/>
          <w:sz w:val="22"/>
          <w:szCs w:val="22"/>
        </w:rPr>
        <w:t>Sujeto Obligado</w:t>
      </w:r>
      <w:r w:rsidR="007820D7" w:rsidRPr="00095A2C">
        <w:rPr>
          <w:rFonts w:ascii="Palatino Linotype" w:eastAsia="Palatino Linotype" w:hAnsi="Palatino Linotype" w:cs="Palatino Linotype"/>
          <w:sz w:val="22"/>
          <w:szCs w:val="22"/>
        </w:rPr>
        <w:t xml:space="preserve"> siguió el procedimiento establecido por el artículo 162 de la Ley de Transparencia y Acceso a la Información Pública del Estado de México y Municipios, ya que turnó la solicitud al área en la que podría obrar la información de conformidad con la fracción XXXIX del artículo tercero de la legislación local vigente en materia de transparencia: </w:t>
      </w:r>
    </w:p>
    <w:p w14:paraId="115E7509" w14:textId="77777777" w:rsidR="007820D7" w:rsidRPr="00095A2C" w:rsidRDefault="007820D7" w:rsidP="007820D7"/>
    <w:p w14:paraId="6FBC94F0" w14:textId="77777777" w:rsidR="007820D7" w:rsidRPr="00095A2C" w:rsidRDefault="007820D7" w:rsidP="007820D7">
      <w:pPr>
        <w:pBdr>
          <w:top w:val="nil"/>
          <w:left w:val="nil"/>
          <w:bottom w:val="nil"/>
          <w:right w:val="nil"/>
          <w:between w:val="nil"/>
        </w:pBdr>
        <w:ind w:left="864" w:right="864"/>
        <w:jc w:val="both"/>
      </w:pPr>
      <w:r w:rsidRPr="00095A2C">
        <w:rPr>
          <w:rFonts w:ascii="Palatino Linotype" w:eastAsia="Palatino Linotype" w:hAnsi="Palatino Linotype" w:cs="Palatino Linotype"/>
          <w:i/>
          <w:sz w:val="22"/>
          <w:szCs w:val="22"/>
        </w:rPr>
        <w:t>XXXIX. Servidor público habilitado: Persona encargada dentro de las diversas unidades administrativas o áreas del sujeto obligado, de apoyar, gestionar y entregar la información o datos personales que se ubiquen en la misma, a sus respectivas unidades de transparencia; respecto de las solicitudes presentadas y aportar en primera instancia el fundamento y motivación de la clasificación de la información. </w:t>
      </w:r>
    </w:p>
    <w:p w14:paraId="30AA9DA5" w14:textId="77777777" w:rsidR="007820D7" w:rsidRPr="00095A2C" w:rsidRDefault="007820D7" w:rsidP="007820D7"/>
    <w:p w14:paraId="1C6E907F" w14:textId="77777777" w:rsidR="007820D7" w:rsidRPr="00095A2C" w:rsidRDefault="007820D7" w:rsidP="007820D7">
      <w:pPr>
        <w:pBdr>
          <w:top w:val="nil"/>
          <w:left w:val="nil"/>
          <w:bottom w:val="nil"/>
          <w:right w:val="nil"/>
          <w:between w:val="nil"/>
        </w:pBdr>
        <w:shd w:val="clear" w:color="auto" w:fill="FFFFFF"/>
        <w:spacing w:line="360" w:lineRule="auto"/>
        <w:jc w:val="both"/>
        <w:rPr>
          <w:sz w:val="22"/>
          <w:szCs w:val="22"/>
        </w:rPr>
      </w:pPr>
      <w:r w:rsidRPr="00095A2C">
        <w:rPr>
          <w:rFonts w:ascii="Palatino Linotype" w:eastAsia="Palatino Linotype" w:hAnsi="Palatino Linotype" w:cs="Palatino Linotype"/>
          <w:sz w:val="22"/>
          <w:szCs w:val="22"/>
        </w:rPr>
        <w:t>En este orden de ideas, se advierte que efectivamente la Unidad de Transparencia cumplió con lo expresado en el artículo 162 de la Ley de Transparencia y Acceso a la Información Pública del Estado de México y Municipios, el cual menciona lo siguiente:</w:t>
      </w:r>
    </w:p>
    <w:p w14:paraId="58AA0B89" w14:textId="77777777" w:rsidR="007820D7" w:rsidRPr="00095A2C" w:rsidRDefault="007820D7" w:rsidP="007820D7"/>
    <w:p w14:paraId="0E8977D7" w14:textId="77777777" w:rsidR="007820D7" w:rsidRPr="00095A2C" w:rsidRDefault="007820D7" w:rsidP="007820D7">
      <w:pPr>
        <w:pBdr>
          <w:top w:val="nil"/>
          <w:left w:val="nil"/>
          <w:bottom w:val="nil"/>
          <w:right w:val="nil"/>
          <w:between w:val="nil"/>
        </w:pBdr>
        <w:ind w:left="864" w:right="864"/>
        <w:jc w:val="both"/>
      </w:pPr>
      <w:r w:rsidRPr="00095A2C">
        <w:rPr>
          <w:rFonts w:ascii="Palatino Linotype" w:eastAsia="Palatino Linotype" w:hAnsi="Palatino Linotype" w:cs="Palatino Linotype"/>
          <w:i/>
          <w:sz w:val="22"/>
          <w:szCs w:val="22"/>
        </w:rPr>
        <w:lastRenderedPageBreak/>
        <w:t xml:space="preserve">“Artículo 162. Las unidades de transparencia deberán garantizar que las solicitudes </w:t>
      </w:r>
      <w:r w:rsidRPr="00095A2C">
        <w:rPr>
          <w:rFonts w:ascii="Palatino Linotype" w:eastAsia="Palatino Linotype" w:hAnsi="Palatino Linotype" w:cs="Palatino Linotype"/>
          <w:b/>
          <w:i/>
          <w:sz w:val="22"/>
          <w:szCs w:val="22"/>
        </w:rPr>
        <w:t xml:space="preserve">se turnen a todas las Áreas competentes </w:t>
      </w:r>
      <w:r w:rsidRPr="00095A2C">
        <w:rPr>
          <w:rFonts w:ascii="Palatino Linotype" w:eastAsia="Palatino Linotype" w:hAnsi="Palatino Linotype" w:cs="Palatino Linotype"/>
          <w:i/>
          <w:sz w:val="22"/>
          <w:szCs w:val="22"/>
        </w:rPr>
        <w:t>que cuenten con la información o deban tenerla de acuerdo a sus facultades, competencias y funciones, con el objeto de que realicen una búsqueda exhaustiva y razonable de la información solicitada.”</w:t>
      </w:r>
    </w:p>
    <w:p w14:paraId="4AC72A41" w14:textId="77777777" w:rsidR="007820D7" w:rsidRPr="00095A2C" w:rsidRDefault="00B2302A">
      <w:pPr>
        <w:spacing w:before="240" w:after="240" w:line="360" w:lineRule="auto"/>
        <w:jc w:val="both"/>
        <w:rPr>
          <w:rFonts w:ascii="Palatino Linotype" w:eastAsia="Palatino Linotype" w:hAnsi="Palatino Linotype" w:cs="Palatino Linotype"/>
          <w:sz w:val="22"/>
          <w:szCs w:val="22"/>
        </w:rPr>
      </w:pPr>
      <w:r w:rsidRPr="00095A2C">
        <w:rPr>
          <w:rFonts w:ascii="Palatino Linotype" w:eastAsia="Palatino Linotype" w:hAnsi="Palatino Linotype" w:cs="Palatino Linotype"/>
          <w:sz w:val="22"/>
          <w:szCs w:val="22"/>
        </w:rPr>
        <w:t xml:space="preserve">Bajo otra línea de pensamiento tenemos que en una aproximación inicial a la respuesta, visualizamos que el </w:t>
      </w:r>
      <w:r w:rsidRPr="00095A2C">
        <w:rPr>
          <w:rFonts w:ascii="Palatino Linotype" w:eastAsia="Palatino Linotype" w:hAnsi="Palatino Linotype" w:cs="Palatino Linotype"/>
          <w:b/>
          <w:sz w:val="22"/>
          <w:szCs w:val="22"/>
        </w:rPr>
        <w:t>Sujeto Obligado</w:t>
      </w:r>
      <w:r w:rsidRPr="00095A2C">
        <w:rPr>
          <w:rFonts w:ascii="Palatino Linotype" w:eastAsia="Palatino Linotype" w:hAnsi="Palatino Linotype" w:cs="Palatino Linotype"/>
          <w:sz w:val="22"/>
          <w:szCs w:val="22"/>
        </w:rPr>
        <w:t xml:space="preserve"> remitió una relación de los oficios firmados por la Contraloría Municipal en el mes de enero de 2024, tal como se desprende de la siguiente ilustración:</w:t>
      </w:r>
    </w:p>
    <w:p w14:paraId="55ACCD76" w14:textId="77777777" w:rsidR="00B2302A" w:rsidRPr="00095A2C" w:rsidRDefault="0095682B" w:rsidP="00277685">
      <w:pPr>
        <w:spacing w:before="240" w:after="240" w:line="360" w:lineRule="auto"/>
        <w:jc w:val="center"/>
        <w:rPr>
          <w:rFonts w:ascii="Palatino Linotype" w:eastAsia="Palatino Linotype" w:hAnsi="Palatino Linotype" w:cs="Palatino Linotype"/>
          <w:sz w:val="22"/>
          <w:szCs w:val="22"/>
        </w:rPr>
      </w:pPr>
      <w:r w:rsidRPr="00095A2C">
        <w:rPr>
          <w:rFonts w:ascii="Palatino Linotype" w:eastAsia="Palatino Linotype" w:hAnsi="Palatino Linotype" w:cs="Palatino Linotype"/>
          <w:noProof/>
          <w:sz w:val="22"/>
          <w:szCs w:val="22"/>
        </w:rPr>
        <w:drawing>
          <wp:anchor distT="0" distB="0" distL="114300" distR="114300" simplePos="0" relativeHeight="251659264" behindDoc="0" locked="0" layoutInCell="1" allowOverlap="1" wp14:anchorId="4591F4A3" wp14:editId="0B62F6AC">
            <wp:simplePos x="0" y="0"/>
            <wp:positionH relativeFrom="margin">
              <wp:posOffset>255270</wp:posOffset>
            </wp:positionH>
            <wp:positionV relativeFrom="paragraph">
              <wp:posOffset>539750</wp:posOffset>
            </wp:positionV>
            <wp:extent cx="5153025" cy="1549400"/>
            <wp:effectExtent l="19050" t="19050" r="28575" b="12700"/>
            <wp:wrapTopAndBottom/>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28A0092B-C50C-407E-A947-70E740481C1C}">
                          <a14:useLocalDpi xmlns:a14="http://schemas.microsoft.com/office/drawing/2010/main" val="0"/>
                        </a:ext>
                      </a:extLst>
                    </a:blip>
                    <a:stretch>
                      <a:fillRect/>
                    </a:stretch>
                  </pic:blipFill>
                  <pic:spPr>
                    <a:xfrm>
                      <a:off x="0" y="0"/>
                      <a:ext cx="5153025" cy="1549400"/>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r w:rsidR="00277685" w:rsidRPr="00095A2C">
        <w:rPr>
          <w:rFonts w:ascii="Palatino Linotype" w:eastAsia="Palatino Linotype" w:hAnsi="Palatino Linotype" w:cs="Palatino Linotype"/>
          <w:noProof/>
          <w:sz w:val="22"/>
          <w:szCs w:val="22"/>
        </w:rPr>
        <w:drawing>
          <wp:inline distT="0" distB="0" distL="0" distR="0" wp14:anchorId="6E9DD5B6" wp14:editId="381C8DEB">
            <wp:extent cx="5221605" cy="479149"/>
            <wp:effectExtent l="19050" t="19050" r="17145" b="1651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237637" cy="480620"/>
                    </a:xfrm>
                    <a:prstGeom prst="rect">
                      <a:avLst/>
                    </a:prstGeom>
                    <a:ln>
                      <a:solidFill>
                        <a:schemeClr val="tx1"/>
                      </a:solidFill>
                    </a:ln>
                  </pic:spPr>
                </pic:pic>
              </a:graphicData>
            </a:graphic>
          </wp:inline>
        </w:drawing>
      </w:r>
    </w:p>
    <w:p w14:paraId="1590F489" w14:textId="77777777" w:rsidR="00636A0E" w:rsidRPr="00095A2C" w:rsidRDefault="00636A0E" w:rsidP="0095682B">
      <w:pPr>
        <w:spacing w:before="240" w:after="240" w:line="360" w:lineRule="auto"/>
        <w:jc w:val="both"/>
        <w:rPr>
          <w:rFonts w:ascii="Palatino Linotype" w:eastAsia="Palatino Linotype" w:hAnsi="Palatino Linotype" w:cs="Palatino Linotype"/>
          <w:sz w:val="22"/>
          <w:szCs w:val="22"/>
        </w:rPr>
      </w:pPr>
    </w:p>
    <w:p w14:paraId="7E2329DF" w14:textId="69E89DE4" w:rsidR="00636A0E" w:rsidRPr="00095A2C" w:rsidRDefault="00636A0E" w:rsidP="0095682B">
      <w:pPr>
        <w:spacing w:before="240" w:after="240" w:line="360" w:lineRule="auto"/>
        <w:jc w:val="both"/>
        <w:rPr>
          <w:rFonts w:ascii="Palatino Linotype" w:eastAsia="Palatino Linotype" w:hAnsi="Palatino Linotype" w:cs="Palatino Linotype"/>
          <w:sz w:val="22"/>
          <w:szCs w:val="22"/>
        </w:rPr>
      </w:pPr>
      <w:r w:rsidRPr="00095A2C">
        <w:rPr>
          <w:rFonts w:ascii="Palatino Linotype" w:eastAsia="Palatino Linotype" w:hAnsi="Palatino Linotype" w:cs="Palatino Linotype"/>
          <w:sz w:val="22"/>
          <w:szCs w:val="22"/>
        </w:rPr>
        <w:t>Cabe señalar que en la relación de oficios previamente insertada, se aprecian aquellos que si fueron notificados a su destinatario y aquellos que fueron cancelados:</w:t>
      </w:r>
    </w:p>
    <w:p w14:paraId="7501F439" w14:textId="16A3B102" w:rsidR="00636A0E" w:rsidRPr="00095A2C" w:rsidRDefault="00636A0E" w:rsidP="0095682B">
      <w:pPr>
        <w:spacing w:before="240" w:after="240" w:line="360" w:lineRule="auto"/>
        <w:jc w:val="both"/>
        <w:rPr>
          <w:rFonts w:ascii="Palatino Linotype" w:eastAsia="Palatino Linotype" w:hAnsi="Palatino Linotype" w:cs="Palatino Linotype"/>
          <w:sz w:val="22"/>
          <w:szCs w:val="22"/>
        </w:rPr>
      </w:pPr>
      <w:r w:rsidRPr="00095A2C">
        <w:rPr>
          <w:rFonts w:ascii="Palatino Linotype" w:eastAsia="Palatino Linotype" w:hAnsi="Palatino Linotype" w:cs="Palatino Linotype"/>
          <w:noProof/>
          <w:sz w:val="22"/>
          <w:szCs w:val="22"/>
        </w:rPr>
        <w:drawing>
          <wp:inline distT="0" distB="0" distL="0" distR="0" wp14:anchorId="20CA4A35" wp14:editId="0F14CC26">
            <wp:extent cx="5612130" cy="992505"/>
            <wp:effectExtent l="19050" t="19050" r="26670" b="1714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612130" cy="992505"/>
                    </a:xfrm>
                    <a:prstGeom prst="rect">
                      <a:avLst/>
                    </a:prstGeom>
                    <a:ln>
                      <a:solidFill>
                        <a:schemeClr val="tx1"/>
                      </a:solidFill>
                    </a:ln>
                  </pic:spPr>
                </pic:pic>
              </a:graphicData>
            </a:graphic>
          </wp:inline>
        </w:drawing>
      </w:r>
    </w:p>
    <w:p w14:paraId="67032158" w14:textId="531AD446" w:rsidR="00636A0E" w:rsidRPr="00095A2C" w:rsidRDefault="00636A0E" w:rsidP="0095682B">
      <w:pPr>
        <w:spacing w:before="240" w:after="240" w:line="360" w:lineRule="auto"/>
        <w:jc w:val="both"/>
        <w:rPr>
          <w:rFonts w:ascii="Palatino Linotype" w:eastAsia="Palatino Linotype" w:hAnsi="Palatino Linotype" w:cs="Palatino Linotype"/>
          <w:sz w:val="22"/>
          <w:szCs w:val="22"/>
        </w:rPr>
      </w:pPr>
      <w:r w:rsidRPr="00095A2C">
        <w:rPr>
          <w:rFonts w:ascii="Palatino Linotype" w:eastAsia="Palatino Linotype" w:hAnsi="Palatino Linotype" w:cs="Palatino Linotype"/>
          <w:sz w:val="22"/>
          <w:szCs w:val="22"/>
        </w:rPr>
        <w:t xml:space="preserve">Por consiguiente, al momento de dar cumplimiento a la presente determinación, el </w:t>
      </w:r>
      <w:r w:rsidRPr="00095A2C">
        <w:rPr>
          <w:rFonts w:ascii="Palatino Linotype" w:eastAsia="Palatino Linotype" w:hAnsi="Palatino Linotype" w:cs="Palatino Linotype"/>
          <w:b/>
          <w:sz w:val="22"/>
          <w:szCs w:val="22"/>
        </w:rPr>
        <w:t xml:space="preserve">Sujeto Obligado </w:t>
      </w:r>
      <w:r w:rsidRPr="00095A2C">
        <w:rPr>
          <w:rFonts w:ascii="Palatino Linotype" w:eastAsia="Palatino Linotype" w:hAnsi="Palatino Linotype" w:cs="Palatino Linotype"/>
          <w:sz w:val="22"/>
          <w:szCs w:val="22"/>
        </w:rPr>
        <w:t>únicamente deberá hacer entrega de aquellos oficios que no fueron cancelados.</w:t>
      </w:r>
    </w:p>
    <w:p w14:paraId="4C9FBE72" w14:textId="77777777" w:rsidR="00B2302A" w:rsidRPr="00095A2C" w:rsidRDefault="0095682B" w:rsidP="0095682B">
      <w:pPr>
        <w:spacing w:before="240" w:after="240" w:line="360" w:lineRule="auto"/>
        <w:jc w:val="both"/>
        <w:rPr>
          <w:rFonts w:ascii="Palatino Linotype" w:eastAsia="Palatino Linotype" w:hAnsi="Palatino Linotype" w:cs="Palatino Linotype"/>
          <w:b/>
          <w:sz w:val="22"/>
          <w:szCs w:val="22"/>
        </w:rPr>
      </w:pPr>
      <w:r w:rsidRPr="00095A2C">
        <w:rPr>
          <w:rFonts w:ascii="Palatino Linotype" w:eastAsia="Palatino Linotype" w:hAnsi="Palatino Linotype" w:cs="Palatino Linotype"/>
          <w:sz w:val="22"/>
          <w:szCs w:val="22"/>
        </w:rPr>
        <w:lastRenderedPageBreak/>
        <w:t xml:space="preserve">En tal tesitura, </w:t>
      </w:r>
      <w:r w:rsidR="00B2302A" w:rsidRPr="00095A2C">
        <w:rPr>
          <w:rFonts w:ascii="Palatino Linotype" w:eastAsia="Palatino Linotype" w:hAnsi="Palatino Linotype" w:cs="Palatino Linotype"/>
          <w:sz w:val="22"/>
          <w:szCs w:val="22"/>
        </w:rPr>
        <w:t xml:space="preserve">a juicio de este Organismo Garante, se aprecia que la respuesta proporcionada por el </w:t>
      </w:r>
      <w:r w:rsidR="00B2302A" w:rsidRPr="00095A2C">
        <w:rPr>
          <w:rFonts w:ascii="Palatino Linotype" w:eastAsia="Palatino Linotype" w:hAnsi="Palatino Linotype" w:cs="Palatino Linotype"/>
          <w:b/>
          <w:sz w:val="22"/>
          <w:szCs w:val="22"/>
        </w:rPr>
        <w:t>Sujeto Obligado</w:t>
      </w:r>
      <w:r w:rsidR="00B2302A" w:rsidRPr="00095A2C">
        <w:rPr>
          <w:rFonts w:ascii="Palatino Linotype" w:eastAsia="Palatino Linotype" w:hAnsi="Palatino Linotype" w:cs="Palatino Linotype"/>
          <w:sz w:val="22"/>
          <w:szCs w:val="22"/>
        </w:rPr>
        <w:t xml:space="preserve"> carece de congruencia y exhaustividad</w:t>
      </w:r>
      <w:r w:rsidR="00B2302A" w:rsidRPr="00095A2C">
        <w:rPr>
          <w:rFonts w:ascii="Palatino Linotype" w:eastAsia="Palatino Linotype" w:hAnsi="Palatino Linotype" w:cs="Palatino Linotype"/>
          <w:b/>
          <w:sz w:val="22"/>
          <w:szCs w:val="22"/>
        </w:rPr>
        <w:t xml:space="preserve">, </w:t>
      </w:r>
      <w:r w:rsidR="00B2302A" w:rsidRPr="00095A2C">
        <w:rPr>
          <w:rFonts w:ascii="Palatino Linotype" w:eastAsia="Palatino Linotype" w:hAnsi="Palatino Linotype" w:cs="Palatino Linotype"/>
          <w:sz w:val="22"/>
          <w:szCs w:val="22"/>
        </w:rPr>
        <w:t>toda vez que</w:t>
      </w:r>
      <w:r w:rsidR="00B2302A" w:rsidRPr="00095A2C">
        <w:rPr>
          <w:rFonts w:ascii="Palatino Linotype" w:eastAsia="Palatino Linotype" w:hAnsi="Palatino Linotype" w:cs="Palatino Linotype"/>
          <w:b/>
          <w:sz w:val="22"/>
          <w:szCs w:val="22"/>
        </w:rPr>
        <w:t xml:space="preserve"> </w:t>
      </w:r>
      <w:r w:rsidRPr="00095A2C">
        <w:rPr>
          <w:rFonts w:ascii="Palatino Linotype" w:eastAsia="Palatino Linotype" w:hAnsi="Palatino Linotype" w:cs="Palatino Linotype"/>
          <w:b/>
          <w:sz w:val="22"/>
          <w:szCs w:val="22"/>
        </w:rPr>
        <w:t xml:space="preserve">el listado proporcionado en respuesta no da cuenta de lo solicitado que son los oficios en sí, </w:t>
      </w:r>
      <w:r w:rsidR="00B2302A" w:rsidRPr="00095A2C">
        <w:rPr>
          <w:rFonts w:ascii="Palatino Linotype" w:eastAsia="Palatino Linotype" w:hAnsi="Palatino Linotype" w:cs="Palatino Linotype"/>
          <w:sz w:val="22"/>
          <w:szCs w:val="22"/>
        </w:rPr>
        <w:t xml:space="preserve">por ello se estima que el </w:t>
      </w:r>
      <w:r w:rsidR="00B2302A" w:rsidRPr="00095A2C">
        <w:rPr>
          <w:rFonts w:ascii="Palatino Linotype" w:eastAsia="Palatino Linotype" w:hAnsi="Palatino Linotype" w:cs="Palatino Linotype"/>
          <w:b/>
          <w:sz w:val="22"/>
          <w:szCs w:val="22"/>
        </w:rPr>
        <w:t>Sujeto Obligado</w:t>
      </w:r>
      <w:r w:rsidR="00B2302A" w:rsidRPr="00095A2C">
        <w:rPr>
          <w:rFonts w:ascii="Palatino Linotype" w:eastAsia="Palatino Linotype" w:hAnsi="Palatino Linotype" w:cs="Palatino Linotype"/>
          <w:sz w:val="22"/>
          <w:szCs w:val="22"/>
        </w:rPr>
        <w:t xml:space="preserve"> no observó lo que dispone el Criterio 02/2017 emitido por el Instituto Nacional de Transparencia, Acceso a la Información y Protección de Datos Personales se establece que: </w:t>
      </w:r>
    </w:p>
    <w:p w14:paraId="2759FA6D" w14:textId="77777777" w:rsidR="00B2302A" w:rsidRPr="00095A2C" w:rsidRDefault="00B2302A" w:rsidP="00B2302A">
      <w:pPr>
        <w:pBdr>
          <w:top w:val="nil"/>
          <w:left w:val="nil"/>
          <w:bottom w:val="nil"/>
          <w:right w:val="nil"/>
          <w:between w:val="nil"/>
        </w:pBdr>
        <w:shd w:val="clear" w:color="auto" w:fill="FFFFFF"/>
        <w:spacing w:line="276" w:lineRule="auto"/>
        <w:ind w:left="567" w:right="1134"/>
        <w:jc w:val="both"/>
      </w:pPr>
      <w:r w:rsidRPr="00095A2C">
        <w:rPr>
          <w:rFonts w:ascii="Palatino Linotype" w:eastAsia="Palatino Linotype" w:hAnsi="Palatino Linotype" w:cs="Palatino Linotype"/>
          <w:b/>
          <w:i/>
          <w:sz w:val="22"/>
          <w:szCs w:val="22"/>
        </w:rPr>
        <w:t xml:space="preserve">“Congruencia y exhaustividad. Sus alcances para garantizar el derecho de acceso a la información. </w:t>
      </w:r>
      <w:r w:rsidRPr="00095A2C">
        <w:rPr>
          <w:rFonts w:ascii="Palatino Linotype" w:eastAsia="Palatino Linotype" w:hAnsi="Palatino Linotype" w:cs="Palatino Linotype"/>
          <w:i/>
          <w:sz w:val="22"/>
          <w:szCs w:val="22"/>
        </w:rPr>
        <w:t>De conformidad con el artículo 3 de la Ley Federal de Procedimiento Administrativo, de aplicación supletoria a la Ley Federal de Transparencia y Acceso a la Información Pública, en términos de su artículo 7; todo acto administrativo debe cumplir con los principios de congruencia y exhaustividad. Para el efectivo ejercicio del derecho de acceso a la información, la congruencia implica que exista concordancia entre el requerimiento formulado por el particular y la respuesta proporcionada por el sujeto obligado; mientras que la exhaustividad significa que dicha respuesta se refiera expresamente a cada uno de los puntos solicitados. Por lo anterior, los sujetos obligados cumplirán con los principios de congruencia y exhaustividad, cuando las respuestas que emitan guarden una relación lógica con lo solicitado y atiendan de manera puntual y expresa, cada uno de los contenidos de información.”</w:t>
      </w:r>
    </w:p>
    <w:p w14:paraId="41E8E75D" w14:textId="77777777" w:rsidR="00B2302A" w:rsidRPr="00095A2C" w:rsidRDefault="00B2302A" w:rsidP="00B2302A">
      <w:pPr>
        <w:pBdr>
          <w:top w:val="nil"/>
          <w:left w:val="nil"/>
          <w:bottom w:val="nil"/>
          <w:right w:val="nil"/>
          <w:between w:val="nil"/>
        </w:pBdr>
        <w:shd w:val="clear" w:color="auto" w:fill="FFFFFF"/>
        <w:ind w:right="49"/>
        <w:jc w:val="both"/>
      </w:pPr>
    </w:p>
    <w:p w14:paraId="1F00A45E" w14:textId="72FC8A07" w:rsidR="0095682B" w:rsidRPr="00095A2C" w:rsidRDefault="00B2302A" w:rsidP="00B2302A">
      <w:pPr>
        <w:pBdr>
          <w:top w:val="nil"/>
          <w:left w:val="nil"/>
          <w:bottom w:val="nil"/>
          <w:right w:val="nil"/>
          <w:between w:val="nil"/>
        </w:pBdr>
        <w:shd w:val="clear" w:color="auto" w:fill="FFFFFF"/>
        <w:spacing w:line="360" w:lineRule="auto"/>
        <w:ind w:right="-150"/>
        <w:jc w:val="both"/>
        <w:rPr>
          <w:rFonts w:ascii="Palatino Linotype" w:eastAsia="Palatino Linotype" w:hAnsi="Palatino Linotype" w:cs="Palatino Linotype"/>
          <w:sz w:val="22"/>
          <w:szCs w:val="22"/>
        </w:rPr>
      </w:pPr>
      <w:r w:rsidRPr="00095A2C">
        <w:rPr>
          <w:rFonts w:ascii="Palatino Linotype" w:eastAsia="Palatino Linotype" w:hAnsi="Palatino Linotype" w:cs="Palatino Linotype"/>
          <w:sz w:val="22"/>
          <w:szCs w:val="22"/>
        </w:rPr>
        <w:t xml:space="preserve">Es así, que los sujetos obligados para garantizar el derecho de acceso a la Información, deberán cumplir con los principios de exhaustividad y congruencia, esto es, que la congruencia </w:t>
      </w:r>
      <w:r w:rsidRPr="00095A2C">
        <w:rPr>
          <w:rFonts w:ascii="Palatino Linotype" w:eastAsia="Palatino Linotype" w:hAnsi="Palatino Linotype" w:cs="Palatino Linotype"/>
          <w:b/>
          <w:sz w:val="22"/>
          <w:szCs w:val="22"/>
        </w:rPr>
        <w:t>implica que exista concordancia entre el requerimiento formulado por el particular y la respuesta proporcionada por el sujeto obligado</w:t>
      </w:r>
      <w:r w:rsidRPr="00095A2C">
        <w:rPr>
          <w:rFonts w:ascii="Palatino Linotype" w:eastAsia="Palatino Linotype" w:hAnsi="Palatino Linotype" w:cs="Palatino Linotype"/>
          <w:sz w:val="22"/>
          <w:szCs w:val="22"/>
        </w:rPr>
        <w:t xml:space="preserve">, mientras que la exhaustividad establece que el sujeto obligado </w:t>
      </w:r>
      <w:r w:rsidRPr="00095A2C">
        <w:rPr>
          <w:rFonts w:ascii="Palatino Linotype" w:eastAsia="Palatino Linotype" w:hAnsi="Palatino Linotype" w:cs="Palatino Linotype"/>
          <w:b/>
          <w:sz w:val="22"/>
          <w:szCs w:val="22"/>
        </w:rPr>
        <w:t>deberá atender de manera expresa cada uno de los puntos solicitados</w:t>
      </w:r>
      <w:r w:rsidRPr="00095A2C">
        <w:rPr>
          <w:rFonts w:ascii="Palatino Linotype" w:eastAsia="Palatino Linotype" w:hAnsi="Palatino Linotype" w:cs="Palatino Linotype"/>
          <w:sz w:val="22"/>
          <w:szCs w:val="22"/>
        </w:rPr>
        <w:t xml:space="preserve">, situación que en el presente caso </w:t>
      </w:r>
      <w:r w:rsidRPr="00095A2C">
        <w:rPr>
          <w:rFonts w:ascii="Palatino Linotype" w:eastAsia="Palatino Linotype" w:hAnsi="Palatino Linotype" w:cs="Palatino Linotype"/>
          <w:b/>
          <w:sz w:val="22"/>
          <w:szCs w:val="22"/>
          <w:u w:val="single"/>
        </w:rPr>
        <w:t>no aconteció</w:t>
      </w:r>
      <w:r w:rsidRPr="00095A2C">
        <w:rPr>
          <w:rFonts w:ascii="Palatino Linotype" w:eastAsia="Palatino Linotype" w:hAnsi="Palatino Linotype" w:cs="Palatino Linotype"/>
          <w:sz w:val="22"/>
          <w:szCs w:val="22"/>
        </w:rPr>
        <w:t xml:space="preserve">, pues el </w:t>
      </w:r>
      <w:r w:rsidRPr="00095A2C">
        <w:rPr>
          <w:rFonts w:ascii="Palatino Linotype" w:eastAsia="Palatino Linotype" w:hAnsi="Palatino Linotype" w:cs="Palatino Linotype"/>
          <w:b/>
          <w:sz w:val="22"/>
          <w:szCs w:val="22"/>
        </w:rPr>
        <w:t>Sujeto Obligado</w:t>
      </w:r>
      <w:r w:rsidRPr="00095A2C">
        <w:rPr>
          <w:rFonts w:ascii="Palatino Linotype" w:eastAsia="Palatino Linotype" w:hAnsi="Palatino Linotype" w:cs="Palatino Linotype"/>
          <w:sz w:val="22"/>
          <w:szCs w:val="22"/>
        </w:rPr>
        <w:t xml:space="preserve"> no fue congruente en proporcionar</w:t>
      </w:r>
      <w:r w:rsidR="0095682B" w:rsidRPr="00095A2C">
        <w:rPr>
          <w:rFonts w:ascii="Palatino Linotype" w:eastAsia="Palatino Linotype" w:hAnsi="Palatino Linotype" w:cs="Palatino Linotype"/>
          <w:sz w:val="22"/>
          <w:szCs w:val="22"/>
        </w:rPr>
        <w:t xml:space="preserve"> los oficios signados por la persona titular de la Contraloría Municipal durante el mes de enero de 2024, por consiguiente para dar cumplimiento a la presente determinación, de</w:t>
      </w:r>
      <w:r w:rsidR="00636A0E" w:rsidRPr="00095A2C">
        <w:rPr>
          <w:rFonts w:ascii="Palatino Linotype" w:eastAsia="Palatino Linotype" w:hAnsi="Palatino Linotype" w:cs="Palatino Linotype"/>
          <w:sz w:val="22"/>
          <w:szCs w:val="22"/>
        </w:rPr>
        <w:t xml:space="preserve">berá hacer entrega de los oficios que señaló en </w:t>
      </w:r>
      <w:r w:rsidR="00636A0E" w:rsidRPr="00095A2C">
        <w:rPr>
          <w:rFonts w:ascii="Palatino Linotype" w:eastAsia="Palatino Linotype" w:hAnsi="Palatino Linotype" w:cs="Palatino Linotype"/>
          <w:sz w:val="22"/>
          <w:szCs w:val="22"/>
        </w:rPr>
        <w:lastRenderedPageBreak/>
        <w:t>el listado remitido en respuesta que no fueron cancelados,</w:t>
      </w:r>
      <w:r w:rsidR="0095682B" w:rsidRPr="00095A2C">
        <w:rPr>
          <w:rFonts w:ascii="Palatino Linotype" w:eastAsia="Palatino Linotype" w:hAnsi="Palatino Linotype" w:cs="Palatino Linotype"/>
          <w:sz w:val="22"/>
          <w:szCs w:val="22"/>
        </w:rPr>
        <w:t xml:space="preserve"> en versión pública de ser procedente, ello conforme a lo dispuesto por el considerando quinto.</w:t>
      </w:r>
    </w:p>
    <w:p w14:paraId="44131015" w14:textId="77777777" w:rsidR="00295EC0" w:rsidRPr="00095A2C" w:rsidRDefault="00295EC0" w:rsidP="00295EC0">
      <w:pPr>
        <w:keepNext/>
        <w:keepLines/>
        <w:spacing w:line="360" w:lineRule="auto"/>
        <w:ind w:right="48"/>
        <w:outlineLvl w:val="0"/>
        <w:rPr>
          <w:rFonts w:ascii="Palatino Linotype" w:eastAsia="Palatino Linotype" w:hAnsi="Palatino Linotype" w:cs="Palatino Linotype"/>
          <w:sz w:val="22"/>
          <w:szCs w:val="22"/>
        </w:rPr>
      </w:pPr>
    </w:p>
    <w:p w14:paraId="33546C7D" w14:textId="68B54E3F" w:rsidR="00295EC0" w:rsidRPr="00095A2C" w:rsidRDefault="00295EC0" w:rsidP="00295EC0">
      <w:pPr>
        <w:pStyle w:val="Prrafodelista"/>
        <w:keepNext/>
        <w:keepLines/>
        <w:numPr>
          <w:ilvl w:val="0"/>
          <w:numId w:val="20"/>
        </w:numPr>
        <w:spacing w:line="360" w:lineRule="auto"/>
        <w:ind w:right="48"/>
        <w:outlineLvl w:val="0"/>
        <w:rPr>
          <w:rFonts w:ascii="Palatino Linotype" w:eastAsia="Palatino Linotype" w:hAnsi="Palatino Linotype" w:cs="Palatino Linotype"/>
          <w:b/>
          <w:sz w:val="22"/>
          <w:szCs w:val="22"/>
        </w:rPr>
      </w:pPr>
      <w:r w:rsidRPr="00095A2C">
        <w:rPr>
          <w:rFonts w:ascii="Palatino Linotype" w:hAnsi="Palatino Linotype"/>
          <w:b/>
          <w:sz w:val="22"/>
          <w:szCs w:val="22"/>
        </w:rPr>
        <w:t>De la Vista a la Dirección de Protección de Datos Personales.</w:t>
      </w:r>
    </w:p>
    <w:p w14:paraId="48D2CB08" w14:textId="77777777" w:rsidR="00295EC0" w:rsidRPr="00095A2C" w:rsidRDefault="00295EC0" w:rsidP="00295EC0">
      <w:pPr>
        <w:keepNext/>
        <w:keepLines/>
        <w:ind w:right="48"/>
        <w:outlineLvl w:val="0"/>
        <w:rPr>
          <w:rFonts w:ascii="Palatino Linotype" w:eastAsia="MS Gothic" w:hAnsi="Palatino Linotype" w:cstheme="majorBidi"/>
          <w:b/>
          <w:sz w:val="22"/>
          <w:szCs w:val="22"/>
          <w:lang w:val="es-ES_tradnl" w:eastAsia="es-ES"/>
        </w:rPr>
      </w:pPr>
    </w:p>
    <w:p w14:paraId="59C3C0A8" w14:textId="0E7B9459" w:rsidR="00295EC0" w:rsidRPr="00095A2C" w:rsidRDefault="00295EC0" w:rsidP="00295EC0">
      <w:pPr>
        <w:spacing w:line="360" w:lineRule="auto"/>
        <w:ind w:right="48"/>
        <w:jc w:val="both"/>
        <w:rPr>
          <w:rFonts w:ascii="Palatino Linotype" w:eastAsia="Palatino Linotype" w:hAnsi="Palatino Linotype" w:cs="Palatino Linotype"/>
          <w:sz w:val="22"/>
          <w:szCs w:val="22"/>
        </w:rPr>
      </w:pPr>
      <w:r w:rsidRPr="00095A2C">
        <w:rPr>
          <w:rFonts w:ascii="Palatino Linotype" w:eastAsia="Palatino Linotype" w:hAnsi="Palatino Linotype" w:cs="Palatino Linotype"/>
          <w:sz w:val="22"/>
          <w:szCs w:val="22"/>
        </w:rPr>
        <w:t xml:space="preserve">Ahora bien, es </w:t>
      </w:r>
      <w:r w:rsidRPr="00095A2C">
        <w:rPr>
          <w:rFonts w:ascii="Palatino Linotype" w:hAnsi="Palatino Linotype"/>
          <w:sz w:val="22"/>
          <w:szCs w:val="22"/>
        </w:rPr>
        <w:t xml:space="preserve">necesario resaltar que el recurso de revisión previsto en la Ley de la materia no es el medio para investigar y, en su caso, sancionar a servidores públicos por la falta de cuidado de la protección de datos personales; es así que, con el pronunciamiento realizado en respuesta a solicitud de información, se aprecia que se vulneraron datos personales susceptibles de ser clasificados como confidenciales, como lo fue el </w:t>
      </w:r>
      <w:r w:rsidRPr="00095A2C">
        <w:rPr>
          <w:rFonts w:ascii="Palatino Linotype" w:hAnsi="Palatino Linotype"/>
          <w:b/>
          <w:sz w:val="22"/>
          <w:szCs w:val="22"/>
        </w:rPr>
        <w:t>nombre de un particular</w:t>
      </w:r>
      <w:r w:rsidRPr="00095A2C">
        <w:rPr>
          <w:rFonts w:ascii="Palatino Linotype" w:hAnsi="Palatino Linotype"/>
          <w:sz w:val="22"/>
          <w:szCs w:val="22"/>
        </w:rPr>
        <w:t xml:space="preserve">; por lo que, es necesario dar vista al área competente para que en ejercicio de sus atribuciones realice las investigaciones pertinentes por las omisiones detectadas atribuibles al </w:t>
      </w:r>
      <w:r w:rsidRPr="00095A2C">
        <w:rPr>
          <w:rFonts w:ascii="Palatino Linotype" w:hAnsi="Palatino Linotype"/>
          <w:b/>
          <w:sz w:val="22"/>
          <w:szCs w:val="22"/>
        </w:rPr>
        <w:t>SUJETO OBLIGADO.</w:t>
      </w:r>
    </w:p>
    <w:p w14:paraId="45C2C333" w14:textId="77777777" w:rsidR="00295EC0" w:rsidRPr="00095A2C" w:rsidRDefault="00295EC0" w:rsidP="00295EC0">
      <w:pPr>
        <w:ind w:right="48"/>
        <w:jc w:val="both"/>
        <w:rPr>
          <w:rFonts w:ascii="Palatino Linotype" w:eastAsia="Palatino Linotype" w:hAnsi="Palatino Linotype" w:cs="Palatino Linotype"/>
          <w:sz w:val="22"/>
          <w:szCs w:val="22"/>
        </w:rPr>
      </w:pPr>
    </w:p>
    <w:p w14:paraId="5BC75105" w14:textId="77777777" w:rsidR="00295EC0" w:rsidRPr="00095A2C" w:rsidRDefault="00295EC0" w:rsidP="00295EC0">
      <w:pPr>
        <w:spacing w:line="360" w:lineRule="auto"/>
        <w:ind w:right="48"/>
        <w:jc w:val="both"/>
        <w:rPr>
          <w:rFonts w:ascii="Palatino Linotype" w:eastAsia="Palatino Linotype" w:hAnsi="Palatino Linotype" w:cs="Palatino Linotype"/>
          <w:sz w:val="22"/>
          <w:szCs w:val="22"/>
        </w:rPr>
      </w:pPr>
      <w:r w:rsidRPr="00095A2C">
        <w:rPr>
          <w:rFonts w:ascii="Palatino Linotype" w:hAnsi="Palatino Linotype"/>
          <w:sz w:val="22"/>
          <w:szCs w:val="22"/>
        </w:rPr>
        <w:t>Por ello, es conveniente señalar las fracciones XIV, XXII, XXIII y XXV, del artículo 82, de la Ley de Protección de Datos Personales en Posesión de Sujetos Obligados del Estado de México y Municipios, que establece:</w:t>
      </w:r>
    </w:p>
    <w:p w14:paraId="087C1053" w14:textId="77777777" w:rsidR="00295EC0" w:rsidRPr="00095A2C" w:rsidRDefault="00295EC0" w:rsidP="00295EC0">
      <w:pPr>
        <w:ind w:right="48"/>
        <w:jc w:val="both"/>
        <w:rPr>
          <w:rFonts w:ascii="Palatino Linotype" w:eastAsia="Palatino Linotype" w:hAnsi="Palatino Linotype" w:cs="Palatino Linotype"/>
          <w:sz w:val="22"/>
          <w:szCs w:val="22"/>
        </w:rPr>
      </w:pPr>
    </w:p>
    <w:p w14:paraId="1A8AFC06" w14:textId="77777777" w:rsidR="00295EC0" w:rsidRPr="00095A2C" w:rsidRDefault="00295EC0" w:rsidP="00295EC0">
      <w:pPr>
        <w:pStyle w:val="Prrafodelista"/>
        <w:tabs>
          <w:tab w:val="left" w:pos="426"/>
        </w:tabs>
        <w:spacing w:before="240" w:after="240"/>
        <w:ind w:left="567" w:right="539"/>
        <w:jc w:val="both"/>
        <w:rPr>
          <w:rFonts w:ascii="Palatino Linotype" w:hAnsi="Palatino Linotype"/>
          <w:b/>
          <w:i/>
          <w:sz w:val="22"/>
          <w:szCs w:val="22"/>
        </w:rPr>
      </w:pPr>
      <w:r w:rsidRPr="00095A2C">
        <w:rPr>
          <w:rFonts w:ascii="Palatino Linotype" w:hAnsi="Palatino Linotype"/>
          <w:b/>
          <w:i/>
          <w:sz w:val="22"/>
          <w:szCs w:val="22"/>
        </w:rPr>
        <w:t xml:space="preserve">Atribuciones del Instituto </w:t>
      </w:r>
    </w:p>
    <w:p w14:paraId="60F32AAD" w14:textId="77777777" w:rsidR="00295EC0" w:rsidRPr="00095A2C" w:rsidRDefault="00295EC0" w:rsidP="00295EC0">
      <w:pPr>
        <w:pStyle w:val="Prrafodelista"/>
        <w:tabs>
          <w:tab w:val="left" w:pos="426"/>
        </w:tabs>
        <w:spacing w:before="240" w:after="240"/>
        <w:ind w:left="567" w:right="539"/>
        <w:jc w:val="both"/>
        <w:rPr>
          <w:rFonts w:ascii="Palatino Linotype" w:hAnsi="Palatino Linotype"/>
          <w:i/>
          <w:sz w:val="22"/>
          <w:szCs w:val="22"/>
        </w:rPr>
      </w:pPr>
      <w:r w:rsidRPr="00095A2C">
        <w:rPr>
          <w:rFonts w:ascii="Palatino Linotype" w:hAnsi="Palatino Linotype"/>
          <w:b/>
          <w:i/>
          <w:sz w:val="22"/>
          <w:szCs w:val="22"/>
        </w:rPr>
        <w:t>“Artículo 82.</w:t>
      </w:r>
      <w:r w:rsidRPr="00095A2C">
        <w:rPr>
          <w:rFonts w:ascii="Palatino Linotype" w:hAnsi="Palatino Linotype"/>
          <w:i/>
          <w:sz w:val="22"/>
          <w:szCs w:val="22"/>
        </w:rPr>
        <w:t xml:space="preserve"> El Instituto, además de las atribuciones encomendadas por la Ley de Transparencia y normatividad aplicable, tendrá las atribuciones siguientes: </w:t>
      </w:r>
    </w:p>
    <w:p w14:paraId="6BB90709" w14:textId="77777777" w:rsidR="00295EC0" w:rsidRPr="00095A2C" w:rsidRDefault="00295EC0" w:rsidP="00295EC0">
      <w:pPr>
        <w:pStyle w:val="Prrafodelista"/>
        <w:tabs>
          <w:tab w:val="left" w:pos="426"/>
        </w:tabs>
        <w:spacing w:before="240" w:after="240"/>
        <w:ind w:left="567" w:right="539"/>
        <w:jc w:val="both"/>
        <w:rPr>
          <w:rFonts w:ascii="Palatino Linotype" w:hAnsi="Palatino Linotype"/>
          <w:i/>
          <w:sz w:val="22"/>
          <w:szCs w:val="22"/>
        </w:rPr>
      </w:pPr>
      <w:r w:rsidRPr="00095A2C">
        <w:rPr>
          <w:rFonts w:ascii="Palatino Linotype" w:hAnsi="Palatino Linotype"/>
          <w:i/>
          <w:sz w:val="22"/>
          <w:szCs w:val="22"/>
        </w:rPr>
        <w:t xml:space="preserve">(…) </w:t>
      </w:r>
    </w:p>
    <w:p w14:paraId="344FDC75" w14:textId="77777777" w:rsidR="00295EC0" w:rsidRPr="00095A2C" w:rsidRDefault="00295EC0" w:rsidP="00295EC0">
      <w:pPr>
        <w:pStyle w:val="Prrafodelista"/>
        <w:tabs>
          <w:tab w:val="left" w:pos="426"/>
        </w:tabs>
        <w:spacing w:before="240" w:after="240"/>
        <w:ind w:left="567" w:right="539"/>
        <w:jc w:val="both"/>
        <w:rPr>
          <w:rFonts w:ascii="Palatino Linotype" w:hAnsi="Palatino Linotype"/>
          <w:i/>
          <w:sz w:val="22"/>
          <w:szCs w:val="22"/>
        </w:rPr>
      </w:pPr>
      <w:r w:rsidRPr="00095A2C">
        <w:rPr>
          <w:rFonts w:ascii="Palatino Linotype" w:hAnsi="Palatino Linotype"/>
          <w:b/>
          <w:i/>
          <w:sz w:val="22"/>
          <w:szCs w:val="22"/>
        </w:rPr>
        <w:t>XIV. Formular observaciones y recomendaciones</w:t>
      </w:r>
      <w:r w:rsidRPr="00095A2C">
        <w:rPr>
          <w:rFonts w:ascii="Palatino Linotype" w:hAnsi="Palatino Linotype"/>
          <w:i/>
          <w:sz w:val="22"/>
          <w:szCs w:val="22"/>
        </w:rPr>
        <w:t xml:space="preserve"> a los sujetos obligados que incumplan esta Ley. </w:t>
      </w:r>
    </w:p>
    <w:p w14:paraId="76C93577" w14:textId="77777777" w:rsidR="00295EC0" w:rsidRPr="00095A2C" w:rsidRDefault="00295EC0" w:rsidP="00295EC0">
      <w:pPr>
        <w:pStyle w:val="Prrafodelista"/>
        <w:tabs>
          <w:tab w:val="left" w:pos="426"/>
        </w:tabs>
        <w:spacing w:before="240" w:after="240"/>
        <w:ind w:left="567" w:right="539"/>
        <w:jc w:val="both"/>
        <w:rPr>
          <w:rFonts w:ascii="Palatino Linotype" w:hAnsi="Palatino Linotype"/>
          <w:i/>
          <w:sz w:val="22"/>
          <w:szCs w:val="22"/>
        </w:rPr>
      </w:pPr>
      <w:r w:rsidRPr="00095A2C">
        <w:rPr>
          <w:rFonts w:ascii="Palatino Linotype" w:hAnsi="Palatino Linotype"/>
          <w:i/>
          <w:sz w:val="22"/>
          <w:szCs w:val="22"/>
        </w:rPr>
        <w:t xml:space="preserve">(…) </w:t>
      </w:r>
    </w:p>
    <w:p w14:paraId="20150294" w14:textId="77777777" w:rsidR="00295EC0" w:rsidRPr="00095A2C" w:rsidRDefault="00295EC0" w:rsidP="00295EC0">
      <w:pPr>
        <w:pStyle w:val="Prrafodelista"/>
        <w:tabs>
          <w:tab w:val="left" w:pos="426"/>
        </w:tabs>
        <w:spacing w:before="240" w:after="240"/>
        <w:ind w:left="567" w:right="539"/>
        <w:jc w:val="both"/>
        <w:rPr>
          <w:rFonts w:ascii="Palatino Linotype" w:hAnsi="Palatino Linotype"/>
          <w:i/>
          <w:sz w:val="22"/>
          <w:szCs w:val="22"/>
        </w:rPr>
      </w:pPr>
      <w:r w:rsidRPr="00095A2C">
        <w:rPr>
          <w:rFonts w:ascii="Palatino Linotype" w:hAnsi="Palatino Linotype"/>
          <w:b/>
          <w:i/>
          <w:sz w:val="22"/>
          <w:szCs w:val="22"/>
        </w:rPr>
        <w:t>XXII. Verificar el cumplimiento</w:t>
      </w:r>
      <w:r w:rsidRPr="00095A2C">
        <w:rPr>
          <w:rFonts w:ascii="Palatino Linotype" w:hAnsi="Palatino Linotype"/>
          <w:i/>
          <w:sz w:val="22"/>
          <w:szCs w:val="22"/>
        </w:rPr>
        <w:t xml:space="preserve"> de las disposiciones previstas en esta Ley a través de los procedimientos de revisión que resulten compatibles con las disposiciones de esta Ley. </w:t>
      </w:r>
    </w:p>
    <w:p w14:paraId="6110B46A" w14:textId="77777777" w:rsidR="00295EC0" w:rsidRPr="00095A2C" w:rsidRDefault="00295EC0" w:rsidP="00295EC0">
      <w:pPr>
        <w:pStyle w:val="Prrafodelista"/>
        <w:tabs>
          <w:tab w:val="left" w:pos="426"/>
        </w:tabs>
        <w:spacing w:before="240" w:after="240"/>
        <w:ind w:left="567" w:right="539"/>
        <w:jc w:val="both"/>
        <w:rPr>
          <w:rFonts w:ascii="Palatino Linotype" w:hAnsi="Palatino Linotype"/>
          <w:i/>
          <w:sz w:val="22"/>
          <w:szCs w:val="22"/>
        </w:rPr>
      </w:pPr>
      <w:r w:rsidRPr="00095A2C">
        <w:rPr>
          <w:rFonts w:ascii="Palatino Linotype" w:hAnsi="Palatino Linotype"/>
          <w:b/>
          <w:i/>
          <w:sz w:val="22"/>
          <w:szCs w:val="22"/>
        </w:rPr>
        <w:t>XXIII. Implementar los procedimientos</w:t>
      </w:r>
      <w:r w:rsidRPr="00095A2C">
        <w:rPr>
          <w:rFonts w:ascii="Palatino Linotype" w:hAnsi="Palatino Linotype"/>
          <w:i/>
          <w:sz w:val="22"/>
          <w:szCs w:val="22"/>
        </w:rPr>
        <w:t xml:space="preserve"> que resulten necesarios para el cumplimiento de las disposiciones de esta Ley y para asegurar la protección de datos personales de los titulares. </w:t>
      </w:r>
    </w:p>
    <w:p w14:paraId="58E63FBE" w14:textId="77777777" w:rsidR="00295EC0" w:rsidRPr="00095A2C" w:rsidRDefault="00295EC0" w:rsidP="00295EC0">
      <w:pPr>
        <w:pStyle w:val="Prrafodelista"/>
        <w:tabs>
          <w:tab w:val="left" w:pos="426"/>
        </w:tabs>
        <w:spacing w:before="240" w:after="240"/>
        <w:ind w:left="567" w:right="539"/>
        <w:jc w:val="both"/>
        <w:rPr>
          <w:rFonts w:ascii="Palatino Linotype" w:hAnsi="Palatino Linotype"/>
          <w:i/>
          <w:sz w:val="22"/>
          <w:szCs w:val="22"/>
        </w:rPr>
      </w:pPr>
      <w:r w:rsidRPr="00095A2C">
        <w:rPr>
          <w:rFonts w:ascii="Palatino Linotype" w:hAnsi="Palatino Linotype"/>
          <w:i/>
          <w:sz w:val="22"/>
          <w:szCs w:val="22"/>
        </w:rPr>
        <w:t xml:space="preserve">(…) </w:t>
      </w:r>
    </w:p>
    <w:p w14:paraId="142831D2" w14:textId="77777777" w:rsidR="00295EC0" w:rsidRPr="00095A2C" w:rsidRDefault="00295EC0" w:rsidP="00295EC0">
      <w:pPr>
        <w:pStyle w:val="Prrafodelista"/>
        <w:tabs>
          <w:tab w:val="left" w:pos="426"/>
        </w:tabs>
        <w:spacing w:before="240" w:after="240"/>
        <w:ind w:left="567" w:right="539"/>
        <w:jc w:val="both"/>
        <w:rPr>
          <w:rFonts w:ascii="Palatino Linotype" w:hAnsi="Palatino Linotype"/>
          <w:i/>
          <w:sz w:val="22"/>
          <w:szCs w:val="22"/>
        </w:rPr>
      </w:pPr>
      <w:r w:rsidRPr="00095A2C">
        <w:rPr>
          <w:rFonts w:ascii="Palatino Linotype" w:hAnsi="Palatino Linotype"/>
          <w:b/>
          <w:i/>
          <w:sz w:val="22"/>
          <w:szCs w:val="22"/>
        </w:rPr>
        <w:lastRenderedPageBreak/>
        <w:t>XXV. Investigar las posibles violaciones</w:t>
      </w:r>
      <w:r w:rsidRPr="00095A2C">
        <w:rPr>
          <w:rFonts w:ascii="Palatino Linotype" w:hAnsi="Palatino Linotype"/>
          <w:i/>
          <w:sz w:val="22"/>
          <w:szCs w:val="22"/>
        </w:rPr>
        <w:t xml:space="preserve"> a la seguridad de los datos personales a fin de determinar la práctica de verificaciones. </w:t>
      </w:r>
    </w:p>
    <w:p w14:paraId="650BF7F0" w14:textId="77777777" w:rsidR="00295EC0" w:rsidRPr="00095A2C" w:rsidRDefault="00295EC0" w:rsidP="00295EC0">
      <w:pPr>
        <w:pStyle w:val="Prrafodelista"/>
        <w:tabs>
          <w:tab w:val="left" w:pos="426"/>
        </w:tabs>
        <w:spacing w:before="240" w:after="240"/>
        <w:ind w:left="567" w:right="539"/>
        <w:jc w:val="both"/>
        <w:rPr>
          <w:rFonts w:ascii="Palatino Linotype" w:hAnsi="Palatino Linotype"/>
          <w:i/>
          <w:sz w:val="22"/>
          <w:szCs w:val="22"/>
        </w:rPr>
      </w:pPr>
      <w:r w:rsidRPr="00095A2C">
        <w:rPr>
          <w:rFonts w:ascii="Palatino Linotype" w:hAnsi="Palatino Linotype"/>
          <w:i/>
          <w:sz w:val="22"/>
          <w:szCs w:val="22"/>
        </w:rPr>
        <w:t xml:space="preserve">(…)” </w:t>
      </w:r>
    </w:p>
    <w:p w14:paraId="1733AA4D" w14:textId="77777777" w:rsidR="00295EC0" w:rsidRPr="00095A2C" w:rsidRDefault="00295EC0" w:rsidP="00295EC0">
      <w:pPr>
        <w:ind w:right="48"/>
        <w:jc w:val="both"/>
        <w:rPr>
          <w:rFonts w:ascii="Palatino Linotype" w:eastAsia="Palatino Linotype" w:hAnsi="Palatino Linotype" w:cs="Palatino Linotype"/>
          <w:sz w:val="22"/>
          <w:szCs w:val="22"/>
        </w:rPr>
      </w:pPr>
    </w:p>
    <w:p w14:paraId="341905F8" w14:textId="77777777" w:rsidR="00295EC0" w:rsidRPr="00095A2C" w:rsidRDefault="00295EC0" w:rsidP="00295EC0">
      <w:pPr>
        <w:spacing w:line="360" w:lineRule="auto"/>
        <w:ind w:right="48"/>
        <w:jc w:val="both"/>
        <w:rPr>
          <w:rFonts w:ascii="Palatino Linotype" w:eastAsia="Palatino Linotype" w:hAnsi="Palatino Linotype" w:cs="Palatino Linotype"/>
          <w:sz w:val="22"/>
          <w:szCs w:val="22"/>
        </w:rPr>
      </w:pPr>
      <w:r w:rsidRPr="00095A2C">
        <w:rPr>
          <w:rFonts w:ascii="Palatino Linotype" w:eastAsia="MS Mincho" w:hAnsi="Palatino Linotype" w:cs="Arial"/>
          <w:sz w:val="22"/>
          <w:szCs w:val="22"/>
          <w:lang w:val="es-ES_tradnl" w:eastAsia="es-ES"/>
        </w:rPr>
        <w:t>Por l</w:t>
      </w:r>
      <w:r w:rsidRPr="00095A2C">
        <w:rPr>
          <w:rFonts w:ascii="Palatino Linotype" w:hAnsi="Palatino Linotype"/>
          <w:sz w:val="22"/>
          <w:szCs w:val="22"/>
        </w:rPr>
        <w:t xml:space="preserve">o tanto, es menester dar vista a la Dirección de Protección de Datos Personales de este Instituto para que en ejercicio de sus atribuciones atienda las directivas marcadas en la propia Ley de la materia, con fundamento en el artículo 82 de la Ley de la materia, el cual señala la atribución de este Órgano Garante para Investigar las posibles violaciones a la seguridad de los datos personales a fin de determinar la práctica de verificaciones. </w:t>
      </w:r>
    </w:p>
    <w:p w14:paraId="76AE6BDC" w14:textId="29D40F1E" w:rsidR="0095682B" w:rsidRPr="00095A2C" w:rsidRDefault="0095682B" w:rsidP="0095682B">
      <w:pPr>
        <w:spacing w:before="240" w:after="240" w:line="360" w:lineRule="auto"/>
        <w:ind w:right="49"/>
        <w:jc w:val="both"/>
        <w:rPr>
          <w:rFonts w:ascii="Palatino Linotype" w:eastAsia="Palatino Linotype" w:hAnsi="Palatino Linotype" w:cs="Palatino Linotype"/>
          <w:sz w:val="22"/>
          <w:szCs w:val="22"/>
          <w:lang w:val="es-ES"/>
        </w:rPr>
      </w:pPr>
      <w:r w:rsidRPr="00095A2C">
        <w:rPr>
          <w:rFonts w:ascii="Palatino Linotype" w:eastAsia="Palatino Linotype" w:hAnsi="Palatino Linotype" w:cs="Palatino Linotype"/>
          <w:b/>
          <w:sz w:val="22"/>
          <w:szCs w:val="22"/>
          <w:lang w:val="es-ES"/>
        </w:rPr>
        <w:t xml:space="preserve">Quinto. Versión Pública. </w:t>
      </w:r>
      <w:r w:rsidRPr="00095A2C">
        <w:rPr>
          <w:rFonts w:ascii="Palatino Linotype" w:eastAsia="Palatino Linotype" w:hAnsi="Palatino Linotype" w:cs="Palatino Linotype"/>
          <w:sz w:val="22"/>
          <w:szCs w:val="22"/>
          <w:lang w:val="es-ES"/>
        </w:rPr>
        <w:t xml:space="preserve">Para la entrega de la información, en razón de que el derecho de acceso a la información pública no es absoluto, sino que encuentra como excepciones que la información sobre la cual se peticiona el acceso, sea o contenga datos que deban ser clasificados en los términos que la misma Ley de la Materia señala, el Sujeto Obligado tendrá que hacer la elaboración de una versión pública de los documentos que vaya entregar para dar cumplimiento a esta resolución, a fin de satisfacer el derecho de acceso a la información pública de </w:t>
      </w:r>
      <w:r w:rsidRPr="00095A2C">
        <w:rPr>
          <w:rFonts w:ascii="Palatino Linotype" w:eastAsia="Palatino Linotype" w:hAnsi="Palatino Linotype" w:cs="Palatino Linotype"/>
          <w:b/>
          <w:sz w:val="22"/>
          <w:szCs w:val="22"/>
          <w:lang w:val="es-ES"/>
        </w:rPr>
        <w:t>la parte</w:t>
      </w:r>
      <w:r w:rsidRPr="00095A2C">
        <w:rPr>
          <w:rFonts w:ascii="Palatino Linotype" w:eastAsia="Palatino Linotype" w:hAnsi="Palatino Linotype" w:cs="Palatino Linotype"/>
          <w:sz w:val="22"/>
          <w:szCs w:val="22"/>
          <w:lang w:val="es-ES"/>
        </w:rPr>
        <w:t xml:space="preserve"> </w:t>
      </w:r>
      <w:r w:rsidRPr="00095A2C">
        <w:rPr>
          <w:rFonts w:ascii="Palatino Linotype" w:eastAsia="Palatino Linotype" w:hAnsi="Palatino Linotype" w:cs="Palatino Linotype"/>
          <w:b/>
          <w:sz w:val="22"/>
          <w:szCs w:val="22"/>
          <w:lang w:val="es-ES"/>
        </w:rPr>
        <w:t>Recurrente</w:t>
      </w:r>
      <w:r w:rsidRPr="00095A2C">
        <w:rPr>
          <w:rFonts w:ascii="Palatino Linotype" w:eastAsia="Palatino Linotype" w:hAnsi="Palatino Linotype" w:cs="Palatino Linotype"/>
          <w:sz w:val="22"/>
          <w:szCs w:val="22"/>
          <w:lang w:val="es-ES"/>
        </w:rPr>
        <w:t xml:space="preserve"> sin menoscabar el derecho a la protección de los datos personales de terceros.</w:t>
      </w:r>
    </w:p>
    <w:p w14:paraId="1C6CBC3A" w14:textId="77777777" w:rsidR="0095682B" w:rsidRPr="00095A2C" w:rsidRDefault="0095682B" w:rsidP="0095682B">
      <w:pPr>
        <w:spacing w:before="240" w:after="240" w:line="360" w:lineRule="auto"/>
        <w:ind w:right="49"/>
        <w:jc w:val="both"/>
        <w:rPr>
          <w:rFonts w:ascii="Palatino Linotype" w:eastAsia="Palatino Linotype" w:hAnsi="Palatino Linotype" w:cs="Palatino Linotype"/>
          <w:sz w:val="22"/>
          <w:szCs w:val="22"/>
          <w:lang w:val="es-ES"/>
        </w:rPr>
      </w:pPr>
      <w:r w:rsidRPr="00095A2C">
        <w:rPr>
          <w:rFonts w:ascii="Palatino Linotype" w:eastAsia="Palatino Linotype" w:hAnsi="Palatino Linotype" w:cs="Palatino Linotype"/>
          <w:sz w:val="22"/>
          <w:szCs w:val="22"/>
          <w:lang w:val="es-ES"/>
        </w:rPr>
        <w:t>Lo anterior, de conformidad a lo que señalan los artículos 3, fracciones IX, XX, XXXII, XLV; 6, 137 y 143 fracción I, de la Ley de Transparencia y Acceso a la Información Pública del Estado de México y Municipios vigente, que se leen como sigue:</w:t>
      </w:r>
    </w:p>
    <w:p w14:paraId="127DC6BA" w14:textId="77777777" w:rsidR="0095682B" w:rsidRPr="00095A2C" w:rsidRDefault="0095682B" w:rsidP="0095682B">
      <w:pPr>
        <w:ind w:left="993" w:right="1041"/>
        <w:jc w:val="both"/>
        <w:rPr>
          <w:rFonts w:ascii="Palatino Linotype" w:eastAsia="Palatino Linotype" w:hAnsi="Palatino Linotype" w:cs="Palatino Linotype"/>
          <w:b/>
          <w:i/>
          <w:sz w:val="22"/>
          <w:szCs w:val="22"/>
          <w:lang w:val="es-ES"/>
        </w:rPr>
      </w:pPr>
      <w:r w:rsidRPr="00095A2C">
        <w:rPr>
          <w:rFonts w:ascii="Palatino Linotype" w:eastAsia="Palatino Linotype" w:hAnsi="Palatino Linotype" w:cs="Palatino Linotype"/>
          <w:b/>
          <w:i/>
          <w:sz w:val="22"/>
          <w:szCs w:val="22"/>
          <w:lang w:val="es-ES"/>
        </w:rPr>
        <w:t xml:space="preserve"> “Artículo 3. Para los efectos de la presente Ley se entenderá por:</w:t>
      </w:r>
    </w:p>
    <w:p w14:paraId="7E3D963F" w14:textId="77777777" w:rsidR="0095682B" w:rsidRPr="00095A2C" w:rsidRDefault="0095682B" w:rsidP="0095682B">
      <w:pPr>
        <w:ind w:left="993" w:right="1041"/>
        <w:jc w:val="both"/>
        <w:rPr>
          <w:rFonts w:ascii="Palatino Linotype" w:eastAsia="Palatino Linotype" w:hAnsi="Palatino Linotype" w:cs="Palatino Linotype"/>
          <w:i/>
          <w:sz w:val="22"/>
          <w:szCs w:val="22"/>
          <w:lang w:val="es-ES"/>
        </w:rPr>
      </w:pPr>
      <w:r w:rsidRPr="00095A2C">
        <w:rPr>
          <w:rFonts w:ascii="Palatino Linotype" w:eastAsia="Palatino Linotype" w:hAnsi="Palatino Linotype" w:cs="Palatino Linotype"/>
          <w:b/>
          <w:i/>
          <w:sz w:val="22"/>
          <w:szCs w:val="22"/>
          <w:lang w:val="es-ES"/>
        </w:rPr>
        <w:t>IX. Datos personales:</w:t>
      </w:r>
      <w:r w:rsidRPr="00095A2C">
        <w:rPr>
          <w:rFonts w:ascii="Palatino Linotype" w:eastAsia="Palatino Linotype" w:hAnsi="Palatino Linotype" w:cs="Palatino Linotype"/>
          <w:i/>
          <w:sz w:val="22"/>
          <w:szCs w:val="22"/>
          <w:lang w:val="es-ES"/>
        </w:rPr>
        <w:t xml:space="preserve"> </w:t>
      </w:r>
      <w:r w:rsidRPr="00095A2C">
        <w:rPr>
          <w:rFonts w:ascii="Palatino Linotype" w:eastAsia="Palatino Linotype" w:hAnsi="Palatino Linotype" w:cs="Palatino Linotype"/>
          <w:b/>
          <w:i/>
          <w:sz w:val="22"/>
          <w:szCs w:val="22"/>
          <w:lang w:val="es-ES"/>
        </w:rPr>
        <w:t>La información concerniente a una persona, identificada o identificable</w:t>
      </w:r>
      <w:r w:rsidRPr="00095A2C">
        <w:rPr>
          <w:rFonts w:ascii="Palatino Linotype" w:eastAsia="Palatino Linotype" w:hAnsi="Palatino Linotype" w:cs="Palatino Linotype"/>
          <w:i/>
          <w:sz w:val="22"/>
          <w:szCs w:val="22"/>
          <w:lang w:val="es-ES"/>
        </w:rPr>
        <w:t xml:space="preserve"> según lo dispuesto por la Ley de Protección de Datos Personales del Estado de México;</w:t>
      </w:r>
    </w:p>
    <w:p w14:paraId="1BB9F66F" w14:textId="77777777" w:rsidR="0095682B" w:rsidRPr="00095A2C" w:rsidRDefault="0095682B" w:rsidP="0095682B">
      <w:pPr>
        <w:ind w:left="993" w:right="1041"/>
        <w:jc w:val="both"/>
        <w:rPr>
          <w:rFonts w:ascii="Palatino Linotype" w:eastAsia="Palatino Linotype" w:hAnsi="Palatino Linotype" w:cs="Palatino Linotype"/>
          <w:i/>
          <w:sz w:val="22"/>
          <w:szCs w:val="22"/>
          <w:lang w:val="es-ES"/>
        </w:rPr>
      </w:pPr>
      <w:r w:rsidRPr="00095A2C">
        <w:rPr>
          <w:rFonts w:ascii="Palatino Linotype" w:eastAsia="Palatino Linotype" w:hAnsi="Palatino Linotype" w:cs="Palatino Linotype"/>
          <w:b/>
          <w:i/>
          <w:sz w:val="22"/>
          <w:szCs w:val="22"/>
          <w:lang w:val="es-ES"/>
        </w:rPr>
        <w:t>XX. Información clasificada:</w:t>
      </w:r>
      <w:r w:rsidRPr="00095A2C">
        <w:rPr>
          <w:rFonts w:ascii="Palatino Linotype" w:eastAsia="Palatino Linotype" w:hAnsi="Palatino Linotype" w:cs="Palatino Linotype"/>
          <w:i/>
          <w:sz w:val="22"/>
          <w:szCs w:val="22"/>
          <w:lang w:val="es-ES"/>
        </w:rPr>
        <w:t xml:space="preserve"> Aquella considerada por la presente Ley como reservada o confidencial;</w:t>
      </w:r>
    </w:p>
    <w:p w14:paraId="482FCA6E" w14:textId="77777777" w:rsidR="0095682B" w:rsidRPr="00095A2C" w:rsidRDefault="0095682B" w:rsidP="0095682B">
      <w:pPr>
        <w:ind w:left="993" w:right="1041"/>
        <w:jc w:val="both"/>
        <w:rPr>
          <w:rFonts w:ascii="Palatino Linotype" w:eastAsia="Palatino Linotype" w:hAnsi="Palatino Linotype" w:cs="Palatino Linotype"/>
          <w:i/>
          <w:sz w:val="22"/>
          <w:szCs w:val="22"/>
          <w:lang w:val="es-ES"/>
        </w:rPr>
      </w:pPr>
      <w:r w:rsidRPr="00095A2C">
        <w:rPr>
          <w:rFonts w:ascii="Palatino Linotype" w:eastAsia="Palatino Linotype" w:hAnsi="Palatino Linotype" w:cs="Palatino Linotype"/>
          <w:b/>
          <w:i/>
          <w:sz w:val="22"/>
          <w:szCs w:val="22"/>
          <w:lang w:val="es-ES"/>
        </w:rPr>
        <w:t>XXXII. Protección de Datos Personales:</w:t>
      </w:r>
      <w:r w:rsidRPr="00095A2C">
        <w:rPr>
          <w:rFonts w:ascii="Palatino Linotype" w:eastAsia="Palatino Linotype" w:hAnsi="Palatino Linotype" w:cs="Palatino Linotype"/>
          <w:i/>
          <w:sz w:val="22"/>
          <w:szCs w:val="22"/>
          <w:lang w:val="es-ES"/>
        </w:rPr>
        <w:t xml:space="preserve"> Derecho humano que tutela la privacidad de datos personales en poder de los sujetos obligados y sujetos particulares;</w:t>
      </w:r>
    </w:p>
    <w:p w14:paraId="6C75AA16" w14:textId="77777777" w:rsidR="0095682B" w:rsidRPr="00095A2C" w:rsidRDefault="0095682B" w:rsidP="0095682B">
      <w:pPr>
        <w:ind w:left="993" w:right="1041"/>
        <w:jc w:val="both"/>
        <w:rPr>
          <w:rFonts w:ascii="Palatino Linotype" w:eastAsia="Palatino Linotype" w:hAnsi="Palatino Linotype" w:cs="Palatino Linotype"/>
          <w:i/>
          <w:sz w:val="22"/>
          <w:szCs w:val="22"/>
          <w:lang w:val="es-ES"/>
        </w:rPr>
      </w:pPr>
      <w:r w:rsidRPr="00095A2C">
        <w:rPr>
          <w:rFonts w:ascii="Palatino Linotype" w:eastAsia="Palatino Linotype" w:hAnsi="Palatino Linotype" w:cs="Palatino Linotype"/>
          <w:b/>
          <w:i/>
          <w:sz w:val="22"/>
          <w:szCs w:val="22"/>
          <w:lang w:val="es-ES"/>
        </w:rPr>
        <w:lastRenderedPageBreak/>
        <w:t>XLV. Versión pública</w:t>
      </w:r>
      <w:r w:rsidRPr="00095A2C">
        <w:rPr>
          <w:rFonts w:ascii="Palatino Linotype" w:eastAsia="Palatino Linotype" w:hAnsi="Palatino Linotype" w:cs="Palatino Linotype"/>
          <w:i/>
          <w:sz w:val="22"/>
          <w:szCs w:val="22"/>
          <w:lang w:val="es-ES"/>
        </w:rPr>
        <w:t>: Documento en el que se elimine, suprime o borra la información clasificada como reservada o confidencial para permitir su acceso.”</w:t>
      </w:r>
    </w:p>
    <w:p w14:paraId="790AFCCF" w14:textId="77777777" w:rsidR="0095682B" w:rsidRPr="00095A2C" w:rsidRDefault="0095682B" w:rsidP="0095682B">
      <w:pPr>
        <w:ind w:left="993" w:right="1041"/>
        <w:jc w:val="both"/>
        <w:rPr>
          <w:rFonts w:ascii="Palatino Linotype" w:eastAsia="Palatino Linotype" w:hAnsi="Palatino Linotype" w:cs="Palatino Linotype"/>
          <w:i/>
          <w:sz w:val="22"/>
          <w:szCs w:val="22"/>
          <w:lang w:val="es-ES"/>
        </w:rPr>
      </w:pPr>
    </w:p>
    <w:p w14:paraId="359183EA" w14:textId="77777777" w:rsidR="0095682B" w:rsidRPr="00095A2C" w:rsidRDefault="0095682B" w:rsidP="0095682B">
      <w:pPr>
        <w:ind w:left="993" w:right="1041"/>
        <w:jc w:val="both"/>
        <w:rPr>
          <w:rFonts w:ascii="Palatino Linotype" w:eastAsia="Palatino Linotype" w:hAnsi="Palatino Linotype" w:cs="Palatino Linotype"/>
          <w:i/>
          <w:sz w:val="22"/>
          <w:szCs w:val="22"/>
          <w:lang w:val="es-ES"/>
        </w:rPr>
      </w:pPr>
      <w:r w:rsidRPr="00095A2C">
        <w:rPr>
          <w:rFonts w:ascii="Palatino Linotype" w:eastAsia="Palatino Linotype" w:hAnsi="Palatino Linotype" w:cs="Palatino Linotype"/>
          <w:b/>
          <w:i/>
          <w:sz w:val="22"/>
          <w:szCs w:val="22"/>
          <w:lang w:val="es-ES"/>
        </w:rPr>
        <w:t>“Artículo 6.</w:t>
      </w:r>
      <w:r w:rsidRPr="00095A2C">
        <w:rPr>
          <w:rFonts w:ascii="Palatino Linotype" w:eastAsia="Palatino Linotype" w:hAnsi="Palatino Linotype" w:cs="Palatino Linotype"/>
          <w:i/>
          <w:sz w:val="22"/>
          <w:szCs w:val="22"/>
          <w:lang w:val="es-ES"/>
        </w:rPr>
        <w:t xml:space="preserve"> Los datos personales son irrenunciables, intransferibles e indelegables, por lo que los sujetos obligados no deberán proporcionar o hacer pública la información que contenga, con excepción de aquellos casos en que deban hacerlo en observancia de las disposiciones aplicables. En el caso de los derechos de acceso, rectificación, cancelación u oposición; los principios, procedimientos, medidas de seguridad en el tratamiento y demás disposiciones en materia de datos personales, se deberá estar a lo dispuesto en las leyes de la materia.”</w:t>
      </w:r>
    </w:p>
    <w:p w14:paraId="2A7E8572" w14:textId="77777777" w:rsidR="0095682B" w:rsidRPr="00095A2C" w:rsidRDefault="0095682B" w:rsidP="0095682B">
      <w:pPr>
        <w:ind w:left="993" w:right="1041"/>
        <w:jc w:val="both"/>
        <w:rPr>
          <w:rFonts w:ascii="Palatino Linotype" w:eastAsia="Palatino Linotype" w:hAnsi="Palatino Linotype" w:cs="Palatino Linotype"/>
          <w:i/>
          <w:sz w:val="22"/>
          <w:szCs w:val="22"/>
          <w:lang w:val="es-ES"/>
        </w:rPr>
      </w:pPr>
    </w:p>
    <w:p w14:paraId="52D22D4C" w14:textId="77777777" w:rsidR="0095682B" w:rsidRPr="00095A2C" w:rsidRDefault="0095682B" w:rsidP="0095682B">
      <w:pPr>
        <w:ind w:left="993" w:right="1041"/>
        <w:jc w:val="both"/>
        <w:rPr>
          <w:rFonts w:ascii="Palatino Linotype" w:eastAsia="Palatino Linotype" w:hAnsi="Palatino Linotype" w:cs="Palatino Linotype"/>
          <w:b/>
          <w:i/>
          <w:sz w:val="22"/>
          <w:szCs w:val="22"/>
          <w:lang w:val="es-ES"/>
        </w:rPr>
      </w:pPr>
      <w:r w:rsidRPr="00095A2C">
        <w:rPr>
          <w:rFonts w:ascii="Palatino Linotype" w:eastAsia="Palatino Linotype" w:hAnsi="Palatino Linotype" w:cs="Palatino Linotype"/>
          <w:b/>
          <w:i/>
          <w:sz w:val="22"/>
          <w:szCs w:val="22"/>
          <w:lang w:val="es-ES"/>
        </w:rPr>
        <w:t>“Artículo 137.</w:t>
      </w:r>
      <w:r w:rsidRPr="00095A2C">
        <w:rPr>
          <w:rFonts w:ascii="Palatino Linotype" w:eastAsia="Palatino Linotype" w:hAnsi="Palatino Linotype" w:cs="Palatino Linotype"/>
          <w:i/>
          <w:sz w:val="22"/>
          <w:szCs w:val="22"/>
          <w:lang w:val="es-ES"/>
        </w:rPr>
        <w:t xml:space="preserve"> Cuando un mismo medio, impreso o electrónico, contenga información pública y reservada o confidencial, la Unidad de Transparencia para efectos de atender una solicitud de información, deberán elaborar una versión pública en la que se testen las partes o secciones clasificadas, indicando su contenido de manera genérica y fundando y motivando su clasificación.”</w:t>
      </w:r>
    </w:p>
    <w:p w14:paraId="64209001" w14:textId="77777777" w:rsidR="0095682B" w:rsidRPr="00095A2C" w:rsidRDefault="0095682B" w:rsidP="0095682B">
      <w:pPr>
        <w:ind w:left="993" w:right="1041"/>
        <w:jc w:val="both"/>
        <w:rPr>
          <w:rFonts w:ascii="Palatino Linotype" w:eastAsia="Palatino Linotype" w:hAnsi="Palatino Linotype" w:cs="Palatino Linotype"/>
          <w:b/>
          <w:i/>
          <w:sz w:val="22"/>
          <w:szCs w:val="22"/>
          <w:lang w:val="es-ES"/>
        </w:rPr>
      </w:pPr>
    </w:p>
    <w:p w14:paraId="50415692" w14:textId="77777777" w:rsidR="0095682B" w:rsidRPr="00095A2C" w:rsidRDefault="0095682B" w:rsidP="0095682B">
      <w:pPr>
        <w:ind w:left="993" w:right="1041"/>
        <w:jc w:val="both"/>
        <w:rPr>
          <w:rFonts w:ascii="Palatino Linotype" w:eastAsia="Palatino Linotype" w:hAnsi="Palatino Linotype" w:cs="Palatino Linotype"/>
          <w:i/>
          <w:sz w:val="22"/>
          <w:szCs w:val="22"/>
          <w:lang w:val="es-ES"/>
        </w:rPr>
      </w:pPr>
      <w:r w:rsidRPr="00095A2C">
        <w:rPr>
          <w:rFonts w:ascii="Palatino Linotype" w:eastAsia="Palatino Linotype" w:hAnsi="Palatino Linotype" w:cs="Palatino Linotype"/>
          <w:b/>
          <w:i/>
          <w:sz w:val="22"/>
          <w:szCs w:val="22"/>
          <w:lang w:val="es-ES"/>
        </w:rPr>
        <w:t>“Artículo 143</w:t>
      </w:r>
      <w:r w:rsidRPr="00095A2C">
        <w:rPr>
          <w:rFonts w:ascii="Palatino Linotype" w:eastAsia="Palatino Linotype" w:hAnsi="Palatino Linotype" w:cs="Palatino Linotype"/>
          <w:i/>
          <w:sz w:val="22"/>
          <w:szCs w:val="22"/>
          <w:lang w:val="es-ES"/>
        </w:rPr>
        <w:t>. Para los efectos de esta Ley se considera información confidencial, la clasificada como tal, de manera permanente, por su naturaleza, cuando:</w:t>
      </w:r>
    </w:p>
    <w:p w14:paraId="75A30191" w14:textId="77777777" w:rsidR="0095682B" w:rsidRPr="00095A2C" w:rsidRDefault="0095682B" w:rsidP="0095682B">
      <w:pPr>
        <w:ind w:left="993" w:right="1041"/>
        <w:jc w:val="both"/>
        <w:rPr>
          <w:rFonts w:ascii="Palatino Linotype" w:eastAsia="Palatino Linotype" w:hAnsi="Palatino Linotype" w:cs="Palatino Linotype"/>
          <w:i/>
          <w:sz w:val="22"/>
          <w:szCs w:val="22"/>
          <w:lang w:val="es-ES"/>
        </w:rPr>
      </w:pPr>
      <w:r w:rsidRPr="00095A2C">
        <w:rPr>
          <w:rFonts w:ascii="Palatino Linotype" w:eastAsia="Palatino Linotype" w:hAnsi="Palatino Linotype" w:cs="Palatino Linotype"/>
          <w:b/>
          <w:i/>
          <w:sz w:val="22"/>
          <w:szCs w:val="22"/>
          <w:lang w:val="es-ES"/>
        </w:rPr>
        <w:t>I.</w:t>
      </w:r>
      <w:r w:rsidRPr="00095A2C">
        <w:rPr>
          <w:rFonts w:ascii="Palatino Linotype" w:eastAsia="Palatino Linotype" w:hAnsi="Palatino Linotype" w:cs="Palatino Linotype"/>
          <w:i/>
          <w:sz w:val="22"/>
          <w:szCs w:val="22"/>
          <w:lang w:val="es-ES"/>
        </w:rPr>
        <w:t xml:space="preserve"> Se refiera a la información privada y los datos personales concernientes a una persona física o jurídica colectiva identificada o identificable;</w:t>
      </w:r>
    </w:p>
    <w:p w14:paraId="09801269" w14:textId="77777777" w:rsidR="0095682B" w:rsidRPr="00095A2C" w:rsidRDefault="0095682B" w:rsidP="0095682B">
      <w:pPr>
        <w:ind w:left="993" w:right="1041"/>
        <w:jc w:val="both"/>
        <w:rPr>
          <w:rFonts w:ascii="Palatino Linotype" w:eastAsia="Palatino Linotype" w:hAnsi="Palatino Linotype" w:cs="Palatino Linotype"/>
          <w:i/>
          <w:sz w:val="22"/>
          <w:szCs w:val="22"/>
          <w:lang w:val="es-ES"/>
        </w:rPr>
      </w:pPr>
      <w:r w:rsidRPr="00095A2C">
        <w:rPr>
          <w:rFonts w:ascii="Palatino Linotype" w:eastAsia="Palatino Linotype" w:hAnsi="Palatino Linotype" w:cs="Palatino Linotype"/>
          <w:i/>
          <w:sz w:val="22"/>
          <w:szCs w:val="22"/>
          <w:lang w:val="es-ES"/>
        </w:rPr>
        <w:t>II. Los secretos bancario, fiduciario, industrial, comercial, fiscal, bursátil y postal, cuya titularidad corresponda a particulares, sujetos de derecho internacional o a sujetos obligados cuando no involucren el ejercicio de recursos públicos; y</w:t>
      </w:r>
    </w:p>
    <w:p w14:paraId="114F0E01" w14:textId="77777777" w:rsidR="0095682B" w:rsidRPr="00095A2C" w:rsidRDefault="0095682B" w:rsidP="0095682B">
      <w:pPr>
        <w:ind w:left="993" w:right="1041"/>
        <w:jc w:val="both"/>
        <w:rPr>
          <w:rFonts w:ascii="Palatino Linotype" w:eastAsia="Palatino Linotype" w:hAnsi="Palatino Linotype" w:cs="Palatino Linotype"/>
          <w:i/>
          <w:sz w:val="22"/>
          <w:szCs w:val="22"/>
          <w:lang w:val="es-ES"/>
        </w:rPr>
      </w:pPr>
      <w:r w:rsidRPr="00095A2C">
        <w:rPr>
          <w:rFonts w:ascii="Palatino Linotype" w:eastAsia="Palatino Linotype" w:hAnsi="Palatino Linotype" w:cs="Palatino Linotype"/>
          <w:i/>
          <w:sz w:val="22"/>
          <w:szCs w:val="22"/>
          <w:lang w:val="es-ES"/>
        </w:rPr>
        <w:t xml:space="preserve">III. La que presenten los particulares a los sujetos obligados, de conformidad con lo dispuesto por las leyes o los tratados internacionales.” </w:t>
      </w:r>
    </w:p>
    <w:p w14:paraId="20D8F742" w14:textId="77777777" w:rsidR="0095682B" w:rsidRPr="00095A2C" w:rsidRDefault="0095682B" w:rsidP="0095682B">
      <w:pPr>
        <w:ind w:left="993" w:right="1041"/>
        <w:jc w:val="both"/>
        <w:rPr>
          <w:rFonts w:ascii="Palatino Linotype" w:eastAsia="Palatino Linotype" w:hAnsi="Palatino Linotype" w:cs="Palatino Linotype"/>
          <w:i/>
          <w:sz w:val="22"/>
          <w:szCs w:val="22"/>
          <w:lang w:val="es-ES"/>
        </w:rPr>
      </w:pPr>
    </w:p>
    <w:p w14:paraId="3E926FF9" w14:textId="77777777" w:rsidR="0095682B" w:rsidRPr="00095A2C" w:rsidRDefault="0095682B" w:rsidP="0095682B">
      <w:pPr>
        <w:spacing w:line="360" w:lineRule="auto"/>
        <w:ind w:right="51"/>
        <w:jc w:val="both"/>
        <w:rPr>
          <w:rFonts w:ascii="Palatino Linotype" w:eastAsia="Palatino Linotype" w:hAnsi="Palatino Linotype" w:cs="Palatino Linotype"/>
          <w:sz w:val="22"/>
          <w:szCs w:val="22"/>
          <w:lang w:val="es-ES"/>
        </w:rPr>
      </w:pPr>
      <w:r w:rsidRPr="00095A2C">
        <w:rPr>
          <w:rFonts w:ascii="Palatino Linotype" w:eastAsia="Palatino Linotype" w:hAnsi="Palatino Linotype" w:cs="Palatino Linotype"/>
          <w:sz w:val="22"/>
          <w:szCs w:val="22"/>
          <w:lang w:val="es-ES"/>
        </w:rPr>
        <w:t xml:space="preserve">De los preceptos anteriores se desprende que cuando un documento que vaya a ser entregado vía acceso a la información pública, contenga tanto información de interés público como información que debe ser clasificada, se hará la entrega del mismo, testando las secciones o datos que deban ser clasificados; por ende el </w:t>
      </w:r>
      <w:r w:rsidRPr="00095A2C">
        <w:rPr>
          <w:rFonts w:ascii="Palatino Linotype" w:eastAsia="Palatino Linotype" w:hAnsi="Palatino Linotype" w:cs="Palatino Linotype"/>
          <w:b/>
          <w:sz w:val="22"/>
          <w:szCs w:val="22"/>
          <w:lang w:val="es-ES"/>
        </w:rPr>
        <w:t>Sujeto Obligado</w:t>
      </w:r>
      <w:r w:rsidRPr="00095A2C">
        <w:rPr>
          <w:rFonts w:ascii="Palatino Linotype" w:eastAsia="Palatino Linotype" w:hAnsi="Palatino Linotype" w:cs="Palatino Linotype"/>
          <w:sz w:val="22"/>
          <w:szCs w:val="22"/>
          <w:lang w:val="es-ES"/>
        </w:rPr>
        <w:t xml:space="preserve"> deberá proceder a testar los datos personales que se encuentren contenidos en los documentos a entregar para satisfacer el derecho de acceso a la información pública de </w:t>
      </w:r>
      <w:r w:rsidRPr="00095A2C">
        <w:rPr>
          <w:rFonts w:ascii="Palatino Linotype" w:eastAsia="Palatino Linotype" w:hAnsi="Palatino Linotype" w:cs="Palatino Linotype"/>
          <w:b/>
          <w:sz w:val="22"/>
          <w:szCs w:val="22"/>
          <w:lang w:val="es-ES"/>
        </w:rPr>
        <w:t>la parte</w:t>
      </w:r>
      <w:r w:rsidRPr="00095A2C">
        <w:rPr>
          <w:rFonts w:ascii="Palatino Linotype" w:eastAsia="Palatino Linotype" w:hAnsi="Palatino Linotype" w:cs="Palatino Linotype"/>
          <w:sz w:val="22"/>
          <w:szCs w:val="22"/>
          <w:lang w:val="es-ES"/>
        </w:rPr>
        <w:t xml:space="preserve"> </w:t>
      </w:r>
      <w:r w:rsidRPr="00095A2C">
        <w:rPr>
          <w:rFonts w:ascii="Palatino Linotype" w:eastAsia="Palatino Linotype" w:hAnsi="Palatino Linotype" w:cs="Palatino Linotype"/>
          <w:b/>
          <w:sz w:val="22"/>
          <w:szCs w:val="22"/>
          <w:lang w:val="es-ES"/>
        </w:rPr>
        <w:lastRenderedPageBreak/>
        <w:t>Recurrente</w:t>
      </w:r>
      <w:r w:rsidRPr="00095A2C">
        <w:rPr>
          <w:rFonts w:ascii="Palatino Linotype" w:eastAsia="Palatino Linotype" w:hAnsi="Palatino Linotype" w:cs="Palatino Linotype"/>
          <w:sz w:val="22"/>
          <w:szCs w:val="22"/>
          <w:lang w:val="es-ES"/>
        </w:rPr>
        <w:t>, esto es, los datos concernientes a una persona identificada o identificable, o aquellos datos que tengan el carácter de sensibles, es decir los que afectan la esfera más íntima de su titular o cuya utilización indebida pueda dar origen a discriminación o conlleven un riesgo grave para aquel de acuerdo a lo que señala la fracción XII del artículo 4 de la Ley de Protección de Datos Personales en Posesión de Sujetos Obligados del Estado de México.</w:t>
      </w:r>
    </w:p>
    <w:p w14:paraId="12DE8ADC" w14:textId="77777777" w:rsidR="0095682B" w:rsidRPr="00095A2C" w:rsidRDefault="0095682B" w:rsidP="0095682B">
      <w:pPr>
        <w:spacing w:line="360" w:lineRule="auto"/>
        <w:ind w:right="51"/>
        <w:jc w:val="both"/>
        <w:rPr>
          <w:rFonts w:ascii="Palatino Linotype" w:eastAsia="Palatino Linotype" w:hAnsi="Palatino Linotype" w:cs="Palatino Linotype"/>
          <w:sz w:val="22"/>
          <w:szCs w:val="22"/>
          <w:lang w:val="es-ES"/>
        </w:rPr>
      </w:pPr>
    </w:p>
    <w:p w14:paraId="7E81E6DF" w14:textId="77777777" w:rsidR="0095682B" w:rsidRPr="00095A2C" w:rsidRDefault="0095682B" w:rsidP="0095682B">
      <w:pPr>
        <w:spacing w:line="360" w:lineRule="auto"/>
        <w:ind w:right="50"/>
        <w:jc w:val="both"/>
        <w:rPr>
          <w:rFonts w:ascii="Palatino Linotype" w:eastAsia="Palatino Linotype" w:hAnsi="Palatino Linotype" w:cs="Palatino Linotype"/>
          <w:sz w:val="22"/>
          <w:szCs w:val="22"/>
          <w:lang w:val="es-ES"/>
        </w:rPr>
      </w:pPr>
      <w:r w:rsidRPr="00095A2C">
        <w:rPr>
          <w:rFonts w:ascii="Palatino Linotype" w:eastAsia="Palatino Linotype" w:hAnsi="Palatino Linotype" w:cs="Palatino Linotype"/>
          <w:sz w:val="22"/>
          <w:szCs w:val="22"/>
          <w:lang w:val="es-ES"/>
        </w:rPr>
        <w:t>Datos que deberá clasificar como confidenciales por tratarse precisamente de información privada, puesto que los datos personales son irrenunciables, intransferibles e indelegables y los Sujetos Obligados no deberán hacer entrega de los mismos a personas ajenas a su titular.</w:t>
      </w:r>
    </w:p>
    <w:p w14:paraId="5882E7C1" w14:textId="77777777" w:rsidR="0095682B" w:rsidRPr="00095A2C" w:rsidRDefault="0095682B" w:rsidP="0095682B">
      <w:pPr>
        <w:spacing w:line="360" w:lineRule="auto"/>
        <w:ind w:right="51"/>
        <w:jc w:val="both"/>
        <w:rPr>
          <w:rFonts w:ascii="Palatino Linotype" w:eastAsia="Palatino Linotype" w:hAnsi="Palatino Linotype" w:cs="Palatino Linotype"/>
          <w:sz w:val="22"/>
          <w:szCs w:val="22"/>
          <w:lang w:val="es-ES"/>
        </w:rPr>
      </w:pPr>
      <w:r w:rsidRPr="00095A2C">
        <w:rPr>
          <w:rFonts w:ascii="Palatino Linotype" w:eastAsia="Palatino Linotype" w:hAnsi="Palatino Linotype" w:cs="Palatino Linotype"/>
          <w:sz w:val="22"/>
          <w:szCs w:val="22"/>
          <w:lang w:val="es-ES"/>
        </w:rPr>
        <w:t xml:space="preserve">Por ende, la clasificación de la información no opera con la simple supresión de datos que se haga en los documentos de que se trate o con la simple decisión que tome el Servidor Público Habilitado o el Responsable de la Unidad de Transparencia del </w:t>
      </w:r>
      <w:r w:rsidRPr="00095A2C">
        <w:rPr>
          <w:rFonts w:ascii="Palatino Linotype" w:eastAsia="Palatino Linotype" w:hAnsi="Palatino Linotype" w:cs="Palatino Linotype"/>
          <w:b/>
          <w:sz w:val="22"/>
          <w:szCs w:val="22"/>
          <w:lang w:val="es-ES"/>
        </w:rPr>
        <w:t>Sujeto Obligado</w:t>
      </w:r>
      <w:r w:rsidRPr="00095A2C">
        <w:rPr>
          <w:rFonts w:ascii="Palatino Linotype" w:eastAsia="Palatino Linotype" w:hAnsi="Palatino Linotype" w:cs="Palatino Linotype"/>
          <w:sz w:val="22"/>
          <w:szCs w:val="22"/>
          <w:lang w:val="es-ES"/>
        </w:rPr>
        <w:t>, sino que ello deberá realizarse en términos de lo que disponen los artículos 49 fracción VIII, 53, fracción X y 59, fracción V, de la Ley en consulta, cuyo sentido literal es el siguiente:</w:t>
      </w:r>
    </w:p>
    <w:p w14:paraId="3101C2F0" w14:textId="77777777" w:rsidR="0095682B" w:rsidRPr="00095A2C" w:rsidRDefault="0095682B" w:rsidP="0095682B">
      <w:pPr>
        <w:spacing w:line="360" w:lineRule="auto"/>
        <w:ind w:right="51"/>
        <w:jc w:val="both"/>
        <w:rPr>
          <w:rFonts w:ascii="Palatino Linotype" w:eastAsia="Palatino Linotype" w:hAnsi="Palatino Linotype" w:cs="Palatino Linotype"/>
          <w:sz w:val="22"/>
          <w:szCs w:val="22"/>
          <w:lang w:val="es-ES"/>
        </w:rPr>
      </w:pPr>
    </w:p>
    <w:p w14:paraId="2BA03347" w14:textId="77777777" w:rsidR="0095682B" w:rsidRPr="00095A2C" w:rsidRDefault="0095682B" w:rsidP="0095682B">
      <w:pPr>
        <w:ind w:left="992" w:right="1043"/>
        <w:jc w:val="both"/>
        <w:rPr>
          <w:rFonts w:ascii="Palatino Linotype" w:eastAsia="Palatino Linotype" w:hAnsi="Palatino Linotype" w:cs="Palatino Linotype"/>
          <w:i/>
          <w:sz w:val="22"/>
          <w:szCs w:val="22"/>
          <w:lang w:val="es-ES"/>
        </w:rPr>
      </w:pPr>
      <w:r w:rsidRPr="00095A2C">
        <w:rPr>
          <w:rFonts w:ascii="Palatino Linotype" w:eastAsia="Palatino Linotype" w:hAnsi="Palatino Linotype" w:cs="Palatino Linotype"/>
          <w:b/>
          <w:i/>
          <w:sz w:val="22"/>
          <w:szCs w:val="22"/>
          <w:lang w:val="es-ES"/>
        </w:rPr>
        <w:t>“Artículo 49.</w:t>
      </w:r>
      <w:r w:rsidRPr="00095A2C">
        <w:rPr>
          <w:rFonts w:ascii="Palatino Linotype" w:eastAsia="Palatino Linotype" w:hAnsi="Palatino Linotype" w:cs="Palatino Linotype"/>
          <w:i/>
          <w:sz w:val="22"/>
          <w:szCs w:val="22"/>
          <w:lang w:val="es-ES"/>
        </w:rPr>
        <w:t xml:space="preserve"> </w:t>
      </w:r>
      <w:r w:rsidRPr="00095A2C">
        <w:rPr>
          <w:rFonts w:ascii="Palatino Linotype" w:eastAsia="Palatino Linotype" w:hAnsi="Palatino Linotype" w:cs="Palatino Linotype"/>
          <w:b/>
          <w:i/>
          <w:sz w:val="22"/>
          <w:szCs w:val="22"/>
          <w:lang w:val="es-ES"/>
        </w:rPr>
        <w:t>Los Comités de Transparencia</w:t>
      </w:r>
      <w:r w:rsidRPr="00095A2C">
        <w:rPr>
          <w:rFonts w:ascii="Palatino Linotype" w:eastAsia="Palatino Linotype" w:hAnsi="Palatino Linotype" w:cs="Palatino Linotype"/>
          <w:i/>
          <w:sz w:val="22"/>
          <w:szCs w:val="22"/>
          <w:lang w:val="es-ES"/>
        </w:rPr>
        <w:t xml:space="preserve"> tendrán las siguientes atribuciones:</w:t>
      </w:r>
    </w:p>
    <w:p w14:paraId="3BDBE636" w14:textId="77777777" w:rsidR="0095682B" w:rsidRPr="00095A2C" w:rsidRDefault="0095682B" w:rsidP="0095682B">
      <w:pPr>
        <w:ind w:left="992" w:right="1043"/>
        <w:jc w:val="both"/>
        <w:rPr>
          <w:rFonts w:ascii="Palatino Linotype" w:eastAsia="Palatino Linotype" w:hAnsi="Palatino Linotype" w:cs="Palatino Linotype"/>
          <w:i/>
          <w:sz w:val="22"/>
          <w:szCs w:val="22"/>
          <w:lang w:val="es-ES"/>
        </w:rPr>
      </w:pPr>
      <w:r w:rsidRPr="00095A2C">
        <w:rPr>
          <w:rFonts w:ascii="Palatino Linotype" w:eastAsia="Palatino Linotype" w:hAnsi="Palatino Linotype" w:cs="Palatino Linotype"/>
          <w:b/>
          <w:i/>
          <w:sz w:val="22"/>
          <w:szCs w:val="22"/>
          <w:lang w:val="es-ES"/>
        </w:rPr>
        <w:t>VIII. Aprobar, modificar o revocar la clasificación de la información</w:t>
      </w:r>
      <w:r w:rsidRPr="00095A2C">
        <w:rPr>
          <w:rFonts w:ascii="Palatino Linotype" w:eastAsia="Palatino Linotype" w:hAnsi="Palatino Linotype" w:cs="Palatino Linotype"/>
          <w:i/>
          <w:sz w:val="22"/>
          <w:szCs w:val="22"/>
          <w:lang w:val="es-ES"/>
        </w:rPr>
        <w:t>…”</w:t>
      </w:r>
    </w:p>
    <w:p w14:paraId="7E1B8107" w14:textId="77777777" w:rsidR="0095682B" w:rsidRPr="00095A2C" w:rsidRDefault="0095682B" w:rsidP="0095682B">
      <w:pPr>
        <w:ind w:left="992" w:right="1043"/>
        <w:jc w:val="both"/>
        <w:rPr>
          <w:rFonts w:ascii="Palatino Linotype" w:eastAsia="Palatino Linotype" w:hAnsi="Palatino Linotype" w:cs="Palatino Linotype"/>
          <w:i/>
          <w:sz w:val="22"/>
          <w:szCs w:val="22"/>
          <w:lang w:val="es-ES"/>
        </w:rPr>
      </w:pPr>
      <w:r w:rsidRPr="00095A2C">
        <w:rPr>
          <w:rFonts w:ascii="Palatino Linotype" w:eastAsia="Palatino Linotype" w:hAnsi="Palatino Linotype" w:cs="Palatino Linotype"/>
          <w:i/>
          <w:sz w:val="22"/>
          <w:szCs w:val="22"/>
          <w:lang w:val="es-ES"/>
        </w:rPr>
        <w:t>“</w:t>
      </w:r>
      <w:r w:rsidRPr="00095A2C">
        <w:rPr>
          <w:rFonts w:ascii="Palatino Linotype" w:eastAsia="Palatino Linotype" w:hAnsi="Palatino Linotype" w:cs="Palatino Linotype"/>
          <w:b/>
          <w:i/>
          <w:sz w:val="22"/>
          <w:szCs w:val="22"/>
          <w:lang w:val="es-ES"/>
        </w:rPr>
        <w:t>Artículo 53.</w:t>
      </w:r>
      <w:r w:rsidRPr="00095A2C">
        <w:rPr>
          <w:rFonts w:ascii="Palatino Linotype" w:eastAsia="Palatino Linotype" w:hAnsi="Palatino Linotype" w:cs="Palatino Linotype"/>
          <w:i/>
          <w:sz w:val="22"/>
          <w:szCs w:val="22"/>
          <w:lang w:val="es-ES"/>
        </w:rPr>
        <w:t xml:space="preserve"> Las </w:t>
      </w:r>
      <w:r w:rsidRPr="00095A2C">
        <w:rPr>
          <w:rFonts w:ascii="Palatino Linotype" w:eastAsia="Palatino Linotype" w:hAnsi="Palatino Linotype" w:cs="Palatino Linotype"/>
          <w:b/>
          <w:i/>
          <w:sz w:val="22"/>
          <w:szCs w:val="22"/>
          <w:lang w:val="es-ES"/>
        </w:rPr>
        <w:t>Unidades de Transparencia</w:t>
      </w:r>
      <w:r w:rsidRPr="00095A2C">
        <w:rPr>
          <w:rFonts w:ascii="Palatino Linotype" w:eastAsia="Palatino Linotype" w:hAnsi="Palatino Linotype" w:cs="Palatino Linotype"/>
          <w:i/>
          <w:sz w:val="22"/>
          <w:szCs w:val="22"/>
          <w:lang w:val="es-ES"/>
        </w:rPr>
        <w:t xml:space="preserve"> tendrán las siguientes </w:t>
      </w:r>
      <w:r w:rsidRPr="00095A2C">
        <w:rPr>
          <w:rFonts w:ascii="Palatino Linotype" w:eastAsia="Palatino Linotype" w:hAnsi="Palatino Linotype" w:cs="Palatino Linotype"/>
          <w:b/>
          <w:i/>
          <w:sz w:val="22"/>
          <w:szCs w:val="22"/>
          <w:lang w:val="es-ES"/>
        </w:rPr>
        <w:t>funciones</w:t>
      </w:r>
      <w:r w:rsidRPr="00095A2C">
        <w:rPr>
          <w:rFonts w:ascii="Palatino Linotype" w:eastAsia="Palatino Linotype" w:hAnsi="Palatino Linotype" w:cs="Palatino Linotype"/>
          <w:i/>
          <w:sz w:val="22"/>
          <w:szCs w:val="22"/>
          <w:lang w:val="es-ES"/>
        </w:rPr>
        <w:t>:</w:t>
      </w:r>
    </w:p>
    <w:p w14:paraId="0031DA77" w14:textId="77777777" w:rsidR="0095682B" w:rsidRPr="00095A2C" w:rsidRDefault="0095682B" w:rsidP="0095682B">
      <w:pPr>
        <w:ind w:left="992" w:right="1043"/>
        <w:jc w:val="both"/>
        <w:rPr>
          <w:rFonts w:ascii="Palatino Linotype" w:eastAsia="Palatino Linotype" w:hAnsi="Palatino Linotype" w:cs="Palatino Linotype"/>
          <w:i/>
          <w:sz w:val="22"/>
          <w:szCs w:val="22"/>
          <w:lang w:val="es-ES"/>
        </w:rPr>
      </w:pPr>
      <w:r w:rsidRPr="00095A2C">
        <w:rPr>
          <w:rFonts w:ascii="Palatino Linotype" w:eastAsia="Palatino Linotype" w:hAnsi="Palatino Linotype" w:cs="Palatino Linotype"/>
          <w:b/>
          <w:i/>
          <w:sz w:val="22"/>
          <w:szCs w:val="22"/>
          <w:lang w:val="es-ES"/>
        </w:rPr>
        <w:t>X. Presentar ante el Comité, el proyecto de clasificación de información</w:t>
      </w:r>
      <w:r w:rsidRPr="00095A2C">
        <w:rPr>
          <w:rFonts w:ascii="Palatino Linotype" w:eastAsia="Palatino Linotype" w:hAnsi="Palatino Linotype" w:cs="Palatino Linotype"/>
          <w:i/>
          <w:sz w:val="22"/>
          <w:szCs w:val="22"/>
          <w:lang w:val="es-ES"/>
        </w:rPr>
        <w:t xml:space="preserve">…” </w:t>
      </w:r>
    </w:p>
    <w:p w14:paraId="1396B085" w14:textId="77777777" w:rsidR="0095682B" w:rsidRPr="00095A2C" w:rsidRDefault="0095682B" w:rsidP="0095682B">
      <w:pPr>
        <w:ind w:left="992" w:right="1043"/>
        <w:jc w:val="both"/>
        <w:rPr>
          <w:rFonts w:ascii="Palatino Linotype" w:eastAsia="Palatino Linotype" w:hAnsi="Palatino Linotype" w:cs="Palatino Linotype"/>
          <w:i/>
          <w:sz w:val="22"/>
          <w:szCs w:val="22"/>
          <w:lang w:val="es-ES"/>
        </w:rPr>
      </w:pPr>
      <w:r w:rsidRPr="00095A2C">
        <w:rPr>
          <w:rFonts w:ascii="Palatino Linotype" w:eastAsia="Palatino Linotype" w:hAnsi="Palatino Linotype" w:cs="Palatino Linotype"/>
          <w:b/>
          <w:i/>
          <w:sz w:val="22"/>
          <w:szCs w:val="22"/>
          <w:lang w:val="es-ES"/>
        </w:rPr>
        <w:t>“Artículo 59.</w:t>
      </w:r>
      <w:r w:rsidRPr="00095A2C">
        <w:rPr>
          <w:rFonts w:ascii="Palatino Linotype" w:eastAsia="Palatino Linotype" w:hAnsi="Palatino Linotype" w:cs="Palatino Linotype"/>
          <w:i/>
          <w:sz w:val="22"/>
          <w:szCs w:val="22"/>
          <w:lang w:val="es-ES"/>
        </w:rPr>
        <w:t xml:space="preserve"> Los </w:t>
      </w:r>
      <w:r w:rsidRPr="00095A2C">
        <w:rPr>
          <w:rFonts w:ascii="Palatino Linotype" w:eastAsia="Palatino Linotype" w:hAnsi="Palatino Linotype" w:cs="Palatino Linotype"/>
          <w:b/>
          <w:i/>
          <w:sz w:val="22"/>
          <w:szCs w:val="22"/>
          <w:lang w:val="es-ES"/>
        </w:rPr>
        <w:t>servidores públicos habilitados</w:t>
      </w:r>
      <w:r w:rsidRPr="00095A2C">
        <w:rPr>
          <w:rFonts w:ascii="Palatino Linotype" w:eastAsia="Palatino Linotype" w:hAnsi="Palatino Linotype" w:cs="Palatino Linotype"/>
          <w:i/>
          <w:sz w:val="22"/>
          <w:szCs w:val="22"/>
          <w:lang w:val="es-ES"/>
        </w:rPr>
        <w:t xml:space="preserve"> tendrán las </w:t>
      </w:r>
      <w:r w:rsidRPr="00095A2C">
        <w:rPr>
          <w:rFonts w:ascii="Palatino Linotype" w:eastAsia="Palatino Linotype" w:hAnsi="Palatino Linotype" w:cs="Palatino Linotype"/>
          <w:b/>
          <w:i/>
          <w:sz w:val="22"/>
          <w:szCs w:val="22"/>
          <w:lang w:val="es-ES"/>
        </w:rPr>
        <w:t>funciones</w:t>
      </w:r>
      <w:r w:rsidRPr="00095A2C">
        <w:rPr>
          <w:rFonts w:ascii="Palatino Linotype" w:eastAsia="Palatino Linotype" w:hAnsi="Palatino Linotype" w:cs="Palatino Linotype"/>
          <w:i/>
          <w:sz w:val="22"/>
          <w:szCs w:val="22"/>
          <w:lang w:val="es-ES"/>
        </w:rPr>
        <w:t xml:space="preserve"> siguientes:</w:t>
      </w:r>
    </w:p>
    <w:p w14:paraId="16FE9505" w14:textId="77777777" w:rsidR="0095682B" w:rsidRPr="00095A2C" w:rsidRDefault="0095682B" w:rsidP="0095682B">
      <w:pPr>
        <w:ind w:left="992" w:right="1043"/>
        <w:jc w:val="both"/>
        <w:rPr>
          <w:rFonts w:ascii="Palatino Linotype" w:eastAsia="Palatino Linotype" w:hAnsi="Palatino Linotype" w:cs="Palatino Linotype"/>
          <w:i/>
          <w:sz w:val="22"/>
          <w:szCs w:val="22"/>
          <w:lang w:val="es-ES"/>
        </w:rPr>
      </w:pPr>
      <w:r w:rsidRPr="00095A2C">
        <w:rPr>
          <w:rFonts w:ascii="Palatino Linotype" w:eastAsia="Palatino Linotype" w:hAnsi="Palatino Linotype" w:cs="Palatino Linotype"/>
          <w:b/>
          <w:i/>
          <w:sz w:val="22"/>
          <w:szCs w:val="22"/>
          <w:lang w:val="es-ES"/>
        </w:rPr>
        <w:t>V. Integrar y presentar al responsable de la Unidad de Transparencia la propuesta de clasificación de información</w:t>
      </w:r>
      <w:r w:rsidRPr="00095A2C">
        <w:rPr>
          <w:rFonts w:ascii="Palatino Linotype" w:eastAsia="Palatino Linotype" w:hAnsi="Palatino Linotype" w:cs="Palatino Linotype"/>
          <w:i/>
          <w:sz w:val="22"/>
          <w:szCs w:val="22"/>
          <w:lang w:val="es-ES"/>
        </w:rPr>
        <w:t xml:space="preserve">, la cual tendrá los fundamentos y argumentos en que se basa dicha propuesta…” </w:t>
      </w:r>
    </w:p>
    <w:p w14:paraId="3FA7933A" w14:textId="77777777" w:rsidR="0095682B" w:rsidRPr="00095A2C" w:rsidRDefault="0095682B" w:rsidP="0095682B">
      <w:pPr>
        <w:ind w:left="992" w:right="1043"/>
        <w:jc w:val="both"/>
        <w:rPr>
          <w:rFonts w:ascii="Palatino Linotype" w:eastAsia="Palatino Linotype" w:hAnsi="Palatino Linotype" w:cs="Palatino Linotype"/>
          <w:i/>
          <w:sz w:val="22"/>
          <w:szCs w:val="22"/>
          <w:lang w:val="es-ES"/>
        </w:rPr>
      </w:pPr>
    </w:p>
    <w:p w14:paraId="1AC7DCC3" w14:textId="77777777" w:rsidR="0095682B" w:rsidRPr="00095A2C" w:rsidRDefault="0095682B" w:rsidP="0095682B">
      <w:pPr>
        <w:spacing w:line="360" w:lineRule="auto"/>
        <w:jc w:val="both"/>
        <w:rPr>
          <w:rFonts w:ascii="Palatino Linotype" w:eastAsia="Palatino Linotype" w:hAnsi="Palatino Linotype" w:cs="Palatino Linotype"/>
          <w:sz w:val="22"/>
          <w:szCs w:val="22"/>
          <w:lang w:val="es-ES"/>
        </w:rPr>
      </w:pPr>
      <w:r w:rsidRPr="00095A2C">
        <w:rPr>
          <w:rFonts w:ascii="Palatino Linotype" w:eastAsia="Palatino Linotype" w:hAnsi="Palatino Linotype" w:cs="Palatino Linotype"/>
          <w:sz w:val="22"/>
          <w:szCs w:val="22"/>
          <w:lang w:val="es-ES"/>
        </w:rPr>
        <w:lastRenderedPageBreak/>
        <w:t>Denotándose de dichos elementos normativos que el determinar la clasificación de la información es un trabajo en conjunto tanto de los Servidores Públicos Habilitados, de las Unidades de Transparencia y del Comité de Transparencia del Sujeto Obligado, teniendo el deber los primeros de ellos de presentar ante la Unidad de Transparencia la propuesta de la clasificación de la información, para que luego ésta presente ante al Comité de Transparencia de así resultar procedente el proyecto de clasificación de la información y finalmente sea éste último quien apruebe, modifique o revoque la clasificación de la información solicitada.</w:t>
      </w:r>
    </w:p>
    <w:p w14:paraId="006CF5D7" w14:textId="77777777" w:rsidR="0095682B" w:rsidRPr="00095A2C" w:rsidRDefault="0095682B" w:rsidP="0095682B">
      <w:pPr>
        <w:spacing w:line="360" w:lineRule="auto"/>
        <w:jc w:val="both"/>
        <w:rPr>
          <w:rFonts w:ascii="Palatino Linotype" w:eastAsia="Palatino Linotype" w:hAnsi="Palatino Linotype" w:cs="Palatino Linotype"/>
          <w:sz w:val="22"/>
          <w:szCs w:val="22"/>
          <w:lang w:val="es-ES"/>
        </w:rPr>
      </w:pPr>
    </w:p>
    <w:p w14:paraId="6F1FFA24" w14:textId="77777777" w:rsidR="0095682B" w:rsidRPr="00095A2C" w:rsidRDefault="0095682B" w:rsidP="0095682B">
      <w:pPr>
        <w:spacing w:line="360" w:lineRule="auto"/>
        <w:jc w:val="both"/>
        <w:rPr>
          <w:rFonts w:ascii="Palatino Linotype" w:eastAsia="Palatino Linotype" w:hAnsi="Palatino Linotype" w:cs="Palatino Linotype"/>
          <w:sz w:val="22"/>
          <w:szCs w:val="22"/>
          <w:lang w:val="es-ES"/>
        </w:rPr>
      </w:pPr>
      <w:r w:rsidRPr="00095A2C">
        <w:rPr>
          <w:rFonts w:ascii="Palatino Linotype" w:eastAsia="Palatino Linotype" w:hAnsi="Palatino Linotype" w:cs="Palatino Linotype"/>
          <w:sz w:val="22"/>
          <w:szCs w:val="22"/>
          <w:lang w:val="es-ES"/>
        </w:rPr>
        <w:t>Para lo cual, a su vez en el caso de información de carácter confidencial, se debe atender a lo que señala el artículo 149 de la Ley de Transparencia Local vigente, que se lee como sigue:</w:t>
      </w:r>
    </w:p>
    <w:p w14:paraId="38CC2A65" w14:textId="77777777" w:rsidR="0095682B" w:rsidRPr="00095A2C" w:rsidRDefault="0095682B" w:rsidP="0095682B">
      <w:pPr>
        <w:spacing w:after="240"/>
        <w:ind w:left="993" w:right="1041"/>
        <w:jc w:val="both"/>
        <w:rPr>
          <w:rFonts w:ascii="Palatino Linotype" w:eastAsia="Palatino Linotype" w:hAnsi="Palatino Linotype" w:cs="Palatino Linotype"/>
          <w:i/>
          <w:sz w:val="22"/>
          <w:szCs w:val="22"/>
          <w:lang w:val="es-ES"/>
        </w:rPr>
      </w:pPr>
      <w:r w:rsidRPr="00095A2C">
        <w:rPr>
          <w:rFonts w:ascii="Palatino Linotype" w:eastAsia="Palatino Linotype" w:hAnsi="Palatino Linotype" w:cs="Palatino Linotype"/>
          <w:i/>
          <w:sz w:val="22"/>
          <w:szCs w:val="22"/>
          <w:lang w:val="es-ES"/>
        </w:rPr>
        <w:t>“</w:t>
      </w:r>
      <w:r w:rsidRPr="00095A2C">
        <w:rPr>
          <w:rFonts w:ascii="Palatino Linotype" w:eastAsia="Palatino Linotype" w:hAnsi="Palatino Linotype" w:cs="Palatino Linotype"/>
          <w:b/>
          <w:i/>
          <w:sz w:val="22"/>
          <w:szCs w:val="22"/>
          <w:lang w:val="es-ES"/>
        </w:rPr>
        <w:t>Artículo 149.</w:t>
      </w:r>
      <w:r w:rsidRPr="00095A2C">
        <w:rPr>
          <w:rFonts w:ascii="Palatino Linotype" w:eastAsia="Palatino Linotype" w:hAnsi="Palatino Linotype" w:cs="Palatino Linotype"/>
          <w:i/>
          <w:sz w:val="22"/>
          <w:szCs w:val="22"/>
          <w:lang w:val="es-ES"/>
        </w:rPr>
        <w:t xml:space="preserve"> El </w:t>
      </w:r>
      <w:r w:rsidRPr="00095A2C">
        <w:rPr>
          <w:rFonts w:ascii="Palatino Linotype" w:eastAsia="Palatino Linotype" w:hAnsi="Palatino Linotype" w:cs="Palatino Linotype"/>
          <w:b/>
          <w:i/>
          <w:sz w:val="22"/>
          <w:szCs w:val="22"/>
          <w:lang w:val="es-ES"/>
        </w:rPr>
        <w:t>acuerdo que clasifique la información como confidencial</w:t>
      </w:r>
      <w:r w:rsidRPr="00095A2C">
        <w:rPr>
          <w:rFonts w:ascii="Palatino Linotype" w:eastAsia="Palatino Linotype" w:hAnsi="Palatino Linotype" w:cs="Palatino Linotype"/>
          <w:i/>
          <w:sz w:val="22"/>
          <w:szCs w:val="22"/>
          <w:lang w:val="es-ES"/>
        </w:rPr>
        <w:t xml:space="preserve"> deberá contener un razonamiento lógico en el que demuestre que la información se encuentra en alguna o algunas de las hipótesis previstas en la presente Ley.”</w:t>
      </w:r>
    </w:p>
    <w:p w14:paraId="0B8338B1" w14:textId="77777777" w:rsidR="0095682B" w:rsidRPr="00095A2C" w:rsidRDefault="0095682B" w:rsidP="0095682B">
      <w:pPr>
        <w:spacing w:line="360" w:lineRule="auto"/>
        <w:ind w:right="51"/>
        <w:jc w:val="both"/>
        <w:rPr>
          <w:rFonts w:ascii="Palatino Linotype" w:eastAsia="Palatino Linotype" w:hAnsi="Palatino Linotype" w:cs="Palatino Linotype"/>
          <w:sz w:val="22"/>
          <w:szCs w:val="22"/>
          <w:lang w:val="es-ES"/>
        </w:rPr>
      </w:pPr>
      <w:r w:rsidRPr="00095A2C">
        <w:rPr>
          <w:rFonts w:ascii="Palatino Linotype" w:eastAsia="Palatino Linotype" w:hAnsi="Palatino Linotype" w:cs="Palatino Linotype"/>
          <w:sz w:val="22"/>
          <w:szCs w:val="22"/>
          <w:lang w:val="es-ES"/>
        </w:rPr>
        <w:t xml:space="preserve">Es decir, el </w:t>
      </w:r>
      <w:r w:rsidRPr="00095A2C">
        <w:rPr>
          <w:rFonts w:ascii="Palatino Linotype" w:eastAsia="Palatino Linotype" w:hAnsi="Palatino Linotype" w:cs="Palatino Linotype"/>
          <w:b/>
          <w:sz w:val="22"/>
          <w:szCs w:val="22"/>
          <w:lang w:val="es-ES"/>
        </w:rPr>
        <w:t>Sujeto Obligado</w:t>
      </w:r>
      <w:r w:rsidRPr="00095A2C">
        <w:rPr>
          <w:rFonts w:ascii="Palatino Linotype" w:eastAsia="Palatino Linotype" w:hAnsi="Palatino Linotype" w:cs="Palatino Linotype"/>
          <w:sz w:val="22"/>
          <w:szCs w:val="22"/>
          <w:lang w:val="es-ES"/>
        </w:rPr>
        <w:t xml:space="preserve"> a través de su Comité de Transparencia, deberá elaborar acuerdo que contenga un razonamiento lógico con el que se demuestre que la información que se testa de las versiones públicas que se sirva elaborar, encuadra en alguna de las hipótesis que contempla la Ley de la Materia en su artículo 143; ya que de lo contrario, se crearía la incertidumbre jurídica en relación a si lo entregado es formalmente una versión pública, o un documento ilegible, incompleto o tachado; en otras palabras si no se exponen de manera puntual las razones de la versión pública de la documentación entregada se estaría violentando el derecho de acceso a la información de la parte solicitante.</w:t>
      </w:r>
    </w:p>
    <w:p w14:paraId="4422832A" w14:textId="77777777" w:rsidR="0095682B" w:rsidRPr="00095A2C" w:rsidRDefault="0095682B" w:rsidP="0095682B">
      <w:pPr>
        <w:spacing w:line="360" w:lineRule="auto"/>
        <w:jc w:val="both"/>
        <w:rPr>
          <w:rFonts w:ascii="Palatino Linotype" w:eastAsia="Palatino Linotype" w:hAnsi="Palatino Linotype" w:cs="Palatino Linotype"/>
          <w:sz w:val="22"/>
          <w:szCs w:val="22"/>
          <w:lang w:val="es-ES"/>
        </w:rPr>
      </w:pPr>
    </w:p>
    <w:p w14:paraId="7B0ECA2E" w14:textId="77777777" w:rsidR="0095682B" w:rsidRPr="00095A2C" w:rsidRDefault="0095682B" w:rsidP="0095682B">
      <w:pPr>
        <w:spacing w:line="360" w:lineRule="auto"/>
        <w:jc w:val="both"/>
        <w:rPr>
          <w:rFonts w:ascii="Palatino Linotype" w:eastAsia="Palatino Linotype" w:hAnsi="Palatino Linotype" w:cs="Palatino Linotype"/>
          <w:sz w:val="22"/>
          <w:szCs w:val="22"/>
          <w:lang w:val="es-ES"/>
        </w:rPr>
      </w:pPr>
      <w:r w:rsidRPr="00095A2C">
        <w:rPr>
          <w:rFonts w:ascii="Palatino Linotype" w:eastAsia="Palatino Linotype" w:hAnsi="Palatino Linotype" w:cs="Palatino Linotype"/>
          <w:sz w:val="22"/>
          <w:szCs w:val="22"/>
          <w:lang w:val="es-ES"/>
        </w:rPr>
        <w:t xml:space="preserve">Al respecto, se destaca que la versión pública que elabore el </w:t>
      </w:r>
      <w:r w:rsidRPr="00095A2C">
        <w:rPr>
          <w:rFonts w:ascii="Palatino Linotype" w:eastAsia="Palatino Linotype" w:hAnsi="Palatino Linotype" w:cs="Palatino Linotype"/>
          <w:b/>
          <w:sz w:val="22"/>
          <w:szCs w:val="22"/>
          <w:lang w:val="es-ES"/>
        </w:rPr>
        <w:t>Sujeto Obligado</w:t>
      </w:r>
      <w:r w:rsidRPr="00095A2C">
        <w:rPr>
          <w:rFonts w:ascii="Palatino Linotype" w:eastAsia="Palatino Linotype" w:hAnsi="Palatino Linotype" w:cs="Palatino Linotype"/>
          <w:sz w:val="22"/>
          <w:szCs w:val="22"/>
          <w:lang w:val="es-ES"/>
        </w:rPr>
        <w:t xml:space="preserve"> debe cumplir con las formalidades exigidas en la Ley; es decir, resulta necesario que el Comité de Transparencia del Sujeto Obligado emita el Acuerdo de Clasificación correspondiente debidamente fundado y motivado, que sustente la versión pública, el cual deberá cumplir </w:t>
      </w:r>
      <w:r w:rsidRPr="00095A2C">
        <w:rPr>
          <w:rFonts w:ascii="Palatino Linotype" w:eastAsia="Palatino Linotype" w:hAnsi="Palatino Linotype" w:cs="Palatino Linotype"/>
          <w:sz w:val="22"/>
          <w:szCs w:val="22"/>
          <w:lang w:val="es-ES"/>
        </w:rPr>
        <w:lastRenderedPageBreak/>
        <w:t xml:space="preserve">cabalmente con las formalidades previstas en el artículo 137 de la Ley de Transparencia y Acceso a la Información Pública del Estado de México y Municipios, ya expuesto; así como con los numerales aplicables de los </w:t>
      </w:r>
      <w:r w:rsidRPr="00095A2C">
        <w:rPr>
          <w:rFonts w:ascii="Palatino Linotype" w:eastAsia="Palatino Linotype" w:hAnsi="Palatino Linotype" w:cs="Palatino Linotype"/>
          <w:b/>
          <w:sz w:val="22"/>
          <w:szCs w:val="22"/>
          <w:lang w:val="es-ES"/>
        </w:rPr>
        <w:t>LINEAMIENTOS GENERALES EN MATERIA DE CLASIFICACIÓN Y DESCLASIFICACIÓN DE LA INFORMACIÓN, ASÍ COMO PARA LA ELABORACIÓN DE VERSIONES PÚBLICAS</w:t>
      </w:r>
      <w:r w:rsidRPr="00095A2C">
        <w:rPr>
          <w:rFonts w:ascii="Palatino Linotype" w:eastAsia="Palatino Linotype" w:hAnsi="Palatino Linotype" w:cs="Palatino Linotype"/>
          <w:sz w:val="22"/>
          <w:szCs w:val="22"/>
          <w:lang w:val="es-ES"/>
        </w:rPr>
        <w:t>, publicados en el Diario Oficial de la Federación en fecha dieciocho de noviembre del año dos mil veintidós, mediante Acuerdo del Consejo Nacional del Sistema Nacional de Transparencia, Acceso a la Información Pública y Protección de Datos Personales, que literalmente expresan:</w:t>
      </w:r>
    </w:p>
    <w:p w14:paraId="016F4472" w14:textId="77777777" w:rsidR="0095682B" w:rsidRPr="00095A2C" w:rsidRDefault="0095682B" w:rsidP="0095682B">
      <w:pPr>
        <w:ind w:left="709" w:right="709"/>
        <w:jc w:val="both"/>
        <w:rPr>
          <w:rFonts w:ascii="Palatino Linotype" w:eastAsia="Palatino Linotype" w:hAnsi="Palatino Linotype" w:cs="Palatino Linotype"/>
          <w:b/>
          <w:i/>
          <w:sz w:val="22"/>
          <w:szCs w:val="22"/>
          <w:lang w:val="es-ES"/>
        </w:rPr>
      </w:pPr>
    </w:p>
    <w:p w14:paraId="24A17519" w14:textId="77777777" w:rsidR="0095682B" w:rsidRPr="00095A2C" w:rsidRDefault="0095682B" w:rsidP="0095682B">
      <w:pPr>
        <w:pBdr>
          <w:top w:val="nil"/>
          <w:left w:val="nil"/>
          <w:bottom w:val="nil"/>
          <w:right w:val="nil"/>
          <w:between w:val="nil"/>
        </w:pBdr>
        <w:ind w:left="709" w:right="709"/>
        <w:jc w:val="both"/>
        <w:rPr>
          <w:sz w:val="22"/>
          <w:szCs w:val="22"/>
          <w:lang w:val="es-ES"/>
        </w:rPr>
      </w:pPr>
      <w:r w:rsidRPr="00095A2C">
        <w:rPr>
          <w:rFonts w:ascii="Palatino Linotype" w:eastAsia="Palatino Linotype" w:hAnsi="Palatino Linotype" w:cs="Palatino Linotype"/>
          <w:b/>
          <w:i/>
          <w:sz w:val="22"/>
          <w:szCs w:val="22"/>
          <w:lang w:val="es-ES"/>
        </w:rPr>
        <w:t>“Lineamientos Generales en materia de Clasificación y Desclasificación de la Información, así como para la elaboración de Versiones Públicas.</w:t>
      </w:r>
    </w:p>
    <w:p w14:paraId="611615F3" w14:textId="77777777" w:rsidR="0095682B" w:rsidRPr="00095A2C" w:rsidRDefault="0095682B" w:rsidP="0095682B">
      <w:pPr>
        <w:pBdr>
          <w:top w:val="nil"/>
          <w:left w:val="nil"/>
          <w:bottom w:val="nil"/>
          <w:right w:val="nil"/>
          <w:between w:val="nil"/>
        </w:pBdr>
        <w:ind w:left="709" w:right="709"/>
        <w:jc w:val="both"/>
        <w:rPr>
          <w:sz w:val="22"/>
          <w:szCs w:val="22"/>
          <w:lang w:val="es-ES"/>
        </w:rPr>
      </w:pPr>
      <w:r w:rsidRPr="00095A2C">
        <w:rPr>
          <w:rFonts w:ascii="Palatino Linotype" w:eastAsia="Palatino Linotype" w:hAnsi="Palatino Linotype" w:cs="Palatino Linotype"/>
          <w:i/>
          <w:sz w:val="22"/>
          <w:szCs w:val="22"/>
          <w:lang w:val="es-ES"/>
        </w:rPr>
        <w:t>“</w:t>
      </w:r>
      <w:r w:rsidRPr="00095A2C">
        <w:rPr>
          <w:rFonts w:ascii="Palatino Linotype" w:eastAsia="Palatino Linotype" w:hAnsi="Palatino Linotype" w:cs="Palatino Linotype"/>
          <w:b/>
          <w:i/>
          <w:sz w:val="22"/>
          <w:szCs w:val="22"/>
          <w:lang w:val="es-ES"/>
        </w:rPr>
        <w:t>Segundo.-</w:t>
      </w:r>
      <w:r w:rsidRPr="00095A2C">
        <w:rPr>
          <w:rFonts w:ascii="Palatino Linotype" w:eastAsia="Palatino Linotype" w:hAnsi="Palatino Linotype" w:cs="Palatino Linotype"/>
          <w:i/>
          <w:sz w:val="22"/>
          <w:szCs w:val="22"/>
          <w:lang w:val="es-ES"/>
        </w:rPr>
        <w:t xml:space="preserve"> Para efectos de los presentes Lineamientos Generales, se entenderá por:</w:t>
      </w:r>
    </w:p>
    <w:p w14:paraId="2754F6C4" w14:textId="77777777" w:rsidR="0095682B" w:rsidRPr="00095A2C" w:rsidRDefault="0095682B" w:rsidP="0095682B">
      <w:pPr>
        <w:pBdr>
          <w:top w:val="nil"/>
          <w:left w:val="nil"/>
          <w:bottom w:val="nil"/>
          <w:right w:val="nil"/>
          <w:between w:val="nil"/>
        </w:pBdr>
        <w:ind w:left="709" w:right="709"/>
        <w:jc w:val="both"/>
        <w:rPr>
          <w:sz w:val="22"/>
          <w:szCs w:val="22"/>
          <w:lang w:val="es-ES"/>
        </w:rPr>
      </w:pPr>
      <w:r w:rsidRPr="00095A2C">
        <w:rPr>
          <w:rFonts w:ascii="Palatino Linotype" w:eastAsia="Palatino Linotype" w:hAnsi="Palatino Linotype" w:cs="Palatino Linotype"/>
          <w:b/>
          <w:i/>
          <w:sz w:val="22"/>
          <w:szCs w:val="22"/>
          <w:lang w:val="es-ES"/>
        </w:rPr>
        <w:t>XVIII.</w:t>
      </w:r>
      <w:r w:rsidRPr="00095A2C">
        <w:rPr>
          <w:rFonts w:ascii="Palatino Linotype" w:eastAsia="Palatino Linotype" w:hAnsi="Palatino Linotype" w:cs="Palatino Linotype"/>
          <w:i/>
          <w:sz w:val="22"/>
          <w:szCs w:val="22"/>
          <w:lang w:val="es-ES"/>
        </w:rPr>
        <w:t xml:space="preserve"> </w:t>
      </w:r>
      <w:r w:rsidRPr="00095A2C">
        <w:rPr>
          <w:rFonts w:ascii="Palatino Linotype" w:eastAsia="Palatino Linotype" w:hAnsi="Palatino Linotype" w:cs="Palatino Linotype"/>
          <w:b/>
          <w:i/>
          <w:sz w:val="22"/>
          <w:szCs w:val="22"/>
          <w:lang w:val="es-ES"/>
        </w:rPr>
        <w:t>Versión pública:</w:t>
      </w:r>
      <w:r w:rsidRPr="00095A2C">
        <w:rPr>
          <w:rFonts w:ascii="Palatino Linotype" w:eastAsia="Palatino Linotype" w:hAnsi="Palatino Linotype" w:cs="Palatino Linotype"/>
          <w:i/>
          <w:sz w:val="22"/>
          <w:szCs w:val="22"/>
          <w:lang w:val="es-ES"/>
        </w:rPr>
        <w:t xml:space="preserve"> El documento a partir del que se otorga acceso a la información, en el que se testan partes o secciones clasificadas, indicando el contenido de éstas de manera genérica, </w:t>
      </w:r>
      <w:r w:rsidRPr="00095A2C">
        <w:rPr>
          <w:rFonts w:ascii="Palatino Linotype" w:eastAsia="Palatino Linotype" w:hAnsi="Palatino Linotype" w:cs="Palatino Linotype"/>
          <w:b/>
          <w:i/>
          <w:sz w:val="22"/>
          <w:szCs w:val="22"/>
          <w:u w:val="single"/>
          <w:lang w:val="es-ES"/>
        </w:rPr>
        <w:t>fundando y motivando la</w:t>
      </w:r>
      <w:r w:rsidRPr="00095A2C">
        <w:rPr>
          <w:rFonts w:ascii="Palatino Linotype" w:eastAsia="Palatino Linotype" w:hAnsi="Palatino Linotype" w:cs="Palatino Linotype"/>
          <w:i/>
          <w:sz w:val="22"/>
          <w:szCs w:val="22"/>
          <w:lang w:val="es-ES"/>
        </w:rPr>
        <w:t xml:space="preserve"> reserva o </w:t>
      </w:r>
      <w:r w:rsidRPr="00095A2C">
        <w:rPr>
          <w:rFonts w:ascii="Palatino Linotype" w:eastAsia="Palatino Linotype" w:hAnsi="Palatino Linotype" w:cs="Palatino Linotype"/>
          <w:b/>
          <w:i/>
          <w:sz w:val="22"/>
          <w:szCs w:val="22"/>
          <w:u w:val="single"/>
          <w:lang w:val="es-ES"/>
        </w:rPr>
        <w:t>confidencialidad</w:t>
      </w:r>
      <w:r w:rsidRPr="00095A2C">
        <w:rPr>
          <w:rFonts w:ascii="Palatino Linotype" w:eastAsia="Palatino Linotype" w:hAnsi="Palatino Linotype" w:cs="Palatino Linotype"/>
          <w:i/>
          <w:sz w:val="22"/>
          <w:szCs w:val="22"/>
          <w:lang w:val="es-ES"/>
        </w:rPr>
        <w:t>, a través de la resolución que para tal efecto emita el Comité de Transparencia.</w:t>
      </w:r>
    </w:p>
    <w:p w14:paraId="018B7328" w14:textId="77777777" w:rsidR="0095682B" w:rsidRPr="00095A2C" w:rsidRDefault="0095682B" w:rsidP="0095682B">
      <w:pPr>
        <w:pBdr>
          <w:top w:val="nil"/>
          <w:left w:val="nil"/>
          <w:bottom w:val="nil"/>
          <w:right w:val="nil"/>
          <w:between w:val="nil"/>
        </w:pBdr>
        <w:ind w:left="709" w:right="709"/>
        <w:jc w:val="both"/>
        <w:rPr>
          <w:sz w:val="22"/>
          <w:szCs w:val="22"/>
          <w:lang w:val="es-ES"/>
        </w:rPr>
      </w:pPr>
      <w:r w:rsidRPr="00095A2C">
        <w:rPr>
          <w:rFonts w:ascii="Palatino Linotype" w:eastAsia="Palatino Linotype" w:hAnsi="Palatino Linotype" w:cs="Palatino Linotype"/>
          <w:b/>
          <w:i/>
          <w:sz w:val="22"/>
          <w:szCs w:val="22"/>
          <w:lang w:val="es-ES"/>
        </w:rPr>
        <w:t>Cuarto.</w:t>
      </w:r>
      <w:r w:rsidRPr="00095A2C">
        <w:rPr>
          <w:rFonts w:ascii="Palatino Linotype" w:eastAsia="Palatino Linotype" w:hAnsi="Palatino Linotype" w:cs="Palatino Linotype"/>
          <w:i/>
          <w:sz w:val="22"/>
          <w:szCs w:val="22"/>
          <w:lang w:val="es-ES"/>
        </w:rPr>
        <w:t xml:space="preserve"> Para clasificar la información como reservada o confidencial, de manera total o parcial, el titular del área del sujeto obligado deberá atender lo dispuesto por el Título Sexto de la Ley General, en relación con las disposiciones contenidas en los presentes lineamientos, así como en aquellas disposiciones legales aplicables a la materia en el ámbito de sus respectivas competencias, en tanto estas últimas no contravengan lo dispuesto en la Ley General.</w:t>
      </w:r>
    </w:p>
    <w:p w14:paraId="5DCD709D" w14:textId="77777777" w:rsidR="0095682B" w:rsidRPr="00095A2C" w:rsidRDefault="0095682B" w:rsidP="0095682B">
      <w:pPr>
        <w:pBdr>
          <w:top w:val="nil"/>
          <w:left w:val="nil"/>
          <w:bottom w:val="nil"/>
          <w:right w:val="nil"/>
          <w:between w:val="nil"/>
        </w:pBdr>
        <w:ind w:left="709" w:right="709"/>
        <w:jc w:val="both"/>
        <w:rPr>
          <w:sz w:val="22"/>
          <w:szCs w:val="22"/>
          <w:lang w:val="es-ES"/>
        </w:rPr>
      </w:pPr>
      <w:r w:rsidRPr="00095A2C">
        <w:rPr>
          <w:rFonts w:ascii="Palatino Linotype" w:eastAsia="Palatino Linotype" w:hAnsi="Palatino Linotype" w:cs="Palatino Linotype"/>
          <w:i/>
          <w:sz w:val="22"/>
          <w:szCs w:val="22"/>
          <w:lang w:val="es-ES"/>
        </w:rPr>
        <w:t>Los sujetos obligados deberán aplicar, de manera estricta, las excepciones al derecho de acceso a la información y sólo podrán invocarlas cuando acrediten su procedencia.</w:t>
      </w:r>
    </w:p>
    <w:p w14:paraId="2D6621E3" w14:textId="77777777" w:rsidR="0095682B" w:rsidRPr="00095A2C" w:rsidRDefault="0095682B" w:rsidP="0095682B">
      <w:pPr>
        <w:pBdr>
          <w:top w:val="nil"/>
          <w:left w:val="nil"/>
          <w:bottom w:val="nil"/>
          <w:right w:val="nil"/>
          <w:between w:val="nil"/>
        </w:pBdr>
        <w:ind w:left="709" w:right="709"/>
        <w:jc w:val="both"/>
        <w:rPr>
          <w:sz w:val="22"/>
          <w:szCs w:val="22"/>
          <w:lang w:val="es-ES"/>
        </w:rPr>
      </w:pPr>
      <w:r w:rsidRPr="00095A2C">
        <w:rPr>
          <w:rFonts w:ascii="Palatino Linotype" w:eastAsia="Palatino Linotype" w:hAnsi="Palatino Linotype" w:cs="Palatino Linotype"/>
          <w:b/>
          <w:i/>
          <w:sz w:val="22"/>
          <w:szCs w:val="22"/>
          <w:lang w:val="es-ES"/>
        </w:rPr>
        <w:t>Quinto.</w:t>
      </w:r>
      <w:r w:rsidRPr="00095A2C">
        <w:rPr>
          <w:rFonts w:ascii="Palatino Linotype" w:eastAsia="Palatino Linotype" w:hAnsi="Palatino Linotype" w:cs="Palatino Linotype"/>
          <w:i/>
          <w:sz w:val="22"/>
          <w:szCs w:val="22"/>
          <w:lang w:val="es-ES"/>
        </w:rPr>
        <w:t xml:space="preserve"> La carga de la prueba para justificar toda negativa de acceso a la información, por actualizarse cualquiera de los supuestos de clasificación previstos en la Ley General, la Ley Federal y leyes estatales, corresponderá a los sujetos obligados, por lo que deberán fundar y motivar debidamente la clasificación de la información ante una solicitud de acceso o al momento en que generen versiones públicas para dar cumplimiento a las obligaciones de transparencia, observando lo dispuesto en la Ley General y las demás disposiciones aplicables en la materia.</w:t>
      </w:r>
    </w:p>
    <w:p w14:paraId="422EC127" w14:textId="77777777" w:rsidR="0095682B" w:rsidRPr="00095A2C" w:rsidRDefault="0095682B" w:rsidP="0095682B">
      <w:pPr>
        <w:pBdr>
          <w:top w:val="nil"/>
          <w:left w:val="nil"/>
          <w:bottom w:val="nil"/>
          <w:right w:val="nil"/>
          <w:between w:val="nil"/>
        </w:pBdr>
        <w:ind w:left="709" w:right="709"/>
        <w:jc w:val="both"/>
        <w:rPr>
          <w:sz w:val="22"/>
          <w:szCs w:val="22"/>
          <w:lang w:val="es-ES"/>
        </w:rPr>
      </w:pPr>
      <w:r w:rsidRPr="00095A2C">
        <w:rPr>
          <w:rFonts w:ascii="Palatino Linotype" w:eastAsia="Palatino Linotype" w:hAnsi="Palatino Linotype" w:cs="Palatino Linotype"/>
          <w:b/>
          <w:i/>
          <w:sz w:val="22"/>
          <w:szCs w:val="22"/>
          <w:lang w:val="es-ES"/>
        </w:rPr>
        <w:t>…</w:t>
      </w:r>
    </w:p>
    <w:p w14:paraId="16B4DE25" w14:textId="77777777" w:rsidR="0095682B" w:rsidRPr="00095A2C" w:rsidRDefault="0095682B" w:rsidP="0095682B">
      <w:pPr>
        <w:pBdr>
          <w:top w:val="nil"/>
          <w:left w:val="nil"/>
          <w:bottom w:val="nil"/>
          <w:right w:val="nil"/>
          <w:between w:val="nil"/>
        </w:pBdr>
        <w:ind w:left="709" w:right="709"/>
        <w:jc w:val="both"/>
        <w:rPr>
          <w:sz w:val="22"/>
          <w:szCs w:val="22"/>
          <w:lang w:val="es-ES"/>
        </w:rPr>
      </w:pPr>
      <w:r w:rsidRPr="00095A2C">
        <w:rPr>
          <w:rFonts w:ascii="Palatino Linotype" w:eastAsia="Palatino Linotype" w:hAnsi="Palatino Linotype" w:cs="Palatino Linotype"/>
          <w:b/>
          <w:i/>
          <w:sz w:val="22"/>
          <w:szCs w:val="22"/>
          <w:lang w:val="es-ES"/>
        </w:rPr>
        <w:t>Séptimo.</w:t>
      </w:r>
      <w:r w:rsidRPr="00095A2C">
        <w:rPr>
          <w:rFonts w:ascii="Palatino Linotype" w:eastAsia="Palatino Linotype" w:hAnsi="Palatino Linotype" w:cs="Palatino Linotype"/>
          <w:i/>
          <w:sz w:val="22"/>
          <w:szCs w:val="22"/>
          <w:lang w:val="es-ES"/>
        </w:rPr>
        <w:t xml:space="preserve"> La clasificación de la información se llevará a cabo en el momento en que:</w:t>
      </w:r>
    </w:p>
    <w:p w14:paraId="33BAF747" w14:textId="77777777" w:rsidR="0095682B" w:rsidRPr="00095A2C" w:rsidRDefault="0095682B" w:rsidP="0095682B">
      <w:pPr>
        <w:pBdr>
          <w:top w:val="nil"/>
          <w:left w:val="nil"/>
          <w:bottom w:val="nil"/>
          <w:right w:val="nil"/>
          <w:between w:val="nil"/>
        </w:pBdr>
        <w:ind w:left="709" w:right="709"/>
        <w:jc w:val="both"/>
        <w:rPr>
          <w:sz w:val="22"/>
          <w:szCs w:val="22"/>
          <w:lang w:val="es-ES"/>
        </w:rPr>
      </w:pPr>
      <w:r w:rsidRPr="00095A2C">
        <w:rPr>
          <w:rFonts w:ascii="Palatino Linotype" w:eastAsia="Palatino Linotype" w:hAnsi="Palatino Linotype" w:cs="Palatino Linotype"/>
          <w:b/>
          <w:i/>
          <w:sz w:val="22"/>
          <w:szCs w:val="22"/>
          <w:lang w:val="es-ES"/>
        </w:rPr>
        <w:t>I.</w:t>
      </w:r>
      <w:r w:rsidRPr="00095A2C">
        <w:rPr>
          <w:rFonts w:ascii="Palatino Linotype" w:eastAsia="Palatino Linotype" w:hAnsi="Palatino Linotype" w:cs="Palatino Linotype"/>
          <w:i/>
          <w:sz w:val="22"/>
          <w:szCs w:val="22"/>
          <w:lang w:val="es-ES"/>
        </w:rPr>
        <w:t xml:space="preserve"> Se reciba una solicitud de acceso a la información;</w:t>
      </w:r>
    </w:p>
    <w:p w14:paraId="26AD1D5C" w14:textId="77777777" w:rsidR="0095682B" w:rsidRPr="00095A2C" w:rsidRDefault="0095682B" w:rsidP="0095682B">
      <w:pPr>
        <w:pBdr>
          <w:top w:val="nil"/>
          <w:left w:val="nil"/>
          <w:bottom w:val="nil"/>
          <w:right w:val="nil"/>
          <w:between w:val="nil"/>
        </w:pBdr>
        <w:ind w:left="709" w:right="709"/>
        <w:jc w:val="both"/>
        <w:rPr>
          <w:rFonts w:ascii="Palatino Linotype" w:eastAsia="Palatino Linotype" w:hAnsi="Palatino Linotype" w:cs="Palatino Linotype"/>
          <w:i/>
          <w:sz w:val="22"/>
          <w:szCs w:val="22"/>
          <w:lang w:val="es-ES"/>
        </w:rPr>
      </w:pPr>
      <w:r w:rsidRPr="00095A2C">
        <w:rPr>
          <w:rFonts w:ascii="Palatino Linotype" w:eastAsia="Palatino Linotype" w:hAnsi="Palatino Linotype" w:cs="Palatino Linotype"/>
          <w:b/>
          <w:i/>
          <w:sz w:val="22"/>
          <w:szCs w:val="22"/>
          <w:lang w:val="es-ES"/>
        </w:rPr>
        <w:t>II.</w:t>
      </w:r>
      <w:r w:rsidRPr="00095A2C">
        <w:rPr>
          <w:rFonts w:ascii="Palatino Linotype" w:eastAsia="Palatino Linotype" w:hAnsi="Palatino Linotype" w:cs="Palatino Linotype"/>
          <w:i/>
          <w:sz w:val="22"/>
          <w:szCs w:val="22"/>
          <w:lang w:val="es-ES"/>
        </w:rPr>
        <w:t xml:space="preserve"> Se  determine mediante resolución del Comité de Transparencia, el órgano garante </w:t>
      </w:r>
    </w:p>
    <w:p w14:paraId="5A4C1F99" w14:textId="77777777" w:rsidR="0095682B" w:rsidRPr="00095A2C" w:rsidRDefault="0095682B" w:rsidP="0095682B">
      <w:pPr>
        <w:pBdr>
          <w:top w:val="nil"/>
          <w:left w:val="nil"/>
          <w:bottom w:val="nil"/>
          <w:right w:val="nil"/>
          <w:between w:val="nil"/>
        </w:pBdr>
        <w:ind w:left="709" w:right="709"/>
        <w:jc w:val="both"/>
        <w:rPr>
          <w:sz w:val="22"/>
          <w:szCs w:val="22"/>
          <w:lang w:val="es-ES"/>
        </w:rPr>
      </w:pPr>
      <w:r w:rsidRPr="00095A2C">
        <w:rPr>
          <w:rFonts w:ascii="Palatino Linotype" w:eastAsia="Palatino Linotype" w:hAnsi="Palatino Linotype" w:cs="Palatino Linotype"/>
          <w:i/>
          <w:sz w:val="22"/>
          <w:szCs w:val="22"/>
          <w:lang w:val="es-ES"/>
        </w:rPr>
        <w:lastRenderedPageBreak/>
        <w:t>competente, o en cumplimiento a una sentencia del Poder Judicial; o</w:t>
      </w:r>
    </w:p>
    <w:p w14:paraId="35650DDE" w14:textId="77777777" w:rsidR="0095682B" w:rsidRPr="00095A2C" w:rsidRDefault="0095682B" w:rsidP="0095682B">
      <w:pPr>
        <w:pBdr>
          <w:top w:val="nil"/>
          <w:left w:val="nil"/>
          <w:bottom w:val="nil"/>
          <w:right w:val="nil"/>
          <w:between w:val="nil"/>
        </w:pBdr>
        <w:ind w:left="709" w:right="709"/>
        <w:jc w:val="both"/>
        <w:rPr>
          <w:sz w:val="22"/>
          <w:szCs w:val="22"/>
          <w:lang w:val="es-ES"/>
        </w:rPr>
      </w:pPr>
      <w:r w:rsidRPr="00095A2C">
        <w:rPr>
          <w:rFonts w:ascii="Palatino Linotype" w:eastAsia="Palatino Linotype" w:hAnsi="Palatino Linotype" w:cs="Palatino Linotype"/>
          <w:b/>
          <w:i/>
          <w:sz w:val="22"/>
          <w:szCs w:val="22"/>
          <w:lang w:val="es-ES"/>
        </w:rPr>
        <w:t>III.</w:t>
      </w:r>
      <w:r w:rsidRPr="00095A2C">
        <w:rPr>
          <w:rFonts w:ascii="Palatino Linotype" w:eastAsia="Palatino Linotype" w:hAnsi="Palatino Linotype" w:cs="Palatino Linotype"/>
          <w:i/>
          <w:sz w:val="22"/>
          <w:szCs w:val="22"/>
          <w:lang w:val="es-ES"/>
        </w:rPr>
        <w:t xml:space="preserve"> Se generen versiones públicas para dar cumplimiento a las obligaciones de transparencia previstas en la Ley General, la Ley Federal y las correspondientes de las entidades federativas.</w:t>
      </w:r>
    </w:p>
    <w:p w14:paraId="00D1DCF6" w14:textId="77777777" w:rsidR="0095682B" w:rsidRPr="00095A2C" w:rsidRDefault="0095682B" w:rsidP="0095682B">
      <w:pPr>
        <w:pBdr>
          <w:top w:val="nil"/>
          <w:left w:val="nil"/>
          <w:bottom w:val="nil"/>
          <w:right w:val="nil"/>
          <w:between w:val="nil"/>
        </w:pBdr>
        <w:ind w:left="709" w:right="709"/>
        <w:jc w:val="both"/>
        <w:rPr>
          <w:sz w:val="22"/>
          <w:szCs w:val="22"/>
          <w:lang w:val="es-ES"/>
        </w:rPr>
      </w:pPr>
      <w:r w:rsidRPr="00095A2C">
        <w:rPr>
          <w:rFonts w:ascii="Palatino Linotype" w:eastAsia="Palatino Linotype" w:hAnsi="Palatino Linotype" w:cs="Palatino Linotype"/>
          <w:i/>
          <w:sz w:val="22"/>
          <w:szCs w:val="22"/>
          <w:lang w:val="es-ES"/>
        </w:rPr>
        <w:t>Los titulares de las áreas deberán revisar la clasificación al momento de la recepción de una solicitud de acceso a la información, para verificar si encuadra en una causal de reserva o de confidencialidad.</w:t>
      </w:r>
    </w:p>
    <w:p w14:paraId="0E167EA5" w14:textId="77777777" w:rsidR="0095682B" w:rsidRPr="00095A2C" w:rsidRDefault="0095682B" w:rsidP="0095682B">
      <w:pPr>
        <w:pBdr>
          <w:top w:val="nil"/>
          <w:left w:val="nil"/>
          <w:bottom w:val="nil"/>
          <w:right w:val="nil"/>
          <w:between w:val="nil"/>
        </w:pBdr>
        <w:ind w:left="709" w:right="709"/>
        <w:jc w:val="both"/>
        <w:rPr>
          <w:sz w:val="22"/>
          <w:szCs w:val="22"/>
          <w:lang w:val="es-ES"/>
        </w:rPr>
      </w:pPr>
      <w:r w:rsidRPr="00095A2C">
        <w:rPr>
          <w:rFonts w:ascii="Palatino Linotype" w:eastAsia="Palatino Linotype" w:hAnsi="Palatino Linotype" w:cs="Palatino Linotype"/>
          <w:b/>
          <w:i/>
          <w:sz w:val="22"/>
          <w:szCs w:val="22"/>
          <w:lang w:val="es-ES"/>
        </w:rPr>
        <w:t>Octavo.</w:t>
      </w:r>
      <w:r w:rsidRPr="00095A2C">
        <w:rPr>
          <w:rFonts w:ascii="Palatino Linotype" w:eastAsia="Palatino Linotype" w:hAnsi="Palatino Linotype" w:cs="Palatino Linotype"/>
          <w:i/>
          <w:sz w:val="22"/>
          <w:szCs w:val="22"/>
          <w:lang w:val="es-ES"/>
        </w:rPr>
        <w:t xml:space="preserve"> Para fundar la clasificación de la información se debe señalar el artículo, fracción, inciso, párrafo o numeral de la ley o tratado internacional suscrito por el Estado mexicano que expresamente le otorga el carácter de reservada o confidencial.</w:t>
      </w:r>
    </w:p>
    <w:p w14:paraId="1005390B" w14:textId="77777777" w:rsidR="0095682B" w:rsidRPr="00095A2C" w:rsidRDefault="0095682B" w:rsidP="0095682B">
      <w:pPr>
        <w:pBdr>
          <w:top w:val="nil"/>
          <w:left w:val="nil"/>
          <w:bottom w:val="nil"/>
          <w:right w:val="nil"/>
          <w:between w:val="nil"/>
        </w:pBdr>
        <w:ind w:left="709" w:right="709"/>
        <w:jc w:val="both"/>
        <w:rPr>
          <w:sz w:val="22"/>
          <w:szCs w:val="22"/>
          <w:lang w:val="es-ES"/>
        </w:rPr>
      </w:pPr>
      <w:r w:rsidRPr="00095A2C">
        <w:rPr>
          <w:rFonts w:ascii="Palatino Linotype" w:eastAsia="Palatino Linotype" w:hAnsi="Palatino Linotype" w:cs="Palatino Linotype"/>
          <w:i/>
          <w:sz w:val="22"/>
          <w:szCs w:val="22"/>
          <w:lang w:val="es-ES"/>
        </w:rPr>
        <w:t>Para motivar la clasificación se deberán señalar las razones o circunstancias especiales que lo llevaron a concluir que el caso particular se ajusta al supuesto previsto por la norma legal invocada como fundamento.</w:t>
      </w:r>
    </w:p>
    <w:p w14:paraId="336A0359" w14:textId="77777777" w:rsidR="0095682B" w:rsidRPr="00095A2C" w:rsidRDefault="0095682B" w:rsidP="0095682B">
      <w:pPr>
        <w:pBdr>
          <w:top w:val="nil"/>
          <w:left w:val="nil"/>
          <w:bottom w:val="nil"/>
          <w:right w:val="nil"/>
          <w:between w:val="nil"/>
        </w:pBdr>
        <w:ind w:left="709" w:right="709"/>
        <w:jc w:val="both"/>
        <w:rPr>
          <w:rFonts w:ascii="Palatino Linotype" w:eastAsia="Palatino Linotype" w:hAnsi="Palatino Linotype" w:cs="Palatino Linotype"/>
          <w:i/>
          <w:sz w:val="22"/>
          <w:szCs w:val="22"/>
          <w:lang w:val="es-ES"/>
        </w:rPr>
      </w:pPr>
      <w:r w:rsidRPr="00095A2C">
        <w:rPr>
          <w:rFonts w:ascii="Palatino Linotype" w:eastAsia="Palatino Linotype" w:hAnsi="Palatino Linotype" w:cs="Palatino Linotype"/>
          <w:i/>
          <w:sz w:val="22"/>
          <w:szCs w:val="22"/>
          <w:lang w:val="es-ES"/>
        </w:rPr>
        <w:t xml:space="preserve">En caso de referirse a información reservada, la motivación de la clasificación deberá comprender el análisis de la prueba de daño a que hace referencia el artículo 104 de la Ley General, en relación con el artículo trigésimo tercero de los presentes lineamientos, así como las circunstancias que justifican el establecimiento de determinado plazo de reserva. </w:t>
      </w:r>
    </w:p>
    <w:p w14:paraId="050F2CD6" w14:textId="77777777" w:rsidR="0095682B" w:rsidRPr="00095A2C" w:rsidRDefault="0095682B" w:rsidP="0095682B">
      <w:pPr>
        <w:pBdr>
          <w:top w:val="nil"/>
          <w:left w:val="nil"/>
          <w:bottom w:val="nil"/>
          <w:right w:val="nil"/>
          <w:between w:val="nil"/>
        </w:pBdr>
        <w:ind w:left="709" w:right="709"/>
        <w:jc w:val="both"/>
        <w:rPr>
          <w:sz w:val="22"/>
          <w:szCs w:val="22"/>
          <w:lang w:val="es-ES"/>
        </w:rPr>
      </w:pPr>
      <w:r w:rsidRPr="00095A2C">
        <w:rPr>
          <w:rFonts w:ascii="Palatino Linotype" w:eastAsia="Palatino Linotype" w:hAnsi="Palatino Linotype" w:cs="Palatino Linotype"/>
          <w:b/>
          <w:i/>
          <w:sz w:val="22"/>
          <w:szCs w:val="22"/>
          <w:lang w:val="es-ES"/>
        </w:rPr>
        <w:t>Noveno.</w:t>
      </w:r>
      <w:r w:rsidRPr="00095A2C">
        <w:rPr>
          <w:rFonts w:ascii="Palatino Linotype" w:eastAsia="Palatino Linotype" w:hAnsi="Palatino Linotype" w:cs="Palatino Linotype"/>
          <w:i/>
          <w:sz w:val="22"/>
          <w:szCs w:val="22"/>
          <w:lang w:val="es-ES"/>
        </w:rPr>
        <w:t xml:space="preserve"> En los casos en que se solicite un documento o expediente que contenga partes o secciones clasificadas, los titulares de las áreas deberán elaborar una versión pública fundando y motivando la clasificación de las partes o secciones que se testen, siguiendo los procedimientos establecidos en el Capítulo IX de los presentes lineamientos.</w:t>
      </w:r>
    </w:p>
    <w:p w14:paraId="3237D21E" w14:textId="77777777" w:rsidR="0095682B" w:rsidRPr="00095A2C" w:rsidRDefault="0095682B" w:rsidP="0095682B">
      <w:pPr>
        <w:pBdr>
          <w:top w:val="nil"/>
          <w:left w:val="nil"/>
          <w:bottom w:val="nil"/>
          <w:right w:val="nil"/>
          <w:between w:val="nil"/>
        </w:pBdr>
        <w:ind w:left="709" w:right="709"/>
        <w:jc w:val="both"/>
        <w:rPr>
          <w:sz w:val="22"/>
          <w:szCs w:val="22"/>
          <w:lang w:val="es-ES"/>
        </w:rPr>
      </w:pPr>
      <w:r w:rsidRPr="00095A2C">
        <w:rPr>
          <w:rFonts w:ascii="Palatino Linotype" w:eastAsia="Palatino Linotype" w:hAnsi="Palatino Linotype" w:cs="Palatino Linotype"/>
          <w:b/>
          <w:i/>
          <w:sz w:val="22"/>
          <w:szCs w:val="22"/>
          <w:lang w:val="es-ES"/>
        </w:rPr>
        <w:t>Décimo.</w:t>
      </w:r>
      <w:r w:rsidRPr="00095A2C">
        <w:rPr>
          <w:rFonts w:ascii="Palatino Linotype" w:eastAsia="Palatino Linotype" w:hAnsi="Palatino Linotype" w:cs="Palatino Linotype"/>
          <w:i/>
          <w:sz w:val="22"/>
          <w:szCs w:val="22"/>
          <w:lang w:val="es-ES"/>
        </w:rPr>
        <w:t xml:space="preserve"> Los titulares de las áreas, deberán tener conocimiento y llevar un registro del personal que, por la naturaleza de sus atribuciones, tenga acceso a los documentos clasificados. Asimismo, deberán asegurarse de que dicho personal cuente con los conocimientos técnicos y legales que le permitan manejar adecuadamente la información clasificada, en los términos de la Ley General de Archivos, Lineamientos para la Organización y Conservación de Archivos y demás normatividad aplicable.</w:t>
      </w:r>
    </w:p>
    <w:p w14:paraId="228485DB" w14:textId="77777777" w:rsidR="0095682B" w:rsidRPr="00095A2C" w:rsidRDefault="0095682B" w:rsidP="0095682B">
      <w:pPr>
        <w:pBdr>
          <w:top w:val="nil"/>
          <w:left w:val="nil"/>
          <w:bottom w:val="nil"/>
          <w:right w:val="nil"/>
          <w:between w:val="nil"/>
        </w:pBdr>
        <w:ind w:left="709" w:right="709"/>
        <w:jc w:val="both"/>
        <w:rPr>
          <w:sz w:val="22"/>
          <w:szCs w:val="22"/>
          <w:lang w:val="es-ES"/>
        </w:rPr>
      </w:pPr>
      <w:r w:rsidRPr="00095A2C">
        <w:rPr>
          <w:rFonts w:ascii="Palatino Linotype" w:eastAsia="Palatino Linotype" w:hAnsi="Palatino Linotype" w:cs="Palatino Linotype"/>
          <w:i/>
          <w:sz w:val="22"/>
          <w:szCs w:val="22"/>
          <w:lang w:val="es-ES"/>
        </w:rPr>
        <w:t>En ausencia de los titulares de las áreas, la información será clasificada o desclasificada por la persona que lo supla, en términos de la normativa que rija la actuación del sujeto obligado.</w:t>
      </w:r>
    </w:p>
    <w:p w14:paraId="510FE030" w14:textId="77777777" w:rsidR="0095682B" w:rsidRPr="00095A2C" w:rsidRDefault="0095682B" w:rsidP="0095682B">
      <w:pPr>
        <w:pBdr>
          <w:top w:val="nil"/>
          <w:left w:val="nil"/>
          <w:bottom w:val="nil"/>
          <w:right w:val="nil"/>
          <w:between w:val="nil"/>
        </w:pBdr>
        <w:ind w:left="709" w:right="709"/>
        <w:jc w:val="both"/>
        <w:rPr>
          <w:rFonts w:ascii="Palatino Linotype" w:eastAsia="Palatino Linotype" w:hAnsi="Palatino Linotype" w:cs="Palatino Linotype"/>
          <w:i/>
          <w:sz w:val="22"/>
          <w:szCs w:val="22"/>
          <w:lang w:val="es-ES"/>
        </w:rPr>
      </w:pPr>
      <w:r w:rsidRPr="00095A2C">
        <w:rPr>
          <w:rFonts w:ascii="Palatino Linotype" w:eastAsia="Palatino Linotype" w:hAnsi="Palatino Linotype" w:cs="Palatino Linotype"/>
          <w:b/>
          <w:i/>
          <w:sz w:val="22"/>
          <w:szCs w:val="22"/>
          <w:lang w:val="es-ES"/>
        </w:rPr>
        <w:t>Décimo primero.</w:t>
      </w:r>
      <w:r w:rsidRPr="00095A2C">
        <w:rPr>
          <w:rFonts w:ascii="Palatino Linotype" w:eastAsia="Palatino Linotype" w:hAnsi="Palatino Linotype" w:cs="Palatino Linotype"/>
          <w:i/>
          <w:sz w:val="22"/>
          <w:szCs w:val="22"/>
          <w:lang w:val="es-ES"/>
        </w:rPr>
        <w:t xml:space="preserve"> En el intercambio de información entre sujetos obligados para el ejercicio de sus atribuciones, los documentos que se encuentren clasificados deberán llevar la leyenda correspondiente de conformidad con lo dispuesto en el Capítulo VIII de los presentes lineamientos.</w:t>
      </w:r>
    </w:p>
    <w:p w14:paraId="6918676A" w14:textId="77777777" w:rsidR="0095682B" w:rsidRPr="00095A2C" w:rsidRDefault="0095682B" w:rsidP="0095682B">
      <w:pPr>
        <w:pBdr>
          <w:top w:val="nil"/>
          <w:left w:val="nil"/>
          <w:bottom w:val="nil"/>
          <w:right w:val="nil"/>
          <w:between w:val="nil"/>
        </w:pBdr>
        <w:ind w:right="709"/>
        <w:jc w:val="both"/>
        <w:rPr>
          <w:sz w:val="22"/>
          <w:szCs w:val="22"/>
          <w:lang w:val="es-ES"/>
        </w:rPr>
      </w:pPr>
    </w:p>
    <w:p w14:paraId="68444B16" w14:textId="77777777" w:rsidR="0095682B" w:rsidRPr="00095A2C" w:rsidRDefault="0095682B" w:rsidP="0095682B">
      <w:pPr>
        <w:pBdr>
          <w:top w:val="nil"/>
          <w:left w:val="nil"/>
          <w:bottom w:val="nil"/>
          <w:right w:val="nil"/>
          <w:between w:val="nil"/>
        </w:pBdr>
        <w:ind w:left="709" w:right="709"/>
        <w:jc w:val="both"/>
        <w:rPr>
          <w:sz w:val="22"/>
          <w:szCs w:val="22"/>
          <w:lang w:val="es-ES"/>
        </w:rPr>
      </w:pPr>
      <w:r w:rsidRPr="00095A2C">
        <w:rPr>
          <w:rFonts w:ascii="Palatino Linotype" w:eastAsia="Palatino Linotype" w:hAnsi="Palatino Linotype" w:cs="Palatino Linotype"/>
          <w:i/>
          <w:sz w:val="22"/>
          <w:szCs w:val="22"/>
          <w:lang w:val="es-ES"/>
        </w:rPr>
        <w:t>[…]</w:t>
      </w:r>
    </w:p>
    <w:p w14:paraId="1F017551" w14:textId="77777777" w:rsidR="0095682B" w:rsidRPr="00095A2C" w:rsidRDefault="0095682B" w:rsidP="0095682B">
      <w:pPr>
        <w:pBdr>
          <w:top w:val="nil"/>
          <w:left w:val="nil"/>
          <w:bottom w:val="nil"/>
          <w:right w:val="nil"/>
          <w:between w:val="nil"/>
        </w:pBdr>
        <w:ind w:left="709" w:right="709"/>
        <w:jc w:val="center"/>
        <w:rPr>
          <w:sz w:val="22"/>
          <w:szCs w:val="22"/>
          <w:lang w:val="es-ES"/>
        </w:rPr>
      </w:pPr>
      <w:r w:rsidRPr="00095A2C">
        <w:rPr>
          <w:rFonts w:ascii="Palatino Linotype" w:eastAsia="Palatino Linotype" w:hAnsi="Palatino Linotype" w:cs="Palatino Linotype"/>
          <w:b/>
          <w:i/>
          <w:sz w:val="22"/>
          <w:szCs w:val="22"/>
          <w:lang w:val="es-ES"/>
        </w:rPr>
        <w:t>CAPÍTULO VIII</w:t>
      </w:r>
    </w:p>
    <w:p w14:paraId="15FE749A" w14:textId="77777777" w:rsidR="0095682B" w:rsidRPr="00095A2C" w:rsidRDefault="0095682B" w:rsidP="0095682B">
      <w:pPr>
        <w:pBdr>
          <w:top w:val="nil"/>
          <w:left w:val="nil"/>
          <w:bottom w:val="nil"/>
          <w:right w:val="nil"/>
          <w:between w:val="nil"/>
        </w:pBdr>
        <w:spacing w:after="160"/>
        <w:ind w:left="709" w:right="709"/>
        <w:jc w:val="center"/>
        <w:rPr>
          <w:rFonts w:ascii="Palatino Linotype" w:eastAsia="Palatino Linotype" w:hAnsi="Palatino Linotype" w:cs="Palatino Linotype"/>
          <w:b/>
          <w:i/>
          <w:sz w:val="22"/>
          <w:szCs w:val="22"/>
          <w:lang w:val="es-ES"/>
        </w:rPr>
      </w:pPr>
      <w:r w:rsidRPr="00095A2C">
        <w:rPr>
          <w:rFonts w:ascii="Palatino Linotype" w:eastAsia="Palatino Linotype" w:hAnsi="Palatino Linotype" w:cs="Palatino Linotype"/>
          <w:b/>
          <w:i/>
          <w:sz w:val="22"/>
          <w:szCs w:val="22"/>
          <w:lang w:val="es-ES"/>
        </w:rPr>
        <w:t>DE LOS ELEMENTOS PARA LA CLASIFICACIÓN</w:t>
      </w:r>
    </w:p>
    <w:p w14:paraId="5DCBF90E" w14:textId="77777777" w:rsidR="0095682B" w:rsidRPr="00095A2C" w:rsidRDefault="0095682B" w:rsidP="0095682B">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lang w:val="es-ES"/>
        </w:rPr>
      </w:pPr>
      <w:r w:rsidRPr="00095A2C">
        <w:rPr>
          <w:rFonts w:ascii="Palatino Linotype" w:eastAsia="Palatino Linotype" w:hAnsi="Palatino Linotype" w:cs="Palatino Linotype"/>
          <w:b/>
          <w:i/>
          <w:sz w:val="22"/>
          <w:szCs w:val="22"/>
          <w:lang w:val="es-ES"/>
        </w:rPr>
        <w:lastRenderedPageBreak/>
        <w:t>Quincuagésimo</w:t>
      </w:r>
      <w:r w:rsidRPr="00095A2C">
        <w:rPr>
          <w:rFonts w:ascii="Palatino Linotype" w:eastAsia="Palatino Linotype" w:hAnsi="Palatino Linotype" w:cs="Palatino Linotype"/>
          <w:i/>
          <w:sz w:val="22"/>
          <w:szCs w:val="22"/>
          <w:lang w:val="es-ES"/>
        </w:rPr>
        <w:t>. Los titulares de las áreas de los sujetos obligados podrán establecer sus propios modelos o formatos para la elaboración de versiones públicas de documentos o expedientes, siempre y cuando cumplan lo establecido en los presentes Lineamientos, así como en las correspondientes Leyes Generales.</w:t>
      </w:r>
    </w:p>
    <w:p w14:paraId="751E885E" w14:textId="77777777" w:rsidR="0095682B" w:rsidRPr="00095A2C" w:rsidRDefault="0095682B" w:rsidP="0095682B">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lang w:val="es-ES"/>
        </w:rPr>
      </w:pPr>
      <w:r w:rsidRPr="00095A2C">
        <w:rPr>
          <w:rFonts w:ascii="Palatino Linotype" w:eastAsia="Palatino Linotype" w:hAnsi="Palatino Linotype" w:cs="Palatino Linotype"/>
          <w:b/>
          <w:i/>
          <w:sz w:val="22"/>
          <w:szCs w:val="22"/>
          <w:lang w:val="es-ES"/>
        </w:rPr>
        <w:t>Quincuagésimo primero</w:t>
      </w:r>
      <w:r w:rsidRPr="00095A2C">
        <w:rPr>
          <w:rFonts w:ascii="Palatino Linotype" w:eastAsia="Palatino Linotype" w:hAnsi="Palatino Linotype" w:cs="Palatino Linotype"/>
          <w:i/>
          <w:sz w:val="22"/>
          <w:szCs w:val="22"/>
          <w:lang w:val="es-ES"/>
        </w:rPr>
        <w:t>. Toda acta del Comité de Transparencia deberá contener:</w:t>
      </w:r>
    </w:p>
    <w:p w14:paraId="2F6268C6" w14:textId="77777777" w:rsidR="0095682B" w:rsidRPr="00095A2C" w:rsidRDefault="0095682B" w:rsidP="0095682B">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lang w:val="es-ES"/>
        </w:rPr>
      </w:pPr>
      <w:r w:rsidRPr="00095A2C">
        <w:rPr>
          <w:rFonts w:ascii="Palatino Linotype" w:eastAsia="Palatino Linotype" w:hAnsi="Palatino Linotype" w:cs="Palatino Linotype"/>
          <w:i/>
          <w:sz w:val="22"/>
          <w:szCs w:val="22"/>
          <w:lang w:val="es-ES"/>
        </w:rPr>
        <w:t xml:space="preserve">I. El número de sesión y fecha; </w:t>
      </w:r>
    </w:p>
    <w:p w14:paraId="6D5A39AF" w14:textId="77777777" w:rsidR="0095682B" w:rsidRPr="00095A2C" w:rsidRDefault="0095682B" w:rsidP="0095682B">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lang w:val="es-ES"/>
        </w:rPr>
      </w:pPr>
      <w:r w:rsidRPr="00095A2C">
        <w:rPr>
          <w:rFonts w:ascii="Palatino Linotype" w:eastAsia="Palatino Linotype" w:hAnsi="Palatino Linotype" w:cs="Palatino Linotype"/>
          <w:i/>
          <w:sz w:val="22"/>
          <w:szCs w:val="22"/>
          <w:lang w:val="es-ES"/>
        </w:rPr>
        <w:t>II. El nombre del área que solicitó la clasificación de información;</w:t>
      </w:r>
    </w:p>
    <w:p w14:paraId="3963F2E6" w14:textId="77777777" w:rsidR="0095682B" w:rsidRPr="00095A2C" w:rsidRDefault="0095682B" w:rsidP="0095682B">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lang w:val="es-ES"/>
        </w:rPr>
      </w:pPr>
      <w:r w:rsidRPr="00095A2C">
        <w:rPr>
          <w:rFonts w:ascii="Palatino Linotype" w:eastAsia="Palatino Linotype" w:hAnsi="Palatino Linotype" w:cs="Palatino Linotype"/>
          <w:i/>
          <w:sz w:val="22"/>
          <w:szCs w:val="22"/>
          <w:lang w:val="es-ES"/>
        </w:rPr>
        <w:t>III. La fundamentación legal y motivación correspondiente;</w:t>
      </w:r>
    </w:p>
    <w:p w14:paraId="4A6A3300" w14:textId="77777777" w:rsidR="0095682B" w:rsidRPr="00095A2C" w:rsidRDefault="0095682B" w:rsidP="0095682B">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lang w:val="es-ES"/>
        </w:rPr>
      </w:pPr>
      <w:r w:rsidRPr="00095A2C">
        <w:rPr>
          <w:rFonts w:ascii="Palatino Linotype" w:eastAsia="Palatino Linotype" w:hAnsi="Palatino Linotype" w:cs="Palatino Linotype"/>
          <w:i/>
          <w:sz w:val="22"/>
          <w:szCs w:val="22"/>
          <w:lang w:val="es-ES"/>
        </w:rPr>
        <w:t>IV. La resolución o resoluciones aprobadas; y</w:t>
      </w:r>
    </w:p>
    <w:p w14:paraId="673371D8" w14:textId="77777777" w:rsidR="0095682B" w:rsidRPr="00095A2C" w:rsidRDefault="0095682B" w:rsidP="0095682B">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lang w:val="es-ES"/>
        </w:rPr>
      </w:pPr>
      <w:r w:rsidRPr="00095A2C">
        <w:rPr>
          <w:rFonts w:ascii="Palatino Linotype" w:eastAsia="Palatino Linotype" w:hAnsi="Palatino Linotype" w:cs="Palatino Linotype"/>
          <w:i/>
          <w:sz w:val="22"/>
          <w:szCs w:val="22"/>
          <w:lang w:val="es-ES"/>
        </w:rPr>
        <w:t xml:space="preserve">V. La rúbrica o firma digital de cada integrante del Comité de Transparencia. </w:t>
      </w:r>
    </w:p>
    <w:p w14:paraId="3BA36C6C" w14:textId="77777777" w:rsidR="0095682B" w:rsidRPr="00095A2C" w:rsidRDefault="0095682B" w:rsidP="0095682B">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lang w:val="es-ES"/>
        </w:rPr>
      </w:pPr>
      <w:r w:rsidRPr="00095A2C">
        <w:rPr>
          <w:rFonts w:ascii="Palatino Linotype" w:eastAsia="Palatino Linotype" w:hAnsi="Palatino Linotype" w:cs="Palatino Linotype"/>
          <w:i/>
          <w:sz w:val="22"/>
          <w:szCs w:val="22"/>
          <w:lang w:val="es-ES"/>
        </w:rPr>
        <w:t>Las resoluciones del Comité en las que se haya determinado confirmar o modificar la clasificación de información pública como reservada, deberán incluir, cuando menos:</w:t>
      </w:r>
    </w:p>
    <w:p w14:paraId="078335DE" w14:textId="77777777" w:rsidR="0095682B" w:rsidRPr="00095A2C" w:rsidRDefault="0095682B" w:rsidP="0095682B">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lang w:val="es-ES"/>
        </w:rPr>
      </w:pPr>
      <w:r w:rsidRPr="00095A2C">
        <w:rPr>
          <w:rFonts w:ascii="Palatino Linotype" w:eastAsia="Palatino Linotype" w:hAnsi="Palatino Linotype" w:cs="Palatino Linotype"/>
          <w:i/>
          <w:sz w:val="22"/>
          <w:szCs w:val="22"/>
          <w:lang w:val="es-ES"/>
        </w:rPr>
        <w:t>I. Los motivos y razonamientos que sustenten la confirmación o modificación de la prueba de daño;</w:t>
      </w:r>
    </w:p>
    <w:p w14:paraId="4FB635D4" w14:textId="77777777" w:rsidR="0095682B" w:rsidRPr="00095A2C" w:rsidRDefault="0095682B" w:rsidP="0095682B">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lang w:val="es-ES"/>
        </w:rPr>
      </w:pPr>
      <w:r w:rsidRPr="00095A2C">
        <w:rPr>
          <w:rFonts w:ascii="Palatino Linotype" w:eastAsia="Palatino Linotype" w:hAnsi="Palatino Linotype" w:cs="Palatino Linotype"/>
          <w:i/>
          <w:sz w:val="22"/>
          <w:szCs w:val="22"/>
          <w:lang w:val="es-ES"/>
        </w:rPr>
        <w:t>II. Descripción de las partes o secciones reservadas, en caso de clasificación parcial;</w:t>
      </w:r>
    </w:p>
    <w:p w14:paraId="1C3BD7FD" w14:textId="77777777" w:rsidR="0095682B" w:rsidRPr="00095A2C" w:rsidRDefault="0095682B" w:rsidP="0095682B">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lang w:val="es-ES"/>
        </w:rPr>
      </w:pPr>
      <w:r w:rsidRPr="00095A2C">
        <w:rPr>
          <w:rFonts w:ascii="Palatino Linotype" w:eastAsia="Palatino Linotype" w:hAnsi="Palatino Linotype" w:cs="Palatino Linotype"/>
          <w:i/>
          <w:sz w:val="22"/>
          <w:szCs w:val="22"/>
          <w:lang w:val="es-ES"/>
        </w:rPr>
        <w:t>III. El periodo por el que mantendrá su clasificación y fecha de expiración; y</w:t>
      </w:r>
    </w:p>
    <w:p w14:paraId="3ED9D3CF" w14:textId="77777777" w:rsidR="0095682B" w:rsidRPr="00095A2C" w:rsidRDefault="0095682B" w:rsidP="0095682B">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lang w:val="es-ES"/>
        </w:rPr>
      </w:pPr>
      <w:r w:rsidRPr="00095A2C">
        <w:rPr>
          <w:rFonts w:ascii="Palatino Linotype" w:eastAsia="Palatino Linotype" w:hAnsi="Palatino Linotype" w:cs="Palatino Linotype"/>
          <w:i/>
          <w:sz w:val="22"/>
          <w:szCs w:val="22"/>
          <w:lang w:val="es-ES"/>
        </w:rPr>
        <w:t>IV. El nombre del titular y área encargada de realizar la versión pública del documento, en su caso.</w:t>
      </w:r>
    </w:p>
    <w:p w14:paraId="459F904E" w14:textId="77777777" w:rsidR="0095682B" w:rsidRPr="00095A2C" w:rsidRDefault="0095682B" w:rsidP="0095682B">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lang w:val="es-ES"/>
        </w:rPr>
      </w:pPr>
      <w:r w:rsidRPr="00095A2C">
        <w:rPr>
          <w:rFonts w:ascii="Palatino Linotype" w:eastAsia="Palatino Linotype" w:hAnsi="Palatino Linotype" w:cs="Palatino Linotype"/>
          <w:i/>
          <w:sz w:val="22"/>
          <w:szCs w:val="22"/>
          <w:lang w:val="es-ES"/>
        </w:rPr>
        <w:t xml:space="preserve">En los casos en que se clasifique la información como reservada siempre se entregará o anexará la prueba de daño con la respuesta al solicitante. </w:t>
      </w:r>
    </w:p>
    <w:p w14:paraId="156FCD97" w14:textId="77777777" w:rsidR="0095682B" w:rsidRPr="00095A2C" w:rsidRDefault="0095682B" w:rsidP="0095682B">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lang w:val="es-ES"/>
        </w:rPr>
      </w:pPr>
      <w:r w:rsidRPr="00095A2C">
        <w:rPr>
          <w:rFonts w:ascii="Palatino Linotype" w:eastAsia="Palatino Linotype" w:hAnsi="Palatino Linotype" w:cs="Palatino Linotype"/>
          <w:i/>
          <w:sz w:val="22"/>
          <w:szCs w:val="22"/>
          <w:lang w:val="es-ES"/>
        </w:rPr>
        <w:t>En los casos de resoluciones del Comité de Transparencia en las que se confirme la clasificación de información confidencial solo se deberán de identificar los tipos de datos protegidos, de conformidad con el lineamiento trigésimo octavo.</w:t>
      </w:r>
    </w:p>
    <w:p w14:paraId="7D2ED7BE" w14:textId="77777777" w:rsidR="0095682B" w:rsidRPr="00095A2C" w:rsidRDefault="0095682B" w:rsidP="0095682B">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lang w:val="es-ES"/>
        </w:rPr>
      </w:pPr>
      <w:r w:rsidRPr="00095A2C">
        <w:rPr>
          <w:rFonts w:ascii="Palatino Linotype" w:eastAsia="Palatino Linotype" w:hAnsi="Palatino Linotype" w:cs="Palatino Linotype"/>
          <w:b/>
          <w:i/>
          <w:sz w:val="22"/>
          <w:szCs w:val="22"/>
          <w:lang w:val="es-ES"/>
        </w:rPr>
        <w:t>Quincuagésimo segundo</w:t>
      </w:r>
      <w:r w:rsidRPr="00095A2C">
        <w:rPr>
          <w:rFonts w:ascii="Palatino Linotype" w:eastAsia="Palatino Linotype" w:hAnsi="Palatino Linotype" w:cs="Palatino Linotype"/>
          <w:i/>
          <w:sz w:val="22"/>
          <w:szCs w:val="22"/>
          <w:lang w:val="es-ES"/>
        </w:rPr>
        <w:t>. Para la clasificación y elaboración de versiones públicas de documentos que contengan información clasificada como reservada o confidencial, las áreas de los sujetos obligados deberán tomar las medidas pertinentes tendientes a asegurar que el espacio utilizado para testar la información no podrá ser empleado para la sobreposición de contenido distinto al autorizado por el Comité.</w:t>
      </w:r>
    </w:p>
    <w:p w14:paraId="09179594" w14:textId="77777777" w:rsidR="0095682B" w:rsidRPr="00095A2C" w:rsidRDefault="0095682B" w:rsidP="0095682B">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lang w:val="es-ES"/>
        </w:rPr>
      </w:pPr>
      <w:r w:rsidRPr="00095A2C">
        <w:rPr>
          <w:rFonts w:ascii="Palatino Linotype" w:eastAsia="Palatino Linotype" w:hAnsi="Palatino Linotype" w:cs="Palatino Linotype"/>
          <w:i/>
          <w:sz w:val="22"/>
          <w:szCs w:val="22"/>
          <w:lang w:val="es-ES"/>
        </w:rPr>
        <w:t>En el caso específico de la clasificación y elaboración de versiones públicas de documentos que contengan información confidencial, las áreas de los sujetos obligados deberán:</w:t>
      </w:r>
    </w:p>
    <w:p w14:paraId="68D2047D" w14:textId="77777777" w:rsidR="0095682B" w:rsidRPr="00095A2C" w:rsidRDefault="0095682B" w:rsidP="0095682B">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lang w:val="es-ES"/>
        </w:rPr>
      </w:pPr>
      <w:r w:rsidRPr="00095A2C">
        <w:rPr>
          <w:rFonts w:ascii="Palatino Linotype" w:eastAsia="Palatino Linotype" w:hAnsi="Palatino Linotype" w:cs="Palatino Linotype"/>
          <w:i/>
          <w:sz w:val="22"/>
          <w:szCs w:val="22"/>
          <w:lang w:val="es-ES"/>
        </w:rPr>
        <w:lastRenderedPageBreak/>
        <w:t>I. Fijar la fecha en que se elaboró la versión pública y la fecha en la cual el Comité de Transparencia confirmó dicha versión;</w:t>
      </w:r>
    </w:p>
    <w:p w14:paraId="5C031250" w14:textId="77777777" w:rsidR="0095682B" w:rsidRPr="00095A2C" w:rsidRDefault="0095682B" w:rsidP="0095682B">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lang w:val="es-ES"/>
        </w:rPr>
      </w:pPr>
      <w:r w:rsidRPr="00095A2C">
        <w:rPr>
          <w:rFonts w:ascii="Palatino Linotype" w:eastAsia="Palatino Linotype" w:hAnsi="Palatino Linotype" w:cs="Palatino Linotype"/>
          <w:i/>
          <w:sz w:val="22"/>
          <w:szCs w:val="22"/>
          <w:lang w:val="es-ES"/>
        </w:rPr>
        <w:t>II. Señalar dentro del documento el tipo de información confidencial que fue testada en cada caso específico, de conformidad con el lineamiento trigésimo octavo; y</w:t>
      </w:r>
    </w:p>
    <w:p w14:paraId="7CE27E45" w14:textId="77777777" w:rsidR="0095682B" w:rsidRPr="00095A2C" w:rsidRDefault="0095682B" w:rsidP="0095682B">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lang w:val="es-ES"/>
        </w:rPr>
      </w:pPr>
      <w:r w:rsidRPr="00095A2C">
        <w:rPr>
          <w:rFonts w:ascii="Palatino Linotype" w:eastAsia="Palatino Linotype" w:hAnsi="Palatino Linotype" w:cs="Palatino Linotype"/>
          <w:i/>
          <w:sz w:val="22"/>
          <w:szCs w:val="22"/>
          <w:lang w:val="es-ES"/>
        </w:rPr>
        <w:t>III. Señalar las personas o instancias autorizadas a acceder a la información clasificada.</w:t>
      </w:r>
    </w:p>
    <w:p w14:paraId="18131CE6" w14:textId="77777777" w:rsidR="0095682B" w:rsidRPr="00095A2C" w:rsidRDefault="0095682B" w:rsidP="0095682B">
      <w:pPr>
        <w:pBdr>
          <w:top w:val="nil"/>
          <w:left w:val="nil"/>
          <w:bottom w:val="nil"/>
          <w:right w:val="nil"/>
          <w:between w:val="nil"/>
        </w:pBdr>
        <w:spacing w:after="160"/>
        <w:ind w:left="709" w:right="709"/>
        <w:jc w:val="both"/>
        <w:rPr>
          <w:rFonts w:ascii="Palatino Linotype" w:eastAsia="Palatino Linotype" w:hAnsi="Palatino Linotype" w:cs="Palatino Linotype"/>
          <w:i/>
          <w:sz w:val="22"/>
          <w:szCs w:val="22"/>
          <w:lang w:val="es-ES"/>
        </w:rPr>
      </w:pPr>
      <w:r w:rsidRPr="00095A2C">
        <w:rPr>
          <w:rFonts w:ascii="Palatino Linotype" w:eastAsia="Palatino Linotype" w:hAnsi="Palatino Linotype" w:cs="Palatino Linotype"/>
          <w:i/>
          <w:sz w:val="22"/>
          <w:szCs w:val="22"/>
          <w:lang w:val="es-ES"/>
        </w:rPr>
        <w:t>En los documentos de difusión electrónica, señalar en la primera hoja y en el nombre del archivo, que la versión pública corresponde a un documento que contiene información confidencial.</w:t>
      </w:r>
    </w:p>
    <w:p w14:paraId="30485289" w14:textId="77777777" w:rsidR="0095682B" w:rsidRPr="00095A2C" w:rsidRDefault="0095682B" w:rsidP="0095682B">
      <w:pPr>
        <w:pBdr>
          <w:top w:val="nil"/>
          <w:left w:val="nil"/>
          <w:bottom w:val="nil"/>
          <w:right w:val="nil"/>
          <w:between w:val="nil"/>
        </w:pBdr>
        <w:spacing w:after="160"/>
        <w:ind w:left="709" w:right="709"/>
        <w:jc w:val="both"/>
        <w:rPr>
          <w:sz w:val="22"/>
          <w:szCs w:val="22"/>
          <w:lang w:val="es-ES"/>
        </w:rPr>
      </w:pPr>
      <w:r w:rsidRPr="00095A2C">
        <w:rPr>
          <w:rFonts w:ascii="Palatino Linotype" w:eastAsia="Palatino Linotype" w:hAnsi="Palatino Linotype" w:cs="Palatino Linotype"/>
          <w:i/>
          <w:sz w:val="22"/>
          <w:szCs w:val="22"/>
          <w:lang w:val="es-ES"/>
        </w:rPr>
        <w:t xml:space="preserve">Quincuagésimo quinto. Cada área del sujeto obligado podrá designar formalmente a una o más personas como responsables del </w:t>
      </w:r>
      <w:proofErr w:type="spellStart"/>
      <w:r w:rsidRPr="00095A2C">
        <w:rPr>
          <w:rFonts w:ascii="Palatino Linotype" w:eastAsia="Palatino Linotype" w:hAnsi="Palatino Linotype" w:cs="Palatino Linotype"/>
          <w:i/>
          <w:sz w:val="22"/>
          <w:szCs w:val="22"/>
          <w:lang w:val="es-ES"/>
        </w:rPr>
        <w:t>testado</w:t>
      </w:r>
      <w:proofErr w:type="spellEnd"/>
      <w:r w:rsidRPr="00095A2C">
        <w:rPr>
          <w:rFonts w:ascii="Palatino Linotype" w:eastAsia="Palatino Linotype" w:hAnsi="Palatino Linotype" w:cs="Palatino Linotype"/>
          <w:i/>
          <w:sz w:val="22"/>
          <w:szCs w:val="22"/>
          <w:lang w:val="es-ES"/>
        </w:rPr>
        <w:t xml:space="preserve">, que sean encargadas de la adecuada elaboración o supervisión de las versiones públicas de los documentos o expedientes, verificando que cumplan con los requisitos señalados en las Leyes Generales, los presentes Lineamientos y demás normativa aplicable antes de su confirmación por el Comité de Transparencia.” </w:t>
      </w:r>
    </w:p>
    <w:p w14:paraId="61932756" w14:textId="77777777" w:rsidR="0095682B" w:rsidRPr="00095A2C" w:rsidRDefault="0095682B" w:rsidP="0095682B">
      <w:pPr>
        <w:rPr>
          <w:sz w:val="22"/>
          <w:szCs w:val="22"/>
          <w:lang w:val="es-ES"/>
        </w:rPr>
      </w:pPr>
    </w:p>
    <w:p w14:paraId="6558F8B7" w14:textId="77777777" w:rsidR="0095682B" w:rsidRPr="00095A2C" w:rsidRDefault="0095682B" w:rsidP="0095682B">
      <w:pPr>
        <w:spacing w:line="360" w:lineRule="auto"/>
        <w:jc w:val="both"/>
        <w:rPr>
          <w:rFonts w:ascii="Palatino Linotype" w:eastAsia="Palatino Linotype" w:hAnsi="Palatino Linotype" w:cs="Palatino Linotype"/>
          <w:sz w:val="22"/>
          <w:szCs w:val="22"/>
          <w:lang w:val="es-ES"/>
        </w:rPr>
      </w:pPr>
      <w:r w:rsidRPr="00095A2C">
        <w:rPr>
          <w:rFonts w:ascii="Palatino Linotype" w:eastAsia="Palatino Linotype" w:hAnsi="Palatino Linotype" w:cs="Palatino Linotype"/>
          <w:sz w:val="22"/>
          <w:szCs w:val="22"/>
          <w:lang w:val="es-ES"/>
        </w:rPr>
        <w:t>Efectivamente, cuando se clasifica información como confidencial es importante someterlo al Comité de Transparencia, quien debe confirmar, modificar o revocar la clasificación.</w:t>
      </w:r>
    </w:p>
    <w:p w14:paraId="214A6298" w14:textId="77777777" w:rsidR="0095682B" w:rsidRPr="00095A2C" w:rsidRDefault="0095682B" w:rsidP="0095682B">
      <w:pPr>
        <w:spacing w:line="360" w:lineRule="auto"/>
        <w:jc w:val="both"/>
        <w:rPr>
          <w:rFonts w:ascii="Palatino Linotype" w:eastAsia="Palatino Linotype" w:hAnsi="Palatino Linotype" w:cs="Palatino Linotype"/>
          <w:sz w:val="22"/>
          <w:szCs w:val="22"/>
          <w:lang w:val="es-ES"/>
        </w:rPr>
      </w:pPr>
    </w:p>
    <w:p w14:paraId="3DB51A17" w14:textId="77777777" w:rsidR="0095682B" w:rsidRPr="00095A2C" w:rsidRDefault="0095682B" w:rsidP="0095682B">
      <w:pPr>
        <w:shd w:val="clear" w:color="auto" w:fill="FFFFFF"/>
        <w:spacing w:line="360" w:lineRule="auto"/>
        <w:ind w:right="51"/>
        <w:jc w:val="both"/>
        <w:rPr>
          <w:rFonts w:ascii="Palatino Linotype" w:eastAsia="Palatino Linotype" w:hAnsi="Palatino Linotype" w:cs="Palatino Linotype"/>
          <w:sz w:val="22"/>
          <w:szCs w:val="22"/>
          <w:lang w:val="es-ES"/>
        </w:rPr>
      </w:pPr>
      <w:r w:rsidRPr="00095A2C">
        <w:rPr>
          <w:rFonts w:ascii="Palatino Linotype" w:eastAsia="Palatino Linotype" w:hAnsi="Palatino Linotype" w:cs="Palatino Linotype"/>
          <w:sz w:val="22"/>
          <w:szCs w:val="22"/>
          <w:lang w:val="es-ES"/>
        </w:rPr>
        <w:t xml:space="preserve">Por lo tanto, la entrega de documentos en su versión pública debe acompañarse necesariamente del Acuerdo del Comité de Transparencia que la sustente, en el que se expongan los fundamentos y razonamientos que llevaron al </w:t>
      </w:r>
      <w:r w:rsidRPr="00095A2C">
        <w:rPr>
          <w:rFonts w:ascii="Palatino Linotype" w:eastAsia="Palatino Linotype" w:hAnsi="Palatino Linotype" w:cs="Palatino Linotype"/>
          <w:b/>
          <w:sz w:val="22"/>
          <w:szCs w:val="22"/>
          <w:lang w:val="es-ES"/>
        </w:rPr>
        <w:t>Sujeto Obligado</w:t>
      </w:r>
      <w:r w:rsidRPr="00095A2C">
        <w:rPr>
          <w:rFonts w:ascii="Palatino Linotype" w:eastAsia="Palatino Linotype" w:hAnsi="Palatino Linotype" w:cs="Palatino Linotype"/>
          <w:sz w:val="22"/>
          <w:szCs w:val="22"/>
          <w:lang w:val="es-ES"/>
        </w:rPr>
        <w:t xml:space="preserve"> a testar, suprimir o eliminar datos de dicho soporte documental, ya que no hacerlo implica que lo entregado no es legal ni formalmente una versión pública, sino más bien una documentación ilegible, incompleta o tachada; pues no señalar las razones por las que no se aprecian determinados datos -ya sea porque se testan o suprimen- deja al solicitante en estado de incertidumbre, al no conocer o comprender porque no aparecen en la documentación respectiva, es decir, si no se exponen de manera puntual las razones de ello se estaría violentando desde un inicio el derecho de acceso a la información del solicitante, por lo que el acuerdo respectivo, deberá hacerse del conocimiento de </w:t>
      </w:r>
      <w:r w:rsidRPr="00095A2C">
        <w:rPr>
          <w:rFonts w:ascii="Palatino Linotype" w:eastAsia="Palatino Linotype" w:hAnsi="Palatino Linotype" w:cs="Palatino Linotype"/>
          <w:b/>
          <w:sz w:val="22"/>
          <w:szCs w:val="22"/>
          <w:lang w:val="es-ES"/>
        </w:rPr>
        <w:t>la parte</w:t>
      </w:r>
      <w:r w:rsidRPr="00095A2C">
        <w:rPr>
          <w:rFonts w:ascii="Palatino Linotype" w:eastAsia="Palatino Linotype" w:hAnsi="Palatino Linotype" w:cs="Palatino Linotype"/>
          <w:sz w:val="22"/>
          <w:szCs w:val="22"/>
          <w:lang w:val="es-ES"/>
        </w:rPr>
        <w:t xml:space="preserve"> </w:t>
      </w:r>
      <w:r w:rsidRPr="00095A2C">
        <w:rPr>
          <w:rFonts w:ascii="Palatino Linotype" w:eastAsia="Palatino Linotype" w:hAnsi="Palatino Linotype" w:cs="Palatino Linotype"/>
          <w:b/>
          <w:sz w:val="22"/>
          <w:szCs w:val="22"/>
          <w:lang w:val="es-ES"/>
        </w:rPr>
        <w:t>Recurrente</w:t>
      </w:r>
      <w:r w:rsidRPr="00095A2C">
        <w:rPr>
          <w:rFonts w:ascii="Palatino Linotype" w:eastAsia="Palatino Linotype" w:hAnsi="Palatino Linotype" w:cs="Palatino Linotype"/>
          <w:sz w:val="22"/>
          <w:szCs w:val="22"/>
          <w:lang w:val="es-ES"/>
        </w:rPr>
        <w:t>.</w:t>
      </w:r>
    </w:p>
    <w:p w14:paraId="67B6B906" w14:textId="77777777" w:rsidR="0095682B" w:rsidRPr="00095A2C" w:rsidRDefault="0095682B" w:rsidP="00B2302A">
      <w:pPr>
        <w:pBdr>
          <w:top w:val="nil"/>
          <w:left w:val="nil"/>
          <w:bottom w:val="nil"/>
          <w:right w:val="nil"/>
          <w:between w:val="nil"/>
        </w:pBdr>
        <w:shd w:val="clear" w:color="auto" w:fill="FFFFFF"/>
        <w:spacing w:line="360" w:lineRule="auto"/>
        <w:ind w:right="-150"/>
        <w:jc w:val="both"/>
        <w:rPr>
          <w:rFonts w:ascii="Palatino Linotype" w:eastAsia="Palatino Linotype" w:hAnsi="Palatino Linotype" w:cs="Palatino Linotype"/>
          <w:sz w:val="22"/>
          <w:szCs w:val="22"/>
        </w:rPr>
      </w:pPr>
    </w:p>
    <w:p w14:paraId="58B368BE" w14:textId="77777777" w:rsidR="00636A0E" w:rsidRPr="00095A2C" w:rsidRDefault="00636A0E" w:rsidP="00636A0E">
      <w:pPr>
        <w:spacing w:line="360" w:lineRule="auto"/>
        <w:jc w:val="both"/>
        <w:rPr>
          <w:rFonts w:ascii="Palatino Linotype" w:eastAsia="Palatino Linotype" w:hAnsi="Palatino Linotype" w:cs="Palatino Linotype"/>
          <w:sz w:val="22"/>
          <w:szCs w:val="22"/>
          <w:lang w:val="es-ES" w:eastAsia="es-ES"/>
        </w:rPr>
      </w:pPr>
      <w:r w:rsidRPr="00095A2C">
        <w:rPr>
          <w:rFonts w:ascii="Palatino Linotype" w:eastAsia="Palatino Linotype" w:hAnsi="Palatino Linotype" w:cs="Palatino Linotype"/>
          <w:sz w:val="22"/>
          <w:szCs w:val="22"/>
          <w:lang w:val="es-ES" w:eastAsia="es-ES"/>
        </w:rPr>
        <w:t xml:space="preserve">No pasa desapercibido mencionar que, cabe la posibilidad de que dentro de la información relacionada con los </w:t>
      </w:r>
      <w:r w:rsidRPr="00095A2C">
        <w:rPr>
          <w:rFonts w:ascii="Palatino Linotype" w:eastAsia="Palatino Linotype" w:hAnsi="Palatino Linotype" w:cs="Palatino Linotype"/>
          <w:b/>
          <w:sz w:val="22"/>
          <w:szCs w:val="22"/>
          <w:u w:val="single"/>
          <w:lang w:val="es-ES" w:eastAsia="es-ES"/>
        </w:rPr>
        <w:t>oficios emitidos por Contraloría Interna</w:t>
      </w:r>
      <w:r w:rsidRPr="00095A2C">
        <w:rPr>
          <w:rFonts w:ascii="Palatino Linotype" w:eastAsia="Palatino Linotype" w:hAnsi="Palatino Linotype" w:cs="Palatino Linotype"/>
          <w:sz w:val="22"/>
          <w:szCs w:val="22"/>
          <w:lang w:val="es-ES" w:eastAsia="es-ES"/>
        </w:rPr>
        <w:t xml:space="preserve">, se encuentren documentos que contengan información que actualicen alguna de las causales de reserva o confidencialidad establecidas en los artículos 140 y 143 de la Ley de la materia, como por ejemplo </w:t>
      </w:r>
      <w:r w:rsidRPr="00095A2C">
        <w:rPr>
          <w:rFonts w:ascii="Palatino Linotype" w:eastAsia="Palatino Linotype" w:hAnsi="Palatino Linotype" w:cs="Palatino Linotype"/>
          <w:b/>
          <w:sz w:val="22"/>
          <w:szCs w:val="22"/>
          <w:u w:val="single"/>
          <w:lang w:val="es-ES" w:eastAsia="es-ES"/>
        </w:rPr>
        <w:t>oficios relacionados con procedimientos administrativos en trámite</w:t>
      </w:r>
      <w:r w:rsidRPr="00095A2C">
        <w:rPr>
          <w:rFonts w:ascii="Palatino Linotype" w:eastAsia="Palatino Linotype" w:hAnsi="Palatino Linotype" w:cs="Palatino Linotype"/>
          <w:sz w:val="22"/>
          <w:szCs w:val="22"/>
          <w:lang w:val="es-ES" w:eastAsia="es-ES"/>
        </w:rPr>
        <w:t xml:space="preserve">, es decir, que el principio de definitividad no se haya actualizado, por aún existir instancias para su revisión o impugnación o en su caso que no haya causado estado, dicha información reviste el carácter de información reservada y, en este caso, se deberá emitir un acuerdo que clasifique como reservado el procedimiento sobre responsabilidad administrativa. </w:t>
      </w:r>
    </w:p>
    <w:p w14:paraId="75C638D5" w14:textId="77777777" w:rsidR="00636A0E" w:rsidRPr="00095A2C" w:rsidRDefault="00636A0E" w:rsidP="00636A0E">
      <w:pPr>
        <w:spacing w:line="360" w:lineRule="auto"/>
        <w:jc w:val="both"/>
        <w:rPr>
          <w:rFonts w:ascii="Palatino Linotype" w:eastAsia="Palatino Linotype" w:hAnsi="Palatino Linotype" w:cs="Palatino Linotype"/>
          <w:sz w:val="22"/>
          <w:szCs w:val="22"/>
          <w:lang w:val="es-ES" w:eastAsia="es-ES"/>
        </w:rPr>
      </w:pPr>
    </w:p>
    <w:p w14:paraId="507F2E3A" w14:textId="77777777" w:rsidR="00636A0E" w:rsidRPr="00095A2C" w:rsidRDefault="00636A0E" w:rsidP="00636A0E">
      <w:pPr>
        <w:spacing w:line="360" w:lineRule="auto"/>
        <w:jc w:val="both"/>
        <w:rPr>
          <w:rFonts w:ascii="Palatino Linotype" w:eastAsia="Palatino Linotype" w:hAnsi="Palatino Linotype" w:cs="Palatino Linotype"/>
          <w:sz w:val="22"/>
          <w:szCs w:val="22"/>
          <w:lang w:val="es-ES" w:eastAsia="es-ES"/>
        </w:rPr>
      </w:pPr>
      <w:r w:rsidRPr="00095A2C">
        <w:rPr>
          <w:rFonts w:ascii="Palatino Linotype" w:eastAsia="Palatino Linotype" w:hAnsi="Palatino Linotype" w:cs="Palatino Linotype"/>
          <w:sz w:val="22"/>
          <w:szCs w:val="22"/>
          <w:lang w:val="es-ES" w:eastAsia="es-ES"/>
        </w:rPr>
        <w:t xml:space="preserve">Por lo anterior, es necesario citar el artículo 140 de la Ley de Transparencia y Acceso a la Información Pública del Estado de México y Municipios, el cual precisa que, la información pública será de acceso restringido cuando por razones de interés público, esta sea clasificada como reservada, conforme a los criterios siguientes: </w:t>
      </w:r>
    </w:p>
    <w:p w14:paraId="3A1D41CF" w14:textId="77777777" w:rsidR="00636A0E" w:rsidRPr="00095A2C" w:rsidRDefault="00636A0E" w:rsidP="00636A0E">
      <w:pPr>
        <w:spacing w:line="360" w:lineRule="auto"/>
        <w:jc w:val="both"/>
        <w:rPr>
          <w:rFonts w:ascii="Palatino Linotype" w:eastAsia="Palatino Linotype" w:hAnsi="Palatino Linotype" w:cs="Palatino Linotype"/>
          <w:sz w:val="22"/>
          <w:szCs w:val="22"/>
          <w:lang w:val="es-ES" w:eastAsia="es-ES"/>
        </w:rPr>
      </w:pPr>
    </w:p>
    <w:p w14:paraId="0F727AC5" w14:textId="77777777" w:rsidR="00636A0E" w:rsidRPr="00095A2C" w:rsidRDefault="00636A0E" w:rsidP="00636A0E">
      <w:pPr>
        <w:spacing w:line="360" w:lineRule="auto"/>
        <w:ind w:left="567"/>
        <w:jc w:val="both"/>
        <w:rPr>
          <w:rFonts w:ascii="Palatino Linotype" w:eastAsia="Palatino Linotype" w:hAnsi="Palatino Linotype" w:cs="Palatino Linotype"/>
          <w:sz w:val="22"/>
          <w:szCs w:val="22"/>
          <w:lang w:val="es-ES" w:eastAsia="es-ES"/>
        </w:rPr>
      </w:pPr>
      <w:r w:rsidRPr="00095A2C">
        <w:rPr>
          <w:rFonts w:ascii="Palatino Linotype" w:eastAsia="Palatino Linotype" w:hAnsi="Palatino Linotype" w:cs="Palatino Linotype"/>
          <w:sz w:val="22"/>
          <w:szCs w:val="22"/>
          <w:lang w:val="es-ES" w:eastAsia="es-ES"/>
        </w:rPr>
        <w:t xml:space="preserve">● Pueda causar daño u obstruya la prevención o persecución de los delitos, altere el proceso de investigación de las carpetas de investigación, afecte o vulnere la conducción o los derechos del debido proceso en los procedimientos judiciales o administrativos, incluidos los de quejas, denuncias, inconformidades, responsabilidades administrativas y resarcitorias en tanto no hayan quedado firmes o afecte la administración de justicia o la seguridad de un denunciante, querellante o testigo, así como sus familias, en los términos de las disposiciones jurídicas aplicables. </w:t>
      </w:r>
    </w:p>
    <w:p w14:paraId="35DC7F81" w14:textId="77777777" w:rsidR="00636A0E" w:rsidRPr="00095A2C" w:rsidRDefault="00636A0E" w:rsidP="00636A0E">
      <w:pPr>
        <w:spacing w:line="360" w:lineRule="auto"/>
        <w:ind w:left="567"/>
        <w:jc w:val="both"/>
        <w:rPr>
          <w:rFonts w:ascii="Palatino Linotype" w:eastAsia="Palatino Linotype" w:hAnsi="Palatino Linotype" w:cs="Palatino Linotype"/>
          <w:sz w:val="22"/>
          <w:szCs w:val="22"/>
          <w:lang w:val="es-ES" w:eastAsia="es-ES"/>
        </w:rPr>
      </w:pPr>
    </w:p>
    <w:p w14:paraId="67144A95" w14:textId="77777777" w:rsidR="00636A0E" w:rsidRPr="00095A2C" w:rsidRDefault="00636A0E" w:rsidP="00636A0E">
      <w:pPr>
        <w:spacing w:line="360" w:lineRule="auto"/>
        <w:ind w:left="567"/>
        <w:jc w:val="both"/>
        <w:rPr>
          <w:rFonts w:ascii="Palatino Linotype" w:eastAsia="Palatino Linotype" w:hAnsi="Palatino Linotype" w:cs="Palatino Linotype"/>
          <w:sz w:val="22"/>
          <w:szCs w:val="22"/>
          <w:lang w:val="es-ES" w:eastAsia="es-ES"/>
        </w:rPr>
      </w:pPr>
      <w:r w:rsidRPr="00095A2C">
        <w:rPr>
          <w:rFonts w:ascii="Palatino Linotype" w:eastAsia="Palatino Linotype" w:hAnsi="Palatino Linotype" w:cs="Palatino Linotype"/>
          <w:sz w:val="22"/>
          <w:szCs w:val="22"/>
          <w:lang w:val="es-ES" w:eastAsia="es-ES"/>
        </w:rPr>
        <w:t xml:space="preserve">● Vulnere la conducción de los expedientes judiciales o de los procedimientos administrativos seguidos en forma de juicio, en tanto no hayan quedado firmes. </w:t>
      </w:r>
    </w:p>
    <w:p w14:paraId="107E245A" w14:textId="77777777" w:rsidR="00636A0E" w:rsidRPr="00095A2C" w:rsidRDefault="00636A0E" w:rsidP="00636A0E">
      <w:pPr>
        <w:spacing w:line="360" w:lineRule="auto"/>
        <w:ind w:left="567"/>
        <w:jc w:val="both"/>
        <w:rPr>
          <w:rFonts w:ascii="Palatino Linotype" w:eastAsia="Palatino Linotype" w:hAnsi="Palatino Linotype" w:cs="Palatino Linotype"/>
          <w:sz w:val="22"/>
          <w:szCs w:val="22"/>
          <w:lang w:val="es-ES" w:eastAsia="es-ES"/>
        </w:rPr>
      </w:pPr>
    </w:p>
    <w:p w14:paraId="52454B97" w14:textId="77777777" w:rsidR="00636A0E" w:rsidRPr="00095A2C" w:rsidRDefault="00636A0E" w:rsidP="00636A0E">
      <w:pPr>
        <w:spacing w:line="360" w:lineRule="auto"/>
        <w:ind w:left="567"/>
        <w:jc w:val="both"/>
        <w:rPr>
          <w:rFonts w:ascii="Palatino Linotype" w:eastAsia="Palatino Linotype" w:hAnsi="Palatino Linotype" w:cs="Palatino Linotype"/>
          <w:sz w:val="22"/>
          <w:szCs w:val="22"/>
          <w:lang w:val="es-ES" w:eastAsia="es-ES"/>
        </w:rPr>
      </w:pPr>
      <w:r w:rsidRPr="00095A2C">
        <w:rPr>
          <w:rFonts w:ascii="Palatino Linotype" w:eastAsia="Palatino Linotype" w:hAnsi="Palatino Linotype" w:cs="Palatino Linotype"/>
          <w:sz w:val="22"/>
          <w:szCs w:val="22"/>
          <w:lang w:val="es-ES" w:eastAsia="es-ES"/>
        </w:rPr>
        <w:lastRenderedPageBreak/>
        <w:t>● El daño que pueda producirse con la publicación de la información sea mayor que el interés público de conocer la información de referencia, siempre que esté directamente relacionado con procesos o procedimientos administrativos o judiciales que no hayan quedado firmes.</w:t>
      </w:r>
    </w:p>
    <w:p w14:paraId="4771B0DA" w14:textId="77777777" w:rsidR="00636A0E" w:rsidRPr="00095A2C" w:rsidRDefault="00636A0E" w:rsidP="00636A0E">
      <w:pPr>
        <w:spacing w:line="360" w:lineRule="auto"/>
        <w:jc w:val="both"/>
        <w:rPr>
          <w:rFonts w:ascii="Palatino Linotype" w:eastAsia="Palatino Linotype" w:hAnsi="Palatino Linotype" w:cs="Palatino Linotype"/>
          <w:sz w:val="22"/>
          <w:szCs w:val="22"/>
          <w:lang w:val="es-ES" w:eastAsia="es-ES"/>
        </w:rPr>
      </w:pPr>
    </w:p>
    <w:p w14:paraId="6F9A8298" w14:textId="77777777" w:rsidR="00636A0E" w:rsidRPr="00095A2C" w:rsidRDefault="00636A0E" w:rsidP="00636A0E">
      <w:pPr>
        <w:spacing w:line="360" w:lineRule="auto"/>
        <w:jc w:val="both"/>
        <w:rPr>
          <w:rFonts w:ascii="Palatino Linotype" w:eastAsia="Palatino Linotype" w:hAnsi="Palatino Linotype" w:cs="Palatino Linotype"/>
          <w:sz w:val="22"/>
          <w:szCs w:val="22"/>
          <w:lang w:val="es-ES" w:eastAsia="es-ES"/>
        </w:rPr>
      </w:pPr>
      <w:r w:rsidRPr="00095A2C">
        <w:rPr>
          <w:rFonts w:ascii="Palatino Linotype" w:eastAsia="Palatino Linotype" w:hAnsi="Palatino Linotype" w:cs="Palatino Linotype"/>
          <w:sz w:val="22"/>
          <w:szCs w:val="22"/>
          <w:lang w:val="es-ES" w:eastAsia="es-ES"/>
        </w:rPr>
        <w:t>En ese sentido, cabe la posibilidad de que dentro de la información que se ordena, se encuentren documentos que contengan información que sí actualicen alguna de las causales de reserva o confidencialidad establecidas en los artículos 140 y 143 de la Ley de la materia, dicha información reviste el carácter de información reservada y en este caso, se deberá emitir un acuerdo que clasifique como reservado.</w:t>
      </w:r>
    </w:p>
    <w:p w14:paraId="1E27BE6E" w14:textId="77777777" w:rsidR="00021793" w:rsidRPr="00095A2C" w:rsidRDefault="00122CAC" w:rsidP="00B82E64">
      <w:pPr>
        <w:spacing w:before="240" w:after="240" w:line="360" w:lineRule="auto"/>
        <w:ind w:right="49"/>
        <w:jc w:val="both"/>
        <w:rPr>
          <w:rFonts w:ascii="Palatino Linotype" w:eastAsia="Palatino Linotype" w:hAnsi="Palatino Linotype" w:cs="Palatino Linotype"/>
          <w:i/>
          <w:sz w:val="22"/>
          <w:szCs w:val="22"/>
        </w:rPr>
      </w:pPr>
      <w:r w:rsidRPr="00095A2C">
        <w:rPr>
          <w:rFonts w:ascii="Palatino Linotype" w:eastAsia="Palatino Linotype" w:hAnsi="Palatino Linotype" w:cs="Palatino Linotype"/>
          <w:sz w:val="22"/>
          <w:szCs w:val="22"/>
        </w:rPr>
        <w:t xml:space="preserve">De lo hasta aquí expuesto, se concluye que los motivos de inconformidad de la parte </w:t>
      </w:r>
      <w:r w:rsidRPr="00095A2C">
        <w:rPr>
          <w:rFonts w:ascii="Palatino Linotype" w:eastAsia="Palatino Linotype" w:hAnsi="Palatino Linotype" w:cs="Palatino Linotype"/>
          <w:b/>
          <w:sz w:val="22"/>
          <w:szCs w:val="22"/>
        </w:rPr>
        <w:t xml:space="preserve">Recurrente </w:t>
      </w:r>
      <w:r w:rsidRPr="00095A2C">
        <w:rPr>
          <w:rFonts w:ascii="Palatino Linotype" w:eastAsia="Palatino Linotype" w:hAnsi="Palatino Linotype" w:cs="Palatino Linotype"/>
          <w:sz w:val="22"/>
          <w:szCs w:val="22"/>
        </w:rPr>
        <w:t xml:space="preserve">devienen fundados, siendo procedente </w:t>
      </w:r>
      <w:r w:rsidRPr="00095A2C">
        <w:rPr>
          <w:rFonts w:ascii="Palatino Linotype" w:eastAsia="Palatino Linotype" w:hAnsi="Palatino Linotype" w:cs="Palatino Linotype"/>
          <w:b/>
          <w:sz w:val="22"/>
          <w:szCs w:val="22"/>
        </w:rPr>
        <w:t>MODIFICAR</w:t>
      </w:r>
      <w:r w:rsidRPr="00095A2C">
        <w:rPr>
          <w:rFonts w:ascii="Palatino Linotype" w:eastAsia="Palatino Linotype" w:hAnsi="Palatino Linotype" w:cs="Palatino Linotype"/>
          <w:i/>
          <w:sz w:val="22"/>
          <w:szCs w:val="22"/>
        </w:rPr>
        <w:t xml:space="preserve"> </w:t>
      </w:r>
      <w:r w:rsidRPr="00095A2C">
        <w:rPr>
          <w:rFonts w:ascii="Palatino Linotype" w:eastAsia="Palatino Linotype" w:hAnsi="Palatino Linotype" w:cs="Palatino Linotype"/>
          <w:sz w:val="22"/>
          <w:szCs w:val="22"/>
        </w:rPr>
        <w:t xml:space="preserve">la respuesta proporcionada por el </w:t>
      </w:r>
      <w:r w:rsidRPr="00095A2C">
        <w:rPr>
          <w:rFonts w:ascii="Palatino Linotype" w:eastAsia="Palatino Linotype" w:hAnsi="Palatino Linotype" w:cs="Palatino Linotype"/>
          <w:b/>
          <w:sz w:val="22"/>
          <w:szCs w:val="22"/>
        </w:rPr>
        <w:t xml:space="preserve">Sujeto Obligado </w:t>
      </w:r>
      <w:r w:rsidRPr="00095A2C">
        <w:rPr>
          <w:rFonts w:ascii="Palatino Linotype" w:eastAsia="Palatino Linotype" w:hAnsi="Palatino Linotype" w:cs="Palatino Linotype"/>
          <w:sz w:val="22"/>
          <w:szCs w:val="22"/>
        </w:rPr>
        <w:t>en términos del artículo 186 fracción III de la Ley de Transparencia y Acceso a la Información Pública del Estado de México y Municipios.</w:t>
      </w:r>
    </w:p>
    <w:p w14:paraId="75C15235" w14:textId="77777777" w:rsidR="00021793" w:rsidRPr="00095A2C" w:rsidRDefault="00122CAC">
      <w:pPr>
        <w:pBdr>
          <w:top w:val="nil"/>
          <w:left w:val="nil"/>
          <w:bottom w:val="nil"/>
          <w:right w:val="nil"/>
          <w:between w:val="nil"/>
        </w:pBdr>
        <w:spacing w:before="240" w:after="240" w:line="360" w:lineRule="auto"/>
        <w:jc w:val="both"/>
        <w:rPr>
          <w:rFonts w:ascii="Palatino Linotype" w:eastAsia="Palatino Linotype" w:hAnsi="Palatino Linotype" w:cs="Palatino Linotype"/>
          <w:sz w:val="22"/>
          <w:szCs w:val="22"/>
        </w:rPr>
      </w:pPr>
      <w:bookmarkStart w:id="8" w:name="_heading=h.ijv98pntcd5s" w:colFirst="0" w:colLast="0"/>
      <w:bookmarkEnd w:id="8"/>
      <w:r w:rsidRPr="00095A2C">
        <w:rPr>
          <w:rFonts w:ascii="Palatino Linotype" w:eastAsia="Palatino Linotype" w:hAnsi="Palatino Linotype" w:cs="Palatino Linotype"/>
          <w:sz w:val="22"/>
          <w:szCs w:val="22"/>
        </w:rPr>
        <w:t>Así, con fundamento en lo prescrito en los artículos 5 párrafos trigésimo tercero, trigésimo cuarto y trigésimo quinto de la Constitución Política del Estado Libre y Soberano de México; 2, fracción II; 29, 36 fracciones I y II; 176, 178, 181, 185 y 186 fracción II de la Ley de Transparencia y Acceso a la Información Pública del Estado de México y Municipios, este Pleno:</w:t>
      </w:r>
    </w:p>
    <w:p w14:paraId="147BA9B4" w14:textId="77777777" w:rsidR="00021793" w:rsidRPr="00095A2C" w:rsidRDefault="00122CAC">
      <w:pPr>
        <w:pBdr>
          <w:top w:val="nil"/>
          <w:left w:val="nil"/>
          <w:bottom w:val="nil"/>
          <w:right w:val="nil"/>
          <w:between w:val="nil"/>
        </w:pBdr>
        <w:spacing w:before="240" w:after="240" w:line="360" w:lineRule="auto"/>
        <w:jc w:val="center"/>
        <w:rPr>
          <w:rFonts w:ascii="Palatino Linotype" w:eastAsia="Palatino Linotype" w:hAnsi="Palatino Linotype" w:cs="Palatino Linotype"/>
          <w:sz w:val="22"/>
          <w:szCs w:val="22"/>
        </w:rPr>
      </w:pPr>
      <w:r w:rsidRPr="00095A2C">
        <w:rPr>
          <w:rFonts w:ascii="Palatino Linotype" w:eastAsia="Palatino Linotype" w:hAnsi="Palatino Linotype" w:cs="Palatino Linotype"/>
          <w:b/>
        </w:rPr>
        <w:t>III. R E S U E L V E</w:t>
      </w:r>
    </w:p>
    <w:p w14:paraId="672A07F9" w14:textId="77777777" w:rsidR="00021793" w:rsidRPr="00095A2C" w:rsidRDefault="00122CAC">
      <w:pPr>
        <w:spacing w:before="240" w:after="240" w:line="360" w:lineRule="auto"/>
        <w:jc w:val="both"/>
        <w:rPr>
          <w:rFonts w:ascii="Palatino Linotype" w:eastAsia="Palatino Linotype" w:hAnsi="Palatino Linotype" w:cs="Palatino Linotype"/>
          <w:b/>
          <w:sz w:val="22"/>
          <w:szCs w:val="22"/>
        </w:rPr>
      </w:pPr>
      <w:bookmarkStart w:id="9" w:name="_heading=h.26in1rg" w:colFirst="0" w:colLast="0"/>
      <w:bookmarkEnd w:id="9"/>
      <w:r w:rsidRPr="00095A2C">
        <w:rPr>
          <w:rFonts w:ascii="Palatino Linotype" w:eastAsia="Palatino Linotype" w:hAnsi="Palatino Linotype" w:cs="Palatino Linotype"/>
          <w:b/>
          <w:sz w:val="22"/>
          <w:szCs w:val="22"/>
        </w:rPr>
        <w:t xml:space="preserve">Primero. </w:t>
      </w:r>
      <w:r w:rsidRPr="00095A2C">
        <w:rPr>
          <w:rFonts w:ascii="Palatino Linotype" w:eastAsia="Palatino Linotype" w:hAnsi="Palatino Linotype" w:cs="Palatino Linotype"/>
          <w:sz w:val="22"/>
          <w:szCs w:val="22"/>
        </w:rPr>
        <w:t xml:space="preserve">Resultan </w:t>
      </w:r>
      <w:r w:rsidRPr="00095A2C">
        <w:rPr>
          <w:rFonts w:ascii="Palatino Linotype" w:eastAsia="Palatino Linotype" w:hAnsi="Palatino Linotype" w:cs="Palatino Linotype"/>
          <w:b/>
          <w:sz w:val="22"/>
          <w:szCs w:val="22"/>
        </w:rPr>
        <w:t>fundadas</w:t>
      </w:r>
      <w:r w:rsidRPr="00095A2C">
        <w:rPr>
          <w:rFonts w:ascii="Palatino Linotype" w:eastAsia="Palatino Linotype" w:hAnsi="Palatino Linotype" w:cs="Palatino Linotype"/>
          <w:sz w:val="22"/>
          <w:szCs w:val="22"/>
        </w:rPr>
        <w:t xml:space="preserve"> las razones o motivos de inconformidad hechos valer por </w:t>
      </w:r>
      <w:r w:rsidRPr="00095A2C">
        <w:rPr>
          <w:rFonts w:ascii="Palatino Linotype" w:eastAsia="Palatino Linotype" w:hAnsi="Palatino Linotype" w:cs="Palatino Linotype"/>
          <w:b/>
          <w:sz w:val="22"/>
          <w:szCs w:val="22"/>
        </w:rPr>
        <w:t>la parte Recurrente</w:t>
      </w:r>
      <w:r w:rsidRPr="00095A2C">
        <w:rPr>
          <w:rFonts w:ascii="Palatino Linotype" w:eastAsia="Palatino Linotype" w:hAnsi="Palatino Linotype" w:cs="Palatino Linotype"/>
          <w:sz w:val="22"/>
          <w:szCs w:val="22"/>
        </w:rPr>
        <w:t xml:space="preserve"> en el recurso de revisión </w:t>
      </w:r>
      <w:r w:rsidR="00E37B2C" w:rsidRPr="00095A2C">
        <w:rPr>
          <w:rFonts w:ascii="Palatino Linotype" w:eastAsia="Palatino Linotype" w:hAnsi="Palatino Linotype" w:cs="Palatino Linotype"/>
          <w:b/>
          <w:sz w:val="22"/>
          <w:szCs w:val="22"/>
        </w:rPr>
        <w:t>00889/INFOEM/IP/RR/2025</w:t>
      </w:r>
      <w:r w:rsidRPr="00095A2C">
        <w:rPr>
          <w:rFonts w:ascii="Palatino Linotype" w:eastAsia="Palatino Linotype" w:hAnsi="Palatino Linotype" w:cs="Palatino Linotype"/>
          <w:sz w:val="22"/>
          <w:szCs w:val="22"/>
        </w:rPr>
        <w:t xml:space="preserve">; por lo que, en términos del </w:t>
      </w:r>
      <w:r w:rsidRPr="00095A2C">
        <w:rPr>
          <w:rFonts w:ascii="Palatino Linotype" w:eastAsia="Palatino Linotype" w:hAnsi="Palatino Linotype" w:cs="Palatino Linotype"/>
          <w:b/>
          <w:sz w:val="22"/>
          <w:szCs w:val="22"/>
        </w:rPr>
        <w:t>Considerando</w:t>
      </w:r>
      <w:r w:rsidRPr="00095A2C">
        <w:rPr>
          <w:rFonts w:ascii="Palatino Linotype" w:eastAsia="Palatino Linotype" w:hAnsi="Palatino Linotype" w:cs="Palatino Linotype"/>
          <w:sz w:val="22"/>
          <w:szCs w:val="22"/>
        </w:rPr>
        <w:t xml:space="preserve"> </w:t>
      </w:r>
      <w:r w:rsidRPr="00095A2C">
        <w:rPr>
          <w:rFonts w:ascii="Palatino Linotype" w:eastAsia="Palatino Linotype" w:hAnsi="Palatino Linotype" w:cs="Palatino Linotype"/>
          <w:b/>
          <w:sz w:val="22"/>
          <w:szCs w:val="22"/>
        </w:rPr>
        <w:t xml:space="preserve">Cuarto </w:t>
      </w:r>
      <w:r w:rsidRPr="00095A2C">
        <w:rPr>
          <w:rFonts w:ascii="Palatino Linotype" w:eastAsia="Palatino Linotype" w:hAnsi="Palatino Linotype" w:cs="Palatino Linotype"/>
          <w:sz w:val="22"/>
          <w:szCs w:val="22"/>
        </w:rPr>
        <w:t xml:space="preserve">de esta resolución, se </w:t>
      </w:r>
      <w:r w:rsidRPr="00095A2C">
        <w:rPr>
          <w:rFonts w:ascii="Palatino Linotype" w:eastAsia="Palatino Linotype" w:hAnsi="Palatino Linotype" w:cs="Palatino Linotype"/>
          <w:b/>
          <w:sz w:val="22"/>
          <w:szCs w:val="22"/>
        </w:rPr>
        <w:t xml:space="preserve">MODIFICA </w:t>
      </w:r>
      <w:r w:rsidRPr="00095A2C">
        <w:rPr>
          <w:rFonts w:ascii="Palatino Linotype" w:eastAsia="Palatino Linotype" w:hAnsi="Palatino Linotype" w:cs="Palatino Linotype"/>
          <w:sz w:val="22"/>
          <w:szCs w:val="22"/>
        </w:rPr>
        <w:t xml:space="preserve">la respuesta emitida por el </w:t>
      </w:r>
      <w:r w:rsidRPr="00095A2C">
        <w:rPr>
          <w:rFonts w:ascii="Palatino Linotype" w:eastAsia="Palatino Linotype" w:hAnsi="Palatino Linotype" w:cs="Palatino Linotype"/>
          <w:b/>
          <w:sz w:val="22"/>
          <w:szCs w:val="22"/>
        </w:rPr>
        <w:t xml:space="preserve">Sujeto Obligado. </w:t>
      </w:r>
    </w:p>
    <w:p w14:paraId="5280D464" w14:textId="77777777" w:rsidR="00021793" w:rsidRPr="00095A2C" w:rsidRDefault="00122CAC">
      <w:pPr>
        <w:spacing w:before="240" w:after="240" w:line="360" w:lineRule="auto"/>
        <w:ind w:right="49"/>
        <w:jc w:val="both"/>
        <w:rPr>
          <w:rFonts w:ascii="Palatino Linotype" w:eastAsia="Palatino Linotype" w:hAnsi="Palatino Linotype" w:cs="Palatino Linotype"/>
          <w:b/>
          <w:sz w:val="22"/>
          <w:szCs w:val="22"/>
        </w:rPr>
      </w:pPr>
      <w:r w:rsidRPr="00095A2C">
        <w:rPr>
          <w:rFonts w:ascii="Palatino Linotype" w:eastAsia="Palatino Linotype" w:hAnsi="Palatino Linotype" w:cs="Palatino Linotype"/>
          <w:b/>
          <w:sz w:val="22"/>
          <w:szCs w:val="22"/>
        </w:rPr>
        <w:lastRenderedPageBreak/>
        <w:t xml:space="preserve">Segundo. </w:t>
      </w:r>
      <w:r w:rsidRPr="00095A2C">
        <w:rPr>
          <w:rFonts w:ascii="Palatino Linotype" w:eastAsia="Palatino Linotype" w:hAnsi="Palatino Linotype" w:cs="Palatino Linotype"/>
          <w:sz w:val="22"/>
          <w:szCs w:val="22"/>
        </w:rPr>
        <w:t xml:space="preserve">Se </w:t>
      </w:r>
      <w:r w:rsidRPr="00095A2C">
        <w:rPr>
          <w:rFonts w:ascii="Palatino Linotype" w:eastAsia="Palatino Linotype" w:hAnsi="Palatino Linotype" w:cs="Palatino Linotype"/>
          <w:b/>
          <w:sz w:val="22"/>
          <w:szCs w:val="22"/>
        </w:rPr>
        <w:t xml:space="preserve">Ordena </w:t>
      </w:r>
      <w:r w:rsidRPr="00095A2C">
        <w:rPr>
          <w:rFonts w:ascii="Palatino Linotype" w:eastAsia="Palatino Linotype" w:hAnsi="Palatino Linotype" w:cs="Palatino Linotype"/>
          <w:sz w:val="22"/>
          <w:szCs w:val="22"/>
        </w:rPr>
        <w:t xml:space="preserve">al </w:t>
      </w:r>
      <w:r w:rsidRPr="00095A2C">
        <w:rPr>
          <w:rFonts w:ascii="Palatino Linotype" w:eastAsia="Palatino Linotype" w:hAnsi="Palatino Linotype" w:cs="Palatino Linotype"/>
          <w:b/>
          <w:sz w:val="22"/>
          <w:szCs w:val="22"/>
        </w:rPr>
        <w:t>Sujeto Obligado</w:t>
      </w:r>
      <w:r w:rsidRPr="00095A2C">
        <w:rPr>
          <w:rFonts w:ascii="Palatino Linotype" w:eastAsia="Palatino Linotype" w:hAnsi="Palatino Linotype" w:cs="Palatino Linotype"/>
          <w:sz w:val="22"/>
          <w:szCs w:val="22"/>
        </w:rPr>
        <w:t xml:space="preserve"> haga entrega, a</w:t>
      </w:r>
      <w:r w:rsidRPr="00095A2C">
        <w:rPr>
          <w:rFonts w:ascii="Palatino Linotype" w:eastAsia="Palatino Linotype" w:hAnsi="Palatino Linotype" w:cs="Palatino Linotype"/>
          <w:b/>
          <w:sz w:val="22"/>
          <w:szCs w:val="22"/>
        </w:rPr>
        <w:t xml:space="preserve"> la parte Recurrente,</w:t>
      </w:r>
      <w:r w:rsidRPr="00095A2C">
        <w:rPr>
          <w:rFonts w:ascii="Palatino Linotype" w:eastAsia="Palatino Linotype" w:hAnsi="Palatino Linotype" w:cs="Palatino Linotype"/>
          <w:sz w:val="22"/>
          <w:szCs w:val="22"/>
        </w:rPr>
        <w:t xml:space="preserve"> vía </w:t>
      </w:r>
      <w:r w:rsidRPr="00095A2C">
        <w:rPr>
          <w:rFonts w:ascii="Palatino Linotype" w:eastAsia="Palatino Linotype" w:hAnsi="Palatino Linotype" w:cs="Palatino Linotype"/>
          <w:b/>
          <w:sz w:val="22"/>
          <w:szCs w:val="22"/>
        </w:rPr>
        <w:t xml:space="preserve">SAIMEX, </w:t>
      </w:r>
      <w:r w:rsidRPr="00095A2C">
        <w:rPr>
          <w:rFonts w:ascii="Palatino Linotype" w:eastAsia="Palatino Linotype" w:hAnsi="Palatino Linotype" w:cs="Palatino Linotype"/>
          <w:sz w:val="22"/>
          <w:szCs w:val="22"/>
        </w:rPr>
        <w:t>en versión pública de</w:t>
      </w:r>
      <w:r w:rsidR="00E37B2C" w:rsidRPr="00095A2C">
        <w:rPr>
          <w:rFonts w:ascii="Palatino Linotype" w:eastAsia="Palatino Linotype" w:hAnsi="Palatino Linotype" w:cs="Palatino Linotype"/>
          <w:sz w:val="22"/>
          <w:szCs w:val="22"/>
        </w:rPr>
        <w:t xml:space="preserve"> ser procedente, en términos de los</w:t>
      </w:r>
      <w:r w:rsidRPr="00095A2C">
        <w:rPr>
          <w:rFonts w:ascii="Palatino Linotype" w:eastAsia="Palatino Linotype" w:hAnsi="Palatino Linotype" w:cs="Palatino Linotype"/>
          <w:sz w:val="22"/>
          <w:szCs w:val="22"/>
        </w:rPr>
        <w:t xml:space="preserve"> </w:t>
      </w:r>
      <w:r w:rsidR="002F43A4" w:rsidRPr="00095A2C">
        <w:rPr>
          <w:rFonts w:ascii="Palatino Linotype" w:eastAsia="Palatino Linotype" w:hAnsi="Palatino Linotype" w:cs="Palatino Linotype"/>
          <w:b/>
          <w:sz w:val="22"/>
          <w:szCs w:val="22"/>
        </w:rPr>
        <w:t>Considerando</w:t>
      </w:r>
      <w:r w:rsidR="00E37B2C" w:rsidRPr="00095A2C">
        <w:rPr>
          <w:rFonts w:ascii="Palatino Linotype" w:eastAsia="Palatino Linotype" w:hAnsi="Palatino Linotype" w:cs="Palatino Linotype"/>
          <w:b/>
          <w:sz w:val="22"/>
          <w:szCs w:val="22"/>
        </w:rPr>
        <w:t>s</w:t>
      </w:r>
      <w:r w:rsidR="002F43A4" w:rsidRPr="00095A2C">
        <w:rPr>
          <w:rFonts w:ascii="Palatino Linotype" w:eastAsia="Palatino Linotype" w:hAnsi="Palatino Linotype" w:cs="Palatino Linotype"/>
          <w:b/>
          <w:sz w:val="22"/>
          <w:szCs w:val="22"/>
        </w:rPr>
        <w:t xml:space="preserve"> </w:t>
      </w:r>
      <w:r w:rsidRPr="00095A2C">
        <w:rPr>
          <w:rFonts w:ascii="Palatino Linotype" w:eastAsia="Palatino Linotype" w:hAnsi="Palatino Linotype" w:cs="Palatino Linotype"/>
          <w:b/>
          <w:sz w:val="22"/>
          <w:szCs w:val="22"/>
        </w:rPr>
        <w:t>Cuarto</w:t>
      </w:r>
      <w:r w:rsidR="00E37B2C" w:rsidRPr="00095A2C">
        <w:rPr>
          <w:rFonts w:ascii="Palatino Linotype" w:eastAsia="Palatino Linotype" w:hAnsi="Palatino Linotype" w:cs="Palatino Linotype"/>
          <w:b/>
          <w:sz w:val="22"/>
          <w:szCs w:val="22"/>
        </w:rPr>
        <w:t xml:space="preserve"> y Quinto</w:t>
      </w:r>
      <w:r w:rsidRPr="00095A2C">
        <w:rPr>
          <w:rFonts w:ascii="Palatino Linotype" w:eastAsia="Palatino Linotype" w:hAnsi="Palatino Linotype" w:cs="Palatino Linotype"/>
          <w:b/>
          <w:sz w:val="22"/>
          <w:szCs w:val="22"/>
        </w:rPr>
        <w:t>,</w:t>
      </w:r>
      <w:r w:rsidR="002F43A4" w:rsidRPr="00095A2C">
        <w:rPr>
          <w:rFonts w:ascii="Palatino Linotype" w:eastAsia="Palatino Linotype" w:hAnsi="Palatino Linotype" w:cs="Palatino Linotype"/>
          <w:b/>
          <w:sz w:val="22"/>
          <w:szCs w:val="22"/>
        </w:rPr>
        <w:t xml:space="preserve"> de lo siguiente</w:t>
      </w:r>
      <w:r w:rsidRPr="00095A2C">
        <w:rPr>
          <w:rFonts w:ascii="Palatino Linotype" w:eastAsia="Palatino Linotype" w:hAnsi="Palatino Linotype" w:cs="Palatino Linotype"/>
          <w:b/>
          <w:sz w:val="22"/>
          <w:szCs w:val="22"/>
        </w:rPr>
        <w:t>:</w:t>
      </w:r>
    </w:p>
    <w:p w14:paraId="0F91BDFA" w14:textId="77777777" w:rsidR="00B427CC" w:rsidRPr="00095A2C" w:rsidRDefault="00E37B2C" w:rsidP="00B427CC">
      <w:pPr>
        <w:pStyle w:val="Prrafodelista"/>
        <w:numPr>
          <w:ilvl w:val="0"/>
          <w:numId w:val="9"/>
        </w:numPr>
        <w:spacing w:before="240" w:after="240" w:line="276" w:lineRule="auto"/>
        <w:ind w:left="567" w:right="900" w:firstLine="0"/>
        <w:jc w:val="both"/>
        <w:rPr>
          <w:rFonts w:ascii="Palatino Linotype" w:eastAsia="Palatino Linotype" w:hAnsi="Palatino Linotype" w:cs="Palatino Linotype"/>
          <w:b/>
          <w:i/>
          <w:sz w:val="22"/>
          <w:szCs w:val="22"/>
        </w:rPr>
      </w:pPr>
      <w:r w:rsidRPr="00095A2C">
        <w:rPr>
          <w:rFonts w:ascii="Palatino Linotype" w:eastAsia="Palatino Linotype" w:hAnsi="Palatino Linotype" w:cs="Palatino Linotype"/>
          <w:b/>
          <w:i/>
          <w:sz w:val="22"/>
          <w:szCs w:val="22"/>
        </w:rPr>
        <w:t>Los oficios firmados por la persona titular de la Contraloría Municipal, en el mes de enero 2024, referidos en respuesta</w:t>
      </w:r>
      <w:r w:rsidR="008073BA" w:rsidRPr="00095A2C">
        <w:rPr>
          <w:rFonts w:ascii="Palatino Linotype" w:eastAsia="Palatino Linotype" w:hAnsi="Palatino Linotype" w:cs="Palatino Linotype"/>
          <w:b/>
          <w:i/>
          <w:sz w:val="22"/>
          <w:szCs w:val="22"/>
        </w:rPr>
        <w:t>.</w:t>
      </w:r>
    </w:p>
    <w:p w14:paraId="10CF9922" w14:textId="6531CC67" w:rsidR="00B427CC" w:rsidRPr="00095A2C" w:rsidRDefault="00B427CC" w:rsidP="00B427CC">
      <w:pPr>
        <w:pStyle w:val="Prrafodelista"/>
        <w:spacing w:before="240" w:after="240" w:line="276" w:lineRule="auto"/>
        <w:ind w:left="567" w:right="900"/>
        <w:jc w:val="both"/>
        <w:rPr>
          <w:rFonts w:ascii="Palatino Linotype" w:eastAsia="Palatino Linotype" w:hAnsi="Palatino Linotype" w:cs="Palatino Linotype"/>
          <w:b/>
          <w:i/>
          <w:sz w:val="22"/>
          <w:szCs w:val="22"/>
        </w:rPr>
      </w:pPr>
      <w:r w:rsidRPr="00095A2C">
        <w:rPr>
          <w:rFonts w:ascii="Palatino Linotype" w:eastAsia="Palatino Linotype" w:hAnsi="Palatino Linotype" w:cs="Palatino Linotype"/>
          <w:i/>
          <w:sz w:val="22"/>
          <w:szCs w:val="22"/>
        </w:rPr>
        <w:t>Para la entrega en versión pública, deberá emitir el Acuerdo del Comité de Transparencia en términos de la Ley de Transparencia y Acceso a la Información Pública del Estado de México y Municipios, en el que funde y motive las razones sobre los datos que se supriman o eliminen y se ponga a disposición de la parte Recurrente, o se clasifiquen en su totalidad  en términos de los artículos 49, fracción VIII, de la Ley de Transparencia y Acceso a la Información Pública del Estado de México y Municipios.</w:t>
      </w:r>
    </w:p>
    <w:p w14:paraId="56AE2A3B" w14:textId="77777777" w:rsidR="00021793" w:rsidRPr="00095A2C" w:rsidRDefault="00122CAC">
      <w:pPr>
        <w:spacing w:before="240" w:after="240" w:line="360" w:lineRule="auto"/>
        <w:jc w:val="both"/>
        <w:rPr>
          <w:rFonts w:ascii="Palatino Linotype" w:eastAsia="Palatino Linotype" w:hAnsi="Palatino Linotype" w:cs="Palatino Linotype"/>
          <w:sz w:val="22"/>
          <w:szCs w:val="22"/>
        </w:rPr>
      </w:pPr>
      <w:r w:rsidRPr="00095A2C">
        <w:rPr>
          <w:rFonts w:ascii="Palatino Linotype" w:eastAsia="Palatino Linotype" w:hAnsi="Palatino Linotype" w:cs="Palatino Linotype"/>
          <w:b/>
          <w:sz w:val="22"/>
          <w:szCs w:val="22"/>
        </w:rPr>
        <w:t xml:space="preserve">Tercero.  Notifíquese vía SAIMEX, </w:t>
      </w:r>
      <w:r w:rsidRPr="00095A2C">
        <w:rPr>
          <w:rFonts w:ascii="Palatino Linotype" w:eastAsia="Palatino Linotype" w:hAnsi="Palatino Linotype" w:cs="Palatino Linotype"/>
          <w:sz w:val="22"/>
          <w:szCs w:val="22"/>
        </w:rPr>
        <w:t>la presente resolución al Titular de la Unidad de Transparencia del Sujeto Obligado, para que conforme al artículo 186 último párrafo, 189 segundo párrafo y 194 de la Ley de Transparencia y Acceso a la Información Pública del Estado de México y Municipios; dé cumplimiento a lo ordenado dentro del plazo de diez días hábiles, e informe a este Instituto en un plazo de tres días hábiles siguientes sobre el cumplimiento dado a la presente y,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p>
    <w:p w14:paraId="729707E0" w14:textId="77777777" w:rsidR="00021793" w:rsidRPr="00095A2C" w:rsidRDefault="00122CAC">
      <w:pPr>
        <w:spacing w:before="240" w:after="240" w:line="360" w:lineRule="auto"/>
        <w:ind w:right="49"/>
        <w:jc w:val="both"/>
        <w:rPr>
          <w:rFonts w:ascii="Palatino Linotype" w:eastAsia="Palatino Linotype" w:hAnsi="Palatino Linotype" w:cs="Palatino Linotype"/>
          <w:sz w:val="22"/>
          <w:szCs w:val="22"/>
        </w:rPr>
      </w:pPr>
      <w:r w:rsidRPr="00095A2C">
        <w:rPr>
          <w:rFonts w:ascii="Palatino Linotype" w:eastAsia="Palatino Linotype" w:hAnsi="Palatino Linotype" w:cs="Palatino Linotype"/>
          <w:b/>
          <w:sz w:val="22"/>
          <w:szCs w:val="22"/>
        </w:rPr>
        <w:t xml:space="preserve">Cuarto. </w:t>
      </w:r>
      <w:r w:rsidRPr="00095A2C">
        <w:rPr>
          <w:rFonts w:ascii="Palatino Linotype" w:eastAsia="Palatino Linotype" w:hAnsi="Palatino Linotype" w:cs="Palatino Linotype"/>
          <w:sz w:val="22"/>
          <w:szCs w:val="22"/>
        </w:rPr>
        <w:t>De conformidad con el artículo 198 de la Ley de Transparencia y Acceso a la Información Pública del Estado de México y Municipios, de considerarlo procedente, el Sujeto Obligado de manera fundada y motivada, podrá solicitar una ampliación de plazo para el cumplimiento de la presente resolución.</w:t>
      </w:r>
    </w:p>
    <w:p w14:paraId="2716128A" w14:textId="77777777" w:rsidR="00021793" w:rsidRPr="00095A2C" w:rsidRDefault="00122CAC">
      <w:pPr>
        <w:spacing w:before="240" w:after="240" w:line="360" w:lineRule="auto"/>
        <w:ind w:right="49"/>
        <w:jc w:val="both"/>
        <w:rPr>
          <w:rFonts w:ascii="Palatino Linotype" w:eastAsia="Palatino Linotype" w:hAnsi="Palatino Linotype" w:cs="Palatino Linotype"/>
          <w:sz w:val="22"/>
          <w:szCs w:val="22"/>
        </w:rPr>
      </w:pPr>
      <w:r w:rsidRPr="00095A2C">
        <w:rPr>
          <w:rFonts w:ascii="Palatino Linotype" w:eastAsia="Palatino Linotype" w:hAnsi="Palatino Linotype" w:cs="Palatino Linotype"/>
          <w:b/>
          <w:sz w:val="22"/>
          <w:szCs w:val="22"/>
        </w:rPr>
        <w:t xml:space="preserve">Quinto. Notifíquese vía SAIMEX, </w:t>
      </w:r>
      <w:r w:rsidRPr="00095A2C">
        <w:rPr>
          <w:rFonts w:ascii="Palatino Linotype" w:eastAsia="Palatino Linotype" w:hAnsi="Palatino Linotype" w:cs="Palatino Linotype"/>
          <w:sz w:val="22"/>
          <w:szCs w:val="22"/>
        </w:rPr>
        <w:t>a</w:t>
      </w:r>
      <w:r w:rsidRPr="00095A2C">
        <w:rPr>
          <w:rFonts w:ascii="Palatino Linotype" w:eastAsia="Palatino Linotype" w:hAnsi="Palatino Linotype" w:cs="Palatino Linotype"/>
          <w:b/>
          <w:sz w:val="22"/>
          <w:szCs w:val="22"/>
        </w:rPr>
        <w:t xml:space="preserve"> la parte Recurrente</w:t>
      </w:r>
      <w:r w:rsidRPr="00095A2C">
        <w:rPr>
          <w:rFonts w:ascii="Palatino Linotype" w:eastAsia="Palatino Linotype" w:hAnsi="Palatino Linotype" w:cs="Palatino Linotype"/>
          <w:sz w:val="22"/>
          <w:szCs w:val="22"/>
        </w:rPr>
        <w:t xml:space="preserve"> la presente resolución, así como que podrá impugnarla vía Juicio de Amparo en los términos de las leyes aplicables, de </w:t>
      </w:r>
      <w:r w:rsidRPr="00095A2C">
        <w:rPr>
          <w:rFonts w:ascii="Palatino Linotype" w:eastAsia="Palatino Linotype" w:hAnsi="Palatino Linotype" w:cs="Palatino Linotype"/>
          <w:sz w:val="22"/>
          <w:szCs w:val="22"/>
        </w:rPr>
        <w:lastRenderedPageBreak/>
        <w:t>conformidad con lo establecido en el artículo 196 de la Ley de Transparencia y Acceso a la Información Pública del Estado de México y Municipios.</w:t>
      </w:r>
    </w:p>
    <w:p w14:paraId="6EFCB561" w14:textId="68FE4BBA" w:rsidR="00295EC0" w:rsidRPr="00095A2C" w:rsidRDefault="00295EC0" w:rsidP="00295EC0">
      <w:pPr>
        <w:spacing w:line="360" w:lineRule="auto"/>
        <w:jc w:val="both"/>
        <w:rPr>
          <w:rFonts w:ascii="Palatino Linotype" w:eastAsiaTheme="minorHAnsi" w:hAnsi="Palatino Linotype" w:cstheme="minorBidi"/>
          <w:sz w:val="22"/>
          <w:szCs w:val="22"/>
          <w:lang w:eastAsia="es-ES_tradnl"/>
        </w:rPr>
      </w:pPr>
      <w:r w:rsidRPr="00095A2C">
        <w:rPr>
          <w:rFonts w:ascii="Palatino Linotype" w:eastAsia="Palatino Linotype" w:hAnsi="Palatino Linotype" w:cs="Palatino Linotype"/>
          <w:b/>
          <w:sz w:val="22"/>
          <w:szCs w:val="22"/>
        </w:rPr>
        <w:t xml:space="preserve">Sexto. </w:t>
      </w:r>
      <w:r w:rsidRPr="00095A2C">
        <w:rPr>
          <w:rFonts w:ascii="Palatino Linotype" w:eastAsiaTheme="minorHAnsi" w:hAnsi="Palatino Linotype" w:cstheme="minorBidi"/>
          <w:b/>
          <w:sz w:val="22"/>
          <w:szCs w:val="22"/>
          <w:lang w:eastAsia="es-ES_tradnl"/>
        </w:rPr>
        <w:t>Gírese</w:t>
      </w:r>
      <w:r w:rsidRPr="00095A2C">
        <w:rPr>
          <w:rFonts w:ascii="Palatino Linotype" w:eastAsiaTheme="minorHAnsi" w:hAnsi="Palatino Linotype" w:cstheme="minorBidi"/>
          <w:sz w:val="22"/>
          <w:szCs w:val="22"/>
          <w:lang w:eastAsia="es-ES_tradnl"/>
        </w:rPr>
        <w:t xml:space="preserve"> oficio al Titular de la Dirección General de Protección de Datos Personales, en atención al artículo 82, fracción XXVII de la Ley de Protección de Datos Personales del Estado de México y Municipios en términos de lo señalado en el </w:t>
      </w:r>
      <w:r w:rsidRPr="00095A2C">
        <w:rPr>
          <w:rFonts w:ascii="Palatino Linotype" w:eastAsiaTheme="minorHAnsi" w:hAnsi="Palatino Linotype" w:cstheme="minorBidi"/>
          <w:b/>
          <w:bCs/>
          <w:sz w:val="22"/>
          <w:szCs w:val="22"/>
          <w:lang w:eastAsia="es-ES_tradnl"/>
        </w:rPr>
        <w:t>Considerando CUARTO</w:t>
      </w:r>
      <w:r w:rsidRPr="00095A2C">
        <w:rPr>
          <w:rFonts w:ascii="Palatino Linotype" w:eastAsiaTheme="minorHAnsi" w:hAnsi="Palatino Linotype" w:cstheme="minorBidi"/>
          <w:sz w:val="22"/>
          <w:szCs w:val="22"/>
          <w:lang w:eastAsia="es-ES_tradnl"/>
        </w:rPr>
        <w:t xml:space="preserve"> de la presente resolución.</w:t>
      </w:r>
    </w:p>
    <w:p w14:paraId="2A2C7FC9" w14:textId="77777777" w:rsidR="00295EC0" w:rsidRPr="00095A2C" w:rsidRDefault="00295EC0" w:rsidP="00295EC0">
      <w:pPr>
        <w:spacing w:line="360" w:lineRule="auto"/>
        <w:jc w:val="both"/>
        <w:rPr>
          <w:rFonts w:ascii="Palatino Linotype" w:eastAsiaTheme="minorHAnsi" w:hAnsi="Palatino Linotype" w:cstheme="minorBidi"/>
          <w:sz w:val="22"/>
          <w:szCs w:val="22"/>
          <w:lang w:eastAsia="es-ES_tradnl"/>
        </w:rPr>
      </w:pPr>
    </w:p>
    <w:p w14:paraId="14D1FCD8" w14:textId="156E5E18" w:rsidR="00021793" w:rsidRPr="00095A2C" w:rsidRDefault="00122CAC">
      <w:pPr>
        <w:spacing w:before="240" w:after="240" w:line="360" w:lineRule="auto"/>
        <w:jc w:val="both"/>
        <w:rPr>
          <w:rFonts w:ascii="Palatino Linotype" w:eastAsia="Palatino Linotype" w:hAnsi="Palatino Linotype" w:cs="Palatino Linotype"/>
        </w:rPr>
      </w:pPr>
      <w:r w:rsidRPr="00095A2C">
        <w:rPr>
          <w:rFonts w:ascii="Palatino Linotype" w:eastAsia="Palatino Linotype" w:hAnsi="Palatino Linotype" w:cs="Palatino Linotype"/>
        </w:rPr>
        <w:t xml:space="preserve">ASÍ LO </w:t>
      </w:r>
      <w:r w:rsidR="00095A2C" w:rsidRPr="00095A2C">
        <w:rPr>
          <w:rFonts w:ascii="Palatino Linotype" w:eastAsia="Palatino Linotype" w:hAnsi="Palatino Linotype" w:cs="Palatino Linotype"/>
        </w:rPr>
        <w:t>RESUELVE</w:t>
      </w:r>
      <w:r w:rsidRPr="00095A2C">
        <w:rPr>
          <w:rFonts w:ascii="Palatino Linotype" w:eastAsia="Palatino Linotype" w:hAnsi="Palatino Linotype" w:cs="Palatino Linotype"/>
        </w:rPr>
        <w:t xml:space="preser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RAMÍREZ PEÑA; EN LA </w:t>
      </w:r>
      <w:r w:rsidR="00E37B2C" w:rsidRPr="00095A2C">
        <w:rPr>
          <w:rFonts w:ascii="Palatino Linotype" w:eastAsia="Palatino Linotype" w:hAnsi="Palatino Linotype" w:cs="Palatino Linotype"/>
        </w:rPr>
        <w:t>NOVENA</w:t>
      </w:r>
      <w:r w:rsidRPr="00095A2C">
        <w:rPr>
          <w:rFonts w:ascii="Palatino Linotype" w:eastAsia="Palatino Linotype" w:hAnsi="Palatino Linotype" w:cs="Palatino Linotype"/>
        </w:rPr>
        <w:t xml:space="preserve"> SESIÓN ORDINARIA CELEBRADA EL </w:t>
      </w:r>
      <w:r w:rsidR="00E37B2C" w:rsidRPr="00095A2C">
        <w:rPr>
          <w:rFonts w:ascii="Palatino Linotype" w:eastAsia="Palatino Linotype" w:hAnsi="Palatino Linotype" w:cs="Palatino Linotype"/>
        </w:rPr>
        <w:t>DOCE</w:t>
      </w:r>
      <w:r w:rsidR="008073BA" w:rsidRPr="00095A2C">
        <w:rPr>
          <w:rFonts w:ascii="Palatino Linotype" w:eastAsia="Palatino Linotype" w:hAnsi="Palatino Linotype" w:cs="Palatino Linotype"/>
        </w:rPr>
        <w:t xml:space="preserve"> DE MARZ</w:t>
      </w:r>
      <w:r w:rsidRPr="00095A2C">
        <w:rPr>
          <w:rFonts w:ascii="Palatino Linotype" w:eastAsia="Palatino Linotype" w:hAnsi="Palatino Linotype" w:cs="Palatino Linotype"/>
        </w:rPr>
        <w:t>O DE DOS MIL VEINTICINCO, ANTE EL SECRETARIO TÉCNICO DEL PLENO ALEXIS TAPIA RAMÍREZ.</w:t>
      </w:r>
    </w:p>
    <w:p w14:paraId="56DDB399" w14:textId="77777777" w:rsidR="00021793" w:rsidRPr="00095A2C" w:rsidRDefault="00021793">
      <w:pPr>
        <w:spacing w:line="360" w:lineRule="auto"/>
        <w:ind w:right="141"/>
        <w:jc w:val="both"/>
        <w:rPr>
          <w:rFonts w:ascii="Palatino Linotype" w:eastAsia="Palatino Linotype" w:hAnsi="Palatino Linotype" w:cs="Palatino Linotype"/>
          <w:sz w:val="22"/>
          <w:szCs w:val="22"/>
        </w:rPr>
      </w:pPr>
    </w:p>
    <w:p w14:paraId="123FD937" w14:textId="77777777" w:rsidR="00021793" w:rsidRPr="00095A2C" w:rsidRDefault="00021793">
      <w:pPr>
        <w:spacing w:line="360" w:lineRule="auto"/>
        <w:ind w:right="141"/>
        <w:jc w:val="both"/>
        <w:rPr>
          <w:rFonts w:ascii="Palatino Linotype" w:eastAsia="Palatino Linotype" w:hAnsi="Palatino Linotype" w:cs="Palatino Linotype"/>
          <w:sz w:val="22"/>
          <w:szCs w:val="22"/>
        </w:rPr>
      </w:pPr>
    </w:p>
    <w:p w14:paraId="367CC449" w14:textId="77777777" w:rsidR="00021793" w:rsidRPr="00095A2C" w:rsidRDefault="00021793">
      <w:pPr>
        <w:spacing w:line="360" w:lineRule="auto"/>
        <w:ind w:right="141"/>
        <w:jc w:val="both"/>
        <w:rPr>
          <w:rFonts w:ascii="Palatino Linotype" w:eastAsia="Palatino Linotype" w:hAnsi="Palatino Linotype" w:cs="Palatino Linotype"/>
          <w:sz w:val="22"/>
          <w:szCs w:val="22"/>
        </w:rPr>
      </w:pPr>
    </w:p>
    <w:p w14:paraId="6B82EBED" w14:textId="77777777" w:rsidR="00021793" w:rsidRPr="00095A2C" w:rsidRDefault="00021793">
      <w:pPr>
        <w:pBdr>
          <w:top w:val="nil"/>
          <w:left w:val="nil"/>
          <w:bottom w:val="nil"/>
          <w:right w:val="nil"/>
          <w:between w:val="nil"/>
        </w:pBdr>
        <w:tabs>
          <w:tab w:val="left" w:pos="851"/>
        </w:tabs>
        <w:spacing w:line="360" w:lineRule="auto"/>
        <w:ind w:right="49"/>
        <w:jc w:val="both"/>
        <w:rPr>
          <w:rFonts w:ascii="Palatino Linotype" w:eastAsia="Palatino Linotype" w:hAnsi="Palatino Linotype" w:cs="Palatino Linotype"/>
          <w:b/>
          <w:sz w:val="22"/>
          <w:szCs w:val="22"/>
        </w:rPr>
      </w:pPr>
    </w:p>
    <w:p w14:paraId="18A1C0E9" w14:textId="77777777" w:rsidR="00021793" w:rsidRPr="00095A2C" w:rsidRDefault="00021793">
      <w:pPr>
        <w:pBdr>
          <w:top w:val="nil"/>
          <w:left w:val="nil"/>
          <w:bottom w:val="nil"/>
          <w:right w:val="nil"/>
          <w:between w:val="nil"/>
        </w:pBdr>
        <w:tabs>
          <w:tab w:val="left" w:pos="851"/>
        </w:tabs>
        <w:spacing w:line="360" w:lineRule="auto"/>
        <w:ind w:right="49"/>
        <w:jc w:val="both"/>
        <w:rPr>
          <w:rFonts w:ascii="Palatino Linotype" w:eastAsia="Palatino Linotype" w:hAnsi="Palatino Linotype" w:cs="Palatino Linotype"/>
          <w:b/>
          <w:sz w:val="22"/>
          <w:szCs w:val="22"/>
        </w:rPr>
      </w:pPr>
    </w:p>
    <w:p w14:paraId="10726E02" w14:textId="77777777" w:rsidR="00021793" w:rsidRPr="00095A2C" w:rsidRDefault="00021793">
      <w:pPr>
        <w:spacing w:before="240" w:after="240" w:line="360" w:lineRule="auto"/>
        <w:jc w:val="both"/>
        <w:rPr>
          <w:rFonts w:ascii="Palatino Linotype" w:eastAsia="Palatino Linotype" w:hAnsi="Palatino Linotype" w:cs="Palatino Linotype"/>
          <w:sz w:val="22"/>
          <w:szCs w:val="22"/>
        </w:rPr>
      </w:pPr>
    </w:p>
    <w:p w14:paraId="10F30185" w14:textId="77777777" w:rsidR="00021793" w:rsidRPr="00095A2C" w:rsidRDefault="00021793">
      <w:pPr>
        <w:spacing w:before="240" w:after="240" w:line="360" w:lineRule="auto"/>
        <w:jc w:val="both"/>
        <w:rPr>
          <w:rFonts w:ascii="Palatino Linotype" w:eastAsia="Palatino Linotype" w:hAnsi="Palatino Linotype" w:cs="Palatino Linotype"/>
          <w:b/>
        </w:rPr>
      </w:pPr>
    </w:p>
    <w:p w14:paraId="558E0709" w14:textId="77777777" w:rsidR="00021793" w:rsidRPr="00095A2C" w:rsidRDefault="00021793">
      <w:pPr>
        <w:spacing w:before="240" w:after="240" w:line="360" w:lineRule="auto"/>
        <w:jc w:val="both"/>
        <w:rPr>
          <w:rFonts w:ascii="Palatino Linotype" w:eastAsia="Palatino Linotype" w:hAnsi="Palatino Linotype" w:cs="Palatino Linotype"/>
          <w:b/>
        </w:rPr>
      </w:pPr>
    </w:p>
    <w:p w14:paraId="44B0B531" w14:textId="77777777" w:rsidR="00021793" w:rsidRPr="00095A2C" w:rsidRDefault="00021793">
      <w:pPr>
        <w:spacing w:before="240" w:after="240" w:line="360" w:lineRule="auto"/>
        <w:jc w:val="both"/>
        <w:rPr>
          <w:rFonts w:ascii="Palatino Linotype" w:eastAsia="Palatino Linotype" w:hAnsi="Palatino Linotype" w:cs="Palatino Linotype"/>
          <w:b/>
        </w:rPr>
      </w:pPr>
    </w:p>
    <w:p w14:paraId="4A23F93C" w14:textId="77777777" w:rsidR="00021793" w:rsidRPr="00095A2C" w:rsidRDefault="00021793">
      <w:pPr>
        <w:spacing w:line="360" w:lineRule="auto"/>
        <w:jc w:val="both"/>
        <w:rPr>
          <w:rFonts w:ascii="Palatino Linotype" w:eastAsia="Palatino Linotype" w:hAnsi="Palatino Linotype" w:cs="Palatino Linotype"/>
        </w:rPr>
      </w:pPr>
    </w:p>
    <w:p w14:paraId="611D43DE" w14:textId="77777777" w:rsidR="00021793" w:rsidRPr="00095A2C" w:rsidRDefault="00021793">
      <w:pPr>
        <w:spacing w:line="360" w:lineRule="auto"/>
        <w:jc w:val="both"/>
        <w:rPr>
          <w:rFonts w:ascii="Palatino Linotype" w:eastAsia="Palatino Linotype" w:hAnsi="Palatino Linotype" w:cs="Palatino Linotype"/>
        </w:rPr>
      </w:pPr>
    </w:p>
    <w:p w14:paraId="3AC18A05" w14:textId="77777777" w:rsidR="00021793" w:rsidRPr="00095A2C" w:rsidRDefault="00021793">
      <w:pPr>
        <w:spacing w:line="360" w:lineRule="auto"/>
        <w:jc w:val="both"/>
        <w:rPr>
          <w:rFonts w:ascii="Palatino Linotype" w:eastAsia="Palatino Linotype" w:hAnsi="Palatino Linotype" w:cs="Palatino Linotype"/>
        </w:rPr>
      </w:pPr>
    </w:p>
    <w:p w14:paraId="2DD8AAA6" w14:textId="77777777" w:rsidR="00021793" w:rsidRPr="00095A2C" w:rsidRDefault="00021793">
      <w:pPr>
        <w:spacing w:line="360" w:lineRule="auto"/>
        <w:jc w:val="both"/>
        <w:rPr>
          <w:rFonts w:ascii="Palatino Linotype" w:eastAsia="Palatino Linotype" w:hAnsi="Palatino Linotype" w:cs="Palatino Linotype"/>
        </w:rPr>
      </w:pPr>
    </w:p>
    <w:p w14:paraId="6C176B0F" w14:textId="77777777" w:rsidR="00021793" w:rsidRPr="00095A2C" w:rsidRDefault="00021793">
      <w:pPr>
        <w:spacing w:line="360" w:lineRule="auto"/>
        <w:jc w:val="both"/>
        <w:rPr>
          <w:rFonts w:ascii="Palatino Linotype" w:eastAsia="Palatino Linotype" w:hAnsi="Palatino Linotype" w:cs="Palatino Linotype"/>
        </w:rPr>
      </w:pPr>
    </w:p>
    <w:p w14:paraId="59730699" w14:textId="77777777" w:rsidR="00021793" w:rsidRPr="00095A2C" w:rsidRDefault="00021793">
      <w:pPr>
        <w:spacing w:line="360" w:lineRule="auto"/>
        <w:jc w:val="both"/>
        <w:rPr>
          <w:rFonts w:ascii="Palatino Linotype" w:eastAsia="Palatino Linotype" w:hAnsi="Palatino Linotype" w:cs="Palatino Linotype"/>
        </w:rPr>
      </w:pPr>
    </w:p>
    <w:p w14:paraId="2CD10801" w14:textId="77777777" w:rsidR="00021793" w:rsidRPr="00095A2C" w:rsidRDefault="00021793">
      <w:pPr>
        <w:spacing w:line="360" w:lineRule="auto"/>
        <w:jc w:val="both"/>
        <w:rPr>
          <w:rFonts w:ascii="Palatino Linotype" w:eastAsia="Palatino Linotype" w:hAnsi="Palatino Linotype" w:cs="Palatino Linotype"/>
        </w:rPr>
      </w:pPr>
    </w:p>
    <w:p w14:paraId="6A2CE1D5" w14:textId="77777777" w:rsidR="00021793" w:rsidRPr="00095A2C" w:rsidRDefault="00021793">
      <w:pPr>
        <w:spacing w:line="360" w:lineRule="auto"/>
        <w:jc w:val="both"/>
        <w:rPr>
          <w:rFonts w:ascii="Palatino Linotype" w:eastAsia="Palatino Linotype" w:hAnsi="Palatino Linotype" w:cs="Palatino Linotype"/>
        </w:rPr>
      </w:pPr>
    </w:p>
    <w:p w14:paraId="56E08F8E" w14:textId="77777777" w:rsidR="00021793" w:rsidRPr="00095A2C" w:rsidRDefault="00021793">
      <w:pPr>
        <w:spacing w:line="360" w:lineRule="auto"/>
        <w:jc w:val="both"/>
        <w:rPr>
          <w:rFonts w:ascii="Palatino Linotype" w:eastAsia="Palatino Linotype" w:hAnsi="Palatino Linotype" w:cs="Palatino Linotype"/>
        </w:rPr>
      </w:pPr>
    </w:p>
    <w:p w14:paraId="7FF018FE" w14:textId="77777777" w:rsidR="00021793" w:rsidRPr="00095A2C" w:rsidRDefault="00021793">
      <w:pPr>
        <w:spacing w:line="360" w:lineRule="auto"/>
        <w:jc w:val="both"/>
        <w:rPr>
          <w:rFonts w:ascii="Palatino Linotype" w:eastAsia="Palatino Linotype" w:hAnsi="Palatino Linotype" w:cs="Palatino Linotype"/>
        </w:rPr>
      </w:pPr>
    </w:p>
    <w:p w14:paraId="38FBC362" w14:textId="77777777" w:rsidR="00021793" w:rsidRPr="00095A2C" w:rsidRDefault="00021793">
      <w:pPr>
        <w:spacing w:line="360" w:lineRule="auto"/>
        <w:jc w:val="both"/>
        <w:rPr>
          <w:rFonts w:ascii="Palatino Linotype" w:eastAsia="Palatino Linotype" w:hAnsi="Palatino Linotype" w:cs="Palatino Linotype"/>
        </w:rPr>
      </w:pPr>
    </w:p>
    <w:p w14:paraId="2D834ADD" w14:textId="77777777" w:rsidR="00021793" w:rsidRPr="00095A2C" w:rsidRDefault="00021793">
      <w:pPr>
        <w:spacing w:line="360" w:lineRule="auto"/>
        <w:jc w:val="both"/>
        <w:rPr>
          <w:rFonts w:ascii="Palatino Linotype" w:eastAsia="Palatino Linotype" w:hAnsi="Palatino Linotype" w:cs="Palatino Linotype"/>
        </w:rPr>
      </w:pPr>
    </w:p>
    <w:p w14:paraId="20DBC5F8" w14:textId="77777777" w:rsidR="00021793" w:rsidRPr="00095A2C" w:rsidRDefault="00021793">
      <w:pPr>
        <w:spacing w:line="360" w:lineRule="auto"/>
        <w:jc w:val="both"/>
        <w:rPr>
          <w:rFonts w:ascii="Palatino Linotype" w:eastAsia="Palatino Linotype" w:hAnsi="Palatino Linotype" w:cs="Palatino Linotype"/>
        </w:rPr>
      </w:pPr>
    </w:p>
    <w:p w14:paraId="2A469216" w14:textId="77777777" w:rsidR="00021793" w:rsidRPr="00095A2C" w:rsidRDefault="00021793">
      <w:pPr>
        <w:spacing w:line="360" w:lineRule="auto"/>
        <w:jc w:val="both"/>
        <w:rPr>
          <w:rFonts w:ascii="Palatino Linotype" w:eastAsia="Palatino Linotype" w:hAnsi="Palatino Linotype" w:cs="Palatino Linotype"/>
        </w:rPr>
      </w:pPr>
    </w:p>
    <w:sectPr w:rsidR="00021793" w:rsidRPr="00095A2C">
      <w:headerReference w:type="default" r:id="rId12"/>
      <w:footerReference w:type="default" r:id="rId13"/>
      <w:headerReference w:type="first" r:id="rId14"/>
      <w:footerReference w:type="first" r:id="rId15"/>
      <w:pgSz w:w="12240" w:h="15840"/>
      <w:pgMar w:top="1985" w:right="1701" w:bottom="1701" w:left="1701" w:header="709" w:footer="709"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9361DC" w14:textId="77777777" w:rsidR="00043CF0" w:rsidRDefault="00043CF0">
      <w:r>
        <w:separator/>
      </w:r>
    </w:p>
  </w:endnote>
  <w:endnote w:type="continuationSeparator" w:id="0">
    <w:p w14:paraId="4B4ED5DA" w14:textId="77777777" w:rsidR="00043CF0" w:rsidRDefault="00043C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Palatino Linotype">
    <w:panose1 w:val="02040502050505030304"/>
    <w:charset w:val="00"/>
    <w:family w:val="roman"/>
    <w:pitch w:val="variable"/>
    <w:sig w:usb0="E0000287" w:usb1="40000013" w:usb2="00000000" w:usb3="00000000" w:csb0="000001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F18C25" w14:textId="77777777" w:rsidR="00B2302A" w:rsidRDefault="00B2302A">
    <w:pPr>
      <w:pBdr>
        <w:top w:val="nil"/>
        <w:left w:val="nil"/>
        <w:bottom w:val="nil"/>
        <w:right w:val="nil"/>
        <w:between w:val="nil"/>
      </w:pBdr>
      <w:tabs>
        <w:tab w:val="center" w:pos="4252"/>
        <w:tab w:val="right" w:pos="8504"/>
      </w:tabs>
      <w:jc w:val="right"/>
      <w:rPr>
        <w:rFonts w:ascii="Palatino Linotype" w:eastAsia="Palatino Linotype" w:hAnsi="Palatino Linotype" w:cs="Palatino Linotype"/>
        <w:color w:val="000000"/>
        <w:sz w:val="20"/>
        <w:szCs w:val="20"/>
      </w:rPr>
    </w:pPr>
    <w:r>
      <w:rPr>
        <w:rFonts w:ascii="Palatino Linotype" w:eastAsia="Palatino Linotype" w:hAnsi="Palatino Linotype" w:cs="Palatino Linotype"/>
        <w:b/>
        <w:color w:val="000000"/>
        <w:sz w:val="20"/>
        <w:szCs w:val="20"/>
      </w:rPr>
      <w:t xml:space="preserve">Página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PAGE</w:instrText>
    </w:r>
    <w:r>
      <w:rPr>
        <w:rFonts w:ascii="Palatino Linotype" w:eastAsia="Palatino Linotype" w:hAnsi="Palatino Linotype" w:cs="Palatino Linotype"/>
        <w:b/>
        <w:color w:val="000000"/>
        <w:sz w:val="20"/>
        <w:szCs w:val="20"/>
      </w:rPr>
      <w:fldChar w:fldCharType="separate"/>
    </w:r>
    <w:r w:rsidR="00301495">
      <w:rPr>
        <w:rFonts w:ascii="Palatino Linotype" w:eastAsia="Palatino Linotype" w:hAnsi="Palatino Linotype" w:cs="Palatino Linotype"/>
        <w:b/>
        <w:noProof/>
        <w:color w:val="000000"/>
        <w:sz w:val="20"/>
        <w:szCs w:val="20"/>
      </w:rPr>
      <w:t>34</w:t>
    </w:r>
    <w:r>
      <w:rPr>
        <w:rFonts w:ascii="Palatino Linotype" w:eastAsia="Palatino Linotype" w:hAnsi="Palatino Linotype" w:cs="Palatino Linotype"/>
        <w:b/>
        <w:color w:val="000000"/>
        <w:sz w:val="20"/>
        <w:szCs w:val="20"/>
      </w:rPr>
      <w:fldChar w:fldCharType="end"/>
    </w:r>
    <w:r>
      <w:rPr>
        <w:rFonts w:ascii="Palatino Linotype" w:eastAsia="Palatino Linotype" w:hAnsi="Palatino Linotype" w:cs="Palatino Linotype"/>
        <w:color w:val="000000"/>
        <w:sz w:val="20"/>
        <w:szCs w:val="20"/>
      </w:rPr>
      <w:t xml:space="preserve"> de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NUMPAGES</w:instrText>
    </w:r>
    <w:r>
      <w:rPr>
        <w:rFonts w:ascii="Palatino Linotype" w:eastAsia="Palatino Linotype" w:hAnsi="Palatino Linotype" w:cs="Palatino Linotype"/>
        <w:b/>
        <w:color w:val="000000"/>
        <w:sz w:val="20"/>
        <w:szCs w:val="20"/>
      </w:rPr>
      <w:fldChar w:fldCharType="separate"/>
    </w:r>
    <w:r w:rsidR="00301495">
      <w:rPr>
        <w:rFonts w:ascii="Palatino Linotype" w:eastAsia="Palatino Linotype" w:hAnsi="Palatino Linotype" w:cs="Palatino Linotype"/>
        <w:b/>
        <w:noProof/>
        <w:color w:val="000000"/>
        <w:sz w:val="20"/>
        <w:szCs w:val="20"/>
      </w:rPr>
      <w:t>35</w:t>
    </w:r>
    <w:r>
      <w:rPr>
        <w:rFonts w:ascii="Palatino Linotype" w:eastAsia="Palatino Linotype" w:hAnsi="Palatino Linotype" w:cs="Palatino Linotype"/>
        <w:b/>
        <w:color w:val="000000"/>
        <w:sz w:val="20"/>
        <w:szCs w:val="20"/>
      </w:rPr>
      <w:fldChar w:fldCharType="end"/>
    </w:r>
  </w:p>
  <w:p w14:paraId="5A9A4CF8" w14:textId="77777777" w:rsidR="00B2302A" w:rsidRDefault="00B2302A">
    <w:pPr>
      <w:pBdr>
        <w:top w:val="nil"/>
        <w:left w:val="nil"/>
        <w:bottom w:val="nil"/>
        <w:right w:val="nil"/>
        <w:between w:val="nil"/>
      </w:pBdr>
      <w:tabs>
        <w:tab w:val="center" w:pos="4252"/>
        <w:tab w:val="right" w:pos="8504"/>
      </w:tabs>
      <w:ind w:firstLine="708"/>
      <w:rPr>
        <w:rFonts w:ascii="Cambria" w:eastAsia="Cambria" w:hAnsi="Cambria" w:cs="Cambria"/>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21928C" w14:textId="77777777" w:rsidR="00B2302A" w:rsidRDefault="00B2302A">
    <w:pPr>
      <w:pBdr>
        <w:top w:val="nil"/>
        <w:left w:val="nil"/>
        <w:bottom w:val="nil"/>
        <w:right w:val="nil"/>
        <w:between w:val="nil"/>
      </w:pBdr>
      <w:tabs>
        <w:tab w:val="center" w:pos="4252"/>
        <w:tab w:val="right" w:pos="8504"/>
      </w:tabs>
      <w:jc w:val="right"/>
      <w:rPr>
        <w:rFonts w:ascii="Palatino Linotype" w:eastAsia="Palatino Linotype" w:hAnsi="Palatino Linotype" w:cs="Palatino Linotype"/>
        <w:color w:val="000000"/>
        <w:sz w:val="20"/>
        <w:szCs w:val="20"/>
      </w:rPr>
    </w:pPr>
    <w:r>
      <w:rPr>
        <w:rFonts w:ascii="Palatino Linotype" w:eastAsia="Palatino Linotype" w:hAnsi="Palatino Linotype" w:cs="Palatino Linotype"/>
        <w:b/>
        <w:color w:val="000000"/>
        <w:sz w:val="20"/>
        <w:szCs w:val="20"/>
      </w:rPr>
      <w:t xml:space="preserve">Página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PAGE</w:instrText>
    </w:r>
    <w:r>
      <w:rPr>
        <w:rFonts w:ascii="Palatino Linotype" w:eastAsia="Palatino Linotype" w:hAnsi="Palatino Linotype" w:cs="Palatino Linotype"/>
        <w:b/>
        <w:color w:val="000000"/>
        <w:sz w:val="20"/>
        <w:szCs w:val="20"/>
      </w:rPr>
      <w:fldChar w:fldCharType="separate"/>
    </w:r>
    <w:r w:rsidR="00301495">
      <w:rPr>
        <w:rFonts w:ascii="Palatino Linotype" w:eastAsia="Palatino Linotype" w:hAnsi="Palatino Linotype" w:cs="Palatino Linotype"/>
        <w:b/>
        <w:noProof/>
        <w:color w:val="000000"/>
        <w:sz w:val="20"/>
        <w:szCs w:val="20"/>
      </w:rPr>
      <w:t>1</w:t>
    </w:r>
    <w:r>
      <w:rPr>
        <w:rFonts w:ascii="Palatino Linotype" w:eastAsia="Palatino Linotype" w:hAnsi="Palatino Linotype" w:cs="Palatino Linotype"/>
        <w:b/>
        <w:color w:val="000000"/>
        <w:sz w:val="20"/>
        <w:szCs w:val="20"/>
      </w:rPr>
      <w:fldChar w:fldCharType="end"/>
    </w:r>
    <w:r>
      <w:rPr>
        <w:rFonts w:ascii="Palatino Linotype" w:eastAsia="Palatino Linotype" w:hAnsi="Palatino Linotype" w:cs="Palatino Linotype"/>
        <w:color w:val="000000"/>
        <w:sz w:val="20"/>
        <w:szCs w:val="20"/>
      </w:rPr>
      <w:t xml:space="preserve"> de </w:t>
    </w:r>
    <w:r>
      <w:rPr>
        <w:rFonts w:ascii="Palatino Linotype" w:eastAsia="Palatino Linotype" w:hAnsi="Palatino Linotype" w:cs="Palatino Linotype"/>
        <w:b/>
        <w:color w:val="000000"/>
        <w:sz w:val="20"/>
        <w:szCs w:val="20"/>
      </w:rPr>
      <w:fldChar w:fldCharType="begin"/>
    </w:r>
    <w:r>
      <w:rPr>
        <w:rFonts w:ascii="Palatino Linotype" w:eastAsia="Palatino Linotype" w:hAnsi="Palatino Linotype" w:cs="Palatino Linotype"/>
        <w:b/>
        <w:color w:val="000000"/>
        <w:sz w:val="20"/>
        <w:szCs w:val="20"/>
      </w:rPr>
      <w:instrText>NUMPAGES</w:instrText>
    </w:r>
    <w:r>
      <w:rPr>
        <w:rFonts w:ascii="Palatino Linotype" w:eastAsia="Palatino Linotype" w:hAnsi="Palatino Linotype" w:cs="Palatino Linotype"/>
        <w:b/>
        <w:color w:val="000000"/>
        <w:sz w:val="20"/>
        <w:szCs w:val="20"/>
      </w:rPr>
      <w:fldChar w:fldCharType="separate"/>
    </w:r>
    <w:r w:rsidR="00301495">
      <w:rPr>
        <w:rFonts w:ascii="Palatino Linotype" w:eastAsia="Palatino Linotype" w:hAnsi="Palatino Linotype" w:cs="Palatino Linotype"/>
        <w:b/>
        <w:noProof/>
        <w:color w:val="000000"/>
        <w:sz w:val="20"/>
        <w:szCs w:val="20"/>
      </w:rPr>
      <w:t>35</w:t>
    </w:r>
    <w:r>
      <w:rPr>
        <w:rFonts w:ascii="Palatino Linotype" w:eastAsia="Palatino Linotype" w:hAnsi="Palatino Linotype" w:cs="Palatino Linotype"/>
        <w:b/>
        <w:color w:val="000000"/>
        <w:sz w:val="20"/>
        <w:szCs w:val="20"/>
      </w:rPr>
      <w:fldChar w:fldCharType="end"/>
    </w:r>
  </w:p>
  <w:p w14:paraId="3D0002E4" w14:textId="77777777" w:rsidR="00B2302A" w:rsidRDefault="00B2302A">
    <w:pPr>
      <w:pBdr>
        <w:top w:val="nil"/>
        <w:left w:val="nil"/>
        <w:bottom w:val="nil"/>
        <w:right w:val="nil"/>
        <w:between w:val="nil"/>
      </w:pBdr>
      <w:tabs>
        <w:tab w:val="center" w:pos="4252"/>
        <w:tab w:val="right" w:pos="8504"/>
      </w:tabs>
      <w:rPr>
        <w:rFonts w:ascii="Cambria" w:eastAsia="Cambria" w:hAnsi="Cambria" w:cs="Cambria"/>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45203B" w14:textId="77777777" w:rsidR="00043CF0" w:rsidRDefault="00043CF0">
      <w:r>
        <w:separator/>
      </w:r>
    </w:p>
  </w:footnote>
  <w:footnote w:type="continuationSeparator" w:id="0">
    <w:p w14:paraId="563F747D" w14:textId="77777777" w:rsidR="00043CF0" w:rsidRDefault="00043CF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D13575" w14:textId="77777777" w:rsidR="00B2302A" w:rsidRDefault="00B2302A">
    <w:pPr>
      <w:rPr>
        <w:rFonts w:ascii="Cambria" w:eastAsia="Cambria" w:hAnsi="Cambria" w:cs="Cambria"/>
        <w:color w:val="000000"/>
      </w:rPr>
    </w:pPr>
    <w:r>
      <w:rPr>
        <w:noProof/>
      </w:rPr>
      <w:drawing>
        <wp:anchor distT="0" distB="0" distL="0" distR="0" simplePos="0" relativeHeight="251658240" behindDoc="1" locked="0" layoutInCell="1" hidden="0" allowOverlap="1" wp14:anchorId="17ACBF09" wp14:editId="59297B0F">
          <wp:simplePos x="0" y="0"/>
          <wp:positionH relativeFrom="column">
            <wp:posOffset>-1080134</wp:posOffset>
          </wp:positionH>
          <wp:positionV relativeFrom="paragraph">
            <wp:posOffset>-488276</wp:posOffset>
          </wp:positionV>
          <wp:extent cx="7809865" cy="10165715"/>
          <wp:effectExtent l="0" t="0" r="0" b="0"/>
          <wp:wrapNone/>
          <wp:docPr id="2083296415"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
                  <a:srcRect/>
                  <a:stretch>
                    <a:fillRect/>
                  </a:stretch>
                </pic:blipFill>
                <pic:spPr>
                  <a:xfrm>
                    <a:off x="0" y="0"/>
                    <a:ext cx="7809865" cy="10165715"/>
                  </a:xfrm>
                  <a:prstGeom prst="rect">
                    <a:avLst/>
                  </a:prstGeom>
                  <a:ln/>
                </pic:spPr>
              </pic:pic>
            </a:graphicData>
          </a:graphic>
        </wp:anchor>
      </w:drawing>
    </w:r>
  </w:p>
  <w:tbl>
    <w:tblPr>
      <w:tblStyle w:val="af6"/>
      <w:tblW w:w="5811" w:type="dxa"/>
      <w:tblInd w:w="3261" w:type="dxa"/>
      <w:tblLayout w:type="fixed"/>
      <w:tblLook w:val="0400" w:firstRow="0" w:lastRow="0" w:firstColumn="0" w:lastColumn="0" w:noHBand="0" w:noVBand="1"/>
    </w:tblPr>
    <w:tblGrid>
      <w:gridCol w:w="2489"/>
      <w:gridCol w:w="3322"/>
    </w:tblGrid>
    <w:tr w:rsidR="00B2302A" w14:paraId="4ED76338" w14:textId="77777777">
      <w:tc>
        <w:tcPr>
          <w:tcW w:w="2489" w:type="dxa"/>
          <w:shd w:val="clear" w:color="auto" w:fill="auto"/>
        </w:tcPr>
        <w:p w14:paraId="1BFCA48B" w14:textId="77777777" w:rsidR="00B2302A" w:rsidRDefault="00B2302A">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3322" w:type="dxa"/>
          <w:shd w:val="clear" w:color="auto" w:fill="auto"/>
          <w:vAlign w:val="center"/>
        </w:tcPr>
        <w:p w14:paraId="46413692" w14:textId="77777777" w:rsidR="00B2302A" w:rsidRPr="00CB2B76" w:rsidRDefault="00B2302A">
          <w:pPr>
            <w:ind w:left="-53" w:right="175"/>
            <w:jc w:val="both"/>
            <w:rPr>
              <w:rFonts w:ascii="Palatino Linotype" w:eastAsia="Palatino Linotype" w:hAnsi="Palatino Linotype" w:cs="Palatino Linotype"/>
              <w:b/>
              <w:sz w:val="22"/>
              <w:szCs w:val="22"/>
            </w:rPr>
          </w:pPr>
          <w:r w:rsidRPr="00CB2B76">
            <w:rPr>
              <w:rFonts w:ascii="Palatino Linotype" w:eastAsia="Palatino Linotype" w:hAnsi="Palatino Linotype" w:cs="Palatino Linotype"/>
              <w:b/>
              <w:sz w:val="22"/>
              <w:szCs w:val="22"/>
            </w:rPr>
            <w:t>00889/INFOEM/IP/RR/2025</w:t>
          </w:r>
        </w:p>
      </w:tc>
    </w:tr>
    <w:tr w:rsidR="00B2302A" w14:paraId="3267FBFA" w14:textId="77777777" w:rsidTr="00CB2B76">
      <w:trPr>
        <w:trHeight w:val="80"/>
      </w:trPr>
      <w:tc>
        <w:tcPr>
          <w:tcW w:w="2489" w:type="dxa"/>
          <w:shd w:val="clear" w:color="auto" w:fill="auto"/>
          <w:vAlign w:val="center"/>
        </w:tcPr>
        <w:p w14:paraId="38062F90" w14:textId="77777777" w:rsidR="00B2302A" w:rsidRDefault="00B2302A">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3322" w:type="dxa"/>
          <w:shd w:val="clear" w:color="auto" w:fill="auto"/>
          <w:vAlign w:val="center"/>
        </w:tcPr>
        <w:p w14:paraId="605B8772" w14:textId="77777777" w:rsidR="00B2302A" w:rsidRPr="00CB2B76" w:rsidRDefault="00B2302A">
          <w:pPr>
            <w:ind w:left="-45" w:right="452"/>
            <w:jc w:val="both"/>
            <w:rPr>
              <w:rFonts w:ascii="Palatino Linotype" w:eastAsia="Palatino Linotype" w:hAnsi="Palatino Linotype" w:cs="Palatino Linotype"/>
              <w:b/>
              <w:sz w:val="22"/>
              <w:szCs w:val="22"/>
            </w:rPr>
          </w:pPr>
          <w:r w:rsidRPr="00CB2B76">
            <w:rPr>
              <w:rFonts w:ascii="Palatino Linotype" w:eastAsia="Palatino Linotype" w:hAnsi="Palatino Linotype" w:cs="Palatino Linotype"/>
              <w:b/>
              <w:sz w:val="22"/>
              <w:szCs w:val="22"/>
            </w:rPr>
            <w:t>Ayuntamiento de Toluca</w:t>
          </w:r>
        </w:p>
      </w:tc>
    </w:tr>
    <w:tr w:rsidR="00B2302A" w14:paraId="29261B89" w14:textId="77777777">
      <w:tc>
        <w:tcPr>
          <w:tcW w:w="2489" w:type="dxa"/>
          <w:shd w:val="clear" w:color="auto" w:fill="auto"/>
          <w:vAlign w:val="center"/>
        </w:tcPr>
        <w:p w14:paraId="5A3A7E4F" w14:textId="77777777" w:rsidR="00B2302A" w:rsidRDefault="00B2302A">
          <w:pPr>
            <w:ind w:right="-108"/>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3322" w:type="dxa"/>
          <w:shd w:val="clear" w:color="auto" w:fill="auto"/>
          <w:vAlign w:val="center"/>
        </w:tcPr>
        <w:p w14:paraId="110C8A66" w14:textId="77777777" w:rsidR="00B2302A" w:rsidRPr="00CB2B76" w:rsidRDefault="00B2302A">
          <w:pPr>
            <w:ind w:left="-53" w:right="175"/>
            <w:jc w:val="both"/>
            <w:rPr>
              <w:rFonts w:ascii="Palatino Linotype" w:eastAsia="Palatino Linotype" w:hAnsi="Palatino Linotype" w:cs="Palatino Linotype"/>
              <w:b/>
              <w:sz w:val="22"/>
              <w:szCs w:val="22"/>
            </w:rPr>
          </w:pPr>
          <w:r w:rsidRPr="00CB2B76">
            <w:rPr>
              <w:rFonts w:ascii="Palatino Linotype" w:eastAsia="Palatino Linotype" w:hAnsi="Palatino Linotype" w:cs="Palatino Linotype"/>
              <w:b/>
              <w:sz w:val="22"/>
              <w:szCs w:val="22"/>
            </w:rPr>
            <w:t>Guadalupe Ramírez Peña</w:t>
          </w:r>
        </w:p>
      </w:tc>
    </w:tr>
  </w:tbl>
  <w:p w14:paraId="35FB1E41" w14:textId="77777777" w:rsidR="00B2302A" w:rsidRDefault="00B2302A">
    <w:pPr>
      <w:rPr>
        <w:rFonts w:ascii="Cambria" w:eastAsia="Cambria" w:hAnsi="Cambria" w:cs="Cambria"/>
        <w:color w:val="000000"/>
      </w:rPr>
    </w:pPr>
    <w:r>
      <w:rPr>
        <w:rFonts w:ascii="Cambria" w:eastAsia="Cambria" w:hAnsi="Cambria" w:cs="Cambria"/>
        <w:color w:val="000000"/>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C75D39" w14:textId="77777777" w:rsidR="00B2302A" w:rsidRDefault="00B2302A">
    <w:pPr>
      <w:widowControl w:val="0"/>
      <w:pBdr>
        <w:top w:val="nil"/>
        <w:left w:val="nil"/>
        <w:bottom w:val="nil"/>
        <w:right w:val="nil"/>
        <w:between w:val="nil"/>
      </w:pBdr>
      <w:spacing w:line="276" w:lineRule="auto"/>
      <w:rPr>
        <w:rFonts w:ascii="Palatino Linotype" w:eastAsia="Palatino Linotype" w:hAnsi="Palatino Linotype" w:cs="Palatino Linotype"/>
        <w:color w:val="000000"/>
        <w:sz w:val="16"/>
        <w:szCs w:val="16"/>
      </w:rPr>
    </w:pPr>
    <w:r>
      <w:rPr>
        <w:noProof/>
      </w:rPr>
      <w:drawing>
        <wp:anchor distT="0" distB="0" distL="0" distR="0" simplePos="0" relativeHeight="251659264" behindDoc="1" locked="0" layoutInCell="1" hidden="0" allowOverlap="1" wp14:anchorId="2762D088" wp14:editId="14E6C255">
          <wp:simplePos x="0" y="0"/>
          <wp:positionH relativeFrom="column">
            <wp:posOffset>-1080128</wp:posOffset>
          </wp:positionH>
          <wp:positionV relativeFrom="paragraph">
            <wp:posOffset>-369904</wp:posOffset>
          </wp:positionV>
          <wp:extent cx="7809865" cy="10165715"/>
          <wp:effectExtent l="0" t="0" r="0" b="0"/>
          <wp:wrapNone/>
          <wp:docPr id="2083296416"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
                  <a:srcRect/>
                  <a:stretch>
                    <a:fillRect/>
                  </a:stretch>
                </pic:blipFill>
                <pic:spPr>
                  <a:xfrm>
                    <a:off x="0" y="0"/>
                    <a:ext cx="7809865" cy="10165715"/>
                  </a:xfrm>
                  <a:prstGeom prst="rect">
                    <a:avLst/>
                  </a:prstGeom>
                  <a:ln/>
                </pic:spPr>
              </pic:pic>
            </a:graphicData>
          </a:graphic>
        </wp:anchor>
      </w:drawing>
    </w:r>
  </w:p>
  <w:tbl>
    <w:tblPr>
      <w:tblStyle w:val="af7"/>
      <w:tblW w:w="6095" w:type="dxa"/>
      <w:tblInd w:w="3261" w:type="dxa"/>
      <w:tblLayout w:type="fixed"/>
      <w:tblLook w:val="0400" w:firstRow="0" w:lastRow="0" w:firstColumn="0" w:lastColumn="0" w:noHBand="0" w:noVBand="1"/>
    </w:tblPr>
    <w:tblGrid>
      <w:gridCol w:w="2489"/>
      <w:gridCol w:w="3606"/>
    </w:tblGrid>
    <w:tr w:rsidR="00B2302A" w14:paraId="2E89B538" w14:textId="77777777">
      <w:tc>
        <w:tcPr>
          <w:tcW w:w="2489" w:type="dxa"/>
          <w:shd w:val="clear" w:color="auto" w:fill="auto"/>
        </w:tcPr>
        <w:p w14:paraId="3D500BAE" w14:textId="77777777" w:rsidR="00B2302A" w:rsidRDefault="00B2302A">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3606" w:type="dxa"/>
          <w:shd w:val="clear" w:color="auto" w:fill="auto"/>
          <w:vAlign w:val="center"/>
        </w:tcPr>
        <w:p w14:paraId="42DCDFFD" w14:textId="77777777" w:rsidR="00B2302A" w:rsidRPr="00CB2B76" w:rsidRDefault="00B2302A">
          <w:pPr>
            <w:ind w:right="175"/>
            <w:jc w:val="both"/>
            <w:rPr>
              <w:rFonts w:ascii="Palatino Linotype" w:eastAsia="Palatino Linotype" w:hAnsi="Palatino Linotype" w:cs="Palatino Linotype"/>
              <w:b/>
              <w:sz w:val="22"/>
              <w:szCs w:val="22"/>
            </w:rPr>
          </w:pPr>
          <w:r w:rsidRPr="00CB2B76">
            <w:rPr>
              <w:rFonts w:ascii="Palatino Linotype" w:eastAsia="Palatino Linotype" w:hAnsi="Palatino Linotype" w:cs="Palatino Linotype"/>
              <w:b/>
              <w:sz w:val="22"/>
              <w:szCs w:val="22"/>
            </w:rPr>
            <w:t>00889/INFOEM/IP/RR/2025</w:t>
          </w:r>
        </w:p>
      </w:tc>
    </w:tr>
    <w:tr w:rsidR="00B2302A" w14:paraId="2EA2CDFB" w14:textId="77777777">
      <w:tc>
        <w:tcPr>
          <w:tcW w:w="2489" w:type="dxa"/>
          <w:shd w:val="clear" w:color="auto" w:fill="auto"/>
        </w:tcPr>
        <w:p w14:paraId="73F9E3AE" w14:textId="77777777" w:rsidR="00B2302A" w:rsidRDefault="00B2302A">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Recurrente:</w:t>
          </w:r>
        </w:p>
      </w:tc>
      <w:tc>
        <w:tcPr>
          <w:tcW w:w="3606" w:type="dxa"/>
          <w:shd w:val="clear" w:color="auto" w:fill="auto"/>
          <w:vAlign w:val="center"/>
        </w:tcPr>
        <w:p w14:paraId="54A08F35" w14:textId="77777777" w:rsidR="00B2302A" w:rsidRPr="00CB2B76" w:rsidRDefault="00B2302A">
          <w:pPr>
            <w:ind w:right="175"/>
            <w:jc w:val="both"/>
            <w:rPr>
              <w:rFonts w:ascii="Palatino Linotype" w:eastAsia="Palatino Linotype" w:hAnsi="Palatino Linotype" w:cs="Palatino Linotype"/>
              <w:b/>
              <w:sz w:val="22"/>
              <w:szCs w:val="22"/>
            </w:rPr>
          </w:pPr>
        </w:p>
      </w:tc>
    </w:tr>
    <w:tr w:rsidR="00B2302A" w14:paraId="6CD81D0E" w14:textId="77777777">
      <w:trPr>
        <w:trHeight w:val="228"/>
      </w:trPr>
      <w:tc>
        <w:tcPr>
          <w:tcW w:w="2489" w:type="dxa"/>
          <w:shd w:val="clear" w:color="auto" w:fill="auto"/>
          <w:vAlign w:val="center"/>
        </w:tcPr>
        <w:p w14:paraId="36C4D4F9" w14:textId="77777777" w:rsidR="00B2302A" w:rsidRDefault="00B2302A">
          <w:pPr>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3606" w:type="dxa"/>
          <w:shd w:val="clear" w:color="auto" w:fill="auto"/>
          <w:vAlign w:val="center"/>
        </w:tcPr>
        <w:p w14:paraId="382B368A" w14:textId="77777777" w:rsidR="00B2302A" w:rsidRPr="00CB2B76" w:rsidRDefault="00B2302A">
          <w:pPr>
            <w:ind w:right="594"/>
            <w:jc w:val="both"/>
            <w:rPr>
              <w:rFonts w:ascii="Palatino Linotype" w:eastAsia="Palatino Linotype" w:hAnsi="Palatino Linotype" w:cs="Palatino Linotype"/>
              <w:b/>
              <w:sz w:val="22"/>
              <w:szCs w:val="22"/>
            </w:rPr>
          </w:pPr>
          <w:r w:rsidRPr="00CB2B76">
            <w:rPr>
              <w:rFonts w:ascii="Palatino Linotype" w:eastAsia="Palatino Linotype" w:hAnsi="Palatino Linotype" w:cs="Palatino Linotype"/>
              <w:b/>
              <w:sz w:val="22"/>
              <w:szCs w:val="22"/>
            </w:rPr>
            <w:t>Ayuntamiento de Toluca</w:t>
          </w:r>
        </w:p>
      </w:tc>
    </w:tr>
    <w:tr w:rsidR="00B2302A" w14:paraId="43D51934" w14:textId="77777777">
      <w:tc>
        <w:tcPr>
          <w:tcW w:w="2489" w:type="dxa"/>
          <w:shd w:val="clear" w:color="auto" w:fill="auto"/>
          <w:vAlign w:val="center"/>
        </w:tcPr>
        <w:p w14:paraId="39DF8285" w14:textId="77777777" w:rsidR="00B2302A" w:rsidRDefault="00B2302A">
          <w:pPr>
            <w:ind w:right="-108"/>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3606" w:type="dxa"/>
          <w:shd w:val="clear" w:color="auto" w:fill="auto"/>
          <w:vAlign w:val="center"/>
        </w:tcPr>
        <w:p w14:paraId="4E9EF977" w14:textId="77777777" w:rsidR="00B2302A" w:rsidRPr="00CB2B76" w:rsidRDefault="00B2302A">
          <w:pPr>
            <w:ind w:right="175"/>
            <w:jc w:val="both"/>
            <w:rPr>
              <w:rFonts w:ascii="Palatino Linotype" w:eastAsia="Palatino Linotype" w:hAnsi="Palatino Linotype" w:cs="Palatino Linotype"/>
              <w:b/>
              <w:sz w:val="22"/>
              <w:szCs w:val="22"/>
            </w:rPr>
          </w:pPr>
          <w:r w:rsidRPr="00CB2B76">
            <w:rPr>
              <w:rFonts w:ascii="Palatino Linotype" w:eastAsia="Palatino Linotype" w:hAnsi="Palatino Linotype" w:cs="Palatino Linotype"/>
              <w:b/>
              <w:sz w:val="22"/>
              <w:szCs w:val="22"/>
            </w:rPr>
            <w:t>Guadalupe Ramírez Peña</w:t>
          </w:r>
        </w:p>
      </w:tc>
    </w:tr>
  </w:tbl>
  <w:p w14:paraId="6134CAF6" w14:textId="77777777" w:rsidR="00B2302A" w:rsidRDefault="00B2302A"/>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F1142C"/>
    <w:multiLevelType w:val="hybridMultilevel"/>
    <w:tmpl w:val="16C4BBEA"/>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 w15:restartNumberingAfterBreak="0">
    <w:nsid w:val="0EBE513B"/>
    <w:multiLevelType w:val="multilevel"/>
    <w:tmpl w:val="195EB3E2"/>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 w15:restartNumberingAfterBreak="0">
    <w:nsid w:val="1BF116A7"/>
    <w:multiLevelType w:val="multilevel"/>
    <w:tmpl w:val="574A4360"/>
    <w:lvl w:ilvl="0">
      <w:start w:val="1"/>
      <w:numFmt w:val="bullet"/>
      <w:pStyle w:val="Listaconvietas3"/>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3" w15:restartNumberingAfterBreak="0">
    <w:nsid w:val="1C4F3F89"/>
    <w:multiLevelType w:val="hybridMultilevel"/>
    <w:tmpl w:val="507E6F42"/>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4" w15:restartNumberingAfterBreak="0">
    <w:nsid w:val="1DE220C8"/>
    <w:multiLevelType w:val="hybridMultilevel"/>
    <w:tmpl w:val="C360BDD4"/>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5" w15:restartNumberingAfterBreak="0">
    <w:nsid w:val="28975F31"/>
    <w:multiLevelType w:val="hybridMultilevel"/>
    <w:tmpl w:val="2FFEA608"/>
    <w:lvl w:ilvl="0" w:tplc="080A0001">
      <w:start w:val="1"/>
      <w:numFmt w:val="bullet"/>
      <w:lvlText w:val=""/>
      <w:lvlJc w:val="left"/>
      <w:pPr>
        <w:ind w:left="1287" w:hanging="360"/>
      </w:pPr>
      <w:rPr>
        <w:rFonts w:ascii="Symbol" w:hAnsi="Symbol" w:hint="default"/>
      </w:rPr>
    </w:lvl>
    <w:lvl w:ilvl="1" w:tplc="080A0003" w:tentative="1">
      <w:start w:val="1"/>
      <w:numFmt w:val="bullet"/>
      <w:lvlText w:val="o"/>
      <w:lvlJc w:val="left"/>
      <w:pPr>
        <w:ind w:left="2007" w:hanging="360"/>
      </w:pPr>
      <w:rPr>
        <w:rFonts w:ascii="Courier New" w:hAnsi="Courier New" w:cs="Courier New" w:hint="default"/>
      </w:rPr>
    </w:lvl>
    <w:lvl w:ilvl="2" w:tplc="080A0005" w:tentative="1">
      <w:start w:val="1"/>
      <w:numFmt w:val="bullet"/>
      <w:lvlText w:val=""/>
      <w:lvlJc w:val="left"/>
      <w:pPr>
        <w:ind w:left="2727" w:hanging="360"/>
      </w:pPr>
      <w:rPr>
        <w:rFonts w:ascii="Wingdings" w:hAnsi="Wingdings" w:hint="default"/>
      </w:rPr>
    </w:lvl>
    <w:lvl w:ilvl="3" w:tplc="080A0001" w:tentative="1">
      <w:start w:val="1"/>
      <w:numFmt w:val="bullet"/>
      <w:lvlText w:val=""/>
      <w:lvlJc w:val="left"/>
      <w:pPr>
        <w:ind w:left="3447" w:hanging="360"/>
      </w:pPr>
      <w:rPr>
        <w:rFonts w:ascii="Symbol" w:hAnsi="Symbol" w:hint="default"/>
      </w:rPr>
    </w:lvl>
    <w:lvl w:ilvl="4" w:tplc="080A0003" w:tentative="1">
      <w:start w:val="1"/>
      <w:numFmt w:val="bullet"/>
      <w:lvlText w:val="o"/>
      <w:lvlJc w:val="left"/>
      <w:pPr>
        <w:ind w:left="4167" w:hanging="360"/>
      </w:pPr>
      <w:rPr>
        <w:rFonts w:ascii="Courier New" w:hAnsi="Courier New" w:cs="Courier New" w:hint="default"/>
      </w:rPr>
    </w:lvl>
    <w:lvl w:ilvl="5" w:tplc="080A0005" w:tentative="1">
      <w:start w:val="1"/>
      <w:numFmt w:val="bullet"/>
      <w:lvlText w:val=""/>
      <w:lvlJc w:val="left"/>
      <w:pPr>
        <w:ind w:left="4887" w:hanging="360"/>
      </w:pPr>
      <w:rPr>
        <w:rFonts w:ascii="Wingdings" w:hAnsi="Wingdings" w:hint="default"/>
      </w:rPr>
    </w:lvl>
    <w:lvl w:ilvl="6" w:tplc="080A0001" w:tentative="1">
      <w:start w:val="1"/>
      <w:numFmt w:val="bullet"/>
      <w:lvlText w:val=""/>
      <w:lvlJc w:val="left"/>
      <w:pPr>
        <w:ind w:left="5607" w:hanging="360"/>
      </w:pPr>
      <w:rPr>
        <w:rFonts w:ascii="Symbol" w:hAnsi="Symbol" w:hint="default"/>
      </w:rPr>
    </w:lvl>
    <w:lvl w:ilvl="7" w:tplc="080A0003" w:tentative="1">
      <w:start w:val="1"/>
      <w:numFmt w:val="bullet"/>
      <w:lvlText w:val="o"/>
      <w:lvlJc w:val="left"/>
      <w:pPr>
        <w:ind w:left="6327" w:hanging="360"/>
      </w:pPr>
      <w:rPr>
        <w:rFonts w:ascii="Courier New" w:hAnsi="Courier New" w:cs="Courier New" w:hint="default"/>
      </w:rPr>
    </w:lvl>
    <w:lvl w:ilvl="8" w:tplc="080A0005" w:tentative="1">
      <w:start w:val="1"/>
      <w:numFmt w:val="bullet"/>
      <w:lvlText w:val=""/>
      <w:lvlJc w:val="left"/>
      <w:pPr>
        <w:ind w:left="7047" w:hanging="360"/>
      </w:pPr>
      <w:rPr>
        <w:rFonts w:ascii="Wingdings" w:hAnsi="Wingdings" w:hint="default"/>
      </w:rPr>
    </w:lvl>
  </w:abstractNum>
  <w:abstractNum w:abstractNumId="6" w15:restartNumberingAfterBreak="0">
    <w:nsid w:val="2CBB2B0E"/>
    <w:multiLevelType w:val="hybridMultilevel"/>
    <w:tmpl w:val="C5CCC232"/>
    <w:lvl w:ilvl="0" w:tplc="080A000F">
      <w:start w:val="1"/>
      <w:numFmt w:val="decimal"/>
      <w:lvlText w:val="%1."/>
      <w:lvlJc w:val="left"/>
      <w:pPr>
        <w:ind w:left="1440" w:hanging="360"/>
      </w:pPr>
    </w:lvl>
    <w:lvl w:ilvl="1" w:tplc="080A0019">
      <w:start w:val="1"/>
      <w:numFmt w:val="lowerLetter"/>
      <w:lvlText w:val="%2."/>
      <w:lvlJc w:val="left"/>
      <w:pPr>
        <w:ind w:left="2160" w:hanging="360"/>
      </w:pPr>
    </w:lvl>
    <w:lvl w:ilvl="2" w:tplc="080A001B">
      <w:start w:val="1"/>
      <w:numFmt w:val="lowerRoman"/>
      <w:lvlText w:val="%3."/>
      <w:lvlJc w:val="right"/>
      <w:pPr>
        <w:ind w:left="2880" w:hanging="180"/>
      </w:pPr>
    </w:lvl>
    <w:lvl w:ilvl="3" w:tplc="080A000F">
      <w:start w:val="1"/>
      <w:numFmt w:val="decimal"/>
      <w:lvlText w:val="%4."/>
      <w:lvlJc w:val="left"/>
      <w:pPr>
        <w:ind w:left="3600" w:hanging="360"/>
      </w:pPr>
    </w:lvl>
    <w:lvl w:ilvl="4" w:tplc="080A0019">
      <w:start w:val="1"/>
      <w:numFmt w:val="lowerLetter"/>
      <w:lvlText w:val="%5."/>
      <w:lvlJc w:val="left"/>
      <w:pPr>
        <w:ind w:left="4320" w:hanging="360"/>
      </w:pPr>
    </w:lvl>
    <w:lvl w:ilvl="5" w:tplc="080A001B">
      <w:start w:val="1"/>
      <w:numFmt w:val="lowerRoman"/>
      <w:lvlText w:val="%6."/>
      <w:lvlJc w:val="right"/>
      <w:pPr>
        <w:ind w:left="5040" w:hanging="180"/>
      </w:pPr>
    </w:lvl>
    <w:lvl w:ilvl="6" w:tplc="080A000F">
      <w:start w:val="1"/>
      <w:numFmt w:val="decimal"/>
      <w:lvlText w:val="%7."/>
      <w:lvlJc w:val="left"/>
      <w:pPr>
        <w:ind w:left="5760" w:hanging="360"/>
      </w:pPr>
    </w:lvl>
    <w:lvl w:ilvl="7" w:tplc="080A0019">
      <w:start w:val="1"/>
      <w:numFmt w:val="lowerLetter"/>
      <w:lvlText w:val="%8."/>
      <w:lvlJc w:val="left"/>
      <w:pPr>
        <w:ind w:left="6480" w:hanging="360"/>
      </w:pPr>
    </w:lvl>
    <w:lvl w:ilvl="8" w:tplc="080A001B">
      <w:start w:val="1"/>
      <w:numFmt w:val="lowerRoman"/>
      <w:lvlText w:val="%9."/>
      <w:lvlJc w:val="right"/>
      <w:pPr>
        <w:ind w:left="7200" w:hanging="180"/>
      </w:pPr>
    </w:lvl>
  </w:abstractNum>
  <w:abstractNum w:abstractNumId="7" w15:restartNumberingAfterBreak="0">
    <w:nsid w:val="2FC84ABF"/>
    <w:multiLevelType w:val="hybridMultilevel"/>
    <w:tmpl w:val="940AC8B0"/>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8" w15:restartNumberingAfterBreak="0">
    <w:nsid w:val="3416775B"/>
    <w:multiLevelType w:val="hybridMultilevel"/>
    <w:tmpl w:val="3A8EC31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36F21929"/>
    <w:multiLevelType w:val="multilevel"/>
    <w:tmpl w:val="ECECB8F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3E034273"/>
    <w:multiLevelType w:val="multilevel"/>
    <w:tmpl w:val="EFDA2B8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1" w15:restartNumberingAfterBreak="0">
    <w:nsid w:val="3F71124D"/>
    <w:multiLevelType w:val="multilevel"/>
    <w:tmpl w:val="767CF884"/>
    <w:lvl w:ilvl="0">
      <w:start w:val="1"/>
      <w:numFmt w:val="decimal"/>
      <w:lvlText w:val="%1."/>
      <w:lvlJc w:val="left"/>
      <w:pPr>
        <w:ind w:left="1287" w:hanging="360"/>
      </w:pPr>
    </w:lvl>
    <w:lvl w:ilvl="1">
      <w:start w:val="1"/>
      <w:numFmt w:val="lowerLetter"/>
      <w:lvlText w:val="%2."/>
      <w:lvlJc w:val="left"/>
      <w:pPr>
        <w:ind w:left="2007" w:hanging="360"/>
      </w:pPr>
    </w:lvl>
    <w:lvl w:ilvl="2">
      <w:start w:val="1"/>
      <w:numFmt w:val="lowerRoman"/>
      <w:lvlText w:val="%3."/>
      <w:lvlJc w:val="right"/>
      <w:pPr>
        <w:ind w:left="2727" w:hanging="180"/>
      </w:pPr>
    </w:lvl>
    <w:lvl w:ilvl="3">
      <w:start w:val="1"/>
      <w:numFmt w:val="decimal"/>
      <w:lvlText w:val="%4."/>
      <w:lvlJc w:val="left"/>
      <w:pPr>
        <w:ind w:left="3447" w:hanging="360"/>
      </w:pPr>
    </w:lvl>
    <w:lvl w:ilvl="4">
      <w:start w:val="1"/>
      <w:numFmt w:val="lowerLetter"/>
      <w:lvlText w:val="%5."/>
      <w:lvlJc w:val="left"/>
      <w:pPr>
        <w:ind w:left="4167" w:hanging="360"/>
      </w:pPr>
    </w:lvl>
    <w:lvl w:ilvl="5">
      <w:start w:val="1"/>
      <w:numFmt w:val="lowerRoman"/>
      <w:lvlText w:val="%6."/>
      <w:lvlJc w:val="right"/>
      <w:pPr>
        <w:ind w:left="4887" w:hanging="180"/>
      </w:pPr>
    </w:lvl>
    <w:lvl w:ilvl="6">
      <w:start w:val="1"/>
      <w:numFmt w:val="decimal"/>
      <w:lvlText w:val="%7."/>
      <w:lvlJc w:val="left"/>
      <w:pPr>
        <w:ind w:left="5607" w:hanging="360"/>
      </w:pPr>
    </w:lvl>
    <w:lvl w:ilvl="7">
      <w:start w:val="1"/>
      <w:numFmt w:val="lowerLetter"/>
      <w:lvlText w:val="%8."/>
      <w:lvlJc w:val="left"/>
      <w:pPr>
        <w:ind w:left="6327" w:hanging="360"/>
      </w:pPr>
    </w:lvl>
    <w:lvl w:ilvl="8">
      <w:start w:val="1"/>
      <w:numFmt w:val="lowerRoman"/>
      <w:lvlText w:val="%9."/>
      <w:lvlJc w:val="right"/>
      <w:pPr>
        <w:ind w:left="7047" w:hanging="180"/>
      </w:pPr>
    </w:lvl>
  </w:abstractNum>
  <w:abstractNum w:abstractNumId="12" w15:restartNumberingAfterBreak="0">
    <w:nsid w:val="41065033"/>
    <w:multiLevelType w:val="multilevel"/>
    <w:tmpl w:val="F196A358"/>
    <w:lvl w:ilvl="0">
      <w:start w:val="1"/>
      <w:numFmt w:val="decimal"/>
      <w:pStyle w:val="Listaconvietas"/>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3" w15:restartNumberingAfterBreak="0">
    <w:nsid w:val="497548EC"/>
    <w:multiLevelType w:val="hybridMultilevel"/>
    <w:tmpl w:val="9A344AF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4" w15:restartNumberingAfterBreak="0">
    <w:nsid w:val="4ADB6A99"/>
    <w:multiLevelType w:val="multilevel"/>
    <w:tmpl w:val="68EA59E0"/>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5" w15:restartNumberingAfterBreak="0">
    <w:nsid w:val="4B7C2679"/>
    <w:multiLevelType w:val="hybridMultilevel"/>
    <w:tmpl w:val="C8C48654"/>
    <w:lvl w:ilvl="0" w:tplc="6F6ABC3C">
      <w:start w:val="1"/>
      <w:numFmt w:val="upperRoman"/>
      <w:lvlText w:val="%1."/>
      <w:lvlJc w:val="left"/>
      <w:pPr>
        <w:ind w:left="1080" w:hanging="720"/>
      </w:pPr>
      <w:rPr>
        <w:b/>
      </w:rPr>
    </w:lvl>
    <w:lvl w:ilvl="1" w:tplc="0C0A0019">
      <w:start w:val="1"/>
      <w:numFmt w:val="lowerLetter"/>
      <w:lvlText w:val="%2."/>
      <w:lvlJc w:val="left"/>
      <w:pPr>
        <w:ind w:left="1440" w:hanging="360"/>
      </w:pPr>
    </w:lvl>
    <w:lvl w:ilvl="2" w:tplc="0C0A001B">
      <w:start w:val="1"/>
      <w:numFmt w:val="lowerRoman"/>
      <w:lvlText w:val="%3."/>
      <w:lvlJc w:val="right"/>
      <w:pPr>
        <w:ind w:left="2160" w:hanging="180"/>
      </w:pPr>
    </w:lvl>
    <w:lvl w:ilvl="3" w:tplc="0C0A000F">
      <w:start w:val="1"/>
      <w:numFmt w:val="decimal"/>
      <w:lvlText w:val="%4."/>
      <w:lvlJc w:val="left"/>
      <w:pPr>
        <w:ind w:left="2880" w:hanging="360"/>
      </w:pPr>
    </w:lvl>
    <w:lvl w:ilvl="4" w:tplc="0C0A0019">
      <w:start w:val="1"/>
      <w:numFmt w:val="lowerLetter"/>
      <w:lvlText w:val="%5."/>
      <w:lvlJc w:val="left"/>
      <w:pPr>
        <w:ind w:left="3600" w:hanging="360"/>
      </w:pPr>
    </w:lvl>
    <w:lvl w:ilvl="5" w:tplc="0C0A001B">
      <w:start w:val="1"/>
      <w:numFmt w:val="lowerRoman"/>
      <w:lvlText w:val="%6."/>
      <w:lvlJc w:val="right"/>
      <w:pPr>
        <w:ind w:left="4320" w:hanging="180"/>
      </w:pPr>
    </w:lvl>
    <w:lvl w:ilvl="6" w:tplc="0C0A000F">
      <w:start w:val="1"/>
      <w:numFmt w:val="decimal"/>
      <w:lvlText w:val="%7."/>
      <w:lvlJc w:val="left"/>
      <w:pPr>
        <w:ind w:left="5040" w:hanging="360"/>
      </w:pPr>
    </w:lvl>
    <w:lvl w:ilvl="7" w:tplc="0C0A0019">
      <w:start w:val="1"/>
      <w:numFmt w:val="lowerLetter"/>
      <w:lvlText w:val="%8."/>
      <w:lvlJc w:val="left"/>
      <w:pPr>
        <w:ind w:left="5760" w:hanging="360"/>
      </w:pPr>
    </w:lvl>
    <w:lvl w:ilvl="8" w:tplc="0C0A001B">
      <w:start w:val="1"/>
      <w:numFmt w:val="lowerRoman"/>
      <w:lvlText w:val="%9."/>
      <w:lvlJc w:val="right"/>
      <w:pPr>
        <w:ind w:left="6480" w:hanging="180"/>
      </w:pPr>
    </w:lvl>
  </w:abstractNum>
  <w:abstractNum w:abstractNumId="16" w15:restartNumberingAfterBreak="0">
    <w:nsid w:val="554B54D0"/>
    <w:multiLevelType w:val="hybridMultilevel"/>
    <w:tmpl w:val="00DA26C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6E2608DA"/>
    <w:multiLevelType w:val="multilevel"/>
    <w:tmpl w:val="1388BC6C"/>
    <w:lvl w:ilvl="0">
      <w:start w:val="1"/>
      <w:numFmt w:val="decimal"/>
      <w:lvlText w:val="%1."/>
      <w:lvlJc w:val="left"/>
      <w:pPr>
        <w:ind w:left="644" w:hanging="357"/>
      </w:pPr>
      <w:rPr>
        <w:rFonts w:ascii="Palatino Linotype" w:eastAsia="Palatino Linotype" w:hAnsi="Palatino Linotype" w:cs="Palatino Linotype"/>
        <w:b/>
        <w:i w:val="0"/>
        <w:color w:val="000000"/>
        <w:sz w:val="24"/>
        <w:szCs w:val="24"/>
      </w:rPr>
    </w:lvl>
    <w:lvl w:ilvl="1">
      <w:start w:val="1"/>
      <w:numFmt w:val="upperRoman"/>
      <w:lvlText w:val="%2."/>
      <w:lvlJc w:val="right"/>
      <w:pPr>
        <w:ind w:left="7525" w:hanging="720"/>
      </w:pPr>
    </w:lvl>
    <w:lvl w:ilvl="2">
      <w:start w:val="4"/>
      <w:numFmt w:val="lowerLetter"/>
      <w:lvlText w:val="%3)"/>
      <w:lvlJc w:val="left"/>
      <w:pPr>
        <w:ind w:left="2340" w:hanging="360"/>
      </w:pPr>
    </w:lvl>
    <w:lvl w:ilvl="3">
      <w:start w:val="1"/>
      <w:numFmt w:val="decimal"/>
      <w:lvlText w:val="%4."/>
      <w:lvlJc w:val="left"/>
      <w:pPr>
        <w:ind w:left="2880" w:hanging="360"/>
      </w:pPr>
    </w:lvl>
    <w:lvl w:ilvl="4">
      <w:start w:val="104"/>
      <w:numFmt w:val="decimal"/>
      <w:lvlText w:val="%5"/>
      <w:lvlJc w:val="left"/>
      <w:pPr>
        <w:ind w:left="3600" w:hanging="360"/>
      </w:pPr>
      <w:rPr>
        <w:b/>
      </w:r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76AC6D25"/>
    <w:multiLevelType w:val="hybridMultilevel"/>
    <w:tmpl w:val="39862016"/>
    <w:lvl w:ilvl="0" w:tplc="5F9C6DB6">
      <w:numFmt w:val="bullet"/>
      <w:lvlText w:val="-"/>
      <w:lvlJc w:val="left"/>
      <w:pPr>
        <w:ind w:left="720" w:hanging="360"/>
      </w:pPr>
      <w:rPr>
        <w:rFonts w:ascii="Palatino Linotype" w:eastAsia="Palatino Linotype" w:hAnsi="Palatino Linotype" w:cs="Palatino Linotype" w:hint="default"/>
        <w:b w:val="0"/>
        <w:color w:val="000000" w:themeColor="text1"/>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7E196450"/>
    <w:multiLevelType w:val="hybridMultilevel"/>
    <w:tmpl w:val="28A4AA6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num w:numId="1">
    <w:abstractNumId w:val="9"/>
  </w:num>
  <w:num w:numId="2">
    <w:abstractNumId w:val="2"/>
  </w:num>
  <w:num w:numId="3">
    <w:abstractNumId w:val="1"/>
  </w:num>
  <w:num w:numId="4">
    <w:abstractNumId w:val="10"/>
  </w:num>
  <w:num w:numId="5">
    <w:abstractNumId w:val="11"/>
  </w:num>
  <w:num w:numId="6">
    <w:abstractNumId w:val="14"/>
  </w:num>
  <w:num w:numId="7">
    <w:abstractNumId w:val="12"/>
  </w:num>
  <w:num w:numId="8">
    <w:abstractNumId w:val="8"/>
  </w:num>
  <w:num w:numId="9">
    <w:abstractNumId w:val="5"/>
  </w:num>
  <w:num w:numId="10">
    <w:abstractNumId w:val="16"/>
  </w:num>
  <w:num w:numId="1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9"/>
  </w:num>
  <w:num w:numId="16">
    <w:abstractNumId w:val="3"/>
  </w:num>
  <w:num w:numId="17">
    <w:abstractNumId w:val="13"/>
  </w:num>
  <w:num w:numId="1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7"/>
  </w:num>
  <w:num w:numId="2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1793"/>
    <w:rsid w:val="00021793"/>
    <w:rsid w:val="00043CF0"/>
    <w:rsid w:val="00095A2C"/>
    <w:rsid w:val="00117CDF"/>
    <w:rsid w:val="00121BE9"/>
    <w:rsid w:val="00122CAC"/>
    <w:rsid w:val="00147F00"/>
    <w:rsid w:val="00250CB3"/>
    <w:rsid w:val="00277685"/>
    <w:rsid w:val="0028137F"/>
    <w:rsid w:val="00295EC0"/>
    <w:rsid w:val="002A718F"/>
    <w:rsid w:val="002D607B"/>
    <w:rsid w:val="002F43A4"/>
    <w:rsid w:val="00301495"/>
    <w:rsid w:val="003B2F2C"/>
    <w:rsid w:val="003F1947"/>
    <w:rsid w:val="00611A6B"/>
    <w:rsid w:val="00613FE1"/>
    <w:rsid w:val="00636A0E"/>
    <w:rsid w:val="00641D3D"/>
    <w:rsid w:val="006A6C98"/>
    <w:rsid w:val="006B78ED"/>
    <w:rsid w:val="00731467"/>
    <w:rsid w:val="007820D7"/>
    <w:rsid w:val="007851E0"/>
    <w:rsid w:val="007D2A66"/>
    <w:rsid w:val="007D3453"/>
    <w:rsid w:val="008073BA"/>
    <w:rsid w:val="008564B4"/>
    <w:rsid w:val="00890EAF"/>
    <w:rsid w:val="008C6887"/>
    <w:rsid w:val="0095682B"/>
    <w:rsid w:val="009D0125"/>
    <w:rsid w:val="009F4F1F"/>
    <w:rsid w:val="00AD2B65"/>
    <w:rsid w:val="00AF7D17"/>
    <w:rsid w:val="00B10C8D"/>
    <w:rsid w:val="00B2302A"/>
    <w:rsid w:val="00B427CC"/>
    <w:rsid w:val="00B655C2"/>
    <w:rsid w:val="00B82E64"/>
    <w:rsid w:val="00C07507"/>
    <w:rsid w:val="00CB2B76"/>
    <w:rsid w:val="00CD5D71"/>
    <w:rsid w:val="00DF1EC8"/>
    <w:rsid w:val="00DF46F2"/>
    <w:rsid w:val="00E37B2C"/>
    <w:rsid w:val="00EB525E"/>
    <w:rsid w:val="00F53E09"/>
    <w:rsid w:val="00F83806"/>
    <w:rsid w:val="00FB1035"/>
    <w:rsid w:val="00FD5A7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5D6B5A"/>
  <w15:docId w15:val="{62001988-4B3F-4587-9B70-53947CD14D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s-MX"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6F1A"/>
  </w:style>
  <w:style w:type="paragraph" w:styleId="Ttulo1">
    <w:name w:val="heading 1"/>
    <w:basedOn w:val="Normal"/>
    <w:next w:val="Normal"/>
    <w:uiPriority w:val="9"/>
    <w:qFormat/>
    <w:pPr>
      <w:keepNext/>
      <w:keepLines/>
      <w:spacing w:before="240"/>
      <w:outlineLvl w:val="0"/>
    </w:pPr>
    <w:rPr>
      <w:rFonts w:ascii="Calibri" w:eastAsia="Calibri" w:hAnsi="Calibri" w:cs="Calibri"/>
      <w:color w:val="366091"/>
      <w:sz w:val="32"/>
      <w:szCs w:val="32"/>
    </w:rPr>
  </w:style>
  <w:style w:type="paragraph" w:styleId="Ttulo2">
    <w:name w:val="heading 2"/>
    <w:basedOn w:val="Normal"/>
    <w:next w:val="Normal"/>
    <w:uiPriority w:val="9"/>
    <w:semiHidden/>
    <w:unhideWhenUsed/>
    <w:qFormat/>
    <w:pPr>
      <w:keepNext/>
      <w:keepLines/>
      <w:spacing w:before="40"/>
      <w:outlineLvl w:val="1"/>
    </w:pPr>
    <w:rPr>
      <w:rFonts w:ascii="Calibri" w:eastAsia="Calibri" w:hAnsi="Calibri" w:cs="Calibri"/>
      <w:color w:val="366091"/>
      <w:sz w:val="26"/>
      <w:szCs w:val="26"/>
    </w:rPr>
  </w:style>
  <w:style w:type="paragraph" w:styleId="Ttulo3">
    <w:name w:val="heading 3"/>
    <w:basedOn w:val="Normal"/>
    <w:next w:val="Normal"/>
    <w:uiPriority w:val="9"/>
    <w:semiHidden/>
    <w:unhideWhenUsed/>
    <w:qFormat/>
    <w:pPr>
      <w:keepNext/>
      <w:spacing w:before="240" w:after="60"/>
      <w:ind w:left="2160" w:hanging="720"/>
      <w:outlineLvl w:val="2"/>
    </w:pPr>
    <w:rPr>
      <w:rFonts w:ascii="Calibri" w:eastAsia="Calibri" w:hAnsi="Calibri" w:cs="Calibri"/>
      <w:b/>
      <w:sz w:val="26"/>
      <w:szCs w:val="26"/>
    </w:rPr>
  </w:style>
  <w:style w:type="paragraph" w:styleId="Ttulo4">
    <w:name w:val="heading 4"/>
    <w:basedOn w:val="Normal"/>
    <w:next w:val="Normal"/>
    <w:uiPriority w:val="9"/>
    <w:semiHidden/>
    <w:unhideWhenUsed/>
    <w:qFormat/>
    <w:pPr>
      <w:keepNext/>
      <w:spacing w:before="240" w:after="60"/>
      <w:ind w:left="2880" w:hanging="720"/>
      <w:outlineLvl w:val="3"/>
    </w:pPr>
    <w:rPr>
      <w:rFonts w:ascii="Cambria" w:eastAsia="Cambria" w:hAnsi="Cambria" w:cs="Cambria"/>
      <w:b/>
      <w:sz w:val="28"/>
      <w:szCs w:val="28"/>
    </w:rPr>
  </w:style>
  <w:style w:type="paragraph" w:styleId="Ttulo5">
    <w:name w:val="heading 5"/>
    <w:basedOn w:val="Normal"/>
    <w:next w:val="Normal"/>
    <w:uiPriority w:val="9"/>
    <w:semiHidden/>
    <w:unhideWhenUsed/>
    <w:qFormat/>
    <w:pPr>
      <w:spacing w:before="240" w:after="60"/>
      <w:ind w:left="3600" w:hanging="720"/>
      <w:outlineLvl w:val="4"/>
    </w:pPr>
    <w:rPr>
      <w:rFonts w:ascii="Cambria" w:eastAsia="Cambria" w:hAnsi="Cambria" w:cs="Cambria"/>
      <w:b/>
      <w:i/>
      <w:sz w:val="26"/>
      <w:szCs w:val="26"/>
    </w:rPr>
  </w:style>
  <w:style w:type="paragraph" w:styleId="Ttulo6">
    <w:name w:val="heading 6"/>
    <w:basedOn w:val="Normal"/>
    <w:next w:val="Normal"/>
    <w:uiPriority w:val="9"/>
    <w:semiHidden/>
    <w:unhideWhenUsed/>
    <w:qFormat/>
    <w:pPr>
      <w:spacing w:before="240" w:after="60"/>
      <w:ind w:left="4320" w:hanging="720"/>
      <w:outlineLvl w:val="5"/>
    </w:pPr>
    <w:rPr>
      <w:b/>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table" w:customStyle="1" w:styleId="TableNormal2">
    <w:name w:val="Table Normal"/>
    <w:tblPr>
      <w:tblCellMar>
        <w:top w:w="0" w:type="dxa"/>
        <w:left w:w="0" w:type="dxa"/>
        <w:bottom w:w="0" w:type="dxa"/>
        <w:right w:w="0" w:type="dxa"/>
      </w:tblCellMar>
    </w:tblPr>
  </w:style>
  <w:style w:type="table" w:customStyle="1" w:styleId="TableNormal3">
    <w:name w:val="Table Normal"/>
    <w:tblPr>
      <w:tblCellMar>
        <w:top w:w="0" w:type="dxa"/>
        <w:left w:w="0" w:type="dxa"/>
        <w:bottom w:w="0" w:type="dxa"/>
        <w:right w:w="0" w:type="dxa"/>
      </w:tblCellMar>
    </w:tblPr>
  </w:style>
  <w:style w:type="table" w:customStyle="1" w:styleId="TableNormal4">
    <w:name w:val="Table Normal"/>
    <w:tblPr>
      <w:tblCellMar>
        <w:top w:w="0" w:type="dxa"/>
        <w:left w:w="0" w:type="dxa"/>
        <w:bottom w:w="0" w:type="dxa"/>
        <w:right w:w="0" w:type="dxa"/>
      </w:tblCellMar>
    </w:tblPr>
  </w:style>
  <w:style w:type="table" w:customStyle="1" w:styleId="TableNormal5">
    <w:name w:val="Table Normal"/>
    <w:tblPr>
      <w:tblCellMar>
        <w:top w:w="0" w:type="dxa"/>
        <w:left w:w="0" w:type="dxa"/>
        <w:bottom w:w="0" w:type="dxa"/>
        <w:right w:w="0" w:type="dxa"/>
      </w:tblCellMar>
    </w:tblPr>
  </w:style>
  <w:style w:type="table" w:customStyle="1" w:styleId="TableNormal6">
    <w:name w:val="Table Normal"/>
    <w:tblPr>
      <w:tblCellMar>
        <w:top w:w="0" w:type="dxa"/>
        <w:left w:w="0" w:type="dxa"/>
        <w:bottom w:w="0" w:type="dxa"/>
        <w:right w:w="0" w:type="dxa"/>
      </w:tblCellMar>
    </w:tblPr>
  </w:style>
  <w:style w:type="table" w:customStyle="1" w:styleId="TableNormal7">
    <w:name w:val="Table Normal"/>
    <w:tblPr>
      <w:tblCellMar>
        <w:top w:w="0" w:type="dxa"/>
        <w:left w:w="0" w:type="dxa"/>
        <w:bottom w:w="0" w:type="dxa"/>
        <w:right w:w="0" w:type="dxa"/>
      </w:tblCellMar>
    </w:tbl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7"/>
    <w:tblPr>
      <w:tblStyleRowBandSize w:val="1"/>
      <w:tblStyleColBandSize w:val="1"/>
      <w:tblCellMar>
        <w:left w:w="115" w:type="dxa"/>
        <w:right w:w="115" w:type="dxa"/>
      </w:tblCellMar>
    </w:tblPr>
  </w:style>
  <w:style w:type="table" w:customStyle="1" w:styleId="a0">
    <w:basedOn w:val="TableNormal7"/>
    <w:tblPr>
      <w:tblStyleRowBandSize w:val="1"/>
      <w:tblStyleColBandSize w:val="1"/>
      <w:tblCellMar>
        <w:left w:w="115" w:type="dxa"/>
        <w:right w:w="115" w:type="dxa"/>
      </w:tblCellMar>
    </w:tblPr>
  </w:style>
  <w:style w:type="paragraph" w:styleId="Encabezado">
    <w:name w:val="header"/>
    <w:basedOn w:val="Normal"/>
    <w:link w:val="EncabezadoCar"/>
    <w:uiPriority w:val="99"/>
    <w:unhideWhenUsed/>
    <w:rsid w:val="000D197B"/>
    <w:pPr>
      <w:tabs>
        <w:tab w:val="center" w:pos="4419"/>
        <w:tab w:val="right" w:pos="8838"/>
      </w:tabs>
    </w:pPr>
  </w:style>
  <w:style w:type="character" w:customStyle="1" w:styleId="EncabezadoCar">
    <w:name w:val="Encabezado Car"/>
    <w:basedOn w:val="Fuentedeprrafopredeter"/>
    <w:link w:val="Encabezado"/>
    <w:uiPriority w:val="99"/>
    <w:rsid w:val="000D197B"/>
  </w:style>
  <w:style w:type="paragraph" w:styleId="Piedepgina">
    <w:name w:val="footer"/>
    <w:basedOn w:val="Normal"/>
    <w:link w:val="PiedepginaCar"/>
    <w:uiPriority w:val="99"/>
    <w:unhideWhenUsed/>
    <w:rsid w:val="000D197B"/>
    <w:pPr>
      <w:tabs>
        <w:tab w:val="center" w:pos="4419"/>
        <w:tab w:val="right" w:pos="8838"/>
      </w:tabs>
    </w:pPr>
  </w:style>
  <w:style w:type="character" w:customStyle="1" w:styleId="PiedepginaCar">
    <w:name w:val="Pie de página Car"/>
    <w:basedOn w:val="Fuentedeprrafopredeter"/>
    <w:link w:val="Piedepgina"/>
    <w:uiPriority w:val="99"/>
    <w:rsid w:val="000D197B"/>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C43334"/>
    <w:pPr>
      <w:ind w:left="720"/>
      <w:contextualSpacing/>
    </w:pPr>
  </w:style>
  <w:style w:type="paragraph" w:styleId="NormalWeb">
    <w:name w:val="Normal (Web)"/>
    <w:basedOn w:val="Normal"/>
    <w:uiPriority w:val="99"/>
    <w:unhideWhenUsed/>
    <w:rsid w:val="00476335"/>
    <w:pPr>
      <w:spacing w:before="100" w:beforeAutospacing="1" w:after="100" w:afterAutospacing="1"/>
    </w:pPr>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iPriority w:val="99"/>
    <w:unhideWhenUsed/>
    <w:qFormat/>
    <w:rsid w:val="00806B5C"/>
    <w:rPr>
      <w:rFonts w:asciiTheme="minorHAnsi" w:eastAsiaTheme="minorHAnsi" w:hAnsiTheme="minorHAnsi" w:cstheme="minorBidi"/>
      <w:sz w:val="20"/>
      <w:szCs w:val="20"/>
      <w:lang w:eastAsia="en-US"/>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qFormat/>
    <w:rsid w:val="00806B5C"/>
    <w:rPr>
      <w:rFonts w:asciiTheme="minorHAnsi" w:eastAsiaTheme="minorHAnsi" w:hAnsiTheme="minorHAnsi" w:cstheme="minorBidi"/>
      <w:sz w:val="20"/>
      <w:szCs w:val="20"/>
      <w:lang w:eastAsia="en-US"/>
    </w:rPr>
  </w:style>
  <w:style w:type="character" w:styleId="Refdenotaalpie">
    <w:name w:val="footnote reference"/>
    <w:aliases w:val="Footnotes refss,Texto de nota al pie,Ref. de nota al pie 2,Appel note de bas de page,referencia nota al pie,BVI fnr,Footnote number,4_G,16 Point,Superscript 6 Point,Texto nota al pie,Footnote Reference Char3,Ref,de nota al pie,註腳內容,f"/>
    <w:basedOn w:val="Fuentedeprrafopredeter"/>
    <w:uiPriority w:val="99"/>
    <w:unhideWhenUsed/>
    <w:qFormat/>
    <w:rsid w:val="00806B5C"/>
    <w:rPr>
      <w:vertAlign w:val="superscript"/>
    </w:rPr>
  </w:style>
  <w:style w:type="table" w:customStyle="1" w:styleId="a1">
    <w:basedOn w:val="TableNormal7"/>
    <w:tblPr>
      <w:tblStyleRowBandSize w:val="1"/>
      <w:tblStyleColBandSize w:val="1"/>
      <w:tblCellMar>
        <w:left w:w="115" w:type="dxa"/>
        <w:right w:w="115" w:type="dxa"/>
      </w:tblCellMar>
    </w:tblPr>
  </w:style>
  <w:style w:type="table" w:customStyle="1" w:styleId="a2">
    <w:basedOn w:val="TableNormal7"/>
    <w:tblPr>
      <w:tblStyleRowBandSize w:val="1"/>
      <w:tblStyleColBandSize w:val="1"/>
      <w:tblCellMar>
        <w:left w:w="115" w:type="dxa"/>
        <w:right w:w="115" w:type="dxa"/>
      </w:tblCellMar>
    </w:tblPr>
  </w:style>
  <w:style w:type="character" w:styleId="Hipervnculo">
    <w:name w:val="Hyperlink"/>
    <w:basedOn w:val="Fuentedeprrafopredeter"/>
    <w:uiPriority w:val="99"/>
    <w:unhideWhenUsed/>
    <w:rsid w:val="00504D6C"/>
    <w:rPr>
      <w:color w:val="0000FF" w:themeColor="hyperlink"/>
      <w:u w:val="single"/>
    </w:rPr>
  </w:style>
  <w:style w:type="character" w:styleId="Hipervnculovisitado">
    <w:name w:val="FollowedHyperlink"/>
    <w:basedOn w:val="Fuentedeprrafopredeter"/>
    <w:uiPriority w:val="99"/>
    <w:semiHidden/>
    <w:unhideWhenUsed/>
    <w:rsid w:val="00504D6C"/>
    <w:rPr>
      <w:color w:val="800080" w:themeColor="followedHyperlink"/>
      <w:u w:val="single"/>
    </w:rPr>
  </w:style>
  <w:style w:type="table" w:styleId="Tablaconcuadrcula">
    <w:name w:val="Table Grid"/>
    <w:basedOn w:val="Tablanormal"/>
    <w:uiPriority w:val="39"/>
    <w:rsid w:val="00134A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3">
    <w:basedOn w:val="TableNormal6"/>
    <w:tblPr>
      <w:tblStyleRowBandSize w:val="1"/>
      <w:tblStyleColBandSize w:val="1"/>
      <w:tblCellMar>
        <w:left w:w="115" w:type="dxa"/>
        <w:right w:w="115" w:type="dxa"/>
      </w:tblCellMar>
    </w:tblPr>
  </w:style>
  <w:style w:type="table" w:customStyle="1" w:styleId="a4">
    <w:basedOn w:val="TableNormal6"/>
    <w:tblPr>
      <w:tblStyleRowBandSize w:val="1"/>
      <w:tblStyleColBandSize w:val="1"/>
      <w:tblCellMar>
        <w:left w:w="115" w:type="dxa"/>
        <w:right w:w="115" w:type="dxa"/>
      </w:tblCellMar>
    </w:tblPr>
  </w:style>
  <w:style w:type="paragraph" w:styleId="Listaconvietas3">
    <w:name w:val="List Bullet 3"/>
    <w:basedOn w:val="Normal"/>
    <w:uiPriority w:val="99"/>
    <w:unhideWhenUsed/>
    <w:rsid w:val="005E017B"/>
    <w:pPr>
      <w:numPr>
        <w:numId w:val="2"/>
      </w:numPr>
      <w:contextualSpacing/>
    </w:pPr>
  </w:style>
  <w:style w:type="character" w:customStyle="1" w:styleId="yt-core-attributed-string--link-inherit-color">
    <w:name w:val="yt-core-attributed-string--link-inherit-color"/>
    <w:basedOn w:val="Fuentedeprrafopredeter"/>
    <w:rsid w:val="00EA0BEF"/>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basedOn w:val="Fuentedeprrafopredeter"/>
    <w:link w:val="Prrafodelista"/>
    <w:uiPriority w:val="34"/>
    <w:qFormat/>
    <w:locked/>
    <w:rsid w:val="00452086"/>
  </w:style>
  <w:style w:type="character" w:customStyle="1" w:styleId="Mencinsinresolver1">
    <w:name w:val="Mención sin resolver1"/>
    <w:basedOn w:val="Fuentedeprrafopredeter"/>
    <w:uiPriority w:val="99"/>
    <w:semiHidden/>
    <w:unhideWhenUsed/>
    <w:rsid w:val="00C64B15"/>
    <w:rPr>
      <w:color w:val="605E5C"/>
      <w:shd w:val="clear" w:color="auto" w:fill="E1DFDD"/>
    </w:rPr>
  </w:style>
  <w:style w:type="paragraph" w:customStyle="1" w:styleId="Default">
    <w:name w:val="Default"/>
    <w:rsid w:val="00B92077"/>
    <w:pPr>
      <w:autoSpaceDE w:val="0"/>
      <w:autoSpaceDN w:val="0"/>
      <w:adjustRightInd w:val="0"/>
    </w:pPr>
    <w:rPr>
      <w:rFonts w:ascii="Arial" w:hAnsi="Arial" w:cs="Arial"/>
      <w:color w:val="000000"/>
    </w:rPr>
  </w:style>
  <w:style w:type="character" w:customStyle="1" w:styleId="Mencinsinresolver2">
    <w:name w:val="Mención sin resolver2"/>
    <w:basedOn w:val="Fuentedeprrafopredeter"/>
    <w:uiPriority w:val="99"/>
    <w:semiHidden/>
    <w:unhideWhenUsed/>
    <w:rsid w:val="00251B93"/>
    <w:rPr>
      <w:color w:val="605E5C"/>
      <w:shd w:val="clear" w:color="auto" w:fill="E1DFDD"/>
    </w:rPr>
  </w:style>
  <w:style w:type="paragraph" w:styleId="Textodeglobo">
    <w:name w:val="Balloon Text"/>
    <w:basedOn w:val="Normal"/>
    <w:link w:val="TextodegloboCar"/>
    <w:uiPriority w:val="99"/>
    <w:semiHidden/>
    <w:unhideWhenUsed/>
    <w:rsid w:val="00DD0D64"/>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DD0D64"/>
    <w:rPr>
      <w:rFonts w:ascii="Segoe UI" w:hAnsi="Segoe UI" w:cs="Segoe UI"/>
      <w:sz w:val="18"/>
      <w:szCs w:val="18"/>
    </w:rPr>
  </w:style>
  <w:style w:type="paragraph" w:styleId="Sinespaciado">
    <w:name w:val="No Spacing"/>
    <w:aliases w:val="Francesa"/>
    <w:link w:val="SinespaciadoCar"/>
    <w:uiPriority w:val="1"/>
    <w:qFormat/>
    <w:rsid w:val="000D0148"/>
    <w:rPr>
      <w:rFonts w:asciiTheme="minorHAnsi" w:eastAsiaTheme="minorHAnsi" w:hAnsiTheme="minorHAnsi" w:cstheme="minorBidi"/>
      <w:sz w:val="22"/>
      <w:szCs w:val="22"/>
      <w:lang w:eastAsia="en-US"/>
    </w:rPr>
  </w:style>
  <w:style w:type="character" w:customStyle="1" w:styleId="SinespaciadoCar">
    <w:name w:val="Sin espaciado Car"/>
    <w:aliases w:val="Francesa Car"/>
    <w:link w:val="Sinespaciado"/>
    <w:uiPriority w:val="1"/>
    <w:locked/>
    <w:rsid w:val="000D0148"/>
    <w:rPr>
      <w:rFonts w:asciiTheme="minorHAnsi" w:eastAsiaTheme="minorHAnsi" w:hAnsiTheme="minorHAnsi" w:cstheme="minorBidi"/>
      <w:sz w:val="22"/>
      <w:szCs w:val="22"/>
      <w:lang w:eastAsia="en-US"/>
    </w:rPr>
  </w:style>
  <w:style w:type="paragraph" w:customStyle="1" w:styleId="rtejustify">
    <w:name w:val="rtejustify"/>
    <w:basedOn w:val="Normal"/>
    <w:rsid w:val="00876EB7"/>
    <w:pPr>
      <w:spacing w:before="100" w:beforeAutospacing="1" w:after="100" w:afterAutospacing="1"/>
    </w:pPr>
  </w:style>
  <w:style w:type="table" w:customStyle="1" w:styleId="a5">
    <w:basedOn w:val="TableNormal5"/>
    <w:tblPr>
      <w:tblStyleRowBandSize w:val="1"/>
      <w:tblStyleColBandSize w:val="1"/>
      <w:tblCellMar>
        <w:left w:w="108" w:type="dxa"/>
        <w:right w:w="108" w:type="dxa"/>
      </w:tblCellMar>
    </w:tblPr>
  </w:style>
  <w:style w:type="table" w:customStyle="1" w:styleId="a6">
    <w:basedOn w:val="TableNormal5"/>
    <w:tblPr>
      <w:tblStyleRowBandSize w:val="1"/>
      <w:tblStyleColBandSize w:val="1"/>
      <w:tblCellMar>
        <w:left w:w="108" w:type="dxa"/>
        <w:right w:w="108" w:type="dxa"/>
      </w:tblCellMar>
    </w:tblPr>
  </w:style>
  <w:style w:type="table" w:customStyle="1" w:styleId="a7">
    <w:basedOn w:val="TableNormal5"/>
    <w:tblPr>
      <w:tblStyleRowBandSize w:val="1"/>
      <w:tblStyleColBandSize w:val="1"/>
      <w:tblCellMar>
        <w:left w:w="108" w:type="dxa"/>
        <w:right w:w="108" w:type="dxa"/>
      </w:tblCellMar>
    </w:tblPr>
  </w:style>
  <w:style w:type="table" w:customStyle="1" w:styleId="a8">
    <w:basedOn w:val="TableNormal5"/>
    <w:tblPr>
      <w:tblStyleRowBandSize w:val="1"/>
      <w:tblStyleColBandSize w:val="1"/>
      <w:tblCellMar>
        <w:left w:w="108" w:type="dxa"/>
        <w:right w:w="108" w:type="dxa"/>
      </w:tblCellMar>
    </w:tblPr>
  </w:style>
  <w:style w:type="table" w:customStyle="1" w:styleId="a9">
    <w:basedOn w:val="TableNormal5"/>
    <w:tblPr>
      <w:tblStyleRowBandSize w:val="1"/>
      <w:tblStyleColBandSize w:val="1"/>
      <w:tblCellMar>
        <w:left w:w="108" w:type="dxa"/>
        <w:right w:w="108" w:type="dxa"/>
      </w:tblCellMar>
    </w:tblPr>
  </w:style>
  <w:style w:type="table" w:customStyle="1" w:styleId="aa">
    <w:basedOn w:val="TableNormal5"/>
    <w:tblPr>
      <w:tblStyleRowBandSize w:val="1"/>
      <w:tblStyleColBandSize w:val="1"/>
      <w:tblCellMar>
        <w:left w:w="115" w:type="dxa"/>
        <w:right w:w="115" w:type="dxa"/>
      </w:tblCellMar>
    </w:tblPr>
  </w:style>
  <w:style w:type="table" w:customStyle="1" w:styleId="ab">
    <w:basedOn w:val="TableNormal5"/>
    <w:tblPr>
      <w:tblStyleRowBandSize w:val="1"/>
      <w:tblStyleColBandSize w:val="1"/>
      <w:tblCellMar>
        <w:left w:w="115" w:type="dxa"/>
        <w:right w:w="115" w:type="dxa"/>
      </w:tblCellMar>
    </w:tblPr>
  </w:style>
  <w:style w:type="table" w:customStyle="1" w:styleId="ac">
    <w:basedOn w:val="TableNormal4"/>
    <w:tblPr>
      <w:tblStyleRowBandSize w:val="1"/>
      <w:tblStyleColBandSize w:val="1"/>
      <w:tblCellMar>
        <w:left w:w="108" w:type="dxa"/>
        <w:right w:w="108" w:type="dxa"/>
      </w:tblCellMar>
    </w:tblPr>
  </w:style>
  <w:style w:type="table" w:customStyle="1" w:styleId="ad">
    <w:basedOn w:val="TableNormal4"/>
    <w:tblPr>
      <w:tblStyleRowBandSize w:val="1"/>
      <w:tblStyleColBandSize w:val="1"/>
      <w:tblCellMar>
        <w:left w:w="115" w:type="dxa"/>
        <w:right w:w="115" w:type="dxa"/>
      </w:tblCellMar>
    </w:tblPr>
  </w:style>
  <w:style w:type="table" w:customStyle="1" w:styleId="ae">
    <w:basedOn w:val="TableNormal4"/>
    <w:tblPr>
      <w:tblStyleRowBandSize w:val="1"/>
      <w:tblStyleColBandSize w:val="1"/>
      <w:tblCellMar>
        <w:left w:w="115" w:type="dxa"/>
        <w:right w:w="115" w:type="dxa"/>
      </w:tblCellMar>
    </w:tblPr>
  </w:style>
  <w:style w:type="table" w:customStyle="1" w:styleId="af">
    <w:basedOn w:val="TableNormal3"/>
    <w:tblPr>
      <w:tblStyleRowBandSize w:val="1"/>
      <w:tblStyleColBandSize w:val="1"/>
      <w:tblCellMar>
        <w:left w:w="115" w:type="dxa"/>
        <w:right w:w="115" w:type="dxa"/>
      </w:tblCellMar>
    </w:tblPr>
  </w:style>
  <w:style w:type="table" w:customStyle="1" w:styleId="af0">
    <w:basedOn w:val="TableNormal3"/>
    <w:tblPr>
      <w:tblStyleRowBandSize w:val="1"/>
      <w:tblStyleColBandSize w:val="1"/>
      <w:tblCellMar>
        <w:left w:w="115" w:type="dxa"/>
        <w:right w:w="115" w:type="dxa"/>
      </w:tblCellMar>
    </w:tblPr>
  </w:style>
  <w:style w:type="table" w:customStyle="1" w:styleId="af1">
    <w:basedOn w:val="TableNormal3"/>
    <w:tblPr>
      <w:tblStyleRowBandSize w:val="1"/>
      <w:tblStyleColBandSize w:val="1"/>
      <w:tblCellMar>
        <w:left w:w="115" w:type="dxa"/>
        <w:right w:w="115" w:type="dxa"/>
      </w:tblCellMar>
    </w:tblPr>
  </w:style>
  <w:style w:type="table" w:customStyle="1" w:styleId="af2">
    <w:basedOn w:val="TableNormal2"/>
    <w:tblPr>
      <w:tblStyleRowBandSize w:val="1"/>
      <w:tblStyleColBandSize w:val="1"/>
      <w:tblCellMar>
        <w:left w:w="115" w:type="dxa"/>
        <w:right w:w="115" w:type="dxa"/>
      </w:tblCellMar>
    </w:tblPr>
  </w:style>
  <w:style w:type="table" w:customStyle="1" w:styleId="af3">
    <w:basedOn w:val="TableNormal2"/>
    <w:tblPr>
      <w:tblStyleRowBandSize w:val="1"/>
      <w:tblStyleColBandSize w:val="1"/>
      <w:tblCellMar>
        <w:left w:w="115" w:type="dxa"/>
        <w:right w:w="115" w:type="dxa"/>
      </w:tblCellMar>
    </w:tblPr>
  </w:style>
  <w:style w:type="table" w:customStyle="1" w:styleId="af4">
    <w:basedOn w:val="TableNormal1"/>
    <w:tblPr>
      <w:tblStyleRowBandSize w:val="1"/>
      <w:tblStyleColBandSize w:val="1"/>
      <w:tblCellMar>
        <w:left w:w="115" w:type="dxa"/>
        <w:right w:w="115" w:type="dxa"/>
      </w:tblCellMar>
    </w:tblPr>
  </w:style>
  <w:style w:type="table" w:customStyle="1" w:styleId="af5">
    <w:basedOn w:val="TableNormal1"/>
    <w:tblPr>
      <w:tblStyleRowBandSize w:val="1"/>
      <w:tblStyleColBandSize w:val="1"/>
      <w:tblCellMar>
        <w:left w:w="115" w:type="dxa"/>
        <w:right w:w="115" w:type="dxa"/>
      </w:tblCellMar>
    </w:tblPr>
  </w:style>
  <w:style w:type="paragraph" w:styleId="Listaconvietas">
    <w:name w:val="List Bullet"/>
    <w:basedOn w:val="Normal"/>
    <w:uiPriority w:val="99"/>
    <w:unhideWhenUsed/>
    <w:rsid w:val="00CA1155"/>
    <w:pPr>
      <w:numPr>
        <w:numId w:val="7"/>
      </w:numPr>
      <w:contextualSpacing/>
    </w:pPr>
    <w:rPr>
      <w:lang w:eastAsia="es-ES"/>
    </w:rPr>
  </w:style>
  <w:style w:type="table" w:customStyle="1" w:styleId="af6">
    <w:basedOn w:val="TableNormal0"/>
    <w:tblPr>
      <w:tblStyleRowBandSize w:val="1"/>
      <w:tblStyleColBandSize w:val="1"/>
      <w:tblCellMar>
        <w:left w:w="115" w:type="dxa"/>
        <w:right w:w="115" w:type="dxa"/>
      </w:tblCellMar>
    </w:tblPr>
  </w:style>
  <w:style w:type="table" w:customStyle="1" w:styleId="af7">
    <w:basedOn w:val="TableNormal0"/>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858770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88/353beiXDemMmGf2+VmiF13/Q==">CgMxLjAyCWguNGQzNG9nODIIaC5namRneHMyCWguM2R5NnZrbTIJaC4zMGowemxsMgloLjJzOGV5bzEyCGgudHlqY3d0MgloLjN6bnlzaDcyCWguMmV0OTJwMDIIaC5sbnhiejkyDmguaWp2OThwbnRjZDVzMgloLjI2aW4xcmc4AHIhMTlBODRYTHdyMk1BbFZLTTR2a1RqazI1aFIxc0QtWF9K</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35</Pages>
  <Words>10141</Words>
  <Characters>55776</Characters>
  <Application>Microsoft Office Word</Application>
  <DocSecurity>0</DocSecurity>
  <Lines>464</Lines>
  <Paragraphs>131</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65786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Maricela Villagómez Martínez</cp:lastModifiedBy>
  <cp:revision>2</cp:revision>
  <cp:lastPrinted>2025-03-14T16:50:00Z</cp:lastPrinted>
  <dcterms:created xsi:type="dcterms:W3CDTF">2025-04-01T18:22:00Z</dcterms:created>
  <dcterms:modified xsi:type="dcterms:W3CDTF">2025-04-01T18:22:00Z</dcterms:modified>
</cp:coreProperties>
</file>