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588931E" w:rsidR="007D645B"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43B44">
        <w:rPr>
          <w:rFonts w:ascii="Palatino Linotype" w:hAnsi="Palatino Linotype" w:cs="Arial"/>
          <w:color w:val="000000"/>
          <w:lang w:val="es-MX" w:eastAsia="es-MX"/>
        </w:rPr>
        <w:t>veintisiete de agosto</w:t>
      </w:r>
      <w:r w:rsidR="00DB338B">
        <w:rPr>
          <w:rFonts w:ascii="Palatino Linotype" w:hAnsi="Palatino Linotype" w:cs="Arial"/>
          <w:color w:val="000000"/>
          <w:lang w:val="es-MX" w:eastAsia="es-MX"/>
        </w:rPr>
        <w:t xml:space="preserve"> de</w:t>
      </w:r>
      <w:r w:rsidR="007237B8" w:rsidRPr="006A240A">
        <w:rPr>
          <w:rFonts w:ascii="Palatino Linotype" w:hAnsi="Palatino Linotype" w:cs="Arial"/>
          <w:color w:val="000000"/>
          <w:lang w:val="es-MX" w:eastAsia="es-MX"/>
        </w:rPr>
        <w:t xml:space="preserve"> 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1729F101" w14:textId="77777777" w:rsidR="00271572" w:rsidRPr="00271572" w:rsidRDefault="00271572" w:rsidP="00271572">
      <w:pPr>
        <w:shd w:val="clear" w:color="auto" w:fill="FFFFFF"/>
        <w:spacing w:line="360" w:lineRule="auto"/>
        <w:jc w:val="both"/>
        <w:rPr>
          <w:rFonts w:ascii="Palatino Linotype" w:hAnsi="Palatino Linotype" w:cs="Arial"/>
          <w:color w:val="000000"/>
          <w:lang w:val="es-MX" w:eastAsia="es-MX"/>
        </w:rPr>
      </w:pPr>
    </w:p>
    <w:p w14:paraId="5D167B00" w14:textId="2F117094" w:rsidR="007D645B" w:rsidRDefault="0029071C" w:rsidP="00903BEF">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7D645B">
        <w:rPr>
          <w:rFonts w:ascii="Palatino Linotype" w:eastAsiaTheme="minorHAnsi" w:hAnsi="Palatino Linotype" w:cs="Arial"/>
          <w:b/>
          <w:lang w:val="es-MX" w:eastAsia="en-US"/>
        </w:rPr>
        <w:t>0</w:t>
      </w:r>
      <w:r w:rsidR="003B575C">
        <w:rPr>
          <w:rFonts w:ascii="Palatino Linotype" w:eastAsiaTheme="minorHAnsi" w:hAnsi="Palatino Linotype" w:cs="Arial"/>
          <w:b/>
          <w:lang w:val="es-MX" w:eastAsia="en-US"/>
        </w:rPr>
        <w:t>5885</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344236" w:rsidRPr="00344236">
        <w:rPr>
          <w:rFonts w:ascii="Palatino Linotype" w:eastAsiaTheme="minorHAnsi" w:hAnsi="Palatino Linotype" w:cs="Arial"/>
          <w:b/>
          <w:lang w:val="es-MX" w:eastAsia="en-US"/>
        </w:rPr>
        <w:t xml:space="preserve">Ayuntamiento de </w:t>
      </w:r>
      <w:r w:rsidR="00B14416">
        <w:rPr>
          <w:rFonts w:ascii="Palatino Linotype" w:eastAsiaTheme="minorHAnsi" w:hAnsi="Palatino Linotype" w:cs="Arial"/>
          <w:b/>
          <w:lang w:val="es-MX" w:eastAsia="en-US"/>
        </w:rPr>
        <w:t>Toluca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6D2F4B6B" w14:textId="77777777" w:rsidR="00903BEF" w:rsidRPr="00903BEF"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Default="0029071C" w:rsidP="00903BEF">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5DE5820F" w14:textId="77777777" w:rsidR="00903BEF" w:rsidRPr="00903BEF" w:rsidRDefault="00903BEF" w:rsidP="00903BEF">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3AAB1B97" w14:textId="399AA2E5" w:rsidR="00271572" w:rsidRDefault="0029071C" w:rsidP="00903BEF">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3B575C">
        <w:rPr>
          <w:rFonts w:ascii="Palatino Linotype" w:eastAsiaTheme="minorHAnsi" w:hAnsi="Palatino Linotype" w:cs="Arial"/>
          <w:szCs w:val="22"/>
          <w:lang w:val="es-MX" w:eastAsia="en-US"/>
        </w:rPr>
        <w:t>dos de abril</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 </w:t>
      </w:r>
      <w:r w:rsidR="003B575C" w:rsidRPr="003B575C">
        <w:rPr>
          <w:rFonts w:ascii="Palatino Linotype" w:eastAsiaTheme="minorHAnsi" w:hAnsi="Palatino Linotype" w:cs="Arial"/>
          <w:b/>
          <w:szCs w:val="22"/>
          <w:lang w:val="es-MX" w:eastAsia="en-US"/>
        </w:rPr>
        <w:t>01990/TOLUCA/IP/2025</w:t>
      </w:r>
      <w:r w:rsidRPr="006A240A">
        <w:rPr>
          <w:rFonts w:ascii="Palatino Linotype" w:eastAsiaTheme="minorHAnsi" w:hAnsi="Palatino Linotype" w:cs="Arial"/>
          <w:szCs w:val="22"/>
          <w:lang w:val="es-MX" w:eastAsia="en-US"/>
        </w:rPr>
        <w:t>, mediante la cual solicitó lo siguiente:</w:t>
      </w:r>
    </w:p>
    <w:p w14:paraId="72B4CFD2" w14:textId="77777777" w:rsidR="00903BEF" w:rsidRPr="00903BEF" w:rsidRDefault="00903BEF" w:rsidP="00903BEF">
      <w:pPr>
        <w:spacing w:line="360" w:lineRule="auto"/>
        <w:jc w:val="both"/>
        <w:rPr>
          <w:rFonts w:ascii="Palatino Linotype" w:eastAsiaTheme="minorHAnsi" w:hAnsi="Palatino Linotype" w:cs="Arial"/>
          <w:szCs w:val="22"/>
          <w:lang w:val="es-MX" w:eastAsia="en-US"/>
        </w:rPr>
      </w:pPr>
    </w:p>
    <w:p w14:paraId="3A941F80" w14:textId="00F5548D" w:rsidR="0027342B" w:rsidRDefault="0029071C" w:rsidP="00903BEF">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bookmarkStart w:id="1" w:name="_Hlk205900849"/>
      <w:r w:rsidR="003B575C" w:rsidRPr="003B575C">
        <w:rPr>
          <w:rFonts w:ascii="Palatino Linotype" w:hAnsi="Palatino Linotype"/>
          <w:i/>
          <w:sz w:val="22"/>
          <w:szCs w:val="20"/>
          <w:lang w:val="es-MX" w:eastAsia="es-MX"/>
        </w:rPr>
        <w:t xml:space="preserve">el convenio celebrado entre el ayuntamiento de Toluca y el </w:t>
      </w:r>
      <w:proofErr w:type="spellStart"/>
      <w:r w:rsidR="003B575C" w:rsidRPr="003B575C">
        <w:rPr>
          <w:rFonts w:ascii="Palatino Linotype" w:hAnsi="Palatino Linotype"/>
          <w:i/>
          <w:sz w:val="22"/>
          <w:szCs w:val="20"/>
          <w:lang w:val="es-MX" w:eastAsia="es-MX"/>
        </w:rPr>
        <w:t>Ine</w:t>
      </w:r>
      <w:proofErr w:type="spellEnd"/>
      <w:r w:rsidR="003B575C" w:rsidRPr="003B575C">
        <w:rPr>
          <w:rFonts w:ascii="Palatino Linotype" w:hAnsi="Palatino Linotype"/>
          <w:i/>
          <w:sz w:val="22"/>
          <w:szCs w:val="20"/>
          <w:lang w:val="es-MX" w:eastAsia="es-MX"/>
        </w:rPr>
        <w:t xml:space="preserve"> o IEEM para la vigilancia dé las </w:t>
      </w:r>
      <w:proofErr w:type="gramStart"/>
      <w:r w:rsidR="003B575C" w:rsidRPr="003B575C">
        <w:rPr>
          <w:rFonts w:ascii="Palatino Linotype" w:hAnsi="Palatino Linotype"/>
          <w:i/>
          <w:sz w:val="22"/>
          <w:szCs w:val="20"/>
          <w:lang w:val="es-MX" w:eastAsia="es-MX"/>
        </w:rPr>
        <w:t>elecciones</w:t>
      </w:r>
      <w:proofErr w:type="gramEnd"/>
      <w:r w:rsidR="003B575C" w:rsidRPr="003B575C">
        <w:rPr>
          <w:rFonts w:ascii="Palatino Linotype" w:hAnsi="Palatino Linotype"/>
          <w:i/>
          <w:sz w:val="22"/>
          <w:szCs w:val="20"/>
          <w:lang w:val="es-MX" w:eastAsia="es-MX"/>
        </w:rPr>
        <w:t xml:space="preserve"> de las autoridades auxiliares 2025</w:t>
      </w:r>
      <w:bookmarkEnd w:id="1"/>
      <w:r w:rsidRPr="00E50332">
        <w:rPr>
          <w:rFonts w:ascii="Palatino Linotype" w:hAnsi="Palatino Linotype"/>
          <w:i/>
          <w:sz w:val="22"/>
          <w:szCs w:val="20"/>
          <w:lang w:val="es-MX"/>
        </w:rPr>
        <w:t>”</w:t>
      </w:r>
      <w:r w:rsidRPr="00E50332">
        <w:rPr>
          <w:rFonts w:ascii="Palatino Linotype" w:hAnsi="Palatino Linotype"/>
          <w:i/>
          <w:sz w:val="22"/>
          <w:szCs w:val="20"/>
          <w:lang w:val="es-ES_tradnl"/>
        </w:rPr>
        <w:t xml:space="preserve"> (Sic).</w:t>
      </w:r>
    </w:p>
    <w:p w14:paraId="6780CB3E" w14:textId="77777777" w:rsidR="00271572" w:rsidRDefault="00271572" w:rsidP="00271572">
      <w:pPr>
        <w:ind w:left="284" w:right="332"/>
        <w:jc w:val="both"/>
        <w:rPr>
          <w:rFonts w:ascii="Palatino Linotype" w:hAnsi="Palatino Linotype"/>
          <w:i/>
          <w:sz w:val="22"/>
          <w:szCs w:val="20"/>
          <w:lang w:val="es-ES_tradnl"/>
        </w:rPr>
      </w:pPr>
    </w:p>
    <w:p w14:paraId="41A4F7E6" w14:textId="77777777" w:rsidR="00271572" w:rsidRPr="00271572" w:rsidRDefault="00271572" w:rsidP="00271572">
      <w:pPr>
        <w:pStyle w:val="Sinespaciado"/>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sz w:val="28"/>
          <w:szCs w:val="28"/>
          <w:lang w:eastAsia="en-US"/>
        </w:rPr>
      </w:pPr>
    </w:p>
    <w:p w14:paraId="0D8E2464" w14:textId="77777777" w:rsidR="00903BEF" w:rsidRDefault="00903BEF" w:rsidP="00B14416">
      <w:pPr>
        <w:pStyle w:val="Sinespaciado"/>
        <w:rPr>
          <w:rFonts w:eastAsiaTheme="minorHAnsi"/>
          <w:sz w:val="28"/>
          <w:szCs w:val="28"/>
          <w:lang w:eastAsia="en-US"/>
        </w:rPr>
      </w:pPr>
    </w:p>
    <w:p w14:paraId="7FB63AC6" w14:textId="77777777" w:rsidR="00903BEF" w:rsidRDefault="00903BEF" w:rsidP="00B14416">
      <w:pPr>
        <w:pStyle w:val="Sinespaciado"/>
        <w:rPr>
          <w:rFonts w:eastAsiaTheme="minorHAnsi"/>
          <w:sz w:val="28"/>
          <w:szCs w:val="28"/>
          <w:lang w:eastAsia="en-US"/>
        </w:rPr>
      </w:pPr>
    </w:p>
    <w:p w14:paraId="717A4484" w14:textId="4F23FAB8"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respuesta del Sujeto Obligado. </w:t>
      </w:r>
    </w:p>
    <w:p w14:paraId="7AA37136" w14:textId="5CD34502"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903BEF">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903BEF">
        <w:rPr>
          <w:rFonts w:ascii="Palatino Linotype" w:eastAsiaTheme="minorHAnsi" w:hAnsi="Palatino Linotype" w:cs="Arial"/>
          <w:lang w:val="es-MX" w:eastAsia="en-US"/>
        </w:rPr>
        <w:t xml:space="preserve">veintisiete de marzo </w:t>
      </w:r>
      <w:r w:rsidR="00B14416">
        <w:rPr>
          <w:rFonts w:ascii="Palatino Linotype" w:eastAsiaTheme="minorHAnsi" w:hAnsi="Palatino Linotype" w:cs="Arial"/>
          <w:lang w:val="es-MX" w:eastAsia="en-US"/>
        </w:rPr>
        <w:t>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emitió la respuesta en los siguientes términos:</w:t>
      </w:r>
    </w:p>
    <w:p w14:paraId="6B3B2F28" w14:textId="77777777" w:rsidR="007D645B" w:rsidRPr="009A6B97" w:rsidRDefault="007D645B" w:rsidP="007D645B">
      <w:pPr>
        <w:rPr>
          <w:lang w:val="es-MX"/>
        </w:rPr>
      </w:pPr>
    </w:p>
    <w:p w14:paraId="7EC17C1E" w14:textId="77777777" w:rsidR="003B575C" w:rsidRPr="003B575C" w:rsidRDefault="007D645B" w:rsidP="003B575C">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3B575C" w:rsidRPr="003B575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438FF3" w14:textId="77777777" w:rsidR="003B575C" w:rsidRDefault="003B575C" w:rsidP="003B575C">
      <w:pPr>
        <w:spacing w:line="276" w:lineRule="auto"/>
        <w:ind w:left="567" w:right="567"/>
        <w:jc w:val="both"/>
        <w:rPr>
          <w:rFonts w:ascii="Palatino Linotype" w:hAnsi="Palatino Linotype"/>
          <w:i/>
          <w:sz w:val="22"/>
          <w:szCs w:val="22"/>
          <w:lang w:val="es-MX" w:eastAsia="es-MX"/>
        </w:rPr>
      </w:pPr>
    </w:p>
    <w:p w14:paraId="6603DEB5" w14:textId="77777777" w:rsidR="003B575C" w:rsidRDefault="003B575C" w:rsidP="003B575C">
      <w:pPr>
        <w:spacing w:line="276" w:lineRule="auto"/>
        <w:ind w:left="567" w:right="567"/>
        <w:jc w:val="both"/>
        <w:rPr>
          <w:rFonts w:ascii="Palatino Linotype" w:hAnsi="Palatino Linotype"/>
          <w:i/>
          <w:sz w:val="22"/>
          <w:szCs w:val="22"/>
          <w:lang w:val="es-MX" w:eastAsia="es-MX"/>
        </w:rPr>
      </w:pPr>
      <w:r w:rsidRPr="003B575C">
        <w:rPr>
          <w:rFonts w:ascii="Palatino Linotype" w:hAnsi="Palatino Linotype"/>
          <w:i/>
          <w:sz w:val="22"/>
          <w:szCs w:val="22"/>
          <w:lang w:val="es-MX" w:eastAsia="es-MX"/>
        </w:rPr>
        <w:t xml:space="preserve">En atención a la solicitud con folio </w:t>
      </w:r>
      <w:r w:rsidRPr="003B575C">
        <w:rPr>
          <w:rFonts w:ascii="Palatino Linotype" w:hAnsi="Palatino Linotype"/>
          <w:b/>
          <w:bCs/>
          <w:i/>
          <w:sz w:val="22"/>
          <w:szCs w:val="22"/>
          <w:lang w:val="es-MX" w:eastAsia="es-MX"/>
        </w:rPr>
        <w:t>01990/TOLUCA/IP/2025</w:t>
      </w:r>
      <w:r w:rsidRPr="003B575C">
        <w:rPr>
          <w:rFonts w:ascii="Palatino Linotype" w:hAnsi="Palatino Linotype"/>
          <w:i/>
          <w:sz w:val="22"/>
          <w:szCs w:val="22"/>
          <w:lang w:val="es-MX" w:eastAsia="es-MX"/>
        </w:rPr>
        <w:t xml:space="preserve">, me permito adjuntar al presente la respuesta correspondiente. Sin más por el momento, reciba un saludo. </w:t>
      </w:r>
    </w:p>
    <w:p w14:paraId="02A7612E" w14:textId="77777777" w:rsidR="003B575C" w:rsidRDefault="003B575C" w:rsidP="003B575C">
      <w:pPr>
        <w:spacing w:line="276" w:lineRule="auto"/>
        <w:ind w:left="567" w:right="567"/>
        <w:jc w:val="both"/>
        <w:rPr>
          <w:rFonts w:ascii="Palatino Linotype" w:hAnsi="Palatino Linotype"/>
          <w:i/>
          <w:sz w:val="22"/>
          <w:szCs w:val="22"/>
          <w:lang w:val="es-MX" w:eastAsia="es-MX"/>
        </w:rPr>
      </w:pPr>
    </w:p>
    <w:p w14:paraId="7387748B" w14:textId="77777777" w:rsidR="003B575C" w:rsidRDefault="003B575C" w:rsidP="003B575C">
      <w:pPr>
        <w:spacing w:line="276" w:lineRule="auto"/>
        <w:ind w:left="567" w:right="567"/>
        <w:jc w:val="both"/>
        <w:rPr>
          <w:rFonts w:ascii="Palatino Linotype" w:hAnsi="Palatino Linotype"/>
          <w:i/>
          <w:sz w:val="22"/>
          <w:szCs w:val="22"/>
          <w:lang w:val="es-MX" w:eastAsia="es-MX"/>
        </w:rPr>
      </w:pPr>
      <w:r w:rsidRPr="003B575C">
        <w:rPr>
          <w:rFonts w:ascii="Palatino Linotype" w:hAnsi="Palatino Linotype"/>
          <w:b/>
          <w:bCs/>
          <w:i/>
          <w:sz w:val="22"/>
          <w:szCs w:val="22"/>
          <w:u w:val="single"/>
          <w:lang w:val="es-MX" w:eastAsia="es-MX"/>
        </w:rPr>
        <w:t>ASIMISMO LA DIRECCIÓN GENERAL DE ADMINISTRACIÓN INFORMÓ QUE, o es competencia de esta Dirección General de Administración, toda vez que la información requerida en los términos solicitados no se genera , recopila, administra, procesa, archiva o conserva en esta Unidad Administrativa</w:t>
      </w:r>
      <w:r w:rsidRPr="003B575C">
        <w:rPr>
          <w:rFonts w:ascii="Palatino Linotype" w:hAnsi="Palatino Linotype"/>
          <w:i/>
          <w:sz w:val="22"/>
          <w:szCs w:val="22"/>
          <w:lang w:val="es-MX" w:eastAsia="es-MX"/>
        </w:rPr>
        <w:t xml:space="preserve">, lo anterior de conformidad con el artículo 167 de la Ley de Transparencia y Acceso a la Información Pública del Estado de México y Municipios; y con fundamento en al artículo 3.17 fracción I, del Código Reglamentario Municipal, que a la letra dice: “Artículo 3.17. La o el titular de la Coordinación de Estudios y Reglamentación Municipal, tendrá las siguientes atribuciones: I. Analizar, validar y resguardar acuerdos, contratos y convenios que celebre o emita el Ayuntamiento y sus dependencias en el ámbito de sus competencias;...” (Sic) </w:t>
      </w:r>
    </w:p>
    <w:p w14:paraId="3A4D065D" w14:textId="77777777" w:rsidR="003B575C" w:rsidRDefault="003B575C" w:rsidP="003B575C">
      <w:pPr>
        <w:spacing w:line="276" w:lineRule="auto"/>
        <w:ind w:left="567" w:right="567"/>
        <w:jc w:val="both"/>
        <w:rPr>
          <w:rFonts w:ascii="Palatino Linotype" w:hAnsi="Palatino Linotype"/>
          <w:i/>
          <w:sz w:val="22"/>
          <w:szCs w:val="22"/>
          <w:lang w:val="es-MX" w:eastAsia="es-MX"/>
        </w:rPr>
      </w:pPr>
    </w:p>
    <w:p w14:paraId="5FC37A9D" w14:textId="2E8EE0A6" w:rsidR="003B575C" w:rsidRPr="003B575C" w:rsidRDefault="003B575C" w:rsidP="003B575C">
      <w:pPr>
        <w:spacing w:line="276" w:lineRule="auto"/>
        <w:ind w:left="567" w:right="567"/>
        <w:jc w:val="both"/>
        <w:rPr>
          <w:rFonts w:ascii="Palatino Linotype" w:hAnsi="Palatino Linotype"/>
          <w:i/>
          <w:sz w:val="22"/>
          <w:szCs w:val="22"/>
          <w:lang w:val="es-MX" w:eastAsia="es-MX"/>
        </w:rPr>
      </w:pPr>
      <w:r w:rsidRPr="003B575C">
        <w:rPr>
          <w:rFonts w:ascii="Palatino Linotype" w:hAnsi="Palatino Linotype"/>
          <w:i/>
          <w:sz w:val="22"/>
          <w:szCs w:val="22"/>
          <w:lang w:val="es-MX" w:eastAsia="es-MX"/>
        </w:rPr>
        <w:t>No obstante a lo anterior, a efecto de garantizar el derecho de acceso a la información, se hizo una búsqueda exhaustiva y razonable en los archivos físicos y electrónicos que guarda la Jefatura de Departamento de Convenios y Relaciones Laborales, sin embargo no se localizó contrato alguno con OXXO, motivo por el cual esta Unidad Administrativa está imposibilitada en atender lo solicitado.</w:t>
      </w:r>
    </w:p>
    <w:p w14:paraId="620C55A0" w14:textId="77777777" w:rsidR="003B575C" w:rsidRDefault="003B575C" w:rsidP="003B575C">
      <w:pPr>
        <w:spacing w:line="276" w:lineRule="auto"/>
        <w:ind w:left="567" w:right="567"/>
        <w:jc w:val="both"/>
        <w:rPr>
          <w:rFonts w:ascii="Palatino Linotype" w:hAnsi="Palatino Linotype"/>
          <w:i/>
          <w:sz w:val="22"/>
          <w:szCs w:val="22"/>
          <w:lang w:val="es-MX" w:eastAsia="es-MX"/>
        </w:rPr>
      </w:pPr>
    </w:p>
    <w:p w14:paraId="6943D2A4" w14:textId="6A47DD94" w:rsidR="003B575C" w:rsidRPr="003B575C" w:rsidRDefault="003B575C" w:rsidP="003B575C">
      <w:pPr>
        <w:spacing w:line="276" w:lineRule="auto"/>
        <w:ind w:left="567" w:right="567"/>
        <w:jc w:val="both"/>
        <w:rPr>
          <w:rFonts w:ascii="Palatino Linotype" w:hAnsi="Palatino Linotype"/>
          <w:i/>
          <w:sz w:val="22"/>
          <w:szCs w:val="22"/>
          <w:lang w:val="es-MX" w:eastAsia="es-MX"/>
        </w:rPr>
      </w:pPr>
      <w:r w:rsidRPr="003B575C">
        <w:rPr>
          <w:rFonts w:ascii="Palatino Linotype" w:hAnsi="Palatino Linotype"/>
          <w:i/>
          <w:sz w:val="22"/>
          <w:szCs w:val="22"/>
          <w:lang w:val="es-MX" w:eastAsia="es-MX"/>
        </w:rPr>
        <w:t>ATENTAMENTE</w:t>
      </w:r>
    </w:p>
    <w:p w14:paraId="53D4F058" w14:textId="69F4D636" w:rsidR="007D645B" w:rsidRPr="009A6B97" w:rsidRDefault="003B575C" w:rsidP="003B575C">
      <w:pPr>
        <w:spacing w:line="276" w:lineRule="auto"/>
        <w:ind w:left="567" w:right="567"/>
        <w:jc w:val="both"/>
        <w:rPr>
          <w:rFonts w:ascii="Palatino Linotype" w:hAnsi="Palatino Linotype"/>
          <w:i/>
          <w:sz w:val="22"/>
          <w:szCs w:val="22"/>
          <w:lang w:val="es-MX" w:eastAsia="es-MX"/>
        </w:rPr>
      </w:pPr>
      <w:r w:rsidRPr="003B575C">
        <w:rPr>
          <w:rFonts w:ascii="Palatino Linotype" w:hAnsi="Palatino Linotype"/>
          <w:i/>
          <w:sz w:val="22"/>
          <w:szCs w:val="22"/>
          <w:lang w:val="es-MX" w:eastAsia="es-MX"/>
        </w:rPr>
        <w:t xml:space="preserve">Dr. </w:t>
      </w:r>
      <w:proofErr w:type="spellStart"/>
      <w:r w:rsidRPr="003B575C">
        <w:rPr>
          <w:rFonts w:ascii="Palatino Linotype" w:hAnsi="Palatino Linotype"/>
          <w:i/>
          <w:sz w:val="22"/>
          <w:szCs w:val="22"/>
          <w:lang w:val="es-MX" w:eastAsia="es-MX"/>
        </w:rPr>
        <w:t>Nahum</w:t>
      </w:r>
      <w:proofErr w:type="spellEnd"/>
      <w:r w:rsidRPr="003B575C">
        <w:rPr>
          <w:rFonts w:ascii="Palatino Linotype" w:hAnsi="Palatino Linotype"/>
          <w:i/>
          <w:sz w:val="22"/>
          <w:szCs w:val="22"/>
          <w:lang w:val="es-MX" w:eastAsia="es-MX"/>
        </w:rPr>
        <w:t xml:space="preserve"> Miguel Mendoza Morales</w:t>
      </w:r>
      <w:r w:rsidR="007D645B" w:rsidRPr="009A6B97">
        <w:rPr>
          <w:rFonts w:ascii="Palatino Linotype" w:hAnsi="Palatino Linotype"/>
          <w:i/>
          <w:sz w:val="22"/>
          <w:szCs w:val="22"/>
          <w:lang w:val="es-MX" w:eastAsia="es-MX"/>
        </w:rPr>
        <w:t>” (Sic).</w:t>
      </w:r>
    </w:p>
    <w:p w14:paraId="2B153B28" w14:textId="77777777" w:rsidR="007D645B" w:rsidRPr="00386D38" w:rsidRDefault="007D645B" w:rsidP="007D645B">
      <w:pPr>
        <w:ind w:right="567"/>
        <w:jc w:val="both"/>
        <w:rPr>
          <w:rFonts w:ascii="Palatino Linotype" w:hAnsi="Palatino Linotype"/>
          <w:i/>
          <w:sz w:val="14"/>
          <w:szCs w:val="22"/>
          <w:lang w:val="es-MX" w:eastAsia="es-MX"/>
        </w:rPr>
      </w:pPr>
    </w:p>
    <w:p w14:paraId="688B498B" w14:textId="77777777" w:rsidR="007D645B" w:rsidRPr="009A6B97" w:rsidRDefault="007D645B" w:rsidP="007D645B">
      <w:pPr>
        <w:pStyle w:val="Sinespaciado"/>
        <w:rPr>
          <w:lang w:eastAsia="es-MX"/>
        </w:rPr>
      </w:pPr>
    </w:p>
    <w:p w14:paraId="57BBB84B" w14:textId="71000BB9"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lastRenderedPageBreak/>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3B575C">
        <w:rPr>
          <w:rFonts w:ascii="Palatino Linotype" w:eastAsiaTheme="minorHAnsi" w:hAnsi="Palatino Linotype" w:cs="Arial"/>
          <w:lang w:val="es-MX" w:eastAsia="en-US"/>
        </w:rPr>
        <w:t>los</w:t>
      </w:r>
      <w:r w:rsidR="003C3071">
        <w:rPr>
          <w:rFonts w:ascii="Palatino Linotype" w:eastAsiaTheme="minorHAnsi" w:hAnsi="Palatino Linotype" w:cs="Arial"/>
          <w:lang w:val="es-MX" w:eastAsia="en-US"/>
        </w:rPr>
        <w:t xml:space="preserve"> </w:t>
      </w:r>
      <w:r w:rsidRPr="00386D38">
        <w:rPr>
          <w:rFonts w:ascii="Palatino Linotype" w:eastAsiaTheme="minorHAnsi" w:hAnsi="Palatino Linotype" w:cs="Arial"/>
          <w:lang w:val="es-MX" w:eastAsia="en-US"/>
        </w:rPr>
        <w:t>archivo</w:t>
      </w:r>
      <w:r w:rsidR="003B575C">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electrónico</w:t>
      </w:r>
      <w:r w:rsidR="003B575C">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denominado</w:t>
      </w:r>
      <w:r w:rsidR="003B575C">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w:t>
      </w:r>
      <w:r w:rsidRPr="00386D38">
        <w:rPr>
          <w:rFonts w:ascii="Palatino Linotype" w:eastAsiaTheme="minorHAnsi" w:hAnsi="Palatino Linotype" w:cs="Arial"/>
          <w:i/>
          <w:lang w:val="es-MX" w:eastAsia="en-US"/>
        </w:rPr>
        <w:t>“</w:t>
      </w:r>
      <w:r w:rsidR="003B575C" w:rsidRPr="003B575C">
        <w:rPr>
          <w:rFonts w:ascii="Palatino Linotype" w:eastAsiaTheme="minorHAnsi" w:hAnsi="Palatino Linotype" w:cs="Arial"/>
          <w:i/>
          <w:lang w:val="es-MX" w:eastAsia="en-US"/>
        </w:rPr>
        <w:t>Resp_Oficio_1110_Solic_01990.pdf</w:t>
      </w:r>
      <w:r w:rsidRPr="00386D38">
        <w:rPr>
          <w:rFonts w:ascii="Palatino Linotype" w:eastAsiaTheme="minorHAnsi" w:hAnsi="Palatino Linotype" w:cs="Arial"/>
          <w:i/>
          <w:lang w:val="es-MX" w:eastAsia="en-US"/>
        </w:rPr>
        <w:t>”</w:t>
      </w:r>
      <w:r w:rsidR="003B575C">
        <w:rPr>
          <w:rFonts w:ascii="Palatino Linotype" w:eastAsiaTheme="minorHAnsi" w:hAnsi="Palatino Linotype" w:cs="Arial"/>
          <w:i/>
          <w:lang w:val="es-MX" w:eastAsia="en-US"/>
        </w:rPr>
        <w:t xml:space="preserve"> </w:t>
      </w:r>
      <w:r w:rsidR="003B575C" w:rsidRPr="003B575C">
        <w:rPr>
          <w:rFonts w:ascii="Palatino Linotype" w:eastAsiaTheme="minorHAnsi" w:hAnsi="Palatino Linotype" w:cs="Arial"/>
          <w:iCs/>
          <w:lang w:val="es-MX" w:eastAsia="en-US"/>
        </w:rPr>
        <w:t>y</w:t>
      </w:r>
      <w:r w:rsidR="003B575C">
        <w:rPr>
          <w:rFonts w:ascii="Palatino Linotype" w:eastAsiaTheme="minorHAnsi" w:hAnsi="Palatino Linotype" w:cs="Arial"/>
          <w:i/>
          <w:lang w:val="es-MX" w:eastAsia="en-US"/>
        </w:rPr>
        <w:t xml:space="preserve"> “</w:t>
      </w:r>
      <w:r w:rsidR="003B575C" w:rsidRPr="003B575C">
        <w:rPr>
          <w:rFonts w:ascii="Palatino Linotype" w:eastAsiaTheme="minorHAnsi" w:hAnsi="Palatino Linotype" w:cs="Arial"/>
          <w:i/>
          <w:lang w:val="es-MX" w:eastAsia="en-US"/>
        </w:rPr>
        <w:t>Sol-1990.pdf</w:t>
      </w:r>
      <w:r w:rsidR="003B575C">
        <w:rPr>
          <w:rFonts w:ascii="Palatino Linotype" w:eastAsiaTheme="minorHAnsi" w:hAnsi="Palatino Linotype" w:cs="Arial"/>
          <w:i/>
          <w:lang w:val="es-MX" w:eastAsia="en-US"/>
        </w:rPr>
        <w:t>”</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372DC057"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3B575C">
        <w:rPr>
          <w:rFonts w:ascii="Palatino Linotype" w:eastAsiaTheme="minorHAnsi" w:hAnsi="Palatino Linotype" w:cs="Arial"/>
          <w:lang w:val="es-MX" w:eastAsia="en-US"/>
        </w:rPr>
        <w:t>veintitrés de mayo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3B575C">
        <w:rPr>
          <w:rFonts w:ascii="Palatino Linotype" w:eastAsiaTheme="minorHAnsi" w:hAnsi="Palatino Linotype" w:cs="Arial"/>
          <w:b/>
          <w:bCs/>
          <w:lang w:val="es-MX" w:eastAsia="es-MX"/>
        </w:rPr>
        <w:t>5885</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4FCD7C80" w:rsidR="007D645B" w:rsidRPr="0057280C" w:rsidRDefault="007D645B" w:rsidP="00B14416">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3B575C" w:rsidRPr="003B575C">
        <w:rPr>
          <w:rFonts w:ascii="Palatino Linotype" w:eastAsiaTheme="minorHAnsi" w:hAnsi="Palatino Linotype" w:cstheme="minorBidi"/>
          <w:i/>
          <w:color w:val="000000"/>
          <w:sz w:val="22"/>
          <w:szCs w:val="22"/>
          <w:lang w:val="es-MX" w:eastAsia="en-US"/>
        </w:rPr>
        <w:t>niega la información</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2997F2B3" w:rsidR="007D645B" w:rsidRPr="003B575C" w:rsidRDefault="007D645B" w:rsidP="00B14416">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3B575C" w:rsidRPr="003B575C">
        <w:rPr>
          <w:rFonts w:ascii="Palatino Linotype" w:eastAsiaTheme="minorHAnsi" w:hAnsi="Palatino Linotype" w:cstheme="minorBidi"/>
          <w:i/>
          <w:color w:val="000000"/>
          <w:sz w:val="22"/>
          <w:szCs w:val="22"/>
          <w:lang w:val="es-MX" w:eastAsia="en-US"/>
        </w:rPr>
        <w:t>niega la información el servidor público habilitado</w:t>
      </w:r>
      <w:r w:rsidRPr="0057280C">
        <w:rPr>
          <w:rFonts w:ascii="Palatino Linotype" w:eastAsiaTheme="minorHAnsi" w:hAnsi="Palatino Linotype" w:cstheme="minorBidi"/>
          <w:i/>
          <w:color w:val="000000"/>
          <w:sz w:val="22"/>
          <w:szCs w:val="22"/>
          <w:lang w:val="es-MX" w:eastAsia="en-US"/>
        </w:rPr>
        <w:t>” (Sic)</w:t>
      </w:r>
    </w:p>
    <w:p w14:paraId="25A6954B" w14:textId="77777777" w:rsidR="003B575C" w:rsidRPr="003B575C" w:rsidRDefault="003B575C" w:rsidP="003B575C">
      <w:pPr>
        <w:jc w:val="both"/>
        <w:rPr>
          <w:rFonts w:ascii="Palatino Linotype" w:hAnsi="Palatino Linotype"/>
          <w:i/>
          <w:sz w:val="26"/>
          <w:szCs w:val="26"/>
          <w:lang w:val="es-MX" w:eastAsia="es-MX"/>
        </w:rPr>
      </w:pP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4CE8950F"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B575C">
        <w:rPr>
          <w:rFonts w:ascii="Palatino Linotype" w:eastAsiaTheme="minorHAnsi" w:hAnsi="Palatino Linotype" w:cs="Arial"/>
          <w:lang w:val="es-MX" w:eastAsia="en-US"/>
        </w:rPr>
        <w:t xml:space="preserve">veintinueve de mayo </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226DA9B5"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en fecha </w:t>
      </w:r>
      <w:r w:rsidR="003B575C">
        <w:rPr>
          <w:rFonts w:ascii="Palatino Linotype" w:eastAsiaTheme="minorHAnsi" w:hAnsi="Palatino Linotype" w:cs="Arial"/>
          <w:lang w:val="es-MX" w:eastAsia="en-US"/>
        </w:rPr>
        <w:t>nueve de junio</w:t>
      </w:r>
      <w:r w:rsidR="00B14416">
        <w:rPr>
          <w:rFonts w:ascii="Palatino Linotype" w:eastAsiaTheme="minorHAnsi" w:hAnsi="Palatino Linotype" w:cs="Arial"/>
          <w:lang w:val="es-MX" w:eastAsia="en-US"/>
        </w:rPr>
        <w:t xml:space="preserve"> de dos mil veinticinco,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remitió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mediante </w:t>
      </w:r>
      <w:r w:rsidR="003B575C">
        <w:rPr>
          <w:rFonts w:ascii="Palatino Linotype" w:eastAsiaTheme="minorHAnsi" w:hAnsi="Palatino Linotype" w:cs="Arial"/>
          <w:lang w:val="es-MX" w:eastAsia="en-US"/>
        </w:rPr>
        <w:t xml:space="preserve">el </w:t>
      </w:r>
      <w:r w:rsidR="00B14416">
        <w:rPr>
          <w:rFonts w:ascii="Palatino Linotype" w:eastAsiaTheme="minorHAnsi" w:hAnsi="Palatino Linotype" w:cs="Arial"/>
          <w:lang w:val="es-MX" w:eastAsia="en-US"/>
        </w:rPr>
        <w:lastRenderedPageBreak/>
        <w:t xml:space="preserve">archivo electrónico denominado </w:t>
      </w:r>
      <w:r w:rsidR="00B14416" w:rsidRPr="009A7B69">
        <w:rPr>
          <w:rFonts w:ascii="Palatino Linotype" w:eastAsiaTheme="minorHAnsi" w:hAnsi="Palatino Linotype" w:cs="Arial"/>
          <w:i/>
          <w:iCs/>
          <w:lang w:val="es-MX" w:eastAsia="en-US"/>
        </w:rPr>
        <w:t>“</w:t>
      </w:r>
      <w:r w:rsidR="003B575C" w:rsidRPr="003B575C">
        <w:rPr>
          <w:rFonts w:ascii="Palatino Linotype" w:eastAsiaTheme="minorHAnsi" w:hAnsi="Palatino Linotype" w:cs="Arial"/>
          <w:i/>
          <w:iCs/>
          <w:lang w:val="es-MX" w:eastAsia="en-US"/>
        </w:rPr>
        <w:t>Ratificación 05885.pdf</w:t>
      </w:r>
      <w:r w:rsidR="00B14416" w:rsidRPr="009A7B69">
        <w:rPr>
          <w:rFonts w:ascii="Palatino Linotype" w:eastAsiaTheme="minorHAnsi" w:hAnsi="Palatino Linotype" w:cs="Arial"/>
          <w:i/>
          <w:iCs/>
          <w:lang w:val="es-MX" w:eastAsia="en-US"/>
        </w:rPr>
        <w:t>”</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mismo que </w:t>
      </w:r>
      <w:r w:rsidR="003B575C">
        <w:rPr>
          <w:rFonts w:ascii="Palatino Linotype" w:eastAsiaTheme="minorHAnsi" w:hAnsi="Palatino Linotype" w:cs="Arial"/>
          <w:lang w:val="es-MX" w:eastAsia="en-US"/>
        </w:rPr>
        <w:t>fue puesto</w:t>
      </w:r>
      <w:r w:rsidR="00B14416">
        <w:rPr>
          <w:rFonts w:ascii="Palatino Linotype" w:eastAsiaTheme="minorHAnsi" w:hAnsi="Palatino Linotype" w:cs="Arial"/>
          <w:lang w:val="es-MX" w:eastAsia="en-US"/>
        </w:rPr>
        <w:t xml:space="preserve"> a la vista del particular, mediante Acuerdo de fecha </w:t>
      </w:r>
      <w:r w:rsidR="003B575C">
        <w:rPr>
          <w:rFonts w:ascii="Palatino Linotype" w:eastAsiaTheme="minorHAnsi" w:hAnsi="Palatino Linotype" w:cs="Arial"/>
          <w:lang w:val="es-MX" w:eastAsia="en-US"/>
        </w:rPr>
        <w:t>diez</w:t>
      </w:r>
      <w:r w:rsidR="00B14416">
        <w:rPr>
          <w:rFonts w:ascii="Palatino Linotype" w:eastAsiaTheme="minorHAnsi" w:hAnsi="Palatino Linotype" w:cs="Arial"/>
          <w:lang w:val="es-MX" w:eastAsia="en-US"/>
        </w:rPr>
        <w:t xml:space="preserve"> </w:t>
      </w:r>
      <w:r w:rsidR="00F306AC">
        <w:rPr>
          <w:rFonts w:ascii="Palatino Linotype" w:eastAsiaTheme="minorHAnsi" w:hAnsi="Palatino Linotype" w:cs="Arial"/>
          <w:lang w:val="es-MX" w:eastAsia="en-US"/>
        </w:rPr>
        <w:t>de</w:t>
      </w:r>
      <w:r w:rsidR="00A22F90">
        <w:rPr>
          <w:rFonts w:ascii="Palatino Linotype" w:eastAsiaTheme="minorHAnsi" w:hAnsi="Palatino Linotype" w:cs="Arial"/>
          <w:lang w:val="es-MX" w:eastAsia="en-US"/>
        </w:rPr>
        <w:t>l mismo mes y año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no</w:t>
      </w:r>
      <w:r w:rsidR="00B14416" w:rsidRPr="00374FE7">
        <w:rPr>
          <w:rFonts w:ascii="Palatino Linotype" w:eastAsiaTheme="minorHAnsi" w:hAnsi="Palatino Linotype" w:cs="Arial"/>
          <w:lang w:val="es-MX" w:eastAsia="en-US"/>
        </w:rPr>
        <w:t xml:space="preserve"> realizó alegatos, ni ofreció pruebas o manifestaciones</w:t>
      </w:r>
      <w:r w:rsidR="00903BEF">
        <w:rPr>
          <w:rFonts w:ascii="Palatino Linotype" w:eastAsiaTheme="minorHAnsi" w:hAnsi="Palatino Linotype" w:cs="Arial"/>
          <w:lang w:val="es-MX" w:eastAsia="en-US"/>
        </w:rPr>
        <w:t>, de conformidad con lo siguiente:</w:t>
      </w:r>
    </w:p>
    <w:p w14:paraId="385F4EDD" w14:textId="77777777" w:rsidR="003B575C" w:rsidRDefault="003B575C" w:rsidP="003B575C">
      <w:pPr>
        <w:pStyle w:val="Sinespaciado"/>
        <w:rPr>
          <w:rFonts w:eastAsiaTheme="minorHAnsi"/>
          <w:lang w:eastAsia="en-US"/>
        </w:rPr>
      </w:pPr>
    </w:p>
    <w:p w14:paraId="4D3C4757" w14:textId="64144F9B" w:rsidR="0057280C" w:rsidRPr="00714A67" w:rsidRDefault="003B575C" w:rsidP="00714A67">
      <w:pPr>
        <w:spacing w:line="360" w:lineRule="auto"/>
        <w:jc w:val="both"/>
        <w:rPr>
          <w:rFonts w:ascii="Palatino Linotype" w:eastAsiaTheme="minorHAnsi" w:hAnsi="Palatino Linotype" w:cs="Arial"/>
          <w:lang w:val="es-MX" w:eastAsia="en-US"/>
        </w:rPr>
      </w:pPr>
      <w:r w:rsidRPr="003B575C">
        <w:rPr>
          <w:rFonts w:ascii="Palatino Linotype" w:eastAsiaTheme="minorHAnsi" w:hAnsi="Palatino Linotype" w:cs="Arial"/>
          <w:noProof/>
          <w:lang w:val="es-MX" w:eastAsia="es-MX"/>
        </w:rPr>
        <w:drawing>
          <wp:inline distT="0" distB="0" distL="0" distR="0" wp14:anchorId="47C26D9C" wp14:editId="6F41D477">
            <wp:extent cx="5791835" cy="1864995"/>
            <wp:effectExtent l="152400" t="152400" r="361315" b="363855"/>
            <wp:docPr id="3730459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45941" name=""/>
                    <pic:cNvPicPr/>
                  </pic:nvPicPr>
                  <pic:blipFill>
                    <a:blip r:embed="rId8"/>
                    <a:stretch>
                      <a:fillRect/>
                    </a:stretch>
                  </pic:blipFill>
                  <pic:spPr>
                    <a:xfrm>
                      <a:off x="0" y="0"/>
                      <a:ext cx="5791835" cy="186499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6F345B59" w14:textId="5317826D" w:rsidR="00903BEF"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3B575C">
        <w:rPr>
          <w:rFonts w:ascii="Palatino Linotype" w:eastAsiaTheme="minorHAnsi" w:hAnsi="Palatino Linotype" w:cs="Arial"/>
          <w:lang w:val="es-MX" w:eastAsia="en-US"/>
        </w:rPr>
        <w:t>dieciséis de junio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34862AA" w14:textId="77777777" w:rsidR="00903BEF" w:rsidRDefault="00903BEF" w:rsidP="007D645B">
      <w:pPr>
        <w:spacing w:line="360" w:lineRule="auto"/>
        <w:jc w:val="both"/>
        <w:rPr>
          <w:rFonts w:ascii="Palatino Linotype" w:eastAsiaTheme="minorHAnsi" w:hAnsi="Palatino Linotype" w:cs="Arial"/>
          <w:lang w:val="es-MX" w:eastAsia="en-US"/>
        </w:rPr>
      </w:pPr>
    </w:p>
    <w:p w14:paraId="732EAF30" w14:textId="77777777" w:rsidR="00903BEF" w:rsidRPr="00553D79" w:rsidRDefault="00903BEF" w:rsidP="00903BEF">
      <w:pPr>
        <w:spacing w:line="360" w:lineRule="auto"/>
        <w:jc w:val="both"/>
        <w:rPr>
          <w:rFonts w:ascii="Palatino Linotype" w:hAnsi="Palatino Linotype" w:cs="Arial"/>
          <w:b/>
        </w:rPr>
      </w:pPr>
      <w:r w:rsidRPr="00553D79">
        <w:rPr>
          <w:rFonts w:ascii="Palatino Linotype" w:hAnsi="Palatino Linotype" w:cs="Arial"/>
          <w:b/>
          <w:sz w:val="28"/>
        </w:rPr>
        <w:t>SÉPTIMO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6103BFFE" w14:textId="4D46C796" w:rsidR="00903BEF" w:rsidRDefault="00903BEF" w:rsidP="00903BEF">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sidR="003B575C">
        <w:rPr>
          <w:rFonts w:ascii="Palatino Linotype" w:hAnsi="Palatino Linotype"/>
          <w:lang w:val="es-MX"/>
        </w:rPr>
        <w:t>diez de julio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5210D9E" w14:textId="77777777" w:rsidR="00903BEF" w:rsidRDefault="00903BEF" w:rsidP="00903BEF">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7CD636" w14:textId="77777777" w:rsidR="003B575C" w:rsidRDefault="003B575C" w:rsidP="00903BEF">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965CDC">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14:paraId="14E6E9F8"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65CB2F37" w14:textId="77777777" w:rsidR="00903BEF" w:rsidRPr="00965CDC" w:rsidRDefault="00903BEF" w:rsidP="00CA15F8">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Pr="00913034" w:rsidRDefault="00B14416" w:rsidP="00B14416">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63D211FC"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lastRenderedPageBreak/>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913034">
        <w:rPr>
          <w:rFonts w:ascii="Palatino Linotype" w:hAnsi="Palatino Linotype"/>
        </w:rPr>
        <w:lastRenderedPageBreak/>
        <w:t>ser anónima o no contener un nombre que identifique al solicitante o que permita tener certeza sobre su identidad.</w:t>
      </w:r>
    </w:p>
    <w:p w14:paraId="0D366211" w14:textId="77777777" w:rsidR="00CA15F8" w:rsidRPr="00803913"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A240A">
        <w:rPr>
          <w:rFonts w:ascii="Palatino Linotype" w:eastAsiaTheme="minorHAnsi" w:hAnsi="Palatino Linotype" w:cs="Arial"/>
          <w:lang w:val="es-MX" w:eastAsia="en-US"/>
        </w:rPr>
        <w:t>Resolutor</w:t>
      </w:r>
      <w:proofErr w:type="spellEnd"/>
      <w:r w:rsidRPr="006A240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2F8D1936" w14:textId="77777777" w:rsidR="004B5F63" w:rsidRPr="006A240A"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A240A"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903BEF">
      <w:pPr>
        <w:pStyle w:val="Sinespaciado"/>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 xml:space="preserve">Así las cosas, al no existir causas de improcedencia invocadas por las partes ni advertidas de oficio por este </w:t>
      </w:r>
      <w:proofErr w:type="spellStart"/>
      <w:r w:rsidRPr="006A240A">
        <w:rPr>
          <w:rFonts w:ascii="Palatino Linotype" w:hAnsi="Palatino Linotype" w:cs="Arial"/>
        </w:rPr>
        <w:t>Resolutor</w:t>
      </w:r>
      <w:proofErr w:type="spellEnd"/>
      <w:r w:rsidRPr="006A240A">
        <w:rPr>
          <w:rFonts w:ascii="Palatino Linotype" w:hAnsi="Palatino Linotype" w:cs="Arial"/>
        </w:rPr>
        <w:t xml:space="preserve">, se </w:t>
      </w:r>
      <w:proofErr w:type="gramStart"/>
      <w:r w:rsidRPr="006A240A">
        <w:rPr>
          <w:rFonts w:ascii="Palatino Linotype" w:hAnsi="Palatino Linotype" w:cs="Arial"/>
        </w:rPr>
        <w:t>procede</w:t>
      </w:r>
      <w:proofErr w:type="gramEnd"/>
      <w:r w:rsidRPr="006A240A">
        <w:rPr>
          <w:rFonts w:ascii="Palatino Linotype" w:hAnsi="Palatino Linotype" w:cs="Arial"/>
        </w:rPr>
        <w:t xml:space="preserv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6A240A">
        <w:rPr>
          <w:rFonts w:ascii="Palatino Linotype" w:eastAsiaTheme="minorHAnsi" w:hAnsi="Palatino Linotype" w:cs="Arial"/>
          <w:lang w:val="es-MX" w:eastAsia="en-US"/>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903BEF">
      <w:pPr>
        <w:pStyle w:val="Sinespaciado"/>
        <w:rPr>
          <w:rFonts w:eastAsiaTheme="minorHAnsi"/>
          <w:lang w:eastAsia="en-US"/>
        </w:rPr>
      </w:pPr>
    </w:p>
    <w:p w14:paraId="22357606" w14:textId="3D00B544" w:rsidR="00DB55A6" w:rsidRDefault="0029071C" w:rsidP="00903BEF">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5242BB27" w14:textId="77777777" w:rsidR="00903BEF" w:rsidRPr="00903BEF" w:rsidRDefault="00903BEF" w:rsidP="00903BEF">
      <w:pPr>
        <w:spacing w:line="360" w:lineRule="auto"/>
        <w:ind w:right="141"/>
        <w:jc w:val="both"/>
        <w:rPr>
          <w:rFonts w:ascii="Palatino Linotype" w:eastAsiaTheme="minorHAnsi" w:hAnsi="Palatino Linotype" w:cstheme="minorBidi"/>
          <w:lang w:val="es-MX" w:eastAsia="es-MX"/>
        </w:rPr>
      </w:pPr>
    </w:p>
    <w:p w14:paraId="12E5E9BD" w14:textId="77777777" w:rsidR="00227FAE" w:rsidRDefault="0029071C" w:rsidP="00803913">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p w14:paraId="5E32F75F" w14:textId="7F7793DA" w:rsidR="003C3071" w:rsidRDefault="000A3000" w:rsidP="007659E9">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E</w:t>
      </w:r>
      <w:r w:rsidRPr="000A3000">
        <w:rPr>
          <w:rFonts w:ascii="Palatino Linotype" w:eastAsiaTheme="minorHAnsi" w:hAnsi="Palatino Linotype" w:cstheme="minorBidi"/>
          <w:szCs w:val="22"/>
          <w:lang w:val="es-MX" w:eastAsia="es-MX"/>
        </w:rPr>
        <w:t xml:space="preserve">l convenio celebrado entre el </w:t>
      </w:r>
      <w:r>
        <w:rPr>
          <w:rFonts w:ascii="Palatino Linotype" w:eastAsiaTheme="minorHAnsi" w:hAnsi="Palatino Linotype" w:cstheme="minorBidi"/>
          <w:szCs w:val="22"/>
          <w:lang w:val="es-MX" w:eastAsia="es-MX"/>
        </w:rPr>
        <w:t>A</w:t>
      </w:r>
      <w:r w:rsidRPr="000A3000">
        <w:rPr>
          <w:rFonts w:ascii="Palatino Linotype" w:eastAsiaTheme="minorHAnsi" w:hAnsi="Palatino Linotype" w:cstheme="minorBidi"/>
          <w:szCs w:val="22"/>
          <w:lang w:val="es-MX" w:eastAsia="es-MX"/>
        </w:rPr>
        <w:t>yuntamiento de Toluca y el INE o IEEM para la vigilancia d</w:t>
      </w:r>
      <w:r>
        <w:rPr>
          <w:rFonts w:ascii="Palatino Linotype" w:eastAsiaTheme="minorHAnsi" w:hAnsi="Palatino Linotype" w:cstheme="minorBidi"/>
          <w:szCs w:val="22"/>
          <w:lang w:val="es-MX" w:eastAsia="es-MX"/>
        </w:rPr>
        <w:t>e</w:t>
      </w:r>
      <w:r w:rsidRPr="000A3000">
        <w:rPr>
          <w:rFonts w:ascii="Palatino Linotype" w:eastAsiaTheme="minorHAnsi" w:hAnsi="Palatino Linotype" w:cstheme="minorBidi"/>
          <w:szCs w:val="22"/>
          <w:lang w:val="es-MX" w:eastAsia="es-MX"/>
        </w:rPr>
        <w:t xml:space="preserve"> las elecciones de las autoridades auxiliares 2025</w:t>
      </w:r>
      <w:r w:rsidR="003C3071">
        <w:rPr>
          <w:rFonts w:ascii="Palatino Linotype" w:eastAsiaTheme="minorHAnsi" w:hAnsi="Palatino Linotype" w:cstheme="minorBidi"/>
          <w:szCs w:val="22"/>
          <w:lang w:val="es-MX" w:eastAsia="es-MX"/>
        </w:rPr>
        <w:t>.</w:t>
      </w:r>
    </w:p>
    <w:bookmarkEnd w:id="2"/>
    <w:bookmarkEnd w:id="3"/>
    <w:bookmarkEnd w:id="4"/>
    <w:p w14:paraId="6FED78F5" w14:textId="77777777" w:rsidR="003B575C" w:rsidRDefault="003B575C" w:rsidP="00DC7ADE">
      <w:pPr>
        <w:spacing w:line="360" w:lineRule="auto"/>
        <w:ind w:right="49"/>
        <w:jc w:val="both"/>
        <w:rPr>
          <w:rFonts w:ascii="Palatino Linotype" w:eastAsiaTheme="minorHAnsi" w:hAnsi="Palatino Linotype" w:cstheme="minorBidi"/>
          <w:lang w:val="es-MX" w:eastAsia="es-MX"/>
        </w:rPr>
      </w:pPr>
    </w:p>
    <w:p w14:paraId="6945C6CC" w14:textId="161CBF2E" w:rsidR="000A3000" w:rsidRDefault="0029071C" w:rsidP="00DC7ADE">
      <w:pPr>
        <w:spacing w:line="360" w:lineRule="auto"/>
        <w:ind w:right="49"/>
        <w:jc w:val="both"/>
        <w:rPr>
          <w:rFonts w:ascii="Palatino Linotype" w:eastAsiaTheme="minorHAnsi" w:hAnsi="Palatino Linotype" w:cstheme="minorBidi"/>
          <w:lang w:val="es-MX" w:eastAsia="es-MX"/>
        </w:rPr>
      </w:pPr>
      <w:r w:rsidRPr="00737A9B">
        <w:rPr>
          <w:rFonts w:ascii="Palatino Linotype" w:eastAsiaTheme="minorHAnsi" w:hAnsi="Palatino Linotype" w:cstheme="minorBidi"/>
          <w:lang w:val="es-MX" w:eastAsia="es-MX"/>
        </w:rPr>
        <w:t>Atento a la solicitud de información</w:t>
      </w:r>
      <w:r w:rsidR="00561D99">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 emitió su respuesta</w:t>
      </w:r>
      <w:r w:rsidR="002A45F3">
        <w:rPr>
          <w:rFonts w:ascii="Palatino Linotype" w:eastAsiaTheme="minorHAnsi" w:hAnsi="Palatino Linotype" w:cstheme="minorBidi"/>
          <w:lang w:val="es-MX" w:eastAsia="es-MX"/>
        </w:rPr>
        <w:t xml:space="preserve"> a través del </w:t>
      </w:r>
      <w:r w:rsidR="00561D99">
        <w:rPr>
          <w:rFonts w:ascii="Palatino Linotype" w:eastAsiaTheme="minorHAnsi" w:hAnsi="Palatino Linotype" w:cstheme="minorBidi"/>
          <w:lang w:val="es-MX" w:eastAsia="es-MX"/>
        </w:rPr>
        <w:t xml:space="preserve">oficio </w:t>
      </w:r>
      <w:r w:rsidR="00903BEF">
        <w:rPr>
          <w:rFonts w:ascii="Palatino Linotype" w:eastAsiaTheme="minorHAnsi" w:hAnsi="Palatino Linotype" w:cstheme="minorBidi"/>
          <w:lang w:val="es-MX" w:eastAsia="es-MX"/>
        </w:rPr>
        <w:t xml:space="preserve">número </w:t>
      </w:r>
      <w:bookmarkStart w:id="5" w:name="_Hlk201686989"/>
      <w:r w:rsidR="000A3000">
        <w:rPr>
          <w:rFonts w:ascii="Palatino Linotype" w:eastAsiaTheme="minorHAnsi" w:hAnsi="Palatino Linotype" w:cstheme="minorBidi"/>
          <w:b/>
          <w:bCs/>
          <w:lang w:val="es-MX" w:eastAsia="es-MX"/>
        </w:rPr>
        <w:t>2000100000/1110/2025</w:t>
      </w:r>
      <w:r w:rsidR="00561D99">
        <w:rPr>
          <w:rFonts w:ascii="Palatino Linotype" w:eastAsiaTheme="minorHAnsi" w:hAnsi="Palatino Linotype" w:cstheme="minorBidi"/>
          <w:lang w:val="es-MX" w:eastAsia="es-MX"/>
        </w:rPr>
        <w:t xml:space="preserve">, firmado por el </w:t>
      </w:r>
      <w:bookmarkStart w:id="6" w:name="_Hlk192003368"/>
      <w:bookmarkEnd w:id="5"/>
      <w:r w:rsidR="000A3000">
        <w:rPr>
          <w:rFonts w:ascii="Palatino Linotype" w:eastAsiaTheme="minorHAnsi" w:hAnsi="Palatino Linotype" w:cstheme="minorBidi"/>
          <w:b/>
          <w:bCs/>
          <w:lang w:val="es-MX" w:eastAsia="es-MX"/>
        </w:rPr>
        <w:t>secretario particular de Presidencia</w:t>
      </w:r>
      <w:r w:rsidR="00DC7ADE">
        <w:rPr>
          <w:rFonts w:ascii="Palatino Linotype" w:eastAsiaTheme="minorHAnsi" w:hAnsi="Palatino Linotype" w:cstheme="minorBidi"/>
          <w:lang w:val="es-MX" w:eastAsia="es-MX"/>
        </w:rPr>
        <w:t>,</w:t>
      </w:r>
      <w:r w:rsidR="000A3000">
        <w:rPr>
          <w:rFonts w:ascii="Palatino Linotype" w:eastAsiaTheme="minorHAnsi" w:hAnsi="Palatino Linotype" w:cstheme="minorBidi"/>
          <w:lang w:val="es-MX" w:eastAsia="es-MX"/>
        </w:rPr>
        <w:t xml:space="preserve"> </w:t>
      </w:r>
      <w:bookmarkStart w:id="7" w:name="_Hlk191987492"/>
      <w:r w:rsidR="000A3000">
        <w:rPr>
          <w:rFonts w:ascii="Palatino Linotype" w:eastAsiaTheme="minorHAnsi" w:hAnsi="Palatino Linotype" w:cstheme="minorBidi"/>
          <w:lang w:val="es-MX" w:eastAsia="es-MX"/>
        </w:rPr>
        <w:t xml:space="preserve">mediante el cual </w:t>
      </w:r>
      <w:r w:rsidR="00DC7ADE">
        <w:rPr>
          <w:rFonts w:ascii="Palatino Linotype" w:eastAsiaTheme="minorHAnsi" w:hAnsi="Palatino Linotype" w:cstheme="minorBidi"/>
          <w:lang w:val="es-MX" w:eastAsia="es-MX"/>
        </w:rPr>
        <w:t>informó que</w:t>
      </w:r>
      <w:r w:rsidR="00344D8A">
        <w:rPr>
          <w:rFonts w:ascii="Palatino Linotype" w:eastAsiaTheme="minorHAnsi" w:hAnsi="Palatino Linotype" w:cstheme="minorBidi"/>
          <w:lang w:val="es-MX" w:eastAsia="es-MX"/>
        </w:rPr>
        <w:t xml:space="preserve">, </w:t>
      </w:r>
      <w:r w:rsidR="000A3000">
        <w:rPr>
          <w:rFonts w:ascii="Palatino Linotype" w:eastAsiaTheme="minorHAnsi" w:hAnsi="Palatino Linotype" w:cstheme="minorBidi"/>
          <w:lang w:val="es-MX" w:eastAsia="es-MX"/>
        </w:rPr>
        <w:t xml:space="preserve">derivado de una búsqueda exhaustiva y razonable en los archivos físicos y digitales de la Secretaría Particular, </w:t>
      </w:r>
      <w:r w:rsidR="000A3000" w:rsidRPr="000A3000">
        <w:rPr>
          <w:rFonts w:ascii="Palatino Linotype" w:eastAsiaTheme="minorHAnsi" w:hAnsi="Palatino Linotype" w:cstheme="minorBidi"/>
          <w:b/>
          <w:bCs/>
          <w:u w:val="single"/>
          <w:lang w:val="es-MX" w:eastAsia="es-MX"/>
        </w:rPr>
        <w:t>no se encontró información alguna de lo solicitado, esto en razón de no haberse generado, poseído y/o administrado por esa oficina</w:t>
      </w:r>
      <w:r w:rsidR="000A3000">
        <w:rPr>
          <w:rFonts w:ascii="Palatino Linotype" w:eastAsiaTheme="minorHAnsi" w:hAnsi="Palatino Linotype" w:cstheme="minorBidi"/>
          <w:lang w:val="es-MX" w:eastAsia="es-MX"/>
        </w:rPr>
        <w:t>.</w:t>
      </w:r>
    </w:p>
    <w:p w14:paraId="74B27FEE" w14:textId="77777777" w:rsidR="000A3000" w:rsidRDefault="000A3000" w:rsidP="00DC7ADE">
      <w:pPr>
        <w:spacing w:line="360" w:lineRule="auto"/>
        <w:ind w:right="49"/>
        <w:jc w:val="both"/>
        <w:rPr>
          <w:rFonts w:ascii="Palatino Linotype" w:eastAsiaTheme="minorHAnsi" w:hAnsi="Palatino Linotype" w:cstheme="minorBidi"/>
          <w:lang w:val="es-MX" w:eastAsia="es-MX"/>
        </w:rPr>
      </w:pPr>
    </w:p>
    <w:p w14:paraId="3C918EA4" w14:textId="21E2F888" w:rsidR="000A3000" w:rsidRPr="008D4A0F" w:rsidRDefault="000A3000" w:rsidP="000A3000">
      <w:pPr>
        <w:spacing w:line="360" w:lineRule="auto"/>
        <w:ind w:right="49"/>
        <w:jc w:val="both"/>
        <w:rPr>
          <w:rFonts w:ascii="Palatino Linotype" w:eastAsiaTheme="minorHAnsi" w:hAnsi="Palatino Linotype" w:cstheme="minorBidi"/>
          <w:b/>
          <w:bCs/>
          <w:u w:val="single"/>
          <w:lang w:val="es-MX" w:eastAsia="es-MX"/>
        </w:rPr>
      </w:pPr>
      <w:r>
        <w:rPr>
          <w:rFonts w:ascii="Palatino Linotype" w:eastAsiaTheme="minorHAnsi" w:hAnsi="Palatino Linotype" w:cstheme="minorBidi"/>
          <w:lang w:val="es-MX" w:eastAsia="es-MX"/>
        </w:rPr>
        <w:t xml:space="preserve">Asimismo, mediante el oficio número </w:t>
      </w:r>
      <w:r w:rsidRPr="000A3000">
        <w:rPr>
          <w:rFonts w:ascii="Palatino Linotype" w:eastAsiaTheme="minorHAnsi" w:hAnsi="Palatino Linotype" w:cstheme="minorBidi"/>
          <w:b/>
          <w:bCs/>
          <w:lang w:val="es-MX" w:eastAsia="es-MX"/>
        </w:rPr>
        <w:t>SA/CJ/</w:t>
      </w:r>
      <w:proofErr w:type="spellStart"/>
      <w:r w:rsidRPr="000A3000">
        <w:rPr>
          <w:rFonts w:ascii="Palatino Linotype" w:eastAsiaTheme="minorHAnsi" w:hAnsi="Palatino Linotype" w:cstheme="minorBidi"/>
          <w:b/>
          <w:bCs/>
          <w:lang w:val="es-MX" w:eastAsia="es-MX"/>
        </w:rPr>
        <w:t>CEyRM</w:t>
      </w:r>
      <w:proofErr w:type="spellEnd"/>
      <w:r w:rsidRPr="000A3000">
        <w:rPr>
          <w:rFonts w:ascii="Palatino Linotype" w:eastAsiaTheme="minorHAnsi" w:hAnsi="Palatino Linotype" w:cstheme="minorBidi"/>
          <w:b/>
          <w:bCs/>
          <w:lang w:val="es-MX" w:eastAsia="es-MX"/>
        </w:rPr>
        <w:t>/0113/2025</w:t>
      </w:r>
      <w:r>
        <w:rPr>
          <w:rFonts w:ascii="Palatino Linotype" w:eastAsiaTheme="minorHAnsi" w:hAnsi="Palatino Linotype" w:cstheme="minorBidi"/>
          <w:lang w:val="es-MX" w:eastAsia="es-MX"/>
        </w:rPr>
        <w:t xml:space="preserve">, el </w:t>
      </w:r>
      <w:r w:rsidRPr="000A3000">
        <w:rPr>
          <w:rFonts w:ascii="Palatino Linotype" w:eastAsiaTheme="minorHAnsi" w:hAnsi="Palatino Linotype" w:cstheme="minorBidi"/>
          <w:b/>
          <w:bCs/>
          <w:lang w:val="es-MX" w:eastAsia="es-MX"/>
        </w:rPr>
        <w:t>Coordinador de Estudios y Reglamentación Municipal</w:t>
      </w:r>
      <w:r>
        <w:rPr>
          <w:rFonts w:ascii="Palatino Linotype" w:eastAsiaTheme="minorHAnsi" w:hAnsi="Palatino Linotype" w:cstheme="minorBidi"/>
          <w:lang w:val="es-MX" w:eastAsia="es-MX"/>
        </w:rPr>
        <w:t xml:space="preserve">, informó que, </w:t>
      </w:r>
      <w:r w:rsidRPr="000A3000">
        <w:rPr>
          <w:rFonts w:ascii="Palatino Linotype" w:eastAsiaTheme="minorHAnsi" w:hAnsi="Palatino Linotype" w:cstheme="minorBidi"/>
          <w:lang w:val="es-MX" w:eastAsia="es-MX"/>
        </w:rPr>
        <w:t>de conformidad con lo dispuesto en el artículo 3.17 fracción</w:t>
      </w:r>
      <w:r>
        <w:rPr>
          <w:rFonts w:ascii="Palatino Linotype" w:eastAsiaTheme="minorHAnsi" w:hAnsi="Palatino Linotype" w:cstheme="minorBidi"/>
          <w:lang w:val="es-MX" w:eastAsia="es-MX"/>
        </w:rPr>
        <w:t xml:space="preserve"> I, </w:t>
      </w:r>
      <w:r w:rsidRPr="000A3000">
        <w:rPr>
          <w:rFonts w:ascii="Palatino Linotype" w:eastAsiaTheme="minorHAnsi" w:hAnsi="Palatino Linotype" w:cstheme="minorBidi"/>
          <w:lang w:val="es-MX" w:eastAsia="es-MX"/>
        </w:rPr>
        <w:t>del Código Reglamentario Municipal de Toluca y del Manual de Organización de la Secretaría del Ayuntamiento de Toluca, a efecto de dar la atención correspondiente a la referencia citada</w:t>
      </w:r>
      <w:r>
        <w:rPr>
          <w:rFonts w:ascii="Palatino Linotype" w:eastAsiaTheme="minorHAnsi" w:hAnsi="Palatino Linotype" w:cstheme="minorBidi"/>
          <w:lang w:val="es-MX" w:eastAsia="es-MX"/>
        </w:rPr>
        <w:t>; manifestó que, d</w:t>
      </w:r>
      <w:r w:rsidRPr="000A3000">
        <w:rPr>
          <w:rFonts w:ascii="Palatino Linotype" w:eastAsiaTheme="minorHAnsi" w:hAnsi="Palatino Linotype" w:cstheme="minorBidi"/>
          <w:lang w:val="es-MX" w:eastAsia="es-MX"/>
        </w:rPr>
        <w:t xml:space="preserve">espués de haber </w:t>
      </w:r>
      <w:r w:rsidRPr="000A3000">
        <w:rPr>
          <w:rFonts w:ascii="Palatino Linotype" w:eastAsiaTheme="minorHAnsi" w:hAnsi="Palatino Linotype" w:cstheme="minorBidi"/>
          <w:lang w:val="es-MX" w:eastAsia="es-MX"/>
        </w:rPr>
        <w:lastRenderedPageBreak/>
        <w:t>realizado una exhaustiva búsqueda de la documentación en físico y de manera digital, en los archivos que ocupa es</w:t>
      </w:r>
      <w:r w:rsidR="008D4A0F">
        <w:rPr>
          <w:rFonts w:ascii="Palatino Linotype" w:eastAsiaTheme="minorHAnsi" w:hAnsi="Palatino Linotype" w:cstheme="minorBidi"/>
          <w:lang w:val="es-MX" w:eastAsia="es-MX"/>
        </w:rPr>
        <w:t>a</w:t>
      </w:r>
      <w:r w:rsidRPr="000A3000">
        <w:rPr>
          <w:rFonts w:ascii="Palatino Linotype" w:eastAsiaTheme="minorHAnsi" w:hAnsi="Palatino Linotype" w:cstheme="minorBidi"/>
          <w:lang w:val="es-MX" w:eastAsia="es-MX"/>
        </w:rPr>
        <w:t xml:space="preserve"> Coordinación, informa que </w:t>
      </w:r>
      <w:r w:rsidRPr="008D4A0F">
        <w:rPr>
          <w:rFonts w:ascii="Palatino Linotype" w:eastAsiaTheme="minorHAnsi" w:hAnsi="Palatino Linotype" w:cstheme="minorBidi"/>
          <w:b/>
          <w:bCs/>
          <w:u w:val="single"/>
          <w:lang w:val="es-MX" w:eastAsia="es-MX"/>
        </w:rPr>
        <w:t>no se cuenta con el convenio entre el ayuntamiento de Toluca y el INE O IEEM para la vigilancia de las elecciones de las autoridades auxiliares 2025 o con objeto similar.</w:t>
      </w:r>
    </w:p>
    <w:p w14:paraId="3719EF56" w14:textId="77777777" w:rsidR="000A3000" w:rsidRPr="000A3000" w:rsidRDefault="000A3000" w:rsidP="000A3000">
      <w:pPr>
        <w:spacing w:line="360" w:lineRule="auto"/>
        <w:ind w:right="49"/>
        <w:jc w:val="both"/>
        <w:rPr>
          <w:rFonts w:ascii="Palatino Linotype" w:eastAsiaTheme="minorHAnsi" w:hAnsi="Palatino Linotype" w:cstheme="minorBidi"/>
          <w:lang w:val="es-MX" w:eastAsia="es-MX"/>
        </w:rPr>
      </w:pPr>
    </w:p>
    <w:p w14:paraId="064CCE4F" w14:textId="417DC7D9" w:rsidR="000A3000" w:rsidRDefault="000A3000" w:rsidP="000A3000">
      <w:pPr>
        <w:spacing w:line="360" w:lineRule="auto"/>
        <w:ind w:right="49"/>
        <w:jc w:val="both"/>
        <w:rPr>
          <w:rFonts w:ascii="Palatino Linotype" w:eastAsiaTheme="minorHAnsi" w:hAnsi="Palatino Linotype" w:cstheme="minorBidi"/>
          <w:lang w:val="es-MX" w:eastAsia="es-MX"/>
        </w:rPr>
      </w:pPr>
      <w:r w:rsidRPr="000A3000">
        <w:rPr>
          <w:rFonts w:ascii="Palatino Linotype" w:eastAsiaTheme="minorHAnsi" w:hAnsi="Palatino Linotype" w:cstheme="minorBidi"/>
          <w:lang w:val="es-MX" w:eastAsia="es-MX"/>
        </w:rPr>
        <w:t>Por lo que</w:t>
      </w:r>
      <w:r w:rsidR="008D4A0F">
        <w:rPr>
          <w:rFonts w:ascii="Palatino Linotype" w:eastAsiaTheme="minorHAnsi" w:hAnsi="Palatino Linotype" w:cstheme="minorBidi"/>
          <w:lang w:val="es-MX" w:eastAsia="es-MX"/>
        </w:rPr>
        <w:t>,</w:t>
      </w:r>
      <w:r w:rsidRPr="000A3000">
        <w:rPr>
          <w:rFonts w:ascii="Palatino Linotype" w:eastAsiaTheme="minorHAnsi" w:hAnsi="Palatino Linotype" w:cstheme="minorBidi"/>
          <w:lang w:val="es-MX" w:eastAsia="es-MX"/>
        </w:rPr>
        <w:t xml:space="preserve"> </w:t>
      </w:r>
      <w:r w:rsidRPr="008D4A0F">
        <w:rPr>
          <w:rFonts w:ascii="Palatino Linotype" w:eastAsiaTheme="minorHAnsi" w:hAnsi="Palatino Linotype" w:cstheme="minorBidi"/>
          <w:b/>
          <w:bCs/>
          <w:u w:val="single"/>
          <w:lang w:val="es-MX" w:eastAsia="es-MX"/>
        </w:rPr>
        <w:t>se encuentra en imposibilidad de remitir las documentales solicitadas</w:t>
      </w:r>
      <w:r w:rsidR="008D4A0F" w:rsidRPr="008D4A0F">
        <w:rPr>
          <w:rFonts w:ascii="Palatino Linotype" w:eastAsiaTheme="minorHAnsi" w:hAnsi="Palatino Linotype" w:cstheme="minorBidi"/>
          <w:b/>
          <w:bCs/>
          <w:u w:val="single"/>
          <w:lang w:val="es-MX" w:eastAsia="es-MX"/>
        </w:rPr>
        <w:t>; c</w:t>
      </w:r>
      <w:r w:rsidRPr="008D4A0F">
        <w:rPr>
          <w:rFonts w:ascii="Palatino Linotype" w:eastAsiaTheme="minorHAnsi" w:hAnsi="Palatino Linotype" w:cstheme="minorBidi"/>
          <w:b/>
          <w:bCs/>
          <w:u w:val="single"/>
          <w:lang w:val="es-MX" w:eastAsia="es-MX"/>
        </w:rPr>
        <w:t>oncluyendo que, no puede brindar mayor información a dicha solicitud</w:t>
      </w:r>
      <w:r w:rsidRPr="000A3000">
        <w:rPr>
          <w:rFonts w:ascii="Palatino Linotype" w:eastAsiaTheme="minorHAnsi" w:hAnsi="Palatino Linotype" w:cstheme="minorBidi"/>
          <w:lang w:val="es-MX" w:eastAsia="es-MX"/>
        </w:rPr>
        <w:t>, encontrándonos en el supuesto previsto en el artículo 12 párrafo segundo de la Ley de Transparencia y Acceso a la información Pública del Estado de México</w:t>
      </w:r>
      <w:r w:rsidR="008D4A0F">
        <w:rPr>
          <w:rFonts w:ascii="Palatino Linotype" w:eastAsiaTheme="minorHAnsi" w:hAnsi="Palatino Linotype" w:cstheme="minorBidi"/>
          <w:lang w:val="es-MX" w:eastAsia="es-MX"/>
        </w:rPr>
        <w:t>.</w:t>
      </w:r>
    </w:p>
    <w:bookmarkEnd w:id="6"/>
    <w:bookmarkEnd w:id="7"/>
    <w:p w14:paraId="5D3DA30A" w14:textId="77777777" w:rsidR="00683574" w:rsidRPr="006B1080" w:rsidRDefault="00683574" w:rsidP="00572099">
      <w:pPr>
        <w:spacing w:line="360" w:lineRule="auto"/>
        <w:ind w:right="141"/>
        <w:jc w:val="both"/>
        <w:rPr>
          <w:rFonts w:ascii="Palatino Linotype" w:eastAsiaTheme="minorHAnsi" w:hAnsi="Palatino Linotype" w:cs="Arial"/>
          <w:bCs/>
          <w:lang w:eastAsia="en-US"/>
        </w:rPr>
      </w:pPr>
    </w:p>
    <w:p w14:paraId="4194A689" w14:textId="7596CC66" w:rsidR="00572099" w:rsidRPr="006A240A" w:rsidRDefault="00E11B18" w:rsidP="00344D8A">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Es así que derivado de la respuesta emitida por</w:t>
      </w:r>
      <w:r w:rsidR="006B1080">
        <w:rPr>
          <w:rFonts w:ascii="Palatino Linotype" w:eastAsiaTheme="minorHAnsi" w:hAnsi="Palatino Linotype" w:cs="Arial"/>
          <w:bCs/>
          <w:lang w:val="es-MX" w:eastAsia="en-US"/>
        </w:rPr>
        <w:t xml:space="preserve"> el </w:t>
      </w:r>
      <w:r w:rsidRPr="006A240A">
        <w:rPr>
          <w:rFonts w:ascii="Palatino Linotype" w:eastAsiaTheme="minorHAnsi" w:hAnsi="Palatino Linotype" w:cs="Arial"/>
          <w:b/>
          <w:bCs/>
          <w:lang w:val="es-MX" w:eastAsia="en-US"/>
        </w:rPr>
        <w:t>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w:t>
      </w:r>
      <w:r w:rsidR="00344D8A">
        <w:rPr>
          <w:rFonts w:ascii="Palatino Linotype" w:eastAsiaTheme="minorHAnsi" w:hAnsi="Palatino Linotype" w:cs="Arial"/>
          <w:bCs/>
          <w:lang w:val="es-MX" w:eastAsia="en-US"/>
        </w:rPr>
        <w:t xml:space="preserv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8D4A0F" w:rsidRPr="008D4A0F">
        <w:rPr>
          <w:rFonts w:ascii="Palatino Linotype" w:eastAsiaTheme="minorHAnsi" w:hAnsi="Palatino Linotype" w:cs="Arial"/>
          <w:i/>
          <w:lang w:val="es-MX" w:eastAsia="en-US"/>
        </w:rPr>
        <w:t>niega la información el servidor público habilitado</w:t>
      </w:r>
      <w:r w:rsidRPr="006A240A">
        <w:rPr>
          <w:rFonts w:ascii="Palatino Linotype" w:eastAsiaTheme="minorHAnsi" w:hAnsi="Palatino Linotype" w:cs="Arial"/>
          <w:bCs/>
          <w:i/>
          <w:lang w:val="es-MX" w:eastAsia="en-US"/>
        </w:rPr>
        <w:t>” (Sic).</w:t>
      </w:r>
    </w:p>
    <w:p w14:paraId="128451AB" w14:textId="77777777" w:rsidR="006B1080" w:rsidRPr="008D4A0F" w:rsidRDefault="006B1080" w:rsidP="008A12CF">
      <w:pPr>
        <w:tabs>
          <w:tab w:val="left" w:pos="709"/>
        </w:tabs>
        <w:spacing w:line="360" w:lineRule="auto"/>
        <w:contextualSpacing/>
        <w:jc w:val="both"/>
        <w:rPr>
          <w:rFonts w:ascii="Palatino Linotype" w:hAnsi="Palatino Linotype" w:cs="Arial"/>
          <w:lang w:val="es-MX"/>
        </w:rPr>
      </w:pPr>
    </w:p>
    <w:p w14:paraId="29BC1B60" w14:textId="5A65C50D" w:rsidR="0017779C" w:rsidRDefault="00056A58" w:rsidP="00344D8A">
      <w:pPr>
        <w:tabs>
          <w:tab w:val="left" w:pos="709"/>
        </w:tabs>
        <w:spacing w:line="360" w:lineRule="auto"/>
        <w:contextualSpacing/>
        <w:jc w:val="both"/>
        <w:rPr>
          <w:rFonts w:ascii="Palatino Linotype" w:hAnsi="Palatino Linotype" w:cs="Arial"/>
          <w:lang w:val="es-ES_tradnl"/>
        </w:rPr>
      </w:pPr>
      <w:r w:rsidRPr="006B1080">
        <w:rPr>
          <w:rFonts w:ascii="Palatino Linotype" w:hAnsi="Palatino Linotype" w:cs="Arial"/>
          <w:lang w:val="es-ES_tradnl"/>
        </w:rPr>
        <w:t xml:space="preserve">Por lo que, en la etapa de manifestaciones, el </w:t>
      </w:r>
      <w:r w:rsidRPr="006B1080">
        <w:rPr>
          <w:rFonts w:ascii="Palatino Linotype" w:hAnsi="Palatino Linotype" w:cs="Arial"/>
          <w:b/>
          <w:lang w:val="es-ES_tradnl"/>
        </w:rPr>
        <w:t>Sujeto Obligado</w:t>
      </w:r>
      <w:r w:rsidRPr="006B1080">
        <w:rPr>
          <w:rFonts w:ascii="Palatino Linotype" w:hAnsi="Palatino Linotype" w:cs="Arial"/>
          <w:lang w:val="es-ES_tradnl"/>
        </w:rPr>
        <w:t xml:space="preserve"> </w:t>
      </w:r>
      <w:r w:rsidR="00EE49B2" w:rsidRPr="006B1080">
        <w:rPr>
          <w:rFonts w:ascii="Palatino Linotype" w:hAnsi="Palatino Linotype" w:cs="Arial"/>
          <w:lang w:val="es-ES_tradnl"/>
        </w:rPr>
        <w:t xml:space="preserve">a través del </w:t>
      </w:r>
      <w:bookmarkStart w:id="8" w:name="_Hlk191987931"/>
      <w:r w:rsidR="008D4A0F">
        <w:rPr>
          <w:rFonts w:ascii="Palatino Linotype" w:hAnsi="Palatino Linotype" w:cs="Arial"/>
          <w:lang w:val="es-ES_tradnl"/>
        </w:rPr>
        <w:t>Titular de la Unidad de Transparencia</w:t>
      </w:r>
      <w:r w:rsidR="00344D8A">
        <w:rPr>
          <w:rFonts w:ascii="Palatino Linotype" w:hAnsi="Palatino Linotype" w:cs="Arial"/>
          <w:lang w:val="es-ES_tradnl"/>
        </w:rPr>
        <w:t xml:space="preserve">, </w:t>
      </w:r>
      <w:r w:rsidR="00670AC6">
        <w:rPr>
          <w:rFonts w:ascii="Palatino Linotype" w:hAnsi="Palatino Linotype" w:cs="Arial"/>
          <w:lang w:val="es-ES_tradnl"/>
        </w:rPr>
        <w:t>ratificó</w:t>
      </w:r>
      <w:r w:rsidR="00344D8A">
        <w:rPr>
          <w:rFonts w:ascii="Palatino Linotype" w:hAnsi="Palatino Linotype" w:cs="Arial"/>
          <w:lang w:val="es-ES_tradnl"/>
        </w:rPr>
        <w:t xml:space="preserve"> su respuesta. </w:t>
      </w:r>
    </w:p>
    <w:bookmarkEnd w:id="8"/>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A240A">
        <w:rPr>
          <w:rFonts w:ascii="Palatino Linotype" w:hAnsi="Palatino Linotype" w:cs="Arial"/>
          <w:i/>
          <w:sz w:val="22"/>
        </w:rPr>
        <w:lastRenderedPageBreak/>
        <w:t>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6A240A"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A240A"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6A240A">
        <w:rPr>
          <w:rFonts w:ascii="Palatino Linotype" w:hAnsi="Palatino Linotype" w:cs="Arial"/>
        </w:rPr>
        <w:lastRenderedPageBreak/>
        <w:t>disposición de cualquier persona, lo que implica que es deber de los Sujetos Obligados, garantizar el derecho de a</w:t>
      </w:r>
      <w:r w:rsidR="00376422">
        <w:rPr>
          <w:rFonts w:ascii="Palatino Linotype" w:hAnsi="Palatino Linotype" w:cs="Arial"/>
        </w:rPr>
        <w:t>cceso a la información pública.</w:t>
      </w:r>
    </w:p>
    <w:p w14:paraId="3425E3C4" w14:textId="77777777" w:rsidR="00376422" w:rsidRPr="006A240A"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45EE91DC"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r w:rsidRPr="006A240A">
        <w:rPr>
          <w:rFonts w:ascii="Palatino Linotype" w:hAnsi="Palatino Linotype" w:cs="Arial"/>
        </w:rPr>
        <w:t xml:space="preserve">Además, </w:t>
      </w:r>
      <w:r w:rsidRPr="006A240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6A240A">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6A240A" w:rsidRDefault="008A12CF" w:rsidP="008A12CF">
      <w:pPr>
        <w:spacing w:before="240" w:after="240" w:line="360" w:lineRule="auto"/>
        <w:ind w:right="49"/>
        <w:contextualSpacing/>
        <w:jc w:val="both"/>
        <w:rPr>
          <w:rFonts w:ascii="Palatino Linotype" w:eastAsia="MS Mincho" w:hAnsi="Palatino Linotype" w:cs="Tahoma"/>
        </w:rPr>
      </w:pPr>
      <w:r w:rsidRPr="006A240A">
        <w:rPr>
          <w:rFonts w:ascii="Palatino Linotype" w:hAnsi="Palatino Linotype" w:cs="Arial"/>
          <w:lang w:eastAsia="es-MX"/>
        </w:rPr>
        <w:t xml:space="preserve">De la misma forma, </w:t>
      </w:r>
      <w:r w:rsidRPr="006A240A">
        <w:rPr>
          <w:rFonts w:ascii="Palatino Linotype" w:eastAsia="MS Mincho" w:hAnsi="Palatino Linotype"/>
        </w:rPr>
        <w:t>de acuerdo al contenido del artículo 160,</w:t>
      </w:r>
      <w:r w:rsidRPr="006A240A">
        <w:rPr>
          <w:rFonts w:ascii="Palatino Linotype" w:hAnsi="Palatino Linotype" w:cs="Arial"/>
        </w:rPr>
        <w:t xml:space="preserve"> de la Ley </w:t>
      </w:r>
      <w:r w:rsidRPr="006A240A">
        <w:rPr>
          <w:rFonts w:ascii="Palatino Linotype" w:eastAsia="MS Mincho" w:hAnsi="Palatino Linotype" w:cs="Tahoma"/>
        </w:rPr>
        <w:t>General de Transparencia y Acceso a la Información Pública que a la letra dispone:</w:t>
      </w:r>
    </w:p>
    <w:p w14:paraId="21CCA012" w14:textId="77777777" w:rsidR="008A12CF" w:rsidRPr="006A240A" w:rsidRDefault="008A12CF" w:rsidP="008A12CF"/>
    <w:p w14:paraId="422592D4" w14:textId="77777777" w:rsidR="008A12CF" w:rsidRPr="006A240A" w:rsidRDefault="008A12CF" w:rsidP="00351E9D">
      <w:pPr>
        <w:ind w:left="567" w:right="616"/>
        <w:contextualSpacing/>
        <w:jc w:val="both"/>
        <w:rPr>
          <w:rFonts w:ascii="Palatino Linotype" w:hAnsi="Palatino Linotype" w:cs="Arial"/>
          <w:i/>
          <w:sz w:val="22"/>
          <w:lang w:eastAsia="gl-ES"/>
        </w:rPr>
      </w:pPr>
      <w:r w:rsidRPr="006A240A">
        <w:rPr>
          <w:rFonts w:ascii="Palatino Linotype" w:hAnsi="Palatino Linotype" w:cs="Arial"/>
          <w:b/>
          <w:i/>
          <w:sz w:val="22"/>
          <w:lang w:eastAsia="gl-ES"/>
        </w:rPr>
        <w:t>Artículo 160</w:t>
      </w:r>
      <w:r w:rsidRPr="006A240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6A240A" w:rsidRDefault="008A12CF" w:rsidP="00351E9D">
      <w:pPr>
        <w:ind w:right="616"/>
        <w:contextualSpacing/>
        <w:jc w:val="both"/>
        <w:rPr>
          <w:rFonts w:ascii="Palatino Linotype" w:hAnsi="Palatino Linotype" w:cs="Arial"/>
          <w:i/>
          <w:lang w:eastAsia="gl-ES"/>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5A4306C8"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17779C">
        <w:rPr>
          <w:rFonts w:ascii="Palatino Linotype" w:eastAsiaTheme="minorHAnsi" w:hAnsi="Palatino Linotype" w:cs="Arial"/>
          <w:szCs w:val="22"/>
          <w:lang w:val="es-MX" w:eastAsia="en-US"/>
        </w:rPr>
        <w:t xml:space="preserve"> e informe justificado, </w:t>
      </w:r>
      <w:r w:rsidRPr="006A240A">
        <w:rPr>
          <w:rFonts w:ascii="Palatino Linotype" w:eastAsiaTheme="minorHAnsi" w:hAnsi="Palatino Linotype" w:cs="Arial"/>
          <w:szCs w:val="22"/>
          <w:lang w:val="es-MX" w:eastAsia="en-US"/>
        </w:rPr>
        <w:t>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17779C">
        <w:rPr>
          <w:rFonts w:ascii="Palatino Linotype" w:eastAsiaTheme="minorHAnsi" w:hAnsi="Palatino Linotype" w:cs="Arial"/>
          <w:bCs/>
          <w:lang w:val="es-MX" w:eastAsia="en-US"/>
        </w:rPr>
        <w:t xml:space="preserve">el ahora </w:t>
      </w:r>
      <w:r w:rsidR="0017779C" w:rsidRPr="00670AC6">
        <w:rPr>
          <w:rFonts w:ascii="Palatino Linotype" w:eastAsiaTheme="minorHAnsi" w:hAnsi="Palatino Linotype" w:cs="Arial"/>
          <w:b/>
          <w:lang w:val="es-MX" w:eastAsia="en-US"/>
        </w:rPr>
        <w:t>Recurrente</w:t>
      </w:r>
      <w:r w:rsidR="0017779C">
        <w:rPr>
          <w:rFonts w:ascii="Palatino Linotype" w:eastAsiaTheme="minorHAnsi" w:hAnsi="Palatino Linotype" w:cs="Arial"/>
          <w:bCs/>
          <w:lang w:val="es-MX" w:eastAsia="en-US"/>
        </w:rPr>
        <w:t xml:space="preserve"> se adolece de lo siguiente:</w:t>
      </w:r>
    </w:p>
    <w:p w14:paraId="5E86A77C" w14:textId="77777777" w:rsidR="0017779C" w:rsidRDefault="0017779C" w:rsidP="00CE6A53">
      <w:pPr>
        <w:spacing w:line="360" w:lineRule="auto"/>
        <w:ind w:right="49"/>
        <w:jc w:val="both"/>
        <w:rPr>
          <w:rFonts w:ascii="Palatino Linotype" w:eastAsiaTheme="minorHAnsi" w:hAnsi="Palatino Linotype" w:cs="Arial"/>
          <w:bCs/>
          <w:lang w:val="es-MX" w:eastAsia="en-US"/>
        </w:rPr>
      </w:pPr>
    </w:p>
    <w:p w14:paraId="76A3333F" w14:textId="5334BCFC" w:rsidR="00344D8A" w:rsidRPr="00670AC6" w:rsidRDefault="00670AC6" w:rsidP="00CE6A53">
      <w:pPr>
        <w:pStyle w:val="Prrafodelista"/>
        <w:numPr>
          <w:ilvl w:val="0"/>
          <w:numId w:val="25"/>
        </w:numPr>
        <w:spacing w:line="360" w:lineRule="auto"/>
        <w:ind w:right="49"/>
        <w:jc w:val="both"/>
        <w:rPr>
          <w:rFonts w:ascii="Palatino Linotype" w:eastAsiaTheme="minorHAnsi" w:hAnsi="Palatino Linotype" w:cs="Arial"/>
          <w:bCs/>
          <w:i/>
          <w:iCs/>
          <w:lang w:val="es-MX" w:eastAsia="en-US"/>
        </w:rPr>
      </w:pPr>
      <w:r w:rsidRPr="00670AC6">
        <w:rPr>
          <w:rFonts w:ascii="Palatino Linotype" w:eastAsiaTheme="minorHAnsi" w:hAnsi="Palatino Linotype" w:cs="Arial"/>
          <w:bCs/>
          <w:i/>
          <w:iCs/>
          <w:lang w:val="es-MX" w:eastAsia="en-US"/>
        </w:rPr>
        <w:t>“</w:t>
      </w:r>
      <w:r w:rsidR="008D4A0F" w:rsidRPr="008D4A0F">
        <w:rPr>
          <w:rFonts w:ascii="Palatino Linotype" w:eastAsiaTheme="minorHAnsi" w:hAnsi="Palatino Linotype" w:cs="Arial"/>
          <w:bCs/>
          <w:i/>
          <w:iCs/>
          <w:lang w:val="es-MX" w:eastAsia="en-US"/>
        </w:rPr>
        <w:t>niega la información el servidor público habilitado</w:t>
      </w:r>
      <w:r w:rsidRPr="00670AC6">
        <w:rPr>
          <w:rFonts w:ascii="Palatino Linotype" w:eastAsiaTheme="minorHAnsi" w:hAnsi="Palatino Linotype" w:cs="Arial"/>
          <w:bCs/>
          <w:i/>
          <w:iCs/>
          <w:lang w:val="es-MX" w:eastAsia="en-US"/>
        </w:rPr>
        <w:t>” (Sic)</w:t>
      </w:r>
    </w:p>
    <w:p w14:paraId="0D617D5C" w14:textId="77777777" w:rsidR="00670AC6" w:rsidRPr="00344D8A" w:rsidRDefault="00670AC6" w:rsidP="00670AC6">
      <w:pPr>
        <w:pStyle w:val="Prrafodelista"/>
        <w:spacing w:line="360" w:lineRule="auto"/>
        <w:ind w:left="720" w:right="49"/>
        <w:jc w:val="both"/>
        <w:rPr>
          <w:rFonts w:ascii="Palatino Linotype" w:eastAsiaTheme="minorHAnsi" w:hAnsi="Palatino Linotype" w:cs="Arial"/>
          <w:bCs/>
          <w:lang w:val="es-MX" w:eastAsia="en-US"/>
        </w:rPr>
      </w:pPr>
    </w:p>
    <w:p w14:paraId="0D292233" w14:textId="50DE6578" w:rsidR="00FF13B3" w:rsidRPr="00FF13B3" w:rsidRDefault="00FF13B3" w:rsidP="00FF13B3">
      <w:pPr>
        <w:spacing w:line="360" w:lineRule="auto"/>
        <w:ind w:right="-93"/>
        <w:jc w:val="both"/>
        <w:rPr>
          <w:rFonts w:ascii="Palatino Linotype" w:eastAsia="Calibri" w:hAnsi="Palatino Linotype" w:cs="Tahoma"/>
          <w:iCs/>
          <w:lang w:val="es-MX" w:eastAsia="es-ES_tradnl"/>
        </w:rPr>
      </w:pPr>
      <w:r w:rsidRPr="00FF13B3">
        <w:rPr>
          <w:rFonts w:ascii="Palatino Linotype" w:eastAsia="Calibri" w:hAnsi="Palatino Linotype" w:cs="Tahoma"/>
          <w:iCs/>
          <w:lang w:val="es-MX" w:eastAsia="es-ES_tradnl"/>
        </w:rPr>
        <w:t>Establecido lo anterior, es de recordar que la solicitud se encuentra relacionada con</w:t>
      </w:r>
      <w:r>
        <w:rPr>
          <w:rFonts w:ascii="Palatino Linotype" w:eastAsia="Calibri" w:hAnsi="Palatino Linotype" w:cs="Tahoma"/>
          <w:iCs/>
          <w:lang w:val="es-MX" w:eastAsia="es-ES_tradnl"/>
        </w:rPr>
        <w:t xml:space="preserve"> el</w:t>
      </w:r>
      <w:r w:rsidRPr="00FF13B3">
        <w:rPr>
          <w:rFonts w:ascii="Palatino Linotype" w:eastAsia="Calibri" w:hAnsi="Palatino Linotype" w:cs="Tahoma"/>
          <w:iCs/>
          <w:lang w:val="es-MX" w:eastAsia="es-ES_tradnl"/>
        </w:rPr>
        <w:t xml:space="preserve"> convenio celebrado por el </w:t>
      </w:r>
      <w:r w:rsidRPr="00FF13B3">
        <w:rPr>
          <w:rFonts w:ascii="Palatino Linotype" w:eastAsia="Calibri" w:hAnsi="Palatino Linotype" w:cs="Tahoma"/>
          <w:b/>
          <w:bCs/>
          <w:iCs/>
          <w:lang w:val="es-MX" w:eastAsia="es-ES_tradnl"/>
        </w:rPr>
        <w:t>Sujeto Obligado</w:t>
      </w:r>
      <w:r w:rsidRPr="00FF13B3">
        <w:rPr>
          <w:rFonts w:ascii="Palatino Linotype" w:eastAsia="Calibri" w:hAnsi="Palatino Linotype" w:cs="Tahoma"/>
          <w:iCs/>
          <w:lang w:val="es-MX" w:eastAsia="es-ES_tradnl"/>
        </w:rPr>
        <w:t xml:space="preserve"> con</w:t>
      </w:r>
      <w:r>
        <w:rPr>
          <w:rFonts w:ascii="Palatino Linotype" w:eastAsia="Calibri" w:hAnsi="Palatino Linotype" w:cs="Tahoma"/>
          <w:iCs/>
          <w:lang w:val="es-MX" w:eastAsia="es-ES_tradnl"/>
        </w:rPr>
        <w:t xml:space="preserve"> el</w:t>
      </w:r>
      <w:r w:rsidRPr="00FF13B3">
        <w:rPr>
          <w:rFonts w:ascii="Palatino Linotype" w:eastAsia="Calibri" w:hAnsi="Palatino Linotype" w:cs="Tahoma"/>
          <w:iCs/>
          <w:lang w:val="es-MX" w:eastAsia="es-ES_tradnl"/>
        </w:rPr>
        <w:t xml:space="preserve"> </w:t>
      </w:r>
      <w:r w:rsidRPr="00FF13B3">
        <w:rPr>
          <w:rFonts w:ascii="Palatino Linotype" w:eastAsia="Calibri" w:hAnsi="Palatino Linotype" w:cs="Tahoma"/>
          <w:b/>
          <w:bCs/>
          <w:iCs/>
          <w:lang w:val="es-MX" w:eastAsia="es-ES_tradnl"/>
        </w:rPr>
        <w:t>Instituto Electoral del Estado de México (IEEM)</w:t>
      </w:r>
      <w:r w:rsidRPr="00FF13B3">
        <w:rPr>
          <w:rFonts w:ascii="Palatino Linotype" w:eastAsia="Calibri" w:hAnsi="Palatino Linotype" w:cs="Tahoma"/>
          <w:iCs/>
          <w:lang w:val="es-MX" w:eastAsia="es-ES_tradnl"/>
        </w:rPr>
        <w:t>, al respecto es necesario que la Ley Orgánica Municipal del Estado de México en su artículo 2 señala que las autoridades municipales tienen las atribuciones que les señalen los ordenamientos federales, locales y municipales y las derivadas de los convenios que se celebren con el Gobierno del Estado o con otros municipios</w:t>
      </w:r>
      <w:r>
        <w:rPr>
          <w:rFonts w:ascii="Palatino Linotype" w:eastAsia="Calibri" w:hAnsi="Palatino Linotype" w:cs="Tahoma"/>
          <w:iCs/>
          <w:lang w:val="es-MX" w:eastAsia="es-ES_tradnl"/>
        </w:rPr>
        <w:t xml:space="preserve"> y </w:t>
      </w:r>
      <w:r>
        <w:rPr>
          <w:rFonts w:ascii="Palatino Linotype" w:eastAsia="Calibri" w:hAnsi="Palatino Linotype" w:cs="Tahoma"/>
          <w:iCs/>
          <w:lang w:val="es-MX" w:eastAsia="es-ES_tradnl"/>
        </w:rPr>
        <w:lastRenderedPageBreak/>
        <w:t>organismos públicos</w:t>
      </w:r>
      <w:r w:rsidRPr="00FF13B3">
        <w:rPr>
          <w:rFonts w:ascii="Palatino Linotype" w:eastAsia="Calibri" w:hAnsi="Palatino Linotype" w:cs="Tahoma"/>
          <w:iCs/>
          <w:lang w:val="es-MX" w:eastAsia="es-ES_tradnl"/>
        </w:rPr>
        <w:t>, por lo que se puede observar que el Ayuntamiento de Toluca tiene atribuciones para realizar convenios interés del Particular.</w:t>
      </w:r>
    </w:p>
    <w:p w14:paraId="7E11BA64" w14:textId="77777777" w:rsidR="00FF13B3" w:rsidRPr="00FF13B3" w:rsidRDefault="00FF13B3" w:rsidP="00FF13B3">
      <w:pPr>
        <w:spacing w:line="360" w:lineRule="auto"/>
        <w:ind w:right="-93"/>
        <w:jc w:val="both"/>
        <w:rPr>
          <w:rFonts w:ascii="Palatino Linotype" w:eastAsia="Calibri" w:hAnsi="Palatino Linotype" w:cs="Tahoma"/>
          <w:iCs/>
          <w:lang w:val="es-MX" w:eastAsia="es-ES_tradnl"/>
        </w:rPr>
      </w:pPr>
    </w:p>
    <w:p w14:paraId="13D519B9" w14:textId="77777777" w:rsidR="00FF13B3" w:rsidRDefault="00FF13B3" w:rsidP="00FF13B3">
      <w:pPr>
        <w:spacing w:line="360" w:lineRule="auto"/>
        <w:ind w:right="-93"/>
        <w:jc w:val="both"/>
        <w:rPr>
          <w:rFonts w:ascii="Palatino Linotype" w:eastAsia="Calibri" w:hAnsi="Palatino Linotype" w:cs="Tahoma"/>
          <w:iCs/>
          <w:lang w:val="es-MX" w:eastAsia="es-ES_tradnl"/>
        </w:rPr>
      </w:pPr>
      <w:r w:rsidRPr="00FF13B3">
        <w:rPr>
          <w:rFonts w:ascii="Palatino Linotype" w:eastAsia="Calibri" w:hAnsi="Palatino Linotype" w:cs="Tahoma"/>
          <w:iCs/>
          <w:lang w:val="es-MX" w:eastAsia="es-ES_tradnl"/>
        </w:rPr>
        <w:t xml:space="preserve">Aunado a lo anterior, el artículo 92, fracción XXXVII,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los </w:t>
      </w:r>
      <w:r w:rsidRPr="00FF13B3">
        <w:rPr>
          <w:rFonts w:ascii="Palatino Linotype" w:eastAsia="Calibri" w:hAnsi="Palatino Linotype" w:cs="Tahoma"/>
          <w:b/>
          <w:bCs/>
          <w:iCs/>
          <w:u w:val="single"/>
          <w:lang w:val="es-MX" w:eastAsia="es-ES_tradnl"/>
        </w:rPr>
        <w:t>convenios de coordinación</w:t>
      </w:r>
      <w:r w:rsidRPr="00FF13B3">
        <w:rPr>
          <w:rFonts w:ascii="Palatino Linotype" w:eastAsia="Calibri" w:hAnsi="Palatino Linotype" w:cs="Tahoma"/>
          <w:iCs/>
          <w:lang w:val="es-MX" w:eastAsia="es-ES_tradnl"/>
        </w:rPr>
        <w:t xml:space="preserve">, de concertación, entre otros, que suscriban con otros entes de los sectores público, social y privado. </w:t>
      </w:r>
    </w:p>
    <w:p w14:paraId="0650607E" w14:textId="77777777" w:rsidR="00FF13B3" w:rsidRDefault="00FF13B3" w:rsidP="00FF13B3">
      <w:pPr>
        <w:spacing w:line="360" w:lineRule="auto"/>
        <w:ind w:right="-93"/>
        <w:jc w:val="both"/>
        <w:rPr>
          <w:rFonts w:ascii="Palatino Linotype" w:eastAsia="Calibri" w:hAnsi="Palatino Linotype" w:cs="Tahoma"/>
          <w:iCs/>
          <w:lang w:val="es-MX" w:eastAsia="es-ES_tradnl"/>
        </w:rPr>
      </w:pPr>
    </w:p>
    <w:p w14:paraId="0928938E" w14:textId="4269CEE8" w:rsidR="00FF13B3" w:rsidRPr="00FF13B3" w:rsidRDefault="00FF13B3" w:rsidP="00FF13B3">
      <w:pPr>
        <w:spacing w:line="360" w:lineRule="auto"/>
        <w:ind w:right="-93"/>
        <w:jc w:val="both"/>
        <w:rPr>
          <w:rFonts w:ascii="Palatino Linotype" w:eastAsia="Calibri" w:hAnsi="Palatino Linotype" w:cs="Tahoma"/>
          <w:iCs/>
          <w:lang w:val="es-MX" w:eastAsia="es-ES_tradnl"/>
        </w:rPr>
      </w:pPr>
      <w:r w:rsidRPr="00FF13B3">
        <w:rPr>
          <w:rFonts w:ascii="Palatino Linotype" w:eastAsia="Calibri" w:hAnsi="Palatino Linotype" w:cs="Tahoma"/>
          <w:iCs/>
          <w:lang w:val="es-MX" w:eastAsia="es-ES_tradnl"/>
        </w:rPr>
        <w:t xml:space="preserve">Por lo señalado se puede deducir que la intención del Particular es obtener los convenios realizados por el </w:t>
      </w:r>
      <w:r w:rsidRPr="00FF13B3">
        <w:rPr>
          <w:rFonts w:ascii="Palatino Linotype" w:eastAsia="Calibri" w:hAnsi="Palatino Linotype" w:cs="Tahoma"/>
          <w:b/>
          <w:bCs/>
          <w:iCs/>
          <w:lang w:val="es-MX" w:eastAsia="es-ES_tradnl"/>
        </w:rPr>
        <w:t>Ayuntamiento de Toluca</w:t>
      </w:r>
      <w:r w:rsidRPr="00FF13B3">
        <w:rPr>
          <w:rFonts w:ascii="Palatino Linotype" w:eastAsia="Calibri" w:hAnsi="Palatino Linotype" w:cs="Tahoma"/>
          <w:iCs/>
          <w:lang w:val="es-MX" w:eastAsia="es-ES_tradnl"/>
        </w:rPr>
        <w:t xml:space="preserve"> con autoridades </w:t>
      </w:r>
      <w:r w:rsidR="00053340">
        <w:rPr>
          <w:rFonts w:ascii="Palatino Linotype" w:eastAsia="Calibri" w:hAnsi="Palatino Linotype" w:cs="Tahoma"/>
          <w:iCs/>
          <w:lang w:val="es-MX" w:eastAsia="es-ES_tradnl"/>
        </w:rPr>
        <w:t>electorales</w:t>
      </w:r>
      <w:r w:rsidRPr="00FF13B3">
        <w:rPr>
          <w:rFonts w:ascii="Palatino Linotype" w:eastAsia="Calibri" w:hAnsi="Palatino Linotype" w:cs="Tahoma"/>
          <w:iCs/>
          <w:lang w:val="es-MX" w:eastAsia="es-ES_tradnl"/>
        </w:rPr>
        <w:t>.</w:t>
      </w:r>
    </w:p>
    <w:p w14:paraId="694BC598" w14:textId="77777777" w:rsidR="00FF13B3" w:rsidRDefault="00FF13B3" w:rsidP="00202501">
      <w:pPr>
        <w:spacing w:line="360" w:lineRule="auto"/>
        <w:ind w:right="49"/>
        <w:jc w:val="both"/>
        <w:rPr>
          <w:rFonts w:ascii="Palatino Linotype" w:eastAsiaTheme="minorHAnsi" w:hAnsi="Palatino Linotype" w:cstheme="minorBidi"/>
          <w:lang w:val="es-MX" w:eastAsia="es-MX"/>
        </w:rPr>
      </w:pPr>
    </w:p>
    <w:p w14:paraId="7BA867E1" w14:textId="4FEF86C1" w:rsidR="00202501" w:rsidRDefault="00737A9B" w:rsidP="00690BFF">
      <w:pPr>
        <w:spacing w:line="360" w:lineRule="auto"/>
        <w:ind w:right="49"/>
        <w:jc w:val="both"/>
        <w:rPr>
          <w:rFonts w:ascii="Palatino Linotype" w:eastAsiaTheme="minorHAnsi" w:hAnsi="Palatino Linotype" w:cstheme="minorBidi"/>
          <w:b/>
          <w:bCs/>
          <w:u w:val="single"/>
          <w:lang w:val="es-MX" w:eastAsia="es-MX"/>
        </w:rPr>
      </w:pPr>
      <w:r w:rsidRPr="00202501">
        <w:rPr>
          <w:rFonts w:ascii="Palatino Linotype" w:eastAsiaTheme="minorHAnsi" w:hAnsi="Palatino Linotype" w:cstheme="minorBidi"/>
          <w:lang w:val="es-MX" w:eastAsia="es-MX"/>
        </w:rPr>
        <w:t xml:space="preserve">Así que, retomando la respuesta emitida por parte del </w:t>
      </w:r>
      <w:r w:rsidRPr="00202501">
        <w:rPr>
          <w:rFonts w:ascii="Palatino Linotype" w:eastAsiaTheme="minorHAnsi" w:hAnsi="Palatino Linotype" w:cstheme="minorBidi"/>
          <w:b/>
          <w:bCs/>
          <w:lang w:val="es-MX" w:eastAsia="es-MX"/>
        </w:rPr>
        <w:t>Sujeto Obligado</w:t>
      </w:r>
      <w:r w:rsidRPr="00202501">
        <w:rPr>
          <w:rFonts w:ascii="Palatino Linotype" w:eastAsiaTheme="minorHAnsi" w:hAnsi="Palatino Linotype" w:cstheme="minorBidi"/>
          <w:lang w:val="es-MX" w:eastAsia="es-MX"/>
        </w:rPr>
        <w:t>,</w:t>
      </w:r>
      <w:r w:rsidRPr="00202501">
        <w:rPr>
          <w:rFonts w:ascii="Palatino Linotype" w:eastAsiaTheme="minorHAnsi" w:hAnsi="Palatino Linotype" w:cs="Arial"/>
          <w:bCs/>
          <w:lang w:val="es-MX" w:eastAsia="en-US"/>
        </w:rPr>
        <w:t xml:space="preserve"> </w:t>
      </w:r>
      <w:r w:rsidR="00202501">
        <w:rPr>
          <w:rFonts w:ascii="Palatino Linotype" w:eastAsiaTheme="minorHAnsi" w:hAnsi="Palatino Linotype" w:cs="Arial"/>
          <w:bCs/>
          <w:lang w:val="es-MX" w:eastAsia="en-US"/>
        </w:rPr>
        <w:t xml:space="preserve">de los Servidores Públicos Habilitados de la </w:t>
      </w:r>
      <w:r w:rsidR="00202501" w:rsidRPr="00202501">
        <w:rPr>
          <w:rFonts w:ascii="Palatino Linotype" w:eastAsiaTheme="minorHAnsi" w:hAnsi="Palatino Linotype" w:cs="Arial"/>
          <w:b/>
          <w:lang w:val="es-MX" w:eastAsia="en-US"/>
        </w:rPr>
        <w:t>Secretaría Particular</w:t>
      </w:r>
      <w:r w:rsidR="00202501">
        <w:rPr>
          <w:rFonts w:ascii="Palatino Linotype" w:eastAsiaTheme="minorHAnsi" w:hAnsi="Palatino Linotype" w:cs="Arial"/>
          <w:bCs/>
          <w:lang w:val="es-MX" w:eastAsia="en-US"/>
        </w:rPr>
        <w:t xml:space="preserve"> y de la </w:t>
      </w:r>
      <w:r w:rsidR="00202501" w:rsidRPr="00202501">
        <w:rPr>
          <w:rFonts w:ascii="Palatino Linotype" w:eastAsiaTheme="minorHAnsi" w:hAnsi="Palatino Linotype" w:cs="Arial"/>
          <w:b/>
          <w:lang w:val="es-MX" w:eastAsia="en-US"/>
        </w:rPr>
        <w:t>Coordinación de Estudios y Reglamentación Municipal</w:t>
      </w:r>
      <w:r w:rsidR="00202501">
        <w:rPr>
          <w:rFonts w:ascii="Palatino Linotype" w:eastAsiaTheme="minorHAnsi" w:hAnsi="Palatino Linotype" w:cs="Arial"/>
          <w:bCs/>
          <w:lang w:val="es-MX" w:eastAsia="en-US"/>
        </w:rPr>
        <w:t xml:space="preserve">; informaron que, </w:t>
      </w:r>
      <w:r w:rsidR="00202501" w:rsidRPr="008D4A0F">
        <w:rPr>
          <w:rFonts w:ascii="Palatino Linotype" w:eastAsiaTheme="minorHAnsi" w:hAnsi="Palatino Linotype" w:cstheme="minorBidi"/>
          <w:b/>
          <w:bCs/>
          <w:u w:val="single"/>
          <w:lang w:val="es-MX" w:eastAsia="es-MX"/>
        </w:rPr>
        <w:t>no se cuenta con el convenio entre el ayuntamiento de Toluca y el INE O IEEM para la vigilancia de las elecciones de las autoridades auxiliares 2025 o con objeto similar.</w:t>
      </w:r>
    </w:p>
    <w:p w14:paraId="41D90F73" w14:textId="77777777" w:rsidR="00053340" w:rsidRPr="00053340" w:rsidRDefault="00053340" w:rsidP="00690BFF">
      <w:pPr>
        <w:spacing w:line="360" w:lineRule="auto"/>
        <w:ind w:right="49"/>
        <w:jc w:val="both"/>
        <w:rPr>
          <w:rFonts w:ascii="Palatino Linotype" w:eastAsiaTheme="minorHAnsi" w:hAnsi="Palatino Linotype" w:cstheme="minorBidi"/>
          <w:b/>
          <w:bCs/>
          <w:u w:val="single"/>
          <w:lang w:val="es-MX" w:eastAsia="es-MX"/>
        </w:rPr>
      </w:pPr>
    </w:p>
    <w:p w14:paraId="4D6FE12A" w14:textId="6916C6C1" w:rsidR="00202501" w:rsidRDefault="00053340" w:rsidP="00690BFF">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No obstante, </w:t>
      </w:r>
      <w:r w:rsidRPr="00053340">
        <w:rPr>
          <w:rFonts w:ascii="Palatino Linotype" w:eastAsiaTheme="minorHAnsi" w:hAnsi="Palatino Linotype" w:cs="Arial"/>
          <w:bCs/>
          <w:lang w:val="es-MX" w:eastAsia="en-US"/>
        </w:rPr>
        <w:t>en aras de allegarse de elementos para mejor proveer, se localiz</w:t>
      </w:r>
      <w:r>
        <w:rPr>
          <w:rFonts w:ascii="Palatino Linotype" w:eastAsiaTheme="minorHAnsi" w:hAnsi="Palatino Linotype" w:cs="Arial"/>
          <w:bCs/>
          <w:lang w:val="es-MX" w:eastAsia="en-US"/>
        </w:rPr>
        <w:t>aron</w:t>
      </w:r>
      <w:r w:rsidRPr="00053340">
        <w:rPr>
          <w:rFonts w:ascii="Palatino Linotype" w:eastAsiaTheme="minorHAnsi" w:hAnsi="Palatino Linotype" w:cs="Arial"/>
          <w:bCs/>
          <w:lang w:val="es-MX" w:eastAsia="en-US"/>
        </w:rPr>
        <w:t xml:space="preserve"> </w:t>
      </w:r>
      <w:r>
        <w:rPr>
          <w:rFonts w:ascii="Palatino Linotype" w:eastAsiaTheme="minorHAnsi" w:hAnsi="Palatino Linotype" w:cs="Arial"/>
          <w:bCs/>
          <w:lang w:val="es-MX" w:eastAsia="en-US"/>
        </w:rPr>
        <w:t xml:space="preserve">diversas publicaciones en las páginas oficiales del Ayuntamiento de Toluca y del </w:t>
      </w:r>
      <w:r w:rsidRPr="00053340">
        <w:rPr>
          <w:rFonts w:ascii="Palatino Linotype" w:eastAsiaTheme="minorHAnsi" w:hAnsi="Palatino Linotype" w:cs="Arial"/>
          <w:bCs/>
          <w:lang w:val="es-MX" w:eastAsia="en-US"/>
        </w:rPr>
        <w:t>Instituto Electoral del Estado de México (IEEM)</w:t>
      </w:r>
      <w:r>
        <w:rPr>
          <w:rFonts w:ascii="Palatino Linotype" w:eastAsiaTheme="minorHAnsi" w:hAnsi="Palatino Linotype" w:cs="Arial"/>
          <w:bCs/>
          <w:lang w:val="es-MX" w:eastAsia="en-US"/>
        </w:rPr>
        <w:t>, de conformidad con lo siguiente:</w:t>
      </w:r>
    </w:p>
    <w:p w14:paraId="55652686" w14:textId="77777777" w:rsidR="00053340" w:rsidRDefault="00053340" w:rsidP="00690BFF">
      <w:pPr>
        <w:spacing w:line="360" w:lineRule="auto"/>
        <w:ind w:right="49"/>
        <w:jc w:val="both"/>
        <w:rPr>
          <w:rFonts w:ascii="Palatino Linotype" w:eastAsiaTheme="minorHAnsi" w:hAnsi="Palatino Linotype" w:cs="Arial"/>
          <w:bCs/>
          <w:lang w:val="es-MX" w:eastAsia="en-US"/>
        </w:rPr>
      </w:pPr>
    </w:p>
    <w:p w14:paraId="50ACA0B4" w14:textId="5F9D2A5B" w:rsidR="00053340" w:rsidRPr="00053340" w:rsidRDefault="002536FD" w:rsidP="00053340">
      <w:pPr>
        <w:pStyle w:val="Prrafodelista"/>
        <w:numPr>
          <w:ilvl w:val="0"/>
          <w:numId w:val="25"/>
        </w:numPr>
        <w:spacing w:line="360" w:lineRule="auto"/>
        <w:ind w:right="49"/>
        <w:jc w:val="both"/>
        <w:rPr>
          <w:rFonts w:ascii="Palatino Linotype" w:eastAsiaTheme="minorHAnsi" w:hAnsi="Palatino Linotype" w:cs="Arial"/>
          <w:bCs/>
          <w:lang w:val="es-MX" w:eastAsia="en-US"/>
        </w:rPr>
      </w:pPr>
      <w:hyperlink r:id="rId9" w:history="1">
        <w:r w:rsidR="00053340" w:rsidRPr="00053340">
          <w:rPr>
            <w:color w:val="0000FF"/>
            <w:u w:val="single"/>
          </w:rPr>
          <w:t>Formaliza Toluca convenio con IEEM para elecciones de autoridades auxiliares - Ayuntamiento de Toluca</w:t>
        </w:r>
      </w:hyperlink>
    </w:p>
    <w:p w14:paraId="5BBAEB5B" w14:textId="77777777" w:rsidR="00053340" w:rsidRPr="00053340" w:rsidRDefault="00053340" w:rsidP="00053340">
      <w:pPr>
        <w:pStyle w:val="Prrafodelista"/>
        <w:spacing w:line="360" w:lineRule="auto"/>
        <w:ind w:left="720" w:right="49"/>
        <w:jc w:val="both"/>
        <w:rPr>
          <w:rFonts w:ascii="Palatino Linotype" w:eastAsiaTheme="minorHAnsi" w:hAnsi="Palatino Linotype" w:cs="Arial"/>
          <w:bCs/>
          <w:lang w:val="es-MX" w:eastAsia="en-US"/>
        </w:rPr>
      </w:pPr>
    </w:p>
    <w:p w14:paraId="3D2FCFF3" w14:textId="20571D0F" w:rsidR="00053340" w:rsidRPr="00BD6FAE" w:rsidRDefault="002536FD" w:rsidP="00053340">
      <w:pPr>
        <w:pStyle w:val="Prrafodelista"/>
        <w:numPr>
          <w:ilvl w:val="0"/>
          <w:numId w:val="25"/>
        </w:numPr>
        <w:spacing w:line="360" w:lineRule="auto"/>
        <w:ind w:right="49"/>
        <w:jc w:val="both"/>
        <w:rPr>
          <w:rFonts w:ascii="Palatino Linotype" w:eastAsiaTheme="minorHAnsi" w:hAnsi="Palatino Linotype" w:cs="Arial"/>
          <w:bCs/>
          <w:lang w:val="es-MX" w:eastAsia="en-US"/>
        </w:rPr>
      </w:pPr>
      <w:hyperlink r:id="rId10" w:history="1">
        <w:r w:rsidR="00053340" w:rsidRPr="0033287D">
          <w:rPr>
            <w:rStyle w:val="Hipervnculo"/>
            <w:rFonts w:ascii="Palatino Linotype" w:eastAsiaTheme="minorHAnsi" w:hAnsi="Palatino Linotype" w:cs="Arial"/>
            <w:bCs/>
            <w:lang w:val="es-MX" w:eastAsia="en-US"/>
          </w:rPr>
          <w:t>https://medioteca.ieem.org.mx/index.php/prensa-cs/bole-cs/item/7338-ieem-firma-convenios-de-colaboracion-para-colaborarn-en-la-eleccion-de-autoridades-auxiliares-municipales</w:t>
        </w:r>
      </w:hyperlink>
      <w:r w:rsidR="00053340">
        <w:rPr>
          <w:rFonts w:ascii="Palatino Linotype" w:eastAsiaTheme="minorHAnsi" w:hAnsi="Palatino Linotype" w:cs="Arial"/>
          <w:bCs/>
          <w:lang w:val="es-MX" w:eastAsia="en-US"/>
        </w:rPr>
        <w:t xml:space="preserve"> </w:t>
      </w:r>
    </w:p>
    <w:p w14:paraId="47F68A49" w14:textId="362562A7" w:rsidR="00053340" w:rsidRDefault="00053340" w:rsidP="00053340">
      <w:pPr>
        <w:spacing w:line="360" w:lineRule="auto"/>
        <w:ind w:right="49"/>
        <w:jc w:val="center"/>
        <w:rPr>
          <w:rFonts w:ascii="Palatino Linotype" w:eastAsiaTheme="minorHAnsi" w:hAnsi="Palatino Linotype" w:cs="Arial"/>
          <w:bCs/>
          <w:lang w:val="es-MX" w:eastAsia="en-US"/>
        </w:rPr>
      </w:pPr>
      <w:r w:rsidRPr="00053340">
        <w:rPr>
          <w:rFonts w:ascii="Palatino Linotype" w:eastAsiaTheme="minorHAnsi" w:hAnsi="Palatino Linotype" w:cs="Arial"/>
          <w:bCs/>
          <w:noProof/>
          <w:lang w:val="es-MX" w:eastAsia="es-MX"/>
        </w:rPr>
        <w:drawing>
          <wp:inline distT="0" distB="0" distL="0" distR="0" wp14:anchorId="073F7C19" wp14:editId="62FCF0AE">
            <wp:extent cx="5080179" cy="2377440"/>
            <wp:effectExtent l="190500" t="190500" r="196850" b="194310"/>
            <wp:docPr id="846914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4029" name=""/>
                    <pic:cNvPicPr/>
                  </pic:nvPicPr>
                  <pic:blipFill>
                    <a:blip r:embed="rId11"/>
                    <a:stretch>
                      <a:fillRect/>
                    </a:stretch>
                  </pic:blipFill>
                  <pic:spPr>
                    <a:xfrm>
                      <a:off x="0" y="0"/>
                      <a:ext cx="5105065" cy="2389086"/>
                    </a:xfrm>
                    <a:prstGeom prst="rect">
                      <a:avLst/>
                    </a:prstGeom>
                    <a:ln>
                      <a:noFill/>
                    </a:ln>
                    <a:effectLst>
                      <a:outerShdw blurRad="190500" algn="tl" rotWithShape="0">
                        <a:srgbClr val="000000">
                          <a:alpha val="70000"/>
                        </a:srgbClr>
                      </a:outerShdw>
                    </a:effectLst>
                  </pic:spPr>
                </pic:pic>
              </a:graphicData>
            </a:graphic>
          </wp:inline>
        </w:drawing>
      </w:r>
    </w:p>
    <w:p w14:paraId="72B9D36A" w14:textId="5DF0770D" w:rsidR="00053340" w:rsidRDefault="00053340" w:rsidP="00BD6FAE">
      <w:pPr>
        <w:spacing w:line="360" w:lineRule="auto"/>
        <w:ind w:right="49"/>
        <w:jc w:val="center"/>
        <w:rPr>
          <w:rFonts w:ascii="Palatino Linotype" w:eastAsiaTheme="minorHAnsi" w:hAnsi="Palatino Linotype" w:cs="Arial"/>
          <w:bCs/>
          <w:lang w:val="es-MX" w:eastAsia="en-US"/>
        </w:rPr>
      </w:pPr>
      <w:r w:rsidRPr="00053340">
        <w:rPr>
          <w:rFonts w:ascii="Palatino Linotype" w:eastAsiaTheme="minorHAnsi" w:hAnsi="Palatino Linotype" w:cs="Arial"/>
          <w:bCs/>
          <w:noProof/>
          <w:lang w:val="es-MX" w:eastAsia="es-MX"/>
        </w:rPr>
        <w:drawing>
          <wp:inline distT="0" distB="0" distL="0" distR="0" wp14:anchorId="6D141D23" wp14:editId="41CA8B21">
            <wp:extent cx="5086571" cy="3235960"/>
            <wp:effectExtent l="190500" t="190500" r="190500" b="193040"/>
            <wp:docPr id="1604867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67292" name=""/>
                    <pic:cNvPicPr/>
                  </pic:nvPicPr>
                  <pic:blipFill>
                    <a:blip r:embed="rId12"/>
                    <a:stretch>
                      <a:fillRect/>
                    </a:stretch>
                  </pic:blipFill>
                  <pic:spPr>
                    <a:xfrm>
                      <a:off x="0" y="0"/>
                      <a:ext cx="5130363" cy="3263819"/>
                    </a:xfrm>
                    <a:prstGeom prst="rect">
                      <a:avLst/>
                    </a:prstGeom>
                    <a:ln>
                      <a:noFill/>
                    </a:ln>
                    <a:effectLst>
                      <a:outerShdw blurRad="190500" algn="tl" rotWithShape="0">
                        <a:srgbClr val="000000">
                          <a:alpha val="70000"/>
                        </a:srgbClr>
                      </a:outerShdw>
                    </a:effectLst>
                  </pic:spPr>
                </pic:pic>
              </a:graphicData>
            </a:graphic>
          </wp:inline>
        </w:drawing>
      </w:r>
    </w:p>
    <w:p w14:paraId="676EC7C2" w14:textId="07FBF5F9" w:rsidR="00C07CB1" w:rsidRDefault="00C07CB1" w:rsidP="00BD6FAE">
      <w:pPr>
        <w:pBdr>
          <w:top w:val="nil"/>
          <w:left w:val="nil"/>
          <w:bottom w:val="nil"/>
          <w:right w:val="nil"/>
          <w:between w:val="nil"/>
        </w:pBdr>
        <w:spacing w:line="360" w:lineRule="auto"/>
        <w:jc w:val="both"/>
        <w:rPr>
          <w:rFonts w:ascii="Palatino Linotype" w:eastAsia="Palatino Linotype" w:hAnsi="Palatino Linotype" w:cs="Palatino Linotype"/>
          <w:bCs/>
          <w:iCs/>
          <w:lang w:val="es-MX" w:eastAsia="es-MX"/>
        </w:rPr>
      </w:pPr>
      <w:r w:rsidRPr="00C07CB1">
        <w:rPr>
          <w:rFonts w:ascii="Palatino Linotype" w:eastAsia="Palatino Linotype" w:hAnsi="Palatino Linotype" w:cs="Palatino Linotype"/>
          <w:bCs/>
          <w:lang w:val="es-MX" w:eastAsia="es-MX"/>
        </w:rPr>
        <w:lastRenderedPageBreak/>
        <w:t xml:space="preserve">En ese contexto, </w:t>
      </w:r>
      <w:r w:rsidR="00BD6FAE">
        <w:rPr>
          <w:rFonts w:ascii="Palatino Linotype" w:eastAsia="Palatino Linotype" w:hAnsi="Palatino Linotype" w:cs="Palatino Linotype"/>
          <w:bCs/>
          <w:lang w:val="es-MX" w:eastAsia="es-MX"/>
        </w:rPr>
        <w:t xml:space="preserve">dichas publicaciones se convierten en </w:t>
      </w:r>
      <w:r w:rsidRPr="00C07CB1">
        <w:rPr>
          <w:rFonts w:ascii="Palatino Linotype" w:eastAsia="Palatino Linotype" w:hAnsi="Palatino Linotype" w:cs="Palatino Linotype"/>
          <w:bCs/>
          <w:i/>
          <w:sz w:val="22"/>
          <w:szCs w:val="22"/>
          <w:lang w:val="es-MX" w:eastAsia="es-MX"/>
        </w:rPr>
        <w:t xml:space="preserve">“público y notorio”, </w:t>
      </w:r>
      <w:r w:rsidRPr="00BD6FAE">
        <w:rPr>
          <w:rFonts w:ascii="Palatino Linotype" w:eastAsia="Palatino Linotype" w:hAnsi="Palatino Linotype" w:cs="Palatino Linotype"/>
          <w:bCs/>
          <w:iCs/>
          <w:lang w:val="es-MX" w:eastAsia="es-MX"/>
        </w:rPr>
        <w:t xml:space="preserve">toda vez que se entiende por “notorio” lo que es público y sabido de todos, o un hecho cuyo conocimiento forme parte de la cultura propia de un círculo social determinado, en el tiempo de su realización. </w:t>
      </w:r>
    </w:p>
    <w:p w14:paraId="2FC2BE7F" w14:textId="77777777" w:rsidR="00C07CB1" w:rsidRPr="00C07CB1" w:rsidRDefault="00C07CB1" w:rsidP="00C07CB1">
      <w:pPr>
        <w:pBdr>
          <w:top w:val="nil"/>
          <w:left w:val="nil"/>
          <w:bottom w:val="nil"/>
          <w:right w:val="nil"/>
          <w:between w:val="nil"/>
        </w:pBdr>
        <w:spacing w:line="360" w:lineRule="auto"/>
        <w:jc w:val="both"/>
        <w:rPr>
          <w:rFonts w:ascii="Palatino Linotype" w:eastAsia="Palatino Linotype" w:hAnsi="Palatino Linotype" w:cs="Palatino Linotype"/>
          <w:bCs/>
          <w:lang w:val="es-MX" w:eastAsia="es-MX"/>
        </w:rPr>
      </w:pPr>
    </w:p>
    <w:p w14:paraId="273E351C" w14:textId="6364A7BE" w:rsidR="00C07CB1" w:rsidRDefault="00C07CB1" w:rsidP="00C07CB1">
      <w:pPr>
        <w:spacing w:line="360" w:lineRule="auto"/>
        <w:ind w:right="-312"/>
        <w:contextualSpacing/>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 xml:space="preserve">Bajo ese tenor, de una interpretación armónica a lo hasta aquí expuesto, es claro que </w:t>
      </w:r>
      <w:r w:rsidRPr="00C07CB1">
        <w:rPr>
          <w:rFonts w:ascii="Palatino Linotype" w:eastAsia="Palatino Linotype" w:hAnsi="Palatino Linotype" w:cs="Arial"/>
          <w:noProof/>
          <w:color w:val="000000"/>
          <w:lang w:eastAsia="es-MX"/>
        </w:rPr>
        <w:t xml:space="preserve">la respuesta primigenia del </w:t>
      </w:r>
      <w:r w:rsidRPr="00C07CB1">
        <w:rPr>
          <w:rFonts w:ascii="Palatino Linotype" w:eastAsia="Palatino Linotype" w:hAnsi="Palatino Linotype" w:cs="Arial"/>
          <w:b/>
          <w:noProof/>
          <w:color w:val="000000"/>
          <w:lang w:eastAsia="es-MX"/>
        </w:rPr>
        <w:t xml:space="preserve">Sujeto Obligado </w:t>
      </w:r>
      <w:r w:rsidRPr="00C07CB1">
        <w:rPr>
          <w:rFonts w:ascii="Palatino Linotype" w:eastAsia="Palatino Linotype" w:hAnsi="Palatino Linotype" w:cs="Arial"/>
          <w:noProof/>
          <w:color w:val="000000"/>
          <w:lang w:eastAsia="es-MX"/>
        </w:rPr>
        <w:t>no</w:t>
      </w:r>
      <w:r w:rsidRPr="00C07CB1">
        <w:rPr>
          <w:rFonts w:ascii="Palatino Linotype" w:eastAsia="Palatino Linotype" w:hAnsi="Palatino Linotype" w:cs="Arial"/>
          <w:b/>
          <w:noProof/>
          <w:color w:val="000000"/>
          <w:lang w:eastAsia="es-MX"/>
        </w:rPr>
        <w:t xml:space="preserve"> </w:t>
      </w:r>
      <w:r w:rsidRPr="00C07CB1">
        <w:rPr>
          <w:rFonts w:ascii="Palatino Linotype" w:eastAsia="Palatino Linotype" w:hAnsi="Palatino Linotype" w:cs="Arial"/>
          <w:noProof/>
          <w:color w:val="000000"/>
          <w:lang w:eastAsia="es-MX"/>
        </w:rPr>
        <w:t xml:space="preserve">se encuentra dotada de la </w:t>
      </w:r>
      <w:r w:rsidRPr="00C07CB1">
        <w:rPr>
          <w:rFonts w:ascii="Palatino Linotype" w:eastAsia="Palatino Linotype" w:hAnsi="Palatino Linotype" w:cs="Palatino Linotype"/>
          <w:lang w:val="es-MX" w:eastAsia="es-MX"/>
        </w:rPr>
        <w:t>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0B1364D" w14:textId="77777777" w:rsidR="00C07CB1" w:rsidRPr="00C07CB1" w:rsidRDefault="00C07CB1" w:rsidP="00C07CB1">
      <w:pPr>
        <w:spacing w:line="360" w:lineRule="auto"/>
        <w:ind w:right="-312"/>
        <w:contextualSpacing/>
        <w:jc w:val="both"/>
        <w:rPr>
          <w:rFonts w:ascii="Palatino Linotype" w:eastAsia="Palatino Linotype" w:hAnsi="Palatino Linotype" w:cs="Palatino Linotype"/>
          <w:lang w:val="es-MX" w:eastAsia="es-MX"/>
        </w:rPr>
      </w:pPr>
    </w:p>
    <w:p w14:paraId="188849A4" w14:textId="77777777" w:rsidR="00C07CB1" w:rsidRDefault="00C07CB1" w:rsidP="00C07CB1">
      <w:p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 xml:space="preserve">En ese contexto, de conformidad con los </w:t>
      </w:r>
      <w:r w:rsidRPr="00C07CB1">
        <w:rPr>
          <w:rFonts w:ascii="Palatino Linotype" w:eastAsia="Palatino Linotype" w:hAnsi="Palatino Linotype" w:cs="Palatino Linotype"/>
          <w:b/>
          <w:lang w:val="es-MX" w:eastAsia="es-MX"/>
        </w:rPr>
        <w:t>criterios orientadores 12/10 y 04/19</w:t>
      </w:r>
      <w:r w:rsidRPr="00C07CB1">
        <w:rPr>
          <w:rFonts w:ascii="Palatino Linotype" w:eastAsia="Palatino Linotype" w:hAnsi="Palatino Linotype" w:cs="Palatino Linotype"/>
          <w:lang w:val="es-MX" w:eastAsia="es-MX"/>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3A6207E" w14:textId="77777777" w:rsidR="00BD6FAE" w:rsidRPr="00C07CB1" w:rsidRDefault="00BD6FAE" w:rsidP="00C07CB1">
      <w:pPr>
        <w:spacing w:line="360" w:lineRule="auto"/>
        <w:jc w:val="both"/>
        <w:rPr>
          <w:rFonts w:ascii="Palatino Linotype" w:eastAsia="Palatino Linotype" w:hAnsi="Palatino Linotype" w:cs="Palatino Linotype"/>
          <w:lang w:val="es-MX" w:eastAsia="es-MX"/>
        </w:rPr>
      </w:pPr>
    </w:p>
    <w:p w14:paraId="5B909E26" w14:textId="77777777" w:rsidR="00C07CB1" w:rsidRPr="00C07CB1" w:rsidRDefault="00C07CB1" w:rsidP="00C07CB1">
      <w:pPr>
        <w:numPr>
          <w:ilvl w:val="0"/>
          <w:numId w:val="29"/>
        </w:num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Motivación por las que se buscó la información, en determinadas unidades administrativas;</w:t>
      </w:r>
    </w:p>
    <w:p w14:paraId="560FFB89" w14:textId="77777777" w:rsidR="00C07CB1" w:rsidRPr="00C07CB1" w:rsidRDefault="00C07CB1" w:rsidP="00C07CB1">
      <w:pPr>
        <w:numPr>
          <w:ilvl w:val="0"/>
          <w:numId w:val="29"/>
        </w:num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Los criterios de búsqueda utilizados, y</w:t>
      </w:r>
    </w:p>
    <w:p w14:paraId="3E31878B" w14:textId="77777777" w:rsidR="00C07CB1" w:rsidRPr="00C07CB1" w:rsidRDefault="00C07CB1" w:rsidP="00C07CB1">
      <w:pPr>
        <w:numPr>
          <w:ilvl w:val="0"/>
          <w:numId w:val="29"/>
        </w:num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Las circunstancias que fueron tomadas en cuenta.</w:t>
      </w:r>
    </w:p>
    <w:p w14:paraId="0D29B1FF" w14:textId="77777777" w:rsidR="00C07CB1" w:rsidRPr="00C07CB1" w:rsidRDefault="00C07CB1" w:rsidP="00C07CB1">
      <w:pPr>
        <w:pStyle w:val="Sinespaciado"/>
        <w:rPr>
          <w:rFonts w:eastAsia="Palatino Linotype"/>
          <w:lang w:eastAsia="es-MX"/>
        </w:rPr>
      </w:pPr>
    </w:p>
    <w:p w14:paraId="139E3697" w14:textId="77777777" w:rsidR="00C07CB1" w:rsidRPr="00C07CB1" w:rsidRDefault="00C07CB1" w:rsidP="00C07CB1">
      <w:p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lastRenderedPageBreak/>
        <w:t>De tales circunstancias, se considera que para que los Sujetos Obligados justifiquen que realizaron una búsqueda exhaustiva y razonable, deben indicar de manera clara, lo siguiente:</w:t>
      </w:r>
    </w:p>
    <w:p w14:paraId="37A1061D" w14:textId="77777777" w:rsidR="00C07CB1" w:rsidRPr="00C07CB1" w:rsidRDefault="00C07CB1" w:rsidP="00C07CB1">
      <w:pPr>
        <w:pStyle w:val="Sinespaciado"/>
        <w:rPr>
          <w:rFonts w:eastAsia="Palatino Linotype"/>
          <w:lang w:eastAsia="es-MX"/>
        </w:rPr>
      </w:pPr>
    </w:p>
    <w:p w14:paraId="37745669" w14:textId="77777777" w:rsidR="00C07CB1" w:rsidRPr="00C07CB1" w:rsidRDefault="00C07CB1" w:rsidP="00C07CB1">
      <w:pPr>
        <w:numPr>
          <w:ilvl w:val="0"/>
          <w:numId w:val="30"/>
        </w:num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Las áreas donde se buscó la información;</w:t>
      </w:r>
    </w:p>
    <w:p w14:paraId="0523C5C0" w14:textId="77777777" w:rsidR="00C07CB1" w:rsidRPr="00C07CB1" w:rsidRDefault="00C07CB1" w:rsidP="00C07CB1">
      <w:pPr>
        <w:numPr>
          <w:ilvl w:val="0"/>
          <w:numId w:val="30"/>
        </w:num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Tipo de archivos buscados (físicos o electrónicos);</w:t>
      </w:r>
    </w:p>
    <w:p w14:paraId="486614CA" w14:textId="77777777" w:rsidR="00C07CB1" w:rsidRPr="00C07CB1" w:rsidRDefault="00C07CB1" w:rsidP="00C07CB1">
      <w:pPr>
        <w:numPr>
          <w:ilvl w:val="0"/>
          <w:numId w:val="30"/>
        </w:num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 xml:space="preserve">Los criterios de búsqueda utilizados, y </w:t>
      </w:r>
    </w:p>
    <w:p w14:paraId="0F387283" w14:textId="77777777" w:rsidR="00C07CB1" w:rsidRPr="00C07CB1" w:rsidRDefault="00C07CB1" w:rsidP="00C07CB1">
      <w:pPr>
        <w:numPr>
          <w:ilvl w:val="0"/>
          <w:numId w:val="30"/>
        </w:num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Palatino Linotype"/>
          <w:lang w:val="es-MX" w:eastAsia="es-MX"/>
        </w:rPr>
        <w:t>Las circunstancias que fueron tomadas en cuenta.</w:t>
      </w:r>
    </w:p>
    <w:p w14:paraId="038DB900" w14:textId="77777777" w:rsidR="00C07CB1" w:rsidRPr="00C07CB1" w:rsidRDefault="00C07CB1" w:rsidP="00C07CB1">
      <w:pPr>
        <w:pStyle w:val="Sinespaciado"/>
        <w:rPr>
          <w:rFonts w:eastAsia="Palatino Linotype"/>
          <w:lang w:eastAsia="es-MX"/>
        </w:rPr>
      </w:pPr>
    </w:p>
    <w:p w14:paraId="44969D14" w14:textId="322D1A18" w:rsidR="00C07CB1" w:rsidRDefault="00C07CB1" w:rsidP="00C07CB1">
      <w:pPr>
        <w:spacing w:line="360" w:lineRule="auto"/>
        <w:jc w:val="both"/>
        <w:rPr>
          <w:rFonts w:ascii="Palatino Linotype" w:eastAsia="Palatino Linotype" w:hAnsi="Palatino Linotype" w:cs="Palatino Linotype"/>
          <w:color w:val="000000"/>
          <w:lang w:val="es-MX" w:eastAsia="es-MX"/>
        </w:rPr>
      </w:pPr>
      <w:r w:rsidRPr="00C07CB1">
        <w:rPr>
          <w:rFonts w:ascii="Palatino Linotype" w:eastAsia="Palatino Linotype" w:hAnsi="Palatino Linotype" w:cs="Palatino Linotype"/>
          <w:color w:val="000000"/>
          <w:lang w:val="es-MX" w:eastAsia="es-MX"/>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76306FD0" w14:textId="77777777" w:rsidR="00C07CB1" w:rsidRPr="00C07CB1" w:rsidRDefault="00C07CB1" w:rsidP="00C07CB1">
      <w:pPr>
        <w:spacing w:line="360" w:lineRule="auto"/>
        <w:jc w:val="both"/>
        <w:rPr>
          <w:rFonts w:ascii="Palatino Linotype" w:eastAsia="Palatino Linotype" w:hAnsi="Palatino Linotype" w:cs="Palatino Linotype"/>
          <w:color w:val="000000"/>
          <w:lang w:val="es-MX" w:eastAsia="es-MX"/>
        </w:rPr>
      </w:pPr>
    </w:p>
    <w:p w14:paraId="6114DE82" w14:textId="77777777" w:rsidR="00C07CB1" w:rsidRPr="00C07CB1" w:rsidRDefault="00C07CB1" w:rsidP="00C07CB1">
      <w:pPr>
        <w:spacing w:line="360" w:lineRule="auto"/>
        <w:jc w:val="both"/>
        <w:rPr>
          <w:rFonts w:ascii="Palatino Linotype" w:eastAsia="Palatino Linotype" w:hAnsi="Palatino Linotype" w:cs="Palatino Linotype"/>
          <w:color w:val="000000"/>
          <w:lang w:val="es-MX" w:eastAsia="es-MX"/>
        </w:rPr>
      </w:pPr>
      <w:r w:rsidRPr="00C07CB1">
        <w:rPr>
          <w:rFonts w:ascii="Palatino Linotype" w:eastAsia="Palatino Linotype" w:hAnsi="Palatino Linotype" w:cs="Palatino Linotype"/>
          <w:color w:val="000000"/>
          <w:lang w:val="es-MX" w:eastAsia="es-MX"/>
        </w:rPr>
        <w:t>Lo anterior ocasiona que en el caso no se cumpliera con el principio de búsqueda exhaustiva de la información requerida, cuyo alcance se encuentra establecido en el Criterio Reiterado 02/19 emitido por el Pleno de este Organismo Garante, a saber:</w:t>
      </w:r>
    </w:p>
    <w:p w14:paraId="78A8FDAF" w14:textId="77777777" w:rsidR="00C07CB1" w:rsidRPr="00C07CB1" w:rsidRDefault="00C07CB1" w:rsidP="00C07CB1">
      <w:pPr>
        <w:spacing w:line="360" w:lineRule="auto"/>
        <w:jc w:val="both"/>
        <w:rPr>
          <w:rFonts w:ascii="Palatino Linotype" w:eastAsia="Palatino Linotype" w:hAnsi="Palatino Linotype" w:cs="Palatino Linotype"/>
          <w:color w:val="000000"/>
          <w:sz w:val="22"/>
          <w:szCs w:val="22"/>
          <w:lang w:val="es-MX" w:eastAsia="es-MX"/>
        </w:rPr>
      </w:pPr>
    </w:p>
    <w:p w14:paraId="06192853" w14:textId="77777777" w:rsidR="00C07CB1" w:rsidRPr="00C07CB1" w:rsidRDefault="00C07CB1" w:rsidP="00C07CB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lang w:val="es-MX" w:eastAsia="es-MX"/>
        </w:rPr>
      </w:pPr>
      <w:r w:rsidRPr="00C07CB1">
        <w:rPr>
          <w:rFonts w:ascii="Palatino Linotype" w:eastAsia="Palatino Linotype" w:hAnsi="Palatino Linotype" w:cs="Palatino Linotype"/>
          <w:i/>
          <w:color w:val="000000"/>
          <w:sz w:val="22"/>
          <w:szCs w:val="22"/>
          <w:lang w:val="es-MX" w:eastAsia="es-MX"/>
        </w:rPr>
        <w:t>“</w:t>
      </w:r>
      <w:r w:rsidRPr="00C07CB1">
        <w:rPr>
          <w:rFonts w:ascii="Palatino Linotype" w:eastAsia="Palatino Linotype" w:hAnsi="Palatino Linotype" w:cs="Palatino Linotype"/>
          <w:b/>
          <w:i/>
          <w:color w:val="000000"/>
          <w:sz w:val="22"/>
          <w:szCs w:val="22"/>
          <w:lang w:val="es-MX" w:eastAsia="es-MX"/>
        </w:rPr>
        <w:t>BÚSQUEDA EXHAUSTIVA. SU EJERCICIO PARA LOCALIZAR LA INFORMACIÓN SOLICITADA, NO CONSTITUYE UNA INVESTIGACIÓN A LA CUAL SE REFIERE EL ARTÍCULO 12 DE LA LEY DE TRANSPARENCIA Y ACCESO A LA INFORMACIÓN PÚBLICA DEL ESTADO DE MÉXICO Y MUNICIPIOS.</w:t>
      </w:r>
      <w:r w:rsidRPr="00C07CB1">
        <w:rPr>
          <w:rFonts w:ascii="Palatino Linotype" w:eastAsia="Palatino Linotype" w:hAnsi="Palatino Linotype" w:cs="Palatino Linotype"/>
          <w:i/>
          <w:color w:val="000000"/>
          <w:sz w:val="22"/>
          <w:szCs w:val="22"/>
          <w:lang w:val="es-MX" w:eastAsia="es-MX"/>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w:t>
      </w:r>
      <w:r w:rsidRPr="00C07CB1">
        <w:rPr>
          <w:rFonts w:ascii="Palatino Linotype" w:eastAsia="Palatino Linotype" w:hAnsi="Palatino Linotype" w:cs="Palatino Linotype"/>
          <w:i/>
          <w:color w:val="000000"/>
          <w:sz w:val="22"/>
          <w:szCs w:val="22"/>
          <w:lang w:val="es-MX" w:eastAsia="es-MX"/>
        </w:rPr>
        <w:lastRenderedPageBreak/>
        <w:t>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E2CB479" w14:textId="77777777" w:rsidR="00C07CB1" w:rsidRPr="00C07CB1" w:rsidRDefault="00C07CB1" w:rsidP="00C07CB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MX" w:eastAsia="es-MX"/>
        </w:rPr>
      </w:pPr>
    </w:p>
    <w:p w14:paraId="7F956365" w14:textId="32291507" w:rsidR="00C07CB1" w:rsidRDefault="00C07CB1" w:rsidP="00C07CB1">
      <w:pPr>
        <w:spacing w:line="360" w:lineRule="auto"/>
        <w:jc w:val="both"/>
        <w:rPr>
          <w:rFonts w:ascii="Palatino Linotype" w:eastAsia="Palatino Linotype" w:hAnsi="Palatino Linotype" w:cs="Palatino Linotype"/>
          <w:lang w:val="es-MX" w:eastAsia="es-MX"/>
        </w:rPr>
      </w:pPr>
      <w:r w:rsidRPr="00C07CB1">
        <w:rPr>
          <w:rFonts w:ascii="Palatino Linotype" w:eastAsia="Palatino Linotype" w:hAnsi="Palatino Linotype" w:cs="Tahoma"/>
          <w:lang w:val="es-MX" w:eastAsia="es-MX"/>
        </w:rPr>
        <w:t>En esa tesitura, se concluye que</w:t>
      </w:r>
      <w:r>
        <w:rPr>
          <w:rFonts w:ascii="Palatino Linotype" w:eastAsia="Palatino Linotype" w:hAnsi="Palatino Linotype" w:cs="Tahoma"/>
          <w:lang w:val="es-MX" w:eastAsia="es-MX"/>
        </w:rPr>
        <w:t xml:space="preserve"> el</w:t>
      </w:r>
      <w:r w:rsidRPr="00C07CB1">
        <w:rPr>
          <w:rFonts w:ascii="Palatino Linotype" w:eastAsia="Palatino Linotype" w:hAnsi="Palatino Linotype" w:cs="Tahoma"/>
          <w:b/>
          <w:bCs/>
          <w:lang w:val="es-MX" w:eastAsia="es-MX"/>
        </w:rPr>
        <w:t xml:space="preserve"> Sujeto Obligado</w:t>
      </w:r>
      <w:r w:rsidRPr="00C07CB1">
        <w:rPr>
          <w:rFonts w:ascii="Palatino Linotype" w:eastAsia="Palatino Linotype" w:hAnsi="Palatino Linotype" w:cs="Tahoma"/>
          <w:lang w:val="es-MX" w:eastAsia="es-MX"/>
        </w:rPr>
        <w:t xml:space="preserve"> no atendió el procedimiento de búsqueda de la información requerida, </w:t>
      </w:r>
      <w:r w:rsidRPr="00C07CB1">
        <w:rPr>
          <w:rFonts w:ascii="Palatino Linotype" w:eastAsia="Calibri" w:hAnsi="Palatino Linotype" w:cs="Tahoma"/>
          <w:lang w:val="es-MX" w:eastAsia="es-MX"/>
        </w:rPr>
        <w:t xml:space="preserve">pues al no turnar la solicitud de información a todas las áreas que pudieran tener la información, éstas omitieron pronunciarse respecto a la información requerida, </w:t>
      </w:r>
      <w:r w:rsidRPr="00C07CB1">
        <w:rPr>
          <w:rFonts w:ascii="Palatino Linotype" w:eastAsia="Palatino Linotype" w:hAnsi="Palatino Linotype" w:cs="Palatino Linotype"/>
          <w:lang w:val="es-MX" w:eastAsia="es-MX"/>
        </w:rPr>
        <w:t xml:space="preserve">lo cual da como resultado que no se satisfizo en su totalidad el derecho de acceso a la información del particular, y que la respuesta del </w:t>
      </w:r>
      <w:r w:rsidRPr="00C07CB1">
        <w:rPr>
          <w:rFonts w:ascii="Palatino Linotype" w:eastAsia="Palatino Linotype" w:hAnsi="Palatino Linotype" w:cs="Palatino Linotype"/>
          <w:b/>
          <w:lang w:val="es-MX" w:eastAsia="es-MX"/>
        </w:rPr>
        <w:t xml:space="preserve">Sujeto Obligado </w:t>
      </w:r>
      <w:r w:rsidRPr="00C07CB1">
        <w:rPr>
          <w:rFonts w:ascii="Palatino Linotype" w:eastAsia="Palatino Linotype" w:hAnsi="Palatino Linotype" w:cs="Palatino Linotype"/>
          <w:lang w:val="es-MX" w:eastAsia="es-MX"/>
        </w:rPr>
        <w:t>no atendió el principio de congruencia y exhaustividad, rector en materia de transparencia.</w:t>
      </w:r>
    </w:p>
    <w:p w14:paraId="5CEF9BBC" w14:textId="77777777" w:rsidR="00C07CB1" w:rsidRPr="00C07CB1" w:rsidRDefault="00C07CB1" w:rsidP="00C07CB1">
      <w:pPr>
        <w:spacing w:line="360" w:lineRule="auto"/>
        <w:jc w:val="both"/>
        <w:rPr>
          <w:rFonts w:ascii="Palatino Linotype" w:eastAsia="Palatino Linotype" w:hAnsi="Palatino Linotype" w:cs="Palatino Linotype"/>
          <w:lang w:val="es-MX" w:eastAsia="es-MX"/>
        </w:rPr>
      </w:pPr>
    </w:p>
    <w:p w14:paraId="0A0255AD" w14:textId="77777777" w:rsidR="00C07CB1" w:rsidRDefault="00C07CB1" w:rsidP="00C07CB1">
      <w:pPr>
        <w:pBdr>
          <w:top w:val="nil"/>
          <w:left w:val="nil"/>
          <w:bottom w:val="nil"/>
          <w:right w:val="nil"/>
          <w:between w:val="nil"/>
        </w:pBdr>
        <w:spacing w:line="360" w:lineRule="auto"/>
        <w:jc w:val="both"/>
        <w:rPr>
          <w:rFonts w:ascii="Palatino Linotype" w:eastAsia="Palatino Linotype" w:hAnsi="Palatino Linotype" w:cs="Palatino Linotype"/>
          <w:color w:val="000000"/>
          <w:lang w:val="es-MX" w:eastAsia="es-MX"/>
        </w:rPr>
      </w:pPr>
      <w:r w:rsidRPr="00C07CB1">
        <w:rPr>
          <w:rFonts w:ascii="Palatino Linotype" w:eastAsia="Palatino Linotype" w:hAnsi="Palatino Linotype" w:cs="Palatino Linotype"/>
          <w:color w:val="000000"/>
          <w:lang w:val="es-MX" w:eastAsia="es-MX"/>
        </w:rPr>
        <w:t>En tal sentido, resulta aplicable el Criterio orientador 02/17 emitido por el Peno del entonces Instituto Nacional de Transparencia y Acceso a la Información y Protección de Datos Personales, de título y texto siguientes:</w:t>
      </w:r>
    </w:p>
    <w:p w14:paraId="29F03C16" w14:textId="77777777" w:rsidR="00BD6FAE" w:rsidRPr="00C07CB1" w:rsidRDefault="00BD6FAE" w:rsidP="00BD6FAE">
      <w:pPr>
        <w:pStyle w:val="Sinespaciado"/>
        <w:rPr>
          <w:rFonts w:eastAsia="Palatino Linotype"/>
          <w:lang w:eastAsia="es-MX"/>
        </w:rPr>
      </w:pPr>
    </w:p>
    <w:p w14:paraId="3257ABC2" w14:textId="77777777" w:rsidR="00C07CB1" w:rsidRPr="00C07CB1" w:rsidRDefault="00C07CB1" w:rsidP="00C07CB1">
      <w:pPr>
        <w:pBdr>
          <w:top w:val="nil"/>
          <w:left w:val="nil"/>
          <w:bottom w:val="nil"/>
          <w:right w:val="nil"/>
          <w:between w:val="nil"/>
        </w:pBdr>
        <w:ind w:left="567" w:right="567"/>
        <w:jc w:val="both"/>
        <w:rPr>
          <w:rFonts w:ascii="Palatino Linotype" w:eastAsia="Palatino Linotype" w:hAnsi="Palatino Linotype" w:cs="Palatino Linotype"/>
          <w:b/>
          <w:i/>
          <w:color w:val="000000"/>
          <w:sz w:val="22"/>
          <w:szCs w:val="22"/>
          <w:lang w:val="es-MX" w:eastAsia="es-MX"/>
        </w:rPr>
      </w:pPr>
      <w:r w:rsidRPr="00C07CB1">
        <w:rPr>
          <w:rFonts w:ascii="Palatino Linotype" w:eastAsia="Palatino Linotype" w:hAnsi="Palatino Linotype" w:cs="Palatino Linotype"/>
          <w:b/>
          <w:i/>
          <w:color w:val="000000"/>
          <w:sz w:val="22"/>
          <w:szCs w:val="22"/>
          <w:lang w:val="es-MX" w:eastAsia="es-MX"/>
        </w:rPr>
        <w:t xml:space="preserve">“Congruencia y exhaustividad. Sus alcances para garantizar el derecho de acceso a la información. </w:t>
      </w:r>
      <w:r w:rsidRPr="00C07CB1">
        <w:rPr>
          <w:rFonts w:ascii="Palatino Linotype" w:eastAsia="Palatino Linotype" w:hAnsi="Palatino Linotype" w:cs="Palatino Linotype"/>
          <w:i/>
          <w:color w:val="000000"/>
          <w:sz w:val="22"/>
          <w:szCs w:val="22"/>
          <w:lang w:val="es-MX" w:eastAsia="es-MX"/>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07CB1">
        <w:rPr>
          <w:rFonts w:ascii="Palatino Linotype" w:eastAsia="Palatino Linotype" w:hAnsi="Palatino Linotype" w:cs="Palatino Linotype"/>
          <w:b/>
          <w:i/>
          <w:color w:val="000000"/>
          <w:sz w:val="22"/>
          <w:szCs w:val="22"/>
          <w:lang w:val="es-MX" w:eastAsia="es-MX"/>
        </w:rPr>
        <w:t xml:space="preserve">la congruencia implica que exista concordancia entre el </w:t>
      </w:r>
      <w:r w:rsidRPr="00C07CB1">
        <w:rPr>
          <w:rFonts w:ascii="Palatino Linotype" w:eastAsia="Palatino Linotype" w:hAnsi="Palatino Linotype" w:cs="Palatino Linotype"/>
          <w:b/>
          <w:i/>
          <w:color w:val="000000"/>
          <w:sz w:val="22"/>
          <w:szCs w:val="22"/>
          <w:lang w:val="es-MX" w:eastAsia="es-MX"/>
        </w:rPr>
        <w:lastRenderedPageBreak/>
        <w:t>requerimiento formulado por el particular y la respuesta proporcionada por el sujeto obligado</w:t>
      </w:r>
      <w:r w:rsidRPr="00C07CB1">
        <w:rPr>
          <w:rFonts w:ascii="Palatino Linotype" w:eastAsia="Palatino Linotype" w:hAnsi="Palatino Linotype" w:cs="Palatino Linotype"/>
          <w:i/>
          <w:color w:val="000000"/>
          <w:sz w:val="22"/>
          <w:szCs w:val="22"/>
          <w:lang w:val="es-MX" w:eastAsia="es-MX"/>
        </w:rPr>
        <w:t xml:space="preserve">; mientras que </w:t>
      </w:r>
      <w:r w:rsidRPr="00C07CB1">
        <w:rPr>
          <w:rFonts w:ascii="Palatino Linotype" w:eastAsia="Palatino Linotype" w:hAnsi="Palatino Linotype" w:cs="Palatino Linotype"/>
          <w:b/>
          <w:i/>
          <w:color w:val="000000"/>
          <w:sz w:val="22"/>
          <w:szCs w:val="22"/>
          <w:lang w:val="es-MX" w:eastAsia="es-MX"/>
        </w:rPr>
        <w:t>la exhaustividad significa que dicha respuesta se refiera expresamente a cada uno de los puntos solicitados</w:t>
      </w:r>
      <w:r w:rsidRPr="00C07CB1">
        <w:rPr>
          <w:rFonts w:ascii="Palatino Linotype" w:eastAsia="Palatino Linotype" w:hAnsi="Palatino Linotype" w:cs="Palatino Linotype"/>
          <w:i/>
          <w:color w:val="000000"/>
          <w:sz w:val="22"/>
          <w:szCs w:val="22"/>
          <w:lang w:val="es-MX" w:eastAsia="es-MX"/>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F42949A" w14:textId="77777777" w:rsidR="00C07CB1" w:rsidRDefault="00C07CB1" w:rsidP="00C07CB1">
      <w:pPr>
        <w:spacing w:line="360" w:lineRule="auto"/>
        <w:jc w:val="both"/>
        <w:rPr>
          <w:rFonts w:ascii="Palatino Linotype" w:eastAsia="Palatino Linotype" w:hAnsi="Palatino Linotype" w:cs="Tahoma"/>
          <w:lang w:val="es-MX" w:eastAsia="es-MX"/>
        </w:rPr>
      </w:pPr>
    </w:p>
    <w:p w14:paraId="686500F9" w14:textId="3B336F53" w:rsidR="00C07CB1" w:rsidRDefault="00C07CB1" w:rsidP="00C07CB1">
      <w:pPr>
        <w:spacing w:line="360" w:lineRule="auto"/>
        <w:jc w:val="both"/>
        <w:rPr>
          <w:rFonts w:ascii="Palatino Linotype" w:eastAsia="Palatino Linotype" w:hAnsi="Palatino Linotype" w:cs="Tahoma"/>
          <w:lang w:val="es-MX" w:eastAsia="es-MX"/>
        </w:rPr>
      </w:pPr>
      <w:r w:rsidRPr="00C07CB1">
        <w:rPr>
          <w:rFonts w:ascii="Palatino Linotype" w:eastAsia="Palatino Linotype" w:hAnsi="Palatino Linotype" w:cs="Tahoma"/>
          <w:lang w:val="es-MX" w:eastAsia="es-MX"/>
        </w:rPr>
        <w:t>Sobre el tema</w:t>
      </w:r>
      <w:r w:rsidRPr="00C07CB1">
        <w:rPr>
          <w:rFonts w:ascii="Palatino Linotype" w:eastAsia="Calibri" w:hAnsi="Palatino Linotype" w:cs="Tahoma"/>
          <w:lang w:val="es-MX" w:eastAsia="en-US"/>
        </w:rPr>
        <w:t>, e</w:t>
      </w:r>
      <w:r w:rsidRPr="00C07CB1">
        <w:rPr>
          <w:rFonts w:ascii="Palatino Linotype" w:eastAsia="Palatino Linotype" w:hAnsi="Palatino Linotype" w:cs="Tahoma"/>
          <w:lang w:val="es-MX" w:eastAsia="es-MX"/>
        </w:rPr>
        <w:t xml:space="preserve">l artículo 1.8, fracción XIII, del Código Administrativo del Estado de México, establece que para que tenga validez, todo acto administrativo deberá resolver todos los puntos propuestos por los interesados. </w:t>
      </w:r>
    </w:p>
    <w:p w14:paraId="07BD028E" w14:textId="77777777" w:rsidR="00C07CB1" w:rsidRPr="00C07CB1" w:rsidRDefault="00C07CB1" w:rsidP="00C07CB1">
      <w:pPr>
        <w:spacing w:line="360" w:lineRule="auto"/>
        <w:jc w:val="both"/>
        <w:rPr>
          <w:rFonts w:ascii="Palatino Linotype" w:eastAsia="Palatino Linotype" w:hAnsi="Palatino Linotype" w:cs="Tahoma"/>
          <w:lang w:val="es-MX" w:eastAsia="es-MX"/>
        </w:rPr>
      </w:pPr>
    </w:p>
    <w:p w14:paraId="05E345F3" w14:textId="759EA038" w:rsidR="00C07CB1" w:rsidRPr="00C07CB1" w:rsidRDefault="00C07CB1" w:rsidP="00C07CB1">
      <w:pPr>
        <w:pBdr>
          <w:top w:val="nil"/>
          <w:left w:val="nil"/>
          <w:bottom w:val="nil"/>
          <w:right w:val="nil"/>
          <w:between w:val="nil"/>
        </w:pBdr>
        <w:spacing w:line="360" w:lineRule="auto"/>
        <w:ind w:right="-25"/>
        <w:jc w:val="both"/>
        <w:rPr>
          <w:rFonts w:ascii="Palatino Linotype" w:eastAsia="Palatino Linotype" w:hAnsi="Palatino Linotype" w:cs="Palatino Linotype"/>
          <w:color w:val="000000"/>
          <w:lang w:val="es-MX" w:eastAsia="es-MX"/>
        </w:rPr>
      </w:pPr>
      <w:r w:rsidRPr="00C07CB1">
        <w:rPr>
          <w:rFonts w:ascii="Palatino Linotype" w:eastAsia="Palatino Linotype" w:hAnsi="Palatino Linotype" w:cs="Arial"/>
          <w:lang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w:t>
      </w:r>
      <w:r w:rsidRPr="00C07CB1">
        <w:rPr>
          <w:rFonts w:ascii="Palatino Linotype" w:eastAsia="Palatino Linotype" w:hAnsi="Palatino Linotype" w:cs="Palatino Linotype"/>
          <w:color w:val="000000"/>
          <w:lang w:val="es-MX" w:eastAsia="es-MX"/>
        </w:rPr>
        <w:t xml:space="preserve">procedente previa búsqueda exhaustiva y razonable ordenar al </w:t>
      </w:r>
      <w:r w:rsidRPr="00C07CB1">
        <w:rPr>
          <w:rFonts w:ascii="Palatino Linotype" w:eastAsia="Palatino Linotype" w:hAnsi="Palatino Linotype" w:cs="Palatino Linotype"/>
          <w:b/>
          <w:color w:val="000000"/>
          <w:lang w:val="es-MX" w:eastAsia="es-MX"/>
        </w:rPr>
        <w:t>Sujeto Obligado</w:t>
      </w:r>
      <w:r w:rsidRPr="00C07CB1">
        <w:rPr>
          <w:rFonts w:ascii="Palatino Linotype" w:eastAsia="Palatino Linotype" w:hAnsi="Palatino Linotype" w:cs="Palatino Linotype"/>
          <w:color w:val="000000"/>
          <w:lang w:val="es-MX" w:eastAsia="es-MX"/>
        </w:rPr>
        <w:t xml:space="preserve"> la entrega de la información materia de la solicitud, y precisada con anterioridad, en versión pública de ser procedente.</w:t>
      </w:r>
    </w:p>
    <w:p w14:paraId="742869D6" w14:textId="77777777" w:rsidR="00C07CB1" w:rsidRDefault="00C07CB1" w:rsidP="004D61E4">
      <w:pPr>
        <w:spacing w:line="360" w:lineRule="auto"/>
        <w:jc w:val="both"/>
        <w:rPr>
          <w:rFonts w:ascii="Palatino Linotype" w:hAnsi="Palatino Linotype" w:cs="Tahoma"/>
          <w:bCs/>
          <w:iCs/>
        </w:rPr>
      </w:pPr>
    </w:p>
    <w:p w14:paraId="0E3F689E" w14:textId="77777777" w:rsidR="004D61E4" w:rsidRPr="00834C6D" w:rsidRDefault="004D61E4" w:rsidP="004D61E4">
      <w:pPr>
        <w:pStyle w:val="Prrafodelista"/>
        <w:numPr>
          <w:ilvl w:val="0"/>
          <w:numId w:val="28"/>
        </w:numPr>
        <w:tabs>
          <w:tab w:val="left" w:pos="709"/>
        </w:tabs>
        <w:spacing w:line="360" w:lineRule="auto"/>
        <w:jc w:val="both"/>
        <w:rPr>
          <w:rFonts w:ascii="Palatino Linotype" w:eastAsia="Palatino Linotype" w:hAnsi="Palatino Linotype" w:cs="Palatino Linotype"/>
          <w:b/>
          <w:i/>
          <w:sz w:val="28"/>
          <w:szCs w:val="22"/>
          <w:lang w:val="es-MX" w:eastAsia="es-MX"/>
        </w:rPr>
      </w:pPr>
      <w:r w:rsidRPr="00834C6D">
        <w:rPr>
          <w:rFonts w:ascii="Palatino Linotype" w:eastAsia="Palatino Linotype" w:hAnsi="Palatino Linotype" w:cs="Palatino Linotype"/>
          <w:b/>
          <w:i/>
          <w:sz w:val="28"/>
          <w:szCs w:val="22"/>
          <w:lang w:val="es-MX" w:eastAsia="es-MX"/>
        </w:rPr>
        <w:t xml:space="preserve">DE LA VERSIÓN PÚBLICA. </w:t>
      </w:r>
    </w:p>
    <w:p w14:paraId="319D3AEF" w14:textId="77777777" w:rsidR="004D61E4" w:rsidRPr="00834C6D" w:rsidRDefault="004D61E4" w:rsidP="004D61E4">
      <w:pPr>
        <w:tabs>
          <w:tab w:val="left" w:pos="709"/>
        </w:tabs>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w:t>
      </w:r>
      <w:r w:rsidRPr="00834C6D">
        <w:rPr>
          <w:rFonts w:ascii="Palatino Linotype" w:eastAsia="Palatino Linotype" w:hAnsi="Palatino Linotype" w:cs="Palatino Linotype"/>
          <w:szCs w:val="22"/>
          <w:lang w:val="es-MX" w:eastAsia="es-MX"/>
        </w:rPr>
        <w:lastRenderedPageBreak/>
        <w:t>Acceso a la Información Pública del Estado de México y Municipios vigente, los cuales establecen lo siguiente:</w:t>
      </w:r>
    </w:p>
    <w:p w14:paraId="77EAABE0" w14:textId="77777777" w:rsidR="004D61E4" w:rsidRPr="00834C6D" w:rsidRDefault="004D61E4" w:rsidP="004D61E4">
      <w:pPr>
        <w:tabs>
          <w:tab w:val="left" w:pos="709"/>
        </w:tabs>
        <w:spacing w:line="360" w:lineRule="auto"/>
        <w:jc w:val="both"/>
        <w:rPr>
          <w:rFonts w:ascii="Palatino Linotype" w:eastAsia="Palatino Linotype" w:hAnsi="Palatino Linotype" w:cs="Palatino Linotype"/>
          <w:sz w:val="22"/>
          <w:szCs w:val="22"/>
          <w:lang w:val="es-MX" w:eastAsia="es-MX"/>
        </w:rPr>
      </w:pPr>
    </w:p>
    <w:p w14:paraId="00D0B467" w14:textId="014DC700"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3.</w:t>
      </w:r>
      <w:r w:rsidRPr="00834C6D">
        <w:rPr>
          <w:rFonts w:ascii="Palatino Linotype" w:eastAsia="Palatino Linotype" w:hAnsi="Palatino Linotype" w:cs="Palatino Linotype"/>
          <w:i/>
          <w:sz w:val="22"/>
          <w:szCs w:val="22"/>
          <w:lang w:val="es-MX" w:eastAsia="es-MX"/>
        </w:rPr>
        <w:t xml:space="preserve"> Para los efectos de la presente Ley se entenderá por:</w:t>
      </w:r>
    </w:p>
    <w:p w14:paraId="61A588FD"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w:t>
      </w:r>
      <w:r w:rsidRPr="00834C6D">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26854D3F"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2F12813"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XXI.</w:t>
      </w:r>
      <w:r w:rsidRPr="00834C6D">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9B57F6"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p>
    <w:p w14:paraId="5A8A6A42"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XXXIV</w:t>
      </w:r>
      <w:r w:rsidRPr="00834C6D">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0B1B436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p>
    <w:p w14:paraId="2FF60064"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XLV.</w:t>
      </w:r>
      <w:r w:rsidRPr="00834C6D">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0B79CFBA"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5B22CC6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91.</w:t>
      </w:r>
      <w:r w:rsidRPr="00834C6D">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6108E109"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122.</w:t>
      </w:r>
      <w:r w:rsidRPr="00834C6D">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834C6D">
        <w:rPr>
          <w:rFonts w:ascii="Palatino Linotype" w:eastAsia="Palatino Linotype" w:hAnsi="Palatino Linotype" w:cs="Palatino Linotype"/>
          <w:i/>
          <w:sz w:val="22"/>
          <w:szCs w:val="22"/>
          <w:lang w:val="es-MX" w:eastAsia="es-MX"/>
        </w:rPr>
        <w:t>actualiza</w:t>
      </w:r>
      <w:proofErr w:type="spellEnd"/>
      <w:r w:rsidRPr="00834C6D">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2CAE1101" w14:textId="77777777" w:rsidR="004D61E4"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2CCF1B12"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204E54DD" w14:textId="77777777" w:rsidR="004D61E4"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781A5529"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2541EC8C"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D1C8B00"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135.</w:t>
      </w:r>
      <w:r w:rsidRPr="00834C6D">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B0D7E86"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BBE0E0" w14:textId="77777777" w:rsidR="004D61E4" w:rsidRPr="00834C6D"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 xml:space="preserve">Artículo 137. Cuando un mismo medio, impreso o electrónico, contenga información pública y reservada o confidencial, la Unidad de Transparencia para </w:t>
      </w:r>
      <w:r w:rsidRPr="00834C6D">
        <w:rPr>
          <w:rFonts w:ascii="Palatino Linotype" w:eastAsia="Palatino Linotype" w:hAnsi="Palatino Linotype" w:cs="Palatino Linotype"/>
          <w:b/>
          <w:i/>
          <w:sz w:val="22"/>
          <w:szCs w:val="22"/>
          <w:lang w:val="es-MX" w:eastAsia="es-MX"/>
        </w:rPr>
        <w:lastRenderedPageBreak/>
        <w:t>efectos de atender una solicitud de información, deberán elaborar una versión pública en la que se testen las partes o secciones clasificadas, indicando su contenido de manera genérica y fundando y motivando su clasificación.”</w:t>
      </w:r>
    </w:p>
    <w:p w14:paraId="75AED780"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8E3971"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143</w:t>
      </w:r>
      <w:r w:rsidRPr="00834C6D">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1E3E8C47"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60984CAB"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DC223E5"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2BE7F7FC"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D2158AF"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03541F20"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D3AB151" w14:textId="77777777" w:rsidR="004D61E4" w:rsidRPr="00834C6D"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5FB14E16"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300D94C9"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148.</w:t>
      </w:r>
      <w:r w:rsidRPr="00834C6D">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1411A0FD"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359C5B5"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Por Ley tenga el carácter de pública;</w:t>
      </w:r>
    </w:p>
    <w:p w14:paraId="26026249"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Exista una orden judicial;</w:t>
      </w:r>
    </w:p>
    <w:p w14:paraId="44814078"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IV.</w:t>
      </w:r>
      <w:r w:rsidRPr="00834C6D">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2D930D0B" w14:textId="77777777" w:rsidR="004D61E4"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w:t>
      </w:r>
      <w:r w:rsidRPr="00834C6D">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w:t>
      </w:r>
      <w:r w:rsidRPr="00834C6D">
        <w:rPr>
          <w:rFonts w:ascii="Palatino Linotype" w:eastAsia="Palatino Linotype" w:hAnsi="Palatino Linotype" w:cs="Palatino Linotype"/>
          <w:i/>
          <w:sz w:val="22"/>
          <w:szCs w:val="22"/>
          <w:lang w:val="es-MX" w:eastAsia="es-MX"/>
        </w:rPr>
        <w:lastRenderedPageBreak/>
        <w:t>cuando la información se utilice para el ejercicio de facultades propias de los mismos. Para efectos de la fracción I del presente artículo, deberá sujetarse a lo previsto en las disposiciones jurídicas aplicables.</w:t>
      </w:r>
    </w:p>
    <w:p w14:paraId="7D68237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1F260046"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0FE54823"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A0D1DDC"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149.</w:t>
      </w:r>
      <w:r w:rsidRPr="00834C6D">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143F7523" w14:textId="77777777" w:rsidR="004D61E4" w:rsidRPr="00834C6D" w:rsidRDefault="004D61E4" w:rsidP="004D61E4">
      <w:pPr>
        <w:spacing w:line="360" w:lineRule="auto"/>
        <w:ind w:right="49"/>
        <w:jc w:val="both"/>
        <w:rPr>
          <w:rFonts w:ascii="Palatino Linotype" w:eastAsia="Palatino Linotype" w:hAnsi="Palatino Linotype" w:cs="Palatino Linotype"/>
          <w:sz w:val="22"/>
          <w:szCs w:val="22"/>
          <w:lang w:val="es-MX" w:eastAsia="es-MX"/>
        </w:rPr>
      </w:pPr>
    </w:p>
    <w:p w14:paraId="617D8EFD"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28E3607F" w14:textId="77777777" w:rsidR="004D61E4"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5F9A0C9"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4499FEC9"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De igual forma, para el caso de la información confidencial se aprecia, que se establece un procedimiento para clasificar la información como confidencial, mediante el cual se fundamentará y motivará la necesidad de clasificar la información, en el que se </w:t>
      </w:r>
      <w:r w:rsidRPr="00834C6D">
        <w:rPr>
          <w:rFonts w:ascii="Palatino Linotype" w:eastAsia="Palatino Linotype" w:hAnsi="Palatino Linotype" w:cs="Palatino Linotype"/>
          <w:szCs w:val="22"/>
          <w:lang w:val="es-MX" w:eastAsia="es-MX"/>
        </w:rPr>
        <w:lastRenderedPageBreak/>
        <w:t>precisen los motivos que obliguen a la clasificación; lo que se consolida con lo señalado por el artículo 168 de la Ley en la Materia, que señala:</w:t>
      </w:r>
    </w:p>
    <w:p w14:paraId="62D02E99"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67988BA8"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168</w:t>
      </w:r>
      <w:r w:rsidRPr="00834C6D">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62329155"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El Área deberá remitir la solicitud, así como un escrito en el que </w:t>
      </w:r>
      <w:r w:rsidRPr="00834C6D">
        <w:rPr>
          <w:rFonts w:ascii="Palatino Linotype" w:eastAsia="Palatino Linotype" w:hAnsi="Palatino Linotype" w:cs="Palatino Linotype"/>
          <w:b/>
          <w:i/>
          <w:sz w:val="22"/>
          <w:szCs w:val="22"/>
          <w:lang w:val="es-MX" w:eastAsia="es-MX"/>
        </w:rPr>
        <w:t>funde y motive la clasificación al Comité de Transparencia</w:t>
      </w:r>
      <w:r w:rsidRPr="00834C6D">
        <w:rPr>
          <w:rFonts w:ascii="Palatino Linotype" w:eastAsia="Palatino Linotype" w:hAnsi="Palatino Linotype" w:cs="Palatino Linotype"/>
          <w:i/>
          <w:sz w:val="22"/>
          <w:szCs w:val="22"/>
          <w:lang w:val="es-MX" w:eastAsia="es-MX"/>
        </w:rPr>
        <w:t>, mismo que deberá resolver para:</w:t>
      </w:r>
    </w:p>
    <w:p w14:paraId="48FE59E5" w14:textId="77777777" w:rsidR="004D61E4" w:rsidRPr="00834C6D" w:rsidRDefault="004D61E4" w:rsidP="004D61E4">
      <w:pPr>
        <w:spacing w:after="240"/>
        <w:ind w:left="567" w:right="616"/>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i/>
          <w:sz w:val="22"/>
          <w:szCs w:val="22"/>
          <w:lang w:val="es-MX" w:eastAsia="es-MX"/>
        </w:rPr>
        <w:t>a</w:t>
      </w:r>
      <w:r w:rsidRPr="00834C6D">
        <w:rPr>
          <w:rFonts w:ascii="Palatino Linotype" w:eastAsia="Palatino Linotype" w:hAnsi="Palatino Linotype" w:cs="Palatino Linotype"/>
          <w:b/>
          <w:i/>
          <w:sz w:val="22"/>
          <w:szCs w:val="22"/>
          <w:lang w:val="es-MX" w:eastAsia="es-MX"/>
        </w:rPr>
        <w:t>) Confirmar la clasificación;</w:t>
      </w:r>
    </w:p>
    <w:p w14:paraId="60CB953C"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7D28FFFA"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28F10A37"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4221A524"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7531179B" w14:textId="75565EA4" w:rsidR="00C07CB1"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BD174BC"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hAnsi="Palatino Linotype" w:cs="Arial"/>
          <w:szCs w:val="22"/>
          <w:lang w:val="es-MX" w:eastAsia="es-MX"/>
        </w:rPr>
        <w:lastRenderedPageBreak/>
        <w:t xml:space="preserve">En tal sentido, si derivado del análisis efectuado por </w:t>
      </w:r>
      <w:r w:rsidRPr="00834C6D">
        <w:rPr>
          <w:rFonts w:ascii="Palatino Linotype" w:hAnsi="Palatino Linotype" w:cs="Arial"/>
          <w:b/>
          <w:szCs w:val="22"/>
          <w:lang w:val="es-MX" w:eastAsia="es-MX"/>
        </w:rPr>
        <w:t xml:space="preserve">Sujeto Obligado </w:t>
      </w:r>
      <w:r w:rsidRPr="00834C6D">
        <w:rPr>
          <w:rFonts w:ascii="Palatino Linotype" w:hAnsi="Palatino Linotype" w:cs="Arial"/>
          <w:bCs/>
          <w:szCs w:val="22"/>
          <w:lang w:val="es-MX" w:eastAsia="es-MX"/>
        </w:rPr>
        <w:t>en el presente caso,</w:t>
      </w:r>
      <w:r w:rsidRPr="00834C6D">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D784F4D"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p>
    <w:p w14:paraId="6B87293E" w14:textId="77777777" w:rsidR="004D61E4" w:rsidRPr="00834C6D"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B461B6C" w14:textId="77777777" w:rsidR="004D61E4" w:rsidRPr="00834C6D" w:rsidRDefault="004D61E4" w:rsidP="004D61E4">
      <w:pPr>
        <w:spacing w:line="360" w:lineRule="auto"/>
        <w:ind w:right="51"/>
        <w:jc w:val="both"/>
        <w:rPr>
          <w:rFonts w:ascii="Palatino Linotype" w:eastAsia="Palatino Linotype" w:hAnsi="Palatino Linotype" w:cs="Palatino Linotype"/>
          <w:sz w:val="22"/>
          <w:szCs w:val="22"/>
          <w:lang w:val="es-MX" w:eastAsia="es-MX"/>
        </w:rPr>
      </w:pPr>
    </w:p>
    <w:p w14:paraId="0B96C74B"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49.</w:t>
      </w:r>
      <w:r w:rsidRPr="00834C6D">
        <w:rPr>
          <w:rFonts w:ascii="Palatino Linotype" w:eastAsia="Palatino Linotype" w:hAnsi="Palatino Linotype" w:cs="Palatino Linotype"/>
          <w:i/>
          <w:sz w:val="22"/>
          <w:szCs w:val="22"/>
          <w:lang w:val="es-MX" w:eastAsia="es-MX"/>
        </w:rPr>
        <w:t xml:space="preserve"> </w:t>
      </w:r>
      <w:r w:rsidRPr="00834C6D">
        <w:rPr>
          <w:rFonts w:ascii="Palatino Linotype" w:eastAsia="Palatino Linotype" w:hAnsi="Palatino Linotype" w:cs="Palatino Linotype"/>
          <w:b/>
          <w:i/>
          <w:sz w:val="22"/>
          <w:szCs w:val="22"/>
          <w:lang w:val="es-MX" w:eastAsia="es-MX"/>
        </w:rPr>
        <w:t>Los Comités de Transparencia</w:t>
      </w:r>
      <w:r w:rsidRPr="00834C6D">
        <w:rPr>
          <w:rFonts w:ascii="Palatino Linotype" w:eastAsia="Palatino Linotype" w:hAnsi="Palatino Linotype" w:cs="Palatino Linotype"/>
          <w:i/>
          <w:sz w:val="22"/>
          <w:szCs w:val="22"/>
          <w:lang w:val="es-MX" w:eastAsia="es-MX"/>
        </w:rPr>
        <w:t xml:space="preserve"> tendrán las siguientes atribuciones:</w:t>
      </w:r>
    </w:p>
    <w:p w14:paraId="32683F8B"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VIII. Aprobar, modificar o revocar la clasificación de la información</w:t>
      </w:r>
      <w:r w:rsidRPr="00834C6D">
        <w:rPr>
          <w:rFonts w:ascii="Palatino Linotype" w:eastAsia="Palatino Linotype" w:hAnsi="Palatino Linotype" w:cs="Palatino Linotype"/>
          <w:i/>
          <w:sz w:val="22"/>
          <w:szCs w:val="22"/>
          <w:lang w:val="es-MX" w:eastAsia="es-MX"/>
        </w:rPr>
        <w:t>…”</w:t>
      </w:r>
    </w:p>
    <w:p w14:paraId="645A9348"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53.</w:t>
      </w:r>
      <w:r w:rsidRPr="00834C6D">
        <w:rPr>
          <w:rFonts w:ascii="Palatino Linotype" w:eastAsia="Palatino Linotype" w:hAnsi="Palatino Linotype" w:cs="Palatino Linotype"/>
          <w:i/>
          <w:sz w:val="22"/>
          <w:szCs w:val="22"/>
          <w:lang w:val="es-MX" w:eastAsia="es-MX"/>
        </w:rPr>
        <w:t xml:space="preserve"> Las </w:t>
      </w:r>
      <w:r w:rsidRPr="00834C6D">
        <w:rPr>
          <w:rFonts w:ascii="Palatino Linotype" w:eastAsia="Palatino Linotype" w:hAnsi="Palatino Linotype" w:cs="Palatino Linotype"/>
          <w:b/>
          <w:i/>
          <w:sz w:val="22"/>
          <w:szCs w:val="22"/>
          <w:lang w:val="es-MX" w:eastAsia="es-MX"/>
        </w:rPr>
        <w:t>Unidades de Transparencia</w:t>
      </w:r>
      <w:r w:rsidRPr="00834C6D">
        <w:rPr>
          <w:rFonts w:ascii="Palatino Linotype" w:eastAsia="Palatino Linotype" w:hAnsi="Palatino Linotype" w:cs="Palatino Linotype"/>
          <w:i/>
          <w:sz w:val="22"/>
          <w:szCs w:val="22"/>
          <w:lang w:val="es-MX" w:eastAsia="es-MX"/>
        </w:rPr>
        <w:t xml:space="preserve"> tendrán las siguientes </w:t>
      </w:r>
      <w:r w:rsidRPr="00834C6D">
        <w:rPr>
          <w:rFonts w:ascii="Palatino Linotype" w:eastAsia="Palatino Linotype" w:hAnsi="Palatino Linotype" w:cs="Palatino Linotype"/>
          <w:b/>
          <w:i/>
          <w:sz w:val="22"/>
          <w:szCs w:val="22"/>
          <w:lang w:val="es-MX" w:eastAsia="es-MX"/>
        </w:rPr>
        <w:t>funciones</w:t>
      </w:r>
      <w:r w:rsidRPr="00834C6D">
        <w:rPr>
          <w:rFonts w:ascii="Palatino Linotype" w:eastAsia="Palatino Linotype" w:hAnsi="Palatino Linotype" w:cs="Palatino Linotype"/>
          <w:i/>
          <w:sz w:val="22"/>
          <w:szCs w:val="22"/>
          <w:lang w:val="es-MX" w:eastAsia="es-MX"/>
        </w:rPr>
        <w:t>:</w:t>
      </w:r>
    </w:p>
    <w:p w14:paraId="01D11E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 Presentar ante el Comité, el proyecto de clasificación de información</w:t>
      </w:r>
      <w:r w:rsidRPr="00834C6D">
        <w:rPr>
          <w:rFonts w:ascii="Palatino Linotype" w:eastAsia="Palatino Linotype" w:hAnsi="Palatino Linotype" w:cs="Palatino Linotype"/>
          <w:i/>
          <w:sz w:val="22"/>
          <w:szCs w:val="22"/>
          <w:lang w:val="es-MX" w:eastAsia="es-MX"/>
        </w:rPr>
        <w:t xml:space="preserve">…” </w:t>
      </w:r>
    </w:p>
    <w:p w14:paraId="4E8DE8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59.</w:t>
      </w:r>
      <w:r w:rsidRPr="00834C6D">
        <w:rPr>
          <w:rFonts w:ascii="Palatino Linotype" w:eastAsia="Palatino Linotype" w:hAnsi="Palatino Linotype" w:cs="Palatino Linotype"/>
          <w:i/>
          <w:sz w:val="22"/>
          <w:szCs w:val="22"/>
          <w:lang w:val="es-MX" w:eastAsia="es-MX"/>
        </w:rPr>
        <w:t xml:space="preserve"> Los </w:t>
      </w:r>
      <w:r w:rsidRPr="00834C6D">
        <w:rPr>
          <w:rFonts w:ascii="Palatino Linotype" w:eastAsia="Palatino Linotype" w:hAnsi="Palatino Linotype" w:cs="Palatino Linotype"/>
          <w:b/>
          <w:i/>
          <w:sz w:val="22"/>
          <w:szCs w:val="22"/>
          <w:lang w:val="es-MX" w:eastAsia="es-MX"/>
        </w:rPr>
        <w:t>servidores públicos habilitados</w:t>
      </w:r>
      <w:r w:rsidRPr="00834C6D">
        <w:rPr>
          <w:rFonts w:ascii="Palatino Linotype" w:eastAsia="Palatino Linotype" w:hAnsi="Palatino Linotype" w:cs="Palatino Linotype"/>
          <w:i/>
          <w:sz w:val="22"/>
          <w:szCs w:val="22"/>
          <w:lang w:val="es-MX" w:eastAsia="es-MX"/>
        </w:rPr>
        <w:t xml:space="preserve"> tendrán las </w:t>
      </w:r>
      <w:r w:rsidRPr="00834C6D">
        <w:rPr>
          <w:rFonts w:ascii="Palatino Linotype" w:eastAsia="Palatino Linotype" w:hAnsi="Palatino Linotype" w:cs="Palatino Linotype"/>
          <w:b/>
          <w:i/>
          <w:sz w:val="22"/>
          <w:szCs w:val="22"/>
          <w:lang w:val="es-MX" w:eastAsia="es-MX"/>
        </w:rPr>
        <w:t>funciones</w:t>
      </w:r>
      <w:r w:rsidRPr="00834C6D">
        <w:rPr>
          <w:rFonts w:ascii="Palatino Linotype" w:eastAsia="Palatino Linotype" w:hAnsi="Palatino Linotype" w:cs="Palatino Linotype"/>
          <w:i/>
          <w:sz w:val="22"/>
          <w:szCs w:val="22"/>
          <w:lang w:val="es-MX" w:eastAsia="es-MX"/>
        </w:rPr>
        <w:t xml:space="preserve"> siguientes:</w:t>
      </w:r>
    </w:p>
    <w:p w14:paraId="351F67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834C6D">
        <w:rPr>
          <w:rFonts w:ascii="Palatino Linotype" w:eastAsia="Palatino Linotype" w:hAnsi="Palatino Linotype" w:cs="Palatino Linotype"/>
          <w:i/>
          <w:sz w:val="22"/>
          <w:szCs w:val="22"/>
          <w:lang w:val="es-MX" w:eastAsia="es-MX"/>
        </w:rPr>
        <w:t>, la cual tendrá los fundamentos y argumentos en que se basa dicha propuesta…”(Sic)</w:t>
      </w:r>
    </w:p>
    <w:p w14:paraId="10D48682" w14:textId="77777777" w:rsidR="004D61E4" w:rsidRPr="00834C6D" w:rsidRDefault="004D61E4" w:rsidP="004D61E4">
      <w:pPr>
        <w:ind w:left="992" w:right="1043"/>
        <w:jc w:val="both"/>
        <w:rPr>
          <w:rFonts w:ascii="Palatino Linotype" w:eastAsia="Palatino Linotype" w:hAnsi="Palatino Linotype" w:cs="Palatino Linotype"/>
          <w:i/>
          <w:sz w:val="22"/>
          <w:szCs w:val="22"/>
          <w:lang w:val="es-MX" w:eastAsia="es-MX"/>
        </w:rPr>
      </w:pPr>
    </w:p>
    <w:p w14:paraId="4438ED7C"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FB9A18"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0D5361B7"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52D85889"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50C95C4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149.</w:t>
      </w:r>
      <w:r w:rsidRPr="00834C6D">
        <w:rPr>
          <w:rFonts w:ascii="Palatino Linotype" w:eastAsia="Palatino Linotype" w:hAnsi="Palatino Linotype" w:cs="Palatino Linotype"/>
          <w:i/>
          <w:sz w:val="22"/>
          <w:szCs w:val="22"/>
          <w:lang w:val="es-MX" w:eastAsia="es-MX"/>
        </w:rPr>
        <w:t xml:space="preserve"> El </w:t>
      </w:r>
      <w:r w:rsidRPr="00834C6D">
        <w:rPr>
          <w:rFonts w:ascii="Palatino Linotype" w:eastAsia="Palatino Linotype" w:hAnsi="Palatino Linotype" w:cs="Palatino Linotype"/>
          <w:b/>
          <w:i/>
          <w:sz w:val="22"/>
          <w:szCs w:val="22"/>
          <w:lang w:val="es-MX" w:eastAsia="es-MX"/>
        </w:rPr>
        <w:t>acuerdo que clasifique la información como confidencial</w:t>
      </w:r>
      <w:r w:rsidRPr="00834C6D">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57E702B0" w14:textId="77777777" w:rsidR="004D61E4" w:rsidRPr="00834C6D" w:rsidRDefault="004D61E4" w:rsidP="004D61E4">
      <w:pPr>
        <w:spacing w:before="240" w:line="360" w:lineRule="auto"/>
        <w:ind w:right="51"/>
        <w:jc w:val="both"/>
        <w:rPr>
          <w:rFonts w:ascii="Palatino Linotype" w:eastAsia="Palatino Linotype" w:hAnsi="Palatino Linotype" w:cs="Palatino Linotype"/>
          <w:sz w:val="22"/>
          <w:szCs w:val="22"/>
          <w:lang w:val="es-MX" w:eastAsia="es-MX"/>
        </w:rPr>
      </w:pPr>
    </w:p>
    <w:p w14:paraId="5A6D22F2" w14:textId="0D79A481" w:rsidR="004D61E4" w:rsidRPr="00BD6FAE"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Es decir,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7E28458"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lastRenderedPageBreak/>
        <w:t xml:space="preserve">Al respecto, se destaca que la versión pública que elabore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34C6D">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834C6D">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7FBE30F" w14:textId="77777777" w:rsidR="004D61E4" w:rsidRPr="00834C6D" w:rsidRDefault="004D61E4" w:rsidP="004D61E4">
      <w:pPr>
        <w:ind w:left="709" w:right="709"/>
        <w:jc w:val="both"/>
        <w:rPr>
          <w:rFonts w:ascii="Palatino Linotype" w:eastAsia="Palatino Linotype" w:hAnsi="Palatino Linotype" w:cs="Palatino Linotype"/>
          <w:b/>
          <w:i/>
          <w:sz w:val="22"/>
          <w:szCs w:val="22"/>
          <w:lang w:val="es-MX" w:eastAsia="es-MX"/>
        </w:rPr>
      </w:pPr>
    </w:p>
    <w:p w14:paraId="55428E0A"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754FFC6E"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Segundo.-</w:t>
      </w:r>
      <w:r w:rsidRPr="00834C6D">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8941042"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XVIII.</w:t>
      </w:r>
      <w:r w:rsidRPr="00834C6D">
        <w:rPr>
          <w:rFonts w:ascii="Palatino Linotype" w:eastAsia="Palatino Linotype" w:hAnsi="Palatino Linotype" w:cs="Palatino Linotype"/>
          <w:i/>
          <w:sz w:val="22"/>
          <w:szCs w:val="22"/>
          <w:lang w:val="es-MX" w:eastAsia="es-MX"/>
        </w:rPr>
        <w:t xml:space="preserve"> </w:t>
      </w:r>
      <w:r w:rsidRPr="00834C6D">
        <w:rPr>
          <w:rFonts w:ascii="Palatino Linotype" w:eastAsia="Palatino Linotype" w:hAnsi="Palatino Linotype" w:cs="Palatino Linotype"/>
          <w:b/>
          <w:i/>
          <w:sz w:val="22"/>
          <w:szCs w:val="22"/>
          <w:lang w:val="es-MX" w:eastAsia="es-MX"/>
        </w:rPr>
        <w:t>Versión pública:</w:t>
      </w:r>
      <w:r w:rsidRPr="00834C6D">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834C6D">
        <w:rPr>
          <w:rFonts w:ascii="Palatino Linotype" w:eastAsia="Palatino Linotype" w:hAnsi="Palatino Linotype" w:cs="Palatino Linotype"/>
          <w:b/>
          <w:i/>
          <w:sz w:val="22"/>
          <w:szCs w:val="22"/>
          <w:u w:val="single"/>
          <w:lang w:val="es-MX" w:eastAsia="es-MX"/>
        </w:rPr>
        <w:t>fundando y motivando la</w:t>
      </w:r>
      <w:r w:rsidRPr="00834C6D">
        <w:rPr>
          <w:rFonts w:ascii="Palatino Linotype" w:eastAsia="Palatino Linotype" w:hAnsi="Palatino Linotype" w:cs="Palatino Linotype"/>
          <w:i/>
          <w:sz w:val="22"/>
          <w:szCs w:val="22"/>
          <w:lang w:val="es-MX" w:eastAsia="es-MX"/>
        </w:rPr>
        <w:t xml:space="preserve"> reserva o </w:t>
      </w:r>
      <w:r w:rsidRPr="00834C6D">
        <w:rPr>
          <w:rFonts w:ascii="Palatino Linotype" w:eastAsia="Palatino Linotype" w:hAnsi="Palatino Linotype" w:cs="Palatino Linotype"/>
          <w:b/>
          <w:i/>
          <w:sz w:val="22"/>
          <w:szCs w:val="22"/>
          <w:u w:val="single"/>
          <w:lang w:val="es-MX" w:eastAsia="es-MX"/>
        </w:rPr>
        <w:t>confidencialidad</w:t>
      </w:r>
      <w:r w:rsidRPr="00834C6D">
        <w:rPr>
          <w:rFonts w:ascii="Palatino Linotype" w:eastAsia="Palatino Linotype" w:hAnsi="Palatino Linotype" w:cs="Palatino Linotype"/>
          <w:i/>
          <w:sz w:val="22"/>
          <w:szCs w:val="22"/>
          <w:lang w:val="es-MX" w:eastAsia="es-MX"/>
        </w:rPr>
        <w:t>, a través de la resolución que para tal efecto emita el Comité de Transparencia.</w:t>
      </w:r>
    </w:p>
    <w:p w14:paraId="0340770B"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Cuarto.</w:t>
      </w:r>
      <w:r w:rsidRPr="00834C6D">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2383E9"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7C887435"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lastRenderedPageBreak/>
        <w:t>Quinto.</w:t>
      </w:r>
      <w:r w:rsidRPr="00834C6D">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DF220C"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w:t>
      </w:r>
    </w:p>
    <w:p w14:paraId="2029E587"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Séptimo.</w:t>
      </w:r>
      <w:r w:rsidRPr="00834C6D">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0257243E"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Se reciba una solicitud de acceso a la información;</w:t>
      </w:r>
    </w:p>
    <w:p w14:paraId="64161AD7"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Se determine mediante resolución de autoridad competente, o</w:t>
      </w:r>
    </w:p>
    <w:p w14:paraId="3F108C6A"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8E794F9"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74B05D2"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Octavo.</w:t>
      </w:r>
      <w:r w:rsidRPr="00834C6D">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2B42BF"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AAC8416"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57540CA5"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75E8D0"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1C71495C"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lastRenderedPageBreak/>
        <w:t>Noveno.</w:t>
      </w:r>
      <w:r w:rsidRPr="00834C6D">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180113"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Décimo.</w:t>
      </w:r>
      <w:r w:rsidRPr="00834C6D">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EE07A6"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56A84BA9" w14:textId="77777777" w:rsidR="004D61E4" w:rsidRPr="00834C6D"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Décimo primero.</w:t>
      </w:r>
      <w:r w:rsidRPr="00834C6D">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6B82DD" w14:textId="77777777" w:rsidR="004D61E4" w:rsidRPr="00834C6D"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w:t>
      </w:r>
    </w:p>
    <w:p w14:paraId="64882469" w14:textId="77777777" w:rsidR="004D61E4" w:rsidRPr="00834C6D"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CAPÍTULO VIII</w:t>
      </w:r>
    </w:p>
    <w:p w14:paraId="55E9BEF6" w14:textId="77777777" w:rsidR="004D61E4" w:rsidRPr="00834C6D"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DE LA LEYENDA DE CLASIFICACIÓN</w:t>
      </w:r>
    </w:p>
    <w:p w14:paraId="034FD603"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Quincuagésimo</w:t>
      </w:r>
      <w:r w:rsidRPr="00834C6D">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8D1E11F"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w:t>
      </w:r>
    </w:p>
    <w:p w14:paraId="16B6264D"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 xml:space="preserve">Quincuagésimo tercero. </w:t>
      </w:r>
      <w:r w:rsidRPr="00834C6D">
        <w:rPr>
          <w:rFonts w:ascii="Palatino Linotype" w:eastAsia="Palatino Linotype" w:hAnsi="Palatino Linotype" w:cs="Palatino Linotype"/>
          <w:b/>
          <w:i/>
          <w:sz w:val="22"/>
          <w:szCs w:val="22"/>
          <w:u w:val="single"/>
          <w:lang w:val="es-MX" w:eastAsia="es-MX"/>
        </w:rPr>
        <w:t>El formato para señalar la clasificación parcial de un documento</w:t>
      </w:r>
      <w:r w:rsidRPr="00834C6D">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4D61E4" w:rsidRPr="00834C6D" w14:paraId="693933CB" w14:textId="77777777" w:rsidTr="00C20311">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64E81FC1" w14:textId="77777777" w:rsidR="004D61E4" w:rsidRPr="00834C6D" w:rsidRDefault="004D61E4" w:rsidP="00C20311">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70967"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08989"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Dónde:</w:t>
            </w:r>
          </w:p>
        </w:tc>
      </w:tr>
      <w:tr w:rsidR="004D61E4" w:rsidRPr="00834C6D" w14:paraId="5699A900" w14:textId="77777777" w:rsidTr="00C20311">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4E995"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1D61D"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00055"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4D61E4" w:rsidRPr="00834C6D" w14:paraId="66F5F927"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54309"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98889"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7C88F"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área del cual es titular quien clasifica.</w:t>
            </w:r>
          </w:p>
        </w:tc>
      </w:tr>
      <w:tr w:rsidR="004D61E4" w:rsidRPr="00834C6D" w14:paraId="2D6081D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439E5"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DA8CE"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1E3E4"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 xml:space="preserve">Se indicarán, en su caso, las partes o páginas del documento que se clasifican como reservadas. Si el documento fuera reservado en su totalidad, se </w:t>
            </w:r>
            <w:proofErr w:type="gramStart"/>
            <w:r w:rsidRPr="00834C6D">
              <w:rPr>
                <w:rFonts w:ascii="Palatino Linotype" w:eastAsia="Palatino Linotype" w:hAnsi="Palatino Linotype" w:cs="Palatino Linotype"/>
                <w:i/>
                <w:sz w:val="20"/>
                <w:szCs w:val="22"/>
                <w:lang w:val="es-MX" w:eastAsia="es-MX"/>
              </w:rPr>
              <w:t>anotarán</w:t>
            </w:r>
            <w:proofErr w:type="gramEnd"/>
            <w:r w:rsidRPr="00834C6D">
              <w:rPr>
                <w:rFonts w:ascii="Palatino Linotype" w:eastAsia="Palatino Linotype" w:hAnsi="Palatino Linotype" w:cs="Palatino Linotype"/>
                <w:i/>
                <w:sz w:val="20"/>
                <w:szCs w:val="22"/>
                <w:lang w:val="es-MX" w:eastAsia="es-MX"/>
              </w:rPr>
              <w:t xml:space="preserve"> todas las páginas que lo conforman. Si el documento no contiene información reservada, se tachará este apartado.</w:t>
            </w:r>
          </w:p>
        </w:tc>
      </w:tr>
      <w:tr w:rsidR="004D61E4" w:rsidRPr="00834C6D" w14:paraId="70400E8F"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0D630"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5D02C"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FEE92"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4D61E4" w:rsidRPr="00834C6D" w14:paraId="61456E8A"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B74A4"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6989C"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97B21"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4D61E4" w:rsidRPr="00834C6D" w14:paraId="63EEE942"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E7DE6"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AB43"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6E07D"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4D61E4" w:rsidRPr="00834C6D" w14:paraId="7E90ACE8"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77E9D"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12D9F"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FE569"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D61E4" w:rsidRPr="00834C6D" w14:paraId="0BFE35CE"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46303A"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4E2EF"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2B7B3"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4D61E4" w:rsidRPr="00834C6D" w14:paraId="3879A793"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2E944"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BAFD8"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5B8A6"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autógrafa de quien clasifica.</w:t>
            </w:r>
          </w:p>
        </w:tc>
      </w:tr>
      <w:tr w:rsidR="004D61E4" w:rsidRPr="00834C6D" w14:paraId="5C321D7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E8221"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2E9A7"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A9850"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la fecha en que se desclasifica el documento.</w:t>
            </w:r>
          </w:p>
        </w:tc>
      </w:tr>
      <w:tr w:rsidR="004D61E4" w:rsidRPr="00834C6D" w14:paraId="07749FE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02C81"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80A08"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05C572" w14:textId="77777777" w:rsidR="004D61E4" w:rsidRPr="00834C6D" w:rsidRDefault="004D61E4" w:rsidP="00C20311">
            <w:pPr>
              <w:pBdr>
                <w:top w:val="nil"/>
                <w:left w:val="nil"/>
                <w:bottom w:val="nil"/>
                <w:right w:val="nil"/>
                <w:between w:val="nil"/>
              </w:pBd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autógrafa de quien desclasifica.</w:t>
            </w:r>
          </w:p>
        </w:tc>
      </w:tr>
    </w:tbl>
    <w:p w14:paraId="202618B6" w14:textId="77777777" w:rsidR="004D61E4" w:rsidRDefault="004D61E4" w:rsidP="004D61E4">
      <w:pPr>
        <w:spacing w:line="360" w:lineRule="auto"/>
        <w:jc w:val="both"/>
        <w:rPr>
          <w:rFonts w:ascii="Palatino Linotype" w:eastAsia="Palatino Linotype" w:hAnsi="Palatino Linotype" w:cs="Palatino Linotype"/>
          <w:szCs w:val="22"/>
          <w:lang w:val="es-MX" w:eastAsia="es-MX"/>
        </w:rPr>
      </w:pPr>
    </w:p>
    <w:p w14:paraId="708ECAC4"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3105BA70"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43CE30A1" w14:textId="77777777" w:rsidR="004D61E4" w:rsidRPr="00834C6D" w:rsidRDefault="004D61E4" w:rsidP="004D61E4">
      <w:pPr>
        <w:shd w:val="clear" w:color="auto" w:fill="FFFFFF"/>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834C6D">
        <w:rPr>
          <w:rFonts w:ascii="Palatino Linotype" w:eastAsia="Palatino Linotype" w:hAnsi="Palatino Linotype" w:cs="Palatino Linotype"/>
          <w:szCs w:val="22"/>
          <w:lang w:val="es-MX" w:eastAsia="es-MX"/>
        </w:rPr>
        <w:lastRenderedPageBreak/>
        <w:t xml:space="preserve">las razones de ello se estaría violentando desde un inicio el derecho de acceso a la información del solicitante, por lo que el acuerdo respectivo, deberá hacerse del conocimiento del </w:t>
      </w:r>
      <w:r w:rsidRPr="00834C6D">
        <w:rPr>
          <w:rFonts w:ascii="Palatino Linotype" w:eastAsia="Palatino Linotype" w:hAnsi="Palatino Linotype" w:cs="Palatino Linotype"/>
          <w:b/>
          <w:szCs w:val="22"/>
          <w:lang w:val="es-MX" w:eastAsia="es-MX"/>
        </w:rPr>
        <w:t>Recurrente</w:t>
      </w:r>
      <w:r w:rsidRPr="00834C6D">
        <w:rPr>
          <w:rFonts w:ascii="Palatino Linotype" w:eastAsia="Palatino Linotype" w:hAnsi="Palatino Linotype" w:cs="Palatino Linotype"/>
          <w:szCs w:val="22"/>
          <w:lang w:val="es-MX" w:eastAsia="es-MX"/>
        </w:rPr>
        <w:t>.</w:t>
      </w:r>
    </w:p>
    <w:p w14:paraId="582C7770"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3CEEF38E"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237D6EE" w14:textId="77777777" w:rsidR="00581C32" w:rsidRDefault="00581C32" w:rsidP="009A6521">
      <w:pPr>
        <w:spacing w:line="360" w:lineRule="auto"/>
        <w:jc w:val="both"/>
        <w:rPr>
          <w:rFonts w:ascii="Palatino Linotype" w:hAnsi="Palatino Linotype" w:cs="Arial"/>
          <w:lang w:eastAsia="es-MX"/>
        </w:rPr>
      </w:pPr>
    </w:p>
    <w:p w14:paraId="018A3EA2" w14:textId="5D09F472" w:rsidR="009A6521" w:rsidRDefault="009A6521" w:rsidP="009A6521">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sidR="00EC0266">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en la </w:t>
      </w:r>
      <w:r w:rsidR="00C570B0">
        <w:rPr>
          <w:rFonts w:ascii="Palatino Linotype" w:hAnsi="Palatino Linotype"/>
          <w:i/>
        </w:rPr>
        <w:t>primer</w:t>
      </w:r>
      <w:r w:rsidRPr="006037CA">
        <w:rPr>
          <w:rFonts w:ascii="Palatino Linotype" w:hAnsi="Palatino Linotype"/>
          <w:i/>
        </w:rPr>
        <w:t>a hipótesis</w:t>
      </w:r>
      <w:r w:rsidRPr="006037CA">
        <w:rPr>
          <w:rFonts w:ascii="Palatino Linotype" w:hAnsi="Palatino Linotype"/>
        </w:rPr>
        <w:t xml:space="preserve"> del artículo 186, fracción III, de la Ley de Transparencia y Acceso a la Información Pública del Estado de México y Municipios, se </w:t>
      </w:r>
      <w:r w:rsidR="00C570B0" w:rsidRPr="00C570B0">
        <w:rPr>
          <w:rFonts w:ascii="Palatino Linotype" w:hAnsi="Palatino Linotype"/>
          <w:b/>
          <w:bCs/>
        </w:rPr>
        <w:t>REVO</w:t>
      </w:r>
      <w:r w:rsidRPr="006037CA">
        <w:rPr>
          <w:rFonts w:ascii="Palatino Linotype" w:hAnsi="Palatino Linotype"/>
          <w:b/>
        </w:rPr>
        <w:t xml:space="preserve">CA </w:t>
      </w:r>
      <w:r w:rsidRPr="006037CA">
        <w:rPr>
          <w:rFonts w:ascii="Palatino Linotype" w:hAnsi="Palatino Linotype"/>
        </w:rPr>
        <w:t xml:space="preserve">la respuesta a la solicitud de información </w:t>
      </w:r>
      <w:r w:rsidR="00C07CB1" w:rsidRPr="00C07CB1">
        <w:rPr>
          <w:rFonts w:ascii="Palatino Linotype" w:hAnsi="Palatino Linotype" w:cs="Arial"/>
          <w:b/>
        </w:rPr>
        <w:t>01990/TOLUCA/IP/2025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1DD8C3AC" w14:textId="77777777" w:rsidR="000478CF" w:rsidRPr="006037CA" w:rsidRDefault="000478CF" w:rsidP="009A6521">
      <w:pPr>
        <w:spacing w:line="360" w:lineRule="auto"/>
        <w:jc w:val="both"/>
        <w:rPr>
          <w:rFonts w:ascii="Palatino Linotype" w:hAnsi="Palatino Linotype"/>
        </w:rPr>
      </w:pPr>
    </w:p>
    <w:p w14:paraId="0833E19F" w14:textId="36E08C25" w:rsidR="009A6521" w:rsidRDefault="009A6521" w:rsidP="009A6521">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67C636CF" w14:textId="77777777" w:rsidR="00C07CB1" w:rsidRPr="006037CA" w:rsidRDefault="00C07CB1" w:rsidP="009A6521">
      <w:pPr>
        <w:spacing w:line="360" w:lineRule="auto"/>
        <w:jc w:val="both"/>
        <w:rPr>
          <w:rFonts w:ascii="Palatino Linotype" w:hAnsi="Palatino Linotype"/>
        </w:rPr>
      </w:pPr>
    </w:p>
    <w:p w14:paraId="00772740" w14:textId="4A59BF46" w:rsidR="009A6521" w:rsidRDefault="009A6521" w:rsidP="00561D99">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700BABFE" w14:textId="77777777" w:rsidR="00561D99" w:rsidRPr="00561D99" w:rsidRDefault="00561D99" w:rsidP="00561D99">
      <w:pPr>
        <w:spacing w:line="360" w:lineRule="auto"/>
        <w:jc w:val="center"/>
        <w:rPr>
          <w:rFonts w:ascii="Palatino Linotype" w:hAnsi="Palatino Linotype"/>
          <w:b/>
          <w:bCs/>
          <w:spacing w:val="60"/>
          <w:lang w:val="es-ES_tradnl"/>
        </w:rPr>
      </w:pPr>
    </w:p>
    <w:p w14:paraId="2B7ECB1B" w14:textId="0EA8A423" w:rsidR="001E3A82" w:rsidRDefault="009A6521" w:rsidP="00561D9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sidR="00C570B0">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C07CB1" w:rsidRPr="00C07CB1">
        <w:rPr>
          <w:rFonts w:ascii="Palatino Linotype" w:hAnsi="Palatino Linotype" w:cs="Arial"/>
          <w:b/>
        </w:rPr>
        <w:t>01990/TOLUCA/IP/2025</w:t>
      </w:r>
      <w:r w:rsidRPr="006037CA">
        <w:rPr>
          <w:rFonts w:ascii="Palatino Linotype" w:hAnsi="Palatino Linotype" w:cs="Arial"/>
        </w:rPr>
        <w:t>, por resultar</w:t>
      </w:r>
      <w:r w:rsidR="00C07D06">
        <w:rPr>
          <w:rFonts w:ascii="Palatino Linotype" w:hAnsi="Palatino Linotype" w:cs="Arial"/>
        </w:rPr>
        <w:t xml:space="preserve"> </w:t>
      </w:r>
      <w:r w:rsidRPr="006037CA">
        <w:rPr>
          <w:rFonts w:ascii="Palatino Linotype" w:hAnsi="Palatino Linotype" w:cs="Arial"/>
        </w:rPr>
        <w:t>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sidR="00C120DF">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3C8CD3B1" w14:textId="3D372453" w:rsidR="009A6521" w:rsidRDefault="009A6521" w:rsidP="00561D99">
      <w:pPr>
        <w:spacing w:line="360" w:lineRule="auto"/>
        <w:jc w:val="both"/>
        <w:rPr>
          <w:rFonts w:ascii="Palatino Linotype" w:hAnsi="Palatino Linotype" w:cs="Arial"/>
        </w:rPr>
      </w:pPr>
      <w:r w:rsidRPr="006037CA">
        <w:rPr>
          <w:rFonts w:ascii="Palatino Linotype" w:hAnsi="Palatino Linotype" w:cs="Arial"/>
          <w:b/>
          <w:sz w:val="28"/>
          <w:szCs w:val="28"/>
        </w:rPr>
        <w:lastRenderedPageBreak/>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00D938FB" w:rsidRPr="005D5264">
        <w:rPr>
          <w:rFonts w:ascii="Palatino Linotype" w:hAnsi="Palatino Linotype" w:cs="Arial"/>
          <w:b/>
        </w:rPr>
        <w:t>QUIN</w:t>
      </w:r>
      <w:r w:rsidRPr="005D5264">
        <w:rPr>
          <w:rFonts w:ascii="Palatino Linotype" w:hAnsi="Palatino Linotype" w:cs="Arial"/>
          <w:b/>
        </w:rPr>
        <w:t xml:space="preserve">TO </w:t>
      </w:r>
      <w:r w:rsidRPr="005D5264">
        <w:rPr>
          <w:rFonts w:ascii="Palatino Linotype" w:hAnsi="Palatino Linotype" w:cs="Arial"/>
        </w:rPr>
        <w:t>de</w:t>
      </w:r>
      <w:r w:rsidRPr="006037CA">
        <w:rPr>
          <w:rFonts w:ascii="Palatino Linotype" w:hAnsi="Palatino Linotype" w:cs="Arial"/>
        </w:rPr>
        <w:t xml:space="preserv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sidR="006B0E22">
        <w:rPr>
          <w:rFonts w:ascii="Palatino Linotype" w:hAnsi="Palatino Linotype" w:cs="Arial"/>
        </w:rPr>
        <w:t xml:space="preserve">, </w:t>
      </w:r>
      <w:r w:rsidR="00C07CB1">
        <w:rPr>
          <w:rFonts w:ascii="Palatino Linotype" w:hAnsi="Palatino Linotype" w:cs="Arial"/>
        </w:rPr>
        <w:t xml:space="preserve">previa búsqueda exhaustiva y razonable, </w:t>
      </w:r>
      <w:r w:rsidR="00A664DC">
        <w:rPr>
          <w:rFonts w:ascii="Palatino Linotype" w:hAnsi="Palatino Linotype" w:cs="Arial"/>
        </w:rPr>
        <w:t xml:space="preserve">de ser procedente en </w:t>
      </w:r>
      <w:r w:rsidR="004D61E4">
        <w:rPr>
          <w:rFonts w:ascii="Palatino Linotype" w:hAnsi="Palatino Linotype" w:cs="Arial"/>
        </w:rPr>
        <w:t xml:space="preserve">versión pública de </w:t>
      </w:r>
      <w:r>
        <w:rPr>
          <w:rFonts w:ascii="Palatino Linotype" w:hAnsi="Palatino Linotype" w:cs="Arial"/>
        </w:rPr>
        <w:t xml:space="preserve">lo </w:t>
      </w:r>
      <w:r w:rsidRPr="006037CA">
        <w:rPr>
          <w:rFonts w:ascii="Palatino Linotype" w:hAnsi="Palatino Linotype" w:cs="Arial"/>
        </w:rPr>
        <w:t>siguiente:</w:t>
      </w:r>
    </w:p>
    <w:p w14:paraId="009C7C22" w14:textId="77777777" w:rsidR="00561D99" w:rsidRPr="00561D99" w:rsidRDefault="00561D99" w:rsidP="00561D99">
      <w:pPr>
        <w:spacing w:line="360" w:lineRule="auto"/>
        <w:jc w:val="both"/>
        <w:rPr>
          <w:rFonts w:ascii="Palatino Linotype" w:hAnsi="Palatino Linotype" w:cs="Arial"/>
        </w:rPr>
      </w:pPr>
    </w:p>
    <w:p w14:paraId="287BAA9C" w14:textId="1A9CA332" w:rsidR="004D61E4" w:rsidRDefault="00322D9A" w:rsidP="00C120DF">
      <w:pPr>
        <w:numPr>
          <w:ilvl w:val="0"/>
          <w:numId w:val="9"/>
        </w:numPr>
        <w:spacing w:line="360" w:lineRule="auto"/>
        <w:ind w:right="141"/>
        <w:jc w:val="both"/>
        <w:rPr>
          <w:rFonts w:ascii="Palatino Linotype" w:hAnsi="Palatino Linotype" w:cs="Arial"/>
        </w:rPr>
      </w:pPr>
      <w:r>
        <w:rPr>
          <w:rFonts w:ascii="Palatino Linotype" w:hAnsi="Palatino Linotype" w:cs="Arial"/>
        </w:rPr>
        <w:t>E</w:t>
      </w:r>
      <w:r w:rsidRPr="00322D9A">
        <w:rPr>
          <w:rFonts w:ascii="Palatino Linotype" w:hAnsi="Palatino Linotype" w:cs="Arial"/>
        </w:rPr>
        <w:t>l convenio</w:t>
      </w:r>
      <w:r>
        <w:rPr>
          <w:rFonts w:ascii="Palatino Linotype" w:hAnsi="Palatino Linotype" w:cs="Arial"/>
        </w:rPr>
        <w:t xml:space="preserve"> de colaboración</w:t>
      </w:r>
      <w:r w:rsidRPr="00322D9A">
        <w:rPr>
          <w:rFonts w:ascii="Palatino Linotype" w:hAnsi="Palatino Linotype" w:cs="Arial"/>
        </w:rPr>
        <w:t xml:space="preserve"> </w:t>
      </w:r>
      <w:r>
        <w:rPr>
          <w:rFonts w:ascii="Palatino Linotype" w:hAnsi="Palatino Linotype" w:cs="Arial"/>
        </w:rPr>
        <w:t>formalizado</w:t>
      </w:r>
      <w:r w:rsidRPr="00322D9A">
        <w:rPr>
          <w:rFonts w:ascii="Palatino Linotype" w:hAnsi="Palatino Linotype" w:cs="Arial"/>
        </w:rPr>
        <w:t xml:space="preserve"> entre el </w:t>
      </w:r>
      <w:r>
        <w:rPr>
          <w:rFonts w:ascii="Palatino Linotype" w:hAnsi="Palatino Linotype" w:cs="Arial"/>
        </w:rPr>
        <w:t>A</w:t>
      </w:r>
      <w:r w:rsidRPr="00322D9A">
        <w:rPr>
          <w:rFonts w:ascii="Palatino Linotype" w:hAnsi="Palatino Linotype" w:cs="Arial"/>
        </w:rPr>
        <w:t>yuntamiento de Toluca y el Instituto Electoral del Estado de México (IEEM)</w:t>
      </w:r>
      <w:r>
        <w:rPr>
          <w:rFonts w:ascii="Palatino Linotype" w:hAnsi="Palatino Linotype" w:cs="Arial"/>
        </w:rPr>
        <w:t xml:space="preserve">, </w:t>
      </w:r>
      <w:r w:rsidRPr="00322D9A">
        <w:rPr>
          <w:rFonts w:ascii="Palatino Linotype" w:hAnsi="Palatino Linotype" w:cs="Arial"/>
        </w:rPr>
        <w:t>para apoyar en la organización, desarrollo y supervisión de las elecciones de autoridades auxiliares del ayuntamiento</w:t>
      </w:r>
      <w:r>
        <w:rPr>
          <w:rFonts w:ascii="Palatino Linotype" w:hAnsi="Palatino Linotype" w:cs="Arial"/>
        </w:rPr>
        <w:t>, al dos de abril de dos mil veinticinco</w:t>
      </w:r>
      <w:r w:rsidR="004D61E4">
        <w:rPr>
          <w:rFonts w:ascii="Palatino Linotype" w:hAnsi="Palatino Linotype" w:cs="Arial"/>
        </w:rPr>
        <w:t>.</w:t>
      </w:r>
    </w:p>
    <w:p w14:paraId="3839DCA2" w14:textId="77777777" w:rsidR="004D61E4" w:rsidRPr="001E3A82" w:rsidRDefault="004D61E4" w:rsidP="004D61E4">
      <w:pPr>
        <w:pStyle w:val="Sinespaciado"/>
        <w:rPr>
          <w:lang w:val="es-ES"/>
        </w:rPr>
      </w:pPr>
    </w:p>
    <w:p w14:paraId="175CB6E5" w14:textId="77777777" w:rsidR="004D61E4" w:rsidRDefault="004D61E4" w:rsidP="004D61E4">
      <w:pPr>
        <w:ind w:left="360" w:right="141"/>
        <w:jc w:val="both"/>
        <w:rPr>
          <w:rFonts w:ascii="Palatino Linotype" w:hAnsi="Palatino Linotype"/>
          <w:i/>
          <w:sz w:val="22"/>
        </w:rPr>
      </w:pPr>
      <w:r w:rsidRPr="00DF2507">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DF2507">
        <w:rPr>
          <w:rFonts w:ascii="Palatino Linotype" w:hAnsi="Palatino Linotype"/>
          <w:b/>
          <w:i/>
          <w:sz w:val="22"/>
        </w:rPr>
        <w:t>Recurrente</w:t>
      </w:r>
      <w:r w:rsidRPr="00DF2507">
        <w:rPr>
          <w:rFonts w:ascii="Palatino Linotype" w:hAnsi="Palatino Linotype"/>
          <w:i/>
          <w:sz w:val="22"/>
        </w:rPr>
        <w:t>.</w:t>
      </w:r>
    </w:p>
    <w:p w14:paraId="3B962E19" w14:textId="7BE088F0" w:rsidR="004D61E4" w:rsidRDefault="004D61E4" w:rsidP="00A664DC">
      <w:pPr>
        <w:pStyle w:val="Sinespaciado"/>
      </w:pPr>
    </w:p>
    <w:p w14:paraId="3754F562" w14:textId="77777777" w:rsidR="00561D99" w:rsidRPr="00561D99" w:rsidRDefault="00561D99" w:rsidP="00C120DF">
      <w:pPr>
        <w:ind w:right="141"/>
        <w:jc w:val="both"/>
        <w:rPr>
          <w:rFonts w:ascii="Palatino Linotype" w:hAnsi="Palatino Linotype"/>
          <w:i/>
          <w:sz w:val="22"/>
        </w:rPr>
      </w:pPr>
    </w:p>
    <w:p w14:paraId="49858C27" w14:textId="76AD79D3" w:rsidR="00561D99" w:rsidRPr="00561D99"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159F728C" w14:textId="5B5B797E" w:rsidR="002A3EFB" w:rsidRDefault="009A6521" w:rsidP="00561D99">
      <w:pPr>
        <w:spacing w:line="360" w:lineRule="auto"/>
        <w:jc w:val="both"/>
        <w:rPr>
          <w:rFonts w:ascii="Palatino Linotype" w:hAnsi="Palatino Linotype" w:cs="Arial"/>
          <w:bCs/>
          <w:szCs w:val="28"/>
        </w:rPr>
      </w:pPr>
      <w:r w:rsidRPr="006037CA">
        <w:rPr>
          <w:rFonts w:ascii="Palatino Linotype" w:hAnsi="Palatino Linotype" w:cs="Arial"/>
          <w:b/>
          <w:bCs/>
          <w:sz w:val="28"/>
          <w:szCs w:val="28"/>
        </w:rPr>
        <w:lastRenderedPageBreak/>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561D99" w:rsidRDefault="00561D99" w:rsidP="00561D99">
      <w:pPr>
        <w:spacing w:line="360" w:lineRule="auto"/>
        <w:jc w:val="both"/>
        <w:rPr>
          <w:rFonts w:ascii="Palatino Linotype" w:hAnsi="Palatino Linotype" w:cs="Arial"/>
          <w:bCs/>
          <w:szCs w:val="28"/>
        </w:rPr>
      </w:pPr>
    </w:p>
    <w:p w14:paraId="1B4E606C" w14:textId="371D2306" w:rsidR="00DF2507" w:rsidRDefault="009A6521" w:rsidP="00561D9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443ECCF" w14:textId="77777777" w:rsidR="00322D9A" w:rsidRDefault="00322D9A" w:rsidP="00561D99">
      <w:pPr>
        <w:autoSpaceDE w:val="0"/>
        <w:autoSpaceDN w:val="0"/>
        <w:adjustRightInd w:val="0"/>
        <w:spacing w:line="360" w:lineRule="auto"/>
        <w:ind w:right="49"/>
        <w:jc w:val="both"/>
        <w:rPr>
          <w:rFonts w:ascii="Palatino Linotype" w:hAnsi="Palatino Linotype" w:cs="Arial"/>
        </w:rPr>
      </w:pPr>
    </w:p>
    <w:p w14:paraId="708C2C7B" w14:textId="7E9D510B"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4309A2"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3B575C">
        <w:rPr>
          <w:rFonts w:ascii="Palatino Linotype" w:eastAsiaTheme="minorHAnsi" w:hAnsi="Palatino Linotype" w:cs="Arial"/>
          <w:lang w:val="es-MX" w:eastAsia="en-US"/>
        </w:rPr>
        <w:t>TRIGÉSIMA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3B575C">
        <w:rPr>
          <w:rFonts w:ascii="Palatino Linotype" w:hAnsi="Palatino Linotype" w:cs="Arial"/>
          <w:color w:val="000000"/>
          <w:lang w:val="es-MX" w:eastAsia="es-MX"/>
        </w:rPr>
        <w:t xml:space="preserve">VEINTISIETE </w:t>
      </w:r>
      <w:r w:rsidR="00271572">
        <w:rPr>
          <w:rFonts w:ascii="Palatino Linotype" w:hAnsi="Palatino Linotype" w:cs="Arial"/>
          <w:color w:val="000000"/>
          <w:lang w:val="es-MX" w:eastAsia="es-MX"/>
        </w:rPr>
        <w:t xml:space="preserve">DE </w:t>
      </w:r>
      <w:r w:rsidR="003B575C">
        <w:rPr>
          <w:rFonts w:ascii="Palatino Linotype" w:hAnsi="Palatino Linotype" w:cs="Arial"/>
          <w:color w:val="000000"/>
          <w:lang w:val="es-MX" w:eastAsia="es-MX"/>
        </w:rPr>
        <w:t>AGOSTO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A664DC">
        <w:rPr>
          <w:rFonts w:ascii="Palatino Linotype" w:eastAsiaTheme="minorHAnsi" w:hAnsi="Palatino Linotype" w:cs="Arial"/>
          <w:lang w:val="es-MX" w:eastAsia="en-US"/>
        </w:rPr>
        <w:t>--------------------------------------------------</w:t>
      </w:r>
      <w:r w:rsidR="001E3A82" w:rsidRPr="001E3A82">
        <w:rPr>
          <w:rFonts w:ascii="Palatino Linotype" w:eastAsiaTheme="minorHAnsi" w:hAnsi="Palatino Linotype" w:cs="Arial"/>
          <w:lang w:val="es-MX" w:eastAsia="en-US"/>
        </w:rPr>
        <w:t xml:space="preserve"> </w:t>
      </w:r>
      <w:r w:rsidR="001E3A82">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10A2E">
        <w:rPr>
          <w:rFonts w:ascii="Palatino Linotype" w:eastAsiaTheme="minorHAnsi" w:hAnsi="Palatino Linotype" w:cs="Arial"/>
          <w:sz w:val="16"/>
          <w:szCs w:val="16"/>
          <w:lang w:val="es-MX" w:eastAsia="en-US"/>
        </w:rPr>
        <w:t>JMV/CCR/</w:t>
      </w:r>
      <w:proofErr w:type="spellStart"/>
      <w:r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697878A9" w:rsidR="0029071C" w:rsidRPr="003E56C9" w:rsidRDefault="0029071C" w:rsidP="003E56C9"/>
    <w:sectPr w:rsidR="0029071C" w:rsidRPr="003E56C9" w:rsidSect="00742DA4">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7E7EE" w14:textId="77777777" w:rsidR="002536FD" w:rsidRDefault="002536FD" w:rsidP="000B5E25">
      <w:r>
        <w:separator/>
      </w:r>
    </w:p>
  </w:endnote>
  <w:endnote w:type="continuationSeparator" w:id="0">
    <w:p w14:paraId="6A23154B" w14:textId="77777777" w:rsidR="002536FD" w:rsidRDefault="002536F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20FD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20FD6">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20FD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20FD6">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5D8F8" w14:textId="77777777" w:rsidR="002536FD" w:rsidRDefault="002536FD" w:rsidP="000B5E25">
      <w:r>
        <w:separator/>
      </w:r>
    </w:p>
  </w:footnote>
  <w:footnote w:type="continuationSeparator" w:id="0">
    <w:p w14:paraId="493ACBCE" w14:textId="77777777" w:rsidR="002536FD" w:rsidRDefault="002536FD" w:rsidP="000B5E25">
      <w:r>
        <w:continuationSeparator/>
      </w:r>
    </w:p>
  </w:footnote>
  <w:footnote w:id="1">
    <w:p w14:paraId="415B7283" w14:textId="77777777" w:rsidR="0075607A" w:rsidRPr="008A64CB" w:rsidRDefault="0075607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5607A" w:rsidRDefault="0075607A" w:rsidP="008A64CB">
      <w:pPr>
        <w:autoSpaceDE w:val="0"/>
        <w:autoSpaceDN w:val="0"/>
        <w:adjustRightInd w:val="0"/>
        <w:ind w:right="49"/>
        <w:jc w:val="both"/>
        <w:rPr>
          <w:rFonts w:ascii="Palatino Linotype" w:hAnsi="Palatino Linotype"/>
          <w:i/>
          <w:sz w:val="18"/>
          <w:szCs w:val="22"/>
        </w:rPr>
      </w:pPr>
    </w:p>
    <w:p w14:paraId="2A843A3D" w14:textId="77777777" w:rsidR="0075607A" w:rsidRPr="008A64CB" w:rsidRDefault="0075607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5607A" w:rsidRPr="008A64CB" w:rsidRDefault="0075607A">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5607A" w:rsidRDefault="002536FD">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5607A" w:rsidRPr="008F2CCC" w14:paraId="6A2352FA" w14:textId="77777777" w:rsidTr="00BC757D">
      <w:tc>
        <w:tcPr>
          <w:tcW w:w="2693" w:type="dxa"/>
          <w:vAlign w:val="center"/>
        </w:tcPr>
        <w:p w14:paraId="217E963F"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7780271"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43B44">
            <w:rPr>
              <w:rFonts w:ascii="Palatino Linotype" w:hAnsi="Palatino Linotype"/>
              <w:sz w:val="22"/>
              <w:szCs w:val="22"/>
              <w:lang w:val="es-ES_tradnl"/>
            </w:rPr>
            <w:t>5885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1F299A1F" w14:textId="77777777" w:rsidTr="00BC757D">
      <w:trPr>
        <w:trHeight w:val="228"/>
      </w:trPr>
      <w:tc>
        <w:tcPr>
          <w:tcW w:w="2693" w:type="dxa"/>
          <w:vAlign w:val="center"/>
        </w:tcPr>
        <w:p w14:paraId="683328AB"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75607A" w:rsidRPr="0029071C" w:rsidRDefault="0075607A"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75607A" w:rsidRPr="008F2CCC" w14:paraId="46D09EF7" w14:textId="77777777" w:rsidTr="00BC757D">
      <w:tc>
        <w:tcPr>
          <w:tcW w:w="2693" w:type="dxa"/>
          <w:vAlign w:val="center"/>
        </w:tcPr>
        <w:p w14:paraId="1A0A5ED2" w14:textId="77777777" w:rsidR="0075607A" w:rsidRPr="008F5DAE" w:rsidRDefault="0075607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5607A" w:rsidRPr="001779E0" w:rsidRDefault="002536F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5607A" w:rsidRPr="008F2CCC" w14:paraId="647E1A5E" w14:textId="77777777" w:rsidTr="00515252">
      <w:tc>
        <w:tcPr>
          <w:tcW w:w="2552" w:type="dxa"/>
          <w:vAlign w:val="center"/>
        </w:tcPr>
        <w:p w14:paraId="61C1A94D"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DB96999"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43B44">
            <w:rPr>
              <w:rFonts w:ascii="Palatino Linotype" w:hAnsi="Palatino Linotype"/>
              <w:sz w:val="22"/>
              <w:szCs w:val="22"/>
              <w:lang w:val="es-ES_tradnl"/>
            </w:rPr>
            <w:t>5885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34929B82" w14:textId="77777777" w:rsidTr="00515252">
      <w:tc>
        <w:tcPr>
          <w:tcW w:w="2552" w:type="dxa"/>
          <w:vAlign w:val="center"/>
        </w:tcPr>
        <w:p w14:paraId="54C6870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58F47BA9" w:rsidR="0075607A" w:rsidRPr="006D30E6" w:rsidRDefault="00020FD6"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w:t>
          </w:r>
          <w:proofErr w:type="spellEnd"/>
        </w:p>
      </w:tc>
    </w:tr>
    <w:tr w:rsidR="0075607A" w:rsidRPr="008F2CCC" w14:paraId="15459416" w14:textId="77777777" w:rsidTr="00515252">
      <w:trPr>
        <w:trHeight w:val="228"/>
      </w:trPr>
      <w:tc>
        <w:tcPr>
          <w:tcW w:w="2552" w:type="dxa"/>
          <w:vAlign w:val="center"/>
        </w:tcPr>
        <w:p w14:paraId="776491B5"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75607A" w:rsidRPr="0029071C" w:rsidRDefault="0075607A"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75607A" w:rsidRPr="008F2CCC" w14:paraId="5C009CDE" w14:textId="77777777" w:rsidTr="00515252">
      <w:tc>
        <w:tcPr>
          <w:tcW w:w="2552" w:type="dxa"/>
          <w:vAlign w:val="center"/>
        </w:tcPr>
        <w:p w14:paraId="294ED62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5607A" w:rsidRDefault="002536FD">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5607A" w:rsidRPr="009F1AB6" w:rsidRDefault="0075607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pt;height:11.2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8"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1"/>
  </w:num>
  <w:num w:numId="3">
    <w:abstractNumId w:val="6"/>
  </w:num>
  <w:num w:numId="4">
    <w:abstractNumId w:val="22"/>
  </w:num>
  <w:num w:numId="5">
    <w:abstractNumId w:val="25"/>
  </w:num>
  <w:num w:numId="6">
    <w:abstractNumId w:val="29"/>
  </w:num>
  <w:num w:numId="7">
    <w:abstractNumId w:val="8"/>
  </w:num>
  <w:num w:numId="8">
    <w:abstractNumId w:val="23"/>
  </w:num>
  <w:num w:numId="9">
    <w:abstractNumId w:val="27"/>
  </w:num>
  <w:num w:numId="10">
    <w:abstractNumId w:val="3"/>
  </w:num>
  <w:num w:numId="11">
    <w:abstractNumId w:val="24"/>
  </w:num>
  <w:num w:numId="12">
    <w:abstractNumId w:val="7"/>
  </w:num>
  <w:num w:numId="13">
    <w:abstractNumId w:val="5"/>
  </w:num>
  <w:num w:numId="14">
    <w:abstractNumId w:val="20"/>
  </w:num>
  <w:num w:numId="15">
    <w:abstractNumId w:val="12"/>
  </w:num>
  <w:num w:numId="16">
    <w:abstractNumId w:val="17"/>
  </w:num>
  <w:num w:numId="17">
    <w:abstractNumId w:val="9"/>
  </w:num>
  <w:num w:numId="18">
    <w:abstractNumId w:val="1"/>
  </w:num>
  <w:num w:numId="19">
    <w:abstractNumId w:val="26"/>
  </w:num>
  <w:num w:numId="20">
    <w:abstractNumId w:val="19"/>
  </w:num>
  <w:num w:numId="21">
    <w:abstractNumId w:val="14"/>
  </w:num>
  <w:num w:numId="22">
    <w:abstractNumId w:val="16"/>
  </w:num>
  <w:num w:numId="23">
    <w:abstractNumId w:val="13"/>
  </w:num>
  <w:num w:numId="24">
    <w:abstractNumId w:val="18"/>
  </w:num>
  <w:num w:numId="25">
    <w:abstractNumId w:val="21"/>
  </w:num>
  <w:num w:numId="26">
    <w:abstractNumId w:val="4"/>
  </w:num>
  <w:num w:numId="27">
    <w:abstractNumId w:val="0"/>
  </w:num>
  <w:num w:numId="28">
    <w:abstractNumId w:val="10"/>
  </w:num>
  <w:num w:numId="29">
    <w:abstractNumId w:val="15"/>
  </w:num>
  <w:num w:numId="3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51CB"/>
    <w:rsid w:val="0000611A"/>
    <w:rsid w:val="00007BC3"/>
    <w:rsid w:val="000120BC"/>
    <w:rsid w:val="000153AF"/>
    <w:rsid w:val="00020FD6"/>
    <w:rsid w:val="0002117B"/>
    <w:rsid w:val="00031EFF"/>
    <w:rsid w:val="00032D08"/>
    <w:rsid w:val="00036F8B"/>
    <w:rsid w:val="00037D70"/>
    <w:rsid w:val="000478CF"/>
    <w:rsid w:val="00053340"/>
    <w:rsid w:val="00054E04"/>
    <w:rsid w:val="00056A58"/>
    <w:rsid w:val="000572E9"/>
    <w:rsid w:val="00070547"/>
    <w:rsid w:val="00071173"/>
    <w:rsid w:val="000775FC"/>
    <w:rsid w:val="00087797"/>
    <w:rsid w:val="0009050D"/>
    <w:rsid w:val="00091A55"/>
    <w:rsid w:val="00093AE1"/>
    <w:rsid w:val="00094CC7"/>
    <w:rsid w:val="0009538E"/>
    <w:rsid w:val="000A3000"/>
    <w:rsid w:val="000A34BB"/>
    <w:rsid w:val="000A3FF8"/>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B44"/>
    <w:rsid w:val="00143F6E"/>
    <w:rsid w:val="00151D4C"/>
    <w:rsid w:val="00152DAD"/>
    <w:rsid w:val="001558F3"/>
    <w:rsid w:val="001676E1"/>
    <w:rsid w:val="00170AA7"/>
    <w:rsid w:val="001762FA"/>
    <w:rsid w:val="0017779C"/>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3A82"/>
    <w:rsid w:val="001E45B5"/>
    <w:rsid w:val="001F1FCC"/>
    <w:rsid w:val="001F2305"/>
    <w:rsid w:val="001F2E4C"/>
    <w:rsid w:val="001F3672"/>
    <w:rsid w:val="001F6BF1"/>
    <w:rsid w:val="0020249A"/>
    <w:rsid w:val="00202501"/>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47724"/>
    <w:rsid w:val="00251C5D"/>
    <w:rsid w:val="00253578"/>
    <w:rsid w:val="002536FD"/>
    <w:rsid w:val="00255F1A"/>
    <w:rsid w:val="00261BC7"/>
    <w:rsid w:val="00263AF4"/>
    <w:rsid w:val="00266841"/>
    <w:rsid w:val="00266CD3"/>
    <w:rsid w:val="00267458"/>
    <w:rsid w:val="00267BB5"/>
    <w:rsid w:val="00271572"/>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0927"/>
    <w:rsid w:val="002E3085"/>
    <w:rsid w:val="002F3B20"/>
    <w:rsid w:val="002F3F9D"/>
    <w:rsid w:val="002F55B9"/>
    <w:rsid w:val="00302343"/>
    <w:rsid w:val="00306F04"/>
    <w:rsid w:val="00307006"/>
    <w:rsid w:val="0030701F"/>
    <w:rsid w:val="00314E62"/>
    <w:rsid w:val="00320F38"/>
    <w:rsid w:val="00322715"/>
    <w:rsid w:val="00322D9A"/>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2A2F"/>
    <w:rsid w:val="00396DB6"/>
    <w:rsid w:val="003A769D"/>
    <w:rsid w:val="003B153A"/>
    <w:rsid w:val="003B1C85"/>
    <w:rsid w:val="003B4CF3"/>
    <w:rsid w:val="003B575C"/>
    <w:rsid w:val="003B70B0"/>
    <w:rsid w:val="003C3071"/>
    <w:rsid w:val="003C6570"/>
    <w:rsid w:val="003C6E1C"/>
    <w:rsid w:val="003D0652"/>
    <w:rsid w:val="003D0889"/>
    <w:rsid w:val="003D1214"/>
    <w:rsid w:val="003D5C8A"/>
    <w:rsid w:val="003E21A7"/>
    <w:rsid w:val="003E56C9"/>
    <w:rsid w:val="003F28C1"/>
    <w:rsid w:val="003F684E"/>
    <w:rsid w:val="004018F9"/>
    <w:rsid w:val="00402765"/>
    <w:rsid w:val="00406218"/>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7551D"/>
    <w:rsid w:val="00491137"/>
    <w:rsid w:val="00492129"/>
    <w:rsid w:val="004979F8"/>
    <w:rsid w:val="004A0B63"/>
    <w:rsid w:val="004A26CF"/>
    <w:rsid w:val="004A2D65"/>
    <w:rsid w:val="004B200D"/>
    <w:rsid w:val="004B2314"/>
    <w:rsid w:val="004B5F63"/>
    <w:rsid w:val="004C6BB5"/>
    <w:rsid w:val="004D18B6"/>
    <w:rsid w:val="004D5D2F"/>
    <w:rsid w:val="004D61E4"/>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72099"/>
    <w:rsid w:val="0057280C"/>
    <w:rsid w:val="0057289F"/>
    <w:rsid w:val="00572A11"/>
    <w:rsid w:val="00574FDC"/>
    <w:rsid w:val="005803C9"/>
    <w:rsid w:val="00581C32"/>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5264"/>
    <w:rsid w:val="005D77CC"/>
    <w:rsid w:val="005E09AB"/>
    <w:rsid w:val="005E5716"/>
    <w:rsid w:val="005F1F89"/>
    <w:rsid w:val="005F38DA"/>
    <w:rsid w:val="005F4BFB"/>
    <w:rsid w:val="006000C5"/>
    <w:rsid w:val="006002E0"/>
    <w:rsid w:val="0061406C"/>
    <w:rsid w:val="00620280"/>
    <w:rsid w:val="006233F8"/>
    <w:rsid w:val="0062349E"/>
    <w:rsid w:val="0062392C"/>
    <w:rsid w:val="006258FD"/>
    <w:rsid w:val="00632E48"/>
    <w:rsid w:val="00643B58"/>
    <w:rsid w:val="00660D13"/>
    <w:rsid w:val="00661CC3"/>
    <w:rsid w:val="006666CE"/>
    <w:rsid w:val="00670AC6"/>
    <w:rsid w:val="006810FF"/>
    <w:rsid w:val="00681ED0"/>
    <w:rsid w:val="00683574"/>
    <w:rsid w:val="00690BFF"/>
    <w:rsid w:val="00694976"/>
    <w:rsid w:val="006A240A"/>
    <w:rsid w:val="006A2694"/>
    <w:rsid w:val="006A7AA4"/>
    <w:rsid w:val="006B0E22"/>
    <w:rsid w:val="006B1080"/>
    <w:rsid w:val="006B1301"/>
    <w:rsid w:val="006B26B2"/>
    <w:rsid w:val="006B321A"/>
    <w:rsid w:val="006B35CB"/>
    <w:rsid w:val="006B418F"/>
    <w:rsid w:val="006B47C9"/>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3D3F"/>
    <w:rsid w:val="007348B7"/>
    <w:rsid w:val="00737A9B"/>
    <w:rsid w:val="00742DA4"/>
    <w:rsid w:val="007527E8"/>
    <w:rsid w:val="007532C7"/>
    <w:rsid w:val="00754241"/>
    <w:rsid w:val="0075607A"/>
    <w:rsid w:val="00756F04"/>
    <w:rsid w:val="00757D60"/>
    <w:rsid w:val="00760B2C"/>
    <w:rsid w:val="007659E9"/>
    <w:rsid w:val="00766D86"/>
    <w:rsid w:val="00770F18"/>
    <w:rsid w:val="007764BB"/>
    <w:rsid w:val="007828DC"/>
    <w:rsid w:val="007863F2"/>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06"/>
    <w:rsid w:val="008578BF"/>
    <w:rsid w:val="00863ACD"/>
    <w:rsid w:val="00864E58"/>
    <w:rsid w:val="008660D6"/>
    <w:rsid w:val="00867028"/>
    <w:rsid w:val="00871098"/>
    <w:rsid w:val="00877235"/>
    <w:rsid w:val="008803EF"/>
    <w:rsid w:val="00882980"/>
    <w:rsid w:val="00896D29"/>
    <w:rsid w:val="008A12CF"/>
    <w:rsid w:val="008A1A90"/>
    <w:rsid w:val="008A64CB"/>
    <w:rsid w:val="008B082B"/>
    <w:rsid w:val="008B6546"/>
    <w:rsid w:val="008C3B24"/>
    <w:rsid w:val="008D4A0F"/>
    <w:rsid w:val="008D5BD3"/>
    <w:rsid w:val="008E01E4"/>
    <w:rsid w:val="008E28B2"/>
    <w:rsid w:val="008E7F32"/>
    <w:rsid w:val="008F148C"/>
    <w:rsid w:val="008F5D37"/>
    <w:rsid w:val="008F5DAE"/>
    <w:rsid w:val="008F7C23"/>
    <w:rsid w:val="00900C9B"/>
    <w:rsid w:val="00901487"/>
    <w:rsid w:val="00903BEF"/>
    <w:rsid w:val="00907F13"/>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3CD7"/>
    <w:rsid w:val="009A5223"/>
    <w:rsid w:val="009A6017"/>
    <w:rsid w:val="009A6521"/>
    <w:rsid w:val="009A6B97"/>
    <w:rsid w:val="009A6D6A"/>
    <w:rsid w:val="009A7E94"/>
    <w:rsid w:val="009B23B7"/>
    <w:rsid w:val="009B2B6B"/>
    <w:rsid w:val="009C052A"/>
    <w:rsid w:val="009D2E87"/>
    <w:rsid w:val="009D39B3"/>
    <w:rsid w:val="009D73E7"/>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2F90"/>
    <w:rsid w:val="00A2385C"/>
    <w:rsid w:val="00A26BD8"/>
    <w:rsid w:val="00A31156"/>
    <w:rsid w:val="00A320DF"/>
    <w:rsid w:val="00A3509D"/>
    <w:rsid w:val="00A44523"/>
    <w:rsid w:val="00A44C61"/>
    <w:rsid w:val="00A5260D"/>
    <w:rsid w:val="00A54C18"/>
    <w:rsid w:val="00A55582"/>
    <w:rsid w:val="00A664DC"/>
    <w:rsid w:val="00A6692F"/>
    <w:rsid w:val="00A66F64"/>
    <w:rsid w:val="00A6775F"/>
    <w:rsid w:val="00A72262"/>
    <w:rsid w:val="00A753F2"/>
    <w:rsid w:val="00A7773A"/>
    <w:rsid w:val="00A83B4F"/>
    <w:rsid w:val="00A846BD"/>
    <w:rsid w:val="00A929C9"/>
    <w:rsid w:val="00A9389D"/>
    <w:rsid w:val="00A94441"/>
    <w:rsid w:val="00A97381"/>
    <w:rsid w:val="00AA26B4"/>
    <w:rsid w:val="00AB15E3"/>
    <w:rsid w:val="00AB4982"/>
    <w:rsid w:val="00AC07E8"/>
    <w:rsid w:val="00AC1763"/>
    <w:rsid w:val="00AC3DB9"/>
    <w:rsid w:val="00AC687D"/>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2688"/>
    <w:rsid w:val="00BC462B"/>
    <w:rsid w:val="00BC757D"/>
    <w:rsid w:val="00BD14B3"/>
    <w:rsid w:val="00BD269F"/>
    <w:rsid w:val="00BD3782"/>
    <w:rsid w:val="00BD4B93"/>
    <w:rsid w:val="00BD677A"/>
    <w:rsid w:val="00BD6F27"/>
    <w:rsid w:val="00BD6FAE"/>
    <w:rsid w:val="00BD74AF"/>
    <w:rsid w:val="00BE233B"/>
    <w:rsid w:val="00BE7A6E"/>
    <w:rsid w:val="00BF6E0F"/>
    <w:rsid w:val="00C02B7F"/>
    <w:rsid w:val="00C0414E"/>
    <w:rsid w:val="00C058C8"/>
    <w:rsid w:val="00C07CB1"/>
    <w:rsid w:val="00C07D06"/>
    <w:rsid w:val="00C120DF"/>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4FB5"/>
    <w:rsid w:val="00D27727"/>
    <w:rsid w:val="00D34428"/>
    <w:rsid w:val="00D4431A"/>
    <w:rsid w:val="00D50E4E"/>
    <w:rsid w:val="00D553D4"/>
    <w:rsid w:val="00D57210"/>
    <w:rsid w:val="00D57AED"/>
    <w:rsid w:val="00D57B16"/>
    <w:rsid w:val="00D57F74"/>
    <w:rsid w:val="00D8032C"/>
    <w:rsid w:val="00D80B28"/>
    <w:rsid w:val="00D83603"/>
    <w:rsid w:val="00D901D7"/>
    <w:rsid w:val="00D92BFE"/>
    <w:rsid w:val="00D938FB"/>
    <w:rsid w:val="00DA2014"/>
    <w:rsid w:val="00DB1F5E"/>
    <w:rsid w:val="00DB338B"/>
    <w:rsid w:val="00DB55A6"/>
    <w:rsid w:val="00DC1583"/>
    <w:rsid w:val="00DC2B31"/>
    <w:rsid w:val="00DC5B5A"/>
    <w:rsid w:val="00DC7ADE"/>
    <w:rsid w:val="00DD136D"/>
    <w:rsid w:val="00DD1866"/>
    <w:rsid w:val="00DD5A69"/>
    <w:rsid w:val="00DD62C0"/>
    <w:rsid w:val="00DE0A8D"/>
    <w:rsid w:val="00DE347D"/>
    <w:rsid w:val="00DE562A"/>
    <w:rsid w:val="00DE7148"/>
    <w:rsid w:val="00DF0080"/>
    <w:rsid w:val="00DF2507"/>
    <w:rsid w:val="00DF62A4"/>
    <w:rsid w:val="00DF700F"/>
    <w:rsid w:val="00E00D15"/>
    <w:rsid w:val="00E11B18"/>
    <w:rsid w:val="00E13487"/>
    <w:rsid w:val="00E14823"/>
    <w:rsid w:val="00E174F8"/>
    <w:rsid w:val="00E33297"/>
    <w:rsid w:val="00E3346E"/>
    <w:rsid w:val="00E341AD"/>
    <w:rsid w:val="00E40828"/>
    <w:rsid w:val="00E41730"/>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59E0"/>
    <w:rsid w:val="00F01C71"/>
    <w:rsid w:val="00F1159D"/>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E6D41"/>
    <w:rsid w:val="00FF13B3"/>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05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dioteca.ieem.org.mx/index.php/prensa-cs/bole-cs/item/7338-ieem-firma-convenios-de-colaboracion-para-colaborarn-en-la-eleccion-de-autoridades-auxiliares-municipa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toluca.gob.mx/formaliza-toluca-convenio-con-ieem-para-elecciones-de-autoridades-auxiliar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AD9F-5252-48D0-AAE9-58F359C1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35</Pages>
  <Words>9205</Words>
  <Characters>50628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2025-08-28T22:47:00Z</cp:lastPrinted>
  <dcterms:created xsi:type="dcterms:W3CDTF">2025-08-12T17:24:00Z</dcterms:created>
  <dcterms:modified xsi:type="dcterms:W3CDTF">2025-09-17T15:02:00Z</dcterms:modified>
</cp:coreProperties>
</file>