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255AAB72" w14:textId="374C15FF" w:rsidR="00D526FB" w:rsidRPr="000A352E" w:rsidRDefault="00D526FB" w:rsidP="009E7481">
          <w:pPr>
            <w:pStyle w:val="TtulodeTDC"/>
            <w:spacing w:before="0" w:line="360" w:lineRule="auto"/>
            <w:jc w:val="center"/>
            <w:rPr>
              <w:rFonts w:ascii="Palatino Linotype" w:hAnsi="Palatino Linotype"/>
              <w:color w:val="000000" w:themeColor="text1"/>
              <w:sz w:val="22"/>
              <w:szCs w:val="22"/>
              <w:lang w:val="es-ES"/>
            </w:rPr>
          </w:pPr>
          <w:r w:rsidRPr="000A352E">
            <w:rPr>
              <w:rFonts w:ascii="Palatino Linotype" w:hAnsi="Palatino Linotype"/>
              <w:color w:val="000000" w:themeColor="text1"/>
              <w:sz w:val="22"/>
              <w:szCs w:val="22"/>
              <w:lang w:val="es-ES"/>
            </w:rPr>
            <w:t xml:space="preserve">RESOLUCIÓN DEL RECURSO DE REVISIÓN </w:t>
          </w:r>
          <w:r w:rsidR="00BC52FA" w:rsidRPr="000A352E">
            <w:rPr>
              <w:rFonts w:ascii="Palatino Linotype" w:hAnsi="Palatino Linotype"/>
              <w:color w:val="000000" w:themeColor="text1"/>
              <w:sz w:val="22"/>
              <w:szCs w:val="22"/>
              <w:lang w:val="es-ES"/>
            </w:rPr>
            <w:t>01706</w:t>
          </w:r>
          <w:bookmarkStart w:id="0" w:name="_GoBack"/>
          <w:bookmarkEnd w:id="0"/>
          <w:r w:rsidRPr="000A352E">
            <w:rPr>
              <w:rFonts w:ascii="Palatino Linotype" w:hAnsi="Palatino Linotype"/>
              <w:color w:val="000000" w:themeColor="text1"/>
              <w:sz w:val="22"/>
              <w:szCs w:val="22"/>
              <w:lang w:val="es-ES"/>
            </w:rPr>
            <w:t>/INFOEM/IP/RR/</w:t>
          </w:r>
          <w:r w:rsidR="00BC52FA" w:rsidRPr="000A352E">
            <w:rPr>
              <w:rFonts w:ascii="Palatino Linotype" w:hAnsi="Palatino Linotype"/>
              <w:color w:val="000000" w:themeColor="text1"/>
              <w:sz w:val="22"/>
              <w:szCs w:val="22"/>
              <w:lang w:val="es-ES"/>
            </w:rPr>
            <w:t>2025</w:t>
          </w:r>
        </w:p>
        <w:p w14:paraId="7CF4A363" w14:textId="77777777" w:rsidR="008F5DC2" w:rsidRPr="000A352E" w:rsidRDefault="008F5DC2" w:rsidP="009E7481">
          <w:pPr>
            <w:spacing w:after="0" w:line="360" w:lineRule="auto"/>
            <w:rPr>
              <w:lang w:val="es-ES" w:eastAsia="es-MX"/>
            </w:rPr>
          </w:pPr>
        </w:p>
        <w:p w14:paraId="24254009" w14:textId="2CB3C651" w:rsidR="000A352E" w:rsidRPr="000A352E" w:rsidRDefault="00D526FB" w:rsidP="009E7481">
          <w:pPr>
            <w:pStyle w:val="TDC1"/>
            <w:spacing w:after="0"/>
            <w:rPr>
              <w:rFonts w:ascii="Palatino Linotype" w:eastAsiaTheme="minorEastAsia" w:hAnsi="Palatino Linotype" w:cstheme="minorBidi"/>
              <w:noProof/>
              <w:sz w:val="22"/>
              <w:szCs w:val="22"/>
              <w:lang w:eastAsia="es-MX"/>
            </w:rPr>
          </w:pPr>
          <w:r w:rsidRPr="000A352E">
            <w:rPr>
              <w:rFonts w:ascii="Palatino Linotype" w:hAnsi="Palatino Linotype"/>
              <w:sz w:val="22"/>
              <w:szCs w:val="22"/>
            </w:rPr>
            <w:fldChar w:fldCharType="begin"/>
          </w:r>
          <w:r w:rsidRPr="000A352E">
            <w:rPr>
              <w:rFonts w:ascii="Palatino Linotype" w:hAnsi="Palatino Linotype"/>
              <w:sz w:val="22"/>
              <w:szCs w:val="22"/>
            </w:rPr>
            <w:instrText xml:space="preserve"> TOC \o "1-3" \h \z \u </w:instrText>
          </w:r>
          <w:r w:rsidRPr="000A352E">
            <w:rPr>
              <w:rFonts w:ascii="Palatino Linotype" w:hAnsi="Palatino Linotype"/>
              <w:sz w:val="22"/>
              <w:szCs w:val="22"/>
            </w:rPr>
            <w:fldChar w:fldCharType="separate"/>
          </w:r>
          <w:hyperlink w:anchor="_Toc193363640" w:history="1">
            <w:r w:rsidR="000A352E" w:rsidRPr="000A352E">
              <w:rPr>
                <w:rStyle w:val="Hipervnculo"/>
                <w:rFonts w:ascii="Palatino Linotype" w:eastAsia="Calibri" w:hAnsi="Palatino Linotype"/>
                <w:noProof/>
                <w:sz w:val="22"/>
                <w:szCs w:val="22"/>
              </w:rPr>
              <w:t>A N T E C E D E N T E S:</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_Toc193363640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2</w:t>
            </w:r>
            <w:r w:rsidR="000A352E" w:rsidRPr="000A352E">
              <w:rPr>
                <w:rFonts w:ascii="Palatino Linotype" w:hAnsi="Palatino Linotype"/>
                <w:noProof/>
                <w:webHidden/>
                <w:sz w:val="22"/>
                <w:szCs w:val="22"/>
              </w:rPr>
              <w:fldChar w:fldCharType="end"/>
            </w:r>
          </w:hyperlink>
        </w:p>
        <w:p w14:paraId="4416592F" w14:textId="333316B7"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1" w:history="1">
            <w:r w:rsidR="000A352E" w:rsidRPr="000A352E">
              <w:rPr>
                <w:rStyle w:val="Hipervnculo"/>
                <w:rFonts w:ascii="Palatino Linotype" w:hAnsi="Palatino Linotype"/>
                <w:noProof/>
                <w:sz w:val="22"/>
                <w:szCs w:val="22"/>
              </w:rPr>
              <w:t>I. Presentación de la solicitud de información:</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_Toc193363641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2</w:t>
            </w:r>
            <w:r w:rsidR="000A352E" w:rsidRPr="000A352E">
              <w:rPr>
                <w:rFonts w:ascii="Palatino Linotype" w:hAnsi="Palatino Linotype"/>
                <w:noProof/>
                <w:webHidden/>
                <w:sz w:val="22"/>
                <w:szCs w:val="22"/>
              </w:rPr>
              <w:fldChar w:fldCharType="end"/>
            </w:r>
          </w:hyperlink>
        </w:p>
        <w:p w14:paraId="28683798" w14:textId="45D24279"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2" w:history="1">
            <w:r w:rsidR="000A352E" w:rsidRPr="000A352E">
              <w:rPr>
                <w:rStyle w:val="Hipervnculo"/>
                <w:rFonts w:ascii="Palatino Linotype" w:hAnsi="Palatino Linotype" w:cs="Tahoma"/>
                <w:noProof/>
                <w:sz w:val="22"/>
                <w:szCs w:val="22"/>
              </w:rPr>
              <w:t>II.</w:t>
            </w:r>
            <w:r w:rsidR="000A352E" w:rsidRPr="000A352E">
              <w:rPr>
                <w:rStyle w:val="Hipervnculo"/>
                <w:rFonts w:ascii="Palatino Linotype" w:hAnsi="Palatino Linotype"/>
                <w:noProof/>
                <w:sz w:val="22"/>
                <w:szCs w:val="22"/>
              </w:rPr>
              <w:t xml:space="preserve"> Respuesta del Sujeto Obligado.</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_Toc193363642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3</w:t>
            </w:r>
            <w:r w:rsidR="000A352E" w:rsidRPr="000A352E">
              <w:rPr>
                <w:rFonts w:ascii="Palatino Linotype" w:hAnsi="Palatino Linotype"/>
                <w:noProof/>
                <w:webHidden/>
                <w:sz w:val="22"/>
                <w:szCs w:val="22"/>
              </w:rPr>
              <w:fldChar w:fldCharType="end"/>
            </w:r>
          </w:hyperlink>
        </w:p>
        <w:p w14:paraId="41297BB0" w14:textId="58399365"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3" w:history="1">
            <w:r w:rsidR="000A352E" w:rsidRPr="000A352E">
              <w:rPr>
                <w:rStyle w:val="Hipervnculo"/>
                <w:rFonts w:ascii="Palatino Linotype" w:hAnsi="Palatino Linotype"/>
                <w:noProof/>
                <w:sz w:val="22"/>
                <w:szCs w:val="22"/>
              </w:rPr>
              <w:t>III. Interposición del Recurso de Revisión.</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_Toc193363643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5</w:t>
            </w:r>
            <w:r w:rsidR="000A352E" w:rsidRPr="000A352E">
              <w:rPr>
                <w:rFonts w:ascii="Palatino Linotype" w:hAnsi="Palatino Linotype"/>
                <w:noProof/>
                <w:webHidden/>
                <w:sz w:val="22"/>
                <w:szCs w:val="22"/>
              </w:rPr>
              <w:fldChar w:fldCharType="end"/>
            </w:r>
          </w:hyperlink>
        </w:p>
        <w:p w14:paraId="6F7AF4FD" w14:textId="102A01AD"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4" w:history="1">
            <w:r w:rsidR="000A352E" w:rsidRPr="000A352E">
              <w:rPr>
                <w:rStyle w:val="Hipervnculo"/>
                <w:rFonts w:ascii="Palatino Linotype" w:hAnsi="Palatino Linotype"/>
                <w:noProof/>
                <w:sz w:val="22"/>
                <w:szCs w:val="22"/>
              </w:rPr>
              <w:t>IV. Trámite del Recurso de Revisión ante este Instituto.</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_Toc193363644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6</w:t>
            </w:r>
            <w:r w:rsidR="000A352E" w:rsidRPr="000A352E">
              <w:rPr>
                <w:rFonts w:ascii="Palatino Linotype" w:hAnsi="Palatino Linotype"/>
                <w:noProof/>
                <w:webHidden/>
                <w:sz w:val="22"/>
                <w:szCs w:val="22"/>
              </w:rPr>
              <w:fldChar w:fldCharType="end"/>
            </w:r>
          </w:hyperlink>
        </w:p>
        <w:p w14:paraId="6263F533" w14:textId="498698FC" w:rsidR="000A352E" w:rsidRPr="000A352E" w:rsidRDefault="00124E56" w:rsidP="009E7481">
          <w:pPr>
            <w:pStyle w:val="TDC1"/>
            <w:spacing w:after="0"/>
            <w:rPr>
              <w:rFonts w:ascii="Palatino Linotype" w:eastAsiaTheme="minorEastAsia" w:hAnsi="Palatino Linotype" w:cstheme="minorBidi"/>
              <w:noProof/>
              <w:sz w:val="22"/>
              <w:szCs w:val="22"/>
              <w:lang w:eastAsia="es-MX"/>
            </w:rPr>
          </w:pPr>
          <w:hyperlink w:anchor="_Toc193363648" w:history="1">
            <w:r w:rsidR="000A352E" w:rsidRPr="000A352E">
              <w:rPr>
                <w:rStyle w:val="Hipervnculo"/>
                <w:rFonts w:ascii="Palatino Linotype" w:hAnsi="Palatino Linotype"/>
                <w:noProof/>
                <w:sz w:val="22"/>
                <w:szCs w:val="22"/>
                <w:lang w:val="es-ES"/>
              </w:rPr>
              <w:t>C O N S I D E R A N D O S:</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_Toc193363648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8</w:t>
            </w:r>
            <w:r w:rsidR="000A352E" w:rsidRPr="000A352E">
              <w:rPr>
                <w:rFonts w:ascii="Palatino Linotype" w:hAnsi="Palatino Linotype"/>
                <w:noProof/>
                <w:webHidden/>
                <w:sz w:val="22"/>
                <w:szCs w:val="22"/>
              </w:rPr>
              <w:fldChar w:fldCharType="end"/>
            </w:r>
          </w:hyperlink>
        </w:p>
        <w:p w14:paraId="2FC28330" w14:textId="7FBDB3A0"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9" w:history="1">
            <w:r w:rsidR="000A352E" w:rsidRPr="000A352E">
              <w:rPr>
                <w:rStyle w:val="Hipervnculo"/>
                <w:rFonts w:ascii="Palatino Linotype" w:eastAsia="Calibri" w:hAnsi="Palatino Linotype"/>
                <w:noProof/>
                <w:sz w:val="22"/>
                <w:szCs w:val="22"/>
                <w:lang w:val="es-ES" w:eastAsia="es-MX"/>
              </w:rPr>
              <w:t xml:space="preserve">PRIMERO. </w:t>
            </w:r>
            <w:r w:rsidR="000A352E" w:rsidRPr="000A352E">
              <w:rPr>
                <w:rStyle w:val="Hipervnculo"/>
                <w:rFonts w:ascii="Palatino Linotype" w:hAnsi="Palatino Linotype"/>
                <w:noProof/>
                <w:sz w:val="22"/>
                <w:szCs w:val="22"/>
                <w:lang w:val="es-ES"/>
              </w:rPr>
              <w:t>Competencia.</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_Toc193363649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8</w:t>
            </w:r>
            <w:r w:rsidR="000A352E" w:rsidRPr="000A352E">
              <w:rPr>
                <w:rFonts w:ascii="Palatino Linotype" w:hAnsi="Palatino Linotype"/>
                <w:noProof/>
                <w:webHidden/>
                <w:sz w:val="22"/>
                <w:szCs w:val="22"/>
              </w:rPr>
              <w:fldChar w:fldCharType="end"/>
            </w:r>
          </w:hyperlink>
        </w:p>
        <w:p w14:paraId="542FA439" w14:textId="5B6C1D4C"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0" w:history="1">
            <w:r w:rsidR="000A352E" w:rsidRPr="000A352E">
              <w:rPr>
                <w:rStyle w:val="Hipervnculo"/>
                <w:rFonts w:ascii="Palatino Linotype" w:eastAsia="Calibri" w:hAnsi="Palatino Linotype"/>
                <w:noProof/>
                <w:sz w:val="22"/>
                <w:szCs w:val="22"/>
                <w:lang w:val="es-ES" w:eastAsia="es-MX"/>
              </w:rPr>
              <w:t xml:space="preserve">SEGUNDO. </w:t>
            </w:r>
            <w:r w:rsidR="000A352E" w:rsidRPr="000A352E">
              <w:rPr>
                <w:rStyle w:val="Hipervnculo"/>
                <w:rFonts w:ascii="Palatino Linotype" w:hAnsi="Palatino Linotype"/>
                <w:noProof/>
                <w:sz w:val="22"/>
                <w:szCs w:val="22"/>
                <w:lang w:val="es-ES"/>
              </w:rPr>
              <w:t>Causales de improcedencia y sobreseimiento.</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_Toc193363650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9</w:t>
            </w:r>
            <w:r w:rsidR="000A352E" w:rsidRPr="000A352E">
              <w:rPr>
                <w:rFonts w:ascii="Palatino Linotype" w:hAnsi="Palatino Linotype"/>
                <w:noProof/>
                <w:webHidden/>
                <w:sz w:val="22"/>
                <w:szCs w:val="22"/>
              </w:rPr>
              <w:fldChar w:fldCharType="end"/>
            </w:r>
          </w:hyperlink>
        </w:p>
        <w:p w14:paraId="42BC0C1A" w14:textId="4AC6FE9C"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1" w:history="1">
            <w:r w:rsidR="000A352E" w:rsidRPr="000A352E">
              <w:rPr>
                <w:rStyle w:val="Hipervnculo"/>
                <w:rFonts w:ascii="Palatino Linotype" w:hAnsi="Palatino Linotype"/>
                <w:noProof/>
                <w:sz w:val="22"/>
                <w:szCs w:val="22"/>
                <w:lang w:val="es-ES"/>
              </w:rPr>
              <w:t>TERCERO. Determinación de la Controversia.</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_Toc193363651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10</w:t>
            </w:r>
            <w:r w:rsidR="000A352E" w:rsidRPr="000A352E">
              <w:rPr>
                <w:rFonts w:ascii="Palatino Linotype" w:hAnsi="Palatino Linotype"/>
                <w:noProof/>
                <w:webHidden/>
                <w:sz w:val="22"/>
                <w:szCs w:val="22"/>
              </w:rPr>
              <w:fldChar w:fldCharType="end"/>
            </w:r>
          </w:hyperlink>
        </w:p>
        <w:p w14:paraId="432922C7" w14:textId="79D9D10F"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2" w:history="1">
            <w:r w:rsidR="000A352E" w:rsidRPr="000A352E">
              <w:rPr>
                <w:rStyle w:val="Hipervnculo"/>
                <w:rFonts w:ascii="Palatino Linotype" w:hAnsi="Palatino Linotype"/>
                <w:noProof/>
                <w:sz w:val="22"/>
                <w:szCs w:val="22"/>
                <w:lang w:val="es-ES"/>
              </w:rPr>
              <w:t xml:space="preserve">CUARTO. </w:t>
            </w:r>
            <w:r w:rsidR="000A352E" w:rsidRPr="000A352E">
              <w:rPr>
                <w:rStyle w:val="Hipervnculo"/>
                <w:rFonts w:ascii="Palatino Linotype" w:hAnsi="Palatino Linotype"/>
                <w:noProof/>
                <w:sz w:val="22"/>
                <w:szCs w:val="22"/>
              </w:rPr>
              <w:t>Marco normativo aplicable en materia de transparencia y acceso a la información pública.</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_Toc193363652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13</w:t>
            </w:r>
            <w:r w:rsidR="000A352E" w:rsidRPr="000A352E">
              <w:rPr>
                <w:rFonts w:ascii="Palatino Linotype" w:hAnsi="Palatino Linotype"/>
                <w:noProof/>
                <w:webHidden/>
                <w:sz w:val="22"/>
                <w:szCs w:val="22"/>
              </w:rPr>
              <w:fldChar w:fldCharType="end"/>
            </w:r>
          </w:hyperlink>
        </w:p>
        <w:p w14:paraId="1C280443" w14:textId="1E4A69C2"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3" w:history="1">
            <w:r w:rsidR="000A352E" w:rsidRPr="000A352E">
              <w:rPr>
                <w:rStyle w:val="Hipervnculo"/>
                <w:rFonts w:ascii="Palatino Linotype" w:hAnsi="Palatino Linotype"/>
                <w:noProof/>
                <w:sz w:val="22"/>
                <w:szCs w:val="22"/>
                <w:lang w:val="es-ES"/>
              </w:rPr>
              <w:t>Quinto. Estudio de Fondo.</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_Toc193363653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14</w:t>
            </w:r>
            <w:r w:rsidR="000A352E" w:rsidRPr="000A352E">
              <w:rPr>
                <w:rFonts w:ascii="Palatino Linotype" w:hAnsi="Palatino Linotype"/>
                <w:noProof/>
                <w:webHidden/>
                <w:sz w:val="22"/>
                <w:szCs w:val="22"/>
              </w:rPr>
              <w:fldChar w:fldCharType="end"/>
            </w:r>
          </w:hyperlink>
        </w:p>
        <w:p w14:paraId="46383B42" w14:textId="3E0E6779" w:rsidR="000A352E" w:rsidRPr="000A352E" w:rsidRDefault="00124E56" w:rsidP="009E7481">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4" w:history="1">
            <w:r w:rsidR="000A352E" w:rsidRPr="000A352E">
              <w:rPr>
                <w:rStyle w:val="Hipervnculo"/>
                <w:rFonts w:ascii="Palatino Linotype" w:eastAsia="Palatino Linotype" w:hAnsi="Palatino Linotype"/>
                <w:noProof/>
                <w:sz w:val="22"/>
                <w:szCs w:val="22"/>
                <w:lang w:eastAsia="es-MX"/>
              </w:rPr>
              <w:t>SEXTO. Decisión.</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_Toc193363654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35</w:t>
            </w:r>
            <w:r w:rsidR="000A352E" w:rsidRPr="000A352E">
              <w:rPr>
                <w:rFonts w:ascii="Palatino Linotype" w:hAnsi="Palatino Linotype"/>
                <w:noProof/>
                <w:webHidden/>
                <w:sz w:val="22"/>
                <w:szCs w:val="22"/>
              </w:rPr>
              <w:fldChar w:fldCharType="end"/>
            </w:r>
          </w:hyperlink>
        </w:p>
        <w:p w14:paraId="7646204D" w14:textId="43394F95" w:rsidR="000A352E" w:rsidRPr="000A352E" w:rsidRDefault="00124E56" w:rsidP="009E7481">
          <w:pPr>
            <w:pStyle w:val="TDC1"/>
            <w:spacing w:after="0"/>
            <w:rPr>
              <w:rFonts w:ascii="Palatino Linotype" w:eastAsiaTheme="minorEastAsia" w:hAnsi="Palatino Linotype" w:cstheme="minorBidi"/>
              <w:noProof/>
              <w:sz w:val="22"/>
              <w:szCs w:val="22"/>
              <w:lang w:eastAsia="es-MX"/>
            </w:rPr>
          </w:pPr>
          <w:hyperlink w:anchor="_Toc193363655" w:history="1">
            <w:r w:rsidR="000A352E" w:rsidRPr="000A352E">
              <w:rPr>
                <w:rStyle w:val="Hipervnculo"/>
                <w:rFonts w:ascii="Palatino Linotype" w:eastAsia="Calibri" w:hAnsi="Palatino Linotype"/>
                <w:noProof/>
                <w:sz w:val="22"/>
                <w:szCs w:val="22"/>
              </w:rPr>
              <w:t>R E S U E L V E:</w:t>
            </w:r>
            <w:r w:rsidR="000A352E" w:rsidRPr="000A352E">
              <w:rPr>
                <w:rFonts w:ascii="Palatino Linotype" w:hAnsi="Palatino Linotype"/>
                <w:noProof/>
                <w:webHidden/>
                <w:sz w:val="22"/>
                <w:szCs w:val="22"/>
              </w:rPr>
              <w:tab/>
            </w:r>
            <w:r w:rsidR="000A352E" w:rsidRPr="000A352E">
              <w:rPr>
                <w:rFonts w:ascii="Palatino Linotype" w:hAnsi="Palatino Linotype"/>
                <w:noProof/>
                <w:webHidden/>
                <w:sz w:val="22"/>
                <w:szCs w:val="22"/>
              </w:rPr>
              <w:fldChar w:fldCharType="begin"/>
            </w:r>
            <w:r w:rsidR="000A352E" w:rsidRPr="000A352E">
              <w:rPr>
                <w:rFonts w:ascii="Palatino Linotype" w:hAnsi="Palatino Linotype"/>
                <w:noProof/>
                <w:webHidden/>
                <w:sz w:val="22"/>
                <w:szCs w:val="22"/>
              </w:rPr>
              <w:instrText xml:space="preserve"> PAGEREF _Toc193363655 \h </w:instrText>
            </w:r>
            <w:r w:rsidR="000A352E" w:rsidRPr="000A352E">
              <w:rPr>
                <w:rFonts w:ascii="Palatino Linotype" w:hAnsi="Palatino Linotype"/>
                <w:noProof/>
                <w:webHidden/>
                <w:sz w:val="22"/>
                <w:szCs w:val="22"/>
              </w:rPr>
            </w:r>
            <w:r w:rsidR="000A352E" w:rsidRPr="000A352E">
              <w:rPr>
                <w:rFonts w:ascii="Palatino Linotype" w:hAnsi="Palatino Linotype"/>
                <w:noProof/>
                <w:webHidden/>
                <w:sz w:val="22"/>
                <w:szCs w:val="22"/>
              </w:rPr>
              <w:fldChar w:fldCharType="separate"/>
            </w:r>
            <w:r w:rsidR="007D5235">
              <w:rPr>
                <w:rFonts w:ascii="Palatino Linotype" w:hAnsi="Palatino Linotype"/>
                <w:noProof/>
                <w:webHidden/>
                <w:sz w:val="22"/>
                <w:szCs w:val="22"/>
              </w:rPr>
              <w:t>36</w:t>
            </w:r>
            <w:r w:rsidR="000A352E" w:rsidRPr="000A352E">
              <w:rPr>
                <w:rFonts w:ascii="Palatino Linotype" w:hAnsi="Palatino Linotype"/>
                <w:noProof/>
                <w:webHidden/>
                <w:sz w:val="22"/>
                <w:szCs w:val="22"/>
              </w:rPr>
              <w:fldChar w:fldCharType="end"/>
            </w:r>
          </w:hyperlink>
        </w:p>
        <w:p w14:paraId="7EEDECDD" w14:textId="7B521531" w:rsidR="00D526FB" w:rsidRPr="00DF6D0F" w:rsidRDefault="00D526FB" w:rsidP="009E7481">
          <w:pPr>
            <w:spacing w:after="0" w:line="360" w:lineRule="auto"/>
            <w:rPr>
              <w:lang w:val="es-ES"/>
            </w:rPr>
          </w:pPr>
          <w:r w:rsidRPr="000A352E">
            <w:rPr>
              <w:lang w:val="es-ES"/>
            </w:rPr>
            <w:fldChar w:fldCharType="end"/>
          </w:r>
        </w:p>
      </w:sdtContent>
    </w:sdt>
    <w:p w14:paraId="385D98A5" w14:textId="77777777" w:rsidR="00D526FB" w:rsidRPr="00DF6D0F" w:rsidRDefault="00D526FB" w:rsidP="009E7481">
      <w:pPr>
        <w:spacing w:after="0" w:line="360" w:lineRule="auto"/>
        <w:rPr>
          <w:rFonts w:eastAsia="Calibri" w:cs="Tahoma"/>
          <w:color w:val="000000"/>
        </w:rPr>
      </w:pPr>
    </w:p>
    <w:p w14:paraId="620ADDC4" w14:textId="77777777" w:rsidR="00DF6D0F" w:rsidRDefault="00DF6D0F" w:rsidP="009E7481">
      <w:pPr>
        <w:spacing w:after="0" w:line="360" w:lineRule="auto"/>
        <w:jc w:val="left"/>
        <w:rPr>
          <w:rFonts w:eastAsia="Calibri" w:cs="Tahoma"/>
          <w:bCs/>
          <w:color w:val="000000"/>
        </w:rPr>
      </w:pPr>
      <w:r>
        <w:rPr>
          <w:rFonts w:eastAsia="Calibri" w:cs="Tahoma"/>
          <w:bCs/>
          <w:color w:val="000000"/>
        </w:rPr>
        <w:br w:type="page"/>
      </w:r>
    </w:p>
    <w:p w14:paraId="1DF6BBF6" w14:textId="3A91E7DD" w:rsidR="00C853D1" w:rsidRPr="00242082" w:rsidRDefault="00C853D1" w:rsidP="009E7481">
      <w:pPr>
        <w:spacing w:after="0" w:line="360" w:lineRule="auto"/>
        <w:rPr>
          <w:rFonts w:eastAsia="Times New Roman" w:cs="Tahoma"/>
          <w:bCs/>
          <w:color w:val="auto"/>
          <w:lang w:eastAsia="es-ES"/>
        </w:rPr>
      </w:pPr>
      <w:r w:rsidRPr="00242082">
        <w:rPr>
          <w:rFonts w:eastAsia="Calibri" w:cs="Tahoma"/>
          <w:bCs/>
          <w:color w:val="000000"/>
        </w:rPr>
        <w:lastRenderedPageBreak/>
        <w:t xml:space="preserve">Resolución del Pleno del Instituto de Transparencia, Acceso a la Información Pública y </w:t>
      </w:r>
      <w:r w:rsidRPr="00242082">
        <w:rPr>
          <w:rFonts w:eastAsia="Times New Roman" w:cs="Tahoma"/>
          <w:bCs/>
          <w:color w:val="auto"/>
          <w:lang w:eastAsia="es-ES"/>
        </w:rPr>
        <w:t xml:space="preserve">Protección de Datos Personales del Estado de México y Municipios, con domicilio en Metepec, Estado de México, de fecha </w:t>
      </w:r>
      <w:r w:rsidR="00BC52FA">
        <w:rPr>
          <w:rFonts w:eastAsia="Times New Roman" w:cs="Tahoma"/>
          <w:bCs/>
          <w:color w:val="auto"/>
          <w:lang w:eastAsia="es-ES"/>
        </w:rPr>
        <w:t>veintiséis</w:t>
      </w:r>
      <w:r w:rsidR="00D9561F" w:rsidRPr="00242082">
        <w:rPr>
          <w:rFonts w:eastAsia="Times New Roman" w:cs="Tahoma"/>
          <w:bCs/>
          <w:color w:val="auto"/>
          <w:lang w:eastAsia="es-ES"/>
        </w:rPr>
        <w:t xml:space="preserve"> de </w:t>
      </w:r>
      <w:r w:rsidR="00BC52FA">
        <w:rPr>
          <w:rFonts w:eastAsia="Times New Roman" w:cs="Tahoma"/>
          <w:bCs/>
          <w:color w:val="auto"/>
          <w:lang w:eastAsia="es-ES"/>
        </w:rPr>
        <w:t>marzo</w:t>
      </w:r>
      <w:r w:rsidR="00D9561F" w:rsidRPr="00242082">
        <w:rPr>
          <w:rFonts w:eastAsia="Times New Roman" w:cs="Tahoma"/>
          <w:bCs/>
          <w:color w:val="auto"/>
          <w:lang w:eastAsia="es-ES"/>
        </w:rPr>
        <w:t xml:space="preserve"> de dos mil veinti</w:t>
      </w:r>
      <w:r w:rsidR="00702180">
        <w:rPr>
          <w:rFonts w:eastAsia="Times New Roman" w:cs="Tahoma"/>
          <w:bCs/>
          <w:color w:val="auto"/>
          <w:lang w:eastAsia="es-ES"/>
        </w:rPr>
        <w:t>cinco</w:t>
      </w:r>
      <w:r w:rsidR="00D9561F" w:rsidRPr="00242082">
        <w:rPr>
          <w:rFonts w:eastAsia="Times New Roman" w:cs="Tahoma"/>
          <w:bCs/>
          <w:color w:val="auto"/>
          <w:lang w:eastAsia="es-ES"/>
        </w:rPr>
        <w:t>.</w:t>
      </w:r>
    </w:p>
    <w:p w14:paraId="1D95A1A3" w14:textId="77777777" w:rsidR="00C853D1" w:rsidRPr="00242082" w:rsidRDefault="00C853D1" w:rsidP="009E7481">
      <w:pPr>
        <w:tabs>
          <w:tab w:val="left" w:pos="2839"/>
        </w:tabs>
        <w:spacing w:after="0" w:line="360" w:lineRule="auto"/>
        <w:rPr>
          <w:rFonts w:eastAsia="Times New Roman" w:cs="Tahoma"/>
          <w:bCs/>
          <w:color w:val="auto"/>
          <w:lang w:eastAsia="es-ES"/>
        </w:rPr>
      </w:pPr>
    </w:p>
    <w:p w14:paraId="1066B8D1" w14:textId="5018A235" w:rsidR="00C853D1" w:rsidRPr="00242082" w:rsidRDefault="00C853D1" w:rsidP="009E7481">
      <w:pPr>
        <w:spacing w:after="0" w:line="360" w:lineRule="auto"/>
        <w:rPr>
          <w:rFonts w:eastAsia="Calibri" w:cs="Tahoma"/>
          <w:color w:val="0D0D0D"/>
        </w:rPr>
      </w:pPr>
      <w:r w:rsidRPr="00242082">
        <w:rPr>
          <w:rFonts w:eastAsia="Times New Roman" w:cs="Tahoma"/>
          <w:b/>
          <w:bCs/>
          <w:color w:val="auto"/>
          <w:lang w:eastAsia="es-ES"/>
        </w:rPr>
        <w:t>VISTO</w:t>
      </w:r>
      <w:r w:rsidRPr="00242082">
        <w:rPr>
          <w:rFonts w:eastAsia="Calibri" w:cs="Tahoma"/>
          <w:bCs/>
          <w:color w:val="0D0D0D"/>
        </w:rPr>
        <w:t xml:space="preserve"> el expediente conformado con motivo del Recurso de Revisión </w:t>
      </w:r>
      <w:r w:rsidR="00BC52FA" w:rsidRPr="00914D40">
        <w:rPr>
          <w:rFonts w:eastAsia="Calibri" w:cs="Tahoma"/>
          <w:b/>
          <w:color w:val="000000"/>
        </w:rPr>
        <w:t>01706/INFOEM/IP/RR/2025</w:t>
      </w:r>
      <w:r w:rsidRPr="00242082">
        <w:rPr>
          <w:rFonts w:eastAsia="Calibri" w:cs="Tahoma"/>
          <w:color w:val="000000"/>
        </w:rPr>
        <w:t>, interpuesto</w:t>
      </w:r>
      <w:r w:rsidR="00BC52FA">
        <w:rPr>
          <w:rFonts w:eastAsia="Calibri" w:cs="Tahoma"/>
          <w:color w:val="000000"/>
        </w:rPr>
        <w:t xml:space="preserve"> por la persona Recurrente o Particular</w:t>
      </w:r>
      <w:r w:rsidRPr="00242082">
        <w:rPr>
          <w:rFonts w:eastAsia="Calibri" w:cs="Tahoma"/>
          <w:color w:val="0D0D0D"/>
        </w:rPr>
        <w:t>, en contra de la respuesta del Sujeto Obligado,</w:t>
      </w:r>
      <w:r w:rsidRPr="00242082">
        <w:rPr>
          <w:rFonts w:eastAsia="Calibri" w:cs="Tahoma"/>
          <w:color w:val="000000"/>
        </w:rPr>
        <w:t xml:space="preserve"> </w:t>
      </w:r>
      <w:r w:rsidR="00702180" w:rsidRPr="00914D40">
        <w:rPr>
          <w:rFonts w:eastAsia="Calibri" w:cs="Tahoma"/>
          <w:b/>
          <w:color w:val="000000"/>
        </w:rPr>
        <w:t xml:space="preserve">Ayuntamiento de </w:t>
      </w:r>
      <w:r w:rsidR="00BC52FA" w:rsidRPr="00914D40">
        <w:rPr>
          <w:rFonts w:eastAsia="Calibri" w:cs="Tahoma"/>
          <w:b/>
          <w:color w:val="000000"/>
        </w:rPr>
        <w:t>Nezahualcóyotl</w:t>
      </w:r>
      <w:r w:rsidRPr="00242082">
        <w:rPr>
          <w:rFonts w:eastAsia="Calibri" w:cs="Tahoma"/>
          <w:color w:val="000000"/>
        </w:rPr>
        <w:t xml:space="preserve">, a la solicitud de acceso a la información </w:t>
      </w:r>
      <w:r w:rsidR="00BC52FA">
        <w:rPr>
          <w:rFonts w:eastAsia="Calibri" w:cs="Tahoma"/>
          <w:color w:val="000000"/>
        </w:rPr>
        <w:t>00059</w:t>
      </w:r>
      <w:r w:rsidR="00702180" w:rsidRPr="00702180">
        <w:rPr>
          <w:rFonts w:eastAsia="Calibri" w:cs="Tahoma"/>
          <w:color w:val="000000"/>
        </w:rPr>
        <w:t>/</w:t>
      </w:r>
      <w:r w:rsidR="00BC52FA">
        <w:rPr>
          <w:rFonts w:eastAsia="Calibri" w:cs="Tahoma"/>
          <w:color w:val="000000"/>
        </w:rPr>
        <w:t>NEZA</w:t>
      </w:r>
      <w:r w:rsidR="00702180" w:rsidRPr="00702180">
        <w:rPr>
          <w:rFonts w:eastAsia="Calibri" w:cs="Tahoma"/>
          <w:color w:val="000000"/>
        </w:rPr>
        <w:t>/IP/</w:t>
      </w:r>
      <w:r w:rsidR="00BC52FA">
        <w:rPr>
          <w:rFonts w:eastAsia="Calibri" w:cs="Tahoma"/>
          <w:color w:val="000000"/>
        </w:rPr>
        <w:t>2025</w:t>
      </w:r>
      <w:r w:rsidRPr="00242082">
        <w:rPr>
          <w:rFonts w:eastAsia="Calibri" w:cs="Tahoma"/>
          <w:color w:val="000000"/>
        </w:rPr>
        <w:t>, se emite la presente Resolución, con base en los Antecedentes y Considerandos que se exponen a continuación:</w:t>
      </w:r>
    </w:p>
    <w:p w14:paraId="4FCCF228" w14:textId="77777777" w:rsidR="00C853D1" w:rsidRPr="00242082" w:rsidRDefault="00C853D1" w:rsidP="009E7481">
      <w:pPr>
        <w:spacing w:after="0" w:line="360" w:lineRule="auto"/>
        <w:rPr>
          <w:rFonts w:eastAsia="Calibri" w:cs="Tahoma"/>
          <w:color w:val="000000"/>
        </w:rPr>
      </w:pPr>
    </w:p>
    <w:p w14:paraId="0472C645" w14:textId="77777777" w:rsidR="00C853D1" w:rsidRPr="00D526FB" w:rsidRDefault="00C853D1" w:rsidP="009E7481">
      <w:pPr>
        <w:pStyle w:val="Ttulo1"/>
        <w:spacing w:before="0" w:line="360" w:lineRule="auto"/>
        <w:jc w:val="center"/>
        <w:rPr>
          <w:rFonts w:ascii="Palatino Linotype" w:eastAsia="Calibri" w:hAnsi="Palatino Linotype"/>
          <w:color w:val="auto"/>
          <w:sz w:val="22"/>
          <w:szCs w:val="22"/>
        </w:rPr>
      </w:pPr>
      <w:bookmarkStart w:id="1" w:name="_Toc193363640"/>
      <w:r w:rsidRPr="00D526FB">
        <w:rPr>
          <w:rFonts w:ascii="Palatino Linotype" w:eastAsia="Calibri" w:hAnsi="Palatino Linotype"/>
          <w:color w:val="auto"/>
          <w:sz w:val="22"/>
          <w:szCs w:val="22"/>
        </w:rPr>
        <w:t>A N T E C E D E N T E S:</w:t>
      </w:r>
      <w:bookmarkEnd w:id="1"/>
    </w:p>
    <w:p w14:paraId="422D0175" w14:textId="77777777" w:rsidR="00C853D1" w:rsidRPr="00242082" w:rsidRDefault="00C853D1" w:rsidP="009E7481">
      <w:pPr>
        <w:spacing w:after="0" w:line="360" w:lineRule="auto"/>
      </w:pPr>
    </w:p>
    <w:p w14:paraId="539DCEC7" w14:textId="77777777" w:rsidR="00C853D1" w:rsidRPr="00D526FB" w:rsidRDefault="00C853D1" w:rsidP="009E7481">
      <w:pPr>
        <w:pStyle w:val="Ttulo2"/>
        <w:spacing w:before="0" w:line="360" w:lineRule="auto"/>
        <w:rPr>
          <w:rFonts w:ascii="Palatino Linotype" w:eastAsia="Times New Roman" w:hAnsi="Palatino Linotype"/>
          <w:b/>
          <w:bCs/>
          <w:color w:val="auto"/>
          <w:sz w:val="22"/>
          <w:szCs w:val="22"/>
          <w:lang w:eastAsia="es-ES"/>
        </w:rPr>
      </w:pPr>
      <w:bookmarkStart w:id="2" w:name="_Toc193363641"/>
      <w:r w:rsidRPr="00D526FB">
        <w:rPr>
          <w:rFonts w:ascii="Palatino Linotype" w:eastAsia="Times New Roman" w:hAnsi="Palatino Linotype"/>
          <w:b/>
          <w:bCs/>
          <w:color w:val="auto"/>
          <w:sz w:val="22"/>
          <w:szCs w:val="22"/>
          <w:lang w:eastAsia="es-ES"/>
        </w:rPr>
        <w:t>I. Presentación de la solicitud de información:</w:t>
      </w:r>
      <w:bookmarkEnd w:id="2"/>
    </w:p>
    <w:p w14:paraId="681289FF" w14:textId="77777777" w:rsidR="00C853D1" w:rsidRPr="00242082" w:rsidRDefault="00C853D1" w:rsidP="009E7481">
      <w:pPr>
        <w:tabs>
          <w:tab w:val="left" w:pos="567"/>
        </w:tabs>
        <w:spacing w:after="0" w:line="360" w:lineRule="auto"/>
        <w:rPr>
          <w:rFonts w:eastAsia="Times New Roman" w:cs="Tahoma"/>
          <w:color w:val="auto"/>
          <w:lang w:eastAsia="es-ES"/>
        </w:rPr>
      </w:pPr>
    </w:p>
    <w:p w14:paraId="2A44F672" w14:textId="47E5F815" w:rsidR="00C853D1" w:rsidRPr="00242082" w:rsidRDefault="00C853D1" w:rsidP="009E7481">
      <w:pPr>
        <w:spacing w:after="0" w:line="360" w:lineRule="auto"/>
        <w:rPr>
          <w:rFonts w:eastAsia="Times New Roman" w:cs="Tahoma"/>
          <w:color w:val="auto"/>
          <w:lang w:eastAsia="es-ES"/>
        </w:rPr>
      </w:pPr>
      <w:r w:rsidRPr="00242082">
        <w:rPr>
          <w:rFonts w:eastAsia="Times New Roman" w:cs="Tahoma"/>
          <w:color w:val="auto"/>
          <w:lang w:eastAsia="es-ES"/>
        </w:rPr>
        <w:t xml:space="preserve">Con fecha </w:t>
      </w:r>
      <w:r w:rsidR="00BC52FA">
        <w:rPr>
          <w:rFonts w:eastAsia="Times New Roman" w:cs="Tahoma"/>
          <w:color w:val="auto"/>
          <w:lang w:eastAsia="es-ES"/>
        </w:rPr>
        <w:t>cinco</w:t>
      </w:r>
      <w:r w:rsidR="00702180">
        <w:rPr>
          <w:rFonts w:eastAsia="Times New Roman" w:cs="Tahoma"/>
          <w:color w:val="auto"/>
          <w:lang w:eastAsia="es-ES"/>
        </w:rPr>
        <w:t xml:space="preserve"> </w:t>
      </w:r>
      <w:r w:rsidR="00BC52FA">
        <w:rPr>
          <w:rFonts w:eastAsia="Times New Roman" w:cs="Tahoma"/>
          <w:color w:val="auto"/>
          <w:lang w:eastAsia="es-ES"/>
        </w:rPr>
        <w:t>de febrero</w:t>
      </w:r>
      <w:r w:rsidR="00702180">
        <w:rPr>
          <w:rFonts w:eastAsia="Times New Roman" w:cs="Tahoma"/>
          <w:color w:val="auto"/>
          <w:lang w:eastAsia="es-ES"/>
        </w:rPr>
        <w:t xml:space="preserve"> de dos mil </w:t>
      </w:r>
      <w:r w:rsidR="00BC52FA">
        <w:rPr>
          <w:rFonts w:eastAsia="Times New Roman" w:cs="Tahoma"/>
          <w:color w:val="auto"/>
          <w:lang w:eastAsia="es-ES"/>
        </w:rPr>
        <w:t>veinticinco</w:t>
      </w:r>
      <w:r w:rsidRPr="00242082">
        <w:rPr>
          <w:rFonts w:eastAsia="Times New Roman" w:cs="Tahoma"/>
          <w:color w:val="auto"/>
          <w:lang w:eastAsia="es-ES"/>
        </w:rPr>
        <w:t>,</w:t>
      </w:r>
      <w:r w:rsidR="00005E7C" w:rsidRPr="00242082">
        <w:rPr>
          <w:rFonts w:eastAsia="Times New Roman" w:cs="Tahoma"/>
          <w:color w:val="auto"/>
          <w:lang w:eastAsia="es-ES"/>
        </w:rPr>
        <w:t xml:space="preserve"> </w:t>
      </w:r>
      <w:r w:rsidR="00702180">
        <w:rPr>
          <w:rFonts w:eastAsia="Times New Roman" w:cs="Tahoma"/>
          <w:color w:val="auto"/>
          <w:lang w:eastAsia="es-ES"/>
        </w:rPr>
        <w:t xml:space="preserve">el </w:t>
      </w:r>
      <w:r w:rsidRPr="00242082">
        <w:rPr>
          <w:rFonts w:eastAsia="Times New Roman" w:cs="Tahoma"/>
          <w:color w:val="auto"/>
          <w:lang w:eastAsia="es-ES"/>
        </w:rPr>
        <w:t xml:space="preserve">Particular presentó una solicitud de acceso a la información pública, a través del Sistema de Acceso a la Información Mexiquense (SAIMEX), ante el </w:t>
      </w:r>
      <w:r w:rsidR="00702180" w:rsidRPr="00702180">
        <w:rPr>
          <w:rFonts w:eastAsia="Calibri" w:cs="Tahoma"/>
        </w:rPr>
        <w:t xml:space="preserve">Ayuntamiento de </w:t>
      </w:r>
      <w:r w:rsidR="00BC52FA">
        <w:rPr>
          <w:rFonts w:eastAsia="Calibri" w:cs="Tahoma"/>
        </w:rPr>
        <w:t>Nezahualcóyotl</w:t>
      </w:r>
      <w:r w:rsidRPr="00242082">
        <w:rPr>
          <w:rFonts w:eastAsia="Calibri" w:cs="Tahoma"/>
        </w:rPr>
        <w:t xml:space="preserve">, en los siguientes términos: </w:t>
      </w:r>
    </w:p>
    <w:p w14:paraId="32AF4217" w14:textId="77777777" w:rsidR="00C853D1" w:rsidRPr="00242082" w:rsidRDefault="00C853D1" w:rsidP="009E7481">
      <w:pPr>
        <w:spacing w:after="0" w:line="360" w:lineRule="auto"/>
        <w:rPr>
          <w:rFonts w:eastAsia="Calibri" w:cs="Tahoma"/>
        </w:rPr>
      </w:pPr>
    </w:p>
    <w:p w14:paraId="08873B8F" w14:textId="77777777" w:rsidR="00C853D1" w:rsidRPr="00242082" w:rsidRDefault="00C853D1" w:rsidP="009E7481">
      <w:pPr>
        <w:tabs>
          <w:tab w:val="left" w:pos="4667"/>
        </w:tabs>
        <w:spacing w:after="0" w:line="360" w:lineRule="auto"/>
        <w:ind w:left="567" w:right="567"/>
        <w:rPr>
          <w:rFonts w:eastAsia="Times New Roman" w:cs="Tahoma"/>
          <w:b/>
          <w:i/>
          <w:iCs/>
          <w:color w:val="auto"/>
          <w:sz w:val="20"/>
          <w:szCs w:val="20"/>
          <w:lang w:eastAsia="es-ES"/>
        </w:rPr>
      </w:pPr>
      <w:r w:rsidRPr="00242082">
        <w:rPr>
          <w:rFonts w:eastAsia="Times New Roman" w:cs="Tahoma"/>
          <w:b/>
          <w:i/>
          <w:iCs/>
          <w:color w:val="auto"/>
          <w:sz w:val="20"/>
          <w:szCs w:val="20"/>
          <w:lang w:eastAsia="es-ES"/>
        </w:rPr>
        <w:t>“DESCRIPCIÓN CLARA Y PRECISA DE LA INFORMACIÓN SOLICITADA.</w:t>
      </w:r>
    </w:p>
    <w:p w14:paraId="47049033" w14:textId="332D9329" w:rsidR="00C853D1" w:rsidRPr="00242082" w:rsidRDefault="00BC52FA" w:rsidP="009E7481">
      <w:pPr>
        <w:tabs>
          <w:tab w:val="left" w:pos="4667"/>
        </w:tabs>
        <w:spacing w:after="0" w:line="360" w:lineRule="auto"/>
        <w:ind w:left="567" w:right="567"/>
        <w:rPr>
          <w:rFonts w:eastAsia="Times New Roman" w:cs="Tahoma"/>
          <w:bCs/>
          <w:i/>
          <w:iCs/>
          <w:color w:val="auto"/>
          <w:sz w:val="20"/>
          <w:szCs w:val="20"/>
          <w:lang w:eastAsia="es-ES"/>
        </w:rPr>
      </w:pPr>
      <w:r w:rsidRPr="00BC52FA">
        <w:rPr>
          <w:i/>
          <w:color w:val="000000"/>
          <w:sz w:val="20"/>
          <w:szCs w:val="20"/>
        </w:rPr>
        <w:t xml:space="preserve">CFDI o Recibo de </w:t>
      </w:r>
      <w:proofErr w:type="spellStart"/>
      <w:r w:rsidRPr="00BC52FA">
        <w:rPr>
          <w:i/>
          <w:color w:val="000000"/>
          <w:sz w:val="20"/>
          <w:szCs w:val="20"/>
        </w:rPr>
        <w:t>nomina</w:t>
      </w:r>
      <w:proofErr w:type="spellEnd"/>
      <w:r w:rsidRPr="00BC52FA">
        <w:rPr>
          <w:i/>
          <w:color w:val="000000"/>
          <w:sz w:val="20"/>
          <w:szCs w:val="20"/>
        </w:rPr>
        <w:t xml:space="preserve"> de la primera y segunda quincena del mes de enero 2025 de los servidores </w:t>
      </w:r>
      <w:proofErr w:type="spellStart"/>
      <w:r w:rsidRPr="00BC52FA">
        <w:rPr>
          <w:i/>
          <w:color w:val="000000"/>
          <w:sz w:val="20"/>
          <w:szCs w:val="20"/>
        </w:rPr>
        <w:t>publicos</w:t>
      </w:r>
      <w:proofErr w:type="spellEnd"/>
      <w:r w:rsidRPr="00BC52FA">
        <w:rPr>
          <w:i/>
          <w:color w:val="000000"/>
          <w:sz w:val="20"/>
          <w:szCs w:val="20"/>
        </w:rPr>
        <w:t xml:space="preserve">, Rigoberto </w:t>
      </w:r>
      <w:proofErr w:type="spellStart"/>
      <w:r w:rsidRPr="00BC52FA">
        <w:rPr>
          <w:i/>
          <w:color w:val="000000"/>
          <w:sz w:val="20"/>
          <w:szCs w:val="20"/>
        </w:rPr>
        <w:t>Vazquez</w:t>
      </w:r>
      <w:proofErr w:type="spellEnd"/>
      <w:r w:rsidRPr="00BC52FA">
        <w:rPr>
          <w:i/>
          <w:color w:val="000000"/>
          <w:sz w:val="20"/>
          <w:szCs w:val="20"/>
        </w:rPr>
        <w:t xml:space="preserve"> </w:t>
      </w:r>
      <w:proofErr w:type="spellStart"/>
      <w:r w:rsidRPr="00BC52FA">
        <w:rPr>
          <w:i/>
          <w:color w:val="000000"/>
          <w:sz w:val="20"/>
          <w:szCs w:val="20"/>
        </w:rPr>
        <w:t>Perez</w:t>
      </w:r>
      <w:proofErr w:type="spellEnd"/>
      <w:r w:rsidRPr="00BC52FA">
        <w:rPr>
          <w:i/>
          <w:color w:val="000000"/>
          <w:sz w:val="20"/>
          <w:szCs w:val="20"/>
        </w:rPr>
        <w:t xml:space="preserve">, </w:t>
      </w:r>
      <w:proofErr w:type="spellStart"/>
      <w:r w:rsidRPr="00BC52FA">
        <w:rPr>
          <w:i/>
          <w:color w:val="000000"/>
          <w:sz w:val="20"/>
          <w:szCs w:val="20"/>
        </w:rPr>
        <w:t>Yasmin</w:t>
      </w:r>
      <w:proofErr w:type="spellEnd"/>
      <w:r w:rsidRPr="00BC52FA">
        <w:rPr>
          <w:i/>
          <w:color w:val="000000"/>
          <w:sz w:val="20"/>
          <w:szCs w:val="20"/>
        </w:rPr>
        <w:t xml:space="preserve"> Prado Reyes, </w:t>
      </w:r>
      <w:proofErr w:type="spellStart"/>
      <w:r w:rsidRPr="00BC52FA">
        <w:rPr>
          <w:i/>
          <w:color w:val="000000"/>
          <w:sz w:val="20"/>
          <w:szCs w:val="20"/>
        </w:rPr>
        <w:t>Sofia</w:t>
      </w:r>
      <w:proofErr w:type="spellEnd"/>
      <w:r w:rsidRPr="00BC52FA">
        <w:rPr>
          <w:i/>
          <w:color w:val="000000"/>
          <w:sz w:val="20"/>
          <w:szCs w:val="20"/>
        </w:rPr>
        <w:t xml:space="preserve"> </w:t>
      </w:r>
      <w:proofErr w:type="spellStart"/>
      <w:r w:rsidRPr="00BC52FA">
        <w:rPr>
          <w:i/>
          <w:color w:val="000000"/>
          <w:sz w:val="20"/>
          <w:szCs w:val="20"/>
        </w:rPr>
        <w:t>Ramirez</w:t>
      </w:r>
      <w:proofErr w:type="spellEnd"/>
      <w:r w:rsidRPr="00BC52FA">
        <w:rPr>
          <w:i/>
          <w:color w:val="000000"/>
          <w:sz w:val="20"/>
          <w:szCs w:val="20"/>
        </w:rPr>
        <w:t xml:space="preserve"> </w:t>
      </w:r>
      <w:proofErr w:type="spellStart"/>
      <w:r w:rsidRPr="00BC52FA">
        <w:rPr>
          <w:i/>
          <w:color w:val="000000"/>
          <w:sz w:val="20"/>
          <w:szCs w:val="20"/>
        </w:rPr>
        <w:t>Subiria,Carlos</w:t>
      </w:r>
      <w:proofErr w:type="spellEnd"/>
      <w:r w:rsidRPr="00BC52FA">
        <w:rPr>
          <w:i/>
          <w:color w:val="000000"/>
          <w:sz w:val="20"/>
          <w:szCs w:val="20"/>
        </w:rPr>
        <w:t xml:space="preserve"> </w:t>
      </w:r>
      <w:proofErr w:type="spellStart"/>
      <w:r w:rsidRPr="00BC52FA">
        <w:rPr>
          <w:i/>
          <w:color w:val="000000"/>
          <w:sz w:val="20"/>
          <w:szCs w:val="20"/>
        </w:rPr>
        <w:t>Adrian</w:t>
      </w:r>
      <w:proofErr w:type="spellEnd"/>
      <w:r w:rsidRPr="00BC52FA">
        <w:rPr>
          <w:i/>
          <w:color w:val="000000"/>
          <w:sz w:val="20"/>
          <w:szCs w:val="20"/>
        </w:rPr>
        <w:t xml:space="preserve"> </w:t>
      </w:r>
      <w:proofErr w:type="spellStart"/>
      <w:r w:rsidRPr="00BC52FA">
        <w:rPr>
          <w:i/>
          <w:color w:val="000000"/>
          <w:sz w:val="20"/>
          <w:szCs w:val="20"/>
        </w:rPr>
        <w:t>Lopez</w:t>
      </w:r>
      <w:proofErr w:type="spellEnd"/>
      <w:r w:rsidRPr="00BC52FA">
        <w:rPr>
          <w:i/>
          <w:color w:val="000000"/>
          <w:sz w:val="20"/>
          <w:szCs w:val="20"/>
        </w:rPr>
        <w:t xml:space="preserve"> </w:t>
      </w:r>
      <w:proofErr w:type="spellStart"/>
      <w:r w:rsidRPr="00BC52FA">
        <w:rPr>
          <w:i/>
          <w:color w:val="000000"/>
          <w:sz w:val="20"/>
          <w:szCs w:val="20"/>
        </w:rPr>
        <w:t>Perez</w:t>
      </w:r>
      <w:proofErr w:type="spellEnd"/>
      <w:r w:rsidRPr="00BC52FA">
        <w:rPr>
          <w:i/>
          <w:color w:val="000000"/>
          <w:sz w:val="20"/>
          <w:szCs w:val="20"/>
        </w:rPr>
        <w:t xml:space="preserve">, Juan Carlos Cruz </w:t>
      </w:r>
      <w:proofErr w:type="spellStart"/>
      <w:r w:rsidRPr="00BC52FA">
        <w:rPr>
          <w:i/>
          <w:color w:val="000000"/>
          <w:sz w:val="20"/>
          <w:szCs w:val="20"/>
        </w:rPr>
        <w:t>Gonzalez</w:t>
      </w:r>
      <w:proofErr w:type="spellEnd"/>
      <w:r w:rsidRPr="00BC52FA">
        <w:rPr>
          <w:i/>
          <w:color w:val="000000"/>
          <w:sz w:val="20"/>
          <w:szCs w:val="20"/>
        </w:rPr>
        <w:t xml:space="preserve">, Manuel Rangel </w:t>
      </w:r>
      <w:proofErr w:type="spellStart"/>
      <w:r w:rsidRPr="00BC52FA">
        <w:rPr>
          <w:i/>
          <w:color w:val="000000"/>
          <w:sz w:val="20"/>
          <w:szCs w:val="20"/>
        </w:rPr>
        <w:t>Velazquez</w:t>
      </w:r>
      <w:proofErr w:type="spellEnd"/>
      <w:r w:rsidRPr="00BC52FA">
        <w:rPr>
          <w:i/>
          <w:color w:val="000000"/>
          <w:sz w:val="20"/>
          <w:szCs w:val="20"/>
        </w:rPr>
        <w:t xml:space="preserve">, José Antonio </w:t>
      </w:r>
      <w:proofErr w:type="spellStart"/>
      <w:r w:rsidRPr="00BC52FA">
        <w:rPr>
          <w:i/>
          <w:color w:val="000000"/>
          <w:sz w:val="20"/>
          <w:szCs w:val="20"/>
        </w:rPr>
        <w:t>Demecio</w:t>
      </w:r>
      <w:proofErr w:type="spellEnd"/>
      <w:r w:rsidRPr="00BC52FA">
        <w:rPr>
          <w:i/>
          <w:color w:val="000000"/>
          <w:sz w:val="20"/>
          <w:szCs w:val="20"/>
        </w:rPr>
        <w:t xml:space="preserve"> </w:t>
      </w:r>
      <w:proofErr w:type="spellStart"/>
      <w:r w:rsidRPr="00BC52FA">
        <w:rPr>
          <w:i/>
          <w:color w:val="000000"/>
          <w:sz w:val="20"/>
          <w:szCs w:val="20"/>
        </w:rPr>
        <w:t>Perez</w:t>
      </w:r>
      <w:proofErr w:type="spellEnd"/>
      <w:r w:rsidRPr="00BC52FA">
        <w:rPr>
          <w:i/>
          <w:color w:val="000000"/>
          <w:sz w:val="20"/>
          <w:szCs w:val="20"/>
        </w:rPr>
        <w:t xml:space="preserve">, Carlos Alberto </w:t>
      </w:r>
      <w:proofErr w:type="spellStart"/>
      <w:r w:rsidRPr="00BC52FA">
        <w:rPr>
          <w:i/>
          <w:color w:val="000000"/>
          <w:sz w:val="20"/>
          <w:szCs w:val="20"/>
        </w:rPr>
        <w:t>Gutierrez</w:t>
      </w:r>
      <w:proofErr w:type="spellEnd"/>
      <w:r w:rsidRPr="00BC52FA">
        <w:rPr>
          <w:i/>
          <w:color w:val="000000"/>
          <w:sz w:val="20"/>
          <w:szCs w:val="20"/>
        </w:rPr>
        <w:t xml:space="preserve"> </w:t>
      </w:r>
      <w:proofErr w:type="spellStart"/>
      <w:r w:rsidRPr="00BC52FA">
        <w:rPr>
          <w:i/>
          <w:color w:val="000000"/>
          <w:sz w:val="20"/>
          <w:szCs w:val="20"/>
        </w:rPr>
        <w:t>Anguiano,Carlos</w:t>
      </w:r>
      <w:proofErr w:type="spellEnd"/>
      <w:r w:rsidRPr="00BC52FA">
        <w:rPr>
          <w:i/>
          <w:color w:val="000000"/>
          <w:sz w:val="20"/>
          <w:szCs w:val="20"/>
        </w:rPr>
        <w:t xml:space="preserve"> Ocampo </w:t>
      </w:r>
      <w:proofErr w:type="spellStart"/>
      <w:r w:rsidRPr="00BC52FA">
        <w:rPr>
          <w:i/>
          <w:color w:val="000000"/>
          <w:sz w:val="20"/>
          <w:szCs w:val="20"/>
        </w:rPr>
        <w:t>Elizarraras</w:t>
      </w:r>
      <w:proofErr w:type="spellEnd"/>
      <w:r w:rsidRPr="00BC52FA">
        <w:rPr>
          <w:i/>
          <w:color w:val="000000"/>
          <w:sz w:val="20"/>
          <w:szCs w:val="20"/>
        </w:rPr>
        <w:t xml:space="preserve">, Antonio </w:t>
      </w:r>
      <w:proofErr w:type="spellStart"/>
      <w:r w:rsidRPr="00BC52FA">
        <w:rPr>
          <w:i/>
          <w:color w:val="000000"/>
          <w:sz w:val="20"/>
          <w:szCs w:val="20"/>
        </w:rPr>
        <w:t>Gualterio</w:t>
      </w:r>
      <w:proofErr w:type="spellEnd"/>
      <w:r w:rsidRPr="00BC52FA">
        <w:rPr>
          <w:i/>
          <w:color w:val="000000"/>
          <w:sz w:val="20"/>
          <w:szCs w:val="20"/>
        </w:rPr>
        <w:t xml:space="preserve"> Ortega Minero, Francisco Javier </w:t>
      </w:r>
      <w:proofErr w:type="spellStart"/>
      <w:r w:rsidRPr="00BC52FA">
        <w:rPr>
          <w:i/>
          <w:color w:val="000000"/>
          <w:sz w:val="20"/>
          <w:szCs w:val="20"/>
        </w:rPr>
        <w:t>Damian</w:t>
      </w:r>
      <w:proofErr w:type="spellEnd"/>
      <w:r w:rsidRPr="00BC52FA">
        <w:rPr>
          <w:i/>
          <w:color w:val="000000"/>
          <w:sz w:val="20"/>
          <w:szCs w:val="20"/>
        </w:rPr>
        <w:t xml:space="preserve"> Elizondo, Felipe Sosa </w:t>
      </w:r>
      <w:proofErr w:type="spellStart"/>
      <w:r w:rsidRPr="00BC52FA">
        <w:rPr>
          <w:i/>
          <w:color w:val="000000"/>
          <w:sz w:val="20"/>
          <w:szCs w:val="20"/>
        </w:rPr>
        <w:t>Ramirez</w:t>
      </w:r>
      <w:proofErr w:type="spellEnd"/>
      <w:r w:rsidRPr="00BC52FA">
        <w:rPr>
          <w:i/>
          <w:color w:val="000000"/>
          <w:sz w:val="20"/>
          <w:szCs w:val="20"/>
        </w:rPr>
        <w:t xml:space="preserve">, Omar Balam Salazar </w:t>
      </w:r>
      <w:proofErr w:type="spellStart"/>
      <w:r w:rsidRPr="00BC52FA">
        <w:rPr>
          <w:i/>
          <w:color w:val="000000"/>
          <w:sz w:val="20"/>
          <w:szCs w:val="20"/>
        </w:rPr>
        <w:t>Sanchez</w:t>
      </w:r>
      <w:proofErr w:type="spellEnd"/>
      <w:r w:rsidRPr="00BC52FA">
        <w:rPr>
          <w:i/>
          <w:color w:val="000000"/>
          <w:sz w:val="20"/>
          <w:szCs w:val="20"/>
        </w:rPr>
        <w:t xml:space="preserve">, Martha Delgado </w:t>
      </w:r>
      <w:proofErr w:type="spellStart"/>
      <w:r w:rsidRPr="00BC52FA">
        <w:rPr>
          <w:i/>
          <w:color w:val="000000"/>
          <w:sz w:val="20"/>
          <w:szCs w:val="20"/>
        </w:rPr>
        <w:t>Gomez</w:t>
      </w:r>
      <w:proofErr w:type="spellEnd"/>
      <w:r w:rsidRPr="00BC52FA">
        <w:rPr>
          <w:i/>
          <w:color w:val="000000"/>
          <w:sz w:val="20"/>
          <w:szCs w:val="20"/>
        </w:rPr>
        <w:t xml:space="preserve">, Jorge Luis Avalos </w:t>
      </w:r>
      <w:proofErr w:type="spellStart"/>
      <w:r w:rsidRPr="00BC52FA">
        <w:rPr>
          <w:i/>
          <w:color w:val="000000"/>
          <w:sz w:val="20"/>
          <w:szCs w:val="20"/>
        </w:rPr>
        <w:t>Ramirez,Norma</w:t>
      </w:r>
      <w:proofErr w:type="spellEnd"/>
      <w:r w:rsidRPr="00BC52FA">
        <w:rPr>
          <w:i/>
          <w:color w:val="000000"/>
          <w:sz w:val="20"/>
          <w:szCs w:val="20"/>
        </w:rPr>
        <w:t xml:space="preserve"> </w:t>
      </w:r>
      <w:proofErr w:type="spellStart"/>
      <w:r w:rsidRPr="00BC52FA">
        <w:rPr>
          <w:i/>
          <w:color w:val="000000"/>
          <w:sz w:val="20"/>
          <w:szCs w:val="20"/>
        </w:rPr>
        <w:t>Angelica</w:t>
      </w:r>
      <w:proofErr w:type="spellEnd"/>
      <w:r w:rsidRPr="00BC52FA">
        <w:rPr>
          <w:i/>
          <w:color w:val="000000"/>
          <w:sz w:val="20"/>
          <w:szCs w:val="20"/>
        </w:rPr>
        <w:t xml:space="preserve"> </w:t>
      </w:r>
      <w:proofErr w:type="spellStart"/>
      <w:r w:rsidRPr="00BC52FA">
        <w:rPr>
          <w:i/>
          <w:color w:val="000000"/>
          <w:sz w:val="20"/>
          <w:szCs w:val="20"/>
        </w:rPr>
        <w:t>Rodriguez</w:t>
      </w:r>
      <w:proofErr w:type="spellEnd"/>
      <w:r w:rsidRPr="00BC52FA">
        <w:rPr>
          <w:i/>
          <w:color w:val="000000"/>
          <w:sz w:val="20"/>
          <w:szCs w:val="20"/>
        </w:rPr>
        <w:t xml:space="preserve"> Reyes, Francisco Dorantes </w:t>
      </w:r>
      <w:proofErr w:type="spellStart"/>
      <w:r w:rsidRPr="00BC52FA">
        <w:rPr>
          <w:i/>
          <w:color w:val="000000"/>
          <w:sz w:val="20"/>
          <w:szCs w:val="20"/>
        </w:rPr>
        <w:t>Hernandez</w:t>
      </w:r>
      <w:proofErr w:type="spellEnd"/>
      <w:r w:rsidRPr="00BC52FA">
        <w:rPr>
          <w:i/>
          <w:color w:val="000000"/>
          <w:sz w:val="20"/>
          <w:szCs w:val="20"/>
        </w:rPr>
        <w:t xml:space="preserve">. Y las altas de los servidores </w:t>
      </w:r>
      <w:proofErr w:type="spellStart"/>
      <w:r w:rsidRPr="00BC52FA">
        <w:rPr>
          <w:i/>
          <w:color w:val="000000"/>
          <w:sz w:val="20"/>
          <w:szCs w:val="20"/>
        </w:rPr>
        <w:t>publicos</w:t>
      </w:r>
      <w:proofErr w:type="spellEnd"/>
      <w:r w:rsidRPr="00BC52FA">
        <w:rPr>
          <w:i/>
          <w:color w:val="000000"/>
          <w:sz w:val="20"/>
          <w:szCs w:val="20"/>
        </w:rPr>
        <w:t xml:space="preserve"> que entraron por sustitución en el año 2024 por lo menos la que anunció el secretario Rigoberto ya que hizo una reunión y les dio una bien venida en el sindicato y por redes agradeció al presidente mencionadas sustituciones</w:t>
      </w:r>
      <w:r w:rsidR="00C853D1" w:rsidRPr="00BC52FA">
        <w:rPr>
          <w:rFonts w:eastAsia="Times New Roman" w:cs="Tahoma"/>
          <w:bCs/>
          <w:i/>
          <w:iCs/>
          <w:color w:val="auto"/>
          <w:sz w:val="20"/>
          <w:szCs w:val="20"/>
          <w:lang w:eastAsia="es-ES"/>
        </w:rPr>
        <w:t>”</w:t>
      </w:r>
      <w:r w:rsidR="00C853D1" w:rsidRPr="00242082">
        <w:rPr>
          <w:rFonts w:eastAsia="Times New Roman" w:cs="Tahoma"/>
          <w:bCs/>
          <w:i/>
          <w:iCs/>
          <w:color w:val="auto"/>
          <w:sz w:val="20"/>
          <w:szCs w:val="20"/>
          <w:lang w:eastAsia="es-ES"/>
        </w:rPr>
        <w:t xml:space="preserve"> (Sic) </w:t>
      </w:r>
    </w:p>
    <w:p w14:paraId="151CD7A9" w14:textId="77777777" w:rsidR="00C853D1" w:rsidRPr="00242082" w:rsidRDefault="00C853D1" w:rsidP="009E7481">
      <w:pPr>
        <w:tabs>
          <w:tab w:val="left" w:pos="4667"/>
        </w:tabs>
        <w:spacing w:after="0" w:line="360" w:lineRule="auto"/>
        <w:ind w:left="567" w:right="567"/>
        <w:rPr>
          <w:rFonts w:eastAsia="Times New Roman" w:cs="Tahoma"/>
          <w:b/>
          <w:bCs/>
          <w:i/>
          <w:iCs/>
          <w:color w:val="auto"/>
          <w:sz w:val="20"/>
          <w:lang w:eastAsia="es-ES"/>
        </w:rPr>
      </w:pPr>
    </w:p>
    <w:p w14:paraId="0E8A2DCA" w14:textId="77777777" w:rsidR="00C853D1" w:rsidRPr="00242082" w:rsidRDefault="00C853D1" w:rsidP="009E7481">
      <w:pPr>
        <w:tabs>
          <w:tab w:val="left" w:pos="4667"/>
        </w:tabs>
        <w:spacing w:after="0" w:line="360" w:lineRule="auto"/>
        <w:ind w:left="567" w:right="567"/>
        <w:rPr>
          <w:rFonts w:eastAsia="Times New Roman" w:cs="Tahoma"/>
          <w:b/>
          <w:bCs/>
          <w:i/>
          <w:iCs/>
          <w:color w:val="auto"/>
          <w:sz w:val="20"/>
          <w:lang w:eastAsia="es-ES"/>
        </w:rPr>
      </w:pPr>
      <w:r w:rsidRPr="00242082">
        <w:rPr>
          <w:rFonts w:eastAsia="Times New Roman" w:cs="Tahoma"/>
          <w:b/>
          <w:bCs/>
          <w:i/>
          <w:iCs/>
          <w:color w:val="auto"/>
          <w:sz w:val="20"/>
          <w:lang w:eastAsia="es-ES"/>
        </w:rPr>
        <w:t>“MODALIDAD DE ENTREGA</w:t>
      </w:r>
    </w:p>
    <w:p w14:paraId="59678C94" w14:textId="1E32CB35" w:rsidR="00C853D1" w:rsidRPr="00242082" w:rsidRDefault="00C853D1" w:rsidP="009E7481">
      <w:pPr>
        <w:spacing w:after="0" w:line="360" w:lineRule="auto"/>
        <w:ind w:left="567" w:right="567"/>
        <w:rPr>
          <w:rFonts w:eastAsia="Times New Roman" w:cs="Arial"/>
          <w:bCs/>
          <w:i/>
          <w:iCs/>
          <w:color w:val="auto"/>
          <w:sz w:val="20"/>
          <w:lang w:eastAsia="es-ES"/>
        </w:rPr>
      </w:pPr>
      <w:r w:rsidRPr="00242082">
        <w:rPr>
          <w:rFonts w:eastAsia="Times New Roman" w:cs="Arial"/>
          <w:bCs/>
          <w:i/>
          <w:iCs/>
          <w:color w:val="auto"/>
          <w:sz w:val="20"/>
          <w:lang w:eastAsia="es-ES"/>
        </w:rPr>
        <w:t>A través del SAIMEX”</w:t>
      </w:r>
    </w:p>
    <w:p w14:paraId="1DAA8380" w14:textId="77777777" w:rsidR="00682222" w:rsidRPr="00242082" w:rsidRDefault="00682222" w:rsidP="009E7481">
      <w:pPr>
        <w:spacing w:after="0" w:line="360" w:lineRule="auto"/>
        <w:ind w:left="567" w:right="567"/>
        <w:rPr>
          <w:rFonts w:eastAsia="Times New Roman" w:cs="Arial"/>
          <w:bCs/>
          <w:i/>
          <w:iCs/>
          <w:color w:val="auto"/>
          <w:sz w:val="20"/>
          <w:lang w:eastAsia="es-ES"/>
        </w:rPr>
      </w:pPr>
    </w:p>
    <w:p w14:paraId="7488ED31" w14:textId="2BFE0980" w:rsidR="00C853D1" w:rsidRPr="00D526FB" w:rsidRDefault="00C853D1" w:rsidP="009E7481">
      <w:pPr>
        <w:pStyle w:val="Ttulo2"/>
        <w:spacing w:before="0" w:line="360" w:lineRule="auto"/>
        <w:rPr>
          <w:rFonts w:ascii="Palatino Linotype" w:hAnsi="Palatino Linotype"/>
          <w:b/>
          <w:bCs/>
          <w:color w:val="auto"/>
          <w:sz w:val="22"/>
          <w:szCs w:val="22"/>
        </w:rPr>
      </w:pPr>
      <w:bookmarkStart w:id="3" w:name="_Toc193363642"/>
      <w:r w:rsidRPr="00D526FB">
        <w:rPr>
          <w:rFonts w:ascii="Palatino Linotype" w:hAnsi="Palatino Linotype" w:cs="Tahoma"/>
          <w:b/>
          <w:bCs/>
          <w:color w:val="auto"/>
          <w:sz w:val="22"/>
          <w:szCs w:val="22"/>
        </w:rPr>
        <w:t>II.</w:t>
      </w:r>
      <w:r w:rsidRPr="00D526FB">
        <w:rPr>
          <w:rFonts w:ascii="Palatino Linotype" w:hAnsi="Palatino Linotype"/>
          <w:b/>
          <w:bCs/>
          <w:color w:val="auto"/>
          <w:sz w:val="22"/>
          <w:szCs w:val="22"/>
        </w:rPr>
        <w:t xml:space="preserve"> Respuesta del Sujeto Obligado.</w:t>
      </w:r>
      <w:bookmarkEnd w:id="3"/>
      <w:r w:rsidRPr="00D526FB">
        <w:rPr>
          <w:rFonts w:ascii="Palatino Linotype" w:hAnsi="Palatino Linotype"/>
          <w:b/>
          <w:bCs/>
          <w:color w:val="auto"/>
          <w:sz w:val="22"/>
          <w:szCs w:val="22"/>
        </w:rPr>
        <w:t xml:space="preserve"> </w:t>
      </w:r>
    </w:p>
    <w:p w14:paraId="4BBF47A5" w14:textId="77777777" w:rsidR="00EC7345" w:rsidRPr="00242082" w:rsidRDefault="00EC7345" w:rsidP="009E7481">
      <w:pPr>
        <w:autoSpaceDE w:val="0"/>
        <w:autoSpaceDN w:val="0"/>
        <w:adjustRightInd w:val="0"/>
        <w:spacing w:after="0" w:line="360" w:lineRule="auto"/>
        <w:rPr>
          <w:b/>
          <w:bCs/>
        </w:rPr>
      </w:pPr>
    </w:p>
    <w:p w14:paraId="3AE2F83E" w14:textId="72B38F0C" w:rsidR="008F5DC2" w:rsidRDefault="00C853D1" w:rsidP="009E7481">
      <w:pPr>
        <w:spacing w:after="0" w:line="360" w:lineRule="auto"/>
      </w:pPr>
      <w:r w:rsidRPr="00242082">
        <w:t>Con fecha</w:t>
      </w:r>
      <w:r w:rsidR="002F68E2" w:rsidRPr="00242082">
        <w:t xml:space="preserve"> </w:t>
      </w:r>
      <w:r w:rsidR="00702180">
        <w:t xml:space="preserve">diecinueve de </w:t>
      </w:r>
      <w:r w:rsidR="00BC52FA">
        <w:t>febrero</w:t>
      </w:r>
      <w:r w:rsidR="00702180">
        <w:t xml:space="preserve"> de dos mil </w:t>
      </w:r>
      <w:r w:rsidR="00BC52FA">
        <w:t>veinticinco</w:t>
      </w:r>
      <w:r w:rsidR="002F68E2" w:rsidRPr="00242082">
        <w:t xml:space="preserve">, el Sujeto Obligado notificó, a través del Sistema de Acceso a la Información Mexiquense (SAIMEX), la respuesta a la solicitud de acceso a la información pública, mediante </w:t>
      </w:r>
      <w:r w:rsidR="008F5DC2">
        <w:t xml:space="preserve">la digitalización de los siguientes documentos: </w:t>
      </w:r>
    </w:p>
    <w:p w14:paraId="6D83AB41" w14:textId="6F4DCC07" w:rsidR="008F5DC2" w:rsidRDefault="008F5DC2" w:rsidP="009E7481">
      <w:pPr>
        <w:spacing w:after="0" w:line="360" w:lineRule="auto"/>
      </w:pPr>
    </w:p>
    <w:p w14:paraId="16992CA5" w14:textId="590C8096" w:rsidR="008F5DC2" w:rsidRPr="00D85322" w:rsidRDefault="008F5DC2" w:rsidP="009E7481">
      <w:pPr>
        <w:spacing w:after="0" w:line="360" w:lineRule="auto"/>
      </w:pPr>
      <w:r w:rsidRPr="00D85322">
        <w:t xml:space="preserve">i) Oficio sin número del diecinueve de febrero de dos mil veinticinco, suscrito por el Titular de la Unidad de Transparencia y dirigido al Solicitante por medio del cual remitió los diversos  DA/NEZA/0717/2025, HA/TM/891/2025 y ACT/CT/NEZA/EXT/IV/2025. </w:t>
      </w:r>
    </w:p>
    <w:p w14:paraId="0F7A3C97" w14:textId="77777777" w:rsidR="008F5DC2" w:rsidRPr="00D85322" w:rsidRDefault="008F5DC2" w:rsidP="009E7481">
      <w:pPr>
        <w:spacing w:after="0" w:line="360" w:lineRule="auto"/>
      </w:pPr>
    </w:p>
    <w:p w14:paraId="08BA7E31" w14:textId="12A0339A" w:rsidR="00C078CA" w:rsidRDefault="008F5DC2" w:rsidP="009E7481">
      <w:pPr>
        <w:spacing w:after="0" w:line="360" w:lineRule="auto"/>
      </w:pPr>
      <w:r w:rsidRPr="00D85322">
        <w:t>ii) O</w:t>
      </w:r>
      <w:r w:rsidR="002F68E2" w:rsidRPr="00D85322">
        <w:t>ficio</w:t>
      </w:r>
      <w:r w:rsidR="00005E7C" w:rsidRPr="00D85322">
        <w:t xml:space="preserve"> </w:t>
      </w:r>
      <w:r w:rsidR="003523BD" w:rsidRPr="00D85322">
        <w:t xml:space="preserve">número </w:t>
      </w:r>
      <w:r w:rsidR="00BC52FA" w:rsidRPr="00D85322">
        <w:t>HA/TM/891/2025</w:t>
      </w:r>
      <w:r w:rsidR="00472F9D" w:rsidRPr="00D85322">
        <w:t xml:space="preserve">, </w:t>
      </w:r>
      <w:r w:rsidR="00AF693E" w:rsidRPr="00D85322">
        <w:t xml:space="preserve">del </w:t>
      </w:r>
      <w:r w:rsidR="00BC52FA" w:rsidRPr="00D85322">
        <w:t>trece</w:t>
      </w:r>
      <w:r w:rsidR="003523BD" w:rsidRPr="00D85322">
        <w:t xml:space="preserve"> de </w:t>
      </w:r>
      <w:r w:rsidR="00BC52FA" w:rsidRPr="00D85322">
        <w:t>febrero</w:t>
      </w:r>
      <w:r w:rsidR="003523BD" w:rsidRPr="00D85322">
        <w:t xml:space="preserve"> de dos mil </w:t>
      </w:r>
      <w:r w:rsidR="00BC52FA" w:rsidRPr="00D85322">
        <w:t>veinticinco</w:t>
      </w:r>
      <w:r w:rsidR="00472F9D" w:rsidRPr="00D85322">
        <w:t xml:space="preserve">, suscrito por </w:t>
      </w:r>
      <w:r w:rsidR="00BC52FA" w:rsidRPr="00D85322">
        <w:t xml:space="preserve">la Tesorera Municipal </w:t>
      </w:r>
      <w:r w:rsidR="00D50475" w:rsidRPr="00D85322">
        <w:t>y dirigido al Titular de la Unidad de Transparencia,</w:t>
      </w:r>
      <w:r w:rsidR="0027410D" w:rsidRPr="00D85322">
        <w:t xml:space="preserve"> </w:t>
      </w:r>
      <w:r w:rsidR="00D50475" w:rsidRPr="00D85322">
        <w:t>por medio del cual precisó lo siguiente:</w:t>
      </w:r>
      <w:r w:rsidR="00D50475">
        <w:t xml:space="preserve"> </w:t>
      </w:r>
    </w:p>
    <w:p w14:paraId="26E84CB3" w14:textId="77777777" w:rsidR="00D50475" w:rsidRDefault="00D50475" w:rsidP="009E7481">
      <w:pPr>
        <w:spacing w:after="0" w:line="360" w:lineRule="auto"/>
      </w:pPr>
    </w:p>
    <w:p w14:paraId="1F04406C" w14:textId="012843C2" w:rsidR="00D50475" w:rsidRPr="00D50475" w:rsidRDefault="00C078CA" w:rsidP="009E7481">
      <w:pPr>
        <w:spacing w:after="0" w:line="360" w:lineRule="auto"/>
        <w:ind w:left="567" w:right="567"/>
        <w:rPr>
          <w:i/>
          <w:iCs/>
          <w:sz w:val="20"/>
          <w:szCs w:val="20"/>
        </w:rPr>
      </w:pPr>
      <w:r w:rsidRPr="00D50475">
        <w:rPr>
          <w:i/>
          <w:iCs/>
          <w:sz w:val="20"/>
          <w:szCs w:val="20"/>
        </w:rPr>
        <w:t>“</w:t>
      </w:r>
      <w:r w:rsidR="00D50475" w:rsidRPr="00D50475">
        <w:rPr>
          <w:i/>
          <w:iCs/>
          <w:sz w:val="20"/>
          <w:szCs w:val="20"/>
        </w:rPr>
        <w:t>…</w:t>
      </w:r>
    </w:p>
    <w:p w14:paraId="65E005D8" w14:textId="098C4E14" w:rsidR="00C078CA" w:rsidRPr="00D50475" w:rsidRDefault="00C078CA" w:rsidP="009E7481">
      <w:pPr>
        <w:spacing w:after="0" w:line="360" w:lineRule="auto"/>
        <w:ind w:left="567" w:right="567"/>
        <w:rPr>
          <w:b/>
          <w:bCs/>
          <w:i/>
          <w:iCs/>
          <w:sz w:val="20"/>
          <w:szCs w:val="20"/>
          <w:u w:val="single"/>
        </w:rPr>
      </w:pPr>
      <w:r w:rsidRPr="00D50475">
        <w:rPr>
          <w:b/>
          <w:bCs/>
          <w:i/>
          <w:iCs/>
          <w:sz w:val="20"/>
          <w:szCs w:val="20"/>
        </w:rPr>
        <w:t xml:space="preserve">Derivado de lo anterior me permito enviarle debidamente relacionado y en copia simple el CFDI del personal solicitado correspondiente a la primera y segunda quincena de enero 2025, no sin antes comentarle que después de una búsqueda exhaustiva en los archivos </w:t>
      </w:r>
      <w:r w:rsidRPr="00D50475">
        <w:rPr>
          <w:b/>
          <w:bCs/>
          <w:i/>
          <w:iCs/>
          <w:sz w:val="20"/>
          <w:szCs w:val="20"/>
          <w:u w:val="single"/>
        </w:rPr>
        <w:t>no encontramos información alguna de Omar Balam Salazar y Jorge Luis Avalos Ramírez</w:t>
      </w:r>
    </w:p>
    <w:p w14:paraId="669C0631" w14:textId="77777777" w:rsidR="00D50475" w:rsidRPr="00D50475" w:rsidRDefault="00D50475" w:rsidP="009E7481">
      <w:pPr>
        <w:spacing w:after="0" w:line="360" w:lineRule="auto"/>
        <w:ind w:left="567" w:right="567"/>
        <w:rPr>
          <w:i/>
          <w:iCs/>
          <w:sz w:val="20"/>
          <w:szCs w:val="20"/>
        </w:rPr>
      </w:pPr>
    </w:p>
    <w:p w14:paraId="4025CADA" w14:textId="0AA67719" w:rsidR="00065090" w:rsidRDefault="00C078CA" w:rsidP="009E7481">
      <w:pPr>
        <w:spacing w:after="0" w:line="360" w:lineRule="auto"/>
        <w:ind w:left="567" w:right="567"/>
        <w:rPr>
          <w:i/>
          <w:iCs/>
          <w:sz w:val="20"/>
          <w:szCs w:val="20"/>
        </w:rPr>
      </w:pPr>
      <w:r w:rsidRPr="00D50475">
        <w:rPr>
          <w:i/>
          <w:iCs/>
          <w:sz w:val="20"/>
          <w:szCs w:val="20"/>
        </w:rPr>
        <w:t xml:space="preserve">Ahora bien, de conformidad con lo establecido en los artículos 108, 113 fracción I y II, 118 de la Ley Federal de Transparencia y Acceso a la Información Pública, 3 fracción XXI, 68 fracción II, 111 y 116 de la Ley General de Transparencia y Acceso a la Información Pública, 3 fracción XLV y 143 fracción I y II de la Ley de Transparencia y Acceso a la Información Pública del Estado de México y municipios, la información que se proporcionara cuenta con datos personas, por tal motivo </w:t>
      </w:r>
      <w:r w:rsidRPr="00D50475">
        <w:rPr>
          <w:b/>
          <w:bCs/>
          <w:i/>
          <w:iCs/>
          <w:sz w:val="20"/>
          <w:szCs w:val="20"/>
        </w:rPr>
        <w:t xml:space="preserve">se testara </w:t>
      </w:r>
      <w:r w:rsidRPr="00D50475">
        <w:rPr>
          <w:b/>
          <w:bCs/>
          <w:i/>
          <w:iCs/>
          <w:sz w:val="20"/>
          <w:szCs w:val="20"/>
        </w:rPr>
        <w:lastRenderedPageBreak/>
        <w:t xml:space="preserve">de los recibos de nómina de los </w:t>
      </w:r>
      <w:r w:rsidRPr="00F7670F">
        <w:rPr>
          <w:b/>
          <w:bCs/>
          <w:i/>
          <w:iCs/>
          <w:sz w:val="20"/>
          <w:szCs w:val="20"/>
          <w:u w:val="single"/>
        </w:rPr>
        <w:t>servidores públicos sindicalizados</w:t>
      </w:r>
      <w:r w:rsidRPr="00D50475">
        <w:rPr>
          <w:b/>
          <w:bCs/>
          <w:i/>
          <w:iCs/>
          <w:sz w:val="20"/>
          <w:szCs w:val="20"/>
        </w:rPr>
        <w:t xml:space="preserve">; Rigoberto </w:t>
      </w:r>
      <w:proofErr w:type="spellStart"/>
      <w:r w:rsidRPr="00D50475">
        <w:rPr>
          <w:b/>
          <w:bCs/>
          <w:i/>
          <w:iCs/>
          <w:sz w:val="20"/>
          <w:szCs w:val="20"/>
        </w:rPr>
        <w:t>Vazquez</w:t>
      </w:r>
      <w:proofErr w:type="spellEnd"/>
      <w:r w:rsidRPr="00D50475">
        <w:rPr>
          <w:b/>
          <w:bCs/>
          <w:i/>
          <w:iCs/>
          <w:sz w:val="20"/>
          <w:szCs w:val="20"/>
        </w:rPr>
        <w:t xml:space="preserve"> </w:t>
      </w:r>
      <w:proofErr w:type="spellStart"/>
      <w:r w:rsidRPr="00D50475">
        <w:rPr>
          <w:b/>
          <w:bCs/>
          <w:i/>
          <w:iCs/>
          <w:sz w:val="20"/>
          <w:szCs w:val="20"/>
        </w:rPr>
        <w:t>Perez</w:t>
      </w:r>
      <w:proofErr w:type="spellEnd"/>
      <w:r w:rsidRPr="00D50475">
        <w:rPr>
          <w:b/>
          <w:bCs/>
          <w:i/>
          <w:iCs/>
          <w:sz w:val="20"/>
          <w:szCs w:val="20"/>
        </w:rPr>
        <w:t xml:space="preserve">, </w:t>
      </w:r>
      <w:proofErr w:type="spellStart"/>
      <w:r w:rsidRPr="00D50475">
        <w:rPr>
          <w:b/>
          <w:bCs/>
          <w:i/>
          <w:iCs/>
          <w:sz w:val="20"/>
          <w:szCs w:val="20"/>
        </w:rPr>
        <w:t>Yasmin</w:t>
      </w:r>
      <w:proofErr w:type="spellEnd"/>
      <w:r w:rsidRPr="00D50475">
        <w:rPr>
          <w:b/>
          <w:bCs/>
          <w:i/>
          <w:iCs/>
          <w:sz w:val="20"/>
          <w:szCs w:val="20"/>
        </w:rPr>
        <w:t xml:space="preserve"> Prado Reyes, </w:t>
      </w:r>
      <w:proofErr w:type="spellStart"/>
      <w:r w:rsidRPr="00D50475">
        <w:rPr>
          <w:b/>
          <w:bCs/>
          <w:i/>
          <w:iCs/>
          <w:sz w:val="20"/>
          <w:szCs w:val="20"/>
        </w:rPr>
        <w:t>Sofia</w:t>
      </w:r>
      <w:proofErr w:type="spellEnd"/>
      <w:r w:rsidRPr="00D50475">
        <w:rPr>
          <w:b/>
          <w:bCs/>
          <w:i/>
          <w:iCs/>
          <w:sz w:val="20"/>
          <w:szCs w:val="20"/>
        </w:rPr>
        <w:t xml:space="preserve"> </w:t>
      </w:r>
      <w:proofErr w:type="spellStart"/>
      <w:r w:rsidRPr="00D50475">
        <w:rPr>
          <w:b/>
          <w:bCs/>
          <w:i/>
          <w:iCs/>
          <w:sz w:val="20"/>
          <w:szCs w:val="20"/>
        </w:rPr>
        <w:t>Ramirez</w:t>
      </w:r>
      <w:proofErr w:type="spellEnd"/>
      <w:r w:rsidRPr="00D50475">
        <w:rPr>
          <w:b/>
          <w:bCs/>
          <w:i/>
          <w:iCs/>
          <w:sz w:val="20"/>
          <w:szCs w:val="20"/>
        </w:rPr>
        <w:t xml:space="preserve"> </w:t>
      </w:r>
      <w:proofErr w:type="spellStart"/>
      <w:r w:rsidRPr="00D50475">
        <w:rPr>
          <w:b/>
          <w:bCs/>
          <w:i/>
          <w:iCs/>
          <w:sz w:val="20"/>
          <w:szCs w:val="20"/>
        </w:rPr>
        <w:t>Subiria,Carlos</w:t>
      </w:r>
      <w:proofErr w:type="spellEnd"/>
      <w:r w:rsidRPr="00D50475">
        <w:rPr>
          <w:b/>
          <w:bCs/>
          <w:i/>
          <w:iCs/>
          <w:sz w:val="20"/>
          <w:szCs w:val="20"/>
        </w:rPr>
        <w:t xml:space="preserve"> </w:t>
      </w:r>
      <w:proofErr w:type="spellStart"/>
      <w:r w:rsidRPr="00D50475">
        <w:rPr>
          <w:b/>
          <w:bCs/>
          <w:i/>
          <w:iCs/>
          <w:sz w:val="20"/>
          <w:szCs w:val="20"/>
        </w:rPr>
        <w:t>Adrian</w:t>
      </w:r>
      <w:proofErr w:type="spellEnd"/>
      <w:r w:rsidRPr="00D50475">
        <w:rPr>
          <w:b/>
          <w:bCs/>
          <w:i/>
          <w:iCs/>
          <w:sz w:val="20"/>
          <w:szCs w:val="20"/>
        </w:rPr>
        <w:t xml:space="preserve"> </w:t>
      </w:r>
      <w:proofErr w:type="spellStart"/>
      <w:r w:rsidRPr="00D50475">
        <w:rPr>
          <w:b/>
          <w:bCs/>
          <w:i/>
          <w:iCs/>
          <w:sz w:val="20"/>
          <w:szCs w:val="20"/>
        </w:rPr>
        <w:t>Lopez</w:t>
      </w:r>
      <w:proofErr w:type="spellEnd"/>
      <w:r w:rsidRPr="00D50475">
        <w:rPr>
          <w:b/>
          <w:bCs/>
          <w:i/>
          <w:iCs/>
          <w:sz w:val="20"/>
          <w:szCs w:val="20"/>
        </w:rPr>
        <w:t xml:space="preserve"> </w:t>
      </w:r>
      <w:proofErr w:type="spellStart"/>
      <w:r w:rsidRPr="00D50475">
        <w:rPr>
          <w:b/>
          <w:bCs/>
          <w:i/>
          <w:iCs/>
          <w:sz w:val="20"/>
          <w:szCs w:val="20"/>
        </w:rPr>
        <w:t>Perez</w:t>
      </w:r>
      <w:proofErr w:type="spellEnd"/>
      <w:r w:rsidRPr="00D50475">
        <w:rPr>
          <w:b/>
          <w:bCs/>
          <w:i/>
          <w:iCs/>
          <w:sz w:val="20"/>
          <w:szCs w:val="20"/>
        </w:rPr>
        <w:t xml:space="preserve">, Juan Carlos </w:t>
      </w:r>
      <w:r w:rsidR="00065090" w:rsidRPr="00D50475">
        <w:rPr>
          <w:b/>
          <w:bCs/>
          <w:i/>
          <w:iCs/>
          <w:sz w:val="20"/>
          <w:szCs w:val="20"/>
        </w:rPr>
        <w:t xml:space="preserve">Cruz </w:t>
      </w:r>
      <w:proofErr w:type="spellStart"/>
      <w:r w:rsidR="00065090" w:rsidRPr="00D50475">
        <w:rPr>
          <w:b/>
          <w:bCs/>
          <w:i/>
          <w:iCs/>
          <w:sz w:val="20"/>
          <w:szCs w:val="20"/>
        </w:rPr>
        <w:t>Gonzalez</w:t>
      </w:r>
      <w:proofErr w:type="spellEnd"/>
      <w:r w:rsidR="00065090" w:rsidRPr="00D50475">
        <w:rPr>
          <w:b/>
          <w:bCs/>
          <w:i/>
          <w:iCs/>
          <w:sz w:val="20"/>
          <w:szCs w:val="20"/>
        </w:rPr>
        <w:t xml:space="preserve">, Manuel Rangel </w:t>
      </w:r>
      <w:proofErr w:type="spellStart"/>
      <w:r w:rsidR="00065090" w:rsidRPr="00D50475">
        <w:rPr>
          <w:b/>
          <w:bCs/>
          <w:i/>
          <w:iCs/>
          <w:sz w:val="20"/>
          <w:szCs w:val="20"/>
        </w:rPr>
        <w:t>Velazquez</w:t>
      </w:r>
      <w:proofErr w:type="spellEnd"/>
      <w:r w:rsidR="00065090" w:rsidRPr="00D50475">
        <w:rPr>
          <w:b/>
          <w:bCs/>
          <w:i/>
          <w:iCs/>
          <w:sz w:val="20"/>
          <w:szCs w:val="20"/>
        </w:rPr>
        <w:t xml:space="preserve">, José Antonio </w:t>
      </w:r>
      <w:proofErr w:type="spellStart"/>
      <w:r w:rsidR="00065090" w:rsidRPr="00D50475">
        <w:rPr>
          <w:b/>
          <w:bCs/>
          <w:i/>
          <w:iCs/>
          <w:sz w:val="20"/>
          <w:szCs w:val="20"/>
        </w:rPr>
        <w:t>Demecio</w:t>
      </w:r>
      <w:proofErr w:type="spellEnd"/>
      <w:r w:rsidR="00065090" w:rsidRPr="00D50475">
        <w:rPr>
          <w:b/>
          <w:bCs/>
          <w:i/>
          <w:iCs/>
          <w:sz w:val="20"/>
          <w:szCs w:val="20"/>
        </w:rPr>
        <w:t xml:space="preserve"> </w:t>
      </w:r>
      <w:proofErr w:type="spellStart"/>
      <w:r w:rsidR="00065090" w:rsidRPr="00D50475">
        <w:rPr>
          <w:b/>
          <w:bCs/>
          <w:i/>
          <w:iCs/>
          <w:sz w:val="20"/>
          <w:szCs w:val="20"/>
        </w:rPr>
        <w:t>Perez</w:t>
      </w:r>
      <w:proofErr w:type="spellEnd"/>
      <w:r w:rsidR="00065090" w:rsidRPr="00D50475">
        <w:rPr>
          <w:b/>
          <w:bCs/>
          <w:i/>
          <w:iCs/>
          <w:sz w:val="20"/>
          <w:szCs w:val="20"/>
        </w:rPr>
        <w:t xml:space="preserve">, Carlos Alberto </w:t>
      </w:r>
      <w:proofErr w:type="spellStart"/>
      <w:r w:rsidR="00065090" w:rsidRPr="00D50475">
        <w:rPr>
          <w:b/>
          <w:bCs/>
          <w:i/>
          <w:iCs/>
          <w:sz w:val="20"/>
          <w:szCs w:val="20"/>
        </w:rPr>
        <w:t>Gutierrez</w:t>
      </w:r>
      <w:proofErr w:type="spellEnd"/>
      <w:r w:rsidR="00065090" w:rsidRPr="00D50475">
        <w:rPr>
          <w:b/>
          <w:bCs/>
          <w:i/>
          <w:iCs/>
          <w:sz w:val="20"/>
          <w:szCs w:val="20"/>
        </w:rPr>
        <w:t xml:space="preserve"> Anguiano, Antonio </w:t>
      </w:r>
      <w:proofErr w:type="spellStart"/>
      <w:r w:rsidR="00065090" w:rsidRPr="00D50475">
        <w:rPr>
          <w:b/>
          <w:bCs/>
          <w:i/>
          <w:iCs/>
          <w:sz w:val="20"/>
          <w:szCs w:val="20"/>
        </w:rPr>
        <w:t>Gualterio</w:t>
      </w:r>
      <w:proofErr w:type="spellEnd"/>
      <w:r w:rsidR="00065090" w:rsidRPr="00D50475">
        <w:rPr>
          <w:b/>
          <w:bCs/>
          <w:i/>
          <w:iCs/>
          <w:sz w:val="20"/>
          <w:szCs w:val="20"/>
        </w:rPr>
        <w:t xml:space="preserve"> Ortega Minero, Francisco Javier </w:t>
      </w:r>
      <w:proofErr w:type="spellStart"/>
      <w:r w:rsidR="00065090" w:rsidRPr="00D50475">
        <w:rPr>
          <w:b/>
          <w:bCs/>
          <w:i/>
          <w:iCs/>
          <w:sz w:val="20"/>
          <w:szCs w:val="20"/>
        </w:rPr>
        <w:t>Damian</w:t>
      </w:r>
      <w:proofErr w:type="spellEnd"/>
      <w:r w:rsidR="00065090" w:rsidRPr="00D50475">
        <w:rPr>
          <w:b/>
          <w:bCs/>
          <w:i/>
          <w:iCs/>
          <w:sz w:val="20"/>
          <w:szCs w:val="20"/>
        </w:rPr>
        <w:t xml:space="preserve"> Elizondo, Felipe Sosa </w:t>
      </w:r>
      <w:proofErr w:type="spellStart"/>
      <w:r w:rsidR="00065090" w:rsidRPr="00D50475">
        <w:rPr>
          <w:b/>
          <w:bCs/>
          <w:i/>
          <w:iCs/>
          <w:sz w:val="20"/>
          <w:szCs w:val="20"/>
        </w:rPr>
        <w:t>Ramiez</w:t>
      </w:r>
      <w:proofErr w:type="spellEnd"/>
      <w:r w:rsidR="00065090" w:rsidRPr="00D50475">
        <w:rPr>
          <w:b/>
          <w:bCs/>
          <w:i/>
          <w:iCs/>
          <w:sz w:val="20"/>
          <w:szCs w:val="20"/>
        </w:rPr>
        <w:t xml:space="preserve">, Martha Delgado </w:t>
      </w:r>
      <w:proofErr w:type="spellStart"/>
      <w:r w:rsidR="00065090" w:rsidRPr="00D50475">
        <w:rPr>
          <w:b/>
          <w:bCs/>
          <w:i/>
          <w:iCs/>
          <w:sz w:val="20"/>
          <w:szCs w:val="20"/>
        </w:rPr>
        <w:t>Gomez</w:t>
      </w:r>
      <w:proofErr w:type="spellEnd"/>
      <w:r w:rsidR="00065090" w:rsidRPr="00D50475">
        <w:rPr>
          <w:b/>
          <w:bCs/>
          <w:i/>
          <w:iCs/>
          <w:sz w:val="20"/>
          <w:szCs w:val="20"/>
        </w:rPr>
        <w:t xml:space="preserve">, Norma </w:t>
      </w:r>
      <w:proofErr w:type="spellStart"/>
      <w:r w:rsidR="00065090" w:rsidRPr="00D50475">
        <w:rPr>
          <w:b/>
          <w:bCs/>
          <w:i/>
          <w:iCs/>
          <w:sz w:val="20"/>
          <w:szCs w:val="20"/>
        </w:rPr>
        <w:t>Angelica</w:t>
      </w:r>
      <w:proofErr w:type="spellEnd"/>
      <w:r w:rsidR="00065090" w:rsidRPr="00D50475">
        <w:rPr>
          <w:b/>
          <w:bCs/>
          <w:i/>
          <w:iCs/>
          <w:sz w:val="20"/>
          <w:szCs w:val="20"/>
        </w:rPr>
        <w:t xml:space="preserve"> </w:t>
      </w:r>
      <w:proofErr w:type="spellStart"/>
      <w:r w:rsidR="00065090" w:rsidRPr="00D50475">
        <w:rPr>
          <w:b/>
          <w:bCs/>
          <w:i/>
          <w:iCs/>
          <w:sz w:val="20"/>
          <w:szCs w:val="20"/>
        </w:rPr>
        <w:t>Rodriguez</w:t>
      </w:r>
      <w:proofErr w:type="spellEnd"/>
      <w:r w:rsidR="00065090" w:rsidRPr="00D50475">
        <w:rPr>
          <w:b/>
          <w:bCs/>
          <w:i/>
          <w:iCs/>
          <w:sz w:val="20"/>
          <w:szCs w:val="20"/>
        </w:rPr>
        <w:t xml:space="preserve"> Reyes, Ocampo </w:t>
      </w:r>
      <w:proofErr w:type="spellStart"/>
      <w:r w:rsidR="00065090" w:rsidRPr="00D50475">
        <w:rPr>
          <w:b/>
          <w:bCs/>
          <w:i/>
          <w:iCs/>
          <w:sz w:val="20"/>
          <w:szCs w:val="20"/>
        </w:rPr>
        <w:t>Elizarraras</w:t>
      </w:r>
      <w:proofErr w:type="spellEnd"/>
      <w:r w:rsidR="00065090" w:rsidRPr="00D50475">
        <w:rPr>
          <w:b/>
          <w:bCs/>
          <w:i/>
          <w:iCs/>
          <w:sz w:val="20"/>
          <w:szCs w:val="20"/>
        </w:rPr>
        <w:t xml:space="preserve"> Carlos y Dorantes </w:t>
      </w:r>
      <w:proofErr w:type="spellStart"/>
      <w:r w:rsidR="00065090" w:rsidRPr="00D50475">
        <w:rPr>
          <w:b/>
          <w:bCs/>
          <w:i/>
          <w:iCs/>
          <w:sz w:val="20"/>
          <w:szCs w:val="20"/>
        </w:rPr>
        <w:t>Hérnandez</w:t>
      </w:r>
      <w:proofErr w:type="spellEnd"/>
      <w:r w:rsidR="00065090" w:rsidRPr="00D50475">
        <w:rPr>
          <w:b/>
          <w:bCs/>
          <w:i/>
          <w:iCs/>
          <w:sz w:val="20"/>
          <w:szCs w:val="20"/>
        </w:rPr>
        <w:t xml:space="preserve"> Francisco respecto a la primera y segunda quincena enero del 2025, lo siguiente: Folio Fiscal, No. de Serie del CSD del SAT, No. de Serie del CSD del emisor, CURP, clave </w:t>
      </w:r>
      <w:proofErr w:type="spellStart"/>
      <w:r w:rsidR="00065090" w:rsidRPr="00D50475">
        <w:rPr>
          <w:b/>
          <w:bCs/>
          <w:i/>
          <w:iCs/>
          <w:sz w:val="20"/>
          <w:szCs w:val="20"/>
        </w:rPr>
        <w:t>issemym</w:t>
      </w:r>
      <w:proofErr w:type="spellEnd"/>
      <w:r w:rsidR="00065090" w:rsidRPr="00D50475">
        <w:rPr>
          <w:b/>
          <w:bCs/>
          <w:i/>
          <w:iCs/>
          <w:sz w:val="20"/>
          <w:szCs w:val="20"/>
        </w:rPr>
        <w:t>, número de empleado, recibo consecutivo, Cuota Sindical, RFC, serie y folio interno, código QR, sello digital del SAT y complemento de certificación digital del SAT</w:t>
      </w:r>
      <w:r w:rsidR="00065090" w:rsidRPr="00D50475">
        <w:rPr>
          <w:i/>
          <w:iCs/>
          <w:sz w:val="20"/>
          <w:szCs w:val="20"/>
        </w:rPr>
        <w:t xml:space="preserve"> lo anterior es así, toda vez que el derecho de acceso a la información pública debe armonizarse con el derecho de respecto a la intimidad y a la vida privada de las personas, y al contener datos personales, concernientes a una persona física identificable, estos deben de estar protegidos pues su exposición puede perjudicar la esfera más íntima de las personas, por lo que la información que se pondrá a disposición es en versión pública, toda vez que ésta tiene por objeto proteger datos personales, entendiéndose por tal a la información concerniente a una persona física identificada o identificable en cualquier formato o modalidad, y que esté almacenada en los sistemas y bases de datos, en términos del artículo 4 fracción VII De la Ley de México; por consiguiente, se trata de información confidencial que debe ser protegida y susceptible de su clasificación.” (Sic.)</w:t>
      </w:r>
    </w:p>
    <w:p w14:paraId="4A00442D" w14:textId="77777777" w:rsidR="009E7481" w:rsidRDefault="009E7481" w:rsidP="009E7481">
      <w:pPr>
        <w:spacing w:after="0" w:line="360" w:lineRule="auto"/>
      </w:pPr>
    </w:p>
    <w:p w14:paraId="7C1DD6CB" w14:textId="6249F31B" w:rsidR="00065090" w:rsidRDefault="00D50475" w:rsidP="009E7481">
      <w:pPr>
        <w:spacing w:after="0" w:line="360" w:lineRule="auto"/>
      </w:pPr>
      <w:r w:rsidRPr="00D50475">
        <w:t xml:space="preserve">iii) </w:t>
      </w:r>
      <w:r w:rsidR="00065090" w:rsidRPr="00D50475">
        <w:t>Se</w:t>
      </w:r>
      <w:r w:rsidR="00FF38B8" w:rsidRPr="00D50475">
        <w:t xml:space="preserve"> </w:t>
      </w:r>
      <w:r>
        <w:t xml:space="preserve">adjuntó la digitalización de </w:t>
      </w:r>
      <w:r w:rsidR="00FF38B8" w:rsidRPr="00D50475">
        <w:t xml:space="preserve">  </w:t>
      </w:r>
      <w:r>
        <w:t xml:space="preserve">treinta y un recibos de nómina en versión pública, correspondientes a la primera y segunda quincena de enero de dos mil veinticinco. </w:t>
      </w:r>
    </w:p>
    <w:p w14:paraId="5CA99633" w14:textId="70F3FB64" w:rsidR="00D50475" w:rsidRDefault="00D50475" w:rsidP="009E7481">
      <w:pPr>
        <w:spacing w:after="0" w:line="360" w:lineRule="auto"/>
      </w:pPr>
    </w:p>
    <w:p w14:paraId="5B001580" w14:textId="2DC756FC" w:rsidR="00D50475" w:rsidRDefault="00D50475" w:rsidP="009E7481">
      <w:pPr>
        <w:spacing w:after="0" w:line="360" w:lineRule="auto"/>
      </w:pPr>
      <w:r>
        <w:t>iv) Oficio número DA/NEZA/0717/</w:t>
      </w:r>
      <w:r w:rsidR="00791C4A">
        <w:t xml:space="preserve">2025, del diez de febrero de dos mil veinticinco, suscrito por el Director de Administración y dirigido al titular de la Unidad de Transparencia por medio del cual proporcionó un listado de los servidores públicos que causaron </w:t>
      </w:r>
      <w:r w:rsidR="00D85322">
        <w:t>al</w:t>
      </w:r>
      <w:r w:rsidR="00791C4A">
        <w:t xml:space="preserve">ta por sustitución en el año </w:t>
      </w:r>
      <w:r w:rsidR="00127FD5">
        <w:t>dos mil</w:t>
      </w:r>
      <w:r w:rsidR="00791C4A">
        <w:t xml:space="preserve"> veinticuatro. </w:t>
      </w:r>
    </w:p>
    <w:p w14:paraId="12239813" w14:textId="77777777" w:rsidR="00127FD5" w:rsidRDefault="00127FD5" w:rsidP="009E7481">
      <w:pPr>
        <w:spacing w:after="0" w:line="360" w:lineRule="auto"/>
      </w:pPr>
    </w:p>
    <w:p w14:paraId="5B9D07EE" w14:textId="44B7D25D" w:rsidR="00791C4A" w:rsidRDefault="00791C4A" w:rsidP="009E7481">
      <w:pPr>
        <w:spacing w:after="0" w:line="360" w:lineRule="auto"/>
      </w:pPr>
      <w:r>
        <w:lastRenderedPageBreak/>
        <w:t>v) Acta de la Carta Sesión Extraordinaria del Comité de Transparencia con número ACT/NEZA/EXT/IV/2025, por medio del cual se aprobó la versión pública de los recibos de nómina previamente referidos</w:t>
      </w:r>
      <w:r w:rsidR="00D85322">
        <w:t xml:space="preserve">, </w:t>
      </w:r>
      <w:r w:rsidR="001344F9">
        <w:t xml:space="preserve">tal como se muestra a continuación: </w:t>
      </w:r>
    </w:p>
    <w:p w14:paraId="61260AE0" w14:textId="77777777" w:rsidR="009E7481" w:rsidRDefault="009E7481" w:rsidP="009E7481">
      <w:pPr>
        <w:spacing w:after="0" w:line="360" w:lineRule="auto"/>
      </w:pPr>
    </w:p>
    <w:p w14:paraId="5B0E1E30" w14:textId="7CB2C8A5" w:rsidR="001344F9" w:rsidRPr="00D50475" w:rsidRDefault="001344F9" w:rsidP="009E7481">
      <w:pPr>
        <w:spacing w:after="0" w:line="360" w:lineRule="auto"/>
        <w:jc w:val="center"/>
      </w:pPr>
      <w:r w:rsidRPr="001344F9">
        <w:rPr>
          <w:noProof/>
          <w:lang w:eastAsia="es-MX"/>
        </w:rPr>
        <w:drawing>
          <wp:inline distT="0" distB="0" distL="0" distR="0" wp14:anchorId="71C867B0" wp14:editId="303EAD9F">
            <wp:extent cx="4581558" cy="12192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1558" cy="1219209"/>
                    </a:xfrm>
                    <a:prstGeom prst="rect">
                      <a:avLst/>
                    </a:prstGeom>
                  </pic:spPr>
                </pic:pic>
              </a:graphicData>
            </a:graphic>
          </wp:inline>
        </w:drawing>
      </w:r>
    </w:p>
    <w:p w14:paraId="042A0C7B" w14:textId="77777777" w:rsidR="00567A59" w:rsidRPr="00242082" w:rsidRDefault="00567A59" w:rsidP="009E7481">
      <w:pPr>
        <w:spacing w:after="0" w:line="360" w:lineRule="auto"/>
        <w:ind w:right="567"/>
        <w:rPr>
          <w:i/>
          <w:iCs/>
          <w:sz w:val="20"/>
          <w:szCs w:val="20"/>
        </w:rPr>
      </w:pPr>
    </w:p>
    <w:p w14:paraId="2B803E22" w14:textId="77777777" w:rsidR="00C853D1" w:rsidRPr="00D526FB" w:rsidRDefault="00C853D1" w:rsidP="009E7481">
      <w:pPr>
        <w:pStyle w:val="Ttulo2"/>
        <w:spacing w:before="0" w:line="360" w:lineRule="auto"/>
        <w:rPr>
          <w:rFonts w:ascii="Palatino Linotype" w:hAnsi="Palatino Linotype"/>
          <w:b/>
          <w:bCs/>
          <w:color w:val="auto"/>
          <w:sz w:val="22"/>
          <w:szCs w:val="22"/>
        </w:rPr>
      </w:pPr>
      <w:bookmarkStart w:id="4" w:name="_Toc193363643"/>
      <w:r w:rsidRPr="00D526FB">
        <w:rPr>
          <w:rFonts w:ascii="Palatino Linotype" w:hAnsi="Palatino Linotype"/>
          <w:b/>
          <w:bCs/>
          <w:color w:val="auto"/>
          <w:sz w:val="22"/>
          <w:szCs w:val="22"/>
        </w:rPr>
        <w:t>III. Interposición del Recurso de Revisión.</w:t>
      </w:r>
      <w:bookmarkEnd w:id="4"/>
      <w:r w:rsidRPr="00D526FB">
        <w:rPr>
          <w:rFonts w:ascii="Palatino Linotype" w:hAnsi="Palatino Linotype"/>
          <w:b/>
          <w:bCs/>
          <w:color w:val="auto"/>
          <w:sz w:val="22"/>
          <w:szCs w:val="22"/>
        </w:rPr>
        <w:t xml:space="preserve"> </w:t>
      </w:r>
    </w:p>
    <w:p w14:paraId="71DC67DA" w14:textId="77777777" w:rsidR="00C853D1" w:rsidRPr="00242082" w:rsidRDefault="00C853D1" w:rsidP="009E7481">
      <w:pPr>
        <w:spacing w:after="0" w:line="360" w:lineRule="auto"/>
        <w:rPr>
          <w:bCs/>
        </w:rPr>
      </w:pPr>
    </w:p>
    <w:p w14:paraId="2F891DAB" w14:textId="500E2657" w:rsidR="00C853D1" w:rsidRPr="00242082" w:rsidRDefault="00C853D1" w:rsidP="009E7481">
      <w:pPr>
        <w:spacing w:after="0" w:line="360" w:lineRule="auto"/>
        <w:rPr>
          <w:bCs/>
        </w:rPr>
      </w:pPr>
      <w:r w:rsidRPr="00242082">
        <w:rPr>
          <w:bCs/>
        </w:rPr>
        <w:t>Con fecha</w:t>
      </w:r>
      <w:r w:rsidR="00827B0C" w:rsidRPr="00242082">
        <w:rPr>
          <w:bCs/>
        </w:rPr>
        <w:t xml:space="preserve"> </w:t>
      </w:r>
      <w:r w:rsidR="0024748E">
        <w:rPr>
          <w:bCs/>
        </w:rPr>
        <w:t>diecinueve de febrero</w:t>
      </w:r>
      <w:r w:rsidR="000A6926">
        <w:rPr>
          <w:bCs/>
        </w:rPr>
        <w:t xml:space="preserve"> de dos mil veintic</w:t>
      </w:r>
      <w:r w:rsidR="00675D6B">
        <w:rPr>
          <w:bCs/>
        </w:rPr>
        <w:t>inco</w:t>
      </w:r>
      <w:r w:rsidRPr="00242082">
        <w:rPr>
          <w:bCs/>
        </w:rPr>
        <w:t xml:space="preserve">, se recibió en este Instituto, a través del </w:t>
      </w:r>
      <w:r w:rsidRPr="00242082">
        <w:rPr>
          <w:bCs/>
          <w:lang w:val="es-ES"/>
        </w:rPr>
        <w:t>Sistema de Acceso a la Información Mexiquense (SAIMEX)</w:t>
      </w:r>
      <w:r w:rsidRPr="00242082">
        <w:rPr>
          <w:bCs/>
        </w:rPr>
        <w:t>, Recurso de Revisión interpuesto por la parte Recurrente, en contra de la respuesta por el Sujeto Obligado, a la solicitud de información, en los siguientes términos:</w:t>
      </w:r>
    </w:p>
    <w:p w14:paraId="3A43EC2F" w14:textId="77777777" w:rsidR="00C853D1" w:rsidRPr="00242082" w:rsidRDefault="00C853D1" w:rsidP="009E7481">
      <w:pPr>
        <w:spacing w:after="0" w:line="360" w:lineRule="auto"/>
        <w:rPr>
          <w:bCs/>
        </w:rPr>
      </w:pPr>
    </w:p>
    <w:p w14:paraId="5AC8905A" w14:textId="77777777" w:rsidR="00C853D1" w:rsidRPr="009E7481" w:rsidRDefault="00C853D1" w:rsidP="009E7481">
      <w:pPr>
        <w:spacing w:after="0" w:line="360" w:lineRule="auto"/>
        <w:ind w:left="567" w:right="567"/>
        <w:rPr>
          <w:bCs/>
          <w:i/>
          <w:sz w:val="20"/>
          <w:szCs w:val="20"/>
        </w:rPr>
      </w:pPr>
      <w:r w:rsidRPr="009E7481">
        <w:rPr>
          <w:b/>
          <w:bCs/>
          <w:i/>
          <w:sz w:val="20"/>
          <w:szCs w:val="20"/>
        </w:rPr>
        <w:t>“ACTO IMPUGNADO</w:t>
      </w:r>
    </w:p>
    <w:p w14:paraId="5B56BF42" w14:textId="1C4A9D8A" w:rsidR="00C853D1" w:rsidRPr="00242082" w:rsidRDefault="00675D6B" w:rsidP="009E7481">
      <w:pPr>
        <w:spacing w:after="0" w:line="360" w:lineRule="auto"/>
        <w:ind w:left="567" w:right="567"/>
        <w:rPr>
          <w:i/>
          <w:sz w:val="20"/>
          <w:szCs w:val="20"/>
        </w:rPr>
      </w:pPr>
      <w:r w:rsidRPr="009E7481">
        <w:rPr>
          <w:i/>
          <w:sz w:val="20"/>
          <w:szCs w:val="20"/>
        </w:rPr>
        <w:t xml:space="preserve">Respuesta incompleta faltan </w:t>
      </w:r>
      <w:proofErr w:type="spellStart"/>
      <w:r w:rsidRPr="009E7481">
        <w:rPr>
          <w:i/>
          <w:sz w:val="20"/>
          <w:szCs w:val="20"/>
        </w:rPr>
        <w:t>cfdi</w:t>
      </w:r>
      <w:proofErr w:type="spellEnd"/>
      <w:r w:rsidR="004D5266" w:rsidRPr="009E7481">
        <w:rPr>
          <w:i/>
          <w:sz w:val="20"/>
          <w:szCs w:val="20"/>
        </w:rPr>
        <w:t>”</w:t>
      </w:r>
      <w:r w:rsidR="004D5266" w:rsidRPr="00242082">
        <w:rPr>
          <w:i/>
          <w:sz w:val="20"/>
          <w:szCs w:val="20"/>
        </w:rPr>
        <w:t xml:space="preserve"> </w:t>
      </w:r>
      <w:r w:rsidR="00C853D1" w:rsidRPr="00242082">
        <w:rPr>
          <w:i/>
          <w:sz w:val="20"/>
          <w:szCs w:val="20"/>
        </w:rPr>
        <w:t>(Sic.)</w:t>
      </w:r>
    </w:p>
    <w:p w14:paraId="29F43CC4" w14:textId="77777777" w:rsidR="00C853D1" w:rsidRPr="00242082" w:rsidRDefault="00C853D1" w:rsidP="009E7481">
      <w:pPr>
        <w:spacing w:after="0" w:line="360" w:lineRule="auto"/>
        <w:ind w:left="567" w:right="567"/>
        <w:rPr>
          <w:i/>
          <w:sz w:val="20"/>
          <w:szCs w:val="20"/>
        </w:rPr>
      </w:pPr>
    </w:p>
    <w:p w14:paraId="19CBF35D" w14:textId="77777777" w:rsidR="00C853D1" w:rsidRPr="00242082" w:rsidRDefault="00C853D1" w:rsidP="009E7481">
      <w:pPr>
        <w:spacing w:after="0" w:line="360" w:lineRule="auto"/>
        <w:ind w:left="567" w:right="567"/>
        <w:rPr>
          <w:b/>
          <w:i/>
          <w:sz w:val="20"/>
          <w:szCs w:val="20"/>
        </w:rPr>
      </w:pPr>
      <w:r w:rsidRPr="00242082">
        <w:rPr>
          <w:b/>
          <w:i/>
          <w:sz w:val="20"/>
          <w:szCs w:val="20"/>
        </w:rPr>
        <w:t>“RAZONES O MOTIVOS DE LA INCONFORMIDAD</w:t>
      </w:r>
    </w:p>
    <w:p w14:paraId="4043E730" w14:textId="7E9B3379" w:rsidR="00C853D1" w:rsidRPr="00242082" w:rsidRDefault="00675D6B" w:rsidP="009E7481">
      <w:pPr>
        <w:spacing w:after="0" w:line="360" w:lineRule="auto"/>
        <w:ind w:left="567" w:right="567"/>
        <w:rPr>
          <w:i/>
          <w:sz w:val="20"/>
          <w:szCs w:val="20"/>
        </w:rPr>
      </w:pPr>
      <w:r w:rsidRPr="00675D6B">
        <w:rPr>
          <w:i/>
          <w:sz w:val="20"/>
          <w:szCs w:val="20"/>
        </w:rPr>
        <w:t xml:space="preserve">Vuelvo a poner lo que solicite para que cheques sus </w:t>
      </w:r>
      <w:proofErr w:type="spellStart"/>
      <w:r w:rsidRPr="00675D6B">
        <w:rPr>
          <w:i/>
          <w:sz w:val="20"/>
          <w:szCs w:val="20"/>
        </w:rPr>
        <w:t>cfdi</w:t>
      </w:r>
      <w:proofErr w:type="spellEnd"/>
      <w:r w:rsidRPr="00675D6B">
        <w:rPr>
          <w:i/>
          <w:sz w:val="20"/>
          <w:szCs w:val="20"/>
        </w:rPr>
        <w:t xml:space="preserve"> con mi petición incompleta la información lean bien CFDI o Recibo de </w:t>
      </w:r>
      <w:proofErr w:type="spellStart"/>
      <w:r w:rsidRPr="00675D6B">
        <w:rPr>
          <w:i/>
          <w:sz w:val="20"/>
          <w:szCs w:val="20"/>
        </w:rPr>
        <w:t>nomina</w:t>
      </w:r>
      <w:proofErr w:type="spellEnd"/>
      <w:r w:rsidRPr="00675D6B">
        <w:rPr>
          <w:i/>
          <w:sz w:val="20"/>
          <w:szCs w:val="20"/>
        </w:rPr>
        <w:t xml:space="preserve"> de la primera y segunda quincena del mes de enero 2025 de los servidores </w:t>
      </w:r>
      <w:proofErr w:type="spellStart"/>
      <w:r w:rsidRPr="00675D6B">
        <w:rPr>
          <w:i/>
          <w:sz w:val="20"/>
          <w:szCs w:val="20"/>
        </w:rPr>
        <w:t>publicos</w:t>
      </w:r>
      <w:proofErr w:type="spellEnd"/>
      <w:r w:rsidRPr="00675D6B">
        <w:rPr>
          <w:i/>
          <w:sz w:val="20"/>
          <w:szCs w:val="20"/>
        </w:rPr>
        <w:t xml:space="preserve">, Rigoberto </w:t>
      </w:r>
      <w:proofErr w:type="spellStart"/>
      <w:r w:rsidRPr="00675D6B">
        <w:rPr>
          <w:i/>
          <w:sz w:val="20"/>
          <w:szCs w:val="20"/>
        </w:rPr>
        <w:t>Vazquez</w:t>
      </w:r>
      <w:proofErr w:type="spellEnd"/>
      <w:r w:rsidRPr="00675D6B">
        <w:rPr>
          <w:i/>
          <w:sz w:val="20"/>
          <w:szCs w:val="20"/>
        </w:rPr>
        <w:t xml:space="preserve"> </w:t>
      </w:r>
      <w:proofErr w:type="spellStart"/>
      <w:r w:rsidRPr="00675D6B">
        <w:rPr>
          <w:i/>
          <w:sz w:val="20"/>
          <w:szCs w:val="20"/>
        </w:rPr>
        <w:t>Perez</w:t>
      </w:r>
      <w:proofErr w:type="spellEnd"/>
      <w:r w:rsidRPr="00675D6B">
        <w:rPr>
          <w:i/>
          <w:sz w:val="20"/>
          <w:szCs w:val="20"/>
        </w:rPr>
        <w:t xml:space="preserve">, </w:t>
      </w:r>
      <w:proofErr w:type="spellStart"/>
      <w:r w:rsidRPr="00675D6B">
        <w:rPr>
          <w:i/>
          <w:sz w:val="20"/>
          <w:szCs w:val="20"/>
        </w:rPr>
        <w:t>Yasmin</w:t>
      </w:r>
      <w:proofErr w:type="spellEnd"/>
      <w:r w:rsidRPr="00675D6B">
        <w:rPr>
          <w:i/>
          <w:sz w:val="20"/>
          <w:szCs w:val="20"/>
        </w:rPr>
        <w:t xml:space="preserve"> Prado Reyes, </w:t>
      </w:r>
      <w:proofErr w:type="spellStart"/>
      <w:r w:rsidRPr="00675D6B">
        <w:rPr>
          <w:i/>
          <w:sz w:val="20"/>
          <w:szCs w:val="20"/>
        </w:rPr>
        <w:t>Sofia</w:t>
      </w:r>
      <w:proofErr w:type="spellEnd"/>
      <w:r w:rsidRPr="00675D6B">
        <w:rPr>
          <w:i/>
          <w:sz w:val="20"/>
          <w:szCs w:val="20"/>
        </w:rPr>
        <w:t xml:space="preserve"> </w:t>
      </w:r>
      <w:proofErr w:type="spellStart"/>
      <w:r w:rsidRPr="00675D6B">
        <w:rPr>
          <w:i/>
          <w:sz w:val="20"/>
          <w:szCs w:val="20"/>
        </w:rPr>
        <w:t>Ramirez</w:t>
      </w:r>
      <w:proofErr w:type="spellEnd"/>
      <w:r w:rsidRPr="00675D6B">
        <w:rPr>
          <w:i/>
          <w:sz w:val="20"/>
          <w:szCs w:val="20"/>
        </w:rPr>
        <w:t xml:space="preserve"> </w:t>
      </w:r>
      <w:proofErr w:type="spellStart"/>
      <w:r w:rsidRPr="00675D6B">
        <w:rPr>
          <w:i/>
          <w:sz w:val="20"/>
          <w:szCs w:val="20"/>
        </w:rPr>
        <w:t>Subiria,Carlos</w:t>
      </w:r>
      <w:proofErr w:type="spellEnd"/>
      <w:r w:rsidRPr="00675D6B">
        <w:rPr>
          <w:i/>
          <w:sz w:val="20"/>
          <w:szCs w:val="20"/>
        </w:rPr>
        <w:t xml:space="preserve"> </w:t>
      </w:r>
      <w:proofErr w:type="spellStart"/>
      <w:r w:rsidRPr="00675D6B">
        <w:rPr>
          <w:i/>
          <w:sz w:val="20"/>
          <w:szCs w:val="20"/>
        </w:rPr>
        <w:t>Adrian</w:t>
      </w:r>
      <w:proofErr w:type="spellEnd"/>
      <w:r w:rsidRPr="00675D6B">
        <w:rPr>
          <w:i/>
          <w:sz w:val="20"/>
          <w:szCs w:val="20"/>
        </w:rPr>
        <w:t xml:space="preserve"> </w:t>
      </w:r>
      <w:proofErr w:type="spellStart"/>
      <w:r w:rsidRPr="00675D6B">
        <w:rPr>
          <w:i/>
          <w:sz w:val="20"/>
          <w:szCs w:val="20"/>
        </w:rPr>
        <w:t>Lopez</w:t>
      </w:r>
      <w:proofErr w:type="spellEnd"/>
      <w:r w:rsidRPr="00675D6B">
        <w:rPr>
          <w:i/>
          <w:sz w:val="20"/>
          <w:szCs w:val="20"/>
        </w:rPr>
        <w:t xml:space="preserve"> </w:t>
      </w:r>
      <w:proofErr w:type="spellStart"/>
      <w:r w:rsidRPr="00675D6B">
        <w:rPr>
          <w:i/>
          <w:sz w:val="20"/>
          <w:szCs w:val="20"/>
        </w:rPr>
        <w:t>Perez</w:t>
      </w:r>
      <w:proofErr w:type="spellEnd"/>
      <w:r w:rsidRPr="00675D6B">
        <w:rPr>
          <w:i/>
          <w:sz w:val="20"/>
          <w:szCs w:val="20"/>
        </w:rPr>
        <w:t xml:space="preserve">, Juan Carlos Cruz </w:t>
      </w:r>
      <w:proofErr w:type="spellStart"/>
      <w:r w:rsidRPr="00675D6B">
        <w:rPr>
          <w:i/>
          <w:sz w:val="20"/>
          <w:szCs w:val="20"/>
        </w:rPr>
        <w:t>Gonzalez</w:t>
      </w:r>
      <w:proofErr w:type="spellEnd"/>
      <w:r w:rsidRPr="00675D6B">
        <w:rPr>
          <w:i/>
          <w:sz w:val="20"/>
          <w:szCs w:val="20"/>
        </w:rPr>
        <w:t xml:space="preserve">, Manuel Rangel </w:t>
      </w:r>
      <w:proofErr w:type="spellStart"/>
      <w:r w:rsidRPr="00675D6B">
        <w:rPr>
          <w:i/>
          <w:sz w:val="20"/>
          <w:szCs w:val="20"/>
        </w:rPr>
        <w:t>Velazquez</w:t>
      </w:r>
      <w:proofErr w:type="spellEnd"/>
      <w:r w:rsidRPr="00675D6B">
        <w:rPr>
          <w:i/>
          <w:sz w:val="20"/>
          <w:szCs w:val="20"/>
        </w:rPr>
        <w:t xml:space="preserve">, José Antonio </w:t>
      </w:r>
      <w:proofErr w:type="spellStart"/>
      <w:r w:rsidRPr="00675D6B">
        <w:rPr>
          <w:i/>
          <w:sz w:val="20"/>
          <w:szCs w:val="20"/>
        </w:rPr>
        <w:t>Demecio</w:t>
      </w:r>
      <w:proofErr w:type="spellEnd"/>
      <w:r w:rsidRPr="00675D6B">
        <w:rPr>
          <w:i/>
          <w:sz w:val="20"/>
          <w:szCs w:val="20"/>
        </w:rPr>
        <w:t xml:space="preserve"> </w:t>
      </w:r>
      <w:proofErr w:type="spellStart"/>
      <w:r w:rsidRPr="00675D6B">
        <w:rPr>
          <w:i/>
          <w:sz w:val="20"/>
          <w:szCs w:val="20"/>
        </w:rPr>
        <w:t>Perez</w:t>
      </w:r>
      <w:proofErr w:type="spellEnd"/>
      <w:r w:rsidRPr="00675D6B">
        <w:rPr>
          <w:i/>
          <w:sz w:val="20"/>
          <w:szCs w:val="20"/>
        </w:rPr>
        <w:t xml:space="preserve">, Carlos Alberto </w:t>
      </w:r>
      <w:proofErr w:type="spellStart"/>
      <w:r w:rsidRPr="00675D6B">
        <w:rPr>
          <w:i/>
          <w:sz w:val="20"/>
          <w:szCs w:val="20"/>
        </w:rPr>
        <w:t>Gutierrez</w:t>
      </w:r>
      <w:proofErr w:type="spellEnd"/>
      <w:r w:rsidRPr="00675D6B">
        <w:rPr>
          <w:i/>
          <w:sz w:val="20"/>
          <w:szCs w:val="20"/>
        </w:rPr>
        <w:t xml:space="preserve"> </w:t>
      </w:r>
      <w:proofErr w:type="spellStart"/>
      <w:r w:rsidRPr="00675D6B">
        <w:rPr>
          <w:i/>
          <w:sz w:val="20"/>
          <w:szCs w:val="20"/>
        </w:rPr>
        <w:t>Anguiano,Carlos</w:t>
      </w:r>
      <w:proofErr w:type="spellEnd"/>
      <w:r w:rsidRPr="00675D6B">
        <w:rPr>
          <w:i/>
          <w:sz w:val="20"/>
          <w:szCs w:val="20"/>
        </w:rPr>
        <w:t xml:space="preserve"> Ocampo </w:t>
      </w:r>
      <w:proofErr w:type="spellStart"/>
      <w:r w:rsidRPr="00675D6B">
        <w:rPr>
          <w:i/>
          <w:sz w:val="20"/>
          <w:szCs w:val="20"/>
        </w:rPr>
        <w:t>Elizarraras</w:t>
      </w:r>
      <w:proofErr w:type="spellEnd"/>
      <w:r w:rsidRPr="00675D6B">
        <w:rPr>
          <w:i/>
          <w:sz w:val="20"/>
          <w:szCs w:val="20"/>
        </w:rPr>
        <w:t xml:space="preserve">, Antonio </w:t>
      </w:r>
      <w:proofErr w:type="spellStart"/>
      <w:r w:rsidRPr="00675D6B">
        <w:rPr>
          <w:i/>
          <w:sz w:val="20"/>
          <w:szCs w:val="20"/>
        </w:rPr>
        <w:t>Gualterio</w:t>
      </w:r>
      <w:proofErr w:type="spellEnd"/>
      <w:r w:rsidRPr="00675D6B">
        <w:rPr>
          <w:i/>
          <w:sz w:val="20"/>
          <w:szCs w:val="20"/>
        </w:rPr>
        <w:t xml:space="preserve"> Ortega Minero, Francisco Javier </w:t>
      </w:r>
      <w:proofErr w:type="spellStart"/>
      <w:r w:rsidRPr="00675D6B">
        <w:rPr>
          <w:i/>
          <w:sz w:val="20"/>
          <w:szCs w:val="20"/>
        </w:rPr>
        <w:t>Damian</w:t>
      </w:r>
      <w:proofErr w:type="spellEnd"/>
      <w:r w:rsidRPr="00675D6B">
        <w:rPr>
          <w:i/>
          <w:sz w:val="20"/>
          <w:szCs w:val="20"/>
        </w:rPr>
        <w:t xml:space="preserve"> Elizondo, Felipe Sosa </w:t>
      </w:r>
      <w:proofErr w:type="spellStart"/>
      <w:r w:rsidRPr="00675D6B">
        <w:rPr>
          <w:i/>
          <w:sz w:val="20"/>
          <w:szCs w:val="20"/>
        </w:rPr>
        <w:t>Ramirez</w:t>
      </w:r>
      <w:proofErr w:type="spellEnd"/>
      <w:r w:rsidRPr="00675D6B">
        <w:rPr>
          <w:i/>
          <w:sz w:val="20"/>
          <w:szCs w:val="20"/>
        </w:rPr>
        <w:t xml:space="preserve">, Omar Balam Salazar </w:t>
      </w:r>
      <w:proofErr w:type="spellStart"/>
      <w:r w:rsidRPr="00675D6B">
        <w:rPr>
          <w:i/>
          <w:sz w:val="20"/>
          <w:szCs w:val="20"/>
        </w:rPr>
        <w:t>Sanchez</w:t>
      </w:r>
      <w:proofErr w:type="spellEnd"/>
      <w:r w:rsidRPr="00675D6B">
        <w:rPr>
          <w:i/>
          <w:sz w:val="20"/>
          <w:szCs w:val="20"/>
        </w:rPr>
        <w:t xml:space="preserve">, Martha Delgado </w:t>
      </w:r>
      <w:proofErr w:type="spellStart"/>
      <w:r w:rsidRPr="00675D6B">
        <w:rPr>
          <w:i/>
          <w:sz w:val="20"/>
          <w:szCs w:val="20"/>
        </w:rPr>
        <w:t>Gomez</w:t>
      </w:r>
      <w:proofErr w:type="spellEnd"/>
      <w:r w:rsidRPr="00675D6B">
        <w:rPr>
          <w:i/>
          <w:sz w:val="20"/>
          <w:szCs w:val="20"/>
        </w:rPr>
        <w:t xml:space="preserve">, Jorge Luis Avalos </w:t>
      </w:r>
      <w:proofErr w:type="spellStart"/>
      <w:r w:rsidRPr="00675D6B">
        <w:rPr>
          <w:i/>
          <w:sz w:val="20"/>
          <w:szCs w:val="20"/>
        </w:rPr>
        <w:t>Ramirez,Norma</w:t>
      </w:r>
      <w:proofErr w:type="spellEnd"/>
      <w:r w:rsidRPr="00675D6B">
        <w:rPr>
          <w:i/>
          <w:sz w:val="20"/>
          <w:szCs w:val="20"/>
        </w:rPr>
        <w:t xml:space="preserve"> </w:t>
      </w:r>
      <w:proofErr w:type="spellStart"/>
      <w:r w:rsidRPr="00675D6B">
        <w:rPr>
          <w:i/>
          <w:sz w:val="20"/>
          <w:szCs w:val="20"/>
        </w:rPr>
        <w:t>Angelica</w:t>
      </w:r>
      <w:proofErr w:type="spellEnd"/>
      <w:r w:rsidRPr="00675D6B">
        <w:rPr>
          <w:i/>
          <w:sz w:val="20"/>
          <w:szCs w:val="20"/>
        </w:rPr>
        <w:t xml:space="preserve"> </w:t>
      </w:r>
      <w:proofErr w:type="spellStart"/>
      <w:r w:rsidRPr="00675D6B">
        <w:rPr>
          <w:i/>
          <w:sz w:val="20"/>
          <w:szCs w:val="20"/>
        </w:rPr>
        <w:t>Rodriguez</w:t>
      </w:r>
      <w:proofErr w:type="spellEnd"/>
      <w:r w:rsidRPr="00675D6B">
        <w:rPr>
          <w:i/>
          <w:sz w:val="20"/>
          <w:szCs w:val="20"/>
        </w:rPr>
        <w:t xml:space="preserve"> Reyes, Francisco Dorantes </w:t>
      </w:r>
      <w:proofErr w:type="spellStart"/>
      <w:r w:rsidRPr="00675D6B">
        <w:rPr>
          <w:i/>
          <w:sz w:val="20"/>
          <w:szCs w:val="20"/>
        </w:rPr>
        <w:t>Hernandez</w:t>
      </w:r>
      <w:proofErr w:type="spellEnd"/>
      <w:r w:rsidRPr="00675D6B">
        <w:rPr>
          <w:i/>
          <w:sz w:val="20"/>
          <w:szCs w:val="20"/>
        </w:rPr>
        <w:t xml:space="preserve">. Y las altas de los servidores </w:t>
      </w:r>
      <w:proofErr w:type="spellStart"/>
      <w:r w:rsidRPr="00675D6B">
        <w:rPr>
          <w:i/>
          <w:sz w:val="20"/>
          <w:szCs w:val="20"/>
        </w:rPr>
        <w:t>publicos</w:t>
      </w:r>
      <w:proofErr w:type="spellEnd"/>
      <w:r w:rsidRPr="00675D6B">
        <w:rPr>
          <w:i/>
          <w:sz w:val="20"/>
          <w:szCs w:val="20"/>
        </w:rPr>
        <w:t xml:space="preserve"> que entraron por sustitución en el año </w:t>
      </w:r>
      <w:r w:rsidRPr="00675D6B">
        <w:rPr>
          <w:i/>
          <w:sz w:val="20"/>
          <w:szCs w:val="20"/>
        </w:rPr>
        <w:lastRenderedPageBreak/>
        <w:t>2024 por lo menos la que anunció el secretario Rigoberto ya que hizo una reunión y les dio una bien venida en el sindicato y por redes agradeció al presidente mencionadas sustituciones</w:t>
      </w:r>
      <w:r w:rsidR="00C853D1" w:rsidRPr="00242082">
        <w:rPr>
          <w:i/>
          <w:sz w:val="20"/>
          <w:szCs w:val="20"/>
        </w:rPr>
        <w:t>” (Sic.)</w:t>
      </w:r>
    </w:p>
    <w:p w14:paraId="08852F84" w14:textId="61722B8B" w:rsidR="00682222" w:rsidRPr="00242082" w:rsidRDefault="00682222" w:rsidP="009E7481">
      <w:pPr>
        <w:spacing w:after="0" w:line="360" w:lineRule="auto"/>
      </w:pPr>
    </w:p>
    <w:p w14:paraId="5CD0FCF6" w14:textId="77777777" w:rsidR="00C853D1" w:rsidRPr="00D526FB" w:rsidRDefault="00C853D1" w:rsidP="009E7481">
      <w:pPr>
        <w:pStyle w:val="Ttulo2"/>
        <w:spacing w:before="0" w:line="360" w:lineRule="auto"/>
        <w:rPr>
          <w:rFonts w:ascii="Palatino Linotype" w:hAnsi="Palatino Linotype"/>
          <w:b/>
          <w:bCs/>
          <w:color w:val="auto"/>
          <w:sz w:val="22"/>
          <w:szCs w:val="22"/>
        </w:rPr>
      </w:pPr>
      <w:bookmarkStart w:id="5" w:name="_Toc193363644"/>
      <w:r w:rsidRPr="00D526FB">
        <w:rPr>
          <w:rFonts w:ascii="Palatino Linotype" w:hAnsi="Palatino Linotype"/>
          <w:b/>
          <w:bCs/>
          <w:color w:val="auto"/>
          <w:sz w:val="22"/>
          <w:szCs w:val="22"/>
        </w:rPr>
        <w:t>IV. Trámite del Recurso de Revisión ante este Instituto.</w:t>
      </w:r>
      <w:bookmarkEnd w:id="5"/>
    </w:p>
    <w:p w14:paraId="58854E98" w14:textId="77777777" w:rsidR="00C853D1" w:rsidRPr="00242082" w:rsidRDefault="00C853D1" w:rsidP="009E7481">
      <w:pPr>
        <w:spacing w:after="0" w:line="360" w:lineRule="auto"/>
        <w:rPr>
          <w:b/>
          <w:bCs/>
        </w:rPr>
      </w:pPr>
    </w:p>
    <w:p w14:paraId="606E51DE" w14:textId="5E31B527" w:rsidR="00C853D1" w:rsidRPr="00242082" w:rsidRDefault="00C853D1" w:rsidP="009E7481">
      <w:pPr>
        <w:spacing w:after="0" w:line="360" w:lineRule="auto"/>
        <w:rPr>
          <w:bCs/>
        </w:rPr>
      </w:pPr>
      <w:bookmarkStart w:id="6" w:name="_Toc193363645"/>
      <w:r w:rsidRPr="00D526FB">
        <w:rPr>
          <w:rStyle w:val="Ttulo2Car"/>
          <w:rFonts w:ascii="Palatino Linotype" w:hAnsi="Palatino Linotype"/>
          <w:b/>
          <w:bCs/>
          <w:color w:val="auto"/>
          <w:sz w:val="22"/>
          <w:szCs w:val="22"/>
        </w:rPr>
        <w:t>a) Turno del Medio de Impugnación.</w:t>
      </w:r>
      <w:bookmarkEnd w:id="6"/>
      <w:r w:rsidRPr="00D526FB">
        <w:rPr>
          <w:b/>
          <w:bCs/>
          <w:color w:val="auto"/>
        </w:rPr>
        <w:t xml:space="preserve"> </w:t>
      </w:r>
      <w:r w:rsidRPr="00242082">
        <w:rPr>
          <w:bCs/>
        </w:rPr>
        <w:t xml:space="preserve">El </w:t>
      </w:r>
      <w:r w:rsidR="00675D6B">
        <w:rPr>
          <w:bCs/>
        </w:rPr>
        <w:t>diecinueve de febrero</w:t>
      </w:r>
      <w:r w:rsidR="002D759F">
        <w:rPr>
          <w:bCs/>
        </w:rPr>
        <w:t xml:space="preserve"> de dos mil veintic</w:t>
      </w:r>
      <w:r w:rsidR="00675D6B">
        <w:rPr>
          <w:bCs/>
        </w:rPr>
        <w:t>inco</w:t>
      </w:r>
      <w:r w:rsidRPr="00242082">
        <w:rPr>
          <w:bCs/>
        </w:rPr>
        <w:t xml:space="preserve">, el </w:t>
      </w:r>
      <w:r w:rsidRPr="00242082">
        <w:rPr>
          <w:lang w:val="es-ES"/>
        </w:rPr>
        <w:t>Sistema de Acceso a la Información Mexiquense (SAIMEX),</w:t>
      </w:r>
      <w:r w:rsidRPr="00242082">
        <w:rPr>
          <w:bCs/>
        </w:rPr>
        <w:t xml:space="preserve"> asignó el número de expediente </w:t>
      </w:r>
      <w:r w:rsidR="00675D6B" w:rsidRPr="00675D6B">
        <w:rPr>
          <w:b/>
          <w:bCs/>
        </w:rPr>
        <w:t>01706/INFOEM/IP/RR/2025</w:t>
      </w:r>
      <w:r w:rsidRPr="00242082">
        <w:rPr>
          <w:bCs/>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F3FB31F" w14:textId="77777777" w:rsidR="00061A69" w:rsidRPr="00242082" w:rsidRDefault="00061A69" w:rsidP="009E7481">
      <w:pPr>
        <w:spacing w:after="0" w:line="360" w:lineRule="auto"/>
        <w:rPr>
          <w:b/>
          <w:bCs/>
        </w:rPr>
      </w:pPr>
    </w:p>
    <w:p w14:paraId="03479276" w14:textId="3A474C00" w:rsidR="00C853D1" w:rsidRPr="00242082" w:rsidRDefault="00C853D1" w:rsidP="009E7481">
      <w:pPr>
        <w:spacing w:after="0" w:line="360" w:lineRule="auto"/>
      </w:pPr>
      <w:bookmarkStart w:id="7" w:name="_Toc193363646"/>
      <w:r w:rsidRPr="00D526FB">
        <w:rPr>
          <w:rStyle w:val="Ttulo2Car"/>
          <w:rFonts w:ascii="Palatino Linotype" w:hAnsi="Palatino Linotype"/>
          <w:b/>
          <w:bCs/>
          <w:color w:val="auto"/>
          <w:sz w:val="22"/>
          <w:szCs w:val="22"/>
        </w:rPr>
        <w:t>b) Admisión del Recurso de Revisión.</w:t>
      </w:r>
      <w:bookmarkEnd w:id="7"/>
      <w:r w:rsidRPr="00D526FB">
        <w:rPr>
          <w:b/>
          <w:bCs/>
          <w:color w:val="auto"/>
          <w:lang w:val="es-ES_tradnl"/>
        </w:rPr>
        <w:t xml:space="preserve"> </w:t>
      </w:r>
      <w:r w:rsidRPr="00242082">
        <w:rPr>
          <w:bCs/>
          <w:lang w:val="es-ES_tradnl"/>
        </w:rPr>
        <w:t xml:space="preserve">El </w:t>
      </w:r>
      <w:r w:rsidR="00413B5A">
        <w:rPr>
          <w:bCs/>
          <w:lang w:val="es-ES_tradnl"/>
        </w:rPr>
        <w:t>veinticuatro de febrero</w:t>
      </w:r>
      <w:r w:rsidR="007B7122" w:rsidRPr="00242082">
        <w:rPr>
          <w:bCs/>
          <w:lang w:val="es-ES_tradnl"/>
        </w:rPr>
        <w:t xml:space="preserve"> </w:t>
      </w:r>
      <w:r w:rsidR="002D759F">
        <w:rPr>
          <w:bCs/>
          <w:lang w:val="es-ES_tradnl"/>
        </w:rPr>
        <w:t>de dos mil veinticinco</w:t>
      </w:r>
      <w:r w:rsidRPr="00242082">
        <w:rPr>
          <w:bCs/>
          <w:lang w:val="es-ES_tradnl"/>
        </w:rPr>
        <w:t xml:space="preserve">, se acordó la admisión del Recurso de Revisión interpuesto por </w:t>
      </w:r>
      <w:r w:rsidR="005B1631" w:rsidRPr="00242082">
        <w:rPr>
          <w:bCs/>
          <w:lang w:val="es-ES_tradnl"/>
        </w:rPr>
        <w:t>la</w:t>
      </w:r>
      <w:r w:rsidRPr="00242082">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el </w:t>
      </w:r>
      <w:r w:rsidR="002D759F">
        <w:rPr>
          <w:bCs/>
          <w:lang w:val="es-ES_tradnl"/>
        </w:rPr>
        <w:t>mismo día</w:t>
      </w:r>
      <w:r w:rsidRPr="00242082">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6BCA600D" w14:textId="77777777" w:rsidR="00C853D1" w:rsidRPr="00242082" w:rsidRDefault="00C853D1" w:rsidP="009E7481">
      <w:pPr>
        <w:spacing w:after="0" w:line="360" w:lineRule="auto"/>
      </w:pPr>
    </w:p>
    <w:p w14:paraId="7346583D" w14:textId="2798D26E" w:rsidR="003C3862" w:rsidRPr="003C3862" w:rsidRDefault="003C3862" w:rsidP="009E7481">
      <w:pPr>
        <w:spacing w:after="0" w:line="360" w:lineRule="auto"/>
        <w:rPr>
          <w:rFonts w:eastAsia="Palatino Linotype" w:cs="Palatino Linotype"/>
          <w:lang w:eastAsia="es-MX"/>
        </w:rPr>
      </w:pPr>
      <w:r w:rsidRPr="003C3862">
        <w:rPr>
          <w:rFonts w:eastAsia="Palatino Linotype" w:cs="Palatino Linotype"/>
          <w:b/>
          <w:color w:val="000000"/>
          <w:lang w:eastAsia="es-MX"/>
        </w:rPr>
        <w:t xml:space="preserve">c) </w:t>
      </w:r>
      <w:r w:rsidRPr="003C3862">
        <w:rPr>
          <w:rFonts w:eastAsia="Palatino Linotype" w:cs="Palatino Linotype"/>
          <w:b/>
          <w:lang w:eastAsia="es-MX"/>
        </w:rPr>
        <w:t xml:space="preserve">Informe Justificado. </w:t>
      </w:r>
      <w:r w:rsidRPr="003C3862">
        <w:rPr>
          <w:rFonts w:eastAsia="Palatino Linotype" w:cs="Palatino Linotype"/>
          <w:lang w:eastAsia="es-MX"/>
        </w:rPr>
        <w:t xml:space="preserve">El </w:t>
      </w:r>
      <w:r>
        <w:rPr>
          <w:rFonts w:eastAsia="Palatino Linotype" w:cs="Palatino Linotype"/>
          <w:lang w:eastAsia="es-MX"/>
        </w:rPr>
        <w:t>cinco de marzo</w:t>
      </w:r>
      <w:r w:rsidRPr="003C3862">
        <w:rPr>
          <w:rFonts w:eastAsia="Palatino Linotype" w:cs="Palatino Linotype"/>
          <w:lang w:eastAsia="es-MX"/>
        </w:rPr>
        <w:t xml:space="preserve"> de dos mil veinticinco, el Sujeto Obligado a través del Sistema de Acceso a la Información Mexiquense (SAIMEX), proporcionó su Informe Justificado, por medio de</w:t>
      </w:r>
      <w:r>
        <w:rPr>
          <w:rFonts w:eastAsia="Palatino Linotype" w:cs="Palatino Linotype"/>
          <w:lang w:eastAsia="es-MX"/>
        </w:rPr>
        <w:t xml:space="preserve">l oficio </w:t>
      </w:r>
      <w:r w:rsidRPr="003C3862">
        <w:rPr>
          <w:rFonts w:eastAsia="Palatino Linotype" w:cs="Palatino Linotype"/>
          <w:lang w:eastAsia="es-MX"/>
        </w:rPr>
        <w:t>número</w:t>
      </w:r>
      <w:r>
        <w:rPr>
          <w:rFonts w:eastAsia="Palatino Linotype" w:cs="Palatino Linotype"/>
          <w:lang w:eastAsia="es-MX"/>
        </w:rPr>
        <w:t xml:space="preserve"> NEZ/0244/UTAIPM/2025</w:t>
      </w:r>
      <w:r w:rsidRPr="003C3862">
        <w:rPr>
          <w:rFonts w:eastAsia="Palatino Linotype" w:cs="Palatino Linotype"/>
          <w:lang w:eastAsia="es-MX"/>
        </w:rPr>
        <w:t xml:space="preserve">, </w:t>
      </w:r>
      <w:r>
        <w:rPr>
          <w:rFonts w:eastAsia="Palatino Linotype" w:cs="Palatino Linotype"/>
          <w:lang w:eastAsia="es-MX"/>
        </w:rPr>
        <w:t>del cuatro de marzo de dos mil veinticinco</w:t>
      </w:r>
      <w:r w:rsidRPr="003C3862">
        <w:rPr>
          <w:rFonts w:eastAsia="Palatino Linotype" w:cs="Palatino Linotype"/>
          <w:lang w:eastAsia="es-MX"/>
        </w:rPr>
        <w:t xml:space="preserve">, suscrito por el Titular de la Unidad de Transparencia y dirigido al Comisionado Ponente, por medio del cual ratificó su respuesta de conformidad con lo siguiente: </w:t>
      </w:r>
    </w:p>
    <w:p w14:paraId="6CB405CF" w14:textId="77777777" w:rsidR="003C3862" w:rsidRDefault="003C3862" w:rsidP="009E7481">
      <w:pPr>
        <w:spacing w:after="0" w:line="360" w:lineRule="auto"/>
        <w:rPr>
          <w:rFonts w:eastAsia="Palatino Linotype" w:cs="Palatino Linotype"/>
          <w:lang w:eastAsia="es-MX"/>
        </w:rPr>
      </w:pPr>
    </w:p>
    <w:p w14:paraId="4679AEE1" w14:textId="77777777" w:rsidR="00127FD5" w:rsidRPr="003C3862" w:rsidRDefault="00127FD5" w:rsidP="009E7481">
      <w:pPr>
        <w:spacing w:after="0" w:line="360" w:lineRule="auto"/>
        <w:rPr>
          <w:rFonts w:eastAsia="Palatino Linotype" w:cs="Palatino Linotype"/>
          <w:lang w:eastAsia="es-MX"/>
        </w:rPr>
      </w:pPr>
    </w:p>
    <w:p w14:paraId="514FB489" w14:textId="77777777" w:rsidR="003C3862" w:rsidRPr="003C3862" w:rsidRDefault="003C3862" w:rsidP="009E7481">
      <w:pPr>
        <w:spacing w:after="0" w:line="360" w:lineRule="auto"/>
        <w:ind w:left="567" w:right="567"/>
        <w:rPr>
          <w:rFonts w:eastAsia="Palatino Linotype" w:cs="Palatino Linotype"/>
          <w:i/>
          <w:sz w:val="20"/>
          <w:szCs w:val="20"/>
          <w:lang w:eastAsia="es-MX"/>
        </w:rPr>
      </w:pPr>
      <w:r w:rsidRPr="003C3862">
        <w:rPr>
          <w:rFonts w:eastAsia="Palatino Linotype" w:cs="Palatino Linotype"/>
          <w:sz w:val="20"/>
          <w:szCs w:val="20"/>
          <w:lang w:eastAsia="es-MX"/>
        </w:rPr>
        <w:t xml:space="preserve"> </w:t>
      </w:r>
      <w:r w:rsidRPr="003C3862">
        <w:rPr>
          <w:rFonts w:eastAsia="Palatino Linotype" w:cs="Palatino Linotype"/>
          <w:i/>
          <w:sz w:val="20"/>
          <w:szCs w:val="20"/>
          <w:lang w:eastAsia="es-MX"/>
        </w:rPr>
        <w:t>“…</w:t>
      </w:r>
    </w:p>
    <w:p w14:paraId="6FB98038" w14:textId="77777777" w:rsidR="00E44CD4" w:rsidRPr="00E44CD4" w:rsidRDefault="00E44CD4" w:rsidP="009E7481">
      <w:pPr>
        <w:spacing w:after="0" w:line="360" w:lineRule="auto"/>
        <w:ind w:left="567" w:right="567"/>
        <w:rPr>
          <w:rFonts w:eastAsia="Palatino Linotype" w:cs="Palatino Linotype"/>
          <w:i/>
          <w:sz w:val="20"/>
          <w:szCs w:val="20"/>
          <w:lang w:eastAsia="es-MX"/>
        </w:rPr>
      </w:pPr>
      <w:r w:rsidRPr="00E44CD4">
        <w:rPr>
          <w:rFonts w:eastAsia="Palatino Linotype" w:cs="Palatino Linotype"/>
          <w:i/>
          <w:sz w:val="20"/>
          <w:szCs w:val="20"/>
          <w:lang w:eastAsia="es-MX"/>
        </w:rPr>
        <w:t xml:space="preserve">En virtud de lo anterior, una vez analizado la inconformidad del ahora recurrente, esta Unidad de Transparencia, a través de oficio número </w:t>
      </w:r>
      <w:r w:rsidRPr="00E44CD4">
        <w:rPr>
          <w:rFonts w:eastAsia="Palatino Linotype" w:cs="Palatino Linotype"/>
          <w:b/>
          <w:bCs/>
          <w:i/>
          <w:sz w:val="20"/>
          <w:szCs w:val="20"/>
          <w:lang w:eastAsia="es-MX"/>
        </w:rPr>
        <w:t>NEZ/209/UTAIPM/2025</w:t>
      </w:r>
      <w:r w:rsidRPr="00E44CD4">
        <w:rPr>
          <w:rFonts w:eastAsia="Palatino Linotype" w:cs="Palatino Linotype"/>
          <w:i/>
          <w:sz w:val="20"/>
          <w:szCs w:val="20"/>
          <w:lang w:eastAsia="es-MX"/>
        </w:rPr>
        <w:t xml:space="preserve">, solicito a la Servidora Pública Habilitada </w:t>
      </w:r>
      <w:r w:rsidRPr="00E44CD4">
        <w:rPr>
          <w:rFonts w:eastAsia="Palatino Linotype" w:cs="Palatino Linotype"/>
          <w:b/>
          <w:bCs/>
          <w:i/>
          <w:sz w:val="20"/>
          <w:szCs w:val="20"/>
          <w:lang w:eastAsia="es-MX"/>
        </w:rPr>
        <w:t xml:space="preserve">L.C.P SONIA LÓPEZ HERRERA, </w:t>
      </w:r>
      <w:r w:rsidRPr="00E44CD4">
        <w:rPr>
          <w:rFonts w:eastAsia="Palatino Linotype" w:cs="Palatino Linotype"/>
          <w:i/>
          <w:sz w:val="20"/>
          <w:szCs w:val="20"/>
          <w:lang w:eastAsia="es-MX"/>
        </w:rPr>
        <w:t>Tesorera Municipal de este Sujeto Obligado, realizara nuevamente en el ámbito de sus atribuciones y competencia, para que manifestara lo que a su derecho conviene.</w:t>
      </w:r>
    </w:p>
    <w:p w14:paraId="3A78E2E6" w14:textId="14656F43" w:rsidR="00E44CD4" w:rsidRPr="00E44CD4" w:rsidRDefault="00E44CD4" w:rsidP="009E7481">
      <w:pPr>
        <w:spacing w:after="0" w:line="360" w:lineRule="auto"/>
        <w:ind w:left="567" w:right="567"/>
        <w:rPr>
          <w:rFonts w:eastAsia="Palatino Linotype" w:cs="Palatino Linotype"/>
          <w:i/>
          <w:sz w:val="20"/>
          <w:szCs w:val="20"/>
          <w:lang w:eastAsia="es-MX"/>
        </w:rPr>
      </w:pPr>
      <w:r w:rsidRPr="00E44CD4">
        <w:rPr>
          <w:rFonts w:eastAsia="Palatino Linotype" w:cs="Palatino Linotype"/>
          <w:i/>
          <w:sz w:val="20"/>
          <w:szCs w:val="20"/>
          <w:lang w:eastAsia="es-MX"/>
        </w:rPr>
        <w:t>Lo anterior para los efectos legales conducentes.</w:t>
      </w:r>
    </w:p>
    <w:p w14:paraId="126A0EA5" w14:textId="77777777" w:rsidR="00E44CD4" w:rsidRPr="00E44CD4" w:rsidRDefault="00E44CD4" w:rsidP="009E7481">
      <w:pPr>
        <w:spacing w:after="0" w:line="360" w:lineRule="auto"/>
        <w:ind w:left="567" w:right="567"/>
        <w:rPr>
          <w:rFonts w:eastAsia="Palatino Linotype" w:cs="Palatino Linotype"/>
          <w:i/>
          <w:sz w:val="20"/>
          <w:szCs w:val="20"/>
          <w:lang w:eastAsia="es-MX"/>
        </w:rPr>
      </w:pPr>
    </w:p>
    <w:p w14:paraId="4AA56373" w14:textId="09C0975A" w:rsidR="00E44CD4" w:rsidRPr="00E44CD4" w:rsidRDefault="00E44CD4" w:rsidP="009E7481">
      <w:pPr>
        <w:spacing w:after="0" w:line="360" w:lineRule="auto"/>
        <w:ind w:left="567" w:right="567"/>
        <w:rPr>
          <w:rFonts w:eastAsia="Palatino Linotype" w:cs="Palatino Linotype"/>
          <w:i/>
          <w:sz w:val="20"/>
          <w:szCs w:val="20"/>
          <w:lang w:eastAsia="es-MX"/>
        </w:rPr>
      </w:pPr>
      <w:r w:rsidRPr="00E44CD4">
        <w:rPr>
          <w:rFonts w:eastAsia="Palatino Linotype" w:cs="Palatino Linotype"/>
          <w:i/>
          <w:sz w:val="20"/>
          <w:szCs w:val="20"/>
          <w:lang w:eastAsia="es-MX"/>
        </w:rPr>
        <w:t>En la misma tesitura se hizo del conocimiento al Director de Administración, de la informidad del ahora recurrente, a fin de que de la misma manera manifestara al respecto lo que a su interés conviniera.</w:t>
      </w:r>
    </w:p>
    <w:p w14:paraId="3C7B0F25" w14:textId="77777777" w:rsidR="00E44CD4" w:rsidRPr="00E44CD4" w:rsidRDefault="00E44CD4" w:rsidP="009E7481">
      <w:pPr>
        <w:spacing w:after="0" w:line="360" w:lineRule="auto"/>
        <w:ind w:left="567" w:right="567"/>
        <w:rPr>
          <w:rFonts w:eastAsia="Palatino Linotype" w:cs="Palatino Linotype"/>
          <w:i/>
          <w:sz w:val="20"/>
          <w:szCs w:val="20"/>
          <w:lang w:eastAsia="es-MX"/>
        </w:rPr>
      </w:pPr>
    </w:p>
    <w:p w14:paraId="45E52112" w14:textId="5800C1CD" w:rsidR="00E44CD4" w:rsidRPr="00E44CD4" w:rsidRDefault="00E44CD4" w:rsidP="009E7481">
      <w:pPr>
        <w:spacing w:after="0" w:line="360" w:lineRule="auto"/>
        <w:ind w:left="567" w:right="567"/>
        <w:rPr>
          <w:rFonts w:eastAsia="Palatino Linotype" w:cs="Palatino Linotype"/>
          <w:i/>
          <w:sz w:val="20"/>
          <w:szCs w:val="20"/>
          <w:lang w:eastAsia="es-MX"/>
        </w:rPr>
      </w:pPr>
      <w:r w:rsidRPr="00E44CD4">
        <w:rPr>
          <w:rFonts w:eastAsia="Palatino Linotype" w:cs="Palatino Linotype"/>
          <w:i/>
          <w:sz w:val="20"/>
          <w:szCs w:val="20"/>
          <w:lang w:eastAsia="es-MX"/>
        </w:rPr>
        <w:t xml:space="preserve">Derivado de lo anterior, el Servidor Público Habilitado </w:t>
      </w:r>
      <w:r w:rsidRPr="00E44CD4">
        <w:rPr>
          <w:rFonts w:eastAsia="Palatino Linotype" w:cs="Palatino Linotype"/>
          <w:b/>
          <w:bCs/>
          <w:i/>
          <w:sz w:val="20"/>
          <w:szCs w:val="20"/>
          <w:lang w:eastAsia="es-MX"/>
        </w:rPr>
        <w:t>Maestro José de Jesús Martínez Flores, Director de Administración</w:t>
      </w:r>
      <w:r w:rsidRPr="00E44CD4">
        <w:rPr>
          <w:rFonts w:eastAsia="Palatino Linotype" w:cs="Palatino Linotype"/>
          <w:i/>
          <w:sz w:val="20"/>
          <w:szCs w:val="20"/>
          <w:lang w:eastAsia="es-MX"/>
        </w:rPr>
        <w:t>, manifestó lo siguiente:</w:t>
      </w:r>
    </w:p>
    <w:p w14:paraId="3017BAA1" w14:textId="77777777" w:rsidR="00E44CD4" w:rsidRPr="00E44CD4" w:rsidRDefault="00E44CD4" w:rsidP="009E7481">
      <w:pPr>
        <w:spacing w:after="0" w:line="360" w:lineRule="auto"/>
        <w:ind w:left="567" w:right="567"/>
        <w:rPr>
          <w:rFonts w:eastAsia="Palatino Linotype" w:cs="Palatino Linotype"/>
          <w:i/>
          <w:sz w:val="20"/>
          <w:szCs w:val="20"/>
          <w:lang w:eastAsia="es-MX"/>
        </w:rPr>
      </w:pPr>
    </w:p>
    <w:p w14:paraId="1CACF06E" w14:textId="3469F899" w:rsidR="00E44CD4" w:rsidRPr="00E44CD4" w:rsidRDefault="00E44CD4" w:rsidP="009E7481">
      <w:pPr>
        <w:spacing w:after="0" w:line="360" w:lineRule="auto"/>
        <w:ind w:left="850" w:right="850"/>
        <w:rPr>
          <w:rFonts w:eastAsia="Palatino Linotype" w:cs="Palatino Linotype"/>
          <w:i/>
          <w:sz w:val="20"/>
          <w:szCs w:val="20"/>
          <w:lang w:eastAsia="es-MX"/>
        </w:rPr>
      </w:pPr>
      <w:r w:rsidRPr="00E44CD4">
        <w:rPr>
          <w:rFonts w:eastAsia="Palatino Linotype" w:cs="Palatino Linotype"/>
          <w:i/>
          <w:sz w:val="20"/>
          <w:szCs w:val="20"/>
          <w:lang w:eastAsia="es-MX"/>
        </w:rPr>
        <w:t xml:space="preserve">"...Con la finalidad de dar cabal cumplimiento a la Solicitud de Informe Justificado y/o Manifestaciones: de la Solicitud de Información Pública que nos ocupa, conforme a los ordenamientos jurídicos aplicables en la materia: la Dirección de Administración a mi cargo: </w:t>
      </w:r>
      <w:r w:rsidRPr="00007AD0">
        <w:rPr>
          <w:rFonts w:eastAsia="Palatino Linotype" w:cs="Palatino Linotype"/>
          <w:b/>
          <w:bCs/>
          <w:i/>
          <w:sz w:val="20"/>
          <w:szCs w:val="20"/>
          <w:u w:val="single"/>
          <w:lang w:eastAsia="es-MX"/>
        </w:rPr>
        <w:t>RATIFICA</w:t>
      </w:r>
      <w:r w:rsidRPr="00E44CD4">
        <w:rPr>
          <w:rFonts w:eastAsia="Palatino Linotype" w:cs="Palatino Linotype"/>
          <w:i/>
          <w:sz w:val="20"/>
          <w:szCs w:val="20"/>
          <w:lang w:eastAsia="es-MX"/>
        </w:rPr>
        <w:t xml:space="preserve"> en todo su contenido la proporcionada en el ocurso con nomenclatura N° DA/NEZA/0717/2025." (</w:t>
      </w:r>
      <w:proofErr w:type="gramStart"/>
      <w:r w:rsidRPr="00E44CD4">
        <w:rPr>
          <w:rFonts w:eastAsia="Palatino Linotype" w:cs="Palatino Linotype"/>
          <w:i/>
          <w:sz w:val="20"/>
          <w:szCs w:val="20"/>
          <w:lang w:eastAsia="es-MX"/>
        </w:rPr>
        <w:t>sic</w:t>
      </w:r>
      <w:proofErr w:type="gramEnd"/>
      <w:r w:rsidRPr="00E44CD4">
        <w:rPr>
          <w:rFonts w:eastAsia="Palatino Linotype" w:cs="Palatino Linotype"/>
          <w:i/>
          <w:sz w:val="20"/>
          <w:szCs w:val="20"/>
          <w:lang w:eastAsia="es-MX"/>
        </w:rPr>
        <w:t>)</w:t>
      </w:r>
    </w:p>
    <w:p w14:paraId="78AAC824" w14:textId="77777777" w:rsidR="00E44CD4" w:rsidRPr="00E44CD4" w:rsidRDefault="00E44CD4" w:rsidP="009E7481">
      <w:pPr>
        <w:spacing w:after="0" w:line="360" w:lineRule="auto"/>
        <w:ind w:left="567" w:right="567"/>
        <w:rPr>
          <w:rFonts w:eastAsia="Palatino Linotype" w:cs="Palatino Linotype"/>
          <w:i/>
          <w:sz w:val="20"/>
          <w:szCs w:val="20"/>
          <w:lang w:eastAsia="es-MX"/>
        </w:rPr>
      </w:pPr>
    </w:p>
    <w:p w14:paraId="0F1C6A26" w14:textId="7112EC8D" w:rsidR="00E44CD4" w:rsidRPr="00E44CD4" w:rsidRDefault="00E44CD4" w:rsidP="009E7481">
      <w:pPr>
        <w:spacing w:after="0" w:line="360" w:lineRule="auto"/>
        <w:ind w:left="567" w:right="567"/>
        <w:rPr>
          <w:rFonts w:eastAsia="Palatino Linotype" w:cs="Palatino Linotype"/>
          <w:i/>
          <w:sz w:val="20"/>
          <w:szCs w:val="20"/>
          <w:lang w:eastAsia="es-MX"/>
        </w:rPr>
      </w:pPr>
      <w:r w:rsidRPr="00E44CD4">
        <w:rPr>
          <w:rFonts w:eastAsia="Palatino Linotype" w:cs="Palatino Linotype"/>
          <w:i/>
          <w:sz w:val="20"/>
          <w:szCs w:val="20"/>
          <w:lang w:eastAsia="es-MX"/>
        </w:rPr>
        <w:t xml:space="preserve">Ahora bien la Tesorera Municipal, L.C.P. Sonia López Herrera, en su calidad de Servidora Pública Habilitada, manifestó en su parte medular del oficio número </w:t>
      </w:r>
      <w:r w:rsidRPr="00E44CD4">
        <w:rPr>
          <w:rFonts w:eastAsia="Palatino Linotype" w:cs="Palatino Linotype"/>
          <w:b/>
          <w:bCs/>
          <w:i/>
          <w:sz w:val="20"/>
          <w:szCs w:val="20"/>
          <w:lang w:eastAsia="es-MX"/>
        </w:rPr>
        <w:t>HА/TM/SJ/1097/2025</w:t>
      </w:r>
      <w:r w:rsidRPr="00E44CD4">
        <w:rPr>
          <w:rFonts w:eastAsia="Palatino Linotype" w:cs="Palatino Linotype"/>
          <w:i/>
          <w:sz w:val="20"/>
          <w:szCs w:val="20"/>
          <w:lang w:eastAsia="es-MX"/>
        </w:rPr>
        <w:t>, lo siguiente:</w:t>
      </w:r>
    </w:p>
    <w:p w14:paraId="7E09CDD6" w14:textId="77777777" w:rsidR="00E44CD4" w:rsidRPr="00E44CD4" w:rsidRDefault="00E44CD4" w:rsidP="009E7481">
      <w:pPr>
        <w:spacing w:after="0" w:line="360" w:lineRule="auto"/>
        <w:ind w:left="567" w:right="567"/>
        <w:rPr>
          <w:rFonts w:eastAsia="Palatino Linotype" w:cs="Palatino Linotype"/>
          <w:i/>
          <w:sz w:val="20"/>
          <w:szCs w:val="20"/>
          <w:lang w:eastAsia="es-MX"/>
        </w:rPr>
      </w:pPr>
    </w:p>
    <w:p w14:paraId="297CAD08" w14:textId="77777777" w:rsidR="00E44CD4" w:rsidRPr="00E44CD4" w:rsidRDefault="00E44CD4" w:rsidP="009E7481">
      <w:pPr>
        <w:spacing w:after="0" w:line="360" w:lineRule="auto"/>
        <w:ind w:left="850" w:right="850"/>
        <w:rPr>
          <w:rFonts w:eastAsia="Palatino Linotype" w:cs="Palatino Linotype"/>
          <w:i/>
          <w:sz w:val="20"/>
          <w:szCs w:val="20"/>
          <w:lang w:eastAsia="es-MX"/>
        </w:rPr>
      </w:pPr>
      <w:r w:rsidRPr="00E44CD4">
        <w:rPr>
          <w:rFonts w:eastAsia="Palatino Linotype" w:cs="Palatino Linotype"/>
          <w:i/>
          <w:sz w:val="20"/>
          <w:szCs w:val="20"/>
          <w:lang w:eastAsia="es-MX"/>
        </w:rPr>
        <w:t xml:space="preserve">"Al respecto le informo que después de una minuciosa búsqueda dentro de las bases de datos con las que cuenta esta Subdirección </w:t>
      </w:r>
      <w:r w:rsidRPr="00E44385">
        <w:rPr>
          <w:rFonts w:eastAsia="Palatino Linotype" w:cs="Palatino Linotype"/>
          <w:b/>
          <w:bCs/>
          <w:i/>
          <w:sz w:val="20"/>
          <w:szCs w:val="20"/>
          <w:u w:val="single"/>
          <w:lang w:eastAsia="es-MX"/>
        </w:rPr>
        <w:t xml:space="preserve">no encontramos información alguna de "Omar Balam Salazar Sánchez y Jorge Luis Avalos Ramírez" tal como lo manifestó en su solicitud originaria </w:t>
      </w:r>
      <w:r w:rsidRPr="00E44385">
        <w:rPr>
          <w:rFonts w:eastAsia="Palatino Linotype" w:cs="Palatino Linotype"/>
          <w:i/>
          <w:sz w:val="20"/>
          <w:szCs w:val="20"/>
          <w:u w:val="single"/>
          <w:lang w:eastAsia="es-MX"/>
        </w:rPr>
        <w:t>por lo que pedimos que verifique la información proporcionada, motivo por el cual no se pudieron entregar en su totalidad los CFDI que solicito</w:t>
      </w:r>
      <w:r w:rsidRPr="00E44CD4">
        <w:rPr>
          <w:rFonts w:eastAsia="Palatino Linotype" w:cs="Palatino Linotype"/>
          <w:i/>
          <w:sz w:val="20"/>
          <w:szCs w:val="20"/>
          <w:lang w:eastAsia="es-MX"/>
        </w:rPr>
        <w:t>." (</w:t>
      </w:r>
      <w:proofErr w:type="gramStart"/>
      <w:r w:rsidRPr="00E44CD4">
        <w:rPr>
          <w:rFonts w:eastAsia="Palatino Linotype" w:cs="Palatino Linotype"/>
          <w:i/>
          <w:sz w:val="20"/>
          <w:szCs w:val="20"/>
          <w:lang w:eastAsia="es-MX"/>
        </w:rPr>
        <w:t>sic</w:t>
      </w:r>
      <w:proofErr w:type="gramEnd"/>
      <w:r w:rsidRPr="00E44CD4">
        <w:rPr>
          <w:rFonts w:eastAsia="Palatino Linotype" w:cs="Palatino Linotype"/>
          <w:i/>
          <w:sz w:val="20"/>
          <w:szCs w:val="20"/>
          <w:lang w:eastAsia="es-MX"/>
        </w:rPr>
        <w:t>)</w:t>
      </w:r>
    </w:p>
    <w:p w14:paraId="72AAB200" w14:textId="25F9789C" w:rsidR="003C3862" w:rsidRDefault="003C3862" w:rsidP="009E7481">
      <w:pPr>
        <w:spacing w:after="0" w:line="360" w:lineRule="auto"/>
        <w:ind w:left="567" w:right="567"/>
        <w:rPr>
          <w:rFonts w:eastAsia="Palatino Linotype" w:cs="Palatino Linotype"/>
          <w:i/>
          <w:sz w:val="20"/>
          <w:szCs w:val="20"/>
          <w:lang w:eastAsia="es-MX"/>
        </w:rPr>
      </w:pPr>
      <w:r w:rsidRPr="003C3862">
        <w:rPr>
          <w:rFonts w:eastAsia="Palatino Linotype" w:cs="Palatino Linotype"/>
          <w:i/>
          <w:sz w:val="20"/>
          <w:szCs w:val="20"/>
          <w:lang w:eastAsia="es-MX"/>
        </w:rPr>
        <w:lastRenderedPageBreak/>
        <w:t>…”</w:t>
      </w:r>
    </w:p>
    <w:p w14:paraId="6E94C579" w14:textId="77777777" w:rsidR="003C3885" w:rsidRPr="003C3862" w:rsidRDefault="003C3885" w:rsidP="009E7481">
      <w:pPr>
        <w:spacing w:after="0" w:line="360" w:lineRule="auto"/>
        <w:ind w:left="567" w:right="567"/>
        <w:rPr>
          <w:rFonts w:eastAsia="Palatino Linotype" w:cs="Palatino Linotype"/>
          <w:i/>
          <w:sz w:val="20"/>
          <w:szCs w:val="20"/>
          <w:lang w:eastAsia="es-MX"/>
        </w:rPr>
      </w:pPr>
    </w:p>
    <w:p w14:paraId="197B96F3" w14:textId="44AB947F" w:rsidR="003C3862" w:rsidRDefault="003C3885" w:rsidP="009E7481">
      <w:pPr>
        <w:spacing w:after="0" w:line="360" w:lineRule="auto"/>
        <w:rPr>
          <w:rFonts w:eastAsia="Palatino Linotype" w:cs="Palatino Linotype"/>
          <w:lang w:eastAsia="es-MX"/>
        </w:rPr>
      </w:pPr>
      <w:r>
        <w:rPr>
          <w:rFonts w:eastAsia="Palatino Linotype" w:cs="Palatino Linotype"/>
          <w:lang w:eastAsia="es-MX"/>
        </w:rPr>
        <w:t xml:space="preserve">Asimismo adjuntó la digitalización de los oficios con números </w:t>
      </w:r>
      <w:r w:rsidRPr="003C3885">
        <w:rPr>
          <w:rFonts w:eastAsia="Palatino Linotype" w:cs="Palatino Linotype"/>
          <w:lang w:eastAsia="es-MX"/>
        </w:rPr>
        <w:t>HА/TM/SJ/1097/2025</w:t>
      </w:r>
      <w:r>
        <w:rPr>
          <w:rFonts w:eastAsia="Palatino Linotype" w:cs="Palatino Linotype"/>
          <w:lang w:eastAsia="es-MX"/>
        </w:rPr>
        <w:t xml:space="preserve"> y </w:t>
      </w:r>
      <w:r w:rsidRPr="003C3885">
        <w:rPr>
          <w:rFonts w:eastAsia="Palatino Linotype" w:cs="Palatino Linotype"/>
          <w:lang w:eastAsia="es-MX"/>
        </w:rPr>
        <w:t>DA/NEZA/1079/2025</w:t>
      </w:r>
      <w:r>
        <w:rPr>
          <w:rFonts w:eastAsia="Palatino Linotype" w:cs="Palatino Linotype"/>
          <w:lang w:eastAsia="es-MX"/>
        </w:rPr>
        <w:t xml:space="preserve">, por medio de los cuales los Servidores Públicos Habilitados confirmaron su respuesta inicial de conformidad con lo precisado en párrafos anteriores. </w:t>
      </w:r>
    </w:p>
    <w:p w14:paraId="3625A75F" w14:textId="77777777" w:rsidR="003C3885" w:rsidRPr="003C3862" w:rsidRDefault="003C3885" w:rsidP="009E7481">
      <w:pPr>
        <w:spacing w:after="0" w:line="360" w:lineRule="auto"/>
        <w:rPr>
          <w:rFonts w:eastAsia="Palatino Linotype" w:cs="Palatino Linotype"/>
          <w:lang w:eastAsia="es-MX"/>
        </w:rPr>
      </w:pPr>
    </w:p>
    <w:p w14:paraId="7BB2ECE6" w14:textId="7E309739" w:rsidR="00C21871" w:rsidRDefault="003C3862" w:rsidP="009E7481">
      <w:pPr>
        <w:spacing w:after="0" w:line="360" w:lineRule="auto"/>
        <w:rPr>
          <w:rFonts w:eastAsia="Palatino Linotype" w:cs="Palatino Linotype"/>
          <w:lang w:eastAsia="es-MX"/>
        </w:rPr>
      </w:pPr>
      <w:r w:rsidRPr="003C3862">
        <w:rPr>
          <w:rFonts w:eastAsia="Palatino Linotype" w:cs="Palatino Linotype"/>
          <w:b/>
          <w:lang w:eastAsia="es-MX"/>
        </w:rPr>
        <w:t xml:space="preserve">d) Vista de Informe Justificado. </w:t>
      </w:r>
      <w:r w:rsidRPr="003C3862">
        <w:rPr>
          <w:rFonts w:eastAsia="Palatino Linotype" w:cs="Palatino Linotype"/>
          <w:lang w:eastAsia="es-MX"/>
        </w:rPr>
        <w:t xml:space="preserve">El </w:t>
      </w:r>
      <w:r>
        <w:rPr>
          <w:rFonts w:eastAsia="Palatino Linotype" w:cs="Palatino Linotype"/>
          <w:lang w:eastAsia="es-MX"/>
        </w:rPr>
        <w:t>diecinueve de marzo</w:t>
      </w:r>
      <w:r w:rsidRPr="003C3862">
        <w:rPr>
          <w:rFonts w:eastAsia="Palatino Linotype" w:cs="Palatino Linotype"/>
          <w:lang w:eastAsia="es-MX"/>
        </w:rPr>
        <w:t xml:space="preserve"> de dos mil veinticinco, se dictó acuerdo por medio del cual se puso a la vista del Recurrente el Informe Justificado entregado por el Sujeto Obligado, el cual fue notificado a las partes, el mismo día, a través del Sistema de Acceso a la Información Mexiquense (SAIMEX).</w:t>
      </w:r>
    </w:p>
    <w:p w14:paraId="07CA1ACD" w14:textId="77777777" w:rsidR="003C3862" w:rsidRPr="00242082" w:rsidRDefault="003C3862" w:rsidP="009E7481">
      <w:pPr>
        <w:spacing w:after="0" w:line="360" w:lineRule="auto"/>
        <w:rPr>
          <w:rFonts w:eastAsia="Palatino Linotype" w:cs="Palatino Linotype"/>
          <w:b/>
          <w:bCs/>
        </w:rPr>
      </w:pPr>
    </w:p>
    <w:p w14:paraId="39328222" w14:textId="090BDAA8" w:rsidR="004548CD" w:rsidRPr="00242082" w:rsidRDefault="00413B5A" w:rsidP="009E7481">
      <w:pPr>
        <w:spacing w:after="0" w:line="360" w:lineRule="auto"/>
        <w:rPr>
          <w:rFonts w:eastAsia="Palatino Linotype" w:cs="Palatino Linotype"/>
          <w:b/>
          <w:bCs/>
        </w:rPr>
      </w:pPr>
      <w:bookmarkStart w:id="8" w:name="_Toc193363647"/>
      <w:r>
        <w:rPr>
          <w:rStyle w:val="Ttulo2Car"/>
          <w:rFonts w:ascii="Palatino Linotype" w:hAnsi="Palatino Linotype"/>
          <w:b/>
          <w:bCs/>
          <w:color w:val="auto"/>
          <w:sz w:val="22"/>
          <w:szCs w:val="22"/>
        </w:rPr>
        <w:t>e</w:t>
      </w:r>
      <w:r w:rsidR="004548CD" w:rsidRPr="00D526FB">
        <w:rPr>
          <w:rStyle w:val="Ttulo2Car"/>
          <w:rFonts w:ascii="Palatino Linotype" w:hAnsi="Palatino Linotype"/>
          <w:b/>
          <w:bCs/>
          <w:color w:val="auto"/>
          <w:sz w:val="22"/>
          <w:szCs w:val="22"/>
        </w:rPr>
        <w:t>) Cierre de instrucción.</w:t>
      </w:r>
      <w:bookmarkEnd w:id="8"/>
      <w:r w:rsidR="004548CD" w:rsidRPr="00D526FB">
        <w:rPr>
          <w:rFonts w:eastAsia="Times New Roman" w:cs="Tahoma"/>
          <w:color w:val="auto"/>
          <w:szCs w:val="24"/>
          <w:lang w:eastAsia="es-ES"/>
        </w:rPr>
        <w:t xml:space="preserve"> </w:t>
      </w:r>
      <w:r w:rsidR="004548CD" w:rsidRPr="002A078A">
        <w:rPr>
          <w:rFonts w:eastAsia="Times New Roman" w:cs="Tahoma"/>
          <w:color w:val="auto"/>
          <w:szCs w:val="24"/>
          <w:lang w:eastAsia="es-ES"/>
        </w:rPr>
        <w:t>El</w:t>
      </w:r>
      <w:r w:rsidR="00430DF1" w:rsidRPr="002A078A">
        <w:rPr>
          <w:rFonts w:eastAsia="Times New Roman" w:cs="Tahoma"/>
          <w:color w:val="auto"/>
          <w:szCs w:val="24"/>
          <w:lang w:eastAsia="es-ES"/>
        </w:rPr>
        <w:t xml:space="preserve"> </w:t>
      </w:r>
      <w:r w:rsidR="0056650F">
        <w:rPr>
          <w:rFonts w:eastAsia="Times New Roman" w:cs="Tahoma"/>
          <w:color w:val="auto"/>
          <w:szCs w:val="24"/>
          <w:lang w:eastAsia="es-ES"/>
        </w:rPr>
        <w:t>veintiséis</w:t>
      </w:r>
      <w:r w:rsidR="003C3862">
        <w:rPr>
          <w:rFonts w:eastAsia="Times New Roman" w:cs="Tahoma"/>
          <w:color w:val="auto"/>
          <w:szCs w:val="24"/>
          <w:lang w:eastAsia="es-ES"/>
        </w:rPr>
        <w:t xml:space="preserve"> de marzo</w:t>
      </w:r>
      <w:r w:rsidR="00D41ED1" w:rsidRPr="002A078A">
        <w:rPr>
          <w:rFonts w:eastAsia="Times New Roman" w:cs="Tahoma"/>
          <w:color w:val="auto"/>
          <w:szCs w:val="24"/>
          <w:lang w:eastAsia="es-ES"/>
        </w:rPr>
        <w:t xml:space="preserve"> </w:t>
      </w:r>
      <w:r w:rsidR="00D41ED1" w:rsidRPr="002A078A">
        <w:rPr>
          <w:rFonts w:eastAsia="Times New Roman" w:cs="Tahoma"/>
          <w:color w:val="auto"/>
          <w:szCs w:val="24"/>
          <w:lang w:val="es-ES" w:eastAsia="es-ES"/>
        </w:rPr>
        <w:t>de dos mil veinticinco</w:t>
      </w:r>
      <w:r w:rsidR="004548CD" w:rsidRPr="002A078A">
        <w:rPr>
          <w:rFonts w:eastAsia="Times New Roman" w:cs="Tahoma"/>
          <w:color w:val="auto"/>
          <w:szCs w:val="24"/>
          <w:lang w:eastAsia="es-ES"/>
        </w:rPr>
        <w:t>,</w:t>
      </w:r>
      <w:r w:rsidR="004548CD" w:rsidRPr="00D41ED1">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4548CD" w:rsidRPr="00D41ED1">
        <w:rPr>
          <w:rFonts w:eastAsia="Palatino Linotype" w:cs="Palatino Linotype"/>
          <w:lang w:val="es-ES"/>
        </w:rPr>
        <w:t>acto que fue notificado a las partes</w:t>
      </w:r>
      <w:r w:rsidR="0056650F">
        <w:rPr>
          <w:rFonts w:eastAsia="Palatino Linotype" w:cs="Palatino Linotype"/>
          <w:lang w:val="es-ES"/>
        </w:rPr>
        <w:t>, el veintisiete del mismo mes y año</w:t>
      </w:r>
      <w:r w:rsidR="004548CD" w:rsidRPr="00D41ED1">
        <w:rPr>
          <w:rFonts w:eastAsia="Palatino Linotype" w:cs="Palatino Linotype"/>
          <w:lang w:val="es-ES"/>
        </w:rPr>
        <w:t>, mediante el Sistema de Acceso a la Info</w:t>
      </w:r>
      <w:r w:rsidR="0056650F">
        <w:rPr>
          <w:rFonts w:eastAsia="Palatino Linotype" w:cs="Palatino Linotype"/>
          <w:lang w:val="es-ES"/>
        </w:rPr>
        <w:t>rmación Mexiquense (SAIMEX)</w:t>
      </w:r>
      <w:r w:rsidR="004548CD" w:rsidRPr="00D41ED1">
        <w:rPr>
          <w:rFonts w:eastAsia="Palatino Linotype" w:cs="Palatino Linotype"/>
          <w:lang w:val="es-ES"/>
        </w:rPr>
        <w:t>.</w:t>
      </w:r>
    </w:p>
    <w:p w14:paraId="61B73302" w14:textId="77777777" w:rsidR="004548CD" w:rsidRPr="00242082" w:rsidRDefault="004548CD" w:rsidP="009E7481">
      <w:pPr>
        <w:spacing w:after="0" w:line="360" w:lineRule="auto"/>
        <w:rPr>
          <w:rFonts w:eastAsia="Times New Roman" w:cs="Tahoma"/>
          <w:color w:val="auto"/>
          <w:szCs w:val="24"/>
          <w:lang w:eastAsia="es-ES"/>
        </w:rPr>
      </w:pPr>
    </w:p>
    <w:p w14:paraId="5795BBB6" w14:textId="77777777" w:rsidR="00C853D1" w:rsidRPr="00242082" w:rsidRDefault="00C853D1" w:rsidP="009E7481">
      <w:pPr>
        <w:spacing w:after="0" w:line="360" w:lineRule="auto"/>
        <w:rPr>
          <w:rFonts w:eastAsia="Times New Roman" w:cs="Tahoma"/>
          <w:color w:val="auto"/>
          <w:szCs w:val="24"/>
          <w:lang w:eastAsia="es-ES"/>
        </w:rPr>
      </w:pPr>
      <w:r w:rsidRPr="00242082">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264F2B95" w14:textId="77777777" w:rsidR="00C853D1" w:rsidRPr="00242082" w:rsidRDefault="00C853D1" w:rsidP="009E7481">
      <w:pPr>
        <w:spacing w:after="0" w:line="360" w:lineRule="auto"/>
        <w:rPr>
          <w:rFonts w:eastAsia="Times New Roman" w:cs="Tahoma"/>
          <w:bCs/>
          <w:iCs/>
          <w:color w:val="auto"/>
          <w:lang w:val="es-ES" w:eastAsia="es-ES"/>
        </w:rPr>
      </w:pPr>
    </w:p>
    <w:p w14:paraId="4647AD46" w14:textId="77777777" w:rsidR="00C853D1" w:rsidRPr="00D526FB" w:rsidRDefault="00C853D1" w:rsidP="009E7481">
      <w:pPr>
        <w:pStyle w:val="Ttulo1"/>
        <w:spacing w:before="0" w:line="360" w:lineRule="auto"/>
        <w:jc w:val="center"/>
        <w:rPr>
          <w:rFonts w:ascii="Palatino Linotype" w:eastAsia="Times New Roman" w:hAnsi="Palatino Linotype"/>
          <w:b/>
          <w:bCs/>
          <w:color w:val="auto"/>
          <w:sz w:val="22"/>
          <w:szCs w:val="22"/>
          <w:lang w:val="es-ES" w:eastAsia="es-ES"/>
        </w:rPr>
      </w:pPr>
      <w:bookmarkStart w:id="9" w:name="_Toc193363648"/>
      <w:r w:rsidRPr="00D526FB">
        <w:rPr>
          <w:rFonts w:ascii="Palatino Linotype" w:eastAsia="Times New Roman" w:hAnsi="Palatino Linotype"/>
          <w:b/>
          <w:bCs/>
          <w:color w:val="auto"/>
          <w:sz w:val="22"/>
          <w:szCs w:val="22"/>
          <w:lang w:val="es-ES" w:eastAsia="es-ES"/>
        </w:rPr>
        <w:t>C O N S I D E R A N D O S:</w:t>
      </w:r>
      <w:bookmarkEnd w:id="9"/>
    </w:p>
    <w:p w14:paraId="46CF2E78" w14:textId="77777777" w:rsidR="00C853D1" w:rsidRPr="00242082" w:rsidRDefault="00C853D1" w:rsidP="009E7481">
      <w:pPr>
        <w:spacing w:after="0" w:line="360" w:lineRule="auto"/>
        <w:rPr>
          <w:b/>
        </w:rPr>
      </w:pPr>
    </w:p>
    <w:p w14:paraId="15369BD8" w14:textId="77777777"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0" w:name="_Toc193363649"/>
      <w:r w:rsidRPr="00D526FB">
        <w:rPr>
          <w:rFonts w:ascii="Palatino Linotype" w:eastAsia="Calibri" w:hAnsi="Palatino Linotype"/>
          <w:b/>
          <w:bCs/>
          <w:color w:val="auto"/>
          <w:sz w:val="22"/>
          <w:szCs w:val="22"/>
          <w:lang w:val="es-ES" w:eastAsia="es-MX"/>
        </w:rPr>
        <w:t xml:space="preserve">PRIMERO. </w:t>
      </w:r>
      <w:r w:rsidRPr="00D526FB">
        <w:rPr>
          <w:rFonts w:ascii="Palatino Linotype" w:eastAsia="Times New Roman" w:hAnsi="Palatino Linotype"/>
          <w:b/>
          <w:bCs/>
          <w:color w:val="auto"/>
          <w:sz w:val="22"/>
          <w:szCs w:val="22"/>
          <w:lang w:val="es-ES" w:eastAsia="es-ES"/>
        </w:rPr>
        <w:t>Competencia.</w:t>
      </w:r>
      <w:bookmarkEnd w:id="10"/>
    </w:p>
    <w:p w14:paraId="6B0576AC" w14:textId="77777777" w:rsidR="00C853D1" w:rsidRPr="00242082" w:rsidRDefault="00C853D1" w:rsidP="009E7481">
      <w:pPr>
        <w:autoSpaceDE w:val="0"/>
        <w:autoSpaceDN w:val="0"/>
        <w:adjustRightInd w:val="0"/>
        <w:spacing w:after="0" w:line="360" w:lineRule="auto"/>
        <w:rPr>
          <w:rFonts w:eastAsia="Times New Roman" w:cs="Tahoma"/>
          <w:b/>
          <w:color w:val="auto"/>
          <w:szCs w:val="24"/>
          <w:lang w:val="es-ES" w:eastAsia="es-ES"/>
        </w:rPr>
      </w:pPr>
    </w:p>
    <w:p w14:paraId="1C642246" w14:textId="7BE19C04" w:rsidR="00DB09A4" w:rsidRPr="00DB09A4" w:rsidRDefault="00DB09A4" w:rsidP="00DB09A4">
      <w:pPr>
        <w:spacing w:after="0" w:line="360" w:lineRule="auto"/>
        <w:rPr>
          <w:rFonts w:eastAsia="Times New Roman" w:cs="Tahoma"/>
          <w:bCs/>
          <w:color w:val="000000"/>
          <w:lang w:eastAsia="es-ES"/>
        </w:rPr>
      </w:pPr>
      <w:r w:rsidRPr="00DB09A4">
        <w:rPr>
          <w:rFonts w:eastAsia="Times New Roman" w:cs="Tahoma"/>
          <w:bCs/>
          <w:color w:val="000000"/>
          <w:lang w:eastAsia="es-ES"/>
        </w:rPr>
        <w:lastRenderedPageBreak/>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r>
        <w:rPr>
          <w:rFonts w:eastAsia="Times New Roman" w:cs="Tahoma"/>
          <w:bCs/>
          <w:color w:val="000000"/>
          <w:lang w:eastAsia="es-ES"/>
        </w:rPr>
        <w:t xml:space="preserve"> </w:t>
      </w:r>
      <w:r w:rsidRPr="00DB09A4">
        <w:rPr>
          <w:rFonts w:eastAsia="Times New Roman" w:cs="Tahoma"/>
          <w:bCs/>
          <w:color w:val="000000"/>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FF2492C" w14:textId="77777777" w:rsidR="00C853D1" w:rsidRPr="00242082" w:rsidRDefault="00C853D1" w:rsidP="009E7481">
      <w:pPr>
        <w:spacing w:after="0" w:line="360" w:lineRule="auto"/>
        <w:rPr>
          <w:rFonts w:eastAsia="Times New Roman" w:cs="Tahoma"/>
          <w:bCs/>
          <w:color w:val="auto"/>
          <w:lang w:eastAsia="es-ES"/>
        </w:rPr>
      </w:pPr>
    </w:p>
    <w:p w14:paraId="1CEE0B22" w14:textId="77777777"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1" w:name="_Toc193363650"/>
      <w:r w:rsidRPr="00D526FB">
        <w:rPr>
          <w:rFonts w:ascii="Palatino Linotype" w:eastAsia="Calibri" w:hAnsi="Palatino Linotype"/>
          <w:b/>
          <w:bCs/>
          <w:color w:val="auto"/>
          <w:sz w:val="22"/>
          <w:szCs w:val="22"/>
          <w:lang w:val="es-ES" w:eastAsia="es-MX"/>
        </w:rPr>
        <w:t xml:space="preserve">SEGUNDO. </w:t>
      </w:r>
      <w:r w:rsidRPr="00D526FB">
        <w:rPr>
          <w:rFonts w:ascii="Palatino Linotype" w:eastAsia="Times New Roman" w:hAnsi="Palatino Linotype"/>
          <w:b/>
          <w:bCs/>
          <w:color w:val="auto"/>
          <w:sz w:val="22"/>
          <w:szCs w:val="22"/>
          <w:lang w:val="es-ES" w:eastAsia="es-ES"/>
        </w:rPr>
        <w:t>Causales de improcedencia y sobreseimiento.</w:t>
      </w:r>
      <w:bookmarkEnd w:id="11"/>
      <w:r w:rsidRPr="00D526FB">
        <w:rPr>
          <w:rFonts w:ascii="Palatino Linotype" w:eastAsia="Times New Roman" w:hAnsi="Palatino Linotype"/>
          <w:b/>
          <w:bCs/>
          <w:color w:val="auto"/>
          <w:sz w:val="22"/>
          <w:szCs w:val="22"/>
          <w:lang w:val="es-ES" w:eastAsia="es-ES"/>
        </w:rPr>
        <w:t xml:space="preserve"> </w:t>
      </w:r>
    </w:p>
    <w:p w14:paraId="732DCB46" w14:textId="77777777" w:rsidR="00C853D1" w:rsidRPr="00242082" w:rsidRDefault="00C853D1" w:rsidP="009E7481">
      <w:pPr>
        <w:autoSpaceDE w:val="0"/>
        <w:autoSpaceDN w:val="0"/>
        <w:adjustRightInd w:val="0"/>
        <w:spacing w:after="0" w:line="360" w:lineRule="auto"/>
        <w:rPr>
          <w:rFonts w:eastAsia="Times New Roman" w:cs="Tahoma"/>
          <w:color w:val="auto"/>
          <w:szCs w:val="24"/>
          <w:lang w:val="es-ES" w:eastAsia="es-ES"/>
        </w:rPr>
      </w:pPr>
    </w:p>
    <w:p w14:paraId="3EDC37E9" w14:textId="77777777" w:rsidR="00C853D1" w:rsidRPr="00242082" w:rsidRDefault="00C853D1" w:rsidP="009E7481">
      <w:pPr>
        <w:autoSpaceDE w:val="0"/>
        <w:autoSpaceDN w:val="0"/>
        <w:adjustRightInd w:val="0"/>
        <w:spacing w:after="0" w:line="360" w:lineRule="auto"/>
        <w:rPr>
          <w:rFonts w:eastAsia="Times New Roman" w:cs="Tahoma"/>
          <w:color w:val="auto"/>
          <w:szCs w:val="24"/>
          <w:lang w:val="es-ES" w:eastAsia="es-ES"/>
        </w:rPr>
      </w:pPr>
      <w:r w:rsidRPr="00242082">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242082">
        <w:rPr>
          <w:rFonts w:eastAsia="Times New Roman" w:cs="Tahoma"/>
          <w:i/>
          <w:color w:val="auto"/>
          <w:szCs w:val="24"/>
          <w:lang w:val="es-ES" w:eastAsia="es-ES"/>
        </w:rPr>
        <w:t>litis</w:t>
      </w:r>
      <w:proofErr w:type="spellEnd"/>
      <w:r w:rsidRPr="00242082">
        <w:rPr>
          <w:rFonts w:eastAsia="Times New Roman" w:cs="Tahoma"/>
          <w:color w:val="auto"/>
          <w:szCs w:val="24"/>
          <w:lang w:val="es-ES" w:eastAsia="es-ES"/>
        </w:rPr>
        <w:t>, es necesario estudiar las causales de improcedencia y sobreseimiento que se adviertan, para determinar lo que en Derecho proceda.</w:t>
      </w:r>
    </w:p>
    <w:p w14:paraId="2159CCAC" w14:textId="77777777" w:rsidR="00C853D1" w:rsidRPr="00242082" w:rsidRDefault="00C853D1" w:rsidP="009E7481">
      <w:pPr>
        <w:autoSpaceDE w:val="0"/>
        <w:autoSpaceDN w:val="0"/>
        <w:adjustRightInd w:val="0"/>
        <w:spacing w:after="0" w:line="360" w:lineRule="auto"/>
        <w:rPr>
          <w:rFonts w:eastAsia="Times New Roman" w:cs="Tahoma"/>
          <w:color w:val="auto"/>
          <w:szCs w:val="24"/>
          <w:lang w:val="es-ES" w:eastAsia="es-ES"/>
        </w:rPr>
      </w:pPr>
    </w:p>
    <w:p w14:paraId="0D0DB2F6" w14:textId="77777777" w:rsidR="00C853D1" w:rsidRPr="00242082" w:rsidRDefault="00C853D1" w:rsidP="009E7481">
      <w:pPr>
        <w:autoSpaceDE w:val="0"/>
        <w:autoSpaceDN w:val="0"/>
        <w:adjustRightInd w:val="0"/>
        <w:spacing w:after="0" w:line="360" w:lineRule="auto"/>
        <w:rPr>
          <w:rFonts w:eastAsia="Calibri" w:cs="Tahoma"/>
          <w:color w:val="000000"/>
          <w:szCs w:val="24"/>
          <w:lang w:val="es-ES" w:eastAsia="es-MX"/>
        </w:rPr>
      </w:pPr>
      <w:r w:rsidRPr="00242082">
        <w:rPr>
          <w:rFonts w:eastAsia="Calibri" w:cs="Tahoma"/>
          <w:b/>
          <w:color w:val="000000"/>
          <w:szCs w:val="24"/>
          <w:lang w:val="es-ES" w:eastAsia="es-MX"/>
        </w:rPr>
        <w:t>Causales de improcedencia.</w:t>
      </w:r>
      <w:r w:rsidRPr="00242082">
        <w:rPr>
          <w:rFonts w:eastAsia="Calibri" w:cs="Tahoma"/>
          <w:color w:val="000000"/>
          <w:szCs w:val="24"/>
          <w:lang w:val="es-ES" w:eastAsia="es-MX"/>
        </w:rPr>
        <w:t xml:space="preserve"> </w:t>
      </w:r>
    </w:p>
    <w:p w14:paraId="61973DFD" w14:textId="77777777" w:rsidR="00C853D1" w:rsidRPr="00242082" w:rsidRDefault="00C853D1" w:rsidP="009E7481">
      <w:pPr>
        <w:autoSpaceDE w:val="0"/>
        <w:autoSpaceDN w:val="0"/>
        <w:adjustRightInd w:val="0"/>
        <w:spacing w:after="0" w:line="360" w:lineRule="auto"/>
        <w:rPr>
          <w:rFonts w:eastAsia="Calibri" w:cs="Tahoma"/>
          <w:color w:val="000000"/>
          <w:szCs w:val="24"/>
          <w:lang w:val="es-ES" w:eastAsia="es-MX"/>
        </w:rPr>
      </w:pPr>
    </w:p>
    <w:p w14:paraId="0231FCB7" w14:textId="77777777" w:rsidR="00C853D1" w:rsidRPr="00242082" w:rsidRDefault="00C853D1" w:rsidP="009E7481">
      <w:pPr>
        <w:autoSpaceDE w:val="0"/>
        <w:autoSpaceDN w:val="0"/>
        <w:adjustRightInd w:val="0"/>
        <w:spacing w:after="0" w:line="360" w:lineRule="auto"/>
        <w:rPr>
          <w:rFonts w:eastAsia="Calibri" w:cs="Tahoma"/>
          <w:color w:val="000000"/>
          <w:lang w:val="es-ES" w:eastAsia="es-MX"/>
        </w:rPr>
      </w:pPr>
      <w:r w:rsidRPr="00242082">
        <w:rPr>
          <w:rFonts w:eastAsia="Calibri" w:cs="Tahoma"/>
          <w:color w:val="000000"/>
          <w:lang w:eastAsia="es-MX"/>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242082">
        <w:rPr>
          <w:rFonts w:eastAsia="Calibri" w:cs="Tahoma"/>
          <w:color w:val="000000"/>
          <w:lang w:eastAsia="es-MX"/>
        </w:rPr>
        <w:t>./</w:t>
      </w:r>
      <w:proofErr w:type="gramEnd"/>
      <w:r w:rsidRPr="00242082">
        <w:rPr>
          <w:rFonts w:eastAsia="Calibri" w:cs="Tahoma"/>
          <w:color w:val="000000"/>
          <w:lang w:eastAsia="es-MX"/>
        </w:rPr>
        <w:t>J. 163/2005</w:t>
      </w:r>
      <w:r w:rsidRPr="00242082">
        <w:rPr>
          <w:rFonts w:eastAsia="Calibri" w:cs="Tahoma"/>
          <w:b/>
          <w:bCs/>
          <w:color w:val="000000"/>
          <w:lang w:eastAsia="es-MX"/>
        </w:rPr>
        <w:t xml:space="preserve"> </w:t>
      </w:r>
      <w:r w:rsidRPr="00242082">
        <w:rPr>
          <w:rFonts w:eastAsia="Calibri" w:cs="Tahoma"/>
          <w:color w:val="000000"/>
          <w:lang w:eastAsia="es-MX"/>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52B897E0" w14:textId="77777777" w:rsidR="00C853D1" w:rsidRPr="00242082" w:rsidRDefault="00C853D1" w:rsidP="009E7481">
      <w:pPr>
        <w:autoSpaceDE w:val="0"/>
        <w:autoSpaceDN w:val="0"/>
        <w:adjustRightInd w:val="0"/>
        <w:spacing w:after="0" w:line="360" w:lineRule="auto"/>
        <w:rPr>
          <w:rFonts w:eastAsia="Calibri" w:cs="Tahoma"/>
          <w:color w:val="000000"/>
          <w:lang w:eastAsia="es-MX"/>
        </w:rPr>
      </w:pPr>
    </w:p>
    <w:p w14:paraId="42DBAD8B" w14:textId="1C879A30" w:rsidR="00C853D1" w:rsidRPr="00242082" w:rsidRDefault="00C853D1" w:rsidP="009E7481">
      <w:pPr>
        <w:autoSpaceDE w:val="0"/>
        <w:autoSpaceDN w:val="0"/>
        <w:adjustRightInd w:val="0"/>
        <w:spacing w:after="0" w:line="360" w:lineRule="auto"/>
        <w:rPr>
          <w:rFonts w:eastAsia="Calibri" w:cs="Tahoma"/>
          <w:color w:val="000000"/>
          <w:lang w:eastAsia="es-MX"/>
        </w:rPr>
      </w:pPr>
      <w:r w:rsidRPr="00242082">
        <w:rPr>
          <w:rFonts w:eastAsia="Calibri" w:cs="Tahoma"/>
          <w:color w:val="000000"/>
          <w:lang w:eastAsia="es-MX"/>
        </w:rPr>
        <w:lastRenderedPageBreak/>
        <w:t xml:space="preserve">En el presente caso, </w:t>
      </w:r>
      <w:r w:rsidRPr="00242082">
        <w:rPr>
          <w:rFonts w:eastAsia="Calibri" w:cs="Tahoma"/>
          <w:b/>
          <w:color w:val="000000"/>
          <w:lang w:eastAsia="es-MX"/>
        </w:rPr>
        <w:t>no se actualiza ninguna de las causales de improcedencia</w:t>
      </w:r>
      <w:r w:rsidRPr="00242082">
        <w:rPr>
          <w:rFonts w:eastAsia="Calibri" w:cs="Tahoma"/>
          <w:color w:val="000000"/>
          <w:lang w:eastAsia="es-MX"/>
        </w:rPr>
        <w:t xml:space="preserve"> establecidas en el ordenamiento jurídico previamente señalado, toda vez que este Instituto no tiene conocimiento de que se encuentre en trámite algún medio de defensa presentado por </w:t>
      </w:r>
      <w:r w:rsidR="005B1631" w:rsidRPr="00242082">
        <w:rPr>
          <w:rFonts w:eastAsia="Calibri" w:cs="Tahoma"/>
          <w:color w:val="000000"/>
          <w:lang w:eastAsia="es-MX"/>
        </w:rPr>
        <w:t xml:space="preserve">la </w:t>
      </w:r>
      <w:r w:rsidRPr="00242082">
        <w:rPr>
          <w:rFonts w:eastAsia="Calibri" w:cs="Tahoma"/>
          <w:color w:val="000000"/>
          <w:lang w:eastAsia="es-MX"/>
        </w:rPr>
        <w:t>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3577CA43" w14:textId="31F1E5FD" w:rsidR="00C853D1" w:rsidRPr="00242082" w:rsidRDefault="00DD116F" w:rsidP="009E7481">
      <w:pPr>
        <w:spacing w:after="0" w:line="360" w:lineRule="auto"/>
        <w:rPr>
          <w:rFonts w:eastAsia="Calibri" w:cs="Tahoma"/>
          <w:color w:val="000000"/>
          <w:lang w:eastAsia="es-MX"/>
        </w:rPr>
      </w:pPr>
      <w:r w:rsidRPr="00242082">
        <w:rPr>
          <w:rFonts w:eastAsia="Times New Roman" w:cs="Tahoma"/>
          <w:color w:val="auto"/>
          <w:lang w:eastAsia="es-ES"/>
        </w:rPr>
        <w:t xml:space="preserve">Asimismo, </w:t>
      </w:r>
      <w:r w:rsidR="00C853D1" w:rsidRPr="00242082">
        <w:rPr>
          <w:rFonts w:eastAsia="Times New Roman" w:cs="Tahoma"/>
          <w:color w:val="auto"/>
          <w:lang w:eastAsia="es-ES"/>
        </w:rPr>
        <w:t>se actualiza la causal de procedencia del Recurso de Revisión señalada en el artículo 179, fracc</w:t>
      </w:r>
      <w:r w:rsidR="00A364DB">
        <w:rPr>
          <w:rFonts w:eastAsia="Times New Roman" w:cs="Tahoma"/>
          <w:color w:val="auto"/>
          <w:lang w:eastAsia="es-ES"/>
        </w:rPr>
        <w:t xml:space="preserve">ión </w:t>
      </w:r>
      <w:r w:rsidR="00F80F48" w:rsidRPr="00242082">
        <w:rPr>
          <w:rFonts w:eastAsia="Times New Roman" w:cs="Tahoma"/>
          <w:color w:val="auto"/>
          <w:lang w:eastAsia="es-ES"/>
        </w:rPr>
        <w:t>V</w:t>
      </w:r>
      <w:r w:rsidR="00682222" w:rsidRPr="00242082">
        <w:rPr>
          <w:rFonts w:eastAsia="Times New Roman" w:cs="Tahoma"/>
          <w:color w:val="auto"/>
          <w:lang w:eastAsia="es-ES"/>
        </w:rPr>
        <w:t>,</w:t>
      </w:r>
      <w:r w:rsidR="00C853D1" w:rsidRPr="00242082">
        <w:rPr>
          <w:rFonts w:eastAsia="Times New Roman" w:cs="Tahoma"/>
          <w:color w:val="auto"/>
          <w:lang w:eastAsia="es-ES"/>
        </w:rPr>
        <w:t xml:space="preserve"> de la Ley en cita, </w:t>
      </w:r>
      <w:r w:rsidR="00C853D1" w:rsidRPr="00242082">
        <w:rPr>
          <w:rFonts w:eastAsia="Calibri" w:cs="Tahoma"/>
          <w:color w:val="000000"/>
          <w:lang w:eastAsia="es-MX"/>
        </w:rPr>
        <w:t>pues la Recurrente se inconformó</w:t>
      </w:r>
      <w:r w:rsidR="00D85A7D" w:rsidRPr="00242082">
        <w:rPr>
          <w:rFonts w:eastAsia="Calibri" w:cs="Tahoma"/>
          <w:color w:val="000000"/>
          <w:lang w:eastAsia="es-MX"/>
        </w:rPr>
        <w:t xml:space="preserve"> </w:t>
      </w:r>
      <w:r w:rsidR="00F80F48" w:rsidRPr="00242082">
        <w:rPr>
          <w:rFonts w:eastAsia="Calibri" w:cs="Tahoma"/>
          <w:color w:val="000000"/>
          <w:lang w:eastAsia="es-MX"/>
        </w:rPr>
        <w:t xml:space="preserve">con la entrega de información </w:t>
      </w:r>
      <w:r w:rsidR="009B426E" w:rsidRPr="00242082">
        <w:rPr>
          <w:rFonts w:eastAsia="Calibri" w:cs="Tahoma"/>
          <w:color w:val="000000"/>
          <w:lang w:eastAsia="es-MX"/>
        </w:rPr>
        <w:t>incomplet</w:t>
      </w:r>
      <w:r w:rsidR="00A364DB">
        <w:rPr>
          <w:rFonts w:eastAsia="Calibri" w:cs="Tahoma"/>
          <w:color w:val="000000"/>
          <w:lang w:eastAsia="es-MX"/>
        </w:rPr>
        <w:t xml:space="preserve">a. </w:t>
      </w:r>
    </w:p>
    <w:p w14:paraId="4F68954C" w14:textId="77777777" w:rsidR="006A0724" w:rsidRPr="00242082" w:rsidRDefault="006A0724" w:rsidP="009E7481">
      <w:pPr>
        <w:spacing w:after="0" w:line="360" w:lineRule="auto"/>
        <w:rPr>
          <w:rFonts w:eastAsia="Calibri" w:cs="Tahoma"/>
          <w:color w:val="000000"/>
          <w:lang w:eastAsia="es-MX"/>
        </w:rPr>
      </w:pPr>
    </w:p>
    <w:p w14:paraId="4F973625" w14:textId="77777777" w:rsidR="00C853D1" w:rsidRPr="00242082" w:rsidRDefault="00C853D1" w:rsidP="009E7481">
      <w:pPr>
        <w:spacing w:after="0" w:line="360" w:lineRule="auto"/>
        <w:rPr>
          <w:rFonts w:eastAsia="Times New Roman" w:cs="Tahoma"/>
          <w:b/>
          <w:bCs/>
          <w:color w:val="auto"/>
          <w:lang w:eastAsia="es-ES"/>
        </w:rPr>
      </w:pPr>
      <w:r w:rsidRPr="00242082">
        <w:rPr>
          <w:rFonts w:eastAsia="Times New Roman" w:cs="Tahoma"/>
          <w:b/>
          <w:bCs/>
          <w:color w:val="auto"/>
          <w:lang w:eastAsia="es-ES"/>
        </w:rPr>
        <w:t>Causales de sobreseimiento.</w:t>
      </w:r>
    </w:p>
    <w:p w14:paraId="3FF75C55" w14:textId="77777777" w:rsidR="00CD573E" w:rsidRPr="00242082" w:rsidRDefault="00CD573E" w:rsidP="009E7481">
      <w:pPr>
        <w:spacing w:after="0" w:line="360" w:lineRule="auto"/>
        <w:rPr>
          <w:rFonts w:eastAsia="Times New Roman" w:cs="Tahoma"/>
          <w:b/>
          <w:bCs/>
          <w:color w:val="auto"/>
          <w:lang w:eastAsia="es-ES"/>
        </w:rPr>
      </w:pPr>
    </w:p>
    <w:p w14:paraId="77050B85" w14:textId="77777777" w:rsidR="00C853D1" w:rsidRPr="00242082" w:rsidRDefault="00C853D1" w:rsidP="009E7481">
      <w:pPr>
        <w:spacing w:after="0" w:line="360" w:lineRule="auto"/>
        <w:rPr>
          <w:rFonts w:eastAsia="Times New Roman" w:cs="Tahoma"/>
          <w:color w:val="auto"/>
          <w:szCs w:val="24"/>
          <w:lang w:eastAsia="es-ES"/>
        </w:rPr>
      </w:pPr>
      <w:r w:rsidRPr="00242082">
        <w:rPr>
          <w:rFonts w:eastAsia="Times New Roman" w:cs="Tahoma"/>
          <w:color w:val="auto"/>
          <w:szCs w:val="24"/>
          <w:lang w:eastAsia="es-ES"/>
        </w:rPr>
        <w:t>Por ser de previo y especial pronunciamiento, este Instituto analiza si se actualiza alguna causal de sobreseimiento.</w:t>
      </w:r>
    </w:p>
    <w:p w14:paraId="1797E49B" w14:textId="77777777" w:rsidR="00C853D1" w:rsidRPr="00242082" w:rsidRDefault="00C853D1" w:rsidP="009E7481">
      <w:pPr>
        <w:spacing w:after="0" w:line="360" w:lineRule="auto"/>
        <w:rPr>
          <w:rFonts w:eastAsia="Times New Roman" w:cs="Tahoma"/>
          <w:color w:val="auto"/>
          <w:szCs w:val="24"/>
          <w:lang w:eastAsia="es-ES"/>
        </w:rPr>
      </w:pPr>
    </w:p>
    <w:p w14:paraId="3929C861" w14:textId="79ED2BC0" w:rsidR="00C853D1" w:rsidRPr="00242082" w:rsidRDefault="00C853D1" w:rsidP="009E7481">
      <w:pPr>
        <w:spacing w:after="0" w:line="360" w:lineRule="auto"/>
        <w:rPr>
          <w:rFonts w:eastAsia="Times New Roman" w:cs="Tahoma"/>
          <w:color w:val="auto"/>
          <w:szCs w:val="24"/>
          <w:lang w:eastAsia="es-ES"/>
        </w:rPr>
      </w:pPr>
      <w:r w:rsidRPr="00242082">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w:t>
      </w:r>
      <w:r w:rsidR="005B1631" w:rsidRPr="00242082">
        <w:rPr>
          <w:rFonts w:eastAsia="Times New Roman" w:cs="Tahoma"/>
          <w:color w:val="auto"/>
          <w:szCs w:val="24"/>
          <w:lang w:eastAsia="es-ES"/>
        </w:rPr>
        <w:t>la</w:t>
      </w:r>
      <w:r w:rsidRPr="00242082">
        <w:rPr>
          <w:rFonts w:eastAsia="Times New Roman" w:cs="Tahoma"/>
          <w:color w:val="auto"/>
          <w:szCs w:val="24"/>
          <w:lang w:eastAsia="es-ES"/>
        </w:rPr>
        <w:t xml:space="preserve"> Recurrente se haya desistido del recurso, haya fallecido, sobreviniera alguna causal de improcedencia, que el Sujeto Obligado hubiese modificado o revocado el acto impugnado o bien, haya quedado sin materia.</w:t>
      </w:r>
    </w:p>
    <w:p w14:paraId="12F90250" w14:textId="77777777" w:rsidR="00C853D1" w:rsidRPr="00242082" w:rsidRDefault="00C853D1" w:rsidP="009E7481">
      <w:pPr>
        <w:spacing w:after="0" w:line="360" w:lineRule="auto"/>
        <w:rPr>
          <w:rFonts w:eastAsia="Times New Roman" w:cs="Tahoma"/>
          <w:color w:val="auto"/>
          <w:szCs w:val="24"/>
          <w:lang w:eastAsia="es-ES"/>
        </w:rPr>
      </w:pPr>
    </w:p>
    <w:p w14:paraId="75DA7F11" w14:textId="77777777" w:rsidR="00C853D1" w:rsidRPr="00242082" w:rsidRDefault="00C853D1" w:rsidP="009E7481">
      <w:pPr>
        <w:spacing w:after="0" w:line="360" w:lineRule="auto"/>
        <w:rPr>
          <w:rFonts w:eastAsia="Times New Roman" w:cs="Tahoma"/>
          <w:color w:val="auto"/>
          <w:szCs w:val="24"/>
          <w:lang w:val="es-ES" w:eastAsia="es-ES"/>
        </w:rPr>
      </w:pPr>
      <w:r w:rsidRPr="00242082">
        <w:rPr>
          <w:rFonts w:eastAsia="Times New Roman" w:cs="Tahoma"/>
          <w:bCs/>
          <w:color w:val="auto"/>
          <w:szCs w:val="24"/>
          <w:lang w:val="es-ES" w:eastAsia="es-ES"/>
        </w:rPr>
        <w:t xml:space="preserve">Por tales motivos, </w:t>
      </w:r>
      <w:r w:rsidRPr="00242082">
        <w:rPr>
          <w:rFonts w:eastAsia="Times New Roman" w:cs="Tahoma"/>
          <w:color w:val="auto"/>
          <w:szCs w:val="24"/>
          <w:lang w:val="es-ES" w:eastAsia="es-ES"/>
        </w:rPr>
        <w:t>se considera procedente entrar al fondo del presente asunto.</w:t>
      </w:r>
    </w:p>
    <w:p w14:paraId="5A499E5E" w14:textId="77777777" w:rsidR="00C853D1" w:rsidRPr="00242082" w:rsidRDefault="00C853D1" w:rsidP="009E7481">
      <w:pPr>
        <w:spacing w:after="0" w:line="360" w:lineRule="auto"/>
      </w:pPr>
    </w:p>
    <w:p w14:paraId="554D6B44" w14:textId="77777777"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2" w:name="_Toc193363651"/>
      <w:r w:rsidRPr="00D526FB">
        <w:rPr>
          <w:rFonts w:ascii="Palatino Linotype" w:eastAsia="Times New Roman" w:hAnsi="Palatino Linotype"/>
          <w:b/>
          <w:bCs/>
          <w:color w:val="auto"/>
          <w:sz w:val="22"/>
          <w:szCs w:val="22"/>
          <w:lang w:val="es-ES" w:eastAsia="es-ES"/>
        </w:rPr>
        <w:t>TERCERO. Determinación de la Controversia.</w:t>
      </w:r>
      <w:bookmarkEnd w:id="12"/>
      <w:r w:rsidRPr="00D526FB">
        <w:rPr>
          <w:rFonts w:ascii="Palatino Linotype" w:eastAsia="Times New Roman" w:hAnsi="Palatino Linotype"/>
          <w:b/>
          <w:bCs/>
          <w:color w:val="auto"/>
          <w:sz w:val="22"/>
          <w:szCs w:val="22"/>
          <w:lang w:val="es-ES" w:eastAsia="es-ES"/>
        </w:rPr>
        <w:t xml:space="preserve"> </w:t>
      </w:r>
    </w:p>
    <w:p w14:paraId="1618F7DB" w14:textId="77777777" w:rsidR="00C853D1" w:rsidRPr="00242082" w:rsidRDefault="00C853D1" w:rsidP="009E7481">
      <w:pPr>
        <w:autoSpaceDE w:val="0"/>
        <w:autoSpaceDN w:val="0"/>
        <w:adjustRightInd w:val="0"/>
        <w:spacing w:after="0" w:line="360" w:lineRule="auto"/>
        <w:rPr>
          <w:rFonts w:eastAsia="Calibri" w:cs="Tahoma"/>
          <w:color w:val="000000"/>
          <w:szCs w:val="24"/>
          <w:lang w:val="es-ES" w:eastAsia="es-MX"/>
        </w:rPr>
      </w:pPr>
    </w:p>
    <w:p w14:paraId="37FBD712" w14:textId="1A6792E2" w:rsidR="00F96A7D" w:rsidRPr="00242082" w:rsidRDefault="00CD573E" w:rsidP="009E7481">
      <w:pPr>
        <w:autoSpaceDE w:val="0"/>
        <w:autoSpaceDN w:val="0"/>
        <w:adjustRightInd w:val="0"/>
        <w:spacing w:after="0" w:line="360" w:lineRule="auto"/>
        <w:rPr>
          <w:rFonts w:eastAsia="Calibri" w:cs="Tahoma"/>
          <w:color w:val="000000"/>
          <w:szCs w:val="24"/>
          <w:lang w:val="es-ES" w:eastAsia="es-MX"/>
        </w:rPr>
      </w:pPr>
      <w:r w:rsidRPr="00A364DB">
        <w:rPr>
          <w:rFonts w:eastAsia="Calibri" w:cs="Tahoma"/>
          <w:color w:val="000000"/>
          <w:szCs w:val="24"/>
          <w:lang w:val="es-ES" w:eastAsia="es-MX"/>
        </w:rPr>
        <w:lastRenderedPageBreak/>
        <w:t>Una vez realizado el estudio de las constancias que obran en el expediente electrónico en el que se actúa, se advierte</w:t>
      </w:r>
      <w:r w:rsidR="00722C8D" w:rsidRPr="00A364DB">
        <w:rPr>
          <w:rFonts w:eastAsia="Calibri" w:cs="Tahoma"/>
          <w:color w:val="000000"/>
          <w:szCs w:val="24"/>
          <w:lang w:val="es-ES" w:eastAsia="es-MX"/>
        </w:rPr>
        <w:t xml:space="preserve"> </w:t>
      </w:r>
      <w:r w:rsidR="00A364DB">
        <w:rPr>
          <w:rFonts w:eastAsia="Calibri" w:cs="Tahoma"/>
          <w:color w:val="000000"/>
          <w:szCs w:val="24"/>
          <w:lang w:val="es-ES" w:eastAsia="es-MX"/>
        </w:rPr>
        <w:t xml:space="preserve">que el Recurrente requirió los recibos de la primera y segunda quincena de enero de dos mil veinticinco de diversos Servidores Públicos y las altas de los servidores públicos que entraron por sustitución en el año dos mil veinticuatro. </w:t>
      </w:r>
    </w:p>
    <w:p w14:paraId="06990D1A" w14:textId="1AAE9579" w:rsidR="00F96A7D" w:rsidRDefault="00F96A7D" w:rsidP="009E7481">
      <w:pPr>
        <w:autoSpaceDE w:val="0"/>
        <w:autoSpaceDN w:val="0"/>
        <w:adjustRightInd w:val="0"/>
        <w:spacing w:after="0" w:line="360" w:lineRule="auto"/>
        <w:rPr>
          <w:rFonts w:eastAsia="Calibri" w:cs="Tahoma"/>
          <w:color w:val="000000"/>
          <w:szCs w:val="24"/>
          <w:lang w:val="es-ES" w:eastAsia="es-MX"/>
        </w:rPr>
      </w:pPr>
    </w:p>
    <w:p w14:paraId="0E4A2C3C" w14:textId="66380117" w:rsidR="003E283D" w:rsidRPr="003E283D" w:rsidRDefault="003E283D" w:rsidP="009E7481">
      <w:pPr>
        <w:widowControl w:val="0"/>
        <w:spacing w:after="0" w:line="360" w:lineRule="auto"/>
        <w:rPr>
          <w:rFonts w:eastAsia="Palatino Linotype" w:cs="Palatino Linotype"/>
          <w:color w:val="000000"/>
          <w:lang w:eastAsia="es-MX"/>
        </w:rPr>
      </w:pPr>
      <w:r w:rsidRPr="003E283D">
        <w:rPr>
          <w:rFonts w:eastAsia="Palatino Linotype" w:cs="Palatino Linotype"/>
          <w:color w:val="000000"/>
          <w:lang w:eastAsia="es-MX"/>
        </w:rPr>
        <w:t>En respuesta, el Sujeto Obligado, pr</w:t>
      </w:r>
      <w:r>
        <w:rPr>
          <w:rFonts w:eastAsia="Palatino Linotype" w:cs="Palatino Linotype"/>
          <w:color w:val="000000"/>
          <w:lang w:eastAsia="es-MX"/>
        </w:rPr>
        <w:t xml:space="preserve">oporcionó </w:t>
      </w:r>
      <w:r w:rsidRPr="003E283D">
        <w:rPr>
          <w:rFonts w:eastAsia="Palatino Linotype" w:cs="Palatino Linotype"/>
          <w:color w:val="000000"/>
          <w:lang w:eastAsia="es-MX"/>
        </w:rPr>
        <w:t xml:space="preserve">a través de la </w:t>
      </w:r>
      <w:r>
        <w:rPr>
          <w:rFonts w:eastAsia="Palatino Linotype" w:cs="Palatino Linotype"/>
          <w:color w:val="000000"/>
          <w:lang w:eastAsia="es-MX"/>
        </w:rPr>
        <w:t xml:space="preserve">Tesorería Municipal </w:t>
      </w:r>
      <w:r w:rsidR="00855E1D">
        <w:rPr>
          <w:rFonts w:eastAsia="Palatino Linotype" w:cs="Palatino Linotype"/>
          <w:color w:val="000000"/>
          <w:lang w:eastAsia="es-MX"/>
        </w:rPr>
        <w:t xml:space="preserve">los CFDI del personal solicitado, sin embargo precisó que no localizó información de dos personas referidas en la solicitud </w:t>
      </w:r>
      <w:r w:rsidRPr="003E283D">
        <w:rPr>
          <w:rFonts w:eastAsia="Palatino Linotype" w:cs="Palatino Linotype"/>
          <w:color w:val="000000"/>
          <w:lang w:eastAsia="es-MX"/>
        </w:rPr>
        <w:t xml:space="preserve">, mientras que la </w:t>
      </w:r>
      <w:r w:rsidR="00855E1D">
        <w:rPr>
          <w:rFonts w:eastAsia="Palatino Linotype" w:cs="Palatino Linotype"/>
          <w:color w:val="000000"/>
          <w:lang w:eastAsia="es-MX"/>
        </w:rPr>
        <w:t xml:space="preserve">Dirección de Administración proporcionó un listado de </w:t>
      </w:r>
      <w:r w:rsidR="00291347">
        <w:rPr>
          <w:rFonts w:eastAsia="Palatino Linotype" w:cs="Palatino Linotype"/>
          <w:color w:val="000000"/>
          <w:lang w:eastAsia="es-MX"/>
        </w:rPr>
        <w:t>las altas de los servidores públicos por sustitución de dos mil veinticuatro</w:t>
      </w:r>
      <w:r w:rsidRPr="003E283D">
        <w:rPr>
          <w:rFonts w:eastAsia="Palatino Linotype" w:cs="Palatino Linotype"/>
          <w:color w:val="000000"/>
          <w:lang w:eastAsia="es-MX"/>
        </w:rPr>
        <w:t xml:space="preserve">, ante dicha circunstancia el Particular se inconformó de </w:t>
      </w:r>
      <w:r w:rsidR="00291347">
        <w:rPr>
          <w:rFonts w:eastAsia="Palatino Linotype" w:cs="Palatino Linotype"/>
          <w:color w:val="000000"/>
          <w:lang w:eastAsia="es-MX"/>
        </w:rPr>
        <w:t>la entregad de información incompleta</w:t>
      </w:r>
      <w:r w:rsidRPr="003E283D">
        <w:rPr>
          <w:rFonts w:eastAsia="Palatino Linotype" w:cs="Palatino Linotype"/>
          <w:color w:val="000000"/>
          <w:lang w:eastAsia="es-MX"/>
        </w:rPr>
        <w:t>,</w:t>
      </w:r>
      <w:r w:rsidR="00996D93">
        <w:rPr>
          <w:rFonts w:eastAsia="Palatino Linotype" w:cs="Palatino Linotype"/>
          <w:color w:val="000000"/>
          <w:lang w:eastAsia="es-MX"/>
        </w:rPr>
        <w:t xml:space="preserve"> al precisar que faltan CFDI, </w:t>
      </w:r>
      <w:r w:rsidRPr="003E283D">
        <w:rPr>
          <w:rFonts w:eastAsia="Palatino Linotype" w:cs="Palatino Linotype"/>
          <w:color w:val="000000"/>
          <w:lang w:eastAsia="es-MX"/>
        </w:rPr>
        <w:t>lo cual actualiza el supuesto de procedencia establecido en el artículo 179, fracción V</w:t>
      </w:r>
      <w:r w:rsidR="00291347">
        <w:rPr>
          <w:rFonts w:eastAsia="Palatino Linotype" w:cs="Palatino Linotype"/>
          <w:color w:val="000000"/>
          <w:lang w:eastAsia="es-MX"/>
        </w:rPr>
        <w:t>,</w:t>
      </w:r>
      <w:r w:rsidRPr="003E283D">
        <w:rPr>
          <w:rFonts w:eastAsia="Palatino Linotype" w:cs="Palatino Linotype"/>
          <w:color w:val="000000"/>
          <w:lang w:eastAsia="es-MX"/>
        </w:rPr>
        <w:t xml:space="preserve"> de la Ley de Transparencia y Acceso a la Información Pública del Estado de México y Municipios. Así las cosas, una vez admitido y notificado el Recurso de Revisión a las partes, el Sujeto Obligado ratificó su respuesta, cabe precisar que el Recurrente fue omiso en manifestarse. </w:t>
      </w:r>
    </w:p>
    <w:p w14:paraId="6214EF0E" w14:textId="77777777" w:rsidR="00996D93" w:rsidRPr="00996D93" w:rsidRDefault="00996D93" w:rsidP="009E7481">
      <w:pPr>
        <w:spacing w:after="0" w:line="360" w:lineRule="auto"/>
        <w:ind w:right="-28"/>
        <w:rPr>
          <w:rFonts w:eastAsia="Palatino Linotype" w:cs="Palatino Linotype"/>
          <w:color w:val="000000"/>
        </w:rPr>
      </w:pPr>
    </w:p>
    <w:p w14:paraId="5823C3E7" w14:textId="163B48C4"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 xml:space="preserve">Conforme a lo anterior, se logra vislumbrar que el ahora Recurrente no se agravió respecto </w:t>
      </w:r>
      <w:r>
        <w:rPr>
          <w:rFonts w:eastAsia="Times New Roman" w:cs="Times New Roman"/>
          <w:color w:val="000000"/>
          <w:lang w:eastAsia="es-ES_tradnl"/>
        </w:rPr>
        <w:t>a las altas de los servidores públicos</w:t>
      </w:r>
      <w:r w:rsidRPr="00996D93">
        <w:t xml:space="preserve"> </w:t>
      </w:r>
      <w:r w:rsidRPr="00996D93">
        <w:rPr>
          <w:rFonts w:eastAsia="Times New Roman" w:cs="Times New Roman"/>
          <w:color w:val="000000"/>
          <w:lang w:eastAsia="es-ES_tradnl"/>
        </w:rPr>
        <w:t>que entraron por sustitución en el año dos mil veinticuatro</w:t>
      </w:r>
      <w:r w:rsidRPr="00996D93">
        <w:rPr>
          <w:rFonts w:eastAsia="Calibri" w:cs="Tahoma"/>
          <w:color w:val="000000"/>
          <w:szCs w:val="24"/>
          <w:lang w:val="es-ES" w:eastAsia="es-MX"/>
        </w:rPr>
        <w:t>; p</w:t>
      </w:r>
      <w:proofErr w:type="spellStart"/>
      <w:r w:rsidRPr="00996D93">
        <w:rPr>
          <w:rFonts w:eastAsia="Times New Roman" w:cs="Times New Roman"/>
          <w:color w:val="000000"/>
          <w:lang w:eastAsia="es-ES_tradnl"/>
        </w:rPr>
        <w:t>or</w:t>
      </w:r>
      <w:proofErr w:type="spellEnd"/>
      <w:r>
        <w:rPr>
          <w:rFonts w:eastAsia="Times New Roman" w:cs="Times New Roman"/>
          <w:color w:val="000000"/>
          <w:lang w:eastAsia="es-ES_tradnl"/>
        </w:rPr>
        <w:t xml:space="preserve"> </w:t>
      </w:r>
      <w:r w:rsidRPr="00996D93">
        <w:rPr>
          <w:rFonts w:eastAsia="Times New Roman" w:cs="Times New Roman"/>
          <w:color w:val="000000"/>
          <w:lang w:eastAsia="es-ES_tradnl"/>
        </w:rPr>
        <w:t xml:space="preserve">lo que, no se hará pronunciamiento alguno, respecto a la </w:t>
      </w:r>
      <w:r>
        <w:rPr>
          <w:rFonts w:eastAsia="Times New Roman" w:cs="Times New Roman"/>
          <w:color w:val="000000"/>
          <w:lang w:eastAsia="es-ES_tradnl"/>
        </w:rPr>
        <w:t>información</w:t>
      </w:r>
      <w:r w:rsidRPr="00996D93">
        <w:rPr>
          <w:rFonts w:eastAsia="Times New Roman" w:cs="Times New Roman"/>
          <w:color w:val="000000"/>
          <w:lang w:eastAsia="es-ES_tradnl"/>
        </w:rPr>
        <w:t xml:space="preserve">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996D93">
        <w:rPr>
          <w:rFonts w:eastAsia="Times New Roman" w:cs="Times New Roman"/>
          <w:b/>
          <w:bCs/>
          <w:color w:val="000000"/>
          <w:lang w:eastAsia="es-ES_tradnl"/>
        </w:rPr>
        <w:t>los actos que se hayan consentido tácitamente,</w:t>
      </w:r>
      <w:r w:rsidRPr="00996D93">
        <w:rPr>
          <w:rFonts w:eastAsia="Times New Roman" w:cs="Times New Roman"/>
          <w:color w:val="000000"/>
          <w:lang w:eastAsia="es-ES_tradnl"/>
        </w:rPr>
        <w:t> entendiéndose por estos cuando el agravio no se haya promovido en el plazo señalado para el efecto.</w:t>
      </w:r>
    </w:p>
    <w:p w14:paraId="6F1F4A42" w14:textId="77777777"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 </w:t>
      </w:r>
    </w:p>
    <w:p w14:paraId="1E70C1E9" w14:textId="77777777"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De la misma manera resulta aplicable el criterio sostenido por el Poder Judicial de la Federación de rubro </w:t>
      </w:r>
      <w:r w:rsidRPr="00996D93">
        <w:rPr>
          <w:rFonts w:eastAsia="Times New Roman" w:cs="Times New Roman"/>
          <w:b/>
          <w:bCs/>
          <w:color w:val="000000"/>
          <w:lang w:eastAsia="es-ES_tradnl"/>
        </w:rPr>
        <w:t>ACTOS CONSENTIDOS TÁCITAMENTE</w:t>
      </w:r>
      <w:r w:rsidRPr="00996D93">
        <w:rPr>
          <w:rFonts w:eastAsia="Times New Roman" w:cs="Times New Roman"/>
          <w:color w:val="000000"/>
          <w:lang w:eastAsia="es-ES_tradnl"/>
        </w:rPr>
        <w:t xml:space="preserve">, Tesis VI.2o. J/21, emitida en la novena </w:t>
      </w:r>
      <w:r w:rsidRPr="00996D93">
        <w:rPr>
          <w:rFonts w:eastAsia="Times New Roman" w:cs="Times New Roman"/>
          <w:color w:val="000000"/>
          <w:lang w:eastAsia="es-ES_tradnl"/>
        </w:rPr>
        <w:lastRenderedPageBreak/>
        <w:t>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6CBCBE7" w14:textId="77777777"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 </w:t>
      </w:r>
    </w:p>
    <w:p w14:paraId="335A48F7" w14:textId="77777777"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29AE02B9" w14:textId="77777777"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 </w:t>
      </w:r>
    </w:p>
    <w:p w14:paraId="13AB48A1" w14:textId="12A1EFD2"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 xml:space="preserve">Asimismo, resulta relevante traer a colación el </w:t>
      </w:r>
      <w:r w:rsidRPr="00996D93">
        <w:rPr>
          <w:rFonts w:eastAsia="Calibri" w:cs="Tahoma"/>
          <w:bCs/>
          <w:color w:val="auto"/>
          <w:lang w:val="es-ES"/>
        </w:rPr>
        <w:t xml:space="preserve">Criterio de Interpretación, de la Segunda Época, con número de registro </w:t>
      </w:r>
      <w:r w:rsidRPr="00996D93">
        <w:rPr>
          <w:rFonts w:eastAsia="Calibri" w:cs="Tahoma"/>
          <w:bCs/>
          <w:color w:val="auto"/>
        </w:rPr>
        <w:t>SO/001/2020</w:t>
      </w:r>
      <w:r w:rsidRPr="00996D93">
        <w:rPr>
          <w:rFonts w:eastAsia="Times New Roman" w:cs="Times New Roman"/>
          <w:color w:val="000000"/>
          <w:lang w:eastAsia="es-ES_tradnl"/>
        </w:rPr>
        <w:t xml:space="preserve">, </w:t>
      </w:r>
      <w:r w:rsidR="00127FD5">
        <w:rPr>
          <w:rFonts w:eastAsia="Times New Roman" w:cs="Times New Roman"/>
          <w:color w:val="000000"/>
          <w:lang w:eastAsia="es-ES_tradnl"/>
        </w:rPr>
        <w:t>emitido por el entonces Instituto Nacional de Transparencia</w:t>
      </w:r>
      <w:r w:rsidRPr="00996D93">
        <w:rPr>
          <w:rFonts w:eastAsia="Times New Roman" w:cs="Times New Roman"/>
          <w:color w:val="000000"/>
          <w:lang w:eastAsia="es-ES_tradnl"/>
        </w:rPr>
        <w:t>, Acceso a la Información y Protección de Datos Personales, que establece lo siguiente:</w:t>
      </w:r>
    </w:p>
    <w:p w14:paraId="2D0DFEAA" w14:textId="77777777" w:rsidR="00996D93" w:rsidRPr="00996D93" w:rsidRDefault="00996D93" w:rsidP="009E7481">
      <w:pPr>
        <w:spacing w:after="0" w:line="360" w:lineRule="auto"/>
        <w:rPr>
          <w:rFonts w:eastAsia="Times New Roman" w:cs="Times New Roman"/>
          <w:color w:val="000000"/>
          <w:lang w:eastAsia="es-ES_tradnl"/>
        </w:rPr>
      </w:pPr>
      <w:r w:rsidRPr="00996D93">
        <w:rPr>
          <w:rFonts w:eastAsia="Times New Roman" w:cs="Times New Roman"/>
          <w:color w:val="000000"/>
          <w:lang w:eastAsia="es-ES_tradnl"/>
        </w:rPr>
        <w:t> </w:t>
      </w:r>
    </w:p>
    <w:p w14:paraId="0CEF7FC0" w14:textId="77777777" w:rsidR="00996D93" w:rsidRPr="00996D93" w:rsidRDefault="00996D93" w:rsidP="009E7481">
      <w:pPr>
        <w:spacing w:after="0" w:line="360" w:lineRule="auto"/>
        <w:ind w:left="567" w:right="567"/>
        <w:rPr>
          <w:rFonts w:eastAsia="Times New Roman" w:cs="Times New Roman"/>
          <w:color w:val="000000"/>
          <w:lang w:eastAsia="es-ES_tradnl"/>
        </w:rPr>
      </w:pPr>
      <w:r w:rsidRPr="00996D93">
        <w:rPr>
          <w:rFonts w:eastAsia="Times New Roman" w:cs="Times New Roman"/>
          <w:b/>
          <w:bCs/>
          <w:i/>
          <w:iCs/>
          <w:color w:val="000000"/>
          <w:sz w:val="20"/>
          <w:szCs w:val="20"/>
          <w:lang w:eastAsia="es-ES_tradnl"/>
        </w:rPr>
        <w:t>“Actos consentidos tácitamente. Improcedencia de su análisis. </w:t>
      </w:r>
      <w:r w:rsidRPr="00996D93">
        <w:rPr>
          <w:rFonts w:eastAsia="Times New Roman" w:cs="Times New Roman"/>
          <w:i/>
          <w:iCs/>
          <w:color w:val="000000"/>
          <w:sz w:val="20"/>
          <w:szCs w:val="20"/>
          <w:lang w:eastAsia="es-ES_tradnl"/>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B04A0DF" w14:textId="77777777" w:rsidR="00996D93" w:rsidRPr="00996D93" w:rsidRDefault="00996D93" w:rsidP="009E7481">
      <w:pPr>
        <w:spacing w:after="0" w:line="360" w:lineRule="auto"/>
        <w:rPr>
          <w:rFonts w:eastAsia="Times New Roman" w:cs="Times New Roman"/>
          <w:color w:val="000000"/>
          <w:lang w:eastAsia="es-ES_tradnl"/>
        </w:rPr>
      </w:pPr>
    </w:p>
    <w:p w14:paraId="5E64DC51" w14:textId="7DE5EB96" w:rsidR="00D92134" w:rsidRPr="00D92134" w:rsidRDefault="00996D93" w:rsidP="009E7481">
      <w:pPr>
        <w:spacing w:after="0" w:line="360" w:lineRule="auto"/>
        <w:rPr>
          <w:rFonts w:eastAsia="Times New Roman" w:cs="Times New Roman"/>
          <w:color w:val="000000"/>
          <w:lang w:val="es-ES" w:eastAsia="es-ES_tradnl"/>
        </w:rPr>
      </w:pPr>
      <w:r w:rsidRPr="00996D93">
        <w:rPr>
          <w:rFonts w:eastAsia="Times New Roman" w:cs="Times New Roman"/>
          <w:color w:val="000000"/>
          <w:lang w:eastAsia="es-ES_tradnl"/>
        </w:rPr>
        <w:t xml:space="preserve">Conforme al Criterio establecido, es improcedente entrar al análisis de las partes de la respuesta del Sujeto Obligado que no fueron impugnadas por la Recurrente; por lo que, en el presente caso, se tiene por consentida la información proporcionada por el Ente Recurrido, </w:t>
      </w:r>
      <w:r w:rsidR="00D92134">
        <w:rPr>
          <w:rFonts w:eastAsia="Times New Roman" w:cs="Times New Roman"/>
          <w:color w:val="000000"/>
          <w:lang w:eastAsia="es-ES_tradnl"/>
        </w:rPr>
        <w:t xml:space="preserve">referente a las </w:t>
      </w:r>
      <w:r w:rsidR="00D92134" w:rsidRPr="00D92134">
        <w:rPr>
          <w:rFonts w:eastAsia="Times New Roman" w:cs="Times New Roman"/>
          <w:color w:val="000000"/>
          <w:lang w:val="es-ES" w:eastAsia="es-ES_tradnl"/>
        </w:rPr>
        <w:t xml:space="preserve">altas de los servidores públicos que entraron por sustitución en el año dos mil veinticuatro. </w:t>
      </w:r>
    </w:p>
    <w:p w14:paraId="1A1DADA3" w14:textId="77777777" w:rsidR="00996D93" w:rsidRPr="00996D93" w:rsidRDefault="00996D93" w:rsidP="009E7481">
      <w:pPr>
        <w:spacing w:after="0" w:line="360" w:lineRule="auto"/>
        <w:ind w:right="-28"/>
        <w:rPr>
          <w:rFonts w:eastAsia="Palatino Linotype" w:cs="Palatino Linotype"/>
          <w:color w:val="000000"/>
        </w:rPr>
      </w:pPr>
    </w:p>
    <w:p w14:paraId="7F9B054D" w14:textId="087C7D55" w:rsidR="00996D93" w:rsidRPr="00996D93" w:rsidRDefault="00996D93" w:rsidP="009E7481">
      <w:pPr>
        <w:spacing w:after="0" w:line="360" w:lineRule="auto"/>
        <w:rPr>
          <w:rFonts w:eastAsia="Times New Roman" w:cs="Times New Roman"/>
          <w:color w:val="auto"/>
          <w:lang w:eastAsia="es-ES"/>
        </w:rPr>
      </w:pPr>
      <w:r w:rsidRPr="00996D93">
        <w:rPr>
          <w:rFonts w:eastAsia="Times New Roman" w:cs="Times New Roman"/>
          <w:color w:val="auto"/>
          <w:lang w:eastAsia="es-ES"/>
        </w:rPr>
        <w:t xml:space="preserve">Lo anterior, se desprende de las documentales que obran en el expediente de referencia, materia de la presente resolución, consistentes en: la solicitud de acceso a la información; la </w:t>
      </w:r>
      <w:r w:rsidRPr="00996D93">
        <w:rPr>
          <w:rFonts w:eastAsia="Times New Roman" w:cs="Times New Roman"/>
          <w:color w:val="auto"/>
          <w:lang w:eastAsia="es-ES"/>
        </w:rPr>
        <w:lastRenderedPageBreak/>
        <w:t>respuesta proporcionada</w:t>
      </w:r>
      <w:r w:rsidR="00D92134">
        <w:rPr>
          <w:rFonts w:eastAsia="Times New Roman" w:cs="Times New Roman"/>
          <w:color w:val="auto"/>
          <w:lang w:eastAsia="es-ES"/>
        </w:rPr>
        <w:t xml:space="preserve">, </w:t>
      </w:r>
      <w:r w:rsidRPr="00996D93">
        <w:rPr>
          <w:rFonts w:eastAsia="Times New Roman" w:cs="Times New Roman"/>
          <w:color w:val="auto"/>
          <w:lang w:eastAsia="es-ES"/>
        </w:rPr>
        <w:t xml:space="preserve">el escrito </w:t>
      </w:r>
      <w:proofErr w:type="spellStart"/>
      <w:r w:rsidRPr="00996D93">
        <w:rPr>
          <w:rFonts w:eastAsia="Times New Roman" w:cs="Times New Roman"/>
          <w:color w:val="auto"/>
          <w:lang w:eastAsia="es-ES"/>
        </w:rPr>
        <w:t>recursal</w:t>
      </w:r>
      <w:proofErr w:type="spellEnd"/>
      <w:r w:rsidR="00D92134">
        <w:rPr>
          <w:rFonts w:eastAsia="Times New Roman" w:cs="Times New Roman"/>
          <w:color w:val="auto"/>
          <w:lang w:eastAsia="es-ES"/>
        </w:rPr>
        <w:t xml:space="preserve"> y el Informe con Justificación del Sujeto Obligado</w:t>
      </w:r>
      <w:r w:rsidRPr="00996D93">
        <w:rPr>
          <w:rFonts w:eastAsia="Times New Roman" w:cs="Times New Roman"/>
          <w:color w:val="auto"/>
          <w:lang w:eastAsia="es-ES"/>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5796AF7E" w14:textId="77777777" w:rsidR="00C853D1" w:rsidRPr="00242082" w:rsidRDefault="00C853D1" w:rsidP="009E7481">
      <w:pPr>
        <w:spacing w:after="0" w:line="360" w:lineRule="auto"/>
      </w:pPr>
    </w:p>
    <w:p w14:paraId="4AD760E5" w14:textId="77777777" w:rsidR="00C853D1" w:rsidRPr="00D526FB" w:rsidRDefault="00C853D1" w:rsidP="009E7481">
      <w:pPr>
        <w:pStyle w:val="Ttulo2"/>
        <w:spacing w:before="0" w:line="360" w:lineRule="auto"/>
        <w:rPr>
          <w:rFonts w:ascii="Palatino Linotype" w:eastAsia="Times New Roman" w:hAnsi="Palatino Linotype"/>
          <w:b/>
          <w:bCs/>
          <w:color w:val="auto"/>
          <w:sz w:val="22"/>
          <w:szCs w:val="22"/>
          <w:lang w:eastAsia="es-ES"/>
        </w:rPr>
      </w:pPr>
      <w:bookmarkStart w:id="13" w:name="_Toc193363652"/>
      <w:r w:rsidRPr="00D526FB">
        <w:rPr>
          <w:rFonts w:ascii="Palatino Linotype" w:eastAsia="Times New Roman" w:hAnsi="Palatino Linotype"/>
          <w:b/>
          <w:bCs/>
          <w:color w:val="auto"/>
          <w:sz w:val="22"/>
          <w:szCs w:val="22"/>
          <w:lang w:val="es-ES" w:eastAsia="es-ES"/>
        </w:rPr>
        <w:t xml:space="preserve">CUARTO. </w:t>
      </w:r>
      <w:r w:rsidRPr="00D526FB">
        <w:rPr>
          <w:rFonts w:ascii="Palatino Linotype" w:eastAsia="Times New Roman" w:hAnsi="Palatino Linotype"/>
          <w:b/>
          <w:bCs/>
          <w:color w:val="auto"/>
          <w:sz w:val="22"/>
          <w:szCs w:val="22"/>
          <w:lang w:eastAsia="es-ES"/>
        </w:rPr>
        <w:t>Marco normativo aplicable en materia de transparencia y acceso a la información pública.</w:t>
      </w:r>
      <w:bookmarkEnd w:id="13"/>
    </w:p>
    <w:p w14:paraId="43AD0F27" w14:textId="77777777" w:rsidR="00C853D1" w:rsidRPr="00242082" w:rsidRDefault="00C853D1" w:rsidP="009E7481">
      <w:pPr>
        <w:spacing w:after="0" w:line="360" w:lineRule="auto"/>
        <w:rPr>
          <w:rFonts w:eastAsia="Times New Roman" w:cs="Tahoma"/>
          <w:b/>
          <w:bCs/>
          <w:iCs/>
          <w:color w:val="auto"/>
          <w:lang w:eastAsia="es-ES"/>
        </w:rPr>
      </w:pPr>
    </w:p>
    <w:p w14:paraId="080F33CB" w14:textId="77777777" w:rsidR="00DB09A4" w:rsidRPr="00DB09A4" w:rsidRDefault="00DB09A4" w:rsidP="00DB09A4">
      <w:pPr>
        <w:spacing w:after="0" w:line="360" w:lineRule="auto"/>
        <w:rPr>
          <w:rFonts w:eastAsia="Palatino Linotype" w:cs="Palatino Linotype"/>
          <w:color w:val="000000"/>
          <w:lang w:eastAsia="es-MX"/>
        </w:rPr>
      </w:pPr>
      <w:r w:rsidRPr="00DB09A4">
        <w:rPr>
          <w:rFonts w:eastAsia="Palatino Linotype" w:cs="Palatino Linotype"/>
          <w:color w:val="000000"/>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A429D74" w14:textId="77777777" w:rsidR="00DB09A4" w:rsidRPr="00DB09A4" w:rsidRDefault="00DB09A4" w:rsidP="00DB09A4">
      <w:pPr>
        <w:spacing w:after="0" w:line="360" w:lineRule="auto"/>
        <w:rPr>
          <w:rFonts w:eastAsia="Palatino Linotype" w:cs="Palatino Linotype"/>
          <w:color w:val="000000"/>
          <w:lang w:eastAsia="es-MX"/>
        </w:rPr>
      </w:pPr>
    </w:p>
    <w:p w14:paraId="789F5982" w14:textId="77777777" w:rsidR="00DB09A4" w:rsidRPr="00DB09A4" w:rsidRDefault="00DB09A4" w:rsidP="00DB09A4">
      <w:pPr>
        <w:spacing w:after="0" w:line="360" w:lineRule="auto"/>
        <w:rPr>
          <w:rFonts w:eastAsia="Palatino Linotype" w:cs="Palatino Linotype"/>
          <w:color w:val="000000"/>
          <w:lang w:eastAsia="es-MX"/>
        </w:rPr>
      </w:pPr>
      <w:r w:rsidRPr="00DB09A4">
        <w:rPr>
          <w:rFonts w:eastAsia="Palatino Linotype" w:cs="Palatino Linotype"/>
          <w:color w:val="000000"/>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439BF6C" w14:textId="77777777" w:rsidR="00DB09A4" w:rsidRPr="00DB09A4" w:rsidRDefault="00DB09A4" w:rsidP="00DB09A4">
      <w:pPr>
        <w:spacing w:after="0" w:line="360" w:lineRule="auto"/>
        <w:rPr>
          <w:rFonts w:eastAsia="Palatino Linotype" w:cs="Palatino Linotype"/>
          <w:color w:val="000000"/>
          <w:lang w:eastAsia="es-MX"/>
        </w:rPr>
      </w:pPr>
    </w:p>
    <w:p w14:paraId="06715AFE" w14:textId="77777777" w:rsidR="00DB09A4" w:rsidRPr="00DB09A4" w:rsidRDefault="00DB09A4" w:rsidP="00DB09A4">
      <w:pPr>
        <w:spacing w:after="0" w:line="360" w:lineRule="auto"/>
        <w:rPr>
          <w:rFonts w:eastAsia="Palatino Linotype" w:cs="Palatino Linotype"/>
          <w:color w:val="000000"/>
          <w:lang w:eastAsia="es-MX"/>
        </w:rPr>
      </w:pPr>
      <w:r w:rsidRPr="00DB09A4">
        <w:rPr>
          <w:rFonts w:eastAsia="Palatino Linotype" w:cs="Palatino Linotype"/>
          <w:color w:val="000000"/>
          <w:lang w:eastAsia="es-MX"/>
        </w:rPr>
        <w:t>Por su parte, la Ley de Transparencia y Acceso a la Información Pública del Estado de México y Municipios (Reglamentaria del artículo 5° de la Constitución Local), establece lo siguiente:</w:t>
      </w:r>
    </w:p>
    <w:p w14:paraId="45BC840F" w14:textId="77777777" w:rsidR="00DB09A4" w:rsidRPr="00DB09A4" w:rsidRDefault="00DB09A4" w:rsidP="00DB09A4">
      <w:pPr>
        <w:spacing w:after="0" w:line="360" w:lineRule="auto"/>
        <w:rPr>
          <w:rFonts w:eastAsia="Palatino Linotype" w:cs="Palatino Linotype"/>
          <w:color w:val="000000"/>
          <w:lang w:eastAsia="es-MX"/>
        </w:rPr>
      </w:pPr>
    </w:p>
    <w:p w14:paraId="6C231FB8" w14:textId="77777777" w:rsidR="00DB09A4" w:rsidRPr="00DB09A4" w:rsidRDefault="00DB09A4" w:rsidP="00DB09A4">
      <w:pPr>
        <w:spacing w:after="0" w:line="360" w:lineRule="auto"/>
        <w:rPr>
          <w:rFonts w:eastAsia="Palatino Linotype" w:cs="Palatino Linotype"/>
          <w:color w:val="000000"/>
          <w:lang w:eastAsia="es-MX"/>
        </w:rPr>
      </w:pPr>
      <w:r w:rsidRPr="00DB09A4">
        <w:rPr>
          <w:rFonts w:eastAsia="Palatino Linotype" w:cs="Palatino Linotype"/>
          <w:color w:val="000000"/>
          <w:lang w:eastAsia="es-MX"/>
        </w:rPr>
        <w:t>El artículo 12, que, quienes generen, recopilen, administren, manejen, procesen, archiven o conserven información pública serán responsables de la misma.</w:t>
      </w:r>
    </w:p>
    <w:p w14:paraId="1A84C1BE" w14:textId="77777777" w:rsidR="00DB09A4" w:rsidRPr="00DB09A4" w:rsidRDefault="00DB09A4" w:rsidP="00DB09A4">
      <w:pPr>
        <w:spacing w:after="0" w:line="360" w:lineRule="auto"/>
        <w:rPr>
          <w:rFonts w:eastAsia="Palatino Linotype" w:cs="Palatino Linotype"/>
          <w:color w:val="000000"/>
          <w:lang w:eastAsia="es-MX"/>
        </w:rPr>
      </w:pPr>
    </w:p>
    <w:p w14:paraId="72095F13" w14:textId="77777777" w:rsidR="00DB09A4" w:rsidRPr="00DB09A4" w:rsidRDefault="00DB09A4" w:rsidP="00DB09A4">
      <w:pPr>
        <w:spacing w:after="0" w:line="360" w:lineRule="auto"/>
        <w:rPr>
          <w:rFonts w:eastAsia="Palatino Linotype" w:cs="Palatino Linotype"/>
          <w:color w:val="000000"/>
          <w:lang w:eastAsia="es-MX"/>
        </w:rPr>
      </w:pPr>
      <w:r w:rsidRPr="00DB09A4">
        <w:rPr>
          <w:rFonts w:eastAsia="Palatino Linotype" w:cs="Palatino Linotype"/>
          <w:color w:val="000000"/>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6C915FEC" w14:textId="77777777" w:rsidR="00DB09A4" w:rsidRPr="00DB09A4" w:rsidRDefault="00DB09A4" w:rsidP="00DB09A4">
      <w:pPr>
        <w:spacing w:after="0" w:line="360" w:lineRule="auto"/>
        <w:rPr>
          <w:rFonts w:eastAsia="Palatino Linotype" w:cs="Palatino Linotype"/>
          <w:color w:val="000000"/>
          <w:lang w:eastAsia="es-MX"/>
        </w:rPr>
      </w:pPr>
    </w:p>
    <w:p w14:paraId="2019E309" w14:textId="77777777" w:rsidR="00DB09A4" w:rsidRPr="00DB09A4" w:rsidRDefault="00DB09A4" w:rsidP="00DB09A4">
      <w:pPr>
        <w:spacing w:after="0" w:line="360" w:lineRule="auto"/>
        <w:rPr>
          <w:rFonts w:eastAsia="Palatino Linotype" w:cs="Palatino Linotype"/>
          <w:color w:val="000000"/>
          <w:lang w:eastAsia="es-MX"/>
        </w:rPr>
      </w:pPr>
      <w:r w:rsidRPr="00DB09A4">
        <w:rPr>
          <w:rFonts w:eastAsia="Palatino Linotype" w:cs="Palatino Linotype"/>
          <w:color w:val="000000"/>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052A03D" w14:textId="77777777" w:rsidR="00C853D1" w:rsidRPr="00242082" w:rsidRDefault="00C853D1" w:rsidP="009E7481">
      <w:pPr>
        <w:spacing w:after="0" w:line="360" w:lineRule="auto"/>
        <w:rPr>
          <w:rFonts w:eastAsia="Times New Roman" w:cs="Tahoma"/>
          <w:b/>
          <w:bCs/>
          <w:iCs/>
          <w:color w:val="auto"/>
          <w:lang w:val="es-ES" w:eastAsia="es-ES"/>
        </w:rPr>
      </w:pPr>
    </w:p>
    <w:p w14:paraId="4CD9F9A9" w14:textId="77777777"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4" w:name="_Toc193363653"/>
      <w:r w:rsidRPr="00D92134">
        <w:rPr>
          <w:rFonts w:ascii="Palatino Linotype" w:eastAsia="Times New Roman" w:hAnsi="Palatino Linotype"/>
          <w:b/>
          <w:bCs/>
          <w:color w:val="auto"/>
          <w:sz w:val="22"/>
          <w:szCs w:val="22"/>
          <w:lang w:val="es-ES" w:eastAsia="es-ES"/>
        </w:rPr>
        <w:t>Quinto. Estudio de Fondo.</w:t>
      </w:r>
      <w:bookmarkEnd w:id="14"/>
    </w:p>
    <w:p w14:paraId="614B9665" w14:textId="5578038A" w:rsidR="00C853D1" w:rsidRPr="00242082" w:rsidRDefault="00C853D1" w:rsidP="009E7481">
      <w:pPr>
        <w:spacing w:after="0" w:line="360" w:lineRule="auto"/>
        <w:rPr>
          <w:rFonts w:eastAsia="Times New Roman" w:cs="Tahoma"/>
          <w:iCs/>
          <w:color w:val="auto"/>
          <w:lang w:val="es-ES" w:eastAsia="es-ES"/>
        </w:rPr>
      </w:pPr>
    </w:p>
    <w:p w14:paraId="6874DF69" w14:textId="50CDC79A" w:rsidR="000614FE" w:rsidRPr="00242082" w:rsidRDefault="000614FE" w:rsidP="009E7481">
      <w:pPr>
        <w:autoSpaceDE w:val="0"/>
        <w:autoSpaceDN w:val="0"/>
        <w:adjustRightInd w:val="0"/>
        <w:spacing w:after="0" w:line="360" w:lineRule="auto"/>
        <w:rPr>
          <w:rFonts w:eastAsia="Calibri" w:cs="Tahoma"/>
          <w:bCs/>
          <w:color w:val="auto"/>
        </w:rPr>
      </w:pPr>
      <w:r w:rsidRPr="00242082">
        <w:rPr>
          <w:rFonts w:eastAsia="Calibri" w:cs="Tahoma"/>
          <w:bCs/>
          <w:color w:val="auto"/>
        </w:rPr>
        <w:t xml:space="preserve">Expuestas las posturas de las partes, se procede a analizar los agravios hechos valer por </w:t>
      </w:r>
      <w:r w:rsidR="00AC44E4" w:rsidRPr="00242082">
        <w:rPr>
          <w:rFonts w:eastAsia="Calibri" w:cs="Tahoma"/>
          <w:bCs/>
          <w:color w:val="auto"/>
        </w:rPr>
        <w:t xml:space="preserve">la </w:t>
      </w:r>
      <w:r w:rsidRPr="00242082">
        <w:rPr>
          <w:rFonts w:eastAsia="Calibri" w:cs="Tahoma"/>
          <w:bCs/>
          <w:color w:val="auto"/>
        </w:rPr>
        <w:t xml:space="preserve">ahora Recurrente, </w:t>
      </w:r>
      <w:r w:rsidR="00D92134">
        <w:rPr>
          <w:rFonts w:eastAsia="Calibri" w:cs="Tahoma"/>
          <w:bCs/>
          <w:color w:val="auto"/>
        </w:rPr>
        <w:t xml:space="preserve">referente a la entrega de información incompleta, </w:t>
      </w:r>
      <w:r w:rsidRPr="00242082">
        <w:rPr>
          <w:rFonts w:eastAsia="Calibri" w:cs="Tahoma"/>
          <w:bCs/>
          <w:color w:val="auto"/>
        </w:rPr>
        <w:t>por lo cual, en un principio es necesario contextualizar el requerimiento de información</w:t>
      </w:r>
      <w:r w:rsidR="00D92134">
        <w:rPr>
          <w:rFonts w:eastAsia="Calibri" w:cs="Tahoma"/>
          <w:bCs/>
          <w:color w:val="auto"/>
        </w:rPr>
        <w:t xml:space="preserve">. </w:t>
      </w:r>
    </w:p>
    <w:p w14:paraId="75157F98" w14:textId="77777777" w:rsidR="00284B0E" w:rsidRPr="00242082" w:rsidRDefault="00284B0E" w:rsidP="009E7481">
      <w:pPr>
        <w:spacing w:after="0" w:line="360" w:lineRule="auto"/>
        <w:ind w:right="-28"/>
        <w:contextualSpacing/>
        <w:rPr>
          <w:rFonts w:eastAsia="Calibri" w:cs="Tahoma"/>
          <w:bCs/>
          <w:color w:val="auto"/>
        </w:rPr>
      </w:pPr>
    </w:p>
    <w:p w14:paraId="0C2FD607" w14:textId="631DAD7B" w:rsidR="00284B0E" w:rsidRPr="00284B0E" w:rsidRDefault="00284B0E" w:rsidP="009E7481">
      <w:pPr>
        <w:spacing w:after="0" w:line="360" w:lineRule="auto"/>
        <w:rPr>
          <w:rFonts w:eastAsia="Calibri" w:cs="Times New Roman"/>
          <w:color w:val="auto"/>
          <w:szCs w:val="28"/>
        </w:rPr>
      </w:pPr>
      <w:r>
        <w:rPr>
          <w:rFonts w:eastAsia="Calibri" w:cs="Times New Roman"/>
          <w:color w:val="auto"/>
          <w:szCs w:val="28"/>
        </w:rPr>
        <w:t>En principio</w:t>
      </w:r>
      <w:r w:rsidRPr="00284B0E">
        <w:rPr>
          <w:rFonts w:eastAsia="Calibri" w:cs="Times New Roman"/>
          <w:color w:val="auto"/>
          <w:szCs w:val="28"/>
        </w:rPr>
        <w:t xml:space="preserve">, es necesario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223290FA" w14:textId="77777777" w:rsidR="00284B0E" w:rsidRPr="00284B0E" w:rsidRDefault="00284B0E" w:rsidP="009E7481">
      <w:pPr>
        <w:spacing w:after="0" w:line="360" w:lineRule="auto"/>
        <w:rPr>
          <w:rFonts w:eastAsia="Calibri" w:cs="Times New Roman"/>
          <w:color w:val="auto"/>
          <w:szCs w:val="28"/>
        </w:rPr>
      </w:pPr>
    </w:p>
    <w:p w14:paraId="08F096C6" w14:textId="77777777" w:rsidR="00284B0E" w:rsidRPr="00284B0E" w:rsidRDefault="00284B0E" w:rsidP="009E7481">
      <w:pPr>
        <w:spacing w:after="0" w:line="360" w:lineRule="auto"/>
        <w:rPr>
          <w:rFonts w:eastAsia="Calibri" w:cs="Times New Roman"/>
          <w:color w:val="auto"/>
          <w:szCs w:val="28"/>
        </w:rPr>
      </w:pPr>
      <w:r w:rsidRPr="00284B0E">
        <w:rPr>
          <w:rFonts w:eastAsia="Calibri" w:cs="Times New Roman"/>
          <w:color w:val="auto"/>
          <w:szCs w:val="28"/>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0D4D624" w14:textId="77777777" w:rsidR="00284B0E" w:rsidRPr="00284B0E" w:rsidRDefault="00284B0E" w:rsidP="009E7481">
      <w:pPr>
        <w:spacing w:after="0" w:line="360" w:lineRule="auto"/>
        <w:rPr>
          <w:rFonts w:eastAsia="Calibri" w:cs="Times New Roman"/>
          <w:color w:val="auto"/>
          <w:szCs w:val="28"/>
        </w:rPr>
      </w:pPr>
    </w:p>
    <w:p w14:paraId="5027DCFF" w14:textId="77777777" w:rsidR="00284B0E" w:rsidRPr="00284B0E" w:rsidRDefault="00284B0E" w:rsidP="009E7481">
      <w:pPr>
        <w:spacing w:after="0" w:line="360" w:lineRule="auto"/>
        <w:rPr>
          <w:rFonts w:eastAsia="Calibri" w:cs="Times New Roman"/>
          <w:b/>
          <w:bCs/>
          <w:color w:val="auto"/>
          <w:szCs w:val="28"/>
        </w:rPr>
      </w:pPr>
      <w:r w:rsidRPr="00284B0E">
        <w:rPr>
          <w:rFonts w:eastAsia="Calibri" w:cs="Times New Roman"/>
          <w:color w:val="auto"/>
          <w:szCs w:val="28"/>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284B0E">
        <w:rPr>
          <w:rFonts w:eastAsia="Calibri" w:cs="Times New Roman"/>
          <w:b/>
          <w:bCs/>
          <w:color w:val="auto"/>
          <w:szCs w:val="28"/>
        </w:rPr>
        <w:t xml:space="preserve">las remuneraciones brutas y </w:t>
      </w:r>
      <w:r w:rsidRPr="00284B0E">
        <w:rPr>
          <w:rFonts w:eastAsia="Calibri" w:cs="Times New Roman"/>
          <w:b/>
          <w:bCs/>
          <w:color w:val="auto"/>
          <w:szCs w:val="28"/>
        </w:rPr>
        <w:lastRenderedPageBreak/>
        <w:t>netas de todos los servidores públicos, que incluya todas las percepciones, entre las cuales, se encuentran los sueldos, prestaciones, gratificaciones, primas, comisiones, dietas, bonos, estímulos, ingresos, entre otros.</w:t>
      </w:r>
    </w:p>
    <w:p w14:paraId="24560C23" w14:textId="77777777" w:rsidR="00284B0E" w:rsidRPr="00284B0E" w:rsidRDefault="00284B0E" w:rsidP="009E7481">
      <w:pPr>
        <w:spacing w:after="0" w:line="360" w:lineRule="auto"/>
        <w:rPr>
          <w:rFonts w:eastAsia="Calibri" w:cs="Times New Roman"/>
          <w:color w:val="auto"/>
          <w:szCs w:val="28"/>
        </w:rPr>
      </w:pPr>
    </w:p>
    <w:p w14:paraId="141C6AF7" w14:textId="77777777" w:rsidR="00284B0E" w:rsidRPr="00284B0E" w:rsidRDefault="00284B0E" w:rsidP="009E7481">
      <w:pPr>
        <w:spacing w:after="0" w:line="360" w:lineRule="auto"/>
        <w:rPr>
          <w:rFonts w:eastAsia="Calibri" w:cs="Times New Roman"/>
          <w:color w:val="auto"/>
          <w:szCs w:val="28"/>
        </w:rPr>
      </w:pPr>
      <w:r w:rsidRPr="00284B0E">
        <w:rPr>
          <w:rFonts w:eastAsia="Calibri" w:cs="Times New Roman"/>
          <w:color w:val="auto"/>
          <w:szCs w:val="28"/>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284B0E">
        <w:rPr>
          <w:rFonts w:eastAsia="Calibri" w:cs="Times New Roman"/>
          <w:b/>
          <w:color w:val="auto"/>
          <w:szCs w:val="28"/>
        </w:rPr>
        <w:t>recibos de pago de salarios o las</w:t>
      </w:r>
      <w:r w:rsidRPr="00284B0E">
        <w:rPr>
          <w:rFonts w:eastAsia="Calibri" w:cs="Times New Roman"/>
          <w:color w:val="auto"/>
          <w:szCs w:val="28"/>
        </w:rPr>
        <w:t xml:space="preserve"> </w:t>
      </w:r>
      <w:r w:rsidRPr="00284B0E">
        <w:rPr>
          <w:rFonts w:eastAsia="Calibri" w:cs="Times New Roman"/>
          <w:b/>
          <w:color w:val="auto"/>
          <w:szCs w:val="28"/>
        </w:rPr>
        <w:t xml:space="preserve">constancias documentales del pago de sueldos, </w:t>
      </w:r>
      <w:r w:rsidRPr="00284B0E">
        <w:rPr>
          <w:rFonts w:eastAsia="Calibri" w:cs="Times New Roman"/>
          <w:color w:val="auto"/>
          <w:szCs w:val="28"/>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1404DD0" w14:textId="77777777" w:rsidR="00284B0E" w:rsidRPr="00284B0E" w:rsidRDefault="00284B0E" w:rsidP="009E7481">
      <w:pPr>
        <w:spacing w:after="0" w:line="360" w:lineRule="auto"/>
        <w:rPr>
          <w:rFonts w:eastAsia="Calibri" w:cs="Times New Roman"/>
          <w:color w:val="auto"/>
          <w:szCs w:val="28"/>
        </w:rPr>
      </w:pPr>
    </w:p>
    <w:p w14:paraId="3AF5F45D" w14:textId="77777777" w:rsidR="00284B0E" w:rsidRPr="00284B0E" w:rsidRDefault="00284B0E" w:rsidP="009E7481">
      <w:pPr>
        <w:spacing w:after="0" w:line="360" w:lineRule="auto"/>
        <w:rPr>
          <w:rFonts w:eastAsia="Calibri" w:cs="Times New Roman"/>
          <w:color w:val="auto"/>
          <w:szCs w:val="28"/>
        </w:rPr>
      </w:pPr>
      <w:r w:rsidRPr="00284B0E">
        <w:rPr>
          <w:rFonts w:eastAsia="Calibri" w:cs="Times New Roman"/>
          <w:color w:val="auto"/>
          <w:szCs w:val="28"/>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08AC586C" w14:textId="77777777" w:rsidR="00284B0E" w:rsidRPr="00284B0E" w:rsidRDefault="00284B0E" w:rsidP="009E7481">
      <w:pPr>
        <w:spacing w:after="0" w:line="360" w:lineRule="auto"/>
        <w:rPr>
          <w:rFonts w:eastAsia="Calibri" w:cs="Times New Roman"/>
          <w:color w:val="auto"/>
          <w:szCs w:val="28"/>
        </w:rPr>
      </w:pPr>
    </w:p>
    <w:p w14:paraId="56C8E965" w14:textId="77777777" w:rsidR="00284B0E" w:rsidRPr="00284B0E" w:rsidRDefault="00284B0E" w:rsidP="009E7481">
      <w:pPr>
        <w:spacing w:after="0" w:line="360" w:lineRule="auto"/>
        <w:ind w:left="567" w:right="567"/>
        <w:rPr>
          <w:rFonts w:eastAsia="Calibri" w:cs="Times New Roman"/>
          <w:i/>
          <w:color w:val="auto"/>
          <w:sz w:val="20"/>
          <w:szCs w:val="24"/>
        </w:rPr>
      </w:pPr>
      <w:r w:rsidRPr="00284B0E">
        <w:rPr>
          <w:rFonts w:eastAsia="Calibri" w:cs="Times New Roman"/>
          <w:b/>
          <w:i/>
          <w:color w:val="auto"/>
          <w:sz w:val="20"/>
          <w:szCs w:val="24"/>
        </w:rPr>
        <w:t>“RECIBOS DE PAGO</w:t>
      </w:r>
      <w:r w:rsidRPr="00284B0E">
        <w:rPr>
          <w:rFonts w:eastAsia="Calibri" w:cs="Times New Roman"/>
          <w:i/>
          <w:color w:val="auto"/>
          <w:sz w:val="20"/>
          <w:szCs w:val="24"/>
        </w:rPr>
        <w:t xml:space="preserve"> </w:t>
      </w:r>
      <w:r w:rsidRPr="00284B0E">
        <w:rPr>
          <w:rFonts w:eastAsia="Calibri" w:cs="Times New Roman"/>
          <w:b/>
          <w:i/>
          <w:color w:val="auto"/>
          <w:sz w:val="20"/>
          <w:szCs w:val="24"/>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284B0E">
        <w:rPr>
          <w:rFonts w:eastAsia="Calibri" w:cs="Times New Roman"/>
          <w:i/>
          <w:color w:val="auto"/>
          <w:sz w:val="20"/>
          <w:szCs w:val="24"/>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w:t>
      </w:r>
      <w:r w:rsidRPr="00284B0E">
        <w:rPr>
          <w:rFonts w:eastAsia="Calibri" w:cs="Times New Roman"/>
          <w:i/>
          <w:color w:val="auto"/>
          <w:sz w:val="20"/>
          <w:szCs w:val="24"/>
        </w:rPr>
        <w:lastRenderedPageBreak/>
        <w:t>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74AEB070" w14:textId="77777777" w:rsidR="00284B0E" w:rsidRPr="00284B0E" w:rsidRDefault="00284B0E" w:rsidP="009E7481">
      <w:pPr>
        <w:spacing w:after="0" w:line="360" w:lineRule="auto"/>
        <w:rPr>
          <w:rFonts w:eastAsia="Calibri" w:cs="Times New Roman"/>
          <w:b/>
          <w:i/>
          <w:color w:val="auto"/>
          <w:szCs w:val="28"/>
        </w:rPr>
      </w:pPr>
    </w:p>
    <w:p w14:paraId="0329F88E" w14:textId="77777777" w:rsidR="00F147AC" w:rsidRDefault="00284B0E" w:rsidP="009E7481">
      <w:pPr>
        <w:spacing w:after="0" w:line="360" w:lineRule="auto"/>
        <w:rPr>
          <w:rFonts w:eastAsia="Calibri" w:cs="Times New Roman"/>
          <w:color w:val="auto"/>
          <w:szCs w:val="28"/>
        </w:rPr>
      </w:pPr>
      <w:r w:rsidRPr="00284B0E">
        <w:rPr>
          <w:rFonts w:eastAsia="Calibri" w:cs="Times New Roman"/>
          <w:color w:val="auto"/>
          <w:szCs w:val="28"/>
        </w:rPr>
        <w:t xml:space="preserve">De la tesis transcrita, se desprende que </w:t>
      </w:r>
      <w:r w:rsidRPr="00284B0E">
        <w:rPr>
          <w:rFonts w:eastAsia="Calibri" w:cs="Times New Roman"/>
          <w:b/>
          <w:color w:val="auto"/>
          <w:szCs w:val="28"/>
        </w:rPr>
        <w:t>en materia burocrática</w:t>
      </w:r>
      <w:r w:rsidRPr="00284B0E">
        <w:rPr>
          <w:rFonts w:eastAsia="Calibri" w:cs="Times New Roman"/>
          <w:color w:val="auto"/>
          <w:szCs w:val="28"/>
        </w:rPr>
        <w:t xml:space="preserve"> </w:t>
      </w:r>
      <w:r w:rsidRPr="00284B0E">
        <w:rPr>
          <w:rFonts w:eastAsia="Calibri" w:cs="Times New Roman"/>
          <w:b/>
          <w:color w:val="auto"/>
          <w:szCs w:val="28"/>
        </w:rPr>
        <w:t>los recibos de pago acreditan los conceptos y montos que en ellos se insertan</w:t>
      </w:r>
      <w:r w:rsidRPr="00284B0E">
        <w:rPr>
          <w:rFonts w:eastAsia="Calibri" w:cs="Times New Roman"/>
          <w:color w:val="auto"/>
          <w:szCs w:val="28"/>
        </w:rPr>
        <w:t xml:space="preserve">, y constituyen prueba para demostrar las percepciones y montos que reciben los servidores públicos. </w:t>
      </w:r>
    </w:p>
    <w:p w14:paraId="010E65FE" w14:textId="77777777" w:rsidR="00F147AC" w:rsidRDefault="00F147AC" w:rsidP="009E7481">
      <w:pPr>
        <w:spacing w:after="0" w:line="360" w:lineRule="auto"/>
        <w:rPr>
          <w:rFonts w:eastAsia="Calibri" w:cs="Times New Roman"/>
          <w:color w:val="auto"/>
          <w:szCs w:val="28"/>
        </w:rPr>
      </w:pPr>
    </w:p>
    <w:p w14:paraId="35FEFA4D" w14:textId="77777777" w:rsidR="009E7481" w:rsidRPr="00610806" w:rsidRDefault="009E7481" w:rsidP="009E7481">
      <w:pPr>
        <w:spacing w:after="0" w:line="360" w:lineRule="auto"/>
        <w:rPr>
          <w:rFonts w:eastAsia="Calibri" w:cs="Tahoma"/>
          <w:bCs/>
        </w:rPr>
      </w:pPr>
      <w:r w:rsidRPr="00610806">
        <w:rPr>
          <w:rFonts w:eastAsia="Calibri" w:cs="Tahoma"/>
          <w:bCs/>
        </w:rPr>
        <w:t xml:space="preserve">Además, la Resolución Miscelánea Fiscal del ejercicio fiscal dos mil </w:t>
      </w:r>
      <w:r>
        <w:rPr>
          <w:rFonts w:eastAsia="Calibri" w:cs="Tahoma"/>
          <w:bCs/>
        </w:rPr>
        <w:t>veinticinco</w:t>
      </w:r>
      <w:r w:rsidRPr="00610806">
        <w:rPr>
          <w:rFonts w:eastAsia="Calibri" w:cs="Tahoma"/>
          <w:bCs/>
        </w:rPr>
        <w:t>, y la página oficial del Servicio de Administración Tributaria, precisa</w:t>
      </w:r>
      <w:r>
        <w:rPr>
          <w:rFonts w:eastAsia="Calibri" w:cs="Tahoma"/>
          <w:bCs/>
        </w:rPr>
        <w:t>n</w:t>
      </w:r>
      <w:r w:rsidRPr="00610806">
        <w:rPr>
          <w:rFonts w:eastAsia="Calibri" w:cs="Tahoma"/>
          <w:bCs/>
        </w:rPr>
        <w:t xml:space="preserve">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11D538E3" w14:textId="77777777" w:rsidR="009E7481" w:rsidRPr="00610806" w:rsidRDefault="009E7481" w:rsidP="009E7481">
      <w:pPr>
        <w:spacing w:after="0" w:line="360" w:lineRule="auto"/>
        <w:rPr>
          <w:rFonts w:eastAsia="Calibri" w:cs="Tahoma"/>
          <w:bCs/>
        </w:rPr>
      </w:pPr>
    </w:p>
    <w:p w14:paraId="3BF418EF" w14:textId="77777777" w:rsidR="009E7481" w:rsidRPr="00610806" w:rsidRDefault="009E7481" w:rsidP="009E7481">
      <w:pPr>
        <w:spacing w:after="0" w:line="360" w:lineRule="auto"/>
        <w:jc w:val="center"/>
        <w:rPr>
          <w:rFonts w:eastAsia="Calibri" w:cs="Tahoma"/>
          <w:bCs/>
        </w:rPr>
      </w:pPr>
      <w:r w:rsidRPr="00610806">
        <w:rPr>
          <w:rFonts w:eastAsia="Calibri" w:cs="Tahoma"/>
          <w:noProof/>
          <w:lang w:eastAsia="es-MX"/>
        </w:rPr>
        <w:drawing>
          <wp:inline distT="0" distB="0" distL="0" distR="0" wp14:anchorId="29CE6BA4" wp14:editId="6F043DBB">
            <wp:extent cx="4895850" cy="14954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495425"/>
                    </a:xfrm>
                    <a:prstGeom prst="rect">
                      <a:avLst/>
                    </a:prstGeom>
                    <a:noFill/>
                    <a:ln>
                      <a:noFill/>
                    </a:ln>
                  </pic:spPr>
                </pic:pic>
              </a:graphicData>
            </a:graphic>
          </wp:inline>
        </w:drawing>
      </w:r>
    </w:p>
    <w:p w14:paraId="1E6D52B5" w14:textId="77777777" w:rsidR="009E7481" w:rsidRDefault="009E7481" w:rsidP="009E7481">
      <w:pPr>
        <w:spacing w:after="0" w:line="360" w:lineRule="auto"/>
        <w:rPr>
          <w:rFonts w:eastAsia="Calibri" w:cs="Tahoma"/>
          <w:bCs/>
        </w:rPr>
      </w:pPr>
    </w:p>
    <w:p w14:paraId="630AA0F9" w14:textId="77777777" w:rsidR="009E7481" w:rsidRPr="00610806" w:rsidRDefault="009E7481" w:rsidP="009E7481">
      <w:pPr>
        <w:spacing w:after="0" w:line="360" w:lineRule="auto"/>
        <w:rPr>
          <w:rFonts w:eastAsia="Calibri" w:cs="Tahoma"/>
          <w:bCs/>
        </w:rPr>
      </w:pPr>
      <w:r w:rsidRPr="00610806">
        <w:rPr>
          <w:rFonts w:eastAsia="Calibri" w:cs="Tahoma"/>
          <w:bCs/>
        </w:rPr>
        <w:t>Asimismo, precisa que se considerará como fecha de expedición y entrega de tales comprobantes fiscales la fecha en que efectivamente se realizó el pago de dichas remuneraciones.</w:t>
      </w:r>
    </w:p>
    <w:p w14:paraId="2D62F4C1" w14:textId="77777777" w:rsidR="009E7481" w:rsidRDefault="009E7481" w:rsidP="009E7481">
      <w:pPr>
        <w:spacing w:after="0" w:line="360" w:lineRule="auto"/>
        <w:rPr>
          <w:rFonts w:eastAsia="Calibri" w:cs="Times New Roman"/>
          <w:color w:val="auto"/>
          <w:szCs w:val="28"/>
        </w:rPr>
      </w:pPr>
    </w:p>
    <w:p w14:paraId="27CAA9AC" w14:textId="3D63DAD6" w:rsidR="00284B0E" w:rsidRPr="00F147AC" w:rsidRDefault="00284B0E" w:rsidP="009E7481">
      <w:pPr>
        <w:spacing w:after="0" w:line="360" w:lineRule="auto"/>
        <w:rPr>
          <w:rFonts w:eastAsia="Calibri" w:cs="Times New Roman"/>
          <w:color w:val="auto"/>
          <w:szCs w:val="28"/>
        </w:rPr>
      </w:pPr>
      <w:r w:rsidRPr="00AB6CE2">
        <w:rPr>
          <w:rFonts w:eastAsia="Times New Roman" w:cs="Tahoma"/>
          <w:bCs/>
          <w:color w:val="auto"/>
          <w:lang w:eastAsia="es-ES"/>
        </w:rPr>
        <w:lastRenderedPageBreak/>
        <w:t xml:space="preserve">Conforme a lo anterior, </w:t>
      </w:r>
      <w:r w:rsidRPr="00AB6CE2">
        <w:rPr>
          <w:szCs w:val="28"/>
        </w:rPr>
        <w:t xml:space="preserve">se logra advertir que, en el presente caso, se requirió los </w:t>
      </w:r>
      <w:r w:rsidRPr="00AB6CE2">
        <w:rPr>
          <w:szCs w:val="28"/>
          <w:lang w:val="es-ES"/>
        </w:rPr>
        <w:t xml:space="preserve">recibos de nómina </w:t>
      </w:r>
      <w:r w:rsidR="00AB6CE2" w:rsidRPr="00AB6CE2">
        <w:rPr>
          <w:szCs w:val="28"/>
          <w:lang w:val="es-ES"/>
        </w:rPr>
        <w:t xml:space="preserve">o </w:t>
      </w:r>
      <w:r w:rsidR="009E7481" w:rsidRPr="00610806">
        <w:rPr>
          <w:rFonts w:eastAsia="Calibri" w:cs="Tahoma"/>
          <w:bCs/>
        </w:rPr>
        <w:t>Comprobante</w:t>
      </w:r>
      <w:r w:rsidR="009E7481">
        <w:rPr>
          <w:rFonts w:eastAsia="Calibri" w:cs="Tahoma"/>
          <w:bCs/>
        </w:rPr>
        <w:t>s</w:t>
      </w:r>
      <w:r w:rsidR="009E7481" w:rsidRPr="00610806">
        <w:rPr>
          <w:rFonts w:eastAsia="Calibri" w:cs="Tahoma"/>
          <w:bCs/>
        </w:rPr>
        <w:t xml:space="preserve"> Fiscal</w:t>
      </w:r>
      <w:r w:rsidR="009E7481">
        <w:rPr>
          <w:rFonts w:eastAsia="Calibri" w:cs="Tahoma"/>
          <w:bCs/>
        </w:rPr>
        <w:t>es</w:t>
      </w:r>
      <w:r w:rsidR="009E7481" w:rsidRPr="00610806">
        <w:rPr>
          <w:rFonts w:eastAsia="Calibri" w:cs="Tahoma"/>
          <w:bCs/>
        </w:rPr>
        <w:t xml:space="preserve"> Digital</w:t>
      </w:r>
      <w:r w:rsidR="009E7481">
        <w:rPr>
          <w:rFonts w:eastAsia="Calibri" w:cs="Tahoma"/>
          <w:bCs/>
        </w:rPr>
        <w:t>es</w:t>
      </w:r>
      <w:r w:rsidR="009E7481" w:rsidRPr="00610806">
        <w:rPr>
          <w:rFonts w:eastAsia="Calibri" w:cs="Tahoma"/>
          <w:bCs/>
        </w:rPr>
        <w:t xml:space="preserve"> por Internet</w:t>
      </w:r>
      <w:r w:rsidR="009E7481">
        <w:rPr>
          <w:rFonts w:eastAsia="Calibri" w:cs="Tahoma"/>
          <w:bCs/>
        </w:rPr>
        <w:t>,</w:t>
      </w:r>
      <w:r w:rsidR="00AB6CE2" w:rsidRPr="00AB6CE2">
        <w:rPr>
          <w:szCs w:val="28"/>
          <w:lang w:val="es-ES"/>
        </w:rPr>
        <w:t xml:space="preserve"> de las personas referidas en la solicitud de información, de la primera y segunda quincena de enero de dos mil veinticinco.</w:t>
      </w:r>
      <w:r w:rsidR="00AB6CE2">
        <w:rPr>
          <w:szCs w:val="28"/>
          <w:lang w:val="es-ES"/>
        </w:rPr>
        <w:t xml:space="preserve"> </w:t>
      </w:r>
    </w:p>
    <w:p w14:paraId="224DAF87" w14:textId="0EAB5A9D" w:rsidR="00284B0E" w:rsidRDefault="00284B0E" w:rsidP="009E7481">
      <w:pPr>
        <w:spacing w:after="0" w:line="360" w:lineRule="auto"/>
        <w:rPr>
          <w:color w:val="auto"/>
          <w:szCs w:val="28"/>
        </w:rPr>
      </w:pPr>
    </w:p>
    <w:p w14:paraId="2D9F1669" w14:textId="51E21BBF" w:rsidR="001C551A" w:rsidRPr="007B5D0A" w:rsidRDefault="001C551A" w:rsidP="009E7481">
      <w:pPr>
        <w:spacing w:after="0" w:line="360" w:lineRule="auto"/>
        <w:contextualSpacing/>
        <w:rPr>
          <w:rFonts w:eastAsia="Times New Roman" w:cs="Tahoma"/>
          <w:iCs/>
          <w:color w:val="auto"/>
          <w:lang w:eastAsia="es-ES"/>
        </w:rPr>
      </w:pPr>
      <w:r w:rsidRPr="007B5D0A">
        <w:rPr>
          <w:rFonts w:eastAsia="Times New Roman" w:cs="Tahoma"/>
          <w:iCs/>
          <w:color w:val="auto"/>
          <w:lang w:eastAsia="es-ES"/>
        </w:rPr>
        <w:t xml:space="preserve">Establecida dicha circunstancia, se procede analizar la respuesta entregada, para lo cual, es de señalar que de las constancias que obran en el expediente, se logra vislumbrar que el Sujeto Obligado turno la solicitud de información a la </w:t>
      </w:r>
      <w:r>
        <w:rPr>
          <w:rFonts w:eastAsia="Times New Roman" w:cs="Tahoma"/>
          <w:iCs/>
          <w:color w:val="auto"/>
          <w:lang w:eastAsia="es-ES"/>
        </w:rPr>
        <w:t>Tesorería Municipal</w:t>
      </w:r>
      <w:r w:rsidRPr="007B5D0A">
        <w:rPr>
          <w:rFonts w:eastAsia="Times New Roman" w:cs="Tahoma"/>
          <w:iCs/>
          <w:color w:val="auto"/>
          <w:lang w:eastAsia="es-ES"/>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4B2B8958" w14:textId="77777777" w:rsidR="001C551A" w:rsidRPr="007B5D0A" w:rsidRDefault="001C551A" w:rsidP="009E7481">
      <w:pPr>
        <w:spacing w:after="0" w:line="360" w:lineRule="auto"/>
        <w:contextualSpacing/>
        <w:rPr>
          <w:rFonts w:eastAsia="Times New Roman" w:cs="Tahoma"/>
          <w:iCs/>
          <w:color w:val="auto"/>
          <w:lang w:eastAsia="es-ES"/>
        </w:rPr>
      </w:pPr>
    </w:p>
    <w:p w14:paraId="6040CE95" w14:textId="0C19FE13" w:rsidR="001C551A" w:rsidRDefault="001C551A" w:rsidP="009E7481">
      <w:pPr>
        <w:spacing w:after="0" w:line="360" w:lineRule="auto"/>
        <w:contextualSpacing/>
        <w:rPr>
          <w:rFonts w:eastAsia="Times New Roman" w:cs="Tahoma"/>
          <w:iCs/>
          <w:color w:val="auto"/>
          <w:lang w:eastAsia="es-ES"/>
        </w:rPr>
      </w:pPr>
      <w:r>
        <w:rPr>
          <w:rFonts w:eastAsia="Times New Roman" w:cs="Tahoma"/>
          <w:iCs/>
          <w:color w:val="auto"/>
          <w:lang w:eastAsia="es-ES"/>
        </w:rPr>
        <w:t>Al respecto, los artículos 3</w:t>
      </w:r>
      <w:r w:rsidR="00F42906">
        <w:rPr>
          <w:rFonts w:eastAsia="Times New Roman" w:cs="Tahoma"/>
          <w:iCs/>
          <w:color w:val="auto"/>
          <w:lang w:eastAsia="es-ES"/>
        </w:rPr>
        <w:t>8, fracción V, 44, 45, fracción III y 46, fracci</w:t>
      </w:r>
      <w:r w:rsidR="00631FED">
        <w:rPr>
          <w:rFonts w:eastAsia="Times New Roman" w:cs="Tahoma"/>
          <w:iCs/>
          <w:color w:val="auto"/>
          <w:lang w:eastAsia="es-ES"/>
        </w:rPr>
        <w:t>ón</w:t>
      </w:r>
      <w:r w:rsidR="00F42906">
        <w:rPr>
          <w:rFonts w:eastAsia="Times New Roman" w:cs="Tahoma"/>
          <w:iCs/>
          <w:color w:val="auto"/>
          <w:lang w:eastAsia="es-ES"/>
        </w:rPr>
        <w:t xml:space="preserve"> XXIV</w:t>
      </w:r>
      <w:r>
        <w:rPr>
          <w:rFonts w:eastAsia="Times New Roman" w:cs="Tahoma"/>
          <w:iCs/>
          <w:color w:val="auto"/>
          <w:lang w:eastAsia="es-ES"/>
        </w:rPr>
        <w:t xml:space="preserve"> del </w:t>
      </w:r>
      <w:r w:rsidR="00631FED">
        <w:rPr>
          <w:rFonts w:eastAsia="Times New Roman" w:cs="Tahoma"/>
          <w:iCs/>
          <w:color w:val="auto"/>
          <w:lang w:eastAsia="es-ES"/>
        </w:rPr>
        <w:t xml:space="preserve">Reglamento Orgánico de la Administración Pública Municipal </w:t>
      </w:r>
      <w:r w:rsidR="007C46E5">
        <w:rPr>
          <w:rFonts w:eastAsia="Times New Roman" w:cs="Tahoma"/>
          <w:iCs/>
          <w:color w:val="auto"/>
          <w:lang w:eastAsia="es-ES"/>
        </w:rPr>
        <w:t>de Nezahualcóyotl 2025-2027, en relación con el Manual de Organización de la Tesorería Municipal,</w:t>
      </w:r>
      <w:r>
        <w:rPr>
          <w:rFonts w:eastAsia="Times New Roman" w:cs="Tahoma"/>
          <w:iCs/>
          <w:color w:val="auto"/>
          <w:lang w:eastAsia="es-ES"/>
        </w:rPr>
        <w:t xml:space="preserve"> precisa</w:t>
      </w:r>
      <w:r w:rsidR="007C46E5">
        <w:rPr>
          <w:rFonts w:eastAsia="Times New Roman" w:cs="Tahoma"/>
          <w:iCs/>
          <w:color w:val="auto"/>
          <w:lang w:eastAsia="es-ES"/>
        </w:rPr>
        <w:t xml:space="preserve">n </w:t>
      </w:r>
      <w:r>
        <w:rPr>
          <w:rFonts w:eastAsia="Times New Roman" w:cs="Tahoma"/>
          <w:iCs/>
          <w:color w:val="auto"/>
          <w:lang w:eastAsia="es-ES"/>
        </w:rPr>
        <w:t xml:space="preserve">que la </w:t>
      </w:r>
      <w:r w:rsidR="007C46E5">
        <w:rPr>
          <w:rFonts w:eastAsia="Times New Roman" w:cs="Tahoma"/>
          <w:iCs/>
          <w:color w:val="auto"/>
          <w:lang w:eastAsia="es-ES"/>
        </w:rPr>
        <w:t xml:space="preserve">Tesorería Municipal, es la encargada de </w:t>
      </w:r>
      <w:r>
        <w:rPr>
          <w:rFonts w:eastAsia="Times New Roman" w:cs="Tahoma"/>
          <w:iCs/>
          <w:color w:val="auto"/>
          <w:lang w:eastAsia="es-ES"/>
        </w:rPr>
        <w:t xml:space="preserve"> </w:t>
      </w:r>
      <w:r w:rsidR="007C46E5">
        <w:rPr>
          <w:rFonts w:eastAsia="Times New Roman" w:cs="Tahoma"/>
          <w:iCs/>
          <w:color w:val="auto"/>
          <w:lang w:eastAsia="es-ES"/>
        </w:rPr>
        <w:t>llevar los registros contables, financieros y administrativos de los ingresos, egresos e inventarios, así como preparar y glosar las cuentas públicas, y para tal efecto tiene s su cargo</w:t>
      </w:r>
      <w:r>
        <w:rPr>
          <w:rFonts w:eastAsia="Times New Roman" w:cs="Tahoma"/>
          <w:iCs/>
          <w:color w:val="auto"/>
          <w:lang w:eastAsia="es-ES"/>
        </w:rPr>
        <w:t xml:space="preserve"> </w:t>
      </w:r>
      <w:r w:rsidR="007C46E5">
        <w:rPr>
          <w:rFonts w:eastAsia="Times New Roman" w:cs="Tahoma"/>
          <w:iCs/>
          <w:color w:val="auto"/>
          <w:lang w:eastAsia="es-ES"/>
        </w:rPr>
        <w:t xml:space="preserve">la Subdirección de Egresos, encargada de realizar la dispersión electrónica por concepto de sueldos y salarios del personal del Municipio de Nezahualcóyotl, así como supervisar y coordinar el pago en efectivo por concepto de sueldos y salarios del personal sindicalizado adscrito al Municipio. </w:t>
      </w:r>
    </w:p>
    <w:p w14:paraId="31420D43" w14:textId="77777777" w:rsidR="001C551A" w:rsidRDefault="001C551A" w:rsidP="009E7481">
      <w:pPr>
        <w:spacing w:after="0" w:line="360" w:lineRule="auto"/>
        <w:contextualSpacing/>
        <w:rPr>
          <w:rFonts w:eastAsia="Times New Roman" w:cs="Tahoma"/>
          <w:iCs/>
          <w:color w:val="auto"/>
          <w:lang w:eastAsia="es-ES"/>
        </w:rPr>
      </w:pPr>
    </w:p>
    <w:p w14:paraId="4E0382BB" w14:textId="77777777" w:rsidR="001C551A" w:rsidRPr="00252709" w:rsidRDefault="001C551A" w:rsidP="009E7481">
      <w:pPr>
        <w:spacing w:after="0" w:line="360" w:lineRule="auto"/>
        <w:contextualSpacing/>
        <w:rPr>
          <w:rFonts w:eastAsia="Times New Roman" w:cs="Tahoma"/>
          <w:bCs/>
          <w:iCs/>
          <w:color w:val="auto"/>
          <w:lang w:eastAsia="es-ES"/>
        </w:rPr>
      </w:pPr>
      <w:r w:rsidRPr="007B5D0A">
        <w:rPr>
          <w:rFonts w:eastAsia="Times New Roman" w:cs="Tahoma"/>
          <w:iCs/>
          <w:color w:val="auto"/>
          <w:lang w:eastAsia="es-ES"/>
        </w:rPr>
        <w:t xml:space="preserve">Conforme a lo </w:t>
      </w:r>
      <w:r>
        <w:rPr>
          <w:rFonts w:eastAsia="Times New Roman" w:cs="Tahoma"/>
          <w:iCs/>
          <w:color w:val="auto"/>
          <w:lang w:eastAsia="es-ES"/>
        </w:rPr>
        <w:t>anterior</w:t>
      </w:r>
      <w:r w:rsidRPr="007B5D0A">
        <w:rPr>
          <w:rFonts w:eastAsia="Times New Roman" w:cs="Tahoma"/>
          <w:iCs/>
          <w:color w:val="auto"/>
          <w:lang w:eastAsia="es-ES"/>
        </w:rPr>
        <w:t>,</w:t>
      </w:r>
      <w:r>
        <w:rPr>
          <w:rFonts w:eastAsia="Times New Roman" w:cs="Tahoma"/>
          <w:iCs/>
          <w:color w:val="auto"/>
          <w:lang w:eastAsia="es-ES"/>
        </w:rPr>
        <w:t xml:space="preserve"> </w:t>
      </w:r>
      <w:r w:rsidRPr="00252709">
        <w:rPr>
          <w:rFonts w:eastAsia="Times New Roman" w:cs="Tahoma"/>
          <w:bCs/>
          <w:iCs/>
          <w:color w:val="auto"/>
          <w:lang w:eastAsia="es-ES"/>
        </w:rPr>
        <w:t>se advierte que el Sujeto</w:t>
      </w:r>
      <w:r>
        <w:rPr>
          <w:rFonts w:eastAsia="Times New Roman" w:cs="Tahoma"/>
          <w:bCs/>
          <w:iCs/>
          <w:color w:val="auto"/>
          <w:lang w:eastAsia="es-ES"/>
        </w:rPr>
        <w:t xml:space="preserve"> Obligado, </w:t>
      </w:r>
      <w:r w:rsidRPr="00252709">
        <w:rPr>
          <w:rFonts w:eastAsia="Times New Roman" w:cs="Tahoma"/>
          <w:bCs/>
          <w:iCs/>
          <w:color w:val="auto"/>
          <w:lang w:eastAsia="es-ES"/>
        </w:rPr>
        <w:t xml:space="preserve">cumplió con el procedimiento de búsqueda previsto en el artículo 162 de la Ley de Transparencia y Acceso a la Información </w:t>
      </w:r>
      <w:r w:rsidRPr="00252709">
        <w:rPr>
          <w:rFonts w:eastAsia="Times New Roman" w:cs="Tahoma"/>
          <w:bCs/>
          <w:iCs/>
          <w:color w:val="auto"/>
          <w:lang w:eastAsia="es-ES"/>
        </w:rPr>
        <w:lastRenderedPageBreak/>
        <w:t xml:space="preserve">Pública del Estado de México y Municipios, toda vez que turnó la solicitud de información </w:t>
      </w:r>
      <w:r>
        <w:rPr>
          <w:rFonts w:eastAsia="Times New Roman" w:cs="Tahoma"/>
          <w:bCs/>
          <w:iCs/>
          <w:color w:val="auto"/>
          <w:lang w:eastAsia="es-ES"/>
        </w:rPr>
        <w:t xml:space="preserve">a las áreas competentes de conformidad con lo precisado anteriormente. </w:t>
      </w:r>
    </w:p>
    <w:p w14:paraId="31942E8C" w14:textId="37282EA9" w:rsidR="001C551A" w:rsidRDefault="001C551A" w:rsidP="009E7481">
      <w:pPr>
        <w:spacing w:after="0" w:line="360" w:lineRule="auto"/>
        <w:rPr>
          <w:color w:val="auto"/>
          <w:szCs w:val="28"/>
        </w:rPr>
      </w:pPr>
    </w:p>
    <w:p w14:paraId="7E7B4709" w14:textId="5A1698C2" w:rsidR="009E7481" w:rsidRDefault="009E7481" w:rsidP="009E7481">
      <w:pPr>
        <w:spacing w:after="0" w:line="360" w:lineRule="auto"/>
        <w:rPr>
          <w:color w:val="auto"/>
          <w:szCs w:val="28"/>
        </w:rPr>
      </w:pPr>
      <w:r w:rsidRPr="009C4F25">
        <w:rPr>
          <w:rFonts w:eastAsia="Palatino Linotype" w:cs="Palatino Linotype"/>
          <w:color w:val="000000"/>
          <w:lang w:eastAsia="es-MX"/>
        </w:rPr>
        <w:t xml:space="preserve">Ahora bien, dicha área, </w:t>
      </w:r>
      <w:r>
        <w:rPr>
          <w:rFonts w:eastAsia="Palatino Linotype" w:cs="Palatino Linotype"/>
          <w:color w:val="000000"/>
          <w:lang w:eastAsia="es-MX"/>
        </w:rPr>
        <w:t xml:space="preserve">tanto </w:t>
      </w:r>
      <w:r w:rsidRPr="009C4F25">
        <w:rPr>
          <w:rFonts w:eastAsia="Palatino Linotype" w:cs="Palatino Linotype"/>
          <w:color w:val="000000"/>
          <w:lang w:eastAsia="es-MX"/>
        </w:rPr>
        <w:t>en respuesta</w:t>
      </w:r>
      <w:r>
        <w:rPr>
          <w:rFonts w:eastAsia="Palatino Linotype" w:cs="Palatino Linotype"/>
          <w:color w:val="000000"/>
          <w:lang w:eastAsia="es-MX"/>
        </w:rPr>
        <w:t xml:space="preserve">, como informe justificado, precisó que después de realizar una búsqueda exhaustiva y razonable no localizó información de </w:t>
      </w:r>
      <w:r w:rsidRPr="009E7481">
        <w:rPr>
          <w:rFonts w:eastAsia="Palatino Linotype" w:cs="Palatino Linotype"/>
          <w:iCs/>
          <w:lang w:eastAsia="es-MX"/>
        </w:rPr>
        <w:t>Balam Salazar Sánchez y Jorge Luis Avalos Ramírez</w:t>
      </w:r>
      <w:r>
        <w:rPr>
          <w:rFonts w:eastAsia="Palatino Linotype" w:cs="Palatino Linotype"/>
          <w:iCs/>
          <w:lang w:eastAsia="es-MX"/>
        </w:rPr>
        <w:t>, lo cual se traduce a que no dichas personas no eran servidores públicos del Sujeto Obligado durante enero de dos mil veinticinco.</w:t>
      </w:r>
    </w:p>
    <w:p w14:paraId="5CCF3B8C" w14:textId="77777777" w:rsidR="009E7481" w:rsidRDefault="009E7481" w:rsidP="009E7481">
      <w:pPr>
        <w:spacing w:after="0" w:line="360" w:lineRule="auto"/>
        <w:rPr>
          <w:color w:val="auto"/>
          <w:szCs w:val="28"/>
        </w:rPr>
      </w:pPr>
    </w:p>
    <w:p w14:paraId="2107C0A3" w14:textId="09D323FF" w:rsidR="00A6633F" w:rsidRPr="00E443C0" w:rsidRDefault="00A6633F" w:rsidP="00A6633F">
      <w:pPr>
        <w:spacing w:after="0" w:line="360" w:lineRule="auto"/>
        <w:contextualSpacing/>
        <w:rPr>
          <w:rFonts w:eastAsia="Calibri" w:cs="Times New Roman"/>
        </w:rPr>
      </w:pPr>
      <w:r w:rsidRPr="00E443C0">
        <w:rPr>
          <w:rFonts w:eastAsia="Calibri" w:cs="Times New Roman"/>
        </w:rPr>
        <w:t xml:space="preserve">Sobre el tema, el Criterio SO/014/2017, </w:t>
      </w:r>
      <w:r w:rsidR="00127FD5">
        <w:rPr>
          <w:rFonts w:eastAsia="Calibri" w:cs="Times New Roman"/>
        </w:rPr>
        <w:t>emitido por el entonces Instituto Nacional de Transparencia</w:t>
      </w:r>
      <w:r w:rsidRPr="00E443C0">
        <w:rPr>
          <w:rFonts w:eastAsia="Calibri" w:cs="Times New Roman"/>
        </w:rPr>
        <w:t xml:space="preserve">, Acceso a la Información Pública y Protección de Datos Personales en el Estado de México y Municipios, se desprende que la inexistencia de la información, es una cuestión de hecho que se le atribuye a la misma, cuando ésta no se encuentra en los archivos del sujeto obligado. </w:t>
      </w:r>
    </w:p>
    <w:p w14:paraId="4175FC90" w14:textId="77777777" w:rsidR="00A6633F" w:rsidRPr="00E443C0" w:rsidRDefault="00A6633F" w:rsidP="00A6633F">
      <w:pPr>
        <w:spacing w:after="0" w:line="360" w:lineRule="auto"/>
        <w:contextualSpacing/>
        <w:rPr>
          <w:rFonts w:eastAsia="Calibri" w:cs="Times New Roman"/>
        </w:rPr>
      </w:pPr>
    </w:p>
    <w:p w14:paraId="666707DD" w14:textId="77777777" w:rsidR="00A6633F" w:rsidRPr="00E443C0" w:rsidRDefault="00A6633F" w:rsidP="00A6633F">
      <w:pPr>
        <w:spacing w:after="0" w:line="360" w:lineRule="auto"/>
        <w:contextualSpacing/>
        <w:rPr>
          <w:rFonts w:eastAsia="Calibri" w:cs="Times New Roman"/>
        </w:rPr>
      </w:pPr>
      <w:r w:rsidRPr="00E443C0">
        <w:rPr>
          <w:rFonts w:eastAsia="Calibri" w:cs="Times New Roman"/>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19A5842D" w14:textId="77777777" w:rsidR="00A6633F" w:rsidRPr="00E443C0" w:rsidRDefault="00A6633F" w:rsidP="00A6633F">
      <w:pPr>
        <w:spacing w:after="0" w:line="360" w:lineRule="auto"/>
        <w:contextualSpacing/>
        <w:rPr>
          <w:rFonts w:eastAsia="Calibri" w:cs="Times New Roman"/>
        </w:rPr>
      </w:pPr>
    </w:p>
    <w:p w14:paraId="7DCC727C" w14:textId="77777777" w:rsidR="00A6633F" w:rsidRPr="00E443C0" w:rsidRDefault="00A6633F" w:rsidP="00A6633F">
      <w:pPr>
        <w:spacing w:after="0" w:line="360" w:lineRule="auto"/>
        <w:contextualSpacing/>
        <w:rPr>
          <w:rFonts w:eastAsia="Calibri" w:cs="Times New Roman"/>
        </w:rPr>
      </w:pPr>
      <w:r w:rsidRPr="00E443C0">
        <w:rPr>
          <w:rFonts w:eastAsia="Calibri" w:cs="Times New Roman"/>
        </w:rPr>
        <w:t>Además,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6662E23" w14:textId="77777777" w:rsidR="00A6633F" w:rsidRPr="00E443C0" w:rsidRDefault="00A6633F" w:rsidP="00A6633F">
      <w:pPr>
        <w:spacing w:after="0" w:line="360" w:lineRule="auto"/>
        <w:contextualSpacing/>
        <w:rPr>
          <w:rFonts w:eastAsia="Calibri" w:cs="Times New Roman"/>
        </w:rPr>
      </w:pPr>
      <w:r w:rsidRPr="00E443C0">
        <w:rPr>
          <w:rFonts w:eastAsia="Calibri" w:cs="Times New Roman"/>
        </w:rPr>
        <w:t>Así, es posible concluir que la inexistencia presupone la competencia del sujeto obligado para conocer de la información, pero por alguna circunstancia, la documentación solicitada no obra en sus archivos</w:t>
      </w:r>
      <w:r>
        <w:rPr>
          <w:rFonts w:eastAsia="Calibri" w:cs="Times New Roman"/>
        </w:rPr>
        <w:t>; p</w:t>
      </w:r>
      <w:r w:rsidRPr="00E443C0">
        <w:rPr>
          <w:rFonts w:eastAsia="Calibri" w:cs="Times New Roman"/>
        </w:rPr>
        <w:t xml:space="preserve">ara tal situación, no basta con que los sujetos obligados precisen dicha </w:t>
      </w:r>
      <w:r w:rsidRPr="00E443C0">
        <w:rPr>
          <w:rFonts w:eastAsia="Calibri" w:cs="Times New Roman"/>
        </w:rPr>
        <w:lastRenderedPageBreak/>
        <w:t>circunstancia, sino que también debe de señalar las razones por las cuales no cuentan con lo peticionado, es decir, las circunstancias que dan lugar a la inexistencia.</w:t>
      </w:r>
    </w:p>
    <w:p w14:paraId="7904E2DB" w14:textId="77777777" w:rsidR="00A6633F" w:rsidRPr="00E443C0" w:rsidRDefault="00A6633F" w:rsidP="00A6633F">
      <w:pPr>
        <w:spacing w:after="0" w:line="360" w:lineRule="auto"/>
        <w:contextualSpacing/>
        <w:rPr>
          <w:rFonts w:eastAsia="Calibri" w:cs="Times New Roman"/>
        </w:rPr>
      </w:pPr>
    </w:p>
    <w:p w14:paraId="2E7CD557" w14:textId="72C0D590" w:rsidR="00A6633F" w:rsidRDefault="00A6633F" w:rsidP="00A6633F">
      <w:pPr>
        <w:spacing w:after="0" w:line="360" w:lineRule="auto"/>
        <w:contextualSpacing/>
      </w:pPr>
      <w:r>
        <w:t>En ese contexto, la Dirección de Administración señaló las razones por las cuales no contaba con la información de dos personas, que se traduce a que no eran servidores públicos del Ayuntamiento; además, que este Instituto realizó una búsqueda en la página oficial del Ente Recurrido y su Portal de Información Pública de Oficio Mexiquense y no se localizó algún indicio de que sean trabajadores gubernamentales del Municipio.</w:t>
      </w:r>
    </w:p>
    <w:p w14:paraId="5F227F18" w14:textId="77777777" w:rsidR="00A6633F" w:rsidRDefault="00A6633F" w:rsidP="00A6633F">
      <w:pPr>
        <w:spacing w:after="0" w:line="360" w:lineRule="auto"/>
        <w:contextualSpacing/>
        <w:rPr>
          <w:rFonts w:eastAsia="Calibri" w:cs="Times New Roman"/>
        </w:rPr>
      </w:pPr>
    </w:p>
    <w:p w14:paraId="30BCF955" w14:textId="0562E502" w:rsidR="00A6633F" w:rsidRPr="00E443C0" w:rsidRDefault="00A6633F" w:rsidP="00A6633F">
      <w:pPr>
        <w:spacing w:after="0" w:line="360" w:lineRule="auto"/>
        <w:contextualSpacing/>
        <w:rPr>
          <w:rFonts w:eastAsia="Calibri" w:cs="Times New Roman"/>
        </w:rPr>
      </w:pPr>
      <w:r>
        <w:rPr>
          <w:rFonts w:eastAsia="Calibri" w:cs="Times New Roman"/>
        </w:rPr>
        <w:t xml:space="preserve">Así, se advierte que la Dirección de Administración desde respuesta, señaló las razones por las cuales no contaba con lo peticionado; </w:t>
      </w:r>
      <w:r w:rsidRPr="00E443C0">
        <w:rPr>
          <w:rFonts w:eastAsia="Calibri" w:cs="Times New Roman"/>
        </w:rPr>
        <w:t>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5CB5F071" w14:textId="77777777" w:rsidR="00A6633F" w:rsidRPr="00E443C0" w:rsidRDefault="00A6633F" w:rsidP="00A6633F">
      <w:pPr>
        <w:spacing w:after="0" w:line="360" w:lineRule="auto"/>
        <w:contextualSpacing/>
        <w:rPr>
          <w:rFonts w:eastAsia="Calibri" w:cs="Times New Roman"/>
        </w:rPr>
      </w:pPr>
    </w:p>
    <w:p w14:paraId="4AD61297" w14:textId="0E083B67" w:rsidR="00A6633F" w:rsidRPr="00E443C0" w:rsidRDefault="00A6633F" w:rsidP="00A6633F">
      <w:pPr>
        <w:spacing w:after="0" w:line="360" w:lineRule="auto"/>
        <w:contextualSpacing/>
        <w:rPr>
          <w:rFonts w:eastAsia="Calibri" w:cs="Times New Roman"/>
        </w:rPr>
      </w:pPr>
      <w:r w:rsidRPr="00E443C0">
        <w:rPr>
          <w:rFonts w:eastAsia="Calibri" w:cs="Times New Roman"/>
        </w:rPr>
        <w:t xml:space="preserve">De la misma manera, el Criterio de interpretación con clave de registro SO/007/2017, de la Segunda Época, </w:t>
      </w:r>
      <w:r w:rsidR="00127FD5">
        <w:rPr>
          <w:rFonts w:eastAsia="Calibri" w:cs="Times New Roman"/>
        </w:rPr>
        <w:t>emitido por el entonces Instituto Nacional de Transparencia</w:t>
      </w:r>
      <w:r w:rsidRPr="00E443C0">
        <w:rPr>
          <w:rFonts w:eastAsia="Calibri" w:cs="Times New Roman"/>
        </w:rPr>
        <w:t xml:space="preserve">, Acceso a la Información y Protección de Datos Personales, </w:t>
      </w:r>
      <w:r w:rsidR="00F212AB">
        <w:rPr>
          <w:rFonts w:eastAsia="Calibri" w:cs="Times New Roman"/>
        </w:rPr>
        <w:t xml:space="preserve">vigente a la fecha de la solicitud, </w:t>
      </w:r>
      <w:r w:rsidRPr="00E443C0">
        <w:rPr>
          <w:rFonts w:eastAsia="Calibri" w:cs="Times New Roman"/>
        </w:rPr>
        <w:t>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11940825" w14:textId="77777777" w:rsidR="00A6633F" w:rsidRPr="00E443C0" w:rsidRDefault="00A6633F" w:rsidP="00A6633F">
      <w:pPr>
        <w:spacing w:after="0" w:line="360" w:lineRule="auto"/>
        <w:contextualSpacing/>
        <w:rPr>
          <w:rFonts w:eastAsia="Calibri" w:cs="Times New Roman"/>
        </w:rPr>
      </w:pPr>
    </w:p>
    <w:p w14:paraId="77092C62" w14:textId="703DD8DE" w:rsidR="00A6633F" w:rsidRDefault="00A6633F" w:rsidP="00A6633F">
      <w:pPr>
        <w:spacing w:after="0" w:line="360" w:lineRule="auto"/>
        <w:contextualSpacing/>
        <w:rPr>
          <w:rFonts w:eastAsia="Calibri" w:cs="Times New Roman"/>
        </w:rPr>
      </w:pPr>
      <w:r w:rsidRPr="00E443C0">
        <w:rPr>
          <w:rFonts w:eastAsia="Calibri" w:cs="Times New Roman"/>
        </w:rPr>
        <w:t>Al respecto, dicho criterio aplica al caso en concreto, ya que</w:t>
      </w:r>
      <w:r>
        <w:rPr>
          <w:rFonts w:eastAsia="Calibri" w:cs="Times New Roman"/>
        </w:rPr>
        <w:t xml:space="preserve"> como se analizó</w:t>
      </w:r>
      <w:r w:rsidR="00A13E67">
        <w:rPr>
          <w:rFonts w:eastAsia="Calibri" w:cs="Times New Roman"/>
        </w:rPr>
        <w:t>, no se localizó algún indicio respecto a que las personas analizadas, sean servidores públicos del Ayuntamiento, y por lo tanto, atendió de manera correcta la solicitud.</w:t>
      </w:r>
    </w:p>
    <w:p w14:paraId="11F634D2" w14:textId="77777777" w:rsidR="00127FD5" w:rsidRPr="007E066F" w:rsidRDefault="00127FD5" w:rsidP="00A6633F">
      <w:pPr>
        <w:spacing w:after="0" w:line="360" w:lineRule="auto"/>
        <w:contextualSpacing/>
        <w:rPr>
          <w:rFonts w:eastAsia="Calibri" w:cs="Times New Roman"/>
          <w:b/>
          <w:bCs/>
        </w:rPr>
      </w:pPr>
    </w:p>
    <w:p w14:paraId="742CD5AD" w14:textId="2A818AEC" w:rsidR="00AB37B5" w:rsidRDefault="00A13E67" w:rsidP="009E7481">
      <w:pPr>
        <w:spacing w:after="0" w:line="360" w:lineRule="auto"/>
        <w:rPr>
          <w:rFonts w:eastAsia="Palatino Linotype" w:cs="Palatino Linotype"/>
          <w:color w:val="000000"/>
          <w:lang w:eastAsia="es-MX"/>
        </w:rPr>
      </w:pPr>
      <w:r>
        <w:rPr>
          <w:rFonts w:eastAsia="Palatino Linotype" w:cs="Palatino Linotype"/>
          <w:color w:val="000000"/>
          <w:lang w:eastAsia="es-MX"/>
        </w:rPr>
        <w:t>Por otra parte</w:t>
      </w:r>
      <w:r w:rsidR="009C4F25" w:rsidRPr="009C4F25">
        <w:rPr>
          <w:rFonts w:eastAsia="Palatino Linotype" w:cs="Palatino Linotype"/>
          <w:color w:val="000000"/>
          <w:lang w:eastAsia="es-MX"/>
        </w:rPr>
        <w:t xml:space="preserve">, dicha área, </w:t>
      </w:r>
      <w:r>
        <w:rPr>
          <w:rFonts w:eastAsia="Palatino Linotype" w:cs="Palatino Linotype"/>
          <w:color w:val="000000"/>
          <w:lang w:eastAsia="es-MX"/>
        </w:rPr>
        <w:t xml:space="preserve">tanto </w:t>
      </w:r>
      <w:r w:rsidR="009C4F25" w:rsidRPr="009C4F25">
        <w:rPr>
          <w:rFonts w:eastAsia="Palatino Linotype" w:cs="Palatino Linotype"/>
          <w:color w:val="000000"/>
          <w:lang w:eastAsia="es-MX"/>
        </w:rPr>
        <w:t>en respuesta</w:t>
      </w:r>
      <w:r w:rsidR="009C4F25">
        <w:rPr>
          <w:rFonts w:eastAsia="Palatino Linotype" w:cs="Palatino Linotype"/>
          <w:color w:val="000000"/>
          <w:lang w:eastAsia="es-MX"/>
        </w:rPr>
        <w:t xml:space="preserve"> </w:t>
      </w:r>
      <w:r>
        <w:rPr>
          <w:rFonts w:eastAsia="Palatino Linotype" w:cs="Palatino Linotype"/>
          <w:color w:val="000000"/>
          <w:lang w:eastAsia="es-MX"/>
        </w:rPr>
        <w:t>e</w:t>
      </w:r>
      <w:r w:rsidR="009C4F25">
        <w:rPr>
          <w:rFonts w:eastAsia="Palatino Linotype" w:cs="Palatino Linotype"/>
          <w:color w:val="000000"/>
          <w:lang w:eastAsia="es-MX"/>
        </w:rPr>
        <w:t xml:space="preserve"> informe justificado</w:t>
      </w:r>
      <w:r w:rsidR="009C4F25" w:rsidRPr="009C4F25">
        <w:rPr>
          <w:rFonts w:eastAsia="Palatino Linotype" w:cs="Palatino Linotype"/>
          <w:color w:val="000000"/>
          <w:lang w:eastAsia="es-MX"/>
        </w:rPr>
        <w:t>, p</w:t>
      </w:r>
      <w:r>
        <w:rPr>
          <w:rFonts w:eastAsia="Palatino Linotype" w:cs="Palatino Linotype"/>
          <w:color w:val="000000"/>
          <w:lang w:eastAsia="es-MX"/>
        </w:rPr>
        <w:t xml:space="preserve">roporcionó </w:t>
      </w:r>
      <w:r w:rsidR="009C4F25">
        <w:rPr>
          <w:rFonts w:eastAsia="Palatino Linotype" w:cs="Palatino Linotype"/>
          <w:color w:val="000000"/>
          <w:lang w:eastAsia="es-MX"/>
        </w:rPr>
        <w:t xml:space="preserve">los recibos de nómina </w:t>
      </w:r>
      <w:r w:rsidR="009E7481">
        <w:rPr>
          <w:rFonts w:eastAsia="Palatino Linotype" w:cs="Palatino Linotype"/>
          <w:color w:val="000000"/>
          <w:lang w:eastAsia="es-MX"/>
        </w:rPr>
        <w:t>de</w:t>
      </w:r>
      <w:r w:rsidR="009C4F25">
        <w:rPr>
          <w:rFonts w:eastAsia="Palatino Linotype" w:cs="Palatino Linotype"/>
          <w:color w:val="000000"/>
          <w:lang w:eastAsia="es-MX"/>
        </w:rPr>
        <w:t xml:space="preserve"> la primera y segunda quincena de enero de dos mil veinticinco de los servidores públicos sindicalizados</w:t>
      </w:r>
      <w:r w:rsidR="00877C07">
        <w:rPr>
          <w:rFonts w:eastAsia="Palatino Linotype" w:cs="Palatino Linotype"/>
          <w:color w:val="000000"/>
          <w:lang w:eastAsia="es-MX"/>
        </w:rPr>
        <w:t xml:space="preserve"> </w:t>
      </w:r>
      <w:r w:rsidR="00877C07" w:rsidRPr="00877C07">
        <w:rPr>
          <w:rFonts w:eastAsia="Palatino Linotype" w:cs="Palatino Linotype"/>
          <w:color w:val="000000"/>
          <w:lang w:eastAsia="es-MX"/>
        </w:rPr>
        <w:t>Rigoberto Vázquez Pérez</w:t>
      </w:r>
      <w:r w:rsidR="00877C07">
        <w:rPr>
          <w:rFonts w:eastAsia="Palatino Linotype" w:cs="Palatino Linotype"/>
          <w:color w:val="000000"/>
          <w:lang w:eastAsia="es-MX"/>
        </w:rPr>
        <w:t xml:space="preserve">, </w:t>
      </w:r>
      <w:proofErr w:type="spellStart"/>
      <w:r w:rsidR="00877C07" w:rsidRPr="00877C07">
        <w:rPr>
          <w:rFonts w:eastAsia="Palatino Linotype" w:cs="Palatino Linotype"/>
          <w:color w:val="000000"/>
          <w:lang w:eastAsia="es-MX"/>
        </w:rPr>
        <w:t>Yasm</w:t>
      </w:r>
      <w:r w:rsidR="00AB37B5">
        <w:rPr>
          <w:rFonts w:eastAsia="Palatino Linotype" w:cs="Palatino Linotype"/>
          <w:color w:val="000000"/>
          <w:lang w:eastAsia="es-MX"/>
        </w:rPr>
        <w:t>i</w:t>
      </w:r>
      <w:r w:rsidR="00877C07" w:rsidRPr="00877C07">
        <w:rPr>
          <w:rFonts w:eastAsia="Palatino Linotype" w:cs="Palatino Linotype"/>
          <w:color w:val="000000"/>
          <w:lang w:eastAsia="es-MX"/>
        </w:rPr>
        <w:t>n</w:t>
      </w:r>
      <w:proofErr w:type="spellEnd"/>
      <w:r w:rsidR="00877C07" w:rsidRPr="00877C07">
        <w:rPr>
          <w:rFonts w:eastAsia="Palatino Linotype" w:cs="Palatino Linotype"/>
          <w:color w:val="000000"/>
          <w:lang w:eastAsia="es-MX"/>
        </w:rPr>
        <w:t xml:space="preserve">  Prado Reyes</w:t>
      </w:r>
      <w:r w:rsidR="00877C07">
        <w:rPr>
          <w:rFonts w:eastAsia="Palatino Linotype" w:cs="Palatino Linotype"/>
          <w:color w:val="000000"/>
          <w:lang w:eastAsia="es-MX"/>
        </w:rPr>
        <w:t xml:space="preserve">, </w:t>
      </w:r>
      <w:proofErr w:type="spellStart"/>
      <w:r w:rsidR="00877C07">
        <w:rPr>
          <w:rFonts w:eastAsia="Palatino Linotype" w:cs="Palatino Linotype"/>
          <w:color w:val="000000"/>
          <w:lang w:eastAsia="es-MX"/>
        </w:rPr>
        <w:t>Sofia</w:t>
      </w:r>
      <w:proofErr w:type="spellEnd"/>
      <w:r w:rsidR="00877C07">
        <w:rPr>
          <w:rFonts w:eastAsia="Palatino Linotype" w:cs="Palatino Linotype"/>
          <w:color w:val="000000"/>
          <w:lang w:eastAsia="es-MX"/>
        </w:rPr>
        <w:t xml:space="preserve"> Ramírez Subir</w:t>
      </w:r>
      <w:r w:rsidR="00AB37B5">
        <w:rPr>
          <w:rFonts w:eastAsia="Palatino Linotype" w:cs="Palatino Linotype"/>
          <w:color w:val="000000"/>
          <w:lang w:eastAsia="es-MX"/>
        </w:rPr>
        <w:t>í</w:t>
      </w:r>
      <w:r w:rsidR="00877C07">
        <w:rPr>
          <w:rFonts w:eastAsia="Palatino Linotype" w:cs="Palatino Linotype"/>
          <w:color w:val="000000"/>
          <w:lang w:eastAsia="es-MX"/>
        </w:rPr>
        <w:t xml:space="preserve">a, Carlos Adrián López Pérez, Juan Carlos Cruz Gonzáles, Manuel Rangel Velázquez, José Antonio </w:t>
      </w:r>
      <w:proofErr w:type="spellStart"/>
      <w:r w:rsidR="00877C07">
        <w:rPr>
          <w:rFonts w:eastAsia="Palatino Linotype" w:cs="Palatino Linotype"/>
          <w:color w:val="000000"/>
          <w:lang w:eastAsia="es-MX"/>
        </w:rPr>
        <w:t>Demecio</w:t>
      </w:r>
      <w:proofErr w:type="spellEnd"/>
      <w:r w:rsidR="00877C07">
        <w:rPr>
          <w:rFonts w:eastAsia="Palatino Linotype" w:cs="Palatino Linotype"/>
          <w:color w:val="000000"/>
          <w:lang w:eastAsia="es-MX"/>
        </w:rPr>
        <w:t xml:space="preserve"> Pérez, Carlos Alberto Gutiérrez </w:t>
      </w:r>
      <w:r w:rsidR="00AB37B5">
        <w:rPr>
          <w:rFonts w:eastAsia="Palatino Linotype" w:cs="Palatino Linotype"/>
          <w:color w:val="000000"/>
          <w:lang w:eastAsia="es-MX"/>
        </w:rPr>
        <w:t xml:space="preserve">Anguiano, Carlos Ocampo </w:t>
      </w:r>
      <w:proofErr w:type="spellStart"/>
      <w:r w:rsidR="00AB37B5">
        <w:rPr>
          <w:rFonts w:eastAsia="Palatino Linotype" w:cs="Palatino Linotype"/>
          <w:color w:val="000000"/>
          <w:lang w:eastAsia="es-MX"/>
        </w:rPr>
        <w:t>Elizarras</w:t>
      </w:r>
      <w:proofErr w:type="spellEnd"/>
      <w:r w:rsidR="00AB37B5">
        <w:rPr>
          <w:rFonts w:eastAsia="Palatino Linotype" w:cs="Palatino Linotype"/>
          <w:color w:val="000000"/>
          <w:lang w:eastAsia="es-MX"/>
        </w:rPr>
        <w:t xml:space="preserve">, Antonio </w:t>
      </w:r>
      <w:proofErr w:type="spellStart"/>
      <w:r w:rsidR="00AB37B5">
        <w:rPr>
          <w:rFonts w:eastAsia="Palatino Linotype" w:cs="Palatino Linotype"/>
          <w:color w:val="000000"/>
          <w:lang w:eastAsia="es-MX"/>
        </w:rPr>
        <w:t>Gualterio</w:t>
      </w:r>
      <w:proofErr w:type="spellEnd"/>
      <w:r w:rsidR="00AB37B5">
        <w:rPr>
          <w:rFonts w:eastAsia="Palatino Linotype" w:cs="Palatino Linotype"/>
          <w:color w:val="000000"/>
          <w:lang w:eastAsia="es-MX"/>
        </w:rPr>
        <w:t xml:space="preserve"> Ortega Minero, Francisco Javier </w:t>
      </w:r>
      <w:r>
        <w:rPr>
          <w:rFonts w:eastAsia="Palatino Linotype" w:cs="Palatino Linotype"/>
          <w:color w:val="000000"/>
          <w:lang w:eastAsia="es-MX"/>
        </w:rPr>
        <w:t>Damián</w:t>
      </w:r>
      <w:r w:rsidR="00AB37B5">
        <w:rPr>
          <w:rFonts w:eastAsia="Palatino Linotype" w:cs="Palatino Linotype"/>
          <w:color w:val="000000"/>
          <w:lang w:eastAsia="es-MX"/>
        </w:rPr>
        <w:t xml:space="preserve"> Elizondo, Felipe Sosa Ramírez,  Martha Delgado Gómez, Norma Angélica Rodríguez Reyes y Francisco Dorantes Hernández</w:t>
      </w:r>
      <w:r w:rsidR="004F56E1">
        <w:rPr>
          <w:rFonts w:eastAsia="Palatino Linotype" w:cs="Palatino Linotype"/>
          <w:color w:val="000000"/>
          <w:lang w:eastAsia="es-MX"/>
        </w:rPr>
        <w:t xml:space="preserve">, tal como se muestra en la siguiente </w:t>
      </w:r>
      <w:r w:rsidR="00DB3F65">
        <w:rPr>
          <w:rFonts w:eastAsia="Palatino Linotype" w:cs="Palatino Linotype"/>
          <w:color w:val="000000"/>
          <w:lang w:eastAsia="es-MX"/>
        </w:rPr>
        <w:t>imagen</w:t>
      </w:r>
      <w:r w:rsidR="004F56E1">
        <w:rPr>
          <w:rFonts w:eastAsia="Palatino Linotype" w:cs="Palatino Linotype"/>
          <w:color w:val="000000"/>
          <w:lang w:eastAsia="es-MX"/>
        </w:rPr>
        <w:t xml:space="preserve"> ilustrativa: </w:t>
      </w:r>
    </w:p>
    <w:p w14:paraId="6CBFF369" w14:textId="1AE9F663" w:rsidR="004F56E1" w:rsidRDefault="004F56E1" w:rsidP="009E7481">
      <w:pPr>
        <w:spacing w:after="0" w:line="360" w:lineRule="auto"/>
        <w:rPr>
          <w:rFonts w:eastAsia="Palatino Linotype" w:cs="Palatino Linotype"/>
          <w:color w:val="000000"/>
          <w:lang w:eastAsia="es-MX"/>
        </w:rPr>
      </w:pPr>
    </w:p>
    <w:p w14:paraId="1C9DF588" w14:textId="64F3DD96" w:rsidR="004F56E1" w:rsidRDefault="004F56E1" w:rsidP="009E7481">
      <w:pPr>
        <w:spacing w:after="0" w:line="360" w:lineRule="auto"/>
        <w:jc w:val="center"/>
        <w:rPr>
          <w:rFonts w:eastAsia="Palatino Linotype" w:cs="Palatino Linotype"/>
          <w:color w:val="000000"/>
          <w:lang w:eastAsia="es-MX"/>
        </w:rPr>
      </w:pPr>
      <w:r w:rsidRPr="004F56E1">
        <w:rPr>
          <w:rFonts w:eastAsia="Palatino Linotype" w:cs="Palatino Linotype"/>
          <w:noProof/>
          <w:color w:val="000000"/>
          <w:lang w:eastAsia="es-MX"/>
        </w:rPr>
        <w:drawing>
          <wp:inline distT="0" distB="0" distL="0" distR="0" wp14:anchorId="7A88AF76" wp14:editId="6FFCB894">
            <wp:extent cx="4552419" cy="3010619"/>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86246" cy="3032990"/>
                    </a:xfrm>
                    <a:prstGeom prst="rect">
                      <a:avLst/>
                    </a:prstGeom>
                  </pic:spPr>
                </pic:pic>
              </a:graphicData>
            </a:graphic>
          </wp:inline>
        </w:drawing>
      </w:r>
    </w:p>
    <w:p w14:paraId="191DF3F8" w14:textId="77777777" w:rsidR="00A13E67" w:rsidRDefault="00A13E67" w:rsidP="009E7481">
      <w:pPr>
        <w:spacing w:after="0" w:line="360" w:lineRule="auto"/>
        <w:rPr>
          <w:rFonts w:eastAsia="Times New Roman" w:cs="Tahoma"/>
          <w:lang w:eastAsia="es-MX"/>
        </w:rPr>
      </w:pPr>
    </w:p>
    <w:p w14:paraId="04C5C5BA" w14:textId="77777777" w:rsidR="00A13E67" w:rsidRPr="00D8775A" w:rsidRDefault="00A00E8D" w:rsidP="00A13E67">
      <w:pPr>
        <w:tabs>
          <w:tab w:val="left" w:pos="4914"/>
        </w:tabs>
        <w:spacing w:line="360" w:lineRule="auto"/>
        <w:contextualSpacing/>
        <w:rPr>
          <w:rFonts w:eastAsia="Times New Roman" w:cs="Tahoma"/>
          <w:bCs/>
          <w:iCs/>
          <w:color w:val="auto"/>
          <w:lang w:eastAsia="es-ES"/>
        </w:rPr>
      </w:pPr>
      <w:r w:rsidRPr="00A00E8D">
        <w:rPr>
          <w:rFonts w:eastAsia="Times New Roman" w:cs="Tahoma"/>
          <w:lang w:eastAsia="es-MX"/>
        </w:rPr>
        <w:t xml:space="preserve">De tales circunstancias, se considera que el Sujeto Obligado </w:t>
      </w:r>
      <w:r w:rsidR="00A13E67">
        <w:rPr>
          <w:rFonts w:eastAsia="Times New Roman" w:cs="Tahoma"/>
          <w:lang w:eastAsia="es-MX"/>
        </w:rPr>
        <w:t>proporcionó</w:t>
      </w:r>
      <w:r w:rsidRPr="00A00E8D">
        <w:rPr>
          <w:rFonts w:eastAsia="Times New Roman" w:cs="Tahoma"/>
          <w:lang w:eastAsia="es-MX"/>
        </w:rPr>
        <w:t xml:space="preserve"> </w:t>
      </w:r>
      <w:r>
        <w:rPr>
          <w:rFonts w:eastAsia="Times New Roman" w:cs="Tahoma"/>
          <w:lang w:eastAsia="es-MX"/>
        </w:rPr>
        <w:t xml:space="preserve">los recibos de nómina de las personas </w:t>
      </w:r>
      <w:r w:rsidR="00A13E67">
        <w:rPr>
          <w:rFonts w:eastAsia="Times New Roman" w:cs="Tahoma"/>
          <w:lang w:eastAsia="es-MX"/>
        </w:rPr>
        <w:t>requeridas que eran servidores públicos,</w:t>
      </w:r>
      <w:r w:rsidRPr="00A00E8D">
        <w:rPr>
          <w:rFonts w:eastAsia="Times New Roman" w:cs="Tahoma"/>
          <w:lang w:eastAsia="es-MX"/>
        </w:rPr>
        <w:t xml:space="preserve"> </w:t>
      </w:r>
      <w:r>
        <w:rPr>
          <w:rFonts w:eastAsia="Times New Roman" w:cs="Tahoma"/>
          <w:lang w:eastAsia="es-MX"/>
        </w:rPr>
        <w:t>de la primera y segunda quincena de enero de dos mil veinticinco</w:t>
      </w:r>
      <w:r w:rsidR="00A13E67">
        <w:rPr>
          <w:rFonts w:eastAsia="Times New Roman" w:cs="Tahoma"/>
          <w:lang w:eastAsia="es-MX"/>
        </w:rPr>
        <w:t xml:space="preserve">; </w:t>
      </w:r>
      <w:r w:rsidR="00A13E67">
        <w:rPr>
          <w:rFonts w:eastAsia="Times New Roman" w:cs="Tahoma"/>
          <w:bCs/>
          <w:iCs/>
          <w:color w:val="auto"/>
          <w:lang w:val="es-ES" w:eastAsia="es-ES"/>
        </w:rPr>
        <w:t>d</w:t>
      </w:r>
      <w:proofErr w:type="spellStart"/>
      <w:r w:rsidR="00A13E67" w:rsidRPr="00D8775A">
        <w:rPr>
          <w:rFonts w:eastAsia="Times New Roman" w:cs="Tahoma"/>
          <w:bCs/>
          <w:iCs/>
          <w:color w:val="auto"/>
          <w:lang w:eastAsia="es-ES"/>
        </w:rPr>
        <w:t>icha</w:t>
      </w:r>
      <w:proofErr w:type="spellEnd"/>
      <w:r w:rsidR="00A13E67" w:rsidRPr="00D8775A">
        <w:rPr>
          <w:rFonts w:eastAsia="Times New Roman" w:cs="Tahoma"/>
          <w:bCs/>
          <w:iCs/>
          <w:color w:val="auto"/>
          <w:lang w:eastAsia="es-ES"/>
        </w:rPr>
        <w:t xml:space="preserve"> determinación toma sustento, en el artículo 12 de la Ley de Transparencia y Acceso a la Información Pública del Estado de México y Municipios, los sujetos obligados sólo están constreñidos a proporcionar la información pública que obre en sus </w:t>
      </w:r>
      <w:r w:rsidR="00A13E67" w:rsidRPr="00D8775A">
        <w:rPr>
          <w:rFonts w:eastAsia="Times New Roman" w:cs="Tahoma"/>
          <w:bCs/>
          <w:iCs/>
          <w:color w:val="auto"/>
          <w:lang w:eastAsia="es-ES"/>
        </w:rPr>
        <w:lastRenderedPageBreak/>
        <w:t>archivos, en el estado en que esta se encuentre; por lo que, la entrega no comprende el procesamiento de la misma, ni presentarla conforme al interés del solicitante, además, que tampoco deberá generarla, resumirla, efectuar cálculos o practicar investigaciones.</w:t>
      </w:r>
    </w:p>
    <w:p w14:paraId="323F24DF" w14:textId="77777777" w:rsidR="00A13E67" w:rsidRPr="00D8775A" w:rsidRDefault="00A13E67" w:rsidP="00A13E67">
      <w:pPr>
        <w:spacing w:line="360" w:lineRule="auto"/>
        <w:contextualSpacing/>
        <w:rPr>
          <w:rFonts w:eastAsia="Times New Roman" w:cs="Tahoma"/>
          <w:bCs/>
          <w:iCs/>
          <w:color w:val="auto"/>
          <w:lang w:eastAsia="es-ES"/>
        </w:rPr>
      </w:pPr>
    </w:p>
    <w:p w14:paraId="3B76509C" w14:textId="77777777" w:rsidR="00A13E67" w:rsidRDefault="00A13E67" w:rsidP="00A13E67">
      <w:pPr>
        <w:spacing w:line="360" w:lineRule="auto"/>
        <w:contextualSpacing/>
        <w:rPr>
          <w:rFonts w:eastAsia="Times New Roman" w:cs="Tahoma"/>
          <w:bCs/>
          <w:iCs/>
          <w:color w:val="auto"/>
          <w:lang w:eastAsia="es-ES"/>
        </w:rPr>
      </w:pPr>
      <w:r w:rsidRPr="00D8775A">
        <w:rPr>
          <w:rFonts w:eastAsia="Times New Roman" w:cs="Tahoma"/>
          <w:bCs/>
          <w:iCs/>
          <w:color w:val="auto"/>
          <w:lang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44FF4318" w14:textId="77777777" w:rsidR="00A13E67" w:rsidRDefault="00A13E67" w:rsidP="00A13E67">
      <w:pPr>
        <w:spacing w:line="360" w:lineRule="auto"/>
        <w:contextualSpacing/>
        <w:rPr>
          <w:rFonts w:eastAsia="Times New Roman" w:cs="Tahoma"/>
          <w:bCs/>
          <w:iCs/>
          <w:color w:val="auto"/>
          <w:lang w:eastAsia="es-ES"/>
        </w:rPr>
      </w:pPr>
    </w:p>
    <w:p w14:paraId="5AE8A609" w14:textId="57ECE1FB" w:rsidR="00A00E8D" w:rsidRDefault="00A13E67" w:rsidP="009E7481">
      <w:pPr>
        <w:spacing w:after="0" w:line="360" w:lineRule="auto"/>
        <w:rPr>
          <w:rFonts w:eastAsia="Times New Roman" w:cs="Tahoma"/>
          <w:lang w:eastAsia="es-MX"/>
        </w:rPr>
      </w:pPr>
      <w:r w:rsidRPr="00D8775A">
        <w:rPr>
          <w:color w:val="auto"/>
        </w:rPr>
        <w:t>De tales circunstancias, se concluye que los sujetos obligados únicamente se encuentran constreñidos a proporcionar los documentos que den cuenta de la información solicitada, como obren en sus archivos, sin tener que elaborarlos a las necesidades del Recurrente;</w:t>
      </w:r>
      <w:r>
        <w:rPr>
          <w:color w:val="auto"/>
        </w:rPr>
        <w:t xml:space="preserve"> lo cual aconteció, al entregar los documentos que daban cuenta de lo peticionado; </w:t>
      </w:r>
      <w:r>
        <w:rPr>
          <w:rFonts w:eastAsia="Times New Roman" w:cs="Tahoma"/>
          <w:lang w:eastAsia="es-MX"/>
        </w:rPr>
        <w:t>n</w:t>
      </w:r>
      <w:r w:rsidR="00A00E8D">
        <w:rPr>
          <w:rFonts w:eastAsia="Times New Roman" w:cs="Tahoma"/>
          <w:lang w:eastAsia="es-MX"/>
        </w:rPr>
        <w:t>o obstante</w:t>
      </w:r>
      <w:r>
        <w:rPr>
          <w:rFonts w:eastAsia="Times New Roman" w:cs="Tahoma"/>
          <w:lang w:eastAsia="es-MX"/>
        </w:rPr>
        <w:t>, de su revisión, se logra vislumbrar que clasificó los siguientes datos:</w:t>
      </w:r>
    </w:p>
    <w:p w14:paraId="0A38E560" w14:textId="43C4410F" w:rsidR="00A00E8D" w:rsidRDefault="00A00E8D" w:rsidP="009E7481">
      <w:pPr>
        <w:spacing w:after="0" w:line="360" w:lineRule="auto"/>
        <w:rPr>
          <w:rFonts w:eastAsia="Times New Roman" w:cs="Tahoma"/>
          <w:lang w:eastAsia="es-MX"/>
        </w:rPr>
      </w:pPr>
    </w:p>
    <w:p w14:paraId="6CC39586" w14:textId="77777777" w:rsidR="00A13E67" w:rsidRPr="00C17341" w:rsidRDefault="00A13E67" w:rsidP="00A13E67">
      <w:pPr>
        <w:numPr>
          <w:ilvl w:val="0"/>
          <w:numId w:val="43"/>
        </w:numPr>
        <w:autoSpaceDE w:val="0"/>
        <w:autoSpaceDN w:val="0"/>
        <w:adjustRightInd w:val="0"/>
        <w:spacing w:line="360" w:lineRule="auto"/>
        <w:contextualSpacing/>
        <w:rPr>
          <w:rFonts w:cs="Adelle Sans Devanagari"/>
          <w:bCs/>
          <w:lang w:val="es-ES"/>
        </w:rPr>
      </w:pPr>
      <w:r w:rsidRPr="00C17341">
        <w:rPr>
          <w:rFonts w:cs="Adelle Sans Devanagari"/>
          <w:bCs/>
          <w:lang w:val="es-ES"/>
        </w:rPr>
        <w:t>Clave Única de Registro de Población;</w:t>
      </w:r>
    </w:p>
    <w:p w14:paraId="264C15AA" w14:textId="77777777" w:rsidR="00A13E67" w:rsidRPr="00C17341" w:rsidRDefault="00A13E67" w:rsidP="00A13E67">
      <w:pPr>
        <w:numPr>
          <w:ilvl w:val="0"/>
          <w:numId w:val="43"/>
        </w:numPr>
        <w:autoSpaceDE w:val="0"/>
        <w:autoSpaceDN w:val="0"/>
        <w:adjustRightInd w:val="0"/>
        <w:spacing w:line="360" w:lineRule="auto"/>
        <w:contextualSpacing/>
        <w:rPr>
          <w:rFonts w:cs="Adelle Sans Devanagari"/>
          <w:bCs/>
          <w:iCs/>
          <w:szCs w:val="24"/>
        </w:rPr>
      </w:pPr>
      <w:r w:rsidRPr="00C17341">
        <w:rPr>
          <w:rFonts w:cs="Adelle Sans Devanagari"/>
          <w:bCs/>
          <w:iCs/>
          <w:szCs w:val="24"/>
        </w:rPr>
        <w:t>Registro Federal de Contribuyentes;</w:t>
      </w:r>
    </w:p>
    <w:p w14:paraId="4FE7E875" w14:textId="77777777" w:rsidR="00A13E67" w:rsidRPr="00C17341" w:rsidRDefault="00A13E67" w:rsidP="00A13E67">
      <w:pPr>
        <w:numPr>
          <w:ilvl w:val="0"/>
          <w:numId w:val="43"/>
        </w:numPr>
        <w:autoSpaceDE w:val="0"/>
        <w:autoSpaceDN w:val="0"/>
        <w:adjustRightInd w:val="0"/>
        <w:spacing w:line="360" w:lineRule="auto"/>
        <w:contextualSpacing/>
        <w:rPr>
          <w:rFonts w:cs="Adelle Sans Devanagari"/>
          <w:bCs/>
          <w:lang w:val="es-ES"/>
        </w:rPr>
      </w:pPr>
      <w:r w:rsidRPr="00C17341">
        <w:rPr>
          <w:rFonts w:cs="Adelle Sans Devanagari"/>
          <w:bCs/>
          <w:lang w:val="es-ES"/>
        </w:rPr>
        <w:t>Código bidimensional o QR;</w:t>
      </w:r>
    </w:p>
    <w:p w14:paraId="0ECDB835" w14:textId="77777777" w:rsidR="00A13E67" w:rsidRPr="00C17341" w:rsidRDefault="00A13E67" w:rsidP="00A13E67">
      <w:pPr>
        <w:numPr>
          <w:ilvl w:val="0"/>
          <w:numId w:val="43"/>
        </w:numPr>
        <w:autoSpaceDE w:val="0"/>
        <w:autoSpaceDN w:val="0"/>
        <w:adjustRightInd w:val="0"/>
        <w:spacing w:line="360" w:lineRule="auto"/>
        <w:contextualSpacing/>
        <w:rPr>
          <w:rFonts w:cs="Adelle Sans Devanagari"/>
          <w:bCs/>
          <w:lang w:val="es-ES"/>
        </w:rPr>
      </w:pPr>
      <w:r w:rsidRPr="00C17341">
        <w:rPr>
          <w:rFonts w:cs="Adelle Sans Devanagari"/>
          <w:bCs/>
          <w:lang w:val="es-ES"/>
        </w:rPr>
        <w:t>Número de seguridad social del Instituto de Seguridad Social del Estado de México y Municipios;</w:t>
      </w:r>
    </w:p>
    <w:p w14:paraId="05208BB8" w14:textId="77777777" w:rsidR="00A13E67" w:rsidRDefault="00A13E67" w:rsidP="00A13E67">
      <w:pPr>
        <w:numPr>
          <w:ilvl w:val="0"/>
          <w:numId w:val="43"/>
        </w:numPr>
        <w:autoSpaceDE w:val="0"/>
        <w:autoSpaceDN w:val="0"/>
        <w:adjustRightInd w:val="0"/>
        <w:spacing w:line="360" w:lineRule="auto"/>
        <w:contextualSpacing/>
        <w:rPr>
          <w:rFonts w:cs="Adelle Sans Devanagari"/>
          <w:bCs/>
          <w:lang w:val="es-ES"/>
        </w:rPr>
      </w:pPr>
      <w:r w:rsidRPr="00C17341">
        <w:rPr>
          <w:rFonts w:cs="Adelle Sans Devanagari"/>
          <w:bCs/>
          <w:lang w:val="es-ES"/>
        </w:rPr>
        <w:t>Deducciones personales;</w:t>
      </w:r>
    </w:p>
    <w:p w14:paraId="6DFCD8BD" w14:textId="77777777" w:rsidR="00A13E67" w:rsidRPr="00A13E67" w:rsidRDefault="00A13E67" w:rsidP="007E7BFA">
      <w:pPr>
        <w:numPr>
          <w:ilvl w:val="0"/>
          <w:numId w:val="43"/>
        </w:numPr>
        <w:autoSpaceDE w:val="0"/>
        <w:autoSpaceDN w:val="0"/>
        <w:adjustRightInd w:val="0"/>
        <w:spacing w:line="360" w:lineRule="auto"/>
        <w:contextualSpacing/>
        <w:rPr>
          <w:rFonts w:cs="Adelle Sans Devanagari"/>
          <w:bCs/>
          <w:lang w:val="es-ES"/>
        </w:rPr>
      </w:pPr>
      <w:r w:rsidRPr="00A13E67">
        <w:rPr>
          <w:rFonts w:cs="Adelle Sans Devanagari"/>
          <w:bCs/>
          <w:lang w:val="es-ES"/>
        </w:rPr>
        <w:t xml:space="preserve">Número de empleado; </w:t>
      </w:r>
    </w:p>
    <w:p w14:paraId="5B00A43B" w14:textId="78B25F3E" w:rsidR="00A00E8D" w:rsidRPr="00A13E67" w:rsidRDefault="00A00E8D" w:rsidP="007E7BFA">
      <w:pPr>
        <w:numPr>
          <w:ilvl w:val="0"/>
          <w:numId w:val="43"/>
        </w:numPr>
        <w:autoSpaceDE w:val="0"/>
        <w:autoSpaceDN w:val="0"/>
        <w:adjustRightInd w:val="0"/>
        <w:spacing w:line="360" w:lineRule="auto"/>
        <w:contextualSpacing/>
        <w:rPr>
          <w:rFonts w:cs="Adelle Sans Devanagari"/>
          <w:bCs/>
          <w:lang w:val="es-ES"/>
        </w:rPr>
      </w:pPr>
      <w:r w:rsidRPr="00A13E67">
        <w:rPr>
          <w:rFonts w:cs="Adelle Sans Devanagari"/>
          <w:bCs/>
          <w:lang w:val="es-ES"/>
        </w:rPr>
        <w:t xml:space="preserve">Folio fiscal; </w:t>
      </w:r>
    </w:p>
    <w:p w14:paraId="70DC4091" w14:textId="5D425EB4" w:rsidR="00A00E8D" w:rsidRPr="00A13E67" w:rsidRDefault="00A00E8D" w:rsidP="00A13E67">
      <w:pPr>
        <w:numPr>
          <w:ilvl w:val="0"/>
          <w:numId w:val="43"/>
        </w:numPr>
        <w:autoSpaceDE w:val="0"/>
        <w:autoSpaceDN w:val="0"/>
        <w:adjustRightInd w:val="0"/>
        <w:spacing w:line="360" w:lineRule="auto"/>
        <w:contextualSpacing/>
        <w:rPr>
          <w:rFonts w:cs="Adelle Sans Devanagari"/>
          <w:bCs/>
          <w:lang w:val="es-ES"/>
        </w:rPr>
      </w:pPr>
      <w:r w:rsidRPr="00A13E67">
        <w:rPr>
          <w:rFonts w:cs="Adelle Sans Devanagari"/>
          <w:bCs/>
          <w:lang w:val="es-ES"/>
        </w:rPr>
        <w:t xml:space="preserve">Número de serie del CSD del SAT y del emisor; </w:t>
      </w:r>
    </w:p>
    <w:p w14:paraId="549CDBCB" w14:textId="1BDE7DB3" w:rsidR="00A00E8D" w:rsidRPr="00A13E67" w:rsidRDefault="00A00E8D" w:rsidP="00A13E67">
      <w:pPr>
        <w:numPr>
          <w:ilvl w:val="0"/>
          <w:numId w:val="43"/>
        </w:numPr>
        <w:autoSpaceDE w:val="0"/>
        <w:autoSpaceDN w:val="0"/>
        <w:adjustRightInd w:val="0"/>
        <w:spacing w:line="360" w:lineRule="auto"/>
        <w:contextualSpacing/>
        <w:rPr>
          <w:rFonts w:cs="Adelle Sans Devanagari"/>
          <w:bCs/>
          <w:lang w:val="es-ES"/>
        </w:rPr>
      </w:pPr>
      <w:r w:rsidRPr="00A13E67">
        <w:rPr>
          <w:rFonts w:cs="Adelle Sans Devanagari"/>
          <w:bCs/>
          <w:lang w:val="es-ES"/>
        </w:rPr>
        <w:t xml:space="preserve">Número de recibo consecutivo; </w:t>
      </w:r>
    </w:p>
    <w:p w14:paraId="313C680E" w14:textId="482CDC16" w:rsidR="00A00E8D" w:rsidRPr="00A13E67" w:rsidRDefault="00A00E8D" w:rsidP="00A13E67">
      <w:pPr>
        <w:numPr>
          <w:ilvl w:val="0"/>
          <w:numId w:val="43"/>
        </w:numPr>
        <w:autoSpaceDE w:val="0"/>
        <w:autoSpaceDN w:val="0"/>
        <w:adjustRightInd w:val="0"/>
        <w:spacing w:line="360" w:lineRule="auto"/>
        <w:contextualSpacing/>
        <w:rPr>
          <w:rFonts w:cs="Adelle Sans Devanagari"/>
          <w:bCs/>
          <w:lang w:val="es-ES"/>
        </w:rPr>
      </w:pPr>
      <w:r w:rsidRPr="00A13E67">
        <w:rPr>
          <w:rFonts w:cs="Adelle Sans Devanagari"/>
          <w:bCs/>
          <w:lang w:val="es-ES"/>
        </w:rPr>
        <w:t>Serie y folio interno</w:t>
      </w:r>
      <w:r w:rsidR="00A13E67">
        <w:rPr>
          <w:rFonts w:cs="Adelle Sans Devanagari"/>
          <w:bCs/>
          <w:lang w:val="es-ES"/>
        </w:rPr>
        <w:t>, y</w:t>
      </w:r>
    </w:p>
    <w:p w14:paraId="359C3B7D" w14:textId="758D04AC" w:rsidR="00A00E8D" w:rsidRPr="00A13E67" w:rsidRDefault="00A00E8D" w:rsidP="00A13E67">
      <w:pPr>
        <w:numPr>
          <w:ilvl w:val="0"/>
          <w:numId w:val="43"/>
        </w:numPr>
        <w:autoSpaceDE w:val="0"/>
        <w:autoSpaceDN w:val="0"/>
        <w:adjustRightInd w:val="0"/>
        <w:spacing w:line="360" w:lineRule="auto"/>
        <w:contextualSpacing/>
        <w:rPr>
          <w:rFonts w:cs="Adelle Sans Devanagari"/>
          <w:bCs/>
          <w:lang w:val="es-ES"/>
        </w:rPr>
      </w:pPr>
      <w:r w:rsidRPr="00A13E67">
        <w:rPr>
          <w:rFonts w:cs="Adelle Sans Devanagari"/>
          <w:bCs/>
          <w:lang w:val="es-ES"/>
        </w:rPr>
        <w:lastRenderedPageBreak/>
        <w:t xml:space="preserve">Sello digital del SAT y complemento de certificación digital del SAT. </w:t>
      </w:r>
    </w:p>
    <w:p w14:paraId="36B75C6E" w14:textId="77777777" w:rsidR="00127FD5" w:rsidRDefault="00127FD5" w:rsidP="009E7481">
      <w:pPr>
        <w:spacing w:after="0" w:line="360" w:lineRule="auto"/>
        <w:ind w:right="-28"/>
        <w:rPr>
          <w:color w:val="000000"/>
        </w:rPr>
      </w:pPr>
    </w:p>
    <w:p w14:paraId="0050D31F" w14:textId="2D55269F" w:rsidR="00A00E8D" w:rsidRPr="0089507B" w:rsidRDefault="00A00E8D" w:rsidP="009E7481">
      <w:pPr>
        <w:spacing w:after="0" w:line="360" w:lineRule="auto"/>
        <w:ind w:right="-28"/>
        <w:rPr>
          <w:color w:val="000000"/>
        </w:rPr>
      </w:pPr>
      <w:r w:rsidRPr="0089507B">
        <w:rPr>
          <w:color w:val="000000"/>
        </w:rPr>
        <w:t xml:space="preserve">De lo anterior,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4C79A136" w14:textId="7C3EA141" w:rsidR="00A00E8D" w:rsidRPr="0089507B" w:rsidRDefault="00A00E8D" w:rsidP="00127FD5">
      <w:pPr>
        <w:spacing w:after="0" w:line="360" w:lineRule="auto"/>
        <w:rPr>
          <w:color w:val="000000"/>
        </w:rPr>
      </w:pPr>
    </w:p>
    <w:p w14:paraId="712A708D" w14:textId="77777777" w:rsidR="00A00E8D" w:rsidRPr="0089507B" w:rsidRDefault="00A00E8D" w:rsidP="009E7481">
      <w:pPr>
        <w:spacing w:after="0" w:line="360" w:lineRule="auto"/>
        <w:rPr>
          <w:color w:val="000000"/>
        </w:rPr>
      </w:pPr>
      <w:r w:rsidRPr="0089507B">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42CCC8F" w14:textId="77777777" w:rsidR="00A00E8D" w:rsidRPr="0089507B" w:rsidRDefault="00A00E8D" w:rsidP="009E7481">
      <w:pPr>
        <w:spacing w:after="0" w:line="360" w:lineRule="auto"/>
        <w:rPr>
          <w:color w:val="000000"/>
        </w:rPr>
      </w:pPr>
    </w:p>
    <w:p w14:paraId="45B03CD3" w14:textId="77777777" w:rsidR="00A00E8D" w:rsidRPr="0089507B" w:rsidRDefault="00A00E8D" w:rsidP="009E7481">
      <w:pPr>
        <w:spacing w:after="0" w:line="360" w:lineRule="auto"/>
        <w:rPr>
          <w:color w:val="000000"/>
        </w:rPr>
      </w:pPr>
      <w:r w:rsidRPr="0089507B">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51A514F" w14:textId="77777777" w:rsidR="00A00E8D" w:rsidRPr="0089507B" w:rsidRDefault="00A00E8D" w:rsidP="009E7481">
      <w:pPr>
        <w:spacing w:after="0" w:line="360" w:lineRule="auto"/>
        <w:rPr>
          <w:color w:val="000000"/>
        </w:rPr>
      </w:pPr>
    </w:p>
    <w:p w14:paraId="2DADF155" w14:textId="77777777" w:rsidR="00A00E8D" w:rsidRPr="0089507B" w:rsidRDefault="00A00E8D" w:rsidP="009E7481">
      <w:pPr>
        <w:spacing w:after="0" w:line="360" w:lineRule="auto"/>
        <w:rPr>
          <w:color w:val="000000"/>
        </w:rPr>
      </w:pPr>
      <w:r w:rsidRPr="0089507B">
        <w:rPr>
          <w:color w:val="000000"/>
        </w:rPr>
        <w:lastRenderedPageBreak/>
        <w:t>En términos de lo expuesto, la documentación y aquellos datos que se consideren confidenciales, serán una limitante del derecho de acceso a la información, siempre y cuando:</w:t>
      </w:r>
    </w:p>
    <w:p w14:paraId="0510151C" w14:textId="77777777" w:rsidR="00A00E8D" w:rsidRPr="0089507B" w:rsidRDefault="00A00E8D" w:rsidP="009E7481">
      <w:pPr>
        <w:spacing w:after="0" w:line="360" w:lineRule="auto"/>
        <w:rPr>
          <w:color w:val="000000"/>
        </w:rPr>
      </w:pPr>
    </w:p>
    <w:p w14:paraId="550694BC" w14:textId="77777777" w:rsidR="00A00E8D" w:rsidRPr="0089507B" w:rsidRDefault="00A00E8D" w:rsidP="009E7481">
      <w:pPr>
        <w:numPr>
          <w:ilvl w:val="0"/>
          <w:numId w:val="44"/>
        </w:numPr>
        <w:spacing w:after="0" w:line="360" w:lineRule="auto"/>
        <w:rPr>
          <w:color w:val="000000"/>
        </w:rPr>
      </w:pPr>
      <w:r w:rsidRPr="0089507B">
        <w:rPr>
          <w:color w:val="000000"/>
        </w:rPr>
        <w:t xml:space="preserve">Se trate de datos personales o información privada; esto es, información concerniente a una persona física o jurídico colectiva y que esta sea identificada o identificable. </w:t>
      </w:r>
    </w:p>
    <w:p w14:paraId="7884C7A9" w14:textId="77777777" w:rsidR="00A00E8D" w:rsidRPr="0089507B" w:rsidRDefault="00A00E8D" w:rsidP="009E7481">
      <w:pPr>
        <w:numPr>
          <w:ilvl w:val="0"/>
          <w:numId w:val="44"/>
        </w:numPr>
        <w:spacing w:after="0" w:line="360" w:lineRule="auto"/>
        <w:rPr>
          <w:color w:val="000000"/>
        </w:rPr>
      </w:pPr>
      <w:r w:rsidRPr="0089507B">
        <w:rPr>
          <w:color w:val="000000"/>
        </w:rPr>
        <w:t xml:space="preserve">Para la difusión de los datos, se requiera el consentimiento del titular. </w:t>
      </w:r>
    </w:p>
    <w:p w14:paraId="18EC96A8" w14:textId="77777777" w:rsidR="00A00E8D" w:rsidRPr="0089507B" w:rsidRDefault="00A00E8D" w:rsidP="009E7481">
      <w:pPr>
        <w:spacing w:after="0" w:line="360" w:lineRule="auto"/>
        <w:rPr>
          <w:color w:val="000000"/>
        </w:rPr>
      </w:pPr>
    </w:p>
    <w:p w14:paraId="475C730A" w14:textId="77777777" w:rsidR="00A00E8D" w:rsidRPr="0089507B" w:rsidRDefault="00A00E8D" w:rsidP="009E7481">
      <w:pPr>
        <w:spacing w:after="0" w:line="360" w:lineRule="auto"/>
        <w:rPr>
          <w:color w:val="000000"/>
        </w:rPr>
      </w:pPr>
      <w:r w:rsidRPr="0089507B">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0B60F77" w14:textId="77777777" w:rsidR="00A00E8D" w:rsidRPr="0089507B" w:rsidRDefault="00A00E8D" w:rsidP="009E7481">
      <w:pPr>
        <w:spacing w:after="0" w:line="360" w:lineRule="auto"/>
        <w:rPr>
          <w:color w:val="000000"/>
        </w:rPr>
      </w:pPr>
    </w:p>
    <w:p w14:paraId="7E1CDF2A" w14:textId="2B1B84E0" w:rsidR="00A00E8D" w:rsidRDefault="00A00E8D" w:rsidP="009E7481">
      <w:pPr>
        <w:spacing w:after="0" w:line="360" w:lineRule="auto"/>
        <w:rPr>
          <w:color w:val="000000"/>
        </w:rPr>
      </w:pPr>
      <w:r w:rsidRPr="0089507B">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31EB85F1" w14:textId="77777777" w:rsidR="00A13E67" w:rsidRPr="0089507B" w:rsidRDefault="00A13E67" w:rsidP="009E7481">
      <w:pPr>
        <w:spacing w:after="0" w:line="360" w:lineRule="auto"/>
        <w:rPr>
          <w:color w:val="000000"/>
        </w:rPr>
      </w:pPr>
    </w:p>
    <w:p w14:paraId="0D73412B" w14:textId="77777777" w:rsidR="004F56E1" w:rsidRPr="004F56E1" w:rsidRDefault="004F56E1" w:rsidP="009E7481">
      <w:pPr>
        <w:numPr>
          <w:ilvl w:val="0"/>
          <w:numId w:val="48"/>
        </w:numPr>
        <w:spacing w:after="0" w:line="360" w:lineRule="auto"/>
        <w:contextualSpacing/>
        <w:jc w:val="left"/>
        <w:rPr>
          <w:rFonts w:eastAsia="Times New Roman" w:cs="Tahoma"/>
          <w:b/>
          <w:color w:val="auto"/>
          <w:kern w:val="2"/>
          <w:lang w:eastAsia="es-ES"/>
          <w14:ligatures w14:val="standardContextual"/>
        </w:rPr>
      </w:pPr>
      <w:r w:rsidRPr="004F56E1">
        <w:rPr>
          <w:rFonts w:eastAsia="Times New Roman" w:cs="Tahoma"/>
          <w:b/>
          <w:color w:val="auto"/>
          <w:kern w:val="2"/>
          <w:lang w:eastAsia="es-ES"/>
          <w14:ligatures w14:val="standardContextual"/>
        </w:rPr>
        <w:t>Número de empleado</w:t>
      </w:r>
    </w:p>
    <w:p w14:paraId="1997D5E1" w14:textId="77777777" w:rsidR="004F56E1" w:rsidRPr="004F56E1" w:rsidRDefault="004F56E1" w:rsidP="009E7481">
      <w:pPr>
        <w:spacing w:after="0" w:line="360" w:lineRule="auto"/>
        <w:rPr>
          <w:rFonts w:eastAsia="Times New Roman" w:cs="Tahoma"/>
          <w:b/>
          <w:color w:val="auto"/>
          <w:lang w:eastAsia="es-ES"/>
        </w:rPr>
      </w:pPr>
    </w:p>
    <w:p w14:paraId="70F4E89C" w14:textId="77777777" w:rsidR="004F56E1" w:rsidRPr="004F56E1" w:rsidRDefault="004F56E1" w:rsidP="009E7481">
      <w:pPr>
        <w:spacing w:after="0" w:line="360" w:lineRule="auto"/>
        <w:rPr>
          <w:rFonts w:eastAsia="Calibri" w:cs="Tahoma"/>
          <w:bCs/>
          <w:iCs/>
          <w:color w:val="auto"/>
          <w:lang w:eastAsia="es-ES"/>
        </w:rPr>
      </w:pPr>
      <w:r w:rsidRPr="004F56E1">
        <w:rPr>
          <w:rFonts w:eastAsia="Calibri" w:cs="Tahoma"/>
          <w:bCs/>
          <w:iCs/>
          <w:color w:val="auto"/>
          <w:lang w:eastAsia="es-ES"/>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7E8C9AA2" w14:textId="77777777" w:rsidR="004F56E1" w:rsidRPr="004F56E1" w:rsidRDefault="004F56E1" w:rsidP="009E7481">
      <w:pPr>
        <w:spacing w:after="0" w:line="360" w:lineRule="auto"/>
        <w:rPr>
          <w:rFonts w:eastAsia="Calibri" w:cs="Tahoma"/>
          <w:bCs/>
          <w:iCs/>
          <w:color w:val="auto"/>
          <w:lang w:eastAsia="es-ES"/>
        </w:rPr>
      </w:pPr>
    </w:p>
    <w:p w14:paraId="731543B1" w14:textId="77777777" w:rsidR="004F56E1" w:rsidRPr="004F56E1" w:rsidRDefault="004F56E1" w:rsidP="009E7481">
      <w:pPr>
        <w:spacing w:after="0" w:line="360" w:lineRule="auto"/>
        <w:rPr>
          <w:rFonts w:eastAsia="Calibri" w:cs="Tahoma"/>
          <w:bCs/>
          <w:iCs/>
          <w:color w:val="auto"/>
          <w:lang w:eastAsia="es-ES"/>
        </w:rPr>
      </w:pPr>
      <w:r w:rsidRPr="004F56E1">
        <w:rPr>
          <w:rFonts w:eastAsia="Calibri" w:cs="Tahoma"/>
          <w:bCs/>
          <w:iCs/>
          <w:color w:val="auto"/>
          <w:lang w:eastAsia="es-ES"/>
        </w:rPr>
        <w:lastRenderedPageBreak/>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1D2CD79" w14:textId="77777777" w:rsidR="004F56E1" w:rsidRPr="004F56E1" w:rsidRDefault="004F56E1" w:rsidP="009E7481">
      <w:pPr>
        <w:spacing w:after="0" w:line="360" w:lineRule="auto"/>
        <w:rPr>
          <w:rFonts w:eastAsia="Calibri" w:cs="Tahoma"/>
          <w:bCs/>
          <w:iCs/>
          <w:color w:val="auto"/>
          <w:lang w:eastAsia="es-ES"/>
        </w:rPr>
      </w:pPr>
    </w:p>
    <w:p w14:paraId="5F214B49" w14:textId="087C8A22" w:rsidR="004F56E1" w:rsidRPr="004F56E1" w:rsidRDefault="004F56E1" w:rsidP="009E7481">
      <w:pPr>
        <w:spacing w:after="0" w:line="360" w:lineRule="auto"/>
        <w:contextualSpacing/>
        <w:rPr>
          <w:rFonts w:eastAsia="Calibri" w:cs="Tahoma"/>
          <w:bCs/>
          <w:iCs/>
          <w:color w:val="auto"/>
        </w:rPr>
      </w:pPr>
      <w:r w:rsidRPr="004F56E1">
        <w:rPr>
          <w:rFonts w:eastAsia="Calibri" w:cs="Tahoma"/>
          <w:bCs/>
          <w:iCs/>
          <w:color w:val="auto"/>
        </w:rPr>
        <w:t xml:space="preserve">Lo anterior, toma sustento en el </w:t>
      </w:r>
      <w:r w:rsidRPr="004F56E1">
        <w:rPr>
          <w:rFonts w:eastAsia="Calibri" w:cs="Tahoma"/>
          <w:bCs/>
          <w:color w:val="auto"/>
          <w:lang w:val="es-ES"/>
        </w:rPr>
        <w:t xml:space="preserve">Criterio de Interpretación, de la Segunda Época, con número de registro </w:t>
      </w:r>
      <w:r w:rsidRPr="004F56E1">
        <w:rPr>
          <w:rFonts w:eastAsia="Calibri" w:cs="Tahoma"/>
          <w:bCs/>
          <w:color w:val="auto"/>
        </w:rPr>
        <w:t>SO/006/2019</w:t>
      </w:r>
      <w:r w:rsidRPr="004F56E1">
        <w:rPr>
          <w:rFonts w:eastAsia="Calibri" w:cs="Tahoma"/>
          <w:bCs/>
          <w:iCs/>
          <w:color w:val="auto"/>
        </w:rPr>
        <w:t xml:space="preserve">, </w:t>
      </w:r>
      <w:r w:rsidR="00127FD5">
        <w:rPr>
          <w:rFonts w:eastAsia="Calibri" w:cs="Tahoma"/>
          <w:bCs/>
          <w:iCs/>
          <w:color w:val="auto"/>
        </w:rPr>
        <w:t>emitido por el entonces Instituto Nacional de Transparencia</w:t>
      </w:r>
      <w:r w:rsidRPr="004F56E1">
        <w:rPr>
          <w:rFonts w:eastAsia="Calibri" w:cs="Tahoma"/>
          <w:bCs/>
          <w:iCs/>
          <w:color w:val="auto"/>
        </w:rPr>
        <w:t>, Acceso a la Información y Protección de Datos Personales, que establece lo siguiente:</w:t>
      </w:r>
    </w:p>
    <w:p w14:paraId="1B520F6E" w14:textId="77777777" w:rsidR="004F56E1" w:rsidRPr="004F56E1" w:rsidRDefault="004F56E1" w:rsidP="009E7481">
      <w:pPr>
        <w:spacing w:after="0" w:line="360" w:lineRule="auto"/>
        <w:rPr>
          <w:rFonts w:eastAsia="Calibri" w:cs="Tahoma"/>
          <w:bCs/>
          <w:iCs/>
          <w:color w:val="auto"/>
          <w:lang w:eastAsia="es-ES"/>
        </w:rPr>
      </w:pPr>
    </w:p>
    <w:p w14:paraId="3626B59F" w14:textId="77777777" w:rsidR="004F56E1" w:rsidRPr="004F56E1" w:rsidRDefault="004F56E1" w:rsidP="009E7481">
      <w:pPr>
        <w:spacing w:after="0" w:line="360" w:lineRule="auto"/>
        <w:ind w:left="567" w:right="567"/>
        <w:rPr>
          <w:rFonts w:eastAsia="Calibri" w:cs="Tahoma"/>
          <w:bCs/>
          <w:i/>
          <w:iCs/>
          <w:color w:val="auto"/>
          <w:sz w:val="20"/>
          <w:szCs w:val="20"/>
          <w:lang w:eastAsia="es-ES"/>
        </w:rPr>
      </w:pPr>
      <w:r w:rsidRPr="004F56E1">
        <w:rPr>
          <w:rFonts w:eastAsia="Calibri" w:cs="Tahoma"/>
          <w:b/>
          <w:bCs/>
          <w:i/>
          <w:iCs/>
          <w:color w:val="auto"/>
          <w:sz w:val="20"/>
          <w:szCs w:val="20"/>
          <w:lang w:eastAsia="es-ES"/>
        </w:rPr>
        <w:t xml:space="preserve">“Número de empleado. </w:t>
      </w:r>
      <w:r w:rsidRPr="004F56E1">
        <w:rPr>
          <w:rFonts w:eastAsia="Calibri" w:cs="Tahoma"/>
          <w:bCs/>
          <w:i/>
          <w:iCs/>
          <w:color w:val="auto"/>
          <w:sz w:val="20"/>
          <w:szCs w:val="20"/>
          <w:lang w:eastAsia="es-E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6125341" w14:textId="77777777" w:rsidR="004F56E1" w:rsidRPr="004F56E1" w:rsidRDefault="004F56E1" w:rsidP="009E7481">
      <w:pPr>
        <w:spacing w:after="0" w:line="360" w:lineRule="auto"/>
        <w:rPr>
          <w:rFonts w:eastAsia="Calibri" w:cs="Tahoma"/>
          <w:bCs/>
          <w:iCs/>
          <w:color w:val="auto"/>
          <w:lang w:eastAsia="es-ES"/>
        </w:rPr>
      </w:pPr>
    </w:p>
    <w:p w14:paraId="0810AAD3" w14:textId="77777777" w:rsidR="004F56E1" w:rsidRPr="004F56E1" w:rsidRDefault="004F56E1" w:rsidP="009E7481">
      <w:pPr>
        <w:spacing w:after="0" w:line="360" w:lineRule="auto"/>
        <w:contextualSpacing/>
        <w:rPr>
          <w:rFonts w:eastAsia="Calibri" w:cs="Tahoma"/>
          <w:bCs/>
          <w:iCs/>
          <w:color w:val="auto"/>
        </w:rPr>
      </w:pPr>
      <w:r w:rsidRPr="004F56E1">
        <w:rPr>
          <w:rFonts w:eastAsia="Calibri" w:cs="Tahoma"/>
          <w:bCs/>
          <w:iCs/>
          <w:color w:val="auto"/>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02761BB3" w14:textId="77777777" w:rsidR="004F56E1" w:rsidRPr="004F56E1" w:rsidRDefault="004F56E1" w:rsidP="009E7481">
      <w:pPr>
        <w:spacing w:after="0" w:line="360" w:lineRule="auto"/>
        <w:contextualSpacing/>
        <w:rPr>
          <w:rFonts w:eastAsia="Calibri" w:cs="Tahoma"/>
          <w:b/>
          <w:bCs/>
          <w:iCs/>
          <w:color w:val="auto"/>
        </w:rPr>
      </w:pPr>
    </w:p>
    <w:p w14:paraId="1CCD7EBF" w14:textId="03BA8150" w:rsidR="004F56E1" w:rsidRPr="004F56E1" w:rsidRDefault="00A13E67" w:rsidP="009E7481">
      <w:pPr>
        <w:spacing w:after="0" w:line="360" w:lineRule="auto"/>
        <w:ind w:right="-93"/>
        <w:rPr>
          <w:rFonts w:eastAsia="Times New Roman" w:cs="Tahoma"/>
          <w:color w:val="auto"/>
          <w:lang w:val="es-ES" w:eastAsia="es-ES"/>
        </w:rPr>
      </w:pPr>
      <w:r>
        <w:rPr>
          <w:rFonts w:eastAsia="Times New Roman" w:cs="Tahoma"/>
          <w:color w:val="auto"/>
          <w:lang w:val="es-ES" w:eastAsia="es-ES"/>
        </w:rPr>
        <w:t>P</w:t>
      </w:r>
      <w:r w:rsidR="004F56E1" w:rsidRPr="004F56E1">
        <w:rPr>
          <w:rFonts w:eastAsia="Times New Roman" w:cs="Tahoma"/>
          <w:color w:val="auto"/>
          <w:lang w:val="es-ES" w:eastAsia="es-ES"/>
        </w:rPr>
        <w:t xml:space="preserve">or lo que, se considera que el Ente Recurrido </w:t>
      </w:r>
      <w:r w:rsidR="004F56E1" w:rsidRPr="004F56E1">
        <w:rPr>
          <w:rFonts w:eastAsia="Times New Roman" w:cs="Tahoma"/>
          <w:b/>
          <w:bCs/>
          <w:color w:val="auto"/>
          <w:lang w:val="es-ES" w:eastAsia="es-ES"/>
        </w:rPr>
        <w:t>deberá proporcionar dicho dato, en el caso, de que de ninguna manera puedan dar acceso a sistemas con información de los trabajadores</w:t>
      </w:r>
      <w:r w:rsidR="004F56E1" w:rsidRPr="004F56E1">
        <w:rPr>
          <w:rFonts w:eastAsia="Times New Roman" w:cs="Tahoma"/>
          <w:color w:val="auto"/>
          <w:lang w:val="es-ES" w:eastAsia="es-ES"/>
        </w:rPr>
        <w:t>; en el caso contrario, esto es</w:t>
      </w:r>
      <w:r w:rsidR="00127FD5">
        <w:rPr>
          <w:rFonts w:eastAsia="Times New Roman" w:cs="Tahoma"/>
          <w:color w:val="auto"/>
          <w:lang w:val="es-ES" w:eastAsia="es-ES"/>
        </w:rPr>
        <w:t xml:space="preserve"> que</w:t>
      </w:r>
      <w:r w:rsidR="00127FD5" w:rsidRPr="004F56E1">
        <w:rPr>
          <w:rFonts w:eastAsia="Times New Roman" w:cs="Tahoma"/>
          <w:color w:val="auto"/>
          <w:lang w:val="es-ES" w:eastAsia="es-ES"/>
        </w:rPr>
        <w:t>,</w:t>
      </w:r>
      <w:r w:rsidR="004F56E1" w:rsidRPr="004F56E1">
        <w:rPr>
          <w:rFonts w:eastAsia="Times New Roman" w:cs="Tahoma"/>
          <w:color w:val="auto"/>
          <w:lang w:val="es-ES" w:eastAsia="es-ES"/>
        </w:rPr>
        <w:t xml:space="preserve"> de acceso a sistemas o base de datos, procederá su clasificación, en términos del artículo 143, fracción I de la Ley de la materia.</w:t>
      </w:r>
    </w:p>
    <w:p w14:paraId="34AA36EF" w14:textId="77777777" w:rsidR="00A00E8D" w:rsidRPr="0089507B" w:rsidRDefault="00A00E8D" w:rsidP="009E7481">
      <w:pPr>
        <w:spacing w:after="0" w:line="360" w:lineRule="auto"/>
        <w:rPr>
          <w:color w:val="000000"/>
        </w:rPr>
      </w:pPr>
    </w:p>
    <w:p w14:paraId="010A3F3A" w14:textId="77777777" w:rsidR="00A00E8D" w:rsidRPr="0089507B" w:rsidRDefault="00A00E8D" w:rsidP="009E7481">
      <w:pPr>
        <w:numPr>
          <w:ilvl w:val="0"/>
          <w:numId w:val="45"/>
        </w:numPr>
        <w:spacing w:after="0" w:line="360" w:lineRule="auto"/>
        <w:rPr>
          <w:b/>
          <w:color w:val="000000"/>
        </w:rPr>
      </w:pPr>
      <w:r w:rsidRPr="0089507B">
        <w:rPr>
          <w:b/>
          <w:color w:val="000000"/>
        </w:rPr>
        <w:t>Clave Única de Registro de Población (CURP)</w:t>
      </w:r>
    </w:p>
    <w:p w14:paraId="012843BB" w14:textId="77777777" w:rsidR="00A00E8D" w:rsidRPr="0089507B" w:rsidRDefault="00A00E8D" w:rsidP="009E7481">
      <w:pPr>
        <w:spacing w:after="0" w:line="360" w:lineRule="auto"/>
        <w:rPr>
          <w:color w:val="000000"/>
        </w:rPr>
      </w:pPr>
    </w:p>
    <w:p w14:paraId="00BAFE22" w14:textId="77777777" w:rsidR="00A00E8D" w:rsidRPr="0089507B" w:rsidRDefault="00A00E8D" w:rsidP="009E7481">
      <w:pPr>
        <w:spacing w:after="0" w:line="360" w:lineRule="auto"/>
        <w:rPr>
          <w:color w:val="000000"/>
        </w:rPr>
      </w:pPr>
      <w:r w:rsidRPr="0089507B">
        <w:rPr>
          <w:color w:val="000000"/>
        </w:rPr>
        <w:t xml:space="preserve">El artículo 36 de la Constitución Política de los Estados Unidos Mexicanos, dispone la obligación de los ciudadanos de inscribirse en el Registro Nacional de Ciudadanos; además, el </w:t>
      </w:r>
      <w:r w:rsidRPr="0089507B">
        <w:rPr>
          <w:color w:val="000000"/>
        </w:rPr>
        <w:lastRenderedPageBreak/>
        <w:t>diverso 85 de la Ley General de Población, prevé que corresponde a la Secretaría de Gobernación el registro y acreditación de la identidad de todas las personas residentes en el país y de los nacionales que residan en el extranjero.</w:t>
      </w:r>
    </w:p>
    <w:p w14:paraId="20B408E0" w14:textId="77777777" w:rsidR="00A00E8D" w:rsidRPr="0089507B" w:rsidRDefault="00A00E8D" w:rsidP="009E7481">
      <w:pPr>
        <w:spacing w:after="0" w:line="360" w:lineRule="auto"/>
        <w:rPr>
          <w:color w:val="000000"/>
        </w:rPr>
      </w:pPr>
    </w:p>
    <w:p w14:paraId="35C52C26" w14:textId="77777777" w:rsidR="00A00E8D" w:rsidRPr="0089507B" w:rsidRDefault="00A00E8D" w:rsidP="009E7481">
      <w:pPr>
        <w:spacing w:after="0" w:line="360" w:lineRule="auto"/>
        <w:rPr>
          <w:color w:val="000000"/>
        </w:rPr>
      </w:pPr>
      <w:r w:rsidRPr="0089507B">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83B7A91" w14:textId="77777777" w:rsidR="00A00E8D" w:rsidRPr="0089507B" w:rsidRDefault="00A00E8D" w:rsidP="009E7481">
      <w:pPr>
        <w:spacing w:after="0" w:line="360" w:lineRule="auto"/>
        <w:rPr>
          <w:color w:val="000000"/>
        </w:rPr>
      </w:pPr>
    </w:p>
    <w:p w14:paraId="4CD9FD38" w14:textId="77777777" w:rsidR="00A00E8D" w:rsidRPr="0089507B" w:rsidRDefault="00A00E8D" w:rsidP="009E7481">
      <w:pPr>
        <w:spacing w:after="0" w:line="360" w:lineRule="auto"/>
        <w:rPr>
          <w:color w:val="000000"/>
        </w:rPr>
      </w:pPr>
      <w:r w:rsidRPr="0089507B">
        <w:rPr>
          <w:color w:val="000000"/>
        </w:rPr>
        <w:t xml:space="preserve">En ese orden de ideas, la Secretaría de Gobernación en las direcciones </w:t>
      </w:r>
      <w:hyperlink r:id="rId11" w:history="1">
        <w:r w:rsidRPr="0089507B">
          <w:rPr>
            <w:rStyle w:val="Hipervnculo"/>
            <w:color w:val="0563C1"/>
          </w:rPr>
          <w:t>https://consultas.curp.gob.mx/CurpSP/html/informacionecurpPS.html</w:t>
        </w:r>
      </w:hyperlink>
      <w:r w:rsidRPr="0089507B">
        <w:rPr>
          <w:color w:val="000000"/>
        </w:rPr>
        <w:t xml:space="preserve"> y </w:t>
      </w:r>
      <w:hyperlink r:id="rId12" w:history="1">
        <w:r w:rsidRPr="0089507B">
          <w:rPr>
            <w:rStyle w:val="Hipervnculo"/>
            <w:color w:val="0563C1"/>
          </w:rPr>
          <w:t>https://www.gob.mx/segob/renapo/acciones-y-programas/clave-unica-de-registro-de-poblacion-curp-142226</w:t>
        </w:r>
      </w:hyperlink>
      <w:r w:rsidRPr="0089507B">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89507B">
        <w:rPr>
          <w:b/>
          <w:color w:val="000000"/>
        </w:rPr>
        <w:t>se generan a partir de los datos contenidos en el documento probatorio de la identidad</w:t>
      </w:r>
      <w:r w:rsidRPr="0089507B">
        <w:rPr>
          <w:color w:val="000000"/>
        </w:rPr>
        <w:t xml:space="preserve"> </w:t>
      </w:r>
      <w:r w:rsidRPr="0089507B">
        <w:rPr>
          <w:b/>
          <w:color w:val="000000"/>
        </w:rPr>
        <w:t xml:space="preserve">del interesado </w:t>
      </w:r>
      <w:r w:rsidRPr="0089507B">
        <w:rPr>
          <w:color w:val="000000"/>
        </w:rPr>
        <w:t>(acta de nacimiento, carta de naturalización o documento migratorio) de la siguiente forma:</w:t>
      </w:r>
    </w:p>
    <w:p w14:paraId="61D42070" w14:textId="77777777" w:rsidR="00A00E8D" w:rsidRPr="0089507B" w:rsidRDefault="00A00E8D" w:rsidP="009E7481">
      <w:pPr>
        <w:spacing w:after="0" w:line="360" w:lineRule="auto"/>
        <w:rPr>
          <w:color w:val="000000"/>
        </w:rPr>
      </w:pPr>
    </w:p>
    <w:p w14:paraId="21ED5363" w14:textId="77777777" w:rsidR="00A00E8D" w:rsidRPr="0089507B" w:rsidRDefault="00A00E8D" w:rsidP="009E7481">
      <w:pPr>
        <w:numPr>
          <w:ilvl w:val="0"/>
          <w:numId w:val="46"/>
        </w:numPr>
        <w:spacing w:after="0" w:line="360" w:lineRule="auto"/>
        <w:rPr>
          <w:color w:val="000000"/>
        </w:rPr>
      </w:pPr>
      <w:r w:rsidRPr="0089507B">
        <w:rPr>
          <w:color w:val="000000"/>
        </w:rPr>
        <w:t>El primero y segundo apellidos, así como al nombre de pila;</w:t>
      </w:r>
    </w:p>
    <w:p w14:paraId="28A4C99E" w14:textId="77777777" w:rsidR="00A00E8D" w:rsidRPr="0089507B" w:rsidRDefault="00A00E8D" w:rsidP="009E7481">
      <w:pPr>
        <w:numPr>
          <w:ilvl w:val="0"/>
          <w:numId w:val="46"/>
        </w:numPr>
        <w:spacing w:after="0" w:line="360" w:lineRule="auto"/>
        <w:rPr>
          <w:color w:val="000000"/>
        </w:rPr>
      </w:pPr>
      <w:r w:rsidRPr="0089507B">
        <w:rPr>
          <w:color w:val="000000"/>
        </w:rPr>
        <w:t>La fecha de nacimiento;</w:t>
      </w:r>
    </w:p>
    <w:p w14:paraId="54D78545" w14:textId="77777777" w:rsidR="00A00E8D" w:rsidRPr="0089507B" w:rsidRDefault="00A00E8D" w:rsidP="009E7481">
      <w:pPr>
        <w:numPr>
          <w:ilvl w:val="0"/>
          <w:numId w:val="46"/>
        </w:numPr>
        <w:spacing w:after="0" w:line="360" w:lineRule="auto"/>
        <w:rPr>
          <w:color w:val="000000"/>
        </w:rPr>
      </w:pPr>
      <w:r w:rsidRPr="0089507B">
        <w:rPr>
          <w:color w:val="000000"/>
        </w:rPr>
        <w:t>El sexo, y</w:t>
      </w:r>
    </w:p>
    <w:p w14:paraId="6B207DDB" w14:textId="77777777" w:rsidR="00A00E8D" w:rsidRPr="0089507B" w:rsidRDefault="00A00E8D" w:rsidP="009E7481">
      <w:pPr>
        <w:numPr>
          <w:ilvl w:val="0"/>
          <w:numId w:val="46"/>
        </w:numPr>
        <w:spacing w:after="0" w:line="360" w:lineRule="auto"/>
        <w:rPr>
          <w:color w:val="000000"/>
        </w:rPr>
      </w:pPr>
      <w:r w:rsidRPr="0089507B">
        <w:rPr>
          <w:color w:val="000000"/>
        </w:rPr>
        <w:t>La entidad federativa de nacimiento.</w:t>
      </w:r>
    </w:p>
    <w:p w14:paraId="588939EF" w14:textId="77777777" w:rsidR="00A00E8D" w:rsidRPr="0089507B" w:rsidRDefault="00A00E8D" w:rsidP="009E7481">
      <w:pPr>
        <w:spacing w:after="0" w:line="360" w:lineRule="auto"/>
        <w:rPr>
          <w:color w:val="000000"/>
        </w:rPr>
      </w:pPr>
    </w:p>
    <w:p w14:paraId="23807DF0" w14:textId="77777777" w:rsidR="00A00E8D" w:rsidRPr="0089507B" w:rsidRDefault="00A00E8D" w:rsidP="009E7481">
      <w:pPr>
        <w:spacing w:after="0" w:line="360" w:lineRule="auto"/>
        <w:rPr>
          <w:color w:val="000000"/>
        </w:rPr>
      </w:pPr>
      <w:r w:rsidRPr="0089507B">
        <w:rPr>
          <w:color w:val="000000"/>
        </w:rPr>
        <w:lastRenderedPageBreak/>
        <w:t>Los dos últimos elementos de la Clave Única de Registro de Población evitan la duplicidad de la Clave y garantizan su correcta integración.</w:t>
      </w:r>
    </w:p>
    <w:p w14:paraId="136C1A2F" w14:textId="77777777" w:rsidR="00A00E8D" w:rsidRPr="0089507B" w:rsidRDefault="00A00E8D" w:rsidP="009E7481">
      <w:pPr>
        <w:spacing w:after="0" w:line="360" w:lineRule="auto"/>
        <w:rPr>
          <w:color w:val="000000"/>
        </w:rPr>
      </w:pPr>
    </w:p>
    <w:p w14:paraId="3535472E" w14:textId="77777777" w:rsidR="00A00E8D" w:rsidRPr="0089507B" w:rsidRDefault="00A00E8D" w:rsidP="009E7481">
      <w:pPr>
        <w:spacing w:after="0" w:line="360" w:lineRule="auto"/>
        <w:rPr>
          <w:color w:val="000000"/>
        </w:rPr>
      </w:pPr>
      <w:r w:rsidRPr="0089507B">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7F87BD6" w14:textId="77777777" w:rsidR="00A00E8D" w:rsidRPr="0089507B" w:rsidRDefault="00A00E8D" w:rsidP="009E7481">
      <w:pPr>
        <w:spacing w:after="0" w:line="360" w:lineRule="auto"/>
        <w:rPr>
          <w:color w:val="000000"/>
        </w:rPr>
      </w:pPr>
    </w:p>
    <w:p w14:paraId="72B3AF8F" w14:textId="23F46C45" w:rsidR="00A00E8D" w:rsidRPr="0089507B" w:rsidRDefault="00A00E8D" w:rsidP="009E7481">
      <w:pPr>
        <w:spacing w:after="0" w:line="360" w:lineRule="auto"/>
        <w:rPr>
          <w:color w:val="000000"/>
        </w:rPr>
      </w:pPr>
      <w:r w:rsidRPr="0089507B">
        <w:rPr>
          <w:color w:val="000000"/>
        </w:rPr>
        <w:t xml:space="preserve">Situación que se robustece, con el Criterio de Interpretación, de la Segunda Época, con número de registro SO/018/2017, </w:t>
      </w:r>
      <w:r w:rsidR="00127FD5">
        <w:rPr>
          <w:color w:val="000000"/>
        </w:rPr>
        <w:t>emitido por el entonces Instituto Nacional de Transparencia</w:t>
      </w:r>
      <w:r w:rsidRPr="0089507B">
        <w:rPr>
          <w:color w:val="000000"/>
        </w:rPr>
        <w:t>, Acceso a la Información y Protección de Datos Personales, que establece lo siguiente:</w:t>
      </w:r>
    </w:p>
    <w:p w14:paraId="7262F396" w14:textId="77777777" w:rsidR="00A00E8D" w:rsidRPr="0089507B" w:rsidRDefault="00A00E8D" w:rsidP="009E7481">
      <w:pPr>
        <w:spacing w:after="0" w:line="360" w:lineRule="auto"/>
        <w:ind w:left="567" w:right="567"/>
        <w:rPr>
          <w:color w:val="000000"/>
          <w:sz w:val="20"/>
          <w:szCs w:val="20"/>
        </w:rPr>
      </w:pPr>
    </w:p>
    <w:p w14:paraId="5927BE65" w14:textId="77777777" w:rsidR="00A00E8D" w:rsidRPr="0089507B" w:rsidRDefault="00A00E8D" w:rsidP="009E7481">
      <w:pPr>
        <w:spacing w:after="0" w:line="360" w:lineRule="auto"/>
        <w:ind w:left="567" w:right="567"/>
        <w:rPr>
          <w:i/>
          <w:color w:val="000000"/>
          <w:sz w:val="20"/>
          <w:szCs w:val="20"/>
        </w:rPr>
      </w:pPr>
      <w:r w:rsidRPr="0089507B">
        <w:rPr>
          <w:b/>
          <w:i/>
          <w:color w:val="000000"/>
          <w:sz w:val="20"/>
          <w:szCs w:val="20"/>
        </w:rPr>
        <w:t xml:space="preserve">“Clave Única de Registro de Población (CURP). </w:t>
      </w:r>
      <w:r w:rsidRPr="0089507B">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4C02119" w14:textId="77777777" w:rsidR="00A00E8D" w:rsidRPr="0089507B" w:rsidRDefault="00A00E8D" w:rsidP="009E7481">
      <w:pPr>
        <w:spacing w:after="0" w:line="360" w:lineRule="auto"/>
        <w:rPr>
          <w:color w:val="000000"/>
        </w:rPr>
      </w:pPr>
    </w:p>
    <w:p w14:paraId="39C2B850" w14:textId="77777777" w:rsidR="00A00E8D" w:rsidRPr="0089507B" w:rsidRDefault="00A00E8D" w:rsidP="009E7481">
      <w:pPr>
        <w:spacing w:after="0" w:line="360" w:lineRule="auto"/>
        <w:rPr>
          <w:color w:val="000000"/>
        </w:rPr>
      </w:pPr>
      <w:r w:rsidRPr="0089507B">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7E25B50B" w14:textId="77777777" w:rsidR="00A00E8D" w:rsidRPr="0089507B" w:rsidRDefault="00A00E8D" w:rsidP="009E7481">
      <w:pPr>
        <w:spacing w:after="0" w:line="360" w:lineRule="auto"/>
        <w:rPr>
          <w:color w:val="000000"/>
        </w:rPr>
      </w:pPr>
    </w:p>
    <w:p w14:paraId="079F5AFD" w14:textId="77777777" w:rsidR="00A00E8D" w:rsidRPr="0089507B" w:rsidRDefault="00A00E8D" w:rsidP="009E7481">
      <w:pPr>
        <w:numPr>
          <w:ilvl w:val="0"/>
          <w:numId w:val="45"/>
        </w:numPr>
        <w:spacing w:after="0" w:line="360" w:lineRule="auto"/>
        <w:rPr>
          <w:b/>
          <w:color w:val="000000"/>
        </w:rPr>
      </w:pPr>
      <w:r w:rsidRPr="0089507B">
        <w:rPr>
          <w:b/>
          <w:color w:val="000000"/>
        </w:rPr>
        <w:t>Registro Federal de Contribuyentes (RFC)</w:t>
      </w:r>
    </w:p>
    <w:p w14:paraId="07725648" w14:textId="77777777" w:rsidR="00A00E8D" w:rsidRPr="0089507B" w:rsidRDefault="00A00E8D" w:rsidP="009E7481">
      <w:pPr>
        <w:spacing w:after="0" w:line="360" w:lineRule="auto"/>
        <w:rPr>
          <w:color w:val="000000"/>
        </w:rPr>
      </w:pPr>
    </w:p>
    <w:p w14:paraId="4864CEBD" w14:textId="77777777" w:rsidR="00A00E8D" w:rsidRPr="0089507B" w:rsidRDefault="00A00E8D" w:rsidP="009E7481">
      <w:pPr>
        <w:spacing w:after="0" w:line="360" w:lineRule="auto"/>
        <w:rPr>
          <w:color w:val="000000"/>
        </w:rPr>
      </w:pPr>
      <w:r w:rsidRPr="0089507B">
        <w:rPr>
          <w:color w:val="000000"/>
        </w:rPr>
        <w:lastRenderedPageBreak/>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E5C068B" w14:textId="77777777" w:rsidR="00A00E8D" w:rsidRPr="0089507B" w:rsidRDefault="00A00E8D" w:rsidP="009E7481">
      <w:pPr>
        <w:spacing w:after="0" w:line="360" w:lineRule="auto"/>
        <w:rPr>
          <w:color w:val="000000"/>
        </w:rPr>
      </w:pPr>
    </w:p>
    <w:p w14:paraId="0B73F331" w14:textId="77777777" w:rsidR="00A00E8D" w:rsidRPr="0089507B" w:rsidRDefault="00A00E8D" w:rsidP="009E7481">
      <w:pPr>
        <w:spacing w:after="0" w:line="360" w:lineRule="auto"/>
        <w:rPr>
          <w:color w:val="000000"/>
        </w:rPr>
      </w:pPr>
      <w:r w:rsidRPr="0089507B">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89507B">
        <w:rPr>
          <w:color w:val="000000"/>
        </w:rPr>
        <w:t>homoclave</w:t>
      </w:r>
      <w:proofErr w:type="spellEnd"/>
      <w:r w:rsidRPr="0089507B">
        <w:rPr>
          <w:color w:val="000000"/>
        </w:rPr>
        <w:t xml:space="preserve"> que establece el sistema automático del Servicio de Administración Tributaria.</w:t>
      </w:r>
    </w:p>
    <w:p w14:paraId="7A455977" w14:textId="77777777" w:rsidR="00A00E8D" w:rsidRPr="0089507B" w:rsidRDefault="00A00E8D" w:rsidP="009E7481">
      <w:pPr>
        <w:spacing w:after="0" w:line="360" w:lineRule="auto"/>
        <w:rPr>
          <w:color w:val="000000"/>
        </w:rPr>
      </w:pPr>
    </w:p>
    <w:p w14:paraId="5186330C" w14:textId="77777777" w:rsidR="00A00E8D" w:rsidRPr="0089507B" w:rsidRDefault="00A00E8D" w:rsidP="009E7481">
      <w:pPr>
        <w:spacing w:after="0" w:line="360" w:lineRule="auto"/>
        <w:rPr>
          <w:color w:val="000000"/>
        </w:rPr>
      </w:pPr>
      <w:r w:rsidRPr="0089507B">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4614747" w14:textId="77777777" w:rsidR="00A00E8D" w:rsidRPr="0089507B" w:rsidRDefault="00A00E8D" w:rsidP="009E7481">
      <w:pPr>
        <w:spacing w:after="0" w:line="360" w:lineRule="auto"/>
        <w:rPr>
          <w:color w:val="000000"/>
        </w:rPr>
      </w:pPr>
    </w:p>
    <w:p w14:paraId="42F82232" w14:textId="77777777" w:rsidR="00A00E8D" w:rsidRPr="0089507B" w:rsidRDefault="00A00E8D" w:rsidP="009E7481">
      <w:pPr>
        <w:spacing w:after="0" w:line="360" w:lineRule="auto"/>
        <w:rPr>
          <w:color w:val="000000"/>
        </w:rPr>
      </w:pPr>
      <w:r w:rsidRPr="0089507B">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444A2DE" w14:textId="77777777" w:rsidR="00A00E8D" w:rsidRPr="0089507B" w:rsidRDefault="00A00E8D" w:rsidP="009E7481">
      <w:pPr>
        <w:spacing w:after="0" w:line="360" w:lineRule="auto"/>
        <w:rPr>
          <w:color w:val="000000"/>
        </w:rPr>
      </w:pPr>
    </w:p>
    <w:p w14:paraId="1828FC29" w14:textId="24D143EE" w:rsidR="00A00E8D" w:rsidRPr="0089507B" w:rsidRDefault="00A00E8D" w:rsidP="009E7481">
      <w:pPr>
        <w:spacing w:after="0" w:line="360" w:lineRule="auto"/>
        <w:rPr>
          <w:color w:val="000000"/>
        </w:rPr>
      </w:pPr>
      <w:r w:rsidRPr="0089507B">
        <w:rPr>
          <w:color w:val="000000"/>
        </w:rPr>
        <w:lastRenderedPageBreak/>
        <w:t xml:space="preserve">Lo anterior, resulta congruente con el Criterio de Interpretación, de la Segunda Época, con número de registro SO/019/2017, </w:t>
      </w:r>
      <w:r w:rsidR="00127FD5">
        <w:rPr>
          <w:color w:val="000000"/>
        </w:rPr>
        <w:t>emitido por el entonces Instituto Nacional de Transparencia</w:t>
      </w:r>
      <w:r w:rsidRPr="0089507B">
        <w:rPr>
          <w:color w:val="000000"/>
        </w:rPr>
        <w:t>, Acceso a la Información y Protección de Datos Personales, en el cual se señala lo siguiente:</w:t>
      </w:r>
    </w:p>
    <w:p w14:paraId="775E7EBE" w14:textId="77777777" w:rsidR="00A00E8D" w:rsidRPr="0089507B" w:rsidRDefault="00A00E8D" w:rsidP="009E7481">
      <w:pPr>
        <w:spacing w:after="0" w:line="360" w:lineRule="auto"/>
        <w:rPr>
          <w:color w:val="000000"/>
        </w:rPr>
      </w:pPr>
    </w:p>
    <w:p w14:paraId="7F3134A8" w14:textId="77777777" w:rsidR="00A00E8D" w:rsidRPr="0089507B" w:rsidRDefault="00A00E8D" w:rsidP="009E7481">
      <w:pPr>
        <w:spacing w:after="0" w:line="360" w:lineRule="auto"/>
        <w:ind w:left="567" w:right="567"/>
        <w:rPr>
          <w:i/>
          <w:color w:val="000000"/>
          <w:sz w:val="20"/>
          <w:szCs w:val="20"/>
        </w:rPr>
      </w:pPr>
      <w:r w:rsidRPr="0089507B">
        <w:rPr>
          <w:b/>
          <w:i/>
          <w:color w:val="000000"/>
          <w:sz w:val="20"/>
          <w:szCs w:val="20"/>
        </w:rPr>
        <w:t>“Registro Federal de Contribuyentes (RFC) de personas físicas.</w:t>
      </w:r>
      <w:r w:rsidRPr="0089507B">
        <w:rPr>
          <w:i/>
          <w:color w:val="000000"/>
          <w:sz w:val="20"/>
          <w:szCs w:val="20"/>
        </w:rPr>
        <w:t xml:space="preserve"> El RFC es una clave de carácter fiscal, única e irrepetible, que permite identificar al titular, su edad y fecha de nacimiento, por lo que es un dato personal de carácter confidencial.”</w:t>
      </w:r>
    </w:p>
    <w:p w14:paraId="1DBE1821" w14:textId="77777777" w:rsidR="00A00E8D" w:rsidRPr="0089507B" w:rsidRDefault="00A00E8D" w:rsidP="009E7481">
      <w:pPr>
        <w:spacing w:after="0" w:line="360" w:lineRule="auto"/>
        <w:rPr>
          <w:color w:val="000000"/>
        </w:rPr>
      </w:pPr>
    </w:p>
    <w:p w14:paraId="20B070A6" w14:textId="77777777" w:rsidR="00A00E8D" w:rsidRPr="0089507B" w:rsidRDefault="00A00E8D" w:rsidP="009E7481">
      <w:pPr>
        <w:spacing w:after="0" w:line="360" w:lineRule="auto"/>
        <w:rPr>
          <w:color w:val="000000"/>
        </w:rPr>
      </w:pPr>
      <w:r w:rsidRPr="0089507B">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2BDE4ECC" w14:textId="77777777" w:rsidR="00A00E8D" w:rsidRPr="0089507B" w:rsidRDefault="00A00E8D" w:rsidP="009E7481">
      <w:pPr>
        <w:tabs>
          <w:tab w:val="center" w:pos="4522"/>
        </w:tabs>
        <w:spacing w:after="0" w:line="360" w:lineRule="auto"/>
        <w:rPr>
          <w:color w:val="000000"/>
        </w:rPr>
      </w:pPr>
    </w:p>
    <w:p w14:paraId="0A81AE52" w14:textId="77777777" w:rsidR="00A00E8D" w:rsidRPr="0089507B" w:rsidRDefault="00A00E8D" w:rsidP="009E7481">
      <w:pPr>
        <w:numPr>
          <w:ilvl w:val="0"/>
          <w:numId w:val="45"/>
        </w:numPr>
        <w:spacing w:after="0" w:line="360" w:lineRule="auto"/>
        <w:rPr>
          <w:b/>
          <w:color w:val="000000"/>
        </w:rPr>
      </w:pPr>
      <w:r w:rsidRPr="0089507B">
        <w:rPr>
          <w:b/>
          <w:color w:val="000000"/>
        </w:rPr>
        <w:t>Número de seguridad social del Instituto de Seguridad Social del Estado de México y Municipios</w:t>
      </w:r>
    </w:p>
    <w:p w14:paraId="2C093AD6" w14:textId="77777777" w:rsidR="00A00E8D" w:rsidRPr="0089507B" w:rsidRDefault="00A00E8D" w:rsidP="009E7481">
      <w:pPr>
        <w:spacing w:after="0" w:line="360" w:lineRule="auto"/>
        <w:rPr>
          <w:b/>
          <w:color w:val="000000"/>
        </w:rPr>
      </w:pPr>
    </w:p>
    <w:p w14:paraId="7922DC4F" w14:textId="77777777" w:rsidR="00A00E8D" w:rsidRPr="0089507B" w:rsidRDefault="00A00E8D" w:rsidP="009E7481">
      <w:pPr>
        <w:spacing w:after="0" w:line="360" w:lineRule="auto"/>
        <w:rPr>
          <w:color w:val="000000"/>
        </w:rPr>
      </w:pPr>
      <w:r w:rsidRPr="0089507B">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96AC839" w14:textId="77777777" w:rsidR="00A00E8D" w:rsidRPr="0089507B" w:rsidRDefault="00A00E8D" w:rsidP="009E7481">
      <w:pPr>
        <w:spacing w:after="0" w:line="360" w:lineRule="auto"/>
        <w:rPr>
          <w:color w:val="000000"/>
        </w:rPr>
      </w:pPr>
    </w:p>
    <w:p w14:paraId="2090008F" w14:textId="77777777" w:rsidR="00A00E8D" w:rsidRPr="0089507B" w:rsidRDefault="00A00E8D" w:rsidP="009E7481">
      <w:pPr>
        <w:spacing w:after="0" w:line="360" w:lineRule="auto"/>
        <w:rPr>
          <w:color w:val="000000"/>
        </w:rPr>
      </w:pPr>
      <w:r w:rsidRPr="0089507B">
        <w:rPr>
          <w:color w:val="000000"/>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w:t>
      </w:r>
      <w:r w:rsidRPr="0089507B">
        <w:rPr>
          <w:color w:val="000000"/>
        </w:rPr>
        <w:lastRenderedPageBreak/>
        <w:t>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F723D39" w14:textId="77777777" w:rsidR="00A00E8D" w:rsidRPr="0089507B" w:rsidRDefault="00A00E8D" w:rsidP="009E7481">
      <w:pPr>
        <w:spacing w:after="0" w:line="360" w:lineRule="auto"/>
        <w:rPr>
          <w:color w:val="000000"/>
        </w:rPr>
      </w:pPr>
    </w:p>
    <w:p w14:paraId="6CA3944A" w14:textId="77777777" w:rsidR="00A00E8D" w:rsidRPr="0089507B" w:rsidRDefault="00A00E8D" w:rsidP="009E7481">
      <w:pPr>
        <w:spacing w:after="0" w:line="360" w:lineRule="auto"/>
        <w:rPr>
          <w:color w:val="000000"/>
        </w:rPr>
      </w:pPr>
      <w:r w:rsidRPr="0089507B">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A7CB9E4" w14:textId="77777777" w:rsidR="00A00E8D" w:rsidRPr="0089507B" w:rsidRDefault="00A00E8D" w:rsidP="009E7481">
      <w:pPr>
        <w:spacing w:after="0" w:line="360" w:lineRule="auto"/>
        <w:rPr>
          <w:color w:val="000000"/>
        </w:rPr>
      </w:pPr>
    </w:p>
    <w:p w14:paraId="7DF445F4" w14:textId="77777777" w:rsidR="00A00E8D" w:rsidRPr="0089507B" w:rsidRDefault="00A00E8D" w:rsidP="009E7481">
      <w:pPr>
        <w:spacing w:after="0" w:line="360" w:lineRule="auto"/>
        <w:rPr>
          <w:color w:val="000000"/>
        </w:rPr>
      </w:pPr>
      <w:r w:rsidRPr="0089507B">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1F2C9196" w14:textId="77777777" w:rsidR="00A00E8D" w:rsidRPr="0089507B" w:rsidRDefault="00A00E8D" w:rsidP="009E7481">
      <w:pPr>
        <w:spacing w:after="0" w:line="360" w:lineRule="auto"/>
        <w:rPr>
          <w:color w:val="000000"/>
        </w:rPr>
      </w:pPr>
    </w:p>
    <w:p w14:paraId="41124A5F" w14:textId="3878C07A" w:rsidR="004C4CFB" w:rsidRPr="004C4CFB" w:rsidRDefault="004C4CFB" w:rsidP="009E7481">
      <w:pPr>
        <w:numPr>
          <w:ilvl w:val="0"/>
          <w:numId w:val="38"/>
        </w:numPr>
        <w:spacing w:after="0" w:line="360" w:lineRule="auto"/>
        <w:jc w:val="left"/>
        <w:rPr>
          <w:rFonts w:eastAsia="Palatino Linotype" w:cs="Palatino Linotype"/>
          <w:b/>
          <w:lang w:eastAsia="es-MX"/>
        </w:rPr>
      </w:pPr>
      <w:r w:rsidRPr="004C4CFB">
        <w:rPr>
          <w:rFonts w:eastAsia="Palatino Linotype" w:cs="Palatino Linotype"/>
          <w:b/>
          <w:lang w:eastAsia="es-MX"/>
        </w:rPr>
        <w:t xml:space="preserve">Código bidimensional o </w:t>
      </w:r>
      <w:proofErr w:type="spellStart"/>
      <w:r w:rsidRPr="004C4CFB">
        <w:rPr>
          <w:rFonts w:eastAsia="Palatino Linotype" w:cs="Palatino Linotype"/>
          <w:b/>
          <w:lang w:eastAsia="es-MX"/>
        </w:rPr>
        <w:t>Qr</w:t>
      </w:r>
      <w:proofErr w:type="spellEnd"/>
    </w:p>
    <w:p w14:paraId="75BC0589" w14:textId="77777777" w:rsidR="004C4CFB" w:rsidRPr="004C4CFB" w:rsidRDefault="004C4CFB" w:rsidP="009E7481">
      <w:pPr>
        <w:spacing w:after="0" w:line="360" w:lineRule="auto"/>
        <w:rPr>
          <w:rFonts w:eastAsia="Palatino Linotype" w:cs="Palatino Linotype"/>
          <w:b/>
          <w:lang w:eastAsia="es-MX"/>
        </w:rPr>
      </w:pPr>
    </w:p>
    <w:p w14:paraId="492D4F9B"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 xml:space="preserve">En principio, resulta necesario señalar que los comprobantes fiscales digitales por Internet, deben de incluir un código bidimensional conforme al formato </w:t>
      </w:r>
      <w:r w:rsidRPr="004C4CFB">
        <w:rPr>
          <w:rFonts w:eastAsia="Palatino Linotype" w:cs="Palatino Linotype"/>
          <w:i/>
          <w:lang w:eastAsia="es-MX"/>
        </w:rPr>
        <w:t xml:space="preserve">QR </w:t>
      </w:r>
      <w:proofErr w:type="spellStart"/>
      <w:r w:rsidRPr="004C4CFB">
        <w:rPr>
          <w:rFonts w:eastAsia="Palatino Linotype" w:cs="Palatino Linotype"/>
          <w:i/>
          <w:lang w:eastAsia="es-MX"/>
        </w:rPr>
        <w:t>Code</w:t>
      </w:r>
      <w:proofErr w:type="spellEnd"/>
      <w:r w:rsidRPr="004C4CFB">
        <w:rPr>
          <w:rFonts w:eastAsia="Palatino Linotype" w:cs="Palatino Linotype"/>
          <w:i/>
          <w:lang w:eastAsia="es-MX"/>
        </w:rPr>
        <w:t xml:space="preserve"> (Quick Response </w:t>
      </w:r>
      <w:proofErr w:type="spellStart"/>
      <w:r w:rsidRPr="004C4CFB">
        <w:rPr>
          <w:rFonts w:eastAsia="Palatino Linotype" w:cs="Palatino Linotype"/>
          <w:i/>
          <w:lang w:eastAsia="es-MX"/>
        </w:rPr>
        <w:t>Code</w:t>
      </w:r>
      <w:proofErr w:type="spellEnd"/>
      <w:r w:rsidRPr="004C4CFB">
        <w:rPr>
          <w:rFonts w:eastAsia="Palatino Linotype" w:cs="Palatino Linotype"/>
          <w:i/>
          <w:lang w:eastAsia="es-MX"/>
        </w:rPr>
        <w:t>)</w:t>
      </w:r>
      <w:r w:rsidRPr="004C4CFB">
        <w:rPr>
          <w:rFonts w:eastAsia="Palatino Linotype" w:cs="Palatino Linotype"/>
          <w:lang w:eastAsia="es-MX"/>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3">
        <w:r w:rsidRPr="004C4CFB">
          <w:rPr>
            <w:rFonts w:eastAsia="Palatino Linotype" w:cs="Palatino Linotype"/>
            <w:color w:val="0563C1"/>
            <w:u w:val="single"/>
            <w:lang w:eastAsia="es-MX"/>
          </w:rPr>
          <w:t>http://dof.gob.mx/nota_detalle.php?codigo=5492254&amp;fecha=28/07/2017</w:t>
        </w:r>
      </w:hyperlink>
      <w:r w:rsidRPr="004C4CFB">
        <w:rPr>
          <w:rFonts w:eastAsia="Palatino Linotype" w:cs="Palatino Linotype"/>
          <w:lang w:eastAsia="es-MX"/>
        </w:rPr>
        <w:t xml:space="preserve">. Incluso con la captura </w:t>
      </w:r>
      <w:r w:rsidRPr="004C4CFB">
        <w:rPr>
          <w:rFonts w:eastAsia="Palatino Linotype" w:cs="Palatino Linotype"/>
          <w:lang w:eastAsia="es-MX"/>
        </w:rPr>
        <w:lastRenderedPageBreak/>
        <w:t>de dicho código, a través de la aplicación móvil del Servicio de Administración Tributaria, permite el acceso al Registro Federal de Contribuyentes, como del Sujeto Obligado, como de los servidores públicos.</w:t>
      </w:r>
    </w:p>
    <w:p w14:paraId="6A53CA71" w14:textId="77777777" w:rsidR="004C4CFB" w:rsidRPr="004C4CFB" w:rsidRDefault="004C4CFB" w:rsidP="009E7481">
      <w:pPr>
        <w:spacing w:after="0" w:line="360" w:lineRule="auto"/>
        <w:rPr>
          <w:rFonts w:eastAsia="Palatino Linotype" w:cs="Palatino Linotype"/>
          <w:lang w:eastAsia="es-MX"/>
        </w:rPr>
      </w:pPr>
    </w:p>
    <w:p w14:paraId="2B8A48CA"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73172AE5" w14:textId="77777777" w:rsidR="004C4CFB" w:rsidRPr="004C4CFB" w:rsidRDefault="004C4CFB" w:rsidP="009E7481">
      <w:pPr>
        <w:spacing w:after="0" w:line="360" w:lineRule="auto"/>
        <w:rPr>
          <w:rFonts w:eastAsia="Palatino Linotype" w:cs="Palatino Linotype"/>
          <w:lang w:eastAsia="es-MX"/>
        </w:rPr>
      </w:pPr>
    </w:p>
    <w:p w14:paraId="49390B77" w14:textId="593C60A6" w:rsidR="004C4CFB" w:rsidRPr="005A1A69" w:rsidRDefault="004C4CFB" w:rsidP="009E7481">
      <w:pPr>
        <w:pStyle w:val="Prrafodelista"/>
        <w:numPr>
          <w:ilvl w:val="0"/>
          <w:numId w:val="38"/>
        </w:numPr>
        <w:spacing w:line="360" w:lineRule="auto"/>
        <w:rPr>
          <w:rFonts w:eastAsia="Palatino Linotype" w:cs="Palatino Linotype"/>
          <w:b/>
          <w:lang w:eastAsia="es-MX"/>
        </w:rPr>
      </w:pPr>
      <w:r w:rsidRPr="005A1A69">
        <w:rPr>
          <w:rFonts w:eastAsia="Palatino Linotype" w:cs="Palatino Linotype"/>
          <w:b/>
          <w:lang w:eastAsia="es-MX"/>
        </w:rPr>
        <w:t>Descuentos personales</w:t>
      </w:r>
    </w:p>
    <w:p w14:paraId="2C79A6BA" w14:textId="77777777" w:rsidR="004C4CFB" w:rsidRPr="004C4CFB" w:rsidRDefault="004C4CFB" w:rsidP="009E7481">
      <w:pPr>
        <w:spacing w:after="0" w:line="360" w:lineRule="auto"/>
        <w:rPr>
          <w:rFonts w:eastAsia="Palatino Linotype" w:cs="Palatino Linotype"/>
          <w:b/>
          <w:lang w:eastAsia="es-MX"/>
        </w:rPr>
      </w:pPr>
    </w:p>
    <w:p w14:paraId="51FE06E2"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 xml:space="preserve">Es necesario precisar que existen deducciones que se generan con motivo de una decisión libre y voluntaria de los servidores públicos, como son: créditos personales, </w:t>
      </w:r>
      <w:r w:rsidRPr="00612FE2">
        <w:rPr>
          <w:rFonts w:eastAsia="Palatino Linotype" w:cs="Palatino Linotype"/>
          <w:b/>
          <w:bCs/>
          <w:lang w:eastAsia="es-MX"/>
        </w:rPr>
        <w:t>cuotas sindicales</w:t>
      </w:r>
      <w:r w:rsidRPr="004C4CFB">
        <w:rPr>
          <w:rFonts w:eastAsia="Palatino Linotype" w:cs="Palatino Linotype"/>
          <w:lang w:eastAsia="es-MX"/>
        </w:rPr>
        <w:t>, los fondos de resistencia, de mutualidad y de ahorro del Sindicato Único de Trabajadores de los Poderes, Municipios e Institución Descentralizadas del Estado de México, seguro de vida, accidentes y enfermedades.</w:t>
      </w:r>
    </w:p>
    <w:p w14:paraId="195AF9B9" w14:textId="77777777" w:rsidR="004C4CFB" w:rsidRPr="004C4CFB" w:rsidRDefault="004C4CFB" w:rsidP="009E7481">
      <w:pPr>
        <w:spacing w:after="0" w:line="360" w:lineRule="auto"/>
        <w:rPr>
          <w:rFonts w:eastAsia="Palatino Linotype" w:cs="Palatino Linotype"/>
          <w:lang w:eastAsia="es-MX"/>
        </w:rPr>
      </w:pPr>
    </w:p>
    <w:p w14:paraId="522AFE14"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Asimismo, hay otras que se generan con motivo de una sentencia judicial, como es la pensión alimenticia que periódicamente se retira de la cuenta de un empleado, a efecto de que sea entregado a un tercero.  </w:t>
      </w:r>
    </w:p>
    <w:p w14:paraId="5662373B" w14:textId="77777777" w:rsidR="004C4CFB" w:rsidRPr="004C4CFB" w:rsidRDefault="004C4CFB" w:rsidP="009E7481">
      <w:pPr>
        <w:spacing w:after="0" w:line="360" w:lineRule="auto"/>
        <w:rPr>
          <w:rFonts w:eastAsia="Palatino Linotype" w:cs="Palatino Linotype"/>
          <w:lang w:eastAsia="es-MX"/>
        </w:rPr>
      </w:pPr>
    </w:p>
    <w:p w14:paraId="10EDB6D7"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0A8C18DF" w14:textId="77777777" w:rsidR="004C4CFB" w:rsidRPr="004C4CFB" w:rsidRDefault="004C4CFB" w:rsidP="009E7481">
      <w:pPr>
        <w:spacing w:after="0" w:line="360" w:lineRule="auto"/>
        <w:rPr>
          <w:rFonts w:eastAsia="Palatino Linotype" w:cs="Palatino Linotype"/>
          <w:lang w:eastAsia="es-MX"/>
        </w:rPr>
      </w:pPr>
    </w:p>
    <w:p w14:paraId="3BA2D06B" w14:textId="13D66B76" w:rsidR="004C4CFB" w:rsidRPr="004C4CFB" w:rsidRDefault="004C4CFB" w:rsidP="009E7481">
      <w:pPr>
        <w:spacing w:after="0" w:line="360" w:lineRule="auto"/>
        <w:rPr>
          <w:rFonts w:eastAsia="Palatino Linotype" w:cs="Palatino Linotype"/>
          <w:b/>
          <w:lang w:eastAsia="es-MX"/>
        </w:rPr>
      </w:pPr>
      <w:r w:rsidRPr="004C4CFB">
        <w:rPr>
          <w:rFonts w:eastAsia="Palatino Linotype" w:cs="Palatino Linotype"/>
          <w:lang w:eastAsia="es-MX"/>
        </w:rPr>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w:t>
      </w:r>
    </w:p>
    <w:p w14:paraId="7022758E" w14:textId="77777777" w:rsidR="004C4CFB" w:rsidRPr="004C4CFB" w:rsidRDefault="004C4CFB" w:rsidP="009E7481">
      <w:pPr>
        <w:spacing w:after="0" w:line="360" w:lineRule="auto"/>
        <w:rPr>
          <w:rFonts w:eastAsia="Palatino Linotype" w:cs="Palatino Linotype"/>
          <w:b/>
          <w:lang w:eastAsia="es-MX"/>
        </w:rPr>
      </w:pPr>
    </w:p>
    <w:p w14:paraId="7504BCDF" w14:textId="44D66D89" w:rsidR="004C4CFB" w:rsidRPr="004C4CFB" w:rsidRDefault="004C4CFB" w:rsidP="009E7481">
      <w:pPr>
        <w:numPr>
          <w:ilvl w:val="0"/>
          <w:numId w:val="38"/>
        </w:numPr>
        <w:spacing w:after="0" w:line="360" w:lineRule="auto"/>
        <w:rPr>
          <w:rFonts w:eastAsia="Palatino Linotype" w:cs="Palatino Linotype"/>
          <w:lang w:eastAsia="es-MX"/>
        </w:rPr>
      </w:pPr>
      <w:r w:rsidRPr="004C4CFB">
        <w:rPr>
          <w:rFonts w:eastAsia="Palatino Linotype" w:cs="Palatino Linotype"/>
          <w:b/>
          <w:lang w:eastAsia="es-MX"/>
        </w:rPr>
        <w:t>Sellos digitales del emisor y del Servicio de Administración Tributaria y cadena original del complemento de certificación digital del órgano previamente señalado</w:t>
      </w:r>
      <w:r w:rsidR="005A1A69">
        <w:rPr>
          <w:rFonts w:eastAsia="Palatino Linotype" w:cs="Palatino Linotype"/>
          <w:b/>
          <w:lang w:eastAsia="es-MX"/>
        </w:rPr>
        <w:t xml:space="preserve">; así como los respectivos números de serie de los certificados de sellos digitales, folio fiscal y número de serie del emisor. </w:t>
      </w:r>
    </w:p>
    <w:p w14:paraId="51CEB39E" w14:textId="77777777" w:rsidR="004C4CFB" w:rsidRPr="004C4CFB" w:rsidRDefault="004C4CFB" w:rsidP="009E7481">
      <w:pPr>
        <w:spacing w:after="0" w:line="360" w:lineRule="auto"/>
        <w:ind w:left="720"/>
        <w:rPr>
          <w:rFonts w:eastAsia="Palatino Linotype" w:cs="Palatino Linotype"/>
          <w:lang w:eastAsia="es-MX"/>
        </w:rPr>
      </w:pPr>
    </w:p>
    <w:p w14:paraId="01CD90F0"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463E072D"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 </w:t>
      </w:r>
    </w:p>
    <w:p w14:paraId="54A627D5"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Las cadenas originales y sellos que se agregan a las facturas</w:t>
      </w:r>
      <w:r w:rsidRPr="004C4CFB">
        <w:rPr>
          <w:rFonts w:eastAsia="Palatino Linotype" w:cs="Palatino Linotype"/>
          <w:b/>
          <w:lang w:eastAsia="es-MX"/>
        </w:rPr>
        <w:t>,</w:t>
      </w:r>
      <w:r w:rsidRPr="004C4CFB">
        <w:rPr>
          <w:rFonts w:eastAsia="Palatino Linotype" w:cs="Palatino Linotype"/>
          <w:lang w:eastAsia="es-MX"/>
        </w:rP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w:t>
      </w:r>
      <w:r w:rsidRPr="004C4CFB">
        <w:rPr>
          <w:rFonts w:eastAsia="Palatino Linotype" w:cs="Palatino Linotype"/>
          <w:lang w:eastAsia="es-MX"/>
        </w:rPr>
        <w:lastRenderedPageBreak/>
        <w:t>que se componen los elementos de seguridad y se puntualiza que dicha información está encriptada.</w:t>
      </w:r>
    </w:p>
    <w:p w14:paraId="05530919"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 </w:t>
      </w:r>
    </w:p>
    <w:p w14:paraId="5D90BB14"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w:t>
      </w:r>
    </w:p>
    <w:p w14:paraId="1465D48C"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Elementos utilizados en la generación de Sellos Digitales:</w:t>
      </w:r>
    </w:p>
    <w:p w14:paraId="2197B004"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w:t>
      </w:r>
      <w:r w:rsidRPr="004C4CFB">
        <w:rPr>
          <w:rFonts w:eastAsia="Palatino Linotype" w:cs="Palatino Linotype"/>
          <w:i/>
          <w:sz w:val="20"/>
          <w:szCs w:val="20"/>
          <w:lang w:eastAsia="es-MX"/>
        </w:rPr>
        <w:tab/>
        <w:t>Cadena Original, el elemento a sellar, en este caso de un comprobante fiscal digital a través de Internet.</w:t>
      </w:r>
    </w:p>
    <w:p w14:paraId="534842EC"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w:t>
      </w:r>
      <w:r w:rsidRPr="004C4CFB">
        <w:rPr>
          <w:rFonts w:eastAsia="Palatino Linotype" w:cs="Palatino Linotype"/>
          <w:i/>
          <w:sz w:val="20"/>
          <w:szCs w:val="20"/>
          <w:lang w:eastAsia="es-MX"/>
        </w:rPr>
        <w:tab/>
        <w:t>Certificado de Sello Digital y su correspondiente clave privada.</w:t>
      </w:r>
    </w:p>
    <w:p w14:paraId="163C3DCA"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w:t>
      </w:r>
      <w:r w:rsidRPr="004C4CFB">
        <w:rPr>
          <w:rFonts w:eastAsia="Palatino Linotype" w:cs="Palatino Linotype"/>
          <w:i/>
          <w:sz w:val="20"/>
          <w:szCs w:val="20"/>
          <w:lang w:eastAsia="es-MX"/>
        </w:rPr>
        <w:tab/>
        <w:t>Algoritmos de criptografía de clave pública para firma electrónica avanzada.</w:t>
      </w:r>
    </w:p>
    <w:p w14:paraId="201B30FF"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w:t>
      </w:r>
      <w:r w:rsidRPr="004C4CFB">
        <w:rPr>
          <w:rFonts w:eastAsia="Palatino Linotype" w:cs="Palatino Linotype"/>
          <w:i/>
          <w:sz w:val="20"/>
          <w:szCs w:val="20"/>
          <w:lang w:eastAsia="es-MX"/>
        </w:rPr>
        <w:tab/>
        <w:t>Especificaciones de conversión de la firma electrónica avanzada a Base 64.</w:t>
      </w:r>
    </w:p>
    <w:p w14:paraId="4E336C78"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Para la generación de sellos digitales se utiliza criptografía de clave pública aplicada a una cadena original.</w:t>
      </w:r>
    </w:p>
    <w:p w14:paraId="25D51C86"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Criptografía de la Clave Pública</w:t>
      </w:r>
    </w:p>
    <w:p w14:paraId="7BB40DDA"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 xml:space="preserve">La criptografía de Clave Pública se basa en la generación de una pareja de números muy grandes relacionados íntimamente entre sí, de tal manera que una operación de </w:t>
      </w:r>
      <w:proofErr w:type="spellStart"/>
      <w:r w:rsidRPr="004C4CFB">
        <w:rPr>
          <w:rFonts w:eastAsia="Palatino Linotype" w:cs="Palatino Linotype"/>
          <w:i/>
          <w:sz w:val="20"/>
          <w:szCs w:val="20"/>
          <w:lang w:eastAsia="es-MX"/>
        </w:rPr>
        <w:t>encripción</w:t>
      </w:r>
      <w:proofErr w:type="spellEnd"/>
      <w:r w:rsidRPr="004C4CFB">
        <w:rPr>
          <w:rFonts w:eastAsia="Palatino Linotype" w:cs="Palatino Linotype"/>
          <w:i/>
          <w:sz w:val="20"/>
          <w:szCs w:val="20"/>
          <w:lang w:eastAsia="es-MX"/>
        </w:rPr>
        <w:t xml:space="preserve"> sobre un mensaje tomando como clave de </w:t>
      </w:r>
      <w:proofErr w:type="spellStart"/>
      <w:r w:rsidRPr="004C4CFB">
        <w:rPr>
          <w:rFonts w:eastAsia="Palatino Linotype" w:cs="Palatino Linotype"/>
          <w:i/>
          <w:sz w:val="20"/>
          <w:szCs w:val="20"/>
          <w:lang w:eastAsia="es-MX"/>
        </w:rPr>
        <w:t>encripción</w:t>
      </w:r>
      <w:proofErr w:type="spellEnd"/>
      <w:r w:rsidRPr="004C4CFB">
        <w:rPr>
          <w:rFonts w:eastAsia="Palatino Linotype" w:cs="Palatino Linotype"/>
          <w:i/>
          <w:sz w:val="20"/>
          <w:szCs w:val="20"/>
          <w:lang w:eastAsia="es-MX"/>
        </w:rPr>
        <w:t xml:space="preserve"> a uno de los dos números, produce un mensaje alterado en su significado que solo puede ser devuelto a su estado original mediante la operación de </w:t>
      </w:r>
      <w:proofErr w:type="spellStart"/>
      <w:r w:rsidRPr="004C4CFB">
        <w:rPr>
          <w:rFonts w:eastAsia="Palatino Linotype" w:cs="Palatino Linotype"/>
          <w:i/>
          <w:sz w:val="20"/>
          <w:szCs w:val="20"/>
          <w:lang w:eastAsia="es-MX"/>
        </w:rPr>
        <w:t>desencripción</w:t>
      </w:r>
      <w:proofErr w:type="spellEnd"/>
      <w:r w:rsidRPr="004C4CFB">
        <w:rPr>
          <w:rFonts w:eastAsia="Palatino Linotype" w:cs="Palatino Linotype"/>
          <w:i/>
          <w:sz w:val="20"/>
          <w:szCs w:val="20"/>
          <w:lang w:eastAsia="es-MX"/>
        </w:rPr>
        <w:t xml:space="preserve"> correspondiente tomando como clave de </w:t>
      </w:r>
      <w:proofErr w:type="spellStart"/>
      <w:r w:rsidRPr="004C4CFB">
        <w:rPr>
          <w:rFonts w:eastAsia="Palatino Linotype" w:cs="Palatino Linotype"/>
          <w:i/>
          <w:sz w:val="20"/>
          <w:szCs w:val="20"/>
          <w:lang w:eastAsia="es-MX"/>
        </w:rPr>
        <w:t>desencripción</w:t>
      </w:r>
      <w:proofErr w:type="spellEnd"/>
      <w:r w:rsidRPr="004C4CFB">
        <w:rPr>
          <w:rFonts w:eastAsia="Palatino Linotype" w:cs="Palatino Linotype"/>
          <w:i/>
          <w:sz w:val="20"/>
          <w:szCs w:val="20"/>
          <w:lang w:eastAsia="es-MX"/>
        </w:rPr>
        <w:t xml:space="preserve"> al otro número de la pareja.</w:t>
      </w:r>
    </w:p>
    <w:p w14:paraId="458467D8" w14:textId="77777777" w:rsidR="004C4CFB" w:rsidRPr="004C4CFB" w:rsidRDefault="004C4CFB" w:rsidP="009E7481">
      <w:pPr>
        <w:spacing w:after="0" w:line="360" w:lineRule="auto"/>
        <w:ind w:left="567" w:right="539"/>
        <w:rPr>
          <w:rFonts w:eastAsia="Palatino Linotype" w:cs="Palatino Linotype"/>
          <w:i/>
          <w:sz w:val="20"/>
          <w:szCs w:val="20"/>
          <w:lang w:eastAsia="es-MX"/>
        </w:rPr>
      </w:pPr>
      <w:r w:rsidRPr="004C4CFB">
        <w:rPr>
          <w:rFonts w:eastAsia="Palatino Linotype" w:cs="Palatino Linotype"/>
          <w:i/>
          <w:sz w:val="20"/>
          <w:szCs w:val="20"/>
          <w:lang w:eastAsia="es-MX"/>
        </w:rPr>
        <w:t>…”</w:t>
      </w:r>
    </w:p>
    <w:p w14:paraId="0390A8DB"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 </w:t>
      </w:r>
    </w:p>
    <w:p w14:paraId="5FAA95CD" w14:textId="1222EA2B" w:rsid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r w:rsidR="00FE2C2C" w:rsidRPr="00FE2C2C">
        <w:t xml:space="preserve"> </w:t>
      </w:r>
      <w:r w:rsidR="00FE2C2C" w:rsidRPr="00FE2C2C">
        <w:rPr>
          <w:rFonts w:eastAsia="Palatino Linotype" w:cs="Palatino Linotype"/>
          <w:lang w:eastAsia="es-MX"/>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w:t>
      </w:r>
      <w:r w:rsidR="00FE2C2C" w:rsidRPr="00FE2C2C">
        <w:rPr>
          <w:rFonts w:eastAsia="Palatino Linotype" w:cs="Palatino Linotype"/>
          <w:lang w:eastAsia="es-MX"/>
        </w:rPr>
        <w:lastRenderedPageBreak/>
        <w:t>ejemplo localizado en el documento denominado “Cómo ubicar el Folio Fiscal en una factura”, emitido por el Instituto Nacional electoral (consultado el cuatro de septiembre de dos mil veinticuatro, a las once horas con diez minutos, en la página electrónica</w:t>
      </w:r>
      <w:r w:rsidR="00FE2C2C">
        <w:rPr>
          <w:rFonts w:eastAsia="Palatino Linotype" w:cs="Palatino Linotype"/>
          <w:lang w:eastAsia="es-MX"/>
        </w:rPr>
        <w:t xml:space="preserve"> </w:t>
      </w:r>
      <w:hyperlink r:id="rId14" w:history="1">
        <w:r w:rsidR="00FE2C2C" w:rsidRPr="00C679D7">
          <w:rPr>
            <w:rStyle w:val="Hipervnculo"/>
            <w:lang w:eastAsia="es-MX"/>
          </w:rPr>
          <w:t>https://portalanterior.ine.mx/archivos2/tutoriales/sistemas/ApoyoInstitucional/SIF/docs/candidatos/folioFiscalFactura.pdf</w:t>
        </w:r>
      </w:hyperlink>
      <w:r w:rsidR="00FE2C2C">
        <w:rPr>
          <w:rFonts w:eastAsia="Palatino Linotype" w:cs="Palatino Linotype"/>
          <w:lang w:eastAsia="es-MX"/>
        </w:rPr>
        <w:t xml:space="preserve">), </w:t>
      </w:r>
      <w:r w:rsidR="00FE2C2C" w:rsidRPr="00FE2C2C">
        <w:rPr>
          <w:rFonts w:eastAsia="Palatino Linotype" w:cs="Palatino Linotype"/>
          <w:lang w:eastAsia="es-MX"/>
        </w:rPr>
        <w:t>en la cual se advierte que únicamente se encuentra conformado por números, se muestra a continuación:</w:t>
      </w:r>
    </w:p>
    <w:p w14:paraId="7C7266F4" w14:textId="77777777" w:rsidR="00127FD5" w:rsidRDefault="00127FD5" w:rsidP="009E7481">
      <w:pPr>
        <w:spacing w:after="0" w:line="360" w:lineRule="auto"/>
        <w:rPr>
          <w:rFonts w:eastAsia="Palatino Linotype" w:cs="Palatino Linotype"/>
          <w:lang w:eastAsia="es-MX"/>
        </w:rPr>
      </w:pPr>
    </w:p>
    <w:p w14:paraId="607E3482" w14:textId="2D62BCC9" w:rsidR="00FE2C2C" w:rsidRPr="004C4CFB" w:rsidRDefault="00FE2C2C" w:rsidP="009E7481">
      <w:pPr>
        <w:spacing w:after="0" w:line="360" w:lineRule="auto"/>
        <w:jc w:val="center"/>
        <w:rPr>
          <w:rFonts w:eastAsia="Palatino Linotype" w:cs="Palatino Linotype"/>
          <w:lang w:eastAsia="es-MX"/>
        </w:rPr>
      </w:pPr>
      <w:r w:rsidRPr="00FE2C2C">
        <w:rPr>
          <w:rFonts w:eastAsia="Palatino Linotype" w:cs="Palatino Linotype"/>
          <w:noProof/>
          <w:lang w:eastAsia="es-MX"/>
        </w:rPr>
        <w:drawing>
          <wp:inline distT="0" distB="0" distL="0" distR="0" wp14:anchorId="3FF14888" wp14:editId="26785742">
            <wp:extent cx="4619659" cy="91440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9659" cy="914407"/>
                    </a:xfrm>
                    <a:prstGeom prst="rect">
                      <a:avLst/>
                    </a:prstGeom>
                  </pic:spPr>
                </pic:pic>
              </a:graphicData>
            </a:graphic>
          </wp:inline>
        </w:drawing>
      </w:r>
    </w:p>
    <w:p w14:paraId="2E41B4D0" w14:textId="77777777" w:rsidR="004C4CFB" w:rsidRPr="004C4CFB" w:rsidRDefault="004C4CFB" w:rsidP="009E7481">
      <w:pPr>
        <w:tabs>
          <w:tab w:val="left" w:pos="4962"/>
        </w:tabs>
        <w:spacing w:after="0" w:line="360" w:lineRule="auto"/>
        <w:rPr>
          <w:rFonts w:eastAsia="Palatino Linotype" w:cs="Palatino Linotype"/>
          <w:color w:val="000000"/>
          <w:lang w:eastAsia="es-MX"/>
        </w:rPr>
      </w:pPr>
    </w:p>
    <w:p w14:paraId="469ECDD5" w14:textId="2C9B35A8" w:rsidR="00FE2C2C" w:rsidRDefault="00FE2C2C" w:rsidP="009E7481">
      <w:pPr>
        <w:spacing w:after="0" w:line="360" w:lineRule="auto"/>
        <w:rPr>
          <w:rFonts w:eastAsia="Palatino Linotype" w:cs="Palatino Linotype"/>
          <w:color w:val="000000"/>
          <w:lang w:eastAsia="es-MX"/>
        </w:rPr>
      </w:pPr>
      <w:r w:rsidRPr="00FE2C2C">
        <w:rPr>
          <w:rFonts w:eastAsia="Palatino Linotype" w:cs="Palatino Linotype"/>
          <w:color w:val="000000"/>
          <w:lang w:eastAsia="es-MX"/>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r>
        <w:rPr>
          <w:rFonts w:eastAsia="Palatino Linotype" w:cs="Palatino Linotype"/>
          <w:color w:val="000000"/>
          <w:lang w:eastAsia="es-MX"/>
        </w:rPr>
        <w:t>.</w:t>
      </w:r>
    </w:p>
    <w:p w14:paraId="59662A33" w14:textId="3F6DBAE6" w:rsidR="00FE2C2C" w:rsidRDefault="00FE2C2C" w:rsidP="009E7481">
      <w:pPr>
        <w:spacing w:after="0" w:line="360" w:lineRule="auto"/>
        <w:rPr>
          <w:rFonts w:eastAsia="Palatino Linotype" w:cs="Palatino Linotype"/>
          <w:color w:val="000000"/>
          <w:lang w:eastAsia="es-MX"/>
        </w:rPr>
      </w:pPr>
    </w:p>
    <w:p w14:paraId="6FA7D142" w14:textId="587B3665" w:rsidR="00FE2C2C" w:rsidRDefault="00FE2C2C" w:rsidP="009E7481">
      <w:pPr>
        <w:spacing w:after="0" w:line="360" w:lineRule="auto"/>
        <w:rPr>
          <w:rFonts w:eastAsia="Palatino Linotype" w:cs="Palatino Linotype"/>
          <w:color w:val="000000"/>
          <w:lang w:eastAsia="es-MX"/>
        </w:rPr>
      </w:pPr>
      <w:r w:rsidRPr="00FE2C2C">
        <w:rPr>
          <w:rFonts w:eastAsia="Palatino Linotype" w:cs="Palatino Linotype"/>
          <w:color w:val="000000"/>
          <w:lang w:eastAsia="es-MX"/>
        </w:rPr>
        <w:t xml:space="preserve">Ahora bien, por lo que hace </w:t>
      </w:r>
      <w:r w:rsidRPr="004F56E1">
        <w:rPr>
          <w:rFonts w:eastAsia="Palatino Linotype" w:cs="Palatino Linotype"/>
          <w:b/>
          <w:bCs/>
          <w:color w:val="000000"/>
          <w:lang w:eastAsia="es-MX"/>
        </w:rPr>
        <w:t>Folio Fiscal,</w:t>
      </w:r>
      <w:r w:rsidRPr="00FE2C2C">
        <w:rPr>
          <w:rFonts w:eastAsia="Palatino Linotype" w:cs="Palatino Linotype"/>
          <w:color w:val="000000"/>
          <w:lang w:eastAsia="es-MX"/>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09E2B07D" w14:textId="0EE57B9F" w:rsidR="00FE2C2C" w:rsidRDefault="00FE2C2C" w:rsidP="009E7481">
      <w:pPr>
        <w:spacing w:after="0" w:line="360" w:lineRule="auto"/>
        <w:rPr>
          <w:rFonts w:eastAsia="Palatino Linotype" w:cs="Palatino Linotype"/>
          <w:color w:val="000000"/>
          <w:lang w:eastAsia="es-MX"/>
        </w:rPr>
      </w:pPr>
      <w:r>
        <w:rPr>
          <w:rFonts w:eastAsia="Palatino Linotype" w:cs="Palatino Linotype"/>
          <w:color w:val="000000"/>
          <w:lang w:eastAsia="es-MX"/>
        </w:rPr>
        <w:t xml:space="preserve"> </w:t>
      </w:r>
    </w:p>
    <w:p w14:paraId="14C44BAB" w14:textId="3E7B30D1" w:rsidR="00FE2C2C" w:rsidRDefault="00FE2C2C" w:rsidP="009E7481">
      <w:pPr>
        <w:spacing w:after="0" w:line="360" w:lineRule="auto"/>
        <w:jc w:val="center"/>
        <w:rPr>
          <w:rFonts w:eastAsia="Palatino Linotype" w:cs="Palatino Linotype"/>
          <w:color w:val="000000"/>
          <w:lang w:eastAsia="es-MX"/>
        </w:rPr>
      </w:pPr>
      <w:r w:rsidRPr="00FE2C2C">
        <w:rPr>
          <w:rFonts w:eastAsia="Palatino Linotype" w:cs="Palatino Linotype"/>
          <w:noProof/>
          <w:color w:val="000000"/>
          <w:lang w:eastAsia="es-MX"/>
        </w:rPr>
        <w:lastRenderedPageBreak/>
        <w:drawing>
          <wp:inline distT="0" distB="0" distL="0" distR="0" wp14:anchorId="0134F2D7" wp14:editId="6754E251">
            <wp:extent cx="4438682" cy="102870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82" cy="1028708"/>
                    </a:xfrm>
                    <a:prstGeom prst="rect">
                      <a:avLst/>
                    </a:prstGeom>
                  </pic:spPr>
                </pic:pic>
              </a:graphicData>
            </a:graphic>
          </wp:inline>
        </w:drawing>
      </w:r>
    </w:p>
    <w:p w14:paraId="077F4066" w14:textId="37D6387C" w:rsidR="00FE2C2C" w:rsidRDefault="00FE2C2C" w:rsidP="009E7481">
      <w:pPr>
        <w:spacing w:after="0" w:line="360" w:lineRule="auto"/>
        <w:rPr>
          <w:rFonts w:eastAsia="Palatino Linotype" w:cs="Palatino Linotype"/>
          <w:color w:val="000000"/>
          <w:lang w:eastAsia="es-MX"/>
        </w:rPr>
      </w:pPr>
    </w:p>
    <w:p w14:paraId="3041C610" w14:textId="29CBC186" w:rsidR="00FE2C2C" w:rsidRDefault="00FE2C2C" w:rsidP="009E7481">
      <w:pPr>
        <w:spacing w:after="0" w:line="360" w:lineRule="auto"/>
        <w:rPr>
          <w:rFonts w:eastAsia="Palatino Linotype" w:cs="Palatino Linotype"/>
          <w:color w:val="000000"/>
          <w:lang w:eastAsia="es-MX"/>
        </w:rPr>
      </w:pPr>
      <w:r w:rsidRPr="00FE2C2C">
        <w:rPr>
          <w:rFonts w:eastAsia="Palatino Linotype" w:cs="Palatino Linotype"/>
          <w:color w:val="000000"/>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8CBEC0D" w14:textId="122B754F" w:rsidR="00FE2C2C" w:rsidRDefault="00FE2C2C" w:rsidP="009E7481">
      <w:pPr>
        <w:spacing w:after="0" w:line="360" w:lineRule="auto"/>
        <w:rPr>
          <w:rFonts w:eastAsia="Palatino Linotype" w:cs="Palatino Linotype"/>
          <w:color w:val="000000"/>
          <w:lang w:eastAsia="es-MX"/>
        </w:rPr>
      </w:pPr>
    </w:p>
    <w:p w14:paraId="14B052C7" w14:textId="009F8FAB" w:rsidR="004F56E1" w:rsidRPr="003F4450" w:rsidRDefault="00FE2C2C" w:rsidP="009E7481">
      <w:pPr>
        <w:spacing w:after="0" w:line="360" w:lineRule="auto"/>
        <w:rPr>
          <w:rFonts w:eastAsia="Palatino Linotype" w:cs="Palatino Linotype"/>
          <w:color w:val="000000"/>
          <w:lang w:eastAsia="es-MX"/>
        </w:rPr>
      </w:pPr>
      <w:r w:rsidRPr="00FE2C2C">
        <w:rPr>
          <w:rFonts w:eastAsia="Palatino Linotype" w:cs="Palatino Linotype"/>
          <w:color w:val="000000"/>
          <w:lang w:eastAsia="es-MX"/>
        </w:rPr>
        <w:t xml:space="preserve">Ahora bien, por lo que hace al </w:t>
      </w:r>
      <w:r w:rsidRPr="00612FE2">
        <w:rPr>
          <w:rFonts w:eastAsia="Palatino Linotype" w:cs="Palatino Linotype"/>
          <w:b/>
          <w:bCs/>
          <w:color w:val="000000"/>
          <w:lang w:eastAsia="es-MX"/>
        </w:rPr>
        <w:t>número de serie y folio interno</w:t>
      </w:r>
      <w:r w:rsidRPr="00FE2C2C">
        <w:rPr>
          <w:rFonts w:eastAsia="Palatino Linotype" w:cs="Palatino Linotype"/>
          <w:color w:val="000000"/>
          <w:lang w:eastAsia="es-MX"/>
        </w:rPr>
        <w:t xml:space="preserve">, la Guía de llenado del CFDI global Versión 3.3 del CFDI, emitida por el Servicio de Administración Tributaria (consultada el dieciséis de febrero de dos mil veintiuno, a las dieciocho horas, en la página electrónica http://omawww.sat.gob.mx/factura/Paginas/documentos/GuiaAnexo20Global.pdf), prevé que es el número que utiliza el contribuyente para control interno de su información; mientras que el segundo es el número de control que se le asigna al comprobante; por lo que, ambos corresponden a dígitos que si bien determina el </w:t>
      </w:r>
      <w:r w:rsidR="004F56E1">
        <w:rPr>
          <w:rFonts w:eastAsia="Palatino Linotype" w:cs="Palatino Linotype"/>
          <w:color w:val="000000"/>
          <w:lang w:eastAsia="es-MX"/>
        </w:rPr>
        <w:t>Sujeto Obligado</w:t>
      </w:r>
      <w:r w:rsidRPr="00FE2C2C">
        <w:rPr>
          <w:rFonts w:eastAsia="Palatino Linotype" w:cs="Palatino Linotype"/>
          <w:color w:val="000000"/>
          <w:lang w:eastAsia="es-MX"/>
        </w:rPr>
        <w:t>, lo cierto es que no contiene datos confidenciales de los servidores públicos y por lo tanto, no actualizan la causal de clasificación establecida en el artículo 143, fracción I, de la Ley de Transparencia y Acceso a la Información Pública del Estado de México y Municipios.</w:t>
      </w:r>
    </w:p>
    <w:p w14:paraId="61A891FF" w14:textId="77777777" w:rsidR="004F56E1" w:rsidRPr="004C4CFB" w:rsidRDefault="004F56E1" w:rsidP="009E7481">
      <w:pPr>
        <w:spacing w:after="0" w:line="360" w:lineRule="auto"/>
        <w:rPr>
          <w:rFonts w:eastAsia="Palatino Linotype" w:cs="Palatino Linotype"/>
          <w:lang w:eastAsia="es-MX"/>
        </w:rPr>
      </w:pPr>
    </w:p>
    <w:p w14:paraId="5E728037" w14:textId="5B54AF48" w:rsidR="004C4CFB" w:rsidRPr="004C4CFB" w:rsidRDefault="00A13E67" w:rsidP="009E7481">
      <w:pPr>
        <w:tabs>
          <w:tab w:val="left" w:pos="4962"/>
        </w:tabs>
        <w:spacing w:after="0" w:line="360" w:lineRule="auto"/>
        <w:rPr>
          <w:rFonts w:eastAsia="Palatino Linotype" w:cs="Palatino Linotype"/>
          <w:lang w:eastAsia="es-MX"/>
        </w:rPr>
      </w:pPr>
      <w:r>
        <w:rPr>
          <w:rFonts w:eastAsia="Palatino Linotype" w:cs="Palatino Linotype"/>
          <w:lang w:eastAsia="es-MX"/>
        </w:rPr>
        <w:t>Conforme a lo anterior, se advierte que el Sujeto Obligado clasificó datos de naturaleza pública</w:t>
      </w:r>
      <w:r w:rsidR="00D65868">
        <w:rPr>
          <w:rFonts w:eastAsia="Palatino Linotype" w:cs="Palatino Linotype"/>
          <w:lang w:eastAsia="es-MX"/>
        </w:rPr>
        <w:t xml:space="preserve">, por lo que, se considera que el agravio es </w:t>
      </w:r>
      <w:r w:rsidR="00D65868">
        <w:rPr>
          <w:rFonts w:eastAsia="Palatino Linotype" w:cs="Palatino Linotype"/>
          <w:b/>
          <w:bCs/>
          <w:lang w:eastAsia="es-MX"/>
        </w:rPr>
        <w:t>PARCIALMENTE FUNDADO</w:t>
      </w:r>
      <w:r>
        <w:rPr>
          <w:rFonts w:eastAsia="Palatino Linotype" w:cs="Palatino Linotype"/>
          <w:lang w:eastAsia="es-MX"/>
        </w:rPr>
        <w:t xml:space="preserve">, por lo que, deberá proporcionarlos de nueva cuenta, </w:t>
      </w:r>
      <w:r w:rsidR="004C4CFB" w:rsidRPr="004C4CFB">
        <w:rPr>
          <w:rFonts w:eastAsia="Palatino Linotype" w:cs="Palatino Linotype"/>
          <w:lang w:eastAsia="es-MX"/>
        </w:rPr>
        <w:t>en versión pública</w:t>
      </w:r>
      <w:r w:rsidR="00FE2C2C">
        <w:rPr>
          <w:rFonts w:eastAsia="Palatino Linotype" w:cs="Palatino Linotype"/>
          <w:lang w:eastAsia="es-MX"/>
        </w:rPr>
        <w:t xml:space="preserve"> correcta</w:t>
      </w:r>
      <w:r w:rsidR="004C4CFB" w:rsidRPr="004C4CFB">
        <w:rPr>
          <w:rFonts w:eastAsia="Palatino Linotype" w:cs="Palatino Linotype"/>
          <w:lang w:eastAsia="es-MX"/>
        </w:rPr>
        <w:t xml:space="preserve">; sobre dicha circunstancia, el artículo 3°, fracción XLV, relacionado con el 137, ambos de la Ley de Transparencia y Acceso a </w:t>
      </w:r>
      <w:r w:rsidR="004C4CFB" w:rsidRPr="004C4CFB">
        <w:rPr>
          <w:rFonts w:eastAsia="Palatino Linotype" w:cs="Palatino Linotype"/>
          <w:lang w:eastAsia="es-MX"/>
        </w:rPr>
        <w:lastRenderedPageBreak/>
        <w:t>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9ADB663" w14:textId="77777777" w:rsidR="004C4CFB" w:rsidRPr="004C4CFB" w:rsidRDefault="004C4CFB" w:rsidP="009E7481">
      <w:pPr>
        <w:spacing w:after="0" w:line="360" w:lineRule="auto"/>
        <w:rPr>
          <w:rFonts w:eastAsia="Palatino Linotype" w:cs="Palatino Linotype"/>
          <w:lang w:eastAsia="es-MX"/>
        </w:rPr>
      </w:pPr>
    </w:p>
    <w:p w14:paraId="483AF032" w14:textId="77777777" w:rsidR="004C4CFB" w:rsidRPr="004C4CFB" w:rsidRDefault="004C4CFB" w:rsidP="009E7481">
      <w:pPr>
        <w:spacing w:after="0" w:line="360" w:lineRule="auto"/>
        <w:rPr>
          <w:rFonts w:eastAsia="Palatino Linotype" w:cs="Palatino Linotype"/>
          <w:lang w:eastAsia="es-MX"/>
        </w:rPr>
      </w:pPr>
      <w:r w:rsidRPr="004C4CFB">
        <w:rPr>
          <w:rFonts w:eastAsia="Palatino Linotype" w:cs="Palatino Linotype"/>
          <w:lang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0204844" w14:textId="77777777" w:rsidR="00644811" w:rsidRPr="009A3DE0" w:rsidRDefault="00644811" w:rsidP="009E7481">
      <w:pPr>
        <w:spacing w:after="0" w:line="360" w:lineRule="auto"/>
        <w:rPr>
          <w:rFonts w:eastAsia="Calibri" w:cs="Tahoma"/>
          <w:bCs/>
          <w:iCs/>
          <w:color w:val="000000"/>
          <w:lang w:val="es-ES"/>
        </w:rPr>
      </w:pPr>
    </w:p>
    <w:p w14:paraId="2781626E" w14:textId="74D07933" w:rsidR="00644811" w:rsidRPr="00D526FB" w:rsidRDefault="00644811" w:rsidP="009E7481">
      <w:pPr>
        <w:pStyle w:val="Ttulo2"/>
        <w:spacing w:before="0" w:line="360" w:lineRule="auto"/>
        <w:rPr>
          <w:rFonts w:ascii="Palatino Linotype" w:eastAsia="Palatino Linotype" w:hAnsi="Palatino Linotype"/>
          <w:b/>
          <w:bCs/>
          <w:color w:val="auto"/>
          <w:sz w:val="22"/>
          <w:szCs w:val="22"/>
          <w:lang w:eastAsia="es-MX"/>
        </w:rPr>
      </w:pPr>
      <w:bookmarkStart w:id="15" w:name="_Toc193363654"/>
      <w:r w:rsidRPr="00D526FB">
        <w:rPr>
          <w:rFonts w:ascii="Palatino Linotype" w:eastAsia="Palatino Linotype" w:hAnsi="Palatino Linotype"/>
          <w:b/>
          <w:bCs/>
          <w:color w:val="auto"/>
          <w:sz w:val="22"/>
          <w:szCs w:val="22"/>
          <w:lang w:eastAsia="es-MX"/>
        </w:rPr>
        <w:t>SEXTO. Decisión</w:t>
      </w:r>
      <w:r w:rsidR="00D526FB" w:rsidRPr="00D526FB">
        <w:rPr>
          <w:rFonts w:ascii="Palatino Linotype" w:eastAsia="Palatino Linotype" w:hAnsi="Palatino Linotype"/>
          <w:b/>
          <w:bCs/>
          <w:color w:val="auto"/>
          <w:sz w:val="22"/>
          <w:szCs w:val="22"/>
          <w:lang w:eastAsia="es-MX"/>
        </w:rPr>
        <w:t>.</w:t>
      </w:r>
      <w:bookmarkEnd w:id="15"/>
    </w:p>
    <w:p w14:paraId="29A9CCCF" w14:textId="77777777" w:rsidR="00644811" w:rsidRPr="00644811" w:rsidRDefault="00644811" w:rsidP="009E7481">
      <w:pPr>
        <w:spacing w:after="0" w:line="360" w:lineRule="auto"/>
        <w:rPr>
          <w:rFonts w:eastAsia="Palatino Linotype" w:cs="Palatino Linotype"/>
          <w:b/>
          <w:lang w:eastAsia="es-MX"/>
        </w:rPr>
      </w:pPr>
    </w:p>
    <w:p w14:paraId="7222F989" w14:textId="7D3ED2D1" w:rsidR="00644811" w:rsidRPr="00644811" w:rsidRDefault="00644811" w:rsidP="009E7481">
      <w:pPr>
        <w:spacing w:after="0" w:line="360" w:lineRule="auto"/>
        <w:ind w:right="-93"/>
        <w:rPr>
          <w:rFonts w:eastAsia="Palatino Linotype" w:cs="Palatino Linotype"/>
          <w:color w:val="000000"/>
          <w:lang w:eastAsia="es-MX"/>
        </w:rPr>
      </w:pPr>
      <w:r w:rsidRPr="00644811">
        <w:rPr>
          <w:rFonts w:eastAsia="Palatino Linotype" w:cs="Palatino Linotype"/>
          <w:lang w:eastAsia="es-MX"/>
        </w:rPr>
        <w:t xml:space="preserve">Con fundamento en el artículo 186, fracción III, de la Ley de Transparencia y Acceso a la Información Pública del Estado de México y Municipios, este Instituto considera procedente </w:t>
      </w:r>
      <w:r w:rsidR="003F4450">
        <w:rPr>
          <w:rFonts w:eastAsia="Palatino Linotype" w:cs="Palatino Linotype"/>
          <w:b/>
          <w:lang w:eastAsia="es-MX"/>
        </w:rPr>
        <w:t>MODIFICA</w:t>
      </w:r>
      <w:r w:rsidRPr="00644811">
        <w:rPr>
          <w:rFonts w:eastAsia="Palatino Linotype" w:cs="Palatino Linotype"/>
          <w:b/>
          <w:lang w:eastAsia="es-MX"/>
        </w:rPr>
        <w:t xml:space="preserve">R </w:t>
      </w:r>
      <w:r w:rsidRPr="00644811">
        <w:rPr>
          <w:rFonts w:eastAsia="Palatino Linotype" w:cs="Palatino Linotype"/>
          <w:color w:val="000000"/>
          <w:lang w:eastAsia="es-MX"/>
        </w:rPr>
        <w:t xml:space="preserve">la respuesta otorgada a la solicitud de información, toda vez que el Sujeto Obligado, </w:t>
      </w:r>
      <w:r w:rsidR="003F4450">
        <w:rPr>
          <w:rFonts w:eastAsia="Palatino Linotype" w:cs="Palatino Linotype"/>
          <w:color w:val="000000"/>
          <w:lang w:eastAsia="es-MX"/>
        </w:rPr>
        <w:t>omitió entregar los recibos de nómina en una versión pública correcta</w:t>
      </w:r>
      <w:r w:rsidRPr="00644811">
        <w:rPr>
          <w:rFonts w:eastAsia="Palatino Linotype" w:cs="Palatino Linotype"/>
          <w:color w:val="000000"/>
          <w:lang w:eastAsia="es-MX"/>
        </w:rPr>
        <w:t>.</w:t>
      </w:r>
    </w:p>
    <w:p w14:paraId="7AC0F8DE" w14:textId="77777777" w:rsidR="00F679C8" w:rsidRPr="00242082" w:rsidRDefault="00F679C8" w:rsidP="009E7481">
      <w:pPr>
        <w:spacing w:after="0" w:line="360" w:lineRule="auto"/>
      </w:pPr>
    </w:p>
    <w:p w14:paraId="1BD24118" w14:textId="77777777" w:rsidR="00C853D1" w:rsidRPr="00242082" w:rsidRDefault="00C853D1" w:rsidP="009E7481">
      <w:pPr>
        <w:spacing w:after="0" w:line="360" w:lineRule="auto"/>
        <w:rPr>
          <w:b/>
          <w:bCs/>
        </w:rPr>
      </w:pPr>
      <w:r w:rsidRPr="00242082">
        <w:rPr>
          <w:b/>
          <w:bCs/>
        </w:rPr>
        <w:t>Términos de la Resolución.</w:t>
      </w:r>
    </w:p>
    <w:p w14:paraId="6C1809B6" w14:textId="3933B954" w:rsidR="00C853D1" w:rsidRPr="00242082" w:rsidRDefault="00C853D1" w:rsidP="009E7481">
      <w:pPr>
        <w:spacing w:after="0" w:line="360" w:lineRule="auto"/>
      </w:pPr>
    </w:p>
    <w:p w14:paraId="1FB30D36" w14:textId="1B412580" w:rsidR="000223B0" w:rsidRPr="00242082" w:rsidRDefault="000223B0" w:rsidP="00082334">
      <w:pPr>
        <w:spacing w:after="0" w:line="360" w:lineRule="auto"/>
        <w:rPr>
          <w:rFonts w:eastAsia="Calibri" w:cs="Tahoma"/>
        </w:rPr>
      </w:pPr>
      <w:r w:rsidRPr="00242082">
        <w:rPr>
          <w:rFonts w:eastAsia="Times New Roman" w:cs="Times New Roman"/>
          <w:lang w:eastAsia="es-MX"/>
        </w:rPr>
        <w:t>Se le hace del conocimiento a</w:t>
      </w:r>
      <w:r w:rsidR="00D0396A" w:rsidRPr="00242082">
        <w:rPr>
          <w:rFonts w:eastAsia="Times New Roman" w:cs="Times New Roman"/>
          <w:lang w:eastAsia="es-MX"/>
        </w:rPr>
        <w:t xml:space="preserve"> la</w:t>
      </w:r>
      <w:r w:rsidRPr="00242082">
        <w:rPr>
          <w:rFonts w:eastAsia="Times New Roman" w:cs="Times New Roman"/>
          <w:lang w:eastAsia="es-MX"/>
        </w:rPr>
        <w:t xml:space="preserve"> Particular, que, en el presente caso, se le concede </w:t>
      </w:r>
      <w:r w:rsidR="003F4450">
        <w:rPr>
          <w:rFonts w:eastAsia="Times New Roman" w:cs="Times New Roman"/>
          <w:lang w:eastAsia="es-MX"/>
        </w:rPr>
        <w:t xml:space="preserve">parcialmente la </w:t>
      </w:r>
      <w:r w:rsidRPr="00242082">
        <w:rPr>
          <w:rFonts w:eastAsia="Times New Roman" w:cs="Times New Roman"/>
          <w:lang w:eastAsia="es-MX"/>
        </w:rPr>
        <w:t xml:space="preserve">razón, pues el </w:t>
      </w:r>
      <w:r w:rsidR="003F4450" w:rsidRPr="003F4450">
        <w:rPr>
          <w:rFonts w:eastAsia="Calibri" w:cs="Tahoma"/>
        </w:rPr>
        <w:t>Ayuntamiento de Nezahualcóyotl</w:t>
      </w:r>
      <w:r w:rsidRPr="00242082">
        <w:rPr>
          <w:rFonts w:eastAsia="Calibri" w:cs="Tahoma"/>
        </w:rPr>
        <w:t xml:space="preserve">, </w:t>
      </w:r>
      <w:r w:rsidR="00D526FB">
        <w:rPr>
          <w:rFonts w:eastAsia="Calibri" w:cs="Tahoma"/>
        </w:rPr>
        <w:t xml:space="preserve">no proporcionó la información </w:t>
      </w:r>
      <w:r w:rsidR="003F4450">
        <w:rPr>
          <w:rFonts w:eastAsia="Calibri" w:cs="Tahoma"/>
        </w:rPr>
        <w:t>completa al clasificar información de naturaleza pública</w:t>
      </w:r>
      <w:r w:rsidR="00F679C8" w:rsidRPr="00242082">
        <w:rPr>
          <w:rFonts w:eastAsia="Calibri" w:cs="Tahoma"/>
        </w:rPr>
        <w:t xml:space="preserve">; por lo que, deberá proporcionarle </w:t>
      </w:r>
      <w:r w:rsidR="00B86FF2" w:rsidRPr="00242082">
        <w:rPr>
          <w:rFonts w:eastAsia="Calibri" w:cs="Tahoma"/>
        </w:rPr>
        <w:t xml:space="preserve">la información </w:t>
      </w:r>
      <w:r w:rsidR="00D526FB">
        <w:rPr>
          <w:rFonts w:eastAsia="Calibri" w:cs="Tahoma"/>
        </w:rPr>
        <w:t>solicitada</w:t>
      </w:r>
      <w:r w:rsidR="00B86FF2" w:rsidRPr="00242082">
        <w:rPr>
          <w:rFonts w:eastAsia="Calibri" w:cs="Tahoma"/>
        </w:rPr>
        <w:t xml:space="preserve">. </w:t>
      </w:r>
      <w:r w:rsidRPr="00242082">
        <w:rPr>
          <w:rFonts w:eastAsia="Calibri" w:cs="Tahoma"/>
          <w:bCs/>
          <w:iCs/>
          <w:color w:val="auto"/>
        </w:rPr>
        <w:t xml:space="preserve">Finalmente, la labor </w:t>
      </w:r>
      <w:r w:rsidR="00904CFA" w:rsidRPr="00242082">
        <w:rPr>
          <w:rFonts w:eastAsia="Calibri" w:cs="Tahoma"/>
          <w:bCs/>
          <w:iCs/>
          <w:color w:val="auto"/>
        </w:rPr>
        <w:t>del Instituto</w:t>
      </w:r>
      <w:r w:rsidRPr="00242082">
        <w:rPr>
          <w:rFonts w:eastAsia="Calibri" w:cs="Tahoma"/>
          <w:bCs/>
          <w:iCs/>
          <w:color w:val="auto"/>
        </w:rPr>
        <w:t>, es apoyar a la población a acceder a la información pública y garantizar la protección de los datos personales.</w:t>
      </w:r>
    </w:p>
    <w:p w14:paraId="22B03D0E" w14:textId="77777777" w:rsidR="00904CFA" w:rsidRPr="00242082" w:rsidRDefault="00904CFA" w:rsidP="009E7481">
      <w:pPr>
        <w:spacing w:after="0" w:line="360" w:lineRule="auto"/>
      </w:pPr>
    </w:p>
    <w:p w14:paraId="4469D1A7" w14:textId="77777777" w:rsidR="00C853D1" w:rsidRPr="00242082" w:rsidRDefault="00C853D1" w:rsidP="009E7481">
      <w:pPr>
        <w:spacing w:after="0" w:line="360" w:lineRule="auto"/>
        <w:rPr>
          <w:rFonts w:eastAsia="Calibri" w:cs="Tahoma"/>
          <w:bCs/>
          <w:color w:val="auto"/>
        </w:rPr>
      </w:pPr>
      <w:r w:rsidRPr="00242082">
        <w:t>Por</w:t>
      </w:r>
      <w:r w:rsidRPr="00242082">
        <w:rPr>
          <w:rFonts w:eastAsia="Calibri" w:cs="Tahoma"/>
          <w:bCs/>
          <w:color w:val="auto"/>
        </w:rPr>
        <w:t xml:space="preserve"> lo expuesto y fundado, este Pleno:</w:t>
      </w:r>
    </w:p>
    <w:p w14:paraId="5315815D" w14:textId="598E8861" w:rsidR="00C853D1" w:rsidRPr="00D526FB" w:rsidRDefault="00C853D1" w:rsidP="009E7481">
      <w:pPr>
        <w:pStyle w:val="Ttulo1"/>
        <w:spacing w:before="0" w:line="360" w:lineRule="auto"/>
        <w:jc w:val="center"/>
        <w:rPr>
          <w:rFonts w:ascii="Palatino Linotype" w:eastAsia="Calibri" w:hAnsi="Palatino Linotype"/>
          <w:b/>
          <w:bCs/>
          <w:color w:val="auto"/>
          <w:sz w:val="22"/>
          <w:szCs w:val="22"/>
        </w:rPr>
      </w:pPr>
      <w:bookmarkStart w:id="16" w:name="_Toc193363655"/>
      <w:r w:rsidRPr="00D526FB">
        <w:rPr>
          <w:rFonts w:ascii="Palatino Linotype" w:eastAsia="Calibri" w:hAnsi="Palatino Linotype"/>
          <w:b/>
          <w:bCs/>
          <w:color w:val="auto"/>
          <w:sz w:val="22"/>
          <w:szCs w:val="22"/>
        </w:rPr>
        <w:lastRenderedPageBreak/>
        <w:t>R E S U E L V E:</w:t>
      </w:r>
      <w:bookmarkEnd w:id="16"/>
    </w:p>
    <w:p w14:paraId="6A202D9E" w14:textId="77777777" w:rsidR="00D54118" w:rsidRPr="00242082" w:rsidRDefault="00D54118" w:rsidP="009E7481">
      <w:pPr>
        <w:spacing w:after="0" w:line="360" w:lineRule="auto"/>
        <w:ind w:right="-28"/>
        <w:jc w:val="center"/>
        <w:rPr>
          <w:rFonts w:eastAsia="Calibri" w:cs="Tahoma"/>
          <w:b/>
          <w:bCs/>
          <w:color w:val="auto"/>
        </w:rPr>
      </w:pPr>
    </w:p>
    <w:p w14:paraId="3F37601B" w14:textId="64496BE1" w:rsidR="00782132" w:rsidRPr="00242082" w:rsidRDefault="00782132" w:rsidP="009E7481">
      <w:pPr>
        <w:spacing w:after="0" w:line="360" w:lineRule="auto"/>
        <w:contextualSpacing/>
        <w:rPr>
          <w:rFonts w:eastAsia="Calibri" w:cs="Tahoma"/>
          <w:bCs/>
        </w:rPr>
      </w:pPr>
      <w:r w:rsidRPr="00242082">
        <w:rPr>
          <w:rFonts w:cs="Tahoma"/>
          <w:b/>
          <w:bCs/>
        </w:rPr>
        <w:t xml:space="preserve">PRIMERO. </w:t>
      </w:r>
      <w:r w:rsidRPr="00242082">
        <w:rPr>
          <w:rFonts w:cs="Tahoma"/>
          <w:bCs/>
        </w:rPr>
        <w:t xml:space="preserve">Se </w:t>
      </w:r>
      <w:r w:rsidR="003F4450">
        <w:rPr>
          <w:rFonts w:cs="Tahoma"/>
          <w:b/>
          <w:bCs/>
        </w:rPr>
        <w:t>MODIF</w:t>
      </w:r>
      <w:r w:rsidR="00914D40">
        <w:rPr>
          <w:rFonts w:cs="Tahoma"/>
          <w:b/>
          <w:bCs/>
        </w:rPr>
        <w:t>I</w:t>
      </w:r>
      <w:r w:rsidR="00246B2F" w:rsidRPr="00242082">
        <w:rPr>
          <w:rFonts w:cs="Tahoma"/>
          <w:b/>
          <w:bCs/>
        </w:rPr>
        <w:t>CA</w:t>
      </w:r>
      <w:r w:rsidRPr="00242082">
        <w:rPr>
          <w:rFonts w:cs="Tahoma"/>
          <w:bCs/>
        </w:rPr>
        <w:t xml:space="preserve"> la respuesta entregada por el </w:t>
      </w:r>
      <w:r w:rsidR="003F4450" w:rsidRPr="003F4450">
        <w:rPr>
          <w:rFonts w:eastAsia="Calibri" w:cs="Tahoma"/>
        </w:rPr>
        <w:t>Ayuntamiento de Nezahualcóyotl</w:t>
      </w:r>
      <w:r w:rsidR="00246B2F" w:rsidRPr="00242082">
        <w:rPr>
          <w:rFonts w:eastAsia="Calibri" w:cs="Tahoma"/>
        </w:rPr>
        <w:t>,</w:t>
      </w:r>
      <w:r w:rsidR="00F060A2" w:rsidRPr="00242082">
        <w:rPr>
          <w:rFonts w:cs="Tahoma"/>
          <w:bCs/>
        </w:rPr>
        <w:t xml:space="preserve"> </w:t>
      </w:r>
      <w:r w:rsidRPr="00242082">
        <w:rPr>
          <w:rFonts w:cs="Tahoma"/>
          <w:bCs/>
        </w:rPr>
        <w:t xml:space="preserve">a la solicitud de </w:t>
      </w:r>
      <w:r w:rsidRPr="00242082">
        <w:rPr>
          <w:rFonts w:eastAsia="Calibri" w:cs="Tahoma"/>
        </w:rPr>
        <w:t xml:space="preserve">información </w:t>
      </w:r>
      <w:r w:rsidR="003F4450" w:rsidRPr="003F4450">
        <w:rPr>
          <w:rFonts w:eastAsia="Calibri" w:cs="Tahoma"/>
        </w:rPr>
        <w:t>00059/NEZA/IP/2025</w:t>
      </w:r>
      <w:r w:rsidR="00246B2F" w:rsidRPr="00242082">
        <w:rPr>
          <w:rFonts w:eastAsia="Calibri" w:cs="Tahoma"/>
        </w:rPr>
        <w:t>,</w:t>
      </w:r>
      <w:r w:rsidR="00E92B4A" w:rsidRPr="00242082">
        <w:t xml:space="preserve"> </w:t>
      </w:r>
      <w:r w:rsidRPr="00242082">
        <w:t>por resultar</w:t>
      </w:r>
      <w:r w:rsidR="00F679C8" w:rsidRPr="00242082">
        <w:t xml:space="preserve"> </w:t>
      </w:r>
      <w:r w:rsidR="00D65868" w:rsidRPr="00D65868">
        <w:rPr>
          <w:b/>
          <w:bCs/>
        </w:rPr>
        <w:t xml:space="preserve">PARCIALMENTE </w:t>
      </w:r>
      <w:r w:rsidRPr="00242082">
        <w:rPr>
          <w:b/>
          <w:bCs/>
        </w:rPr>
        <w:t>FUNDADAS</w:t>
      </w:r>
      <w:r w:rsidRPr="00242082">
        <w:rPr>
          <w:rFonts w:cs="Tahoma"/>
          <w:bCs/>
        </w:rPr>
        <w:t xml:space="preserve"> </w:t>
      </w:r>
      <w:r w:rsidRPr="00242082">
        <w:rPr>
          <w:rFonts w:eastAsia="Calibri" w:cs="Tahoma"/>
          <w:bCs/>
        </w:rPr>
        <w:t>las</w:t>
      </w:r>
      <w:r w:rsidRPr="00242082">
        <w:rPr>
          <w:rFonts w:eastAsia="Calibri" w:cs="Tahoma"/>
        </w:rPr>
        <w:t xml:space="preserve"> razones o motivos de inconformidad hechos valer por </w:t>
      </w:r>
      <w:r w:rsidR="005B1631" w:rsidRPr="00242082">
        <w:rPr>
          <w:rFonts w:eastAsia="Calibri" w:cs="Tahoma"/>
        </w:rPr>
        <w:t>la</w:t>
      </w:r>
      <w:r w:rsidRPr="00242082">
        <w:rPr>
          <w:rFonts w:eastAsia="Calibri" w:cs="Tahoma"/>
        </w:rPr>
        <w:t xml:space="preserve"> Particular, en</w:t>
      </w:r>
      <w:r w:rsidRPr="00242082">
        <w:rPr>
          <w:rFonts w:eastAsia="Calibri" w:cs="Tahoma"/>
          <w:bCs/>
        </w:rPr>
        <w:t xml:space="preserve"> términos de los considerandos </w:t>
      </w:r>
      <w:r w:rsidRPr="00242082">
        <w:rPr>
          <w:rFonts w:eastAsia="Calibri" w:cs="Tahoma"/>
        </w:rPr>
        <w:t>QUINTO y SEXTO de la presente</w:t>
      </w:r>
      <w:r w:rsidRPr="00242082">
        <w:rPr>
          <w:rFonts w:eastAsia="Calibri" w:cs="Tahoma"/>
          <w:bCs/>
        </w:rPr>
        <w:t xml:space="preserve"> Resolución.</w:t>
      </w:r>
    </w:p>
    <w:p w14:paraId="4A6EB131" w14:textId="77777777" w:rsidR="00782132" w:rsidRPr="00242082" w:rsidRDefault="00782132" w:rsidP="009E7481">
      <w:pPr>
        <w:spacing w:after="0" w:line="360" w:lineRule="auto"/>
        <w:contextualSpacing/>
        <w:rPr>
          <w:rFonts w:eastAsia="Calibri" w:cs="Tahoma"/>
          <w:bCs/>
        </w:rPr>
      </w:pPr>
    </w:p>
    <w:p w14:paraId="30A85724" w14:textId="4247A1EC" w:rsidR="00D54118" w:rsidRPr="0056650F" w:rsidRDefault="00782132" w:rsidP="009E7481">
      <w:pPr>
        <w:spacing w:after="0" w:line="360" w:lineRule="auto"/>
        <w:rPr>
          <w:rFonts w:eastAsia="Times New Roman" w:cs="Tahoma"/>
          <w:iCs/>
          <w:color w:val="auto"/>
          <w:lang w:val="es-ES" w:eastAsia="es-ES"/>
        </w:rPr>
      </w:pPr>
      <w:r w:rsidRPr="0056650F">
        <w:rPr>
          <w:rFonts w:cs="Tahoma"/>
          <w:b/>
          <w:bCs/>
        </w:rPr>
        <w:t xml:space="preserve">SEGUNDO. </w:t>
      </w:r>
      <w:r w:rsidRPr="0056650F">
        <w:rPr>
          <w:rFonts w:cs="Tahoma"/>
        </w:rPr>
        <w:t xml:space="preserve">Se </w:t>
      </w:r>
      <w:r w:rsidRPr="0056650F">
        <w:rPr>
          <w:rFonts w:cs="Tahoma"/>
          <w:b/>
        </w:rPr>
        <w:t xml:space="preserve">ORDENA </w:t>
      </w:r>
      <w:r w:rsidRPr="0056650F">
        <w:rPr>
          <w:rFonts w:cs="Tahoma"/>
          <w:bCs/>
        </w:rPr>
        <w:t xml:space="preserve">al </w:t>
      </w:r>
      <w:r w:rsidRPr="0056650F">
        <w:rPr>
          <w:rFonts w:cs="Tahoma"/>
        </w:rPr>
        <w:t xml:space="preserve">Ente Recurrido, </w:t>
      </w:r>
      <w:r w:rsidR="00246B2F" w:rsidRPr="0056650F">
        <w:rPr>
          <w:rFonts w:cs="Tahoma"/>
        </w:rPr>
        <w:t xml:space="preserve">a efecto de que, entregue, </w:t>
      </w:r>
      <w:r w:rsidR="00246B2F" w:rsidRPr="0056650F">
        <w:rPr>
          <w:rFonts w:eastAsia="Calibri" w:cs="Tahoma"/>
          <w:iCs/>
          <w:lang w:eastAsia="es-ES_tradnl"/>
        </w:rPr>
        <w:t>a través del Sistema de Acceso a la Información Mexiquense (SAIMEX</w:t>
      </w:r>
      <w:r w:rsidR="00413F33" w:rsidRPr="0056650F">
        <w:rPr>
          <w:rFonts w:eastAsia="Calibri" w:cs="Tahoma"/>
          <w:iCs/>
          <w:lang w:eastAsia="es-ES_tradnl"/>
        </w:rPr>
        <w:t>)</w:t>
      </w:r>
      <w:r w:rsidR="00D54118" w:rsidRPr="0056650F">
        <w:rPr>
          <w:rFonts w:eastAsia="Calibri" w:cs="Tahoma"/>
          <w:iCs/>
          <w:lang w:eastAsia="es-ES_tradnl"/>
        </w:rPr>
        <w:t xml:space="preserve">, en versión pública, </w:t>
      </w:r>
      <w:r w:rsidR="00D54118" w:rsidRPr="0056650F">
        <w:rPr>
          <w:rFonts w:eastAsia="Times New Roman" w:cs="Tahoma"/>
          <w:iCs/>
          <w:color w:val="auto"/>
          <w:lang w:val="es-ES" w:eastAsia="es-ES"/>
        </w:rPr>
        <w:t>lo siguiente:</w:t>
      </w:r>
    </w:p>
    <w:p w14:paraId="4523D6C5" w14:textId="77777777" w:rsidR="00D54118" w:rsidRPr="0056650F" w:rsidRDefault="00D54118" w:rsidP="009E7481">
      <w:pPr>
        <w:spacing w:after="0" w:line="360" w:lineRule="auto"/>
        <w:rPr>
          <w:rFonts w:eastAsia="Times New Roman" w:cs="Tahoma"/>
          <w:iCs/>
          <w:color w:val="auto"/>
          <w:lang w:val="es-ES" w:eastAsia="es-ES"/>
        </w:rPr>
      </w:pPr>
    </w:p>
    <w:p w14:paraId="23C36F0F" w14:textId="4CC21E8C" w:rsidR="00D54118" w:rsidRPr="0056650F" w:rsidRDefault="00644811" w:rsidP="00082334">
      <w:pPr>
        <w:pStyle w:val="Prrafodelista"/>
        <w:numPr>
          <w:ilvl w:val="0"/>
          <w:numId w:val="50"/>
        </w:numPr>
        <w:spacing w:line="360" w:lineRule="auto"/>
      </w:pPr>
      <w:r w:rsidRPr="0056650F">
        <w:rPr>
          <w:rFonts w:eastAsia="Calibri"/>
          <w:bCs/>
          <w:lang w:val="es-ES"/>
        </w:rPr>
        <w:t xml:space="preserve">Los recibos de nómina </w:t>
      </w:r>
      <w:r w:rsidR="003F4450" w:rsidRPr="0056650F">
        <w:rPr>
          <w:rFonts w:eastAsia="Calibri"/>
          <w:bCs/>
          <w:lang w:val="es-ES"/>
        </w:rPr>
        <w:t xml:space="preserve">entregados en respuesta. </w:t>
      </w:r>
      <w:r w:rsidRPr="0056650F">
        <w:rPr>
          <w:rFonts w:eastAsia="Calibri"/>
          <w:bCs/>
          <w:lang w:val="es-ES"/>
        </w:rPr>
        <w:t xml:space="preserve"> </w:t>
      </w:r>
    </w:p>
    <w:p w14:paraId="4AF3ED45" w14:textId="77777777" w:rsidR="003F4450" w:rsidRPr="00242082" w:rsidRDefault="003F4450" w:rsidP="009E7481">
      <w:pPr>
        <w:pStyle w:val="Prrafodelista"/>
        <w:spacing w:line="360" w:lineRule="auto"/>
      </w:pPr>
    </w:p>
    <w:p w14:paraId="36E5952C" w14:textId="7F140282" w:rsidR="00413F33" w:rsidRPr="00242082" w:rsidRDefault="00413F33" w:rsidP="009E7481">
      <w:pPr>
        <w:spacing w:after="0" w:line="360" w:lineRule="auto"/>
        <w:rPr>
          <w:rFonts w:eastAsia="Times New Roman" w:cs="Tahoma"/>
          <w:bCs/>
          <w:color w:val="auto"/>
          <w:lang w:eastAsia="es-MX"/>
        </w:rPr>
      </w:pPr>
      <w:r w:rsidRPr="00242082">
        <w:rPr>
          <w:rFonts w:eastAsia="Times New Roman" w:cs="Tahoma"/>
          <w:bCs/>
          <w:color w:val="auto"/>
          <w:lang w:eastAsia="es-MX"/>
        </w:rPr>
        <w:t>Además, deberá proporcionar el Acuerdo de Clasificación donde el Comité de Transparencia, confirme la eliminación de los datos o información clasificada</w:t>
      </w:r>
      <w:r w:rsidR="00082334">
        <w:rPr>
          <w:rFonts w:eastAsia="Times New Roman" w:cs="Tahoma"/>
          <w:bCs/>
          <w:color w:val="auto"/>
          <w:lang w:eastAsia="es-MX"/>
        </w:rPr>
        <w:t>, en términos del Considerando QUINTO</w:t>
      </w:r>
      <w:r w:rsidRPr="00242082">
        <w:rPr>
          <w:rFonts w:eastAsia="Times New Roman" w:cs="Tahoma"/>
          <w:bCs/>
          <w:color w:val="auto"/>
          <w:lang w:eastAsia="es-MX"/>
        </w:rPr>
        <w:t>, en la versión pública, de conformidad con los artículos 49, fracciones II y VIII, y 132, fracción II, de la Ley de Transparencia y Acceso a la Información Pública del Estado de México y Municipios.</w:t>
      </w:r>
    </w:p>
    <w:p w14:paraId="4097CBEB" w14:textId="77777777" w:rsidR="00413F33" w:rsidRPr="00242082" w:rsidRDefault="00413F33" w:rsidP="009E7481">
      <w:pPr>
        <w:spacing w:after="0" w:line="360" w:lineRule="auto"/>
        <w:rPr>
          <w:rFonts w:cs="Arial"/>
          <w:b/>
          <w:lang w:val="es-ES_tradnl"/>
        </w:rPr>
      </w:pPr>
    </w:p>
    <w:p w14:paraId="3B54D014" w14:textId="4463E5CB" w:rsidR="00782132" w:rsidRPr="00242082" w:rsidRDefault="00782132" w:rsidP="009E7481">
      <w:pPr>
        <w:spacing w:after="0" w:line="360" w:lineRule="auto"/>
        <w:rPr>
          <w:rFonts w:cs="Tahoma"/>
        </w:rPr>
      </w:pPr>
      <w:r w:rsidRPr="00242082">
        <w:rPr>
          <w:rFonts w:cs="Arial"/>
          <w:b/>
          <w:lang w:val="es-ES_tradnl"/>
        </w:rPr>
        <w:t>TERCERO.</w:t>
      </w:r>
      <w:r w:rsidRPr="00242082">
        <w:rPr>
          <w:rFonts w:cs="Tahoma"/>
          <w:b/>
        </w:rPr>
        <w:t xml:space="preserve"> NOTIFÍQUESE</w:t>
      </w:r>
      <w:r w:rsidR="00D526FB">
        <w:rPr>
          <w:rFonts w:cs="Tahoma"/>
          <w:b/>
        </w:rPr>
        <w:t xml:space="preserve"> POR SAIMEX</w:t>
      </w:r>
      <w:r w:rsidRPr="00242082">
        <w:rPr>
          <w:rFonts w:cs="Tahoma"/>
          <w:b/>
        </w:rPr>
        <w:t xml:space="preserve"> </w:t>
      </w:r>
      <w:r w:rsidRPr="00242082">
        <w:rPr>
          <w:rFonts w:cs="Tahoma"/>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14:paraId="4E5F20B1" w14:textId="77777777" w:rsidR="00904CFA" w:rsidRPr="00242082" w:rsidRDefault="00904CFA" w:rsidP="009E7481">
      <w:pPr>
        <w:spacing w:after="0" w:line="360" w:lineRule="auto"/>
        <w:rPr>
          <w:rFonts w:cs="Tahoma"/>
        </w:rPr>
      </w:pPr>
    </w:p>
    <w:p w14:paraId="322F4541" w14:textId="326505AD" w:rsidR="00413F33" w:rsidRPr="00242082" w:rsidRDefault="00682222" w:rsidP="009E7481">
      <w:pPr>
        <w:spacing w:after="0" w:line="360" w:lineRule="auto"/>
        <w:contextualSpacing/>
        <w:rPr>
          <w:rFonts w:eastAsia="Calibri" w:cs="Tahoma"/>
          <w:iCs/>
        </w:rPr>
      </w:pPr>
      <w:bookmarkStart w:id="17" w:name="_Hlk61509110"/>
      <w:r w:rsidRPr="00242082">
        <w:rPr>
          <w:rFonts w:eastAsia="Calibri" w:cs="Tahoma"/>
          <w:iCs/>
        </w:rPr>
        <w:lastRenderedPageBreak/>
        <w:t xml:space="preserve">De conformidad con el artículo 198 de la Ley </w:t>
      </w:r>
      <w:r w:rsidR="00082334">
        <w:rPr>
          <w:rFonts w:eastAsia="Calibri" w:cs="Tahoma"/>
          <w:iCs/>
        </w:rPr>
        <w:t>de la materia</w:t>
      </w:r>
      <w:r w:rsidRPr="00242082">
        <w:rPr>
          <w:rFonts w:eastAsia="Calibri" w:cs="Tahoma"/>
          <w:iCs/>
        </w:rPr>
        <w:t>, de considerarlo procedente, el Sujeto Obligado de manera fundada y motivada, podrá solicitar una ampliación de plazo para el cumplimiento de la presente Resolución.</w:t>
      </w:r>
      <w:bookmarkEnd w:id="17"/>
    </w:p>
    <w:p w14:paraId="1549B620" w14:textId="77777777" w:rsidR="00413F33" w:rsidRPr="00242082" w:rsidRDefault="00413F33" w:rsidP="009E7481">
      <w:pPr>
        <w:spacing w:after="0" w:line="360" w:lineRule="auto"/>
        <w:contextualSpacing/>
        <w:rPr>
          <w:rFonts w:eastAsia="Calibri" w:cs="Tahoma"/>
          <w:iCs/>
        </w:rPr>
      </w:pPr>
    </w:p>
    <w:p w14:paraId="2C0ACFAC" w14:textId="0077C7D9" w:rsidR="00782132" w:rsidRPr="00242082" w:rsidRDefault="00782132" w:rsidP="009E7481">
      <w:pPr>
        <w:spacing w:after="0" w:line="360" w:lineRule="auto"/>
        <w:contextualSpacing/>
        <w:rPr>
          <w:rFonts w:cs="Tahoma"/>
        </w:rPr>
      </w:pPr>
      <w:r w:rsidRPr="00242082">
        <w:rPr>
          <w:rFonts w:cs="Tahoma"/>
          <w:b/>
        </w:rPr>
        <w:t>CUARTO. NOTIFÍQUESE</w:t>
      </w:r>
      <w:r w:rsidR="00D526FB">
        <w:rPr>
          <w:rFonts w:cs="Tahoma"/>
          <w:b/>
        </w:rPr>
        <w:t xml:space="preserve"> POR SAIMEX</w:t>
      </w:r>
      <w:r w:rsidRPr="00242082">
        <w:rPr>
          <w:rFonts w:cs="Tahoma"/>
        </w:rPr>
        <w:t xml:space="preserve"> a</w:t>
      </w:r>
      <w:r w:rsidR="005B1631" w:rsidRPr="00242082">
        <w:rPr>
          <w:rFonts w:cs="Tahoma"/>
        </w:rPr>
        <w:t xml:space="preserve"> </w:t>
      </w:r>
      <w:r w:rsidRPr="00242082">
        <w:rPr>
          <w:rFonts w:cs="Tahoma"/>
        </w:rPr>
        <w:t>l</w:t>
      </w:r>
      <w:r w:rsidR="005B1631" w:rsidRPr="00242082">
        <w:rPr>
          <w:rFonts w:cs="Tahoma"/>
        </w:rPr>
        <w:t>a</w:t>
      </w:r>
      <w:r w:rsidRPr="00242082">
        <w:rPr>
          <w:rFonts w:cs="Tahoma"/>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2C8D564" w14:textId="77777777" w:rsidR="00782132" w:rsidRPr="00242082" w:rsidRDefault="00782132" w:rsidP="009E7481">
      <w:pPr>
        <w:spacing w:after="0" w:line="360" w:lineRule="auto"/>
        <w:rPr>
          <w:rFonts w:eastAsia="Calibri" w:cs="Tahoma"/>
          <w:bCs/>
          <w:lang w:val="es-ES"/>
        </w:rPr>
      </w:pPr>
    </w:p>
    <w:p w14:paraId="61493576" w14:textId="24F574A8" w:rsidR="00C853D1" w:rsidRDefault="0045726D" w:rsidP="009E7481">
      <w:pPr>
        <w:spacing w:after="0" w:line="360" w:lineRule="auto"/>
        <w:rPr>
          <w:rFonts w:eastAsia="Calibri" w:cs="Tahoma"/>
          <w:bCs/>
        </w:rPr>
      </w:pPr>
      <w:r w:rsidRPr="00242082">
        <w:rPr>
          <w:rFonts w:eastAsia="Calibri" w:cs="Tahoma"/>
          <w:bCs/>
        </w:rPr>
        <w:t xml:space="preserve">ASÍ LO RESUELVE, POR </w:t>
      </w:r>
      <w:r w:rsidRPr="00242082">
        <w:rPr>
          <w:rFonts w:eastAsia="Calibri" w:cs="Tahoma"/>
          <w:b/>
        </w:rPr>
        <w:t>UNANIMIDAD</w:t>
      </w:r>
      <w:r w:rsidRPr="00242082">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3F4450">
        <w:rPr>
          <w:rFonts w:eastAsia="Calibri" w:cs="Tahoma"/>
          <w:bCs/>
        </w:rPr>
        <w:t>DÉCIMA PRIMERA</w:t>
      </w:r>
      <w:r w:rsidRPr="00242082">
        <w:rPr>
          <w:rFonts w:eastAsia="Calibri" w:cs="Tahoma"/>
          <w:bCs/>
        </w:rPr>
        <w:t xml:space="preserve"> SESIÓN ORDINARIA, CELEBRADA EL </w:t>
      </w:r>
      <w:r w:rsidR="00D526FB">
        <w:rPr>
          <w:rFonts w:eastAsia="Calibri" w:cs="Tahoma"/>
          <w:bCs/>
        </w:rPr>
        <w:t>VEINTI</w:t>
      </w:r>
      <w:r w:rsidR="003F4450">
        <w:rPr>
          <w:rFonts w:eastAsia="Calibri" w:cs="Tahoma"/>
          <w:bCs/>
        </w:rPr>
        <w:t>SÉIS</w:t>
      </w:r>
      <w:r w:rsidRPr="00242082">
        <w:rPr>
          <w:rFonts w:eastAsia="Calibri" w:cs="Tahoma"/>
          <w:bCs/>
        </w:rPr>
        <w:t xml:space="preserve"> DE </w:t>
      </w:r>
      <w:r w:rsidR="003F4450">
        <w:rPr>
          <w:rFonts w:eastAsia="Calibri" w:cs="Tahoma"/>
          <w:bCs/>
        </w:rPr>
        <w:t>MARZO</w:t>
      </w:r>
      <w:r w:rsidRPr="00242082">
        <w:rPr>
          <w:rFonts w:eastAsia="Calibri" w:cs="Tahoma"/>
          <w:bCs/>
        </w:rPr>
        <w:t xml:space="preserve"> DE DOS MIL VEINT</w:t>
      </w:r>
      <w:r w:rsidR="009E0CE1" w:rsidRPr="00242082">
        <w:rPr>
          <w:rFonts w:eastAsia="Calibri" w:cs="Tahoma"/>
          <w:bCs/>
        </w:rPr>
        <w:t>I</w:t>
      </w:r>
      <w:r w:rsidR="00D526FB">
        <w:rPr>
          <w:rFonts w:eastAsia="Calibri" w:cs="Tahoma"/>
          <w:bCs/>
        </w:rPr>
        <w:t>CINCO</w:t>
      </w:r>
      <w:r w:rsidRPr="00242082">
        <w:rPr>
          <w:rFonts w:eastAsia="Calibri" w:cs="Tahoma"/>
          <w:bCs/>
        </w:rPr>
        <w:t>, ANTE EL SECRETARIO TÉCNICO DEL PLENO, ALEXIS TAPIA RAMÍREZ.</w:t>
      </w:r>
    </w:p>
    <w:p w14:paraId="3A7BF8F4" w14:textId="2D48560D" w:rsidR="00A6477D" w:rsidRPr="00276F3B" w:rsidRDefault="00C853D1" w:rsidP="00082334">
      <w:pPr>
        <w:spacing w:after="0" w:line="360" w:lineRule="auto"/>
        <w:jc w:val="left"/>
      </w:pPr>
      <w:r w:rsidRPr="00276F3B">
        <w:rPr>
          <w:rFonts w:eastAsia="Calibri" w:cs="Tahoma"/>
          <w:b/>
          <w:bCs/>
        </w:rPr>
        <w:br w:type="page"/>
      </w:r>
    </w:p>
    <w:sectPr w:rsidR="00A6477D" w:rsidRPr="00276F3B" w:rsidSect="002C59A0">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A66C7" w14:textId="77777777" w:rsidR="00EA73F3" w:rsidRDefault="00EA73F3" w:rsidP="00C853D1">
      <w:pPr>
        <w:spacing w:after="0" w:line="240" w:lineRule="auto"/>
      </w:pPr>
      <w:r>
        <w:separator/>
      </w:r>
    </w:p>
  </w:endnote>
  <w:endnote w:type="continuationSeparator" w:id="0">
    <w:p w14:paraId="5789ACA6" w14:textId="77777777" w:rsidR="00EA73F3" w:rsidRDefault="00EA73F3" w:rsidP="00C853D1">
      <w:pPr>
        <w:spacing w:after="0" w:line="240" w:lineRule="auto"/>
      </w:pPr>
      <w:r>
        <w:continuationSeparator/>
      </w:r>
    </w:p>
  </w:endnote>
  <w:endnote w:type="continuationNotice" w:id="1">
    <w:p w14:paraId="46A4A206" w14:textId="77777777" w:rsidR="00EA73F3" w:rsidRDefault="00EA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Sans Devanagari">
    <w:charset w:val="B2"/>
    <w:family w:val="auto"/>
    <w:pitch w:val="variable"/>
    <w:sig w:usb0="0300A007" w:usb1="00000001" w:usb2="00000008" w:usb3="00000000" w:csb0="000100D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065090" w:rsidRDefault="000650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D5235">
              <w:rPr>
                <w:b/>
                <w:bCs/>
                <w:noProof/>
              </w:rPr>
              <w:t>38</w:t>
            </w:r>
            <w:r>
              <w:rPr>
                <w:b/>
                <w:bCs/>
                <w:sz w:val="24"/>
                <w:szCs w:val="24"/>
              </w:rPr>
              <w:fldChar w:fldCharType="end"/>
            </w:r>
          </w:p>
        </w:sdtContent>
      </w:sdt>
    </w:sdtContent>
  </w:sdt>
  <w:p w14:paraId="5F4318B3" w14:textId="77777777" w:rsidR="00065090" w:rsidRDefault="000650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065090" w:rsidRDefault="000650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4E5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4E56">
              <w:rPr>
                <w:b/>
                <w:bCs/>
                <w:noProof/>
              </w:rPr>
              <w:t>38</w:t>
            </w:r>
            <w:r>
              <w:rPr>
                <w:b/>
                <w:bCs/>
                <w:sz w:val="24"/>
                <w:szCs w:val="24"/>
              </w:rPr>
              <w:fldChar w:fldCharType="end"/>
            </w:r>
          </w:p>
        </w:sdtContent>
      </w:sdt>
    </w:sdtContent>
  </w:sdt>
  <w:p w14:paraId="3F35B7C0" w14:textId="77777777" w:rsidR="00065090" w:rsidRDefault="000650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065090" w:rsidRDefault="000650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4E5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4E56">
              <w:rPr>
                <w:b/>
                <w:bCs/>
                <w:noProof/>
              </w:rPr>
              <w:t>38</w:t>
            </w:r>
            <w:r>
              <w:rPr>
                <w:b/>
                <w:bCs/>
                <w:sz w:val="24"/>
                <w:szCs w:val="24"/>
              </w:rPr>
              <w:fldChar w:fldCharType="end"/>
            </w:r>
          </w:p>
        </w:sdtContent>
      </w:sdt>
    </w:sdtContent>
  </w:sdt>
  <w:p w14:paraId="1A7218CE" w14:textId="77777777" w:rsidR="00065090" w:rsidRDefault="000650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D1E4A" w14:textId="77777777" w:rsidR="00EA73F3" w:rsidRDefault="00EA73F3" w:rsidP="00C853D1">
      <w:pPr>
        <w:spacing w:after="0" w:line="240" w:lineRule="auto"/>
      </w:pPr>
      <w:r>
        <w:separator/>
      </w:r>
    </w:p>
  </w:footnote>
  <w:footnote w:type="continuationSeparator" w:id="0">
    <w:p w14:paraId="6484330A" w14:textId="77777777" w:rsidR="00EA73F3" w:rsidRDefault="00EA73F3" w:rsidP="00C853D1">
      <w:pPr>
        <w:spacing w:after="0" w:line="240" w:lineRule="auto"/>
      </w:pPr>
      <w:r>
        <w:continuationSeparator/>
      </w:r>
    </w:p>
  </w:footnote>
  <w:footnote w:type="continuationNotice" w:id="1">
    <w:p w14:paraId="2309D31D" w14:textId="77777777" w:rsidR="00EA73F3" w:rsidRDefault="00EA73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065090" w14:paraId="282B3A75" w14:textId="77777777" w:rsidTr="002C59A0">
      <w:trPr>
        <w:trHeight w:val="141"/>
      </w:trPr>
      <w:tc>
        <w:tcPr>
          <w:tcW w:w="2404" w:type="dxa"/>
        </w:tcPr>
        <w:p w14:paraId="57F547E7"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065090" w:rsidRPr="00A8173F" w:rsidRDefault="00065090" w:rsidP="002C59A0">
          <w:pPr>
            <w:tabs>
              <w:tab w:val="right" w:pos="8838"/>
            </w:tabs>
            <w:ind w:left="-28" w:right="683"/>
            <w:rPr>
              <w:rFonts w:eastAsia="Calibri" w:cs="Tahoma"/>
            </w:rPr>
          </w:pPr>
          <w:r w:rsidRPr="00A8173F">
            <w:rPr>
              <w:rFonts w:eastAsia="Calibri" w:cs="Tahoma"/>
              <w:lang w:val="es-MX"/>
            </w:rPr>
            <w:t>04196/INFOEM/IP/RR/2020</w:t>
          </w:r>
        </w:p>
      </w:tc>
    </w:tr>
    <w:tr w:rsidR="00065090" w14:paraId="46AFE2B4" w14:textId="77777777" w:rsidTr="002C59A0">
      <w:trPr>
        <w:trHeight w:val="276"/>
      </w:trPr>
      <w:tc>
        <w:tcPr>
          <w:tcW w:w="2404" w:type="dxa"/>
        </w:tcPr>
        <w:p w14:paraId="1D6E5B2B"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065090" w:rsidRPr="00A8173F" w:rsidRDefault="00065090" w:rsidP="002C59A0">
          <w:pPr>
            <w:tabs>
              <w:tab w:val="right" w:pos="8838"/>
            </w:tabs>
            <w:ind w:right="116"/>
            <w:rPr>
              <w:rFonts w:eastAsia="Calibri" w:cs="Tahoma"/>
              <w:lang w:val="es-MX"/>
            </w:rPr>
          </w:pPr>
          <w:r w:rsidRPr="00A8173F">
            <w:rPr>
              <w:rFonts w:eastAsia="Calibri" w:cs="Tahoma"/>
              <w:lang w:val="es-MX"/>
            </w:rPr>
            <w:t>Ayuntamiento de Chapultepec</w:t>
          </w:r>
        </w:p>
      </w:tc>
    </w:tr>
    <w:tr w:rsidR="00065090" w14:paraId="1FA679E9" w14:textId="77777777" w:rsidTr="002C59A0">
      <w:trPr>
        <w:trHeight w:val="276"/>
      </w:trPr>
      <w:tc>
        <w:tcPr>
          <w:tcW w:w="2404" w:type="dxa"/>
        </w:tcPr>
        <w:p w14:paraId="6498FD30"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065090" w:rsidRPr="00A8173F" w:rsidRDefault="00065090"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065090" w:rsidRDefault="00124E56">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7777777" w:rsidR="00065090" w:rsidRPr="004A705D" w:rsidRDefault="00065090">
    <w:pPr>
      <w:rPr>
        <w:sz w:val="18"/>
        <w:szCs w:val="18"/>
      </w:rPr>
    </w:pPr>
  </w:p>
  <w:tbl>
    <w:tblPr>
      <w:tblStyle w:val="Tablaconcuadrcula"/>
      <w:tblW w:w="652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17"/>
    </w:tblGrid>
    <w:tr w:rsidR="00065090" w14:paraId="1E2FF18B" w14:textId="77777777" w:rsidTr="009E7481">
      <w:trPr>
        <w:trHeight w:val="141"/>
      </w:trPr>
      <w:tc>
        <w:tcPr>
          <w:tcW w:w="2404" w:type="dxa"/>
        </w:tcPr>
        <w:p w14:paraId="6B6D03E8" w14:textId="77777777" w:rsidR="00065090" w:rsidRPr="001B5FB6" w:rsidRDefault="00065090"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17" w:type="dxa"/>
        </w:tcPr>
        <w:p w14:paraId="503BB8DE" w14:textId="7E72DA2F" w:rsidR="00065090" w:rsidRPr="00C853D1" w:rsidRDefault="00065090" w:rsidP="00682222">
          <w:pPr>
            <w:tabs>
              <w:tab w:val="right" w:pos="8838"/>
            </w:tabs>
            <w:ind w:left="-28" w:right="454"/>
            <w:rPr>
              <w:rFonts w:eastAsia="Calibri" w:cs="Tahoma"/>
            </w:rPr>
          </w:pPr>
          <w:r>
            <w:rPr>
              <w:rFonts w:eastAsia="Calibri" w:cs="Tahoma"/>
              <w:lang w:val="es-MX"/>
            </w:rPr>
            <w:t>01706/INFOEM/IP/RR/2025</w:t>
          </w:r>
        </w:p>
      </w:tc>
    </w:tr>
    <w:tr w:rsidR="00065090" w14:paraId="110906AA" w14:textId="77777777" w:rsidTr="009E7481">
      <w:trPr>
        <w:trHeight w:val="276"/>
      </w:trPr>
      <w:tc>
        <w:tcPr>
          <w:tcW w:w="2404" w:type="dxa"/>
        </w:tcPr>
        <w:p w14:paraId="3052339E"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Sujeto Obligado:</w:t>
          </w:r>
        </w:p>
      </w:tc>
      <w:tc>
        <w:tcPr>
          <w:tcW w:w="4117" w:type="dxa"/>
        </w:tcPr>
        <w:p w14:paraId="5C93113C" w14:textId="4C875C69" w:rsidR="00065090" w:rsidRPr="00A8173F" w:rsidRDefault="00065090" w:rsidP="00BC52FA">
          <w:pPr>
            <w:tabs>
              <w:tab w:val="right" w:pos="8838"/>
            </w:tabs>
            <w:ind w:right="454"/>
            <w:rPr>
              <w:rFonts w:eastAsia="Calibri" w:cs="Tahoma"/>
              <w:lang w:val="es-MX"/>
            </w:rPr>
          </w:pPr>
          <w:r w:rsidRPr="00702180">
            <w:rPr>
              <w:rFonts w:eastAsia="Calibri" w:cs="Tahoma"/>
              <w:lang w:val="es-MX"/>
            </w:rPr>
            <w:t xml:space="preserve">Ayuntamiento de </w:t>
          </w:r>
          <w:r>
            <w:rPr>
              <w:rFonts w:eastAsia="Calibri" w:cs="Tahoma"/>
              <w:lang w:val="es-MX"/>
            </w:rPr>
            <w:t>Nezahualcóyotl</w:t>
          </w:r>
        </w:p>
      </w:tc>
    </w:tr>
    <w:tr w:rsidR="00065090" w14:paraId="065F2043" w14:textId="77777777" w:rsidTr="009E7481">
      <w:trPr>
        <w:trHeight w:val="276"/>
      </w:trPr>
      <w:tc>
        <w:tcPr>
          <w:tcW w:w="2404" w:type="dxa"/>
        </w:tcPr>
        <w:p w14:paraId="22514F66"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Comisionado Ponente:</w:t>
          </w:r>
        </w:p>
      </w:tc>
      <w:tc>
        <w:tcPr>
          <w:tcW w:w="4117" w:type="dxa"/>
        </w:tcPr>
        <w:p w14:paraId="245FB2E7" w14:textId="77777777" w:rsidR="00065090" w:rsidRPr="00A8173F" w:rsidRDefault="00065090" w:rsidP="00682222">
          <w:pPr>
            <w:tabs>
              <w:tab w:val="right" w:pos="8838"/>
            </w:tabs>
            <w:ind w:right="454"/>
            <w:rPr>
              <w:rFonts w:eastAsia="Calibri" w:cs="Tahoma"/>
              <w:lang w:val="es-MX"/>
            </w:rPr>
          </w:pPr>
          <w:r w:rsidRPr="00A8173F">
            <w:rPr>
              <w:rFonts w:eastAsia="Calibri" w:cs="Tahoma"/>
              <w:lang w:val="es-MX"/>
            </w:rPr>
            <w:t>Luis Gustavo Parra Noriega</w:t>
          </w:r>
        </w:p>
      </w:tc>
    </w:tr>
  </w:tbl>
  <w:p w14:paraId="0A6563BD" w14:textId="77777777" w:rsidR="00065090" w:rsidRDefault="00124E56">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8239;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065090" w:rsidRPr="005C106F" w14:paraId="5D26797B" w14:textId="77777777" w:rsidTr="002C59A0">
      <w:trPr>
        <w:trHeight w:val="1546"/>
      </w:trPr>
      <w:tc>
        <w:tcPr>
          <w:tcW w:w="2127" w:type="dxa"/>
          <w:shd w:val="clear" w:color="auto" w:fill="auto"/>
        </w:tcPr>
        <w:p w14:paraId="76E7DE43" w14:textId="77777777" w:rsidR="00065090" w:rsidRPr="005C106F" w:rsidRDefault="00065090"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623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833"/>
          </w:tblGrid>
          <w:tr w:rsidR="00065090" w14:paraId="5CB74832" w14:textId="77777777" w:rsidTr="00702180">
            <w:trPr>
              <w:trHeight w:val="141"/>
            </w:trPr>
            <w:tc>
              <w:tcPr>
                <w:tcW w:w="2404" w:type="dxa"/>
                <w:vAlign w:val="bottom"/>
              </w:tcPr>
              <w:p w14:paraId="38469831"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Recurso de Revisión:</w:t>
                </w:r>
              </w:p>
            </w:tc>
            <w:tc>
              <w:tcPr>
                <w:tcW w:w="3833" w:type="dxa"/>
              </w:tcPr>
              <w:p w14:paraId="0749605A" w14:textId="77777777" w:rsidR="00065090" w:rsidRDefault="00065090" w:rsidP="002C59A0">
                <w:pPr>
                  <w:tabs>
                    <w:tab w:val="right" w:pos="8838"/>
                  </w:tabs>
                  <w:ind w:left="-28" w:right="-107"/>
                  <w:rPr>
                    <w:rFonts w:eastAsia="Calibri" w:cs="Tahoma"/>
                    <w:lang w:val="es-MX"/>
                  </w:rPr>
                </w:pPr>
              </w:p>
              <w:p w14:paraId="25021A4A" w14:textId="1CA27C19" w:rsidR="00065090" w:rsidRPr="00C853D1" w:rsidRDefault="00065090" w:rsidP="00BC52FA">
                <w:pPr>
                  <w:tabs>
                    <w:tab w:val="right" w:pos="8838"/>
                  </w:tabs>
                  <w:ind w:left="-28" w:right="-107"/>
                  <w:rPr>
                    <w:rFonts w:eastAsia="Calibri" w:cs="Tahoma"/>
                  </w:rPr>
                </w:pPr>
                <w:r>
                  <w:rPr>
                    <w:rFonts w:eastAsia="Calibri" w:cs="Tahoma"/>
                    <w:lang w:val="es-MX"/>
                  </w:rPr>
                  <w:t>01706</w:t>
                </w:r>
                <w:r w:rsidRPr="00702180">
                  <w:rPr>
                    <w:rFonts w:eastAsia="Calibri" w:cs="Tahoma"/>
                    <w:lang w:val="es-MX"/>
                  </w:rPr>
                  <w:t>/INFOEM/IP/RR/</w:t>
                </w:r>
                <w:r>
                  <w:rPr>
                    <w:rFonts w:eastAsia="Calibri" w:cs="Tahoma"/>
                    <w:lang w:val="es-MX"/>
                  </w:rPr>
                  <w:t>2025</w:t>
                </w:r>
              </w:p>
            </w:tc>
          </w:tr>
          <w:tr w:rsidR="00065090" w14:paraId="65D6C982" w14:textId="77777777" w:rsidTr="00702180">
            <w:trPr>
              <w:trHeight w:val="141"/>
            </w:trPr>
            <w:tc>
              <w:tcPr>
                <w:tcW w:w="2404" w:type="dxa"/>
              </w:tcPr>
              <w:p w14:paraId="7E5992A8"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Recurrente:</w:t>
                </w:r>
              </w:p>
            </w:tc>
            <w:tc>
              <w:tcPr>
                <w:tcW w:w="3833" w:type="dxa"/>
              </w:tcPr>
              <w:p w14:paraId="4D5C37D5" w14:textId="57E7024B" w:rsidR="00065090" w:rsidRPr="003405AF" w:rsidRDefault="00124E56" w:rsidP="00702180">
                <w:pPr>
                  <w:tabs>
                    <w:tab w:val="left" w:pos="3272"/>
                    <w:tab w:val="right" w:pos="8838"/>
                  </w:tabs>
                  <w:ind w:right="-107"/>
                  <w:rPr>
                    <w:rFonts w:eastAsia="Calibri" w:cs="Tahoma"/>
                    <w:lang w:val="es-MX"/>
                  </w:rPr>
                </w:pPr>
                <w:r w:rsidRPr="00124E56">
                  <w:rPr>
                    <w:rFonts w:eastAsia="Calibri" w:cs="Tahoma"/>
                    <w:highlight w:val="black"/>
                    <w:lang w:val="es-MX"/>
                  </w:rPr>
                  <w:t>XXXXXXXXXXXXXXXX</w:t>
                </w:r>
              </w:p>
            </w:tc>
          </w:tr>
          <w:tr w:rsidR="00065090" w14:paraId="40A995EA" w14:textId="77777777" w:rsidTr="00702180">
            <w:trPr>
              <w:trHeight w:val="276"/>
            </w:trPr>
            <w:tc>
              <w:tcPr>
                <w:tcW w:w="2404" w:type="dxa"/>
              </w:tcPr>
              <w:p w14:paraId="7BFD65FA"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Sujeto Obligado:</w:t>
                </w:r>
              </w:p>
            </w:tc>
            <w:tc>
              <w:tcPr>
                <w:tcW w:w="3833" w:type="dxa"/>
              </w:tcPr>
              <w:p w14:paraId="433E1B49" w14:textId="2C3E52DC" w:rsidR="00065090" w:rsidRPr="00C853D1" w:rsidRDefault="00065090" w:rsidP="00BC52FA">
                <w:pPr>
                  <w:tabs>
                    <w:tab w:val="right" w:pos="8838"/>
                  </w:tabs>
                  <w:ind w:right="-107"/>
                  <w:rPr>
                    <w:rFonts w:eastAsia="Calibri" w:cs="Tahoma"/>
                    <w:lang w:val="es-MX"/>
                  </w:rPr>
                </w:pPr>
                <w:r w:rsidRPr="00702180">
                  <w:rPr>
                    <w:rFonts w:eastAsia="Calibri" w:cs="Tahoma"/>
                    <w:lang w:val="es-MX"/>
                  </w:rPr>
                  <w:t xml:space="preserve">Ayuntamiento de </w:t>
                </w:r>
                <w:r>
                  <w:rPr>
                    <w:rFonts w:eastAsia="Calibri" w:cs="Tahoma"/>
                    <w:lang w:val="es-MX"/>
                  </w:rPr>
                  <w:t>Nezahualcóyotl</w:t>
                </w:r>
              </w:p>
            </w:tc>
          </w:tr>
          <w:tr w:rsidR="00065090" w14:paraId="386AB112" w14:textId="77777777" w:rsidTr="00702180">
            <w:trPr>
              <w:trHeight w:val="276"/>
            </w:trPr>
            <w:tc>
              <w:tcPr>
                <w:tcW w:w="2404" w:type="dxa"/>
              </w:tcPr>
              <w:p w14:paraId="44E8F60B" w14:textId="77777777" w:rsidR="00065090" w:rsidRPr="001B5FB6" w:rsidRDefault="00065090" w:rsidP="002C59A0">
                <w:pPr>
                  <w:tabs>
                    <w:tab w:val="right" w:pos="8838"/>
                  </w:tabs>
                  <w:ind w:right="-105"/>
                  <w:rPr>
                    <w:rFonts w:eastAsia="Calibri" w:cs="Tahoma"/>
                    <w:b/>
                    <w:lang w:val="es-MX"/>
                  </w:rPr>
                </w:pPr>
                <w:r w:rsidRPr="001B5FB6">
                  <w:rPr>
                    <w:rFonts w:eastAsia="Calibri" w:cs="Tahoma"/>
                    <w:b/>
                    <w:lang w:val="es-MX"/>
                  </w:rPr>
                  <w:t>Comisionado Ponente:</w:t>
                </w:r>
              </w:p>
            </w:tc>
            <w:tc>
              <w:tcPr>
                <w:tcW w:w="3833" w:type="dxa"/>
              </w:tcPr>
              <w:p w14:paraId="3833DB23" w14:textId="77777777" w:rsidR="00065090" w:rsidRPr="00A8173F" w:rsidRDefault="00065090"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065090" w:rsidRPr="005C106F" w:rsidRDefault="00065090" w:rsidP="002C59A0">
          <w:pPr>
            <w:tabs>
              <w:tab w:val="right" w:pos="8838"/>
            </w:tabs>
            <w:ind w:left="-28"/>
            <w:rPr>
              <w:rFonts w:ascii="Arial" w:eastAsia="Calibri" w:hAnsi="Arial" w:cs="Arial"/>
              <w:b/>
            </w:rPr>
          </w:pPr>
        </w:p>
      </w:tc>
    </w:tr>
  </w:tbl>
  <w:p w14:paraId="280F3B20" w14:textId="77777777" w:rsidR="00065090" w:rsidRDefault="00124E56">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391D64"/>
    <w:multiLevelType w:val="hybridMultilevel"/>
    <w:tmpl w:val="968A9B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23D3229"/>
    <w:multiLevelType w:val="hybridMultilevel"/>
    <w:tmpl w:val="302083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4E03DB"/>
    <w:multiLevelType w:val="hybridMultilevel"/>
    <w:tmpl w:val="3F52AF7C"/>
    <w:lvl w:ilvl="0" w:tplc="6B669F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486D91"/>
    <w:multiLevelType w:val="hybridMultilevel"/>
    <w:tmpl w:val="4A1C6E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617D8A"/>
    <w:multiLevelType w:val="hybridMultilevel"/>
    <w:tmpl w:val="C51C6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3768C4"/>
    <w:multiLevelType w:val="hybridMultilevel"/>
    <w:tmpl w:val="E2C8B2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D73F1A"/>
    <w:multiLevelType w:val="hybridMultilevel"/>
    <w:tmpl w:val="34DC6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AD2858"/>
    <w:multiLevelType w:val="hybridMultilevel"/>
    <w:tmpl w:val="C4464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A60A20"/>
    <w:multiLevelType w:val="hybridMultilevel"/>
    <w:tmpl w:val="317CE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6574C"/>
    <w:multiLevelType w:val="hybridMultilevel"/>
    <w:tmpl w:val="76121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6A3F05"/>
    <w:multiLevelType w:val="hybridMultilevel"/>
    <w:tmpl w:val="753864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5427C"/>
    <w:multiLevelType w:val="hybridMultilevel"/>
    <w:tmpl w:val="AF143040"/>
    <w:lvl w:ilvl="0" w:tplc="1F042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751539"/>
    <w:multiLevelType w:val="hybridMultilevel"/>
    <w:tmpl w:val="A462BA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775D22"/>
    <w:multiLevelType w:val="hybridMultilevel"/>
    <w:tmpl w:val="58E81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E4048C"/>
    <w:multiLevelType w:val="hybridMultilevel"/>
    <w:tmpl w:val="5206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754949"/>
    <w:multiLevelType w:val="hybridMultilevel"/>
    <w:tmpl w:val="89146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3"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Times New Roman"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Times New Roman"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Times New Roman" w:hint="default"/>
      </w:rPr>
    </w:lvl>
    <w:lvl w:ilvl="8" w:tplc="080A0005">
      <w:start w:val="1"/>
      <w:numFmt w:val="bullet"/>
      <w:lvlText w:val=""/>
      <w:lvlJc w:val="left"/>
      <w:pPr>
        <w:ind w:left="6540" w:hanging="360"/>
      </w:pPr>
      <w:rPr>
        <w:rFonts w:ascii="Wingdings" w:hAnsi="Wingdings" w:hint="default"/>
      </w:rPr>
    </w:lvl>
  </w:abstractNum>
  <w:abstractNum w:abstractNumId="24" w15:restartNumberingAfterBreak="0">
    <w:nsid w:val="56152AEC"/>
    <w:multiLevelType w:val="hybridMultilevel"/>
    <w:tmpl w:val="2548854A"/>
    <w:lvl w:ilvl="0" w:tplc="60622DB6">
      <w:start w:val="5"/>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385338"/>
    <w:multiLevelType w:val="hybridMultilevel"/>
    <w:tmpl w:val="AFF6EF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3B29F9"/>
    <w:multiLevelType w:val="hybridMultilevel"/>
    <w:tmpl w:val="F4BA40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6469D"/>
    <w:multiLevelType w:val="hybridMultilevel"/>
    <w:tmpl w:val="723A8CC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0D61E9"/>
    <w:multiLevelType w:val="hybridMultilevel"/>
    <w:tmpl w:val="317CE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2B6C72"/>
    <w:multiLevelType w:val="hybridMultilevel"/>
    <w:tmpl w:val="A1781BDC"/>
    <w:lvl w:ilvl="0" w:tplc="840C39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FB674D"/>
    <w:multiLevelType w:val="hybridMultilevel"/>
    <w:tmpl w:val="67EC4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9356D02"/>
    <w:multiLevelType w:val="hybridMultilevel"/>
    <w:tmpl w:val="44A03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6D3423"/>
    <w:multiLevelType w:val="hybridMultilevel"/>
    <w:tmpl w:val="C3565E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A05B6"/>
    <w:multiLevelType w:val="hybridMultilevel"/>
    <w:tmpl w:val="317CE1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0B36E9"/>
    <w:multiLevelType w:val="hybridMultilevel"/>
    <w:tmpl w:val="19EE13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6F264F75"/>
    <w:multiLevelType w:val="hybridMultilevel"/>
    <w:tmpl w:val="F4C23B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102F9"/>
    <w:multiLevelType w:val="hybridMultilevel"/>
    <w:tmpl w:val="76D684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9E565E"/>
    <w:multiLevelType w:val="hybridMultilevel"/>
    <w:tmpl w:val="1BFA9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DF18D3"/>
    <w:multiLevelType w:val="hybridMultilevel"/>
    <w:tmpl w:val="13AE5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8E4A29"/>
    <w:multiLevelType w:val="hybridMultilevel"/>
    <w:tmpl w:val="85A809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0820C3"/>
    <w:multiLevelType w:val="hybridMultilevel"/>
    <w:tmpl w:val="1D1C40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E63CF"/>
    <w:multiLevelType w:val="hybridMultilevel"/>
    <w:tmpl w:val="868E9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C74020"/>
    <w:multiLevelType w:val="hybridMultilevel"/>
    <w:tmpl w:val="10C0ED08"/>
    <w:lvl w:ilvl="0" w:tplc="1DFA64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34"/>
  </w:num>
  <w:num w:numId="5">
    <w:abstractNumId w:val="28"/>
  </w:num>
  <w:num w:numId="6">
    <w:abstractNumId w:val="22"/>
  </w:num>
  <w:num w:numId="7">
    <w:abstractNumId w:val="48"/>
  </w:num>
  <w:num w:numId="8">
    <w:abstractNumId w:val="19"/>
  </w:num>
  <w:num w:numId="9">
    <w:abstractNumId w:val="14"/>
  </w:num>
  <w:num w:numId="10">
    <w:abstractNumId w:val="36"/>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30"/>
  </w:num>
  <w:num w:numId="15">
    <w:abstractNumId w:val="15"/>
  </w:num>
  <w:num w:numId="16">
    <w:abstractNumId w:val="16"/>
  </w:num>
  <w:num w:numId="17">
    <w:abstractNumId w:val="8"/>
  </w:num>
  <w:num w:numId="18">
    <w:abstractNumId w:val="45"/>
  </w:num>
  <w:num w:numId="19">
    <w:abstractNumId w:val="18"/>
  </w:num>
  <w:num w:numId="20">
    <w:abstractNumId w:val="9"/>
  </w:num>
  <w:num w:numId="21">
    <w:abstractNumId w:val="5"/>
  </w:num>
  <w:num w:numId="22">
    <w:abstractNumId w:val="44"/>
  </w:num>
  <w:num w:numId="23">
    <w:abstractNumId w:val="42"/>
  </w:num>
  <w:num w:numId="24">
    <w:abstractNumId w:val="27"/>
  </w:num>
  <w:num w:numId="25">
    <w:abstractNumId w:val="39"/>
  </w:num>
  <w:num w:numId="26">
    <w:abstractNumId w:val="47"/>
  </w:num>
  <w:num w:numId="27">
    <w:abstractNumId w:val="7"/>
  </w:num>
  <w:num w:numId="28">
    <w:abstractNumId w:val="46"/>
  </w:num>
  <w:num w:numId="29">
    <w:abstractNumId w:val="2"/>
  </w:num>
  <w:num w:numId="30">
    <w:abstractNumId w:val="25"/>
  </w:num>
  <w:num w:numId="31">
    <w:abstractNumId w:val="49"/>
  </w:num>
  <w:num w:numId="32">
    <w:abstractNumId w:val="37"/>
  </w:num>
  <w:num w:numId="33">
    <w:abstractNumId w:val="35"/>
  </w:num>
  <w:num w:numId="34">
    <w:abstractNumId w:val="29"/>
  </w:num>
  <w:num w:numId="35">
    <w:abstractNumId w:val="40"/>
  </w:num>
  <w:num w:numId="36">
    <w:abstractNumId w:val="3"/>
  </w:num>
  <w:num w:numId="37">
    <w:abstractNumId w:val="33"/>
  </w:num>
  <w:num w:numId="38">
    <w:abstractNumId w:val="1"/>
  </w:num>
  <w:num w:numId="39">
    <w:abstractNumId w:val="31"/>
  </w:num>
  <w:num w:numId="40">
    <w:abstractNumId w:val="6"/>
  </w:num>
  <w:num w:numId="41">
    <w:abstractNumId w:val="17"/>
  </w:num>
  <w:num w:numId="42">
    <w:abstractNumId w:val="32"/>
  </w:num>
  <w:num w:numId="43">
    <w:abstractNumId w:val="24"/>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2"/>
  </w:num>
  <w:num w:numId="47">
    <w:abstractNumId w:val="26"/>
  </w:num>
  <w:num w:numId="48">
    <w:abstractNumId w:val="4"/>
  </w:num>
  <w:num w:numId="49">
    <w:abstractNumId w:val="23"/>
  </w:num>
  <w:num w:numId="50">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F87"/>
    <w:rsid w:val="00002CDE"/>
    <w:rsid w:val="00002E53"/>
    <w:rsid w:val="000039BC"/>
    <w:rsid w:val="000051F1"/>
    <w:rsid w:val="000059A8"/>
    <w:rsid w:val="00005E7C"/>
    <w:rsid w:val="00007008"/>
    <w:rsid w:val="00007AD0"/>
    <w:rsid w:val="00007EB8"/>
    <w:rsid w:val="0001499A"/>
    <w:rsid w:val="00017A8F"/>
    <w:rsid w:val="00017D8C"/>
    <w:rsid w:val="000223B0"/>
    <w:rsid w:val="00025461"/>
    <w:rsid w:val="00027F27"/>
    <w:rsid w:val="00027FA3"/>
    <w:rsid w:val="00030561"/>
    <w:rsid w:val="0003131B"/>
    <w:rsid w:val="00032D0A"/>
    <w:rsid w:val="000403C2"/>
    <w:rsid w:val="0004662C"/>
    <w:rsid w:val="000477C6"/>
    <w:rsid w:val="00050169"/>
    <w:rsid w:val="000519B8"/>
    <w:rsid w:val="00052A57"/>
    <w:rsid w:val="00053A6B"/>
    <w:rsid w:val="00054A18"/>
    <w:rsid w:val="000567BD"/>
    <w:rsid w:val="000614FE"/>
    <w:rsid w:val="00061A69"/>
    <w:rsid w:val="00061FDD"/>
    <w:rsid w:val="000624D0"/>
    <w:rsid w:val="00062AAC"/>
    <w:rsid w:val="00062C8B"/>
    <w:rsid w:val="00065090"/>
    <w:rsid w:val="0006549E"/>
    <w:rsid w:val="00065B42"/>
    <w:rsid w:val="000705A9"/>
    <w:rsid w:val="00081145"/>
    <w:rsid w:val="00082334"/>
    <w:rsid w:val="00084A29"/>
    <w:rsid w:val="000850D9"/>
    <w:rsid w:val="00085525"/>
    <w:rsid w:val="0009103C"/>
    <w:rsid w:val="00093914"/>
    <w:rsid w:val="000939CD"/>
    <w:rsid w:val="00096694"/>
    <w:rsid w:val="000A18E3"/>
    <w:rsid w:val="000A2588"/>
    <w:rsid w:val="000A259F"/>
    <w:rsid w:val="000A2A5D"/>
    <w:rsid w:val="000A352E"/>
    <w:rsid w:val="000A443E"/>
    <w:rsid w:val="000A61A2"/>
    <w:rsid w:val="000A62FA"/>
    <w:rsid w:val="000A6926"/>
    <w:rsid w:val="000A6BB0"/>
    <w:rsid w:val="000A7187"/>
    <w:rsid w:val="000A785D"/>
    <w:rsid w:val="000B0EAF"/>
    <w:rsid w:val="000B350E"/>
    <w:rsid w:val="000B7029"/>
    <w:rsid w:val="000B7F11"/>
    <w:rsid w:val="000C0123"/>
    <w:rsid w:val="000C715C"/>
    <w:rsid w:val="000D1A72"/>
    <w:rsid w:val="000D2522"/>
    <w:rsid w:val="000D45D9"/>
    <w:rsid w:val="000D59F5"/>
    <w:rsid w:val="000D69EB"/>
    <w:rsid w:val="000D6E68"/>
    <w:rsid w:val="000D73F7"/>
    <w:rsid w:val="000E25B2"/>
    <w:rsid w:val="000E28E6"/>
    <w:rsid w:val="000E4E10"/>
    <w:rsid w:val="000E7F83"/>
    <w:rsid w:val="000F05A6"/>
    <w:rsid w:val="000F0D92"/>
    <w:rsid w:val="000F2A9A"/>
    <w:rsid w:val="000F2F61"/>
    <w:rsid w:val="000F3403"/>
    <w:rsid w:val="000F45A1"/>
    <w:rsid w:val="001004CE"/>
    <w:rsid w:val="00100EB3"/>
    <w:rsid w:val="0010232F"/>
    <w:rsid w:val="0010413E"/>
    <w:rsid w:val="001059E3"/>
    <w:rsid w:val="00105EF9"/>
    <w:rsid w:val="00107995"/>
    <w:rsid w:val="0011000C"/>
    <w:rsid w:val="001105F1"/>
    <w:rsid w:val="00114329"/>
    <w:rsid w:val="00115309"/>
    <w:rsid w:val="00116E36"/>
    <w:rsid w:val="001202DE"/>
    <w:rsid w:val="00120881"/>
    <w:rsid w:val="00124E56"/>
    <w:rsid w:val="0012662A"/>
    <w:rsid w:val="00127836"/>
    <w:rsid w:val="00127FD5"/>
    <w:rsid w:val="001302E7"/>
    <w:rsid w:val="00130842"/>
    <w:rsid w:val="00133D89"/>
    <w:rsid w:val="001344F9"/>
    <w:rsid w:val="00134C39"/>
    <w:rsid w:val="00142455"/>
    <w:rsid w:val="00144332"/>
    <w:rsid w:val="00146731"/>
    <w:rsid w:val="00157731"/>
    <w:rsid w:val="001601CC"/>
    <w:rsid w:val="00161E74"/>
    <w:rsid w:val="00164599"/>
    <w:rsid w:val="00165E88"/>
    <w:rsid w:val="001672DE"/>
    <w:rsid w:val="001674D7"/>
    <w:rsid w:val="001675D9"/>
    <w:rsid w:val="00171F4B"/>
    <w:rsid w:val="0017427D"/>
    <w:rsid w:val="00174F57"/>
    <w:rsid w:val="00175405"/>
    <w:rsid w:val="00175572"/>
    <w:rsid w:val="001775A4"/>
    <w:rsid w:val="00180003"/>
    <w:rsid w:val="00184349"/>
    <w:rsid w:val="00184D7C"/>
    <w:rsid w:val="001900B4"/>
    <w:rsid w:val="00190EBA"/>
    <w:rsid w:val="001935D3"/>
    <w:rsid w:val="00194DD1"/>
    <w:rsid w:val="0019678D"/>
    <w:rsid w:val="001972F5"/>
    <w:rsid w:val="001A4813"/>
    <w:rsid w:val="001A641F"/>
    <w:rsid w:val="001B0166"/>
    <w:rsid w:val="001B3B40"/>
    <w:rsid w:val="001B77BD"/>
    <w:rsid w:val="001B7FC4"/>
    <w:rsid w:val="001C1007"/>
    <w:rsid w:val="001C1FDF"/>
    <w:rsid w:val="001C207F"/>
    <w:rsid w:val="001C241D"/>
    <w:rsid w:val="001C3C7E"/>
    <w:rsid w:val="001C3D02"/>
    <w:rsid w:val="001C551A"/>
    <w:rsid w:val="001C614D"/>
    <w:rsid w:val="001C6764"/>
    <w:rsid w:val="001D02DD"/>
    <w:rsid w:val="001D37BB"/>
    <w:rsid w:val="001D382D"/>
    <w:rsid w:val="001E1814"/>
    <w:rsid w:val="001E386E"/>
    <w:rsid w:val="001E60E5"/>
    <w:rsid w:val="001E6D1F"/>
    <w:rsid w:val="001E71C7"/>
    <w:rsid w:val="001E7300"/>
    <w:rsid w:val="001F12A8"/>
    <w:rsid w:val="001F162F"/>
    <w:rsid w:val="001F2D90"/>
    <w:rsid w:val="001F50EB"/>
    <w:rsid w:val="001F7C51"/>
    <w:rsid w:val="00202760"/>
    <w:rsid w:val="0020389C"/>
    <w:rsid w:val="00204AF1"/>
    <w:rsid w:val="0020771C"/>
    <w:rsid w:val="002111A8"/>
    <w:rsid w:val="00213776"/>
    <w:rsid w:val="0021520E"/>
    <w:rsid w:val="00216FF4"/>
    <w:rsid w:val="002175B4"/>
    <w:rsid w:val="00220583"/>
    <w:rsid w:val="0022261D"/>
    <w:rsid w:val="002266FD"/>
    <w:rsid w:val="0023232F"/>
    <w:rsid w:val="00235BA0"/>
    <w:rsid w:val="002402DE"/>
    <w:rsid w:val="002419E9"/>
    <w:rsid w:val="00242082"/>
    <w:rsid w:val="0024313A"/>
    <w:rsid w:val="00246B2F"/>
    <w:rsid w:val="0024712D"/>
    <w:rsid w:val="0024748E"/>
    <w:rsid w:val="002501D2"/>
    <w:rsid w:val="00251A4C"/>
    <w:rsid w:val="00252EF3"/>
    <w:rsid w:val="0025433F"/>
    <w:rsid w:val="00254436"/>
    <w:rsid w:val="002557A7"/>
    <w:rsid w:val="002565C9"/>
    <w:rsid w:val="00257F3B"/>
    <w:rsid w:val="00260AAA"/>
    <w:rsid w:val="00261807"/>
    <w:rsid w:val="00261BED"/>
    <w:rsid w:val="00261F65"/>
    <w:rsid w:val="002634E5"/>
    <w:rsid w:val="002718A0"/>
    <w:rsid w:val="00271D9C"/>
    <w:rsid w:val="00272886"/>
    <w:rsid w:val="00273E3B"/>
    <w:rsid w:val="0027410D"/>
    <w:rsid w:val="00276ACA"/>
    <w:rsid w:val="00276F3B"/>
    <w:rsid w:val="0028305A"/>
    <w:rsid w:val="00284B0E"/>
    <w:rsid w:val="00290B9E"/>
    <w:rsid w:val="00291347"/>
    <w:rsid w:val="00296E2A"/>
    <w:rsid w:val="002A078A"/>
    <w:rsid w:val="002A233D"/>
    <w:rsid w:val="002A5C31"/>
    <w:rsid w:val="002B3565"/>
    <w:rsid w:val="002B3FDA"/>
    <w:rsid w:val="002B54AE"/>
    <w:rsid w:val="002B68DF"/>
    <w:rsid w:val="002B7626"/>
    <w:rsid w:val="002C1472"/>
    <w:rsid w:val="002C514D"/>
    <w:rsid w:val="002C59A0"/>
    <w:rsid w:val="002C5AFB"/>
    <w:rsid w:val="002C6390"/>
    <w:rsid w:val="002C7309"/>
    <w:rsid w:val="002D0FC9"/>
    <w:rsid w:val="002D10AD"/>
    <w:rsid w:val="002D138E"/>
    <w:rsid w:val="002D241A"/>
    <w:rsid w:val="002D2E5D"/>
    <w:rsid w:val="002D6434"/>
    <w:rsid w:val="002D6EEA"/>
    <w:rsid w:val="002D759F"/>
    <w:rsid w:val="002E0552"/>
    <w:rsid w:val="002E05D6"/>
    <w:rsid w:val="002E25E7"/>
    <w:rsid w:val="002E333F"/>
    <w:rsid w:val="002E33E8"/>
    <w:rsid w:val="002E5CED"/>
    <w:rsid w:val="002F3F35"/>
    <w:rsid w:val="002F68E2"/>
    <w:rsid w:val="00300286"/>
    <w:rsid w:val="0030168D"/>
    <w:rsid w:val="00302A3E"/>
    <w:rsid w:val="003045B8"/>
    <w:rsid w:val="00305529"/>
    <w:rsid w:val="003100D3"/>
    <w:rsid w:val="00311288"/>
    <w:rsid w:val="003114A1"/>
    <w:rsid w:val="00311811"/>
    <w:rsid w:val="00315103"/>
    <w:rsid w:val="003160D6"/>
    <w:rsid w:val="00316C63"/>
    <w:rsid w:val="00320671"/>
    <w:rsid w:val="0032085C"/>
    <w:rsid w:val="003208B9"/>
    <w:rsid w:val="00320B93"/>
    <w:rsid w:val="003227C7"/>
    <w:rsid w:val="003265A2"/>
    <w:rsid w:val="00334B20"/>
    <w:rsid w:val="00335981"/>
    <w:rsid w:val="00336980"/>
    <w:rsid w:val="0034462A"/>
    <w:rsid w:val="00345528"/>
    <w:rsid w:val="00350D55"/>
    <w:rsid w:val="003523BD"/>
    <w:rsid w:val="003537E3"/>
    <w:rsid w:val="003547CF"/>
    <w:rsid w:val="00355553"/>
    <w:rsid w:val="003573DF"/>
    <w:rsid w:val="00360690"/>
    <w:rsid w:val="00362DE2"/>
    <w:rsid w:val="00363046"/>
    <w:rsid w:val="0036370E"/>
    <w:rsid w:val="003647F7"/>
    <w:rsid w:val="00365075"/>
    <w:rsid w:val="003702B8"/>
    <w:rsid w:val="00370D99"/>
    <w:rsid w:val="0037194C"/>
    <w:rsid w:val="00371DAE"/>
    <w:rsid w:val="00372BAB"/>
    <w:rsid w:val="00376559"/>
    <w:rsid w:val="00380368"/>
    <w:rsid w:val="0038061E"/>
    <w:rsid w:val="00381E74"/>
    <w:rsid w:val="00381FDE"/>
    <w:rsid w:val="00382850"/>
    <w:rsid w:val="00383C11"/>
    <w:rsid w:val="00384A4A"/>
    <w:rsid w:val="0038632C"/>
    <w:rsid w:val="0038779D"/>
    <w:rsid w:val="00390733"/>
    <w:rsid w:val="003936D2"/>
    <w:rsid w:val="003955C4"/>
    <w:rsid w:val="003975AD"/>
    <w:rsid w:val="00397660"/>
    <w:rsid w:val="003A1962"/>
    <w:rsid w:val="003A1B84"/>
    <w:rsid w:val="003A4895"/>
    <w:rsid w:val="003A7D5C"/>
    <w:rsid w:val="003B0BA2"/>
    <w:rsid w:val="003B46DC"/>
    <w:rsid w:val="003B744E"/>
    <w:rsid w:val="003C238D"/>
    <w:rsid w:val="003C2ED7"/>
    <w:rsid w:val="003C3862"/>
    <w:rsid w:val="003C3885"/>
    <w:rsid w:val="003C470A"/>
    <w:rsid w:val="003C5B59"/>
    <w:rsid w:val="003C7029"/>
    <w:rsid w:val="003D0451"/>
    <w:rsid w:val="003D0D3A"/>
    <w:rsid w:val="003D15D4"/>
    <w:rsid w:val="003D3018"/>
    <w:rsid w:val="003D30B4"/>
    <w:rsid w:val="003D316C"/>
    <w:rsid w:val="003D3467"/>
    <w:rsid w:val="003D4A58"/>
    <w:rsid w:val="003D5226"/>
    <w:rsid w:val="003D705B"/>
    <w:rsid w:val="003D7ED4"/>
    <w:rsid w:val="003E0631"/>
    <w:rsid w:val="003E22A8"/>
    <w:rsid w:val="003E283D"/>
    <w:rsid w:val="003E2FB0"/>
    <w:rsid w:val="003E4BB4"/>
    <w:rsid w:val="003E6425"/>
    <w:rsid w:val="003E7060"/>
    <w:rsid w:val="003F0CE1"/>
    <w:rsid w:val="003F0E14"/>
    <w:rsid w:val="003F0F63"/>
    <w:rsid w:val="003F2010"/>
    <w:rsid w:val="003F4450"/>
    <w:rsid w:val="003F523C"/>
    <w:rsid w:val="004010D6"/>
    <w:rsid w:val="004059D0"/>
    <w:rsid w:val="00405B57"/>
    <w:rsid w:val="00406C6D"/>
    <w:rsid w:val="004122A9"/>
    <w:rsid w:val="00413B5A"/>
    <w:rsid w:val="00413F33"/>
    <w:rsid w:val="00414ACB"/>
    <w:rsid w:val="00415A15"/>
    <w:rsid w:val="00415A25"/>
    <w:rsid w:val="00416C15"/>
    <w:rsid w:val="00417EED"/>
    <w:rsid w:val="0042422A"/>
    <w:rsid w:val="00425CB1"/>
    <w:rsid w:val="00430B0D"/>
    <w:rsid w:val="00430DF1"/>
    <w:rsid w:val="00433CAA"/>
    <w:rsid w:val="00433FD2"/>
    <w:rsid w:val="00437F4A"/>
    <w:rsid w:val="004417E2"/>
    <w:rsid w:val="004421EC"/>
    <w:rsid w:val="00442C3B"/>
    <w:rsid w:val="00445A6F"/>
    <w:rsid w:val="00450E6E"/>
    <w:rsid w:val="004519BF"/>
    <w:rsid w:val="00452038"/>
    <w:rsid w:val="004542DC"/>
    <w:rsid w:val="0045448F"/>
    <w:rsid w:val="004548CD"/>
    <w:rsid w:val="00455374"/>
    <w:rsid w:val="0045726D"/>
    <w:rsid w:val="00457629"/>
    <w:rsid w:val="0046049F"/>
    <w:rsid w:val="00460EAD"/>
    <w:rsid w:val="00462A63"/>
    <w:rsid w:val="004633F1"/>
    <w:rsid w:val="00463A70"/>
    <w:rsid w:val="00464242"/>
    <w:rsid w:val="00465EC8"/>
    <w:rsid w:val="004673C4"/>
    <w:rsid w:val="00467751"/>
    <w:rsid w:val="00470A7A"/>
    <w:rsid w:val="00470AF6"/>
    <w:rsid w:val="00471A6E"/>
    <w:rsid w:val="00472F9D"/>
    <w:rsid w:val="00473242"/>
    <w:rsid w:val="00474538"/>
    <w:rsid w:val="00474E4C"/>
    <w:rsid w:val="00476ED1"/>
    <w:rsid w:val="00480527"/>
    <w:rsid w:val="004829B9"/>
    <w:rsid w:val="004839B5"/>
    <w:rsid w:val="00483CD1"/>
    <w:rsid w:val="00485CFA"/>
    <w:rsid w:val="0048648B"/>
    <w:rsid w:val="0048697B"/>
    <w:rsid w:val="00487748"/>
    <w:rsid w:val="00487B38"/>
    <w:rsid w:val="00490550"/>
    <w:rsid w:val="0049061B"/>
    <w:rsid w:val="00491C3E"/>
    <w:rsid w:val="00494387"/>
    <w:rsid w:val="004949AC"/>
    <w:rsid w:val="00496426"/>
    <w:rsid w:val="00496531"/>
    <w:rsid w:val="00496A36"/>
    <w:rsid w:val="004A1C0A"/>
    <w:rsid w:val="004A1E88"/>
    <w:rsid w:val="004A27DB"/>
    <w:rsid w:val="004A2DCA"/>
    <w:rsid w:val="004A33F1"/>
    <w:rsid w:val="004A528D"/>
    <w:rsid w:val="004B15BE"/>
    <w:rsid w:val="004B35F4"/>
    <w:rsid w:val="004B38FC"/>
    <w:rsid w:val="004B720F"/>
    <w:rsid w:val="004B726A"/>
    <w:rsid w:val="004C1B53"/>
    <w:rsid w:val="004C34C6"/>
    <w:rsid w:val="004C3C1A"/>
    <w:rsid w:val="004C4CFB"/>
    <w:rsid w:val="004D15B6"/>
    <w:rsid w:val="004D2468"/>
    <w:rsid w:val="004D4220"/>
    <w:rsid w:val="004D4C9B"/>
    <w:rsid w:val="004D5266"/>
    <w:rsid w:val="004D66A3"/>
    <w:rsid w:val="004D6DDD"/>
    <w:rsid w:val="004E0237"/>
    <w:rsid w:val="004E1BF6"/>
    <w:rsid w:val="004E2875"/>
    <w:rsid w:val="004E3B3E"/>
    <w:rsid w:val="004E5602"/>
    <w:rsid w:val="004E617D"/>
    <w:rsid w:val="004E6D06"/>
    <w:rsid w:val="004F3096"/>
    <w:rsid w:val="004F4445"/>
    <w:rsid w:val="004F56E1"/>
    <w:rsid w:val="004F6003"/>
    <w:rsid w:val="004F662C"/>
    <w:rsid w:val="004F736C"/>
    <w:rsid w:val="004F7666"/>
    <w:rsid w:val="004F7F90"/>
    <w:rsid w:val="005020B6"/>
    <w:rsid w:val="00503BFA"/>
    <w:rsid w:val="0050427F"/>
    <w:rsid w:val="00504E02"/>
    <w:rsid w:val="00506EFE"/>
    <w:rsid w:val="00506F24"/>
    <w:rsid w:val="00507733"/>
    <w:rsid w:val="00510CFB"/>
    <w:rsid w:val="00513F33"/>
    <w:rsid w:val="00515CA2"/>
    <w:rsid w:val="00516A21"/>
    <w:rsid w:val="00517B06"/>
    <w:rsid w:val="00520182"/>
    <w:rsid w:val="00522F3F"/>
    <w:rsid w:val="005230CF"/>
    <w:rsid w:val="00523E88"/>
    <w:rsid w:val="00524D81"/>
    <w:rsid w:val="005277CB"/>
    <w:rsid w:val="00527BC2"/>
    <w:rsid w:val="00532C46"/>
    <w:rsid w:val="00533C3F"/>
    <w:rsid w:val="00534853"/>
    <w:rsid w:val="00534932"/>
    <w:rsid w:val="005355AD"/>
    <w:rsid w:val="00537072"/>
    <w:rsid w:val="0054028E"/>
    <w:rsid w:val="00540994"/>
    <w:rsid w:val="005420CA"/>
    <w:rsid w:val="005455A6"/>
    <w:rsid w:val="00547EF1"/>
    <w:rsid w:val="00550CA8"/>
    <w:rsid w:val="00550D10"/>
    <w:rsid w:val="00551230"/>
    <w:rsid w:val="00565848"/>
    <w:rsid w:val="0056650F"/>
    <w:rsid w:val="00567A59"/>
    <w:rsid w:val="005706CC"/>
    <w:rsid w:val="00571737"/>
    <w:rsid w:val="00571EB6"/>
    <w:rsid w:val="00572AAD"/>
    <w:rsid w:val="005747FF"/>
    <w:rsid w:val="00580853"/>
    <w:rsid w:val="00581915"/>
    <w:rsid w:val="00583138"/>
    <w:rsid w:val="005836C9"/>
    <w:rsid w:val="005861E7"/>
    <w:rsid w:val="00587FE6"/>
    <w:rsid w:val="00593E62"/>
    <w:rsid w:val="0059523B"/>
    <w:rsid w:val="005957E2"/>
    <w:rsid w:val="00595C69"/>
    <w:rsid w:val="00596883"/>
    <w:rsid w:val="005A0BBF"/>
    <w:rsid w:val="005A1A69"/>
    <w:rsid w:val="005A3C89"/>
    <w:rsid w:val="005A5845"/>
    <w:rsid w:val="005B1631"/>
    <w:rsid w:val="005B5271"/>
    <w:rsid w:val="005C40CA"/>
    <w:rsid w:val="005C577D"/>
    <w:rsid w:val="005C5CBF"/>
    <w:rsid w:val="005C6308"/>
    <w:rsid w:val="005C6804"/>
    <w:rsid w:val="005C7219"/>
    <w:rsid w:val="005D2ABF"/>
    <w:rsid w:val="005D2E05"/>
    <w:rsid w:val="005D3368"/>
    <w:rsid w:val="005D388A"/>
    <w:rsid w:val="005D7419"/>
    <w:rsid w:val="005E0A33"/>
    <w:rsid w:val="005E1588"/>
    <w:rsid w:val="005E26B4"/>
    <w:rsid w:val="005E38CA"/>
    <w:rsid w:val="005E3C14"/>
    <w:rsid w:val="005E4483"/>
    <w:rsid w:val="005E5646"/>
    <w:rsid w:val="005F0AA5"/>
    <w:rsid w:val="005F0F77"/>
    <w:rsid w:val="005F251F"/>
    <w:rsid w:val="005F2BAD"/>
    <w:rsid w:val="005F4E56"/>
    <w:rsid w:val="00601202"/>
    <w:rsid w:val="006026B5"/>
    <w:rsid w:val="006029D7"/>
    <w:rsid w:val="00604FB9"/>
    <w:rsid w:val="00606229"/>
    <w:rsid w:val="00607213"/>
    <w:rsid w:val="00607F00"/>
    <w:rsid w:val="006104AD"/>
    <w:rsid w:val="00610CFE"/>
    <w:rsid w:val="00612FE2"/>
    <w:rsid w:val="006134B9"/>
    <w:rsid w:val="0061403D"/>
    <w:rsid w:val="00614CDB"/>
    <w:rsid w:val="00616DD3"/>
    <w:rsid w:val="00621E91"/>
    <w:rsid w:val="0062540C"/>
    <w:rsid w:val="00625925"/>
    <w:rsid w:val="00631373"/>
    <w:rsid w:val="00631FD1"/>
    <w:rsid w:val="00631FED"/>
    <w:rsid w:val="0063438C"/>
    <w:rsid w:val="00635177"/>
    <w:rsid w:val="0063599F"/>
    <w:rsid w:val="006441E1"/>
    <w:rsid w:val="00644811"/>
    <w:rsid w:val="00644838"/>
    <w:rsid w:val="00644CE6"/>
    <w:rsid w:val="006473A8"/>
    <w:rsid w:val="006507ED"/>
    <w:rsid w:val="00650EB5"/>
    <w:rsid w:val="006510F8"/>
    <w:rsid w:val="00653E62"/>
    <w:rsid w:val="006565CC"/>
    <w:rsid w:val="00660363"/>
    <w:rsid w:val="00660E60"/>
    <w:rsid w:val="006631C9"/>
    <w:rsid w:val="006642B4"/>
    <w:rsid w:val="006703A5"/>
    <w:rsid w:val="006733E5"/>
    <w:rsid w:val="00675D6B"/>
    <w:rsid w:val="006762D7"/>
    <w:rsid w:val="00676911"/>
    <w:rsid w:val="00682222"/>
    <w:rsid w:val="00687641"/>
    <w:rsid w:val="00687F9C"/>
    <w:rsid w:val="006901C3"/>
    <w:rsid w:val="0069249E"/>
    <w:rsid w:val="00695E03"/>
    <w:rsid w:val="006A0724"/>
    <w:rsid w:val="006A0781"/>
    <w:rsid w:val="006A0B45"/>
    <w:rsid w:val="006A1691"/>
    <w:rsid w:val="006A4247"/>
    <w:rsid w:val="006A4E8D"/>
    <w:rsid w:val="006A60B0"/>
    <w:rsid w:val="006B06CA"/>
    <w:rsid w:val="006B3E5F"/>
    <w:rsid w:val="006B5B3E"/>
    <w:rsid w:val="006C03ED"/>
    <w:rsid w:val="006D1782"/>
    <w:rsid w:val="006D30DB"/>
    <w:rsid w:val="006D325C"/>
    <w:rsid w:val="006D4AB9"/>
    <w:rsid w:val="006D5D87"/>
    <w:rsid w:val="006D6F5A"/>
    <w:rsid w:val="006E035D"/>
    <w:rsid w:val="006E0643"/>
    <w:rsid w:val="006E1A0E"/>
    <w:rsid w:val="006E2CA9"/>
    <w:rsid w:val="006E353E"/>
    <w:rsid w:val="006E5273"/>
    <w:rsid w:val="006F0508"/>
    <w:rsid w:val="006F1392"/>
    <w:rsid w:val="006F16DF"/>
    <w:rsid w:val="006F3217"/>
    <w:rsid w:val="006F4D7D"/>
    <w:rsid w:val="006F6104"/>
    <w:rsid w:val="00702180"/>
    <w:rsid w:val="00706604"/>
    <w:rsid w:val="0072101E"/>
    <w:rsid w:val="00721566"/>
    <w:rsid w:val="00722C8D"/>
    <w:rsid w:val="00723CF2"/>
    <w:rsid w:val="007241C0"/>
    <w:rsid w:val="00724A49"/>
    <w:rsid w:val="007268C8"/>
    <w:rsid w:val="007268F6"/>
    <w:rsid w:val="00726A94"/>
    <w:rsid w:val="007273DA"/>
    <w:rsid w:val="00732599"/>
    <w:rsid w:val="007359A2"/>
    <w:rsid w:val="00740CD0"/>
    <w:rsid w:val="007411C8"/>
    <w:rsid w:val="007430FE"/>
    <w:rsid w:val="00743B72"/>
    <w:rsid w:val="00744439"/>
    <w:rsid w:val="00745AEC"/>
    <w:rsid w:val="007474FF"/>
    <w:rsid w:val="00747DFD"/>
    <w:rsid w:val="00750797"/>
    <w:rsid w:val="00750A9D"/>
    <w:rsid w:val="007550F6"/>
    <w:rsid w:val="007556BC"/>
    <w:rsid w:val="007558D3"/>
    <w:rsid w:val="0075605D"/>
    <w:rsid w:val="0076077F"/>
    <w:rsid w:val="00762999"/>
    <w:rsid w:val="00763125"/>
    <w:rsid w:val="0076370F"/>
    <w:rsid w:val="00763B92"/>
    <w:rsid w:val="00765809"/>
    <w:rsid w:val="00767172"/>
    <w:rsid w:val="00771352"/>
    <w:rsid w:val="00771725"/>
    <w:rsid w:val="00772009"/>
    <w:rsid w:val="007745CA"/>
    <w:rsid w:val="00774742"/>
    <w:rsid w:val="00775D8A"/>
    <w:rsid w:val="00776368"/>
    <w:rsid w:val="00781B90"/>
    <w:rsid w:val="00782132"/>
    <w:rsid w:val="0079077D"/>
    <w:rsid w:val="007913A4"/>
    <w:rsid w:val="00791C4A"/>
    <w:rsid w:val="00792748"/>
    <w:rsid w:val="00796733"/>
    <w:rsid w:val="007A0941"/>
    <w:rsid w:val="007A0978"/>
    <w:rsid w:val="007A0D0B"/>
    <w:rsid w:val="007A5334"/>
    <w:rsid w:val="007A66D1"/>
    <w:rsid w:val="007B18F1"/>
    <w:rsid w:val="007B1AA2"/>
    <w:rsid w:val="007B7122"/>
    <w:rsid w:val="007C2BFF"/>
    <w:rsid w:val="007C385B"/>
    <w:rsid w:val="007C42E6"/>
    <w:rsid w:val="007C46E5"/>
    <w:rsid w:val="007C53B9"/>
    <w:rsid w:val="007C7750"/>
    <w:rsid w:val="007C7F7D"/>
    <w:rsid w:val="007D171D"/>
    <w:rsid w:val="007D2AF9"/>
    <w:rsid w:val="007D35D6"/>
    <w:rsid w:val="007D42C2"/>
    <w:rsid w:val="007D5235"/>
    <w:rsid w:val="007D5661"/>
    <w:rsid w:val="007D779A"/>
    <w:rsid w:val="007D7AB9"/>
    <w:rsid w:val="007E1C77"/>
    <w:rsid w:val="007E2548"/>
    <w:rsid w:val="007E35E6"/>
    <w:rsid w:val="007E38E8"/>
    <w:rsid w:val="007E5D97"/>
    <w:rsid w:val="007E600B"/>
    <w:rsid w:val="007F06F2"/>
    <w:rsid w:val="007F0980"/>
    <w:rsid w:val="007F2021"/>
    <w:rsid w:val="007F400F"/>
    <w:rsid w:val="007F507C"/>
    <w:rsid w:val="007F7D92"/>
    <w:rsid w:val="008006C4"/>
    <w:rsid w:val="00800FED"/>
    <w:rsid w:val="0080401B"/>
    <w:rsid w:val="00804053"/>
    <w:rsid w:val="00804248"/>
    <w:rsid w:val="00807B7C"/>
    <w:rsid w:val="00810184"/>
    <w:rsid w:val="008116CF"/>
    <w:rsid w:val="00812A0C"/>
    <w:rsid w:val="00812CFA"/>
    <w:rsid w:val="00813D88"/>
    <w:rsid w:val="0081663D"/>
    <w:rsid w:val="0082087F"/>
    <w:rsid w:val="00820C1B"/>
    <w:rsid w:val="00823130"/>
    <w:rsid w:val="00823293"/>
    <w:rsid w:val="0082332B"/>
    <w:rsid w:val="00825475"/>
    <w:rsid w:val="0082578E"/>
    <w:rsid w:val="008262C2"/>
    <w:rsid w:val="00826FBE"/>
    <w:rsid w:val="00827B0C"/>
    <w:rsid w:val="00831EAC"/>
    <w:rsid w:val="008337A2"/>
    <w:rsid w:val="00834A0C"/>
    <w:rsid w:val="008368DA"/>
    <w:rsid w:val="00836F1F"/>
    <w:rsid w:val="00841990"/>
    <w:rsid w:val="00842168"/>
    <w:rsid w:val="00842704"/>
    <w:rsid w:val="00843AB9"/>
    <w:rsid w:val="008443C7"/>
    <w:rsid w:val="008454F4"/>
    <w:rsid w:val="00845AB7"/>
    <w:rsid w:val="008463E2"/>
    <w:rsid w:val="008508E2"/>
    <w:rsid w:val="00850A5F"/>
    <w:rsid w:val="00852049"/>
    <w:rsid w:val="008538DF"/>
    <w:rsid w:val="00853ACB"/>
    <w:rsid w:val="00853F28"/>
    <w:rsid w:val="0085496F"/>
    <w:rsid w:val="00855E1D"/>
    <w:rsid w:val="0085649B"/>
    <w:rsid w:val="00857F62"/>
    <w:rsid w:val="008603D2"/>
    <w:rsid w:val="008644E3"/>
    <w:rsid w:val="008654D0"/>
    <w:rsid w:val="00867011"/>
    <w:rsid w:val="008702B3"/>
    <w:rsid w:val="008756A6"/>
    <w:rsid w:val="008760EF"/>
    <w:rsid w:val="00877C07"/>
    <w:rsid w:val="00880F6A"/>
    <w:rsid w:val="00881518"/>
    <w:rsid w:val="00883D63"/>
    <w:rsid w:val="00884387"/>
    <w:rsid w:val="00884AD3"/>
    <w:rsid w:val="00892595"/>
    <w:rsid w:val="008934EE"/>
    <w:rsid w:val="008948AD"/>
    <w:rsid w:val="008949CD"/>
    <w:rsid w:val="008956BD"/>
    <w:rsid w:val="0089639B"/>
    <w:rsid w:val="00896B99"/>
    <w:rsid w:val="008977F6"/>
    <w:rsid w:val="00897AC3"/>
    <w:rsid w:val="00897D57"/>
    <w:rsid w:val="008A34BD"/>
    <w:rsid w:val="008A43BA"/>
    <w:rsid w:val="008B0792"/>
    <w:rsid w:val="008B0A53"/>
    <w:rsid w:val="008B2FFC"/>
    <w:rsid w:val="008B42C1"/>
    <w:rsid w:val="008B4F02"/>
    <w:rsid w:val="008B5B74"/>
    <w:rsid w:val="008B6BE9"/>
    <w:rsid w:val="008B76D3"/>
    <w:rsid w:val="008C1062"/>
    <w:rsid w:val="008C4F3D"/>
    <w:rsid w:val="008C5A8C"/>
    <w:rsid w:val="008C7C01"/>
    <w:rsid w:val="008D1382"/>
    <w:rsid w:val="008D1DB0"/>
    <w:rsid w:val="008D4F4A"/>
    <w:rsid w:val="008D70D7"/>
    <w:rsid w:val="008E3B00"/>
    <w:rsid w:val="008E4623"/>
    <w:rsid w:val="008E7022"/>
    <w:rsid w:val="008E702E"/>
    <w:rsid w:val="008F1584"/>
    <w:rsid w:val="008F2DD7"/>
    <w:rsid w:val="008F3FB3"/>
    <w:rsid w:val="008F436E"/>
    <w:rsid w:val="008F5DC2"/>
    <w:rsid w:val="008F5FA0"/>
    <w:rsid w:val="008F619E"/>
    <w:rsid w:val="00904433"/>
    <w:rsid w:val="00904A6F"/>
    <w:rsid w:val="00904CFA"/>
    <w:rsid w:val="00907631"/>
    <w:rsid w:val="00911857"/>
    <w:rsid w:val="00911D65"/>
    <w:rsid w:val="0091221A"/>
    <w:rsid w:val="00912D87"/>
    <w:rsid w:val="009144C6"/>
    <w:rsid w:val="00914BCC"/>
    <w:rsid w:val="00914D40"/>
    <w:rsid w:val="0091790E"/>
    <w:rsid w:val="009237C1"/>
    <w:rsid w:val="009264DB"/>
    <w:rsid w:val="00926C20"/>
    <w:rsid w:val="00927AEA"/>
    <w:rsid w:val="0093192E"/>
    <w:rsid w:val="0093249D"/>
    <w:rsid w:val="009366D5"/>
    <w:rsid w:val="00937998"/>
    <w:rsid w:val="009402FE"/>
    <w:rsid w:val="009418D2"/>
    <w:rsid w:val="00942065"/>
    <w:rsid w:val="009430B1"/>
    <w:rsid w:val="00943B1A"/>
    <w:rsid w:val="00943E54"/>
    <w:rsid w:val="00943E93"/>
    <w:rsid w:val="009473E1"/>
    <w:rsid w:val="009508A6"/>
    <w:rsid w:val="00951B5E"/>
    <w:rsid w:val="00951F34"/>
    <w:rsid w:val="00954939"/>
    <w:rsid w:val="00960BDB"/>
    <w:rsid w:val="0096288F"/>
    <w:rsid w:val="00963588"/>
    <w:rsid w:val="009660F7"/>
    <w:rsid w:val="00967589"/>
    <w:rsid w:val="00970A7D"/>
    <w:rsid w:val="00977207"/>
    <w:rsid w:val="0097775B"/>
    <w:rsid w:val="00977D0A"/>
    <w:rsid w:val="00980165"/>
    <w:rsid w:val="00985714"/>
    <w:rsid w:val="00993F22"/>
    <w:rsid w:val="00996D93"/>
    <w:rsid w:val="00996E6C"/>
    <w:rsid w:val="009A3DE0"/>
    <w:rsid w:val="009A4D2B"/>
    <w:rsid w:val="009A57DD"/>
    <w:rsid w:val="009B1AE5"/>
    <w:rsid w:val="009B2A82"/>
    <w:rsid w:val="009B2F68"/>
    <w:rsid w:val="009B31FE"/>
    <w:rsid w:val="009B3CF0"/>
    <w:rsid w:val="009B426E"/>
    <w:rsid w:val="009B772D"/>
    <w:rsid w:val="009C0C2C"/>
    <w:rsid w:val="009C1CED"/>
    <w:rsid w:val="009C25CB"/>
    <w:rsid w:val="009C36C6"/>
    <w:rsid w:val="009C450E"/>
    <w:rsid w:val="009C4F25"/>
    <w:rsid w:val="009C5A7D"/>
    <w:rsid w:val="009C6891"/>
    <w:rsid w:val="009D03DE"/>
    <w:rsid w:val="009D03F2"/>
    <w:rsid w:val="009D4D92"/>
    <w:rsid w:val="009D53AC"/>
    <w:rsid w:val="009D60B1"/>
    <w:rsid w:val="009D6CD2"/>
    <w:rsid w:val="009D7F75"/>
    <w:rsid w:val="009E0CE1"/>
    <w:rsid w:val="009E3B82"/>
    <w:rsid w:val="009E5AC3"/>
    <w:rsid w:val="009E6313"/>
    <w:rsid w:val="009E701A"/>
    <w:rsid w:val="009E7481"/>
    <w:rsid w:val="009F508D"/>
    <w:rsid w:val="009F6DD7"/>
    <w:rsid w:val="009F6E50"/>
    <w:rsid w:val="009F78B3"/>
    <w:rsid w:val="00A00E8D"/>
    <w:rsid w:val="00A0114C"/>
    <w:rsid w:val="00A05BA1"/>
    <w:rsid w:val="00A1044E"/>
    <w:rsid w:val="00A12996"/>
    <w:rsid w:val="00A13E67"/>
    <w:rsid w:val="00A141CF"/>
    <w:rsid w:val="00A143DD"/>
    <w:rsid w:val="00A1551E"/>
    <w:rsid w:val="00A159E8"/>
    <w:rsid w:val="00A17DFE"/>
    <w:rsid w:val="00A22D36"/>
    <w:rsid w:val="00A251F4"/>
    <w:rsid w:val="00A26733"/>
    <w:rsid w:val="00A27233"/>
    <w:rsid w:val="00A3342E"/>
    <w:rsid w:val="00A35410"/>
    <w:rsid w:val="00A364DB"/>
    <w:rsid w:val="00A41C4A"/>
    <w:rsid w:val="00A44740"/>
    <w:rsid w:val="00A46802"/>
    <w:rsid w:val="00A477DA"/>
    <w:rsid w:val="00A479D3"/>
    <w:rsid w:val="00A47DC9"/>
    <w:rsid w:val="00A50618"/>
    <w:rsid w:val="00A519CC"/>
    <w:rsid w:val="00A523E1"/>
    <w:rsid w:val="00A556D2"/>
    <w:rsid w:val="00A62844"/>
    <w:rsid w:val="00A6477D"/>
    <w:rsid w:val="00A649DF"/>
    <w:rsid w:val="00A662F3"/>
    <w:rsid w:val="00A6633F"/>
    <w:rsid w:val="00A715FF"/>
    <w:rsid w:val="00A7345F"/>
    <w:rsid w:val="00A760F1"/>
    <w:rsid w:val="00A77BAC"/>
    <w:rsid w:val="00A8100A"/>
    <w:rsid w:val="00A8135E"/>
    <w:rsid w:val="00A82B69"/>
    <w:rsid w:val="00A91D47"/>
    <w:rsid w:val="00A92676"/>
    <w:rsid w:val="00A944F4"/>
    <w:rsid w:val="00A95337"/>
    <w:rsid w:val="00A97944"/>
    <w:rsid w:val="00AA484B"/>
    <w:rsid w:val="00AA64FB"/>
    <w:rsid w:val="00AB0C45"/>
    <w:rsid w:val="00AB26B7"/>
    <w:rsid w:val="00AB2C78"/>
    <w:rsid w:val="00AB37B5"/>
    <w:rsid w:val="00AB4685"/>
    <w:rsid w:val="00AB6CE2"/>
    <w:rsid w:val="00AC3EE3"/>
    <w:rsid w:val="00AC44E4"/>
    <w:rsid w:val="00AC4743"/>
    <w:rsid w:val="00AC5758"/>
    <w:rsid w:val="00AC6254"/>
    <w:rsid w:val="00AD02F5"/>
    <w:rsid w:val="00AD4CDA"/>
    <w:rsid w:val="00AD546F"/>
    <w:rsid w:val="00AD5B92"/>
    <w:rsid w:val="00AD663B"/>
    <w:rsid w:val="00AD6FA4"/>
    <w:rsid w:val="00AE1BEB"/>
    <w:rsid w:val="00AE29CA"/>
    <w:rsid w:val="00AE2ADB"/>
    <w:rsid w:val="00AE3AE5"/>
    <w:rsid w:val="00AE58ED"/>
    <w:rsid w:val="00AE6E01"/>
    <w:rsid w:val="00AF11E4"/>
    <w:rsid w:val="00AF469B"/>
    <w:rsid w:val="00AF5260"/>
    <w:rsid w:val="00AF5CDA"/>
    <w:rsid w:val="00AF6494"/>
    <w:rsid w:val="00AF693E"/>
    <w:rsid w:val="00B01566"/>
    <w:rsid w:val="00B03504"/>
    <w:rsid w:val="00B042A0"/>
    <w:rsid w:val="00B059A5"/>
    <w:rsid w:val="00B06C0F"/>
    <w:rsid w:val="00B06D58"/>
    <w:rsid w:val="00B125A8"/>
    <w:rsid w:val="00B15379"/>
    <w:rsid w:val="00B20B03"/>
    <w:rsid w:val="00B211ED"/>
    <w:rsid w:val="00B22E82"/>
    <w:rsid w:val="00B232E8"/>
    <w:rsid w:val="00B25B74"/>
    <w:rsid w:val="00B263A9"/>
    <w:rsid w:val="00B265BF"/>
    <w:rsid w:val="00B30B2A"/>
    <w:rsid w:val="00B30B57"/>
    <w:rsid w:val="00B30D07"/>
    <w:rsid w:val="00B31157"/>
    <w:rsid w:val="00B332FC"/>
    <w:rsid w:val="00B33736"/>
    <w:rsid w:val="00B33A5D"/>
    <w:rsid w:val="00B4054F"/>
    <w:rsid w:val="00B43451"/>
    <w:rsid w:val="00B4500A"/>
    <w:rsid w:val="00B46370"/>
    <w:rsid w:val="00B46D38"/>
    <w:rsid w:val="00B50F7D"/>
    <w:rsid w:val="00B5197F"/>
    <w:rsid w:val="00B561F9"/>
    <w:rsid w:val="00B57547"/>
    <w:rsid w:val="00B57EC4"/>
    <w:rsid w:val="00B606C3"/>
    <w:rsid w:val="00B60710"/>
    <w:rsid w:val="00B6255E"/>
    <w:rsid w:val="00B63882"/>
    <w:rsid w:val="00B638BC"/>
    <w:rsid w:val="00B65640"/>
    <w:rsid w:val="00B65D71"/>
    <w:rsid w:val="00B70C84"/>
    <w:rsid w:val="00B73AE4"/>
    <w:rsid w:val="00B8071B"/>
    <w:rsid w:val="00B808EE"/>
    <w:rsid w:val="00B81498"/>
    <w:rsid w:val="00B82D8E"/>
    <w:rsid w:val="00B8591E"/>
    <w:rsid w:val="00B85DBE"/>
    <w:rsid w:val="00B86340"/>
    <w:rsid w:val="00B86FF2"/>
    <w:rsid w:val="00B922BD"/>
    <w:rsid w:val="00B935E7"/>
    <w:rsid w:val="00B94F17"/>
    <w:rsid w:val="00B959E4"/>
    <w:rsid w:val="00BA0189"/>
    <w:rsid w:val="00BA122E"/>
    <w:rsid w:val="00BA48D6"/>
    <w:rsid w:val="00BA75B1"/>
    <w:rsid w:val="00BB1C7F"/>
    <w:rsid w:val="00BB672D"/>
    <w:rsid w:val="00BC012A"/>
    <w:rsid w:val="00BC0CBD"/>
    <w:rsid w:val="00BC2DAE"/>
    <w:rsid w:val="00BC3F9C"/>
    <w:rsid w:val="00BC52FA"/>
    <w:rsid w:val="00BC6F77"/>
    <w:rsid w:val="00BC70A3"/>
    <w:rsid w:val="00BD6BDC"/>
    <w:rsid w:val="00BD7099"/>
    <w:rsid w:val="00BD7F02"/>
    <w:rsid w:val="00BE0C4E"/>
    <w:rsid w:val="00BE23DD"/>
    <w:rsid w:val="00BE2A2E"/>
    <w:rsid w:val="00BF0782"/>
    <w:rsid w:val="00BF0FAB"/>
    <w:rsid w:val="00BF1292"/>
    <w:rsid w:val="00BF27F5"/>
    <w:rsid w:val="00BF548C"/>
    <w:rsid w:val="00BF7714"/>
    <w:rsid w:val="00C00C97"/>
    <w:rsid w:val="00C00FE4"/>
    <w:rsid w:val="00C04901"/>
    <w:rsid w:val="00C04DBE"/>
    <w:rsid w:val="00C058EC"/>
    <w:rsid w:val="00C078CA"/>
    <w:rsid w:val="00C14652"/>
    <w:rsid w:val="00C160F9"/>
    <w:rsid w:val="00C169CE"/>
    <w:rsid w:val="00C171B9"/>
    <w:rsid w:val="00C20846"/>
    <w:rsid w:val="00C20F8A"/>
    <w:rsid w:val="00C21871"/>
    <w:rsid w:val="00C21CEE"/>
    <w:rsid w:val="00C228A9"/>
    <w:rsid w:val="00C252B9"/>
    <w:rsid w:val="00C26F66"/>
    <w:rsid w:val="00C334F1"/>
    <w:rsid w:val="00C35A21"/>
    <w:rsid w:val="00C44DC0"/>
    <w:rsid w:val="00C452FF"/>
    <w:rsid w:val="00C513B1"/>
    <w:rsid w:val="00C546C5"/>
    <w:rsid w:val="00C60F81"/>
    <w:rsid w:val="00C67251"/>
    <w:rsid w:val="00C72907"/>
    <w:rsid w:val="00C72970"/>
    <w:rsid w:val="00C72F8C"/>
    <w:rsid w:val="00C734DD"/>
    <w:rsid w:val="00C739D8"/>
    <w:rsid w:val="00C74988"/>
    <w:rsid w:val="00C76951"/>
    <w:rsid w:val="00C84C2B"/>
    <w:rsid w:val="00C853D1"/>
    <w:rsid w:val="00C85A96"/>
    <w:rsid w:val="00C93299"/>
    <w:rsid w:val="00CA0C1D"/>
    <w:rsid w:val="00CA2F84"/>
    <w:rsid w:val="00CA61C2"/>
    <w:rsid w:val="00CB2B7B"/>
    <w:rsid w:val="00CB5A9E"/>
    <w:rsid w:val="00CC12D9"/>
    <w:rsid w:val="00CC2EBD"/>
    <w:rsid w:val="00CC38F5"/>
    <w:rsid w:val="00CC5561"/>
    <w:rsid w:val="00CC7111"/>
    <w:rsid w:val="00CC7EAC"/>
    <w:rsid w:val="00CD233B"/>
    <w:rsid w:val="00CD573E"/>
    <w:rsid w:val="00CD70E9"/>
    <w:rsid w:val="00CE04D7"/>
    <w:rsid w:val="00CF1FCE"/>
    <w:rsid w:val="00CF38E2"/>
    <w:rsid w:val="00CF5199"/>
    <w:rsid w:val="00CF7911"/>
    <w:rsid w:val="00D01015"/>
    <w:rsid w:val="00D02413"/>
    <w:rsid w:val="00D0396A"/>
    <w:rsid w:val="00D042E7"/>
    <w:rsid w:val="00D04493"/>
    <w:rsid w:val="00D059E5"/>
    <w:rsid w:val="00D060B7"/>
    <w:rsid w:val="00D069DF"/>
    <w:rsid w:val="00D104DB"/>
    <w:rsid w:val="00D10BBE"/>
    <w:rsid w:val="00D114F9"/>
    <w:rsid w:val="00D11E84"/>
    <w:rsid w:val="00D121F9"/>
    <w:rsid w:val="00D1356E"/>
    <w:rsid w:val="00D15032"/>
    <w:rsid w:val="00D15DAB"/>
    <w:rsid w:val="00D16932"/>
    <w:rsid w:val="00D16C0D"/>
    <w:rsid w:val="00D20831"/>
    <w:rsid w:val="00D237F3"/>
    <w:rsid w:val="00D23BD0"/>
    <w:rsid w:val="00D2535A"/>
    <w:rsid w:val="00D259E8"/>
    <w:rsid w:val="00D26EF0"/>
    <w:rsid w:val="00D27054"/>
    <w:rsid w:val="00D30909"/>
    <w:rsid w:val="00D349C8"/>
    <w:rsid w:val="00D41ED1"/>
    <w:rsid w:val="00D4202B"/>
    <w:rsid w:val="00D43062"/>
    <w:rsid w:val="00D43AC0"/>
    <w:rsid w:val="00D440B3"/>
    <w:rsid w:val="00D47266"/>
    <w:rsid w:val="00D5012F"/>
    <w:rsid w:val="00D50475"/>
    <w:rsid w:val="00D526FB"/>
    <w:rsid w:val="00D53A0C"/>
    <w:rsid w:val="00D54118"/>
    <w:rsid w:val="00D54BE8"/>
    <w:rsid w:val="00D553B2"/>
    <w:rsid w:val="00D603BF"/>
    <w:rsid w:val="00D60EB1"/>
    <w:rsid w:val="00D6200B"/>
    <w:rsid w:val="00D62C6E"/>
    <w:rsid w:val="00D6407D"/>
    <w:rsid w:val="00D640FF"/>
    <w:rsid w:val="00D64B0B"/>
    <w:rsid w:val="00D65868"/>
    <w:rsid w:val="00D71277"/>
    <w:rsid w:val="00D73114"/>
    <w:rsid w:val="00D733EF"/>
    <w:rsid w:val="00D743C9"/>
    <w:rsid w:val="00D752D2"/>
    <w:rsid w:val="00D76975"/>
    <w:rsid w:val="00D772C9"/>
    <w:rsid w:val="00D77542"/>
    <w:rsid w:val="00D827A8"/>
    <w:rsid w:val="00D85322"/>
    <w:rsid w:val="00D855D1"/>
    <w:rsid w:val="00D85A7D"/>
    <w:rsid w:val="00D86647"/>
    <w:rsid w:val="00D90E06"/>
    <w:rsid w:val="00D92134"/>
    <w:rsid w:val="00D93EFD"/>
    <w:rsid w:val="00D94C0C"/>
    <w:rsid w:val="00D9561F"/>
    <w:rsid w:val="00D96276"/>
    <w:rsid w:val="00DA0030"/>
    <w:rsid w:val="00DA3751"/>
    <w:rsid w:val="00DA4FC6"/>
    <w:rsid w:val="00DA6768"/>
    <w:rsid w:val="00DA7965"/>
    <w:rsid w:val="00DB09A4"/>
    <w:rsid w:val="00DB10DD"/>
    <w:rsid w:val="00DB18A2"/>
    <w:rsid w:val="00DB268E"/>
    <w:rsid w:val="00DB3394"/>
    <w:rsid w:val="00DB3BDF"/>
    <w:rsid w:val="00DB3C43"/>
    <w:rsid w:val="00DB3F65"/>
    <w:rsid w:val="00DB4728"/>
    <w:rsid w:val="00DB5661"/>
    <w:rsid w:val="00DB6D27"/>
    <w:rsid w:val="00DC02D8"/>
    <w:rsid w:val="00DC054A"/>
    <w:rsid w:val="00DC133E"/>
    <w:rsid w:val="00DC1375"/>
    <w:rsid w:val="00DC6387"/>
    <w:rsid w:val="00DC7B2F"/>
    <w:rsid w:val="00DD116F"/>
    <w:rsid w:val="00DD2536"/>
    <w:rsid w:val="00DD3459"/>
    <w:rsid w:val="00DD4A1A"/>
    <w:rsid w:val="00DD5573"/>
    <w:rsid w:val="00DD6442"/>
    <w:rsid w:val="00DD6D93"/>
    <w:rsid w:val="00DD7430"/>
    <w:rsid w:val="00DE2AB2"/>
    <w:rsid w:val="00DE5595"/>
    <w:rsid w:val="00DE5720"/>
    <w:rsid w:val="00DE6290"/>
    <w:rsid w:val="00DE65FB"/>
    <w:rsid w:val="00DF058B"/>
    <w:rsid w:val="00DF2B03"/>
    <w:rsid w:val="00DF2DD7"/>
    <w:rsid w:val="00DF4326"/>
    <w:rsid w:val="00DF5A12"/>
    <w:rsid w:val="00DF63B1"/>
    <w:rsid w:val="00DF6D0F"/>
    <w:rsid w:val="00E000D1"/>
    <w:rsid w:val="00E00CF7"/>
    <w:rsid w:val="00E010F7"/>
    <w:rsid w:val="00E0369E"/>
    <w:rsid w:val="00E04D30"/>
    <w:rsid w:val="00E06552"/>
    <w:rsid w:val="00E07924"/>
    <w:rsid w:val="00E160CE"/>
    <w:rsid w:val="00E1746B"/>
    <w:rsid w:val="00E240BC"/>
    <w:rsid w:val="00E278F2"/>
    <w:rsid w:val="00E30E7E"/>
    <w:rsid w:val="00E317EA"/>
    <w:rsid w:val="00E32D11"/>
    <w:rsid w:val="00E33E03"/>
    <w:rsid w:val="00E34225"/>
    <w:rsid w:val="00E359A0"/>
    <w:rsid w:val="00E378A7"/>
    <w:rsid w:val="00E37EC0"/>
    <w:rsid w:val="00E400A3"/>
    <w:rsid w:val="00E4195D"/>
    <w:rsid w:val="00E41E5D"/>
    <w:rsid w:val="00E44385"/>
    <w:rsid w:val="00E44CD4"/>
    <w:rsid w:val="00E45953"/>
    <w:rsid w:val="00E462FF"/>
    <w:rsid w:val="00E46DA8"/>
    <w:rsid w:val="00E47B89"/>
    <w:rsid w:val="00E520E6"/>
    <w:rsid w:val="00E5473E"/>
    <w:rsid w:val="00E6067D"/>
    <w:rsid w:val="00E61BAB"/>
    <w:rsid w:val="00E61DB2"/>
    <w:rsid w:val="00E61E5E"/>
    <w:rsid w:val="00E625C7"/>
    <w:rsid w:val="00E766F9"/>
    <w:rsid w:val="00E81484"/>
    <w:rsid w:val="00E8346C"/>
    <w:rsid w:val="00E83494"/>
    <w:rsid w:val="00E84427"/>
    <w:rsid w:val="00E861B9"/>
    <w:rsid w:val="00E9186A"/>
    <w:rsid w:val="00E92B4A"/>
    <w:rsid w:val="00E93EDF"/>
    <w:rsid w:val="00E95172"/>
    <w:rsid w:val="00E966F3"/>
    <w:rsid w:val="00E9701C"/>
    <w:rsid w:val="00E97929"/>
    <w:rsid w:val="00EA0EBF"/>
    <w:rsid w:val="00EA1004"/>
    <w:rsid w:val="00EA2CF6"/>
    <w:rsid w:val="00EA30B1"/>
    <w:rsid w:val="00EA4522"/>
    <w:rsid w:val="00EA56D0"/>
    <w:rsid w:val="00EA73F3"/>
    <w:rsid w:val="00EB051B"/>
    <w:rsid w:val="00EB0AEA"/>
    <w:rsid w:val="00EB1A2F"/>
    <w:rsid w:val="00EB1E57"/>
    <w:rsid w:val="00EB1F38"/>
    <w:rsid w:val="00EB3BEB"/>
    <w:rsid w:val="00EB43DB"/>
    <w:rsid w:val="00EB4A38"/>
    <w:rsid w:val="00EB7A8B"/>
    <w:rsid w:val="00EC01B9"/>
    <w:rsid w:val="00EC023F"/>
    <w:rsid w:val="00EC1019"/>
    <w:rsid w:val="00EC7345"/>
    <w:rsid w:val="00ED011D"/>
    <w:rsid w:val="00ED23EB"/>
    <w:rsid w:val="00ED5AEF"/>
    <w:rsid w:val="00EE23E5"/>
    <w:rsid w:val="00EE2F16"/>
    <w:rsid w:val="00EE53C5"/>
    <w:rsid w:val="00EE545D"/>
    <w:rsid w:val="00EE7721"/>
    <w:rsid w:val="00EF0402"/>
    <w:rsid w:val="00EF0D39"/>
    <w:rsid w:val="00EF5B2D"/>
    <w:rsid w:val="00EF5B87"/>
    <w:rsid w:val="00EF639E"/>
    <w:rsid w:val="00EF7967"/>
    <w:rsid w:val="00EF7DE2"/>
    <w:rsid w:val="00F03067"/>
    <w:rsid w:val="00F03666"/>
    <w:rsid w:val="00F05DDC"/>
    <w:rsid w:val="00F060A2"/>
    <w:rsid w:val="00F07CD6"/>
    <w:rsid w:val="00F121AE"/>
    <w:rsid w:val="00F12A1F"/>
    <w:rsid w:val="00F147AC"/>
    <w:rsid w:val="00F15CC0"/>
    <w:rsid w:val="00F1662E"/>
    <w:rsid w:val="00F20495"/>
    <w:rsid w:val="00F212AB"/>
    <w:rsid w:val="00F3096E"/>
    <w:rsid w:val="00F35700"/>
    <w:rsid w:val="00F35A10"/>
    <w:rsid w:val="00F35F68"/>
    <w:rsid w:val="00F3667C"/>
    <w:rsid w:val="00F3717E"/>
    <w:rsid w:val="00F4029B"/>
    <w:rsid w:val="00F42906"/>
    <w:rsid w:val="00F44120"/>
    <w:rsid w:val="00F46D09"/>
    <w:rsid w:val="00F516F1"/>
    <w:rsid w:val="00F54246"/>
    <w:rsid w:val="00F55A24"/>
    <w:rsid w:val="00F561D0"/>
    <w:rsid w:val="00F57154"/>
    <w:rsid w:val="00F618CA"/>
    <w:rsid w:val="00F622BA"/>
    <w:rsid w:val="00F647A7"/>
    <w:rsid w:val="00F679C8"/>
    <w:rsid w:val="00F7369F"/>
    <w:rsid w:val="00F74146"/>
    <w:rsid w:val="00F762D3"/>
    <w:rsid w:val="00F7670F"/>
    <w:rsid w:val="00F80F48"/>
    <w:rsid w:val="00F81A9B"/>
    <w:rsid w:val="00F821C8"/>
    <w:rsid w:val="00F8439F"/>
    <w:rsid w:val="00F860E9"/>
    <w:rsid w:val="00F926A0"/>
    <w:rsid w:val="00F96A7D"/>
    <w:rsid w:val="00FA3952"/>
    <w:rsid w:val="00FA5759"/>
    <w:rsid w:val="00FA6DC8"/>
    <w:rsid w:val="00FA7BC3"/>
    <w:rsid w:val="00FC21BA"/>
    <w:rsid w:val="00FC4CB0"/>
    <w:rsid w:val="00FC6454"/>
    <w:rsid w:val="00FC6B3E"/>
    <w:rsid w:val="00FD1A44"/>
    <w:rsid w:val="00FD7AF9"/>
    <w:rsid w:val="00FE2C2C"/>
    <w:rsid w:val="00FE3038"/>
    <w:rsid w:val="00FE4543"/>
    <w:rsid w:val="00FE53FE"/>
    <w:rsid w:val="00FE5B58"/>
    <w:rsid w:val="00FE5E84"/>
    <w:rsid w:val="00FE7975"/>
    <w:rsid w:val="00FF2ADF"/>
    <w:rsid w:val="00FF38B8"/>
    <w:rsid w:val="00FF4977"/>
    <w:rsid w:val="00FF69E9"/>
    <w:rsid w:val="00FF6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0E"/>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D5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2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07CD6"/>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07CD6"/>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Mencinsinresolver2">
    <w:name w:val="Mención sin resolver2"/>
    <w:basedOn w:val="Fuentedeprrafopredeter"/>
    <w:uiPriority w:val="99"/>
    <w:semiHidden/>
    <w:unhideWhenUsed/>
    <w:rsid w:val="00FE2C2C"/>
    <w:rPr>
      <w:color w:val="605E5C"/>
      <w:shd w:val="clear" w:color="auto" w:fill="E1DFDD"/>
    </w:rPr>
  </w:style>
  <w:style w:type="character" w:customStyle="1" w:styleId="Ttulo1Car">
    <w:name w:val="Título 1 Car"/>
    <w:basedOn w:val="Fuentedeprrafopredeter"/>
    <w:link w:val="Ttulo1"/>
    <w:uiPriority w:val="9"/>
    <w:rsid w:val="00D526FB"/>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D526FB"/>
    <w:pPr>
      <w:jc w:val="left"/>
      <w:outlineLvl w:val="9"/>
    </w:pPr>
    <w:rPr>
      <w:lang w:eastAsia="es-MX"/>
    </w:rPr>
  </w:style>
  <w:style w:type="paragraph" w:styleId="TDC1">
    <w:name w:val="toc 1"/>
    <w:basedOn w:val="Normal"/>
    <w:next w:val="Normal"/>
    <w:autoRedefine/>
    <w:uiPriority w:val="39"/>
    <w:unhideWhenUsed/>
    <w:rsid w:val="00DF6D0F"/>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D526FB"/>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D526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7769">
      <w:bodyDiv w:val="1"/>
      <w:marLeft w:val="0"/>
      <w:marRight w:val="0"/>
      <w:marTop w:val="0"/>
      <w:marBottom w:val="0"/>
      <w:divBdr>
        <w:top w:val="none" w:sz="0" w:space="0" w:color="auto"/>
        <w:left w:val="none" w:sz="0" w:space="0" w:color="auto"/>
        <w:bottom w:val="none" w:sz="0" w:space="0" w:color="auto"/>
        <w:right w:val="none" w:sz="0" w:space="0" w:color="auto"/>
      </w:divBdr>
    </w:div>
    <w:div w:id="107898282">
      <w:bodyDiv w:val="1"/>
      <w:marLeft w:val="0"/>
      <w:marRight w:val="0"/>
      <w:marTop w:val="0"/>
      <w:marBottom w:val="0"/>
      <w:divBdr>
        <w:top w:val="none" w:sz="0" w:space="0" w:color="auto"/>
        <w:left w:val="none" w:sz="0" w:space="0" w:color="auto"/>
        <w:bottom w:val="none" w:sz="0" w:space="0" w:color="auto"/>
        <w:right w:val="none" w:sz="0" w:space="0" w:color="auto"/>
      </w:divBdr>
    </w:div>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305748574">
      <w:bodyDiv w:val="1"/>
      <w:marLeft w:val="0"/>
      <w:marRight w:val="0"/>
      <w:marTop w:val="0"/>
      <w:marBottom w:val="0"/>
      <w:divBdr>
        <w:top w:val="none" w:sz="0" w:space="0" w:color="auto"/>
        <w:left w:val="none" w:sz="0" w:space="0" w:color="auto"/>
        <w:bottom w:val="none" w:sz="0" w:space="0" w:color="auto"/>
        <w:right w:val="none" w:sz="0" w:space="0" w:color="auto"/>
      </w:divBdr>
    </w:div>
    <w:div w:id="383716946">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09413431">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173">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8887">
      <w:bodyDiv w:val="1"/>
      <w:marLeft w:val="0"/>
      <w:marRight w:val="0"/>
      <w:marTop w:val="0"/>
      <w:marBottom w:val="0"/>
      <w:divBdr>
        <w:top w:val="none" w:sz="0" w:space="0" w:color="auto"/>
        <w:left w:val="none" w:sz="0" w:space="0" w:color="auto"/>
        <w:bottom w:val="none" w:sz="0" w:space="0" w:color="auto"/>
        <w:right w:val="none" w:sz="0" w:space="0" w:color="auto"/>
      </w:divBdr>
    </w:div>
    <w:div w:id="1031955428">
      <w:bodyDiv w:val="1"/>
      <w:marLeft w:val="0"/>
      <w:marRight w:val="0"/>
      <w:marTop w:val="0"/>
      <w:marBottom w:val="0"/>
      <w:divBdr>
        <w:top w:val="none" w:sz="0" w:space="0" w:color="auto"/>
        <w:left w:val="none" w:sz="0" w:space="0" w:color="auto"/>
        <w:bottom w:val="none" w:sz="0" w:space="0" w:color="auto"/>
        <w:right w:val="none" w:sz="0" w:space="0" w:color="auto"/>
      </w:divBdr>
    </w:div>
    <w:div w:id="1106389017">
      <w:bodyDiv w:val="1"/>
      <w:marLeft w:val="0"/>
      <w:marRight w:val="0"/>
      <w:marTop w:val="0"/>
      <w:marBottom w:val="0"/>
      <w:divBdr>
        <w:top w:val="none" w:sz="0" w:space="0" w:color="auto"/>
        <w:left w:val="none" w:sz="0" w:space="0" w:color="auto"/>
        <w:bottom w:val="none" w:sz="0" w:space="0" w:color="auto"/>
        <w:right w:val="none" w:sz="0" w:space="0" w:color="auto"/>
      </w:divBdr>
    </w:div>
    <w:div w:id="1126582591">
      <w:bodyDiv w:val="1"/>
      <w:marLeft w:val="0"/>
      <w:marRight w:val="0"/>
      <w:marTop w:val="0"/>
      <w:marBottom w:val="0"/>
      <w:divBdr>
        <w:top w:val="none" w:sz="0" w:space="0" w:color="auto"/>
        <w:left w:val="none" w:sz="0" w:space="0" w:color="auto"/>
        <w:bottom w:val="none" w:sz="0" w:space="0" w:color="auto"/>
        <w:right w:val="none" w:sz="0" w:space="0" w:color="auto"/>
      </w:divBdr>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99726302">
      <w:bodyDiv w:val="1"/>
      <w:marLeft w:val="0"/>
      <w:marRight w:val="0"/>
      <w:marTop w:val="0"/>
      <w:marBottom w:val="0"/>
      <w:divBdr>
        <w:top w:val="none" w:sz="0" w:space="0" w:color="auto"/>
        <w:left w:val="none" w:sz="0" w:space="0" w:color="auto"/>
        <w:bottom w:val="none" w:sz="0" w:space="0" w:color="auto"/>
        <w:right w:val="none" w:sz="0" w:space="0" w:color="auto"/>
      </w:divBdr>
    </w:div>
    <w:div w:id="1362516153">
      <w:bodyDiv w:val="1"/>
      <w:marLeft w:val="0"/>
      <w:marRight w:val="0"/>
      <w:marTop w:val="0"/>
      <w:marBottom w:val="0"/>
      <w:divBdr>
        <w:top w:val="none" w:sz="0" w:space="0" w:color="auto"/>
        <w:left w:val="none" w:sz="0" w:space="0" w:color="auto"/>
        <w:bottom w:val="none" w:sz="0" w:space="0" w:color="auto"/>
        <w:right w:val="none" w:sz="0" w:space="0" w:color="auto"/>
      </w:divBdr>
    </w:div>
    <w:div w:id="1416780549">
      <w:bodyDiv w:val="1"/>
      <w:marLeft w:val="0"/>
      <w:marRight w:val="0"/>
      <w:marTop w:val="0"/>
      <w:marBottom w:val="0"/>
      <w:divBdr>
        <w:top w:val="none" w:sz="0" w:space="0" w:color="auto"/>
        <w:left w:val="none" w:sz="0" w:space="0" w:color="auto"/>
        <w:bottom w:val="none" w:sz="0" w:space="0" w:color="auto"/>
        <w:right w:val="none" w:sz="0" w:space="0" w:color="auto"/>
      </w:divBdr>
    </w:div>
    <w:div w:id="1656296780">
      <w:bodyDiv w:val="1"/>
      <w:marLeft w:val="0"/>
      <w:marRight w:val="0"/>
      <w:marTop w:val="0"/>
      <w:marBottom w:val="0"/>
      <w:divBdr>
        <w:top w:val="none" w:sz="0" w:space="0" w:color="auto"/>
        <w:left w:val="none" w:sz="0" w:space="0" w:color="auto"/>
        <w:bottom w:val="none" w:sz="0" w:space="0" w:color="auto"/>
        <w:right w:val="none" w:sz="0" w:space="0" w:color="auto"/>
      </w:divBdr>
    </w:div>
    <w:div w:id="1698432375">
      <w:bodyDiv w:val="1"/>
      <w:marLeft w:val="0"/>
      <w:marRight w:val="0"/>
      <w:marTop w:val="0"/>
      <w:marBottom w:val="0"/>
      <w:divBdr>
        <w:top w:val="none" w:sz="0" w:space="0" w:color="auto"/>
        <w:left w:val="none" w:sz="0" w:space="0" w:color="auto"/>
        <w:bottom w:val="none" w:sz="0" w:space="0" w:color="auto"/>
        <w:right w:val="none" w:sz="0" w:space="0" w:color="auto"/>
      </w:divBdr>
    </w:div>
    <w:div w:id="1814329354">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1912345079">
      <w:bodyDiv w:val="1"/>
      <w:marLeft w:val="0"/>
      <w:marRight w:val="0"/>
      <w:marTop w:val="0"/>
      <w:marBottom w:val="0"/>
      <w:divBdr>
        <w:top w:val="none" w:sz="0" w:space="0" w:color="auto"/>
        <w:left w:val="none" w:sz="0" w:space="0" w:color="auto"/>
        <w:bottom w:val="none" w:sz="0" w:space="0" w:color="auto"/>
        <w:right w:val="none" w:sz="0" w:space="0" w:color="auto"/>
      </w:divBdr>
    </w:div>
    <w:div w:id="20896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f.gob.mx/nota_detalle.php?codigo=5492254&amp;fecha=28/07/201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anterior.ine.mx/archivos2/tutoriales/sistemas/ApoyoInstitucional/SIF/docs/candidatos/folioFiscalFactura.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2F33-4C53-4304-8D48-7A64D89B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9902</Words>
  <Characters>54462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INFOEM415</cp:lastModifiedBy>
  <cp:revision>4</cp:revision>
  <cp:lastPrinted>2025-03-27T23:57:00Z</cp:lastPrinted>
  <dcterms:created xsi:type="dcterms:W3CDTF">2025-03-27T23:57:00Z</dcterms:created>
  <dcterms:modified xsi:type="dcterms:W3CDTF">2025-04-09T18:57:00Z</dcterms:modified>
</cp:coreProperties>
</file>