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1D2FA5" w:rsidRDefault="00A077F4" w:rsidP="001D2FA5">
      <w:pPr>
        <w:tabs>
          <w:tab w:val="left" w:pos="3465"/>
        </w:tabs>
        <w:spacing w:line="360" w:lineRule="auto"/>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D2FA5">
        <w:rPr>
          <w:rFonts w:ascii="Palatino Linotype" w:eastAsia="Palatino Linotype" w:hAnsi="Palatino Linotype" w:cs="Palatino Linotype"/>
          <w:b/>
          <w:color w:val="000000" w:themeColor="text1"/>
        </w:rPr>
        <w:t xml:space="preserve">de fecha </w:t>
      </w:r>
      <w:r w:rsidR="00D61F51" w:rsidRPr="001D2FA5">
        <w:rPr>
          <w:rFonts w:ascii="Palatino Linotype" w:eastAsia="Palatino Linotype" w:hAnsi="Palatino Linotype" w:cs="Palatino Linotype"/>
          <w:b/>
          <w:color w:val="000000" w:themeColor="text1"/>
        </w:rPr>
        <w:t>veinte (20) de noviembre</w:t>
      </w:r>
      <w:r w:rsidRPr="001D2FA5">
        <w:rPr>
          <w:rFonts w:ascii="Palatino Linotype" w:eastAsia="Palatino Linotype" w:hAnsi="Palatino Linotype" w:cs="Palatino Linotype"/>
          <w:b/>
          <w:color w:val="000000" w:themeColor="text1"/>
        </w:rPr>
        <w:t xml:space="preserve"> de dos mil veinticinco</w:t>
      </w:r>
      <w:r w:rsidRPr="001D2FA5">
        <w:rPr>
          <w:rFonts w:ascii="Palatino Linotype" w:eastAsia="Palatino Linotype" w:hAnsi="Palatino Linotype" w:cs="Palatino Linotype"/>
          <w:color w:val="000000" w:themeColor="text1"/>
        </w:rPr>
        <w:t>.</w:t>
      </w:r>
    </w:p>
    <w:p w:rsidR="0072148B" w:rsidRPr="001D2FA5" w:rsidRDefault="0072148B" w:rsidP="001D2FA5">
      <w:pPr>
        <w:tabs>
          <w:tab w:val="left" w:pos="3465"/>
        </w:tabs>
        <w:spacing w:line="360" w:lineRule="auto"/>
        <w:jc w:val="both"/>
        <w:rPr>
          <w:rFonts w:ascii="Palatino Linotype" w:eastAsia="Palatino Linotype" w:hAnsi="Palatino Linotype" w:cs="Palatino Linotype"/>
          <w:color w:val="000000" w:themeColor="text1"/>
        </w:rPr>
      </w:pPr>
    </w:p>
    <w:p w:rsidR="0072148B" w:rsidRPr="001D2FA5" w:rsidRDefault="00A077F4" w:rsidP="001D2FA5">
      <w:pPr>
        <w:spacing w:line="360" w:lineRule="auto"/>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b/>
          <w:color w:val="000000" w:themeColor="text1"/>
        </w:rPr>
        <w:t xml:space="preserve">VISTAS </w:t>
      </w:r>
      <w:r w:rsidRPr="001D2FA5">
        <w:rPr>
          <w:rFonts w:ascii="Palatino Linotype" w:eastAsia="Palatino Linotype" w:hAnsi="Palatino Linotype" w:cs="Palatino Linotype"/>
          <w:color w:val="000000" w:themeColor="text1"/>
        </w:rPr>
        <w:t xml:space="preserve">las constancias para resolver </w:t>
      </w:r>
      <w:r w:rsidR="002C4BEC" w:rsidRPr="001D2FA5">
        <w:rPr>
          <w:rFonts w:ascii="Palatino Linotype" w:eastAsia="Palatino Linotype" w:hAnsi="Palatino Linotype" w:cs="Palatino Linotype"/>
          <w:color w:val="000000" w:themeColor="text1"/>
        </w:rPr>
        <w:t>el Recurso</w:t>
      </w:r>
      <w:r w:rsidRPr="001D2FA5">
        <w:rPr>
          <w:rFonts w:ascii="Palatino Linotype" w:eastAsia="Palatino Linotype" w:hAnsi="Palatino Linotype" w:cs="Palatino Linotype"/>
          <w:color w:val="000000" w:themeColor="text1"/>
        </w:rPr>
        <w:t xml:space="preserve"> de Revisión </w:t>
      </w:r>
      <w:r w:rsidR="005A383D" w:rsidRPr="001D2FA5">
        <w:rPr>
          <w:rFonts w:ascii="Palatino Linotype" w:eastAsia="Palatino Linotype" w:hAnsi="Palatino Linotype" w:cs="Palatino Linotype"/>
          <w:b/>
          <w:color w:val="000000" w:themeColor="text1"/>
        </w:rPr>
        <w:t>07698</w:t>
      </w:r>
      <w:r w:rsidRPr="001D2FA5">
        <w:rPr>
          <w:rFonts w:ascii="Palatino Linotype" w:eastAsia="Palatino Linotype" w:hAnsi="Palatino Linotype" w:cs="Palatino Linotype"/>
          <w:b/>
          <w:color w:val="000000" w:themeColor="text1"/>
        </w:rPr>
        <w:t>/INFOEM/IP/RR/2025</w:t>
      </w:r>
      <w:r w:rsidR="002C4BEC" w:rsidRPr="001D2FA5">
        <w:rPr>
          <w:rFonts w:ascii="Palatino Linotype" w:eastAsia="Palatino Linotype" w:hAnsi="Palatino Linotype" w:cs="Palatino Linotype"/>
          <w:color w:val="000000" w:themeColor="text1"/>
        </w:rPr>
        <w:t>, promovido</w:t>
      </w:r>
      <w:r w:rsidRPr="001D2FA5">
        <w:rPr>
          <w:rFonts w:ascii="Palatino Linotype" w:eastAsia="Palatino Linotype" w:hAnsi="Palatino Linotype" w:cs="Palatino Linotype"/>
          <w:color w:val="000000" w:themeColor="text1"/>
        </w:rPr>
        <w:t xml:space="preserve"> por </w:t>
      </w:r>
      <w:r w:rsidR="00B95873" w:rsidRPr="001D2FA5">
        <w:rPr>
          <w:rFonts w:ascii="Palatino Linotype" w:eastAsia="Palatino Linotype" w:hAnsi="Palatino Linotype" w:cs="Palatino Linotype"/>
          <w:color w:val="000000" w:themeColor="text1"/>
        </w:rPr>
        <w:t xml:space="preserve">una persona </w:t>
      </w:r>
      <w:r w:rsidR="009E4A3F" w:rsidRPr="001D2FA5">
        <w:rPr>
          <w:rFonts w:ascii="Palatino Linotype" w:eastAsia="Palatino Linotype" w:hAnsi="Palatino Linotype" w:cs="Palatino Linotype"/>
          <w:color w:val="000000" w:themeColor="text1"/>
        </w:rPr>
        <w:t xml:space="preserve">que se registró como </w:t>
      </w:r>
      <w:r w:rsidR="00152C3E">
        <w:rPr>
          <w:rFonts w:ascii="Palatino Linotype" w:eastAsia="Palatino Linotype" w:hAnsi="Palatino Linotype" w:cs="Palatino Linotype"/>
          <w:b/>
          <w:bCs/>
          <w:color w:val="000000" w:themeColor="text1"/>
        </w:rPr>
        <w:t>XXXX</w:t>
      </w:r>
      <w:r w:rsidRPr="001D2FA5">
        <w:rPr>
          <w:rFonts w:ascii="Palatino Linotype" w:eastAsia="Palatino Linotype" w:hAnsi="Palatino Linotype" w:cs="Palatino Linotype"/>
          <w:color w:val="000000" w:themeColor="text1"/>
        </w:rPr>
        <w:t xml:space="preserve">, en lo sucesivo </w:t>
      </w:r>
      <w:r w:rsidRPr="001D2FA5">
        <w:rPr>
          <w:rFonts w:ascii="Palatino Linotype" w:eastAsia="Palatino Linotype" w:hAnsi="Palatino Linotype" w:cs="Palatino Linotype"/>
          <w:b/>
          <w:color w:val="000000" w:themeColor="text1"/>
        </w:rPr>
        <w:t>EL RECURRENTE</w:t>
      </w:r>
      <w:r w:rsidRPr="001D2FA5">
        <w:rPr>
          <w:rFonts w:ascii="Palatino Linotype" w:eastAsia="Palatino Linotype" w:hAnsi="Palatino Linotype" w:cs="Palatino Linotype"/>
          <w:color w:val="000000" w:themeColor="text1"/>
        </w:rPr>
        <w:t>, en contr</w:t>
      </w:r>
      <w:r w:rsidR="002C4BEC" w:rsidRPr="001D2FA5">
        <w:rPr>
          <w:rFonts w:ascii="Palatino Linotype" w:eastAsia="Palatino Linotype" w:hAnsi="Palatino Linotype" w:cs="Palatino Linotype"/>
          <w:color w:val="000000" w:themeColor="text1"/>
        </w:rPr>
        <w:t>a de la respuesta otorgada a la solicitud</w:t>
      </w:r>
      <w:r w:rsidRPr="001D2FA5">
        <w:rPr>
          <w:rFonts w:ascii="Palatino Linotype" w:eastAsia="Palatino Linotype" w:hAnsi="Palatino Linotype" w:cs="Palatino Linotype"/>
          <w:color w:val="000000" w:themeColor="text1"/>
        </w:rPr>
        <w:t xml:space="preserve"> de información </w:t>
      </w:r>
      <w:r w:rsidR="005A383D" w:rsidRPr="001D2FA5">
        <w:rPr>
          <w:rFonts w:ascii="Palatino Linotype" w:eastAsia="Palatino Linotype" w:hAnsi="Palatino Linotype" w:cs="Palatino Linotype"/>
          <w:b/>
          <w:color w:val="000000" w:themeColor="text1"/>
        </w:rPr>
        <w:t>00160/VICARBO/IP/2025</w:t>
      </w:r>
      <w:r w:rsidRPr="001D2FA5">
        <w:rPr>
          <w:rFonts w:ascii="Palatino Linotype" w:eastAsia="Palatino Linotype" w:hAnsi="Palatino Linotype" w:cs="Palatino Linotype"/>
          <w:color w:val="000000" w:themeColor="text1"/>
        </w:rPr>
        <w:t xml:space="preserve">, por parte del </w:t>
      </w:r>
      <w:r w:rsidR="005A383D" w:rsidRPr="001D2FA5">
        <w:rPr>
          <w:rFonts w:ascii="Palatino Linotype" w:eastAsia="Palatino Linotype" w:hAnsi="Palatino Linotype" w:cs="Palatino Linotype"/>
          <w:b/>
          <w:color w:val="000000" w:themeColor="text1"/>
        </w:rPr>
        <w:t>Ayuntamiento de Villa del Carbón</w:t>
      </w:r>
      <w:r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color w:val="000000" w:themeColor="text1"/>
        </w:rPr>
        <w:t xml:space="preserve">en adelante el </w:t>
      </w:r>
      <w:r w:rsidRPr="001D2FA5">
        <w:rPr>
          <w:rFonts w:ascii="Palatino Linotype" w:eastAsia="Palatino Linotype" w:hAnsi="Palatino Linotype" w:cs="Palatino Linotype"/>
          <w:b/>
          <w:color w:val="000000" w:themeColor="text1"/>
        </w:rPr>
        <w:t>SUJETO OBLIGADO</w:t>
      </w:r>
      <w:r w:rsidRPr="001D2FA5">
        <w:rPr>
          <w:rFonts w:ascii="Palatino Linotype" w:eastAsia="Palatino Linotype" w:hAnsi="Palatino Linotype" w:cs="Palatino Linotype"/>
          <w:color w:val="000000" w:themeColor="text1"/>
        </w:rPr>
        <w:t>, se emite la presente resolución con base en los siguientes:</w:t>
      </w:r>
    </w:p>
    <w:p w:rsidR="0072148B" w:rsidRPr="001D2FA5" w:rsidRDefault="00AF6B09" w:rsidP="001D2FA5">
      <w:pPr>
        <w:spacing w:line="360" w:lineRule="auto"/>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 xml:space="preserve"> </w:t>
      </w:r>
    </w:p>
    <w:p w:rsidR="0072148B" w:rsidRPr="001D2FA5" w:rsidRDefault="00A077F4" w:rsidP="001D2FA5">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1D2FA5">
        <w:rPr>
          <w:rFonts w:ascii="Palatino Linotype" w:eastAsia="Palatino Linotype" w:hAnsi="Palatino Linotype" w:cs="Palatino Linotype"/>
          <w:b/>
          <w:color w:val="000000" w:themeColor="text1"/>
          <w:sz w:val="24"/>
          <w:szCs w:val="24"/>
        </w:rPr>
        <w:t>A N T E C E D E N T E S</w:t>
      </w:r>
    </w:p>
    <w:p w:rsidR="0072148B" w:rsidRPr="001D2FA5" w:rsidRDefault="0072148B" w:rsidP="001D2FA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1D2FA5" w:rsidRDefault="00A077F4" w:rsidP="001D2FA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 xml:space="preserve">El </w:t>
      </w:r>
      <w:r w:rsidR="005A383D" w:rsidRPr="001D2FA5">
        <w:rPr>
          <w:rFonts w:ascii="Palatino Linotype" w:eastAsia="Palatino Linotype" w:hAnsi="Palatino Linotype" w:cs="Palatino Linotype"/>
          <w:b/>
          <w:color w:val="000000" w:themeColor="text1"/>
        </w:rPr>
        <w:t>tres de junio</w:t>
      </w:r>
      <w:r w:rsidRPr="001D2FA5">
        <w:rPr>
          <w:rFonts w:ascii="Palatino Linotype" w:eastAsia="Palatino Linotype" w:hAnsi="Palatino Linotype" w:cs="Palatino Linotype"/>
          <w:b/>
          <w:color w:val="000000" w:themeColor="text1"/>
        </w:rPr>
        <w:t xml:space="preserve"> de dos mil veinticinco</w:t>
      </w:r>
      <w:r w:rsidRPr="001D2FA5">
        <w:rPr>
          <w:rFonts w:ascii="Palatino Linotype" w:eastAsia="Palatino Linotype" w:hAnsi="Palatino Linotype" w:cs="Palatino Linotype"/>
          <w:color w:val="000000" w:themeColor="text1"/>
        </w:rPr>
        <w:t>,</w:t>
      </w:r>
      <w:r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color w:val="000000" w:themeColor="text1"/>
        </w:rPr>
        <w:t>se presentó ante el Sujeto Obligado vía Sistema de Acceso a la Información Mex</w:t>
      </w:r>
      <w:r w:rsidR="002C4BEC" w:rsidRPr="001D2FA5">
        <w:rPr>
          <w:rFonts w:ascii="Palatino Linotype" w:eastAsia="Palatino Linotype" w:hAnsi="Palatino Linotype" w:cs="Palatino Linotype"/>
          <w:color w:val="000000" w:themeColor="text1"/>
        </w:rPr>
        <w:t xml:space="preserve">iquense, en adelante SAIMEX, la siguiente </w:t>
      </w:r>
      <w:r w:rsidR="002C4BEC" w:rsidRPr="001D2FA5">
        <w:rPr>
          <w:rFonts w:ascii="Palatino Linotype" w:eastAsia="Palatino Linotype" w:hAnsi="Palatino Linotype" w:cs="Palatino Linotype"/>
          <w:b/>
          <w:color w:val="000000" w:themeColor="text1"/>
        </w:rPr>
        <w:t xml:space="preserve">solicitud </w:t>
      </w:r>
      <w:r w:rsidRPr="001D2FA5">
        <w:rPr>
          <w:rFonts w:ascii="Palatino Linotype" w:eastAsia="Palatino Linotype" w:hAnsi="Palatino Linotype" w:cs="Palatino Linotype"/>
          <w:b/>
          <w:color w:val="000000" w:themeColor="text1"/>
        </w:rPr>
        <w:t>de información pública</w:t>
      </w:r>
      <w:r w:rsidRPr="001D2FA5">
        <w:rPr>
          <w:rFonts w:ascii="Palatino Linotype" w:eastAsia="Palatino Linotype" w:hAnsi="Palatino Linotype" w:cs="Palatino Linotype"/>
          <w:color w:val="000000" w:themeColor="text1"/>
        </w:rPr>
        <w:t>:</w:t>
      </w:r>
    </w:p>
    <w:p w:rsidR="0072148B" w:rsidRPr="001D2FA5" w:rsidRDefault="0072148B" w:rsidP="001D2FA5">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1D2FA5" w:rsidRDefault="002C4BEC" w:rsidP="001D2FA5">
      <w:pPr>
        <w:pBdr>
          <w:top w:val="nil"/>
          <w:left w:val="nil"/>
          <w:bottom w:val="nil"/>
          <w:right w:val="nil"/>
          <w:between w:val="nil"/>
        </w:pBd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 xml:space="preserve"> </w:t>
      </w:r>
      <w:r w:rsidR="00223B24" w:rsidRPr="001D2FA5">
        <w:rPr>
          <w:rFonts w:ascii="Palatino Linotype" w:eastAsia="Palatino Linotype" w:hAnsi="Palatino Linotype" w:cs="Palatino Linotype"/>
          <w:i/>
          <w:color w:val="000000" w:themeColor="text1"/>
        </w:rPr>
        <w:t>“</w:t>
      </w:r>
      <w:r w:rsidR="005A383D" w:rsidRPr="001D2FA5">
        <w:rPr>
          <w:rFonts w:ascii="Palatino Linotype" w:eastAsia="Palatino Linotype" w:hAnsi="Palatino Linotype" w:cs="Palatino Linotype"/>
          <w:i/>
          <w:color w:val="000000" w:themeColor="text1"/>
        </w:rPr>
        <w:t>Solicito el acta de cabildo que tiene el secretario del ayuntamiento ignacio juarez hernandez, en donde se autoriza que jose luis topete torres contralor municipal nunca vaya a su oficina</w:t>
      </w:r>
      <w:r w:rsidR="00223B24" w:rsidRPr="001D2FA5">
        <w:rPr>
          <w:rFonts w:ascii="Palatino Linotype" w:eastAsia="Palatino Linotype" w:hAnsi="Palatino Linotype" w:cs="Palatino Linotype"/>
          <w:i/>
          <w:color w:val="000000" w:themeColor="text1"/>
        </w:rPr>
        <w:t>” (Sic)</w:t>
      </w:r>
    </w:p>
    <w:p w:rsidR="00223B24" w:rsidRDefault="00223B24" w:rsidP="001D2FA5">
      <w:pPr>
        <w:pBdr>
          <w:top w:val="nil"/>
          <w:left w:val="nil"/>
          <w:bottom w:val="nil"/>
          <w:right w:val="nil"/>
          <w:between w:val="nil"/>
        </w:pBdr>
        <w:jc w:val="both"/>
        <w:rPr>
          <w:rFonts w:ascii="Palatino Linotype" w:eastAsia="Palatino Linotype" w:hAnsi="Palatino Linotype" w:cs="Palatino Linotype"/>
          <w:i/>
          <w:color w:val="000000" w:themeColor="text1"/>
        </w:rPr>
      </w:pPr>
    </w:p>
    <w:p w:rsidR="00035593" w:rsidRPr="001D2FA5" w:rsidRDefault="00035593" w:rsidP="001D2FA5">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1D2FA5" w:rsidRDefault="00A077F4" w:rsidP="001D2FA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 xml:space="preserve">Se eligió como modalidad de entrega de la información: A través del </w:t>
      </w:r>
      <w:r w:rsidRPr="001D2FA5">
        <w:rPr>
          <w:rFonts w:ascii="Palatino Linotype" w:eastAsia="Palatino Linotype" w:hAnsi="Palatino Linotype" w:cs="Palatino Linotype"/>
          <w:b/>
          <w:color w:val="000000" w:themeColor="text1"/>
        </w:rPr>
        <w:t>SAIMEX.</w:t>
      </w:r>
    </w:p>
    <w:p w:rsidR="00413E57" w:rsidRDefault="00413E57" w:rsidP="001D2FA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35593" w:rsidRPr="001D2FA5" w:rsidRDefault="00035593" w:rsidP="001D2FA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1D2FA5" w:rsidRDefault="00A077F4" w:rsidP="001D2FA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El</w:t>
      </w:r>
      <w:r w:rsidRPr="001D2FA5">
        <w:rPr>
          <w:rFonts w:ascii="Palatino Linotype" w:eastAsia="Palatino Linotype" w:hAnsi="Palatino Linotype" w:cs="Palatino Linotype"/>
          <w:b/>
          <w:color w:val="000000" w:themeColor="text1"/>
        </w:rPr>
        <w:t xml:space="preserve"> </w:t>
      </w:r>
      <w:r w:rsidR="005A383D" w:rsidRPr="001D2FA5">
        <w:rPr>
          <w:rFonts w:ascii="Palatino Linotype" w:eastAsia="Palatino Linotype" w:hAnsi="Palatino Linotype" w:cs="Palatino Linotype"/>
          <w:b/>
          <w:color w:val="000000" w:themeColor="text1"/>
        </w:rPr>
        <w:t>veinte de junio</w:t>
      </w:r>
      <w:r w:rsidRPr="001D2FA5">
        <w:rPr>
          <w:rFonts w:ascii="Palatino Linotype" w:eastAsia="Palatino Linotype" w:hAnsi="Palatino Linotype" w:cs="Palatino Linotype"/>
          <w:b/>
          <w:color w:val="000000" w:themeColor="text1"/>
        </w:rPr>
        <w:t xml:space="preserve"> de dos mil veinticinco</w:t>
      </w:r>
      <w:r w:rsidRPr="001D2FA5">
        <w:rPr>
          <w:rFonts w:ascii="Palatino Linotype" w:eastAsia="Palatino Linotype" w:hAnsi="Palatino Linotype" w:cs="Palatino Linotype"/>
          <w:color w:val="000000" w:themeColor="text1"/>
        </w:rPr>
        <w:t>, el Sujeto Obligado</w:t>
      </w:r>
      <w:r w:rsidRPr="001D2FA5">
        <w:rPr>
          <w:rFonts w:ascii="Palatino Linotype" w:eastAsia="Palatino Linotype" w:hAnsi="Palatino Linotype" w:cs="Palatino Linotype"/>
          <w:b/>
          <w:color w:val="000000" w:themeColor="text1"/>
        </w:rPr>
        <w:t>,</w:t>
      </w:r>
      <w:r w:rsidRPr="001D2FA5">
        <w:rPr>
          <w:rFonts w:ascii="Palatino Linotype" w:eastAsia="Palatino Linotype" w:hAnsi="Palatino Linotype" w:cs="Palatino Linotype"/>
          <w:color w:val="000000" w:themeColor="text1"/>
        </w:rPr>
        <w:t xml:space="preserve"> dio </w:t>
      </w:r>
      <w:r w:rsidRPr="001D2FA5">
        <w:rPr>
          <w:rFonts w:ascii="Palatino Linotype" w:eastAsia="Palatino Linotype" w:hAnsi="Palatino Linotype" w:cs="Palatino Linotype"/>
          <w:b/>
          <w:color w:val="000000" w:themeColor="text1"/>
        </w:rPr>
        <w:t>respuesta</w:t>
      </w:r>
      <w:r w:rsidRPr="001D2FA5">
        <w:rPr>
          <w:rFonts w:ascii="Palatino Linotype" w:eastAsia="Palatino Linotype" w:hAnsi="Palatino Linotype" w:cs="Palatino Linotype"/>
          <w:color w:val="000000" w:themeColor="text1"/>
        </w:rPr>
        <w:t xml:space="preserve"> a través de</w:t>
      </w:r>
      <w:r w:rsidR="00452797" w:rsidRPr="001D2FA5">
        <w:rPr>
          <w:rFonts w:ascii="Palatino Linotype" w:eastAsia="Palatino Linotype" w:hAnsi="Palatino Linotype" w:cs="Palatino Linotype"/>
          <w:color w:val="000000" w:themeColor="text1"/>
        </w:rPr>
        <w:t xml:space="preserve"> los</w:t>
      </w:r>
      <w:r w:rsidRPr="001D2FA5">
        <w:rPr>
          <w:rFonts w:ascii="Palatino Linotype" w:eastAsia="Palatino Linotype" w:hAnsi="Palatino Linotype" w:cs="Palatino Linotype"/>
          <w:color w:val="000000" w:themeColor="text1"/>
        </w:rPr>
        <w:t xml:space="preserve"> </w:t>
      </w:r>
      <w:r w:rsidR="008419F5" w:rsidRPr="001D2FA5">
        <w:rPr>
          <w:rFonts w:ascii="Palatino Linotype" w:eastAsia="Palatino Linotype" w:hAnsi="Palatino Linotype" w:cs="Palatino Linotype"/>
          <w:color w:val="000000" w:themeColor="text1"/>
        </w:rPr>
        <w:t>siguiente</w:t>
      </w:r>
      <w:r w:rsidR="00452797" w:rsidRPr="001D2FA5">
        <w:rPr>
          <w:rFonts w:ascii="Palatino Linotype" w:eastAsia="Palatino Linotype" w:hAnsi="Palatino Linotype" w:cs="Palatino Linotype"/>
          <w:color w:val="000000" w:themeColor="text1"/>
        </w:rPr>
        <w:t>s</w:t>
      </w:r>
      <w:r w:rsidR="008419F5" w:rsidRPr="001D2FA5">
        <w:rPr>
          <w:rFonts w:ascii="Palatino Linotype" w:eastAsia="Palatino Linotype" w:hAnsi="Palatino Linotype" w:cs="Palatino Linotype"/>
          <w:color w:val="000000" w:themeColor="text1"/>
        </w:rPr>
        <w:t xml:space="preserve"> archivo</w:t>
      </w:r>
      <w:r w:rsidR="00452797" w:rsidRPr="001D2FA5">
        <w:rPr>
          <w:rFonts w:ascii="Palatino Linotype" w:eastAsia="Palatino Linotype" w:hAnsi="Palatino Linotype" w:cs="Palatino Linotype"/>
          <w:color w:val="000000" w:themeColor="text1"/>
        </w:rPr>
        <w:t>s</w:t>
      </w:r>
      <w:r w:rsidR="008419F5" w:rsidRPr="001D2FA5">
        <w:rPr>
          <w:rFonts w:ascii="Palatino Linotype" w:eastAsia="Palatino Linotype" w:hAnsi="Palatino Linotype" w:cs="Palatino Linotype"/>
          <w:color w:val="000000" w:themeColor="text1"/>
        </w:rPr>
        <w:t xml:space="preserve"> electrónico</w:t>
      </w:r>
      <w:r w:rsidR="00452797" w:rsidRPr="001D2FA5">
        <w:rPr>
          <w:rFonts w:ascii="Palatino Linotype" w:eastAsia="Palatino Linotype" w:hAnsi="Palatino Linotype" w:cs="Palatino Linotype"/>
          <w:color w:val="000000" w:themeColor="text1"/>
        </w:rPr>
        <w:t>s</w:t>
      </w:r>
      <w:r w:rsidRPr="001D2FA5">
        <w:rPr>
          <w:rFonts w:ascii="Palatino Linotype" w:eastAsia="Palatino Linotype" w:hAnsi="Palatino Linotype" w:cs="Palatino Linotype"/>
          <w:b/>
          <w:i/>
          <w:color w:val="000000" w:themeColor="text1"/>
        </w:rPr>
        <w:t>:</w:t>
      </w:r>
    </w:p>
    <w:p w:rsidR="003A0961" w:rsidRPr="001D2FA5" w:rsidRDefault="003A0961" w:rsidP="001D2FA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34F2B" w:rsidRPr="001D2FA5" w:rsidRDefault="003A0961" w:rsidP="001D2FA5">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1D2FA5">
        <w:rPr>
          <w:rFonts w:ascii="Palatino Linotype" w:eastAsia="Palatino Linotype" w:hAnsi="Palatino Linotype" w:cs="Palatino Linotype"/>
          <w:b/>
          <w:i/>
          <w:color w:val="000000" w:themeColor="text1"/>
        </w:rPr>
        <w:lastRenderedPageBreak/>
        <w:t>Oficio UT 375 contestación SIP 00160-VICARBO-IP-2025 (Petición).docx.pdf</w:t>
      </w:r>
    </w:p>
    <w:p w:rsidR="003A0961" w:rsidRPr="001D2FA5" w:rsidRDefault="003A0961" w:rsidP="001D2FA5">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Oficio: VC/UT/0375/2025 de fecha 20 de junio de 2025, firmado por el Titular de la Unidad de Transparencia, a través del cual refiere lo siguiente:</w:t>
      </w:r>
    </w:p>
    <w:p w:rsidR="003A0961" w:rsidRPr="001D2FA5" w:rsidRDefault="003A0961" w:rsidP="001D2FA5">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3A0961" w:rsidRPr="001D2FA5" w:rsidRDefault="003A0961" w:rsidP="001D2FA5">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 xml:space="preserve">“… del análisis de su solicitud de información antes citada, se observa que usted manifiesta una inquietud, es decir, no se deduce derecho alguno de acceso a la información pública que pueda colmarse con documento, por lo que se pone en evidencia que no se está ante una hipótesis prevista por la Ley de Transparencia y Acceso a la Información Pública del Estado de México y Municipios y que constriña a este sujeto obligado a generar, administrar o que de algún modo forme parte de sus archivos. </w:t>
      </w:r>
    </w:p>
    <w:p w:rsidR="003A0961" w:rsidRPr="001D2FA5" w:rsidRDefault="003A0961" w:rsidP="001D2FA5">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3A0961" w:rsidRPr="001D2FA5" w:rsidRDefault="003A0961" w:rsidP="001D2FA5">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 xml:space="preserve">Bajo esa perspectiva, </w:t>
      </w:r>
      <w:r w:rsidRPr="001D2FA5">
        <w:rPr>
          <w:rFonts w:ascii="Palatino Linotype" w:eastAsia="Palatino Linotype" w:hAnsi="Palatino Linotype" w:cs="Palatino Linotype"/>
          <w:b/>
          <w:i/>
          <w:color w:val="000000" w:themeColor="text1"/>
        </w:rPr>
        <w:t>se advierte que su pretensión va encaminada a una petición</w:t>
      </w:r>
      <w:r w:rsidRPr="001D2FA5">
        <w:rPr>
          <w:rFonts w:ascii="Palatino Linotype" w:eastAsia="Palatino Linotype" w:hAnsi="Palatino Linotype" w:cs="Palatino Linotype"/>
          <w:i/>
          <w:color w:val="000000" w:themeColor="text1"/>
        </w:rPr>
        <w:t xml:space="preserve"> y consiste en obligar a este sujeto obligado a que actúe en el sentido de contestar lo solicitado, es así que, la entrega de una razón o un razonamiento por parte del Ayuntamiento de Villa del Carbón Estado de México, no es algo que la Ley establezca como atribución, derecho, o facultad; pues ello implicaría un juicio de valor referente a un cuestionamiento realizado, los cuales, al constituir interrogantes, inquietudes y manifestaciones se convierte en una petición.</w:t>
      </w:r>
    </w:p>
    <w:p w:rsidR="003A0961" w:rsidRPr="001D2FA5" w:rsidRDefault="003A0961" w:rsidP="001D2FA5">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3A0961" w:rsidRPr="001D2FA5" w:rsidRDefault="003A0961" w:rsidP="001D2FA5">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 este Sujeto Obligado no está obligado a generar un documento ad hoc para para satisfacer el derecho de acceso…” (Sic)</w:t>
      </w:r>
    </w:p>
    <w:p w:rsidR="008419F5" w:rsidRPr="001D2FA5" w:rsidRDefault="008419F5" w:rsidP="001D2FA5">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2C7769" w:rsidRPr="001D2FA5" w:rsidRDefault="002C7769" w:rsidP="001D2FA5">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72148B" w:rsidRPr="001D2FA5" w:rsidRDefault="00A077F4" w:rsidP="001D2FA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El</w:t>
      </w:r>
      <w:r w:rsidRPr="001D2FA5">
        <w:rPr>
          <w:rFonts w:ascii="Palatino Linotype" w:eastAsia="Palatino Linotype" w:hAnsi="Palatino Linotype" w:cs="Palatino Linotype"/>
          <w:b/>
          <w:color w:val="000000" w:themeColor="text1"/>
        </w:rPr>
        <w:t xml:space="preserve"> </w:t>
      </w:r>
      <w:r w:rsidR="00311283" w:rsidRPr="001D2FA5">
        <w:rPr>
          <w:rFonts w:ascii="Palatino Linotype" w:eastAsia="Palatino Linotype" w:hAnsi="Palatino Linotype" w:cs="Palatino Linotype"/>
          <w:b/>
          <w:color w:val="000000" w:themeColor="text1"/>
        </w:rPr>
        <w:t>veinticuatro</w:t>
      </w:r>
      <w:r w:rsidR="001104CA" w:rsidRPr="001D2FA5">
        <w:rPr>
          <w:rFonts w:ascii="Palatino Linotype" w:eastAsia="Palatino Linotype" w:hAnsi="Palatino Linotype" w:cs="Palatino Linotype"/>
          <w:b/>
          <w:color w:val="000000" w:themeColor="text1"/>
        </w:rPr>
        <w:t xml:space="preserve"> de junio</w:t>
      </w:r>
      <w:r w:rsidRPr="001D2FA5">
        <w:rPr>
          <w:rFonts w:ascii="Palatino Linotype" w:eastAsia="Palatino Linotype" w:hAnsi="Palatino Linotype" w:cs="Palatino Linotype"/>
          <w:b/>
          <w:color w:val="000000" w:themeColor="text1"/>
        </w:rPr>
        <w:t xml:space="preserve"> de dos mil veinticinco</w:t>
      </w:r>
      <w:r w:rsidRPr="001D2FA5">
        <w:rPr>
          <w:rFonts w:ascii="Palatino Linotype" w:eastAsia="Palatino Linotype" w:hAnsi="Palatino Linotype" w:cs="Palatino Linotype"/>
          <w:color w:val="000000" w:themeColor="text1"/>
        </w:rPr>
        <w:t xml:space="preserve">, el particular interpuso </w:t>
      </w:r>
      <w:r w:rsidR="00E30A06" w:rsidRPr="001D2FA5">
        <w:rPr>
          <w:rFonts w:ascii="Palatino Linotype" w:eastAsia="Palatino Linotype" w:hAnsi="Palatino Linotype" w:cs="Palatino Linotype"/>
          <w:color w:val="000000" w:themeColor="text1"/>
        </w:rPr>
        <w:t xml:space="preserve">el </w:t>
      </w:r>
      <w:r w:rsidR="00E30A06" w:rsidRPr="001D2FA5">
        <w:rPr>
          <w:rFonts w:ascii="Palatino Linotype" w:eastAsia="Palatino Linotype" w:hAnsi="Palatino Linotype" w:cs="Palatino Linotype"/>
          <w:b/>
          <w:color w:val="000000" w:themeColor="text1"/>
        </w:rPr>
        <w:t>recurso</w:t>
      </w:r>
      <w:r w:rsidRPr="001D2FA5">
        <w:rPr>
          <w:rFonts w:ascii="Palatino Linotype" w:eastAsia="Palatino Linotype" w:hAnsi="Palatino Linotype" w:cs="Palatino Linotype"/>
          <w:b/>
          <w:color w:val="000000" w:themeColor="text1"/>
        </w:rPr>
        <w:t xml:space="preserve"> de revisión</w:t>
      </w:r>
      <w:r w:rsidRPr="001D2FA5">
        <w:rPr>
          <w:rFonts w:ascii="Palatino Linotype" w:eastAsia="Palatino Linotype" w:hAnsi="Palatino Linotype" w:cs="Palatino Linotype"/>
          <w:color w:val="000000" w:themeColor="text1"/>
        </w:rPr>
        <w:t xml:space="preserve"> a</w:t>
      </w:r>
      <w:r w:rsidR="00E30A06" w:rsidRPr="001D2FA5">
        <w:rPr>
          <w:rFonts w:ascii="Palatino Linotype" w:eastAsia="Palatino Linotype" w:hAnsi="Palatino Linotype" w:cs="Palatino Linotype"/>
          <w:color w:val="000000" w:themeColor="text1"/>
        </w:rPr>
        <w:t>l</w:t>
      </w:r>
      <w:r w:rsidRPr="001D2FA5">
        <w:rPr>
          <w:rFonts w:ascii="Palatino Linotype" w:eastAsia="Palatino Linotype" w:hAnsi="Palatino Linotype" w:cs="Palatino Linotype"/>
          <w:color w:val="000000" w:themeColor="text1"/>
        </w:rPr>
        <w:t xml:space="preserve"> </w:t>
      </w:r>
      <w:r w:rsidR="00E30A06" w:rsidRPr="001D2FA5">
        <w:rPr>
          <w:rFonts w:ascii="Palatino Linotype" w:eastAsia="Palatino Linotype" w:hAnsi="Palatino Linotype" w:cs="Palatino Linotype"/>
          <w:color w:val="000000" w:themeColor="text1"/>
        </w:rPr>
        <w:t>que se le</w:t>
      </w:r>
      <w:r w:rsidRPr="001D2FA5">
        <w:rPr>
          <w:rFonts w:ascii="Palatino Linotype" w:eastAsia="Palatino Linotype" w:hAnsi="Palatino Linotype" w:cs="Palatino Linotype"/>
          <w:color w:val="000000" w:themeColor="text1"/>
        </w:rPr>
        <w:t xml:space="preserve"> </w:t>
      </w:r>
      <w:r w:rsidR="00E30A06" w:rsidRPr="001D2FA5">
        <w:rPr>
          <w:rFonts w:ascii="Palatino Linotype" w:eastAsia="Palatino Linotype" w:hAnsi="Palatino Linotype" w:cs="Palatino Linotype"/>
          <w:color w:val="000000" w:themeColor="text1"/>
        </w:rPr>
        <w:t>asignó</w:t>
      </w:r>
      <w:r w:rsidRPr="001D2FA5">
        <w:rPr>
          <w:rFonts w:ascii="Palatino Linotype" w:eastAsia="Palatino Linotype" w:hAnsi="Palatino Linotype" w:cs="Palatino Linotype"/>
          <w:color w:val="000000" w:themeColor="text1"/>
        </w:rPr>
        <w:t xml:space="preserve"> </w:t>
      </w:r>
      <w:r w:rsidR="00E30A06" w:rsidRPr="001D2FA5">
        <w:rPr>
          <w:rFonts w:ascii="Palatino Linotype" w:eastAsia="Palatino Linotype" w:hAnsi="Palatino Linotype" w:cs="Palatino Linotype"/>
          <w:color w:val="000000" w:themeColor="text1"/>
        </w:rPr>
        <w:t>el folio</w:t>
      </w:r>
      <w:r w:rsidRPr="001D2FA5">
        <w:rPr>
          <w:rFonts w:ascii="Palatino Linotype" w:eastAsia="Palatino Linotype" w:hAnsi="Palatino Linotype" w:cs="Palatino Linotype"/>
          <w:color w:val="000000" w:themeColor="text1"/>
        </w:rPr>
        <w:t xml:space="preserve"> </w:t>
      </w:r>
      <w:r w:rsidR="00311283" w:rsidRPr="001D2FA5">
        <w:rPr>
          <w:rFonts w:ascii="Palatino Linotype" w:eastAsia="Palatino Linotype" w:hAnsi="Palatino Linotype" w:cs="Palatino Linotype"/>
          <w:b/>
          <w:color w:val="000000" w:themeColor="text1"/>
        </w:rPr>
        <w:t>07698</w:t>
      </w:r>
      <w:r w:rsidR="00E30A06" w:rsidRPr="001D2FA5">
        <w:rPr>
          <w:rFonts w:ascii="Palatino Linotype" w:eastAsia="Palatino Linotype" w:hAnsi="Palatino Linotype" w:cs="Palatino Linotype"/>
          <w:b/>
          <w:color w:val="000000" w:themeColor="text1"/>
        </w:rPr>
        <w:t>/INFOEM/IP/RR/2025</w:t>
      </w:r>
      <w:r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color w:val="000000" w:themeColor="text1"/>
        </w:rPr>
        <w:t xml:space="preserve">en contra de </w:t>
      </w:r>
      <w:r w:rsidR="00E30A06" w:rsidRPr="001D2FA5">
        <w:rPr>
          <w:rFonts w:ascii="Palatino Linotype" w:eastAsia="Palatino Linotype" w:hAnsi="Palatino Linotype" w:cs="Palatino Linotype"/>
          <w:color w:val="000000" w:themeColor="text1"/>
        </w:rPr>
        <w:t>la respuesta emitida</w:t>
      </w:r>
      <w:r w:rsidRPr="001D2FA5">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1D2FA5" w:rsidRDefault="0033402D" w:rsidP="001D2FA5">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035593" w:rsidRDefault="00A077F4" w:rsidP="00035593">
      <w:pPr>
        <w:pStyle w:val="Prrafodelista"/>
        <w:numPr>
          <w:ilvl w:val="0"/>
          <w:numId w:val="48"/>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1" w:name="_heading=h.30j0zll" w:colFirst="0" w:colLast="0"/>
      <w:bookmarkEnd w:id="1"/>
      <w:r w:rsidRPr="00035593">
        <w:rPr>
          <w:rFonts w:ascii="Palatino Linotype" w:eastAsia="Palatino Linotype" w:hAnsi="Palatino Linotype" w:cs="Palatino Linotype"/>
          <w:b/>
          <w:color w:val="000000" w:themeColor="text1"/>
        </w:rPr>
        <w:t xml:space="preserve">Acto impugnado: </w:t>
      </w:r>
      <w:r w:rsidRPr="00035593">
        <w:rPr>
          <w:rFonts w:ascii="Palatino Linotype" w:eastAsia="Palatino Linotype" w:hAnsi="Palatino Linotype" w:cs="Palatino Linotype"/>
          <w:i/>
          <w:color w:val="000000" w:themeColor="text1"/>
        </w:rPr>
        <w:t>“</w:t>
      </w:r>
      <w:r w:rsidR="00311283" w:rsidRPr="00035593">
        <w:rPr>
          <w:rFonts w:ascii="Palatino Linotype" w:eastAsia="Palatino Linotype" w:hAnsi="Palatino Linotype" w:cs="Palatino Linotype"/>
          <w:i/>
          <w:color w:val="000000" w:themeColor="text1"/>
        </w:rPr>
        <w:t>oficio vc/ut/375/2025</w:t>
      </w:r>
      <w:r w:rsidRPr="00035593">
        <w:rPr>
          <w:rFonts w:ascii="Palatino Linotype" w:eastAsia="Palatino Linotype" w:hAnsi="Palatino Linotype" w:cs="Palatino Linotype"/>
          <w:i/>
          <w:color w:val="000000" w:themeColor="text1"/>
        </w:rPr>
        <w:t>” (Sic)</w:t>
      </w:r>
    </w:p>
    <w:p w:rsidR="0072148B" w:rsidRPr="001D2FA5" w:rsidRDefault="0072148B" w:rsidP="001D2FA5">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035593" w:rsidRDefault="00A077F4" w:rsidP="00035593">
      <w:pPr>
        <w:pStyle w:val="Prrafodelista"/>
        <w:numPr>
          <w:ilvl w:val="0"/>
          <w:numId w:val="48"/>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1fob9te" w:colFirst="0" w:colLast="0"/>
      <w:bookmarkEnd w:id="2"/>
      <w:r w:rsidRPr="00035593">
        <w:rPr>
          <w:rFonts w:ascii="Palatino Linotype" w:eastAsia="Palatino Linotype" w:hAnsi="Palatino Linotype" w:cs="Palatino Linotype"/>
          <w:b/>
          <w:color w:val="000000" w:themeColor="text1"/>
        </w:rPr>
        <w:t xml:space="preserve">Razones o Motivos de inconformidad: </w:t>
      </w:r>
      <w:r w:rsidRPr="00035593">
        <w:rPr>
          <w:rFonts w:ascii="Palatino Linotype" w:eastAsia="Palatino Linotype" w:hAnsi="Palatino Linotype" w:cs="Palatino Linotype"/>
          <w:i/>
          <w:color w:val="000000" w:themeColor="text1"/>
        </w:rPr>
        <w:t>“</w:t>
      </w:r>
      <w:r w:rsidR="00311283" w:rsidRPr="00035593">
        <w:rPr>
          <w:rFonts w:ascii="Palatino Linotype" w:eastAsia="Palatino Linotype" w:hAnsi="Palatino Linotype" w:cs="Palatino Linotype"/>
          <w:i/>
          <w:color w:val="000000" w:themeColor="text1"/>
        </w:rPr>
        <w:t>La repuesta es evasiva. Deforma la respuesta para confundir. El derecho de petición es otra cosa diferente al derecho a la informacion. Ni siquiera contesta el servidor publico al que se le solicita la informacion. Lo que pedi es informacion publica de oficio y me la tienen que dar.</w:t>
      </w:r>
      <w:r w:rsidRPr="00035593">
        <w:rPr>
          <w:rFonts w:ascii="Palatino Linotype" w:eastAsia="Palatino Linotype" w:hAnsi="Palatino Linotype" w:cs="Palatino Linotype"/>
          <w:i/>
          <w:color w:val="000000" w:themeColor="text1"/>
        </w:rPr>
        <w:t xml:space="preserve">” </w:t>
      </w:r>
      <w:r w:rsidRPr="00035593">
        <w:rPr>
          <w:rFonts w:ascii="Palatino Linotype" w:eastAsia="Palatino Linotype" w:hAnsi="Palatino Linotype" w:cs="Palatino Linotype"/>
          <w:color w:val="000000" w:themeColor="text1"/>
        </w:rPr>
        <w:t>(Sic)</w:t>
      </w:r>
    </w:p>
    <w:p w:rsidR="0072148B" w:rsidRPr="001D2FA5" w:rsidRDefault="0072148B" w:rsidP="001D2FA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1D2FA5" w:rsidRDefault="00152C3E" w:rsidP="001D2FA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 p</w:t>
      </w:r>
      <w:r w:rsidR="006C72E8" w:rsidRPr="001D2FA5">
        <w:rPr>
          <w:rFonts w:ascii="Palatino Linotype" w:eastAsia="Palatino Linotype" w:hAnsi="Palatino Linotype" w:cs="Palatino Linotype"/>
          <w:color w:val="000000" w:themeColor="text1"/>
        </w:rPr>
        <w:t>onente</w:t>
      </w:r>
      <w:r w:rsidR="00A077F4" w:rsidRPr="001D2FA5">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006C72E8" w:rsidRPr="001D2FA5">
        <w:rPr>
          <w:rFonts w:ascii="Palatino Linotype" w:eastAsia="Palatino Linotype" w:hAnsi="Palatino Linotype" w:cs="Palatino Linotype"/>
          <w:color w:val="000000" w:themeColor="text1"/>
        </w:rPr>
        <w:t>del</w:t>
      </w:r>
      <w:r w:rsidR="00A077F4" w:rsidRPr="001D2FA5">
        <w:rPr>
          <w:rFonts w:ascii="Palatino Linotype" w:eastAsia="Palatino Linotype" w:hAnsi="Palatino Linotype" w:cs="Palatino Linotype"/>
          <w:color w:val="000000" w:themeColor="text1"/>
        </w:rPr>
        <w:t xml:space="preserve"> </w:t>
      </w:r>
      <w:r w:rsidR="006C72E8" w:rsidRPr="001D2FA5">
        <w:rPr>
          <w:rFonts w:ascii="Palatino Linotype" w:eastAsia="Palatino Linotype" w:hAnsi="Palatino Linotype" w:cs="Palatino Linotype"/>
          <w:b/>
          <w:color w:val="000000" w:themeColor="text1"/>
        </w:rPr>
        <w:t>acuerdo</w:t>
      </w:r>
      <w:r w:rsidR="00A077F4" w:rsidRPr="001D2FA5">
        <w:rPr>
          <w:rFonts w:ascii="Palatino Linotype" w:eastAsia="Palatino Linotype" w:hAnsi="Palatino Linotype" w:cs="Palatino Linotype"/>
          <w:b/>
          <w:color w:val="000000" w:themeColor="text1"/>
        </w:rPr>
        <w:t xml:space="preserve"> de admisión </w:t>
      </w:r>
      <w:r w:rsidR="006C72E8" w:rsidRPr="001D2FA5">
        <w:rPr>
          <w:rFonts w:ascii="Palatino Linotype" w:eastAsia="Palatino Linotype" w:hAnsi="Palatino Linotype" w:cs="Palatino Linotype"/>
          <w:color w:val="000000" w:themeColor="text1"/>
        </w:rPr>
        <w:t>de fecha</w:t>
      </w:r>
      <w:r w:rsidR="00A077F4" w:rsidRPr="001D2FA5">
        <w:rPr>
          <w:rFonts w:ascii="Palatino Linotype" w:eastAsia="Palatino Linotype" w:hAnsi="Palatino Linotype" w:cs="Palatino Linotype"/>
          <w:color w:val="000000" w:themeColor="text1"/>
        </w:rPr>
        <w:t xml:space="preserve"> </w:t>
      </w:r>
      <w:r w:rsidR="00775858" w:rsidRPr="001D2FA5">
        <w:rPr>
          <w:rFonts w:ascii="Palatino Linotype" w:eastAsia="Palatino Linotype" w:hAnsi="Palatino Linotype" w:cs="Palatino Linotype"/>
          <w:b/>
          <w:color w:val="000000" w:themeColor="text1"/>
        </w:rPr>
        <w:t>veintiséis</w:t>
      </w:r>
      <w:r w:rsidR="00055D24" w:rsidRPr="001D2FA5">
        <w:rPr>
          <w:rFonts w:ascii="Palatino Linotype" w:eastAsia="Palatino Linotype" w:hAnsi="Palatino Linotype" w:cs="Palatino Linotype"/>
          <w:b/>
          <w:color w:val="000000" w:themeColor="text1"/>
        </w:rPr>
        <w:t xml:space="preserve"> de junio</w:t>
      </w:r>
      <w:r w:rsidR="00A077F4" w:rsidRPr="001D2FA5">
        <w:rPr>
          <w:rFonts w:ascii="Palatino Linotype" w:eastAsia="Palatino Linotype" w:hAnsi="Palatino Linotype" w:cs="Palatino Linotype"/>
          <w:b/>
          <w:color w:val="000000" w:themeColor="text1"/>
        </w:rPr>
        <w:t xml:space="preserve"> dos mil veinticinco, </w:t>
      </w:r>
      <w:r w:rsidR="006C72E8" w:rsidRPr="001D2FA5">
        <w:rPr>
          <w:rFonts w:ascii="Palatino Linotype" w:eastAsia="Palatino Linotype" w:hAnsi="Palatino Linotype" w:cs="Palatino Linotype"/>
          <w:color w:val="000000" w:themeColor="text1"/>
        </w:rPr>
        <w:t>puso</w:t>
      </w:r>
      <w:r w:rsidR="00A077F4" w:rsidRPr="001D2FA5">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1D2FA5">
        <w:rPr>
          <w:rFonts w:ascii="Palatino Linotype" w:eastAsia="Palatino Linotype" w:hAnsi="Palatino Linotype" w:cs="Palatino Linotype"/>
          <w:b/>
          <w:color w:val="000000" w:themeColor="text1"/>
        </w:rPr>
        <w:t xml:space="preserve">SUJETO OBLIGADO </w:t>
      </w:r>
      <w:r w:rsidR="00A077F4" w:rsidRPr="001D2FA5">
        <w:rPr>
          <w:rFonts w:ascii="Palatino Linotype" w:eastAsia="Palatino Linotype" w:hAnsi="Palatino Linotype" w:cs="Palatino Linotype"/>
          <w:color w:val="000000" w:themeColor="text1"/>
        </w:rPr>
        <w:t>presentara el Informe Justificado procedente.</w:t>
      </w:r>
    </w:p>
    <w:p w:rsidR="004E0AFD" w:rsidRPr="001D2FA5" w:rsidRDefault="004E0AFD" w:rsidP="001D2FA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1D2FA5" w:rsidRDefault="004E0AFD" w:rsidP="001D2F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El Recurrente</w:t>
      </w:r>
      <w:r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color w:val="000000" w:themeColor="text1"/>
        </w:rPr>
        <w:t>dejó de realizar manifestaciones que a su derecho conviniera y asistiera. Por su parte, el Sujeto Obligado,</w:t>
      </w:r>
      <w:r w:rsidRPr="001D2FA5">
        <w:rPr>
          <w:rFonts w:ascii="Palatino Linotype" w:eastAsia="Palatino Linotype" w:hAnsi="Palatino Linotype" w:cs="Palatino Linotype"/>
          <w:b/>
          <w:color w:val="000000" w:themeColor="text1"/>
        </w:rPr>
        <w:t xml:space="preserve"> </w:t>
      </w:r>
      <w:r w:rsidR="006B3075" w:rsidRPr="001D2FA5">
        <w:rPr>
          <w:rFonts w:ascii="Palatino Linotype" w:eastAsia="Palatino Linotype" w:hAnsi="Palatino Linotype" w:cs="Palatino Linotype"/>
          <w:color w:val="000000" w:themeColor="text1"/>
        </w:rPr>
        <w:t>no</w:t>
      </w:r>
      <w:r w:rsidRPr="001D2FA5">
        <w:rPr>
          <w:rFonts w:ascii="Palatino Linotype" w:eastAsia="Palatino Linotype" w:hAnsi="Palatino Linotype" w:cs="Palatino Linotype"/>
          <w:b/>
          <w:color w:val="000000" w:themeColor="text1"/>
        </w:rPr>
        <w:t xml:space="preserve"> </w:t>
      </w:r>
      <w:r w:rsidR="00B16395" w:rsidRPr="001D2FA5">
        <w:rPr>
          <w:rFonts w:ascii="Palatino Linotype" w:eastAsia="Palatino Linotype" w:hAnsi="Palatino Linotype" w:cs="Palatino Linotype"/>
          <w:color w:val="000000" w:themeColor="text1"/>
        </w:rPr>
        <w:t>rindió</w:t>
      </w:r>
      <w:r w:rsidR="00F26E84" w:rsidRPr="001D2FA5">
        <w:rPr>
          <w:rFonts w:ascii="Palatino Linotype" w:eastAsia="Palatino Linotype" w:hAnsi="Palatino Linotype" w:cs="Palatino Linotype"/>
          <w:color w:val="000000" w:themeColor="text1"/>
        </w:rPr>
        <w:t xml:space="preserve"> informe</w:t>
      </w:r>
      <w:r w:rsidR="00BB0B24" w:rsidRPr="001D2FA5">
        <w:rPr>
          <w:rFonts w:ascii="Palatino Linotype" w:eastAsia="Palatino Linotype" w:hAnsi="Palatino Linotype" w:cs="Palatino Linotype"/>
          <w:color w:val="000000" w:themeColor="text1"/>
        </w:rPr>
        <w:t xml:space="preserve"> justificado</w:t>
      </w:r>
      <w:r w:rsidR="00055D24" w:rsidRPr="001D2FA5">
        <w:rPr>
          <w:rFonts w:ascii="Palatino Linotype" w:eastAsia="Palatino Linotype" w:hAnsi="Palatino Linotype" w:cs="Palatino Linotype"/>
          <w:color w:val="000000" w:themeColor="text1"/>
        </w:rPr>
        <w:t xml:space="preserve">, </w:t>
      </w:r>
      <w:r w:rsidR="006B3075" w:rsidRPr="001D2FA5">
        <w:rPr>
          <w:rFonts w:ascii="Palatino Linotype" w:eastAsia="Palatino Linotype" w:hAnsi="Palatino Linotype" w:cs="Palatino Linotype"/>
          <w:color w:val="000000" w:themeColor="text1"/>
        </w:rPr>
        <w:t>tal como se muestra en la imagen siguiente:</w:t>
      </w:r>
    </w:p>
    <w:p w:rsidR="004E0AFD" w:rsidRPr="001D2FA5" w:rsidRDefault="004E0AFD" w:rsidP="001D2FA5">
      <w:pPr>
        <w:pBdr>
          <w:top w:val="nil"/>
          <w:left w:val="nil"/>
          <w:bottom w:val="nil"/>
          <w:right w:val="nil"/>
          <w:between w:val="nil"/>
        </w:pBdr>
        <w:jc w:val="both"/>
        <w:rPr>
          <w:rFonts w:ascii="Palatino Linotype" w:eastAsia="Palatino Linotype" w:hAnsi="Palatino Linotype" w:cs="Palatino Linotype"/>
          <w:b/>
          <w:color w:val="000000" w:themeColor="text1"/>
        </w:rPr>
      </w:pPr>
    </w:p>
    <w:p w:rsidR="00451CF4" w:rsidRPr="001D2FA5" w:rsidRDefault="002354F4" w:rsidP="001D2FA5">
      <w:pPr>
        <w:pBdr>
          <w:top w:val="nil"/>
          <w:left w:val="nil"/>
          <w:bottom w:val="nil"/>
          <w:right w:val="nil"/>
          <w:between w:val="nil"/>
        </w:pBdr>
        <w:jc w:val="center"/>
        <w:rPr>
          <w:rFonts w:ascii="Palatino Linotype" w:eastAsia="Palatino Linotype" w:hAnsi="Palatino Linotype" w:cs="Palatino Linotype"/>
          <w:noProof/>
          <w:color w:val="000000" w:themeColor="text1"/>
          <w:lang w:val="es-MX" w:eastAsia="es-MX"/>
        </w:rPr>
      </w:pPr>
      <w:r w:rsidRPr="001D2FA5">
        <w:rPr>
          <w:rFonts w:ascii="Palatino Linotype" w:eastAsia="Palatino Linotype" w:hAnsi="Palatino Linotype" w:cs="Palatino Linotype"/>
          <w:noProof/>
          <w:color w:val="000000" w:themeColor="text1"/>
          <w:lang w:val="es-MX" w:eastAsia="es-MX"/>
        </w:rPr>
        <w:drawing>
          <wp:inline distT="0" distB="0" distL="0" distR="0" wp14:anchorId="2BC2F592" wp14:editId="0F3F5B33">
            <wp:extent cx="4307486" cy="1133299"/>
            <wp:effectExtent l="152400" t="152400" r="360045" b="3530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43521" cy="1142780"/>
                    </a:xfrm>
                    <a:prstGeom prst="rect">
                      <a:avLst/>
                    </a:prstGeom>
                    <a:ln>
                      <a:noFill/>
                    </a:ln>
                    <a:effectLst>
                      <a:outerShdw blurRad="292100" dist="139700" dir="2700000" algn="tl" rotWithShape="0">
                        <a:srgbClr val="333333">
                          <a:alpha val="65000"/>
                        </a:srgbClr>
                      </a:outerShdw>
                    </a:effectLst>
                  </pic:spPr>
                </pic:pic>
              </a:graphicData>
            </a:graphic>
          </wp:inline>
        </w:drawing>
      </w:r>
    </w:p>
    <w:p w:rsidR="002354F4" w:rsidRPr="001D2FA5" w:rsidRDefault="002354F4" w:rsidP="001D2FA5">
      <w:pPr>
        <w:pBdr>
          <w:top w:val="nil"/>
          <w:left w:val="nil"/>
          <w:bottom w:val="nil"/>
          <w:right w:val="nil"/>
          <w:between w:val="nil"/>
        </w:pBdr>
        <w:jc w:val="center"/>
        <w:rPr>
          <w:rFonts w:ascii="Palatino Linotype" w:eastAsia="Palatino Linotype" w:hAnsi="Palatino Linotype" w:cs="Palatino Linotype"/>
          <w:color w:val="000000" w:themeColor="text1"/>
        </w:rPr>
      </w:pPr>
    </w:p>
    <w:p w:rsidR="00084793" w:rsidRPr="001D2FA5" w:rsidRDefault="00084793" w:rsidP="001D2F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3znysh7" w:colFirst="0" w:colLast="0"/>
      <w:bookmarkEnd w:id="3"/>
      <w:r w:rsidRPr="001D2FA5">
        <w:rPr>
          <w:rFonts w:ascii="Palatino Linotype" w:eastAsia="Palatino Linotype" w:hAnsi="Palatino Linotype" w:cs="Palatino Linotype"/>
          <w:color w:val="000000" w:themeColor="text1"/>
        </w:rPr>
        <w:t>En fecha</w:t>
      </w:r>
      <w:r w:rsidRPr="001D2FA5">
        <w:rPr>
          <w:rFonts w:ascii="Palatino Linotype" w:eastAsia="Palatino Linotype" w:hAnsi="Palatino Linotype" w:cs="Palatino Linotype"/>
          <w:b/>
          <w:color w:val="000000" w:themeColor="text1"/>
        </w:rPr>
        <w:t xml:space="preserve"> </w:t>
      </w:r>
      <w:r w:rsidR="001A305B" w:rsidRPr="001D2FA5">
        <w:rPr>
          <w:rFonts w:ascii="Palatino Linotype" w:eastAsia="Palatino Linotype" w:hAnsi="Palatino Linotype" w:cs="Palatino Linotype"/>
          <w:b/>
          <w:color w:val="000000" w:themeColor="text1"/>
        </w:rPr>
        <w:t>veinticinco</w:t>
      </w:r>
      <w:r w:rsidR="00ED26E4" w:rsidRPr="001D2FA5">
        <w:rPr>
          <w:rFonts w:ascii="Palatino Linotype" w:eastAsia="Palatino Linotype" w:hAnsi="Palatino Linotype" w:cs="Palatino Linotype"/>
          <w:b/>
          <w:color w:val="000000" w:themeColor="text1"/>
        </w:rPr>
        <w:t xml:space="preserve"> de agosto</w:t>
      </w:r>
      <w:r w:rsidRPr="001D2FA5">
        <w:rPr>
          <w:rFonts w:ascii="Palatino Linotype" w:eastAsia="Palatino Linotype" w:hAnsi="Palatino Linotype" w:cs="Palatino Linotype"/>
          <w:b/>
          <w:color w:val="000000" w:themeColor="text1"/>
        </w:rPr>
        <w:t xml:space="preserve"> de dos mil veinticinco</w:t>
      </w:r>
      <w:r w:rsidRPr="001D2FA5">
        <w:rPr>
          <w:rFonts w:ascii="Palatino Linotype" w:eastAsia="Palatino Linotype" w:hAnsi="Palatino Linotype" w:cs="Palatino Linotype"/>
          <w:color w:val="000000" w:themeColor="text1"/>
        </w:rPr>
        <w:t>, se acordó ampliar el pazo para resolver el presente Recurso de Revisión.</w:t>
      </w:r>
    </w:p>
    <w:p w:rsidR="00084793" w:rsidRPr="001D2FA5" w:rsidRDefault="00084793" w:rsidP="001D2FA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1D2FA5" w:rsidRDefault="00A077F4" w:rsidP="001D2F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D2FA5">
        <w:rPr>
          <w:rFonts w:ascii="Palatino Linotype" w:eastAsia="Palatino Linotype" w:hAnsi="Palatino Linotype" w:cs="Palatino Linotype"/>
          <w:color w:val="000000" w:themeColor="text1"/>
        </w:rPr>
        <w:t xml:space="preserve">Seguidamente, en fecha </w:t>
      </w:r>
      <w:r w:rsidR="00AC0035" w:rsidRPr="001D2FA5">
        <w:rPr>
          <w:rFonts w:ascii="Palatino Linotype" w:eastAsia="Palatino Linotype" w:hAnsi="Palatino Linotype" w:cs="Palatino Linotype"/>
          <w:b/>
          <w:color w:val="000000" w:themeColor="text1"/>
        </w:rPr>
        <w:t>trece</w:t>
      </w:r>
      <w:r w:rsidR="00ED26E4" w:rsidRPr="001D2FA5">
        <w:rPr>
          <w:rFonts w:ascii="Palatino Linotype" w:eastAsia="Palatino Linotype" w:hAnsi="Palatino Linotype" w:cs="Palatino Linotype"/>
          <w:b/>
          <w:color w:val="000000" w:themeColor="text1"/>
        </w:rPr>
        <w:t xml:space="preserve"> de noviembre</w:t>
      </w:r>
      <w:r w:rsidRPr="001D2FA5">
        <w:rPr>
          <w:rFonts w:ascii="Palatino Linotype" w:eastAsia="Palatino Linotype" w:hAnsi="Palatino Linotype" w:cs="Palatino Linotype"/>
          <w:b/>
          <w:color w:val="000000" w:themeColor="text1"/>
        </w:rPr>
        <w:t xml:space="preserve"> de dos mil veinticinco</w:t>
      </w:r>
      <w:r w:rsidRPr="001D2FA5">
        <w:rPr>
          <w:rFonts w:ascii="Palatino Linotype" w:eastAsia="Palatino Linotype" w:hAnsi="Palatino Linotype" w:cs="Palatino Linotype"/>
          <w:color w:val="000000" w:themeColor="text1"/>
        </w:rPr>
        <w:t xml:space="preserve">, la Comisionada Ponente dictó el </w:t>
      </w:r>
      <w:r w:rsidRPr="001D2FA5">
        <w:rPr>
          <w:rFonts w:ascii="Palatino Linotype" w:eastAsia="Palatino Linotype" w:hAnsi="Palatino Linotype" w:cs="Palatino Linotype"/>
          <w:b/>
          <w:color w:val="000000" w:themeColor="text1"/>
        </w:rPr>
        <w:t>cierre del periodo de instrucción</w:t>
      </w:r>
      <w:r w:rsidRPr="001D2FA5">
        <w:rPr>
          <w:rFonts w:ascii="Palatino Linotype" w:eastAsia="Palatino Linotype" w:hAnsi="Palatino Linotype" w:cs="Palatino Linotype"/>
          <w:color w:val="000000" w:themeColor="text1"/>
        </w:rPr>
        <w:t xml:space="preserve"> y, ordenó la resolución</w:t>
      </w:r>
      <w:r w:rsidR="00A42940" w:rsidRPr="001D2FA5">
        <w:rPr>
          <w:rFonts w:ascii="Palatino Linotype" w:eastAsia="Palatino Linotype" w:hAnsi="Palatino Linotype" w:cs="Palatino Linotype"/>
          <w:color w:val="000000" w:themeColor="text1"/>
        </w:rPr>
        <w:t xml:space="preserve"> que conforme a Derecho proceda</w:t>
      </w:r>
      <w:r w:rsidRPr="001D2FA5">
        <w:rPr>
          <w:rFonts w:ascii="Palatino Linotype" w:eastAsia="Palatino Linotype" w:hAnsi="Palatino Linotype" w:cs="Palatino Linotype"/>
          <w:color w:val="000000" w:themeColor="text1"/>
        </w:rPr>
        <w:t>:</w:t>
      </w:r>
    </w:p>
    <w:p w:rsidR="0072148B" w:rsidRPr="001D2FA5" w:rsidRDefault="0072148B" w:rsidP="001D2FA5">
      <w:pPr>
        <w:pBdr>
          <w:top w:val="nil"/>
          <w:left w:val="nil"/>
          <w:bottom w:val="nil"/>
          <w:right w:val="nil"/>
          <w:between w:val="nil"/>
        </w:pBdr>
        <w:rPr>
          <w:rFonts w:ascii="Palatino Linotype" w:eastAsia="Palatino Linotype" w:hAnsi="Palatino Linotype" w:cs="Palatino Linotype"/>
          <w:b/>
          <w:color w:val="000000" w:themeColor="text1"/>
        </w:rPr>
      </w:pPr>
    </w:p>
    <w:p w:rsidR="00A42940" w:rsidRPr="001D2FA5" w:rsidRDefault="00A42940" w:rsidP="001D2FA5">
      <w:pPr>
        <w:keepNext/>
        <w:keepLines/>
        <w:spacing w:line="360" w:lineRule="auto"/>
        <w:jc w:val="center"/>
        <w:rPr>
          <w:rFonts w:ascii="Palatino Linotype" w:eastAsia="Palatino Linotype" w:hAnsi="Palatino Linotype" w:cs="Palatino Linotype"/>
          <w:b/>
          <w:color w:val="000000" w:themeColor="text1"/>
        </w:rPr>
      </w:pPr>
      <w:r w:rsidRPr="001D2FA5">
        <w:rPr>
          <w:rFonts w:ascii="Palatino Linotype" w:eastAsia="Palatino Linotype" w:hAnsi="Palatino Linotype" w:cs="Palatino Linotype"/>
          <w:b/>
          <w:color w:val="000000" w:themeColor="text1"/>
        </w:rPr>
        <w:lastRenderedPageBreak/>
        <w:t>C</w:t>
      </w:r>
      <w:r w:rsidR="003C12D7"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b/>
          <w:color w:val="000000" w:themeColor="text1"/>
        </w:rPr>
        <w:t>O</w:t>
      </w:r>
      <w:r w:rsidR="003C12D7"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b/>
          <w:color w:val="000000" w:themeColor="text1"/>
        </w:rPr>
        <w:t>N</w:t>
      </w:r>
      <w:r w:rsidR="003C12D7"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b/>
          <w:color w:val="000000" w:themeColor="text1"/>
        </w:rPr>
        <w:t>S</w:t>
      </w:r>
      <w:r w:rsidR="003C12D7"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b/>
          <w:color w:val="000000" w:themeColor="text1"/>
        </w:rPr>
        <w:t>I</w:t>
      </w:r>
      <w:r w:rsidR="003C12D7"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b/>
          <w:color w:val="000000" w:themeColor="text1"/>
        </w:rPr>
        <w:t>D</w:t>
      </w:r>
      <w:r w:rsidR="003C12D7"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b/>
          <w:color w:val="000000" w:themeColor="text1"/>
        </w:rPr>
        <w:t>E</w:t>
      </w:r>
      <w:r w:rsidR="003C12D7"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b/>
          <w:color w:val="000000" w:themeColor="text1"/>
        </w:rPr>
        <w:t>R</w:t>
      </w:r>
      <w:r w:rsidR="003C12D7"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b/>
          <w:color w:val="000000" w:themeColor="text1"/>
        </w:rPr>
        <w:t>A</w:t>
      </w:r>
      <w:r w:rsidR="003C12D7"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b/>
          <w:color w:val="000000" w:themeColor="text1"/>
        </w:rPr>
        <w:t>N</w:t>
      </w:r>
      <w:r w:rsidR="003C12D7"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b/>
          <w:color w:val="000000" w:themeColor="text1"/>
        </w:rPr>
        <w:t>D</w:t>
      </w:r>
      <w:r w:rsidR="003C12D7"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b/>
          <w:color w:val="000000" w:themeColor="text1"/>
        </w:rPr>
        <w:t xml:space="preserve">O </w:t>
      </w:r>
    </w:p>
    <w:p w:rsidR="00A42940" w:rsidRPr="001D2FA5" w:rsidRDefault="00A42940" w:rsidP="001D2FA5">
      <w:pPr>
        <w:spacing w:line="360" w:lineRule="auto"/>
        <w:rPr>
          <w:rFonts w:ascii="Palatino Linotype" w:eastAsia="Palatino Linotype" w:hAnsi="Palatino Linotype" w:cs="Palatino Linotype"/>
          <w:color w:val="000000" w:themeColor="text1"/>
        </w:rPr>
      </w:pPr>
    </w:p>
    <w:p w:rsidR="00A42940" w:rsidRPr="001D2FA5" w:rsidRDefault="00A42940" w:rsidP="001D2FA5">
      <w:pPr>
        <w:keepNext/>
        <w:keepLines/>
        <w:spacing w:line="360" w:lineRule="auto"/>
        <w:rPr>
          <w:rFonts w:ascii="Palatino Linotype" w:eastAsia="Palatino Linotype" w:hAnsi="Palatino Linotype" w:cs="Palatino Linotype"/>
          <w:b/>
          <w:color w:val="000000" w:themeColor="text1"/>
        </w:rPr>
      </w:pPr>
      <w:r w:rsidRPr="001D2FA5">
        <w:rPr>
          <w:rFonts w:ascii="Palatino Linotype" w:eastAsia="Palatino Linotype" w:hAnsi="Palatino Linotype" w:cs="Palatino Linotype"/>
          <w:b/>
          <w:color w:val="000000" w:themeColor="text1"/>
        </w:rPr>
        <w:t>PRIMERO. De la competencia</w:t>
      </w:r>
    </w:p>
    <w:p w:rsidR="00A42940" w:rsidRPr="001D2FA5" w:rsidRDefault="00A42940" w:rsidP="001D2F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6B4514" w:rsidRPr="001D2FA5">
        <w:rPr>
          <w:rFonts w:ascii="Palatino Linotype" w:eastAsia="Palatino Linotype" w:hAnsi="Palatino Linotype" w:cs="Palatino Linotype"/>
          <w:color w:val="000000" w:themeColor="text1"/>
        </w:rPr>
        <w:t>trigésimo noveno, cuadragésimo y cuadragésimo primero</w:t>
      </w:r>
      <w:r w:rsidRPr="001D2FA5">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1D2FA5" w:rsidRDefault="00A42940" w:rsidP="001D2FA5">
      <w:pPr>
        <w:tabs>
          <w:tab w:val="left" w:pos="426"/>
        </w:tabs>
        <w:spacing w:line="360" w:lineRule="auto"/>
        <w:jc w:val="both"/>
        <w:rPr>
          <w:rFonts w:ascii="Palatino Linotype" w:eastAsia="Palatino Linotype" w:hAnsi="Palatino Linotype" w:cs="Palatino Linotype"/>
          <w:color w:val="000000" w:themeColor="text1"/>
        </w:rPr>
      </w:pPr>
    </w:p>
    <w:p w:rsidR="00A42940" w:rsidRPr="001D2FA5" w:rsidRDefault="00A42940" w:rsidP="001D2FA5">
      <w:pPr>
        <w:keepNext/>
        <w:keepLines/>
        <w:spacing w:line="360" w:lineRule="auto"/>
        <w:rPr>
          <w:rFonts w:ascii="Palatino Linotype" w:eastAsia="Palatino Linotype" w:hAnsi="Palatino Linotype" w:cs="Palatino Linotype"/>
          <w:b/>
          <w:color w:val="000000" w:themeColor="text1"/>
        </w:rPr>
      </w:pPr>
      <w:r w:rsidRPr="001D2FA5">
        <w:rPr>
          <w:rFonts w:ascii="Palatino Linotype" w:eastAsia="Palatino Linotype" w:hAnsi="Palatino Linotype" w:cs="Palatino Linotype"/>
          <w:b/>
          <w:color w:val="000000" w:themeColor="text1"/>
        </w:rPr>
        <w:t>SEGUNDO. De la oportunidad y procedencia.</w:t>
      </w:r>
    </w:p>
    <w:p w:rsidR="00A42940" w:rsidRPr="001D2FA5" w:rsidRDefault="00A42940" w:rsidP="001D2F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 xml:space="preserve">El medio de impugnación fue presentado a través del </w:t>
      </w:r>
      <w:r w:rsidRPr="001D2FA5">
        <w:rPr>
          <w:rFonts w:ascii="Palatino Linotype" w:eastAsia="Palatino Linotype" w:hAnsi="Palatino Linotype" w:cs="Palatino Linotype"/>
          <w:b/>
          <w:color w:val="000000" w:themeColor="text1"/>
        </w:rPr>
        <w:t>SAIMEX,</w:t>
      </w:r>
      <w:r w:rsidRPr="001D2FA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D2FA5">
        <w:rPr>
          <w:rFonts w:ascii="Palatino Linotype" w:eastAsia="Palatino Linotype" w:hAnsi="Palatino Linotype" w:cs="Palatino Linotype"/>
          <w:b/>
          <w:color w:val="000000" w:themeColor="text1"/>
        </w:rPr>
        <w:t>SUJETO OBLIGADO</w:t>
      </w:r>
      <w:r w:rsidRPr="001D2FA5">
        <w:rPr>
          <w:rFonts w:ascii="Palatino Linotype" w:eastAsia="Palatino Linotype" w:hAnsi="Palatino Linotype" w:cs="Palatino Linotype"/>
          <w:color w:val="000000" w:themeColor="text1"/>
        </w:rPr>
        <w:t xml:space="preserve"> entregó respuesta el </w:t>
      </w:r>
      <w:r w:rsidR="00900516" w:rsidRPr="001D2FA5">
        <w:rPr>
          <w:rFonts w:ascii="Palatino Linotype" w:eastAsia="Palatino Linotype" w:hAnsi="Palatino Linotype" w:cs="Palatino Linotype"/>
          <w:b/>
          <w:color w:val="000000" w:themeColor="text1"/>
        </w:rPr>
        <w:t>veinte</w:t>
      </w:r>
      <w:r w:rsidR="00AB2BC0" w:rsidRPr="001D2FA5">
        <w:rPr>
          <w:rFonts w:ascii="Palatino Linotype" w:eastAsia="Palatino Linotype" w:hAnsi="Palatino Linotype" w:cs="Palatino Linotype"/>
          <w:b/>
          <w:color w:val="000000" w:themeColor="text1"/>
        </w:rPr>
        <w:t xml:space="preserve"> de junio</w:t>
      </w:r>
      <w:r w:rsidR="00D02866"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b/>
          <w:color w:val="000000" w:themeColor="text1"/>
        </w:rPr>
        <w:t>de dos mil veinticinco</w:t>
      </w:r>
      <w:r w:rsidRPr="001D2FA5">
        <w:rPr>
          <w:rFonts w:ascii="Palatino Linotype" w:eastAsia="Palatino Linotype" w:hAnsi="Palatino Linotype" w:cs="Palatino Linotype"/>
          <w:color w:val="000000" w:themeColor="text1"/>
        </w:rPr>
        <w:t xml:space="preserve">, de tal forma que el plazo para interponer el recurso transcurrió del </w:t>
      </w:r>
      <w:r w:rsidR="00900516" w:rsidRPr="001D2FA5">
        <w:rPr>
          <w:rFonts w:ascii="Palatino Linotype" w:eastAsia="Palatino Linotype" w:hAnsi="Palatino Linotype" w:cs="Palatino Linotype"/>
          <w:b/>
          <w:color w:val="000000" w:themeColor="text1"/>
        </w:rPr>
        <w:t>veintitrés de junio al once de julio</w:t>
      </w:r>
      <w:r w:rsidRPr="001D2FA5">
        <w:rPr>
          <w:rFonts w:ascii="Palatino Linotype" w:eastAsia="Palatino Linotype" w:hAnsi="Palatino Linotype" w:cs="Palatino Linotype"/>
          <w:b/>
          <w:color w:val="000000" w:themeColor="text1"/>
        </w:rPr>
        <w:t xml:space="preserve"> de dos mil veinticinco, </w:t>
      </w:r>
      <w:r w:rsidRPr="001D2FA5">
        <w:rPr>
          <w:rFonts w:ascii="Palatino Linotype" w:eastAsia="Palatino Linotype" w:hAnsi="Palatino Linotype" w:cs="Palatino Linotype"/>
          <w:color w:val="000000" w:themeColor="text1"/>
        </w:rPr>
        <w:t xml:space="preserve">en consecuencia, si el </w:t>
      </w:r>
      <w:r w:rsidRPr="001D2FA5">
        <w:rPr>
          <w:rFonts w:ascii="Palatino Linotype" w:eastAsia="Palatino Linotype" w:hAnsi="Palatino Linotype" w:cs="Palatino Linotype"/>
          <w:b/>
          <w:color w:val="000000" w:themeColor="text1"/>
        </w:rPr>
        <w:t>PARTICULAR</w:t>
      </w:r>
      <w:r w:rsidRPr="001D2FA5">
        <w:rPr>
          <w:rFonts w:ascii="Palatino Linotype" w:eastAsia="Palatino Linotype" w:hAnsi="Palatino Linotype" w:cs="Palatino Linotype"/>
          <w:color w:val="000000" w:themeColor="text1"/>
        </w:rPr>
        <w:t xml:space="preserve"> presentó su inconformidad el </w:t>
      </w:r>
      <w:r w:rsidR="00AE3BC8" w:rsidRPr="001D2FA5">
        <w:rPr>
          <w:rFonts w:ascii="Palatino Linotype" w:eastAsia="Palatino Linotype" w:hAnsi="Palatino Linotype" w:cs="Palatino Linotype"/>
          <w:b/>
          <w:color w:val="000000" w:themeColor="text1"/>
        </w:rPr>
        <w:t>veinticuatro</w:t>
      </w:r>
      <w:r w:rsidR="00AB2BC0" w:rsidRPr="001D2FA5">
        <w:rPr>
          <w:rFonts w:ascii="Palatino Linotype" w:eastAsia="Palatino Linotype" w:hAnsi="Palatino Linotype" w:cs="Palatino Linotype"/>
          <w:b/>
          <w:color w:val="000000" w:themeColor="text1"/>
        </w:rPr>
        <w:t xml:space="preserve"> de junio</w:t>
      </w:r>
      <w:r w:rsidRPr="001D2FA5">
        <w:rPr>
          <w:rFonts w:ascii="Palatino Linotype" w:eastAsia="Palatino Linotype" w:hAnsi="Palatino Linotype" w:cs="Palatino Linotype"/>
          <w:b/>
          <w:color w:val="000000" w:themeColor="text1"/>
        </w:rPr>
        <w:t xml:space="preserve"> de dos mil veinticinco</w:t>
      </w:r>
      <w:r w:rsidRPr="001D2FA5">
        <w:rPr>
          <w:rFonts w:ascii="Palatino Linotype" w:eastAsia="Palatino Linotype" w:hAnsi="Palatino Linotype" w:cs="Palatino Linotype"/>
          <w:color w:val="000000" w:themeColor="text1"/>
        </w:rPr>
        <w:t xml:space="preserve">, este  se encuentra dentro de los márgenes temporales previstos en el artículo 178 de la </w:t>
      </w:r>
      <w:r w:rsidRPr="001D2FA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D2FA5">
        <w:rPr>
          <w:rFonts w:ascii="Palatino Linotype" w:eastAsia="Palatino Linotype" w:hAnsi="Palatino Linotype" w:cs="Palatino Linotype"/>
          <w:color w:val="000000" w:themeColor="text1"/>
        </w:rPr>
        <w:t xml:space="preserve">vigente. </w:t>
      </w:r>
    </w:p>
    <w:p w:rsidR="00A42940" w:rsidRPr="001D2FA5" w:rsidRDefault="00A42940" w:rsidP="001D2FA5">
      <w:pPr>
        <w:pStyle w:val="Ttulo2"/>
        <w:rPr>
          <w:rFonts w:ascii="Palatino Linotype" w:eastAsia="Palatino Linotype" w:hAnsi="Palatino Linotype" w:cs="Palatino Linotype"/>
          <w:b/>
          <w:i/>
          <w:color w:val="000000" w:themeColor="text1"/>
          <w:sz w:val="24"/>
          <w:szCs w:val="24"/>
        </w:rPr>
      </w:pPr>
      <w:bookmarkStart w:id="4" w:name="_heading=h.2et92p0" w:colFirst="0" w:colLast="0"/>
      <w:bookmarkEnd w:id="4"/>
      <w:r w:rsidRPr="001D2FA5">
        <w:rPr>
          <w:rFonts w:ascii="Palatino Linotype" w:eastAsia="Palatino Linotype" w:hAnsi="Palatino Linotype" w:cs="Palatino Linotype"/>
          <w:b/>
          <w:color w:val="000000" w:themeColor="text1"/>
          <w:sz w:val="24"/>
          <w:szCs w:val="24"/>
        </w:rPr>
        <w:lastRenderedPageBreak/>
        <w:t xml:space="preserve">TERCERO. Del planteamiento de la </w:t>
      </w:r>
      <w:r w:rsidRPr="001D2FA5">
        <w:rPr>
          <w:rFonts w:ascii="Palatino Linotype" w:eastAsia="Palatino Linotype" w:hAnsi="Palatino Linotype" w:cs="Palatino Linotype"/>
          <w:b/>
          <w:i/>
          <w:color w:val="000000" w:themeColor="text1"/>
          <w:sz w:val="24"/>
          <w:szCs w:val="24"/>
        </w:rPr>
        <w:t>Litis.</w:t>
      </w:r>
    </w:p>
    <w:p w:rsidR="002B7A1B" w:rsidRPr="001D2FA5" w:rsidRDefault="002B7A1B" w:rsidP="001D2FA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Se solicitó tener acceso, a la información que a continuación se simplifica:</w:t>
      </w:r>
    </w:p>
    <w:p w:rsidR="009037EC" w:rsidRPr="001D2FA5" w:rsidRDefault="0058583E" w:rsidP="001D2FA5">
      <w:pPr>
        <w:pStyle w:val="Prrafodelista"/>
        <w:numPr>
          <w:ilvl w:val="0"/>
          <w:numId w:val="26"/>
        </w:numPr>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i/>
          <w:color w:val="000000" w:themeColor="text1"/>
        </w:rPr>
        <w:t xml:space="preserve"> </w:t>
      </w:r>
      <w:r w:rsidR="00AE3BC8" w:rsidRPr="001D2FA5">
        <w:rPr>
          <w:rFonts w:ascii="Palatino Linotype" w:eastAsia="Palatino Linotype" w:hAnsi="Palatino Linotype" w:cs="Palatino Linotype"/>
          <w:i/>
          <w:color w:val="000000" w:themeColor="text1"/>
        </w:rPr>
        <w:t>Acta de cabildo que tiene el Secretario del Ayuntamiento, Ignacio Juárez Hernández, en donde se autoriza que Jose Luis Topete Torres, Contralor Municipal, nunca vaya a su oficina</w:t>
      </w:r>
      <w:r w:rsidR="00E20333" w:rsidRPr="001D2FA5">
        <w:rPr>
          <w:rFonts w:ascii="Palatino Linotype" w:eastAsia="Palatino Linotype" w:hAnsi="Palatino Linotype" w:cs="Palatino Linotype"/>
          <w:i/>
          <w:color w:val="000000" w:themeColor="text1"/>
        </w:rPr>
        <w:t>.</w:t>
      </w:r>
    </w:p>
    <w:p w:rsidR="00E20333" w:rsidRDefault="00E20333" w:rsidP="001D2FA5">
      <w:pPr>
        <w:pStyle w:val="Prrafodelista"/>
        <w:ind w:left="0"/>
        <w:jc w:val="both"/>
        <w:rPr>
          <w:rFonts w:ascii="Palatino Linotype" w:eastAsia="Palatino Linotype" w:hAnsi="Palatino Linotype" w:cs="Palatino Linotype"/>
          <w:color w:val="000000" w:themeColor="text1"/>
        </w:rPr>
      </w:pPr>
    </w:p>
    <w:p w:rsidR="00035593" w:rsidRPr="001D2FA5" w:rsidRDefault="00035593" w:rsidP="001D2FA5">
      <w:pPr>
        <w:pStyle w:val="Prrafodelista"/>
        <w:ind w:left="0"/>
        <w:jc w:val="both"/>
        <w:rPr>
          <w:rFonts w:ascii="Palatino Linotype" w:eastAsia="Palatino Linotype" w:hAnsi="Palatino Linotype" w:cs="Palatino Linotype"/>
          <w:color w:val="000000" w:themeColor="text1"/>
        </w:rPr>
      </w:pPr>
    </w:p>
    <w:p w:rsidR="002B7A1B" w:rsidRPr="001D2FA5" w:rsidRDefault="002B7A1B" w:rsidP="001D2FA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En respuesta, el Sujeto Obligado</w:t>
      </w:r>
      <w:r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color w:val="000000" w:themeColor="text1"/>
        </w:rPr>
        <w:t xml:space="preserve">remitió </w:t>
      </w:r>
      <w:r w:rsidR="00FA778F" w:rsidRPr="001D2FA5">
        <w:rPr>
          <w:rFonts w:ascii="Palatino Linotype" w:eastAsia="Palatino Linotype" w:hAnsi="Palatino Linotype" w:cs="Palatino Linotype"/>
          <w:color w:val="000000" w:themeColor="text1"/>
        </w:rPr>
        <w:t xml:space="preserve">el archivo </w:t>
      </w:r>
      <w:r w:rsidRPr="001D2FA5">
        <w:rPr>
          <w:rFonts w:ascii="Palatino Linotype" w:eastAsia="Palatino Linotype" w:hAnsi="Palatino Linotype" w:cs="Palatino Linotype"/>
          <w:color w:val="000000" w:themeColor="text1"/>
        </w:rPr>
        <w:t>ya de</w:t>
      </w:r>
      <w:r w:rsidR="00676C68" w:rsidRPr="001D2FA5">
        <w:rPr>
          <w:rFonts w:ascii="Palatino Linotype" w:eastAsia="Palatino Linotype" w:hAnsi="Palatino Linotype" w:cs="Palatino Linotype"/>
          <w:color w:val="000000" w:themeColor="text1"/>
        </w:rPr>
        <w:t>scritos en el anterior párrafo 2</w:t>
      </w:r>
      <w:r w:rsidRPr="001D2FA5">
        <w:rPr>
          <w:rFonts w:ascii="Palatino Linotype" w:eastAsia="Palatino Linotype" w:hAnsi="Palatino Linotype" w:cs="Palatino Linotype"/>
          <w:color w:val="000000" w:themeColor="text1"/>
        </w:rPr>
        <w:t>, inconforme con la</w:t>
      </w:r>
      <w:r w:rsidR="00FA778F" w:rsidRPr="001D2FA5">
        <w:rPr>
          <w:rFonts w:ascii="Palatino Linotype" w:eastAsia="Palatino Linotype" w:hAnsi="Palatino Linotype" w:cs="Palatino Linotype"/>
          <w:color w:val="000000" w:themeColor="text1"/>
        </w:rPr>
        <w:t xml:space="preserve"> respuesta</w:t>
      </w:r>
      <w:r w:rsidRPr="001D2FA5">
        <w:rPr>
          <w:rFonts w:ascii="Palatino Linotype" w:eastAsia="Palatino Linotype" w:hAnsi="Palatino Linotype" w:cs="Palatino Linotype"/>
          <w:color w:val="000000" w:themeColor="text1"/>
        </w:rPr>
        <w:t xml:space="preserve">, se interpuso recurso de revisión argumentando sustancialmente </w:t>
      </w:r>
      <w:r w:rsidR="00B56CC3" w:rsidRPr="001D2FA5">
        <w:rPr>
          <w:rFonts w:ascii="Palatino Linotype" w:eastAsia="Palatino Linotype" w:hAnsi="Palatino Linotype" w:cs="Palatino Linotype"/>
          <w:color w:val="000000" w:themeColor="text1"/>
        </w:rPr>
        <w:t>la negativa de la información proporcionada</w:t>
      </w:r>
      <w:r w:rsidRPr="001D2FA5">
        <w:rPr>
          <w:rFonts w:ascii="Palatino Linotype" w:eastAsia="Palatino Linotype" w:hAnsi="Palatino Linotype" w:cs="Palatino Linotype"/>
          <w:color w:val="000000" w:themeColor="text1"/>
        </w:rPr>
        <w:t>.</w:t>
      </w:r>
    </w:p>
    <w:p w:rsidR="002B7A1B" w:rsidRPr="001D2FA5" w:rsidRDefault="002B7A1B" w:rsidP="001D2FA5">
      <w:pPr>
        <w:contextualSpacing/>
        <w:jc w:val="both"/>
        <w:rPr>
          <w:rFonts w:ascii="Palatino Linotype" w:eastAsia="Palatino Linotype" w:hAnsi="Palatino Linotype" w:cs="Palatino Linotype"/>
          <w:i/>
          <w:color w:val="000000" w:themeColor="text1"/>
        </w:rPr>
      </w:pPr>
    </w:p>
    <w:p w:rsidR="002B7A1B" w:rsidRPr="001D2FA5" w:rsidRDefault="002B7A1B" w:rsidP="001D2FA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w:t>
      </w:r>
      <w:r w:rsidRPr="001D2FA5">
        <w:rPr>
          <w:rFonts w:ascii="Palatino Linotype" w:eastAsia="Palatino Linotype" w:hAnsi="Palatino Linotype" w:cs="Palatino Linotype"/>
          <w:b/>
          <w:color w:val="000000" w:themeColor="text1"/>
        </w:rPr>
        <w:t>causal de procedencia</w:t>
      </w:r>
      <w:r w:rsidRPr="001D2FA5">
        <w:rPr>
          <w:rFonts w:ascii="Palatino Linotype" w:eastAsia="Palatino Linotype" w:hAnsi="Palatino Linotype" w:cs="Palatino Linotype"/>
          <w:color w:val="000000" w:themeColor="text1"/>
        </w:rPr>
        <w:t xml:space="preserve"> prevista en el </w:t>
      </w:r>
      <w:r w:rsidRPr="001D2FA5">
        <w:rPr>
          <w:rFonts w:ascii="Palatino Linotype" w:eastAsia="Palatino Linotype" w:hAnsi="Palatino Linotype" w:cs="Palatino Linotype"/>
          <w:b/>
          <w:color w:val="000000" w:themeColor="text1"/>
        </w:rPr>
        <w:t xml:space="preserve">artículo 179, </w:t>
      </w:r>
      <w:r w:rsidR="00006F1B" w:rsidRPr="001D2FA5">
        <w:rPr>
          <w:rFonts w:ascii="Palatino Linotype" w:eastAsia="Palatino Linotype" w:hAnsi="Palatino Linotype" w:cs="Palatino Linotype"/>
          <w:b/>
          <w:color w:val="000000" w:themeColor="text1"/>
        </w:rPr>
        <w:t>fracción</w:t>
      </w:r>
      <w:r w:rsidR="000C003E" w:rsidRPr="001D2FA5">
        <w:rPr>
          <w:rFonts w:ascii="Palatino Linotype" w:eastAsia="Palatino Linotype" w:hAnsi="Palatino Linotype" w:cs="Palatino Linotype"/>
          <w:b/>
          <w:color w:val="000000" w:themeColor="text1"/>
        </w:rPr>
        <w:t xml:space="preserve"> </w:t>
      </w:r>
      <w:r w:rsidR="00006F1B" w:rsidRPr="001D2FA5">
        <w:rPr>
          <w:rFonts w:ascii="Palatino Linotype" w:eastAsia="Palatino Linotype" w:hAnsi="Palatino Linotype" w:cs="Palatino Linotype"/>
          <w:b/>
          <w:color w:val="000000" w:themeColor="text1"/>
        </w:rPr>
        <w:t>I</w:t>
      </w:r>
      <w:r w:rsidRPr="001D2FA5">
        <w:rPr>
          <w:rFonts w:ascii="Palatino Linotype" w:eastAsia="Palatino Linotype" w:hAnsi="Palatino Linotype" w:cs="Palatino Linotype"/>
          <w:color w:val="000000" w:themeColor="text1"/>
        </w:rPr>
        <w:t>,</w:t>
      </w:r>
      <w:r w:rsidRPr="001D2FA5">
        <w:rPr>
          <w:rFonts w:ascii="Palatino Linotype" w:eastAsia="Palatino Linotype" w:hAnsi="Palatino Linotype" w:cs="Palatino Linotype"/>
          <w:b/>
          <w:color w:val="000000" w:themeColor="text1"/>
        </w:rPr>
        <w:t xml:space="preserve"> </w:t>
      </w:r>
      <w:r w:rsidRPr="001D2FA5">
        <w:rPr>
          <w:rFonts w:ascii="Palatino Linotype" w:eastAsia="Palatino Linotype" w:hAnsi="Palatino Linotype" w:cs="Palatino Linotype"/>
          <w:color w:val="000000" w:themeColor="text1"/>
        </w:rPr>
        <w:t xml:space="preserve">de la </w:t>
      </w:r>
      <w:r w:rsidRPr="001D2FA5">
        <w:rPr>
          <w:rFonts w:ascii="Palatino Linotype" w:eastAsia="Palatino Linotype" w:hAnsi="Palatino Linotype" w:cs="Palatino Linotype"/>
          <w:b/>
          <w:color w:val="000000" w:themeColor="text1"/>
        </w:rPr>
        <w:t>Ley de Transparencia y Acceso a la Información Pública del Estado de México y Municipios</w:t>
      </w:r>
      <w:r w:rsidRPr="001D2FA5">
        <w:rPr>
          <w:rFonts w:ascii="Palatino Linotype" w:eastAsia="Palatino Linotype" w:hAnsi="Palatino Linotype" w:cs="Palatino Linotype"/>
          <w:color w:val="000000" w:themeColor="text1"/>
        </w:rPr>
        <w:t xml:space="preserve">; </w:t>
      </w:r>
      <w:r w:rsidR="00006F1B" w:rsidRPr="001D2FA5">
        <w:rPr>
          <w:rFonts w:ascii="Palatino Linotype" w:eastAsia="Palatino Linotype" w:hAnsi="Palatino Linotype" w:cs="Palatino Linotype"/>
          <w:color w:val="000000" w:themeColor="text1"/>
        </w:rPr>
        <w:t>fracción</w:t>
      </w:r>
      <w:r w:rsidRPr="001D2FA5">
        <w:rPr>
          <w:rFonts w:ascii="Palatino Linotype" w:eastAsia="Palatino Linotype" w:hAnsi="Palatino Linotype" w:cs="Palatino Linotype"/>
          <w:color w:val="000000" w:themeColor="text1"/>
        </w:rPr>
        <w:t xml:space="preserve"> que determina la hipótesis relativa</w:t>
      </w:r>
      <w:r w:rsidR="000C003E" w:rsidRPr="001D2FA5">
        <w:rPr>
          <w:rFonts w:ascii="Palatino Linotype" w:eastAsia="Palatino Linotype" w:hAnsi="Palatino Linotype" w:cs="Palatino Linotype"/>
          <w:color w:val="000000" w:themeColor="text1"/>
        </w:rPr>
        <w:t xml:space="preserve"> a </w:t>
      </w:r>
      <w:r w:rsidR="00006F1B" w:rsidRPr="001D2FA5">
        <w:rPr>
          <w:rFonts w:ascii="Palatino Linotype" w:eastAsia="Palatino Linotype" w:hAnsi="Palatino Linotype" w:cs="Palatino Linotype"/>
          <w:b/>
          <w:color w:val="000000" w:themeColor="text1"/>
        </w:rPr>
        <w:t>la negativa a la información solicitada</w:t>
      </w:r>
      <w:r w:rsidRPr="001D2FA5">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1D2FA5">
        <w:rPr>
          <w:rFonts w:ascii="Palatino Linotype" w:eastAsia="Palatino Linotype" w:hAnsi="Palatino Linotype" w:cs="Palatino Linotype"/>
          <w:b/>
          <w:color w:val="000000" w:themeColor="text1"/>
        </w:rPr>
        <w:t xml:space="preserve"> </w:t>
      </w:r>
      <w:r w:rsidR="001C1CEC" w:rsidRPr="001D2FA5">
        <w:rPr>
          <w:rFonts w:ascii="Palatino Linotype" w:eastAsia="Palatino Linotype" w:hAnsi="Palatino Linotype" w:cs="Palatino Linotype"/>
          <w:color w:val="000000" w:themeColor="text1"/>
        </w:rPr>
        <w:t>señalada.</w:t>
      </w:r>
    </w:p>
    <w:p w:rsidR="002B7A1B" w:rsidRPr="001D2FA5" w:rsidRDefault="002B7A1B" w:rsidP="001D2FA5">
      <w:pPr>
        <w:spacing w:line="360" w:lineRule="auto"/>
        <w:rPr>
          <w:rFonts w:ascii="Palatino Linotype" w:eastAsia="Palatino Linotype" w:hAnsi="Palatino Linotype" w:cs="Palatino Linotype"/>
          <w:color w:val="000000" w:themeColor="text1"/>
        </w:rPr>
      </w:pPr>
    </w:p>
    <w:p w:rsidR="00846BB7" w:rsidRPr="001D2FA5" w:rsidRDefault="00846BB7" w:rsidP="001D2FA5">
      <w:pPr>
        <w:pStyle w:val="Ttulo2"/>
        <w:rPr>
          <w:rFonts w:ascii="Palatino Linotype" w:eastAsia="Palatino Linotype" w:hAnsi="Palatino Linotype" w:cs="Palatino Linotype"/>
          <w:b/>
          <w:color w:val="000000" w:themeColor="text1"/>
          <w:sz w:val="24"/>
          <w:szCs w:val="24"/>
        </w:rPr>
      </w:pPr>
      <w:bookmarkStart w:id="5" w:name="_heading=h.1t3h5sf" w:colFirst="0" w:colLast="0"/>
      <w:bookmarkEnd w:id="5"/>
      <w:r w:rsidRPr="001D2FA5">
        <w:rPr>
          <w:rFonts w:ascii="Palatino Linotype" w:eastAsia="Palatino Linotype" w:hAnsi="Palatino Linotype" w:cs="Palatino Linotype"/>
          <w:b/>
          <w:color w:val="000000" w:themeColor="text1"/>
          <w:sz w:val="24"/>
          <w:szCs w:val="24"/>
        </w:rPr>
        <w:t>CUARTO. Del estudio y resolución del asunto.</w:t>
      </w:r>
    </w:p>
    <w:p w:rsidR="002B7A1B" w:rsidRPr="001D2FA5" w:rsidRDefault="002B7A1B" w:rsidP="001D2FA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w:t>
      </w:r>
      <w:r w:rsidRPr="001D2FA5">
        <w:rPr>
          <w:rFonts w:ascii="Palatino Linotype" w:eastAsia="Palatino Linotype" w:hAnsi="Palatino Linotype" w:cs="Palatino Linotype"/>
          <w:color w:val="000000" w:themeColor="text1"/>
        </w:rPr>
        <w:lastRenderedPageBreak/>
        <w:t>funciones desde su origen la eventual publicidad y reutilización de la información que generen.</w:t>
      </w:r>
    </w:p>
    <w:p w:rsidR="002B7A1B" w:rsidRPr="001D2FA5" w:rsidRDefault="002B7A1B" w:rsidP="001D2FA5">
      <w:pPr>
        <w:spacing w:line="360" w:lineRule="auto"/>
        <w:jc w:val="both"/>
        <w:rPr>
          <w:rFonts w:ascii="Palatino Linotype" w:eastAsia="Palatino Linotype" w:hAnsi="Palatino Linotype" w:cs="Palatino Linotype"/>
          <w:color w:val="000000" w:themeColor="text1"/>
        </w:rPr>
      </w:pPr>
    </w:p>
    <w:p w:rsidR="002B7A1B" w:rsidRPr="001D2FA5" w:rsidRDefault="002B7A1B" w:rsidP="001D2FA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1D2FA5" w:rsidRDefault="002B7A1B" w:rsidP="001D2FA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1D2FA5" w:rsidRDefault="002B7A1B" w:rsidP="001D2FA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1D2FA5" w:rsidRDefault="00FA778F" w:rsidP="001D2FA5">
      <w:pPr>
        <w:spacing w:line="360" w:lineRule="auto"/>
        <w:jc w:val="both"/>
        <w:rPr>
          <w:rFonts w:ascii="Palatino Linotype" w:eastAsia="Palatino Linotype" w:hAnsi="Palatino Linotype" w:cs="Palatino Linotype"/>
          <w:color w:val="000000" w:themeColor="text1"/>
        </w:rPr>
      </w:pPr>
    </w:p>
    <w:p w:rsidR="002B7A1B" w:rsidRPr="001D2FA5" w:rsidRDefault="00FA778F" w:rsidP="001D2FA5">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1D2FA5">
        <w:rPr>
          <w:rFonts w:ascii="Palatino Linotype" w:eastAsia="Palatino Linotype" w:hAnsi="Palatino Linotype" w:cs="Palatino Linotype"/>
          <w:b/>
          <w:color w:val="000000" w:themeColor="text1"/>
        </w:rPr>
        <w:t>Del Sujeto Obligado.</w:t>
      </w:r>
    </w:p>
    <w:p w:rsidR="008F1029" w:rsidRPr="001D2FA5" w:rsidRDefault="003B66AF"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El Gobierno Municipal, en el ejercicio de sus atribuciones y para el despacho de los asuntos de orden administrativo, se auxiliará de las siguientes dependencias</w:t>
      </w:r>
      <w:r w:rsidR="002E0058" w:rsidRPr="001D2FA5">
        <w:rPr>
          <w:rFonts w:ascii="Palatino Linotype" w:eastAsia="Palatino Linotype" w:hAnsi="Palatino Linotype" w:cs="Palatino Linotype"/>
          <w:color w:val="000000" w:themeColor="text1"/>
        </w:rPr>
        <w:t xml:space="preserve">, de conformidad con el artículo </w:t>
      </w:r>
      <w:r w:rsidRPr="001D2FA5">
        <w:rPr>
          <w:rFonts w:ascii="Palatino Linotype" w:eastAsia="Palatino Linotype" w:hAnsi="Palatino Linotype" w:cs="Palatino Linotype"/>
          <w:color w:val="000000" w:themeColor="text1"/>
        </w:rPr>
        <w:t>51</w:t>
      </w:r>
      <w:r w:rsidR="009D210F" w:rsidRPr="001D2FA5">
        <w:rPr>
          <w:rFonts w:ascii="Palatino Linotype" w:eastAsia="Palatino Linotype" w:hAnsi="Palatino Linotype" w:cs="Palatino Linotype"/>
          <w:color w:val="000000" w:themeColor="text1"/>
        </w:rPr>
        <w:t xml:space="preserve">, </w:t>
      </w:r>
      <w:r w:rsidR="002E0058" w:rsidRPr="001D2FA5">
        <w:rPr>
          <w:rFonts w:ascii="Palatino Linotype" w:eastAsia="Palatino Linotype" w:hAnsi="Palatino Linotype" w:cs="Palatino Linotype"/>
          <w:color w:val="000000" w:themeColor="text1"/>
        </w:rPr>
        <w:t xml:space="preserve">del </w:t>
      </w:r>
      <w:r w:rsidR="008F1029" w:rsidRPr="001D2FA5">
        <w:rPr>
          <w:rFonts w:ascii="Palatino Linotype" w:eastAsia="Palatino Linotype" w:hAnsi="Palatino Linotype" w:cs="Palatino Linotype"/>
          <w:color w:val="000000" w:themeColor="text1"/>
        </w:rPr>
        <w:t>Bando Municipal 2025:</w:t>
      </w:r>
    </w:p>
    <w:p w:rsidR="008F1029" w:rsidRPr="001D2FA5" w:rsidRDefault="008F1029" w:rsidP="001D2FA5">
      <w:pPr>
        <w:jc w:val="center"/>
        <w:rPr>
          <w:rFonts w:ascii="Palatino Linotype" w:eastAsia="Palatino Linotype" w:hAnsi="Palatino Linotype" w:cs="Palatino Linotype"/>
          <w:b/>
          <w:i/>
          <w:color w:val="000000" w:themeColor="text1"/>
        </w:rPr>
      </w:pPr>
      <w:r w:rsidRPr="001D2FA5">
        <w:rPr>
          <w:rFonts w:ascii="Palatino Linotype" w:eastAsia="Palatino Linotype" w:hAnsi="Palatino Linotype" w:cs="Palatino Linotype"/>
          <w:b/>
          <w:i/>
          <w:color w:val="000000" w:themeColor="text1"/>
        </w:rPr>
        <w:lastRenderedPageBreak/>
        <w:t>Bando Municipal 2025</w:t>
      </w:r>
    </w:p>
    <w:p w:rsidR="008F1029" w:rsidRPr="001D2FA5" w:rsidRDefault="008F1029" w:rsidP="001D2FA5">
      <w:pPr>
        <w:jc w:val="center"/>
        <w:rPr>
          <w:rFonts w:ascii="Palatino Linotype" w:eastAsia="Palatino Linotype" w:hAnsi="Palatino Linotype" w:cs="Palatino Linotype"/>
          <w:b/>
          <w:i/>
          <w:color w:val="000000" w:themeColor="text1"/>
        </w:rPr>
      </w:pPr>
    </w:p>
    <w:p w:rsidR="003B66AF" w:rsidRPr="001D2FA5" w:rsidRDefault="003B66AF"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b/>
          <w:i/>
          <w:color w:val="000000" w:themeColor="text1"/>
        </w:rPr>
        <w:t xml:space="preserve">Artículo 51.- </w:t>
      </w:r>
      <w:r w:rsidRPr="001D2FA5">
        <w:rPr>
          <w:rFonts w:ascii="Palatino Linotype" w:eastAsia="Palatino Linotype" w:hAnsi="Palatino Linotype" w:cs="Palatino Linotype"/>
          <w:i/>
          <w:color w:val="000000" w:themeColor="text1"/>
        </w:rPr>
        <w:t xml:space="preserve">El Gobierno Municipal, en el ejercicio de sus atribuciones y para el despacho de los asuntos de orden administrativo, se auxiliará de las siguientes dependencias, mismas que realizarán sus funciones bajo los principios de igualdad, equidad, honestidad, respeto, transparencia, calidad, y garantizarán la paridad de género conforme al presente Bando Municipal, y las cuales se encuentran contempladas en el Organigrama de la Administración 2025-2027. </w:t>
      </w:r>
    </w:p>
    <w:p w:rsidR="003B66AF" w:rsidRPr="001D2FA5" w:rsidRDefault="003B66AF" w:rsidP="001D2FA5">
      <w:pPr>
        <w:jc w:val="both"/>
        <w:rPr>
          <w:rFonts w:ascii="Palatino Linotype" w:eastAsia="Palatino Linotype" w:hAnsi="Palatino Linotype" w:cs="Palatino Linotype"/>
          <w:i/>
          <w:color w:val="000000" w:themeColor="text1"/>
        </w:rPr>
      </w:pPr>
    </w:p>
    <w:p w:rsidR="009D210F" w:rsidRPr="001D2FA5" w:rsidRDefault="003B66AF"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La Administración Pública Municipal se conforma por:</w:t>
      </w:r>
    </w:p>
    <w:p w:rsidR="003B66AF" w:rsidRPr="001D2FA5" w:rsidRDefault="003B66AF"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w:t>
      </w:r>
    </w:p>
    <w:p w:rsidR="003B66AF" w:rsidRPr="001D2FA5" w:rsidRDefault="003B66AF"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 xml:space="preserve">I.V Unidad de Información, Planeación, Programación y Evaluación </w:t>
      </w:r>
    </w:p>
    <w:p w:rsidR="003B66AF" w:rsidRPr="001D2FA5" w:rsidRDefault="003B66AF" w:rsidP="001D2FA5">
      <w:pPr>
        <w:jc w:val="both"/>
        <w:rPr>
          <w:rFonts w:ascii="Palatino Linotype" w:eastAsia="Palatino Linotype" w:hAnsi="Palatino Linotype" w:cs="Palatino Linotype"/>
          <w:b/>
          <w:i/>
          <w:color w:val="000000" w:themeColor="text1"/>
        </w:rPr>
      </w:pPr>
      <w:r w:rsidRPr="001D2FA5">
        <w:rPr>
          <w:rFonts w:ascii="Palatino Linotype" w:eastAsia="Palatino Linotype" w:hAnsi="Palatino Linotype" w:cs="Palatino Linotype"/>
          <w:b/>
          <w:i/>
          <w:color w:val="000000" w:themeColor="text1"/>
        </w:rPr>
        <w:t>a) Unidad de Transparencia</w:t>
      </w:r>
    </w:p>
    <w:p w:rsidR="009D210F" w:rsidRPr="001D2FA5" w:rsidRDefault="009D210F"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w:t>
      </w:r>
    </w:p>
    <w:p w:rsidR="008F1029" w:rsidRPr="001D2FA5" w:rsidRDefault="008F1029" w:rsidP="001D2FA5">
      <w:pPr>
        <w:spacing w:line="360" w:lineRule="auto"/>
        <w:jc w:val="both"/>
        <w:rPr>
          <w:rFonts w:ascii="Palatino Linotype" w:hAnsi="Palatino Linotype"/>
          <w:color w:val="000000" w:themeColor="text1"/>
        </w:rPr>
      </w:pPr>
    </w:p>
    <w:p w:rsidR="00AC79C4" w:rsidRPr="001D2FA5" w:rsidRDefault="00AC79C4" w:rsidP="001D2FA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 xml:space="preserve">La Ley de Transparencia y Acceso a la Información Pública del Estado de México y Municipios, refiere que los sujetos obligados contarán con un área responsable para la atención de las solicitudes de información, a la que se le denominará </w:t>
      </w:r>
      <w:r w:rsidRPr="001D2FA5">
        <w:rPr>
          <w:rFonts w:ascii="Palatino Linotype" w:eastAsia="Palatino Linotype" w:hAnsi="Palatino Linotype" w:cs="Palatino Linotype"/>
          <w:b/>
          <w:color w:val="000000" w:themeColor="text1"/>
        </w:rPr>
        <w:t>Unidad de Transparencia</w:t>
      </w:r>
      <w:r w:rsidRPr="001D2FA5">
        <w:rPr>
          <w:rFonts w:ascii="Palatino Linotype" w:eastAsia="Palatino Linotype" w:hAnsi="Palatino Linotype" w:cs="Palatino Linotype"/>
          <w:color w:val="000000" w:themeColor="text1"/>
        </w:rPr>
        <w:t>.</w:t>
      </w:r>
    </w:p>
    <w:p w:rsidR="008F1029" w:rsidRPr="001D2FA5" w:rsidRDefault="008F1029" w:rsidP="001D2FA5">
      <w:pPr>
        <w:spacing w:line="360" w:lineRule="auto"/>
        <w:jc w:val="both"/>
        <w:rPr>
          <w:rFonts w:ascii="Palatino Linotype" w:eastAsia="Palatino Linotype" w:hAnsi="Palatino Linotype" w:cs="Palatino Linotype"/>
          <w:color w:val="000000" w:themeColor="text1"/>
        </w:rPr>
      </w:pPr>
    </w:p>
    <w:p w:rsidR="008F1029" w:rsidRPr="001D2FA5" w:rsidRDefault="008F1029"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F1029" w:rsidRPr="001D2FA5" w:rsidRDefault="008F1029"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w:t>
      </w:r>
      <w:r w:rsidRPr="001D2FA5">
        <w:rPr>
          <w:rFonts w:ascii="Palatino Linotype" w:eastAsia="Palatino Linotype" w:hAnsi="Palatino Linotype" w:cs="Palatino Linotype"/>
          <w:b/>
          <w:i/>
          <w:color w:val="000000" w:themeColor="text1"/>
        </w:rPr>
        <w:t xml:space="preserve">Artículo 3. </w:t>
      </w:r>
      <w:r w:rsidRPr="001D2FA5">
        <w:rPr>
          <w:rFonts w:ascii="Palatino Linotype" w:eastAsia="Palatino Linotype" w:hAnsi="Palatino Linotype" w:cs="Palatino Linotype"/>
          <w:i/>
          <w:color w:val="000000" w:themeColor="text1"/>
        </w:rPr>
        <w:t>Para los efectos de la presente Ley se entenderá por:</w:t>
      </w:r>
    </w:p>
    <w:p w:rsidR="008F1029" w:rsidRPr="001D2FA5" w:rsidRDefault="008F1029"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w:t>
      </w:r>
    </w:p>
    <w:p w:rsidR="008F1029" w:rsidRPr="001D2FA5" w:rsidRDefault="008F1029"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b/>
          <w:i/>
          <w:color w:val="000000" w:themeColor="text1"/>
        </w:rPr>
        <w:lastRenderedPageBreak/>
        <w:t>XI. Documento:</w:t>
      </w:r>
      <w:r w:rsidRPr="001D2FA5">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1029" w:rsidRPr="001D2FA5" w:rsidRDefault="008F1029" w:rsidP="001D2FA5">
      <w:pPr>
        <w:spacing w:line="360" w:lineRule="auto"/>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w:t>
      </w:r>
    </w:p>
    <w:p w:rsidR="008F1029" w:rsidRPr="001D2FA5" w:rsidRDefault="008F1029" w:rsidP="001D2FA5">
      <w:pPr>
        <w:jc w:val="both"/>
        <w:rPr>
          <w:rFonts w:ascii="Palatino Linotype" w:eastAsia="Palatino Linotype" w:hAnsi="Palatino Linotype" w:cs="Palatino Linotype"/>
          <w:color w:val="000000" w:themeColor="text1"/>
        </w:rPr>
      </w:pPr>
    </w:p>
    <w:p w:rsidR="008F1029" w:rsidRPr="001D2FA5" w:rsidRDefault="008F1029" w:rsidP="001D2FA5">
      <w:pPr>
        <w:pBdr>
          <w:top w:val="nil"/>
          <w:left w:val="nil"/>
          <w:bottom w:val="nil"/>
          <w:right w:val="nil"/>
          <w:between w:val="nil"/>
        </w:pBdr>
        <w:jc w:val="both"/>
        <w:rPr>
          <w:rFonts w:ascii="Palatino Linotype" w:eastAsia="Palatino Linotype" w:hAnsi="Palatino Linotype" w:cs="Palatino Linotype"/>
          <w:color w:val="000000" w:themeColor="text1"/>
        </w:rPr>
      </w:pPr>
    </w:p>
    <w:p w:rsidR="008F1029" w:rsidRPr="001D2FA5" w:rsidRDefault="008F1029"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Por su parte los artículos 160 y 166, de la Ley local en la materia, que se reproduce de la siguiente forma:</w:t>
      </w:r>
    </w:p>
    <w:p w:rsidR="008F1029" w:rsidRPr="001D2FA5" w:rsidRDefault="008F1029"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w:t>
      </w:r>
      <w:r w:rsidRPr="001D2FA5">
        <w:rPr>
          <w:rFonts w:ascii="Palatino Linotype" w:eastAsia="Palatino Linotype" w:hAnsi="Palatino Linotype" w:cs="Palatino Linotype"/>
          <w:b/>
          <w:i/>
          <w:color w:val="000000" w:themeColor="text1"/>
        </w:rPr>
        <w:t>Artículo 160.</w:t>
      </w:r>
      <w:r w:rsidRPr="001D2FA5">
        <w:rPr>
          <w:rFonts w:ascii="Palatino Linotype" w:eastAsia="Palatino Linotype" w:hAnsi="Palatino Linotype" w:cs="Palatino Linotype"/>
          <w:i/>
          <w:color w:val="000000" w:themeColor="text1"/>
        </w:rPr>
        <w:t xml:space="preserve"> </w:t>
      </w:r>
      <w:r w:rsidRPr="001D2FA5">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1D2FA5">
        <w:rPr>
          <w:rFonts w:ascii="Palatino Linotype" w:eastAsia="Palatino Linotype" w:hAnsi="Palatino Linotype" w:cs="Palatino Linotype"/>
          <w:i/>
          <w:color w:val="000000" w:themeColor="text1"/>
        </w:rPr>
        <w:t>.</w:t>
      </w:r>
    </w:p>
    <w:p w:rsidR="008F1029" w:rsidRPr="001D2FA5" w:rsidRDefault="008F1029" w:rsidP="001D2FA5">
      <w:pPr>
        <w:jc w:val="both"/>
        <w:rPr>
          <w:rFonts w:ascii="Palatino Linotype" w:eastAsia="Palatino Linotype" w:hAnsi="Palatino Linotype" w:cs="Palatino Linotype"/>
          <w:i/>
          <w:color w:val="000000" w:themeColor="text1"/>
        </w:rPr>
      </w:pPr>
    </w:p>
    <w:p w:rsidR="008F1029" w:rsidRPr="001D2FA5" w:rsidRDefault="008F1029"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AC79C4" w:rsidRPr="001D2FA5" w:rsidRDefault="00AC79C4" w:rsidP="001D2FA5">
      <w:pPr>
        <w:jc w:val="both"/>
        <w:rPr>
          <w:rFonts w:ascii="Palatino Linotype" w:eastAsia="Palatino Linotype" w:hAnsi="Palatino Linotype" w:cs="Palatino Linotype"/>
          <w:i/>
          <w:color w:val="000000" w:themeColor="text1"/>
        </w:rPr>
      </w:pPr>
    </w:p>
    <w:p w:rsidR="008F1029" w:rsidRPr="001D2FA5" w:rsidRDefault="008F1029" w:rsidP="001D2FA5">
      <w:pPr>
        <w:jc w:val="both"/>
        <w:rPr>
          <w:rFonts w:ascii="Palatino Linotype" w:eastAsia="Palatino Linotype" w:hAnsi="Palatino Linotype" w:cs="Palatino Linotype"/>
          <w:i/>
          <w:color w:val="000000" w:themeColor="text1"/>
          <w:u w:val="single"/>
        </w:rPr>
      </w:pPr>
      <w:r w:rsidRPr="001D2FA5">
        <w:rPr>
          <w:rFonts w:ascii="Palatino Linotype" w:eastAsia="Palatino Linotype" w:hAnsi="Palatino Linotype" w:cs="Palatino Linotype"/>
          <w:b/>
          <w:i/>
          <w:color w:val="000000" w:themeColor="text1"/>
        </w:rPr>
        <w:t>Artículo 166.</w:t>
      </w:r>
      <w:r w:rsidRPr="001D2FA5">
        <w:rPr>
          <w:rFonts w:ascii="Palatino Linotype" w:eastAsia="Palatino Linotype" w:hAnsi="Palatino Linotype" w:cs="Palatino Linotype"/>
          <w:i/>
          <w:color w:val="000000" w:themeColor="text1"/>
        </w:rPr>
        <w:t xml:space="preserve"> </w:t>
      </w:r>
      <w:r w:rsidRPr="001D2FA5">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8F1029" w:rsidRPr="001D2FA5" w:rsidRDefault="008F1029" w:rsidP="001D2FA5">
      <w:pPr>
        <w:spacing w:line="360" w:lineRule="auto"/>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(Énfasis añadido)</w:t>
      </w:r>
    </w:p>
    <w:p w:rsidR="008F1029" w:rsidRPr="001D2FA5" w:rsidRDefault="008F1029" w:rsidP="001D2FA5">
      <w:pPr>
        <w:jc w:val="both"/>
        <w:rPr>
          <w:rFonts w:ascii="Palatino Linotype" w:eastAsia="Palatino Linotype" w:hAnsi="Palatino Linotype" w:cs="Palatino Linotype"/>
          <w:color w:val="000000" w:themeColor="text1"/>
        </w:rPr>
      </w:pPr>
    </w:p>
    <w:p w:rsidR="008F1029" w:rsidRPr="001D2FA5" w:rsidRDefault="008F1029"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396EB0" w:rsidRDefault="00396EB0" w:rsidP="001D2FA5">
      <w:pPr>
        <w:spacing w:line="360" w:lineRule="auto"/>
        <w:jc w:val="both"/>
        <w:rPr>
          <w:rFonts w:ascii="Palatino Linotype" w:hAnsi="Palatino Linotype"/>
          <w:color w:val="000000" w:themeColor="text1"/>
        </w:rPr>
      </w:pPr>
    </w:p>
    <w:p w:rsidR="00152C3E" w:rsidRDefault="00152C3E" w:rsidP="001D2FA5">
      <w:pPr>
        <w:spacing w:line="360" w:lineRule="auto"/>
        <w:jc w:val="both"/>
        <w:rPr>
          <w:rFonts w:ascii="Palatino Linotype" w:hAnsi="Palatino Linotype"/>
          <w:color w:val="000000" w:themeColor="text1"/>
        </w:rPr>
      </w:pPr>
    </w:p>
    <w:p w:rsidR="00152C3E" w:rsidRDefault="00152C3E" w:rsidP="001D2FA5">
      <w:pPr>
        <w:spacing w:line="360" w:lineRule="auto"/>
        <w:jc w:val="both"/>
        <w:rPr>
          <w:rFonts w:ascii="Palatino Linotype" w:hAnsi="Palatino Linotype"/>
          <w:color w:val="000000" w:themeColor="text1"/>
        </w:rPr>
      </w:pPr>
    </w:p>
    <w:p w:rsidR="00396EB0" w:rsidRPr="001D2FA5" w:rsidRDefault="00396EB0" w:rsidP="001D2FA5">
      <w:pPr>
        <w:numPr>
          <w:ilvl w:val="0"/>
          <w:numId w:val="43"/>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b/>
          <w:color w:val="000000" w:themeColor="text1"/>
        </w:rPr>
        <w:lastRenderedPageBreak/>
        <w:t xml:space="preserve">De la naturaleza de la información solicitada. </w:t>
      </w:r>
    </w:p>
    <w:p w:rsidR="000130A7" w:rsidRPr="001D2FA5" w:rsidRDefault="000130A7" w:rsidP="001D2FA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 xml:space="preserve">Es importante recordar que la solicitud de información se basó en requerir el </w:t>
      </w:r>
      <w:r w:rsidRPr="001D2FA5">
        <w:rPr>
          <w:rFonts w:ascii="Palatino Linotype" w:eastAsia="Palatino Linotype" w:hAnsi="Palatino Linotype" w:cs="Palatino Linotype"/>
          <w:i/>
          <w:color w:val="000000" w:themeColor="text1"/>
          <w:u w:val="single"/>
        </w:rPr>
        <w:t>Acta de cabildo que tiene el Secretario del Ayuntamiento, Ignacio Juárez Hernández, en donde se autoriza que Jose Luis Topete Torres, Contralor Municipal, nunca vaya a su oficina</w:t>
      </w:r>
      <w:r w:rsidRPr="001D2FA5">
        <w:rPr>
          <w:rFonts w:ascii="Palatino Linotype" w:eastAsia="Palatino Linotype" w:hAnsi="Palatino Linotype" w:cs="Palatino Linotype"/>
          <w:color w:val="000000" w:themeColor="text1"/>
        </w:rPr>
        <w:t>, en respuesta el Titular de la Unidad de Transparencia refirió la improcedencia de la solicitud por tratarse de un derecho de petición y no de acceso a información pública, circunstancia de la cual se dolió el particular por la negativa a la información solicitada.</w:t>
      </w:r>
    </w:p>
    <w:p w:rsidR="00D523D8" w:rsidRPr="001D2FA5" w:rsidRDefault="00D523D8" w:rsidP="001D2FA5">
      <w:pPr>
        <w:spacing w:line="360" w:lineRule="auto"/>
        <w:jc w:val="both"/>
        <w:rPr>
          <w:rFonts w:ascii="Palatino Linotype" w:eastAsia="Palatino Linotype" w:hAnsi="Palatino Linotype" w:cs="Palatino Linotype"/>
          <w:color w:val="000000" w:themeColor="text1"/>
        </w:rPr>
      </w:pPr>
    </w:p>
    <w:p w:rsidR="00D523D8" w:rsidRPr="001D2FA5" w:rsidRDefault="00D523D8"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En tal contexto, del análisis realizado al expediente electrónico, se advierte que la solicitud no constituye un derecho de acceso a la información y por lo tanto no es atendible mediante una solicitud de acceso a la información pública, porque se tratan de una consulta para un caso específico, situación que conlleva a afirmar que se está en presencia del ejercicio del derecho de petición.</w:t>
      </w:r>
    </w:p>
    <w:p w:rsidR="00D523D8" w:rsidRPr="001D2FA5" w:rsidRDefault="00D523D8" w:rsidP="001D2FA5">
      <w:pPr>
        <w:spacing w:line="360" w:lineRule="auto"/>
        <w:jc w:val="both"/>
        <w:rPr>
          <w:rFonts w:ascii="Palatino Linotype" w:eastAsia="Palatino Linotype" w:hAnsi="Palatino Linotype" w:cs="Palatino Linotype"/>
          <w:color w:val="000000" w:themeColor="text1"/>
        </w:rPr>
      </w:pPr>
    </w:p>
    <w:p w:rsidR="00D523D8" w:rsidRPr="001D2FA5" w:rsidRDefault="00D523D8"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En ese sentido, es importante diferenciar lo que se entiende por derecho de petición y por derecho de acceso a la información pública.</w:t>
      </w:r>
    </w:p>
    <w:p w:rsidR="00D523D8" w:rsidRPr="001D2FA5" w:rsidRDefault="00D523D8" w:rsidP="001D2FA5">
      <w:pPr>
        <w:spacing w:before="240" w:after="240" w:line="360" w:lineRule="auto"/>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Derecho de Petición:</w:t>
      </w:r>
    </w:p>
    <w:p w:rsidR="00D523D8" w:rsidRPr="001D2FA5" w:rsidRDefault="00D523D8" w:rsidP="001D2FA5">
      <w:pPr>
        <w:spacing w:before="240" w:after="240" w:line="360" w:lineRule="auto"/>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El Doctor Ignacio Burgoa Orihuela refiere que derecho de petición: "...</w:t>
      </w:r>
      <w:r w:rsidRPr="001D2FA5">
        <w:rPr>
          <w:rFonts w:ascii="Palatino Linotype" w:eastAsia="Palatino Linotype" w:hAnsi="Palatino Linotype" w:cs="Palatino Linotype"/>
          <w:i/>
          <w:color w:val="000000" w:themeColor="text1"/>
        </w:rPr>
        <w:t xml:space="preserve">es un Derecho Público subjetivo individual de la Garantía Respectiva Consagrada en al Artículo 8 de la Ley Fundamental. En tal virtud, la persona tiene la facultad de acudir a cualquier autoridad, formulando una solicitud o </w:t>
      </w:r>
      <w:r w:rsidRPr="001D2FA5">
        <w:rPr>
          <w:rFonts w:ascii="Palatino Linotype" w:eastAsia="Palatino Linotype" w:hAnsi="Palatino Linotype" w:cs="Palatino Linotype"/>
          <w:i/>
          <w:color w:val="000000" w:themeColor="text1"/>
        </w:rPr>
        <w:lastRenderedPageBreak/>
        <w:t>instancia escrito de cualquier índole, la cual adopta, especialmente, el carácter de simple petición administrativa, acción o recurso, etc.</w:t>
      </w:r>
      <w:r w:rsidRPr="001D2FA5">
        <w:rPr>
          <w:rFonts w:ascii="Palatino Linotype" w:eastAsia="Palatino Linotype" w:hAnsi="Palatino Linotype" w:cs="Palatino Linotype"/>
          <w:color w:val="000000" w:themeColor="text1"/>
        </w:rPr>
        <w:t>"</w:t>
      </w:r>
      <w:r w:rsidRPr="001D2FA5">
        <w:rPr>
          <w:rFonts w:ascii="Palatino Linotype" w:eastAsia="Palatino Linotype" w:hAnsi="Palatino Linotype" w:cs="Palatino Linotype"/>
          <w:color w:val="000000" w:themeColor="text1"/>
          <w:vertAlign w:val="superscript"/>
        </w:rPr>
        <w:footnoteReference w:id="1"/>
      </w:r>
      <w:r w:rsidRPr="001D2FA5">
        <w:rPr>
          <w:rFonts w:ascii="Palatino Linotype" w:eastAsia="Palatino Linotype" w:hAnsi="Palatino Linotype" w:cs="Palatino Linotype"/>
          <w:color w:val="000000" w:themeColor="text1"/>
        </w:rPr>
        <w:t>(Sic)</w:t>
      </w:r>
    </w:p>
    <w:p w:rsidR="00D523D8" w:rsidRPr="001D2FA5" w:rsidRDefault="00D523D8" w:rsidP="001D2FA5">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color w:val="000000" w:themeColor="text1"/>
        </w:rPr>
        <w:t xml:space="preserve">Por su parte, David Cienfuegos Salgado, concibe al derecho de petición como </w:t>
      </w:r>
      <w:r w:rsidRPr="001D2FA5">
        <w:rPr>
          <w:rFonts w:ascii="Palatino Linotype" w:eastAsia="Palatino Linotype" w:hAnsi="Palatino Linotype" w:cs="Palatino Linotype"/>
          <w:i/>
          <w:color w:val="000000" w:themeColor="text1"/>
        </w:rPr>
        <w:t>“el derecho de toda persona a ser escuchado por quienes ejercen el poder público.</w:t>
      </w:r>
      <w:r w:rsidRPr="001D2FA5">
        <w:rPr>
          <w:rFonts w:ascii="Palatino Linotype" w:eastAsia="Palatino Linotype" w:hAnsi="Palatino Linotype" w:cs="Palatino Linotype"/>
          <w:i/>
          <w:color w:val="000000" w:themeColor="text1"/>
          <w:vertAlign w:val="superscript"/>
        </w:rPr>
        <w:t xml:space="preserve"> </w:t>
      </w:r>
      <w:r w:rsidRPr="001D2FA5">
        <w:rPr>
          <w:rFonts w:ascii="Palatino Linotype" w:eastAsia="Palatino Linotype" w:hAnsi="Palatino Linotype" w:cs="Palatino Linotype"/>
          <w:i/>
          <w:color w:val="000000" w:themeColor="text1"/>
          <w:vertAlign w:val="superscript"/>
        </w:rPr>
        <w:footnoteReference w:id="2"/>
      </w:r>
      <w:r w:rsidRPr="001D2FA5">
        <w:rPr>
          <w:rFonts w:ascii="Palatino Linotype" w:eastAsia="Palatino Linotype" w:hAnsi="Palatino Linotype" w:cs="Palatino Linotype"/>
          <w:i/>
          <w:color w:val="000000" w:themeColor="text1"/>
        </w:rPr>
        <w:t xml:space="preserve">” (Sic) </w:t>
      </w:r>
    </w:p>
    <w:p w:rsidR="00D523D8" w:rsidRPr="001D2FA5" w:rsidRDefault="00D523D8"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De la misma manera, Migue Carbonell en su libro “Los derechos fundamentales” refiere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1D2FA5">
        <w:rPr>
          <w:rFonts w:ascii="Palatino Linotype" w:eastAsia="Palatino Linotype" w:hAnsi="Palatino Linotype" w:cs="Palatino Linotype"/>
          <w:color w:val="000000" w:themeColor="text1"/>
          <w:vertAlign w:val="superscript"/>
        </w:rPr>
        <w:footnoteReference w:id="3"/>
      </w:r>
    </w:p>
    <w:p w:rsidR="00D523D8" w:rsidRPr="001D2FA5" w:rsidRDefault="00D523D8" w:rsidP="001D2FA5">
      <w:pPr>
        <w:spacing w:line="360" w:lineRule="auto"/>
        <w:jc w:val="both"/>
        <w:rPr>
          <w:rFonts w:ascii="Palatino Linotype" w:eastAsia="Palatino Linotype" w:hAnsi="Palatino Linotype" w:cs="Palatino Linotype"/>
          <w:color w:val="000000" w:themeColor="text1"/>
        </w:rPr>
      </w:pPr>
    </w:p>
    <w:p w:rsidR="00D523D8" w:rsidRPr="001D2FA5" w:rsidRDefault="00D523D8" w:rsidP="001D2FA5">
      <w:pPr>
        <w:spacing w:line="360" w:lineRule="auto"/>
        <w:jc w:val="both"/>
        <w:rPr>
          <w:rFonts w:ascii="Palatino Linotype" w:eastAsia="Palatino Linotype" w:hAnsi="Palatino Linotype" w:cs="Palatino Linotype"/>
          <w:b/>
          <w:color w:val="000000" w:themeColor="text1"/>
        </w:rPr>
      </w:pPr>
      <w:r w:rsidRPr="001D2FA5">
        <w:rPr>
          <w:rFonts w:ascii="Palatino Linotype" w:eastAsia="Palatino Linotype" w:hAnsi="Palatino Linotype" w:cs="Palatino Linotype"/>
          <w:b/>
          <w:color w:val="000000" w:themeColor="text1"/>
        </w:rPr>
        <w:t>Derecho de Acceso a la Información Pública:</w:t>
      </w:r>
    </w:p>
    <w:p w:rsidR="00D523D8" w:rsidRPr="001D2FA5" w:rsidRDefault="00D523D8"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 xml:space="preserve">Asimismo, el autor anteriormente citado, indica que el derecho de acceso a la información pública es el derecho de conocer la información de carácter público que se genera o está en posesión de los órganos del poder público o de los sujetos que utilizan o se </w:t>
      </w:r>
      <w:r w:rsidRPr="001D2FA5">
        <w:rPr>
          <w:rFonts w:ascii="Palatino Linotype" w:eastAsia="Palatino Linotype" w:hAnsi="Palatino Linotype" w:cs="Palatino Linotype"/>
          <w:color w:val="000000" w:themeColor="text1"/>
        </w:rPr>
        <w:lastRenderedPageBreak/>
        <w:t>benefician con recursos provenientes del Estado, es el derecho que tienen los ciudadanos para acceder a documentos y datos que obren en el poder del gobierno.</w:t>
      </w:r>
    </w:p>
    <w:p w:rsidR="00D523D8" w:rsidRPr="001D2FA5" w:rsidRDefault="00D523D8" w:rsidP="001D2FA5">
      <w:pPr>
        <w:pBdr>
          <w:top w:val="nil"/>
          <w:left w:val="nil"/>
          <w:bottom w:val="nil"/>
          <w:right w:val="nil"/>
          <w:between w:val="nil"/>
        </w:pBdr>
        <w:spacing w:line="360" w:lineRule="auto"/>
        <w:rPr>
          <w:rFonts w:ascii="Palatino Linotype" w:hAnsi="Palatino Linotype"/>
          <w:color w:val="000000" w:themeColor="text1"/>
        </w:rPr>
      </w:pPr>
    </w:p>
    <w:p w:rsidR="00D523D8" w:rsidRPr="001D2FA5" w:rsidRDefault="00D523D8"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1D2FA5">
        <w:rPr>
          <w:rFonts w:ascii="Palatino Linotype" w:eastAsia="Palatino Linotype" w:hAnsi="Palatino Linotype" w:cs="Palatino Linotype"/>
          <w:color w:val="000000" w:themeColor="text1"/>
          <w:vertAlign w:val="superscript"/>
        </w:rPr>
        <w:footnoteReference w:id="4"/>
      </w:r>
    </w:p>
    <w:p w:rsidR="00D523D8" w:rsidRPr="001D2FA5" w:rsidRDefault="00D523D8" w:rsidP="001D2FA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523D8" w:rsidRPr="001D2FA5" w:rsidRDefault="00D523D8"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bien jurídico que coadyuva al desarrollo de las personas y a la formación de opinión pública de calidad para poder participar y luego influir en la vida pública.”</w:t>
      </w:r>
      <w:r w:rsidRPr="001D2FA5">
        <w:rPr>
          <w:rFonts w:ascii="Palatino Linotype" w:eastAsia="Palatino Linotype" w:hAnsi="Palatino Linotype" w:cs="Palatino Linotype"/>
          <w:color w:val="000000" w:themeColor="text1"/>
          <w:vertAlign w:val="superscript"/>
        </w:rPr>
        <w:footnoteReference w:id="5"/>
      </w:r>
    </w:p>
    <w:p w:rsidR="00D523D8" w:rsidRPr="001D2FA5" w:rsidRDefault="00D523D8" w:rsidP="001D2FA5">
      <w:pPr>
        <w:spacing w:line="360" w:lineRule="auto"/>
        <w:jc w:val="both"/>
        <w:rPr>
          <w:rFonts w:ascii="Palatino Linotype" w:eastAsia="Palatino Linotype" w:hAnsi="Palatino Linotype" w:cs="Palatino Linotype"/>
          <w:color w:val="000000" w:themeColor="text1"/>
        </w:rPr>
      </w:pPr>
    </w:p>
    <w:p w:rsidR="00D523D8" w:rsidRPr="001D2FA5" w:rsidRDefault="00D523D8"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 xml:space="preserve">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w:t>
      </w:r>
      <w:r w:rsidRPr="001D2FA5">
        <w:rPr>
          <w:rFonts w:ascii="Palatino Linotype" w:eastAsia="Palatino Linotype" w:hAnsi="Palatino Linotype" w:cs="Palatino Linotype"/>
          <w:color w:val="000000" w:themeColor="text1"/>
        </w:rPr>
        <w:lastRenderedPageBreak/>
        <w:t>del Estado Libre y Soberano de México “Gaceta del Gobierno” el diecinueve de octubre de dos mil once, cuyo rubro y texto dispone:</w:t>
      </w:r>
    </w:p>
    <w:p w:rsidR="00D523D8" w:rsidRPr="001D2FA5" w:rsidRDefault="00D523D8" w:rsidP="001D2FA5">
      <w:pPr>
        <w:jc w:val="both"/>
        <w:rPr>
          <w:rFonts w:ascii="Palatino Linotype" w:eastAsia="Palatino Linotype" w:hAnsi="Palatino Linotype" w:cs="Palatino Linotype"/>
          <w:b/>
          <w:i/>
          <w:color w:val="000000" w:themeColor="text1"/>
        </w:rPr>
      </w:pPr>
      <w:r w:rsidRPr="001D2FA5">
        <w:rPr>
          <w:rFonts w:ascii="Palatino Linotype" w:eastAsia="Palatino Linotype" w:hAnsi="Palatino Linotype" w:cs="Palatino Linotype"/>
          <w:b/>
          <w:i/>
          <w:color w:val="000000" w:themeColor="text1"/>
        </w:rPr>
        <w:t>“CRITERIO 0002-11</w:t>
      </w:r>
    </w:p>
    <w:p w:rsidR="00D523D8" w:rsidRPr="001D2FA5" w:rsidRDefault="00D523D8"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32, 4,11 Y 41.</w:t>
      </w:r>
      <w:r w:rsidRPr="001D2FA5">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523D8" w:rsidRPr="001D2FA5" w:rsidRDefault="00D523D8"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523D8" w:rsidRPr="001D2FA5" w:rsidRDefault="00D523D8"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D523D8" w:rsidRPr="001D2FA5" w:rsidRDefault="00D523D8"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D523D8" w:rsidRPr="001D2FA5" w:rsidRDefault="00D523D8"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Obligados.”(Sic)</w:t>
      </w:r>
    </w:p>
    <w:p w:rsidR="00D523D8" w:rsidRPr="001D2FA5" w:rsidRDefault="00D523D8" w:rsidP="001D2FA5">
      <w:pPr>
        <w:jc w:val="both"/>
        <w:rPr>
          <w:rFonts w:ascii="Palatino Linotype" w:eastAsia="Palatino Linotype" w:hAnsi="Palatino Linotype" w:cs="Palatino Linotype"/>
          <w:i/>
          <w:color w:val="000000" w:themeColor="text1"/>
        </w:rPr>
      </w:pPr>
    </w:p>
    <w:p w:rsidR="00D523D8" w:rsidRPr="001D2FA5" w:rsidRDefault="00D523D8"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 xml:space="preserve">De lo anterior se puede concluir que la distinción entre el </w:t>
      </w:r>
      <w:r w:rsidRPr="001D2FA5">
        <w:rPr>
          <w:rFonts w:ascii="Palatino Linotype" w:eastAsia="Palatino Linotype" w:hAnsi="Palatino Linotype" w:cs="Palatino Linotype"/>
          <w:b/>
          <w:color w:val="000000" w:themeColor="text1"/>
        </w:rPr>
        <w:t>derecho de petición</w:t>
      </w:r>
      <w:r w:rsidRPr="001D2FA5">
        <w:rPr>
          <w:rFonts w:ascii="Palatino Linotype" w:eastAsia="Palatino Linotype" w:hAnsi="Palatino Linotype" w:cs="Palatino Linotype"/>
          <w:color w:val="000000" w:themeColor="text1"/>
        </w:rPr>
        <w:t xml:space="preserve"> y el derecho de acceso a la información descansa, principalmente, en que </w:t>
      </w:r>
      <w:r w:rsidRPr="001D2FA5">
        <w:rPr>
          <w:rFonts w:ascii="Palatino Linotype" w:eastAsia="Palatino Linotype" w:hAnsi="Palatino Linotype" w:cs="Palatino Linotype"/>
          <w:b/>
          <w:color w:val="000000" w:themeColor="text1"/>
        </w:rPr>
        <w:t>la pretensión del peticionario consiste generalmente en obligar a la autoridad responsable a que actúe en el sentido de contestar lo solicitado</w:t>
      </w:r>
      <w:r w:rsidRPr="001D2FA5">
        <w:rPr>
          <w:rFonts w:ascii="Palatino Linotype" w:eastAsia="Palatino Linotype" w:hAnsi="Palatino Linotype" w:cs="Palatino Linotype"/>
          <w:color w:val="000000" w:themeColor="text1"/>
        </w:rPr>
        <w:t xml:space="preserve">, mientras que en el </w:t>
      </w:r>
      <w:r w:rsidRPr="001D2FA5">
        <w:rPr>
          <w:rFonts w:ascii="Palatino Linotype" w:eastAsia="Palatino Linotype" w:hAnsi="Palatino Linotype" w:cs="Palatino Linotype"/>
          <w:b/>
          <w:color w:val="000000" w:themeColor="text1"/>
        </w:rPr>
        <w:t>derecho de acceso a la información pública la pretensión radica en que se permita el acceso a datos y todo tipo de documentación que tenga el carácter de información pública, que sea generada, administrada o se encuentre en posesión de los considerados Sujetos Obligados</w:t>
      </w:r>
      <w:r w:rsidRPr="001D2FA5">
        <w:rPr>
          <w:rFonts w:ascii="Palatino Linotype" w:eastAsia="Palatino Linotype" w:hAnsi="Palatino Linotype" w:cs="Palatino Linotype"/>
          <w:color w:val="000000" w:themeColor="text1"/>
        </w:rPr>
        <w:t xml:space="preserve"> por la Ley de la Materia.</w:t>
      </w:r>
    </w:p>
    <w:p w:rsidR="00D523D8" w:rsidRPr="001D2FA5" w:rsidRDefault="00D523D8" w:rsidP="001D2FA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523D8" w:rsidRPr="001D2FA5" w:rsidRDefault="00D523D8"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 xml:space="preserve">Con base a lo anterior, tenemos que el </w:t>
      </w:r>
      <w:r w:rsidRPr="001D2FA5">
        <w:rPr>
          <w:rFonts w:ascii="Palatino Linotype" w:eastAsia="Palatino Linotype" w:hAnsi="Palatino Linotype" w:cs="Palatino Linotype"/>
          <w:b/>
          <w:color w:val="000000" w:themeColor="text1"/>
        </w:rPr>
        <w:t>RECURRENTE</w:t>
      </w:r>
      <w:r w:rsidRPr="001D2FA5">
        <w:rPr>
          <w:rFonts w:ascii="Palatino Linotype" w:eastAsia="Palatino Linotype" w:hAnsi="Palatino Linotype" w:cs="Palatino Linotype"/>
          <w:color w:val="000000" w:themeColor="text1"/>
        </w:rPr>
        <w:t xml:space="preserve"> en su solicitud de información requiere</w:t>
      </w:r>
      <w:r w:rsidR="00DF1CDE" w:rsidRPr="001D2FA5">
        <w:rPr>
          <w:rFonts w:ascii="Palatino Linotype" w:eastAsia="Palatino Linotype" w:hAnsi="Palatino Linotype" w:cs="Palatino Linotype"/>
          <w:color w:val="000000" w:themeColor="text1"/>
        </w:rPr>
        <w:t xml:space="preserve"> el</w:t>
      </w:r>
      <w:r w:rsidRPr="001D2FA5">
        <w:rPr>
          <w:rFonts w:ascii="Palatino Linotype" w:eastAsia="Palatino Linotype" w:hAnsi="Palatino Linotype" w:cs="Palatino Linotype"/>
          <w:color w:val="000000" w:themeColor="text1"/>
        </w:rPr>
        <w:t xml:space="preserve"> </w:t>
      </w:r>
      <w:r w:rsidR="00DF1CDE" w:rsidRPr="001D2FA5">
        <w:rPr>
          <w:rFonts w:ascii="Palatino Linotype" w:eastAsia="Palatino Linotype" w:hAnsi="Palatino Linotype" w:cs="Palatino Linotype"/>
          <w:i/>
          <w:color w:val="000000" w:themeColor="text1"/>
          <w:u w:val="single"/>
        </w:rPr>
        <w:t xml:space="preserve">Acta de cabildo que tiene el Secretario del Ayuntamiento, Ignacio Juárez Hernández, </w:t>
      </w:r>
      <w:r w:rsidR="00DF1CDE" w:rsidRPr="001D2FA5">
        <w:rPr>
          <w:rFonts w:ascii="Palatino Linotype" w:eastAsia="Palatino Linotype" w:hAnsi="Palatino Linotype" w:cs="Palatino Linotype"/>
          <w:b/>
          <w:i/>
          <w:color w:val="000000" w:themeColor="text1"/>
          <w:u w:val="single"/>
        </w:rPr>
        <w:t>en donde se autoriza que Jose Luis Topete Torres, Contralor Municipal, nunca vaya a su oficina</w:t>
      </w:r>
      <w:r w:rsidRPr="001D2FA5">
        <w:rPr>
          <w:rFonts w:ascii="Palatino Linotype" w:eastAsia="Palatino Linotype" w:hAnsi="Palatino Linotype" w:cs="Palatino Linotype"/>
          <w:color w:val="000000" w:themeColor="text1"/>
        </w:rPr>
        <w:t xml:space="preserve">; </w:t>
      </w:r>
      <w:r w:rsidRPr="001D2FA5">
        <w:rPr>
          <w:rFonts w:ascii="Palatino Linotype" w:eastAsia="Palatino Linotype" w:hAnsi="Palatino Linotype" w:cs="Palatino Linotype"/>
          <w:color w:val="000000" w:themeColor="text1"/>
        </w:rPr>
        <w:lastRenderedPageBreak/>
        <w:t>por consiguiente, la entrega de una razón o la respuesta a cuestionamientos que no encuentren soporte documental alguno, por parte de los Sujetos Obligados no es algo que la Ley de la Materia establece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rsidR="00D523D8" w:rsidRPr="001D2FA5" w:rsidRDefault="00D523D8" w:rsidP="001D2FA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523D8" w:rsidRPr="001D2FA5" w:rsidRDefault="00D523D8"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w:t>
      </w:r>
      <w:r w:rsidRPr="001D2FA5">
        <w:rPr>
          <w:rFonts w:ascii="Palatino Linotype" w:eastAsia="Palatino Linotype" w:hAnsi="Palatino Linotype" w:cs="Palatino Linotype"/>
          <w:color w:val="000000" w:themeColor="text1"/>
        </w:rPr>
        <w:lastRenderedPageBreak/>
        <w:t xml:space="preserve">que son tendentes a que el </w:t>
      </w:r>
      <w:r w:rsidRPr="001D2FA5">
        <w:rPr>
          <w:rFonts w:ascii="Palatino Linotype" w:eastAsia="Palatino Linotype" w:hAnsi="Palatino Linotype" w:cs="Palatino Linotype"/>
          <w:b/>
          <w:color w:val="000000" w:themeColor="text1"/>
        </w:rPr>
        <w:t>SUJETO OBLIGADO</w:t>
      </w:r>
      <w:r w:rsidRPr="001D2FA5">
        <w:rPr>
          <w:rFonts w:ascii="Palatino Linotype" w:eastAsia="Palatino Linotype" w:hAnsi="Palatino Linotype" w:cs="Palatino Linotype"/>
          <w:color w:val="000000" w:themeColor="text1"/>
        </w:rPr>
        <w:t xml:space="preserve"> proporcione </w:t>
      </w:r>
      <w:r w:rsidR="00B64120" w:rsidRPr="001D2FA5">
        <w:rPr>
          <w:rFonts w:ascii="Palatino Linotype" w:eastAsia="Palatino Linotype" w:hAnsi="Palatino Linotype" w:cs="Palatino Linotype"/>
          <w:color w:val="000000" w:themeColor="text1"/>
        </w:rPr>
        <w:t xml:space="preserve">un </w:t>
      </w:r>
      <w:r w:rsidR="00B64120" w:rsidRPr="001D2FA5">
        <w:rPr>
          <w:rFonts w:ascii="Palatino Linotype" w:eastAsia="Palatino Linotype" w:hAnsi="Palatino Linotype" w:cs="Palatino Linotype"/>
          <w:b/>
          <w:color w:val="000000" w:themeColor="text1"/>
        </w:rPr>
        <w:t xml:space="preserve">documento </w:t>
      </w:r>
      <w:r w:rsidR="00077AC7" w:rsidRPr="001D2FA5">
        <w:rPr>
          <w:rFonts w:ascii="Palatino Linotype" w:eastAsia="Palatino Linotype" w:hAnsi="Palatino Linotype" w:cs="Palatino Linotype"/>
          <w:b/>
          <w:color w:val="000000" w:themeColor="text1"/>
        </w:rPr>
        <w:t xml:space="preserve">en el que conste información </w:t>
      </w:r>
      <w:r w:rsidR="00B64120" w:rsidRPr="001D2FA5">
        <w:rPr>
          <w:rFonts w:ascii="Palatino Linotype" w:eastAsia="Palatino Linotype" w:hAnsi="Palatino Linotype" w:cs="Palatino Linotype"/>
          <w:b/>
          <w:color w:val="000000" w:themeColor="text1"/>
        </w:rPr>
        <w:t>basad</w:t>
      </w:r>
      <w:r w:rsidR="00077AC7" w:rsidRPr="001D2FA5">
        <w:rPr>
          <w:rFonts w:ascii="Palatino Linotype" w:eastAsia="Palatino Linotype" w:hAnsi="Palatino Linotype" w:cs="Palatino Linotype"/>
          <w:b/>
          <w:color w:val="000000" w:themeColor="text1"/>
        </w:rPr>
        <w:t>a</w:t>
      </w:r>
      <w:r w:rsidR="00B64120" w:rsidRPr="001D2FA5">
        <w:rPr>
          <w:rFonts w:ascii="Palatino Linotype" w:eastAsia="Palatino Linotype" w:hAnsi="Palatino Linotype" w:cs="Palatino Linotype"/>
          <w:b/>
          <w:color w:val="000000" w:themeColor="text1"/>
        </w:rPr>
        <w:t xml:space="preserve"> en manifestaciones subjetivas</w:t>
      </w:r>
      <w:r w:rsidR="00B64120" w:rsidRPr="001D2FA5">
        <w:rPr>
          <w:rFonts w:ascii="Palatino Linotype" w:eastAsia="Palatino Linotype" w:hAnsi="Palatino Linotype" w:cs="Palatino Linotype"/>
          <w:color w:val="000000" w:themeColor="text1"/>
        </w:rPr>
        <w:t xml:space="preserve"> realizadas por el solicitante.</w:t>
      </w:r>
      <w:r w:rsidRPr="001D2FA5">
        <w:rPr>
          <w:rFonts w:ascii="Palatino Linotype" w:eastAsia="Palatino Linotype" w:hAnsi="Palatino Linotype" w:cs="Palatino Linotype"/>
          <w:color w:val="000000" w:themeColor="text1"/>
        </w:rPr>
        <w:t xml:space="preserve"> </w:t>
      </w:r>
    </w:p>
    <w:p w:rsidR="00D523D8" w:rsidRPr="001D2FA5" w:rsidRDefault="00D523D8" w:rsidP="001D2FA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523D8" w:rsidRPr="001D2FA5" w:rsidRDefault="00D523D8"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 xml:space="preserve">En virtud de los argumentos expuestos con anterioridad así como del análisis realizado a las constancias que obran en el expediente electrónico del SAIMEX, identificado con folio </w:t>
      </w:r>
      <w:r w:rsidR="00DF664D" w:rsidRPr="001D2FA5">
        <w:rPr>
          <w:rFonts w:ascii="Palatino Linotype" w:eastAsia="Palatino Linotype" w:hAnsi="Palatino Linotype" w:cs="Palatino Linotype"/>
          <w:b/>
          <w:color w:val="000000" w:themeColor="text1"/>
        </w:rPr>
        <w:t>07698</w:t>
      </w:r>
      <w:r w:rsidR="000707B4" w:rsidRPr="001D2FA5">
        <w:rPr>
          <w:rFonts w:ascii="Palatino Linotype" w:eastAsia="Palatino Linotype" w:hAnsi="Palatino Linotype" w:cs="Palatino Linotype"/>
          <w:b/>
          <w:color w:val="000000" w:themeColor="text1"/>
        </w:rPr>
        <w:t>/INFOEM/IP/RR/2025</w:t>
      </w:r>
      <w:r w:rsidRPr="001D2FA5">
        <w:rPr>
          <w:rFonts w:ascii="Palatino Linotype" w:eastAsia="Palatino Linotype" w:hAnsi="Palatino Linotype" w:cs="Palatino Linotype"/>
          <w:color w:val="000000" w:themeColor="text1"/>
        </w:rPr>
        <w:t xml:space="preserve">, se determina </w:t>
      </w:r>
      <w:r w:rsidR="00DF664D" w:rsidRPr="001D2FA5">
        <w:rPr>
          <w:rFonts w:ascii="Palatino Linotype" w:eastAsia="Palatino Linotype" w:hAnsi="Palatino Linotype" w:cs="Palatino Linotype"/>
          <w:b/>
          <w:color w:val="000000" w:themeColor="text1"/>
        </w:rPr>
        <w:t>SOBRESEER</w:t>
      </w:r>
      <w:r w:rsidR="00DF664D" w:rsidRPr="001D2FA5">
        <w:rPr>
          <w:rFonts w:ascii="Palatino Linotype" w:eastAsia="Palatino Linotype" w:hAnsi="Palatino Linotype" w:cs="Palatino Linotype"/>
          <w:color w:val="000000" w:themeColor="text1"/>
        </w:rPr>
        <w:t xml:space="preserve"> </w:t>
      </w:r>
      <w:r w:rsidRPr="001D2FA5">
        <w:rPr>
          <w:rFonts w:ascii="Palatino Linotype" w:eastAsia="Palatino Linotype" w:hAnsi="Palatino Linotype" w:cs="Palatino Linotype"/>
          <w:color w:val="000000" w:themeColor="text1"/>
        </w:rPr>
        <w:t>el presente recurso de revisión por actualizarse la causal de sobreseimiento prevista en la fracción IV, del artículo 192, de la Ley de Transparencia y Acceso a la Información Pública del Estado de México y Municipios</w:t>
      </w:r>
      <w:r w:rsidR="00FC7AA8" w:rsidRPr="001D2FA5">
        <w:rPr>
          <w:rFonts w:ascii="Palatino Linotype" w:eastAsia="Palatino Linotype" w:hAnsi="Palatino Linotype" w:cs="Palatino Linotype"/>
          <w:color w:val="000000" w:themeColor="text1"/>
        </w:rPr>
        <w:t>,</w:t>
      </w:r>
      <w:r w:rsidRPr="001D2FA5">
        <w:rPr>
          <w:rFonts w:ascii="Palatino Linotype" w:eastAsia="Palatino Linotype" w:hAnsi="Palatino Linotype" w:cs="Palatino Linotype"/>
          <w:color w:val="000000" w:themeColor="text1"/>
        </w:rPr>
        <w:t xml:space="preserve"> en </w:t>
      </w:r>
      <w:r w:rsidR="00FC7AA8" w:rsidRPr="001D2FA5">
        <w:rPr>
          <w:rFonts w:ascii="Palatino Linotype" w:eastAsia="Palatino Linotype" w:hAnsi="Palatino Linotype" w:cs="Palatino Linotype"/>
          <w:color w:val="000000" w:themeColor="text1"/>
        </w:rPr>
        <w:t>relación</w:t>
      </w:r>
      <w:r w:rsidRPr="001D2FA5">
        <w:rPr>
          <w:rFonts w:ascii="Palatino Linotype" w:eastAsia="Palatino Linotype" w:hAnsi="Palatino Linotype" w:cs="Palatino Linotype"/>
          <w:color w:val="000000" w:themeColor="text1"/>
        </w:rPr>
        <w:t xml:space="preserve"> con la causal de improcedencia contemplada en la fracción VI, del artículo 191, del ordenamiento legal en cita, los que se transcriben a continuación, para un mejor entendimiento:</w:t>
      </w:r>
    </w:p>
    <w:p w:rsidR="00D523D8" w:rsidRPr="001D2FA5" w:rsidRDefault="00D523D8" w:rsidP="001D2FA5">
      <w:pPr>
        <w:pBdr>
          <w:top w:val="nil"/>
          <w:left w:val="nil"/>
          <w:bottom w:val="nil"/>
          <w:right w:val="nil"/>
          <w:between w:val="nil"/>
        </w:pBd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w:t>
      </w:r>
      <w:r w:rsidRPr="001D2FA5">
        <w:rPr>
          <w:rFonts w:ascii="Palatino Linotype" w:eastAsia="Palatino Linotype" w:hAnsi="Palatino Linotype" w:cs="Palatino Linotype"/>
          <w:b/>
          <w:i/>
          <w:color w:val="000000" w:themeColor="text1"/>
        </w:rPr>
        <w:t>Artículo 192.</w:t>
      </w:r>
      <w:r w:rsidRPr="001D2FA5">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D523D8" w:rsidRPr="001D2FA5" w:rsidRDefault="00D523D8" w:rsidP="001D2FA5">
      <w:pPr>
        <w:pBdr>
          <w:top w:val="nil"/>
          <w:left w:val="nil"/>
          <w:bottom w:val="nil"/>
          <w:right w:val="nil"/>
          <w:between w:val="nil"/>
        </w:pBd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w:t>
      </w:r>
    </w:p>
    <w:p w:rsidR="00D523D8" w:rsidRPr="001D2FA5" w:rsidRDefault="00D523D8" w:rsidP="001D2FA5">
      <w:pPr>
        <w:pBdr>
          <w:top w:val="nil"/>
          <w:left w:val="nil"/>
          <w:bottom w:val="nil"/>
          <w:right w:val="nil"/>
          <w:between w:val="nil"/>
        </w:pBd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b/>
          <w:i/>
          <w:color w:val="000000" w:themeColor="text1"/>
        </w:rPr>
        <w:t>IV</w:t>
      </w:r>
      <w:r w:rsidRPr="001D2FA5">
        <w:rPr>
          <w:rFonts w:ascii="Palatino Linotype" w:eastAsia="Palatino Linotype" w:hAnsi="Palatino Linotype" w:cs="Palatino Linotype"/>
          <w:i/>
          <w:color w:val="000000" w:themeColor="text1"/>
        </w:rPr>
        <w:t xml:space="preserve">. Admitido el recurso de revisión, </w:t>
      </w:r>
      <w:r w:rsidRPr="001D2FA5">
        <w:rPr>
          <w:rFonts w:ascii="Palatino Linotype" w:eastAsia="Palatino Linotype" w:hAnsi="Palatino Linotype" w:cs="Palatino Linotype"/>
          <w:b/>
          <w:i/>
          <w:color w:val="000000" w:themeColor="text1"/>
        </w:rPr>
        <w:t>aparezca alguna causal de improcedencia</w:t>
      </w:r>
      <w:r w:rsidRPr="001D2FA5">
        <w:rPr>
          <w:rFonts w:ascii="Palatino Linotype" w:eastAsia="Palatino Linotype" w:hAnsi="Palatino Linotype" w:cs="Palatino Linotype"/>
          <w:i/>
          <w:color w:val="000000" w:themeColor="text1"/>
        </w:rPr>
        <w:t xml:space="preserve"> en los términos de la presente Ley…</w:t>
      </w:r>
    </w:p>
    <w:p w:rsidR="00D523D8" w:rsidRPr="001D2FA5" w:rsidRDefault="00D523D8" w:rsidP="001D2FA5">
      <w:pPr>
        <w:pBdr>
          <w:top w:val="nil"/>
          <w:left w:val="nil"/>
          <w:bottom w:val="nil"/>
          <w:right w:val="nil"/>
          <w:between w:val="nil"/>
        </w:pBdr>
        <w:jc w:val="both"/>
        <w:rPr>
          <w:rFonts w:ascii="Palatino Linotype" w:eastAsia="Palatino Linotype" w:hAnsi="Palatino Linotype" w:cs="Palatino Linotype"/>
          <w:i/>
          <w:color w:val="000000" w:themeColor="text1"/>
        </w:rPr>
      </w:pPr>
    </w:p>
    <w:p w:rsidR="00D523D8" w:rsidRPr="001D2FA5" w:rsidRDefault="00D523D8" w:rsidP="001D2FA5">
      <w:pPr>
        <w:pBdr>
          <w:top w:val="nil"/>
          <w:left w:val="nil"/>
          <w:bottom w:val="nil"/>
          <w:right w:val="nil"/>
          <w:between w:val="nil"/>
        </w:pBd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b/>
          <w:i/>
          <w:color w:val="000000" w:themeColor="text1"/>
        </w:rPr>
        <w:t>Artículo 191</w:t>
      </w:r>
      <w:r w:rsidRPr="001D2FA5">
        <w:rPr>
          <w:rFonts w:ascii="Palatino Linotype" w:eastAsia="Palatino Linotype" w:hAnsi="Palatino Linotype" w:cs="Palatino Linotype"/>
          <w:i/>
          <w:color w:val="000000" w:themeColor="text1"/>
        </w:rPr>
        <w:t xml:space="preserve">. </w:t>
      </w:r>
      <w:r w:rsidRPr="001D2FA5">
        <w:rPr>
          <w:rFonts w:ascii="Palatino Linotype" w:eastAsia="Palatino Linotype" w:hAnsi="Palatino Linotype" w:cs="Palatino Linotype"/>
          <w:b/>
          <w:i/>
          <w:color w:val="000000" w:themeColor="text1"/>
        </w:rPr>
        <w:t>El recurso</w:t>
      </w:r>
      <w:r w:rsidRPr="001D2FA5">
        <w:rPr>
          <w:rFonts w:ascii="Palatino Linotype" w:eastAsia="Palatino Linotype" w:hAnsi="Palatino Linotype" w:cs="Palatino Linotype"/>
          <w:i/>
          <w:color w:val="000000" w:themeColor="text1"/>
        </w:rPr>
        <w:t xml:space="preserve"> </w:t>
      </w:r>
      <w:r w:rsidRPr="001D2FA5">
        <w:rPr>
          <w:rFonts w:ascii="Palatino Linotype" w:eastAsia="Palatino Linotype" w:hAnsi="Palatino Linotype" w:cs="Palatino Linotype"/>
          <w:b/>
          <w:i/>
          <w:color w:val="000000" w:themeColor="text1"/>
        </w:rPr>
        <w:t xml:space="preserve">será </w:t>
      </w:r>
      <w:r w:rsidRPr="001D2FA5">
        <w:rPr>
          <w:rFonts w:ascii="Palatino Linotype" w:eastAsia="Palatino Linotype" w:hAnsi="Palatino Linotype" w:cs="Palatino Linotype"/>
          <w:i/>
          <w:color w:val="000000" w:themeColor="text1"/>
        </w:rPr>
        <w:t xml:space="preserve">desechado por </w:t>
      </w:r>
      <w:r w:rsidRPr="001D2FA5">
        <w:rPr>
          <w:rFonts w:ascii="Palatino Linotype" w:eastAsia="Palatino Linotype" w:hAnsi="Palatino Linotype" w:cs="Palatino Linotype"/>
          <w:b/>
          <w:i/>
          <w:color w:val="000000" w:themeColor="text1"/>
        </w:rPr>
        <w:t>improcedente cuando</w:t>
      </w:r>
      <w:r w:rsidRPr="001D2FA5">
        <w:rPr>
          <w:rFonts w:ascii="Palatino Linotype" w:eastAsia="Palatino Linotype" w:hAnsi="Palatino Linotype" w:cs="Palatino Linotype"/>
          <w:i/>
          <w:color w:val="000000" w:themeColor="text1"/>
        </w:rPr>
        <w:t>:</w:t>
      </w:r>
    </w:p>
    <w:p w:rsidR="00D523D8" w:rsidRPr="001D2FA5" w:rsidRDefault="00D523D8" w:rsidP="001D2FA5">
      <w:pPr>
        <w:pBdr>
          <w:top w:val="nil"/>
          <w:left w:val="nil"/>
          <w:bottom w:val="nil"/>
          <w:right w:val="nil"/>
          <w:between w:val="nil"/>
        </w:pBd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w:t>
      </w:r>
    </w:p>
    <w:p w:rsidR="00D523D8" w:rsidRPr="001D2FA5" w:rsidRDefault="00D523D8" w:rsidP="001D2FA5">
      <w:pPr>
        <w:pBdr>
          <w:top w:val="nil"/>
          <w:left w:val="nil"/>
          <w:bottom w:val="nil"/>
          <w:right w:val="nil"/>
          <w:between w:val="nil"/>
        </w:pBd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b/>
          <w:i/>
          <w:color w:val="000000" w:themeColor="text1"/>
        </w:rPr>
        <w:t>VI. Se trate de una consulta</w:t>
      </w:r>
      <w:r w:rsidRPr="001D2FA5">
        <w:rPr>
          <w:rFonts w:ascii="Palatino Linotype" w:eastAsia="Palatino Linotype" w:hAnsi="Palatino Linotype" w:cs="Palatino Linotype"/>
          <w:i/>
          <w:color w:val="000000" w:themeColor="text1"/>
        </w:rPr>
        <w:t>, o tramite en específico... (Sic)</w:t>
      </w:r>
    </w:p>
    <w:p w:rsidR="00D523D8" w:rsidRPr="001D2FA5" w:rsidRDefault="00D523D8" w:rsidP="001D2FA5">
      <w:pPr>
        <w:spacing w:before="240" w:line="360" w:lineRule="auto"/>
        <w:jc w:val="both"/>
        <w:rPr>
          <w:rFonts w:ascii="Palatino Linotype" w:eastAsia="Palatino Linotype" w:hAnsi="Palatino Linotype" w:cs="Palatino Linotype"/>
          <w:color w:val="000000" w:themeColor="text1"/>
        </w:rPr>
      </w:pPr>
    </w:p>
    <w:p w:rsidR="00D523D8" w:rsidRPr="001D2FA5" w:rsidRDefault="00D523D8"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 xml:space="preserve">Siendo el </w:t>
      </w:r>
      <w:r w:rsidRPr="001D2FA5">
        <w:rPr>
          <w:rFonts w:ascii="Palatino Linotype" w:eastAsia="Palatino Linotype" w:hAnsi="Palatino Linotype" w:cs="Palatino Linotype"/>
          <w:b/>
          <w:i/>
          <w:color w:val="000000" w:themeColor="text1"/>
        </w:rPr>
        <w:t>sobreseimiento</w:t>
      </w:r>
      <w:r w:rsidRPr="001D2FA5">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rsidR="00AC344B" w:rsidRPr="001D2FA5" w:rsidRDefault="00AC344B" w:rsidP="001D2FA5">
      <w:pPr>
        <w:spacing w:after="120"/>
        <w:jc w:val="both"/>
        <w:rPr>
          <w:rFonts w:ascii="Palatino Linotype" w:eastAsia="Palatino Linotype" w:hAnsi="Palatino Linotype" w:cs="Palatino Linotype"/>
          <w:b/>
          <w:i/>
          <w:color w:val="000000" w:themeColor="text1"/>
        </w:rPr>
      </w:pPr>
      <w:r w:rsidRPr="001D2FA5">
        <w:rPr>
          <w:rFonts w:ascii="Palatino Linotype" w:eastAsia="Palatino Linotype" w:hAnsi="Palatino Linotype" w:cs="Palatino Linotype"/>
          <w:i/>
          <w:color w:val="000000" w:themeColor="text1"/>
        </w:rPr>
        <w:lastRenderedPageBreak/>
        <w:t>“</w:t>
      </w:r>
      <w:r w:rsidRPr="001D2FA5">
        <w:rPr>
          <w:rFonts w:ascii="Palatino Linotype" w:eastAsia="Palatino Linotype" w:hAnsi="Palatino Linotype" w:cs="Palatino Linotype"/>
          <w:b/>
          <w:i/>
          <w:color w:val="000000" w:themeColor="text1"/>
        </w:rPr>
        <w:t>SO</w:t>
      </w:r>
      <w:bookmarkStart w:id="6" w:name="_GoBack"/>
      <w:bookmarkEnd w:id="6"/>
      <w:r w:rsidRPr="001D2FA5">
        <w:rPr>
          <w:rFonts w:ascii="Palatino Linotype" w:eastAsia="Palatino Linotype" w:hAnsi="Palatino Linotype" w:cs="Palatino Linotype"/>
          <w:b/>
          <w:i/>
          <w:color w:val="000000" w:themeColor="text1"/>
        </w:rPr>
        <w:t>BRESEIMIENTO, NO PERMITE ENTRAR AL ESTUDIO DE LAS CUESTIONES DE FONDO</w:t>
      </w:r>
    </w:p>
    <w:p w:rsidR="00AC344B" w:rsidRPr="001D2FA5" w:rsidRDefault="00AC344B" w:rsidP="001D2FA5">
      <w:pPr>
        <w:spacing w:before="120" w:after="120"/>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AC344B" w:rsidRPr="001D2FA5" w:rsidRDefault="00AC344B" w:rsidP="001D2FA5">
      <w:pPr>
        <w:spacing w:before="120" w:after="120"/>
        <w:jc w:val="both"/>
        <w:rPr>
          <w:rFonts w:ascii="Palatino Linotype" w:eastAsia="Palatino Linotype" w:hAnsi="Palatino Linotype" w:cs="Palatino Linotype"/>
          <w:i/>
          <w:color w:val="000000" w:themeColor="text1"/>
        </w:rPr>
      </w:pPr>
    </w:p>
    <w:p w:rsidR="00AC344B" w:rsidRPr="001D2FA5" w:rsidRDefault="00AC344B" w:rsidP="001D2FA5">
      <w:pPr>
        <w:spacing w:before="120" w:after="120"/>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AC344B" w:rsidRPr="001D2FA5" w:rsidRDefault="00AC344B" w:rsidP="001D2FA5">
      <w:pPr>
        <w:spacing w:before="120" w:after="120"/>
        <w:jc w:val="both"/>
        <w:rPr>
          <w:rFonts w:ascii="Palatino Linotype" w:eastAsia="Palatino Linotype" w:hAnsi="Palatino Linotype" w:cs="Palatino Linotype"/>
          <w:i/>
          <w:color w:val="000000" w:themeColor="text1"/>
        </w:rPr>
      </w:pPr>
    </w:p>
    <w:p w:rsidR="00AC344B" w:rsidRPr="001D2FA5" w:rsidRDefault="00AC344B" w:rsidP="001D2FA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 xml:space="preserve">Cabe destacar que la decisión de este Organismo Colegiado de </w:t>
      </w:r>
      <w:r w:rsidRPr="001D2FA5">
        <w:rPr>
          <w:rFonts w:ascii="Palatino Linotype" w:eastAsia="Palatino Linotype" w:hAnsi="Palatino Linotype" w:cs="Palatino Linotype"/>
          <w:b/>
          <w:i/>
          <w:color w:val="000000" w:themeColor="text1"/>
        </w:rPr>
        <w:t>sobreseer</w:t>
      </w:r>
      <w:r w:rsidRPr="001D2FA5">
        <w:rPr>
          <w:rFonts w:ascii="Palatino Linotype" w:eastAsia="Palatino Linotype" w:hAnsi="Palatino Linotype" w:cs="Palatino Linotype"/>
          <w:color w:val="000000" w:themeColor="text1"/>
        </w:rPr>
        <w:t xml:space="preserve"> el recurso de revisión no implica una limitación o negación a la justicia, según lo ha establecido el Poder Judicial Federal, en el criterio que es aplicable por analogía, con rubro:</w:t>
      </w:r>
    </w:p>
    <w:p w:rsidR="00AC344B" w:rsidRPr="001D2FA5" w:rsidRDefault="00AC344B" w:rsidP="001D2FA5">
      <w:pPr>
        <w:jc w:val="both"/>
        <w:rPr>
          <w:rFonts w:ascii="Palatino Linotype" w:eastAsia="Palatino Linotype" w:hAnsi="Palatino Linotype" w:cs="Palatino Linotype"/>
          <w:b/>
          <w:i/>
          <w:color w:val="000000" w:themeColor="text1"/>
        </w:rPr>
      </w:pPr>
      <w:r w:rsidRPr="001D2FA5">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AC344B" w:rsidRPr="001D2FA5" w:rsidRDefault="00AC344B" w:rsidP="001D2FA5">
      <w:pPr>
        <w:jc w:val="both"/>
        <w:rPr>
          <w:rFonts w:ascii="Palatino Linotype" w:eastAsia="Palatino Linotype" w:hAnsi="Palatino Linotype" w:cs="Palatino Linotype"/>
          <w:b/>
          <w:i/>
          <w:color w:val="000000" w:themeColor="text1"/>
        </w:rPr>
      </w:pPr>
    </w:p>
    <w:p w:rsidR="00D523D8" w:rsidRPr="001D2FA5" w:rsidRDefault="00AC344B" w:rsidP="001D2FA5">
      <w:pPr>
        <w:jc w:val="both"/>
        <w:rPr>
          <w:rFonts w:ascii="Palatino Linotype" w:eastAsia="Palatino Linotype" w:hAnsi="Palatino Linotype" w:cs="Palatino Linotype"/>
          <w:i/>
          <w:color w:val="000000" w:themeColor="text1"/>
        </w:rPr>
      </w:pPr>
      <w:r w:rsidRPr="001D2FA5">
        <w:rPr>
          <w:rFonts w:ascii="Palatino Linotype" w:eastAsia="Palatino Linotype" w:hAnsi="Palatino Linotype" w:cs="Palatino Linotype"/>
          <w:i/>
          <w:color w:val="000000" w:themeColor="text1"/>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1D2FA5">
        <w:rPr>
          <w:rFonts w:ascii="Palatino Linotype" w:eastAsia="Palatino Linotype" w:hAnsi="Palatino Linotype" w:cs="Palatino Linotype"/>
          <w:i/>
          <w:color w:val="000000" w:themeColor="text1"/>
        </w:rPr>
        <w:tab/>
      </w:r>
    </w:p>
    <w:p w:rsidR="00D523D8" w:rsidRPr="001D2FA5" w:rsidRDefault="00D523D8" w:rsidP="001D2FA5">
      <w:pPr>
        <w:spacing w:line="360" w:lineRule="auto"/>
        <w:jc w:val="both"/>
        <w:rPr>
          <w:rFonts w:ascii="Palatino Linotype" w:eastAsia="Palatino Linotype" w:hAnsi="Palatino Linotype" w:cs="Palatino Linotype"/>
          <w:color w:val="000000" w:themeColor="text1"/>
        </w:rPr>
      </w:pPr>
    </w:p>
    <w:p w:rsidR="00D523D8" w:rsidRPr="001D2FA5" w:rsidRDefault="004559AE" w:rsidP="001D2FA5">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D2FA5">
        <w:rPr>
          <w:rFonts w:ascii="Palatino Linotype" w:eastAsia="Palatino Linotype" w:hAnsi="Palatino Linotype" w:cs="Palatino Linotype"/>
          <w:color w:val="000000" w:themeColor="text1"/>
        </w:rPr>
        <w:t>Bajo este tenor, s</w:t>
      </w:r>
      <w:r w:rsidR="00D523D8" w:rsidRPr="001D2FA5">
        <w:rPr>
          <w:rFonts w:ascii="Palatino Linotype" w:eastAsia="Palatino Linotype" w:hAnsi="Palatino Linotype" w:cs="Palatino Linotype"/>
          <w:color w:val="000000" w:themeColor="text1"/>
        </w:rPr>
        <w:t xml:space="preserve">e actualiza la causal de improcedencia establecida en los artículos 192, fracción IV, y 191, fracción VI, de la Ley de Transparencia vigente en la entidad, por lo que se </w:t>
      </w:r>
      <w:r w:rsidR="005C40A1" w:rsidRPr="001D2FA5">
        <w:rPr>
          <w:rFonts w:ascii="Palatino Linotype" w:eastAsia="Palatino Linotype" w:hAnsi="Palatino Linotype" w:cs="Palatino Linotype"/>
          <w:b/>
          <w:color w:val="000000" w:themeColor="text1"/>
        </w:rPr>
        <w:lastRenderedPageBreak/>
        <w:t xml:space="preserve">SOBRESEE </w:t>
      </w:r>
      <w:r w:rsidR="00D523D8" w:rsidRPr="001D2FA5">
        <w:rPr>
          <w:rFonts w:ascii="Palatino Linotype" w:eastAsia="Palatino Linotype" w:hAnsi="Palatino Linotype" w:cs="Palatino Linotype"/>
          <w:color w:val="000000" w:themeColor="text1"/>
        </w:rPr>
        <w:t xml:space="preserve">el recurso de revisión </w:t>
      </w:r>
      <w:r w:rsidR="005C40A1" w:rsidRPr="001D2FA5">
        <w:rPr>
          <w:rFonts w:ascii="Palatino Linotype" w:eastAsia="Palatino Linotype" w:hAnsi="Palatino Linotype" w:cs="Palatino Linotype"/>
          <w:b/>
          <w:color w:val="000000" w:themeColor="text1"/>
        </w:rPr>
        <w:t>07698/INFOEM/IP/RR/2025</w:t>
      </w:r>
      <w:r w:rsidR="00D523D8" w:rsidRPr="001D2FA5">
        <w:rPr>
          <w:rFonts w:ascii="Palatino Linotype" w:eastAsia="Palatino Linotype" w:hAnsi="Palatino Linotype" w:cs="Palatino Linotype"/>
          <w:color w:val="000000" w:themeColor="text1"/>
        </w:rPr>
        <w:t>, que ha sido materia del presente fallo.</w:t>
      </w:r>
    </w:p>
    <w:p w:rsidR="00D523D8" w:rsidRPr="001D2FA5" w:rsidRDefault="00D523D8" w:rsidP="001D2FA5">
      <w:pPr>
        <w:spacing w:line="360" w:lineRule="auto"/>
        <w:jc w:val="both"/>
        <w:rPr>
          <w:rFonts w:ascii="Palatino Linotype" w:eastAsia="Palatino Linotype" w:hAnsi="Palatino Linotype" w:cs="Palatino Linotype"/>
          <w:color w:val="000000" w:themeColor="text1"/>
        </w:rPr>
      </w:pPr>
    </w:p>
    <w:p w:rsidR="00D523D8" w:rsidRPr="00F02EB9" w:rsidRDefault="00D523D8" w:rsidP="001D2FA5">
      <w:pPr>
        <w:numPr>
          <w:ilvl w:val="0"/>
          <w:numId w:val="2"/>
        </w:numPr>
        <w:spacing w:line="360" w:lineRule="auto"/>
        <w:ind w:left="0" w:firstLine="0"/>
        <w:jc w:val="both"/>
        <w:rPr>
          <w:rFonts w:ascii="Palatino Linotype" w:hAnsi="Palatino Linotype"/>
          <w:color w:val="000000" w:themeColor="text1"/>
        </w:rPr>
      </w:pPr>
      <w:r w:rsidRPr="001D2FA5">
        <w:rPr>
          <w:rFonts w:ascii="Palatino Linotype" w:eastAsia="Palatino Linotype" w:hAnsi="Palatino Linotype" w:cs="Palatino Linotype"/>
          <w:color w:val="000000" w:themeColor="text1"/>
        </w:rPr>
        <w:t xml:space="preserve">Así las cosas, con fundamento en lo prescrito en los artículos 5, </w:t>
      </w:r>
      <w:r w:rsidR="00A13C54" w:rsidRPr="001D2FA5">
        <w:rPr>
          <w:rFonts w:ascii="Palatino Linotype" w:eastAsia="Palatino Linotype" w:hAnsi="Palatino Linotype" w:cs="Palatino Linotype"/>
          <w:color w:val="000000" w:themeColor="text1"/>
        </w:rPr>
        <w:t xml:space="preserve">párrafos trigésimo noveno, cuadragésimo y cuadragésimo primero, fracciones IV y V, </w:t>
      </w:r>
      <w:r w:rsidRPr="001D2FA5">
        <w:rPr>
          <w:rFonts w:ascii="Palatino Linotype" w:eastAsia="Palatino Linotype" w:hAnsi="Palatino Linotype" w:cs="Palatino Linotype"/>
          <w:color w:val="000000" w:themeColor="text1"/>
        </w:rPr>
        <w:t>de la Constitución Política del Estado Libre y Soberano de México; 2, fracción II; 29, 36 fracciones I y II; 176, 178, 179, 181 y 185 de la Ley de Transparencia y Acceso a la Información Pública del Estado de México y Municipios, este Pleno:</w:t>
      </w:r>
    </w:p>
    <w:p w:rsidR="00F02EB9" w:rsidRPr="001D2FA5" w:rsidRDefault="00F02EB9" w:rsidP="00F02EB9">
      <w:pPr>
        <w:spacing w:line="360" w:lineRule="auto"/>
        <w:jc w:val="both"/>
        <w:rPr>
          <w:rFonts w:ascii="Palatino Linotype" w:hAnsi="Palatino Linotype"/>
          <w:color w:val="000000" w:themeColor="text1"/>
        </w:rPr>
      </w:pPr>
    </w:p>
    <w:p w:rsidR="00D523D8" w:rsidRPr="001D2FA5" w:rsidRDefault="00D523D8" w:rsidP="001D2FA5">
      <w:pPr>
        <w:spacing w:line="360" w:lineRule="auto"/>
        <w:jc w:val="center"/>
        <w:rPr>
          <w:rFonts w:ascii="Palatino Linotype" w:eastAsia="Palatino Linotype" w:hAnsi="Palatino Linotype" w:cs="Palatino Linotype"/>
          <w:b/>
          <w:color w:val="000000" w:themeColor="text1"/>
        </w:rPr>
      </w:pPr>
      <w:r w:rsidRPr="001D2FA5">
        <w:rPr>
          <w:rFonts w:ascii="Palatino Linotype" w:eastAsia="Palatino Linotype" w:hAnsi="Palatino Linotype" w:cs="Palatino Linotype"/>
          <w:b/>
          <w:color w:val="000000" w:themeColor="text1"/>
        </w:rPr>
        <w:t>R E S U E L V E</w:t>
      </w:r>
    </w:p>
    <w:p w:rsidR="00D523D8" w:rsidRPr="001D2FA5" w:rsidRDefault="00D523D8" w:rsidP="001D2FA5">
      <w:pPr>
        <w:spacing w:line="360" w:lineRule="auto"/>
        <w:jc w:val="center"/>
        <w:rPr>
          <w:rFonts w:ascii="Palatino Linotype" w:eastAsia="Palatino Linotype" w:hAnsi="Palatino Linotype" w:cs="Palatino Linotype"/>
          <w:b/>
          <w:color w:val="000000" w:themeColor="text1"/>
        </w:rPr>
      </w:pPr>
    </w:p>
    <w:p w:rsidR="00D523D8" w:rsidRPr="001D2FA5" w:rsidRDefault="00D523D8" w:rsidP="001D2FA5">
      <w:pPr>
        <w:spacing w:line="360" w:lineRule="auto"/>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b/>
          <w:color w:val="000000" w:themeColor="text1"/>
        </w:rPr>
        <w:t>PRIMERO</w:t>
      </w:r>
      <w:r w:rsidRPr="001D2FA5">
        <w:rPr>
          <w:rFonts w:ascii="Palatino Linotype" w:eastAsia="Palatino Linotype" w:hAnsi="Palatino Linotype" w:cs="Palatino Linotype"/>
          <w:color w:val="000000" w:themeColor="text1"/>
        </w:rPr>
        <w:t xml:space="preserve">. Se </w:t>
      </w:r>
      <w:r w:rsidRPr="001D2FA5">
        <w:rPr>
          <w:rFonts w:ascii="Palatino Linotype" w:eastAsia="Palatino Linotype" w:hAnsi="Palatino Linotype" w:cs="Palatino Linotype"/>
          <w:b/>
          <w:color w:val="000000" w:themeColor="text1"/>
        </w:rPr>
        <w:t>SOBRESEE</w:t>
      </w:r>
      <w:r w:rsidRPr="001D2FA5">
        <w:rPr>
          <w:rFonts w:ascii="Palatino Linotype" w:eastAsia="Palatino Linotype" w:hAnsi="Palatino Linotype" w:cs="Palatino Linotype"/>
          <w:color w:val="000000" w:themeColor="text1"/>
        </w:rPr>
        <w:t xml:space="preserve"> el Recurso de Revisión número </w:t>
      </w:r>
      <w:r w:rsidR="00682F30" w:rsidRPr="001D2FA5">
        <w:rPr>
          <w:rFonts w:ascii="Palatino Linotype" w:eastAsia="Palatino Linotype" w:hAnsi="Palatino Linotype" w:cs="Palatino Linotype"/>
          <w:b/>
          <w:color w:val="000000" w:themeColor="text1"/>
        </w:rPr>
        <w:t>07698/INFOEM/IP/RR/2025</w:t>
      </w:r>
      <w:r w:rsidRPr="001D2FA5">
        <w:rPr>
          <w:rFonts w:ascii="Palatino Linotype" w:eastAsia="Palatino Linotype" w:hAnsi="Palatino Linotype" w:cs="Palatino Linotype"/>
          <w:color w:val="000000" w:themeColor="text1"/>
        </w:rPr>
        <w:t xml:space="preserve">, </w:t>
      </w:r>
      <w:r w:rsidRPr="001D2FA5">
        <w:rPr>
          <w:rFonts w:ascii="Palatino Linotype" w:eastAsia="Palatino Linotype" w:hAnsi="Palatino Linotype" w:cs="Palatino Linotype"/>
          <w:color w:val="000000" w:themeColor="text1"/>
          <w:highlight w:val="white"/>
        </w:rPr>
        <w:t xml:space="preserve">por actualizarse la causal de improcedencia inmersa </w:t>
      </w:r>
      <w:r w:rsidRPr="001D2FA5">
        <w:rPr>
          <w:rFonts w:ascii="Palatino Linotype" w:eastAsia="Palatino Linotype" w:hAnsi="Palatino Linotype" w:cs="Palatino Linotype"/>
          <w:color w:val="000000" w:themeColor="text1"/>
        </w:rPr>
        <w:t>en los artículos 192, fracción IV</w:t>
      </w:r>
      <w:r w:rsidR="00AD54F2" w:rsidRPr="001D2FA5">
        <w:rPr>
          <w:rFonts w:ascii="Palatino Linotype" w:eastAsia="Palatino Linotype" w:hAnsi="Palatino Linotype" w:cs="Palatino Linotype"/>
          <w:color w:val="000000" w:themeColor="text1"/>
        </w:rPr>
        <w:t>, en relación con el</w:t>
      </w:r>
      <w:r w:rsidRPr="001D2FA5">
        <w:rPr>
          <w:rFonts w:ascii="Palatino Linotype" w:eastAsia="Palatino Linotype" w:hAnsi="Palatino Linotype" w:cs="Palatino Linotype"/>
          <w:color w:val="000000" w:themeColor="text1"/>
        </w:rPr>
        <w:t xml:space="preserve"> 191, fracción VI, de la </w:t>
      </w:r>
      <w:r w:rsidR="00AD54F2" w:rsidRPr="001D2FA5">
        <w:rPr>
          <w:rFonts w:ascii="Palatino Linotype" w:eastAsia="Palatino Linotype" w:hAnsi="Palatino Linotype" w:cs="Palatino Linotype"/>
          <w:color w:val="000000" w:themeColor="text1"/>
        </w:rPr>
        <w:t xml:space="preserve">Ley de Transparencia y Acceso a la Información Pública del Estado de México y Municipios, </w:t>
      </w:r>
      <w:r w:rsidRPr="001D2FA5">
        <w:rPr>
          <w:rFonts w:ascii="Palatino Linotype" w:eastAsia="Palatino Linotype" w:hAnsi="Palatino Linotype" w:cs="Palatino Linotype"/>
          <w:color w:val="000000" w:themeColor="text1"/>
        </w:rPr>
        <w:t xml:space="preserve">en términos </w:t>
      </w:r>
      <w:r w:rsidR="001D2FA5" w:rsidRPr="001D2FA5">
        <w:rPr>
          <w:rFonts w:ascii="Palatino Linotype" w:eastAsia="Palatino Linotype" w:hAnsi="Palatino Linotype" w:cs="Palatino Linotype"/>
          <w:color w:val="000000" w:themeColor="text1"/>
        </w:rPr>
        <w:t>del Considerando</w:t>
      </w:r>
      <w:r w:rsidRPr="001D2FA5">
        <w:rPr>
          <w:rFonts w:ascii="Palatino Linotype" w:eastAsia="Palatino Linotype" w:hAnsi="Palatino Linotype" w:cs="Palatino Linotype"/>
          <w:b/>
          <w:color w:val="000000" w:themeColor="text1"/>
        </w:rPr>
        <w:t xml:space="preserve"> Cuarto</w:t>
      </w:r>
      <w:r w:rsidRPr="001D2FA5">
        <w:rPr>
          <w:rFonts w:ascii="Palatino Linotype" w:eastAsia="Palatino Linotype" w:hAnsi="Palatino Linotype" w:cs="Palatino Linotype"/>
          <w:color w:val="000000" w:themeColor="text1"/>
        </w:rPr>
        <w:t xml:space="preserve"> de la presente resolución.</w:t>
      </w:r>
    </w:p>
    <w:p w:rsidR="00D523D8" w:rsidRPr="001D2FA5" w:rsidRDefault="00D523D8" w:rsidP="001D2FA5">
      <w:pPr>
        <w:spacing w:line="360" w:lineRule="auto"/>
        <w:jc w:val="both"/>
        <w:rPr>
          <w:rFonts w:ascii="Palatino Linotype" w:eastAsia="Palatino Linotype" w:hAnsi="Palatino Linotype" w:cs="Palatino Linotype"/>
          <w:b/>
          <w:color w:val="000000" w:themeColor="text1"/>
        </w:rPr>
      </w:pPr>
    </w:p>
    <w:p w:rsidR="00D523D8" w:rsidRPr="001D2FA5" w:rsidRDefault="00D523D8" w:rsidP="001D2FA5">
      <w:pPr>
        <w:shd w:val="clear" w:color="auto" w:fill="FFFFFF"/>
        <w:spacing w:line="360" w:lineRule="auto"/>
        <w:jc w:val="both"/>
        <w:rPr>
          <w:rFonts w:ascii="Palatino Linotype" w:eastAsia="Palatino Linotype" w:hAnsi="Palatino Linotype" w:cs="Palatino Linotype"/>
          <w:color w:val="000000" w:themeColor="text1"/>
          <w:highlight w:val="white"/>
        </w:rPr>
      </w:pPr>
      <w:r w:rsidRPr="001D2FA5">
        <w:rPr>
          <w:rFonts w:ascii="Palatino Linotype" w:eastAsia="Palatino Linotype" w:hAnsi="Palatino Linotype" w:cs="Palatino Linotype"/>
          <w:b/>
          <w:color w:val="000000" w:themeColor="text1"/>
        </w:rPr>
        <w:t xml:space="preserve">SEGUNDO. Notifíquese </w:t>
      </w:r>
      <w:r w:rsidRPr="001D2FA5">
        <w:rPr>
          <w:rFonts w:ascii="Palatino Linotype" w:eastAsia="Palatino Linotype" w:hAnsi="Palatino Linotype" w:cs="Palatino Linotype"/>
          <w:color w:val="000000" w:themeColor="text1"/>
        </w:rPr>
        <w:t xml:space="preserve">al Titular de la Unidad de Transparencia del </w:t>
      </w:r>
      <w:r w:rsidRPr="001D2FA5">
        <w:rPr>
          <w:rFonts w:ascii="Palatino Linotype" w:eastAsia="Palatino Linotype" w:hAnsi="Palatino Linotype" w:cs="Palatino Linotype"/>
          <w:b/>
          <w:color w:val="000000" w:themeColor="text1"/>
        </w:rPr>
        <w:t xml:space="preserve">SUJETO OBLIGADO </w:t>
      </w:r>
      <w:r w:rsidRPr="001D2FA5">
        <w:rPr>
          <w:rFonts w:ascii="Palatino Linotype" w:eastAsia="Palatino Linotype" w:hAnsi="Palatino Linotype" w:cs="Palatino Linotype"/>
          <w:color w:val="000000" w:themeColor="text1"/>
        </w:rPr>
        <w:t>vía SAIMEX, para su conocimiento</w:t>
      </w:r>
      <w:r w:rsidRPr="001D2FA5">
        <w:rPr>
          <w:rFonts w:ascii="Palatino Linotype" w:eastAsia="Palatino Linotype" w:hAnsi="Palatino Linotype" w:cs="Palatino Linotype"/>
          <w:color w:val="000000" w:themeColor="text1"/>
          <w:highlight w:val="white"/>
        </w:rPr>
        <w:t>.</w:t>
      </w:r>
    </w:p>
    <w:p w:rsidR="00D523D8" w:rsidRPr="001D2FA5" w:rsidRDefault="00D523D8" w:rsidP="001D2FA5">
      <w:pPr>
        <w:shd w:val="clear" w:color="auto" w:fill="FFFFFF"/>
        <w:spacing w:line="360" w:lineRule="auto"/>
        <w:jc w:val="both"/>
        <w:rPr>
          <w:rFonts w:ascii="Palatino Linotype" w:eastAsia="Palatino Linotype" w:hAnsi="Palatino Linotype" w:cs="Palatino Linotype"/>
          <w:color w:val="000000" w:themeColor="text1"/>
          <w:highlight w:val="white"/>
        </w:rPr>
      </w:pPr>
    </w:p>
    <w:p w:rsidR="00D523D8" w:rsidRPr="001D2FA5" w:rsidRDefault="00D523D8" w:rsidP="001D2FA5">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highlight w:val="white"/>
        </w:rPr>
      </w:pPr>
      <w:r w:rsidRPr="001D2FA5">
        <w:rPr>
          <w:rFonts w:ascii="Palatino Linotype" w:eastAsia="Palatino Linotype" w:hAnsi="Palatino Linotype" w:cs="Palatino Linotype"/>
          <w:b/>
          <w:color w:val="000000" w:themeColor="text1"/>
        </w:rPr>
        <w:t xml:space="preserve">TERCERO. Notifíquese </w:t>
      </w:r>
      <w:r w:rsidRPr="001D2FA5">
        <w:rPr>
          <w:rFonts w:ascii="Palatino Linotype" w:eastAsia="Palatino Linotype" w:hAnsi="Palatino Linotype" w:cs="Palatino Linotype"/>
          <w:color w:val="000000" w:themeColor="text1"/>
        </w:rPr>
        <w:t xml:space="preserve">a </w:t>
      </w:r>
      <w:r w:rsidRPr="001D2FA5">
        <w:rPr>
          <w:rFonts w:ascii="Palatino Linotype" w:eastAsia="Palatino Linotype" w:hAnsi="Palatino Linotype" w:cs="Palatino Linotype"/>
          <w:b/>
          <w:color w:val="000000" w:themeColor="text1"/>
        </w:rPr>
        <w:t>EL RECURRENTE</w:t>
      </w:r>
      <w:r w:rsidRPr="001D2FA5">
        <w:rPr>
          <w:rFonts w:ascii="Palatino Linotype" w:eastAsia="Palatino Linotype" w:hAnsi="Palatino Linotype" w:cs="Palatino Linotype"/>
          <w:color w:val="000000" w:themeColor="text1"/>
        </w:rPr>
        <w:t xml:space="preserve"> la presente resolución vía SAIMEX</w:t>
      </w:r>
      <w:r w:rsidRPr="001D2FA5">
        <w:rPr>
          <w:rFonts w:ascii="Palatino Linotype" w:eastAsia="Palatino Linotype" w:hAnsi="Palatino Linotype" w:cs="Palatino Linotype"/>
          <w:color w:val="000000" w:themeColor="text1"/>
          <w:highlight w:val="white"/>
        </w:rPr>
        <w:t>.</w:t>
      </w:r>
    </w:p>
    <w:p w:rsidR="00D523D8" w:rsidRPr="001D2FA5" w:rsidRDefault="00D523D8" w:rsidP="001D2FA5">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rPr>
      </w:pPr>
    </w:p>
    <w:p w:rsidR="00D523D8" w:rsidRPr="001D2FA5" w:rsidRDefault="00D523D8" w:rsidP="001D2FA5">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b/>
          <w:color w:val="000000" w:themeColor="text1"/>
        </w:rPr>
        <w:t xml:space="preserve">CUARTO. </w:t>
      </w:r>
      <w:r w:rsidRPr="001D2FA5">
        <w:rPr>
          <w:rFonts w:ascii="Palatino Linotype" w:eastAsia="Palatino Linotype" w:hAnsi="Palatino Linotype" w:cs="Palatino Linotype"/>
          <w:color w:val="000000" w:themeColor="text1"/>
        </w:rPr>
        <w:t xml:space="preserve">Se hace del conocimiento de </w:t>
      </w:r>
      <w:r w:rsidRPr="001D2FA5">
        <w:rPr>
          <w:rFonts w:ascii="Palatino Linotype" w:eastAsia="Palatino Linotype" w:hAnsi="Palatino Linotype" w:cs="Palatino Linotype"/>
          <w:b/>
          <w:color w:val="000000" w:themeColor="text1"/>
        </w:rPr>
        <w:t>EL RECURRENTE</w:t>
      </w:r>
      <w:r w:rsidRPr="001D2FA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w:t>
      </w:r>
      <w:r w:rsidRPr="001D2FA5">
        <w:rPr>
          <w:rFonts w:ascii="Palatino Linotype" w:eastAsia="Palatino Linotype" w:hAnsi="Palatino Linotype" w:cs="Palatino Linotype"/>
          <w:color w:val="000000" w:themeColor="text1"/>
        </w:rPr>
        <w:lastRenderedPageBreak/>
        <w:t xml:space="preserve">del Estado de México y Municipios, en caso de que considere que la resolución le cause algún perjuicio podrá impugnar vía </w:t>
      </w:r>
      <w:r w:rsidR="00823006" w:rsidRPr="001D2FA5">
        <w:rPr>
          <w:rFonts w:ascii="Palatino Linotype" w:eastAsia="Palatino Linotype" w:hAnsi="Palatino Linotype" w:cs="Palatino Linotype"/>
          <w:color w:val="000000" w:themeColor="text1"/>
        </w:rPr>
        <w:t xml:space="preserve">Juicio </w:t>
      </w:r>
      <w:r w:rsidRPr="001D2FA5">
        <w:rPr>
          <w:rFonts w:ascii="Palatino Linotype" w:eastAsia="Palatino Linotype" w:hAnsi="Palatino Linotype" w:cs="Palatino Linotype"/>
          <w:color w:val="000000" w:themeColor="text1"/>
        </w:rPr>
        <w:t xml:space="preserve">de </w:t>
      </w:r>
      <w:r w:rsidR="00823006" w:rsidRPr="001D2FA5">
        <w:rPr>
          <w:rFonts w:ascii="Palatino Linotype" w:eastAsia="Palatino Linotype" w:hAnsi="Palatino Linotype" w:cs="Palatino Linotype"/>
          <w:color w:val="000000" w:themeColor="text1"/>
        </w:rPr>
        <w:t>Amparo </w:t>
      </w:r>
      <w:r w:rsidRPr="001D2FA5">
        <w:rPr>
          <w:rFonts w:ascii="Palatino Linotype" w:eastAsia="Palatino Linotype" w:hAnsi="Palatino Linotype" w:cs="Palatino Linotype"/>
          <w:color w:val="000000" w:themeColor="text1"/>
        </w:rPr>
        <w:t>en los términos de las leyes aplicables.</w:t>
      </w:r>
    </w:p>
    <w:p w:rsidR="000E67B2" w:rsidRPr="001D2FA5" w:rsidRDefault="000E67B2" w:rsidP="001D2FA5">
      <w:pPr>
        <w:spacing w:line="360" w:lineRule="auto"/>
        <w:jc w:val="both"/>
        <w:rPr>
          <w:rFonts w:ascii="Palatino Linotype" w:eastAsia="Palatino Linotype" w:hAnsi="Palatino Linotype" w:cs="Palatino Linotype"/>
          <w:b/>
          <w:color w:val="000000" w:themeColor="text1"/>
        </w:rPr>
      </w:pPr>
    </w:p>
    <w:p w:rsidR="001D2FA5" w:rsidRPr="00444783" w:rsidRDefault="00F02EB9" w:rsidP="001D2FA5">
      <w:pPr>
        <w:tabs>
          <w:tab w:val="left" w:pos="5387"/>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MAYORÍA</w:t>
      </w:r>
      <w:r w:rsidR="001D2FA5" w:rsidRPr="00575AE2">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Pr>
          <w:rFonts w:ascii="Palatino Linotype" w:eastAsia="Palatino Linotype" w:hAnsi="Palatino Linotype" w:cs="Palatino Linotype"/>
        </w:rPr>
        <w:t xml:space="preserve">EMITIENDO OPINIÓN PÚBLICA </w:t>
      </w:r>
      <w:r w:rsidR="001D2FA5" w:rsidRPr="00575AE2">
        <w:rPr>
          <w:rFonts w:ascii="Palatino Linotype" w:eastAsia="Palatino Linotype" w:hAnsi="Palatino Linotype" w:cs="Palatino Linotype"/>
        </w:rPr>
        <w:t>Y GUADALUPE RAMÍREZ PEÑA</w:t>
      </w:r>
      <w:r>
        <w:rPr>
          <w:rFonts w:ascii="Palatino Linotype" w:eastAsia="Palatino Linotype" w:hAnsi="Palatino Linotype" w:cs="Palatino Linotype"/>
        </w:rPr>
        <w:t xml:space="preserve"> EMITIENDO VOTO DISIDENTE</w:t>
      </w:r>
      <w:r w:rsidR="001D2FA5" w:rsidRPr="00575AE2">
        <w:rPr>
          <w:rFonts w:ascii="Palatino Linotype" w:eastAsia="Palatino Linotype" w:hAnsi="Palatino Linotype" w:cs="Palatino Linotype"/>
        </w:rPr>
        <w:t xml:space="preserve">; EN LA </w:t>
      </w:r>
      <w:r w:rsidR="001D2FA5">
        <w:rPr>
          <w:rFonts w:ascii="Palatino Linotype" w:eastAsia="Palatino Linotype" w:hAnsi="Palatino Linotype" w:cs="Palatino Linotype"/>
        </w:rPr>
        <w:t xml:space="preserve">CUADRAGÉSIMA PRIMERA </w:t>
      </w:r>
      <w:r w:rsidR="001D2FA5" w:rsidRPr="00575AE2">
        <w:rPr>
          <w:rFonts w:ascii="Palatino Linotype" w:eastAsia="Palatino Linotype" w:hAnsi="Palatino Linotype" w:cs="Palatino Linotype"/>
        </w:rPr>
        <w:t>SESIÓN ORDINARIA, CELEBRADA EL</w:t>
      </w:r>
      <w:r w:rsidR="001D2FA5">
        <w:rPr>
          <w:rFonts w:ascii="Palatino Linotype" w:eastAsia="Palatino Linotype" w:hAnsi="Palatino Linotype" w:cs="Palatino Linotype"/>
        </w:rPr>
        <w:t xml:space="preserve"> VEINTE (20)</w:t>
      </w:r>
      <w:r w:rsidR="001D2FA5" w:rsidRPr="00575AE2">
        <w:rPr>
          <w:rFonts w:ascii="Palatino Linotype" w:eastAsia="Palatino Linotype" w:hAnsi="Palatino Linotype" w:cs="Palatino Linotype"/>
        </w:rPr>
        <w:t xml:space="preserve"> DE </w:t>
      </w:r>
      <w:r w:rsidR="001D2FA5">
        <w:rPr>
          <w:rFonts w:ascii="Palatino Linotype" w:eastAsia="Palatino Linotype" w:hAnsi="Palatino Linotype" w:cs="Palatino Linotype"/>
        </w:rPr>
        <w:t xml:space="preserve">NOVIEMBRE </w:t>
      </w:r>
      <w:r w:rsidR="001D2FA5" w:rsidRPr="00575AE2">
        <w:rPr>
          <w:rFonts w:ascii="Palatino Linotype" w:eastAsia="Palatino Linotype" w:hAnsi="Palatino Linotype" w:cs="Palatino Linotype"/>
        </w:rPr>
        <w:t>DE DOS MIL VEINTICINCO, ANTE EL SECRETARIO TÉCNICO DEL PLENO ALEXIS TAPIA RAMÍREZ.</w:t>
      </w:r>
    </w:p>
    <w:p w:rsidR="00F60C53" w:rsidRPr="001D2FA5" w:rsidRDefault="00F60C53" w:rsidP="001D2FA5">
      <w:pPr>
        <w:spacing w:before="240" w:after="240" w:line="360" w:lineRule="auto"/>
        <w:jc w:val="both"/>
        <w:rPr>
          <w:rFonts w:ascii="Palatino Linotype" w:eastAsia="Palatino Linotype" w:hAnsi="Palatino Linotype" w:cs="Palatino Linotype"/>
          <w:color w:val="000000" w:themeColor="text1"/>
        </w:rPr>
      </w:pPr>
    </w:p>
    <w:p w:rsidR="00F60C53" w:rsidRPr="001D2FA5" w:rsidRDefault="00F60C53" w:rsidP="001D2FA5">
      <w:pPr>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br w:type="page"/>
      </w:r>
    </w:p>
    <w:p w:rsidR="00A10ACB" w:rsidRPr="001D2FA5" w:rsidRDefault="00A10ACB" w:rsidP="001D2FA5">
      <w:pPr>
        <w:spacing w:before="240" w:after="240" w:line="360" w:lineRule="auto"/>
        <w:jc w:val="both"/>
        <w:rPr>
          <w:rFonts w:ascii="Palatino Linotype" w:eastAsia="Palatino Linotype" w:hAnsi="Palatino Linotype" w:cs="Palatino Linotype"/>
          <w:color w:val="000000" w:themeColor="text1"/>
        </w:rPr>
      </w:pPr>
    </w:p>
    <w:p w:rsidR="0072148B" w:rsidRPr="001D2FA5" w:rsidRDefault="0072148B" w:rsidP="001D2FA5">
      <w:pPr>
        <w:rPr>
          <w:rFonts w:ascii="Palatino Linotype" w:eastAsia="Palatino Linotype" w:hAnsi="Palatino Linotype" w:cs="Palatino Linotype"/>
          <w:color w:val="000000" w:themeColor="text1"/>
        </w:rPr>
      </w:pPr>
    </w:p>
    <w:p w:rsidR="0072148B" w:rsidRPr="001D2FA5" w:rsidRDefault="0072148B" w:rsidP="001D2FA5">
      <w:pPr>
        <w:spacing w:line="360" w:lineRule="auto"/>
        <w:rPr>
          <w:rFonts w:ascii="Palatino Linotype" w:eastAsia="Palatino Linotype" w:hAnsi="Palatino Linotype" w:cs="Palatino Linotype"/>
          <w:color w:val="000000" w:themeColor="text1"/>
        </w:rPr>
      </w:pPr>
    </w:p>
    <w:p w:rsidR="0072148B" w:rsidRPr="001D2FA5" w:rsidRDefault="0072148B" w:rsidP="001D2FA5">
      <w:pPr>
        <w:spacing w:line="360" w:lineRule="auto"/>
        <w:rPr>
          <w:rFonts w:ascii="Palatino Linotype" w:eastAsia="Palatino Linotype" w:hAnsi="Palatino Linotype" w:cs="Palatino Linotype"/>
          <w:color w:val="000000" w:themeColor="text1"/>
        </w:rPr>
      </w:pPr>
    </w:p>
    <w:p w:rsidR="0072148B" w:rsidRPr="001D2FA5" w:rsidRDefault="0072148B" w:rsidP="001D2FA5">
      <w:pPr>
        <w:spacing w:line="360" w:lineRule="auto"/>
        <w:rPr>
          <w:rFonts w:ascii="Palatino Linotype" w:eastAsia="Palatino Linotype" w:hAnsi="Palatino Linotype" w:cs="Palatino Linotype"/>
          <w:color w:val="000000" w:themeColor="text1"/>
        </w:rPr>
      </w:pPr>
    </w:p>
    <w:p w:rsidR="0072148B" w:rsidRPr="001D2FA5" w:rsidRDefault="00A077F4" w:rsidP="001D2FA5">
      <w:pPr>
        <w:tabs>
          <w:tab w:val="left" w:pos="3374"/>
        </w:tabs>
        <w:spacing w:line="360" w:lineRule="auto"/>
        <w:rPr>
          <w:rFonts w:ascii="Palatino Linotype" w:eastAsia="Palatino Linotype" w:hAnsi="Palatino Linotype" w:cs="Palatino Linotype"/>
          <w:color w:val="000000" w:themeColor="text1"/>
        </w:rPr>
      </w:pPr>
      <w:bookmarkStart w:id="7" w:name="_heading=h.lnxbz9" w:colFirst="0" w:colLast="0"/>
      <w:bookmarkEnd w:id="7"/>
      <w:r w:rsidRPr="001D2FA5">
        <w:rPr>
          <w:rFonts w:ascii="Palatino Linotype" w:eastAsia="Palatino Linotype" w:hAnsi="Palatino Linotype" w:cs="Palatino Linotype"/>
          <w:color w:val="000000" w:themeColor="text1"/>
        </w:rPr>
        <w:tab/>
      </w:r>
    </w:p>
    <w:sectPr w:rsidR="0072148B" w:rsidRPr="001D2FA5" w:rsidSect="00035593">
      <w:headerReference w:type="even" r:id="rId9"/>
      <w:headerReference w:type="default" r:id="rId10"/>
      <w:footerReference w:type="default" r:id="rId11"/>
      <w:headerReference w:type="first" r:id="rId12"/>
      <w:footerReference w:type="first" r:id="rId13"/>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3D9" w:rsidRDefault="00D243D9">
      <w:r>
        <w:separator/>
      </w:r>
    </w:p>
  </w:endnote>
  <w:endnote w:type="continuationSeparator" w:id="0">
    <w:p w:rsidR="00D243D9" w:rsidRDefault="00D2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C4" w:rsidRDefault="00AC79C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52C3E">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52C3E">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AC79C4" w:rsidRDefault="00AC79C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C4" w:rsidRDefault="00AC79C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52C3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52C3E">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AC79C4" w:rsidRDefault="00AC79C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3D9" w:rsidRDefault="00D243D9">
      <w:r>
        <w:separator/>
      </w:r>
    </w:p>
  </w:footnote>
  <w:footnote w:type="continuationSeparator" w:id="0">
    <w:p w:rsidR="00D243D9" w:rsidRDefault="00D243D9">
      <w:r>
        <w:continuationSeparator/>
      </w:r>
    </w:p>
  </w:footnote>
  <w:footnote w:id="1">
    <w:p w:rsidR="00D523D8" w:rsidRDefault="00D523D8" w:rsidP="00D523D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rsidR="00D523D8" w:rsidRDefault="00D523D8" w:rsidP="00D523D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rsidR="00D523D8" w:rsidRDefault="00D523D8" w:rsidP="00D523D8">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rsidR="00D523D8" w:rsidRDefault="00D523D8" w:rsidP="00D523D8">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5">
    <w:p w:rsidR="00D523D8" w:rsidRDefault="00D523D8" w:rsidP="00D523D8">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C4" w:rsidRDefault="00D243D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261" w:type="dxa"/>
      <w:tblLayout w:type="fixed"/>
      <w:tblLook w:val="0400" w:firstRow="0" w:lastRow="0" w:firstColumn="0" w:lastColumn="0" w:noHBand="0" w:noVBand="1"/>
    </w:tblPr>
    <w:tblGrid>
      <w:gridCol w:w="2693"/>
      <w:gridCol w:w="4252"/>
    </w:tblGrid>
    <w:tr w:rsidR="00AC79C4" w:rsidRPr="001D2FA5" w:rsidTr="001D2FA5">
      <w:trPr>
        <w:trHeight w:val="227"/>
      </w:trPr>
      <w:tc>
        <w:tcPr>
          <w:tcW w:w="2693" w:type="dxa"/>
        </w:tcPr>
        <w:p w:rsidR="00AC79C4" w:rsidRPr="001D2FA5" w:rsidRDefault="00AC79C4" w:rsidP="001D2FA5">
          <w:pPr>
            <w:jc w:val="right"/>
            <w:rPr>
              <w:rFonts w:ascii="Palatino Linotype" w:eastAsia="Palatino Linotype" w:hAnsi="Palatino Linotype" w:cs="Palatino Linotype"/>
              <w:b/>
            </w:rPr>
          </w:pPr>
          <w:r w:rsidRPr="001D2FA5">
            <w:rPr>
              <w:rFonts w:ascii="Palatino Linotype" w:eastAsia="Palatino Linotype" w:hAnsi="Palatino Linotype" w:cs="Palatino Linotype"/>
              <w:b/>
            </w:rPr>
            <w:t>Recurso de Revisión:</w:t>
          </w:r>
        </w:p>
      </w:tc>
      <w:tc>
        <w:tcPr>
          <w:tcW w:w="4252" w:type="dxa"/>
        </w:tcPr>
        <w:p w:rsidR="00AC79C4" w:rsidRPr="001D2FA5" w:rsidRDefault="00AC79C4" w:rsidP="001D2FA5">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1D2FA5">
            <w:rPr>
              <w:rFonts w:ascii="Palatino Linotype" w:eastAsia="Palatino Linotype" w:hAnsi="Palatino Linotype" w:cs="Palatino Linotype"/>
              <w:color w:val="000000"/>
            </w:rPr>
            <w:t>07698/INFOEM/IP/RR/2025</w:t>
          </w:r>
        </w:p>
      </w:tc>
    </w:tr>
    <w:tr w:rsidR="00AC79C4" w:rsidRPr="001D2FA5" w:rsidTr="001D2FA5">
      <w:trPr>
        <w:trHeight w:val="342"/>
      </w:trPr>
      <w:tc>
        <w:tcPr>
          <w:tcW w:w="2693" w:type="dxa"/>
        </w:tcPr>
        <w:p w:rsidR="00AC79C4" w:rsidRPr="001D2FA5" w:rsidRDefault="00AC79C4" w:rsidP="001D2FA5">
          <w:pPr>
            <w:jc w:val="right"/>
            <w:rPr>
              <w:rFonts w:ascii="Palatino Linotype" w:eastAsia="Palatino Linotype" w:hAnsi="Palatino Linotype" w:cs="Palatino Linotype"/>
              <w:b/>
            </w:rPr>
          </w:pPr>
          <w:r w:rsidRPr="001D2FA5">
            <w:rPr>
              <w:rFonts w:ascii="Palatino Linotype" w:eastAsia="Palatino Linotype" w:hAnsi="Palatino Linotype" w:cs="Palatino Linotype"/>
              <w:b/>
            </w:rPr>
            <w:t>Sujeto Obligado:</w:t>
          </w:r>
        </w:p>
      </w:tc>
      <w:tc>
        <w:tcPr>
          <w:tcW w:w="4252" w:type="dxa"/>
        </w:tcPr>
        <w:p w:rsidR="00AC79C4" w:rsidRPr="001D2FA5" w:rsidRDefault="00AC79C4" w:rsidP="001D2FA5">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1D2FA5">
            <w:rPr>
              <w:rFonts w:ascii="Palatino Linotype" w:eastAsia="Palatino Linotype" w:hAnsi="Palatino Linotype" w:cs="Palatino Linotype"/>
              <w:color w:val="000000"/>
            </w:rPr>
            <w:t>Ayuntamiento de Villa del Carbón</w:t>
          </w:r>
        </w:p>
      </w:tc>
    </w:tr>
    <w:tr w:rsidR="00AC79C4" w:rsidRPr="001D2FA5" w:rsidTr="001D2FA5">
      <w:trPr>
        <w:trHeight w:val="342"/>
      </w:trPr>
      <w:tc>
        <w:tcPr>
          <w:tcW w:w="2693" w:type="dxa"/>
        </w:tcPr>
        <w:p w:rsidR="00AC79C4" w:rsidRPr="001D2FA5" w:rsidRDefault="00AC79C4" w:rsidP="001D2FA5">
          <w:pPr>
            <w:jc w:val="right"/>
            <w:rPr>
              <w:rFonts w:ascii="Palatino Linotype" w:eastAsia="Palatino Linotype" w:hAnsi="Palatino Linotype" w:cs="Palatino Linotype"/>
              <w:b/>
            </w:rPr>
          </w:pPr>
          <w:r w:rsidRPr="001D2FA5">
            <w:rPr>
              <w:rFonts w:ascii="Palatino Linotype" w:eastAsia="Palatino Linotype" w:hAnsi="Palatino Linotype" w:cs="Palatino Linotype"/>
              <w:b/>
            </w:rPr>
            <w:t>Comisionada Ponente:</w:t>
          </w:r>
        </w:p>
      </w:tc>
      <w:tc>
        <w:tcPr>
          <w:tcW w:w="4252" w:type="dxa"/>
        </w:tcPr>
        <w:p w:rsidR="00AC79C4" w:rsidRPr="001D2FA5" w:rsidRDefault="00AC79C4" w:rsidP="001D2FA5">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1D2FA5">
            <w:rPr>
              <w:rFonts w:ascii="Palatino Linotype" w:eastAsia="Palatino Linotype" w:hAnsi="Palatino Linotype" w:cs="Palatino Linotype"/>
              <w:color w:val="000000"/>
            </w:rPr>
            <w:t>María del Rosario Mejía Ayala</w:t>
          </w:r>
        </w:p>
      </w:tc>
    </w:tr>
  </w:tbl>
  <w:p w:rsidR="00AC79C4" w:rsidRDefault="00D243D9">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0.75pt;margin-top:-132.5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261" w:type="dxa"/>
      <w:tblLayout w:type="fixed"/>
      <w:tblLook w:val="0400" w:firstRow="0" w:lastRow="0" w:firstColumn="0" w:lastColumn="0" w:noHBand="0" w:noVBand="1"/>
    </w:tblPr>
    <w:tblGrid>
      <w:gridCol w:w="2693"/>
      <w:gridCol w:w="4252"/>
    </w:tblGrid>
    <w:tr w:rsidR="001D2FA5" w:rsidRPr="001D2FA5" w:rsidTr="001D2FA5">
      <w:trPr>
        <w:trHeight w:val="227"/>
      </w:trPr>
      <w:tc>
        <w:tcPr>
          <w:tcW w:w="2693" w:type="dxa"/>
        </w:tcPr>
        <w:p w:rsidR="00AC79C4" w:rsidRPr="001D2FA5" w:rsidRDefault="00AC79C4" w:rsidP="001D2FA5">
          <w:pPr>
            <w:jc w:val="right"/>
            <w:rPr>
              <w:rFonts w:ascii="Palatino Linotype" w:eastAsia="Palatino Linotype" w:hAnsi="Palatino Linotype" w:cs="Palatino Linotype"/>
              <w:b/>
              <w:color w:val="000000" w:themeColor="text1"/>
            </w:rPr>
          </w:pPr>
          <w:r w:rsidRPr="001D2FA5">
            <w:rPr>
              <w:rFonts w:ascii="Palatino Linotype" w:eastAsia="Palatino Linotype" w:hAnsi="Palatino Linotype" w:cs="Palatino Linotype"/>
              <w:b/>
              <w:color w:val="000000" w:themeColor="text1"/>
            </w:rPr>
            <w:t>Recurso de Revisión:</w:t>
          </w:r>
        </w:p>
      </w:tc>
      <w:tc>
        <w:tcPr>
          <w:tcW w:w="4252" w:type="dxa"/>
        </w:tcPr>
        <w:p w:rsidR="00AC79C4" w:rsidRPr="001D2FA5" w:rsidRDefault="00AC79C4" w:rsidP="001D2FA5">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1D2FA5">
            <w:rPr>
              <w:rFonts w:ascii="Palatino Linotype" w:eastAsia="Palatino Linotype" w:hAnsi="Palatino Linotype" w:cs="Palatino Linotype"/>
              <w:color w:val="000000" w:themeColor="text1"/>
            </w:rPr>
            <w:t>07698/INFOEM/IP/RR/2025</w:t>
          </w:r>
        </w:p>
      </w:tc>
    </w:tr>
    <w:tr w:rsidR="001D2FA5" w:rsidRPr="001D2FA5" w:rsidTr="001D2FA5">
      <w:trPr>
        <w:trHeight w:val="242"/>
      </w:trPr>
      <w:tc>
        <w:tcPr>
          <w:tcW w:w="2693" w:type="dxa"/>
        </w:tcPr>
        <w:p w:rsidR="00AC79C4" w:rsidRPr="001D2FA5" w:rsidRDefault="00AC79C4" w:rsidP="001D2FA5">
          <w:pPr>
            <w:jc w:val="right"/>
            <w:rPr>
              <w:rFonts w:ascii="Palatino Linotype" w:eastAsia="Palatino Linotype" w:hAnsi="Palatino Linotype" w:cs="Palatino Linotype"/>
              <w:b/>
              <w:color w:val="000000" w:themeColor="text1"/>
            </w:rPr>
          </w:pPr>
          <w:r w:rsidRPr="001D2FA5">
            <w:rPr>
              <w:rFonts w:ascii="Palatino Linotype" w:eastAsia="Palatino Linotype" w:hAnsi="Palatino Linotype" w:cs="Palatino Linotype"/>
              <w:b/>
              <w:color w:val="000000" w:themeColor="text1"/>
            </w:rPr>
            <w:t>Recurrente:</w:t>
          </w:r>
        </w:p>
      </w:tc>
      <w:tc>
        <w:tcPr>
          <w:tcW w:w="4252" w:type="dxa"/>
        </w:tcPr>
        <w:p w:rsidR="00AC79C4" w:rsidRPr="001D2FA5" w:rsidRDefault="00152C3E" w:rsidP="001D2FA5">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1D2FA5" w:rsidRPr="001D2FA5" w:rsidTr="001D2FA5">
      <w:trPr>
        <w:trHeight w:val="342"/>
      </w:trPr>
      <w:tc>
        <w:tcPr>
          <w:tcW w:w="2693" w:type="dxa"/>
        </w:tcPr>
        <w:p w:rsidR="00AC79C4" w:rsidRPr="001D2FA5" w:rsidRDefault="00AC79C4" w:rsidP="001D2FA5">
          <w:pPr>
            <w:jc w:val="right"/>
            <w:rPr>
              <w:rFonts w:ascii="Palatino Linotype" w:eastAsia="Palatino Linotype" w:hAnsi="Palatino Linotype" w:cs="Palatino Linotype"/>
              <w:b/>
              <w:color w:val="000000" w:themeColor="text1"/>
            </w:rPr>
          </w:pPr>
          <w:r w:rsidRPr="001D2FA5">
            <w:rPr>
              <w:rFonts w:ascii="Palatino Linotype" w:eastAsia="Palatino Linotype" w:hAnsi="Palatino Linotype" w:cs="Palatino Linotype"/>
              <w:b/>
              <w:color w:val="000000" w:themeColor="text1"/>
            </w:rPr>
            <w:t>Sujeto Obligado:</w:t>
          </w:r>
        </w:p>
      </w:tc>
      <w:tc>
        <w:tcPr>
          <w:tcW w:w="4252" w:type="dxa"/>
        </w:tcPr>
        <w:p w:rsidR="00AC79C4" w:rsidRPr="001D2FA5" w:rsidRDefault="00AC79C4" w:rsidP="001D2FA5">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themeColor="text1"/>
              <w:highlight w:val="green"/>
            </w:rPr>
          </w:pPr>
          <w:r w:rsidRPr="001D2FA5">
            <w:rPr>
              <w:rFonts w:ascii="Palatino Linotype" w:eastAsia="Palatino Linotype" w:hAnsi="Palatino Linotype" w:cs="Palatino Linotype"/>
              <w:color w:val="000000" w:themeColor="text1"/>
            </w:rPr>
            <w:t>Ayuntamiento de Villa del Carbón</w:t>
          </w:r>
        </w:p>
      </w:tc>
    </w:tr>
    <w:tr w:rsidR="001D2FA5" w:rsidRPr="001D2FA5" w:rsidTr="001D2FA5">
      <w:trPr>
        <w:trHeight w:val="342"/>
      </w:trPr>
      <w:tc>
        <w:tcPr>
          <w:tcW w:w="2693" w:type="dxa"/>
        </w:tcPr>
        <w:p w:rsidR="00AC79C4" w:rsidRPr="001D2FA5" w:rsidRDefault="00AC79C4" w:rsidP="001D2FA5">
          <w:pPr>
            <w:jc w:val="right"/>
            <w:rPr>
              <w:rFonts w:ascii="Palatino Linotype" w:eastAsia="Palatino Linotype" w:hAnsi="Palatino Linotype" w:cs="Palatino Linotype"/>
              <w:b/>
              <w:color w:val="000000" w:themeColor="text1"/>
            </w:rPr>
          </w:pPr>
          <w:r w:rsidRPr="001D2FA5">
            <w:rPr>
              <w:rFonts w:ascii="Palatino Linotype" w:eastAsia="Palatino Linotype" w:hAnsi="Palatino Linotype" w:cs="Palatino Linotype"/>
              <w:b/>
              <w:color w:val="000000" w:themeColor="text1"/>
            </w:rPr>
            <w:t>Comisionada Ponente:</w:t>
          </w:r>
        </w:p>
      </w:tc>
      <w:tc>
        <w:tcPr>
          <w:tcW w:w="4252" w:type="dxa"/>
        </w:tcPr>
        <w:p w:rsidR="00AC79C4" w:rsidRPr="001D2FA5" w:rsidRDefault="00AC79C4" w:rsidP="001D2FA5">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rPr>
          </w:pPr>
          <w:r w:rsidRPr="001D2FA5">
            <w:rPr>
              <w:rFonts w:ascii="Palatino Linotype" w:eastAsia="Palatino Linotype" w:hAnsi="Palatino Linotype" w:cs="Palatino Linotype"/>
              <w:color w:val="000000" w:themeColor="text1"/>
            </w:rPr>
            <w:t>María del Rosario Mejía Ayala</w:t>
          </w:r>
        </w:p>
      </w:tc>
    </w:tr>
  </w:tbl>
  <w:p w:rsidR="00AC79C4" w:rsidRDefault="00D243D9">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15.9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8CA5A45"/>
    <w:multiLevelType w:val="hybridMultilevel"/>
    <w:tmpl w:val="66984594"/>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E5D3DF2"/>
    <w:multiLevelType w:val="multilevel"/>
    <w:tmpl w:val="50262BC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6"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38284E"/>
    <w:multiLevelType w:val="multilevel"/>
    <w:tmpl w:val="00F04CA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45B1EBA"/>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A179B9"/>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19EA4921"/>
    <w:multiLevelType w:val="hybridMultilevel"/>
    <w:tmpl w:val="73609D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2F7142B"/>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2E46BA"/>
    <w:multiLevelType w:val="hybridMultilevel"/>
    <w:tmpl w:val="66984594"/>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570F50"/>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1A4DF9"/>
    <w:multiLevelType w:val="hybridMultilevel"/>
    <w:tmpl w:val="0A385D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172CCC"/>
    <w:multiLevelType w:val="multilevel"/>
    <w:tmpl w:val="80DCFA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D037EF"/>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4D062E47"/>
    <w:multiLevelType w:val="hybridMultilevel"/>
    <w:tmpl w:val="2DD4A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8" w15:restartNumberingAfterBreak="0">
    <w:nsid w:val="4ECB1A6D"/>
    <w:multiLevelType w:val="hybridMultilevel"/>
    <w:tmpl w:val="21123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405ADE"/>
    <w:multiLevelType w:val="hybridMultilevel"/>
    <w:tmpl w:val="5C36ED84"/>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0" w15:restartNumberingAfterBreak="0">
    <w:nsid w:val="506031A3"/>
    <w:multiLevelType w:val="hybridMultilevel"/>
    <w:tmpl w:val="D3A02E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2"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FA1932"/>
    <w:multiLevelType w:val="multilevel"/>
    <w:tmpl w:val="107A8340"/>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704EC3"/>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F57231"/>
    <w:multiLevelType w:val="hybridMultilevel"/>
    <w:tmpl w:val="0C10161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21643DF"/>
    <w:multiLevelType w:val="hybridMultilevel"/>
    <w:tmpl w:val="1756B2B8"/>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696340A6"/>
    <w:multiLevelType w:val="multilevel"/>
    <w:tmpl w:val="AC0CE72C"/>
    <w:lvl w:ilvl="0">
      <w:start w:val="1"/>
      <w:numFmt w:val="decimal"/>
      <w:lvlText w:val="%1."/>
      <w:lvlJc w:val="left"/>
      <w:pPr>
        <w:ind w:left="532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EF137F"/>
    <w:multiLevelType w:val="multilevel"/>
    <w:tmpl w:val="388EF06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3"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5" w15:restartNumberingAfterBreak="0">
    <w:nsid w:val="7A2E0128"/>
    <w:multiLevelType w:val="multilevel"/>
    <w:tmpl w:val="1C229B7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8E3405"/>
    <w:multiLevelType w:val="multilevel"/>
    <w:tmpl w:val="8D20AECA"/>
    <w:lvl w:ilvl="0">
      <w:start w:val="1"/>
      <w:numFmt w:val="decimal"/>
      <w:lvlText w:val="%1)"/>
      <w:lvlJc w:val="left"/>
      <w:pPr>
        <w:ind w:left="2629"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46"/>
  </w:num>
  <w:num w:numId="3">
    <w:abstractNumId w:val="18"/>
  </w:num>
  <w:num w:numId="4">
    <w:abstractNumId w:val="31"/>
  </w:num>
  <w:num w:numId="5">
    <w:abstractNumId w:val="36"/>
  </w:num>
  <w:num w:numId="6">
    <w:abstractNumId w:val="25"/>
  </w:num>
  <w:num w:numId="7">
    <w:abstractNumId w:val="10"/>
  </w:num>
  <w:num w:numId="8">
    <w:abstractNumId w:val="30"/>
  </w:num>
  <w:num w:numId="9">
    <w:abstractNumId w:val="38"/>
  </w:num>
  <w:num w:numId="10">
    <w:abstractNumId w:val="19"/>
  </w:num>
  <w:num w:numId="11">
    <w:abstractNumId w:val="29"/>
  </w:num>
  <w:num w:numId="12">
    <w:abstractNumId w:val="8"/>
  </w:num>
  <w:num w:numId="13">
    <w:abstractNumId w:val="35"/>
  </w:num>
  <w:num w:numId="14">
    <w:abstractNumId w:val="44"/>
  </w:num>
  <w:num w:numId="15">
    <w:abstractNumId w:val="32"/>
  </w:num>
  <w:num w:numId="16">
    <w:abstractNumId w:val="20"/>
  </w:num>
  <w:num w:numId="17">
    <w:abstractNumId w:val="3"/>
  </w:num>
  <w:num w:numId="18">
    <w:abstractNumId w:val="21"/>
  </w:num>
  <w:num w:numId="19">
    <w:abstractNumId w:val="12"/>
  </w:num>
  <w:num w:numId="20">
    <w:abstractNumId w:val="26"/>
  </w:num>
  <w:num w:numId="21">
    <w:abstractNumId w:val="43"/>
  </w:num>
  <w:num w:numId="22">
    <w:abstractNumId w:val="23"/>
  </w:num>
  <w:num w:numId="23">
    <w:abstractNumId w:val="9"/>
  </w:num>
  <w:num w:numId="24">
    <w:abstractNumId w:val="34"/>
  </w:num>
  <w:num w:numId="25">
    <w:abstractNumId w:val="39"/>
  </w:num>
  <w:num w:numId="26">
    <w:abstractNumId w:val="15"/>
  </w:num>
  <w:num w:numId="27">
    <w:abstractNumId w:val="17"/>
  </w:num>
  <w:num w:numId="28">
    <w:abstractNumId w:val="41"/>
  </w:num>
  <w:num w:numId="29">
    <w:abstractNumId w:val="40"/>
  </w:num>
  <w:num w:numId="30">
    <w:abstractNumId w:val="4"/>
  </w:num>
  <w:num w:numId="31">
    <w:abstractNumId w:val="2"/>
  </w:num>
  <w:num w:numId="32">
    <w:abstractNumId w:val="0"/>
  </w:num>
  <w:num w:numId="33">
    <w:abstractNumId w:val="37"/>
  </w:num>
  <w:num w:numId="34">
    <w:abstractNumId w:val="14"/>
  </w:num>
  <w:num w:numId="35">
    <w:abstractNumId w:val="45"/>
  </w:num>
  <w:num w:numId="36">
    <w:abstractNumId w:val="11"/>
  </w:num>
  <w:num w:numId="37">
    <w:abstractNumId w:val="33"/>
  </w:num>
  <w:num w:numId="38">
    <w:abstractNumId w:val="22"/>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47"/>
  </w:num>
  <w:num w:numId="42">
    <w:abstractNumId w:val="16"/>
  </w:num>
  <w:num w:numId="43">
    <w:abstractNumId w:val="13"/>
  </w:num>
  <w:num w:numId="44">
    <w:abstractNumId w:val="6"/>
  </w:num>
  <w:num w:numId="45">
    <w:abstractNumId w:val="7"/>
  </w:num>
  <w:num w:numId="46">
    <w:abstractNumId w:val="5"/>
  </w:num>
  <w:num w:numId="47">
    <w:abstractNumId w:val="24"/>
  </w:num>
  <w:num w:numId="48">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D6A"/>
    <w:rsid w:val="00003DD9"/>
    <w:rsid w:val="00006F1B"/>
    <w:rsid w:val="000130A7"/>
    <w:rsid w:val="00016420"/>
    <w:rsid w:val="0002040E"/>
    <w:rsid w:val="00021303"/>
    <w:rsid w:val="00023808"/>
    <w:rsid w:val="00023A0F"/>
    <w:rsid w:val="00023F89"/>
    <w:rsid w:val="00024F93"/>
    <w:rsid w:val="0002571E"/>
    <w:rsid w:val="00034FDC"/>
    <w:rsid w:val="00035593"/>
    <w:rsid w:val="00036F07"/>
    <w:rsid w:val="00037080"/>
    <w:rsid w:val="00037694"/>
    <w:rsid w:val="00040090"/>
    <w:rsid w:val="00041D38"/>
    <w:rsid w:val="00043971"/>
    <w:rsid w:val="00055D24"/>
    <w:rsid w:val="000601D5"/>
    <w:rsid w:val="00062045"/>
    <w:rsid w:val="00062444"/>
    <w:rsid w:val="00070275"/>
    <w:rsid w:val="000707B4"/>
    <w:rsid w:val="00070E1F"/>
    <w:rsid w:val="000711ED"/>
    <w:rsid w:val="00071483"/>
    <w:rsid w:val="000746C9"/>
    <w:rsid w:val="00077434"/>
    <w:rsid w:val="000779D3"/>
    <w:rsid w:val="00077AC7"/>
    <w:rsid w:val="00084793"/>
    <w:rsid w:val="000908D9"/>
    <w:rsid w:val="00091AC7"/>
    <w:rsid w:val="000930BF"/>
    <w:rsid w:val="00093A56"/>
    <w:rsid w:val="00097AC4"/>
    <w:rsid w:val="000A0F74"/>
    <w:rsid w:val="000A311B"/>
    <w:rsid w:val="000A61EB"/>
    <w:rsid w:val="000A723E"/>
    <w:rsid w:val="000B55B4"/>
    <w:rsid w:val="000B5E74"/>
    <w:rsid w:val="000B5EB2"/>
    <w:rsid w:val="000B68C4"/>
    <w:rsid w:val="000B756F"/>
    <w:rsid w:val="000C003E"/>
    <w:rsid w:val="000C5A00"/>
    <w:rsid w:val="000D3698"/>
    <w:rsid w:val="000D4D94"/>
    <w:rsid w:val="000D50F3"/>
    <w:rsid w:val="000D7C34"/>
    <w:rsid w:val="000E1E05"/>
    <w:rsid w:val="000E2661"/>
    <w:rsid w:val="000E36B6"/>
    <w:rsid w:val="000E67B2"/>
    <w:rsid w:val="000E6B02"/>
    <w:rsid w:val="000F113E"/>
    <w:rsid w:val="000F1D57"/>
    <w:rsid w:val="000F6F52"/>
    <w:rsid w:val="00102F1F"/>
    <w:rsid w:val="00106553"/>
    <w:rsid w:val="001104CA"/>
    <w:rsid w:val="0012052F"/>
    <w:rsid w:val="00122D64"/>
    <w:rsid w:val="001266FE"/>
    <w:rsid w:val="00127517"/>
    <w:rsid w:val="00132F8B"/>
    <w:rsid w:val="001331A0"/>
    <w:rsid w:val="00133E64"/>
    <w:rsid w:val="00135433"/>
    <w:rsid w:val="00146910"/>
    <w:rsid w:val="00146A65"/>
    <w:rsid w:val="00152C3E"/>
    <w:rsid w:val="001550E7"/>
    <w:rsid w:val="0016082D"/>
    <w:rsid w:val="00161EAC"/>
    <w:rsid w:val="001702D9"/>
    <w:rsid w:val="00172272"/>
    <w:rsid w:val="001749B2"/>
    <w:rsid w:val="001765AF"/>
    <w:rsid w:val="00177B12"/>
    <w:rsid w:val="00181C24"/>
    <w:rsid w:val="001834E9"/>
    <w:rsid w:val="00186184"/>
    <w:rsid w:val="001863AD"/>
    <w:rsid w:val="00186FCA"/>
    <w:rsid w:val="00192B2A"/>
    <w:rsid w:val="001940C1"/>
    <w:rsid w:val="001956BA"/>
    <w:rsid w:val="001961CD"/>
    <w:rsid w:val="00196322"/>
    <w:rsid w:val="00196AA0"/>
    <w:rsid w:val="00196D9E"/>
    <w:rsid w:val="00196E7B"/>
    <w:rsid w:val="001A030B"/>
    <w:rsid w:val="001A305B"/>
    <w:rsid w:val="001A3205"/>
    <w:rsid w:val="001A5FBE"/>
    <w:rsid w:val="001A6DF5"/>
    <w:rsid w:val="001A78A1"/>
    <w:rsid w:val="001B17BC"/>
    <w:rsid w:val="001B1A41"/>
    <w:rsid w:val="001B631F"/>
    <w:rsid w:val="001B6D8E"/>
    <w:rsid w:val="001C0342"/>
    <w:rsid w:val="001C1CEC"/>
    <w:rsid w:val="001C2CB6"/>
    <w:rsid w:val="001C3FA6"/>
    <w:rsid w:val="001C41F8"/>
    <w:rsid w:val="001C5729"/>
    <w:rsid w:val="001D1D1B"/>
    <w:rsid w:val="001D2FA5"/>
    <w:rsid w:val="001D3B8D"/>
    <w:rsid w:val="001D457E"/>
    <w:rsid w:val="001D6B14"/>
    <w:rsid w:val="001D752F"/>
    <w:rsid w:val="001E2CB9"/>
    <w:rsid w:val="001F159B"/>
    <w:rsid w:val="001F43C2"/>
    <w:rsid w:val="001F7965"/>
    <w:rsid w:val="00201F7E"/>
    <w:rsid w:val="002026AC"/>
    <w:rsid w:val="0020430F"/>
    <w:rsid w:val="00205368"/>
    <w:rsid w:val="002061C6"/>
    <w:rsid w:val="00207157"/>
    <w:rsid w:val="002109CD"/>
    <w:rsid w:val="002148D1"/>
    <w:rsid w:val="00214CB0"/>
    <w:rsid w:val="00215106"/>
    <w:rsid w:val="00216DCC"/>
    <w:rsid w:val="00221338"/>
    <w:rsid w:val="00223B24"/>
    <w:rsid w:val="002272E3"/>
    <w:rsid w:val="002326A9"/>
    <w:rsid w:val="002354F4"/>
    <w:rsid w:val="00237C0D"/>
    <w:rsid w:val="0024026D"/>
    <w:rsid w:val="00240C7B"/>
    <w:rsid w:val="00244BB7"/>
    <w:rsid w:val="00250902"/>
    <w:rsid w:val="002510AE"/>
    <w:rsid w:val="002629BB"/>
    <w:rsid w:val="00262AEA"/>
    <w:rsid w:val="002657FB"/>
    <w:rsid w:val="00266102"/>
    <w:rsid w:val="00270929"/>
    <w:rsid w:val="00272605"/>
    <w:rsid w:val="0027567B"/>
    <w:rsid w:val="00276FC4"/>
    <w:rsid w:val="002814AD"/>
    <w:rsid w:val="00284285"/>
    <w:rsid w:val="002859D5"/>
    <w:rsid w:val="002907AD"/>
    <w:rsid w:val="0029409F"/>
    <w:rsid w:val="00296C6B"/>
    <w:rsid w:val="00297A5F"/>
    <w:rsid w:val="002A444A"/>
    <w:rsid w:val="002A534D"/>
    <w:rsid w:val="002B1A30"/>
    <w:rsid w:val="002B2623"/>
    <w:rsid w:val="002B3B48"/>
    <w:rsid w:val="002B7A1B"/>
    <w:rsid w:val="002B7EE9"/>
    <w:rsid w:val="002C3AC3"/>
    <w:rsid w:val="002C4BEC"/>
    <w:rsid w:val="002C7769"/>
    <w:rsid w:val="002D10DC"/>
    <w:rsid w:val="002D26ED"/>
    <w:rsid w:val="002D6B94"/>
    <w:rsid w:val="002E0058"/>
    <w:rsid w:val="002E038F"/>
    <w:rsid w:val="002E42F6"/>
    <w:rsid w:val="002F35A5"/>
    <w:rsid w:val="002F7B5C"/>
    <w:rsid w:val="00301118"/>
    <w:rsid w:val="00306003"/>
    <w:rsid w:val="0031031B"/>
    <w:rsid w:val="00311283"/>
    <w:rsid w:val="00320425"/>
    <w:rsid w:val="003217E8"/>
    <w:rsid w:val="0032392F"/>
    <w:rsid w:val="003246CC"/>
    <w:rsid w:val="00326075"/>
    <w:rsid w:val="0033057E"/>
    <w:rsid w:val="00331DE1"/>
    <w:rsid w:val="00333C23"/>
    <w:rsid w:val="0033402D"/>
    <w:rsid w:val="003400CB"/>
    <w:rsid w:val="003410F3"/>
    <w:rsid w:val="003429E3"/>
    <w:rsid w:val="00343086"/>
    <w:rsid w:val="00343DB0"/>
    <w:rsid w:val="0035074E"/>
    <w:rsid w:val="00351275"/>
    <w:rsid w:val="003524E0"/>
    <w:rsid w:val="0035780E"/>
    <w:rsid w:val="0036122E"/>
    <w:rsid w:val="00361441"/>
    <w:rsid w:val="00361780"/>
    <w:rsid w:val="003644DE"/>
    <w:rsid w:val="00367B8C"/>
    <w:rsid w:val="00380D59"/>
    <w:rsid w:val="00385C23"/>
    <w:rsid w:val="00386B8F"/>
    <w:rsid w:val="003948C1"/>
    <w:rsid w:val="00396EB0"/>
    <w:rsid w:val="003A0961"/>
    <w:rsid w:val="003A2338"/>
    <w:rsid w:val="003A3C27"/>
    <w:rsid w:val="003A3C35"/>
    <w:rsid w:val="003A3F37"/>
    <w:rsid w:val="003A61B2"/>
    <w:rsid w:val="003A7307"/>
    <w:rsid w:val="003B1579"/>
    <w:rsid w:val="003B2862"/>
    <w:rsid w:val="003B4C8D"/>
    <w:rsid w:val="003B66AF"/>
    <w:rsid w:val="003B699F"/>
    <w:rsid w:val="003C12D7"/>
    <w:rsid w:val="003C44EF"/>
    <w:rsid w:val="003C4C2F"/>
    <w:rsid w:val="003C51F5"/>
    <w:rsid w:val="003D0E31"/>
    <w:rsid w:val="003D2D85"/>
    <w:rsid w:val="003D3FBC"/>
    <w:rsid w:val="003D660B"/>
    <w:rsid w:val="003D691E"/>
    <w:rsid w:val="003D6A3E"/>
    <w:rsid w:val="003D7CF1"/>
    <w:rsid w:val="003E0A43"/>
    <w:rsid w:val="003E1C35"/>
    <w:rsid w:val="003E2B2A"/>
    <w:rsid w:val="003E4B8C"/>
    <w:rsid w:val="003E5DF4"/>
    <w:rsid w:val="003E664D"/>
    <w:rsid w:val="003E6CA4"/>
    <w:rsid w:val="003F25F5"/>
    <w:rsid w:val="003F3AC4"/>
    <w:rsid w:val="003F56B1"/>
    <w:rsid w:val="003F61B5"/>
    <w:rsid w:val="00404099"/>
    <w:rsid w:val="00406CBB"/>
    <w:rsid w:val="00413E57"/>
    <w:rsid w:val="004216D4"/>
    <w:rsid w:val="00425B35"/>
    <w:rsid w:val="00433CBE"/>
    <w:rsid w:val="00434E54"/>
    <w:rsid w:val="00436E6D"/>
    <w:rsid w:val="00441313"/>
    <w:rsid w:val="00442770"/>
    <w:rsid w:val="004432E1"/>
    <w:rsid w:val="00444BE9"/>
    <w:rsid w:val="00445BB4"/>
    <w:rsid w:val="00447571"/>
    <w:rsid w:val="00450E28"/>
    <w:rsid w:val="00451CF4"/>
    <w:rsid w:val="00452797"/>
    <w:rsid w:val="00453D56"/>
    <w:rsid w:val="00454070"/>
    <w:rsid w:val="00455525"/>
    <w:rsid w:val="004559AE"/>
    <w:rsid w:val="00457703"/>
    <w:rsid w:val="004602F0"/>
    <w:rsid w:val="0046336B"/>
    <w:rsid w:val="00463EAE"/>
    <w:rsid w:val="0046784D"/>
    <w:rsid w:val="00471C55"/>
    <w:rsid w:val="00472DE3"/>
    <w:rsid w:val="00474BE5"/>
    <w:rsid w:val="004819DE"/>
    <w:rsid w:val="00481C72"/>
    <w:rsid w:val="00481FAC"/>
    <w:rsid w:val="0048201A"/>
    <w:rsid w:val="00482A22"/>
    <w:rsid w:val="004834CA"/>
    <w:rsid w:val="00491452"/>
    <w:rsid w:val="004927E8"/>
    <w:rsid w:val="00492829"/>
    <w:rsid w:val="004929EB"/>
    <w:rsid w:val="0049478E"/>
    <w:rsid w:val="00496C16"/>
    <w:rsid w:val="00497FA0"/>
    <w:rsid w:val="004A1B08"/>
    <w:rsid w:val="004A3F09"/>
    <w:rsid w:val="004A4399"/>
    <w:rsid w:val="004B6262"/>
    <w:rsid w:val="004C4AA9"/>
    <w:rsid w:val="004C5179"/>
    <w:rsid w:val="004D0388"/>
    <w:rsid w:val="004E0AFD"/>
    <w:rsid w:val="004E302F"/>
    <w:rsid w:val="004F1783"/>
    <w:rsid w:val="00504CA2"/>
    <w:rsid w:val="00526EF7"/>
    <w:rsid w:val="0053481A"/>
    <w:rsid w:val="00534C94"/>
    <w:rsid w:val="0054168C"/>
    <w:rsid w:val="00543175"/>
    <w:rsid w:val="00544302"/>
    <w:rsid w:val="005449F3"/>
    <w:rsid w:val="0054767D"/>
    <w:rsid w:val="005519B5"/>
    <w:rsid w:val="005565B6"/>
    <w:rsid w:val="005606EF"/>
    <w:rsid w:val="005614A9"/>
    <w:rsid w:val="00562370"/>
    <w:rsid w:val="00563F40"/>
    <w:rsid w:val="0056710D"/>
    <w:rsid w:val="0057044D"/>
    <w:rsid w:val="00574F14"/>
    <w:rsid w:val="00576BC2"/>
    <w:rsid w:val="00576C88"/>
    <w:rsid w:val="005818AD"/>
    <w:rsid w:val="005828AB"/>
    <w:rsid w:val="0058583E"/>
    <w:rsid w:val="005865BF"/>
    <w:rsid w:val="00592CC2"/>
    <w:rsid w:val="00596DC5"/>
    <w:rsid w:val="00597404"/>
    <w:rsid w:val="005A26DE"/>
    <w:rsid w:val="005A3070"/>
    <w:rsid w:val="005A367B"/>
    <w:rsid w:val="005A383D"/>
    <w:rsid w:val="005A4ED2"/>
    <w:rsid w:val="005A7829"/>
    <w:rsid w:val="005B371F"/>
    <w:rsid w:val="005B4120"/>
    <w:rsid w:val="005B56CD"/>
    <w:rsid w:val="005C28E1"/>
    <w:rsid w:val="005C3BF0"/>
    <w:rsid w:val="005C40A1"/>
    <w:rsid w:val="005C4221"/>
    <w:rsid w:val="005C45B5"/>
    <w:rsid w:val="005C572F"/>
    <w:rsid w:val="005C6920"/>
    <w:rsid w:val="005D320F"/>
    <w:rsid w:val="005D7D28"/>
    <w:rsid w:val="005E2509"/>
    <w:rsid w:val="005E58C9"/>
    <w:rsid w:val="005F1D55"/>
    <w:rsid w:val="005F5512"/>
    <w:rsid w:val="005F7245"/>
    <w:rsid w:val="006023DE"/>
    <w:rsid w:val="00604A69"/>
    <w:rsid w:val="00607532"/>
    <w:rsid w:val="00612F50"/>
    <w:rsid w:val="0061693B"/>
    <w:rsid w:val="00620A78"/>
    <w:rsid w:val="00620E99"/>
    <w:rsid w:val="0063273A"/>
    <w:rsid w:val="00635B00"/>
    <w:rsid w:val="00636A4F"/>
    <w:rsid w:val="00637135"/>
    <w:rsid w:val="00637C01"/>
    <w:rsid w:val="006447FE"/>
    <w:rsid w:val="0064618F"/>
    <w:rsid w:val="006504CC"/>
    <w:rsid w:val="00651218"/>
    <w:rsid w:val="0065634A"/>
    <w:rsid w:val="00657958"/>
    <w:rsid w:val="00657988"/>
    <w:rsid w:val="0066225D"/>
    <w:rsid w:val="00664BC5"/>
    <w:rsid w:val="006664EC"/>
    <w:rsid w:val="00666BB9"/>
    <w:rsid w:val="00667B7C"/>
    <w:rsid w:val="00667C8E"/>
    <w:rsid w:val="00670285"/>
    <w:rsid w:val="00670777"/>
    <w:rsid w:val="006736CE"/>
    <w:rsid w:val="00675A48"/>
    <w:rsid w:val="00676C68"/>
    <w:rsid w:val="006816FB"/>
    <w:rsid w:val="006821F7"/>
    <w:rsid w:val="00682F30"/>
    <w:rsid w:val="00686134"/>
    <w:rsid w:val="00691E11"/>
    <w:rsid w:val="00692C62"/>
    <w:rsid w:val="00693A63"/>
    <w:rsid w:val="00695347"/>
    <w:rsid w:val="00696C82"/>
    <w:rsid w:val="00696CCE"/>
    <w:rsid w:val="00696D7E"/>
    <w:rsid w:val="00697A47"/>
    <w:rsid w:val="006A129D"/>
    <w:rsid w:val="006A7954"/>
    <w:rsid w:val="006B0D8F"/>
    <w:rsid w:val="006B1694"/>
    <w:rsid w:val="006B3075"/>
    <w:rsid w:val="006B4514"/>
    <w:rsid w:val="006B5C32"/>
    <w:rsid w:val="006B652E"/>
    <w:rsid w:val="006C40ED"/>
    <w:rsid w:val="006C4541"/>
    <w:rsid w:val="006C4A35"/>
    <w:rsid w:val="006C72E8"/>
    <w:rsid w:val="006C7B25"/>
    <w:rsid w:val="006D0B72"/>
    <w:rsid w:val="006D0D17"/>
    <w:rsid w:val="006D1845"/>
    <w:rsid w:val="006D6E88"/>
    <w:rsid w:val="006E0FE7"/>
    <w:rsid w:val="006E2573"/>
    <w:rsid w:val="006E295A"/>
    <w:rsid w:val="006E390C"/>
    <w:rsid w:val="006E679E"/>
    <w:rsid w:val="006E7A01"/>
    <w:rsid w:val="006F29D0"/>
    <w:rsid w:val="006F49D1"/>
    <w:rsid w:val="006F5CB7"/>
    <w:rsid w:val="006F5FAB"/>
    <w:rsid w:val="00700C65"/>
    <w:rsid w:val="00711A66"/>
    <w:rsid w:val="00720567"/>
    <w:rsid w:val="00720581"/>
    <w:rsid w:val="0072148B"/>
    <w:rsid w:val="007266C3"/>
    <w:rsid w:val="00730E91"/>
    <w:rsid w:val="00734D78"/>
    <w:rsid w:val="00734F2B"/>
    <w:rsid w:val="0073534C"/>
    <w:rsid w:val="00737C44"/>
    <w:rsid w:val="00737D7F"/>
    <w:rsid w:val="007406BD"/>
    <w:rsid w:val="00742100"/>
    <w:rsid w:val="00746978"/>
    <w:rsid w:val="007469B8"/>
    <w:rsid w:val="00747BDB"/>
    <w:rsid w:val="00751BDC"/>
    <w:rsid w:val="00761157"/>
    <w:rsid w:val="00763E8B"/>
    <w:rsid w:val="00764743"/>
    <w:rsid w:val="00764C19"/>
    <w:rsid w:val="00764DF2"/>
    <w:rsid w:val="007653B2"/>
    <w:rsid w:val="00770DF7"/>
    <w:rsid w:val="007715D9"/>
    <w:rsid w:val="00774D62"/>
    <w:rsid w:val="00775858"/>
    <w:rsid w:val="00776874"/>
    <w:rsid w:val="00776FD7"/>
    <w:rsid w:val="00777FC2"/>
    <w:rsid w:val="00785C9F"/>
    <w:rsid w:val="00790CE8"/>
    <w:rsid w:val="00790F20"/>
    <w:rsid w:val="00792580"/>
    <w:rsid w:val="00796D30"/>
    <w:rsid w:val="0079778B"/>
    <w:rsid w:val="007A3783"/>
    <w:rsid w:val="007A5006"/>
    <w:rsid w:val="007A5102"/>
    <w:rsid w:val="007B0ABA"/>
    <w:rsid w:val="007B0C35"/>
    <w:rsid w:val="007B4AEA"/>
    <w:rsid w:val="007B5E42"/>
    <w:rsid w:val="007B6C06"/>
    <w:rsid w:val="007B7C68"/>
    <w:rsid w:val="007C2BD4"/>
    <w:rsid w:val="007C2D9E"/>
    <w:rsid w:val="007C6FDB"/>
    <w:rsid w:val="007C7DD8"/>
    <w:rsid w:val="007D083D"/>
    <w:rsid w:val="007D7476"/>
    <w:rsid w:val="007E18CF"/>
    <w:rsid w:val="007E27AA"/>
    <w:rsid w:val="007E48A5"/>
    <w:rsid w:val="007E5AA2"/>
    <w:rsid w:val="007F1CC8"/>
    <w:rsid w:val="007F61D8"/>
    <w:rsid w:val="007F7250"/>
    <w:rsid w:val="00800E12"/>
    <w:rsid w:val="008016DD"/>
    <w:rsid w:val="00801DF9"/>
    <w:rsid w:val="00802549"/>
    <w:rsid w:val="00805D21"/>
    <w:rsid w:val="00811CF8"/>
    <w:rsid w:val="00816B3B"/>
    <w:rsid w:val="00817B76"/>
    <w:rsid w:val="00823006"/>
    <w:rsid w:val="008238A5"/>
    <w:rsid w:val="0082506A"/>
    <w:rsid w:val="00825153"/>
    <w:rsid w:val="008306D7"/>
    <w:rsid w:val="00830AE7"/>
    <w:rsid w:val="008340A0"/>
    <w:rsid w:val="00835ACA"/>
    <w:rsid w:val="0084133A"/>
    <w:rsid w:val="008419F5"/>
    <w:rsid w:val="00846BB7"/>
    <w:rsid w:val="00847C3A"/>
    <w:rsid w:val="00851751"/>
    <w:rsid w:val="0085755E"/>
    <w:rsid w:val="008618E0"/>
    <w:rsid w:val="00864CD0"/>
    <w:rsid w:val="00870C33"/>
    <w:rsid w:val="00891202"/>
    <w:rsid w:val="00893AEB"/>
    <w:rsid w:val="00895953"/>
    <w:rsid w:val="008A2D0D"/>
    <w:rsid w:val="008A3FBA"/>
    <w:rsid w:val="008A5652"/>
    <w:rsid w:val="008A643F"/>
    <w:rsid w:val="008B2146"/>
    <w:rsid w:val="008B7800"/>
    <w:rsid w:val="008C6196"/>
    <w:rsid w:val="008C6FAC"/>
    <w:rsid w:val="008C7F02"/>
    <w:rsid w:val="008D0A23"/>
    <w:rsid w:val="008D12E0"/>
    <w:rsid w:val="008D7A23"/>
    <w:rsid w:val="008E58F8"/>
    <w:rsid w:val="008E7B4E"/>
    <w:rsid w:val="008F1029"/>
    <w:rsid w:val="008F19B5"/>
    <w:rsid w:val="008F43B9"/>
    <w:rsid w:val="008F4572"/>
    <w:rsid w:val="008F4A76"/>
    <w:rsid w:val="00900516"/>
    <w:rsid w:val="009037EC"/>
    <w:rsid w:val="009071BB"/>
    <w:rsid w:val="009100D1"/>
    <w:rsid w:val="00916B6C"/>
    <w:rsid w:val="00920125"/>
    <w:rsid w:val="00923ACC"/>
    <w:rsid w:val="00923D1F"/>
    <w:rsid w:val="009314EF"/>
    <w:rsid w:val="00931ADB"/>
    <w:rsid w:val="00932B26"/>
    <w:rsid w:val="00936111"/>
    <w:rsid w:val="00936FC3"/>
    <w:rsid w:val="00955B8A"/>
    <w:rsid w:val="009628A8"/>
    <w:rsid w:val="0096318D"/>
    <w:rsid w:val="009643B5"/>
    <w:rsid w:val="00964BCE"/>
    <w:rsid w:val="00975EDC"/>
    <w:rsid w:val="009845A2"/>
    <w:rsid w:val="009850E5"/>
    <w:rsid w:val="009858A5"/>
    <w:rsid w:val="00990A43"/>
    <w:rsid w:val="00993617"/>
    <w:rsid w:val="0099608C"/>
    <w:rsid w:val="009965CB"/>
    <w:rsid w:val="009A0BC3"/>
    <w:rsid w:val="009A1383"/>
    <w:rsid w:val="009A3895"/>
    <w:rsid w:val="009A6040"/>
    <w:rsid w:val="009B18E2"/>
    <w:rsid w:val="009B2185"/>
    <w:rsid w:val="009B24FF"/>
    <w:rsid w:val="009B26D0"/>
    <w:rsid w:val="009B2A8F"/>
    <w:rsid w:val="009C00EF"/>
    <w:rsid w:val="009C3266"/>
    <w:rsid w:val="009C48E7"/>
    <w:rsid w:val="009C4FD5"/>
    <w:rsid w:val="009C60E6"/>
    <w:rsid w:val="009D210F"/>
    <w:rsid w:val="009D30EF"/>
    <w:rsid w:val="009E4A3F"/>
    <w:rsid w:val="009E6EE0"/>
    <w:rsid w:val="009E7A2A"/>
    <w:rsid w:val="009F0BEC"/>
    <w:rsid w:val="009F1F9E"/>
    <w:rsid w:val="009F2579"/>
    <w:rsid w:val="009F2820"/>
    <w:rsid w:val="009F67AB"/>
    <w:rsid w:val="009F7296"/>
    <w:rsid w:val="009F74E4"/>
    <w:rsid w:val="00A014FA"/>
    <w:rsid w:val="00A0503F"/>
    <w:rsid w:val="00A06C8F"/>
    <w:rsid w:val="00A077F4"/>
    <w:rsid w:val="00A07A67"/>
    <w:rsid w:val="00A10108"/>
    <w:rsid w:val="00A10ACB"/>
    <w:rsid w:val="00A122CB"/>
    <w:rsid w:val="00A13C54"/>
    <w:rsid w:val="00A14B95"/>
    <w:rsid w:val="00A151BF"/>
    <w:rsid w:val="00A1544D"/>
    <w:rsid w:val="00A15833"/>
    <w:rsid w:val="00A20CDE"/>
    <w:rsid w:val="00A21144"/>
    <w:rsid w:val="00A26CE8"/>
    <w:rsid w:val="00A27E7A"/>
    <w:rsid w:val="00A35890"/>
    <w:rsid w:val="00A408D1"/>
    <w:rsid w:val="00A41B62"/>
    <w:rsid w:val="00A42940"/>
    <w:rsid w:val="00A42B65"/>
    <w:rsid w:val="00A4570A"/>
    <w:rsid w:val="00A47D60"/>
    <w:rsid w:val="00A50657"/>
    <w:rsid w:val="00A51761"/>
    <w:rsid w:val="00A51835"/>
    <w:rsid w:val="00A52F82"/>
    <w:rsid w:val="00A54832"/>
    <w:rsid w:val="00A57814"/>
    <w:rsid w:val="00A658D6"/>
    <w:rsid w:val="00A674EF"/>
    <w:rsid w:val="00A70E02"/>
    <w:rsid w:val="00A73069"/>
    <w:rsid w:val="00A76E9C"/>
    <w:rsid w:val="00A80919"/>
    <w:rsid w:val="00A84063"/>
    <w:rsid w:val="00A86A13"/>
    <w:rsid w:val="00A90305"/>
    <w:rsid w:val="00A90A2C"/>
    <w:rsid w:val="00A964C2"/>
    <w:rsid w:val="00AA0D5C"/>
    <w:rsid w:val="00AA0D71"/>
    <w:rsid w:val="00AA194B"/>
    <w:rsid w:val="00AA473F"/>
    <w:rsid w:val="00AB1E49"/>
    <w:rsid w:val="00AB2BC0"/>
    <w:rsid w:val="00AB4BC1"/>
    <w:rsid w:val="00AB5259"/>
    <w:rsid w:val="00AB68A4"/>
    <w:rsid w:val="00AB71E5"/>
    <w:rsid w:val="00AC0035"/>
    <w:rsid w:val="00AC0B18"/>
    <w:rsid w:val="00AC260C"/>
    <w:rsid w:val="00AC344B"/>
    <w:rsid w:val="00AC39E5"/>
    <w:rsid w:val="00AC79C4"/>
    <w:rsid w:val="00AD29E4"/>
    <w:rsid w:val="00AD54F2"/>
    <w:rsid w:val="00AD5770"/>
    <w:rsid w:val="00AE0719"/>
    <w:rsid w:val="00AE0F0F"/>
    <w:rsid w:val="00AE129A"/>
    <w:rsid w:val="00AE3BC8"/>
    <w:rsid w:val="00AE53B6"/>
    <w:rsid w:val="00AE5C5B"/>
    <w:rsid w:val="00AE5D44"/>
    <w:rsid w:val="00AE7684"/>
    <w:rsid w:val="00AF66AD"/>
    <w:rsid w:val="00AF6B09"/>
    <w:rsid w:val="00AF7688"/>
    <w:rsid w:val="00B00835"/>
    <w:rsid w:val="00B00D79"/>
    <w:rsid w:val="00B01DBC"/>
    <w:rsid w:val="00B029E8"/>
    <w:rsid w:val="00B04D23"/>
    <w:rsid w:val="00B0554B"/>
    <w:rsid w:val="00B109AA"/>
    <w:rsid w:val="00B16395"/>
    <w:rsid w:val="00B17B2F"/>
    <w:rsid w:val="00B24FDD"/>
    <w:rsid w:val="00B2612A"/>
    <w:rsid w:val="00B2791E"/>
    <w:rsid w:val="00B313B7"/>
    <w:rsid w:val="00B32A42"/>
    <w:rsid w:val="00B344DA"/>
    <w:rsid w:val="00B357D6"/>
    <w:rsid w:val="00B470BA"/>
    <w:rsid w:val="00B5062D"/>
    <w:rsid w:val="00B55347"/>
    <w:rsid w:val="00B56CC3"/>
    <w:rsid w:val="00B57F9E"/>
    <w:rsid w:val="00B62228"/>
    <w:rsid w:val="00B626FF"/>
    <w:rsid w:val="00B6308B"/>
    <w:rsid w:val="00B64120"/>
    <w:rsid w:val="00B65F2F"/>
    <w:rsid w:val="00B6629A"/>
    <w:rsid w:val="00B673C5"/>
    <w:rsid w:val="00B70D04"/>
    <w:rsid w:val="00B7150C"/>
    <w:rsid w:val="00B72A0E"/>
    <w:rsid w:val="00B83ADB"/>
    <w:rsid w:val="00B8552F"/>
    <w:rsid w:val="00B87828"/>
    <w:rsid w:val="00B90077"/>
    <w:rsid w:val="00B93515"/>
    <w:rsid w:val="00B95873"/>
    <w:rsid w:val="00BA1F42"/>
    <w:rsid w:val="00BA5045"/>
    <w:rsid w:val="00BA6467"/>
    <w:rsid w:val="00BA7519"/>
    <w:rsid w:val="00BA7C15"/>
    <w:rsid w:val="00BB0B24"/>
    <w:rsid w:val="00BB6253"/>
    <w:rsid w:val="00BB781C"/>
    <w:rsid w:val="00BC0C17"/>
    <w:rsid w:val="00BC0CD7"/>
    <w:rsid w:val="00BC669B"/>
    <w:rsid w:val="00BC719C"/>
    <w:rsid w:val="00BD021C"/>
    <w:rsid w:val="00BE02BC"/>
    <w:rsid w:val="00BE4972"/>
    <w:rsid w:val="00BE61BC"/>
    <w:rsid w:val="00BE7E39"/>
    <w:rsid w:val="00BF61BD"/>
    <w:rsid w:val="00C0184D"/>
    <w:rsid w:val="00C03B72"/>
    <w:rsid w:val="00C1016B"/>
    <w:rsid w:val="00C17AAF"/>
    <w:rsid w:val="00C26DB4"/>
    <w:rsid w:val="00C338BE"/>
    <w:rsid w:val="00C35239"/>
    <w:rsid w:val="00C35584"/>
    <w:rsid w:val="00C40725"/>
    <w:rsid w:val="00C41029"/>
    <w:rsid w:val="00C41343"/>
    <w:rsid w:val="00C41AD6"/>
    <w:rsid w:val="00C4426F"/>
    <w:rsid w:val="00C455B4"/>
    <w:rsid w:val="00C461B3"/>
    <w:rsid w:val="00C4747A"/>
    <w:rsid w:val="00C4759D"/>
    <w:rsid w:val="00C51275"/>
    <w:rsid w:val="00C5331D"/>
    <w:rsid w:val="00C54F37"/>
    <w:rsid w:val="00C56704"/>
    <w:rsid w:val="00C573AA"/>
    <w:rsid w:val="00C6599B"/>
    <w:rsid w:val="00C65E7F"/>
    <w:rsid w:val="00C7010D"/>
    <w:rsid w:val="00C734E1"/>
    <w:rsid w:val="00C75687"/>
    <w:rsid w:val="00C75731"/>
    <w:rsid w:val="00C84B99"/>
    <w:rsid w:val="00C84C75"/>
    <w:rsid w:val="00C9308C"/>
    <w:rsid w:val="00C93740"/>
    <w:rsid w:val="00C969CA"/>
    <w:rsid w:val="00CB3AA0"/>
    <w:rsid w:val="00CB4F68"/>
    <w:rsid w:val="00CC02DA"/>
    <w:rsid w:val="00CC1017"/>
    <w:rsid w:val="00CC21AB"/>
    <w:rsid w:val="00CC4FCD"/>
    <w:rsid w:val="00CC6CBE"/>
    <w:rsid w:val="00CC75D5"/>
    <w:rsid w:val="00CD26C9"/>
    <w:rsid w:val="00CD3D3E"/>
    <w:rsid w:val="00CD6730"/>
    <w:rsid w:val="00CD7976"/>
    <w:rsid w:val="00CE2DDA"/>
    <w:rsid w:val="00CE56E1"/>
    <w:rsid w:val="00CE719F"/>
    <w:rsid w:val="00CF0E68"/>
    <w:rsid w:val="00CF1027"/>
    <w:rsid w:val="00CF270D"/>
    <w:rsid w:val="00CF78CA"/>
    <w:rsid w:val="00D02866"/>
    <w:rsid w:val="00D03862"/>
    <w:rsid w:val="00D0590D"/>
    <w:rsid w:val="00D0667E"/>
    <w:rsid w:val="00D11C04"/>
    <w:rsid w:val="00D243D9"/>
    <w:rsid w:val="00D2445C"/>
    <w:rsid w:val="00D263BE"/>
    <w:rsid w:val="00D30A12"/>
    <w:rsid w:val="00D314EB"/>
    <w:rsid w:val="00D42289"/>
    <w:rsid w:val="00D445F8"/>
    <w:rsid w:val="00D47A7F"/>
    <w:rsid w:val="00D50CF8"/>
    <w:rsid w:val="00D51BED"/>
    <w:rsid w:val="00D523D8"/>
    <w:rsid w:val="00D533FA"/>
    <w:rsid w:val="00D54EE2"/>
    <w:rsid w:val="00D56406"/>
    <w:rsid w:val="00D57868"/>
    <w:rsid w:val="00D57F6E"/>
    <w:rsid w:val="00D61638"/>
    <w:rsid w:val="00D61F2E"/>
    <w:rsid w:val="00D61F51"/>
    <w:rsid w:val="00D650A9"/>
    <w:rsid w:val="00D6538C"/>
    <w:rsid w:val="00D677EA"/>
    <w:rsid w:val="00D72719"/>
    <w:rsid w:val="00D75DE1"/>
    <w:rsid w:val="00D820CC"/>
    <w:rsid w:val="00D85006"/>
    <w:rsid w:val="00D900FC"/>
    <w:rsid w:val="00D93600"/>
    <w:rsid w:val="00DA0EFB"/>
    <w:rsid w:val="00DA2545"/>
    <w:rsid w:val="00DA42B1"/>
    <w:rsid w:val="00DB09D6"/>
    <w:rsid w:val="00DB4E57"/>
    <w:rsid w:val="00DB691B"/>
    <w:rsid w:val="00DB69D1"/>
    <w:rsid w:val="00DB78F7"/>
    <w:rsid w:val="00DC2361"/>
    <w:rsid w:val="00DC7996"/>
    <w:rsid w:val="00DD029E"/>
    <w:rsid w:val="00DD463E"/>
    <w:rsid w:val="00DD4ED2"/>
    <w:rsid w:val="00DD72FD"/>
    <w:rsid w:val="00DD7307"/>
    <w:rsid w:val="00DE25F8"/>
    <w:rsid w:val="00DF0D6F"/>
    <w:rsid w:val="00DF1CDE"/>
    <w:rsid w:val="00DF23B4"/>
    <w:rsid w:val="00DF3E1F"/>
    <w:rsid w:val="00DF664D"/>
    <w:rsid w:val="00E031A9"/>
    <w:rsid w:val="00E0521D"/>
    <w:rsid w:val="00E06511"/>
    <w:rsid w:val="00E0658C"/>
    <w:rsid w:val="00E07410"/>
    <w:rsid w:val="00E10CC5"/>
    <w:rsid w:val="00E20333"/>
    <w:rsid w:val="00E216B6"/>
    <w:rsid w:val="00E2183F"/>
    <w:rsid w:val="00E222E3"/>
    <w:rsid w:val="00E23A7F"/>
    <w:rsid w:val="00E24CA2"/>
    <w:rsid w:val="00E253EA"/>
    <w:rsid w:val="00E30A06"/>
    <w:rsid w:val="00E335B2"/>
    <w:rsid w:val="00E36700"/>
    <w:rsid w:val="00E418CB"/>
    <w:rsid w:val="00E44A9E"/>
    <w:rsid w:val="00E464DC"/>
    <w:rsid w:val="00E5636D"/>
    <w:rsid w:val="00E62CF4"/>
    <w:rsid w:val="00E67AF7"/>
    <w:rsid w:val="00E7220B"/>
    <w:rsid w:val="00E76161"/>
    <w:rsid w:val="00E76561"/>
    <w:rsid w:val="00E775D3"/>
    <w:rsid w:val="00E77884"/>
    <w:rsid w:val="00E832FF"/>
    <w:rsid w:val="00E86D0A"/>
    <w:rsid w:val="00E871B6"/>
    <w:rsid w:val="00E875EF"/>
    <w:rsid w:val="00E87D3E"/>
    <w:rsid w:val="00E91B7B"/>
    <w:rsid w:val="00E91E8A"/>
    <w:rsid w:val="00E92ACE"/>
    <w:rsid w:val="00E933B9"/>
    <w:rsid w:val="00E95E9D"/>
    <w:rsid w:val="00EA53DB"/>
    <w:rsid w:val="00EA5953"/>
    <w:rsid w:val="00EB7BD0"/>
    <w:rsid w:val="00EC5511"/>
    <w:rsid w:val="00EC5C49"/>
    <w:rsid w:val="00ED26E4"/>
    <w:rsid w:val="00ED4A10"/>
    <w:rsid w:val="00ED51BB"/>
    <w:rsid w:val="00ED51D1"/>
    <w:rsid w:val="00EE1146"/>
    <w:rsid w:val="00EE7567"/>
    <w:rsid w:val="00EE75AA"/>
    <w:rsid w:val="00EF110B"/>
    <w:rsid w:val="00EF430C"/>
    <w:rsid w:val="00EF4F35"/>
    <w:rsid w:val="00F01203"/>
    <w:rsid w:val="00F018DF"/>
    <w:rsid w:val="00F02EB9"/>
    <w:rsid w:val="00F05AD1"/>
    <w:rsid w:val="00F11E00"/>
    <w:rsid w:val="00F124E2"/>
    <w:rsid w:val="00F26455"/>
    <w:rsid w:val="00F26E84"/>
    <w:rsid w:val="00F26EB7"/>
    <w:rsid w:val="00F27EE0"/>
    <w:rsid w:val="00F35035"/>
    <w:rsid w:val="00F351F9"/>
    <w:rsid w:val="00F37DE2"/>
    <w:rsid w:val="00F4184B"/>
    <w:rsid w:val="00F43CFE"/>
    <w:rsid w:val="00F4507F"/>
    <w:rsid w:val="00F45764"/>
    <w:rsid w:val="00F4697B"/>
    <w:rsid w:val="00F510E6"/>
    <w:rsid w:val="00F560FB"/>
    <w:rsid w:val="00F60C53"/>
    <w:rsid w:val="00F63AAF"/>
    <w:rsid w:val="00F63D02"/>
    <w:rsid w:val="00F66203"/>
    <w:rsid w:val="00F7059B"/>
    <w:rsid w:val="00F75447"/>
    <w:rsid w:val="00F85306"/>
    <w:rsid w:val="00F91042"/>
    <w:rsid w:val="00F91AEC"/>
    <w:rsid w:val="00F92AD0"/>
    <w:rsid w:val="00FA533D"/>
    <w:rsid w:val="00FA778F"/>
    <w:rsid w:val="00FB2C70"/>
    <w:rsid w:val="00FB33CE"/>
    <w:rsid w:val="00FB4887"/>
    <w:rsid w:val="00FB50A1"/>
    <w:rsid w:val="00FB50C0"/>
    <w:rsid w:val="00FB778E"/>
    <w:rsid w:val="00FC0B1F"/>
    <w:rsid w:val="00FC0C33"/>
    <w:rsid w:val="00FC11C6"/>
    <w:rsid w:val="00FC17E4"/>
    <w:rsid w:val="00FC2A51"/>
    <w:rsid w:val="00FC679B"/>
    <w:rsid w:val="00FC70E7"/>
    <w:rsid w:val="00FC7AA8"/>
    <w:rsid w:val="00FD141C"/>
    <w:rsid w:val="00FD5730"/>
    <w:rsid w:val="00FD5BA7"/>
    <w:rsid w:val="00FD5DC8"/>
    <w:rsid w:val="00FE21A7"/>
    <w:rsid w:val="00FE21E7"/>
    <w:rsid w:val="00FE3BF2"/>
    <w:rsid w:val="00FE3CEA"/>
    <w:rsid w:val="00FE7701"/>
    <w:rsid w:val="00FF6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8688">
      <w:bodyDiv w:val="1"/>
      <w:marLeft w:val="0"/>
      <w:marRight w:val="0"/>
      <w:marTop w:val="0"/>
      <w:marBottom w:val="0"/>
      <w:divBdr>
        <w:top w:val="none" w:sz="0" w:space="0" w:color="auto"/>
        <w:left w:val="none" w:sz="0" w:space="0" w:color="auto"/>
        <w:bottom w:val="none" w:sz="0" w:space="0" w:color="auto"/>
        <w:right w:val="none" w:sz="0" w:space="0" w:color="auto"/>
      </w:divBdr>
    </w:div>
    <w:div w:id="53820694">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3864473">
      <w:bodyDiv w:val="1"/>
      <w:marLeft w:val="0"/>
      <w:marRight w:val="0"/>
      <w:marTop w:val="0"/>
      <w:marBottom w:val="0"/>
      <w:divBdr>
        <w:top w:val="none" w:sz="0" w:space="0" w:color="auto"/>
        <w:left w:val="none" w:sz="0" w:space="0" w:color="auto"/>
        <w:bottom w:val="none" w:sz="0" w:space="0" w:color="auto"/>
        <w:right w:val="none" w:sz="0" w:space="0" w:color="auto"/>
      </w:divBdr>
    </w:div>
    <w:div w:id="9760074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348719436">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493111530">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735206709">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874579351">
      <w:bodyDiv w:val="1"/>
      <w:marLeft w:val="0"/>
      <w:marRight w:val="0"/>
      <w:marTop w:val="0"/>
      <w:marBottom w:val="0"/>
      <w:divBdr>
        <w:top w:val="none" w:sz="0" w:space="0" w:color="auto"/>
        <w:left w:val="none" w:sz="0" w:space="0" w:color="auto"/>
        <w:bottom w:val="none" w:sz="0" w:space="0" w:color="auto"/>
        <w:right w:val="none" w:sz="0" w:space="0" w:color="auto"/>
      </w:divBdr>
    </w:div>
    <w:div w:id="967469495">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68759910">
      <w:bodyDiv w:val="1"/>
      <w:marLeft w:val="0"/>
      <w:marRight w:val="0"/>
      <w:marTop w:val="0"/>
      <w:marBottom w:val="0"/>
      <w:divBdr>
        <w:top w:val="none" w:sz="0" w:space="0" w:color="auto"/>
        <w:left w:val="none" w:sz="0" w:space="0" w:color="auto"/>
        <w:bottom w:val="none" w:sz="0" w:space="0" w:color="auto"/>
        <w:right w:val="none" w:sz="0" w:space="0" w:color="auto"/>
      </w:divBdr>
      <w:divsChild>
        <w:div w:id="2038919491">
          <w:marLeft w:val="0"/>
          <w:marRight w:val="0"/>
          <w:marTop w:val="0"/>
          <w:marBottom w:val="0"/>
          <w:divBdr>
            <w:top w:val="none" w:sz="0" w:space="0" w:color="auto"/>
            <w:left w:val="none" w:sz="0" w:space="0" w:color="auto"/>
            <w:bottom w:val="none" w:sz="0" w:space="0" w:color="auto"/>
            <w:right w:val="none" w:sz="0" w:space="0" w:color="auto"/>
          </w:divBdr>
        </w:div>
      </w:divsChild>
    </w:div>
    <w:div w:id="1611662339">
      <w:bodyDiv w:val="1"/>
      <w:marLeft w:val="0"/>
      <w:marRight w:val="0"/>
      <w:marTop w:val="0"/>
      <w:marBottom w:val="0"/>
      <w:divBdr>
        <w:top w:val="none" w:sz="0" w:space="0" w:color="auto"/>
        <w:left w:val="none" w:sz="0" w:space="0" w:color="auto"/>
        <w:bottom w:val="none" w:sz="0" w:space="0" w:color="auto"/>
        <w:right w:val="none" w:sz="0" w:space="0" w:color="auto"/>
      </w:divBdr>
      <w:divsChild>
        <w:div w:id="1442794745">
          <w:marLeft w:val="0"/>
          <w:marRight w:val="0"/>
          <w:marTop w:val="0"/>
          <w:marBottom w:val="0"/>
          <w:divBdr>
            <w:top w:val="none" w:sz="0" w:space="0" w:color="auto"/>
            <w:left w:val="none" w:sz="0" w:space="0" w:color="auto"/>
            <w:bottom w:val="none" w:sz="0" w:space="0" w:color="auto"/>
            <w:right w:val="none" w:sz="0" w:space="0" w:color="auto"/>
          </w:divBdr>
        </w:div>
      </w:divsChild>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689334071">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2670526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4219</Words>
  <Characters>23205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45</cp:revision>
  <cp:lastPrinted>2025-11-21T19:42:00Z</cp:lastPrinted>
  <dcterms:created xsi:type="dcterms:W3CDTF">2025-11-13T18:35:00Z</dcterms:created>
  <dcterms:modified xsi:type="dcterms:W3CDTF">2025-12-01T19:21:00Z</dcterms:modified>
</cp:coreProperties>
</file>