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044428FD"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0" w:name="_GoBack"/>
      <w:bookmarkEnd w:id="0"/>
      <w:r w:rsidRPr="002F1FF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554822" w:rsidRPr="002F1FF8">
        <w:rPr>
          <w:rFonts w:ascii="Palatino Linotype" w:eastAsia="Palatino Linotype" w:hAnsi="Palatino Linotype" w:cs="Palatino Linotype"/>
          <w:sz w:val="22"/>
          <w:szCs w:val="22"/>
        </w:rPr>
        <w:t xml:space="preserve"> </w:t>
      </w:r>
      <w:r w:rsidR="001A3D4C" w:rsidRPr="002F1FF8">
        <w:rPr>
          <w:rFonts w:ascii="Palatino Linotype" w:eastAsia="Palatino Linotype" w:hAnsi="Palatino Linotype" w:cs="Palatino Linotype"/>
          <w:sz w:val="22"/>
          <w:szCs w:val="22"/>
        </w:rPr>
        <w:t xml:space="preserve">diez de </w:t>
      </w:r>
      <w:r w:rsidR="00253ED3" w:rsidRPr="002F1FF8">
        <w:rPr>
          <w:rFonts w:ascii="Palatino Linotype" w:eastAsia="Palatino Linotype" w:hAnsi="Palatino Linotype" w:cs="Palatino Linotype"/>
          <w:sz w:val="22"/>
          <w:szCs w:val="22"/>
        </w:rPr>
        <w:t xml:space="preserve">diciembre </w:t>
      </w:r>
      <w:r w:rsidRPr="002F1FF8">
        <w:rPr>
          <w:rFonts w:ascii="Palatino Linotype" w:eastAsia="Palatino Linotype" w:hAnsi="Palatino Linotype" w:cs="Palatino Linotype"/>
          <w:sz w:val="22"/>
          <w:szCs w:val="22"/>
        </w:rPr>
        <w:t xml:space="preserve">de dos mil veinticinco. </w:t>
      </w:r>
    </w:p>
    <w:p w14:paraId="32D33C57" w14:textId="77F01584" w:rsidR="00694AA0" w:rsidRPr="002F1FF8"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2F1FF8">
        <w:rPr>
          <w:rFonts w:ascii="Palatino Linotype" w:eastAsia="Palatino Linotype" w:hAnsi="Palatino Linotype" w:cs="Palatino Linotype"/>
          <w:b/>
          <w:sz w:val="22"/>
          <w:szCs w:val="22"/>
        </w:rPr>
        <w:t>VISTO</w:t>
      </w:r>
      <w:r w:rsidRPr="002F1FF8">
        <w:rPr>
          <w:rFonts w:ascii="Palatino Linotype" w:eastAsia="Palatino Linotype" w:hAnsi="Palatino Linotype" w:cs="Palatino Linotype"/>
          <w:sz w:val="22"/>
          <w:szCs w:val="22"/>
        </w:rPr>
        <w:t xml:space="preserve"> el expediente formado con motivo del recurso de revisión </w:t>
      </w:r>
      <w:r w:rsidR="001A3D4C" w:rsidRPr="002F1FF8">
        <w:rPr>
          <w:rFonts w:ascii="Palatino Linotype" w:eastAsia="Palatino Linotype" w:hAnsi="Palatino Linotype" w:cs="Palatino Linotype"/>
          <w:b/>
          <w:sz w:val="22"/>
          <w:szCs w:val="22"/>
        </w:rPr>
        <w:t>10979</w:t>
      </w:r>
      <w:r w:rsidRPr="002F1FF8">
        <w:rPr>
          <w:rFonts w:ascii="Palatino Linotype" w:eastAsia="Palatino Linotype" w:hAnsi="Palatino Linotype" w:cs="Palatino Linotype"/>
          <w:b/>
          <w:sz w:val="22"/>
          <w:szCs w:val="22"/>
        </w:rPr>
        <w:t>/INFOEM/IP/RR/2025</w:t>
      </w:r>
      <w:r w:rsidRPr="002F1FF8">
        <w:rPr>
          <w:rFonts w:ascii="Palatino Linotype" w:eastAsia="Palatino Linotype" w:hAnsi="Palatino Linotype" w:cs="Palatino Linotype"/>
          <w:sz w:val="22"/>
          <w:szCs w:val="22"/>
        </w:rPr>
        <w:t>, interpuesto por</w:t>
      </w:r>
      <w:r w:rsidRPr="002F1FF8">
        <w:rPr>
          <w:rFonts w:ascii="Palatino Linotype" w:eastAsia="Palatino Linotype" w:hAnsi="Palatino Linotype" w:cs="Palatino Linotype"/>
          <w:b/>
          <w:sz w:val="22"/>
          <w:szCs w:val="22"/>
        </w:rPr>
        <w:t xml:space="preserve"> </w:t>
      </w:r>
      <w:r w:rsidR="001A3D4C" w:rsidRPr="002F1FF8">
        <w:rPr>
          <w:rFonts w:ascii="Palatino Linotype" w:eastAsia="Palatino Linotype" w:hAnsi="Palatino Linotype" w:cs="Palatino Linotype"/>
          <w:b/>
          <w:sz w:val="22"/>
          <w:szCs w:val="22"/>
        </w:rPr>
        <w:t>una persona que no proporcionó nombre o seudónimo,</w:t>
      </w:r>
      <w:r w:rsidRPr="002F1FF8">
        <w:rPr>
          <w:rFonts w:ascii="Palatino Linotype" w:eastAsia="Palatino Linotype" w:hAnsi="Palatino Linotype" w:cs="Palatino Linotype"/>
          <w:sz w:val="22"/>
          <w:szCs w:val="22"/>
        </w:rPr>
        <w:t xml:space="preserve"> en lo sucesivo</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 xml:space="preserve">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 xml:space="preserve"> en contra de la respuesta a la solicitud de información con número de folio</w:t>
      </w:r>
      <w:r w:rsidRPr="002F1FF8">
        <w:rPr>
          <w:rFonts w:ascii="Palatino Linotype" w:eastAsia="Palatino Linotype" w:hAnsi="Palatino Linotype" w:cs="Palatino Linotype"/>
          <w:b/>
          <w:sz w:val="22"/>
          <w:szCs w:val="22"/>
        </w:rPr>
        <w:t xml:space="preserve"> </w:t>
      </w:r>
      <w:r w:rsidR="001A3D4C" w:rsidRPr="002F1FF8">
        <w:rPr>
          <w:rFonts w:ascii="Palatino Linotype" w:eastAsia="Palatino Linotype" w:hAnsi="Palatino Linotype" w:cs="Palatino Linotype"/>
          <w:b/>
          <w:sz w:val="22"/>
          <w:szCs w:val="22"/>
        </w:rPr>
        <w:t>04423/TOLUCA/IP/2025</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 xml:space="preserve">por parte del </w:t>
      </w:r>
      <w:r w:rsidR="009502ED" w:rsidRPr="002F1FF8">
        <w:rPr>
          <w:rFonts w:ascii="Palatino Linotype" w:eastAsia="Palatino Linotype" w:hAnsi="Palatino Linotype" w:cs="Palatino Linotype"/>
          <w:b/>
          <w:sz w:val="22"/>
          <w:szCs w:val="22"/>
        </w:rPr>
        <w:t>Ayuntamiento de Toluca</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 xml:space="preserve">en lo sucesivo 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2F1FF8" w:rsidRDefault="005B22BA">
      <w:pPr>
        <w:spacing w:before="240" w:after="240" w:line="360" w:lineRule="auto"/>
        <w:jc w:val="center"/>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I. A N T E C E D E N T E S</w:t>
      </w:r>
    </w:p>
    <w:p w14:paraId="68695096" w14:textId="77586C8A"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2F1FF8">
        <w:rPr>
          <w:rFonts w:ascii="Palatino Linotype" w:eastAsia="Palatino Linotype" w:hAnsi="Palatino Linotype" w:cs="Palatino Linotype"/>
          <w:b/>
          <w:sz w:val="22"/>
          <w:szCs w:val="22"/>
        </w:rPr>
        <w:t>1. Solicitud de acceso a la información.</w:t>
      </w:r>
      <w:r w:rsidRPr="002F1FF8">
        <w:rPr>
          <w:rFonts w:ascii="Palatino Linotype" w:eastAsia="Palatino Linotype" w:hAnsi="Palatino Linotype" w:cs="Palatino Linotype"/>
          <w:sz w:val="22"/>
          <w:szCs w:val="22"/>
        </w:rPr>
        <w:t xml:space="preserve"> El </w:t>
      </w:r>
      <w:r w:rsidR="001A3D4C" w:rsidRPr="002F1FF8">
        <w:rPr>
          <w:rFonts w:ascii="Palatino Linotype" w:eastAsia="Palatino Linotype" w:hAnsi="Palatino Linotype" w:cs="Palatino Linotype"/>
          <w:b/>
          <w:sz w:val="22"/>
          <w:szCs w:val="22"/>
        </w:rPr>
        <w:t xml:space="preserve">tres </w:t>
      </w:r>
      <w:r w:rsidR="00554822" w:rsidRPr="002F1FF8">
        <w:rPr>
          <w:rFonts w:ascii="Palatino Linotype" w:eastAsia="Palatino Linotype" w:hAnsi="Palatino Linotype" w:cs="Palatino Linotype"/>
          <w:b/>
          <w:sz w:val="22"/>
          <w:szCs w:val="22"/>
        </w:rPr>
        <w:t xml:space="preserve">de septiembre </w:t>
      </w:r>
      <w:r w:rsidR="009502ED" w:rsidRPr="002F1FF8">
        <w:rPr>
          <w:rFonts w:ascii="Palatino Linotype" w:eastAsia="Palatino Linotype" w:hAnsi="Palatino Linotype" w:cs="Palatino Linotype"/>
          <w:b/>
          <w:sz w:val="22"/>
          <w:szCs w:val="22"/>
        </w:rPr>
        <w:t>de</w:t>
      </w:r>
      <w:r w:rsidRPr="002F1FF8">
        <w:rPr>
          <w:rFonts w:ascii="Palatino Linotype" w:eastAsia="Palatino Linotype" w:hAnsi="Palatino Linotype" w:cs="Palatino Linotype"/>
          <w:b/>
          <w:sz w:val="22"/>
          <w:szCs w:val="22"/>
        </w:rPr>
        <w:t xml:space="preserve"> dos mil veinticinco,</w:t>
      </w:r>
      <w:r w:rsidRPr="002F1FF8">
        <w:rPr>
          <w:rFonts w:ascii="Palatino Linotype" w:eastAsia="Palatino Linotype" w:hAnsi="Palatino Linotype" w:cs="Palatino Linotype"/>
          <w:sz w:val="22"/>
          <w:szCs w:val="22"/>
        </w:rPr>
        <w:t xml:space="preserve"> la parte </w:t>
      </w:r>
      <w:r w:rsidRPr="002F1FF8">
        <w:rPr>
          <w:rFonts w:ascii="Palatino Linotype" w:eastAsia="Palatino Linotype" w:hAnsi="Palatino Linotype" w:cs="Palatino Linotype"/>
          <w:b/>
          <w:sz w:val="22"/>
          <w:szCs w:val="22"/>
        </w:rPr>
        <w:t xml:space="preserve">Recurrente </w:t>
      </w:r>
      <w:r w:rsidRPr="002F1FF8">
        <w:rPr>
          <w:rFonts w:ascii="Palatino Linotype" w:eastAsia="Palatino Linotype" w:hAnsi="Palatino Linotype" w:cs="Palatino Linotype"/>
          <w:sz w:val="22"/>
          <w:szCs w:val="22"/>
        </w:rPr>
        <w:t xml:space="preserve">presentó la solicitud de acceso a la información pública ante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a través del Sistema de Acceso a la Información Mexiquense, en lo subsecuente el </w:t>
      </w:r>
      <w:r w:rsidRPr="002F1FF8">
        <w:rPr>
          <w:rFonts w:ascii="Palatino Linotype" w:eastAsia="Palatino Linotype" w:hAnsi="Palatino Linotype" w:cs="Palatino Linotype"/>
          <w:b/>
          <w:sz w:val="22"/>
          <w:szCs w:val="22"/>
        </w:rPr>
        <w:t>SAIMEX,</w:t>
      </w:r>
      <w:r w:rsidRPr="002F1FF8">
        <w:rPr>
          <w:rFonts w:ascii="Palatino Linotype" w:eastAsia="Palatino Linotype" w:hAnsi="Palatino Linotype" w:cs="Palatino Linotype"/>
          <w:sz w:val="22"/>
          <w:szCs w:val="22"/>
        </w:rPr>
        <w:t xml:space="preserve"> mediante la cual requirió lo siguiente:</w:t>
      </w:r>
    </w:p>
    <w:p w14:paraId="2B457E68" w14:textId="7CC76D68" w:rsidR="00694AA0" w:rsidRPr="002F1FF8" w:rsidRDefault="005B22BA">
      <w:pPr>
        <w:spacing w:before="120" w:after="120"/>
        <w:ind w:left="851" w:right="902"/>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i/>
          <w:sz w:val="22"/>
          <w:szCs w:val="22"/>
        </w:rPr>
        <w:t xml:space="preserve"> “</w:t>
      </w:r>
      <w:r w:rsidR="001A3D4C" w:rsidRPr="002F1FF8">
        <w:rPr>
          <w:rFonts w:ascii="Palatino Linotype" w:eastAsia="Palatino Linotype" w:hAnsi="Palatino Linotype" w:cs="Palatino Linotype"/>
          <w:i/>
          <w:sz w:val="22"/>
          <w:szCs w:val="22"/>
        </w:rPr>
        <w:t>Quiero saber el costo de los conciertos que realizarán Amanda Miguel y Gloria Trevi en la Feria del Alfeñique</w:t>
      </w:r>
      <w:r w:rsidRPr="002F1FF8">
        <w:rPr>
          <w:rFonts w:ascii="Palatino Linotype" w:eastAsia="Palatino Linotype" w:hAnsi="Palatino Linotype" w:cs="Palatino Linotype"/>
          <w:b/>
          <w:i/>
          <w:sz w:val="22"/>
          <w:szCs w:val="22"/>
        </w:rPr>
        <w:t>”</w:t>
      </w:r>
      <w:r w:rsidRPr="002F1FF8">
        <w:rPr>
          <w:rFonts w:ascii="Palatino Linotype" w:eastAsia="Palatino Linotype" w:hAnsi="Palatino Linotype" w:cs="Palatino Linotype"/>
          <w:i/>
          <w:sz w:val="22"/>
          <w:szCs w:val="22"/>
        </w:rPr>
        <w:t xml:space="preserve"> (sic) </w:t>
      </w:r>
    </w:p>
    <w:p w14:paraId="240F358C"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2F1FF8">
        <w:rPr>
          <w:rFonts w:ascii="Palatino Linotype" w:eastAsia="Palatino Linotype" w:hAnsi="Palatino Linotype" w:cs="Palatino Linotype"/>
          <w:b/>
          <w:sz w:val="22"/>
          <w:szCs w:val="22"/>
        </w:rPr>
        <w:t>Modalidad de Entrega:</w:t>
      </w:r>
      <w:r w:rsidRPr="002F1FF8">
        <w:rPr>
          <w:rFonts w:ascii="Palatino Linotype" w:eastAsia="Palatino Linotype" w:hAnsi="Palatino Linotype" w:cs="Palatino Linotype"/>
          <w:sz w:val="22"/>
          <w:szCs w:val="22"/>
        </w:rPr>
        <w:t xml:space="preserve"> a través del</w:t>
      </w:r>
      <w:r w:rsidRPr="002F1FF8">
        <w:rPr>
          <w:rFonts w:ascii="Palatino Linotype" w:eastAsia="Palatino Linotype" w:hAnsi="Palatino Linotype" w:cs="Palatino Linotype"/>
          <w:b/>
          <w:sz w:val="22"/>
          <w:szCs w:val="22"/>
        </w:rPr>
        <w:t xml:space="preserve"> SAIMEX.</w:t>
      </w:r>
    </w:p>
    <w:p w14:paraId="7686068F" w14:textId="48FEE7FB"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2. Respuesta. </w:t>
      </w:r>
      <w:r w:rsidRPr="002F1FF8">
        <w:rPr>
          <w:rFonts w:ascii="Palatino Linotype" w:eastAsia="Palatino Linotype" w:hAnsi="Palatino Linotype" w:cs="Palatino Linotype"/>
          <w:sz w:val="22"/>
          <w:szCs w:val="22"/>
        </w:rPr>
        <w:t xml:space="preserve">El </w:t>
      </w:r>
      <w:r w:rsidR="001A3D4C" w:rsidRPr="002F1FF8">
        <w:rPr>
          <w:rFonts w:ascii="Palatino Linotype" w:eastAsia="Palatino Linotype" w:hAnsi="Palatino Linotype" w:cs="Palatino Linotype"/>
          <w:b/>
          <w:sz w:val="22"/>
          <w:szCs w:val="22"/>
        </w:rPr>
        <w:t xml:space="preserve">veintitrés de septiembre </w:t>
      </w:r>
      <w:r w:rsidRPr="002F1FF8">
        <w:rPr>
          <w:rFonts w:ascii="Palatino Linotype" w:eastAsia="Palatino Linotype" w:hAnsi="Palatino Linotype" w:cs="Palatino Linotype"/>
          <w:b/>
          <w:sz w:val="22"/>
          <w:szCs w:val="22"/>
        </w:rPr>
        <w:t>de dos mil veinticinco,</w:t>
      </w:r>
      <w:r w:rsidRPr="002F1FF8">
        <w:rPr>
          <w:rFonts w:ascii="Palatino Linotype" w:eastAsia="Palatino Linotype" w:hAnsi="Palatino Linotype" w:cs="Palatino Linotype"/>
          <w:sz w:val="22"/>
          <w:szCs w:val="22"/>
        </w:rPr>
        <w:t xml:space="preserve"> 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2411DC39" w:rsidR="00694AA0" w:rsidRPr="002F1FF8" w:rsidRDefault="005B22BA">
      <w:pPr>
        <w:spacing w:before="240" w:after="24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001A3D4C" w:rsidRPr="002F1FF8">
        <w:rPr>
          <w:rFonts w:ascii="Palatino Linotype" w:eastAsia="Palatino Linotype" w:hAnsi="Palatino Linotype" w:cs="Palatino Linotype"/>
          <w:i/>
          <w:sz w:val="22"/>
          <w:szCs w:val="22"/>
        </w:rPr>
        <w:t>En atención a la solicitud con folio 04423/TOLUCA/IP/2025, me permito adjuntar al presente la respuesta correspondiente, Sin más por el momento, reciba un saludo.</w:t>
      </w:r>
      <w:r w:rsidRPr="002F1FF8">
        <w:rPr>
          <w:rFonts w:ascii="Palatino Linotype" w:eastAsia="Palatino Linotype" w:hAnsi="Palatino Linotype" w:cs="Palatino Linotype"/>
          <w:i/>
          <w:sz w:val="22"/>
          <w:szCs w:val="22"/>
        </w:rPr>
        <w:t>..” (sic)</w:t>
      </w:r>
    </w:p>
    <w:p w14:paraId="0F1E2F82" w14:textId="77777777" w:rsidR="00694AA0" w:rsidRPr="002F1FF8" w:rsidRDefault="005B22BA">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lastRenderedPageBreak/>
        <w:t xml:space="preserve">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adjuntó lo siguiente:</w:t>
      </w:r>
    </w:p>
    <w:p w14:paraId="5AF97206" w14:textId="4F1BF48C" w:rsidR="00BB3325" w:rsidRPr="002F1FF8" w:rsidRDefault="005B22BA">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Oficio número </w:t>
      </w:r>
      <w:r w:rsidR="001A3D4C" w:rsidRPr="002F1FF8">
        <w:rPr>
          <w:rFonts w:ascii="Palatino Linotype" w:eastAsia="Palatino Linotype" w:hAnsi="Palatino Linotype" w:cs="Palatino Linotype"/>
          <w:sz w:val="22"/>
          <w:szCs w:val="22"/>
        </w:rPr>
        <w:t>202010000/03053/202</w:t>
      </w:r>
      <w:r w:rsidR="00554822" w:rsidRPr="002F1FF8">
        <w:rPr>
          <w:rFonts w:ascii="Palatino Linotype" w:eastAsia="Palatino Linotype" w:hAnsi="Palatino Linotype" w:cs="Palatino Linotype"/>
          <w:sz w:val="22"/>
          <w:szCs w:val="22"/>
        </w:rPr>
        <w:t>,</w:t>
      </w:r>
      <w:r w:rsidR="00EA2309" w:rsidRPr="002F1FF8">
        <w:rPr>
          <w:rFonts w:ascii="Palatino Linotype" w:eastAsia="Palatino Linotype" w:hAnsi="Palatino Linotype" w:cs="Palatino Linotype"/>
          <w:sz w:val="22"/>
          <w:szCs w:val="22"/>
        </w:rPr>
        <w:t xml:space="preserve"> mediante el cual </w:t>
      </w:r>
      <w:r w:rsidR="002361D4" w:rsidRPr="002F1FF8">
        <w:rPr>
          <w:rFonts w:ascii="Palatino Linotype" w:eastAsia="Palatino Linotype" w:hAnsi="Palatino Linotype" w:cs="Palatino Linotype"/>
          <w:sz w:val="22"/>
          <w:szCs w:val="22"/>
        </w:rPr>
        <w:t xml:space="preserve">el Tesorero Municipal </w:t>
      </w:r>
      <w:r w:rsidR="00BB3325" w:rsidRPr="002F1FF8">
        <w:rPr>
          <w:rFonts w:ascii="Palatino Linotype" w:eastAsia="Palatino Linotype" w:hAnsi="Palatino Linotype" w:cs="Palatino Linotype"/>
          <w:sz w:val="22"/>
          <w:szCs w:val="22"/>
        </w:rPr>
        <w:t xml:space="preserve">manifestó que </w:t>
      </w:r>
      <w:r w:rsidR="00BB3325" w:rsidRPr="002F1FF8">
        <w:rPr>
          <w:rFonts w:ascii="Palatino Linotype" w:hAnsi="Palatino Linotype"/>
          <w:sz w:val="22"/>
          <w:szCs w:val="22"/>
        </w:rPr>
        <w:t>no cuenta con la información solicitada al formar parte de la integración del tercero y cuarto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fueron emitidos por el OSFEM el día 01 de abril de 2025.</w:t>
      </w:r>
    </w:p>
    <w:p w14:paraId="373D9D0D" w14:textId="7649C643" w:rsidR="000778D1" w:rsidRPr="002F1FF8" w:rsidRDefault="000778D1">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Asimismo, refirió </w:t>
      </w:r>
      <w:r w:rsidR="00A12096" w:rsidRPr="002F1FF8">
        <w:rPr>
          <w:rFonts w:ascii="Palatino Linotype" w:eastAsia="Palatino Linotype" w:hAnsi="Palatino Linotype" w:cs="Palatino Linotype"/>
          <w:sz w:val="22"/>
          <w:szCs w:val="22"/>
        </w:rPr>
        <w:t xml:space="preserve">anexar el </w:t>
      </w:r>
      <w:r w:rsidR="00A12096" w:rsidRPr="002F1FF8">
        <w:rPr>
          <w:rFonts w:ascii="Palatino Linotype" w:hAnsi="Palatino Linotype"/>
          <w:sz w:val="22"/>
          <w:szCs w:val="22"/>
        </w:rPr>
        <w:t xml:space="preserve">Acuerdo 7/2025 publicado por el OSFEM por el que se emiten los lineamientos, fechas de capacitación y calendarización para la integración y presentación de los informes trimestrales estatales y municipales, establecidos en el anexo 1 de dicho acuerdo, y el link para acceder a la página oficial del Órgano Superior de Fiscalización del Estado de México, en el apartado de Lineamientos, componentes informes trimestrales, mismo que fue proporcionado en formato cerrado. </w:t>
      </w:r>
    </w:p>
    <w:p w14:paraId="2166B49F" w14:textId="73638048" w:rsidR="00694AA0" w:rsidRPr="002F1FF8" w:rsidRDefault="005B22BA">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3. Interposición del recurso de revisión. </w:t>
      </w:r>
      <w:r w:rsidRPr="002F1FF8">
        <w:rPr>
          <w:rFonts w:ascii="Palatino Linotype" w:eastAsia="Palatino Linotype" w:hAnsi="Palatino Linotype" w:cs="Palatino Linotype"/>
          <w:sz w:val="22"/>
          <w:szCs w:val="22"/>
        </w:rPr>
        <w:t xml:space="preserve">Inconforme con los términos de la respuesta emitida por parte del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el </w:t>
      </w:r>
      <w:r w:rsidR="0034618D" w:rsidRPr="002F1FF8">
        <w:rPr>
          <w:rFonts w:ascii="Palatino Linotype" w:eastAsia="Palatino Linotype" w:hAnsi="Palatino Linotype" w:cs="Palatino Linotype"/>
          <w:b/>
          <w:sz w:val="22"/>
          <w:szCs w:val="22"/>
        </w:rPr>
        <w:t xml:space="preserve">veinticuatro de septiembre </w:t>
      </w:r>
      <w:r w:rsidRPr="002F1FF8">
        <w:rPr>
          <w:rFonts w:ascii="Palatino Linotype" w:eastAsia="Palatino Linotype" w:hAnsi="Palatino Linotype" w:cs="Palatino Linotype"/>
          <w:b/>
          <w:sz w:val="22"/>
          <w:szCs w:val="22"/>
        </w:rPr>
        <w:t>de dos mil veinticinco,</w:t>
      </w:r>
      <w:r w:rsidRPr="002F1FF8">
        <w:rPr>
          <w:rFonts w:ascii="Palatino Linotype" w:eastAsia="Palatino Linotype" w:hAnsi="Palatino Linotype" w:cs="Palatino Linotype"/>
          <w:sz w:val="22"/>
          <w:szCs w:val="22"/>
        </w:rPr>
        <w:t xml:space="preserve"> 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 xml:space="preserve"> interpuso el recurso de revisión a través de </w:t>
      </w:r>
      <w:r w:rsidRPr="002F1FF8">
        <w:rPr>
          <w:rFonts w:ascii="Palatino Linotype" w:eastAsia="Palatino Linotype" w:hAnsi="Palatino Linotype" w:cs="Palatino Linotype"/>
          <w:b/>
          <w:sz w:val="22"/>
          <w:szCs w:val="22"/>
        </w:rPr>
        <w:t xml:space="preserve">SAIMEX, </w:t>
      </w:r>
      <w:r w:rsidRPr="002F1FF8">
        <w:rPr>
          <w:rFonts w:ascii="Palatino Linotype" w:eastAsia="Palatino Linotype" w:hAnsi="Palatino Linotype" w:cs="Palatino Linotype"/>
          <w:sz w:val="22"/>
          <w:szCs w:val="22"/>
        </w:rPr>
        <w:t>en donde se manifestó de la siguiente manera:</w:t>
      </w:r>
    </w:p>
    <w:p w14:paraId="7C2BF786" w14:textId="77777777" w:rsidR="00694AA0" w:rsidRPr="002F1FF8" w:rsidRDefault="005B22BA">
      <w:pPr>
        <w:spacing w:before="240" w:after="240" w:line="360" w:lineRule="auto"/>
        <w:ind w:right="49"/>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 xml:space="preserve">Acto impugnado: </w:t>
      </w:r>
    </w:p>
    <w:p w14:paraId="3DC3BF9F" w14:textId="5ADA0924" w:rsidR="00694AA0" w:rsidRPr="002F1FF8" w:rsidRDefault="005B22BA" w:rsidP="009C1FBD">
      <w:pPr>
        <w:ind w:left="851" w:right="900"/>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0034618D" w:rsidRPr="002F1FF8">
        <w:rPr>
          <w:rFonts w:ascii="Palatino Linotype" w:eastAsia="Palatino Linotype" w:hAnsi="Palatino Linotype" w:cs="Palatino Linotype"/>
          <w:i/>
          <w:sz w:val="22"/>
          <w:szCs w:val="22"/>
        </w:rPr>
        <w:t>Mencionan que esta en un link la información, sin embargo la información no se encuentra en ese liga</w:t>
      </w:r>
      <w:r w:rsidRPr="002F1FF8">
        <w:rPr>
          <w:rFonts w:ascii="Palatino Linotype" w:eastAsia="Palatino Linotype" w:hAnsi="Palatino Linotype" w:cs="Palatino Linotype"/>
          <w:i/>
          <w:sz w:val="22"/>
          <w:szCs w:val="22"/>
        </w:rPr>
        <w:t>” (sic)</w:t>
      </w:r>
    </w:p>
    <w:p w14:paraId="199B1EFD" w14:textId="77777777" w:rsidR="00694AA0" w:rsidRPr="002F1FF8" w:rsidRDefault="005B22BA">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2F1FF8">
        <w:rPr>
          <w:rFonts w:ascii="Palatino Linotype" w:eastAsia="Palatino Linotype" w:hAnsi="Palatino Linotype" w:cs="Palatino Linotype"/>
          <w:b/>
          <w:sz w:val="22"/>
          <w:szCs w:val="22"/>
        </w:rPr>
        <w:t>Y, Razones o motivos de inconformidad</w:t>
      </w:r>
      <w:r w:rsidRPr="002F1FF8">
        <w:rPr>
          <w:rFonts w:ascii="Palatino Linotype" w:eastAsia="Palatino Linotype" w:hAnsi="Palatino Linotype" w:cs="Palatino Linotype"/>
          <w:sz w:val="22"/>
          <w:szCs w:val="22"/>
        </w:rPr>
        <w:t>:</w:t>
      </w:r>
    </w:p>
    <w:p w14:paraId="6F009CC9" w14:textId="7A30A190" w:rsidR="00694AA0" w:rsidRPr="002F1FF8"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0034618D" w:rsidRPr="002F1FF8">
        <w:rPr>
          <w:rFonts w:ascii="Palatino Linotype" w:eastAsia="Palatino Linotype" w:hAnsi="Palatino Linotype" w:cs="Palatino Linotype"/>
          <w:i/>
          <w:sz w:val="22"/>
          <w:szCs w:val="22"/>
        </w:rPr>
        <w:t>Mencionan que esta en un link la información, sin embargo la información no se encuentra en ese liga ni la información de los costos</w:t>
      </w:r>
      <w:r w:rsidRPr="002F1FF8">
        <w:rPr>
          <w:rFonts w:ascii="Palatino Linotype" w:eastAsia="Palatino Linotype" w:hAnsi="Palatino Linotype" w:cs="Palatino Linotype"/>
          <w:i/>
          <w:sz w:val="22"/>
          <w:szCs w:val="22"/>
        </w:rPr>
        <w:t xml:space="preserve"> (sic)</w:t>
      </w:r>
    </w:p>
    <w:p w14:paraId="261ADACC" w14:textId="7FBDEAF0" w:rsidR="00CC3687" w:rsidRPr="002F1FF8" w:rsidRDefault="00CC3687">
      <w:pPr>
        <w:spacing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sz w:val="22"/>
          <w:szCs w:val="22"/>
        </w:rPr>
        <w:lastRenderedPageBreak/>
        <w:t xml:space="preserve">La parte </w:t>
      </w:r>
      <w:r w:rsidRPr="002F1FF8">
        <w:rPr>
          <w:rFonts w:ascii="Palatino Linotype" w:eastAsia="Palatino Linotype" w:hAnsi="Palatino Linotype" w:cs="Palatino Linotype"/>
          <w:b/>
          <w:sz w:val="22"/>
          <w:szCs w:val="22"/>
        </w:rPr>
        <w:t xml:space="preserve">Recurrente </w:t>
      </w:r>
      <w:r w:rsidR="00253ED3" w:rsidRPr="002F1FF8">
        <w:rPr>
          <w:rFonts w:ascii="Palatino Linotype" w:eastAsia="Palatino Linotype" w:hAnsi="Palatino Linotype" w:cs="Palatino Linotype"/>
          <w:sz w:val="22"/>
          <w:szCs w:val="22"/>
        </w:rPr>
        <w:t>adjuntó</w:t>
      </w:r>
      <w:r w:rsidR="009952D9" w:rsidRPr="002F1FF8">
        <w:rPr>
          <w:rFonts w:ascii="Palatino Linotype" w:eastAsia="Palatino Linotype" w:hAnsi="Palatino Linotype" w:cs="Palatino Linotype"/>
          <w:sz w:val="22"/>
          <w:szCs w:val="22"/>
        </w:rPr>
        <w:t xml:space="preserve"> la captura de pantalla de la página electrónica proporcionada por el </w:t>
      </w:r>
      <w:r w:rsidR="009952D9" w:rsidRPr="002F1FF8">
        <w:rPr>
          <w:rFonts w:ascii="Palatino Linotype" w:eastAsia="Palatino Linotype" w:hAnsi="Palatino Linotype" w:cs="Palatino Linotype"/>
          <w:b/>
          <w:sz w:val="22"/>
          <w:szCs w:val="22"/>
        </w:rPr>
        <w:t>Sujeto Obligado.</w:t>
      </w:r>
    </w:p>
    <w:p w14:paraId="45E535CC" w14:textId="77777777" w:rsidR="00253ED3" w:rsidRPr="002F1FF8" w:rsidRDefault="00253ED3">
      <w:pPr>
        <w:spacing w:line="360" w:lineRule="auto"/>
        <w:jc w:val="both"/>
        <w:rPr>
          <w:rFonts w:ascii="Palatino Linotype" w:eastAsia="Palatino Linotype" w:hAnsi="Palatino Linotype" w:cs="Palatino Linotype"/>
          <w:sz w:val="22"/>
          <w:szCs w:val="22"/>
        </w:rPr>
      </w:pPr>
    </w:p>
    <w:p w14:paraId="058BB2CD" w14:textId="77777777" w:rsidR="00694AA0" w:rsidRPr="002F1FF8" w:rsidRDefault="005B22BA">
      <w:pPr>
        <w:spacing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4. Turno. </w:t>
      </w:r>
      <w:r w:rsidRPr="002F1FF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F1FF8">
        <w:rPr>
          <w:rFonts w:ascii="Palatino Linotype" w:eastAsia="Palatino Linotype" w:hAnsi="Palatino Linotype" w:cs="Palatino Linotype"/>
          <w:b/>
          <w:sz w:val="22"/>
          <w:szCs w:val="22"/>
        </w:rPr>
        <w:t xml:space="preserve">Guadalupe Ramírez Peña, </w:t>
      </w:r>
      <w:r w:rsidRPr="002F1FF8">
        <w:rPr>
          <w:rFonts w:ascii="Palatino Linotype" w:eastAsia="Palatino Linotype" w:hAnsi="Palatino Linotype" w:cs="Palatino Linotype"/>
          <w:sz w:val="22"/>
          <w:szCs w:val="22"/>
        </w:rPr>
        <w:t>a efecto de que analizara sobre su admisión o su desechamiento.</w:t>
      </w:r>
    </w:p>
    <w:p w14:paraId="5B57059D" w14:textId="51DFB093" w:rsidR="00694AA0" w:rsidRPr="002F1FF8" w:rsidRDefault="005B22BA">
      <w:pPr>
        <w:spacing w:before="240" w:after="240"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5. Admisión del Recurso de revisión.</w:t>
      </w:r>
      <w:r w:rsidRPr="002F1FF8">
        <w:rPr>
          <w:rFonts w:ascii="Palatino Linotype" w:eastAsia="Palatino Linotype" w:hAnsi="Palatino Linotype" w:cs="Palatino Linotype"/>
          <w:sz w:val="22"/>
          <w:szCs w:val="22"/>
        </w:rPr>
        <w:t xml:space="preserve"> El</w:t>
      </w:r>
      <w:r w:rsidRPr="002F1FF8">
        <w:rPr>
          <w:rFonts w:ascii="Palatino Linotype" w:eastAsia="Palatino Linotype" w:hAnsi="Palatino Linotype" w:cs="Palatino Linotype"/>
          <w:b/>
          <w:sz w:val="22"/>
          <w:szCs w:val="22"/>
        </w:rPr>
        <w:t xml:space="preserve"> </w:t>
      </w:r>
      <w:r w:rsidR="0034618D" w:rsidRPr="002F1FF8">
        <w:rPr>
          <w:rFonts w:ascii="Palatino Linotype" w:eastAsia="Palatino Linotype" w:hAnsi="Palatino Linotype" w:cs="Palatino Linotype"/>
          <w:b/>
          <w:sz w:val="22"/>
          <w:szCs w:val="22"/>
        </w:rPr>
        <w:t>veintinueve de septiembre</w:t>
      </w:r>
      <w:r w:rsidRPr="002F1FF8">
        <w:rPr>
          <w:rFonts w:ascii="Palatino Linotype" w:eastAsia="Palatino Linotype" w:hAnsi="Palatino Linotype" w:cs="Palatino Linotype"/>
          <w:b/>
          <w:sz w:val="22"/>
          <w:szCs w:val="22"/>
        </w:rPr>
        <w:t xml:space="preserve"> de dos mil veinticinco, </w:t>
      </w:r>
      <w:r w:rsidRPr="002F1FF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presentara su informe justificado.</w:t>
      </w:r>
    </w:p>
    <w:p w14:paraId="4334C9CE" w14:textId="1553AA4A" w:rsidR="009C1FBD" w:rsidRPr="002F1FF8" w:rsidRDefault="005B22BA">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2F1FF8">
        <w:rPr>
          <w:rFonts w:ascii="Palatino Linotype" w:eastAsia="Palatino Linotype" w:hAnsi="Palatino Linotype" w:cs="Palatino Linotype"/>
          <w:b/>
          <w:sz w:val="22"/>
          <w:szCs w:val="22"/>
        </w:rPr>
        <w:t>6. Manifestaciones</w:t>
      </w:r>
      <w:r w:rsidRPr="002F1FF8">
        <w:rPr>
          <w:rFonts w:ascii="Palatino Linotype" w:eastAsia="Palatino Linotype" w:hAnsi="Palatino Linotype" w:cs="Palatino Linotype"/>
          <w:sz w:val="22"/>
          <w:szCs w:val="22"/>
        </w:rPr>
        <w:t xml:space="preserve">. El </w:t>
      </w:r>
      <w:r w:rsidR="008F5E0C" w:rsidRPr="002F1FF8">
        <w:rPr>
          <w:rFonts w:ascii="Palatino Linotype" w:eastAsia="Palatino Linotype" w:hAnsi="Palatino Linotype" w:cs="Palatino Linotype"/>
          <w:b/>
          <w:bCs/>
          <w:sz w:val="22"/>
          <w:szCs w:val="22"/>
        </w:rPr>
        <w:t xml:space="preserve">ocho de octubre </w:t>
      </w:r>
      <w:r w:rsidR="009C1FBD" w:rsidRPr="002F1FF8">
        <w:rPr>
          <w:rFonts w:ascii="Palatino Linotype" w:eastAsia="Palatino Linotype" w:hAnsi="Palatino Linotype" w:cs="Palatino Linotype"/>
          <w:b/>
          <w:bCs/>
          <w:sz w:val="22"/>
          <w:szCs w:val="22"/>
        </w:rPr>
        <w:t>de</w:t>
      </w:r>
      <w:r w:rsidR="009C1FBD"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sz w:val="22"/>
          <w:szCs w:val="22"/>
        </w:rPr>
        <w:t>dos mil veinticinco</w:t>
      </w:r>
      <w:r w:rsidRPr="002F1FF8">
        <w:rPr>
          <w:rFonts w:ascii="Palatino Linotype" w:eastAsia="Palatino Linotype" w:hAnsi="Palatino Linotype" w:cs="Palatino Linotype"/>
          <w:sz w:val="22"/>
          <w:szCs w:val="22"/>
        </w:rPr>
        <w:t xml:space="preserve">,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remitió, a través del SAIMEX</w:t>
      </w:r>
      <w:r w:rsidR="009C1FBD" w:rsidRPr="002F1FF8">
        <w:rPr>
          <w:rFonts w:ascii="Palatino Linotype" w:eastAsia="Palatino Linotype" w:hAnsi="Palatino Linotype" w:cs="Palatino Linotype"/>
          <w:sz w:val="22"/>
          <w:szCs w:val="22"/>
        </w:rPr>
        <w:t xml:space="preserve"> lo siguiente:</w:t>
      </w:r>
    </w:p>
    <w:p w14:paraId="039348B6" w14:textId="4E06D016" w:rsidR="009F5343" w:rsidRPr="002F1FF8" w:rsidRDefault="009F5343">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Escrito mediante el cual el titular </w:t>
      </w:r>
      <w:r w:rsidR="006E15E3" w:rsidRPr="002F1FF8">
        <w:rPr>
          <w:rFonts w:ascii="Palatino Linotype" w:eastAsia="Palatino Linotype" w:hAnsi="Palatino Linotype" w:cs="Palatino Linotype"/>
          <w:sz w:val="22"/>
          <w:szCs w:val="22"/>
        </w:rPr>
        <w:t xml:space="preserve">de la Unidad de Transparencia </w:t>
      </w:r>
      <w:r w:rsidRPr="002F1FF8">
        <w:rPr>
          <w:rFonts w:ascii="Palatino Linotype" w:eastAsia="Palatino Linotype" w:hAnsi="Palatino Linotype" w:cs="Palatino Linotype"/>
          <w:sz w:val="22"/>
          <w:szCs w:val="22"/>
        </w:rPr>
        <w:t>ratificó la respuesta proporcionada en primera instancia.</w:t>
      </w:r>
    </w:p>
    <w:p w14:paraId="3624885C" w14:textId="3C529B9B" w:rsidR="009F5343" w:rsidRPr="002F1FF8" w:rsidRDefault="009F5343">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w:t>
      </w:r>
      <w:r w:rsidR="0075679E" w:rsidRPr="002F1FF8">
        <w:rPr>
          <w:rFonts w:ascii="Palatino Linotype" w:eastAsia="Palatino Linotype" w:hAnsi="Palatino Linotype" w:cs="Palatino Linotype"/>
          <w:sz w:val="22"/>
          <w:szCs w:val="22"/>
        </w:rPr>
        <w:t xml:space="preserve">Oficio número </w:t>
      </w:r>
      <w:r w:rsidR="006E15E3" w:rsidRPr="002F1FF8">
        <w:rPr>
          <w:rFonts w:ascii="Palatino Linotype" w:eastAsia="Palatino Linotype" w:hAnsi="Palatino Linotype" w:cs="Palatino Linotype"/>
          <w:sz w:val="22"/>
          <w:szCs w:val="22"/>
        </w:rPr>
        <w:t>202010000/03296/2025</w:t>
      </w:r>
      <w:r w:rsidR="0075679E" w:rsidRPr="002F1FF8">
        <w:rPr>
          <w:rFonts w:ascii="Palatino Linotype" w:eastAsia="Palatino Linotype" w:hAnsi="Palatino Linotype" w:cs="Palatino Linotype"/>
          <w:sz w:val="22"/>
          <w:szCs w:val="22"/>
        </w:rPr>
        <w:t xml:space="preserve">, mediante el cual </w:t>
      </w:r>
      <w:r w:rsidR="006E15E3" w:rsidRPr="002F1FF8">
        <w:rPr>
          <w:rFonts w:ascii="Palatino Linotype" w:eastAsia="Palatino Linotype" w:hAnsi="Palatino Linotype" w:cs="Palatino Linotype"/>
          <w:sz w:val="22"/>
          <w:szCs w:val="22"/>
        </w:rPr>
        <w:t xml:space="preserve">el Tesorero Municipal </w:t>
      </w:r>
      <w:r w:rsidR="0075679E" w:rsidRPr="002F1FF8">
        <w:rPr>
          <w:rFonts w:ascii="Palatino Linotype" w:eastAsia="Palatino Linotype" w:hAnsi="Palatino Linotype" w:cs="Palatino Linotype"/>
          <w:sz w:val="22"/>
          <w:szCs w:val="22"/>
        </w:rPr>
        <w:t>ratificó la respuesta proporcionada en primera instancia.</w:t>
      </w:r>
    </w:p>
    <w:p w14:paraId="0FC00381"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342E7ED8" w14:textId="60DB05A2" w:rsidR="00AD444D" w:rsidRPr="002F1FF8" w:rsidRDefault="00AD444D">
      <w:pPr>
        <w:widowControl w:val="0"/>
        <w:spacing w:before="240"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7</w:t>
      </w:r>
      <w:r w:rsidR="00DB513A" w:rsidRPr="002F1FF8">
        <w:rPr>
          <w:rFonts w:ascii="Palatino Linotype" w:eastAsia="Palatino Linotype" w:hAnsi="Palatino Linotype" w:cs="Palatino Linotype"/>
          <w:b/>
          <w:sz w:val="22"/>
          <w:szCs w:val="22"/>
        </w:rPr>
        <w:t>.</w:t>
      </w:r>
      <w:r w:rsidR="005B22BA"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b/>
          <w:sz w:val="22"/>
          <w:szCs w:val="22"/>
        </w:rPr>
        <w:t xml:space="preserve">Cierre de instrucción. </w:t>
      </w:r>
      <w:r w:rsidRPr="002F1FF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8A4625" w:rsidRPr="002F1FF8">
        <w:rPr>
          <w:rFonts w:ascii="Palatino Linotype" w:eastAsia="Palatino Linotype" w:hAnsi="Palatino Linotype" w:cs="Palatino Linotype"/>
          <w:b/>
          <w:sz w:val="22"/>
          <w:szCs w:val="22"/>
        </w:rPr>
        <w:t>tres de diciembre</w:t>
      </w:r>
      <w:r w:rsidRPr="002F1FF8">
        <w:rPr>
          <w:rFonts w:ascii="Palatino Linotype" w:eastAsia="Palatino Linotype" w:hAnsi="Palatino Linotype" w:cs="Palatino Linotype"/>
          <w:b/>
          <w:sz w:val="22"/>
          <w:szCs w:val="22"/>
        </w:rPr>
        <w:t xml:space="preserve"> de dos mil veinticinco</w:t>
      </w:r>
      <w:r w:rsidRPr="002F1FF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39C9D6D" w14:textId="3FAA4821" w:rsidR="00694AA0" w:rsidRPr="002F1FF8" w:rsidRDefault="00AD444D">
      <w:pPr>
        <w:widowControl w:val="0"/>
        <w:spacing w:before="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8. </w:t>
      </w:r>
      <w:r w:rsidR="005B22BA" w:rsidRPr="002F1FF8">
        <w:rPr>
          <w:rFonts w:ascii="Palatino Linotype" w:eastAsia="Palatino Linotype" w:hAnsi="Palatino Linotype" w:cs="Palatino Linotype"/>
          <w:b/>
          <w:sz w:val="22"/>
          <w:szCs w:val="22"/>
        </w:rPr>
        <w:t>Ampliación del término para resolver</w:t>
      </w:r>
      <w:r w:rsidR="005B22BA"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sz w:val="22"/>
          <w:szCs w:val="22"/>
        </w:rPr>
        <w:t xml:space="preserve">El </w:t>
      </w:r>
      <w:r w:rsidR="0070776B" w:rsidRPr="002F1FF8">
        <w:rPr>
          <w:rFonts w:ascii="Palatino Linotype" w:eastAsia="Palatino Linotype" w:hAnsi="Palatino Linotype" w:cs="Palatino Linotype"/>
          <w:b/>
          <w:bCs/>
          <w:sz w:val="22"/>
          <w:szCs w:val="22"/>
        </w:rPr>
        <w:t xml:space="preserve">tres de diciembre </w:t>
      </w:r>
      <w:r w:rsidR="00C00558" w:rsidRPr="002F1FF8">
        <w:rPr>
          <w:rFonts w:ascii="Palatino Linotype" w:eastAsia="Palatino Linotype" w:hAnsi="Palatino Linotype" w:cs="Palatino Linotype"/>
          <w:b/>
          <w:bCs/>
          <w:sz w:val="22"/>
          <w:szCs w:val="22"/>
        </w:rPr>
        <w:t>de dos mil veinticinco</w:t>
      </w:r>
      <w:r w:rsidR="005B22BA" w:rsidRPr="002F1FF8">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0F42CBB"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264C97D"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F92AC27"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E35C04"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4DC512" w14:textId="77777777" w:rsidR="00A8727F" w:rsidRPr="002F1FF8" w:rsidRDefault="00A8727F" w:rsidP="00A8727F">
      <w:pPr>
        <w:spacing w:before="240" w:after="240" w:line="360" w:lineRule="auto"/>
        <w:jc w:val="both"/>
        <w:rPr>
          <w:rFonts w:ascii="Palatino Linotype" w:eastAsia="Palatino Linotype" w:hAnsi="Palatino Linotype" w:cs="Palatino Linotype"/>
          <w:strike/>
          <w:sz w:val="22"/>
          <w:szCs w:val="22"/>
        </w:rPr>
      </w:pPr>
      <w:r w:rsidRPr="002F1FF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38DFF2F" w14:textId="77777777" w:rsidR="00A8727F" w:rsidRPr="002F1FF8" w:rsidRDefault="00A8727F" w:rsidP="00A8727F">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49837807" w14:textId="77777777" w:rsidR="00A8727F" w:rsidRPr="002F1FF8" w:rsidRDefault="00A8727F" w:rsidP="00A8727F">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Actividad Procesal del interesado. Acciones u omisiones del interesado.</w:t>
      </w:r>
    </w:p>
    <w:p w14:paraId="53A08919" w14:textId="77777777" w:rsidR="00A8727F" w:rsidRPr="002F1FF8" w:rsidRDefault="00A8727F" w:rsidP="00A8727F">
      <w:pPr>
        <w:numPr>
          <w:ilvl w:val="0"/>
          <w:numId w:val="13"/>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0B854C7" w14:textId="77777777" w:rsidR="00A8727F" w:rsidRPr="002F1FF8" w:rsidRDefault="00A8727F" w:rsidP="00A8727F">
      <w:pPr>
        <w:tabs>
          <w:tab w:val="left" w:pos="567"/>
        </w:tabs>
        <w:spacing w:before="240" w:after="240" w:line="360" w:lineRule="auto"/>
        <w:ind w:left="284"/>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A99482F"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731082" w14:textId="77777777" w:rsidR="00A8727F" w:rsidRPr="002F1FF8" w:rsidRDefault="00A8727F" w:rsidP="00A8727F">
      <w:pPr>
        <w:spacing w:before="240" w:after="240"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F1FF8">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F1FF8">
        <w:rPr>
          <w:rFonts w:ascii="Palatino Linotype" w:eastAsia="Palatino Linotype" w:hAnsi="Palatino Linotype" w:cs="Palatino Linotype"/>
          <w:sz w:val="22"/>
          <w:szCs w:val="22"/>
        </w:rPr>
        <w:t>, visible en la Gaceta del Seminario Judicial de la Federación con el registro digital 205635.</w:t>
      </w:r>
    </w:p>
    <w:p w14:paraId="5A4D3879"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7C4D80"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EB615A5" w14:textId="77777777" w:rsidR="00A8727F" w:rsidRPr="002F1FF8" w:rsidRDefault="00A8727F" w:rsidP="00A8727F">
      <w:pPr>
        <w:spacing w:before="120" w:after="120"/>
        <w:ind w:left="851" w:right="902"/>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PLAZO RAZONABLE PARA RESOLVER. DIMENSIÓN Y EFECTOS DE ESTE CONCEPTO CUANDO SE ADUCE EXCESIVA CARGA DE TRABAJO</w:t>
      </w: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sz w:val="22"/>
          <w:szCs w:val="22"/>
        </w:rPr>
        <w:t xml:space="preserve"> consultable en el Seminario Judicial de la Federación y su gaceta, con el registro digital 2002351.</w:t>
      </w:r>
    </w:p>
    <w:p w14:paraId="6A69353A" w14:textId="77777777" w:rsidR="00A8727F" w:rsidRPr="002F1FF8" w:rsidRDefault="00A8727F" w:rsidP="00A8727F">
      <w:pPr>
        <w:spacing w:before="120" w:after="120"/>
        <w:ind w:left="851" w:right="902"/>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sz w:val="22"/>
          <w:szCs w:val="22"/>
        </w:rPr>
        <w:t>, visible en el Seminario Judicial de la Federación y su gaceta, con el registro digital 2002350.</w:t>
      </w:r>
    </w:p>
    <w:p w14:paraId="612BED8D" w14:textId="77777777" w:rsidR="00A8727F" w:rsidRPr="002F1FF8" w:rsidRDefault="00A8727F" w:rsidP="00A8727F">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632DFE2"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2F1FF8" w:rsidRDefault="005B22BA">
      <w:pPr>
        <w:widowControl w:val="0"/>
        <w:spacing w:before="240" w:after="240" w:line="360" w:lineRule="auto"/>
        <w:jc w:val="center"/>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II. C O N S I D E R A N D O S</w:t>
      </w:r>
    </w:p>
    <w:p w14:paraId="65525EF7" w14:textId="60C8B49A"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Primero. Competencia.</w:t>
      </w:r>
      <w:r w:rsidRPr="002F1FF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2F1FF8">
        <w:rPr>
          <w:rFonts w:ascii="Palatino Linotype" w:eastAsia="Palatino Linotype" w:hAnsi="Palatino Linotype" w:cs="Palatino Linotype"/>
          <w:sz w:val="22"/>
          <w:szCs w:val="22"/>
        </w:rPr>
        <w:t>cuarto, cuadragésimo quinto y cuadragésimo sexto</w:t>
      </w:r>
      <w:r w:rsidRPr="002F1FF8">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2F1FF8">
        <w:rPr>
          <w:rFonts w:ascii="Palatino Linotype" w:eastAsia="Palatino Linotype" w:hAnsi="Palatino Linotype" w:cs="Palatino Linotype"/>
          <w:sz w:val="22"/>
          <w:szCs w:val="22"/>
        </w:rPr>
        <w:t xml:space="preserve">transitorio Cuarto del Decreto número 198 de la “LXII” Legislatura del Estado de México; </w:t>
      </w:r>
      <w:r w:rsidRPr="002F1FF8">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2F1FF8">
        <w:rPr>
          <w:rFonts w:ascii="Palatino Linotype" w:eastAsia="Palatino Linotype" w:hAnsi="Palatino Linotype" w:cs="Palatino Linotype"/>
          <w:b/>
          <w:sz w:val="22"/>
          <w:szCs w:val="22"/>
        </w:rPr>
        <w:t>Segundo. Oportunidad y Procedibilidad del Recurso de Revisión</w:t>
      </w:r>
      <w:r w:rsidRPr="002F1FF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26F8A3CE"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 xml:space="preserve">remitió la respuesta a la solicitud de información el día </w:t>
      </w:r>
      <w:r w:rsidR="00397DDF" w:rsidRPr="002F1FF8">
        <w:rPr>
          <w:rFonts w:ascii="Palatino Linotype" w:eastAsia="Palatino Linotype" w:hAnsi="Palatino Linotype" w:cs="Palatino Linotype"/>
          <w:b/>
          <w:sz w:val="22"/>
          <w:szCs w:val="22"/>
        </w:rPr>
        <w:t>veintitrés de septiembre</w:t>
      </w:r>
      <w:r w:rsidR="00C00558" w:rsidRPr="002F1FF8">
        <w:rPr>
          <w:rFonts w:ascii="Palatino Linotype" w:eastAsia="Palatino Linotype" w:hAnsi="Palatino Linotype" w:cs="Palatino Linotype"/>
          <w:b/>
          <w:sz w:val="22"/>
          <w:szCs w:val="22"/>
        </w:rPr>
        <w:t xml:space="preserve"> de dos mil veinticinco</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 xml:space="preserve">mientras que el recurso de revisión interpuesto por la parte </w:t>
      </w:r>
      <w:r w:rsidRPr="002F1FF8">
        <w:rPr>
          <w:rFonts w:ascii="Palatino Linotype" w:eastAsia="Palatino Linotype" w:hAnsi="Palatino Linotype" w:cs="Palatino Linotype"/>
          <w:b/>
          <w:sz w:val="22"/>
          <w:szCs w:val="22"/>
        </w:rPr>
        <w:t xml:space="preserve">Recurrente, </w:t>
      </w:r>
      <w:r w:rsidRPr="002F1FF8">
        <w:rPr>
          <w:rFonts w:ascii="Palatino Linotype" w:eastAsia="Palatino Linotype" w:hAnsi="Palatino Linotype" w:cs="Palatino Linotype"/>
          <w:sz w:val="22"/>
          <w:szCs w:val="22"/>
        </w:rPr>
        <w:t>se tuvo por presentado el día</w:t>
      </w:r>
      <w:r w:rsidRPr="002F1FF8">
        <w:rPr>
          <w:rFonts w:ascii="Palatino Linotype" w:eastAsia="Palatino Linotype" w:hAnsi="Palatino Linotype" w:cs="Palatino Linotype"/>
          <w:b/>
          <w:sz w:val="22"/>
          <w:szCs w:val="22"/>
        </w:rPr>
        <w:t xml:space="preserve"> </w:t>
      </w:r>
      <w:r w:rsidR="00397DDF" w:rsidRPr="002F1FF8">
        <w:rPr>
          <w:rFonts w:ascii="Palatino Linotype" w:eastAsia="Palatino Linotype" w:hAnsi="Palatino Linotype" w:cs="Palatino Linotype"/>
          <w:b/>
          <w:sz w:val="22"/>
          <w:szCs w:val="22"/>
        </w:rPr>
        <w:t>veinticuatro de septiembre</w:t>
      </w:r>
      <w:r w:rsidR="00C00558" w:rsidRPr="002F1FF8">
        <w:rPr>
          <w:rFonts w:ascii="Palatino Linotype" w:eastAsia="Palatino Linotype" w:hAnsi="Palatino Linotype" w:cs="Palatino Linotype"/>
          <w:b/>
          <w:sz w:val="22"/>
          <w:szCs w:val="22"/>
        </w:rPr>
        <w:t xml:space="preserve"> de dos mil veinticinco</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 xml:space="preserve">esto es, </w:t>
      </w:r>
      <w:r w:rsidR="009711CB" w:rsidRPr="002F1FF8">
        <w:rPr>
          <w:rFonts w:ascii="Palatino Linotype" w:eastAsia="Palatino Linotype" w:hAnsi="Palatino Linotype" w:cs="Palatino Linotype"/>
          <w:sz w:val="22"/>
          <w:szCs w:val="22"/>
        </w:rPr>
        <w:t xml:space="preserve">al </w:t>
      </w:r>
      <w:r w:rsidR="00C00558" w:rsidRPr="002F1FF8">
        <w:rPr>
          <w:rFonts w:ascii="Palatino Linotype" w:eastAsia="Palatino Linotype" w:hAnsi="Palatino Linotype" w:cs="Palatino Linotype"/>
          <w:sz w:val="22"/>
          <w:szCs w:val="22"/>
        </w:rPr>
        <w:t>s</w:t>
      </w:r>
      <w:r w:rsidR="00397DDF" w:rsidRPr="002F1FF8">
        <w:rPr>
          <w:rFonts w:ascii="Palatino Linotype" w:eastAsia="Palatino Linotype" w:hAnsi="Palatino Linotype" w:cs="Palatino Linotype"/>
          <w:sz w:val="22"/>
          <w:szCs w:val="22"/>
        </w:rPr>
        <w:t>iguiente</w:t>
      </w:r>
      <w:r w:rsidR="00C00558" w:rsidRPr="002F1FF8">
        <w:rPr>
          <w:rFonts w:ascii="Palatino Linotype" w:eastAsia="Palatino Linotype" w:hAnsi="Palatino Linotype" w:cs="Palatino Linotype"/>
          <w:sz w:val="22"/>
          <w:szCs w:val="22"/>
        </w:rPr>
        <w:t xml:space="preserve"> </w:t>
      </w:r>
      <w:r w:rsidR="009711CB" w:rsidRPr="002F1FF8">
        <w:rPr>
          <w:rFonts w:ascii="Palatino Linotype" w:eastAsia="Palatino Linotype" w:hAnsi="Palatino Linotype" w:cs="Palatino Linotype"/>
          <w:sz w:val="22"/>
          <w:szCs w:val="22"/>
        </w:rPr>
        <w:t>día hábil</w:t>
      </w:r>
      <w:r w:rsidRPr="002F1FF8">
        <w:rPr>
          <w:rFonts w:ascii="Palatino Linotype" w:eastAsia="Palatino Linotype" w:hAnsi="Palatino Linotype" w:cs="Palatino Linotype"/>
          <w:sz w:val="22"/>
          <w:szCs w:val="22"/>
        </w:rPr>
        <w:t xml:space="preserve"> posterior a aquel en el que tuvo conocimiento de la respuesta impugnada. En este sentido, se concluye que el presente recurso de revisión se encuentra dentro de los márgenes temporales previstos en las disposiciones legales referidas.</w:t>
      </w:r>
    </w:p>
    <w:p w14:paraId="1F56F7F6" w14:textId="77777777" w:rsidR="00C00558" w:rsidRPr="002F1FF8" w:rsidRDefault="00C00558" w:rsidP="00C00558">
      <w:pPr>
        <w:tabs>
          <w:tab w:val="left" w:pos="7938"/>
        </w:tabs>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37211C8" w14:textId="77777777" w:rsidR="00FA3C9A" w:rsidRPr="002F1FF8" w:rsidRDefault="00FA3C9A" w:rsidP="00FA3C9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Además, por cuanto hace a la procedibilidad del recurso de revisión, es de suma importancia señalar que la parte</w:t>
      </w:r>
      <w:r w:rsidRPr="002F1FF8">
        <w:rPr>
          <w:rFonts w:ascii="Palatino Linotype" w:eastAsia="Palatino Linotype" w:hAnsi="Palatino Linotype" w:cs="Palatino Linotype"/>
          <w:b/>
          <w:sz w:val="22"/>
          <w:szCs w:val="22"/>
        </w:rPr>
        <w:t xml:space="preserve"> Recurrente</w:t>
      </w:r>
      <w:r w:rsidRPr="002F1FF8">
        <w:rPr>
          <w:rFonts w:ascii="Palatino Linotype" w:eastAsia="Palatino Linotype" w:hAnsi="Palatino Linotype" w:cs="Palatino Linotype"/>
          <w:sz w:val="22"/>
          <w:szCs w:val="22"/>
        </w:rPr>
        <w:t xml:space="preserve">, no señaló </w:t>
      </w:r>
      <w:r w:rsidRPr="002F1FF8">
        <w:rPr>
          <w:rFonts w:ascii="Palatino Linotype" w:eastAsia="Palatino Linotype" w:hAnsi="Palatino Linotype" w:cs="Palatino Linotype"/>
          <w:b/>
          <w:sz w:val="22"/>
          <w:szCs w:val="22"/>
        </w:rPr>
        <w:t>nombre o seudónimo,</w:t>
      </w:r>
      <w:r w:rsidRPr="002F1FF8">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20D5C3" w14:textId="77777777" w:rsidR="00FA3C9A" w:rsidRPr="002F1FF8" w:rsidRDefault="00FA3C9A" w:rsidP="00FA3C9A">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Las solicitudes anónimas</w:t>
      </w:r>
      <w:r w:rsidRPr="002F1FF8">
        <w:rPr>
          <w:rFonts w:ascii="Palatino Linotype" w:eastAsia="Palatino Linotype" w:hAnsi="Palatino Linotype" w:cs="Palatino Linotype"/>
          <w:i/>
          <w:sz w:val="22"/>
          <w:szCs w:val="22"/>
        </w:rPr>
        <w:t xml:space="preserve">, con nombre incompleto o </w:t>
      </w:r>
      <w:r w:rsidRPr="002F1FF8">
        <w:rPr>
          <w:rFonts w:ascii="Palatino Linotype" w:eastAsia="Palatino Linotype" w:hAnsi="Palatino Linotype" w:cs="Palatino Linotype"/>
          <w:b/>
          <w:i/>
          <w:sz w:val="22"/>
          <w:szCs w:val="22"/>
        </w:rPr>
        <w:t>seudónimo</w:t>
      </w:r>
      <w:r w:rsidRPr="002F1FF8">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8B564D7" w14:textId="77777777" w:rsidR="00FA3C9A" w:rsidRPr="002F1FF8" w:rsidRDefault="00FA3C9A" w:rsidP="00FA3C9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2F1FF8">
        <w:rPr>
          <w:rFonts w:ascii="Palatino Linotype" w:eastAsia="Palatino Linotype" w:hAnsi="Palatino Linotype" w:cs="Palatino Linotype"/>
          <w:b/>
          <w:sz w:val="22"/>
          <w:szCs w:val="22"/>
        </w:rPr>
        <w:t xml:space="preserve"> SAIMEX</w:t>
      </w:r>
    </w:p>
    <w:p w14:paraId="2DB43ED9" w14:textId="580B78B5" w:rsidR="006E155A" w:rsidRPr="002F1FF8" w:rsidRDefault="005B22BA" w:rsidP="006E155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 xml:space="preserve"> en sus motivos de inconformidad, de acuerdo al artículo 179, </w:t>
      </w:r>
      <w:r w:rsidR="00C00558" w:rsidRPr="002F1FF8">
        <w:rPr>
          <w:rFonts w:ascii="Palatino Linotype" w:eastAsia="Palatino Linotype" w:hAnsi="Palatino Linotype" w:cs="Palatino Linotype"/>
          <w:sz w:val="22"/>
          <w:szCs w:val="22"/>
        </w:rPr>
        <w:t xml:space="preserve">fracción VI </w:t>
      </w:r>
      <w:r w:rsidR="006E155A" w:rsidRPr="002F1FF8">
        <w:rPr>
          <w:rFonts w:ascii="Palatino Linotype" w:eastAsia="Palatino Linotype" w:hAnsi="Palatino Linotype" w:cs="Palatino Linotype"/>
          <w:sz w:val="22"/>
          <w:szCs w:val="22"/>
        </w:rPr>
        <w:t>del ordenamiento legal citado, que a la letra dice: </w:t>
      </w:r>
    </w:p>
    <w:p w14:paraId="76DBCF77" w14:textId="77777777" w:rsidR="006E155A" w:rsidRPr="002F1FF8" w:rsidRDefault="006E155A" w:rsidP="006E155A">
      <w:pPr>
        <w:tabs>
          <w:tab w:val="left" w:pos="7938"/>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179.</w:t>
      </w:r>
      <w:r w:rsidRPr="002F1FF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0CB04F1" w14:textId="0C0999EC" w:rsidR="006E155A" w:rsidRPr="002F1FF8" w:rsidRDefault="00C00558"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006E155A" w:rsidRPr="002F1FF8">
        <w:rPr>
          <w:rFonts w:ascii="Palatino Linotype" w:eastAsia="Palatino Linotype" w:hAnsi="Palatino Linotype" w:cs="Palatino Linotype"/>
          <w:i/>
          <w:sz w:val="22"/>
          <w:szCs w:val="22"/>
        </w:rPr>
        <w:t>..</w:t>
      </w:r>
    </w:p>
    <w:p w14:paraId="57894972" w14:textId="03AD6E89" w:rsidR="006E155A" w:rsidRPr="002F1FF8" w:rsidRDefault="00C00558"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2F1FF8">
        <w:rPr>
          <w:rFonts w:ascii="Palatino Linotype" w:hAnsi="Palatino Linotype"/>
          <w:b/>
          <w:i/>
          <w:sz w:val="22"/>
          <w:szCs w:val="22"/>
        </w:rPr>
        <w:t xml:space="preserve">VI. </w:t>
      </w:r>
      <w:r w:rsidRPr="002F1FF8">
        <w:rPr>
          <w:rFonts w:ascii="Palatino Linotype" w:hAnsi="Palatino Linotype"/>
          <w:i/>
          <w:sz w:val="22"/>
          <w:szCs w:val="22"/>
        </w:rPr>
        <w:t>La entrega de información que no corresponda con lo solicitado</w:t>
      </w:r>
      <w:r w:rsidR="006E155A" w:rsidRPr="002F1FF8">
        <w:rPr>
          <w:rFonts w:ascii="Palatino Linotype" w:eastAsia="Palatino Linotype" w:hAnsi="Palatino Linotype" w:cs="Palatino Linotype"/>
          <w:i/>
          <w:sz w:val="22"/>
          <w:szCs w:val="22"/>
        </w:rPr>
        <w:t>”</w:t>
      </w:r>
    </w:p>
    <w:p w14:paraId="7B3D2575" w14:textId="77777777" w:rsidR="00694AA0" w:rsidRPr="002F1FF8" w:rsidRDefault="005B22BA">
      <w:pPr>
        <w:spacing w:before="240" w:after="240"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 xml:space="preserve">Tercero. Materia de la revisión. </w:t>
      </w:r>
      <w:r w:rsidRPr="002F1FF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F1FF8">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2F1FF8">
        <w:rPr>
          <w:rFonts w:ascii="Palatino Linotype" w:eastAsia="Palatino Linotype" w:hAnsi="Palatino Linotype" w:cs="Palatino Linotype"/>
          <w:sz w:val="22"/>
          <w:szCs w:val="22"/>
        </w:rPr>
        <w:t xml:space="preserve">de 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2F1FF8">
        <w:rPr>
          <w:rFonts w:ascii="Palatino Linotype" w:eastAsia="Palatino Linotype" w:hAnsi="Palatino Linotype" w:cs="Palatino Linotype"/>
          <w:b/>
          <w:sz w:val="22"/>
          <w:szCs w:val="22"/>
        </w:rPr>
        <w:t xml:space="preserve">Cuarto. Estudio del asunto. </w:t>
      </w:r>
      <w:r w:rsidRPr="002F1FF8">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2F1FF8" w:rsidRDefault="005B22BA">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4</w:t>
      </w:r>
      <w:r w:rsidRPr="002F1FF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2F1FF8" w:rsidRDefault="005B22BA">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F1FF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2F1FF8" w:rsidRDefault="005B22BA">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F1FF8">
        <w:rPr>
          <w:rFonts w:ascii="Palatino Linotype" w:eastAsia="Palatino Linotype" w:hAnsi="Palatino Linotype" w:cs="Palatino Linotype"/>
          <w:i/>
          <w:sz w:val="22"/>
          <w:szCs w:val="22"/>
        </w:rPr>
        <w:t>.”</w:t>
      </w:r>
    </w:p>
    <w:p w14:paraId="2B62FDE3"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2F1FF8" w:rsidRDefault="005B22BA">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12.-</w:t>
      </w:r>
      <w:r w:rsidRPr="002F1FF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2F1FF8" w:rsidRDefault="005B22BA">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2F1FF8" w:rsidRDefault="005B22BA">
      <w:pPr>
        <w:spacing w:before="240" w:after="240" w:line="360" w:lineRule="auto"/>
        <w:ind w:right="-93"/>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2F1FF8" w:rsidRDefault="005B22BA">
      <w:pPr>
        <w:spacing w:before="240" w:after="240"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2F1FF8">
        <w:rPr>
          <w:rFonts w:ascii="Palatino Linotype" w:eastAsia="Palatino Linotype" w:hAnsi="Palatino Linotype" w:cs="Palatino Linotype"/>
          <w:b/>
          <w:sz w:val="22"/>
          <w:szCs w:val="22"/>
        </w:rPr>
        <w:t xml:space="preserve"> </w:t>
      </w:r>
    </w:p>
    <w:p w14:paraId="6B3CE4C4" w14:textId="77777777" w:rsidR="00694AA0" w:rsidRPr="002F1FF8" w:rsidRDefault="005B22BA">
      <w:pPr>
        <w:spacing w:before="120" w:after="120"/>
        <w:ind w:left="1134"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No existe obligación de elaborar documentos ad hoc para atender las solicitudes de acceso a la información.</w:t>
      </w:r>
      <w:r w:rsidRPr="002F1FF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2F1FF8" w:rsidRDefault="005B22BA">
      <w:pPr>
        <w:spacing w:before="120" w:after="12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2F1FF8" w:rsidRDefault="005B22BA">
      <w:pPr>
        <w:spacing w:before="120" w:after="12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 xml:space="preserve">Artículo 3. </w:t>
      </w:r>
      <w:r w:rsidRPr="002F1FF8">
        <w:rPr>
          <w:rFonts w:ascii="Palatino Linotype" w:eastAsia="Palatino Linotype" w:hAnsi="Palatino Linotype" w:cs="Palatino Linotype"/>
          <w:i/>
          <w:sz w:val="22"/>
          <w:szCs w:val="22"/>
        </w:rPr>
        <w:t>Para los efectos de la presente Ley se entenderá por:</w:t>
      </w:r>
    </w:p>
    <w:p w14:paraId="2899E630"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332076D0"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XI. Documento:</w:t>
      </w:r>
      <w:r w:rsidRPr="002F1FF8">
        <w:rPr>
          <w:rFonts w:ascii="Palatino Linotype" w:eastAsia="Palatino Linotype" w:hAnsi="Palatino Linotype" w:cs="Palatino Linotype"/>
          <w:i/>
          <w:sz w:val="22"/>
          <w:szCs w:val="22"/>
        </w:rPr>
        <w:t xml:space="preserve"> Los expedientes, reportes, estudios, actas</w:t>
      </w:r>
      <w:r w:rsidRPr="002F1FF8">
        <w:rPr>
          <w:rFonts w:ascii="Palatino Linotype" w:eastAsia="Palatino Linotype" w:hAnsi="Palatino Linotype" w:cs="Palatino Linotype"/>
          <w:b/>
          <w:i/>
          <w:sz w:val="22"/>
          <w:szCs w:val="22"/>
        </w:rPr>
        <w:t>,</w:t>
      </w:r>
      <w:r w:rsidRPr="002F1FF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sz w:val="22"/>
          <w:szCs w:val="22"/>
        </w:rPr>
        <w:t>“</w:t>
      </w:r>
      <w:r w:rsidRPr="002F1FF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F1FF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2F1FF8" w:rsidRDefault="005B22BA" w:rsidP="00C00558">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2F1FF8" w:rsidRDefault="005B22BA">
      <w:pP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69DDF8DC"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504FA2" w:rsidRPr="002F1FF8">
        <w:rPr>
          <w:rFonts w:ascii="Palatino Linotype" w:eastAsia="Palatino Linotype" w:hAnsi="Palatino Linotype" w:cs="Palatino Linotype"/>
          <w:sz w:val="22"/>
          <w:szCs w:val="22"/>
        </w:rPr>
        <w:t xml:space="preserve">párrafo cuadragésimo sexto, </w:t>
      </w:r>
      <w:r w:rsidRPr="002F1FF8">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43A8015" w14:textId="77777777" w:rsidR="00504FA2" w:rsidRPr="002F1FF8" w:rsidRDefault="005B22BA" w:rsidP="00504FA2">
      <w:pP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 xml:space="preserve"> requirió al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le proporcione, información consistente en lo siguiente:</w:t>
      </w:r>
    </w:p>
    <w:p w14:paraId="5405F4C1" w14:textId="7F317E35" w:rsidR="00C00558" w:rsidRPr="002F1FF8" w:rsidRDefault="00504FA2" w:rsidP="00C00558">
      <w:pPr>
        <w:spacing w:before="240" w:after="240" w:line="360" w:lineRule="auto"/>
        <w:ind w:left="284"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1.</w:t>
      </w:r>
      <w:r w:rsidR="007643E2" w:rsidRPr="002F1FF8">
        <w:rPr>
          <w:rFonts w:ascii="Palatino Linotype" w:hAnsi="Palatino Linotype"/>
        </w:rPr>
        <w:t xml:space="preserve"> E</w:t>
      </w:r>
      <w:r w:rsidR="007643E2" w:rsidRPr="002F1FF8">
        <w:rPr>
          <w:rFonts w:ascii="Palatino Linotype" w:eastAsia="Palatino Linotype" w:hAnsi="Palatino Linotype" w:cs="Palatino Linotype"/>
          <w:sz w:val="22"/>
          <w:szCs w:val="22"/>
        </w:rPr>
        <w:t>l costo de los conciertos que realizarán Amanda Miguel y Gloria Trevi en la Feria del Alfeñique</w:t>
      </w:r>
      <w:r w:rsidR="00ED661A" w:rsidRPr="002F1FF8">
        <w:rPr>
          <w:rFonts w:ascii="Palatino Linotype" w:eastAsia="Palatino Linotype" w:hAnsi="Palatino Linotype" w:cs="Palatino Linotype"/>
          <w:sz w:val="22"/>
          <w:szCs w:val="22"/>
        </w:rPr>
        <w:t>.</w:t>
      </w:r>
    </w:p>
    <w:p w14:paraId="3C921D0B" w14:textId="616AE7ED" w:rsidR="00DF478E" w:rsidRPr="002F1FF8" w:rsidRDefault="007643E2" w:rsidP="00DF478E">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w:t>
      </w:r>
      <w:r w:rsidR="000B0896" w:rsidRPr="002F1FF8">
        <w:rPr>
          <w:rFonts w:ascii="Palatino Linotype" w:eastAsia="Palatino Linotype" w:hAnsi="Palatino Linotype" w:cs="Palatino Linotype"/>
          <w:sz w:val="22"/>
          <w:szCs w:val="22"/>
        </w:rPr>
        <w:t>s de</w:t>
      </w:r>
      <w:r w:rsidR="00DF478E" w:rsidRPr="002F1FF8">
        <w:rPr>
          <w:rFonts w:ascii="Palatino Linotype" w:eastAsia="Palatino Linotype" w:hAnsi="Palatino Linotype" w:cs="Palatino Linotype"/>
          <w:sz w:val="22"/>
          <w:szCs w:val="22"/>
        </w:rPr>
        <w:t xml:space="preserv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C7108D6" w14:textId="77777777" w:rsidR="00DF478E" w:rsidRPr="002F1FF8" w:rsidRDefault="00DF478E" w:rsidP="00DF478E">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276CCB6A" w14:textId="77777777" w:rsidR="00DF478E" w:rsidRPr="002F1FF8" w:rsidRDefault="00DF478E" w:rsidP="00DF478E">
      <w:pP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13C47AE6" w14:textId="77777777" w:rsidR="00DF478E" w:rsidRPr="002F1FF8" w:rsidRDefault="00DF478E" w:rsidP="00DF478E">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3AB97C7" w14:textId="772B9B3F" w:rsidR="00DF478E" w:rsidRPr="002F1FF8" w:rsidRDefault="00DF478E" w:rsidP="00DF478E">
      <w:pPr>
        <w:spacing w:before="280" w:after="28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el caso particular, es de recordar que la Unidad de Transparencia turnó la solicitud a la </w:t>
      </w:r>
      <w:r w:rsidR="00176DB0" w:rsidRPr="002F1FF8">
        <w:rPr>
          <w:rFonts w:ascii="Palatino Linotype" w:eastAsia="Palatino Linotype" w:hAnsi="Palatino Linotype" w:cs="Palatino Linotype"/>
          <w:sz w:val="22"/>
          <w:szCs w:val="22"/>
        </w:rPr>
        <w:t>Tesorería Municipal</w:t>
      </w:r>
      <w:r w:rsidRPr="002F1FF8">
        <w:rPr>
          <w:rFonts w:ascii="Palatino Linotype" w:eastAsia="Palatino Linotype" w:hAnsi="Palatino Linotype" w:cs="Palatino Linotype"/>
          <w:sz w:val="22"/>
          <w:szCs w:val="22"/>
        </w:rPr>
        <w:t>, como la dependencia competente para co</w:t>
      </w:r>
      <w:r w:rsidR="00176DB0" w:rsidRPr="002F1FF8">
        <w:rPr>
          <w:rFonts w:ascii="Palatino Linotype" w:eastAsia="Palatino Linotype" w:hAnsi="Palatino Linotype" w:cs="Palatino Linotype"/>
          <w:sz w:val="22"/>
          <w:szCs w:val="22"/>
        </w:rPr>
        <w:t>n</w:t>
      </w:r>
      <w:r w:rsidRPr="002F1FF8">
        <w:rPr>
          <w:rFonts w:ascii="Palatino Linotype" w:eastAsia="Palatino Linotype" w:hAnsi="Palatino Linotype" w:cs="Palatino Linotype"/>
          <w:sz w:val="22"/>
          <w:szCs w:val="22"/>
        </w:rPr>
        <w:t>tar con la información que es del interés de la persona solicitante.</w:t>
      </w:r>
    </w:p>
    <w:p w14:paraId="30545FBC" w14:textId="77777777" w:rsidR="00655EF3" w:rsidRPr="002F1FF8" w:rsidRDefault="00176DB0" w:rsidP="00655EF3">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Cabe mencionar que la Tesorería Municipal</w:t>
      </w:r>
      <w:r w:rsidR="00655EF3" w:rsidRPr="002F1FF8">
        <w:rPr>
          <w:rFonts w:ascii="Palatino Linotype" w:eastAsia="Palatino Linotype" w:hAnsi="Palatino Linotype" w:cs="Palatino Linotype"/>
          <w:sz w:val="22"/>
          <w:szCs w:val="22"/>
        </w:rPr>
        <w:t xml:space="preserve"> es el órgano encargado de la recaudación de los ingresos municipales y </w:t>
      </w:r>
      <w:r w:rsidR="00655EF3" w:rsidRPr="002F1FF8">
        <w:rPr>
          <w:rFonts w:ascii="Palatino Linotype" w:eastAsia="Palatino Linotype" w:hAnsi="Palatino Linotype" w:cs="Palatino Linotype"/>
          <w:b/>
          <w:sz w:val="22"/>
          <w:szCs w:val="22"/>
        </w:rPr>
        <w:t>responsable de realizar las erogaciones</w:t>
      </w:r>
      <w:r w:rsidR="00655EF3" w:rsidRPr="002F1FF8">
        <w:rPr>
          <w:rFonts w:ascii="Palatino Linotype" w:eastAsia="Palatino Linotype" w:hAnsi="Palatino Linotype" w:cs="Palatino Linotype"/>
          <w:sz w:val="22"/>
          <w:szCs w:val="22"/>
        </w:rPr>
        <w:t xml:space="preserve"> que haga el ayuntamiento </w:t>
      </w:r>
      <w:r w:rsidR="00655EF3" w:rsidRPr="002F1FF8">
        <w:rPr>
          <w:rFonts w:ascii="Palatino Linotype" w:eastAsia="Palatino Linotype" w:hAnsi="Palatino Linotype" w:cs="Palatino Linotype"/>
          <w:b/>
          <w:sz w:val="22"/>
          <w:szCs w:val="22"/>
        </w:rPr>
        <w:t>a través de los registros contables, financieros y administrativos</w:t>
      </w:r>
      <w:r w:rsidR="00655EF3" w:rsidRPr="002F1FF8">
        <w:rPr>
          <w:rFonts w:ascii="Palatino Linotype" w:eastAsia="Palatino Linotype" w:hAnsi="Palatino Linotype" w:cs="Palatino Linotype"/>
          <w:sz w:val="22"/>
          <w:szCs w:val="22"/>
        </w:rPr>
        <w:t xml:space="preserve"> de los ingresos, </w:t>
      </w:r>
      <w:r w:rsidR="00655EF3" w:rsidRPr="002F1FF8">
        <w:rPr>
          <w:rFonts w:ascii="Palatino Linotype" w:eastAsia="Palatino Linotype" w:hAnsi="Palatino Linotype" w:cs="Palatino Linotype"/>
          <w:b/>
          <w:sz w:val="22"/>
          <w:szCs w:val="22"/>
        </w:rPr>
        <w:t>egresos</w:t>
      </w:r>
      <w:r w:rsidR="00655EF3" w:rsidRPr="002F1FF8">
        <w:rPr>
          <w:rFonts w:ascii="Palatino Linotype" w:eastAsia="Palatino Linotype" w:hAnsi="Palatino Linotype" w:cs="Palatino Linotype"/>
          <w:sz w:val="22"/>
          <w:szCs w:val="22"/>
        </w:rPr>
        <w:t xml:space="preserve"> e inventarios; entre otras atribuciones, de conformidad con lo establecido en los artículos 93 y 95, fracciones I y IV de la Ley Orgánica Municipal del Estado de México, a saber:</w:t>
      </w:r>
    </w:p>
    <w:p w14:paraId="2FE97DC0" w14:textId="77777777" w:rsidR="00655EF3" w:rsidRPr="002F1FF8" w:rsidRDefault="00655EF3" w:rsidP="00655EF3">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93</w:t>
      </w:r>
      <w:r w:rsidRPr="002F1FF8">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2B89E90C" w14:textId="77777777" w:rsidR="00655EF3" w:rsidRPr="002F1FF8" w:rsidRDefault="00655EF3" w:rsidP="00655EF3">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64BE30F9" w14:textId="77777777" w:rsidR="00655EF3" w:rsidRPr="002F1FF8" w:rsidRDefault="00655EF3" w:rsidP="00655EF3">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95</w:t>
      </w:r>
      <w:r w:rsidRPr="002F1FF8">
        <w:rPr>
          <w:rFonts w:ascii="Palatino Linotype" w:eastAsia="Palatino Linotype" w:hAnsi="Palatino Linotype" w:cs="Palatino Linotype"/>
          <w:i/>
          <w:sz w:val="22"/>
          <w:szCs w:val="22"/>
        </w:rPr>
        <w:t xml:space="preserve">.- Son atribuciones del tesorero municipal: </w:t>
      </w:r>
    </w:p>
    <w:p w14:paraId="6F69A276" w14:textId="77777777" w:rsidR="00655EF3" w:rsidRPr="002F1FF8" w:rsidRDefault="00655EF3" w:rsidP="00655EF3">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Administrar la hacienda pública municipal</w:t>
      </w:r>
      <w:r w:rsidRPr="002F1FF8">
        <w:rPr>
          <w:rFonts w:ascii="Palatino Linotype" w:eastAsia="Palatino Linotype" w:hAnsi="Palatino Linotype" w:cs="Palatino Linotype"/>
          <w:i/>
          <w:sz w:val="22"/>
          <w:szCs w:val="22"/>
        </w:rPr>
        <w:t>, de conformidad con las disposiciones legales aplicables;</w:t>
      </w:r>
    </w:p>
    <w:p w14:paraId="428A792F" w14:textId="77777777" w:rsidR="00655EF3" w:rsidRPr="002F1FF8" w:rsidRDefault="00655EF3" w:rsidP="00655EF3">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5557E4B4" w14:textId="77777777" w:rsidR="00655EF3" w:rsidRPr="002F1FF8" w:rsidRDefault="00655EF3" w:rsidP="00655EF3">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IV.</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u w:val="single"/>
        </w:rPr>
        <w:t>Llevar los registros contables, financieros y administrativos</w:t>
      </w:r>
      <w:r w:rsidRPr="002F1FF8">
        <w:rPr>
          <w:rFonts w:ascii="Palatino Linotype" w:eastAsia="Palatino Linotype" w:hAnsi="Palatino Linotype" w:cs="Palatino Linotype"/>
          <w:b/>
          <w:i/>
          <w:sz w:val="22"/>
          <w:szCs w:val="22"/>
        </w:rPr>
        <w:t xml:space="preserve"> de los ingresos, egresos</w:t>
      </w:r>
      <w:r w:rsidRPr="002F1FF8">
        <w:rPr>
          <w:rFonts w:ascii="Palatino Linotype" w:eastAsia="Palatino Linotype" w:hAnsi="Palatino Linotype" w:cs="Palatino Linotype"/>
          <w:i/>
          <w:sz w:val="22"/>
          <w:szCs w:val="22"/>
        </w:rPr>
        <w:t>, e inventarios;…”</w:t>
      </w:r>
    </w:p>
    <w:p w14:paraId="4D6383A9" w14:textId="65CEEF6A" w:rsidR="00494CB2" w:rsidRPr="002F1FF8" w:rsidRDefault="000E290B">
      <w:pPr>
        <w:spacing w:before="240" w:after="240" w:line="360" w:lineRule="auto"/>
        <w:ind w:right="49"/>
        <w:jc w:val="both"/>
        <w:rPr>
          <w:rFonts w:ascii="Palatino Linotype" w:hAnsi="Palatino Linotype"/>
          <w:sz w:val="22"/>
          <w:szCs w:val="22"/>
        </w:rPr>
      </w:pPr>
      <w:r w:rsidRPr="002F1FF8">
        <w:rPr>
          <w:rFonts w:ascii="Palatino Linotype" w:eastAsia="Palatino Linotype" w:hAnsi="Palatino Linotype" w:cs="Palatino Linotype"/>
          <w:sz w:val="22"/>
          <w:szCs w:val="22"/>
        </w:rPr>
        <w:t>Ahora bien, e</w:t>
      </w:r>
      <w:r w:rsidR="005B22BA" w:rsidRPr="002F1FF8">
        <w:rPr>
          <w:rFonts w:ascii="Palatino Linotype" w:eastAsia="Palatino Linotype" w:hAnsi="Palatino Linotype" w:cs="Palatino Linotype"/>
          <w:sz w:val="22"/>
          <w:szCs w:val="22"/>
        </w:rPr>
        <w:t>n respuesta, el</w:t>
      </w:r>
      <w:r w:rsidR="00947504" w:rsidRPr="002F1FF8">
        <w:rPr>
          <w:rFonts w:ascii="Palatino Linotype" w:eastAsia="Palatino Linotype" w:hAnsi="Palatino Linotype" w:cs="Palatino Linotype"/>
          <w:sz w:val="22"/>
          <w:szCs w:val="22"/>
        </w:rPr>
        <w:t xml:space="preserve"> servidor público habilitado </w:t>
      </w:r>
      <w:r w:rsidR="0034602C" w:rsidRPr="002F1FF8">
        <w:rPr>
          <w:rFonts w:ascii="Palatino Linotype" w:eastAsia="Palatino Linotype" w:hAnsi="Palatino Linotype" w:cs="Palatino Linotype"/>
          <w:sz w:val="22"/>
          <w:szCs w:val="22"/>
        </w:rPr>
        <w:t>manifestó que</w:t>
      </w:r>
      <w:r w:rsidR="00494CB2" w:rsidRPr="002F1FF8">
        <w:rPr>
          <w:rFonts w:ascii="Palatino Linotype" w:eastAsia="Palatino Linotype" w:hAnsi="Palatino Linotype" w:cs="Palatino Linotype"/>
          <w:sz w:val="22"/>
          <w:szCs w:val="22"/>
        </w:rPr>
        <w:t xml:space="preserve"> no contaba con</w:t>
      </w:r>
      <w:r w:rsidR="0034602C" w:rsidRPr="002F1FF8">
        <w:rPr>
          <w:rFonts w:ascii="Palatino Linotype" w:eastAsia="Palatino Linotype" w:hAnsi="Palatino Linotype" w:cs="Palatino Linotype"/>
          <w:sz w:val="22"/>
          <w:szCs w:val="22"/>
        </w:rPr>
        <w:t xml:space="preserve"> la información que es del interés de la persona solicitante</w:t>
      </w:r>
      <w:r w:rsidR="00494CB2" w:rsidRPr="002F1FF8">
        <w:rPr>
          <w:rFonts w:ascii="Palatino Linotype" w:eastAsia="Palatino Linotype" w:hAnsi="Palatino Linotype" w:cs="Palatino Linotype"/>
          <w:sz w:val="22"/>
          <w:szCs w:val="22"/>
        </w:rPr>
        <w:t xml:space="preserve"> al formar parte de la integración del </w:t>
      </w:r>
      <w:r w:rsidR="00494CB2" w:rsidRPr="002F1FF8">
        <w:rPr>
          <w:rFonts w:ascii="Palatino Linotype" w:hAnsi="Palatino Linotype"/>
          <w:sz w:val="22"/>
          <w:szCs w:val="22"/>
        </w:rPr>
        <w:t>tercero y cuarto informe trimestral de 2025, misma que es normada por los Lineamientos del Órgano Superior de Fiscalización del Estado de México en materia de integración, presentación y envío de los informes trimestrales del ejercicio fiscal 2025, de las entidades fiscalizables del Estado de México; los cuales fueron emitidos por el OSFEM el día 01 de abril de 2025, y que si bien refirió anexar el Acuerdo 7/2025 publicado por el OSFEM por el que se emiten los lineamientos, fechas de capacitación y calendarización para la integración y presentación de los informes trimestrales estatales y municipales, establecidos en el anexo 1, no obran en el expediente electrónico</w:t>
      </w:r>
    </w:p>
    <w:p w14:paraId="435A4E61" w14:textId="77777777" w:rsidR="00837E5E" w:rsidRPr="002F1FF8" w:rsidRDefault="00494CB2">
      <w:pPr>
        <w:spacing w:before="240" w:after="240" w:line="360" w:lineRule="auto"/>
        <w:ind w:right="49"/>
        <w:jc w:val="both"/>
        <w:rPr>
          <w:rFonts w:ascii="Palatino Linotype" w:hAnsi="Palatino Linotype"/>
          <w:sz w:val="22"/>
          <w:szCs w:val="22"/>
        </w:rPr>
      </w:pPr>
      <w:r w:rsidRPr="002F1FF8">
        <w:rPr>
          <w:rFonts w:ascii="Palatino Linotype" w:hAnsi="Palatino Linotype"/>
          <w:sz w:val="22"/>
          <w:szCs w:val="22"/>
        </w:rPr>
        <w:t>Asimismo, proporcionó una dirección electrónica para efectos de la consulta del ACUERDO 7/2025 POR EL QUE SE EMITEN LOS LINEAMIENTOS, FECHAS DE CAPACITACIÓN Y CALENDARIZACIÓN PARA LA INTEGRACIÓN Y PRESENTACIÓN DE LOS INFORMES TRIMESTRALES ESTATALES Y MUNICIPALES DEL EJERCICIO FISCAL 2025, DE LAS ENTIDADES FISCALIZABLES DEL ESTADO DE MÉXICO, en formato cerrado.</w:t>
      </w:r>
    </w:p>
    <w:p w14:paraId="42C7B7EE" w14:textId="621E568E" w:rsidR="00837E5E" w:rsidRPr="002F1FF8" w:rsidRDefault="00837E5E">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hAnsi="Palatino Linotype"/>
          <w:sz w:val="22"/>
          <w:szCs w:val="22"/>
        </w:rPr>
        <w:t>Sin embargo, a</w:t>
      </w:r>
      <w:r w:rsidR="005B22BA" w:rsidRPr="002F1FF8">
        <w:rPr>
          <w:rFonts w:ascii="Palatino Linotype" w:eastAsia="Palatino Linotype" w:hAnsi="Palatino Linotype" w:cs="Palatino Linotype"/>
          <w:sz w:val="22"/>
          <w:szCs w:val="22"/>
        </w:rPr>
        <w:t xml:space="preserve">l no estar conforme con los términos de la respuesta proporcionada, la parte </w:t>
      </w:r>
      <w:r w:rsidR="005B22BA" w:rsidRPr="002F1FF8">
        <w:rPr>
          <w:rFonts w:ascii="Palatino Linotype" w:eastAsia="Palatino Linotype" w:hAnsi="Palatino Linotype" w:cs="Palatino Linotype"/>
          <w:b/>
          <w:sz w:val="22"/>
          <w:szCs w:val="22"/>
        </w:rPr>
        <w:t xml:space="preserve">Recurrente </w:t>
      </w:r>
      <w:r w:rsidR="005B22BA" w:rsidRPr="002F1FF8">
        <w:rPr>
          <w:rFonts w:ascii="Palatino Linotype" w:eastAsia="Palatino Linotype" w:hAnsi="Palatino Linotype" w:cs="Palatino Linotype"/>
          <w:sz w:val="22"/>
          <w:szCs w:val="22"/>
        </w:rPr>
        <w:t>presentó el recurso de revisión que nos ocupa, donde señaló como motivo de inconformidad</w:t>
      </w:r>
      <w:r w:rsidR="000B0B75" w:rsidRPr="002F1FF8">
        <w:rPr>
          <w:rFonts w:ascii="Palatino Linotype" w:eastAsia="Palatino Linotype" w:hAnsi="Palatino Linotype" w:cs="Palatino Linotype"/>
          <w:sz w:val="22"/>
          <w:szCs w:val="22"/>
        </w:rPr>
        <w:t xml:space="preserve">, </w:t>
      </w:r>
      <w:r w:rsidR="000309D9" w:rsidRPr="002F1FF8">
        <w:rPr>
          <w:rFonts w:ascii="Palatino Linotype" w:eastAsia="Palatino Linotype" w:hAnsi="Palatino Linotype" w:cs="Palatino Linotype"/>
          <w:sz w:val="22"/>
          <w:szCs w:val="22"/>
        </w:rPr>
        <w:t>que</w:t>
      </w:r>
      <w:r w:rsidRPr="002F1FF8">
        <w:rPr>
          <w:rFonts w:ascii="Palatino Linotype" w:eastAsia="Palatino Linotype" w:hAnsi="Palatino Linotype" w:cs="Palatino Linotype"/>
          <w:sz w:val="22"/>
          <w:szCs w:val="22"/>
        </w:rPr>
        <w:t xml:space="preserve"> la información solicitada no se encuentra en la liga proporcionada</w:t>
      </w:r>
      <w:r w:rsidR="00DE5ADE" w:rsidRPr="002F1FF8">
        <w:rPr>
          <w:rFonts w:ascii="Palatino Linotype" w:eastAsia="Palatino Linotype" w:hAnsi="Palatino Linotype" w:cs="Palatino Linotype"/>
          <w:sz w:val="22"/>
          <w:szCs w:val="22"/>
        </w:rPr>
        <w:t>, lo cual pretendió sustentar con la siguiente captura de pantalla:</w:t>
      </w:r>
    </w:p>
    <w:p w14:paraId="40EB6DE3" w14:textId="1889BEC6" w:rsidR="00DE5ADE" w:rsidRPr="002F1FF8" w:rsidRDefault="00DE5ADE" w:rsidP="00DE5ADE">
      <w:pPr>
        <w:spacing w:before="240" w:after="240" w:line="360" w:lineRule="auto"/>
        <w:ind w:right="49"/>
        <w:jc w:val="center"/>
        <w:rPr>
          <w:rFonts w:ascii="Palatino Linotype" w:eastAsia="Palatino Linotype" w:hAnsi="Palatino Linotype" w:cs="Palatino Linotype"/>
          <w:sz w:val="22"/>
          <w:szCs w:val="22"/>
        </w:rPr>
      </w:pPr>
      <w:r w:rsidRPr="002F1FF8">
        <w:rPr>
          <w:rFonts w:ascii="Palatino Linotype" w:eastAsia="Palatino Linotype" w:hAnsi="Palatino Linotype" w:cs="Palatino Linotype"/>
          <w:noProof/>
          <w:sz w:val="22"/>
          <w:szCs w:val="22"/>
        </w:rPr>
        <w:drawing>
          <wp:inline distT="0" distB="0" distL="0" distR="0" wp14:anchorId="7768804D" wp14:editId="5036489B">
            <wp:extent cx="4500000" cy="4418534"/>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0000" cy="4418534"/>
                    </a:xfrm>
                    <a:prstGeom prst="rect">
                      <a:avLst/>
                    </a:prstGeom>
                  </pic:spPr>
                </pic:pic>
              </a:graphicData>
            </a:graphic>
          </wp:inline>
        </w:drawing>
      </w:r>
    </w:p>
    <w:p w14:paraId="2CBABCB7" w14:textId="0F5DB10F" w:rsidR="00694AA0" w:rsidRPr="002F1FF8" w:rsidRDefault="0082626C" w:rsidP="004A30AD">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w:t>
      </w:r>
      <w:r w:rsidR="005B22BA" w:rsidRPr="002F1FF8">
        <w:rPr>
          <w:rFonts w:ascii="Palatino Linotype" w:eastAsia="Palatino Linotype" w:hAnsi="Palatino Linotype" w:cs="Palatino Linotype"/>
          <w:sz w:val="22"/>
          <w:szCs w:val="22"/>
        </w:rPr>
        <w:t xml:space="preserve">n la etapa de manifestaciones el </w:t>
      </w:r>
      <w:r w:rsidR="005B22BA" w:rsidRPr="002F1FF8">
        <w:rPr>
          <w:rFonts w:ascii="Palatino Linotype" w:eastAsia="Palatino Linotype" w:hAnsi="Palatino Linotype" w:cs="Palatino Linotype"/>
          <w:b/>
          <w:sz w:val="22"/>
          <w:szCs w:val="22"/>
        </w:rPr>
        <w:t xml:space="preserve">Sujeto Obligado </w:t>
      </w:r>
      <w:r w:rsidR="005B22BA" w:rsidRPr="002F1FF8">
        <w:rPr>
          <w:rFonts w:ascii="Palatino Linotype" w:eastAsia="Palatino Linotype" w:hAnsi="Palatino Linotype" w:cs="Palatino Linotype"/>
          <w:sz w:val="22"/>
          <w:szCs w:val="22"/>
        </w:rPr>
        <w:t>ratificó en lo sustancial la respuesta proporcionada en primera instancia,</w:t>
      </w:r>
      <w:r w:rsidRPr="002F1FF8">
        <w:rPr>
          <w:rFonts w:ascii="Palatino Linotype" w:eastAsia="Palatino Linotype" w:hAnsi="Palatino Linotype" w:cs="Palatino Linotype"/>
          <w:sz w:val="22"/>
          <w:szCs w:val="22"/>
        </w:rPr>
        <w:t xml:space="preserve"> m</w:t>
      </w:r>
      <w:r w:rsidR="005B22BA" w:rsidRPr="002F1FF8">
        <w:rPr>
          <w:rFonts w:ascii="Palatino Linotype" w:eastAsia="Palatino Linotype" w:hAnsi="Palatino Linotype" w:cs="Palatino Linotype"/>
          <w:sz w:val="22"/>
          <w:szCs w:val="22"/>
        </w:rPr>
        <w:t xml:space="preserve">ientras que la parte </w:t>
      </w:r>
      <w:r w:rsidR="005B22BA" w:rsidRPr="002F1FF8">
        <w:rPr>
          <w:rFonts w:ascii="Palatino Linotype" w:eastAsia="Palatino Linotype" w:hAnsi="Palatino Linotype" w:cs="Palatino Linotype"/>
          <w:b/>
          <w:sz w:val="22"/>
          <w:szCs w:val="22"/>
        </w:rPr>
        <w:t xml:space="preserve">Recurrente, </w:t>
      </w:r>
      <w:r w:rsidR="005B22BA" w:rsidRPr="002F1FF8">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12E68429" w14:textId="77777777" w:rsidR="00694AA0" w:rsidRPr="002F1FF8" w:rsidRDefault="005B22BA" w:rsidP="004A30AD">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 xml:space="preserve">en contraposición con el motivo de inconformidad alegado por la parte </w:t>
      </w:r>
      <w:r w:rsidRPr="002F1FF8">
        <w:rPr>
          <w:rFonts w:ascii="Palatino Linotype" w:eastAsia="Palatino Linotype" w:hAnsi="Palatino Linotype" w:cs="Palatino Linotype"/>
          <w:b/>
          <w:sz w:val="22"/>
          <w:szCs w:val="22"/>
        </w:rPr>
        <w:t xml:space="preserve">Recurrente, </w:t>
      </w:r>
      <w:r w:rsidRPr="002F1FF8">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88FDB2E" w14:textId="41613B6D" w:rsidR="007304EC" w:rsidRPr="002F1FF8" w:rsidRDefault="00223511" w:rsidP="004A30AD">
      <w:pPr>
        <w:spacing w:before="240" w:after="240" w:line="360" w:lineRule="auto"/>
        <w:jc w:val="both"/>
        <w:rPr>
          <w:rFonts w:ascii="Palatino Linotype" w:hAnsi="Palatino Linotype"/>
          <w:b/>
          <w:bCs/>
          <w:sz w:val="22"/>
          <w:szCs w:val="22"/>
          <w:u w:val="single"/>
        </w:rPr>
      </w:pPr>
      <w:r w:rsidRPr="002F1FF8">
        <w:rPr>
          <w:rFonts w:ascii="Palatino Linotype" w:eastAsia="Palatino Linotype" w:hAnsi="Palatino Linotype" w:cs="Palatino Linotype"/>
          <w:sz w:val="22"/>
          <w:szCs w:val="22"/>
        </w:rPr>
        <w:t xml:space="preserve">En este tenor, </w:t>
      </w:r>
      <w:r w:rsidR="00DE5ADE" w:rsidRPr="002F1FF8">
        <w:rPr>
          <w:rFonts w:ascii="Palatino Linotype" w:eastAsia="Palatino Linotype" w:hAnsi="Palatino Linotype" w:cs="Palatino Linotype"/>
          <w:sz w:val="22"/>
          <w:szCs w:val="22"/>
        </w:rPr>
        <w:t>tomando en consideración la respuesta proporcionada por el servidor público habilitado</w:t>
      </w:r>
      <w:r w:rsidR="007304EC" w:rsidRPr="002F1FF8">
        <w:rPr>
          <w:rFonts w:ascii="Palatino Linotype" w:eastAsia="Palatino Linotype" w:hAnsi="Palatino Linotype" w:cs="Palatino Linotype"/>
          <w:sz w:val="22"/>
          <w:szCs w:val="22"/>
        </w:rPr>
        <w:t xml:space="preserve">, se debe puntualizar que este </w:t>
      </w:r>
      <w:r w:rsidR="007304EC" w:rsidRPr="002F1FF8">
        <w:rPr>
          <w:rFonts w:ascii="Palatino Linotype" w:hAnsi="Palatino Linotype"/>
          <w:sz w:val="22"/>
          <w:szCs w:val="22"/>
        </w:rPr>
        <w:t>justificó la restricción al Derecho de acceso a la información bajo el argumento de que la información solicitada se encuentra en proceso de integración al formar parte del tercero y cuarto informe trimestral de 2025, que deben remitirse al del Órgano Superior de Fiscalización del Estado de México</w:t>
      </w:r>
      <w:r w:rsidR="00857C0C" w:rsidRPr="002F1FF8">
        <w:rPr>
          <w:rFonts w:ascii="Palatino Linotype" w:hAnsi="Palatino Linotype"/>
          <w:sz w:val="22"/>
          <w:szCs w:val="22"/>
        </w:rPr>
        <w:t>, ello en virtud de que</w:t>
      </w:r>
      <w:r w:rsidR="007304EC" w:rsidRPr="002F1FF8">
        <w:rPr>
          <w:rFonts w:ascii="Palatino Linotype" w:hAnsi="Palatino Linotype"/>
          <w:sz w:val="22"/>
          <w:szCs w:val="22"/>
        </w:rPr>
        <w:t xml:space="preserve"> la solicitud de información </w:t>
      </w:r>
      <w:r w:rsidR="007304EC" w:rsidRPr="002F1FF8">
        <w:rPr>
          <w:rFonts w:ascii="Palatino Linotype" w:hAnsi="Palatino Linotype"/>
          <w:b/>
          <w:bCs/>
          <w:sz w:val="22"/>
          <w:szCs w:val="22"/>
          <w:u w:val="single"/>
        </w:rPr>
        <w:t xml:space="preserve">se registró el </w:t>
      </w:r>
      <w:r w:rsidR="00857C0C" w:rsidRPr="002F1FF8">
        <w:rPr>
          <w:rFonts w:ascii="Palatino Linotype" w:hAnsi="Palatino Linotype"/>
          <w:b/>
          <w:bCs/>
          <w:sz w:val="22"/>
          <w:szCs w:val="22"/>
          <w:u w:val="single"/>
        </w:rPr>
        <w:t>tres</w:t>
      </w:r>
      <w:r w:rsidR="007304EC" w:rsidRPr="002F1FF8">
        <w:rPr>
          <w:rFonts w:ascii="Palatino Linotype" w:hAnsi="Palatino Linotype"/>
          <w:b/>
          <w:bCs/>
          <w:sz w:val="22"/>
          <w:szCs w:val="22"/>
          <w:u w:val="single"/>
        </w:rPr>
        <w:t xml:space="preserve"> de septiembre de dos mil veinti</w:t>
      </w:r>
      <w:r w:rsidR="00857C0C" w:rsidRPr="002F1FF8">
        <w:rPr>
          <w:rFonts w:ascii="Palatino Linotype" w:hAnsi="Palatino Linotype"/>
          <w:b/>
          <w:bCs/>
          <w:sz w:val="22"/>
          <w:szCs w:val="22"/>
          <w:u w:val="single"/>
        </w:rPr>
        <w:t>cinco</w:t>
      </w:r>
      <w:r w:rsidR="007304EC" w:rsidRPr="002F1FF8">
        <w:rPr>
          <w:rFonts w:ascii="Palatino Linotype" w:hAnsi="Palatino Linotype"/>
          <w:b/>
          <w:bCs/>
          <w:sz w:val="22"/>
          <w:szCs w:val="22"/>
          <w:u w:val="single"/>
        </w:rPr>
        <w:t>,</w:t>
      </w:r>
      <w:r w:rsidR="007304EC" w:rsidRPr="002F1FF8">
        <w:rPr>
          <w:rFonts w:ascii="Palatino Linotype" w:hAnsi="Palatino Linotype"/>
          <w:sz w:val="22"/>
          <w:szCs w:val="22"/>
        </w:rPr>
        <w:t xml:space="preserve"> </w:t>
      </w:r>
      <w:r w:rsidR="00857C0C" w:rsidRPr="002F1FF8">
        <w:rPr>
          <w:rFonts w:ascii="Palatino Linotype" w:hAnsi="Palatino Linotype"/>
          <w:sz w:val="22"/>
          <w:szCs w:val="22"/>
        </w:rPr>
        <w:t>sin embargo, es</w:t>
      </w:r>
      <w:r w:rsidR="007304EC" w:rsidRPr="002F1FF8">
        <w:rPr>
          <w:rFonts w:ascii="Palatino Linotype" w:hAnsi="Palatino Linotype"/>
          <w:sz w:val="22"/>
          <w:szCs w:val="22"/>
        </w:rPr>
        <w:t xml:space="preserve"> necesario precisar que si bien, los entes fiscalizables se encuentran constreñidos para cumplir con sus obligaciones fiscales en términos y periodicidad dispuesta por la normatividad correspondiente, </w:t>
      </w:r>
      <w:r w:rsidR="007304EC" w:rsidRPr="002F1FF8">
        <w:rPr>
          <w:rFonts w:ascii="Palatino Linotype" w:hAnsi="Palatino Linotype"/>
          <w:b/>
          <w:sz w:val="22"/>
          <w:szCs w:val="22"/>
        </w:rPr>
        <w:t xml:space="preserve">ello </w:t>
      </w:r>
      <w:r w:rsidR="007304EC" w:rsidRPr="002F1FF8">
        <w:rPr>
          <w:rFonts w:ascii="Palatino Linotype" w:hAnsi="Palatino Linotype"/>
          <w:b/>
          <w:bCs/>
          <w:sz w:val="22"/>
          <w:szCs w:val="22"/>
          <w:u w:val="single"/>
        </w:rPr>
        <w:t>no significa que los sujetos obligados no permitan el acceso a la información que por su naturaleza deben generar de manera diaria, semanal o mensual, cuando se solicite en el ejercicio del derecho d</w:t>
      </w:r>
      <w:r w:rsidR="00857C0C" w:rsidRPr="002F1FF8">
        <w:rPr>
          <w:rFonts w:ascii="Palatino Linotype" w:hAnsi="Palatino Linotype"/>
          <w:b/>
          <w:bCs/>
          <w:sz w:val="22"/>
          <w:szCs w:val="22"/>
          <w:u w:val="single"/>
        </w:rPr>
        <w:t>e acceso a la información.</w:t>
      </w:r>
    </w:p>
    <w:p w14:paraId="78D77796" w14:textId="2D7DD55C" w:rsidR="007304EC" w:rsidRPr="002F1FF8" w:rsidRDefault="00857C0C" w:rsidP="004A30AD">
      <w:pPr>
        <w:tabs>
          <w:tab w:val="left" w:pos="709"/>
        </w:tabs>
        <w:spacing w:before="240" w:after="240" w:line="360" w:lineRule="auto"/>
        <w:jc w:val="both"/>
        <w:rPr>
          <w:rFonts w:ascii="Palatino Linotype" w:hAnsi="Palatino Linotype"/>
          <w:sz w:val="22"/>
          <w:szCs w:val="22"/>
        </w:rPr>
      </w:pPr>
      <w:r w:rsidRPr="002F1FF8">
        <w:rPr>
          <w:rFonts w:ascii="Palatino Linotype" w:hAnsi="Palatino Linotype"/>
          <w:sz w:val="22"/>
          <w:szCs w:val="22"/>
        </w:rPr>
        <w:t>En otras palabras</w:t>
      </w:r>
      <w:r w:rsidR="007304EC" w:rsidRPr="002F1FF8">
        <w:rPr>
          <w:rFonts w:ascii="Palatino Linotype" w:hAnsi="Palatino Linotype"/>
          <w:sz w:val="22"/>
          <w:szCs w:val="22"/>
        </w:rPr>
        <w:t>, si bien es cierto, los entes fiscalizables entregan sus informes trimestralmente en cumplimiento de sus obligaciones fiscales,</w:t>
      </w:r>
      <w:r w:rsidRPr="002F1FF8">
        <w:rPr>
          <w:rFonts w:ascii="Palatino Linotype" w:hAnsi="Palatino Linotype"/>
          <w:sz w:val="22"/>
          <w:szCs w:val="22"/>
        </w:rPr>
        <w:t xml:space="preserve"> de conformidad con los LINEAMIENTOS, FECHAS DE CAPACITACIÓN Y CALENDARIZACIÓN PARA LA INTEGRACIÓN Y PRESENTACIÓN DE LOS INFORMES TRIMESTRALES ESTATALES Y MUNICIPALES DEL EJERCICIO FISCAL 2025, DE LAS ENTIDADES FISCALIZABLES DEL ESTADO DE MÉXICO -</w:t>
      </w:r>
      <w:r w:rsidR="00FA3C9A" w:rsidRPr="002F1FF8">
        <w:rPr>
          <w:rFonts w:ascii="Palatino Linotype" w:hAnsi="Palatino Linotype"/>
          <w:sz w:val="22"/>
          <w:szCs w:val="22"/>
        </w:rPr>
        <w:t xml:space="preserve">cuya dirección para efectos de </w:t>
      </w:r>
      <w:r w:rsidRPr="002F1FF8">
        <w:rPr>
          <w:rFonts w:ascii="Palatino Linotype" w:hAnsi="Palatino Linotype"/>
          <w:sz w:val="22"/>
          <w:szCs w:val="22"/>
        </w:rPr>
        <w:t>l</w:t>
      </w:r>
      <w:r w:rsidR="00FA3C9A" w:rsidRPr="002F1FF8">
        <w:rPr>
          <w:rFonts w:ascii="Palatino Linotype" w:hAnsi="Palatino Linotype"/>
          <w:sz w:val="22"/>
          <w:szCs w:val="22"/>
        </w:rPr>
        <w:t>a</w:t>
      </w:r>
      <w:r w:rsidRPr="002F1FF8">
        <w:rPr>
          <w:rFonts w:ascii="Palatino Linotype" w:hAnsi="Palatino Linotype"/>
          <w:sz w:val="22"/>
          <w:szCs w:val="22"/>
        </w:rPr>
        <w:t xml:space="preserve"> consulta se proporcionó, mismos que no serán analizados al no ser materia de la solicitud-, </w:t>
      </w:r>
      <w:r w:rsidR="007304EC" w:rsidRPr="002F1FF8">
        <w:rPr>
          <w:rFonts w:ascii="Palatino Linotype" w:hAnsi="Palatino Linotype"/>
          <w:sz w:val="22"/>
          <w:szCs w:val="22"/>
        </w:rPr>
        <w:t xml:space="preserve">también lo es que </w:t>
      </w:r>
      <w:r w:rsidRPr="002F1FF8">
        <w:rPr>
          <w:rFonts w:ascii="Palatino Linotype" w:hAnsi="Palatino Linotype"/>
          <w:sz w:val="22"/>
          <w:szCs w:val="22"/>
        </w:rPr>
        <w:t xml:space="preserve">los referidos informes </w:t>
      </w:r>
      <w:r w:rsidR="007304EC" w:rsidRPr="002F1FF8">
        <w:rPr>
          <w:rFonts w:ascii="Palatino Linotype" w:hAnsi="Palatino Linotype"/>
          <w:b/>
          <w:sz w:val="22"/>
          <w:szCs w:val="22"/>
        </w:rPr>
        <w:t>se integran de información que ha sido obtenida de forma consecutiva</w:t>
      </w:r>
      <w:r w:rsidR="007304EC" w:rsidRPr="002F1FF8">
        <w:rPr>
          <w:rFonts w:ascii="Palatino Linotype" w:hAnsi="Palatino Linotype"/>
          <w:sz w:val="22"/>
          <w:szCs w:val="22"/>
        </w:rPr>
        <w:t>, p</w:t>
      </w:r>
      <w:r w:rsidR="004A30AD" w:rsidRPr="002F1FF8">
        <w:rPr>
          <w:rFonts w:ascii="Palatino Linotype" w:hAnsi="Palatino Linotype"/>
          <w:sz w:val="22"/>
          <w:szCs w:val="22"/>
        </w:rPr>
        <w:t xml:space="preserve">or lo que, en el caso de que una persona </w:t>
      </w:r>
      <w:r w:rsidR="007304EC" w:rsidRPr="002F1FF8">
        <w:rPr>
          <w:rFonts w:ascii="Palatino Linotype" w:hAnsi="Palatino Linotype"/>
          <w:sz w:val="22"/>
          <w:szCs w:val="22"/>
        </w:rPr>
        <w:t>solicite información antes del trimestre, los Sujetos Obligados no pueden impedir acceso a los documentos que hasta el momento se han generado, sino que deben proporcionar la información que obre en sus archivos ya sea del periodo solicitado o, a la fecha de la solicitud de información</w:t>
      </w:r>
      <w:r w:rsidR="004A30AD" w:rsidRPr="002F1FF8">
        <w:rPr>
          <w:rFonts w:ascii="Palatino Linotype" w:hAnsi="Palatino Linotype"/>
          <w:sz w:val="22"/>
          <w:szCs w:val="22"/>
        </w:rPr>
        <w:t>.</w:t>
      </w:r>
    </w:p>
    <w:p w14:paraId="02B308A8" w14:textId="4EBF26DD" w:rsidR="00397531" w:rsidRPr="002F1FF8" w:rsidRDefault="00397531" w:rsidP="0039753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rPr>
      </w:pPr>
      <w:r w:rsidRPr="002F1FF8">
        <w:rPr>
          <w:rFonts w:ascii="Palatino Linotype" w:eastAsia="Palatino Linotype" w:hAnsi="Palatino Linotype" w:cs="Palatino Linotype"/>
          <w:sz w:val="22"/>
        </w:rPr>
        <w:t xml:space="preserve">En ese sentido, se conmina al </w:t>
      </w:r>
      <w:r w:rsidRPr="002F1FF8">
        <w:rPr>
          <w:rFonts w:ascii="Palatino Linotype" w:eastAsia="Palatino Linotype" w:hAnsi="Palatino Linotype" w:cs="Palatino Linotype"/>
          <w:b/>
          <w:sz w:val="22"/>
        </w:rPr>
        <w:t>Sujeto Obligado</w:t>
      </w:r>
      <w:r w:rsidRPr="002F1FF8">
        <w:rPr>
          <w:rFonts w:ascii="Palatino Linotype" w:eastAsia="Palatino Linotype" w:hAnsi="Palatino Linotype" w:cs="Palatino Linotype"/>
          <w:sz w:val="22"/>
        </w:rPr>
        <w:t xml:space="preserve"> que tenga a bien proporcionar toda la información que genere, administre y posee en congruencia con sus facultades, atribuciones y competencias, a la </w:t>
      </w:r>
      <w:r w:rsidR="009454C1" w:rsidRPr="002F1FF8">
        <w:rPr>
          <w:rFonts w:ascii="Palatino Linotype" w:eastAsia="Palatino Linotype" w:hAnsi="Palatino Linotype" w:cs="Palatino Linotype"/>
          <w:sz w:val="22"/>
        </w:rPr>
        <w:t xml:space="preserve">fecha en que las personas </w:t>
      </w:r>
      <w:r w:rsidRPr="002F1FF8">
        <w:rPr>
          <w:rFonts w:ascii="Palatino Linotype" w:eastAsia="Palatino Linotype" w:hAnsi="Palatino Linotype" w:cs="Palatino Linotype"/>
          <w:sz w:val="22"/>
        </w:rPr>
        <w:t>la solicitan o, del periodo que refieran, independientemente si esta está sujeta a plazos para cumplir con obligaciones en materia de fiscalización o, incluso, en materia de transparencia, toda vez que el derecho de acceso a la información es una prerrogativa constitucional que los ciudadanos gozan y debe ser garantizada por cualquier autoridad pública. </w:t>
      </w:r>
    </w:p>
    <w:p w14:paraId="256D1969" w14:textId="77777777" w:rsidR="00B04225" w:rsidRPr="002F1FF8" w:rsidRDefault="00B04225" w:rsidP="00B04225">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rPr>
        <w:t xml:space="preserve">Por otro lado, respecto a la naturaleza de la información requerida </w:t>
      </w:r>
      <w:r w:rsidRPr="002F1FF8">
        <w:rPr>
          <w:rFonts w:ascii="Palatino Linotype" w:eastAsia="Palatino Linotype" w:hAnsi="Palatino Linotype" w:cs="Palatino Linotype"/>
          <w:sz w:val="22"/>
          <w:szCs w:val="22"/>
        </w:rPr>
        <w:t xml:space="preserve">conviene hacer alusión a lo dispuesto en la Ley de Contratación Pública del Estado de México y Municipios, la cual tiene por objeto regular los actos relativos a la </w:t>
      </w:r>
      <w:r w:rsidRPr="002F1FF8">
        <w:rPr>
          <w:rFonts w:ascii="Palatino Linotype" w:eastAsia="Palatino Linotype" w:hAnsi="Palatino Linotype" w:cs="Palatino Linotype"/>
          <w:b/>
          <w:sz w:val="22"/>
          <w:szCs w:val="22"/>
          <w:u w:val="single"/>
        </w:rPr>
        <w:t>planeación, programación, presupuestación</w:t>
      </w:r>
      <w:r w:rsidRPr="002F1FF8">
        <w:rPr>
          <w:rFonts w:ascii="Palatino Linotype" w:eastAsia="Palatino Linotype" w:hAnsi="Palatino Linotype" w:cs="Palatino Linotype"/>
          <w:sz w:val="22"/>
          <w:szCs w:val="22"/>
        </w:rPr>
        <w:t xml:space="preserve">, ejecución y control de la </w:t>
      </w:r>
      <w:r w:rsidRPr="002F1FF8">
        <w:rPr>
          <w:rFonts w:ascii="Palatino Linotype" w:eastAsia="Palatino Linotype" w:hAnsi="Palatino Linotype" w:cs="Palatino Linotype"/>
          <w:b/>
          <w:sz w:val="22"/>
          <w:szCs w:val="22"/>
          <w:u w:val="single"/>
        </w:rPr>
        <w:t>adquisición</w:t>
      </w:r>
      <w:r w:rsidRPr="002F1FF8">
        <w:rPr>
          <w:rFonts w:ascii="Palatino Linotype" w:eastAsia="Palatino Linotype" w:hAnsi="Palatino Linotype" w:cs="Palatino Linotype"/>
          <w:sz w:val="22"/>
          <w:szCs w:val="22"/>
        </w:rPr>
        <w:t xml:space="preserve">, enajenación y arrendamiento de bienes, y la </w:t>
      </w:r>
      <w:r w:rsidRPr="002F1FF8">
        <w:rPr>
          <w:rFonts w:ascii="Palatino Linotype" w:eastAsia="Palatino Linotype" w:hAnsi="Palatino Linotype" w:cs="Palatino Linotype"/>
          <w:b/>
          <w:sz w:val="22"/>
          <w:szCs w:val="22"/>
          <w:u w:val="single"/>
        </w:rPr>
        <w:t>contratación de servicios de cualquier naturaleza, que realicen los Ayuntamientos del Estado</w:t>
      </w:r>
      <w:r w:rsidRPr="002F1FF8">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65748511"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4.-</w:t>
      </w:r>
      <w:r w:rsidRPr="002F1FF8">
        <w:rPr>
          <w:rFonts w:ascii="Palatino Linotype" w:eastAsia="Palatino Linotype" w:hAnsi="Palatino Linotype" w:cs="Palatino Linotype"/>
          <w:i/>
          <w:sz w:val="22"/>
          <w:szCs w:val="22"/>
        </w:rPr>
        <w:t xml:space="preserve"> Para los efectos de esta Ley, </w:t>
      </w:r>
      <w:r w:rsidRPr="002F1FF8">
        <w:rPr>
          <w:rFonts w:ascii="Palatino Linotype" w:eastAsia="Palatino Linotype" w:hAnsi="Palatino Linotype" w:cs="Palatino Linotype"/>
          <w:b/>
          <w:i/>
          <w:sz w:val="22"/>
          <w:szCs w:val="22"/>
        </w:rPr>
        <w:t>en las adquisiciones, enajenaciones, arrendamientos y servicios, quedan comprendidos</w:t>
      </w:r>
      <w:r w:rsidRPr="002F1FF8">
        <w:rPr>
          <w:rFonts w:ascii="Palatino Linotype" w:eastAsia="Palatino Linotype" w:hAnsi="Palatino Linotype" w:cs="Palatino Linotype"/>
          <w:i/>
          <w:sz w:val="22"/>
          <w:szCs w:val="22"/>
        </w:rPr>
        <w:t>:</w:t>
      </w:r>
    </w:p>
    <w:p w14:paraId="4221D8A8"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La adquisición de bienes muebles.</w:t>
      </w:r>
    </w:p>
    <w:p w14:paraId="27818C0F"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La adquisición de bienes inmuebles, a través de compraventa.</w:t>
      </w:r>
    </w:p>
    <w:p w14:paraId="2FE6EBEC"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La enajenación de bienes muebles e inmuebles.</w:t>
      </w:r>
    </w:p>
    <w:p w14:paraId="48F599B8"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IV.</w:t>
      </w:r>
      <w:r w:rsidRPr="002F1FF8">
        <w:rPr>
          <w:rFonts w:ascii="Palatino Linotype" w:eastAsia="Palatino Linotype" w:hAnsi="Palatino Linotype" w:cs="Palatino Linotype"/>
          <w:i/>
          <w:sz w:val="22"/>
          <w:szCs w:val="22"/>
        </w:rPr>
        <w:t xml:space="preserve"> El arrendamiento de bienes muebles e inmuebles. </w:t>
      </w:r>
    </w:p>
    <w:p w14:paraId="111711A5"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w:t>
      </w:r>
      <w:r w:rsidRPr="002F1FF8">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3D0CACB3"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w:t>
      </w:r>
      <w:r w:rsidRPr="002F1FF8">
        <w:rPr>
          <w:rFonts w:ascii="Palatino Linotype" w:eastAsia="Palatino Linotype" w:hAnsi="Palatino Linotype" w:cs="Palatino Linotype"/>
          <w:i/>
          <w:sz w:val="22"/>
          <w:szCs w:val="22"/>
        </w:rPr>
        <w:t xml:space="preserve"> La contratación de los servicios de reconstrucción y mantenimiento de bienes muebles. </w:t>
      </w:r>
    </w:p>
    <w:p w14:paraId="2A4A2CFD"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VII.</w:t>
      </w:r>
      <w:r w:rsidRPr="002F1FF8">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7AACB734"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VIII.</w:t>
      </w:r>
      <w:r w:rsidRPr="002F1FF8">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4EFD492A"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general, otros actos que impliquen la contratación de servicios de cualquier naturaleza</w:t>
      </w:r>
    </w:p>
    <w:p w14:paraId="65ECB316"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26.-</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Las adquisiciones, arrendamientos y servicios se adjudicarán a través de licitaciones públicas</w:t>
      </w:r>
      <w:r w:rsidRPr="002F1FF8">
        <w:rPr>
          <w:rFonts w:ascii="Palatino Linotype" w:eastAsia="Palatino Linotype" w:hAnsi="Palatino Linotype" w:cs="Palatino Linotype"/>
          <w:i/>
          <w:sz w:val="22"/>
          <w:szCs w:val="22"/>
        </w:rPr>
        <w:t xml:space="preserve">, mediante convocatoria pública. </w:t>
      </w:r>
    </w:p>
    <w:p w14:paraId="449F433C"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27.</w:t>
      </w:r>
      <w:r w:rsidRPr="002F1FF8">
        <w:rPr>
          <w:rFonts w:ascii="Palatino Linotype" w:eastAsia="Palatino Linotype" w:hAnsi="Palatino Linotype" w:cs="Palatino Linotype"/>
          <w:i/>
          <w:sz w:val="22"/>
          <w:szCs w:val="22"/>
        </w:rPr>
        <w:t xml:space="preserve">- La Secretaría, las entidades, los tribunales administrativos y los ayuntamientos podrán </w:t>
      </w:r>
      <w:r w:rsidRPr="002F1FF8">
        <w:rPr>
          <w:rFonts w:ascii="Palatino Linotype" w:eastAsia="Palatino Linotype" w:hAnsi="Palatino Linotype" w:cs="Palatino Linotype"/>
          <w:b/>
          <w:i/>
          <w:sz w:val="22"/>
          <w:szCs w:val="22"/>
        </w:rPr>
        <w:t>adjudicar adquisiciones, arrendamientos y servicios, mediante las excepciones al procedimiento de licitación</w:t>
      </w:r>
      <w:r w:rsidRPr="002F1FF8">
        <w:rPr>
          <w:rFonts w:ascii="Palatino Linotype" w:eastAsia="Palatino Linotype" w:hAnsi="Palatino Linotype" w:cs="Palatino Linotype"/>
          <w:i/>
          <w:sz w:val="22"/>
          <w:szCs w:val="22"/>
        </w:rPr>
        <w:t xml:space="preserve"> que a continuación se señalan:</w:t>
      </w:r>
    </w:p>
    <w:p w14:paraId="2CE33262"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Invitación restringida.</w:t>
      </w:r>
    </w:p>
    <w:p w14:paraId="2310AE6C"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II. </w:t>
      </w:r>
      <w:r w:rsidRPr="002F1FF8">
        <w:rPr>
          <w:rFonts w:ascii="Palatino Linotype" w:eastAsia="Palatino Linotype" w:hAnsi="Palatino Linotype" w:cs="Palatino Linotype"/>
          <w:i/>
          <w:sz w:val="22"/>
          <w:szCs w:val="22"/>
        </w:rPr>
        <w:t>Adjudicación directa.”</w:t>
      </w:r>
    </w:p>
    <w:p w14:paraId="52003063" w14:textId="77777777" w:rsidR="00B04225" w:rsidRPr="002F1FF8" w:rsidRDefault="00B04225" w:rsidP="00B04225">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6C4D26EB" w14:textId="77777777" w:rsidR="00B04225" w:rsidRPr="002F1FF8" w:rsidRDefault="00B04225" w:rsidP="00B04225">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66DB0738" w14:textId="77777777" w:rsidR="00B04225" w:rsidRPr="002F1FF8" w:rsidRDefault="00B04225" w:rsidP="00B04225">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Por ello, de acuerdo con el artículo 44 de la Ley de Contratación Pública del Estado de México y Municipios, las entidades públicas podrán adquirir y contratar servicios mediante invitación restringida en los siguientes casos: </w:t>
      </w:r>
    </w:p>
    <w:p w14:paraId="7BB0E74D"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44.-</w:t>
      </w:r>
      <w:r w:rsidRPr="002F1FF8">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4CA66DC2"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Se hubiere declarado desierto un procedimiento de licitación, o</w:t>
      </w:r>
    </w:p>
    <w:p w14:paraId="27CD7DD3"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1160D309"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4A8CA968"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la invitación deberá especificarse si en el proceso de asignación aplicará la modalidad de subasta inversa.”</w:t>
      </w:r>
    </w:p>
    <w:p w14:paraId="114BC9E9" w14:textId="77777777" w:rsidR="00B04225" w:rsidRPr="002F1FF8" w:rsidRDefault="00B04225" w:rsidP="00B04225">
      <w:pPr>
        <w:spacing w:before="240" w:after="240"/>
        <w:ind w:right="49"/>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sz w:val="22"/>
          <w:szCs w:val="22"/>
        </w:rPr>
        <w:t>Asimismo, el artículo 46 de la Ley referida, menciona que:</w:t>
      </w:r>
    </w:p>
    <w:p w14:paraId="238D9BEE"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i/>
          <w:sz w:val="22"/>
          <w:szCs w:val="22"/>
        </w:rPr>
        <w:t>Artículo 46.-</w:t>
      </w:r>
      <w:r w:rsidRPr="002F1FF8">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0AA3BA5A" w14:textId="77777777" w:rsidR="00B04225" w:rsidRPr="002F1FF8" w:rsidRDefault="00B04225" w:rsidP="00B04225">
      <w:pPr>
        <w:spacing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4630CDB6" w14:textId="77777777" w:rsidR="00B04225" w:rsidRPr="002F1FF8" w:rsidRDefault="00B04225" w:rsidP="00B04225">
      <w:pPr>
        <w:tabs>
          <w:tab w:val="left" w:pos="7938"/>
        </w:tabs>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48.-</w:t>
      </w:r>
      <w:r w:rsidRPr="002F1FF8">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59508FBD"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02A73096"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62FFA5AF"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04841774"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IV.</w:t>
      </w:r>
      <w:r w:rsidRPr="002F1FF8">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5A845E55"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w:t>
      </w:r>
      <w:r w:rsidRPr="002F1FF8">
        <w:rPr>
          <w:rFonts w:ascii="Palatino Linotype" w:eastAsia="Palatino Linotype" w:hAnsi="Palatino Linotype" w:cs="Palatino Linotype"/>
          <w:i/>
          <w:sz w:val="22"/>
          <w:szCs w:val="22"/>
        </w:rPr>
        <w:t>. Existan circunstancias que puedan provocar pérdidas o costos adicionales importantes al erario.</w:t>
      </w:r>
    </w:p>
    <w:p w14:paraId="2323CEA1"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w:t>
      </w:r>
      <w:r w:rsidRPr="002F1FF8">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2FBAB19C"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VII</w:t>
      </w:r>
      <w:r w:rsidRPr="002F1FF8">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283C6D36"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VIII</w:t>
      </w:r>
      <w:r w:rsidRPr="002F1FF8">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31368BA8"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IX</w:t>
      </w:r>
      <w:r w:rsidRPr="002F1FF8">
        <w:rPr>
          <w:rFonts w:ascii="Palatino Linotype" w:eastAsia="Palatino Linotype" w:hAnsi="Palatino Linotype" w:cs="Palatino Linotype"/>
          <w:i/>
          <w:sz w:val="22"/>
          <w:szCs w:val="22"/>
        </w:rPr>
        <w:t>. Se hubiere declarado desierto un procedimiento de invitación restringida.</w:t>
      </w:r>
    </w:p>
    <w:p w14:paraId="14987A1C"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w:t>
      </w:r>
      <w:r w:rsidRPr="002F1FF8">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389141FD"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XI</w:t>
      </w:r>
      <w:r w:rsidRPr="002F1FF8">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379D5B21" w14:textId="77777777" w:rsidR="00B04225" w:rsidRPr="002F1FF8" w:rsidRDefault="00B04225" w:rsidP="00B04225">
      <w:pPr>
        <w:tabs>
          <w:tab w:val="left" w:pos="7938"/>
        </w:tabs>
        <w:spacing w:before="120" w:after="120"/>
        <w:ind w:left="1134"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XII</w:t>
      </w:r>
      <w:r w:rsidRPr="002F1FF8">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2ABDE11F" w14:textId="77777777" w:rsidR="00B04225" w:rsidRPr="002F1FF8" w:rsidRDefault="00B04225" w:rsidP="00B04225">
      <w:pPr>
        <w:tabs>
          <w:tab w:val="left" w:pos="7938"/>
        </w:tabs>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49.-</w:t>
      </w:r>
      <w:r w:rsidRPr="002F1FF8">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51723DD3" w14:textId="77777777" w:rsidR="00B04225" w:rsidRPr="002F1FF8" w:rsidRDefault="00B04225" w:rsidP="00B04225">
      <w:pPr>
        <w:tabs>
          <w:tab w:val="left" w:pos="3544"/>
        </w:tabs>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Asimismo,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2F1FF8">
        <w:rPr>
          <w:rFonts w:ascii="Palatino Linotype" w:eastAsia="Palatino Linotype" w:hAnsi="Palatino Linotype" w:cs="Palatino Linotype"/>
          <w:b/>
          <w:sz w:val="22"/>
          <w:szCs w:val="22"/>
        </w:rPr>
        <w:t>incluyendo la versión pública</w:t>
      </w: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sz w:val="22"/>
          <w:szCs w:val="22"/>
        </w:rPr>
        <w:t>del expediente respectivo</w:t>
      </w:r>
      <w:r w:rsidRPr="002F1FF8">
        <w:rPr>
          <w:rFonts w:ascii="Palatino Linotype" w:eastAsia="Palatino Linotype" w:hAnsi="Palatino Linotype" w:cs="Palatino Linotype"/>
          <w:sz w:val="22"/>
          <w:szCs w:val="22"/>
        </w:rPr>
        <w:t xml:space="preserve"> y </w:t>
      </w:r>
      <w:r w:rsidRPr="002F1FF8">
        <w:rPr>
          <w:rFonts w:ascii="Palatino Linotype" w:eastAsia="Palatino Linotype" w:hAnsi="Palatino Linotype" w:cs="Palatino Linotype"/>
          <w:b/>
          <w:sz w:val="22"/>
          <w:szCs w:val="22"/>
        </w:rPr>
        <w:t>de los contratos celebrados;</w:t>
      </w:r>
      <w:r w:rsidRPr="002F1FF8">
        <w:rPr>
          <w:rFonts w:ascii="Palatino Linotype" w:eastAsia="Palatino Linotype" w:hAnsi="Palatino Linotype" w:cs="Palatino Linotype"/>
          <w:sz w:val="22"/>
          <w:szCs w:val="22"/>
        </w:rPr>
        <w:t xml:space="preserve"> a saber:</w:t>
      </w:r>
    </w:p>
    <w:p w14:paraId="26BAA025" w14:textId="77777777" w:rsidR="00B04225" w:rsidRPr="002F1FF8" w:rsidRDefault="00B04225" w:rsidP="00B04225">
      <w:pPr>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92</w:t>
      </w:r>
      <w:r w:rsidRPr="002F1FF8">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9E72C5" w14:textId="77777777" w:rsidR="00B04225" w:rsidRPr="002F1FF8" w:rsidRDefault="00B04225" w:rsidP="00B04225">
      <w:pPr>
        <w:tabs>
          <w:tab w:val="left" w:pos="426"/>
          <w:tab w:val="left" w:pos="2145"/>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i/>
          <w:sz w:val="22"/>
          <w:szCs w:val="22"/>
        </w:rPr>
        <w:tab/>
      </w:r>
    </w:p>
    <w:p w14:paraId="39A5ECC6"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XXIX.</w:t>
      </w:r>
      <w:r w:rsidRPr="002F1FF8">
        <w:rPr>
          <w:rFonts w:ascii="Palatino Linotype" w:eastAsia="Palatino Linotype" w:hAnsi="Palatino Linotype" w:cs="Palatino Linotype"/>
          <w:i/>
          <w:sz w:val="22"/>
          <w:szCs w:val="22"/>
        </w:rPr>
        <w:t xml:space="preserve"> La </w:t>
      </w:r>
      <w:r w:rsidRPr="002F1FF8">
        <w:rPr>
          <w:rFonts w:ascii="Palatino Linotype" w:eastAsia="Palatino Linotype" w:hAnsi="Palatino Linotype" w:cs="Palatino Linotype"/>
          <w:b/>
          <w:i/>
          <w:sz w:val="22"/>
          <w:szCs w:val="22"/>
        </w:rPr>
        <w:t xml:space="preserve">información sobre los procesos y resultados </w:t>
      </w:r>
      <w:r w:rsidRPr="002F1FF8">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2F1FF8">
        <w:rPr>
          <w:rFonts w:ascii="Palatino Linotype" w:eastAsia="Palatino Linotype" w:hAnsi="Palatino Linotype" w:cs="Palatino Linotype"/>
          <w:i/>
          <w:sz w:val="22"/>
          <w:szCs w:val="22"/>
          <w:u w:val="single"/>
        </w:rPr>
        <w:t xml:space="preserve">, </w:t>
      </w:r>
      <w:r w:rsidRPr="002F1FF8">
        <w:rPr>
          <w:rFonts w:ascii="Palatino Linotype" w:eastAsia="Palatino Linotype" w:hAnsi="Palatino Linotype" w:cs="Palatino Linotype"/>
          <w:b/>
          <w:i/>
          <w:sz w:val="22"/>
          <w:szCs w:val="22"/>
        </w:rPr>
        <w:t>incluyendo la versión pública</w:t>
      </w:r>
      <w:r w:rsidRPr="002F1FF8">
        <w:rPr>
          <w:rFonts w:ascii="Palatino Linotype" w:eastAsia="Palatino Linotype" w:hAnsi="Palatino Linotype" w:cs="Palatino Linotype"/>
          <w:i/>
          <w:sz w:val="22"/>
          <w:szCs w:val="22"/>
        </w:rPr>
        <w:t xml:space="preserve"> del expediente respectivo y </w:t>
      </w:r>
      <w:r w:rsidRPr="002F1FF8">
        <w:rPr>
          <w:rFonts w:ascii="Palatino Linotype" w:eastAsia="Palatino Linotype" w:hAnsi="Palatino Linotype" w:cs="Palatino Linotype"/>
          <w:b/>
          <w:i/>
          <w:sz w:val="22"/>
          <w:szCs w:val="22"/>
        </w:rPr>
        <w:t>de los contratos celebrados</w:t>
      </w:r>
      <w:r w:rsidRPr="002F1FF8">
        <w:rPr>
          <w:rFonts w:ascii="Palatino Linotype" w:eastAsia="Palatino Linotype" w:hAnsi="Palatino Linotype" w:cs="Palatino Linotype"/>
          <w:i/>
          <w:sz w:val="22"/>
          <w:szCs w:val="22"/>
        </w:rPr>
        <w:t>, que deberán contener, por los menos, lo siguiente:</w:t>
      </w:r>
    </w:p>
    <w:p w14:paraId="2D792F6A"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a) De licitaciones públicas o procedimientos de invitación restringida:</w:t>
      </w:r>
    </w:p>
    <w:p w14:paraId="1D1CB3ED"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w:t>
      </w:r>
      <w:r w:rsidRPr="002F1FF8">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712F4A56"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2)</w:t>
      </w:r>
      <w:r w:rsidRPr="002F1FF8">
        <w:rPr>
          <w:rFonts w:ascii="Palatino Linotype" w:eastAsia="Palatino Linotype" w:hAnsi="Palatino Linotype" w:cs="Palatino Linotype"/>
          <w:i/>
          <w:sz w:val="22"/>
          <w:szCs w:val="22"/>
        </w:rPr>
        <w:t xml:space="preserve"> Los nombres de los participantes o invitados;</w:t>
      </w:r>
    </w:p>
    <w:p w14:paraId="3E43AAC5"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3)</w:t>
      </w:r>
      <w:r w:rsidRPr="002F1FF8">
        <w:rPr>
          <w:rFonts w:ascii="Palatino Linotype" w:eastAsia="Palatino Linotype" w:hAnsi="Palatino Linotype" w:cs="Palatino Linotype"/>
          <w:i/>
          <w:sz w:val="22"/>
          <w:szCs w:val="22"/>
        </w:rPr>
        <w:t xml:space="preserve"> El nombre del ganador y las razones que lo justifican;</w:t>
      </w:r>
    </w:p>
    <w:p w14:paraId="44FB2633"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4)</w:t>
      </w:r>
      <w:r w:rsidRPr="002F1FF8">
        <w:rPr>
          <w:rFonts w:ascii="Palatino Linotype" w:eastAsia="Palatino Linotype" w:hAnsi="Palatino Linotype" w:cs="Palatino Linotype"/>
          <w:i/>
          <w:sz w:val="22"/>
          <w:szCs w:val="22"/>
        </w:rPr>
        <w:t xml:space="preserve"> El área solicitante y la responsable de su ejecución;</w:t>
      </w:r>
    </w:p>
    <w:p w14:paraId="71F55C2C"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5)</w:t>
      </w:r>
      <w:r w:rsidRPr="002F1FF8">
        <w:rPr>
          <w:rFonts w:ascii="Palatino Linotype" w:eastAsia="Palatino Linotype" w:hAnsi="Palatino Linotype" w:cs="Palatino Linotype"/>
          <w:i/>
          <w:sz w:val="22"/>
          <w:szCs w:val="22"/>
        </w:rPr>
        <w:t xml:space="preserve"> Las convocatorias e invitaciones emitidas; </w:t>
      </w:r>
    </w:p>
    <w:p w14:paraId="6CDE0888"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6)</w:t>
      </w:r>
      <w:r w:rsidRPr="002F1FF8">
        <w:rPr>
          <w:rFonts w:ascii="Palatino Linotype" w:eastAsia="Palatino Linotype" w:hAnsi="Palatino Linotype" w:cs="Palatino Linotype"/>
          <w:i/>
          <w:sz w:val="22"/>
          <w:szCs w:val="22"/>
        </w:rPr>
        <w:t xml:space="preserve"> Los dictámenes y fallo de adjudicación;</w:t>
      </w:r>
    </w:p>
    <w:p w14:paraId="1CFA2FB0"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7) </w:t>
      </w:r>
      <w:r w:rsidRPr="002F1FF8">
        <w:rPr>
          <w:rFonts w:ascii="Palatino Linotype" w:eastAsia="Palatino Linotype" w:hAnsi="Palatino Linotype" w:cs="Palatino Linotype"/>
          <w:b/>
          <w:bCs/>
          <w:i/>
          <w:sz w:val="22"/>
          <w:szCs w:val="22"/>
        </w:rPr>
        <w:t xml:space="preserve">El contrato </w:t>
      </w:r>
      <w:r w:rsidRPr="002F1FF8">
        <w:rPr>
          <w:rFonts w:ascii="Palatino Linotype" w:eastAsia="Palatino Linotype" w:hAnsi="Palatino Linotype" w:cs="Palatino Linotype"/>
          <w:i/>
          <w:sz w:val="22"/>
          <w:szCs w:val="22"/>
        </w:rPr>
        <w:t xml:space="preserve">y, en su caso, sus anexos; </w:t>
      </w:r>
    </w:p>
    <w:p w14:paraId="4504242A"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8)</w:t>
      </w:r>
      <w:r w:rsidRPr="002F1FF8">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4AEC460F"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9)</w:t>
      </w:r>
      <w:r w:rsidRPr="002F1FF8">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65488F61"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10)</w:t>
      </w:r>
      <w:r w:rsidRPr="002F1FF8">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2BB16597"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11)</w:t>
      </w:r>
      <w:r w:rsidRPr="002F1FF8">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4F93142B"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12)</w:t>
      </w:r>
      <w:r w:rsidRPr="002F1FF8">
        <w:rPr>
          <w:rFonts w:ascii="Palatino Linotype" w:eastAsia="Palatino Linotype" w:hAnsi="Palatino Linotype" w:cs="Palatino Linotype"/>
          <w:i/>
          <w:sz w:val="22"/>
          <w:szCs w:val="22"/>
        </w:rPr>
        <w:t xml:space="preserve"> Los informes de avance físico y financiero sobre las obras o servicios contratados; </w:t>
      </w:r>
    </w:p>
    <w:p w14:paraId="587985F1"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13)</w:t>
      </w:r>
      <w:r w:rsidRPr="002F1FF8">
        <w:rPr>
          <w:rFonts w:ascii="Palatino Linotype" w:eastAsia="Palatino Linotype" w:hAnsi="Palatino Linotype" w:cs="Palatino Linotype"/>
          <w:i/>
          <w:sz w:val="22"/>
          <w:szCs w:val="22"/>
        </w:rPr>
        <w:t xml:space="preserve"> El convenio de terminación; </w:t>
      </w:r>
    </w:p>
    <w:p w14:paraId="491463F7"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14)</w:t>
      </w:r>
      <w:r w:rsidRPr="002F1FF8">
        <w:rPr>
          <w:rFonts w:ascii="Palatino Linotype" w:eastAsia="Palatino Linotype" w:hAnsi="Palatino Linotype" w:cs="Palatino Linotype"/>
          <w:i/>
          <w:sz w:val="22"/>
          <w:szCs w:val="22"/>
        </w:rPr>
        <w:t xml:space="preserve"> El finiquito.</w:t>
      </w:r>
    </w:p>
    <w:p w14:paraId="2E4BC669"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 xml:space="preserve">b) De las adjudicaciones directas: </w:t>
      </w:r>
    </w:p>
    <w:p w14:paraId="2C076F28"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w:t>
      </w:r>
      <w:r w:rsidRPr="002F1FF8">
        <w:rPr>
          <w:rFonts w:ascii="Palatino Linotype" w:eastAsia="Palatino Linotype" w:hAnsi="Palatino Linotype" w:cs="Palatino Linotype"/>
          <w:i/>
          <w:sz w:val="22"/>
          <w:szCs w:val="22"/>
        </w:rPr>
        <w:t xml:space="preserve"> La propuesta enviada por el participante; </w:t>
      </w:r>
    </w:p>
    <w:p w14:paraId="3440102C"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2)</w:t>
      </w:r>
      <w:r w:rsidRPr="002F1FF8">
        <w:rPr>
          <w:rFonts w:ascii="Palatino Linotype" w:eastAsia="Palatino Linotype" w:hAnsi="Palatino Linotype" w:cs="Palatino Linotype"/>
          <w:i/>
          <w:sz w:val="22"/>
          <w:szCs w:val="22"/>
        </w:rPr>
        <w:t xml:space="preserve"> Los motivos y fundamentos legales aplicados para llevarla a cabo;</w:t>
      </w:r>
    </w:p>
    <w:p w14:paraId="18B93C22"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3)</w:t>
      </w:r>
      <w:r w:rsidRPr="002F1FF8">
        <w:rPr>
          <w:rFonts w:ascii="Palatino Linotype" w:eastAsia="Palatino Linotype" w:hAnsi="Palatino Linotype" w:cs="Palatino Linotype"/>
          <w:i/>
          <w:sz w:val="22"/>
          <w:szCs w:val="22"/>
        </w:rPr>
        <w:t xml:space="preserve"> La autorización del ejercicio de la opción; </w:t>
      </w:r>
    </w:p>
    <w:p w14:paraId="15449728"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 xml:space="preserve">4) </w:t>
      </w:r>
      <w:r w:rsidRPr="002F1FF8">
        <w:rPr>
          <w:rFonts w:ascii="Palatino Linotype" w:eastAsia="Palatino Linotype" w:hAnsi="Palatino Linotype" w:cs="Palatino Linotype"/>
          <w:i/>
          <w:sz w:val="22"/>
          <w:szCs w:val="22"/>
        </w:rPr>
        <w:t>En su caso, las cotizaciones consideradas, especificando los nombres de los proveedores y sus montos;</w:t>
      </w:r>
      <w:r w:rsidRPr="002F1FF8">
        <w:rPr>
          <w:rFonts w:ascii="Palatino Linotype" w:eastAsia="Palatino Linotype" w:hAnsi="Palatino Linotype" w:cs="Palatino Linotype"/>
          <w:b/>
          <w:i/>
          <w:sz w:val="22"/>
          <w:szCs w:val="22"/>
        </w:rPr>
        <w:t xml:space="preserve"> </w:t>
      </w:r>
    </w:p>
    <w:p w14:paraId="036792DB"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5)</w:t>
      </w:r>
      <w:r w:rsidRPr="002F1FF8">
        <w:rPr>
          <w:rFonts w:ascii="Palatino Linotype" w:eastAsia="Palatino Linotype" w:hAnsi="Palatino Linotype" w:cs="Palatino Linotype"/>
          <w:i/>
          <w:sz w:val="22"/>
          <w:szCs w:val="22"/>
        </w:rPr>
        <w:t xml:space="preserve"> El nombre de la persona física o jurídica colectiva adjudicada; </w:t>
      </w:r>
    </w:p>
    <w:p w14:paraId="37798D50"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6)</w:t>
      </w:r>
      <w:r w:rsidRPr="002F1FF8">
        <w:rPr>
          <w:rFonts w:ascii="Palatino Linotype" w:eastAsia="Palatino Linotype" w:hAnsi="Palatino Linotype" w:cs="Palatino Linotype"/>
          <w:i/>
          <w:sz w:val="22"/>
          <w:szCs w:val="22"/>
        </w:rPr>
        <w:t xml:space="preserve"> La unidad administrativa solicitante y la responsable de su ejecución; </w:t>
      </w:r>
    </w:p>
    <w:p w14:paraId="4D2F00EA"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7) </w:t>
      </w:r>
      <w:r w:rsidRPr="002F1FF8">
        <w:rPr>
          <w:rFonts w:ascii="Palatino Linotype" w:eastAsia="Palatino Linotype" w:hAnsi="Palatino Linotype" w:cs="Palatino Linotype"/>
          <w:b/>
          <w:bCs/>
          <w:i/>
          <w:sz w:val="22"/>
          <w:szCs w:val="22"/>
        </w:rPr>
        <w:t>El número, fecha, el monto del contrato</w:t>
      </w:r>
      <w:r w:rsidRPr="002F1FF8">
        <w:rPr>
          <w:rFonts w:ascii="Palatino Linotype" w:eastAsia="Palatino Linotype" w:hAnsi="Palatino Linotype" w:cs="Palatino Linotype"/>
          <w:i/>
          <w:sz w:val="22"/>
          <w:szCs w:val="22"/>
        </w:rPr>
        <w:t xml:space="preserve"> y el plazo de entrega o de ejecución de los servicios u obra; </w:t>
      </w:r>
    </w:p>
    <w:p w14:paraId="1F42FC75"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8)</w:t>
      </w:r>
      <w:r w:rsidRPr="002F1FF8">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67DBDA1C"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9)</w:t>
      </w:r>
      <w:r w:rsidRPr="002F1FF8">
        <w:rPr>
          <w:rFonts w:ascii="Palatino Linotype" w:eastAsia="Palatino Linotype" w:hAnsi="Palatino Linotype" w:cs="Palatino Linotype"/>
          <w:i/>
          <w:sz w:val="22"/>
          <w:szCs w:val="22"/>
        </w:rPr>
        <w:t xml:space="preserve"> Los informes de avance sobre las obras o servicios contratados; </w:t>
      </w:r>
    </w:p>
    <w:p w14:paraId="784B5A8E"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10)</w:t>
      </w:r>
      <w:r w:rsidRPr="002F1FF8">
        <w:rPr>
          <w:rFonts w:ascii="Palatino Linotype" w:eastAsia="Palatino Linotype" w:hAnsi="Palatino Linotype" w:cs="Palatino Linotype"/>
          <w:i/>
          <w:sz w:val="22"/>
          <w:szCs w:val="22"/>
        </w:rPr>
        <w:t xml:space="preserve"> El convenio de terminación; y </w:t>
      </w:r>
    </w:p>
    <w:p w14:paraId="7DDDF97C" w14:textId="77777777" w:rsidR="00B04225" w:rsidRPr="002F1FF8" w:rsidRDefault="00B04225" w:rsidP="00B04225">
      <w:pPr>
        <w:tabs>
          <w:tab w:val="left" w:pos="42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11)</w:t>
      </w:r>
      <w:r w:rsidRPr="002F1FF8">
        <w:rPr>
          <w:rFonts w:ascii="Palatino Linotype" w:eastAsia="Palatino Linotype" w:hAnsi="Palatino Linotype" w:cs="Palatino Linotype"/>
          <w:i/>
          <w:sz w:val="22"/>
          <w:szCs w:val="22"/>
        </w:rPr>
        <w:t xml:space="preserve"> El finiquito;”</w:t>
      </w:r>
    </w:p>
    <w:p w14:paraId="47B90CA6" w14:textId="77777777" w:rsidR="00B04225" w:rsidRPr="002F1FF8" w:rsidRDefault="00B04225" w:rsidP="00B04225">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212706DC" w14:textId="77777777" w:rsidR="00B04225" w:rsidRPr="002F1FF8" w:rsidRDefault="00B04225" w:rsidP="00B04225">
      <w:pPr>
        <w:tabs>
          <w:tab w:val="left" w:pos="709"/>
        </w:tabs>
        <w:spacing w:before="240" w:after="240" w:line="360" w:lineRule="auto"/>
        <w:ind w:left="284"/>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sz w:val="22"/>
          <w:szCs w:val="22"/>
        </w:rPr>
        <w:t xml:space="preserve">Licitación pública: </w:t>
      </w:r>
      <w:r w:rsidRPr="002F1FF8">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713EF57E" w14:textId="77777777" w:rsidR="00B04225" w:rsidRPr="002F1FF8" w:rsidRDefault="00B04225" w:rsidP="00B04225">
      <w:pPr>
        <w:tabs>
          <w:tab w:val="left" w:pos="709"/>
        </w:tabs>
        <w:spacing w:before="240" w:after="240" w:line="360" w:lineRule="auto"/>
        <w:ind w:left="284"/>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sz w:val="22"/>
          <w:szCs w:val="22"/>
        </w:rPr>
        <w:t xml:space="preserve">Invitación restringida: </w:t>
      </w:r>
      <w:r w:rsidRPr="002F1FF8">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175CDF3B" w14:textId="77777777" w:rsidR="00B04225" w:rsidRPr="002F1FF8" w:rsidRDefault="00B04225" w:rsidP="00B04225">
      <w:pPr>
        <w:tabs>
          <w:tab w:val="left" w:pos="709"/>
        </w:tabs>
        <w:spacing w:before="240" w:after="240" w:line="360" w:lineRule="auto"/>
        <w:ind w:left="284"/>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sz w:val="22"/>
          <w:szCs w:val="22"/>
        </w:rPr>
        <w:t xml:space="preserve">Adjudicaciones directas: </w:t>
      </w:r>
      <w:r w:rsidRPr="002F1FF8">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60ECA908" w14:textId="77777777" w:rsidR="00B04225" w:rsidRPr="002F1FF8" w:rsidRDefault="00B04225" w:rsidP="00B04225">
      <w:pP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2F1FF8">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2F1FF8">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w:t>
      </w:r>
      <w:r w:rsidRPr="002F1FF8">
        <w:rPr>
          <w:rFonts w:ascii="Palatino Linotype" w:eastAsia="Palatino Linotype" w:hAnsi="Palatino Linotype" w:cs="Palatino Linotype"/>
          <w:b/>
          <w:bCs/>
          <w:sz w:val="22"/>
          <w:szCs w:val="22"/>
        </w:rPr>
        <w:t>además se debe elaborar versión pública los documentos fuente que deban ser publicados</w:t>
      </w:r>
      <w:r w:rsidRPr="002F1FF8">
        <w:rPr>
          <w:rFonts w:ascii="Palatino Linotype" w:eastAsia="Palatino Linotype" w:hAnsi="Palatino Linotype" w:cs="Palatino Linotype"/>
          <w:sz w:val="22"/>
          <w:szCs w:val="22"/>
        </w:rPr>
        <w:t xml:space="preserve"> en este apartado, </w:t>
      </w:r>
      <w:r w:rsidRPr="002F1FF8">
        <w:rPr>
          <w:rFonts w:ascii="Palatino Linotype" w:eastAsia="Palatino Linotype" w:hAnsi="Palatino Linotype" w:cs="Palatino Linotype"/>
          <w:b/>
          <w:bCs/>
          <w:sz w:val="22"/>
          <w:szCs w:val="22"/>
        </w:rPr>
        <w:t xml:space="preserve">tales como </w:t>
      </w:r>
      <w:r w:rsidRPr="002F1FF8">
        <w:rPr>
          <w:rFonts w:ascii="Palatino Linotype" w:eastAsia="Palatino Linotype" w:hAnsi="Palatino Linotype" w:cs="Palatino Linotype"/>
          <w:b/>
          <w:bCs/>
          <w:sz w:val="22"/>
          <w:szCs w:val="22"/>
          <w:u w:val="single"/>
        </w:rPr>
        <w:t>contratos,</w:t>
      </w:r>
      <w:r w:rsidRPr="002F1FF8">
        <w:rPr>
          <w:rFonts w:ascii="Palatino Linotype" w:eastAsia="Palatino Linotype" w:hAnsi="Palatino Linotype" w:cs="Palatino Linotype"/>
          <w:sz w:val="22"/>
          <w:szCs w:val="22"/>
        </w:rPr>
        <w:t xml:space="preserve">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721D867F" w14:textId="77777777" w:rsidR="00B04225" w:rsidRPr="002F1FF8" w:rsidRDefault="00B04225" w:rsidP="00B04225">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de oficio, y que por tal motivo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71BDBA3C"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18.</w:t>
      </w:r>
      <w:r w:rsidRPr="002F1FF8">
        <w:rPr>
          <w:rFonts w:ascii="Palatino Linotype" w:eastAsia="Palatino Linotype" w:hAnsi="Palatino Linotype" w:cs="Palatino Linotype"/>
          <w:i/>
          <w:sz w:val="22"/>
          <w:szCs w:val="22"/>
        </w:rPr>
        <w:t xml:space="preserve"> Los sujetos obligados </w:t>
      </w:r>
      <w:r w:rsidRPr="002F1FF8">
        <w:rPr>
          <w:rFonts w:ascii="Palatino Linotype" w:eastAsia="Palatino Linotype" w:hAnsi="Palatino Linotype" w:cs="Palatino Linotype"/>
          <w:b/>
          <w:i/>
          <w:sz w:val="22"/>
          <w:szCs w:val="22"/>
        </w:rPr>
        <w:t>deberán documentar todo acto</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que derive del ejercicio de sus facultades, competencias o funciones</w:t>
      </w:r>
      <w:r w:rsidRPr="002F1FF8">
        <w:rPr>
          <w:rFonts w:ascii="Palatino Linotype" w:eastAsia="Palatino Linotype" w:hAnsi="Palatino Linotype" w:cs="Palatino Linotype"/>
          <w:i/>
          <w:sz w:val="22"/>
          <w:szCs w:val="22"/>
        </w:rPr>
        <w:t>, considerando desde su origen la eventual publicidad y reutilización de la información que generen.</w:t>
      </w:r>
    </w:p>
    <w:p w14:paraId="169E72A1"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57A05471"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24.</w:t>
      </w:r>
      <w:r w:rsidRPr="002F1FF8">
        <w:rPr>
          <w:rFonts w:ascii="Palatino Linotype" w:eastAsia="Palatino Linotype" w:hAnsi="Palatino Linotype" w:cs="Palatino Linotype"/>
          <w:i/>
          <w:sz w:val="22"/>
          <w:szCs w:val="22"/>
        </w:rPr>
        <w:t xml:space="preserve"> Para el cumplimiento de los objetivos de esta Ley</w:t>
      </w:r>
      <w:r w:rsidRPr="002F1FF8">
        <w:rPr>
          <w:rFonts w:ascii="Palatino Linotype" w:eastAsia="Palatino Linotype" w:hAnsi="Palatino Linotype" w:cs="Palatino Linotype"/>
          <w:b/>
          <w:i/>
          <w:sz w:val="22"/>
          <w:szCs w:val="22"/>
        </w:rPr>
        <w:t>, los sujetos obligados deberán cumplir con las siguientes obligaciones</w:t>
      </w:r>
      <w:r w:rsidRPr="002F1FF8">
        <w:rPr>
          <w:rFonts w:ascii="Palatino Linotype" w:eastAsia="Palatino Linotype" w:hAnsi="Palatino Linotype" w:cs="Palatino Linotype"/>
          <w:i/>
          <w:sz w:val="22"/>
          <w:szCs w:val="22"/>
        </w:rPr>
        <w:t>, según corresponda, de acuerdo a su naturaleza:</w:t>
      </w:r>
    </w:p>
    <w:p w14:paraId="3CD4579B"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3931A602" w14:textId="77777777" w:rsidR="00B04225" w:rsidRPr="002F1FF8" w:rsidRDefault="00B04225" w:rsidP="00B04225">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XXII.</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Documentar todo acto que derive del ejercicio de sus facultades, competencias o funciones</w:t>
      </w:r>
      <w:r w:rsidRPr="002F1FF8">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58BFD6B4" w14:textId="26233D53" w:rsidR="00F30EE8" w:rsidRPr="002F1FF8" w:rsidRDefault="004A30AD" w:rsidP="00F30EE8">
      <w:pPr>
        <w:tabs>
          <w:tab w:val="left" w:pos="709"/>
        </w:tabs>
        <w:spacing w:before="240" w:after="240" w:line="360" w:lineRule="auto"/>
        <w:jc w:val="both"/>
        <w:rPr>
          <w:rFonts w:ascii="Palatino Linotype" w:hAnsi="Palatino Linotype"/>
          <w:sz w:val="22"/>
          <w:szCs w:val="22"/>
        </w:rPr>
      </w:pPr>
      <w:r w:rsidRPr="002F1FF8">
        <w:rPr>
          <w:rFonts w:ascii="Palatino Linotype" w:hAnsi="Palatino Linotype"/>
          <w:sz w:val="22"/>
          <w:szCs w:val="22"/>
        </w:rPr>
        <w:t>Bajo esta línea de pensamiento, es claro que</w:t>
      </w:r>
      <w:r w:rsidR="009454C1" w:rsidRPr="002F1FF8">
        <w:rPr>
          <w:rFonts w:ascii="Palatino Linotype" w:hAnsi="Palatino Linotype"/>
          <w:sz w:val="22"/>
          <w:szCs w:val="22"/>
        </w:rPr>
        <w:t xml:space="preserve"> en el presente asunto</w:t>
      </w:r>
      <w:r w:rsidRPr="002F1FF8">
        <w:rPr>
          <w:rFonts w:ascii="Palatino Linotype" w:hAnsi="Palatino Linotype"/>
          <w:sz w:val="22"/>
          <w:szCs w:val="22"/>
        </w:rPr>
        <w:t xml:space="preserve"> el pronunciamiento emitido por el servidor público habilitado, lejos de atender la solicitud de información vulnera el Derecho de acceso de la persona solicitante, al no encontrarse justificada la</w:t>
      </w:r>
      <w:r w:rsidR="00397531" w:rsidRPr="002F1FF8">
        <w:rPr>
          <w:rFonts w:ascii="Palatino Linotype" w:hAnsi="Palatino Linotype"/>
          <w:sz w:val="22"/>
          <w:szCs w:val="22"/>
        </w:rPr>
        <w:t xml:space="preserve"> negativa </w:t>
      </w:r>
      <w:r w:rsidRPr="002F1FF8">
        <w:rPr>
          <w:rFonts w:ascii="Palatino Linotype" w:hAnsi="Palatino Linotype"/>
          <w:sz w:val="22"/>
          <w:szCs w:val="22"/>
        </w:rPr>
        <w:t>a la información que es de su interés</w:t>
      </w:r>
      <w:r w:rsidR="009454C1" w:rsidRPr="002F1FF8">
        <w:rPr>
          <w:rFonts w:ascii="Palatino Linotype" w:hAnsi="Palatino Linotype"/>
          <w:sz w:val="22"/>
          <w:szCs w:val="22"/>
        </w:rPr>
        <w:t xml:space="preserve">, por consiguiente, es necesario que haga entrega del o los documentos que den cuenta del </w:t>
      </w:r>
      <w:r w:rsidR="00331A87" w:rsidRPr="002F1FF8">
        <w:rPr>
          <w:rFonts w:ascii="Palatino Linotype" w:hAnsi="Palatino Linotype"/>
          <w:sz w:val="22"/>
          <w:szCs w:val="22"/>
        </w:rPr>
        <w:t xml:space="preserve">costo de </w:t>
      </w:r>
      <w:r w:rsidR="00F30EE8" w:rsidRPr="002F1FF8">
        <w:rPr>
          <w:rFonts w:ascii="Palatino Linotype" w:eastAsia="Palatino Linotype" w:hAnsi="Palatino Linotype" w:cs="Palatino Linotype"/>
          <w:sz w:val="22"/>
          <w:szCs w:val="22"/>
        </w:rPr>
        <w:t>la presentación de las artistas referidas en la solicitud de información para la Feria de Alfeñique 2025, pudiendo ser de manera enunciativa más no limitativa,</w:t>
      </w:r>
      <w:r w:rsidR="00E44511" w:rsidRPr="002F1FF8">
        <w:rPr>
          <w:rFonts w:ascii="Palatino Linotype" w:eastAsia="Palatino Linotype" w:hAnsi="Palatino Linotype" w:cs="Palatino Linotype"/>
          <w:sz w:val="22"/>
          <w:szCs w:val="22"/>
        </w:rPr>
        <w:t xml:space="preserve"> la</w:t>
      </w:r>
      <w:r w:rsidR="00746A44" w:rsidRPr="002F1FF8">
        <w:rPr>
          <w:rFonts w:ascii="Palatino Linotype" w:eastAsia="Palatino Linotype" w:hAnsi="Palatino Linotype" w:cs="Palatino Linotype"/>
          <w:sz w:val="22"/>
          <w:szCs w:val="22"/>
        </w:rPr>
        <w:t>s</w:t>
      </w:r>
      <w:r w:rsidR="00E44511" w:rsidRPr="002F1FF8">
        <w:rPr>
          <w:rFonts w:ascii="Palatino Linotype" w:eastAsia="Palatino Linotype" w:hAnsi="Palatino Linotype" w:cs="Palatino Linotype"/>
          <w:sz w:val="22"/>
          <w:szCs w:val="22"/>
        </w:rPr>
        <w:t xml:space="preserve"> cotizaci</w:t>
      </w:r>
      <w:r w:rsidR="00746A44" w:rsidRPr="002F1FF8">
        <w:rPr>
          <w:rFonts w:ascii="Palatino Linotype" w:eastAsia="Palatino Linotype" w:hAnsi="Palatino Linotype" w:cs="Palatino Linotype"/>
          <w:sz w:val="22"/>
          <w:szCs w:val="22"/>
        </w:rPr>
        <w:t>ones, las facturas</w:t>
      </w:r>
      <w:r w:rsidR="00E44511" w:rsidRPr="002F1FF8">
        <w:rPr>
          <w:rFonts w:ascii="Palatino Linotype" w:eastAsia="Palatino Linotype" w:hAnsi="Palatino Linotype" w:cs="Palatino Linotype"/>
          <w:sz w:val="22"/>
          <w:szCs w:val="22"/>
        </w:rPr>
        <w:t xml:space="preserve"> o</w:t>
      </w:r>
      <w:r w:rsidR="00F30EE8" w:rsidRPr="002F1FF8">
        <w:rPr>
          <w:rFonts w:ascii="Palatino Linotype" w:eastAsia="Palatino Linotype" w:hAnsi="Palatino Linotype" w:cs="Palatino Linotype"/>
          <w:sz w:val="22"/>
          <w:szCs w:val="22"/>
        </w:rPr>
        <w:t xml:space="preserve"> los contratos celebrados con los que cuente a la fecha </w:t>
      </w:r>
      <w:r w:rsidR="00C24F74" w:rsidRPr="002F1FF8">
        <w:rPr>
          <w:rFonts w:ascii="Palatino Linotype" w:eastAsia="Palatino Linotype" w:hAnsi="Palatino Linotype" w:cs="Palatino Linotype"/>
          <w:sz w:val="22"/>
          <w:szCs w:val="22"/>
        </w:rPr>
        <w:t xml:space="preserve">de presentación de la solicitud, esto es, </w:t>
      </w:r>
      <w:r w:rsidR="00C24F74" w:rsidRPr="002F1FF8">
        <w:rPr>
          <w:rFonts w:ascii="Palatino Linotype" w:hAnsi="Palatino Linotype"/>
          <w:sz w:val="22"/>
          <w:szCs w:val="22"/>
        </w:rPr>
        <w:t>el tres de septiembre de dos mil veinticinco.</w:t>
      </w:r>
    </w:p>
    <w:p w14:paraId="2021547E" w14:textId="77777777" w:rsidR="00C24F74" w:rsidRPr="002F1FF8" w:rsidRDefault="00CD2E1D" w:rsidP="00C24F74">
      <w:pPr>
        <w:tabs>
          <w:tab w:val="left" w:pos="709"/>
        </w:tabs>
        <w:spacing w:before="240" w:after="240" w:line="360" w:lineRule="auto"/>
        <w:jc w:val="both"/>
        <w:rPr>
          <w:rFonts w:ascii="Palatino Linotype" w:hAnsi="Palatino Linotype"/>
          <w:sz w:val="22"/>
          <w:szCs w:val="22"/>
        </w:rPr>
      </w:pPr>
      <w:r w:rsidRPr="002F1FF8">
        <w:rPr>
          <w:rFonts w:ascii="Palatino Linotype" w:hAnsi="Palatino Linotype"/>
          <w:sz w:val="22"/>
          <w:szCs w:val="22"/>
        </w:rPr>
        <w:t>C</w:t>
      </w:r>
      <w:r w:rsidR="009454C1" w:rsidRPr="002F1FF8">
        <w:rPr>
          <w:rFonts w:ascii="Palatino Linotype" w:hAnsi="Palatino Linotype"/>
          <w:sz w:val="22"/>
          <w:szCs w:val="22"/>
        </w:rPr>
        <w:t xml:space="preserve">abe señalar que </w:t>
      </w:r>
      <w:r w:rsidR="00F30EE8" w:rsidRPr="002F1FF8">
        <w:rPr>
          <w:rFonts w:ascii="Palatino Linotype" w:hAnsi="Palatino Linotype"/>
          <w:sz w:val="22"/>
          <w:szCs w:val="22"/>
        </w:rPr>
        <w:t>el tres de septiembre de dos mil veinticinco</w:t>
      </w:r>
      <w:r w:rsidR="00C24F74" w:rsidRPr="002F1FF8">
        <w:rPr>
          <w:rFonts w:ascii="Palatino Linotype" w:hAnsi="Palatino Linotype"/>
          <w:sz w:val="22"/>
          <w:szCs w:val="22"/>
        </w:rPr>
        <w:t xml:space="preserve">, el Ayuntamiento anunció la presentación de las artistas señaladas en la solicitud, a través de su </w:t>
      </w:r>
      <w:r w:rsidR="009454C1" w:rsidRPr="002F1FF8">
        <w:rPr>
          <w:rFonts w:ascii="Palatino Linotype" w:hAnsi="Palatino Linotype"/>
          <w:sz w:val="22"/>
          <w:szCs w:val="22"/>
        </w:rPr>
        <w:t>cuenta oficial en la red social Facebook, como se observa a continuación:</w:t>
      </w:r>
    </w:p>
    <w:p w14:paraId="12CAA574" w14:textId="39B331C0" w:rsidR="00C24F74" w:rsidRPr="002F1FF8" w:rsidRDefault="00C24F74" w:rsidP="00C24F74">
      <w:pPr>
        <w:tabs>
          <w:tab w:val="left" w:pos="709"/>
        </w:tabs>
        <w:spacing w:before="240" w:after="240" w:line="360" w:lineRule="auto"/>
        <w:jc w:val="center"/>
        <w:rPr>
          <w:rFonts w:ascii="Palatino Linotype" w:hAnsi="Palatino Linotype"/>
          <w:sz w:val="22"/>
          <w:szCs w:val="22"/>
        </w:rPr>
      </w:pPr>
      <w:r w:rsidRPr="002F1FF8">
        <w:rPr>
          <w:rFonts w:ascii="Palatino Linotype" w:hAnsi="Palatino Linotype"/>
          <w:noProof/>
          <w:sz w:val="22"/>
          <w:szCs w:val="22"/>
        </w:rPr>
        <w:drawing>
          <wp:inline distT="0" distB="0" distL="0" distR="0" wp14:anchorId="3ED153C5" wp14:editId="68A12C27">
            <wp:extent cx="2880000" cy="526420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000" cy="5264203"/>
                    </a:xfrm>
                    <a:prstGeom prst="rect">
                      <a:avLst/>
                    </a:prstGeom>
                  </pic:spPr>
                </pic:pic>
              </a:graphicData>
            </a:graphic>
          </wp:inline>
        </w:drawing>
      </w:r>
    </w:p>
    <w:p w14:paraId="2AAE17DD" w14:textId="56AD69F4" w:rsidR="00E44511" w:rsidRPr="002F1FF8" w:rsidRDefault="00E44511" w:rsidP="00E44511">
      <w:pPr>
        <w:spacing w:before="240" w:after="240" w:line="360" w:lineRule="auto"/>
        <w:jc w:val="both"/>
        <w:rPr>
          <w:rFonts w:ascii="Palatino Linotype" w:eastAsia="Palatino Linotype" w:hAnsi="Palatino Linotype" w:cs="Palatino Linotype"/>
          <w:sz w:val="22"/>
          <w:szCs w:val="22"/>
        </w:rPr>
      </w:pPr>
      <w:r w:rsidRPr="002F1FF8">
        <w:rPr>
          <w:rFonts w:ascii="Palatino Linotype" w:hAnsi="Palatino Linotype" w:cs="Arial"/>
          <w:sz w:val="22"/>
          <w:szCs w:val="22"/>
        </w:rPr>
        <w:t xml:space="preserve">Atento a lo anterior, </w:t>
      </w:r>
      <w:r w:rsidR="00D439A1" w:rsidRPr="002F1FF8">
        <w:rPr>
          <w:rFonts w:ascii="Palatino Linotype" w:hAnsi="Palatino Linotype" w:cs="Arial"/>
          <w:sz w:val="22"/>
          <w:szCs w:val="22"/>
        </w:rPr>
        <w:t>se colige que el documento que dé cuenta del monto erogado debe existir,</w:t>
      </w:r>
      <w:r w:rsidRPr="002F1FF8">
        <w:rPr>
          <w:rFonts w:ascii="Palatino Linotype" w:hAnsi="Palatino Linotype" w:cs="Arial"/>
          <w:sz w:val="22"/>
          <w:szCs w:val="22"/>
        </w:rPr>
        <w:t xml:space="preserve"> al haber sido publicada información en la cuenta oficial del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en una red social que es de conocimiento general, constituyendo así un hecho notorio, el cual se sustenta conforme a las siguientes Tesis de la Suprema Corte de Justicia de la Nación, cuyo rubro y texto son del tenor siguiente:</w:t>
      </w:r>
    </w:p>
    <w:p w14:paraId="73D65046" w14:textId="77777777" w:rsidR="00E44511" w:rsidRPr="002F1FF8" w:rsidRDefault="00E44511" w:rsidP="00E44511">
      <w:pPr>
        <w:tabs>
          <w:tab w:val="left" w:pos="7938"/>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“HECHOS NOTORIOS. CONCEPTOS GENERAL Y JURÍDICO. Conforme al artículo 88 del Código Federal de Procedimientos Civiles los tribunales pueden invocar hechos notorios aunque no hayan sido alegados ni probados por las partes.</w:t>
      </w:r>
      <w:r w:rsidRPr="002F1FF8">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2F1FF8">
        <w:rPr>
          <w:rFonts w:ascii="Palatino Linotype" w:eastAsia="Palatino Linotype" w:hAnsi="Palatino Linotype" w:cs="Palatino Linotype"/>
          <w:b/>
          <w:i/>
          <w:sz w:val="22"/>
          <w:szCs w:val="22"/>
        </w:rPr>
        <w:t>, a las vicisitudes de la vida pública actual o a circunstancias comúnmente conocidas en un determinado lugar</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de modo que toda persona de ese medio esté en condiciones de saberlo</w:t>
      </w:r>
      <w:r w:rsidRPr="002F1FF8">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2F1FF8">
        <w:rPr>
          <w:rStyle w:val="Refdenotaalpie"/>
          <w:rFonts w:ascii="Palatino Linotype" w:eastAsia="Palatino Linotype" w:hAnsi="Palatino Linotype" w:cs="Palatino Linotype"/>
          <w:i/>
          <w:sz w:val="22"/>
          <w:szCs w:val="22"/>
        </w:rPr>
        <w:footnoteReference w:id="1"/>
      </w:r>
    </w:p>
    <w:p w14:paraId="7FD28935" w14:textId="77777777" w:rsidR="00E44511" w:rsidRPr="002F1FF8" w:rsidRDefault="00E44511" w:rsidP="00E44511">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2F1FF8">
        <w:rPr>
          <w:rFonts w:ascii="Palatino Linotype" w:eastAsia="Palatino Linotype" w:hAnsi="Palatino Linotype" w:cs="Palatino Linotype"/>
          <w:i/>
          <w:sz w:val="22"/>
          <w:szCs w:val="22"/>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Pr="002F1FF8">
        <w:rPr>
          <w:rStyle w:val="Refdenotaalpie"/>
          <w:rFonts w:ascii="Palatino Linotype" w:eastAsia="Palatino Linotype" w:hAnsi="Palatino Linotype" w:cs="Palatino Linotype"/>
          <w:i/>
          <w:sz w:val="22"/>
          <w:szCs w:val="22"/>
        </w:rPr>
        <w:footnoteReference w:id="2"/>
      </w:r>
    </w:p>
    <w:p w14:paraId="4AE6B927" w14:textId="77777777" w:rsidR="00E44511" w:rsidRPr="002F1FF8" w:rsidRDefault="00E44511" w:rsidP="00E44511">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2F1FF8">
        <w:rPr>
          <w:rFonts w:ascii="Palatino Linotype" w:eastAsia="Palatino Linotype" w:hAnsi="Palatino Linotype" w:cs="Palatino Linotype"/>
          <w:i/>
          <w:sz w:val="22"/>
          <w:szCs w:val="22"/>
        </w:rPr>
        <w:t>.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r w:rsidRPr="002F1FF8">
        <w:rPr>
          <w:rStyle w:val="Refdenotaalpie"/>
          <w:rFonts w:ascii="Palatino Linotype" w:eastAsia="Palatino Linotype" w:hAnsi="Palatino Linotype" w:cs="Palatino Linotype"/>
          <w:i/>
          <w:sz w:val="22"/>
          <w:szCs w:val="22"/>
        </w:rPr>
        <w:footnoteReference w:id="3"/>
      </w:r>
    </w:p>
    <w:p w14:paraId="1059F399" w14:textId="77777777" w:rsidR="00E44511" w:rsidRPr="002F1FF8" w:rsidRDefault="00E44511" w:rsidP="00E44511">
      <w:pPr>
        <w:tabs>
          <w:tab w:val="left" w:pos="851"/>
        </w:tabs>
        <w:spacing w:before="120" w:after="120"/>
        <w:ind w:left="851" w:right="902"/>
        <w:jc w:val="both"/>
        <w:rPr>
          <w:rFonts w:ascii="Palatino Linotype" w:eastAsia="Palatino Linotype" w:hAnsi="Palatino Linotype" w:cs="Palatino Linotype"/>
          <w:i/>
        </w:rPr>
      </w:pPr>
      <w:r w:rsidRPr="002F1FF8">
        <w:rPr>
          <w:rFonts w:ascii="Palatino Linotype" w:eastAsia="Palatino Linotype" w:hAnsi="Palatino Linotype" w:cs="Palatino Linotype"/>
          <w:b/>
          <w:i/>
          <w:sz w:val="22"/>
          <w:szCs w:val="22"/>
        </w:rPr>
        <w:t xml:space="preserve"> “IMPROCEDENCIA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r w:rsidRPr="002F1FF8">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2F1FF8">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2F1FF8">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w:t>
      </w:r>
      <w:r w:rsidRPr="002F1FF8">
        <w:rPr>
          <w:rFonts w:ascii="Palatino Linotype" w:eastAsia="Palatino Linotype" w:hAnsi="Palatino Linotype" w:cs="Palatino Linotype"/>
          <w:i/>
        </w:rPr>
        <w:t xml:space="preserve"> causal de improcedencia, cuando exista un indicio sobre su existencia. “</w:t>
      </w:r>
      <w:r w:rsidRPr="002F1FF8">
        <w:rPr>
          <w:rStyle w:val="Refdenotaalpie"/>
          <w:rFonts w:ascii="Palatino Linotype" w:eastAsia="Palatino Linotype" w:hAnsi="Palatino Linotype" w:cs="Palatino Linotype"/>
          <w:i/>
        </w:rPr>
        <w:footnoteReference w:id="4"/>
      </w:r>
    </w:p>
    <w:p w14:paraId="1DBD0ED6" w14:textId="77777777" w:rsidR="00331A87" w:rsidRPr="002F1FF8" w:rsidRDefault="00331A87" w:rsidP="00331A87">
      <w:pPr>
        <w:tabs>
          <w:tab w:val="left" w:pos="975"/>
        </w:tabs>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De lo hasta aquí expuesto, se concluye que los motivos de inconformidad de la parte </w:t>
      </w:r>
      <w:r w:rsidRPr="002F1FF8">
        <w:rPr>
          <w:rFonts w:ascii="Palatino Linotype" w:eastAsia="Palatino Linotype" w:hAnsi="Palatino Linotype" w:cs="Palatino Linotype"/>
          <w:b/>
          <w:sz w:val="22"/>
          <w:szCs w:val="22"/>
        </w:rPr>
        <w:t xml:space="preserve">Recurrente </w:t>
      </w:r>
      <w:r w:rsidRPr="002F1FF8">
        <w:rPr>
          <w:rFonts w:ascii="Palatino Linotype" w:eastAsia="Palatino Linotype" w:hAnsi="Palatino Linotype" w:cs="Palatino Linotype"/>
          <w:sz w:val="22"/>
          <w:szCs w:val="22"/>
        </w:rPr>
        <w:t xml:space="preserve">devienen fundados, siendo procedente </w:t>
      </w:r>
      <w:r w:rsidRPr="002F1FF8">
        <w:rPr>
          <w:rFonts w:ascii="Palatino Linotype" w:eastAsia="Palatino Linotype" w:hAnsi="Palatino Linotype" w:cs="Palatino Linotype"/>
          <w:i/>
          <w:sz w:val="22"/>
          <w:szCs w:val="22"/>
        </w:rPr>
        <w:t xml:space="preserve">Revocar </w:t>
      </w:r>
      <w:r w:rsidRPr="002F1FF8">
        <w:rPr>
          <w:rFonts w:ascii="Palatino Linotype" w:eastAsia="Palatino Linotype" w:hAnsi="Palatino Linotype" w:cs="Palatino Linotype"/>
          <w:sz w:val="22"/>
          <w:szCs w:val="22"/>
        </w:rPr>
        <w:t xml:space="preserve">la respuesta proporcionada por el </w:t>
      </w:r>
      <w:r w:rsidRPr="002F1FF8">
        <w:rPr>
          <w:rFonts w:ascii="Palatino Linotype" w:eastAsia="Palatino Linotype" w:hAnsi="Palatino Linotype" w:cs="Palatino Linotype"/>
          <w:b/>
          <w:sz w:val="22"/>
          <w:szCs w:val="22"/>
        </w:rPr>
        <w:t xml:space="preserve">Sujeto Obligado </w:t>
      </w:r>
      <w:r w:rsidRPr="002F1FF8">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8EEEE19" w14:textId="77777777" w:rsidR="00331A87" w:rsidRPr="002F1FF8" w:rsidRDefault="00331A87" w:rsidP="00331A87">
      <w:pP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Quinto. Versión Pública. </w:t>
      </w:r>
      <w:r w:rsidRPr="002F1FF8">
        <w:rPr>
          <w:rFonts w:ascii="Palatino Linotype" w:eastAsia="Palatino Linotype" w:hAnsi="Palatino Linotype" w:cs="Palatino Linotype"/>
          <w:sz w:val="22"/>
          <w:szCs w:val="22"/>
        </w:rPr>
        <w:t>Como fue debidamente apuntado,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131246E" w14:textId="77777777" w:rsidR="00331A87" w:rsidRPr="002F1FF8" w:rsidRDefault="00331A87" w:rsidP="00331A87">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54F4070" w14:textId="77777777" w:rsidR="00331A87" w:rsidRPr="002F1FF8" w:rsidRDefault="00331A87" w:rsidP="00331A87">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C67F688" w14:textId="77777777" w:rsidR="00331A87" w:rsidRPr="002F1FF8" w:rsidRDefault="00331A87" w:rsidP="00331A87">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1B69AFA7"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sz w:val="22"/>
          <w:szCs w:val="22"/>
        </w:rPr>
        <w:t> </w:t>
      </w: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3.</w:t>
      </w:r>
      <w:r w:rsidRPr="002F1FF8">
        <w:rPr>
          <w:rFonts w:ascii="Palatino Linotype" w:eastAsia="Palatino Linotype" w:hAnsi="Palatino Linotype" w:cs="Palatino Linotype"/>
          <w:i/>
          <w:sz w:val="22"/>
          <w:szCs w:val="22"/>
        </w:rPr>
        <w:t xml:space="preserve"> Para los efectos de la presente Ley se entenderá por:</w:t>
      </w:r>
    </w:p>
    <w:p w14:paraId="408450E4"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2F200FA6"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IX. Datos personales</w:t>
      </w:r>
      <w:r w:rsidRPr="002F1FF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C051E74"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6B6E4F75"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XX. Información clasificada</w:t>
      </w:r>
      <w:r w:rsidRPr="002F1FF8">
        <w:rPr>
          <w:rFonts w:ascii="Palatino Linotype" w:eastAsia="Palatino Linotype" w:hAnsi="Palatino Linotype" w:cs="Palatino Linotype"/>
          <w:i/>
          <w:sz w:val="22"/>
          <w:szCs w:val="22"/>
        </w:rPr>
        <w:t>: Aquella considerada por la presente Ley como reservada o confidencial;</w:t>
      </w:r>
    </w:p>
    <w:p w14:paraId="01EB3D82"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XXI. Información confidencial</w:t>
      </w:r>
      <w:r w:rsidRPr="002F1FF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A35D66"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6E42DC3C"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XXXII. Protección de Datos Personales</w:t>
      </w:r>
      <w:r w:rsidRPr="002F1FF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607D3E6"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4558D9D3" w14:textId="77777777" w:rsidR="00331A87" w:rsidRPr="002F1FF8"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XLV. Versión pública</w:t>
      </w:r>
      <w:r w:rsidRPr="002F1FF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CA94120"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Artículo 6</w:t>
      </w:r>
      <w:r w:rsidRPr="002F1FF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3461CA"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68982AEB"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91.</w:t>
      </w:r>
      <w:r w:rsidRPr="002F1FF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F1FF8">
        <w:rPr>
          <w:rFonts w:ascii="Palatino Linotype" w:eastAsia="Palatino Linotype" w:hAnsi="Palatino Linotype" w:cs="Palatino Linotype"/>
          <w:i/>
          <w:sz w:val="22"/>
          <w:szCs w:val="22"/>
        </w:rPr>
        <w:br/>
        <w:t>…</w:t>
      </w:r>
    </w:p>
    <w:p w14:paraId="30B35D7A"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132.</w:t>
      </w:r>
      <w:r w:rsidRPr="002F1FF8">
        <w:rPr>
          <w:rFonts w:ascii="Palatino Linotype" w:eastAsia="Palatino Linotype" w:hAnsi="Palatino Linotype" w:cs="Palatino Linotype"/>
          <w:i/>
          <w:sz w:val="22"/>
          <w:szCs w:val="22"/>
        </w:rPr>
        <w:t xml:space="preserve"> La clasificación de la información se llevará a cabo en el momento en que:</w:t>
      </w:r>
    </w:p>
    <w:p w14:paraId="6C15DE92"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Se reciba una solicitud de acceso a la información;</w:t>
      </w:r>
    </w:p>
    <w:p w14:paraId="1E086B4C"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xml:space="preserve"> Se determine mediante resolución de autoridad competente; o</w:t>
      </w:r>
    </w:p>
    <w:p w14:paraId="4408F795"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70EF914"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w:t>
      </w:r>
    </w:p>
    <w:p w14:paraId="047647F7"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137.</w:t>
      </w:r>
      <w:r w:rsidRPr="002F1FF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8B37E16"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Artículo 143.</w:t>
      </w:r>
      <w:r w:rsidRPr="002F1FF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8F8E40A"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F512980"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7B1F37C"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0D6A9C0"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663AEC16"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La </w:t>
      </w:r>
      <w:r w:rsidRPr="002F1FF8">
        <w:rPr>
          <w:rFonts w:ascii="Palatino Linotype" w:eastAsia="Palatino Linotype" w:hAnsi="Palatino Linotype" w:cs="Palatino Linotype"/>
          <w:b/>
          <w:sz w:val="22"/>
          <w:szCs w:val="22"/>
        </w:rPr>
        <w:t>clave de elector</w:t>
      </w:r>
      <w:r w:rsidRPr="002F1FF8">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D7FF0D0"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El </w:t>
      </w:r>
      <w:r w:rsidRPr="002F1FF8">
        <w:rPr>
          <w:rFonts w:ascii="Palatino Linotype" w:eastAsia="Palatino Linotype" w:hAnsi="Palatino Linotype" w:cs="Palatino Linotype"/>
          <w:b/>
          <w:sz w:val="22"/>
          <w:szCs w:val="22"/>
        </w:rPr>
        <w:t>número de OCR,</w:t>
      </w:r>
      <w:r w:rsidRPr="002F1FF8">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30466030"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La </w:t>
      </w:r>
      <w:r w:rsidRPr="002F1FF8">
        <w:rPr>
          <w:rFonts w:ascii="Palatino Linotype" w:eastAsia="Palatino Linotype" w:hAnsi="Palatino Linotype" w:cs="Palatino Linotype"/>
          <w:b/>
          <w:sz w:val="22"/>
          <w:szCs w:val="22"/>
        </w:rPr>
        <w:t>clave única del registro de población,</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6E4D866"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Por cuanto hace al </w:t>
      </w:r>
      <w:r w:rsidRPr="002F1FF8">
        <w:rPr>
          <w:rFonts w:ascii="Palatino Linotype" w:eastAsia="Palatino Linotype" w:hAnsi="Palatino Linotype" w:cs="Palatino Linotype"/>
          <w:b/>
          <w:sz w:val="22"/>
          <w:szCs w:val="22"/>
        </w:rPr>
        <w:t xml:space="preserve">Registro Federal de Contribuyentes (RFC) </w:t>
      </w:r>
      <w:r w:rsidRPr="002F1FF8">
        <w:rPr>
          <w:rFonts w:ascii="Palatino Linotype" w:eastAsia="Palatino Linotype" w:hAnsi="Palatino Linotype" w:cs="Palatino Linotype"/>
          <w:sz w:val="22"/>
          <w:szCs w:val="22"/>
        </w:rPr>
        <w:t>y</w:t>
      </w:r>
      <w:r w:rsidRPr="002F1FF8">
        <w:rPr>
          <w:rFonts w:ascii="Palatino Linotype" w:eastAsia="Palatino Linotype" w:hAnsi="Palatino Linotype" w:cs="Palatino Linotype"/>
          <w:b/>
          <w:sz w:val="22"/>
          <w:szCs w:val="22"/>
        </w:rPr>
        <w:t xml:space="preserve"> el domicilio fiscal </w:t>
      </w:r>
      <w:r w:rsidRPr="002F1FF8">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44E750E"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0ED762D"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2F1FF8">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2F1FF8">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20DB58E4"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19EDF3AE"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“Registro Federal de Contribuyentes (RFC) de personas físicas proveedoras o contratistas. </w:t>
      </w:r>
      <w:r w:rsidRPr="002F1FF8">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8AA0D50" w14:textId="77777777" w:rsidR="00331A87" w:rsidRPr="002F1FF8" w:rsidRDefault="00331A87" w:rsidP="00331A87">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El </w:t>
      </w:r>
      <w:r w:rsidRPr="002F1FF8">
        <w:rPr>
          <w:rFonts w:ascii="Palatino Linotype" w:eastAsia="Palatino Linotype" w:hAnsi="Palatino Linotype" w:cs="Palatino Linotype"/>
          <w:b/>
          <w:sz w:val="22"/>
          <w:szCs w:val="22"/>
        </w:rPr>
        <w:t>domicilio particular</w:t>
      </w:r>
      <w:r w:rsidRPr="002F1FF8">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ECD8B42" w14:textId="77777777" w:rsidR="00331A87" w:rsidRPr="002F1FF8" w:rsidRDefault="00331A87" w:rsidP="00331A87">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2F1FF8">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7E642A9B" w14:textId="77777777" w:rsidR="00331A87" w:rsidRPr="002F1FF8" w:rsidRDefault="00331A87" w:rsidP="00331A87">
      <w:pPr>
        <w:spacing w:before="240" w:after="240" w:line="360" w:lineRule="auto"/>
        <w:ind w:right="-93"/>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3C36F06" w14:textId="77777777" w:rsidR="00331A87" w:rsidRPr="002F1FF8" w:rsidRDefault="00331A87" w:rsidP="00331A87">
      <w:pPr>
        <w:spacing w:before="240" w:after="240" w:line="360" w:lineRule="auto"/>
        <w:ind w:right="-93"/>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5B87169D" w14:textId="77777777" w:rsidR="00331A87" w:rsidRPr="002F1FF8" w:rsidRDefault="00331A87" w:rsidP="00331A87">
      <w:pPr>
        <w:spacing w:before="240" w:after="240" w:line="360" w:lineRule="auto"/>
        <w:ind w:right="-93"/>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El </w:t>
      </w:r>
      <w:r w:rsidRPr="002F1FF8">
        <w:rPr>
          <w:rFonts w:ascii="Palatino Linotype" w:eastAsia="Palatino Linotype" w:hAnsi="Palatino Linotype" w:cs="Palatino Linotype"/>
          <w:b/>
          <w:sz w:val="22"/>
          <w:szCs w:val="22"/>
        </w:rPr>
        <w:t>teléfono particular</w:t>
      </w:r>
      <w:r w:rsidRPr="002F1FF8">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687B7247" w14:textId="77777777" w:rsidR="00331A87" w:rsidRPr="002F1FF8" w:rsidRDefault="00331A87" w:rsidP="00331A8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El </w:t>
      </w:r>
      <w:r w:rsidRPr="002F1FF8">
        <w:rPr>
          <w:rFonts w:ascii="Palatino Linotype" w:eastAsia="Palatino Linotype" w:hAnsi="Palatino Linotype" w:cs="Palatino Linotype"/>
          <w:b/>
          <w:sz w:val="22"/>
          <w:szCs w:val="22"/>
        </w:rPr>
        <w:t xml:space="preserve">correo electrónico particular, </w:t>
      </w:r>
      <w:r w:rsidRPr="002F1FF8">
        <w:rPr>
          <w:rFonts w:ascii="Palatino Linotype" w:eastAsia="Palatino Linotype" w:hAnsi="Palatino Linotype" w:cs="Palatino Linotype"/>
          <w:sz w:val="22"/>
          <w:szCs w:val="22"/>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62DC078D" w14:textId="77777777" w:rsidR="00331A87" w:rsidRPr="002F1FF8" w:rsidRDefault="00331A87" w:rsidP="00331A87">
      <w:pPr>
        <w:tabs>
          <w:tab w:val="left" w:pos="4962"/>
        </w:tabs>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Por cuanto hace a las </w:t>
      </w:r>
      <w:r w:rsidRPr="002F1FF8">
        <w:rPr>
          <w:rFonts w:ascii="Palatino Linotype" w:eastAsia="Palatino Linotype" w:hAnsi="Palatino Linotype" w:cs="Palatino Linotype"/>
          <w:b/>
          <w:sz w:val="22"/>
          <w:szCs w:val="22"/>
        </w:rPr>
        <w:t>identificaciones oficiales con fotografía de particulares</w:t>
      </w:r>
      <w:r w:rsidRPr="002F1FF8">
        <w:rPr>
          <w:rFonts w:ascii="Palatino Linotype" w:eastAsia="Palatino Linotype" w:hAnsi="Palatino Linotype" w:cs="Palatino Linotype"/>
          <w:sz w:val="22"/>
          <w:szCs w:val="22"/>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2E1A8C6F"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El </w:t>
      </w:r>
      <w:r w:rsidRPr="002F1FF8">
        <w:rPr>
          <w:rFonts w:ascii="Palatino Linotype" w:eastAsia="Palatino Linotype" w:hAnsi="Palatino Linotype" w:cs="Palatino Linotype"/>
          <w:b/>
          <w:sz w:val="22"/>
          <w:szCs w:val="22"/>
        </w:rPr>
        <w:t>número de cuenta bancaria</w:t>
      </w:r>
      <w:r w:rsidRPr="002F1FF8">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B8A3A7E"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0F2C825"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CF4FB26"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D53B41F"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Es por esta razón que se debe omitir el o los números de cuentas bancarias de particulares en las versiones públicas que se hagan para ser entregadas.</w:t>
      </w:r>
    </w:p>
    <w:p w14:paraId="3F3208DD"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Lo anterior, </w:t>
      </w:r>
      <w:r w:rsidRPr="002F1FF8">
        <w:rPr>
          <w:rFonts w:ascii="Palatino Linotype" w:eastAsia="Palatino Linotype" w:hAnsi="Palatino Linotype" w:cs="Palatino Linotype"/>
          <w:b/>
          <w:sz w:val="22"/>
          <w:szCs w:val="22"/>
        </w:rPr>
        <w:t xml:space="preserve">no es así tratándose de las cuentas bancarias o claves interbancarias de los Sujetos Obligados </w:t>
      </w:r>
      <w:r w:rsidRPr="002F1FF8">
        <w:rPr>
          <w:rFonts w:ascii="Palatino Linotype" w:eastAsia="Palatino Linotype" w:hAnsi="Palatino Linotype" w:cs="Palatino Linotype"/>
          <w:sz w:val="22"/>
          <w:szCs w:val="22"/>
        </w:rPr>
        <w:t>ya que su publicidad cede a la rendición de cuentas al transparentar la forma en que son administrados los recursos públicos.</w:t>
      </w:r>
    </w:p>
    <w:p w14:paraId="7D8AED02"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55B3670D"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Cuentas bancarias y/o CLABE interbancaria de personas físicas y morales privadas.</w:t>
      </w:r>
      <w:r w:rsidRPr="002F1FF8">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E854B57"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F1FF8">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AA83ED8"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Relacionado con lo anterior, el </w:t>
      </w:r>
      <w:r w:rsidRPr="002F1FF8">
        <w:rPr>
          <w:rFonts w:ascii="Palatino Linotype" w:eastAsia="Palatino Linotype" w:hAnsi="Palatino Linotype" w:cs="Palatino Linotype"/>
          <w:b/>
          <w:sz w:val="22"/>
          <w:szCs w:val="22"/>
        </w:rPr>
        <w:t>nombre de las personas físicas</w:t>
      </w:r>
      <w:r w:rsidRPr="002F1FF8">
        <w:rPr>
          <w:rFonts w:ascii="Palatino Linotype" w:eastAsia="Palatino Linotype" w:hAnsi="Palatino Linotype" w:cs="Palatino Linotype"/>
          <w:sz w:val="22"/>
          <w:szCs w:val="22"/>
        </w:rPr>
        <w:t xml:space="preserve"> o los </w:t>
      </w:r>
      <w:r w:rsidRPr="002F1FF8">
        <w:rPr>
          <w:rFonts w:ascii="Palatino Linotype" w:eastAsia="Palatino Linotype" w:hAnsi="Palatino Linotype" w:cs="Palatino Linotype"/>
          <w:b/>
          <w:sz w:val="22"/>
          <w:szCs w:val="22"/>
        </w:rPr>
        <w:t>representantes legales de las personas morales</w:t>
      </w:r>
      <w:r w:rsidRPr="002F1FF8">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37FB012"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349286F2"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23.</w:t>
      </w:r>
      <w:r w:rsidRPr="002F1FF8">
        <w:rPr>
          <w:rFonts w:ascii="Palatino Linotype" w:eastAsia="Palatino Linotype" w:hAnsi="Palatino Linotype" w:cs="Palatino Linotype"/>
          <w:i/>
          <w:sz w:val="22"/>
          <w:szCs w:val="22"/>
        </w:rPr>
        <w:t xml:space="preserve"> (…)</w:t>
      </w:r>
    </w:p>
    <w:p w14:paraId="744FB4AC"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0D3249E" w14:textId="77777777" w:rsidR="00331A87" w:rsidRPr="002F1FF8" w:rsidRDefault="00331A87" w:rsidP="00331A87">
      <w:pPr>
        <w:spacing w:before="280" w:after="28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2F309E3C"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“Datos de identificación del representante o apoderado legal.</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 xml:space="preserve">Naturaleza jurídica. </w:t>
      </w:r>
      <w:r w:rsidRPr="002F1FF8">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2F1FF8">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2F1FF8">
        <w:rPr>
          <w:rFonts w:ascii="Palatino Linotype" w:eastAsia="Palatino Linotype" w:hAnsi="Palatino Linotype" w:cs="Palatino Linotype"/>
          <w:i/>
          <w:sz w:val="22"/>
          <w:szCs w:val="22"/>
        </w:rPr>
        <w:t>.”</w:t>
      </w:r>
    </w:p>
    <w:p w14:paraId="2B4416E5"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E2F1552"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Asimismo, se destaca que la versión pública que elabore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w:t>
      </w:r>
    </w:p>
    <w:p w14:paraId="1F51EB98" w14:textId="77777777" w:rsidR="00331A87" w:rsidRPr="002F1FF8" w:rsidRDefault="00331A87" w:rsidP="00331A87">
      <w:pPr>
        <w:spacing w:before="240" w:after="240" w:line="360" w:lineRule="auto"/>
        <w:ind w:right="50"/>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C7E2FD"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49.</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Los Comités de Transparencia</w:t>
      </w:r>
      <w:r w:rsidRPr="002F1FF8">
        <w:rPr>
          <w:rFonts w:ascii="Palatino Linotype" w:eastAsia="Palatino Linotype" w:hAnsi="Palatino Linotype" w:cs="Palatino Linotype"/>
          <w:i/>
          <w:sz w:val="22"/>
          <w:szCs w:val="22"/>
        </w:rPr>
        <w:t xml:space="preserve"> tendrán las siguientes atribuciones:</w:t>
      </w:r>
    </w:p>
    <w:p w14:paraId="235BC34D"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VIII. Aprobar, modificar o revocar la clasificación de la información</w:t>
      </w:r>
      <w:r w:rsidRPr="002F1FF8">
        <w:rPr>
          <w:rFonts w:ascii="Palatino Linotype" w:eastAsia="Palatino Linotype" w:hAnsi="Palatino Linotype" w:cs="Palatino Linotype"/>
          <w:i/>
          <w:sz w:val="22"/>
          <w:szCs w:val="22"/>
        </w:rPr>
        <w:t>…”</w:t>
      </w:r>
    </w:p>
    <w:p w14:paraId="12602E14"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53.</w:t>
      </w:r>
      <w:r w:rsidRPr="002F1FF8">
        <w:rPr>
          <w:rFonts w:ascii="Palatino Linotype" w:eastAsia="Palatino Linotype" w:hAnsi="Palatino Linotype" w:cs="Palatino Linotype"/>
          <w:i/>
          <w:sz w:val="22"/>
          <w:szCs w:val="22"/>
        </w:rPr>
        <w:t xml:space="preserve"> Las </w:t>
      </w:r>
      <w:r w:rsidRPr="002F1FF8">
        <w:rPr>
          <w:rFonts w:ascii="Palatino Linotype" w:eastAsia="Palatino Linotype" w:hAnsi="Palatino Linotype" w:cs="Palatino Linotype"/>
          <w:b/>
          <w:i/>
          <w:sz w:val="22"/>
          <w:szCs w:val="22"/>
        </w:rPr>
        <w:t>Unidades de Transparencia</w:t>
      </w:r>
      <w:r w:rsidRPr="002F1FF8">
        <w:rPr>
          <w:rFonts w:ascii="Palatino Linotype" w:eastAsia="Palatino Linotype" w:hAnsi="Palatino Linotype" w:cs="Palatino Linotype"/>
          <w:i/>
          <w:sz w:val="22"/>
          <w:szCs w:val="22"/>
        </w:rPr>
        <w:t xml:space="preserve"> tendrán las siguientes </w:t>
      </w:r>
      <w:r w:rsidRPr="002F1FF8">
        <w:rPr>
          <w:rFonts w:ascii="Palatino Linotype" w:eastAsia="Palatino Linotype" w:hAnsi="Palatino Linotype" w:cs="Palatino Linotype"/>
          <w:b/>
          <w:i/>
          <w:sz w:val="22"/>
          <w:szCs w:val="22"/>
        </w:rPr>
        <w:t>funciones</w:t>
      </w:r>
      <w:r w:rsidRPr="002F1FF8">
        <w:rPr>
          <w:rFonts w:ascii="Palatino Linotype" w:eastAsia="Palatino Linotype" w:hAnsi="Palatino Linotype" w:cs="Palatino Linotype"/>
          <w:i/>
          <w:sz w:val="22"/>
          <w:szCs w:val="22"/>
        </w:rPr>
        <w:t>:</w:t>
      </w:r>
    </w:p>
    <w:p w14:paraId="0ED46539"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 Presentar ante el Comité, el proyecto de clasificación de información</w:t>
      </w:r>
      <w:r w:rsidRPr="002F1FF8">
        <w:rPr>
          <w:rFonts w:ascii="Palatino Linotype" w:eastAsia="Palatino Linotype" w:hAnsi="Palatino Linotype" w:cs="Palatino Linotype"/>
          <w:i/>
          <w:sz w:val="22"/>
          <w:szCs w:val="22"/>
        </w:rPr>
        <w:t xml:space="preserve">…” </w:t>
      </w:r>
    </w:p>
    <w:p w14:paraId="053BF8C7"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“Artículo 59.</w:t>
      </w:r>
      <w:r w:rsidRPr="002F1FF8">
        <w:rPr>
          <w:rFonts w:ascii="Palatino Linotype" w:eastAsia="Palatino Linotype" w:hAnsi="Palatino Linotype" w:cs="Palatino Linotype"/>
          <w:i/>
          <w:sz w:val="22"/>
          <w:szCs w:val="22"/>
        </w:rPr>
        <w:t xml:space="preserve"> Los </w:t>
      </w:r>
      <w:r w:rsidRPr="002F1FF8">
        <w:rPr>
          <w:rFonts w:ascii="Palatino Linotype" w:eastAsia="Palatino Linotype" w:hAnsi="Palatino Linotype" w:cs="Palatino Linotype"/>
          <w:b/>
          <w:i/>
          <w:sz w:val="22"/>
          <w:szCs w:val="22"/>
        </w:rPr>
        <w:t>servidores públicos habilitados</w:t>
      </w:r>
      <w:r w:rsidRPr="002F1FF8">
        <w:rPr>
          <w:rFonts w:ascii="Palatino Linotype" w:eastAsia="Palatino Linotype" w:hAnsi="Palatino Linotype" w:cs="Palatino Linotype"/>
          <w:i/>
          <w:sz w:val="22"/>
          <w:szCs w:val="22"/>
        </w:rPr>
        <w:t xml:space="preserve"> tendrán las </w:t>
      </w:r>
      <w:r w:rsidRPr="002F1FF8">
        <w:rPr>
          <w:rFonts w:ascii="Palatino Linotype" w:eastAsia="Palatino Linotype" w:hAnsi="Palatino Linotype" w:cs="Palatino Linotype"/>
          <w:b/>
          <w:i/>
          <w:sz w:val="22"/>
          <w:szCs w:val="22"/>
        </w:rPr>
        <w:t>funciones</w:t>
      </w:r>
      <w:r w:rsidRPr="002F1FF8">
        <w:rPr>
          <w:rFonts w:ascii="Palatino Linotype" w:eastAsia="Palatino Linotype" w:hAnsi="Palatino Linotype" w:cs="Palatino Linotype"/>
          <w:i/>
          <w:sz w:val="22"/>
          <w:szCs w:val="22"/>
        </w:rPr>
        <w:t xml:space="preserve"> siguientes:</w:t>
      </w:r>
    </w:p>
    <w:p w14:paraId="68C39F31"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F1FF8">
        <w:rPr>
          <w:rFonts w:ascii="Palatino Linotype" w:eastAsia="Palatino Linotype" w:hAnsi="Palatino Linotype" w:cs="Palatino Linotype"/>
          <w:i/>
          <w:sz w:val="22"/>
          <w:szCs w:val="22"/>
        </w:rPr>
        <w:t>, la cual tendrá los fundamentos y argumentos en que se basa dicha propuesta…”</w:t>
      </w:r>
    </w:p>
    <w:p w14:paraId="33BEFDC8"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1AB979"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94A2C4D"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Artículo 149.</w:t>
      </w:r>
      <w:r w:rsidRPr="002F1FF8">
        <w:rPr>
          <w:rFonts w:ascii="Palatino Linotype" w:eastAsia="Palatino Linotype" w:hAnsi="Palatino Linotype" w:cs="Palatino Linotype"/>
          <w:i/>
          <w:sz w:val="22"/>
          <w:szCs w:val="22"/>
        </w:rPr>
        <w:t xml:space="preserve"> El </w:t>
      </w:r>
      <w:r w:rsidRPr="002F1FF8">
        <w:rPr>
          <w:rFonts w:ascii="Palatino Linotype" w:eastAsia="Palatino Linotype" w:hAnsi="Palatino Linotype" w:cs="Palatino Linotype"/>
          <w:b/>
          <w:i/>
          <w:sz w:val="22"/>
          <w:szCs w:val="22"/>
        </w:rPr>
        <w:t>acuerdo que clasifique la información como confidencial</w:t>
      </w:r>
      <w:r w:rsidRPr="002F1FF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D925B8A" w14:textId="77777777" w:rsidR="00331A87" w:rsidRPr="002F1FF8" w:rsidRDefault="00331A87" w:rsidP="00331A87">
      <w:pP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Es decir,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2CEA79C" w14:textId="77777777" w:rsidR="00331A87" w:rsidRPr="002F1FF8" w:rsidRDefault="00331A87" w:rsidP="00331A87">
      <w:pPr>
        <w:spacing w:before="240" w:after="240" w:line="360" w:lineRule="auto"/>
        <w:ind w:right="49"/>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Atento a lo anterior, cabe señalar que el Comité de Transparencia del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D00C37E"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Segundo.-</w:t>
      </w:r>
      <w:r w:rsidRPr="002F1FF8">
        <w:rPr>
          <w:rFonts w:ascii="Palatino Linotype" w:eastAsia="Palatino Linotype" w:hAnsi="Palatino Linotype" w:cs="Palatino Linotype"/>
          <w:i/>
          <w:sz w:val="22"/>
          <w:szCs w:val="22"/>
        </w:rPr>
        <w:t xml:space="preserve"> Para efectos de los presentes Lineamientos Generales, se entenderá por:</w:t>
      </w:r>
    </w:p>
    <w:p w14:paraId="51589EFA"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XVIII.</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Versión pública:</w:t>
      </w:r>
      <w:r w:rsidRPr="002F1FF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F1FF8">
        <w:rPr>
          <w:rFonts w:ascii="Palatino Linotype" w:eastAsia="Palatino Linotype" w:hAnsi="Palatino Linotype" w:cs="Palatino Linotype"/>
          <w:b/>
          <w:i/>
          <w:sz w:val="22"/>
          <w:szCs w:val="22"/>
        </w:rPr>
        <w:t>fundando y motivando la</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reserva o confidencialidad</w:t>
      </w:r>
      <w:r w:rsidRPr="002F1FF8">
        <w:rPr>
          <w:rFonts w:ascii="Palatino Linotype" w:eastAsia="Palatino Linotype" w:hAnsi="Palatino Linotype" w:cs="Palatino Linotype"/>
          <w:i/>
          <w:sz w:val="22"/>
          <w:szCs w:val="22"/>
        </w:rPr>
        <w:t>, a través de la resolución que para tal efecto emita el Comité de Transparencia.</w:t>
      </w:r>
    </w:p>
    <w:p w14:paraId="4FD7AD5E"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w:t>
      </w:r>
    </w:p>
    <w:p w14:paraId="2022D31B"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Cuarto.</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Para clasificar la información como</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reservada o</w:t>
      </w:r>
      <w:r w:rsidRPr="002F1FF8">
        <w:rPr>
          <w:rFonts w:ascii="Palatino Linotype" w:eastAsia="Palatino Linotype" w:hAnsi="Palatino Linotype" w:cs="Palatino Linotype"/>
          <w:i/>
          <w:sz w:val="22"/>
          <w:szCs w:val="22"/>
        </w:rPr>
        <w:t xml:space="preserve"> </w:t>
      </w:r>
      <w:r w:rsidRPr="002F1FF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F1FF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09721F"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C6BFBC2"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Quinto.</w:t>
      </w:r>
      <w:r w:rsidRPr="002F1FF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A61BEA"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Sexto.</w:t>
      </w:r>
      <w:r w:rsidRPr="002F1FF8">
        <w:rPr>
          <w:rFonts w:ascii="Palatino Linotype" w:eastAsia="Palatino Linotype" w:hAnsi="Palatino Linotype" w:cs="Palatino Linotype"/>
          <w:i/>
          <w:sz w:val="22"/>
          <w:szCs w:val="22"/>
        </w:rPr>
        <w:t xml:space="preserve"> Se deroga.</w:t>
      </w:r>
    </w:p>
    <w:p w14:paraId="3089C310"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Séptimo.</w:t>
      </w:r>
      <w:r w:rsidRPr="002F1FF8">
        <w:rPr>
          <w:rFonts w:ascii="Palatino Linotype" w:eastAsia="Palatino Linotype" w:hAnsi="Palatino Linotype" w:cs="Palatino Linotype"/>
          <w:i/>
          <w:sz w:val="22"/>
          <w:szCs w:val="22"/>
        </w:rPr>
        <w:t xml:space="preserve"> La clasificación de la información se llevará a cabo en el momento en que:</w:t>
      </w:r>
    </w:p>
    <w:p w14:paraId="300D1B99"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Se reciba una solicitud de acceso a la información;</w:t>
      </w:r>
    </w:p>
    <w:p w14:paraId="01E88DCF"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194EDC7"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972D23F"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i/>
          <w:sz w:val="22"/>
          <w:szCs w:val="22"/>
        </w:rPr>
        <w:t>conforme a su naturaleza, si encuadra en una causal de reserva o de confidencialidad.</w:t>
      </w:r>
    </w:p>
    <w:p w14:paraId="24F89B65"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Octavo.</w:t>
      </w:r>
      <w:r w:rsidRPr="002F1FF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6E49BB"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0F752E"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60F556E"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Noveno.</w:t>
      </w:r>
      <w:r w:rsidRPr="002F1FF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4D3023"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Décimo.</w:t>
      </w:r>
      <w:r w:rsidRPr="002F1FF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D3C53A7"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E621C91" w14:textId="77777777" w:rsidR="00331A87" w:rsidRPr="002F1FF8"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Décimo primero.</w:t>
      </w:r>
      <w:r w:rsidRPr="002F1FF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EE938E" w14:textId="77777777" w:rsidR="00331A87" w:rsidRPr="002F1FF8" w:rsidRDefault="00331A87" w:rsidP="00331A8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F9FA739"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 “Quincuagésimo. </w:t>
      </w:r>
      <w:r w:rsidRPr="002F1FF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DEFA1F"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Quincuagésimo primero. </w:t>
      </w:r>
      <w:r w:rsidRPr="002F1FF8">
        <w:rPr>
          <w:rFonts w:ascii="Palatino Linotype" w:eastAsia="Palatino Linotype" w:hAnsi="Palatino Linotype" w:cs="Palatino Linotype"/>
          <w:i/>
          <w:sz w:val="22"/>
          <w:szCs w:val="22"/>
        </w:rPr>
        <w:t xml:space="preserve">Toda acta del Comité de Transparencia deberá contener: </w:t>
      </w:r>
    </w:p>
    <w:p w14:paraId="772E2484"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El número de sesión y fecha; </w:t>
      </w:r>
    </w:p>
    <w:p w14:paraId="403BD111"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xml:space="preserve">. El nombre del área que solicitó la clasificación de información; </w:t>
      </w:r>
    </w:p>
    <w:p w14:paraId="51D04F6B"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La fundamentación legal y motivación correspondiente; </w:t>
      </w:r>
    </w:p>
    <w:p w14:paraId="3F839855"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IV</w:t>
      </w:r>
      <w:r w:rsidRPr="002F1FF8">
        <w:rPr>
          <w:rFonts w:ascii="Palatino Linotype" w:eastAsia="Palatino Linotype" w:hAnsi="Palatino Linotype" w:cs="Palatino Linotype"/>
          <w:i/>
          <w:sz w:val="22"/>
          <w:szCs w:val="22"/>
        </w:rPr>
        <w:t xml:space="preserve">. La resolución o resoluciones aprobadas; y </w:t>
      </w:r>
    </w:p>
    <w:p w14:paraId="3677D443"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V</w:t>
      </w:r>
      <w:r w:rsidRPr="002F1FF8">
        <w:rPr>
          <w:rFonts w:ascii="Palatino Linotype" w:eastAsia="Palatino Linotype" w:hAnsi="Palatino Linotype" w:cs="Palatino Linotype"/>
          <w:i/>
          <w:sz w:val="22"/>
          <w:szCs w:val="22"/>
        </w:rPr>
        <w:t xml:space="preserve">. La rúbrica o firma digital de cada integrante del Comité de Transparencia. </w:t>
      </w:r>
    </w:p>
    <w:p w14:paraId="2E16F0F2"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1264F40"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5BB3432"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Descripción de las partes o secciones reservadas, en caso de clasificación parcial</w:t>
      </w:r>
      <w:r w:rsidRPr="002F1FF8">
        <w:rPr>
          <w:rFonts w:ascii="Palatino Linotype" w:eastAsia="Palatino Linotype" w:hAnsi="Palatino Linotype" w:cs="Palatino Linotype"/>
          <w:b/>
          <w:i/>
          <w:sz w:val="22"/>
          <w:szCs w:val="22"/>
        </w:rPr>
        <w:t xml:space="preserve">; </w:t>
      </w:r>
    </w:p>
    <w:p w14:paraId="29CE5C39"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El periodo por el que mantendrá su clasificación y fecha de expiración; y </w:t>
      </w:r>
    </w:p>
    <w:p w14:paraId="6CB4CC7F"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IV.</w:t>
      </w:r>
      <w:r w:rsidRPr="002F1FF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F162383"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F5D50B3" w14:textId="77777777" w:rsidR="00331A87" w:rsidRPr="002F1FF8"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9EDC375"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17056F1" w14:textId="77777777" w:rsidR="00331A87" w:rsidRPr="002F1FF8" w:rsidRDefault="00331A87" w:rsidP="00331A87">
      <w:pP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r w:rsidRPr="002F1FF8">
        <w:rPr>
          <w:rFonts w:ascii="Palatino Linotype" w:eastAsia="Palatino Linotype" w:hAnsi="Palatino Linotype" w:cs="Palatino Linotype"/>
          <w:b/>
          <w:i/>
          <w:sz w:val="22"/>
          <w:szCs w:val="22"/>
        </w:rPr>
        <w:t>Quincuagésimo segundo</w:t>
      </w:r>
      <w:r w:rsidRPr="002F1FF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C423B5" w14:textId="77777777" w:rsidR="00331A87" w:rsidRPr="002F1FF8" w:rsidRDefault="00331A87" w:rsidP="00331A87">
      <w:pP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89AAD86" w14:textId="77777777" w:rsidR="00331A87" w:rsidRPr="002F1FF8" w:rsidRDefault="00331A87" w:rsidP="00331A87">
      <w:pP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0FFAE31" w14:textId="77777777" w:rsidR="00331A87" w:rsidRPr="002F1FF8" w:rsidRDefault="00331A87" w:rsidP="00331A87">
      <w:pP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BCA76B2" w14:textId="77777777" w:rsidR="00331A87" w:rsidRPr="002F1FF8" w:rsidRDefault="00331A87" w:rsidP="00331A87">
      <w:pP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Señalar las personas o instancias autorizadas a acceder a la información clasificada.</w:t>
      </w:r>
    </w:p>
    <w:p w14:paraId="21389642" w14:textId="77777777" w:rsidR="00331A87" w:rsidRPr="002F1FF8" w:rsidRDefault="00331A87" w:rsidP="00331A87">
      <w:pP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2E924BE" w14:textId="77777777" w:rsidR="00331A87" w:rsidRPr="002F1FF8" w:rsidRDefault="00331A87" w:rsidP="00331A8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w:t>
      </w:r>
    </w:p>
    <w:p w14:paraId="15333A6F" w14:textId="77777777" w:rsidR="00331A87" w:rsidRPr="002F1FF8" w:rsidRDefault="00331A87" w:rsidP="00331A8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 xml:space="preserve">Quincuagésimo cuarto. </w:t>
      </w:r>
      <w:r w:rsidRPr="002F1FF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F1FF8">
        <w:rPr>
          <w:rFonts w:ascii="Palatino Linotype" w:eastAsia="Palatino Linotype" w:hAnsi="Palatino Linotype" w:cs="Palatino Linotype"/>
          <w:b/>
          <w:i/>
          <w:sz w:val="22"/>
          <w:szCs w:val="22"/>
        </w:rPr>
        <w:t xml:space="preserve"> </w:t>
      </w:r>
    </w:p>
    <w:p w14:paraId="69556AA5"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 xml:space="preserve">Quincuagésimo quinto. </w:t>
      </w:r>
      <w:r w:rsidRPr="002F1FF8">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CE9303C" w14:textId="77777777" w:rsidR="00331A87" w:rsidRPr="002F1FF8" w:rsidRDefault="00331A87" w:rsidP="00331A87">
      <w:pPr>
        <w:spacing w:before="120" w:after="120"/>
        <w:ind w:left="851" w:right="902"/>
        <w:jc w:val="both"/>
        <w:rPr>
          <w:rFonts w:ascii="Palatino Linotype" w:eastAsia="Palatino Linotype" w:hAnsi="Palatino Linotype" w:cs="Palatino Linotype"/>
          <w:b/>
          <w:i/>
          <w:sz w:val="22"/>
          <w:szCs w:val="22"/>
        </w:rPr>
      </w:pPr>
      <w:r w:rsidRPr="002F1FF8">
        <w:rPr>
          <w:rFonts w:ascii="Palatino Linotype" w:eastAsia="Palatino Linotype" w:hAnsi="Palatino Linotype" w:cs="Palatino Linotype"/>
          <w:b/>
          <w:i/>
          <w:sz w:val="22"/>
          <w:szCs w:val="22"/>
        </w:rPr>
        <w:t>...</w:t>
      </w:r>
    </w:p>
    <w:p w14:paraId="68EC1DAD"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Quincuagésimo séptimo</w:t>
      </w:r>
      <w:r w:rsidRPr="002F1FF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53B524F"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w:t>
      </w:r>
      <w:r w:rsidRPr="002F1FF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FD18016"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w:t>
      </w:r>
      <w:r w:rsidRPr="002F1FF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32B883B"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III</w:t>
      </w:r>
      <w:r w:rsidRPr="002F1FF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8164122"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8CD9F60" w14:textId="77777777" w:rsidR="00331A87" w:rsidRPr="002F1FF8" w:rsidRDefault="00331A87" w:rsidP="00331A87">
      <w:pPr>
        <w:spacing w:before="120" w:after="120"/>
        <w:ind w:left="851" w:right="902"/>
        <w:jc w:val="both"/>
        <w:rPr>
          <w:rFonts w:ascii="Palatino Linotype" w:eastAsia="Palatino Linotype" w:hAnsi="Palatino Linotype" w:cs="Palatino Linotype"/>
          <w:i/>
          <w:sz w:val="22"/>
          <w:szCs w:val="22"/>
        </w:rPr>
      </w:pPr>
      <w:r w:rsidRPr="002F1FF8">
        <w:rPr>
          <w:rFonts w:ascii="Palatino Linotype" w:eastAsia="Palatino Linotype" w:hAnsi="Palatino Linotype" w:cs="Palatino Linotype"/>
          <w:b/>
          <w:i/>
          <w:sz w:val="22"/>
          <w:szCs w:val="22"/>
        </w:rPr>
        <w:t>Quincuagésimo octavo</w:t>
      </w:r>
      <w:r w:rsidRPr="002F1FF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368008A" w14:textId="77777777" w:rsidR="00331A87" w:rsidRPr="002F1FF8" w:rsidRDefault="00331A87" w:rsidP="00331A87">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0B4B5E69" w14:textId="77777777" w:rsidR="00694AA0" w:rsidRPr="002F1FF8"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F1FF8">
        <w:rPr>
          <w:rFonts w:ascii="Palatino Linotype" w:eastAsia="Palatino Linotype" w:hAnsi="Palatino Linotype" w:cs="Palatino Linotype"/>
          <w:b/>
          <w:sz w:val="22"/>
          <w:szCs w:val="22"/>
        </w:rPr>
        <w:t>III. R E S U E L V E</w:t>
      </w:r>
    </w:p>
    <w:p w14:paraId="6571A61A" w14:textId="2A452C4B"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8" w:name="_heading=h.26in1rg" w:colFirst="0" w:colLast="0"/>
      <w:bookmarkEnd w:id="8"/>
      <w:r w:rsidRPr="002F1FF8">
        <w:rPr>
          <w:rFonts w:ascii="Palatino Linotype" w:eastAsia="Palatino Linotype" w:hAnsi="Palatino Linotype" w:cs="Palatino Linotype"/>
          <w:b/>
          <w:sz w:val="22"/>
          <w:szCs w:val="22"/>
        </w:rPr>
        <w:t xml:space="preserve">Primero. </w:t>
      </w:r>
      <w:r w:rsidRPr="002F1FF8">
        <w:rPr>
          <w:rFonts w:ascii="Palatino Linotype" w:eastAsia="Palatino Linotype" w:hAnsi="Palatino Linotype" w:cs="Palatino Linotype"/>
          <w:sz w:val="22"/>
          <w:szCs w:val="22"/>
        </w:rPr>
        <w:t>Resultan</w:t>
      </w:r>
      <w:r w:rsidRPr="002F1FF8">
        <w:rPr>
          <w:rFonts w:ascii="Palatino Linotype" w:eastAsia="Palatino Linotype" w:hAnsi="Palatino Linotype" w:cs="Palatino Linotype"/>
          <w:b/>
          <w:sz w:val="22"/>
          <w:szCs w:val="22"/>
        </w:rPr>
        <w:t xml:space="preserve"> fundadas</w:t>
      </w:r>
      <w:r w:rsidRPr="002F1FF8">
        <w:rPr>
          <w:rFonts w:ascii="Palatino Linotype" w:eastAsia="Palatino Linotype" w:hAnsi="Palatino Linotype" w:cs="Palatino Linotype"/>
          <w:sz w:val="22"/>
          <w:szCs w:val="22"/>
        </w:rPr>
        <w:t xml:space="preserve"> las razones o motivos de inconformidad hechos valer por la parte</w:t>
      </w:r>
      <w:r w:rsidRPr="002F1FF8">
        <w:rPr>
          <w:rFonts w:ascii="Palatino Linotype" w:eastAsia="Palatino Linotype" w:hAnsi="Palatino Linotype" w:cs="Palatino Linotype"/>
          <w:b/>
          <w:sz w:val="22"/>
          <w:szCs w:val="22"/>
        </w:rPr>
        <w:t xml:space="preserve"> Recurrente</w:t>
      </w:r>
      <w:r w:rsidRPr="002F1FF8">
        <w:rPr>
          <w:rFonts w:ascii="Palatino Linotype" w:eastAsia="Palatino Linotype" w:hAnsi="Palatino Linotype" w:cs="Palatino Linotype"/>
          <w:sz w:val="22"/>
          <w:szCs w:val="22"/>
        </w:rPr>
        <w:t xml:space="preserve"> en el recurso de revisión </w:t>
      </w:r>
      <w:r w:rsidR="00331A87" w:rsidRPr="002F1FF8">
        <w:rPr>
          <w:rFonts w:ascii="Palatino Linotype" w:eastAsia="Palatino Linotype" w:hAnsi="Palatino Linotype" w:cs="Palatino Linotype"/>
          <w:b/>
          <w:sz w:val="22"/>
          <w:szCs w:val="22"/>
        </w:rPr>
        <w:t>10979</w:t>
      </w:r>
      <w:r w:rsidRPr="002F1FF8">
        <w:rPr>
          <w:rFonts w:ascii="Palatino Linotype" w:eastAsia="Palatino Linotype" w:hAnsi="Palatino Linotype" w:cs="Palatino Linotype"/>
          <w:b/>
          <w:sz w:val="22"/>
          <w:szCs w:val="22"/>
        </w:rPr>
        <w:t>/INFOEM/IP/RR/2025</w:t>
      </w:r>
      <w:r w:rsidRPr="002F1FF8">
        <w:rPr>
          <w:rFonts w:ascii="Palatino Linotype" w:eastAsia="Palatino Linotype" w:hAnsi="Palatino Linotype" w:cs="Palatino Linotype"/>
          <w:sz w:val="22"/>
          <w:szCs w:val="22"/>
        </w:rPr>
        <w:t xml:space="preserve">; por lo que, en términos del </w:t>
      </w:r>
      <w:r w:rsidRPr="002F1FF8">
        <w:rPr>
          <w:rFonts w:ascii="Palatino Linotype" w:eastAsia="Palatino Linotype" w:hAnsi="Palatino Linotype" w:cs="Palatino Linotype"/>
          <w:b/>
          <w:sz w:val="22"/>
          <w:szCs w:val="22"/>
        </w:rPr>
        <w:t>Considerando</w:t>
      </w:r>
      <w:r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b/>
          <w:sz w:val="22"/>
          <w:szCs w:val="22"/>
        </w:rPr>
        <w:t xml:space="preserve">Cuarto </w:t>
      </w:r>
      <w:r w:rsidRPr="002F1FF8">
        <w:rPr>
          <w:rFonts w:ascii="Palatino Linotype" w:eastAsia="Palatino Linotype" w:hAnsi="Palatino Linotype" w:cs="Palatino Linotype"/>
          <w:sz w:val="22"/>
          <w:szCs w:val="22"/>
        </w:rPr>
        <w:t xml:space="preserve">de esta resolución, se </w:t>
      </w:r>
      <w:r w:rsidR="009B4ADD" w:rsidRPr="002F1FF8">
        <w:rPr>
          <w:rFonts w:ascii="Palatino Linotype" w:eastAsia="Palatino Linotype" w:hAnsi="Palatino Linotype" w:cs="Palatino Linotype"/>
          <w:b/>
          <w:sz w:val="22"/>
          <w:szCs w:val="22"/>
        </w:rPr>
        <w:t>Revoca</w:t>
      </w:r>
      <w:r w:rsidRPr="002F1FF8">
        <w:rPr>
          <w:rFonts w:ascii="Palatino Linotype" w:eastAsia="Palatino Linotype" w:hAnsi="Palatino Linotype" w:cs="Palatino Linotype"/>
          <w:b/>
          <w:sz w:val="22"/>
          <w:szCs w:val="22"/>
        </w:rPr>
        <w:t xml:space="preserve"> </w:t>
      </w:r>
      <w:r w:rsidRPr="002F1FF8">
        <w:rPr>
          <w:rFonts w:ascii="Palatino Linotype" w:eastAsia="Palatino Linotype" w:hAnsi="Palatino Linotype" w:cs="Palatino Linotype"/>
          <w:sz w:val="22"/>
          <w:szCs w:val="22"/>
        </w:rPr>
        <w:t xml:space="preserve">la respuesta emitida por el </w:t>
      </w:r>
      <w:r w:rsidRPr="002F1FF8">
        <w:rPr>
          <w:rFonts w:ascii="Palatino Linotype" w:eastAsia="Palatino Linotype" w:hAnsi="Palatino Linotype" w:cs="Palatino Linotype"/>
          <w:b/>
          <w:sz w:val="22"/>
          <w:szCs w:val="22"/>
        </w:rPr>
        <w:t xml:space="preserve">Sujeto Obligado. </w:t>
      </w:r>
    </w:p>
    <w:p w14:paraId="05146961" w14:textId="554576F8" w:rsidR="009B4ADD" w:rsidRPr="002F1FF8" w:rsidRDefault="005B22BA" w:rsidP="00143423">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Segundo. </w:t>
      </w:r>
      <w:r w:rsidRPr="002F1FF8">
        <w:rPr>
          <w:rFonts w:ascii="Palatino Linotype" w:eastAsia="Palatino Linotype" w:hAnsi="Palatino Linotype" w:cs="Palatino Linotype"/>
          <w:sz w:val="22"/>
          <w:szCs w:val="22"/>
        </w:rPr>
        <w:t xml:space="preserve">Se </w:t>
      </w:r>
      <w:r w:rsidRPr="002F1FF8">
        <w:rPr>
          <w:rFonts w:ascii="Palatino Linotype" w:eastAsia="Palatino Linotype" w:hAnsi="Palatino Linotype" w:cs="Palatino Linotype"/>
          <w:b/>
          <w:sz w:val="22"/>
          <w:szCs w:val="22"/>
        </w:rPr>
        <w:t>Ordena</w:t>
      </w:r>
      <w:r w:rsidRPr="002F1FF8">
        <w:rPr>
          <w:rFonts w:ascii="Palatino Linotype" w:eastAsia="Palatino Linotype" w:hAnsi="Palatino Linotype" w:cs="Palatino Linotype"/>
          <w:sz w:val="22"/>
          <w:szCs w:val="22"/>
        </w:rPr>
        <w:t xml:space="preserve"> al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en términos de los Considerandos </w:t>
      </w:r>
      <w:r w:rsidRPr="002F1FF8">
        <w:rPr>
          <w:rFonts w:ascii="Palatino Linotype" w:eastAsia="Palatino Linotype" w:hAnsi="Palatino Linotype" w:cs="Palatino Linotype"/>
          <w:b/>
          <w:sz w:val="22"/>
          <w:szCs w:val="22"/>
        </w:rPr>
        <w:t xml:space="preserve">Cuarto </w:t>
      </w:r>
      <w:r w:rsidRPr="002F1FF8">
        <w:rPr>
          <w:rFonts w:ascii="Palatino Linotype" w:eastAsia="Palatino Linotype" w:hAnsi="Palatino Linotype" w:cs="Palatino Linotype"/>
          <w:sz w:val="22"/>
          <w:szCs w:val="22"/>
        </w:rPr>
        <w:t xml:space="preserve">y </w:t>
      </w:r>
      <w:r w:rsidRPr="002F1FF8">
        <w:rPr>
          <w:rFonts w:ascii="Palatino Linotype" w:eastAsia="Palatino Linotype" w:hAnsi="Palatino Linotype" w:cs="Palatino Linotype"/>
          <w:b/>
          <w:sz w:val="22"/>
          <w:szCs w:val="22"/>
        </w:rPr>
        <w:t xml:space="preserve">Quinto </w:t>
      </w:r>
      <w:r w:rsidRPr="002F1FF8">
        <w:rPr>
          <w:rFonts w:ascii="Palatino Linotype" w:eastAsia="Palatino Linotype" w:hAnsi="Palatino Linotype" w:cs="Palatino Linotype"/>
          <w:sz w:val="22"/>
          <w:szCs w:val="22"/>
        </w:rPr>
        <w:t xml:space="preserve">de esta resolución, haga entrega, </w:t>
      </w:r>
      <w:r w:rsidR="009B4ADD" w:rsidRPr="002F1FF8">
        <w:rPr>
          <w:rFonts w:ascii="Palatino Linotype" w:eastAsia="Palatino Linotype" w:hAnsi="Palatino Linotype" w:cs="Palatino Linotype"/>
          <w:sz w:val="22"/>
          <w:szCs w:val="22"/>
        </w:rPr>
        <w:t xml:space="preserve">vía </w:t>
      </w:r>
      <w:r w:rsidR="009B4ADD" w:rsidRPr="002F1FF8">
        <w:rPr>
          <w:rFonts w:ascii="Palatino Linotype" w:eastAsia="Palatino Linotype" w:hAnsi="Palatino Linotype" w:cs="Palatino Linotype"/>
          <w:b/>
          <w:sz w:val="22"/>
          <w:szCs w:val="22"/>
        </w:rPr>
        <w:t>SAIMEX</w:t>
      </w:r>
      <w:r w:rsidR="009B4ADD" w:rsidRPr="002F1FF8">
        <w:rPr>
          <w:rFonts w:ascii="Palatino Linotype" w:eastAsia="Palatino Linotype" w:hAnsi="Palatino Linotype" w:cs="Palatino Linotype"/>
          <w:sz w:val="22"/>
          <w:szCs w:val="22"/>
        </w:rPr>
        <w:t>, en versión pública, de lo siguiente:</w:t>
      </w:r>
    </w:p>
    <w:p w14:paraId="7AB475A1" w14:textId="6C40977A" w:rsidR="00143423" w:rsidRPr="002F1FF8" w:rsidRDefault="00331A87" w:rsidP="00331A87">
      <w:pPr>
        <w:spacing w:before="240" w:after="240" w:line="360" w:lineRule="auto"/>
        <w:ind w:left="284"/>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1.  El o los documentos que den cuenta del costo </w:t>
      </w:r>
      <w:r w:rsidR="00253ED3" w:rsidRPr="002F1FF8">
        <w:rPr>
          <w:rFonts w:ascii="Palatino Linotype" w:eastAsia="Palatino Linotype" w:hAnsi="Palatino Linotype" w:cs="Palatino Linotype"/>
          <w:sz w:val="22"/>
          <w:szCs w:val="22"/>
        </w:rPr>
        <w:t xml:space="preserve">de </w:t>
      </w:r>
      <w:r w:rsidRPr="002F1FF8">
        <w:rPr>
          <w:rFonts w:ascii="Palatino Linotype" w:eastAsia="Palatino Linotype" w:hAnsi="Palatino Linotype" w:cs="Palatino Linotype"/>
          <w:sz w:val="22"/>
          <w:szCs w:val="22"/>
        </w:rPr>
        <w:t>la presentación de las artistas referidas en la solicitud</w:t>
      </w:r>
      <w:r w:rsidR="00D439A1" w:rsidRPr="002F1FF8">
        <w:rPr>
          <w:rFonts w:ascii="Palatino Linotype" w:eastAsia="Palatino Linotype" w:hAnsi="Palatino Linotype" w:cs="Palatino Linotype"/>
          <w:sz w:val="22"/>
          <w:szCs w:val="22"/>
        </w:rPr>
        <w:t xml:space="preserve"> en la Feria del Alfeñique 2025</w:t>
      </w:r>
      <w:r w:rsidRPr="002F1FF8">
        <w:rPr>
          <w:rFonts w:ascii="Palatino Linotype" w:eastAsia="Palatino Linotype" w:hAnsi="Palatino Linotype" w:cs="Palatino Linotype"/>
          <w:sz w:val="22"/>
          <w:szCs w:val="22"/>
        </w:rPr>
        <w:t>, con los que cuente al tres de septiembre de dos mil veinticinco.</w:t>
      </w:r>
    </w:p>
    <w:p w14:paraId="1DAA96B6" w14:textId="77777777" w:rsidR="00143423" w:rsidRPr="002F1FF8" w:rsidRDefault="00143423" w:rsidP="00143423">
      <w:pPr>
        <w:spacing w:before="120" w:after="120"/>
        <w:ind w:left="284"/>
        <w:jc w:val="both"/>
        <w:rPr>
          <w:rFonts w:ascii="Palatino Linotype" w:eastAsia="Palatino Linotype" w:hAnsi="Palatino Linotype" w:cs="Palatino Linotype"/>
          <w:i/>
          <w:sz w:val="20"/>
          <w:szCs w:val="20"/>
        </w:rPr>
      </w:pPr>
      <w:r w:rsidRPr="002F1FF8">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01661F9C" w14:textId="3EC6628B" w:rsidR="00694AA0" w:rsidRPr="002F1FF8" w:rsidRDefault="005B22BA" w:rsidP="00B221EC">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b/>
          <w:sz w:val="22"/>
          <w:szCs w:val="22"/>
        </w:rPr>
        <w:t xml:space="preserve">Tercero. Notifíquese, </w:t>
      </w:r>
      <w:r w:rsidRPr="002F1FF8">
        <w:rPr>
          <w:rFonts w:ascii="Palatino Linotype" w:eastAsia="Palatino Linotype" w:hAnsi="Palatino Linotype" w:cs="Palatino Linotype"/>
          <w:sz w:val="22"/>
          <w:szCs w:val="22"/>
        </w:rPr>
        <w:t xml:space="preserve">vía </w:t>
      </w:r>
      <w:r w:rsidRPr="002F1FF8">
        <w:rPr>
          <w:rFonts w:ascii="Palatino Linotype" w:eastAsia="Palatino Linotype" w:hAnsi="Palatino Linotype" w:cs="Palatino Linotype"/>
          <w:b/>
          <w:sz w:val="22"/>
          <w:szCs w:val="22"/>
        </w:rPr>
        <w:t>SAIMEX</w:t>
      </w:r>
      <w:r w:rsidRPr="002F1FF8">
        <w:rPr>
          <w:rFonts w:ascii="Palatino Linotype" w:eastAsia="Palatino Linotype" w:hAnsi="Palatino Linotype" w:cs="Palatino Linotype"/>
          <w:sz w:val="22"/>
          <w:szCs w:val="22"/>
        </w:rPr>
        <w:t xml:space="preserve">, al Titular de la Unidad de Transparencia del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D760D0"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r w:rsidRPr="002F1FF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2F1FF8">
        <w:rPr>
          <w:rFonts w:ascii="Palatino Linotype" w:eastAsia="Palatino Linotype" w:hAnsi="Palatino Linotype" w:cs="Palatino Linotype"/>
          <w:b/>
          <w:sz w:val="22"/>
          <w:szCs w:val="22"/>
        </w:rPr>
        <w:t>Sujeto Obligado</w:t>
      </w:r>
      <w:r w:rsidRPr="002F1FF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2A9EDCB" w14:textId="77777777" w:rsidR="00694AA0" w:rsidRPr="002F1FF8" w:rsidRDefault="005B22BA">
      <w:pPr>
        <w:spacing w:before="240" w:after="240" w:line="360" w:lineRule="auto"/>
        <w:jc w:val="both"/>
        <w:rPr>
          <w:rFonts w:ascii="Palatino Linotype" w:eastAsia="Palatino Linotype" w:hAnsi="Palatino Linotype" w:cs="Palatino Linotype"/>
          <w:sz w:val="22"/>
          <w:szCs w:val="22"/>
        </w:rPr>
      </w:pPr>
      <w:bookmarkStart w:id="9" w:name="_heading=h.17dp8vu" w:colFirst="0" w:colLast="0"/>
      <w:bookmarkEnd w:id="9"/>
      <w:r w:rsidRPr="002F1FF8">
        <w:rPr>
          <w:rFonts w:ascii="Palatino Linotype" w:eastAsia="Palatino Linotype" w:hAnsi="Palatino Linotype" w:cs="Palatino Linotype"/>
          <w:b/>
          <w:sz w:val="22"/>
          <w:szCs w:val="22"/>
        </w:rPr>
        <w:t xml:space="preserve">Cuarto.  Notifíquese, </w:t>
      </w:r>
      <w:r w:rsidRPr="002F1FF8">
        <w:rPr>
          <w:rFonts w:ascii="Palatino Linotype" w:eastAsia="Palatino Linotype" w:hAnsi="Palatino Linotype" w:cs="Palatino Linotype"/>
          <w:sz w:val="22"/>
          <w:szCs w:val="22"/>
        </w:rPr>
        <w:t xml:space="preserve">vía </w:t>
      </w:r>
      <w:r w:rsidRPr="002F1FF8">
        <w:rPr>
          <w:rFonts w:ascii="Palatino Linotype" w:eastAsia="Palatino Linotype" w:hAnsi="Palatino Linotype" w:cs="Palatino Linotype"/>
          <w:b/>
          <w:sz w:val="22"/>
          <w:szCs w:val="22"/>
        </w:rPr>
        <w:t>SAIMEX</w:t>
      </w:r>
      <w:r w:rsidRPr="002F1FF8">
        <w:rPr>
          <w:rFonts w:ascii="Palatino Linotype" w:eastAsia="Palatino Linotype" w:hAnsi="Palatino Linotype" w:cs="Palatino Linotype"/>
          <w:sz w:val="22"/>
          <w:szCs w:val="22"/>
        </w:rPr>
        <w:t xml:space="preserve">, a la parte </w:t>
      </w:r>
      <w:r w:rsidRPr="002F1FF8">
        <w:rPr>
          <w:rFonts w:ascii="Palatino Linotype" w:eastAsia="Palatino Linotype" w:hAnsi="Palatino Linotype" w:cs="Palatino Linotype"/>
          <w:b/>
          <w:sz w:val="22"/>
          <w:szCs w:val="22"/>
        </w:rPr>
        <w:t>Recurrente</w:t>
      </w:r>
      <w:r w:rsidRPr="002F1FF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26E16E3D" w:rsidR="00694AA0" w:rsidRPr="00146345"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0" w:name="_heading=h.lnxbz9" w:colFirst="0" w:colLast="0"/>
      <w:bookmarkEnd w:id="10"/>
      <w:r w:rsidRPr="002F1FF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71F7F" w:rsidRPr="002F1FF8">
        <w:rPr>
          <w:rFonts w:ascii="Palatino Linotype" w:eastAsia="Palatino Linotype" w:hAnsi="Palatino Linotype" w:cs="Palatino Linotype"/>
          <w:sz w:val="22"/>
          <w:szCs w:val="22"/>
        </w:rPr>
        <w:t>CUADRAGÉSIMA</w:t>
      </w:r>
      <w:r w:rsidR="008B474D" w:rsidRPr="002F1FF8">
        <w:rPr>
          <w:rFonts w:ascii="Palatino Linotype" w:eastAsia="Palatino Linotype" w:hAnsi="Palatino Linotype" w:cs="Palatino Linotype"/>
          <w:sz w:val="22"/>
          <w:szCs w:val="22"/>
        </w:rPr>
        <w:t xml:space="preserve"> </w:t>
      </w:r>
      <w:r w:rsidR="001A3D4C" w:rsidRPr="002F1FF8">
        <w:rPr>
          <w:rFonts w:ascii="Palatino Linotype" w:eastAsia="Palatino Linotype" w:hAnsi="Palatino Linotype" w:cs="Palatino Linotype"/>
          <w:sz w:val="22"/>
          <w:szCs w:val="22"/>
        </w:rPr>
        <w:t>CUARTA</w:t>
      </w:r>
      <w:r w:rsidR="00143423" w:rsidRPr="002F1FF8">
        <w:rPr>
          <w:rFonts w:ascii="Palatino Linotype" w:eastAsia="Palatino Linotype" w:hAnsi="Palatino Linotype" w:cs="Palatino Linotype"/>
          <w:sz w:val="22"/>
          <w:szCs w:val="22"/>
        </w:rPr>
        <w:t xml:space="preserve"> </w:t>
      </w:r>
      <w:r w:rsidRPr="002F1FF8">
        <w:rPr>
          <w:rFonts w:ascii="Palatino Linotype" w:eastAsia="Palatino Linotype" w:hAnsi="Palatino Linotype" w:cs="Palatino Linotype"/>
          <w:sz w:val="22"/>
          <w:szCs w:val="22"/>
        </w:rPr>
        <w:t xml:space="preserve">SESIÓN ORDINARIA CELEBRADA EL </w:t>
      </w:r>
      <w:r w:rsidR="001A3D4C" w:rsidRPr="002F1FF8">
        <w:rPr>
          <w:rFonts w:ascii="Palatino Linotype" w:eastAsia="Palatino Linotype" w:hAnsi="Palatino Linotype" w:cs="Palatino Linotype"/>
          <w:sz w:val="22"/>
          <w:szCs w:val="22"/>
        </w:rPr>
        <w:t xml:space="preserve">DIEZ DE DIICEMBRE </w:t>
      </w:r>
      <w:r w:rsidRPr="002F1FF8">
        <w:rPr>
          <w:rFonts w:ascii="Palatino Linotype" w:eastAsia="Palatino Linotype" w:hAnsi="Palatino Linotype" w:cs="Palatino Linotype"/>
          <w:sz w:val="22"/>
          <w:szCs w:val="22"/>
        </w:rPr>
        <w:t>DE DOS MIL VEINTICINCO, ANTE EL SECRETARIO TÉCNICO DEL PLENO ALEXIS TAPIA RAMÍREZ.</w:t>
      </w:r>
    </w:p>
    <w:p w14:paraId="36F5D5CA"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146345"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146345" w:rsidRDefault="00694AA0">
      <w:pPr>
        <w:spacing w:line="360" w:lineRule="auto"/>
        <w:jc w:val="both"/>
        <w:rPr>
          <w:rFonts w:ascii="Palatino Linotype" w:eastAsia="Palatino Linotype" w:hAnsi="Palatino Linotype" w:cs="Palatino Linotype"/>
          <w:sz w:val="22"/>
          <w:szCs w:val="22"/>
        </w:rPr>
      </w:pPr>
    </w:p>
    <w:p w14:paraId="5684A0AB" w14:textId="77777777" w:rsidR="006F3A18" w:rsidRPr="00146345" w:rsidRDefault="006F3A18">
      <w:pPr>
        <w:spacing w:line="360" w:lineRule="auto"/>
        <w:jc w:val="both"/>
        <w:rPr>
          <w:rFonts w:ascii="Palatino Linotype" w:eastAsia="Palatino Linotype" w:hAnsi="Palatino Linotype" w:cs="Palatino Linotype"/>
          <w:sz w:val="22"/>
          <w:szCs w:val="22"/>
        </w:rPr>
      </w:pPr>
    </w:p>
    <w:sectPr w:rsidR="006F3A18" w:rsidRPr="0014634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9BE1" w14:textId="77777777" w:rsidR="00774C46" w:rsidRDefault="00774C46">
      <w:r>
        <w:separator/>
      </w:r>
    </w:p>
  </w:endnote>
  <w:endnote w:type="continuationSeparator" w:id="0">
    <w:p w14:paraId="02145FA6" w14:textId="77777777" w:rsidR="00774C46" w:rsidRDefault="007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50674540" w:rsidR="00F30EE8" w:rsidRDefault="00F30E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301A">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301A">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01320A57" w14:textId="77777777" w:rsidR="00F30EE8" w:rsidRDefault="00F30EE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07D19ECC" w:rsidR="00F30EE8" w:rsidRDefault="00F30E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301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301A">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71AA7E10" w14:textId="77777777" w:rsidR="00F30EE8" w:rsidRDefault="00F30EE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D204F" w14:textId="77777777" w:rsidR="00774C46" w:rsidRDefault="00774C46">
      <w:r>
        <w:separator/>
      </w:r>
    </w:p>
  </w:footnote>
  <w:footnote w:type="continuationSeparator" w:id="0">
    <w:p w14:paraId="22482724" w14:textId="77777777" w:rsidR="00774C46" w:rsidRDefault="00774C46">
      <w:r>
        <w:continuationSeparator/>
      </w:r>
    </w:p>
  </w:footnote>
  <w:footnote w:id="1">
    <w:p w14:paraId="65E2F3AB" w14:textId="77777777" w:rsidR="00E44511" w:rsidRDefault="00E44511" w:rsidP="00E44511">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P./J. 74/2006,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Pleno, Tomo XXIII, Junio 2006, P. 963, Registro digital 174899.</w:t>
      </w:r>
    </w:p>
    <w:p w14:paraId="4EAAE513" w14:textId="77777777" w:rsidR="00E44511" w:rsidRDefault="00E44511" w:rsidP="00E44511">
      <w:pPr>
        <w:pStyle w:val="Textonotapie"/>
        <w:jc w:val="both"/>
        <w:rPr>
          <w:rFonts w:ascii="Palatino Linotype" w:hAnsi="Palatino Linotype"/>
          <w:sz w:val="16"/>
          <w:szCs w:val="16"/>
        </w:rPr>
      </w:pPr>
    </w:p>
  </w:footnote>
  <w:footnote w:id="2">
    <w:p w14:paraId="0D22F0B5" w14:textId="77777777" w:rsidR="00E44511" w:rsidRDefault="00E44511" w:rsidP="00E44511">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[A.]: I.3o.C.35 K (10a.), </w:t>
      </w:r>
      <w:r>
        <w:rPr>
          <w:rFonts w:ascii="Palatino Linotype" w:hAnsi="Palatino Linotype"/>
          <w:i/>
          <w:sz w:val="16"/>
          <w:szCs w:val="16"/>
        </w:rPr>
        <w:t>Semanario Judicial de la Federación y su Gaceta</w:t>
      </w:r>
      <w:r>
        <w:rPr>
          <w:rFonts w:ascii="Palatino Linotype" w:hAnsi="Palatino Linotype"/>
          <w:sz w:val="16"/>
          <w:szCs w:val="16"/>
        </w:rPr>
        <w:t>, Décima Época, Tribunales Colegiados de Circuito Libro XXVI, Noviembre 2013, P. 1373, Registro digital 2004949.</w:t>
      </w:r>
    </w:p>
  </w:footnote>
  <w:footnote w:id="3">
    <w:p w14:paraId="10790B53" w14:textId="77777777" w:rsidR="00E44511" w:rsidRDefault="00E44511" w:rsidP="00E44511">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XX.2o. J/24,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Tribunales Colegiados de Circuito, XXIX, Enero de 2009, P. 2470, Registro digital 168124.</w:t>
      </w:r>
    </w:p>
  </w:footnote>
  <w:footnote w:id="4">
    <w:p w14:paraId="0EB43224" w14:textId="77777777" w:rsidR="00E44511" w:rsidRPr="00C8417F" w:rsidRDefault="00E44511" w:rsidP="00E44511">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Tesis [A.]: </w:t>
      </w:r>
      <w:r w:rsidRPr="00C8417F">
        <w:rPr>
          <w:rFonts w:ascii="Palatino Linotype" w:hAnsi="Palatino Linotype"/>
          <w:sz w:val="16"/>
          <w:szCs w:val="16"/>
        </w:rPr>
        <w:t>I.7o.A.16 K (10a.)</w:t>
      </w:r>
      <w:r>
        <w:rPr>
          <w:rFonts w:ascii="Palatino Linotype" w:hAnsi="Palatino Linotype"/>
          <w:sz w:val="16"/>
          <w:szCs w:val="16"/>
        </w:rPr>
        <w:t xml:space="preserve">, </w:t>
      </w:r>
      <w:r>
        <w:rPr>
          <w:rFonts w:ascii="Palatino Linotype" w:hAnsi="Palatino Linotype"/>
          <w:i/>
          <w:sz w:val="16"/>
          <w:szCs w:val="16"/>
        </w:rPr>
        <w:t>Semanario Judicial de la Federación y su Gaceta</w:t>
      </w:r>
      <w:r>
        <w:rPr>
          <w:rFonts w:ascii="Palatino Linotype" w:hAnsi="Palatino Linotype"/>
          <w:sz w:val="16"/>
          <w:szCs w:val="16"/>
        </w:rPr>
        <w:t xml:space="preserve">, Décima Época, Tribunales Colegiados de Circuito </w:t>
      </w:r>
      <w:r w:rsidRPr="00C8417F">
        <w:rPr>
          <w:rFonts w:ascii="Palatino Linotype" w:hAnsi="Palatino Linotype"/>
          <w:sz w:val="16"/>
          <w:szCs w:val="16"/>
        </w:rPr>
        <w:t>Libro 7</w:t>
      </w:r>
      <w:r>
        <w:rPr>
          <w:rFonts w:ascii="Palatino Linotype" w:hAnsi="Palatino Linotype"/>
          <w:sz w:val="16"/>
          <w:szCs w:val="16"/>
        </w:rPr>
        <w:t>, Junio de 2014, Tomo II, P.</w:t>
      </w:r>
      <w:r w:rsidRPr="00C8417F">
        <w:rPr>
          <w:rFonts w:ascii="Palatino Linotype" w:hAnsi="Palatino Linotype"/>
          <w:sz w:val="16"/>
          <w:szCs w:val="16"/>
        </w:rPr>
        <w:t xml:space="preserve"> 1725</w:t>
      </w:r>
      <w:r>
        <w:rPr>
          <w:rFonts w:ascii="Palatino Linotype" w:hAnsi="Palatino Linotype"/>
          <w:sz w:val="16"/>
          <w:szCs w:val="16"/>
        </w:rPr>
        <w:t>,  Registro digital 2004949.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F30EE8" w:rsidRDefault="00F30EE8">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953" w:type="dxa"/>
      <w:tblInd w:w="3261" w:type="dxa"/>
      <w:tblLayout w:type="fixed"/>
      <w:tblLook w:val="0400" w:firstRow="0" w:lastRow="0" w:firstColumn="0" w:lastColumn="0" w:noHBand="0" w:noVBand="1"/>
    </w:tblPr>
    <w:tblGrid>
      <w:gridCol w:w="2489"/>
      <w:gridCol w:w="3464"/>
    </w:tblGrid>
    <w:tr w:rsidR="00F30EE8" w14:paraId="0791587B" w14:textId="77777777">
      <w:tc>
        <w:tcPr>
          <w:tcW w:w="2489" w:type="dxa"/>
        </w:tcPr>
        <w:p w14:paraId="5B034C04" w14:textId="77777777" w:rsidR="00F30EE8" w:rsidRDefault="00F30E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4576CB1E" w:rsidR="00F30EE8" w:rsidRDefault="00F30EE8" w:rsidP="001A3D4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10979/INFOEM/IP/RR/2025</w:t>
          </w:r>
        </w:p>
      </w:tc>
    </w:tr>
    <w:tr w:rsidR="00F30EE8" w14:paraId="704D61F0" w14:textId="77777777">
      <w:trPr>
        <w:trHeight w:val="228"/>
      </w:trPr>
      <w:tc>
        <w:tcPr>
          <w:tcW w:w="2489" w:type="dxa"/>
          <w:vAlign w:val="center"/>
        </w:tcPr>
        <w:p w14:paraId="6DFC1FC7" w14:textId="77777777" w:rsidR="00F30EE8" w:rsidRDefault="00F30E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4726A823" w:rsidR="00F30EE8" w:rsidRDefault="00F30EE8">
          <w:pPr>
            <w:ind w:left="-45" w:right="176"/>
            <w:jc w:val="both"/>
            <w:rPr>
              <w:rFonts w:ascii="Palatino Linotype" w:eastAsia="Palatino Linotype" w:hAnsi="Palatino Linotype" w:cs="Palatino Linotype"/>
              <w:b/>
              <w:sz w:val="22"/>
              <w:szCs w:val="22"/>
            </w:rPr>
          </w:pPr>
          <w:r w:rsidRPr="0026210D">
            <w:rPr>
              <w:rFonts w:ascii="Palatino Linotype" w:eastAsia="Palatino Linotype" w:hAnsi="Palatino Linotype" w:cs="Palatino Linotype"/>
              <w:b/>
              <w:sz w:val="22"/>
              <w:szCs w:val="22"/>
            </w:rPr>
            <w:t>Ayuntamiento de Toluca</w:t>
          </w:r>
        </w:p>
      </w:tc>
    </w:tr>
    <w:tr w:rsidR="00F30EE8" w14:paraId="2B5F7CE9" w14:textId="77777777">
      <w:tc>
        <w:tcPr>
          <w:tcW w:w="2489" w:type="dxa"/>
          <w:vAlign w:val="center"/>
        </w:tcPr>
        <w:p w14:paraId="63B3258D" w14:textId="77777777" w:rsidR="00F30EE8" w:rsidRDefault="00F30EE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F30EE8" w:rsidRDefault="00F30E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F30EE8" w:rsidRDefault="00F30EE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F30EE8" w:rsidRDefault="00F30EE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7DFE190E">
          <wp:simplePos x="0" y="0"/>
          <wp:positionH relativeFrom="page">
            <wp:align>left</wp:align>
          </wp:positionH>
          <wp:positionV relativeFrom="paragraph">
            <wp:posOffset>-369891</wp:posOffset>
          </wp:positionV>
          <wp:extent cx="7809865" cy="10165715"/>
          <wp:effectExtent l="0" t="0" r="635" b="6985"/>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F30EE8" w14:paraId="71B7394D" w14:textId="77777777">
      <w:tc>
        <w:tcPr>
          <w:tcW w:w="2489" w:type="dxa"/>
        </w:tcPr>
        <w:p w14:paraId="6F6314B5" w14:textId="77777777" w:rsidR="00F30EE8" w:rsidRDefault="00F30E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393E6599" w:rsidR="00F30EE8" w:rsidRDefault="00F30EE8" w:rsidP="001A3D4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10979/INFOEM/IP/RR/2025</w:t>
          </w:r>
        </w:p>
      </w:tc>
    </w:tr>
    <w:tr w:rsidR="00F30EE8" w14:paraId="4854212C" w14:textId="77777777">
      <w:tc>
        <w:tcPr>
          <w:tcW w:w="2489" w:type="dxa"/>
        </w:tcPr>
        <w:p w14:paraId="1D1E2C85" w14:textId="77777777" w:rsidR="00F30EE8" w:rsidRDefault="00F30E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29CC81F0" w:rsidR="00F30EE8" w:rsidRPr="00E66354" w:rsidRDefault="00F30EE8">
          <w:pPr>
            <w:ind w:right="175"/>
            <w:jc w:val="both"/>
            <w:rPr>
              <w:rFonts w:ascii="Palatino Linotype" w:eastAsia="Palatino Linotype" w:hAnsi="Palatino Linotype" w:cs="Palatino Linotype"/>
              <w:b/>
              <w:sz w:val="22"/>
              <w:szCs w:val="22"/>
              <w:highlight w:val="yellow"/>
            </w:rPr>
          </w:pPr>
        </w:p>
      </w:tc>
    </w:tr>
    <w:tr w:rsidR="00F30EE8" w14:paraId="082218B4" w14:textId="77777777">
      <w:trPr>
        <w:trHeight w:val="228"/>
      </w:trPr>
      <w:tc>
        <w:tcPr>
          <w:tcW w:w="2489" w:type="dxa"/>
          <w:vAlign w:val="center"/>
        </w:tcPr>
        <w:p w14:paraId="5E8970C5" w14:textId="77777777" w:rsidR="00F30EE8" w:rsidRDefault="00F30E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320EDB2C" w:rsidR="00F30EE8" w:rsidRDefault="00F30EE8">
          <w:pPr>
            <w:ind w:left="-45" w:right="176"/>
            <w:jc w:val="both"/>
            <w:rPr>
              <w:rFonts w:ascii="Palatino Linotype" w:eastAsia="Palatino Linotype" w:hAnsi="Palatino Linotype" w:cs="Palatino Linotype"/>
              <w:b/>
              <w:sz w:val="22"/>
              <w:szCs w:val="22"/>
            </w:rPr>
          </w:pPr>
          <w:r w:rsidRPr="0026210D">
            <w:rPr>
              <w:rFonts w:ascii="Palatino Linotype" w:eastAsia="Palatino Linotype" w:hAnsi="Palatino Linotype" w:cs="Palatino Linotype"/>
              <w:b/>
              <w:sz w:val="22"/>
              <w:szCs w:val="22"/>
            </w:rPr>
            <w:t>Ayuntamiento de Toluca</w:t>
          </w:r>
        </w:p>
      </w:tc>
    </w:tr>
    <w:tr w:rsidR="00F30EE8" w14:paraId="10C74DEA" w14:textId="77777777">
      <w:tc>
        <w:tcPr>
          <w:tcW w:w="2489" w:type="dxa"/>
          <w:vAlign w:val="center"/>
        </w:tcPr>
        <w:p w14:paraId="1F1A62FF" w14:textId="77777777" w:rsidR="00F30EE8" w:rsidRDefault="00F30EE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F30EE8" w:rsidRDefault="00F30E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F30EE8" w:rsidRDefault="00F30E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565543"/>
    <w:multiLevelType w:val="multilevel"/>
    <w:tmpl w:val="41889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D4592D"/>
    <w:multiLevelType w:val="multilevel"/>
    <w:tmpl w:val="BB5AF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12"/>
  </w:num>
  <w:num w:numId="4">
    <w:abstractNumId w:val="6"/>
  </w:num>
  <w:num w:numId="5">
    <w:abstractNumId w:val="8"/>
  </w:num>
  <w:num w:numId="6">
    <w:abstractNumId w:val="1"/>
  </w:num>
  <w:num w:numId="7">
    <w:abstractNumId w:val="0"/>
  </w:num>
  <w:num w:numId="8">
    <w:abstractNumId w:val="9"/>
  </w:num>
  <w:num w:numId="9">
    <w:abstractNumId w:val="5"/>
  </w:num>
  <w:num w:numId="10">
    <w:abstractNumId w:val="7"/>
  </w:num>
  <w:num w:numId="11">
    <w:abstractNumId w:val="10"/>
  </w:num>
  <w:num w:numId="12">
    <w:abstractNumId w:val="13"/>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4D58"/>
    <w:rsid w:val="000064B5"/>
    <w:rsid w:val="000309D9"/>
    <w:rsid w:val="0003226E"/>
    <w:rsid w:val="00052702"/>
    <w:rsid w:val="000653F9"/>
    <w:rsid w:val="000661FA"/>
    <w:rsid w:val="000778D1"/>
    <w:rsid w:val="00082344"/>
    <w:rsid w:val="000B0896"/>
    <w:rsid w:val="000B0B75"/>
    <w:rsid w:val="000B3BB5"/>
    <w:rsid w:val="000D66CA"/>
    <w:rsid w:val="000D757F"/>
    <w:rsid w:val="000E290B"/>
    <w:rsid w:val="0011644B"/>
    <w:rsid w:val="001309F0"/>
    <w:rsid w:val="00134ECF"/>
    <w:rsid w:val="00142C8A"/>
    <w:rsid w:val="00143423"/>
    <w:rsid w:val="00143A14"/>
    <w:rsid w:val="00146345"/>
    <w:rsid w:val="00156057"/>
    <w:rsid w:val="00176DB0"/>
    <w:rsid w:val="001A0778"/>
    <w:rsid w:val="001A3D4C"/>
    <w:rsid w:val="001B415E"/>
    <w:rsid w:val="001B5E9D"/>
    <w:rsid w:val="001E2666"/>
    <w:rsid w:val="001F3BA6"/>
    <w:rsid w:val="001F64E8"/>
    <w:rsid w:val="0020097E"/>
    <w:rsid w:val="00213EC3"/>
    <w:rsid w:val="00223511"/>
    <w:rsid w:val="00231963"/>
    <w:rsid w:val="002361D4"/>
    <w:rsid w:val="00253ED3"/>
    <w:rsid w:val="0026210D"/>
    <w:rsid w:val="0028645D"/>
    <w:rsid w:val="002951FD"/>
    <w:rsid w:val="002F1FF8"/>
    <w:rsid w:val="00331A87"/>
    <w:rsid w:val="0033200D"/>
    <w:rsid w:val="0034602C"/>
    <w:rsid w:val="0034618D"/>
    <w:rsid w:val="0036325A"/>
    <w:rsid w:val="00365022"/>
    <w:rsid w:val="00375184"/>
    <w:rsid w:val="00383985"/>
    <w:rsid w:val="0038463F"/>
    <w:rsid w:val="00386EDA"/>
    <w:rsid w:val="00397531"/>
    <w:rsid w:val="00397DDF"/>
    <w:rsid w:val="003A2BE9"/>
    <w:rsid w:val="003B589D"/>
    <w:rsid w:val="003B5E1E"/>
    <w:rsid w:val="003C6617"/>
    <w:rsid w:val="003D4C05"/>
    <w:rsid w:val="003D61F9"/>
    <w:rsid w:val="003D6643"/>
    <w:rsid w:val="0040045C"/>
    <w:rsid w:val="00420C30"/>
    <w:rsid w:val="00430882"/>
    <w:rsid w:val="00435111"/>
    <w:rsid w:val="00463FB8"/>
    <w:rsid w:val="00471407"/>
    <w:rsid w:val="00494CB2"/>
    <w:rsid w:val="004A30AD"/>
    <w:rsid w:val="004A6693"/>
    <w:rsid w:val="004B0BBC"/>
    <w:rsid w:val="004B35BD"/>
    <w:rsid w:val="004D73B7"/>
    <w:rsid w:val="004D7DF2"/>
    <w:rsid w:val="004E1DF4"/>
    <w:rsid w:val="004F1364"/>
    <w:rsid w:val="00504FA2"/>
    <w:rsid w:val="0051150E"/>
    <w:rsid w:val="00530D60"/>
    <w:rsid w:val="00535FC8"/>
    <w:rsid w:val="00544E94"/>
    <w:rsid w:val="00546E25"/>
    <w:rsid w:val="00552496"/>
    <w:rsid w:val="00554822"/>
    <w:rsid w:val="00574CB0"/>
    <w:rsid w:val="005B22BA"/>
    <w:rsid w:val="00655EF3"/>
    <w:rsid w:val="00694AA0"/>
    <w:rsid w:val="006A2500"/>
    <w:rsid w:val="006C1064"/>
    <w:rsid w:val="006E155A"/>
    <w:rsid w:val="006E15E3"/>
    <w:rsid w:val="006F3A18"/>
    <w:rsid w:val="006F76B7"/>
    <w:rsid w:val="00702E1B"/>
    <w:rsid w:val="0070776B"/>
    <w:rsid w:val="007165D6"/>
    <w:rsid w:val="007304EC"/>
    <w:rsid w:val="00731EF3"/>
    <w:rsid w:val="007333D5"/>
    <w:rsid w:val="007347D2"/>
    <w:rsid w:val="00746A44"/>
    <w:rsid w:val="0075679E"/>
    <w:rsid w:val="0076259D"/>
    <w:rsid w:val="0076423F"/>
    <w:rsid w:val="007643E2"/>
    <w:rsid w:val="00771F7F"/>
    <w:rsid w:val="00774C46"/>
    <w:rsid w:val="007D0435"/>
    <w:rsid w:val="0080393C"/>
    <w:rsid w:val="0082626C"/>
    <w:rsid w:val="00831C7F"/>
    <w:rsid w:val="00837E5E"/>
    <w:rsid w:val="00854416"/>
    <w:rsid w:val="00857C0C"/>
    <w:rsid w:val="00883836"/>
    <w:rsid w:val="0088463F"/>
    <w:rsid w:val="00897BD0"/>
    <w:rsid w:val="008A4625"/>
    <w:rsid w:val="008A4B43"/>
    <w:rsid w:val="008B474D"/>
    <w:rsid w:val="008B7DA1"/>
    <w:rsid w:val="008E0B27"/>
    <w:rsid w:val="008E1CAA"/>
    <w:rsid w:val="008F5E0C"/>
    <w:rsid w:val="008F7C04"/>
    <w:rsid w:val="00907832"/>
    <w:rsid w:val="009454C1"/>
    <w:rsid w:val="00947504"/>
    <w:rsid w:val="009502ED"/>
    <w:rsid w:val="009711CB"/>
    <w:rsid w:val="00980D84"/>
    <w:rsid w:val="009952D9"/>
    <w:rsid w:val="009B4ADD"/>
    <w:rsid w:val="009C1FBD"/>
    <w:rsid w:val="009D0D80"/>
    <w:rsid w:val="009F4157"/>
    <w:rsid w:val="009F5343"/>
    <w:rsid w:val="009F7CB0"/>
    <w:rsid w:val="00A12096"/>
    <w:rsid w:val="00A16791"/>
    <w:rsid w:val="00A17271"/>
    <w:rsid w:val="00A2767F"/>
    <w:rsid w:val="00A30507"/>
    <w:rsid w:val="00A57A19"/>
    <w:rsid w:val="00A7779B"/>
    <w:rsid w:val="00A8727F"/>
    <w:rsid w:val="00AC581C"/>
    <w:rsid w:val="00AD444D"/>
    <w:rsid w:val="00AD7617"/>
    <w:rsid w:val="00B04225"/>
    <w:rsid w:val="00B04701"/>
    <w:rsid w:val="00B101D9"/>
    <w:rsid w:val="00B14870"/>
    <w:rsid w:val="00B14A23"/>
    <w:rsid w:val="00B221EC"/>
    <w:rsid w:val="00B3392A"/>
    <w:rsid w:val="00B919FC"/>
    <w:rsid w:val="00BB3325"/>
    <w:rsid w:val="00BD020A"/>
    <w:rsid w:val="00BD504B"/>
    <w:rsid w:val="00BE3EF4"/>
    <w:rsid w:val="00C00558"/>
    <w:rsid w:val="00C029E5"/>
    <w:rsid w:val="00C1117A"/>
    <w:rsid w:val="00C24F74"/>
    <w:rsid w:val="00C314BD"/>
    <w:rsid w:val="00C85C03"/>
    <w:rsid w:val="00C90819"/>
    <w:rsid w:val="00C97F6E"/>
    <w:rsid w:val="00CB469A"/>
    <w:rsid w:val="00CC3687"/>
    <w:rsid w:val="00CD2E1D"/>
    <w:rsid w:val="00D439A1"/>
    <w:rsid w:val="00D46BA0"/>
    <w:rsid w:val="00D60D79"/>
    <w:rsid w:val="00D71F7C"/>
    <w:rsid w:val="00D77EC0"/>
    <w:rsid w:val="00D86C32"/>
    <w:rsid w:val="00DB513A"/>
    <w:rsid w:val="00DC1F5B"/>
    <w:rsid w:val="00DC301A"/>
    <w:rsid w:val="00DD1E25"/>
    <w:rsid w:val="00DD4CBD"/>
    <w:rsid w:val="00DE5ADE"/>
    <w:rsid w:val="00DF478E"/>
    <w:rsid w:val="00E1082D"/>
    <w:rsid w:val="00E16633"/>
    <w:rsid w:val="00E24D85"/>
    <w:rsid w:val="00E40785"/>
    <w:rsid w:val="00E417D0"/>
    <w:rsid w:val="00E43918"/>
    <w:rsid w:val="00E44511"/>
    <w:rsid w:val="00E545C2"/>
    <w:rsid w:val="00E56B57"/>
    <w:rsid w:val="00E66354"/>
    <w:rsid w:val="00E84CB1"/>
    <w:rsid w:val="00E91C46"/>
    <w:rsid w:val="00EA2309"/>
    <w:rsid w:val="00EA5CD6"/>
    <w:rsid w:val="00EB032A"/>
    <w:rsid w:val="00EC6393"/>
    <w:rsid w:val="00ED39E8"/>
    <w:rsid w:val="00ED661A"/>
    <w:rsid w:val="00EE042E"/>
    <w:rsid w:val="00F20BEB"/>
    <w:rsid w:val="00F221D2"/>
    <w:rsid w:val="00F30EE8"/>
    <w:rsid w:val="00F33D9D"/>
    <w:rsid w:val="00F62348"/>
    <w:rsid w:val="00F827DF"/>
    <w:rsid w:val="00F90070"/>
    <w:rsid w:val="00F96B54"/>
    <w:rsid w:val="00FA0237"/>
    <w:rsid w:val="00FA3C9A"/>
    <w:rsid w:val="00FB0090"/>
    <w:rsid w:val="00FC30CF"/>
    <w:rsid w:val="00FC36ED"/>
    <w:rsid w:val="00FC54A4"/>
    <w:rsid w:val="00FE251A"/>
    <w:rsid w:val="00FE3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4E3D6FF7-1FD1-4EA6-BDE9-C4C1B2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6">
    <w:name w:val="Table Normal1"/>
    <w:tblPr>
      <w:tblCellMar>
        <w:top w:w="0" w:type="dxa"/>
        <w:left w:w="0" w:type="dxa"/>
        <w:bottom w:w="0" w:type="dxa"/>
        <w:right w:w="0" w:type="dxa"/>
      </w:tblCellMar>
    </w:tblPr>
  </w:style>
  <w:style w:type="table" w:customStyle="1" w:styleId="47">
    <w:name w:val="47"/>
    <w:basedOn w:val="TableNormal16"/>
    <w:tblPr>
      <w:tblStyleRowBandSize w:val="1"/>
      <w:tblStyleColBandSize w:val="1"/>
      <w:tblCellMar>
        <w:left w:w="115" w:type="dxa"/>
        <w:right w:w="115" w:type="dxa"/>
      </w:tblCellMar>
    </w:tblPr>
  </w:style>
  <w:style w:type="table" w:customStyle="1" w:styleId="46">
    <w:name w:val="46"/>
    <w:basedOn w:val="TableNormal1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45">
    <w:name w:val="45"/>
    <w:basedOn w:val="TableNormal16"/>
    <w:tblPr>
      <w:tblStyleRowBandSize w:val="1"/>
      <w:tblStyleColBandSize w:val="1"/>
      <w:tblCellMar>
        <w:left w:w="115" w:type="dxa"/>
        <w:right w:w="115" w:type="dxa"/>
      </w:tblCellMar>
    </w:tblPr>
  </w:style>
  <w:style w:type="table" w:customStyle="1" w:styleId="44">
    <w:name w:val="44"/>
    <w:basedOn w:val="TableNormal1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41">
    <w:name w:val="41"/>
    <w:basedOn w:val="TableNormal30"/>
    <w:tblPr>
      <w:tblStyleRowBandSize w:val="1"/>
      <w:tblStyleColBandSize w:val="1"/>
      <w:tblCellMar>
        <w:left w:w="108" w:type="dxa"/>
        <w:right w:w="108" w:type="dxa"/>
      </w:tblCellMar>
    </w:tblPr>
  </w:style>
  <w:style w:type="table" w:customStyle="1" w:styleId="40">
    <w:name w:val="40"/>
    <w:basedOn w:val="TableNormal30"/>
    <w:tblPr>
      <w:tblStyleRowBandSize w:val="1"/>
      <w:tblStyleColBandSize w:val="1"/>
      <w:tblCellMar>
        <w:left w:w="108" w:type="dxa"/>
        <w:right w:w="108" w:type="dxa"/>
      </w:tblCellMar>
    </w:tblPr>
  </w:style>
  <w:style w:type="table" w:customStyle="1" w:styleId="39">
    <w:name w:val="39"/>
    <w:basedOn w:val="TableNormal30"/>
    <w:tblPr>
      <w:tblStyleRowBandSize w:val="1"/>
      <w:tblStyleColBandSize w:val="1"/>
      <w:tblCellMar>
        <w:left w:w="108" w:type="dxa"/>
        <w:right w:w="108" w:type="dxa"/>
      </w:tblCellMar>
    </w:tblPr>
  </w:style>
  <w:style w:type="table" w:customStyle="1" w:styleId="38">
    <w:name w:val="38"/>
    <w:basedOn w:val="TableNormal30"/>
    <w:tblPr>
      <w:tblStyleRowBandSize w:val="1"/>
      <w:tblStyleColBandSize w:val="1"/>
      <w:tblCellMar>
        <w:left w:w="108" w:type="dxa"/>
        <w:right w:w="108" w:type="dxa"/>
      </w:tblCellMar>
    </w:tblPr>
  </w:style>
  <w:style w:type="table" w:customStyle="1" w:styleId="37">
    <w:name w:val="37"/>
    <w:basedOn w:val="TableNormal30"/>
    <w:tblPr>
      <w:tblStyleRowBandSize w:val="1"/>
      <w:tblStyleColBandSize w:val="1"/>
      <w:tblCellMar>
        <w:left w:w="108" w:type="dxa"/>
        <w:right w:w="108" w:type="dxa"/>
      </w:tblCellMar>
    </w:tblPr>
  </w:style>
  <w:style w:type="table" w:customStyle="1" w:styleId="36">
    <w:name w:val="36"/>
    <w:basedOn w:val="TableNormal30"/>
    <w:tblPr>
      <w:tblStyleRowBandSize w:val="1"/>
      <w:tblStyleColBandSize w:val="1"/>
      <w:tblCellMar>
        <w:left w:w="115" w:type="dxa"/>
        <w:right w:w="115" w:type="dxa"/>
      </w:tblCellMar>
    </w:tblPr>
  </w:style>
  <w:style w:type="table" w:customStyle="1" w:styleId="35">
    <w:name w:val="35"/>
    <w:basedOn w:val="TableNormal30"/>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08" w:type="dxa"/>
        <w:right w:w="108"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5"/>
    <w:tblPr>
      <w:tblStyleRowBandSize w:val="1"/>
      <w:tblStyleColBandSize w:val="1"/>
      <w:tblCellMar>
        <w:left w:w="115" w:type="dxa"/>
        <w:right w:w="115" w:type="dxa"/>
      </w:tblCellMar>
    </w:tblPr>
  </w:style>
  <w:style w:type="table" w:customStyle="1" w:styleId="30">
    <w:name w:val="30"/>
    <w:basedOn w:val="TableNormal5"/>
    <w:tblPr>
      <w:tblStyleRowBandSize w:val="1"/>
      <w:tblStyleColBandSize w:val="1"/>
      <w:tblCellMar>
        <w:left w:w="115" w:type="dxa"/>
        <w:right w:w="115" w:type="dxa"/>
      </w:tblCellMar>
    </w:tblPr>
  </w:style>
  <w:style w:type="table" w:customStyle="1" w:styleId="29">
    <w:name w:val="29"/>
    <w:basedOn w:val="TableNormal5"/>
    <w:tblPr>
      <w:tblStyleRowBandSize w:val="1"/>
      <w:tblStyleColBandSize w:val="1"/>
      <w:tblCellMar>
        <w:left w:w="115" w:type="dxa"/>
        <w:right w:w="115" w:type="dxa"/>
      </w:tblCellMar>
    </w:tblPr>
  </w:style>
  <w:style w:type="table" w:customStyle="1" w:styleId="28">
    <w:name w:val="28"/>
    <w:basedOn w:val="TableNormal6"/>
    <w:tblPr>
      <w:tblStyleRowBandSize w:val="1"/>
      <w:tblStyleColBandSize w:val="1"/>
      <w:tblCellMar>
        <w:left w:w="115" w:type="dxa"/>
        <w:right w:w="115" w:type="dxa"/>
      </w:tblCellMar>
    </w:tblPr>
  </w:style>
  <w:style w:type="table" w:customStyle="1" w:styleId="27">
    <w:name w:val="27"/>
    <w:basedOn w:val="TableNormal6"/>
    <w:tblPr>
      <w:tblStyleRowBandSize w:val="1"/>
      <w:tblStyleColBandSize w:val="1"/>
      <w:tblCellMar>
        <w:left w:w="115" w:type="dxa"/>
        <w:right w:w="115" w:type="dxa"/>
      </w:tblCellMar>
    </w:tblPr>
  </w:style>
  <w:style w:type="table" w:customStyle="1" w:styleId="26">
    <w:name w:val="26"/>
    <w:basedOn w:val="TableNormal7"/>
    <w:tblPr>
      <w:tblStyleRowBandSize w:val="1"/>
      <w:tblStyleColBandSize w:val="1"/>
      <w:tblCellMar>
        <w:left w:w="115" w:type="dxa"/>
        <w:right w:w="115" w:type="dxa"/>
      </w:tblCellMar>
    </w:tblPr>
  </w:style>
  <w:style w:type="table" w:customStyle="1" w:styleId="25">
    <w:name w:val="25"/>
    <w:basedOn w:val="TableNormal7"/>
    <w:tblPr>
      <w:tblStyleRowBandSize w:val="1"/>
      <w:tblStyleColBandSize w:val="1"/>
      <w:tblCellMar>
        <w:left w:w="115" w:type="dxa"/>
        <w:right w:w="115" w:type="dxa"/>
      </w:tblCellMar>
    </w:tblPr>
  </w:style>
  <w:style w:type="table" w:customStyle="1" w:styleId="24">
    <w:name w:val="24"/>
    <w:basedOn w:val="TableNormal8"/>
    <w:tblPr>
      <w:tblStyleRowBandSize w:val="1"/>
      <w:tblStyleColBandSize w:val="1"/>
      <w:tblCellMar>
        <w:left w:w="115" w:type="dxa"/>
        <w:right w:w="115" w:type="dxa"/>
      </w:tblCellMar>
    </w:tblPr>
  </w:style>
  <w:style w:type="table" w:customStyle="1" w:styleId="23">
    <w:name w:val="23"/>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20">
    <w:name w:val="20"/>
    <w:basedOn w:val="TableNormal10"/>
    <w:tblPr>
      <w:tblStyleRowBandSize w:val="1"/>
      <w:tblStyleColBandSize w:val="1"/>
      <w:tblCellMar>
        <w:left w:w="115" w:type="dxa"/>
        <w:right w:w="115" w:type="dxa"/>
      </w:tblCellMar>
    </w:tblPr>
  </w:style>
  <w:style w:type="table" w:customStyle="1" w:styleId="19">
    <w:name w:val="19"/>
    <w:basedOn w:val="TableNormal10"/>
    <w:tblPr>
      <w:tblStyleRowBandSize w:val="1"/>
      <w:tblStyleColBandSize w:val="1"/>
      <w:tblCellMar>
        <w:left w:w="115" w:type="dxa"/>
        <w:right w:w="115" w:type="dxa"/>
      </w:tblCellMar>
    </w:tblPr>
  </w:style>
  <w:style w:type="table" w:customStyle="1" w:styleId="18">
    <w:name w:val="18"/>
    <w:basedOn w:val="TableNormal11"/>
    <w:tblPr>
      <w:tblStyleRowBandSize w:val="1"/>
      <w:tblStyleColBandSize w:val="1"/>
      <w:tblCellMar>
        <w:left w:w="115" w:type="dxa"/>
        <w:right w:w="115" w:type="dxa"/>
      </w:tblCellMar>
    </w:tblPr>
  </w:style>
  <w:style w:type="table" w:customStyle="1" w:styleId="17">
    <w:name w:val="17"/>
    <w:basedOn w:val="TableNormal11"/>
    <w:tblPr>
      <w:tblStyleRowBandSize w:val="1"/>
      <w:tblStyleColBandSize w:val="1"/>
      <w:tblCellMar>
        <w:left w:w="115" w:type="dxa"/>
        <w:right w:w="115" w:type="dxa"/>
      </w:tblCellMar>
    </w:tblPr>
  </w:style>
  <w:style w:type="table" w:customStyle="1" w:styleId="16">
    <w:name w:val="16"/>
    <w:basedOn w:val="TableNormal12"/>
    <w:tblPr>
      <w:tblStyleRowBandSize w:val="1"/>
      <w:tblStyleColBandSize w:val="1"/>
      <w:tblCellMar>
        <w:left w:w="115" w:type="dxa"/>
        <w:right w:w="115" w:type="dxa"/>
      </w:tblCellMar>
    </w:tblPr>
  </w:style>
  <w:style w:type="table" w:customStyle="1" w:styleId="15">
    <w:name w:val="15"/>
    <w:basedOn w:val="TableNormal12"/>
    <w:tblPr>
      <w:tblStyleRowBandSize w:val="1"/>
      <w:tblStyleColBandSize w:val="1"/>
      <w:tblCellMar>
        <w:left w:w="115" w:type="dxa"/>
        <w:right w:w="115" w:type="dxa"/>
      </w:tblCellMar>
    </w:tblPr>
  </w:style>
  <w:style w:type="table" w:customStyle="1" w:styleId="14">
    <w:name w:val="14"/>
    <w:basedOn w:val="TableNormal13"/>
    <w:tblPr>
      <w:tblStyleRowBandSize w:val="1"/>
      <w:tblStyleColBandSize w:val="1"/>
      <w:tblCellMar>
        <w:left w:w="115" w:type="dxa"/>
        <w:right w:w="115" w:type="dxa"/>
      </w:tblCellMar>
    </w:tblPr>
  </w:style>
  <w:style w:type="table" w:customStyle="1" w:styleId="13">
    <w:name w:val="13"/>
    <w:basedOn w:val="TableNormal13"/>
    <w:tblPr>
      <w:tblStyleRowBandSize w:val="1"/>
      <w:tblStyleColBandSize w:val="1"/>
      <w:tblCellMar>
        <w:left w:w="115" w:type="dxa"/>
        <w:right w:w="115" w:type="dxa"/>
      </w:tblCellMar>
    </w:tblPr>
  </w:style>
  <w:style w:type="table" w:customStyle="1" w:styleId="12">
    <w:name w:val="12"/>
    <w:basedOn w:val="TableNormal14"/>
    <w:tblPr>
      <w:tblStyleRowBandSize w:val="1"/>
      <w:tblStyleColBandSize w:val="1"/>
      <w:tblCellMar>
        <w:left w:w="115" w:type="dxa"/>
        <w:right w:w="115" w:type="dxa"/>
      </w:tblCellMar>
    </w:tblPr>
  </w:style>
  <w:style w:type="table" w:customStyle="1" w:styleId="11">
    <w:name w:val="11"/>
    <w:basedOn w:val="TableNormal14"/>
    <w:tblPr>
      <w:tblStyleRowBandSize w:val="1"/>
      <w:tblStyleColBandSize w:val="1"/>
      <w:tblCellMar>
        <w:left w:w="115" w:type="dxa"/>
        <w:right w:w="115" w:type="dxa"/>
      </w:tblCellMar>
    </w:tblPr>
  </w:style>
  <w:style w:type="table" w:customStyle="1" w:styleId="10">
    <w:name w:val="10"/>
    <w:basedOn w:val="TableNormal15"/>
    <w:tblPr>
      <w:tblStyleRowBandSize w:val="1"/>
      <w:tblStyleColBandSize w:val="1"/>
      <w:tblCellMar>
        <w:left w:w="115" w:type="dxa"/>
        <w:right w:w="115" w:type="dxa"/>
      </w:tblCellMar>
    </w:tblPr>
  </w:style>
  <w:style w:type="table" w:customStyle="1" w:styleId="9">
    <w:name w:val="9"/>
    <w:basedOn w:val="TableNormal15"/>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14548</Words>
  <Characters>80018</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2025-12-12T16:55:00Z</cp:lastPrinted>
  <dcterms:created xsi:type="dcterms:W3CDTF">2026-01-20T18:28:00Z</dcterms:created>
  <dcterms:modified xsi:type="dcterms:W3CDTF">2026-01-20T18:28:00Z</dcterms:modified>
</cp:coreProperties>
</file>