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2B" w:rsidRDefault="00E0122B">
      <w:pPr>
        <w:widowControl w:val="0"/>
        <w:pBdr>
          <w:top w:val="nil"/>
          <w:left w:val="nil"/>
          <w:bottom w:val="nil"/>
          <w:right w:val="nil"/>
          <w:between w:val="nil"/>
        </w:pBdr>
        <w:spacing w:after="0" w:line="276" w:lineRule="auto"/>
        <w:jc w:val="left"/>
      </w:pPr>
    </w:p>
    <w:p w:rsidR="00E0122B" w:rsidRPr="00D2224F" w:rsidRDefault="003153D4" w:rsidP="00080395">
      <w:pPr>
        <w:keepNext/>
        <w:keepLines/>
        <w:pBdr>
          <w:top w:val="nil"/>
          <w:left w:val="nil"/>
          <w:bottom w:val="nil"/>
          <w:right w:val="nil"/>
          <w:between w:val="nil"/>
        </w:pBdr>
        <w:spacing w:before="240" w:after="0"/>
        <w:jc w:val="center"/>
        <w:rPr>
          <w:color w:val="000000"/>
        </w:rPr>
      </w:pPr>
      <w:r w:rsidRPr="00D2224F">
        <w:rPr>
          <w:color w:val="000000"/>
        </w:rPr>
        <w:t>RESOLUCIÓN DEL RECURSO DE REVISIÓN 02746/INFOEM/IP/RR/2025 y acumulado</w:t>
      </w:r>
    </w:p>
    <w:p w:rsidR="00E0122B" w:rsidRPr="00D2224F" w:rsidRDefault="00E0122B"/>
    <w:sdt>
      <w:sdtPr>
        <w:rPr>
          <w:rFonts w:ascii="Palatino Linotype" w:eastAsia="Palatino Linotype" w:hAnsi="Palatino Linotype" w:cs="Palatino Linotype"/>
          <w:color w:val="000000" w:themeColor="text1"/>
          <w:sz w:val="22"/>
          <w:szCs w:val="22"/>
          <w:lang w:val="es-ES"/>
        </w:rPr>
        <w:id w:val="215009698"/>
        <w:docPartObj>
          <w:docPartGallery w:val="Table of Contents"/>
          <w:docPartUnique/>
        </w:docPartObj>
      </w:sdtPr>
      <w:sdtEndPr>
        <w:rPr>
          <w:b/>
          <w:bCs/>
        </w:rPr>
      </w:sdtEndPr>
      <w:sdtContent>
        <w:p w:rsidR="00080395" w:rsidRPr="00D2224F" w:rsidRDefault="00080395">
          <w:pPr>
            <w:pStyle w:val="TtulodeTDC"/>
          </w:pPr>
        </w:p>
        <w:p w:rsidR="00080395" w:rsidRPr="00D2224F" w:rsidRDefault="00080395">
          <w:pPr>
            <w:pStyle w:val="TDC1"/>
            <w:tabs>
              <w:tab w:val="right" w:leader="dot" w:pos="9204"/>
            </w:tabs>
            <w:rPr>
              <w:rFonts w:asciiTheme="minorHAnsi" w:eastAsiaTheme="minorEastAsia" w:hAnsiTheme="minorHAnsi" w:cstheme="minorBidi"/>
              <w:noProof/>
              <w:color w:val="auto"/>
            </w:rPr>
          </w:pPr>
          <w:r w:rsidRPr="00D2224F">
            <w:rPr>
              <w:b/>
              <w:bCs/>
              <w:lang w:val="es-ES"/>
            </w:rPr>
            <w:fldChar w:fldCharType="begin"/>
          </w:r>
          <w:r w:rsidRPr="00D2224F">
            <w:rPr>
              <w:b/>
              <w:bCs/>
              <w:lang w:val="es-ES"/>
            </w:rPr>
            <w:instrText xml:space="preserve"> TOC \o "1-3" \h \z \u </w:instrText>
          </w:r>
          <w:r w:rsidRPr="00D2224F">
            <w:rPr>
              <w:b/>
              <w:bCs/>
              <w:lang w:val="es-ES"/>
            </w:rPr>
            <w:fldChar w:fldCharType="separate"/>
          </w:r>
          <w:hyperlink w:anchor="_Toc196402517" w:history="1">
            <w:r w:rsidRPr="00D2224F">
              <w:rPr>
                <w:rStyle w:val="Hipervnculo"/>
                <w:noProof/>
              </w:rPr>
              <w:t>A N T E C E D E N T E S</w:t>
            </w:r>
            <w:r w:rsidRPr="00D2224F">
              <w:rPr>
                <w:noProof/>
                <w:webHidden/>
              </w:rPr>
              <w:tab/>
            </w:r>
            <w:r w:rsidRPr="00D2224F">
              <w:rPr>
                <w:noProof/>
                <w:webHidden/>
              </w:rPr>
              <w:fldChar w:fldCharType="begin"/>
            </w:r>
            <w:r w:rsidRPr="00D2224F">
              <w:rPr>
                <w:noProof/>
                <w:webHidden/>
              </w:rPr>
              <w:instrText xml:space="preserve"> PAGEREF _Toc196402517 \h </w:instrText>
            </w:r>
            <w:r w:rsidRPr="00D2224F">
              <w:rPr>
                <w:noProof/>
                <w:webHidden/>
              </w:rPr>
            </w:r>
            <w:r w:rsidRPr="00D2224F">
              <w:rPr>
                <w:noProof/>
                <w:webHidden/>
              </w:rPr>
              <w:fldChar w:fldCharType="separate"/>
            </w:r>
            <w:r w:rsidR="007B187C">
              <w:rPr>
                <w:noProof/>
                <w:webHidden/>
              </w:rPr>
              <w:t>2</w:t>
            </w:r>
            <w:r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18" w:history="1">
            <w:r w:rsidR="00080395" w:rsidRPr="00D2224F">
              <w:rPr>
                <w:rStyle w:val="Hipervnculo"/>
                <w:noProof/>
              </w:rPr>
              <w:t>I. Presentación de las solicitudes</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_Toc196402518 \h </w:instrText>
            </w:r>
            <w:r w:rsidR="00080395" w:rsidRPr="00D2224F">
              <w:rPr>
                <w:noProof/>
                <w:webHidden/>
              </w:rPr>
            </w:r>
            <w:r w:rsidR="00080395" w:rsidRPr="00D2224F">
              <w:rPr>
                <w:noProof/>
                <w:webHidden/>
              </w:rPr>
              <w:fldChar w:fldCharType="separate"/>
            </w:r>
            <w:r w:rsidR="007B187C">
              <w:rPr>
                <w:noProof/>
                <w:webHidden/>
              </w:rPr>
              <w:t>2</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19" w:history="1">
            <w:r w:rsidR="00080395" w:rsidRPr="00D2224F">
              <w:rPr>
                <w:rStyle w:val="Hipervnculo"/>
                <w:noProof/>
              </w:rPr>
              <w:t>II. Respuesta del Sujeto Obligado</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_Toc196402519 \h </w:instrText>
            </w:r>
            <w:r w:rsidR="00080395" w:rsidRPr="00D2224F">
              <w:rPr>
                <w:noProof/>
                <w:webHidden/>
              </w:rPr>
            </w:r>
            <w:r w:rsidR="00080395" w:rsidRPr="00D2224F">
              <w:rPr>
                <w:noProof/>
                <w:webHidden/>
              </w:rPr>
              <w:fldChar w:fldCharType="separate"/>
            </w:r>
            <w:r w:rsidR="007B187C">
              <w:rPr>
                <w:noProof/>
                <w:webHidden/>
              </w:rPr>
              <w:t>3</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0" w:history="1">
            <w:r w:rsidR="00080395" w:rsidRPr="00D2224F">
              <w:rPr>
                <w:rStyle w:val="Hipervnculo"/>
                <w:noProof/>
              </w:rPr>
              <w:t>III. Interposición del Recurso de Revisión</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_Toc196402520 \h </w:instrText>
            </w:r>
            <w:r w:rsidR="00080395" w:rsidRPr="00D2224F">
              <w:rPr>
                <w:noProof/>
                <w:webHidden/>
              </w:rPr>
            </w:r>
            <w:r w:rsidR="00080395" w:rsidRPr="00D2224F">
              <w:rPr>
                <w:noProof/>
                <w:webHidden/>
              </w:rPr>
              <w:fldChar w:fldCharType="separate"/>
            </w:r>
            <w:r w:rsidR="007B187C">
              <w:rPr>
                <w:noProof/>
                <w:webHidden/>
              </w:rPr>
              <w:t>4</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1" w:history="1">
            <w:r w:rsidR="00080395" w:rsidRPr="00D2224F">
              <w:rPr>
                <w:rStyle w:val="Hipervnculo"/>
                <w:noProof/>
              </w:rPr>
              <w:t>IV. Trámite del Recurso de Revisión ante este Instituto</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_Toc196402521 \h </w:instrText>
            </w:r>
            <w:r w:rsidR="00080395" w:rsidRPr="00D2224F">
              <w:rPr>
                <w:noProof/>
                <w:webHidden/>
              </w:rPr>
            </w:r>
            <w:r w:rsidR="00080395" w:rsidRPr="00D2224F">
              <w:rPr>
                <w:noProof/>
                <w:webHidden/>
              </w:rPr>
              <w:fldChar w:fldCharType="separate"/>
            </w:r>
            <w:r w:rsidR="007B187C">
              <w:rPr>
                <w:noProof/>
                <w:webHidden/>
              </w:rPr>
              <w:t>5</w:t>
            </w:r>
            <w:r w:rsidR="00080395" w:rsidRPr="00D2224F">
              <w:rPr>
                <w:noProof/>
                <w:webHidden/>
              </w:rPr>
              <w:fldChar w:fldCharType="end"/>
            </w:r>
          </w:hyperlink>
        </w:p>
        <w:p w:rsidR="00080395" w:rsidRPr="00D2224F" w:rsidRDefault="00B2124D">
          <w:pPr>
            <w:pStyle w:val="TDC1"/>
            <w:tabs>
              <w:tab w:val="right" w:leader="dot" w:pos="9204"/>
            </w:tabs>
            <w:rPr>
              <w:rFonts w:asciiTheme="minorHAnsi" w:eastAsiaTheme="minorEastAsia" w:hAnsiTheme="minorHAnsi" w:cstheme="minorBidi"/>
              <w:noProof/>
              <w:color w:val="auto"/>
            </w:rPr>
          </w:pPr>
          <w:hyperlink w:anchor="_Toc196402522" w:history="1">
            <w:r w:rsidR="00080395" w:rsidRPr="00D2224F">
              <w:rPr>
                <w:rStyle w:val="Hipervnculo"/>
                <w:noProof/>
              </w:rPr>
              <w:t>C O N S I D E R A N D O S</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_Toc196402522 \h </w:instrText>
            </w:r>
            <w:r w:rsidR="00080395" w:rsidRPr="00D2224F">
              <w:rPr>
                <w:noProof/>
                <w:webHidden/>
              </w:rPr>
            </w:r>
            <w:r w:rsidR="00080395" w:rsidRPr="00D2224F">
              <w:rPr>
                <w:noProof/>
                <w:webHidden/>
              </w:rPr>
              <w:fldChar w:fldCharType="separate"/>
            </w:r>
            <w:r w:rsidR="007B187C">
              <w:rPr>
                <w:noProof/>
                <w:webHidden/>
              </w:rPr>
              <w:t>7</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3" w:history="1">
            <w:r w:rsidR="00080395" w:rsidRPr="00D2224F">
              <w:rPr>
                <w:rStyle w:val="Hipervnculo"/>
                <w:noProof/>
              </w:rPr>
              <w:t>PRIMERO. Competencia</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_Toc196402523 \h </w:instrText>
            </w:r>
            <w:r w:rsidR="00080395" w:rsidRPr="00D2224F">
              <w:rPr>
                <w:noProof/>
                <w:webHidden/>
              </w:rPr>
            </w:r>
            <w:r w:rsidR="00080395" w:rsidRPr="00D2224F">
              <w:rPr>
                <w:noProof/>
                <w:webHidden/>
              </w:rPr>
              <w:fldChar w:fldCharType="separate"/>
            </w:r>
            <w:r w:rsidR="007B187C">
              <w:rPr>
                <w:noProof/>
                <w:webHidden/>
              </w:rPr>
              <w:t>7</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4" w:history="1">
            <w:r w:rsidR="00080395" w:rsidRPr="00D2224F">
              <w:rPr>
                <w:rStyle w:val="Hipervnculo"/>
                <w:noProof/>
              </w:rPr>
              <w:t>SEGUNDO. Causales de improcedencia y sobreseimiento</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_Toc196402524 \h </w:instrText>
            </w:r>
            <w:r w:rsidR="00080395" w:rsidRPr="00D2224F">
              <w:rPr>
                <w:noProof/>
                <w:webHidden/>
              </w:rPr>
            </w:r>
            <w:r w:rsidR="00080395" w:rsidRPr="00D2224F">
              <w:rPr>
                <w:noProof/>
                <w:webHidden/>
              </w:rPr>
              <w:fldChar w:fldCharType="separate"/>
            </w:r>
            <w:r w:rsidR="007B187C">
              <w:rPr>
                <w:noProof/>
                <w:webHidden/>
              </w:rPr>
              <w:t>7</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5" w:history="1">
            <w:r w:rsidR="00080395" w:rsidRPr="00D2224F">
              <w:rPr>
                <w:rStyle w:val="Hipervnculo"/>
                <w:noProof/>
              </w:rPr>
              <w:t>TERCERO. Determinación de la Controversia.</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_Toc196402525 \h </w:instrText>
            </w:r>
            <w:r w:rsidR="00080395" w:rsidRPr="00D2224F">
              <w:rPr>
                <w:noProof/>
                <w:webHidden/>
              </w:rPr>
            </w:r>
            <w:r w:rsidR="00080395" w:rsidRPr="00D2224F">
              <w:rPr>
                <w:noProof/>
                <w:webHidden/>
              </w:rPr>
              <w:fldChar w:fldCharType="separate"/>
            </w:r>
            <w:r w:rsidR="007B187C">
              <w:rPr>
                <w:noProof/>
                <w:webHidden/>
              </w:rPr>
              <w:t>9</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6" w:history="1">
            <w:r w:rsidR="00080395" w:rsidRPr="00D2224F">
              <w:rPr>
                <w:rStyle w:val="Hipervnculo"/>
                <w:noProof/>
              </w:rPr>
              <w:t>CUARTO. Marco normativo aplicable en materia de transparencia y acceso a la información pública</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_Toc196402526 \h </w:instrText>
            </w:r>
            <w:r w:rsidR="00080395" w:rsidRPr="00D2224F">
              <w:rPr>
                <w:noProof/>
                <w:webHidden/>
              </w:rPr>
            </w:r>
            <w:r w:rsidR="00080395" w:rsidRPr="00D2224F">
              <w:rPr>
                <w:noProof/>
                <w:webHidden/>
              </w:rPr>
              <w:fldChar w:fldCharType="separate"/>
            </w:r>
            <w:r w:rsidR="007B187C">
              <w:rPr>
                <w:noProof/>
                <w:webHidden/>
              </w:rPr>
              <w:t>9</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7" w:history="1">
            <w:r w:rsidR="00080395" w:rsidRPr="00D2224F">
              <w:rPr>
                <w:rStyle w:val="Hipervnculo"/>
                <w:smallCaps/>
                <w:noProof/>
              </w:rPr>
              <w:t>QUINTO.</w:t>
            </w:r>
            <w:r w:rsidR="00080395" w:rsidRPr="00D2224F">
              <w:rPr>
                <w:rStyle w:val="Hipervnculo"/>
                <w:noProof/>
              </w:rPr>
              <w:t xml:space="preserve"> Estudio de Fondo</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_Toc196402527 \h </w:instrText>
            </w:r>
            <w:r w:rsidR="00080395" w:rsidRPr="00D2224F">
              <w:rPr>
                <w:noProof/>
                <w:webHidden/>
              </w:rPr>
            </w:r>
            <w:r w:rsidR="00080395" w:rsidRPr="00D2224F">
              <w:rPr>
                <w:noProof/>
                <w:webHidden/>
              </w:rPr>
              <w:fldChar w:fldCharType="separate"/>
            </w:r>
            <w:r w:rsidR="007B187C">
              <w:rPr>
                <w:noProof/>
                <w:webHidden/>
              </w:rPr>
              <w:t>10</w:t>
            </w:r>
            <w:r w:rsidR="00080395" w:rsidRPr="00D2224F">
              <w:rPr>
                <w:noProof/>
                <w:webHidden/>
              </w:rPr>
              <w:fldChar w:fldCharType="end"/>
            </w:r>
          </w:hyperlink>
        </w:p>
        <w:p w:rsidR="00080395" w:rsidRPr="00D2224F" w:rsidRDefault="00B2124D">
          <w:pPr>
            <w:pStyle w:val="TDC2"/>
            <w:tabs>
              <w:tab w:val="right" w:leader="dot" w:pos="9204"/>
            </w:tabs>
            <w:rPr>
              <w:rFonts w:asciiTheme="minorHAnsi" w:eastAsiaTheme="minorEastAsia" w:hAnsiTheme="minorHAnsi" w:cstheme="minorBidi"/>
              <w:noProof/>
              <w:color w:val="auto"/>
            </w:rPr>
          </w:pPr>
          <w:hyperlink w:anchor="_Toc196402528" w:history="1">
            <w:r w:rsidR="00080395" w:rsidRPr="00D2224F">
              <w:rPr>
                <w:rStyle w:val="Hipervnculo"/>
                <w:noProof/>
              </w:rPr>
              <w:t>SEXTO. Decisión</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_Toc196402528 \h </w:instrText>
            </w:r>
            <w:r w:rsidR="00080395" w:rsidRPr="00D2224F">
              <w:rPr>
                <w:noProof/>
                <w:webHidden/>
              </w:rPr>
            </w:r>
            <w:r w:rsidR="00080395" w:rsidRPr="00D2224F">
              <w:rPr>
                <w:noProof/>
                <w:webHidden/>
              </w:rPr>
              <w:fldChar w:fldCharType="separate"/>
            </w:r>
            <w:r w:rsidR="007B187C">
              <w:rPr>
                <w:noProof/>
                <w:webHidden/>
              </w:rPr>
              <w:t>29</w:t>
            </w:r>
            <w:r w:rsidR="00080395" w:rsidRPr="00D2224F">
              <w:rPr>
                <w:noProof/>
                <w:webHidden/>
              </w:rPr>
              <w:fldChar w:fldCharType="end"/>
            </w:r>
          </w:hyperlink>
        </w:p>
        <w:p w:rsidR="00080395" w:rsidRPr="00D2224F" w:rsidRDefault="00B2124D">
          <w:pPr>
            <w:pStyle w:val="TDC1"/>
            <w:tabs>
              <w:tab w:val="right" w:leader="dot" w:pos="9204"/>
            </w:tabs>
            <w:rPr>
              <w:rFonts w:asciiTheme="minorHAnsi" w:eastAsiaTheme="minorEastAsia" w:hAnsiTheme="minorHAnsi" w:cstheme="minorBidi"/>
              <w:noProof/>
              <w:color w:val="auto"/>
            </w:rPr>
          </w:pPr>
          <w:hyperlink w:anchor="_Toc196402529" w:history="1">
            <w:r w:rsidR="00080395" w:rsidRPr="00D2224F">
              <w:rPr>
                <w:rStyle w:val="Hipervnculo"/>
                <w:noProof/>
              </w:rPr>
              <w:t>R E S U E L V E</w:t>
            </w:r>
            <w:r w:rsidR="00080395" w:rsidRPr="00D2224F">
              <w:rPr>
                <w:noProof/>
                <w:webHidden/>
              </w:rPr>
              <w:tab/>
            </w:r>
            <w:r w:rsidR="00080395" w:rsidRPr="00D2224F">
              <w:rPr>
                <w:noProof/>
                <w:webHidden/>
              </w:rPr>
              <w:fldChar w:fldCharType="begin"/>
            </w:r>
            <w:r w:rsidR="00080395" w:rsidRPr="00D2224F">
              <w:rPr>
                <w:noProof/>
                <w:webHidden/>
              </w:rPr>
              <w:instrText xml:space="preserve"> PAGEREF _Toc196402529 \h </w:instrText>
            </w:r>
            <w:r w:rsidR="00080395" w:rsidRPr="00D2224F">
              <w:rPr>
                <w:noProof/>
                <w:webHidden/>
              </w:rPr>
            </w:r>
            <w:r w:rsidR="00080395" w:rsidRPr="00D2224F">
              <w:rPr>
                <w:noProof/>
                <w:webHidden/>
              </w:rPr>
              <w:fldChar w:fldCharType="separate"/>
            </w:r>
            <w:r w:rsidR="007B187C">
              <w:rPr>
                <w:noProof/>
                <w:webHidden/>
              </w:rPr>
              <w:t>30</w:t>
            </w:r>
            <w:r w:rsidR="00080395" w:rsidRPr="00D2224F">
              <w:rPr>
                <w:noProof/>
                <w:webHidden/>
              </w:rPr>
              <w:fldChar w:fldCharType="end"/>
            </w:r>
          </w:hyperlink>
        </w:p>
        <w:p w:rsidR="00080395" w:rsidRPr="00D2224F" w:rsidRDefault="00080395">
          <w:r w:rsidRPr="00D2224F">
            <w:rPr>
              <w:b/>
              <w:bCs/>
              <w:lang w:val="es-ES"/>
            </w:rPr>
            <w:fldChar w:fldCharType="end"/>
          </w:r>
        </w:p>
      </w:sdtContent>
    </w:sdt>
    <w:p w:rsidR="00080395" w:rsidRPr="00D2224F" w:rsidRDefault="00080395"/>
    <w:p w:rsidR="00080395" w:rsidRPr="00D2224F" w:rsidRDefault="00080395"/>
    <w:p w:rsidR="00080395" w:rsidRPr="00D2224F" w:rsidRDefault="00080395"/>
    <w:p w:rsidR="00080395" w:rsidRPr="00D2224F" w:rsidRDefault="00080395"/>
    <w:p w:rsidR="00080395" w:rsidRPr="00D2224F" w:rsidRDefault="00080395"/>
    <w:p w:rsidR="00E0122B" w:rsidRPr="00D2224F" w:rsidRDefault="00E0122B">
      <w:pPr>
        <w:widowControl w:val="0"/>
        <w:pBdr>
          <w:top w:val="nil"/>
          <w:left w:val="nil"/>
          <w:bottom w:val="nil"/>
          <w:right w:val="nil"/>
          <w:between w:val="nil"/>
        </w:pBdr>
        <w:spacing w:after="0" w:line="360" w:lineRule="auto"/>
        <w:jc w:val="left"/>
      </w:pPr>
    </w:p>
    <w:p w:rsidR="00E0122B" w:rsidRPr="00D2224F" w:rsidRDefault="003153D4">
      <w:pPr>
        <w:spacing w:after="0" w:line="360" w:lineRule="auto"/>
      </w:pPr>
      <w:r w:rsidRPr="00D2224F">
        <w:lastRenderedPageBreak/>
        <w:t>Resolución del Pleno del Instituto de Transparencia, Acceso a la Información Pública y Protección de Datos Personales del Estado de México y Municipios, con domicilio en Metepec, Estado de México, de fecha veintitrés de abril de dos mil veinticinco.</w:t>
      </w:r>
    </w:p>
    <w:p w:rsidR="00E0122B" w:rsidRPr="00D2224F" w:rsidRDefault="00E0122B">
      <w:pPr>
        <w:spacing w:after="0" w:line="360" w:lineRule="auto"/>
        <w:rPr>
          <w:b/>
        </w:rPr>
      </w:pPr>
    </w:p>
    <w:p w:rsidR="00E0122B" w:rsidRPr="00D2224F" w:rsidRDefault="003153D4">
      <w:pPr>
        <w:spacing w:after="0" w:line="360" w:lineRule="auto"/>
      </w:pPr>
      <w:r w:rsidRPr="00D2224F">
        <w:rPr>
          <w:b/>
        </w:rPr>
        <w:t>VISTO</w:t>
      </w:r>
      <w:r w:rsidRPr="00D2224F">
        <w:t xml:space="preserve"> el expediente conformado con motivo de los Recursos de Revisión </w:t>
      </w:r>
      <w:r w:rsidRPr="00EF43C2">
        <w:rPr>
          <w:b/>
        </w:rPr>
        <w:t>02746/INFOEM/IP/RR/2025 y 02747/INFOEM/IP/RR/2025</w:t>
      </w:r>
      <w:r w:rsidRPr="00D2224F">
        <w:t xml:space="preserve">, interpuestos por </w:t>
      </w:r>
      <w:r w:rsidR="00E43DA4" w:rsidRPr="00E43DA4">
        <w:rPr>
          <w:highlight w:val="black"/>
        </w:rPr>
        <w:t>XXXXXXXX</w:t>
      </w:r>
      <w:r w:rsidRPr="00D2224F">
        <w:t xml:space="preserve">, en adelante, Recurrente o Particular, en contra de la respuesta del Sujeto Obligado, </w:t>
      </w:r>
      <w:r w:rsidRPr="00EF43C2">
        <w:rPr>
          <w:b/>
        </w:rPr>
        <w:t>Ayuntamiento de Toluca,</w:t>
      </w:r>
      <w:r w:rsidRPr="00D2224F">
        <w:t xml:space="preserve"> a las solicitudes de acceso a la información </w:t>
      </w:r>
      <w:r w:rsidRPr="00D2224F">
        <w:rPr>
          <w:color w:val="0D0D0D"/>
        </w:rPr>
        <w:t xml:space="preserve">  00855/TOLUCA/IP/2025 y 00856/TOLUCA/IP/2025</w:t>
      </w:r>
      <w:r w:rsidRPr="00D2224F">
        <w:t>, se emite la presente Resolución, con base en los Antecedentes y Considerandos que se exponen a continuación:</w:t>
      </w:r>
      <w:bookmarkStart w:id="0" w:name="_GoBack"/>
      <w:bookmarkEnd w:id="0"/>
    </w:p>
    <w:p w:rsidR="00E0122B" w:rsidRPr="00D2224F" w:rsidRDefault="00E0122B">
      <w:pPr>
        <w:spacing w:after="0" w:line="360" w:lineRule="auto"/>
      </w:pPr>
    </w:p>
    <w:p w:rsidR="00E0122B" w:rsidRPr="00D2224F" w:rsidRDefault="003153D4">
      <w:pPr>
        <w:pStyle w:val="Ttulo1"/>
        <w:spacing w:before="0" w:after="0"/>
      </w:pPr>
      <w:bookmarkStart w:id="1" w:name="_Toc196402517"/>
      <w:r w:rsidRPr="00D2224F">
        <w:t>A N T E C E D E N T E S</w:t>
      </w:r>
      <w:bookmarkEnd w:id="1"/>
    </w:p>
    <w:p w:rsidR="00E0122B" w:rsidRPr="00D2224F" w:rsidRDefault="00E0122B">
      <w:pPr>
        <w:spacing w:after="0" w:line="360" w:lineRule="auto"/>
      </w:pPr>
    </w:p>
    <w:p w:rsidR="00E0122B" w:rsidRPr="00D2224F" w:rsidRDefault="003153D4">
      <w:pPr>
        <w:pStyle w:val="Ttulo2"/>
        <w:spacing w:before="0" w:after="0"/>
      </w:pPr>
      <w:bookmarkStart w:id="2" w:name="_Toc196402518"/>
      <w:r w:rsidRPr="00D2224F">
        <w:t>I. Presentación de las solicitudes</w:t>
      </w:r>
      <w:bookmarkEnd w:id="2"/>
    </w:p>
    <w:p w:rsidR="00E0122B" w:rsidRPr="00D2224F" w:rsidRDefault="00E0122B">
      <w:pPr>
        <w:tabs>
          <w:tab w:val="left" w:pos="567"/>
        </w:tabs>
        <w:spacing w:after="0" w:line="360" w:lineRule="auto"/>
      </w:pPr>
    </w:p>
    <w:p w:rsidR="00E0122B" w:rsidRPr="00D2224F" w:rsidRDefault="003153D4">
      <w:pPr>
        <w:spacing w:after="0" w:line="360" w:lineRule="auto"/>
      </w:pPr>
      <w:r w:rsidRPr="00D2224F">
        <w:t xml:space="preserve">Con fecha trece de febrero de dos mil veinticinco, el Particular presentó dos solicitudes de acceso a la información pública, a través del Sistema de Acceso a la Información Mexiquense (SAIMEX), ante el sujeto Obligado, en los siguientes términos: </w:t>
      </w:r>
    </w:p>
    <w:p w:rsidR="00E0122B" w:rsidRPr="00D2224F" w:rsidRDefault="00E0122B">
      <w:pPr>
        <w:spacing w:after="0" w:line="360" w:lineRule="auto"/>
      </w:pPr>
    </w:p>
    <w:tbl>
      <w:tblPr>
        <w:tblStyle w:val="a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2"/>
      </w:tblGrid>
      <w:tr w:rsidR="00E0122B" w:rsidRPr="00D2224F">
        <w:tc>
          <w:tcPr>
            <w:tcW w:w="2689" w:type="dxa"/>
            <w:tcBorders>
              <w:top w:val="single" w:sz="4" w:space="0" w:color="000000"/>
              <w:left w:val="single" w:sz="4" w:space="0" w:color="000000"/>
              <w:bottom w:val="single" w:sz="4" w:space="0" w:color="000000"/>
              <w:right w:val="single" w:sz="4" w:space="0" w:color="000000"/>
            </w:tcBorders>
            <w:shd w:val="clear" w:color="auto" w:fill="D0CECE"/>
          </w:tcPr>
          <w:p w:rsidR="00E0122B" w:rsidRPr="00D2224F" w:rsidRDefault="003153D4">
            <w:pPr>
              <w:tabs>
                <w:tab w:val="left" w:pos="567"/>
              </w:tabs>
              <w:spacing w:line="360" w:lineRule="auto"/>
              <w:ind w:right="-28"/>
              <w:rPr>
                <w:b/>
                <w:sz w:val="20"/>
                <w:szCs w:val="20"/>
              </w:rPr>
            </w:pPr>
            <w:r w:rsidRPr="00D2224F">
              <w:rPr>
                <w:b/>
                <w:sz w:val="20"/>
                <w:szCs w:val="20"/>
              </w:rPr>
              <w:t>FOLIO DE SOLICITUD</w:t>
            </w:r>
          </w:p>
        </w:tc>
        <w:tc>
          <w:tcPr>
            <w:tcW w:w="6232" w:type="dxa"/>
            <w:tcBorders>
              <w:top w:val="single" w:sz="4" w:space="0" w:color="000000"/>
              <w:left w:val="single" w:sz="4" w:space="0" w:color="000000"/>
              <w:bottom w:val="single" w:sz="4" w:space="0" w:color="000000"/>
              <w:right w:val="single" w:sz="4" w:space="0" w:color="000000"/>
            </w:tcBorders>
            <w:shd w:val="clear" w:color="auto" w:fill="D0CECE"/>
          </w:tcPr>
          <w:p w:rsidR="00E0122B" w:rsidRPr="00D2224F" w:rsidRDefault="003153D4">
            <w:pPr>
              <w:tabs>
                <w:tab w:val="left" w:pos="4667"/>
              </w:tabs>
              <w:spacing w:line="360" w:lineRule="auto"/>
              <w:ind w:right="567"/>
              <w:rPr>
                <w:b/>
                <w:i/>
                <w:sz w:val="20"/>
                <w:szCs w:val="20"/>
              </w:rPr>
            </w:pPr>
            <w:r w:rsidRPr="00D2224F">
              <w:rPr>
                <w:b/>
                <w:i/>
                <w:sz w:val="20"/>
                <w:szCs w:val="20"/>
              </w:rPr>
              <w:t>DESCRIPCIÓN CLARA Y PRECISA DE LA INFORMACIÓN SOLICITADA.</w:t>
            </w:r>
          </w:p>
        </w:tc>
      </w:tr>
      <w:tr w:rsidR="00E0122B" w:rsidRPr="00D2224F">
        <w:tc>
          <w:tcPr>
            <w:tcW w:w="2689" w:type="dxa"/>
            <w:tcBorders>
              <w:top w:val="single" w:sz="4" w:space="0" w:color="000000"/>
              <w:left w:val="single" w:sz="4" w:space="0" w:color="000000"/>
              <w:bottom w:val="single" w:sz="4" w:space="0" w:color="000000"/>
              <w:right w:val="single" w:sz="4" w:space="0" w:color="000000"/>
            </w:tcBorders>
          </w:tcPr>
          <w:p w:rsidR="00E0122B" w:rsidRPr="00D2224F" w:rsidRDefault="003153D4">
            <w:pPr>
              <w:spacing w:line="360" w:lineRule="auto"/>
              <w:rPr>
                <w:b/>
                <w:i/>
                <w:sz w:val="20"/>
                <w:szCs w:val="20"/>
              </w:rPr>
            </w:pPr>
            <w:r w:rsidRPr="00D2224F">
              <w:rPr>
                <w:color w:val="0D0D0D"/>
              </w:rPr>
              <w:t>00855/TOLUCA/IP/2025</w:t>
            </w:r>
          </w:p>
        </w:tc>
        <w:tc>
          <w:tcPr>
            <w:tcW w:w="6232" w:type="dxa"/>
            <w:tcBorders>
              <w:top w:val="single" w:sz="4" w:space="0" w:color="000000"/>
              <w:left w:val="single" w:sz="4" w:space="0" w:color="000000"/>
              <w:bottom w:val="single" w:sz="4" w:space="0" w:color="000000"/>
              <w:right w:val="single" w:sz="4" w:space="0" w:color="000000"/>
            </w:tcBorders>
          </w:tcPr>
          <w:p w:rsidR="00E0122B" w:rsidRPr="00D2224F" w:rsidRDefault="003153D4">
            <w:pPr>
              <w:spacing w:line="360" w:lineRule="auto"/>
              <w:rPr>
                <w:i/>
                <w:sz w:val="20"/>
                <w:szCs w:val="20"/>
              </w:rPr>
            </w:pPr>
            <w:r w:rsidRPr="00D2224F">
              <w:rPr>
                <w:i/>
                <w:sz w:val="20"/>
                <w:szCs w:val="20"/>
              </w:rPr>
              <w:t>“Solicito la versión pública digital de los recibos de nómina de la primera y segunda quincenas de 2025, respecto de los miembros del Ayuntamiento” (Sic.)</w:t>
            </w:r>
          </w:p>
        </w:tc>
      </w:tr>
      <w:tr w:rsidR="00E0122B" w:rsidRPr="00D2224F">
        <w:tc>
          <w:tcPr>
            <w:tcW w:w="2689" w:type="dxa"/>
            <w:tcBorders>
              <w:top w:val="single" w:sz="4" w:space="0" w:color="000000"/>
              <w:left w:val="single" w:sz="4" w:space="0" w:color="000000"/>
              <w:bottom w:val="single" w:sz="4" w:space="0" w:color="000000"/>
              <w:right w:val="single" w:sz="4" w:space="0" w:color="000000"/>
            </w:tcBorders>
          </w:tcPr>
          <w:p w:rsidR="00E0122B" w:rsidRPr="00D2224F" w:rsidRDefault="003153D4">
            <w:pPr>
              <w:spacing w:line="360" w:lineRule="auto"/>
              <w:rPr>
                <w:b/>
                <w:sz w:val="20"/>
                <w:szCs w:val="20"/>
              </w:rPr>
            </w:pPr>
            <w:r w:rsidRPr="00D2224F">
              <w:rPr>
                <w:color w:val="0D0D0D"/>
              </w:rPr>
              <w:t>00856/TOLUCA/IP/2025</w:t>
            </w:r>
          </w:p>
        </w:tc>
        <w:tc>
          <w:tcPr>
            <w:tcW w:w="6232" w:type="dxa"/>
            <w:tcBorders>
              <w:top w:val="single" w:sz="4" w:space="0" w:color="000000"/>
              <w:left w:val="single" w:sz="4" w:space="0" w:color="000000"/>
              <w:bottom w:val="single" w:sz="4" w:space="0" w:color="000000"/>
              <w:right w:val="single" w:sz="4" w:space="0" w:color="000000"/>
            </w:tcBorders>
          </w:tcPr>
          <w:p w:rsidR="00E0122B" w:rsidRPr="00D2224F" w:rsidRDefault="003153D4">
            <w:pPr>
              <w:spacing w:line="360" w:lineRule="auto"/>
              <w:rPr>
                <w:sz w:val="20"/>
                <w:szCs w:val="20"/>
              </w:rPr>
            </w:pPr>
            <w:r w:rsidRPr="00D2224F">
              <w:rPr>
                <w:i/>
                <w:sz w:val="20"/>
                <w:szCs w:val="20"/>
              </w:rPr>
              <w:t>“Solicito la versión pública digital de los recibos de nómina de la primera y segunda quincenas de 2025, respecto de los miembros del Ayuntamiento” (Sic.)</w:t>
            </w:r>
          </w:p>
        </w:tc>
      </w:tr>
    </w:tbl>
    <w:p w:rsidR="00E0122B" w:rsidRPr="00D2224F" w:rsidRDefault="00E0122B">
      <w:pPr>
        <w:tabs>
          <w:tab w:val="left" w:pos="4667"/>
        </w:tabs>
        <w:spacing w:after="0" w:line="360" w:lineRule="auto"/>
        <w:ind w:right="567"/>
        <w:rPr>
          <w:b/>
          <w:i/>
          <w:sz w:val="20"/>
          <w:szCs w:val="20"/>
        </w:rPr>
      </w:pPr>
    </w:p>
    <w:p w:rsidR="00E0122B" w:rsidRPr="00D2224F" w:rsidRDefault="003153D4">
      <w:pPr>
        <w:tabs>
          <w:tab w:val="left" w:pos="4667"/>
        </w:tabs>
        <w:spacing w:after="0" w:line="360" w:lineRule="auto"/>
        <w:ind w:left="567" w:right="567"/>
        <w:rPr>
          <w:b/>
          <w:i/>
          <w:sz w:val="20"/>
          <w:szCs w:val="20"/>
        </w:rPr>
      </w:pPr>
      <w:r w:rsidRPr="00D2224F">
        <w:rPr>
          <w:b/>
          <w:i/>
          <w:sz w:val="20"/>
          <w:szCs w:val="20"/>
        </w:rPr>
        <w:t>“MODALIDAD DE ENTREGA</w:t>
      </w:r>
    </w:p>
    <w:p w:rsidR="00E0122B" w:rsidRPr="00D2224F" w:rsidRDefault="003153D4">
      <w:pPr>
        <w:spacing w:after="0" w:line="360" w:lineRule="auto"/>
        <w:ind w:left="567" w:right="567"/>
        <w:rPr>
          <w:i/>
          <w:sz w:val="20"/>
          <w:szCs w:val="20"/>
        </w:rPr>
      </w:pPr>
      <w:r w:rsidRPr="00D2224F">
        <w:rPr>
          <w:i/>
          <w:sz w:val="20"/>
          <w:szCs w:val="20"/>
        </w:rPr>
        <w:t>A través del SAIMEX”</w:t>
      </w:r>
    </w:p>
    <w:p w:rsidR="00E0122B" w:rsidRPr="00D2224F" w:rsidRDefault="00E0122B">
      <w:pPr>
        <w:spacing w:after="0" w:line="360" w:lineRule="auto"/>
        <w:rPr>
          <w:b/>
        </w:rPr>
      </w:pPr>
    </w:p>
    <w:p w:rsidR="00E0122B" w:rsidRPr="00D2224F" w:rsidRDefault="003153D4">
      <w:pPr>
        <w:pStyle w:val="Ttulo2"/>
        <w:spacing w:before="0" w:after="0"/>
      </w:pPr>
      <w:bookmarkStart w:id="3" w:name="_Toc196402519"/>
      <w:r w:rsidRPr="00D2224F">
        <w:t>II. Respuesta del Sujeto Obligado</w:t>
      </w:r>
      <w:bookmarkEnd w:id="3"/>
    </w:p>
    <w:p w:rsidR="00E0122B" w:rsidRPr="00D2224F" w:rsidRDefault="00E0122B">
      <w:pPr>
        <w:spacing w:after="0" w:line="360" w:lineRule="auto"/>
        <w:rPr>
          <w:b/>
        </w:rPr>
      </w:pPr>
    </w:p>
    <w:p w:rsidR="00E0122B" w:rsidRPr="00D2224F" w:rsidRDefault="003153D4">
      <w:pPr>
        <w:spacing w:after="0" w:line="360" w:lineRule="auto"/>
      </w:pPr>
      <w:r w:rsidRPr="00D2224F">
        <w:t>Con fecha siete de marzo de dos mil veinticinco, el Sujeto Obligado notificó, a través del Sistema de Acceso a la Información Mexiquense (SAIMEX), la respuesta a la solicitud de acceso a la información pública, a través del oficio  del Titular de la Unidad de  Transparencia, donde se informa lo siguiente:</w:t>
      </w:r>
    </w:p>
    <w:p w:rsidR="00E0122B" w:rsidRPr="00D2224F" w:rsidRDefault="00E0122B">
      <w:pPr>
        <w:spacing w:after="0" w:line="360" w:lineRule="auto"/>
      </w:pPr>
    </w:p>
    <w:tbl>
      <w:tblPr>
        <w:tblStyle w:val="a4"/>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2"/>
      </w:tblGrid>
      <w:tr w:rsidR="00E0122B" w:rsidRPr="00D2224F">
        <w:tc>
          <w:tcPr>
            <w:tcW w:w="2689" w:type="dxa"/>
            <w:tcBorders>
              <w:top w:val="single" w:sz="4" w:space="0" w:color="000000"/>
              <w:left w:val="single" w:sz="4" w:space="0" w:color="000000"/>
              <w:bottom w:val="single" w:sz="4" w:space="0" w:color="000000"/>
              <w:right w:val="single" w:sz="4" w:space="0" w:color="000000"/>
            </w:tcBorders>
            <w:shd w:val="clear" w:color="auto" w:fill="D0CECE"/>
          </w:tcPr>
          <w:p w:rsidR="00E0122B" w:rsidRPr="00D2224F" w:rsidRDefault="003153D4">
            <w:pPr>
              <w:tabs>
                <w:tab w:val="left" w:pos="567"/>
              </w:tabs>
              <w:spacing w:line="360" w:lineRule="auto"/>
              <w:ind w:right="-28"/>
              <w:rPr>
                <w:b/>
                <w:sz w:val="20"/>
                <w:szCs w:val="20"/>
              </w:rPr>
            </w:pPr>
            <w:bookmarkStart w:id="4" w:name="_heading=h.ckt6uiy96pe3" w:colFirst="0" w:colLast="0"/>
            <w:bookmarkEnd w:id="4"/>
            <w:r w:rsidRPr="00D2224F">
              <w:rPr>
                <w:b/>
                <w:sz w:val="20"/>
                <w:szCs w:val="20"/>
              </w:rPr>
              <w:t>FOLIO DE SOLICITUD</w:t>
            </w:r>
          </w:p>
        </w:tc>
        <w:tc>
          <w:tcPr>
            <w:tcW w:w="6232" w:type="dxa"/>
            <w:tcBorders>
              <w:top w:val="single" w:sz="4" w:space="0" w:color="000000"/>
              <w:left w:val="single" w:sz="4" w:space="0" w:color="000000"/>
              <w:bottom w:val="single" w:sz="4" w:space="0" w:color="000000"/>
              <w:right w:val="single" w:sz="4" w:space="0" w:color="000000"/>
            </w:tcBorders>
            <w:shd w:val="clear" w:color="auto" w:fill="D0CECE"/>
          </w:tcPr>
          <w:p w:rsidR="00E0122B" w:rsidRPr="00D2224F" w:rsidRDefault="003153D4">
            <w:pPr>
              <w:tabs>
                <w:tab w:val="left" w:pos="567"/>
              </w:tabs>
              <w:spacing w:line="360" w:lineRule="auto"/>
              <w:rPr>
                <w:b/>
                <w:sz w:val="20"/>
                <w:szCs w:val="20"/>
              </w:rPr>
            </w:pPr>
            <w:r w:rsidRPr="00D2224F">
              <w:rPr>
                <w:b/>
                <w:sz w:val="20"/>
                <w:szCs w:val="20"/>
              </w:rPr>
              <w:t>RESPUESTA</w:t>
            </w:r>
          </w:p>
        </w:tc>
      </w:tr>
      <w:tr w:rsidR="00E0122B" w:rsidRPr="00D2224F">
        <w:trPr>
          <w:trHeight w:val="2074"/>
        </w:trPr>
        <w:tc>
          <w:tcPr>
            <w:tcW w:w="2689" w:type="dxa"/>
            <w:tcBorders>
              <w:top w:val="single" w:sz="4" w:space="0" w:color="000000"/>
              <w:left w:val="single" w:sz="4" w:space="0" w:color="000000"/>
              <w:bottom w:val="single" w:sz="4" w:space="0" w:color="000000"/>
              <w:right w:val="single" w:sz="4" w:space="0" w:color="000000"/>
            </w:tcBorders>
          </w:tcPr>
          <w:p w:rsidR="00E0122B" w:rsidRPr="00D2224F" w:rsidRDefault="003153D4">
            <w:pPr>
              <w:spacing w:line="360" w:lineRule="auto"/>
              <w:rPr>
                <w:b/>
                <w:i/>
                <w:sz w:val="20"/>
                <w:szCs w:val="20"/>
              </w:rPr>
            </w:pPr>
            <w:r w:rsidRPr="00D2224F">
              <w:rPr>
                <w:color w:val="0D0D0D"/>
              </w:rPr>
              <w:t>00855/TOLUCA/IP/2025</w:t>
            </w:r>
          </w:p>
        </w:tc>
        <w:tc>
          <w:tcPr>
            <w:tcW w:w="6232" w:type="dxa"/>
            <w:vMerge w:val="restart"/>
            <w:tcBorders>
              <w:top w:val="single" w:sz="4" w:space="0" w:color="000000"/>
              <w:left w:val="single" w:sz="4" w:space="0" w:color="000000"/>
              <w:right w:val="single" w:sz="4" w:space="0" w:color="000000"/>
            </w:tcBorders>
          </w:tcPr>
          <w:p w:rsidR="00E0122B" w:rsidRPr="00D2224F" w:rsidRDefault="003153D4">
            <w:pPr>
              <w:spacing w:line="360" w:lineRule="auto"/>
            </w:pPr>
            <w:r w:rsidRPr="00D2224F">
              <w:t>Oficio sin número, del siete de marzo de dos mil veinticinco, suscrito por el Titular de la Unidad de Transparencia y dirigido al solicitante, mediante el cual informa lo siguiente:</w:t>
            </w:r>
          </w:p>
          <w:p w:rsidR="00E0122B" w:rsidRPr="00D2224F" w:rsidRDefault="00E0122B">
            <w:pPr>
              <w:spacing w:line="360" w:lineRule="auto"/>
            </w:pPr>
          </w:p>
          <w:p w:rsidR="00E0122B" w:rsidRPr="00D2224F" w:rsidRDefault="003153D4">
            <w:pPr>
              <w:spacing w:line="360" w:lineRule="auto"/>
              <w:rPr>
                <w:i/>
                <w:sz w:val="20"/>
                <w:szCs w:val="20"/>
              </w:rPr>
            </w:pPr>
            <w:r w:rsidRPr="00D2224F">
              <w:rPr>
                <w:i/>
                <w:sz w:val="20"/>
                <w:szCs w:val="20"/>
              </w:rPr>
              <w:t>“…</w:t>
            </w:r>
          </w:p>
          <w:p w:rsidR="00E0122B" w:rsidRPr="00D2224F" w:rsidRDefault="003153D4">
            <w:pPr>
              <w:spacing w:line="360" w:lineRule="auto"/>
              <w:rPr>
                <w:i/>
                <w:sz w:val="20"/>
                <w:szCs w:val="20"/>
              </w:rPr>
            </w:pPr>
            <w:proofErr w:type="gramStart"/>
            <w:r w:rsidRPr="00D2224F">
              <w:rPr>
                <w:i/>
                <w:sz w:val="20"/>
                <w:szCs w:val="20"/>
              </w:rPr>
              <w:t>hago</w:t>
            </w:r>
            <w:proofErr w:type="gramEnd"/>
            <w:r w:rsidRPr="00D2224F">
              <w:rPr>
                <w:i/>
                <w:sz w:val="20"/>
                <w:szCs w:val="20"/>
              </w:rPr>
              <w:t xml:space="preserve"> de su conocimiento que la Dirección General de Administración y Servidora Pública Habilitada, informo que después de una búsqueda exhaustiva y razonable en los archivos físicos y electrónicos que guarda el Departamento de Nóminas, informa que derivado de los procedimientos administrativos la información requerida no se encuentra completa, motivo por el cual no se envía.</w:t>
            </w:r>
          </w:p>
          <w:p w:rsidR="00E0122B" w:rsidRPr="00D2224F" w:rsidRDefault="003153D4">
            <w:pPr>
              <w:spacing w:line="360" w:lineRule="auto"/>
            </w:pPr>
            <w:r w:rsidRPr="00D2224F">
              <w:rPr>
                <w:i/>
                <w:sz w:val="20"/>
                <w:szCs w:val="20"/>
              </w:rPr>
              <w:t>…”</w:t>
            </w:r>
            <w:r w:rsidRPr="00D2224F">
              <w:rPr>
                <w:sz w:val="20"/>
                <w:szCs w:val="20"/>
              </w:rPr>
              <w:t xml:space="preserve"> </w:t>
            </w:r>
          </w:p>
        </w:tc>
      </w:tr>
      <w:tr w:rsidR="00E0122B" w:rsidRPr="00D2224F">
        <w:tc>
          <w:tcPr>
            <w:tcW w:w="2689" w:type="dxa"/>
            <w:tcBorders>
              <w:top w:val="single" w:sz="4" w:space="0" w:color="000000"/>
              <w:left w:val="single" w:sz="4" w:space="0" w:color="000000"/>
              <w:bottom w:val="single" w:sz="4" w:space="0" w:color="000000"/>
              <w:right w:val="single" w:sz="4" w:space="0" w:color="000000"/>
            </w:tcBorders>
          </w:tcPr>
          <w:p w:rsidR="00E0122B" w:rsidRPr="00D2224F" w:rsidRDefault="003153D4">
            <w:pPr>
              <w:spacing w:line="360" w:lineRule="auto"/>
              <w:rPr>
                <w:b/>
                <w:sz w:val="20"/>
                <w:szCs w:val="20"/>
              </w:rPr>
            </w:pPr>
            <w:r w:rsidRPr="00D2224F">
              <w:rPr>
                <w:color w:val="0D0D0D"/>
              </w:rPr>
              <w:t>00856/TOLUCA/IP/2025</w:t>
            </w:r>
          </w:p>
        </w:tc>
        <w:tc>
          <w:tcPr>
            <w:tcW w:w="6232" w:type="dxa"/>
            <w:vMerge/>
            <w:tcBorders>
              <w:top w:val="single" w:sz="4" w:space="0" w:color="000000"/>
              <w:left w:val="single" w:sz="4" w:space="0" w:color="000000"/>
              <w:right w:val="single" w:sz="4" w:space="0" w:color="000000"/>
            </w:tcBorders>
          </w:tcPr>
          <w:p w:rsidR="00E0122B" w:rsidRPr="00D2224F" w:rsidRDefault="00E0122B">
            <w:pPr>
              <w:widowControl w:val="0"/>
              <w:pBdr>
                <w:top w:val="nil"/>
                <w:left w:val="nil"/>
                <w:bottom w:val="nil"/>
                <w:right w:val="nil"/>
                <w:between w:val="nil"/>
              </w:pBdr>
              <w:spacing w:line="276" w:lineRule="auto"/>
              <w:jc w:val="left"/>
              <w:rPr>
                <w:b/>
                <w:sz w:val="20"/>
                <w:szCs w:val="20"/>
              </w:rPr>
            </w:pPr>
          </w:p>
        </w:tc>
      </w:tr>
    </w:tbl>
    <w:p w:rsidR="00E0122B" w:rsidRPr="00D2224F" w:rsidRDefault="00E0122B">
      <w:pPr>
        <w:spacing w:line="360" w:lineRule="auto"/>
        <w:ind w:right="567"/>
      </w:pPr>
    </w:p>
    <w:p w:rsidR="00080395" w:rsidRPr="00D2224F" w:rsidRDefault="00080395">
      <w:pPr>
        <w:spacing w:line="360" w:lineRule="auto"/>
        <w:ind w:right="567"/>
      </w:pPr>
    </w:p>
    <w:p w:rsidR="00E0122B" w:rsidRPr="00D2224F" w:rsidRDefault="003153D4">
      <w:pPr>
        <w:pStyle w:val="Ttulo2"/>
        <w:spacing w:before="0" w:after="0"/>
      </w:pPr>
      <w:bookmarkStart w:id="5" w:name="_Toc196402520"/>
      <w:r w:rsidRPr="00D2224F">
        <w:lastRenderedPageBreak/>
        <w:t>III. Interposición del Recurso de Revisión</w:t>
      </w:r>
      <w:bookmarkEnd w:id="5"/>
    </w:p>
    <w:p w:rsidR="00E0122B" w:rsidRPr="00D2224F" w:rsidRDefault="00E0122B">
      <w:pPr>
        <w:spacing w:after="0" w:line="360" w:lineRule="auto"/>
        <w:rPr>
          <w:b/>
        </w:rPr>
      </w:pPr>
    </w:p>
    <w:p w:rsidR="00E0122B" w:rsidRPr="00D2224F" w:rsidRDefault="003153D4">
      <w:pPr>
        <w:spacing w:after="0" w:line="360" w:lineRule="auto"/>
      </w:pPr>
      <w:r w:rsidRPr="00D2224F">
        <w:t>Con fecha once de marzo de dos mil veinticinco,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E0122B" w:rsidRPr="00D2224F" w:rsidRDefault="00E0122B">
      <w:pPr>
        <w:spacing w:after="0" w:line="360" w:lineRule="auto"/>
      </w:pPr>
    </w:p>
    <w:p w:rsidR="00E0122B" w:rsidRPr="00D2224F" w:rsidRDefault="003153D4">
      <w:pPr>
        <w:tabs>
          <w:tab w:val="left" w:pos="4667"/>
        </w:tabs>
        <w:spacing w:after="0" w:line="360" w:lineRule="auto"/>
        <w:ind w:left="567" w:right="567"/>
        <w:rPr>
          <w:b/>
          <w:i/>
          <w:sz w:val="20"/>
          <w:szCs w:val="20"/>
        </w:rPr>
      </w:pPr>
      <w:r w:rsidRPr="00D2224F">
        <w:rPr>
          <w:b/>
          <w:i/>
          <w:sz w:val="20"/>
          <w:szCs w:val="20"/>
        </w:rPr>
        <w:t>Recurso de Revisión 02746/INFOEM/IP/RR/2025</w:t>
      </w:r>
    </w:p>
    <w:p w:rsidR="00E0122B" w:rsidRPr="00D2224F" w:rsidRDefault="003153D4">
      <w:pPr>
        <w:spacing w:after="0" w:line="360" w:lineRule="auto"/>
        <w:ind w:left="567" w:right="567"/>
        <w:rPr>
          <w:i/>
          <w:sz w:val="20"/>
          <w:szCs w:val="20"/>
        </w:rPr>
      </w:pPr>
      <w:r w:rsidRPr="00D2224F">
        <w:rPr>
          <w:b/>
          <w:i/>
          <w:sz w:val="20"/>
          <w:szCs w:val="20"/>
        </w:rPr>
        <w:t>“ACTO IMPUGNADO”</w:t>
      </w:r>
    </w:p>
    <w:p w:rsidR="00E0122B" w:rsidRPr="00D2224F" w:rsidRDefault="003153D4">
      <w:pPr>
        <w:spacing w:after="0" w:line="360" w:lineRule="auto"/>
        <w:ind w:left="567" w:right="567"/>
        <w:rPr>
          <w:i/>
          <w:sz w:val="20"/>
          <w:szCs w:val="20"/>
        </w:rPr>
      </w:pPr>
      <w:r w:rsidRPr="00D2224F">
        <w:rPr>
          <w:i/>
          <w:color w:val="000000"/>
          <w:sz w:val="20"/>
          <w:szCs w:val="20"/>
        </w:rPr>
        <w:t>La respuesta a la solicitud</w:t>
      </w:r>
      <w:r w:rsidRPr="00D2224F">
        <w:rPr>
          <w:i/>
          <w:sz w:val="20"/>
          <w:szCs w:val="20"/>
        </w:rPr>
        <w:t>” (Sic.)</w:t>
      </w:r>
    </w:p>
    <w:p w:rsidR="00E0122B" w:rsidRPr="00D2224F" w:rsidRDefault="00E0122B">
      <w:pPr>
        <w:spacing w:after="0" w:line="360" w:lineRule="auto"/>
        <w:ind w:left="567" w:right="567"/>
        <w:rPr>
          <w:i/>
          <w:sz w:val="20"/>
          <w:szCs w:val="20"/>
        </w:rPr>
      </w:pPr>
    </w:p>
    <w:p w:rsidR="00E0122B" w:rsidRPr="00D2224F" w:rsidRDefault="003153D4">
      <w:pPr>
        <w:spacing w:after="0" w:line="360" w:lineRule="auto"/>
        <w:ind w:left="567" w:right="567"/>
        <w:rPr>
          <w:b/>
          <w:i/>
          <w:sz w:val="20"/>
          <w:szCs w:val="20"/>
        </w:rPr>
      </w:pPr>
      <w:r w:rsidRPr="00D2224F">
        <w:rPr>
          <w:b/>
          <w:i/>
          <w:sz w:val="20"/>
          <w:szCs w:val="20"/>
        </w:rPr>
        <w:t>“RAZONES O MOTIVOS DE LA INCONFORMIDAD”</w:t>
      </w:r>
    </w:p>
    <w:p w:rsidR="00E0122B" w:rsidRPr="00D2224F" w:rsidRDefault="003153D4">
      <w:pPr>
        <w:spacing w:after="0" w:line="360" w:lineRule="auto"/>
        <w:ind w:left="567" w:right="567"/>
        <w:rPr>
          <w:i/>
          <w:sz w:val="20"/>
          <w:szCs w:val="20"/>
        </w:rPr>
      </w:pPr>
      <w:r w:rsidRPr="00D2224F">
        <w:rPr>
          <w:i/>
          <w:color w:val="000000"/>
          <w:sz w:val="20"/>
          <w:szCs w:val="20"/>
        </w:rPr>
        <w:t xml:space="preserve">A la fecha de la solicitud el Sujeto Obligad ya debía contar con los recibos correspondientes a las dos quincenas de enero de 2025, por lo que se niega la </w:t>
      </w:r>
      <w:proofErr w:type="spellStart"/>
      <w:r w:rsidRPr="00D2224F">
        <w:rPr>
          <w:i/>
          <w:color w:val="000000"/>
          <w:sz w:val="20"/>
          <w:szCs w:val="20"/>
        </w:rPr>
        <w:t>ionformación</w:t>
      </w:r>
      <w:proofErr w:type="spellEnd"/>
      <w:r w:rsidRPr="00D2224F">
        <w:rPr>
          <w:i/>
          <w:color w:val="000000"/>
          <w:sz w:val="20"/>
          <w:szCs w:val="20"/>
        </w:rPr>
        <w:t xml:space="preserve">, y debería haberse mandado el acta del </w:t>
      </w:r>
      <w:proofErr w:type="spellStart"/>
      <w:r w:rsidRPr="00D2224F">
        <w:rPr>
          <w:i/>
          <w:color w:val="000000"/>
          <w:sz w:val="20"/>
          <w:szCs w:val="20"/>
        </w:rPr>
        <w:t>comite</w:t>
      </w:r>
      <w:proofErr w:type="spellEnd"/>
      <w:r w:rsidRPr="00D2224F">
        <w:rPr>
          <w:i/>
          <w:color w:val="000000"/>
          <w:sz w:val="20"/>
          <w:szCs w:val="20"/>
        </w:rPr>
        <w:t xml:space="preserve"> respecto de los datos confidenciales y en su caso de la </w:t>
      </w:r>
      <w:proofErr w:type="spellStart"/>
      <w:r w:rsidRPr="00D2224F">
        <w:rPr>
          <w:i/>
          <w:color w:val="000000"/>
          <w:sz w:val="20"/>
          <w:szCs w:val="20"/>
        </w:rPr>
        <w:t>infromación</w:t>
      </w:r>
      <w:proofErr w:type="spellEnd"/>
      <w:r w:rsidRPr="00D2224F">
        <w:rPr>
          <w:i/>
          <w:color w:val="000000"/>
          <w:sz w:val="20"/>
          <w:szCs w:val="20"/>
        </w:rPr>
        <w:t xml:space="preserve"> reservada. En virtud de la falta de atención correcta solicito se dé vista a la contraloría para que se sancione al titular de la Unidad de </w:t>
      </w:r>
      <w:proofErr w:type="spellStart"/>
      <w:r w:rsidRPr="00D2224F">
        <w:rPr>
          <w:i/>
          <w:color w:val="000000"/>
          <w:sz w:val="20"/>
          <w:szCs w:val="20"/>
        </w:rPr>
        <w:t>Trsnparencia</w:t>
      </w:r>
      <w:proofErr w:type="spellEnd"/>
      <w:r w:rsidRPr="00D2224F">
        <w:rPr>
          <w:i/>
          <w:color w:val="000000"/>
          <w:sz w:val="20"/>
          <w:szCs w:val="20"/>
        </w:rPr>
        <w:t xml:space="preserve"> y en su caso al servidor </w:t>
      </w:r>
      <w:proofErr w:type="spellStart"/>
      <w:r w:rsidRPr="00D2224F">
        <w:rPr>
          <w:i/>
          <w:color w:val="000000"/>
          <w:sz w:val="20"/>
          <w:szCs w:val="20"/>
        </w:rPr>
        <w:t>públicpo</w:t>
      </w:r>
      <w:proofErr w:type="spellEnd"/>
      <w:r w:rsidRPr="00D2224F">
        <w:rPr>
          <w:i/>
          <w:color w:val="000000"/>
          <w:sz w:val="20"/>
          <w:szCs w:val="20"/>
        </w:rPr>
        <w:t xml:space="preserve"> habilitado que niega la información.</w:t>
      </w:r>
      <w:r w:rsidRPr="00D2224F">
        <w:rPr>
          <w:i/>
          <w:sz w:val="20"/>
          <w:szCs w:val="20"/>
        </w:rPr>
        <w:t>” (Sic.)</w:t>
      </w:r>
    </w:p>
    <w:p w:rsidR="00E0122B" w:rsidRPr="00D2224F" w:rsidRDefault="00E0122B">
      <w:pPr>
        <w:spacing w:after="0" w:line="360" w:lineRule="auto"/>
        <w:ind w:left="567" w:right="567"/>
        <w:rPr>
          <w:i/>
          <w:sz w:val="20"/>
          <w:szCs w:val="20"/>
        </w:rPr>
      </w:pPr>
    </w:p>
    <w:p w:rsidR="00E0122B" w:rsidRPr="00D2224F" w:rsidRDefault="003153D4">
      <w:pPr>
        <w:tabs>
          <w:tab w:val="left" w:pos="4667"/>
        </w:tabs>
        <w:spacing w:after="0" w:line="360" w:lineRule="auto"/>
        <w:ind w:left="567" w:right="567"/>
        <w:rPr>
          <w:b/>
          <w:i/>
          <w:sz w:val="20"/>
          <w:szCs w:val="20"/>
        </w:rPr>
      </w:pPr>
      <w:r w:rsidRPr="00D2224F">
        <w:rPr>
          <w:b/>
          <w:i/>
          <w:sz w:val="20"/>
          <w:szCs w:val="20"/>
        </w:rPr>
        <w:t>Recurso de Revisión 02747/INFOEM/IP/RR/2025</w:t>
      </w:r>
    </w:p>
    <w:p w:rsidR="00E0122B" w:rsidRPr="00D2224F" w:rsidRDefault="003153D4">
      <w:pPr>
        <w:spacing w:after="0" w:line="360" w:lineRule="auto"/>
        <w:ind w:left="567" w:right="567"/>
        <w:rPr>
          <w:i/>
          <w:sz w:val="20"/>
          <w:szCs w:val="20"/>
        </w:rPr>
      </w:pPr>
      <w:r w:rsidRPr="00D2224F">
        <w:rPr>
          <w:b/>
          <w:i/>
          <w:sz w:val="20"/>
          <w:szCs w:val="20"/>
        </w:rPr>
        <w:t>“ACTO IMPUGNADO”</w:t>
      </w:r>
    </w:p>
    <w:p w:rsidR="00E0122B" w:rsidRPr="00D2224F" w:rsidRDefault="003153D4">
      <w:pPr>
        <w:spacing w:after="0" w:line="360" w:lineRule="auto"/>
        <w:ind w:left="567" w:right="567"/>
        <w:rPr>
          <w:i/>
          <w:sz w:val="20"/>
          <w:szCs w:val="20"/>
        </w:rPr>
      </w:pPr>
      <w:r w:rsidRPr="00D2224F">
        <w:rPr>
          <w:i/>
          <w:color w:val="000000"/>
          <w:sz w:val="20"/>
          <w:szCs w:val="20"/>
        </w:rPr>
        <w:t>La respuesta a la solicitud</w:t>
      </w:r>
      <w:r w:rsidRPr="00D2224F">
        <w:rPr>
          <w:i/>
          <w:sz w:val="20"/>
          <w:szCs w:val="20"/>
        </w:rPr>
        <w:t>” (Sic.)</w:t>
      </w:r>
    </w:p>
    <w:p w:rsidR="00E0122B" w:rsidRPr="00D2224F" w:rsidRDefault="00E0122B">
      <w:pPr>
        <w:spacing w:after="0" w:line="360" w:lineRule="auto"/>
        <w:ind w:left="567" w:right="567"/>
        <w:rPr>
          <w:i/>
          <w:sz w:val="20"/>
          <w:szCs w:val="20"/>
        </w:rPr>
      </w:pPr>
    </w:p>
    <w:p w:rsidR="00E0122B" w:rsidRPr="00D2224F" w:rsidRDefault="003153D4">
      <w:pPr>
        <w:spacing w:after="0" w:line="360" w:lineRule="auto"/>
        <w:ind w:left="567" w:right="567"/>
        <w:rPr>
          <w:b/>
          <w:i/>
          <w:sz w:val="20"/>
          <w:szCs w:val="20"/>
        </w:rPr>
      </w:pPr>
      <w:r w:rsidRPr="00D2224F">
        <w:rPr>
          <w:b/>
          <w:i/>
          <w:sz w:val="20"/>
          <w:szCs w:val="20"/>
        </w:rPr>
        <w:t>“RAZONES O MOTIVOS DE LA INCONFORMIDAD”</w:t>
      </w:r>
    </w:p>
    <w:p w:rsidR="00E0122B" w:rsidRPr="00D2224F" w:rsidRDefault="003153D4">
      <w:pPr>
        <w:spacing w:after="0" w:line="360" w:lineRule="auto"/>
        <w:ind w:left="567" w:right="567"/>
        <w:rPr>
          <w:i/>
          <w:sz w:val="20"/>
          <w:szCs w:val="20"/>
        </w:rPr>
      </w:pPr>
      <w:r w:rsidRPr="00D2224F">
        <w:rPr>
          <w:i/>
          <w:color w:val="000000"/>
          <w:sz w:val="20"/>
          <w:szCs w:val="20"/>
        </w:rPr>
        <w:t xml:space="preserve">A la fecha de la solicitud el Sujeto Obligado ya debía contar con los recibos correspondientes, por lo que se niega la </w:t>
      </w:r>
      <w:proofErr w:type="spellStart"/>
      <w:r w:rsidRPr="00D2224F">
        <w:rPr>
          <w:i/>
          <w:color w:val="000000"/>
          <w:sz w:val="20"/>
          <w:szCs w:val="20"/>
        </w:rPr>
        <w:t>ionformación</w:t>
      </w:r>
      <w:proofErr w:type="spellEnd"/>
      <w:r w:rsidRPr="00D2224F">
        <w:rPr>
          <w:i/>
          <w:color w:val="000000"/>
          <w:sz w:val="20"/>
          <w:szCs w:val="20"/>
        </w:rPr>
        <w:t xml:space="preserve">, además que debió </w:t>
      </w:r>
      <w:proofErr w:type="spellStart"/>
      <w:r w:rsidRPr="00D2224F">
        <w:rPr>
          <w:i/>
          <w:color w:val="000000"/>
          <w:sz w:val="20"/>
          <w:szCs w:val="20"/>
        </w:rPr>
        <w:t>ía</w:t>
      </w:r>
      <w:proofErr w:type="spellEnd"/>
      <w:r w:rsidRPr="00D2224F">
        <w:rPr>
          <w:i/>
          <w:color w:val="000000"/>
          <w:sz w:val="20"/>
          <w:szCs w:val="20"/>
        </w:rPr>
        <w:t xml:space="preserve"> haberse mandado el acta del comité de transparencia, respecto de los datos confidenciales y, en su caso, de la información reservada. Por otra parte, solicito que, en virtud de la falta de atención a mi solicitud, se dé vista a la contraloría interna para que se sancione al titular de la Unidad de </w:t>
      </w:r>
      <w:proofErr w:type="spellStart"/>
      <w:r w:rsidRPr="00D2224F">
        <w:rPr>
          <w:i/>
          <w:color w:val="000000"/>
          <w:sz w:val="20"/>
          <w:szCs w:val="20"/>
        </w:rPr>
        <w:t>Trsnparencia</w:t>
      </w:r>
      <w:proofErr w:type="spellEnd"/>
      <w:r w:rsidRPr="00D2224F">
        <w:rPr>
          <w:i/>
          <w:color w:val="000000"/>
          <w:sz w:val="20"/>
          <w:szCs w:val="20"/>
        </w:rPr>
        <w:t>, al servidor público habilitado o a quien corresponda por la negativa infundada de la entrega de la información pública.</w:t>
      </w:r>
      <w:r w:rsidRPr="00D2224F">
        <w:rPr>
          <w:i/>
          <w:sz w:val="20"/>
          <w:szCs w:val="20"/>
        </w:rPr>
        <w:t>”  (Sic.)</w:t>
      </w:r>
    </w:p>
    <w:p w:rsidR="00E0122B" w:rsidRPr="00D2224F" w:rsidRDefault="00E0122B">
      <w:pPr>
        <w:spacing w:after="0" w:line="360" w:lineRule="auto"/>
      </w:pPr>
    </w:p>
    <w:p w:rsidR="00E0122B" w:rsidRPr="00D2224F" w:rsidRDefault="003153D4">
      <w:pPr>
        <w:pStyle w:val="Ttulo2"/>
        <w:spacing w:before="0" w:after="0"/>
      </w:pPr>
      <w:bookmarkStart w:id="6" w:name="_Toc196402521"/>
      <w:r w:rsidRPr="00D2224F">
        <w:t>IV. Trámite del Recurso de Revisión ante este Instituto</w:t>
      </w:r>
      <w:bookmarkEnd w:id="6"/>
    </w:p>
    <w:p w:rsidR="00E0122B" w:rsidRPr="00D2224F" w:rsidRDefault="00E0122B">
      <w:pPr>
        <w:spacing w:after="0" w:line="360" w:lineRule="auto"/>
        <w:rPr>
          <w:b/>
        </w:rPr>
      </w:pPr>
    </w:p>
    <w:p w:rsidR="00E0122B" w:rsidRPr="00D2224F" w:rsidRDefault="003153D4">
      <w:pPr>
        <w:spacing w:after="0" w:line="360" w:lineRule="auto"/>
        <w:rPr>
          <w:b/>
        </w:rPr>
      </w:pPr>
      <w:r w:rsidRPr="00D2224F">
        <w:rPr>
          <w:b/>
        </w:rPr>
        <w:t>a) Turno del Medio de Impugnación.</w:t>
      </w:r>
      <w:r w:rsidRPr="00D2224F">
        <w:t xml:space="preserve"> El once de marzo de dos mil veinticinco, el Sistema de Acceso a la Información Mexiquense (SAIMEX), asignó el número de expediente </w:t>
      </w:r>
      <w:r w:rsidRPr="00D2224F">
        <w:rPr>
          <w:b/>
        </w:rPr>
        <w:t>02746/INFOEM/IP/RR/2025 y 02747/INFOEM/IP/RR/2025</w:t>
      </w:r>
      <w:r w:rsidRPr="00D2224F">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E0122B" w:rsidRPr="00D2224F" w:rsidRDefault="00E0122B">
      <w:pPr>
        <w:spacing w:after="0" w:line="360" w:lineRule="auto"/>
      </w:pPr>
    </w:p>
    <w:p w:rsidR="00E0122B" w:rsidRPr="00D2224F" w:rsidRDefault="003153D4">
      <w:pPr>
        <w:spacing w:after="0" w:line="360" w:lineRule="auto"/>
      </w:pPr>
      <w:r w:rsidRPr="00D2224F">
        <w:rPr>
          <w:b/>
        </w:rPr>
        <w:t>b) Admisión del Recurso de Revisión.</w:t>
      </w:r>
      <w:r w:rsidRPr="00D2224F">
        <w:t xml:space="preserve"> El catorce de marzo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once de dicho mes y año, a través del Sistema de Acceso a la Información Mexiquense (SAIMEX), en el que se les otorgó un plazo de siete días hábiles posteriores a la misma, para que manifestaran lo que a su derecho conviniera y formularan alegatos.</w:t>
      </w:r>
    </w:p>
    <w:p w:rsidR="00E0122B" w:rsidRPr="00D2224F" w:rsidRDefault="00E0122B">
      <w:pPr>
        <w:spacing w:after="0" w:line="360" w:lineRule="auto"/>
      </w:pPr>
    </w:p>
    <w:p w:rsidR="00E0122B" w:rsidRPr="00D2224F" w:rsidRDefault="003153D4">
      <w:pPr>
        <w:spacing w:after="0" w:line="360" w:lineRule="auto"/>
        <w:rPr>
          <w:b/>
          <w:color w:val="000000"/>
        </w:rPr>
      </w:pPr>
      <w:r w:rsidRPr="00D2224F">
        <w:rPr>
          <w:b/>
          <w:color w:val="000000"/>
          <w:sz w:val="24"/>
          <w:szCs w:val="24"/>
        </w:rPr>
        <w:t>c) Acumulación de los asuntos.</w:t>
      </w:r>
      <w:r w:rsidRPr="00D2224F">
        <w:t xml:space="preserve"> El veinte de marzo de dos mil veinticinco, durante la Décima  Sesión Ordinaria,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Pr="00D2224F">
        <w:rPr>
          <w:b/>
        </w:rPr>
        <w:t xml:space="preserve">decretó </w:t>
      </w:r>
      <w:r w:rsidRPr="00D2224F">
        <w:t>la acumulación de los Recurso de Revisión</w:t>
      </w:r>
      <w:r w:rsidRPr="00D2224F">
        <w:rPr>
          <w:color w:val="0D0D0D"/>
        </w:rPr>
        <w:t xml:space="preserve"> </w:t>
      </w:r>
      <w:r w:rsidRPr="00D2224F">
        <w:rPr>
          <w:b/>
        </w:rPr>
        <w:t xml:space="preserve">02747/INFOEM/IP/RR/2025 </w:t>
      </w:r>
      <w:r w:rsidRPr="00D2224F">
        <w:t>al diverso</w:t>
      </w:r>
      <w:r w:rsidRPr="00D2224F">
        <w:rPr>
          <w:b/>
          <w:color w:val="0D0D0D"/>
        </w:rPr>
        <w:t xml:space="preserve"> </w:t>
      </w:r>
      <w:r w:rsidRPr="00D2224F">
        <w:rPr>
          <w:b/>
        </w:rPr>
        <w:t>02746/INFOEM/IP/RR/2025,</w:t>
      </w:r>
      <w:r w:rsidRPr="00D2224F">
        <w:t xml:space="preserve"> por ser este último el más antiguo, sustanciado bajo el índice de esta Ponencia, mismo que fue notificado a las partes el </w:t>
      </w:r>
      <w:r w:rsidRPr="00D2224F">
        <w:lastRenderedPageBreak/>
        <w:t xml:space="preserve">diecinueve del mismo mes y año, a través del Sistema de Acceso a la Información Mexiquense (SAIMEX). </w:t>
      </w:r>
    </w:p>
    <w:p w:rsidR="00E0122B" w:rsidRPr="00D2224F" w:rsidRDefault="00E0122B">
      <w:pPr>
        <w:spacing w:after="0" w:line="360" w:lineRule="auto"/>
        <w:rPr>
          <w:b/>
        </w:rPr>
      </w:pPr>
    </w:p>
    <w:p w:rsidR="00E0122B" w:rsidRPr="00D2224F" w:rsidRDefault="003153D4">
      <w:pPr>
        <w:spacing w:after="0" w:line="360" w:lineRule="auto"/>
      </w:pPr>
      <w:r w:rsidRPr="00D2224F">
        <w:rPr>
          <w:b/>
          <w:color w:val="000000"/>
        </w:rPr>
        <w:t xml:space="preserve">d) </w:t>
      </w:r>
      <w:r w:rsidRPr="00D2224F">
        <w:rPr>
          <w:b/>
        </w:rPr>
        <w:t xml:space="preserve">Informe Justificado. </w:t>
      </w:r>
      <w:r w:rsidRPr="00D2224F">
        <w:t>El veintiséis de marzo de dos mil veinticinco, el Sujeto Obligado rindió su informe justificado,</w:t>
      </w:r>
      <w:r w:rsidRPr="00D2224F">
        <w:rPr>
          <w:color w:val="000000"/>
        </w:rPr>
        <w:t xml:space="preserve"> </w:t>
      </w:r>
      <w:r w:rsidRPr="00D2224F">
        <w:t>a través</w:t>
      </w:r>
      <w:r w:rsidRPr="00D2224F">
        <w:rPr>
          <w:color w:val="000000"/>
        </w:rPr>
        <w:t xml:space="preserve"> del Sistema de Acceso a la Información Mexiquense (SAIMEX),</w:t>
      </w:r>
      <w:r w:rsidRPr="00D2224F">
        <w:t xml:space="preserve"> donde de forma general ratificó su respuesta.</w:t>
      </w:r>
    </w:p>
    <w:p w:rsidR="00E0122B" w:rsidRPr="00D2224F" w:rsidRDefault="00E0122B">
      <w:pPr>
        <w:spacing w:after="0" w:line="360" w:lineRule="auto"/>
        <w:rPr>
          <w:b/>
        </w:rPr>
      </w:pPr>
    </w:p>
    <w:p w:rsidR="00E0122B" w:rsidRPr="00D2224F" w:rsidRDefault="003153D4">
      <w:pPr>
        <w:spacing w:after="0" w:line="360" w:lineRule="auto"/>
        <w:rPr>
          <w:b/>
          <w:color w:val="000000"/>
        </w:rPr>
      </w:pPr>
      <w:bookmarkStart w:id="7" w:name="_heading=h.sp3jy0z21dpa" w:colFirst="0" w:colLast="0"/>
      <w:bookmarkEnd w:id="7"/>
      <w:r w:rsidRPr="00D2224F">
        <w:rPr>
          <w:b/>
        </w:rPr>
        <w:t>e</w:t>
      </w:r>
      <w:r w:rsidRPr="00D2224F">
        <w:t xml:space="preserve">) </w:t>
      </w:r>
      <w:r w:rsidRPr="00D2224F">
        <w:rPr>
          <w:b/>
          <w:color w:val="000000"/>
        </w:rPr>
        <w:t>Vista del Informe Justificado</w:t>
      </w:r>
      <w:r w:rsidRPr="00D2224F">
        <w:rPr>
          <w:b/>
          <w:color w:val="000000"/>
          <w:sz w:val="24"/>
          <w:szCs w:val="24"/>
        </w:rPr>
        <w:t>.</w:t>
      </w:r>
      <w:r w:rsidRPr="00D2224F">
        <w:rPr>
          <w:b/>
          <w:color w:val="000000"/>
        </w:rPr>
        <w:t xml:space="preserve"> </w:t>
      </w:r>
      <w:r w:rsidRPr="00D2224F">
        <w:rPr>
          <w:color w:val="000000"/>
        </w:rPr>
        <w:t xml:space="preserve">El nueve de abril de dos mil veinticinco, se notificó a través del Sistema de Acceso a la Información Mexiquense (SAIMEX), el acuerdo mediante el cual se puso a la vista del Particular el Informe Justificado del Recurso de Revisión, proveído por el cual se le otorgó un término de tres días hábiles contados a partir del día siguiente a la notificación, a fin de emitir las manifestaciones que conforme a sus intereses convinieran. </w:t>
      </w:r>
      <w:r w:rsidRPr="00D2224F">
        <w:rPr>
          <w:b/>
          <w:color w:val="000000"/>
        </w:rPr>
        <w:t>Cabe señalar que el Particular fue omiso en realizar manifestación alguna.</w:t>
      </w:r>
    </w:p>
    <w:p w:rsidR="00E0122B" w:rsidRPr="00D2224F" w:rsidRDefault="00E0122B">
      <w:pPr>
        <w:spacing w:after="0" w:line="360" w:lineRule="auto"/>
        <w:rPr>
          <w:b/>
        </w:rPr>
      </w:pPr>
    </w:p>
    <w:p w:rsidR="00E0122B" w:rsidRPr="00D2224F" w:rsidRDefault="003153D4">
      <w:pPr>
        <w:spacing w:after="0" w:line="360" w:lineRule="auto"/>
        <w:rPr>
          <w:b/>
        </w:rPr>
      </w:pPr>
      <w:r w:rsidRPr="00D2224F">
        <w:rPr>
          <w:b/>
        </w:rPr>
        <w:t>f) Cierre de instrucción.</w:t>
      </w:r>
      <w:r w:rsidRPr="00D2224F">
        <w:t xml:space="preserve"> El veintiuno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E0122B" w:rsidRPr="00D2224F" w:rsidRDefault="00E0122B">
      <w:pPr>
        <w:spacing w:after="0" w:line="360" w:lineRule="auto"/>
      </w:pPr>
    </w:p>
    <w:p w:rsidR="00E0122B" w:rsidRPr="00D2224F" w:rsidRDefault="003153D4">
      <w:pPr>
        <w:spacing w:after="0" w:line="360" w:lineRule="auto"/>
      </w:pPr>
      <w:r w:rsidRPr="00D2224F">
        <w:t xml:space="preserve">En razón de que fue debidamente sustanciado e integrado el expediente electrónico y no existe diligencia pendiente de desahogo, se emite la resolución que conforme a Derecho proceda, de acuerdo a los siguientes: </w:t>
      </w:r>
    </w:p>
    <w:p w:rsidR="00E0122B" w:rsidRPr="00D2224F" w:rsidRDefault="00E0122B">
      <w:pPr>
        <w:spacing w:after="0" w:line="360" w:lineRule="auto"/>
      </w:pPr>
    </w:p>
    <w:p w:rsidR="00E0122B" w:rsidRPr="00D2224F" w:rsidRDefault="003153D4">
      <w:pPr>
        <w:pStyle w:val="Ttulo1"/>
        <w:spacing w:before="0" w:after="0"/>
      </w:pPr>
      <w:bookmarkStart w:id="8" w:name="_Toc196402522"/>
      <w:r w:rsidRPr="00D2224F">
        <w:lastRenderedPageBreak/>
        <w:t>C O N S I D E R A N D O S</w:t>
      </w:r>
      <w:bookmarkEnd w:id="8"/>
    </w:p>
    <w:p w:rsidR="00E0122B" w:rsidRPr="00D2224F" w:rsidRDefault="00E0122B">
      <w:pPr>
        <w:spacing w:after="0" w:line="360" w:lineRule="auto"/>
        <w:rPr>
          <w:b/>
        </w:rPr>
      </w:pPr>
    </w:p>
    <w:p w:rsidR="00E0122B" w:rsidRPr="00D2224F" w:rsidRDefault="003153D4">
      <w:pPr>
        <w:pStyle w:val="Ttulo2"/>
        <w:spacing w:before="0" w:after="0"/>
      </w:pPr>
      <w:bookmarkStart w:id="9" w:name="_Toc196402523"/>
      <w:r w:rsidRPr="00D2224F">
        <w:t>PRIMERO. Competencia</w:t>
      </w:r>
      <w:bookmarkEnd w:id="9"/>
    </w:p>
    <w:p w:rsidR="00E0122B" w:rsidRPr="00D2224F" w:rsidRDefault="00E0122B">
      <w:pPr>
        <w:spacing w:after="0" w:line="360" w:lineRule="auto"/>
        <w:rPr>
          <w:b/>
        </w:rPr>
      </w:pPr>
    </w:p>
    <w:p w:rsidR="00E0122B" w:rsidRPr="00D2224F" w:rsidRDefault="003153D4">
      <w:pPr>
        <w:spacing w:after="0" w:line="360" w:lineRule="auto"/>
      </w:pPr>
      <w:r w:rsidRPr="00D2224F">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D2224F">
        <w:rPr>
          <w:color w:val="000000"/>
        </w:rPr>
        <w:t>trigésimo séptimo, trigésimo octavo y trigésimo noveno</w:t>
      </w:r>
      <w:r w:rsidRPr="00D2224F">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0122B" w:rsidRPr="00D2224F" w:rsidRDefault="00E0122B">
      <w:pPr>
        <w:spacing w:after="0" w:line="360" w:lineRule="auto"/>
      </w:pPr>
    </w:p>
    <w:p w:rsidR="00E0122B" w:rsidRPr="00D2224F" w:rsidRDefault="003153D4">
      <w:pPr>
        <w:pStyle w:val="Ttulo2"/>
        <w:spacing w:before="0" w:after="0"/>
      </w:pPr>
      <w:bookmarkStart w:id="10" w:name="_Toc196402524"/>
      <w:r w:rsidRPr="00D2224F">
        <w:t>SEGUNDO. Causales de improcedencia y sobreseimiento</w:t>
      </w:r>
      <w:bookmarkEnd w:id="10"/>
    </w:p>
    <w:p w:rsidR="00E0122B" w:rsidRPr="00D2224F" w:rsidRDefault="00E0122B">
      <w:pPr>
        <w:spacing w:after="0" w:line="360" w:lineRule="auto"/>
      </w:pPr>
    </w:p>
    <w:p w:rsidR="00E0122B" w:rsidRPr="00D2224F" w:rsidRDefault="003153D4">
      <w:pPr>
        <w:spacing w:after="0" w:line="360" w:lineRule="auto"/>
      </w:pPr>
      <w:r w:rsidRPr="00D2224F">
        <w:t xml:space="preserve">De las constancias que forma parte del Recurso de Revisión que se analiza, se advierte que previo al estudio del fondo de la </w:t>
      </w:r>
      <w:proofErr w:type="spellStart"/>
      <w:r w:rsidRPr="00D2224F">
        <w:rPr>
          <w:i/>
        </w:rPr>
        <w:t>litis</w:t>
      </w:r>
      <w:proofErr w:type="spellEnd"/>
      <w:r w:rsidRPr="00D2224F">
        <w:t>, es necesario estudiar las causales de improcedencia y sobreseimiento que se adviertan, para determinar lo que en Derecho proceda.</w:t>
      </w:r>
    </w:p>
    <w:p w:rsidR="00E0122B" w:rsidRPr="00D2224F" w:rsidRDefault="00E0122B">
      <w:pPr>
        <w:spacing w:after="0" w:line="360" w:lineRule="auto"/>
      </w:pPr>
    </w:p>
    <w:p w:rsidR="00E0122B" w:rsidRPr="00D2224F" w:rsidRDefault="003153D4">
      <w:pPr>
        <w:spacing w:after="0" w:line="360" w:lineRule="auto"/>
        <w:rPr>
          <w:b/>
        </w:rPr>
      </w:pPr>
      <w:r w:rsidRPr="00D2224F">
        <w:rPr>
          <w:b/>
        </w:rPr>
        <w:t>Causales de improcedencia</w:t>
      </w:r>
    </w:p>
    <w:p w:rsidR="00E0122B" w:rsidRPr="00D2224F" w:rsidRDefault="00E0122B">
      <w:pPr>
        <w:spacing w:after="0" w:line="360" w:lineRule="auto"/>
      </w:pPr>
    </w:p>
    <w:p w:rsidR="00E0122B" w:rsidRPr="00D2224F" w:rsidRDefault="003153D4">
      <w:pPr>
        <w:spacing w:after="0" w:line="360" w:lineRule="auto"/>
      </w:pPr>
      <w:r w:rsidRPr="00D2224F">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D2224F">
        <w:t>./</w:t>
      </w:r>
      <w:proofErr w:type="gramEnd"/>
      <w:r w:rsidRPr="00D2224F">
        <w:t>J. 163/2005</w:t>
      </w:r>
      <w:r w:rsidRPr="00D2224F">
        <w:rPr>
          <w:b/>
        </w:rPr>
        <w:t xml:space="preserve"> </w:t>
      </w:r>
      <w:r w:rsidRPr="00D2224F">
        <w:t xml:space="preserve">(Semanario Judicial de la Federación y su Gaceta, Novena Época, 2006, página 319), toda vez que, si de las constancias que obran en el expediente electrónico, se actualiza una </w:t>
      </w:r>
      <w:r w:rsidRPr="00D2224F">
        <w:lastRenderedPageBreak/>
        <w:t xml:space="preserve">causal de improcedencia establecidas en el artículo 191 de la Ley de Transparencia y Acceso a la Información Pública del Estado de México y Municipios, dará lugar a que el presente Recurso de Revisión sea sobreseído. </w:t>
      </w:r>
    </w:p>
    <w:p w:rsidR="00E0122B" w:rsidRPr="00D2224F" w:rsidRDefault="00E0122B">
      <w:pPr>
        <w:spacing w:after="0" w:line="360" w:lineRule="auto"/>
      </w:pPr>
    </w:p>
    <w:p w:rsidR="00E0122B" w:rsidRPr="00D2224F" w:rsidRDefault="003153D4">
      <w:pPr>
        <w:spacing w:after="0" w:line="360" w:lineRule="auto"/>
      </w:pPr>
      <w:r w:rsidRPr="00D2224F">
        <w:t xml:space="preserve">En el presente caso, </w:t>
      </w:r>
      <w:r w:rsidRPr="00D2224F">
        <w:rPr>
          <w:b/>
        </w:rPr>
        <w:t>no se actualiza ninguna de las causales de improcedencia</w:t>
      </w:r>
      <w:r w:rsidRPr="00D2224F">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E0122B" w:rsidRPr="00D2224F" w:rsidRDefault="00E0122B">
      <w:pPr>
        <w:spacing w:after="0" w:line="360" w:lineRule="auto"/>
        <w:rPr>
          <w:b/>
        </w:rPr>
      </w:pPr>
    </w:p>
    <w:p w:rsidR="00E0122B" w:rsidRPr="00D2224F" w:rsidRDefault="003153D4">
      <w:pPr>
        <w:spacing w:after="0" w:line="360" w:lineRule="auto"/>
      </w:pPr>
      <w:r w:rsidRPr="00D2224F">
        <w:t>Asimismo, se actualiza la causal de procedencia del Recurso de Revisión señalada en el artículo 179, fracción III, de la Ley en cita, pues la Recurrente se inconformó de la inexistencia de la información.</w:t>
      </w:r>
    </w:p>
    <w:p w:rsidR="00E0122B" w:rsidRPr="00D2224F" w:rsidRDefault="00E0122B">
      <w:pPr>
        <w:spacing w:after="0" w:line="360" w:lineRule="auto"/>
        <w:rPr>
          <w:b/>
        </w:rPr>
      </w:pPr>
    </w:p>
    <w:p w:rsidR="00E0122B" w:rsidRPr="00D2224F" w:rsidRDefault="003153D4">
      <w:pPr>
        <w:spacing w:after="0" w:line="360" w:lineRule="auto"/>
        <w:ind w:right="-28"/>
        <w:rPr>
          <w:b/>
          <w:color w:val="000000"/>
        </w:rPr>
      </w:pPr>
      <w:r w:rsidRPr="00D2224F">
        <w:rPr>
          <w:b/>
          <w:color w:val="000000"/>
        </w:rPr>
        <w:t>Causales de sobreseimiento.</w:t>
      </w:r>
    </w:p>
    <w:p w:rsidR="00E0122B" w:rsidRPr="00D2224F" w:rsidRDefault="00E0122B">
      <w:pPr>
        <w:spacing w:after="0" w:line="360" w:lineRule="auto"/>
        <w:ind w:right="-28"/>
        <w:rPr>
          <w:color w:val="000000"/>
        </w:rPr>
      </w:pPr>
    </w:p>
    <w:p w:rsidR="00E0122B" w:rsidRPr="00D2224F" w:rsidRDefault="003153D4">
      <w:pPr>
        <w:spacing w:after="0" w:line="360" w:lineRule="auto"/>
        <w:rPr>
          <w:color w:val="000000"/>
        </w:rPr>
      </w:pPr>
      <w:r w:rsidRPr="00D2224F">
        <w:rPr>
          <w:color w:val="000000"/>
        </w:rPr>
        <w:t>Por ser de previo y especial pronunciamiento, este Instituto analiza si se actualiza alguna causal de sobreseimiento.</w:t>
      </w:r>
    </w:p>
    <w:p w:rsidR="00E0122B" w:rsidRPr="00D2224F" w:rsidRDefault="00E0122B">
      <w:pPr>
        <w:spacing w:after="0" w:line="360" w:lineRule="auto"/>
        <w:rPr>
          <w:color w:val="000000"/>
        </w:rPr>
      </w:pPr>
    </w:p>
    <w:p w:rsidR="00E0122B" w:rsidRPr="00D2224F" w:rsidRDefault="003153D4">
      <w:pPr>
        <w:spacing w:after="0" w:line="360" w:lineRule="auto"/>
        <w:rPr>
          <w:color w:val="0D0D0D"/>
        </w:rPr>
      </w:pPr>
      <w:r w:rsidRPr="00D2224F">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sidRPr="00D2224F">
        <w:rPr>
          <w:b/>
          <w:color w:val="0D0D0D"/>
        </w:rPr>
        <w:t xml:space="preserve"> no se configuran las causales establecidas en las fracciones I, II, III, IV y V, </w:t>
      </w:r>
      <w:r w:rsidRPr="00D2224F">
        <w:rPr>
          <w:color w:val="0D0D0D"/>
        </w:rPr>
        <w:t>toda vez que no hay constancias en el expediente en que se actúa, de que la Recurrente se haya desistido, fallecido, que el Sujeto Obligado hubiese modificado o revocado el acto impugnado o bien,</w:t>
      </w:r>
      <w:r w:rsidRPr="00D2224F">
        <w:t xml:space="preserve"> </w:t>
      </w:r>
      <w:r w:rsidRPr="00D2224F">
        <w:rPr>
          <w:color w:val="0D0D0D"/>
        </w:rPr>
        <w:t xml:space="preserve">que admitido una vez </w:t>
      </w:r>
      <w:r w:rsidRPr="00D2224F">
        <w:rPr>
          <w:color w:val="0D0D0D"/>
        </w:rPr>
        <w:lastRenderedPageBreak/>
        <w:t>admitido el Recurso de Revisión, aparezca alguna causal de improcedencia o haya quedado sin materia.</w:t>
      </w:r>
    </w:p>
    <w:p w:rsidR="00E0122B" w:rsidRPr="00D2224F" w:rsidRDefault="00E0122B">
      <w:pPr>
        <w:spacing w:after="0" w:line="360" w:lineRule="auto"/>
        <w:rPr>
          <w:color w:val="000000"/>
        </w:rPr>
      </w:pPr>
    </w:p>
    <w:p w:rsidR="00E0122B" w:rsidRPr="00D2224F" w:rsidRDefault="003153D4">
      <w:pPr>
        <w:pStyle w:val="Ttulo2"/>
        <w:spacing w:before="0" w:after="0"/>
      </w:pPr>
      <w:bookmarkStart w:id="11" w:name="_Toc196402525"/>
      <w:r w:rsidRPr="00D2224F">
        <w:t>TERCERO. Determinación de la Controversia.</w:t>
      </w:r>
      <w:bookmarkEnd w:id="11"/>
      <w:r w:rsidRPr="00D2224F">
        <w:t xml:space="preserve"> </w:t>
      </w:r>
    </w:p>
    <w:p w:rsidR="00E0122B" w:rsidRPr="00D2224F" w:rsidRDefault="00E0122B">
      <w:pPr>
        <w:spacing w:after="0" w:line="360" w:lineRule="auto"/>
        <w:rPr>
          <w:b/>
        </w:rPr>
      </w:pPr>
    </w:p>
    <w:p w:rsidR="00E0122B" w:rsidRPr="00D2224F" w:rsidRDefault="003153D4">
      <w:pPr>
        <w:widowControl w:val="0"/>
        <w:spacing w:after="0" w:line="360" w:lineRule="auto"/>
      </w:pPr>
      <w:r w:rsidRPr="00D2224F">
        <w:t>Una vez realizado el estudio de las constancias que integran el expediente en que se actúa, se desprende que el Recurrente, por medio de dos solicitudes de información requirió los recibos de nómina de los miembros del Ayuntamiento, de la primera y segunda quincena de enero de dos mil veinticinco.</w:t>
      </w:r>
    </w:p>
    <w:p w:rsidR="00E0122B" w:rsidRPr="00D2224F" w:rsidRDefault="00E0122B">
      <w:pPr>
        <w:widowControl w:val="0"/>
        <w:spacing w:after="0" w:line="360" w:lineRule="auto"/>
        <w:rPr>
          <w:color w:val="000000"/>
        </w:rPr>
      </w:pPr>
    </w:p>
    <w:p w:rsidR="00E0122B" w:rsidRPr="00D2224F" w:rsidRDefault="003153D4">
      <w:pPr>
        <w:spacing w:after="0" w:line="360" w:lineRule="auto"/>
        <w:ind w:right="-28"/>
        <w:rPr>
          <w:color w:val="000000"/>
        </w:rPr>
      </w:pPr>
      <w:r w:rsidRPr="00D2224F">
        <w:rPr>
          <w:color w:val="000000"/>
        </w:rPr>
        <w:t xml:space="preserve">En respuesta, el Sujeto Obligado a través de la Dirección General de Administración, refirió que después de una búsqueda exhaustiva no se encuentra completa la información motivo por él no se entregaba; ante dicha respuesta, el Particular se inconformó de la inexistencia de la información, lo cual actualiza los supuestos de procedencia establecidos en el artículo 179, fracción III, de la Ley de trasparencia local. Así las cosas, una vez admitido y notificado el Recurso de Revisión a las partes, el Sujeto Obligado ratificó su respuesta. </w:t>
      </w:r>
    </w:p>
    <w:p w:rsidR="00E0122B" w:rsidRPr="00D2224F" w:rsidRDefault="00E0122B">
      <w:pPr>
        <w:spacing w:after="0" w:line="360" w:lineRule="auto"/>
        <w:ind w:right="-28"/>
        <w:rPr>
          <w:color w:val="000000"/>
        </w:rPr>
      </w:pPr>
    </w:p>
    <w:p w:rsidR="00E0122B" w:rsidRPr="00D2224F" w:rsidRDefault="003153D4">
      <w:pPr>
        <w:spacing w:after="0" w:line="360" w:lineRule="auto"/>
      </w:pPr>
      <w:r w:rsidRPr="00D2224F">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D2224F">
        <w:t>recursal</w:t>
      </w:r>
      <w:proofErr w:type="spellEnd"/>
      <w:r w:rsidRPr="00D2224F">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E0122B" w:rsidRPr="00D2224F" w:rsidRDefault="00E0122B">
      <w:pPr>
        <w:spacing w:after="0" w:line="360" w:lineRule="auto"/>
      </w:pPr>
    </w:p>
    <w:p w:rsidR="00E0122B" w:rsidRPr="00D2224F" w:rsidRDefault="003153D4">
      <w:pPr>
        <w:pStyle w:val="Ttulo2"/>
        <w:spacing w:before="0" w:after="0"/>
      </w:pPr>
      <w:bookmarkStart w:id="12" w:name="_Toc196402526"/>
      <w:r w:rsidRPr="00D2224F">
        <w:t>CUARTO. Marco normativo aplicable en materia de transparencia y acceso a la información pública</w:t>
      </w:r>
      <w:bookmarkEnd w:id="12"/>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Por su parte, la Ley de Transparencia y Acceso a la Información Pública del Estado de México y Municipios (Reglamentaria del artículo 5° de la Constitución Local), establece lo siguiente:</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El artículo 12, que, quienes generen, recopilen, administren, manejen, procesen, archiven o conserven información pública serán responsables de la misma.</w:t>
      </w:r>
    </w:p>
    <w:p w:rsidR="00E0122B" w:rsidRPr="00D2224F" w:rsidRDefault="00E0122B">
      <w:pPr>
        <w:spacing w:after="0" w:line="360" w:lineRule="auto"/>
        <w:rPr>
          <w:color w:val="000000"/>
        </w:rPr>
      </w:pPr>
    </w:p>
    <w:p w:rsidR="00E0122B" w:rsidRPr="00D2224F" w:rsidRDefault="003153D4">
      <w:pPr>
        <w:widowControl w:val="0"/>
        <w:spacing w:after="0" w:line="360" w:lineRule="auto"/>
        <w:rPr>
          <w:color w:val="000000"/>
        </w:rPr>
      </w:pPr>
      <w:r w:rsidRPr="00D2224F">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0122B" w:rsidRPr="00D2224F" w:rsidRDefault="00E0122B">
      <w:pPr>
        <w:spacing w:after="0" w:line="360" w:lineRule="auto"/>
      </w:pPr>
    </w:p>
    <w:p w:rsidR="00E0122B" w:rsidRPr="00D2224F" w:rsidRDefault="003153D4">
      <w:pPr>
        <w:pStyle w:val="Ttulo2"/>
        <w:spacing w:before="0" w:after="0"/>
      </w:pPr>
      <w:bookmarkStart w:id="13" w:name="_Toc196402527"/>
      <w:r w:rsidRPr="00D2224F">
        <w:rPr>
          <w:smallCaps/>
        </w:rPr>
        <w:t>QUINTO.</w:t>
      </w:r>
      <w:r w:rsidRPr="00D2224F">
        <w:t xml:space="preserve"> Estudio de Fondo</w:t>
      </w:r>
      <w:bookmarkEnd w:id="13"/>
    </w:p>
    <w:p w:rsidR="00E0122B" w:rsidRPr="00D2224F" w:rsidRDefault="00E0122B">
      <w:pPr>
        <w:widowControl w:val="0"/>
        <w:spacing w:after="0" w:line="360" w:lineRule="auto"/>
        <w:rPr>
          <w:color w:val="000000"/>
        </w:rPr>
      </w:pPr>
    </w:p>
    <w:p w:rsidR="00E0122B" w:rsidRPr="00D2224F" w:rsidRDefault="003153D4">
      <w:pPr>
        <w:widowControl w:val="0"/>
        <w:spacing w:after="0" w:line="360" w:lineRule="auto"/>
        <w:rPr>
          <w:color w:val="000000"/>
        </w:rPr>
      </w:pPr>
      <w:r w:rsidRPr="00D2224F">
        <w:lastRenderedPageBreak/>
        <w:t>Expuestas las posturas de las partes, se procede al análisis de los agravios hechos valer por la persona Recurrente, concerniente a la negativa de la información, p</w:t>
      </w:r>
      <w:r w:rsidRPr="00D2224F">
        <w:rPr>
          <w:color w:val="000000"/>
        </w:rPr>
        <w:t>ara lo cual es necesario contextualizar la solicitud de información.</w:t>
      </w:r>
    </w:p>
    <w:p w:rsidR="00E0122B" w:rsidRPr="00D2224F" w:rsidRDefault="00E0122B">
      <w:pPr>
        <w:widowControl w:val="0"/>
        <w:spacing w:after="0" w:line="360" w:lineRule="auto"/>
        <w:rPr>
          <w:color w:val="000000"/>
        </w:rPr>
      </w:pPr>
    </w:p>
    <w:p w:rsidR="00E0122B" w:rsidRPr="00D2224F" w:rsidRDefault="003153D4">
      <w:pPr>
        <w:spacing w:after="0" w:line="360" w:lineRule="auto"/>
        <w:ind w:right="-28"/>
        <w:rPr>
          <w:b/>
        </w:rPr>
      </w:pPr>
      <w:r w:rsidRPr="00D2224F">
        <w:t>Al respecto, es necesario traer a colación la Guía Técnica 9 “La Administración del Personal Municipal”, define como servidores públicos, a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E0122B" w:rsidRPr="00D2224F" w:rsidRDefault="00E0122B">
      <w:pPr>
        <w:tabs>
          <w:tab w:val="left" w:pos="4962"/>
        </w:tabs>
        <w:spacing w:after="0" w:line="360" w:lineRule="auto"/>
        <w:rPr>
          <w:color w:val="000000"/>
        </w:rPr>
      </w:pPr>
    </w:p>
    <w:p w:rsidR="00E0122B" w:rsidRPr="00D2224F" w:rsidRDefault="003153D4">
      <w:pPr>
        <w:tabs>
          <w:tab w:val="left" w:pos="4962"/>
        </w:tabs>
        <w:spacing w:after="0" w:line="360" w:lineRule="auto"/>
      </w:pPr>
      <w:r w:rsidRPr="00D2224F">
        <w:t>En ese contexto, en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rsidR="00E0122B" w:rsidRPr="00D2224F" w:rsidRDefault="00E0122B">
      <w:pPr>
        <w:widowControl w:val="0"/>
        <w:spacing w:after="0" w:line="360" w:lineRule="auto"/>
        <w:rPr>
          <w:color w:val="000000"/>
        </w:rPr>
      </w:pPr>
    </w:p>
    <w:p w:rsidR="00E0122B" w:rsidRPr="00D2224F" w:rsidRDefault="003153D4">
      <w:pPr>
        <w:tabs>
          <w:tab w:val="left" w:pos="4962"/>
        </w:tabs>
        <w:spacing w:after="0" w:line="360" w:lineRule="auto"/>
        <w:rPr>
          <w:color w:val="000000"/>
        </w:rPr>
      </w:pPr>
      <w:r w:rsidRPr="00D2224F">
        <w:rPr>
          <w:color w:val="000000"/>
        </w:rPr>
        <w:t xml:space="preserve">Además, el artículo 4°, fracción VI, de la Ley del Trabajo de los servidores públicos del Estado y Municipios, precisa que son </w:t>
      </w:r>
      <w:r w:rsidRPr="00D2224F">
        <w:rPr>
          <w:b/>
          <w:color w:val="000000"/>
        </w:rPr>
        <w:t>servidores públicos</w:t>
      </w:r>
      <w:r w:rsidRPr="00D2224F">
        <w:rPr>
          <w:color w:val="000000"/>
        </w:rPr>
        <w:t>, todas las personas físicas que presten a una institución pública un trabajo personal subordinado, mediante el pago de un sueldo.</w:t>
      </w:r>
    </w:p>
    <w:p w:rsidR="00E0122B" w:rsidRPr="00D2224F" w:rsidRDefault="00E0122B">
      <w:pPr>
        <w:tabs>
          <w:tab w:val="left" w:pos="4962"/>
        </w:tabs>
        <w:spacing w:after="0" w:line="360" w:lineRule="auto"/>
        <w:rPr>
          <w:color w:val="000000"/>
        </w:rPr>
      </w:pPr>
    </w:p>
    <w:p w:rsidR="00E0122B" w:rsidRPr="00D2224F" w:rsidRDefault="003153D4">
      <w:pPr>
        <w:spacing w:after="0" w:line="360" w:lineRule="auto"/>
      </w:pPr>
      <w:r w:rsidRPr="00D2224F">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E0122B" w:rsidRPr="00D2224F" w:rsidRDefault="00E0122B">
      <w:pPr>
        <w:spacing w:after="0" w:line="360" w:lineRule="auto"/>
      </w:pPr>
    </w:p>
    <w:p w:rsidR="00E0122B" w:rsidRPr="00D2224F" w:rsidRDefault="003153D4">
      <w:pPr>
        <w:spacing w:after="0" w:line="360" w:lineRule="auto"/>
      </w:pPr>
      <w:r w:rsidRPr="00D2224F">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rsidR="00E0122B" w:rsidRPr="00D2224F" w:rsidRDefault="00E0122B">
      <w:pPr>
        <w:spacing w:after="0" w:line="360" w:lineRule="auto"/>
      </w:pPr>
    </w:p>
    <w:p w:rsidR="00E0122B" w:rsidRPr="00D2224F" w:rsidRDefault="003153D4">
      <w:pPr>
        <w:tabs>
          <w:tab w:val="left" w:pos="4962"/>
        </w:tabs>
        <w:spacing w:after="0" w:line="360" w:lineRule="auto"/>
        <w:rPr>
          <w:color w:val="000000"/>
        </w:rPr>
      </w:pPr>
      <w:r w:rsidRPr="00D2224F">
        <w:rPr>
          <w:color w:val="000000"/>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E0122B" w:rsidRPr="00D2224F" w:rsidRDefault="00E0122B">
      <w:pPr>
        <w:tabs>
          <w:tab w:val="left" w:pos="4962"/>
        </w:tabs>
        <w:spacing w:after="0" w:line="360" w:lineRule="auto"/>
        <w:rPr>
          <w:color w:val="000000"/>
        </w:rPr>
      </w:pPr>
    </w:p>
    <w:p w:rsidR="00E0122B" w:rsidRPr="00D2224F" w:rsidRDefault="003153D4">
      <w:pPr>
        <w:spacing w:after="0" w:line="360" w:lineRule="auto"/>
        <w:rPr>
          <w:b/>
        </w:rPr>
      </w:pPr>
      <w:r w:rsidRPr="00D2224F">
        <w:t xml:space="preserve">Además, el Anexo IV.2 Clasificación por objeto del gasto, del Manual para la Planeación, Programación y Presupuesto de Egresos Municipal para el ejercicio fiscal dos mil veinticinco, establece que los Presupuestos de Egresos Municipales, se tendrán que generar, conforme al “Clasificador por Objeto del Gasto”, el cual se conforma de diversos capítulos, entre los cuales, se encuentra el </w:t>
      </w:r>
      <w:r w:rsidRPr="00D2224F">
        <w:rPr>
          <w:b/>
        </w:rPr>
        <w:t>1000 Servicios Personales</w:t>
      </w:r>
      <w:r w:rsidRPr="00D2224F">
        <w:t>,</w:t>
      </w:r>
      <w:r w:rsidRPr="00D2224F">
        <w:rPr>
          <w:b/>
        </w:rPr>
        <w:t xml:space="preserve"> que agrupa las remuneraciones del personal al servicio de los entes públicos, tales como el sueldo, salarios, dietas, honorarios, prestaciones, aguinaldo, obligaciones laborales, entre otras.</w:t>
      </w:r>
    </w:p>
    <w:p w:rsidR="00E0122B" w:rsidRPr="00D2224F" w:rsidRDefault="00E0122B">
      <w:pPr>
        <w:spacing w:after="0" w:line="360" w:lineRule="auto"/>
        <w:rPr>
          <w:b/>
        </w:rPr>
      </w:pPr>
    </w:p>
    <w:p w:rsidR="00E0122B" w:rsidRPr="00D2224F" w:rsidRDefault="003153D4">
      <w:pPr>
        <w:spacing w:after="0" w:line="360" w:lineRule="auto"/>
        <w:rPr>
          <w:color w:val="000000"/>
        </w:rPr>
      </w:pPr>
      <w:r w:rsidRPr="00D2224F">
        <w:rPr>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D2224F">
        <w:rPr>
          <w:b/>
          <w:color w:val="000000"/>
        </w:rPr>
        <w:t>recibos de pago de salarios o las</w:t>
      </w:r>
      <w:r w:rsidRPr="00D2224F">
        <w:rPr>
          <w:color w:val="000000"/>
        </w:rPr>
        <w:t xml:space="preserve"> </w:t>
      </w:r>
      <w:r w:rsidRPr="00D2224F">
        <w:rPr>
          <w:b/>
          <w:color w:val="000000"/>
        </w:rPr>
        <w:t xml:space="preserve">constancias documentales del pago de sueldos, </w:t>
      </w:r>
      <w:r w:rsidRPr="00D2224F">
        <w:rPr>
          <w:color w:val="000000"/>
        </w:rPr>
        <w:t xml:space="preserve">cuando sea por depósito o mediante información electrónica; así como los recibos o constancias de depósito o del medio </w:t>
      </w:r>
      <w:r w:rsidRPr="00D2224F">
        <w:rPr>
          <w:color w:val="000000"/>
        </w:rPr>
        <w:lastRenderedPageBreak/>
        <w:t xml:space="preserve">de información magnética o electrónica que sean utilizadas para el pago de salarios, prima vacacional, aguinaldo y demás prestaciones. </w:t>
      </w:r>
    </w:p>
    <w:p w:rsidR="00E0122B" w:rsidRPr="00D2224F" w:rsidRDefault="00E0122B">
      <w:pPr>
        <w:spacing w:after="0" w:line="360" w:lineRule="auto"/>
        <w:ind w:right="-28"/>
      </w:pPr>
    </w:p>
    <w:p w:rsidR="00E0122B" w:rsidRPr="00D2224F" w:rsidRDefault="003153D4">
      <w:pPr>
        <w:spacing w:after="0" w:line="360" w:lineRule="auto"/>
        <w:rPr>
          <w:color w:val="000000"/>
        </w:rPr>
      </w:pPr>
      <w:r w:rsidRPr="00D2224F">
        <w:rPr>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E0122B" w:rsidRPr="00D2224F" w:rsidRDefault="00E0122B">
      <w:pPr>
        <w:spacing w:after="0" w:line="360" w:lineRule="auto"/>
        <w:rPr>
          <w:color w:val="000000"/>
        </w:rPr>
      </w:pPr>
    </w:p>
    <w:p w:rsidR="00E0122B" w:rsidRPr="00D2224F" w:rsidRDefault="003153D4">
      <w:pPr>
        <w:spacing w:after="0" w:line="360" w:lineRule="auto"/>
        <w:ind w:left="567" w:right="567"/>
        <w:rPr>
          <w:i/>
          <w:color w:val="000000"/>
          <w:sz w:val="20"/>
          <w:szCs w:val="20"/>
        </w:rPr>
      </w:pPr>
      <w:r w:rsidRPr="00D2224F">
        <w:rPr>
          <w:b/>
          <w:i/>
          <w:color w:val="000000"/>
          <w:sz w:val="20"/>
          <w:szCs w:val="20"/>
        </w:rPr>
        <w:t>“RECIBOS DE PAGO</w:t>
      </w:r>
      <w:r w:rsidRPr="00D2224F">
        <w:rPr>
          <w:i/>
          <w:color w:val="000000"/>
          <w:sz w:val="20"/>
          <w:szCs w:val="20"/>
        </w:rPr>
        <w:t xml:space="preserve"> </w:t>
      </w:r>
      <w:r w:rsidRPr="00D2224F">
        <w:rPr>
          <w:b/>
          <w:i/>
          <w:color w:val="000000"/>
          <w:sz w:val="20"/>
          <w:szCs w:val="20"/>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D2224F">
        <w:rPr>
          <w:i/>
          <w:color w:val="000000"/>
          <w:sz w:val="20"/>
          <w:szCs w:val="20"/>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rsidR="00E0122B" w:rsidRPr="00D2224F" w:rsidRDefault="00E0122B">
      <w:pPr>
        <w:spacing w:after="0" w:line="360" w:lineRule="auto"/>
        <w:rPr>
          <w:b/>
          <w:i/>
          <w:color w:val="000000"/>
        </w:rPr>
      </w:pPr>
    </w:p>
    <w:p w:rsidR="00E0122B" w:rsidRPr="00D2224F" w:rsidRDefault="003153D4">
      <w:pPr>
        <w:spacing w:after="0" w:line="360" w:lineRule="auto"/>
        <w:rPr>
          <w:color w:val="000000"/>
        </w:rPr>
      </w:pPr>
      <w:r w:rsidRPr="00D2224F">
        <w:rPr>
          <w:color w:val="000000"/>
        </w:rPr>
        <w:t xml:space="preserve">De la tesis transcrita, se desprende que </w:t>
      </w:r>
      <w:r w:rsidRPr="00D2224F">
        <w:rPr>
          <w:b/>
          <w:color w:val="000000"/>
        </w:rPr>
        <w:t>en materia burocrática</w:t>
      </w:r>
      <w:r w:rsidRPr="00D2224F">
        <w:rPr>
          <w:color w:val="000000"/>
        </w:rPr>
        <w:t xml:space="preserve"> </w:t>
      </w:r>
      <w:r w:rsidRPr="00D2224F">
        <w:rPr>
          <w:b/>
          <w:color w:val="000000"/>
        </w:rPr>
        <w:t>los recibos de pago acreditan los conceptos y montos que en ellos se insertan</w:t>
      </w:r>
      <w:r w:rsidRPr="00D2224F">
        <w:rPr>
          <w:color w:val="000000"/>
        </w:rPr>
        <w:t>, y constituyen prueba para demostrar las percepciones y montos que reciben los servidores públicos.</w:t>
      </w:r>
    </w:p>
    <w:p w:rsidR="00E0122B" w:rsidRPr="00D2224F" w:rsidRDefault="00E0122B">
      <w:pPr>
        <w:tabs>
          <w:tab w:val="left" w:pos="4962"/>
        </w:tabs>
        <w:spacing w:after="0" w:line="360" w:lineRule="auto"/>
      </w:pPr>
    </w:p>
    <w:p w:rsidR="00E0122B" w:rsidRPr="00D2224F" w:rsidRDefault="003153D4">
      <w:pPr>
        <w:spacing w:after="0" w:line="360" w:lineRule="auto"/>
        <w:ind w:right="-28"/>
        <w:rPr>
          <w:color w:val="000000"/>
        </w:rPr>
      </w:pPr>
      <w:r w:rsidRPr="00D2224F">
        <w:rPr>
          <w:color w:val="000000"/>
        </w:rPr>
        <w:lastRenderedPageBreak/>
        <w:t>Ahora bien, respecto a los servidores públicos solicitados, los artículos 116 y 117 de la Constitución Política del Estado Libre y Soberano de México, establecen que los Ayuntamientos serán la asamblea deliberante, conformada por un jefe de asamblea, que será el Presidente Municipal y los Síndicos y Regidores necesarios.</w:t>
      </w:r>
    </w:p>
    <w:p w:rsidR="00E0122B" w:rsidRPr="00D2224F" w:rsidRDefault="00E0122B">
      <w:pPr>
        <w:tabs>
          <w:tab w:val="left" w:pos="4962"/>
        </w:tabs>
        <w:spacing w:after="0" w:line="360" w:lineRule="auto"/>
        <w:rPr>
          <w:color w:val="000000"/>
        </w:rPr>
      </w:pPr>
    </w:p>
    <w:p w:rsidR="00E0122B" w:rsidRPr="00D2224F" w:rsidRDefault="003153D4">
      <w:pPr>
        <w:tabs>
          <w:tab w:val="left" w:pos="4962"/>
        </w:tabs>
        <w:spacing w:after="0" w:line="360" w:lineRule="auto"/>
        <w:rPr>
          <w:color w:val="000000"/>
        </w:rPr>
      </w:pPr>
      <w:r w:rsidRPr="00D2224F">
        <w:rPr>
          <w:color w:val="000000"/>
        </w:rPr>
        <w:t>Además, el artículo 2.1 y 2.3 del Código Reglamentario Municipal de Toluca, establecen que el Ayuntamiento (Cabildo) es un órgano deliberante que resuelve colegiadamente los asuntos de su competencia, mismo que está integrado por el Presidente Municipal, dos Síndicos y doce Regidores.</w:t>
      </w:r>
    </w:p>
    <w:p w:rsidR="00E0122B" w:rsidRPr="00D2224F" w:rsidRDefault="00E0122B">
      <w:pPr>
        <w:tabs>
          <w:tab w:val="left" w:pos="4962"/>
        </w:tabs>
        <w:spacing w:after="0" w:line="360" w:lineRule="auto"/>
        <w:rPr>
          <w:color w:val="000000"/>
        </w:rPr>
      </w:pPr>
    </w:p>
    <w:p w:rsidR="00E0122B" w:rsidRPr="00D2224F" w:rsidRDefault="003153D4">
      <w:pPr>
        <w:tabs>
          <w:tab w:val="left" w:pos="4962"/>
        </w:tabs>
        <w:spacing w:after="0" w:line="360" w:lineRule="auto"/>
        <w:rPr>
          <w:color w:val="000000"/>
        </w:rPr>
      </w:pPr>
      <w:r w:rsidRPr="00D2224F">
        <w:rPr>
          <w:color w:val="000000"/>
        </w:rPr>
        <w:t>Conforme a lo anterior, se logra vislumbrar que la pretensión del ahora Recurrente, es obtener los recibos de nómina de la primera y segunda quincena de enero de dos mil veinticinco, de los integrantes del Cabildo.</w:t>
      </w:r>
    </w:p>
    <w:p w:rsidR="00E0122B" w:rsidRPr="00D2224F" w:rsidRDefault="00E0122B">
      <w:pPr>
        <w:tabs>
          <w:tab w:val="left" w:pos="4962"/>
        </w:tabs>
        <w:spacing w:after="0" w:line="360" w:lineRule="auto"/>
        <w:rPr>
          <w:color w:val="000000"/>
        </w:rPr>
      </w:pPr>
    </w:p>
    <w:p w:rsidR="00E0122B" w:rsidRPr="00D2224F" w:rsidRDefault="003153D4">
      <w:pPr>
        <w:spacing w:after="0" w:line="360" w:lineRule="auto"/>
      </w:pPr>
      <w:r w:rsidRPr="00D2224F">
        <w:rPr>
          <w:color w:val="000000"/>
        </w:rPr>
        <w:t>Establecida dicha circunstancia, de las constancias que obran en el expediente electrónico, se advierte que el Sujeto Obligado</w:t>
      </w:r>
      <w:r w:rsidRPr="00D2224F">
        <w:rPr>
          <w:color w:val="0D0D0D"/>
        </w:rPr>
        <w:t xml:space="preserve"> dio respuesta a través del Titular de la Unidad de Transparencia</w:t>
      </w:r>
      <w:r w:rsidRPr="00D2224F">
        <w:rPr>
          <w:color w:val="000000"/>
        </w:rPr>
        <w:t xml:space="preserve">; </w:t>
      </w:r>
      <w:r w:rsidRPr="00D2224F">
        <w:t xml:space="preserve">por lo que, es oportuno hacer referencia al </w:t>
      </w:r>
      <w:r w:rsidRPr="00D2224F">
        <w:rPr>
          <w:b/>
        </w:rPr>
        <w:t>procedimiento de búsqueda que deben de seguir los Sujetos Obligados para localizar la información</w:t>
      </w:r>
      <w:r w:rsidRPr="00D2224F">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E0122B" w:rsidRPr="00D2224F" w:rsidRDefault="00E0122B">
      <w:pPr>
        <w:spacing w:after="0" w:line="360" w:lineRule="auto"/>
        <w:rPr>
          <w:b/>
        </w:rPr>
      </w:pPr>
    </w:p>
    <w:p w:rsidR="00E0122B" w:rsidRPr="00D2224F" w:rsidRDefault="003153D4">
      <w:pPr>
        <w:spacing w:after="0" w:line="360" w:lineRule="auto"/>
      </w:pPr>
      <w:r w:rsidRPr="00D2224F">
        <w:t xml:space="preserve">En ese sentido, los artículos 90 y 92, del Bando Municipal de Toluca, dos mil veinticinco, así como, los diversos 3.43, 3.44 y 3.45, del Código Reglamentario Municipal de Toluca, con relación </w:t>
      </w:r>
      <w:r w:rsidRPr="00D2224F">
        <w:lastRenderedPageBreak/>
        <w:t>con el Manual de Organización de la Dirección General de Administración, que establecen que el Sujeto Obligado cuenta con la Dirección General de Administración, que por medio de su Dirección de Recursos Humanos se encarga de la elaboración y distribución oportuna de la nómina para el pago al personal que labora en el Ayuntamiento, de la emisión de los CFDI correspondientes una vez realizado el pago. Para lograr lo anterior, dicha Dirección contará con el Departamento de Nómina, encargada de realizar el timbrado de nómina, para obtención de los CFDIS de cada servidor público.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Por tal circunstancia, se advierte que </w:t>
      </w:r>
      <w:r w:rsidRPr="00D2224F">
        <w:t xml:space="preserve">el Sujeto Obligado cumplió con el procedimiento de búsqueda </w:t>
      </w:r>
      <w:r w:rsidRPr="00D2224F">
        <w:rPr>
          <w:color w:val="000000"/>
        </w:rPr>
        <w:t>establecido en el artículo 162 de la Ley de Transparencia y Acceso a la Información Pública del Estado de México y Municipios, al turnar la solicitud de información al área competente.</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Ahora bien, dicha área tanto en respuesta, como Informe Justificado, señaló que después de realizar una búsqueda exhaustiva y razonable en los archivos físicos y electrónicos y en atención a los procedimientos administrativos para el procesamiento de lo solicitado, la información requerida no se encontraba completa, motivo por el cual no se enviaba.</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De tal circunstancia, se logra vislumbrar que dicha contestación no resulta clara y es confusa, pues no señala que información no tiene en sus archivos, es decir, no indicó si la información que no contaba era de las quincenas de febrero o de enero, o bien, de que servidores públicos a la fecha de la solicitud, no contaba con los recibos de nómina y cuales sí.</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En otras palabras, si bien señaló que estaba integrando la información, no indicó si estaban generando los recibos de febrero, o bien, correspondían a las quincenas de enero de dos mil veinticinco, ni si contaba con los recibos específicos solicitados; situación que guarda relevancia, pues la Resolución Miscelánea Fiscal del ejercicio fiscal dos mil veinticinco, y la página oficial </w:t>
      </w:r>
      <w:r w:rsidRPr="00D2224F">
        <w:rPr>
          <w:color w:val="000000"/>
        </w:rPr>
        <w:lastRenderedPageBreak/>
        <w:t>del Servicio de Administración Tributaria, precisan que un Comprobante Fiscal Digital por Internet por concepto de nómina y otras retenciones, es también conocido como Recibo de Nómina, mismo que se podrá expedir antes o después de la realización de los pagos correspondientes.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Conforme a lo anterior, se advierte que el Sujeto Obligado no fue claro en precisar si contaba o no con los recibos de nómina de la primera y segunda quincena de enero de dos mil veinticinco; además, que se revisó el cumplimiento a la Resolución del Recurso de Revisión 00641/INFOEM/IP/RR/2025, en donde el Sujeto Obligado afirmó que ya contaba con la información de la primera quincena de enero del año en cuestión.</w:t>
      </w:r>
    </w:p>
    <w:p w:rsidR="00E0122B" w:rsidRPr="00D2224F" w:rsidRDefault="003153D4">
      <w:pPr>
        <w:spacing w:after="0" w:line="360" w:lineRule="auto"/>
        <w:rPr>
          <w:color w:val="000000"/>
        </w:rPr>
      </w:pPr>
      <w:r w:rsidRPr="00D2224F">
        <w:rPr>
          <w:color w:val="000000"/>
        </w:rPr>
        <w:t xml:space="preserve">Por tales circunstancias, se considera que el agravio es </w:t>
      </w:r>
      <w:r w:rsidRPr="00D2224F">
        <w:rPr>
          <w:b/>
          <w:color w:val="000000"/>
        </w:rPr>
        <w:t xml:space="preserve">FUNDADO, </w:t>
      </w:r>
      <w:r w:rsidRPr="00D2224F">
        <w:rPr>
          <w:color w:val="000000"/>
        </w:rPr>
        <w:t>pues el Ente Recurrido no fue claro en dar su respuesta, lo cual impide determinar si la información solicitada obraba en sus archivos o no; por lo que, para atender el requerimiento de información, el Sujeto Obligado deberá realizar una búsqueda exhaustiva y razonable en los archivos de las unidades administrativas competentes, a efecto de que proporcione los recibos de nómina de la primera y segunda quincena de enero de dos mil veinticinco, de los integrantes del Cabildo.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w:t>
      </w:r>
      <w:r w:rsidRPr="00D2224F">
        <w:rPr>
          <w:color w:val="000000"/>
        </w:rPr>
        <w:lastRenderedPageBreak/>
        <w:t>Transparencia y Acceso a la Información Pública del Estado de México y Municipios, el cual refiere que los sujetos obligados deberán entregar la información que obre en sus archivos.</w:t>
      </w:r>
    </w:p>
    <w:p w:rsidR="00E0122B" w:rsidRPr="00D2224F" w:rsidRDefault="00E0122B">
      <w:pPr>
        <w:spacing w:after="0" w:line="360" w:lineRule="auto"/>
        <w:rPr>
          <w:color w:val="000000"/>
        </w:rPr>
      </w:pPr>
    </w:p>
    <w:p w:rsidR="00E0122B" w:rsidRPr="00D2224F" w:rsidRDefault="003153D4">
      <w:pPr>
        <w:widowControl w:val="0"/>
        <w:spacing w:after="0" w:line="360" w:lineRule="auto"/>
        <w:rPr>
          <w:color w:val="000000"/>
        </w:rPr>
      </w:pPr>
      <w:r w:rsidRPr="00D2224F">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todos los recibos de nómina, para lo cual, no pasa desapercibido que los recibos pudieran contener los datos siguientes:</w:t>
      </w:r>
    </w:p>
    <w:p w:rsidR="00E0122B" w:rsidRPr="00D2224F" w:rsidRDefault="00E0122B">
      <w:pPr>
        <w:spacing w:after="0" w:line="360" w:lineRule="auto"/>
        <w:ind w:right="-28"/>
        <w:rPr>
          <w:color w:val="000000"/>
        </w:rPr>
      </w:pPr>
    </w:p>
    <w:p w:rsidR="00E0122B" w:rsidRPr="00D2224F" w:rsidRDefault="003153D4">
      <w:pPr>
        <w:numPr>
          <w:ilvl w:val="0"/>
          <w:numId w:val="2"/>
        </w:numPr>
        <w:spacing w:after="0" w:line="360" w:lineRule="auto"/>
        <w:rPr>
          <w:color w:val="000000"/>
        </w:rPr>
      </w:pPr>
      <w:bookmarkStart w:id="14" w:name="_heading=h.f7agkhwb61hj" w:colFirst="0" w:colLast="0"/>
      <w:bookmarkEnd w:id="14"/>
      <w:r w:rsidRPr="00D2224F">
        <w:rPr>
          <w:color w:val="000000"/>
        </w:rPr>
        <w:t>Clave Única de Registro de Población (CURP);</w:t>
      </w:r>
    </w:p>
    <w:p w:rsidR="00E0122B" w:rsidRPr="00D2224F" w:rsidRDefault="003153D4">
      <w:pPr>
        <w:numPr>
          <w:ilvl w:val="0"/>
          <w:numId w:val="2"/>
        </w:numPr>
        <w:spacing w:after="0" w:line="360" w:lineRule="auto"/>
        <w:rPr>
          <w:color w:val="000000"/>
        </w:rPr>
      </w:pPr>
      <w:r w:rsidRPr="00D2224F">
        <w:rPr>
          <w:color w:val="000000"/>
        </w:rPr>
        <w:t>Registro Federal de Contribuyentes del servidor público (RFC);</w:t>
      </w:r>
    </w:p>
    <w:p w:rsidR="00E0122B" w:rsidRPr="00D2224F" w:rsidRDefault="003153D4">
      <w:pPr>
        <w:numPr>
          <w:ilvl w:val="0"/>
          <w:numId w:val="2"/>
        </w:numPr>
        <w:spacing w:after="0" w:line="360" w:lineRule="auto"/>
        <w:rPr>
          <w:color w:val="000000"/>
        </w:rPr>
      </w:pPr>
      <w:r w:rsidRPr="00D2224F">
        <w:rPr>
          <w:color w:val="000000"/>
        </w:rPr>
        <w:t>Número de seguridad social del Instituto de Seguridad Social del Estado de México y Municipios;</w:t>
      </w:r>
    </w:p>
    <w:p w:rsidR="00E0122B" w:rsidRPr="00D2224F" w:rsidRDefault="003153D4">
      <w:pPr>
        <w:numPr>
          <w:ilvl w:val="0"/>
          <w:numId w:val="2"/>
        </w:numPr>
        <w:spacing w:after="0" w:line="360" w:lineRule="auto"/>
        <w:rPr>
          <w:color w:val="000000"/>
        </w:rPr>
      </w:pPr>
      <w:r w:rsidRPr="00D2224F">
        <w:rPr>
          <w:color w:val="000000"/>
        </w:rPr>
        <w:t>Deducciones personales;</w:t>
      </w:r>
    </w:p>
    <w:p w:rsidR="00E0122B" w:rsidRPr="00D2224F" w:rsidRDefault="003153D4">
      <w:pPr>
        <w:numPr>
          <w:ilvl w:val="0"/>
          <w:numId w:val="2"/>
        </w:numPr>
        <w:spacing w:after="0" w:line="360" w:lineRule="auto"/>
        <w:rPr>
          <w:color w:val="000000"/>
        </w:rPr>
      </w:pPr>
      <w:r w:rsidRPr="00D2224F">
        <w:rPr>
          <w:color w:val="000000"/>
        </w:rPr>
        <w:t>Código bidimensional o QR;</w:t>
      </w:r>
    </w:p>
    <w:p w:rsidR="00E0122B" w:rsidRPr="00D2224F" w:rsidRDefault="003153D4">
      <w:pPr>
        <w:numPr>
          <w:ilvl w:val="0"/>
          <w:numId w:val="2"/>
        </w:numPr>
        <w:spacing w:after="0" w:line="360" w:lineRule="auto"/>
        <w:rPr>
          <w:color w:val="000000"/>
        </w:rPr>
      </w:pPr>
      <w:r w:rsidRPr="00D2224F">
        <w:rPr>
          <w:color w:val="000000"/>
        </w:rPr>
        <w:t>Sellos digitales del emisor y del Servicio de Administración Tributaria, y</w:t>
      </w:r>
    </w:p>
    <w:p w:rsidR="00E0122B" w:rsidRPr="00D2224F" w:rsidRDefault="003153D4">
      <w:pPr>
        <w:numPr>
          <w:ilvl w:val="0"/>
          <w:numId w:val="2"/>
        </w:numPr>
        <w:spacing w:after="0" w:line="360" w:lineRule="auto"/>
        <w:rPr>
          <w:color w:val="000000"/>
        </w:rPr>
      </w:pPr>
      <w:r w:rsidRPr="00D2224F">
        <w:rPr>
          <w:color w:val="000000"/>
        </w:rPr>
        <w:t>Cadena original del complemento de certificación digital del organismo previamente señalado.</w:t>
      </w:r>
    </w:p>
    <w:p w:rsidR="00E0122B" w:rsidRPr="00D2224F" w:rsidRDefault="00E0122B">
      <w:pPr>
        <w:spacing w:after="0" w:line="360" w:lineRule="auto"/>
        <w:ind w:left="420"/>
        <w:rPr>
          <w:color w:val="000000"/>
        </w:rPr>
      </w:pPr>
    </w:p>
    <w:p w:rsidR="00E0122B" w:rsidRPr="00D2224F" w:rsidRDefault="003153D4">
      <w:pPr>
        <w:spacing w:after="0" w:line="360" w:lineRule="auto"/>
        <w:ind w:right="-28"/>
        <w:rPr>
          <w:color w:val="000000"/>
        </w:rPr>
      </w:pPr>
      <w:r w:rsidRPr="00D2224F">
        <w:rPr>
          <w:color w:val="000000"/>
        </w:rPr>
        <w:t xml:space="preserve">De lo anterior, resulta procedente analizar si dichos datos son públicos o privados; para </w:t>
      </w:r>
      <w:proofErr w:type="spellStart"/>
      <w:r w:rsidRPr="00D2224F">
        <w:rPr>
          <w:color w:val="000000"/>
        </w:rPr>
        <w:t>locual</w:t>
      </w:r>
      <w:proofErr w:type="spellEnd"/>
      <w:r w:rsidRPr="00D2224F">
        <w:rPr>
          <w:color w:val="000000"/>
        </w:rPr>
        <w:t>, cabe mencionar que el artículo 143, fracción I, de la Ley previamente citada, establece que la información privada y los datos personales, concernientes a una persona física o jurídica colectiva identificada o identificable son confidenciales.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w:t>
      </w:r>
      <w:r w:rsidRPr="00D2224F">
        <w:rPr>
          <w:color w:val="000000"/>
        </w:rPr>
        <w:lastRenderedPageBreak/>
        <w:t>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En términos de lo expuesto, la documentación y aquellos datos que se consideren confidenciales, serán una limitante del derecho de acceso a la información, siempre y cuando:</w:t>
      </w:r>
    </w:p>
    <w:p w:rsidR="00E0122B" w:rsidRPr="00D2224F" w:rsidRDefault="00E0122B">
      <w:pPr>
        <w:spacing w:after="0" w:line="360" w:lineRule="auto"/>
        <w:rPr>
          <w:color w:val="000000"/>
        </w:rPr>
      </w:pPr>
    </w:p>
    <w:p w:rsidR="00E0122B" w:rsidRPr="00D2224F" w:rsidRDefault="003153D4">
      <w:pPr>
        <w:numPr>
          <w:ilvl w:val="0"/>
          <w:numId w:val="3"/>
        </w:numPr>
        <w:spacing w:after="0" w:line="360" w:lineRule="auto"/>
        <w:rPr>
          <w:color w:val="000000"/>
        </w:rPr>
      </w:pPr>
      <w:r w:rsidRPr="00D2224F">
        <w:rPr>
          <w:color w:val="000000"/>
        </w:rPr>
        <w:t xml:space="preserve">Se trate de datos personales o información privada; esto es, información concerniente a una persona física o jurídico colectiva y que esta sea identificada o identificable. </w:t>
      </w:r>
    </w:p>
    <w:p w:rsidR="00E0122B" w:rsidRPr="00D2224F" w:rsidRDefault="003153D4">
      <w:pPr>
        <w:numPr>
          <w:ilvl w:val="0"/>
          <w:numId w:val="3"/>
        </w:numPr>
        <w:spacing w:after="0" w:line="360" w:lineRule="auto"/>
        <w:rPr>
          <w:color w:val="000000"/>
        </w:rPr>
      </w:pPr>
      <w:r w:rsidRPr="00D2224F">
        <w:rPr>
          <w:color w:val="000000"/>
        </w:rPr>
        <w:t xml:space="preserve">Para la difusión de los datos, se requiera el consentimiento del titular. </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Además, en el artículo 5° de dicho ordenamiento jurídico, establece que es la Ley aplicable para todo tratamiento de datos personales.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w:t>
      </w:r>
      <w:r w:rsidRPr="00D2224F">
        <w:rPr>
          <w:color w:val="000000"/>
        </w:rP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En este sentido, un dato personal es cualquier información que pueda hacer a una persona física o jurídica colectiva identificada e identificable; por lo que, bajo dicha circunstancia, se analizarán si los datos mencionados, deben ser considerados confidenciales, en términos del artículo 143, fracción I, de la Ley de Transparencia y Acceso a la Información Pública del Estado de México y Municipios, o públicos.</w:t>
      </w:r>
    </w:p>
    <w:p w:rsidR="00E0122B" w:rsidRPr="00D2224F" w:rsidRDefault="00E0122B">
      <w:pPr>
        <w:spacing w:after="0" w:line="360" w:lineRule="auto"/>
        <w:rPr>
          <w:color w:val="000000"/>
        </w:rPr>
      </w:pPr>
    </w:p>
    <w:p w:rsidR="00E0122B" w:rsidRPr="00D2224F" w:rsidRDefault="003153D4">
      <w:pPr>
        <w:numPr>
          <w:ilvl w:val="0"/>
          <w:numId w:val="4"/>
        </w:numPr>
        <w:spacing w:after="0" w:line="360" w:lineRule="auto"/>
        <w:rPr>
          <w:b/>
          <w:color w:val="000000"/>
        </w:rPr>
      </w:pPr>
      <w:r w:rsidRPr="00D2224F">
        <w:rPr>
          <w:b/>
          <w:color w:val="000000"/>
        </w:rPr>
        <w:t>Clave Única de Registro de Población (CURP)</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En ese orden de ideas, la Secretaría de Gobernación en las direcciones </w:t>
      </w:r>
      <w:hyperlink r:id="rId9">
        <w:r w:rsidRPr="00D2224F">
          <w:rPr>
            <w:color w:val="0563C1"/>
            <w:u w:val="single"/>
          </w:rPr>
          <w:t>https://consultas.curp.gob.mx/CurpSP/html/informacionecurpPS.html</w:t>
        </w:r>
      </w:hyperlink>
      <w:r w:rsidRPr="00D2224F">
        <w:rPr>
          <w:color w:val="000000"/>
        </w:rPr>
        <w:t xml:space="preserve"> y </w:t>
      </w:r>
      <w:hyperlink r:id="rId10">
        <w:r w:rsidRPr="00D2224F">
          <w:rPr>
            <w:color w:val="0563C1"/>
            <w:u w:val="single"/>
          </w:rPr>
          <w:t>https://www.gob.mx/segob/renapo/acciones-y-programas/clave-unica-de-registro-de-poblacion-curp-142226</w:t>
        </w:r>
      </w:hyperlink>
      <w:r w:rsidRPr="00D2224F">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D2224F">
        <w:rPr>
          <w:b/>
          <w:color w:val="000000"/>
        </w:rPr>
        <w:t>se generan a partir de los datos contenidos en el documento probatorio de la identidad</w:t>
      </w:r>
      <w:r w:rsidRPr="00D2224F">
        <w:rPr>
          <w:color w:val="000000"/>
        </w:rPr>
        <w:t xml:space="preserve"> </w:t>
      </w:r>
      <w:r w:rsidRPr="00D2224F">
        <w:rPr>
          <w:b/>
          <w:color w:val="000000"/>
        </w:rPr>
        <w:t xml:space="preserve">del interesado </w:t>
      </w:r>
      <w:r w:rsidRPr="00D2224F">
        <w:rPr>
          <w:color w:val="000000"/>
        </w:rPr>
        <w:t>(acta de nacimiento, carta de naturalización o documento migratorio) de la siguiente forma:</w:t>
      </w:r>
    </w:p>
    <w:p w:rsidR="00E0122B" w:rsidRPr="00D2224F" w:rsidRDefault="00E0122B">
      <w:pPr>
        <w:spacing w:after="0" w:line="360" w:lineRule="auto"/>
        <w:rPr>
          <w:color w:val="000000"/>
        </w:rPr>
      </w:pPr>
    </w:p>
    <w:p w:rsidR="00E0122B" w:rsidRPr="00D2224F" w:rsidRDefault="003153D4">
      <w:pPr>
        <w:numPr>
          <w:ilvl w:val="0"/>
          <w:numId w:val="5"/>
        </w:numPr>
        <w:spacing w:after="0" w:line="360" w:lineRule="auto"/>
        <w:rPr>
          <w:color w:val="000000"/>
        </w:rPr>
      </w:pPr>
      <w:r w:rsidRPr="00D2224F">
        <w:rPr>
          <w:color w:val="000000"/>
        </w:rPr>
        <w:t>El primero y segundo apellidos, así como al nombre de pila;</w:t>
      </w:r>
    </w:p>
    <w:p w:rsidR="00E0122B" w:rsidRPr="00D2224F" w:rsidRDefault="003153D4">
      <w:pPr>
        <w:numPr>
          <w:ilvl w:val="0"/>
          <w:numId w:val="5"/>
        </w:numPr>
        <w:spacing w:after="0" w:line="360" w:lineRule="auto"/>
        <w:rPr>
          <w:color w:val="000000"/>
        </w:rPr>
      </w:pPr>
      <w:r w:rsidRPr="00D2224F">
        <w:rPr>
          <w:color w:val="000000"/>
        </w:rPr>
        <w:t>La fecha de nacimiento;</w:t>
      </w:r>
    </w:p>
    <w:p w:rsidR="00E0122B" w:rsidRPr="00D2224F" w:rsidRDefault="003153D4">
      <w:pPr>
        <w:numPr>
          <w:ilvl w:val="0"/>
          <w:numId w:val="5"/>
        </w:numPr>
        <w:spacing w:after="0" w:line="360" w:lineRule="auto"/>
        <w:rPr>
          <w:color w:val="000000"/>
        </w:rPr>
      </w:pPr>
      <w:r w:rsidRPr="00D2224F">
        <w:rPr>
          <w:color w:val="000000"/>
        </w:rPr>
        <w:t>El sexo, y</w:t>
      </w:r>
    </w:p>
    <w:p w:rsidR="00E0122B" w:rsidRPr="00D2224F" w:rsidRDefault="003153D4">
      <w:pPr>
        <w:numPr>
          <w:ilvl w:val="0"/>
          <w:numId w:val="5"/>
        </w:numPr>
        <w:spacing w:after="0" w:line="360" w:lineRule="auto"/>
        <w:rPr>
          <w:color w:val="000000"/>
        </w:rPr>
      </w:pPr>
      <w:r w:rsidRPr="00D2224F">
        <w:rPr>
          <w:color w:val="000000"/>
        </w:rPr>
        <w:t>La entidad federativa de nacimiento.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Los dos últimos elementos de la Clave Única de Registro de Población evitan la duplicidad de la Clave y garantizan su correcta integración.</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Situación que se robustece, con el Criterio Orientador, de la Segunda Época, con número de registro SO/018/2017, emitido por el entonces Instituto Nacional de Transparencia, Acceso a la </w:t>
      </w:r>
      <w:r w:rsidRPr="00D2224F">
        <w:rPr>
          <w:color w:val="000000"/>
        </w:rPr>
        <w:lastRenderedPageBreak/>
        <w:t>Información y Protección de Datos Personales, vigente a la fecha de la solicitud, que establece lo siguiente:</w:t>
      </w:r>
    </w:p>
    <w:p w:rsidR="00E0122B" w:rsidRPr="00D2224F" w:rsidRDefault="00E0122B">
      <w:pPr>
        <w:spacing w:after="0" w:line="360" w:lineRule="auto"/>
        <w:ind w:left="567" w:right="567"/>
        <w:rPr>
          <w:color w:val="000000"/>
          <w:sz w:val="20"/>
          <w:szCs w:val="20"/>
        </w:rPr>
      </w:pPr>
    </w:p>
    <w:p w:rsidR="00E0122B" w:rsidRPr="00D2224F" w:rsidRDefault="003153D4">
      <w:pPr>
        <w:spacing w:after="0" w:line="360" w:lineRule="auto"/>
        <w:ind w:left="567" w:right="567"/>
        <w:rPr>
          <w:i/>
          <w:color w:val="000000"/>
          <w:sz w:val="20"/>
          <w:szCs w:val="20"/>
        </w:rPr>
      </w:pPr>
      <w:r w:rsidRPr="00D2224F">
        <w:rPr>
          <w:b/>
          <w:i/>
          <w:color w:val="000000"/>
          <w:sz w:val="20"/>
          <w:szCs w:val="20"/>
        </w:rPr>
        <w:t xml:space="preserve">“Clave Única de Registro de Población (CURP). </w:t>
      </w:r>
      <w:r w:rsidRPr="00D2224F">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rsidR="00E0122B" w:rsidRPr="00D2224F" w:rsidRDefault="00E0122B">
      <w:pPr>
        <w:spacing w:after="0" w:line="360" w:lineRule="auto"/>
        <w:rPr>
          <w:color w:val="000000"/>
        </w:rPr>
      </w:pPr>
    </w:p>
    <w:p w:rsidR="00E0122B" w:rsidRPr="00D2224F" w:rsidRDefault="003153D4">
      <w:pPr>
        <w:numPr>
          <w:ilvl w:val="0"/>
          <w:numId w:val="4"/>
        </w:numPr>
        <w:spacing w:after="0" w:line="360" w:lineRule="auto"/>
        <w:rPr>
          <w:b/>
          <w:color w:val="000000"/>
        </w:rPr>
      </w:pPr>
      <w:r w:rsidRPr="00D2224F">
        <w:rPr>
          <w:b/>
          <w:color w:val="000000"/>
        </w:rPr>
        <w:t>Registro Federal de Contribuyentes (RFC)</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D2224F">
        <w:rPr>
          <w:color w:val="000000"/>
        </w:rPr>
        <w:t>homoclave</w:t>
      </w:r>
      <w:proofErr w:type="spellEnd"/>
      <w:r w:rsidRPr="00D2224F">
        <w:rPr>
          <w:color w:val="000000"/>
        </w:rPr>
        <w:t xml:space="preserve"> que establece el sistema automático del Servicio de Administración Tributaria.</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Lo anterior, resulta congruente con el Criterio Orientador, de la Segunda Época, con número de registro SO/019/2017, emitido por el entonces Instituto Nacional de Transparencia, Acceso a la Información y Protección de Datos Personales, vigente a la fecha de la solicitud, en el cual se señala lo siguiente:</w:t>
      </w:r>
    </w:p>
    <w:p w:rsidR="00E0122B" w:rsidRPr="00D2224F" w:rsidRDefault="00E0122B">
      <w:pPr>
        <w:spacing w:after="0" w:line="360" w:lineRule="auto"/>
        <w:rPr>
          <w:color w:val="000000"/>
        </w:rPr>
      </w:pPr>
    </w:p>
    <w:p w:rsidR="00E0122B" w:rsidRPr="00D2224F" w:rsidRDefault="003153D4">
      <w:pPr>
        <w:spacing w:after="0" w:line="360" w:lineRule="auto"/>
        <w:ind w:left="567" w:right="567"/>
        <w:rPr>
          <w:i/>
          <w:color w:val="000000"/>
          <w:sz w:val="20"/>
          <w:szCs w:val="20"/>
        </w:rPr>
      </w:pPr>
      <w:r w:rsidRPr="00D2224F">
        <w:rPr>
          <w:b/>
          <w:i/>
          <w:color w:val="000000"/>
          <w:sz w:val="20"/>
          <w:szCs w:val="20"/>
        </w:rPr>
        <w:t>“Registro Federal de Contribuyentes (RFC) de personas físicas.</w:t>
      </w:r>
      <w:r w:rsidRPr="00D2224F">
        <w:rPr>
          <w:i/>
          <w:color w:val="000000"/>
          <w:sz w:val="20"/>
          <w:szCs w:val="20"/>
        </w:rPr>
        <w:t xml:space="preserve"> El RFC es una clave de carácter fiscal, única e irrepetible, que permite identificar al titular, su edad y fecha de nacimiento, por lo que es un dato personal de carácter confidencial.”</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D2224F">
        <w:rPr>
          <w:color w:val="000000"/>
        </w:rPr>
        <w:lastRenderedPageBreak/>
        <w:t>actualizar el supuesto normativo del artículo 143, fracción I, de la Ley de Transparencia y Acceso a la Información Pública del Estado de México y Municipios.</w:t>
      </w:r>
    </w:p>
    <w:p w:rsidR="00E0122B" w:rsidRPr="00D2224F" w:rsidRDefault="00E0122B">
      <w:pPr>
        <w:tabs>
          <w:tab w:val="center" w:pos="4522"/>
        </w:tabs>
        <w:spacing w:after="0" w:line="360" w:lineRule="auto"/>
        <w:rPr>
          <w:color w:val="000000"/>
        </w:rPr>
      </w:pPr>
    </w:p>
    <w:p w:rsidR="00E0122B" w:rsidRPr="00D2224F" w:rsidRDefault="003153D4">
      <w:pPr>
        <w:numPr>
          <w:ilvl w:val="0"/>
          <w:numId w:val="6"/>
        </w:numPr>
        <w:spacing w:after="0" w:line="360" w:lineRule="auto"/>
        <w:jc w:val="left"/>
        <w:rPr>
          <w:b/>
          <w:color w:val="000000"/>
        </w:rPr>
      </w:pPr>
      <w:r w:rsidRPr="00D2224F">
        <w:rPr>
          <w:b/>
          <w:color w:val="000000"/>
        </w:rPr>
        <w:t xml:space="preserve">Código bidimensional o </w:t>
      </w:r>
      <w:proofErr w:type="spellStart"/>
      <w:r w:rsidRPr="00D2224F">
        <w:rPr>
          <w:b/>
          <w:color w:val="000000"/>
        </w:rPr>
        <w:t>Qr</w:t>
      </w:r>
      <w:proofErr w:type="spellEnd"/>
    </w:p>
    <w:p w:rsidR="00E0122B" w:rsidRPr="00D2224F" w:rsidRDefault="00E0122B">
      <w:pPr>
        <w:spacing w:after="0" w:line="360" w:lineRule="auto"/>
        <w:rPr>
          <w:b/>
          <w:color w:val="000000"/>
        </w:rPr>
      </w:pPr>
    </w:p>
    <w:p w:rsidR="00E0122B" w:rsidRPr="00D2224F" w:rsidRDefault="003153D4">
      <w:pPr>
        <w:spacing w:after="0" w:line="360" w:lineRule="auto"/>
        <w:rPr>
          <w:color w:val="000000"/>
        </w:rPr>
      </w:pPr>
      <w:r w:rsidRPr="00D2224F">
        <w:rPr>
          <w:color w:val="000000"/>
        </w:rPr>
        <w:t xml:space="preserve">En principio, resulta necesario señalar que los comprobantes fiscales digitales por Internet, deben de incluir un código bidimensional conforme al formato </w:t>
      </w:r>
      <w:r w:rsidRPr="00D2224F">
        <w:rPr>
          <w:i/>
          <w:color w:val="000000"/>
        </w:rPr>
        <w:t xml:space="preserve">QR </w:t>
      </w:r>
      <w:proofErr w:type="spellStart"/>
      <w:r w:rsidRPr="00D2224F">
        <w:rPr>
          <w:i/>
          <w:color w:val="000000"/>
        </w:rPr>
        <w:t>Code</w:t>
      </w:r>
      <w:proofErr w:type="spellEnd"/>
      <w:r w:rsidRPr="00D2224F">
        <w:rPr>
          <w:i/>
          <w:color w:val="000000"/>
        </w:rPr>
        <w:t xml:space="preserve"> (Quick Response </w:t>
      </w:r>
      <w:proofErr w:type="spellStart"/>
      <w:r w:rsidRPr="00D2224F">
        <w:rPr>
          <w:i/>
          <w:color w:val="000000"/>
        </w:rPr>
        <w:t>Code</w:t>
      </w:r>
      <w:proofErr w:type="spellEnd"/>
      <w:r w:rsidRPr="00D2224F">
        <w:rPr>
          <w:i/>
          <w:color w:val="000000"/>
        </w:rPr>
        <w:t>)</w:t>
      </w:r>
      <w:r w:rsidRPr="00D2224F">
        <w:rPr>
          <w:color w:val="000000"/>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sidRPr="00D2224F">
          <w:rPr>
            <w:color w:val="0563C1"/>
            <w:u w:val="single"/>
          </w:rPr>
          <w:t>http://dof.gob.mx/nota_detalle.php?codigo=5492254&amp;fecha=28/07/2017</w:t>
        </w:r>
      </w:hyperlink>
      <w:r w:rsidRPr="00D2224F">
        <w:rPr>
          <w:color w:val="000000"/>
        </w:rPr>
        <w:t>. Incluso con la captura de dicho código, a través de la aplicación móvil del Servicio de Administración Tributaria, permite el acceso al Registro Federal de Contribuyentes, como del Sujeto Obligado, como de los servidores públicos.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E0122B" w:rsidRPr="00D2224F" w:rsidRDefault="00E0122B">
      <w:pPr>
        <w:tabs>
          <w:tab w:val="center" w:pos="4522"/>
        </w:tabs>
        <w:spacing w:after="0" w:line="360" w:lineRule="auto"/>
        <w:rPr>
          <w:color w:val="000000"/>
        </w:rPr>
      </w:pPr>
    </w:p>
    <w:p w:rsidR="00E0122B" w:rsidRPr="00D2224F" w:rsidRDefault="003153D4">
      <w:pPr>
        <w:numPr>
          <w:ilvl w:val="0"/>
          <w:numId w:val="4"/>
        </w:numPr>
        <w:spacing w:after="0" w:line="360" w:lineRule="auto"/>
        <w:rPr>
          <w:b/>
          <w:color w:val="000000"/>
        </w:rPr>
      </w:pPr>
      <w:r w:rsidRPr="00D2224F">
        <w:rPr>
          <w:b/>
          <w:color w:val="000000"/>
        </w:rPr>
        <w:t>Número de seguridad social del Instituto de Seguridad Social del Estado de México y Municipios</w:t>
      </w:r>
    </w:p>
    <w:p w:rsidR="00E0122B" w:rsidRPr="00D2224F" w:rsidRDefault="00E0122B">
      <w:pPr>
        <w:spacing w:after="0" w:line="360" w:lineRule="auto"/>
        <w:rPr>
          <w:b/>
          <w:color w:val="000000"/>
        </w:rPr>
      </w:pPr>
    </w:p>
    <w:p w:rsidR="00E0122B" w:rsidRPr="00D2224F" w:rsidRDefault="003153D4">
      <w:pPr>
        <w:spacing w:after="0" w:line="360" w:lineRule="auto"/>
        <w:rPr>
          <w:color w:val="000000"/>
        </w:rPr>
      </w:pPr>
      <w:r w:rsidRPr="00D2224F">
        <w:rPr>
          <w:color w:val="000000"/>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w:t>
      </w:r>
      <w:r w:rsidRPr="00D2224F">
        <w:rPr>
          <w:color w:val="000000"/>
        </w:rPr>
        <w:lastRenderedPageBreak/>
        <w:t>prestaciones que otorga, de conformidad con el artículo 14 de la Ley de Seguridad Social para los Servidores Públicos del Estado de México y Municipios.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E0122B" w:rsidRPr="00D2224F" w:rsidRDefault="00E0122B">
      <w:pPr>
        <w:spacing w:after="0" w:line="360" w:lineRule="auto"/>
        <w:rPr>
          <w:color w:val="000000"/>
        </w:rPr>
      </w:pPr>
    </w:p>
    <w:p w:rsidR="00E0122B" w:rsidRPr="00D2224F" w:rsidRDefault="003153D4">
      <w:pPr>
        <w:numPr>
          <w:ilvl w:val="0"/>
          <w:numId w:val="7"/>
        </w:numPr>
        <w:spacing w:after="0" w:line="360" w:lineRule="auto"/>
        <w:jc w:val="left"/>
        <w:rPr>
          <w:b/>
          <w:color w:val="000000"/>
        </w:rPr>
      </w:pPr>
      <w:r w:rsidRPr="00D2224F">
        <w:rPr>
          <w:b/>
          <w:color w:val="000000"/>
        </w:rPr>
        <w:lastRenderedPageBreak/>
        <w:t>Deducciones personales</w:t>
      </w:r>
    </w:p>
    <w:p w:rsidR="00E0122B" w:rsidRPr="00D2224F" w:rsidRDefault="00E0122B">
      <w:pPr>
        <w:spacing w:after="0" w:line="360" w:lineRule="auto"/>
        <w:ind w:left="720"/>
        <w:rPr>
          <w:b/>
          <w:color w:val="000000"/>
        </w:rPr>
      </w:pPr>
    </w:p>
    <w:p w:rsidR="00E0122B" w:rsidRPr="00D2224F" w:rsidRDefault="003153D4">
      <w:pPr>
        <w:spacing w:after="0" w:line="360" w:lineRule="auto"/>
        <w:rPr>
          <w:color w:val="000000"/>
        </w:rPr>
      </w:pPr>
      <w:r w:rsidRPr="00D2224F">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 xml:space="preserve">Asimismo, hay otras que se generan con motivo de una sentencia judicial, como es la pensión alimenticia que periódicamente se retira de la cuenta de un empleado, a efecto de que sea entregado a un tercero.  </w:t>
      </w:r>
    </w:p>
    <w:p w:rsidR="00E0122B" w:rsidRPr="00D2224F" w:rsidRDefault="003153D4">
      <w:pPr>
        <w:spacing w:after="0" w:line="360" w:lineRule="auto"/>
        <w:rPr>
          <w:color w:val="000000"/>
        </w:rPr>
      </w:pPr>
      <w:r w:rsidRPr="00D2224F">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E0122B" w:rsidRPr="00D2224F" w:rsidRDefault="00E0122B">
      <w:pPr>
        <w:spacing w:after="0" w:line="360" w:lineRule="auto"/>
        <w:rPr>
          <w:color w:val="000000"/>
        </w:rPr>
      </w:pPr>
    </w:p>
    <w:p w:rsidR="00E0122B" w:rsidRPr="00D2224F" w:rsidRDefault="003153D4">
      <w:pPr>
        <w:spacing w:after="0" w:line="360" w:lineRule="auto"/>
        <w:rPr>
          <w:b/>
          <w:color w:val="000000"/>
        </w:rPr>
      </w:pPr>
      <w:r w:rsidRPr="00D2224F">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rsidR="00E0122B" w:rsidRPr="00D2224F" w:rsidRDefault="00E0122B">
      <w:pPr>
        <w:spacing w:after="0" w:line="360" w:lineRule="auto"/>
        <w:rPr>
          <w:color w:val="000000"/>
        </w:rPr>
      </w:pPr>
    </w:p>
    <w:p w:rsidR="00E0122B" w:rsidRPr="00D2224F" w:rsidRDefault="003153D4">
      <w:pPr>
        <w:numPr>
          <w:ilvl w:val="0"/>
          <w:numId w:val="6"/>
        </w:numPr>
        <w:spacing w:after="0" w:line="360" w:lineRule="auto"/>
        <w:rPr>
          <w:color w:val="000000"/>
        </w:rPr>
      </w:pPr>
      <w:r w:rsidRPr="00D2224F">
        <w:rPr>
          <w:b/>
          <w:color w:val="000000"/>
        </w:rPr>
        <w:t>Sellos digitales del emisor y del Servicio de Administración Tributaria y cadena original del complemento de certificación digital del organismo previamente señalado</w:t>
      </w:r>
    </w:p>
    <w:p w:rsidR="00E0122B" w:rsidRPr="00D2224F" w:rsidRDefault="00E0122B">
      <w:pPr>
        <w:spacing w:after="0" w:line="360" w:lineRule="auto"/>
        <w:ind w:left="720"/>
        <w:rPr>
          <w:b/>
          <w:color w:val="000000"/>
        </w:rPr>
      </w:pPr>
    </w:p>
    <w:p w:rsidR="00E0122B" w:rsidRPr="00D2224F" w:rsidRDefault="003153D4">
      <w:pPr>
        <w:spacing w:after="0" w:line="360" w:lineRule="auto"/>
        <w:rPr>
          <w:color w:val="000000"/>
        </w:rPr>
      </w:pPr>
      <w:r w:rsidRPr="00D2224F">
        <w:rPr>
          <w:color w:val="000000"/>
        </w:rPr>
        <w:t xml:space="preserve">Cuando, de la secuencia de números y letras, no se advierta un Registro Federal de Contribuyentes o una Clave Única de Registro de Población, que pueda hacer identificable al </w:t>
      </w:r>
      <w:r w:rsidRPr="00D2224F">
        <w:rPr>
          <w:color w:val="000000"/>
        </w:rPr>
        <w:lastRenderedPageBreak/>
        <w:t>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E0122B" w:rsidRPr="00D2224F" w:rsidRDefault="003153D4">
      <w:pPr>
        <w:spacing w:after="0" w:line="360" w:lineRule="auto"/>
        <w:rPr>
          <w:color w:val="000000"/>
        </w:rPr>
      </w:pPr>
      <w:r w:rsidRPr="00D2224F">
        <w:rPr>
          <w:color w:val="000000"/>
        </w:rPr>
        <w:t> </w:t>
      </w:r>
    </w:p>
    <w:p w:rsidR="00E0122B" w:rsidRPr="00D2224F" w:rsidRDefault="003153D4">
      <w:pPr>
        <w:spacing w:after="0" w:line="360" w:lineRule="auto"/>
        <w:rPr>
          <w:color w:val="000000"/>
        </w:rPr>
      </w:pPr>
      <w:r w:rsidRPr="00D2224F">
        <w:rPr>
          <w:color w:val="000000"/>
        </w:rPr>
        <w:t>Las cadenas originales y sellos que se agregan a las facturas</w:t>
      </w:r>
      <w:r w:rsidRPr="00D2224F">
        <w:rPr>
          <w:b/>
          <w:color w:val="000000"/>
        </w:rPr>
        <w:t>,</w:t>
      </w:r>
      <w:r w:rsidRPr="00D2224F">
        <w:rPr>
          <w:color w:val="000000"/>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E0122B" w:rsidRPr="00D2224F" w:rsidRDefault="003153D4">
      <w:pPr>
        <w:spacing w:after="0" w:line="360" w:lineRule="auto"/>
        <w:rPr>
          <w:color w:val="000000"/>
        </w:rPr>
      </w:pPr>
      <w:r w:rsidRPr="00D2224F">
        <w:rPr>
          <w:color w:val="000000"/>
        </w:rPr>
        <w:t> </w:t>
      </w:r>
    </w:p>
    <w:p w:rsidR="00E0122B" w:rsidRPr="00D2224F" w:rsidRDefault="003153D4">
      <w:pPr>
        <w:spacing w:after="0" w:line="360" w:lineRule="auto"/>
        <w:ind w:left="567" w:right="539"/>
        <w:rPr>
          <w:i/>
          <w:color w:val="000000"/>
          <w:sz w:val="20"/>
          <w:szCs w:val="20"/>
        </w:rPr>
      </w:pPr>
      <w:r w:rsidRPr="00D2224F">
        <w:rPr>
          <w:i/>
          <w:color w:val="000000"/>
          <w:sz w:val="20"/>
          <w:szCs w:val="20"/>
        </w:rPr>
        <w:t>“…</w:t>
      </w:r>
    </w:p>
    <w:p w:rsidR="00E0122B" w:rsidRPr="00D2224F" w:rsidRDefault="003153D4">
      <w:pPr>
        <w:spacing w:after="0" w:line="360" w:lineRule="auto"/>
        <w:ind w:left="567" w:right="539"/>
        <w:rPr>
          <w:i/>
          <w:color w:val="000000"/>
          <w:sz w:val="20"/>
          <w:szCs w:val="20"/>
        </w:rPr>
      </w:pPr>
      <w:r w:rsidRPr="00D2224F">
        <w:rPr>
          <w:i/>
          <w:color w:val="000000"/>
          <w:sz w:val="20"/>
          <w:szCs w:val="20"/>
        </w:rPr>
        <w:t>Elementos utilizados en la generación de Sellos Digitales:</w:t>
      </w:r>
    </w:p>
    <w:p w:rsidR="00E0122B" w:rsidRPr="00D2224F" w:rsidRDefault="00E0122B">
      <w:pPr>
        <w:spacing w:after="0" w:line="360" w:lineRule="auto"/>
        <w:ind w:left="567" w:right="539"/>
        <w:rPr>
          <w:i/>
          <w:color w:val="000000"/>
          <w:sz w:val="20"/>
          <w:szCs w:val="20"/>
        </w:rPr>
      </w:pPr>
    </w:p>
    <w:p w:rsidR="00E0122B" w:rsidRPr="00D2224F" w:rsidRDefault="003153D4">
      <w:pPr>
        <w:spacing w:after="0" w:line="360" w:lineRule="auto"/>
        <w:ind w:left="567" w:right="539"/>
        <w:rPr>
          <w:i/>
          <w:color w:val="000000"/>
          <w:sz w:val="20"/>
          <w:szCs w:val="20"/>
        </w:rPr>
      </w:pPr>
      <w:r w:rsidRPr="00D2224F">
        <w:rPr>
          <w:i/>
          <w:color w:val="000000"/>
          <w:sz w:val="20"/>
          <w:szCs w:val="20"/>
        </w:rPr>
        <w:t>•</w:t>
      </w:r>
      <w:r w:rsidRPr="00D2224F">
        <w:rPr>
          <w:i/>
          <w:color w:val="000000"/>
          <w:sz w:val="20"/>
          <w:szCs w:val="20"/>
        </w:rPr>
        <w:tab/>
        <w:t>Cadena Original, el elemento a sellar, en este caso de un comprobante fiscal digital a través de Internet.</w:t>
      </w:r>
    </w:p>
    <w:p w:rsidR="00E0122B" w:rsidRPr="00D2224F" w:rsidRDefault="003153D4">
      <w:pPr>
        <w:spacing w:after="0" w:line="360" w:lineRule="auto"/>
        <w:ind w:left="567" w:right="539"/>
        <w:rPr>
          <w:i/>
          <w:color w:val="000000"/>
          <w:sz w:val="20"/>
          <w:szCs w:val="20"/>
        </w:rPr>
      </w:pPr>
      <w:r w:rsidRPr="00D2224F">
        <w:rPr>
          <w:i/>
          <w:color w:val="000000"/>
          <w:sz w:val="20"/>
          <w:szCs w:val="20"/>
        </w:rPr>
        <w:t>•</w:t>
      </w:r>
      <w:r w:rsidRPr="00D2224F">
        <w:rPr>
          <w:i/>
          <w:color w:val="000000"/>
          <w:sz w:val="20"/>
          <w:szCs w:val="20"/>
        </w:rPr>
        <w:tab/>
        <w:t>Certificado de Sello Digital y su correspondiente clave privada.</w:t>
      </w:r>
    </w:p>
    <w:p w:rsidR="00E0122B" w:rsidRPr="00D2224F" w:rsidRDefault="003153D4">
      <w:pPr>
        <w:spacing w:after="0" w:line="360" w:lineRule="auto"/>
        <w:ind w:left="567" w:right="539"/>
        <w:rPr>
          <w:i/>
          <w:color w:val="000000"/>
          <w:sz w:val="20"/>
          <w:szCs w:val="20"/>
        </w:rPr>
      </w:pPr>
      <w:r w:rsidRPr="00D2224F">
        <w:rPr>
          <w:i/>
          <w:color w:val="000000"/>
          <w:sz w:val="20"/>
          <w:szCs w:val="20"/>
        </w:rPr>
        <w:t>•</w:t>
      </w:r>
      <w:r w:rsidRPr="00D2224F">
        <w:rPr>
          <w:i/>
          <w:color w:val="000000"/>
          <w:sz w:val="20"/>
          <w:szCs w:val="20"/>
        </w:rPr>
        <w:tab/>
        <w:t>Algoritmos de criptografía de clave pública para firma electrónica avanzada.</w:t>
      </w:r>
    </w:p>
    <w:p w:rsidR="00E0122B" w:rsidRPr="00D2224F" w:rsidRDefault="003153D4">
      <w:pPr>
        <w:spacing w:after="0" w:line="360" w:lineRule="auto"/>
        <w:ind w:left="567" w:right="539"/>
        <w:rPr>
          <w:i/>
          <w:color w:val="000000"/>
          <w:sz w:val="20"/>
          <w:szCs w:val="20"/>
        </w:rPr>
      </w:pPr>
      <w:r w:rsidRPr="00D2224F">
        <w:rPr>
          <w:i/>
          <w:color w:val="000000"/>
          <w:sz w:val="20"/>
          <w:szCs w:val="20"/>
        </w:rPr>
        <w:t>•</w:t>
      </w:r>
      <w:r w:rsidRPr="00D2224F">
        <w:rPr>
          <w:i/>
          <w:color w:val="000000"/>
          <w:sz w:val="20"/>
          <w:szCs w:val="20"/>
        </w:rPr>
        <w:tab/>
        <w:t>Especificaciones de conversión de la firma electrónica avanzada a Base 64.</w:t>
      </w:r>
    </w:p>
    <w:p w:rsidR="00E0122B" w:rsidRPr="00D2224F" w:rsidRDefault="003153D4">
      <w:pPr>
        <w:spacing w:after="0" w:line="360" w:lineRule="auto"/>
        <w:ind w:left="567" w:right="539"/>
        <w:rPr>
          <w:i/>
          <w:color w:val="000000"/>
          <w:sz w:val="20"/>
          <w:szCs w:val="20"/>
        </w:rPr>
      </w:pPr>
      <w:r w:rsidRPr="00D2224F">
        <w:rPr>
          <w:i/>
          <w:color w:val="000000"/>
          <w:sz w:val="20"/>
          <w:szCs w:val="20"/>
        </w:rPr>
        <w:t>Para la generación de sellos digitales se utiliza criptografía de clave pública aplicada a una cadena original.</w:t>
      </w:r>
    </w:p>
    <w:p w:rsidR="00E0122B" w:rsidRPr="00D2224F" w:rsidRDefault="00E0122B">
      <w:pPr>
        <w:spacing w:after="0" w:line="360" w:lineRule="auto"/>
        <w:ind w:left="567" w:right="539"/>
        <w:rPr>
          <w:i/>
          <w:color w:val="000000"/>
          <w:sz w:val="20"/>
          <w:szCs w:val="20"/>
        </w:rPr>
      </w:pPr>
    </w:p>
    <w:p w:rsidR="00E0122B" w:rsidRPr="00D2224F" w:rsidRDefault="003153D4">
      <w:pPr>
        <w:spacing w:after="0" w:line="360" w:lineRule="auto"/>
        <w:ind w:left="567" w:right="539"/>
        <w:rPr>
          <w:i/>
          <w:color w:val="000000"/>
          <w:sz w:val="20"/>
          <w:szCs w:val="20"/>
        </w:rPr>
      </w:pPr>
      <w:r w:rsidRPr="00D2224F">
        <w:rPr>
          <w:i/>
          <w:color w:val="000000"/>
          <w:sz w:val="20"/>
          <w:szCs w:val="20"/>
        </w:rPr>
        <w:t>Criptografía de la Clave Pública</w:t>
      </w:r>
    </w:p>
    <w:p w:rsidR="00E0122B" w:rsidRPr="00D2224F" w:rsidRDefault="003153D4">
      <w:pPr>
        <w:spacing w:after="0" w:line="360" w:lineRule="auto"/>
        <w:ind w:left="567" w:right="539"/>
        <w:rPr>
          <w:i/>
          <w:color w:val="000000"/>
          <w:sz w:val="20"/>
          <w:szCs w:val="20"/>
        </w:rPr>
      </w:pPr>
      <w:r w:rsidRPr="00D2224F">
        <w:rPr>
          <w:i/>
          <w:color w:val="000000"/>
          <w:sz w:val="20"/>
          <w:szCs w:val="20"/>
        </w:rPr>
        <w:lastRenderedPageBreak/>
        <w:t xml:space="preserve">La criptografía de Clave Pública se basa en la generación de una pareja de números muy grandes relacionados íntimamente entre sí, de tal manera que una operación de </w:t>
      </w:r>
      <w:proofErr w:type="spellStart"/>
      <w:r w:rsidRPr="00D2224F">
        <w:rPr>
          <w:i/>
          <w:color w:val="000000"/>
          <w:sz w:val="20"/>
          <w:szCs w:val="20"/>
        </w:rPr>
        <w:t>encripción</w:t>
      </w:r>
      <w:proofErr w:type="spellEnd"/>
      <w:r w:rsidRPr="00D2224F">
        <w:rPr>
          <w:i/>
          <w:color w:val="000000"/>
          <w:sz w:val="20"/>
          <w:szCs w:val="20"/>
        </w:rPr>
        <w:t xml:space="preserve"> sobre un mensaje tomando como clave de </w:t>
      </w:r>
      <w:proofErr w:type="spellStart"/>
      <w:r w:rsidRPr="00D2224F">
        <w:rPr>
          <w:i/>
          <w:color w:val="000000"/>
          <w:sz w:val="20"/>
          <w:szCs w:val="20"/>
        </w:rPr>
        <w:t>encripción</w:t>
      </w:r>
      <w:proofErr w:type="spellEnd"/>
      <w:r w:rsidRPr="00D2224F">
        <w:rPr>
          <w:i/>
          <w:color w:val="000000"/>
          <w:sz w:val="20"/>
          <w:szCs w:val="20"/>
        </w:rPr>
        <w:t xml:space="preserve"> a uno de los dos números, produce un mensaje alterado en su significado que solo puede ser devuelto a su estado original mediante la operación de </w:t>
      </w:r>
      <w:proofErr w:type="spellStart"/>
      <w:r w:rsidRPr="00D2224F">
        <w:rPr>
          <w:i/>
          <w:color w:val="000000"/>
          <w:sz w:val="20"/>
          <w:szCs w:val="20"/>
        </w:rPr>
        <w:t>desencripción</w:t>
      </w:r>
      <w:proofErr w:type="spellEnd"/>
      <w:r w:rsidRPr="00D2224F">
        <w:rPr>
          <w:i/>
          <w:color w:val="000000"/>
          <w:sz w:val="20"/>
          <w:szCs w:val="20"/>
        </w:rPr>
        <w:t xml:space="preserve"> correspondiente tomando como clave de </w:t>
      </w:r>
      <w:proofErr w:type="spellStart"/>
      <w:r w:rsidRPr="00D2224F">
        <w:rPr>
          <w:i/>
          <w:color w:val="000000"/>
          <w:sz w:val="20"/>
          <w:szCs w:val="20"/>
        </w:rPr>
        <w:t>desencripción</w:t>
      </w:r>
      <w:proofErr w:type="spellEnd"/>
      <w:r w:rsidRPr="00D2224F">
        <w:rPr>
          <w:i/>
          <w:color w:val="000000"/>
          <w:sz w:val="20"/>
          <w:szCs w:val="20"/>
        </w:rPr>
        <w:t xml:space="preserve"> al otro número de la pareja.</w:t>
      </w:r>
    </w:p>
    <w:p w:rsidR="00E0122B" w:rsidRPr="00D2224F" w:rsidRDefault="003153D4">
      <w:pPr>
        <w:spacing w:after="0" w:line="360" w:lineRule="auto"/>
        <w:ind w:left="567" w:right="539"/>
        <w:rPr>
          <w:i/>
          <w:color w:val="000000"/>
          <w:sz w:val="20"/>
          <w:szCs w:val="20"/>
        </w:rPr>
      </w:pPr>
      <w:r w:rsidRPr="00D2224F">
        <w:rPr>
          <w:i/>
          <w:color w:val="000000"/>
          <w:sz w:val="20"/>
          <w:szCs w:val="20"/>
        </w:rPr>
        <w:t>…”</w:t>
      </w:r>
    </w:p>
    <w:p w:rsidR="00E0122B" w:rsidRPr="00D2224F" w:rsidRDefault="003153D4">
      <w:pPr>
        <w:spacing w:after="0" w:line="360" w:lineRule="auto"/>
        <w:rPr>
          <w:color w:val="000000"/>
        </w:rPr>
      </w:pPr>
      <w:r w:rsidRPr="00D2224F">
        <w:rPr>
          <w:color w:val="000000"/>
        </w:rPr>
        <w:t> </w:t>
      </w:r>
    </w:p>
    <w:p w:rsidR="00E0122B" w:rsidRPr="00D2224F" w:rsidRDefault="003153D4">
      <w:pPr>
        <w:spacing w:after="0" w:line="360" w:lineRule="auto"/>
        <w:rPr>
          <w:color w:val="000000"/>
        </w:rPr>
      </w:pPr>
      <w:r w:rsidRPr="00D2224F">
        <w:rPr>
          <w:color w:val="000000"/>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rsidR="00E0122B" w:rsidRPr="00D2224F" w:rsidRDefault="00E0122B">
      <w:pPr>
        <w:spacing w:after="0" w:line="360" w:lineRule="auto"/>
        <w:rPr>
          <w:color w:val="000000"/>
        </w:rPr>
      </w:pPr>
    </w:p>
    <w:p w:rsidR="00E0122B" w:rsidRPr="00D2224F" w:rsidRDefault="003153D4">
      <w:pPr>
        <w:spacing w:after="0" w:line="360" w:lineRule="auto"/>
        <w:ind w:right="-28"/>
        <w:rPr>
          <w:color w:val="000000"/>
        </w:rPr>
      </w:pPr>
      <w:r w:rsidRPr="00D2224F">
        <w:rPr>
          <w:color w:val="000000"/>
        </w:rPr>
        <w:t>De tal circunstancia, el Sujeto Obligado al entregar la información, deberá tomar en cuenta lo establecido en párrafos anteriores, para que únicamente clasifique aquellos datos que sean confidenciales</w:t>
      </w:r>
      <w:r w:rsidRPr="00D2224F">
        <w:t>; p</w:t>
      </w:r>
      <w:r w:rsidRPr="00D2224F">
        <w:rPr>
          <w:color w:val="000000"/>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rsidR="00E0122B" w:rsidRPr="00D2224F" w:rsidRDefault="00E0122B">
      <w:pPr>
        <w:spacing w:after="0" w:line="360" w:lineRule="auto"/>
        <w:ind w:right="-28"/>
        <w:rPr>
          <w:color w:val="000000"/>
        </w:rPr>
      </w:pPr>
    </w:p>
    <w:p w:rsidR="00E0122B" w:rsidRPr="00D2224F" w:rsidRDefault="003153D4">
      <w:pPr>
        <w:spacing w:after="0" w:line="360" w:lineRule="auto"/>
      </w:pPr>
      <w:r w:rsidRPr="00D2224F">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E0122B" w:rsidRPr="00D2224F" w:rsidRDefault="00E0122B">
      <w:pPr>
        <w:spacing w:after="0" w:line="360" w:lineRule="auto"/>
      </w:pPr>
    </w:p>
    <w:p w:rsidR="00E0122B" w:rsidRPr="00D2224F" w:rsidRDefault="003153D4">
      <w:pPr>
        <w:spacing w:after="0" w:line="360" w:lineRule="auto"/>
      </w:pPr>
      <w:r w:rsidRPr="00D2224F">
        <w:t>Finalmente, no pasa desapercibido, que el ahora Recurrente, requirió que se diera vista al Órgano Interno de Control o Contraloría, a efecto de que se iniciara un procedimiento de responsabilidades en contra de los servidores públicos que atendieron la solicitud de información.</w:t>
      </w:r>
    </w:p>
    <w:p w:rsidR="00E0122B" w:rsidRPr="00D2224F" w:rsidRDefault="00E0122B">
      <w:pPr>
        <w:spacing w:after="0" w:line="360" w:lineRule="auto"/>
      </w:pPr>
    </w:p>
    <w:p w:rsidR="00E0122B" w:rsidRPr="00D2224F" w:rsidRDefault="003153D4">
      <w:pPr>
        <w:spacing w:after="0" w:line="360" w:lineRule="auto"/>
      </w:pPr>
      <w:r w:rsidRPr="00D2224F">
        <w:t>Al respecto, en el artículo 36, fracción X, de la Ley de Transparencia y Acceso a la Información Pública del Estado de México y Municipios, se establece que es atribución de este Instituto hacer del conocimiento del Órgano Interno de Control o equivalente de cada Sujeto Obligado las infracciones a esta Ley.</w:t>
      </w:r>
    </w:p>
    <w:p w:rsidR="00E0122B" w:rsidRPr="00D2224F" w:rsidRDefault="00E0122B">
      <w:pPr>
        <w:spacing w:after="0" w:line="360" w:lineRule="auto"/>
        <w:ind w:right="-93"/>
      </w:pPr>
    </w:p>
    <w:p w:rsidR="00E0122B" w:rsidRPr="00D2224F" w:rsidRDefault="003153D4">
      <w:pPr>
        <w:spacing w:after="0" w:line="360" w:lineRule="auto"/>
        <w:ind w:right="-93"/>
      </w:pPr>
      <w:r w:rsidRPr="00D2224F">
        <w:t>En ese sentido, de conformidad con lo previsto en el artículo 222, fracción III, de dicho ordenamiento, son causas de sanción por incumplimiento de las obligaciones establecida en la Ley de la materia, entre otras conductas, el actuar con negligencia, dolo o mala fe durante la sustanciación de la solicitud de información.</w:t>
      </w:r>
    </w:p>
    <w:p w:rsidR="00E0122B" w:rsidRPr="00D2224F" w:rsidRDefault="00E0122B">
      <w:pPr>
        <w:spacing w:after="0" w:line="360" w:lineRule="auto"/>
        <w:ind w:right="-93"/>
      </w:pPr>
    </w:p>
    <w:p w:rsidR="00E0122B" w:rsidRPr="00D2224F" w:rsidRDefault="003153D4">
      <w:pPr>
        <w:spacing w:after="0" w:line="360" w:lineRule="auto"/>
        <w:ind w:right="-93"/>
      </w:pPr>
      <w:r w:rsidRPr="00D2224F">
        <w:t>Por su parte, el artículo 223 de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w:t>
      </w:r>
    </w:p>
    <w:p w:rsidR="00E0122B" w:rsidRPr="00D2224F" w:rsidRDefault="00E0122B">
      <w:pPr>
        <w:spacing w:after="0" w:line="360" w:lineRule="auto"/>
        <w:ind w:right="-93"/>
      </w:pPr>
    </w:p>
    <w:p w:rsidR="00E0122B" w:rsidRPr="00D2224F" w:rsidRDefault="003153D4">
      <w:pPr>
        <w:spacing w:after="0" w:line="360" w:lineRule="auto"/>
      </w:pPr>
      <w:r w:rsidRPr="00D2224F">
        <w:t xml:space="preserve">En el presente caso, este Instituto no cuenta con elementos necesarios para indicar que el actuar del Sujeto Obligado actuó con negligencia, dolo o mala fe, pues se </w:t>
      </w:r>
      <w:proofErr w:type="spellStart"/>
      <w:r w:rsidRPr="00D2224F">
        <w:t>turno</w:t>
      </w:r>
      <w:proofErr w:type="spellEnd"/>
      <w:r w:rsidRPr="00D2224F">
        <w:t xml:space="preserve"> la solicitud a la unidad </w:t>
      </w:r>
      <w:r w:rsidRPr="00D2224F">
        <w:lastRenderedPageBreak/>
        <w:t>administrativa competente y esta emitió su respuesta; por lo que, no resulta procedente dar vista a la Contraloría en el presente asunto. Sin embargo, se dejan a salvo los derechos del Particular, para que dé así requerirlo, presente la queja o denuncia, ante Contraloría Municipal del Ayuntamiento.</w:t>
      </w:r>
    </w:p>
    <w:p w:rsidR="00E0122B" w:rsidRPr="00D2224F" w:rsidRDefault="00E0122B">
      <w:pPr>
        <w:tabs>
          <w:tab w:val="left" w:pos="4962"/>
        </w:tabs>
        <w:spacing w:after="0" w:line="360" w:lineRule="auto"/>
        <w:rPr>
          <w:color w:val="000000"/>
        </w:rPr>
      </w:pPr>
    </w:p>
    <w:p w:rsidR="00E0122B" w:rsidRPr="00D2224F" w:rsidRDefault="003153D4">
      <w:pPr>
        <w:pStyle w:val="Ttulo2"/>
        <w:spacing w:before="0" w:after="0"/>
      </w:pPr>
      <w:bookmarkStart w:id="15" w:name="_Toc196402528"/>
      <w:r w:rsidRPr="00D2224F">
        <w:t>SEXTO. Decisión</w:t>
      </w:r>
      <w:bookmarkEnd w:id="15"/>
    </w:p>
    <w:p w:rsidR="00E0122B" w:rsidRPr="00D2224F" w:rsidRDefault="00E0122B">
      <w:pPr>
        <w:spacing w:after="0" w:line="360" w:lineRule="auto"/>
        <w:rPr>
          <w:b/>
        </w:rPr>
      </w:pPr>
    </w:p>
    <w:p w:rsidR="00E0122B" w:rsidRPr="00D2224F" w:rsidRDefault="003153D4">
      <w:pPr>
        <w:spacing w:after="0" w:line="360" w:lineRule="auto"/>
      </w:pPr>
      <w:r w:rsidRPr="00D2224F">
        <w:t xml:space="preserve">De acuerdo con lo expuesto y, con fundamento en el artículo 186, fracción III, de la Ley de Transparencia y Acceso a la Información Pública del Estado de México y Municipios, este Instituto considera procedente </w:t>
      </w:r>
      <w:r w:rsidRPr="00D2224F">
        <w:rPr>
          <w:b/>
        </w:rPr>
        <w:t xml:space="preserve">REVOCAR </w:t>
      </w:r>
      <w:r w:rsidRPr="00D2224F">
        <w:t>la respuesta del Ayuntamiento de Toluca</w:t>
      </w:r>
      <w:r w:rsidRPr="00D2224F">
        <w:rPr>
          <w:b/>
        </w:rPr>
        <w:t xml:space="preserve">, </w:t>
      </w:r>
      <w:r w:rsidRPr="00D2224F">
        <w:t>a efecto de que previa búsqueda exhaustiva y razonable entregue, en versión pública, la información solicitada.</w:t>
      </w:r>
    </w:p>
    <w:p w:rsidR="00E0122B" w:rsidRPr="00D2224F" w:rsidRDefault="00E0122B">
      <w:pPr>
        <w:spacing w:after="0" w:line="360" w:lineRule="auto"/>
        <w:rPr>
          <w:color w:val="000000"/>
        </w:rPr>
      </w:pPr>
    </w:p>
    <w:p w:rsidR="00E0122B" w:rsidRPr="00D2224F" w:rsidRDefault="003153D4">
      <w:pPr>
        <w:spacing w:after="0" w:line="360" w:lineRule="auto"/>
        <w:rPr>
          <w:b/>
        </w:rPr>
      </w:pPr>
      <w:r w:rsidRPr="00D2224F">
        <w:rPr>
          <w:b/>
        </w:rPr>
        <w:t>Términos de la Resolución para conocimiento del Particular</w:t>
      </w:r>
    </w:p>
    <w:p w:rsidR="00E0122B" w:rsidRPr="00D2224F" w:rsidRDefault="00E0122B">
      <w:pPr>
        <w:spacing w:after="0" w:line="360" w:lineRule="auto"/>
        <w:rPr>
          <w:b/>
        </w:rPr>
      </w:pPr>
    </w:p>
    <w:p w:rsidR="00E0122B" w:rsidRPr="00D2224F" w:rsidRDefault="003153D4">
      <w:pPr>
        <w:spacing w:after="0" w:line="360" w:lineRule="auto"/>
      </w:pPr>
      <w:r w:rsidRPr="00D2224F">
        <w:t>Se le hace del conocimiento a la persona Recurrente que, en el presente asunto, se le da la razón, pues el Sujeto Obligado, omitió entregar la información y la respuesta entregada no fue clara para determinar si la información obraba o no en sus archivos, por lo que, deberá realizar una búsqueda y entregarla.</w:t>
      </w:r>
    </w:p>
    <w:p w:rsidR="00E0122B" w:rsidRPr="00D2224F" w:rsidRDefault="00E0122B">
      <w:pPr>
        <w:spacing w:after="0" w:line="360" w:lineRule="auto"/>
      </w:pPr>
    </w:p>
    <w:p w:rsidR="00E0122B" w:rsidRPr="00D2224F" w:rsidRDefault="003153D4">
      <w:pPr>
        <w:spacing w:after="0" w:line="360" w:lineRule="auto"/>
      </w:pPr>
      <w:r w:rsidRPr="00D2224F">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Por lo expuesto y fundado, este Pleno:</w:t>
      </w:r>
    </w:p>
    <w:p w:rsidR="00E0122B" w:rsidRPr="00D2224F" w:rsidRDefault="003153D4">
      <w:pPr>
        <w:pStyle w:val="Ttulo1"/>
      </w:pPr>
      <w:bookmarkStart w:id="16" w:name="_Toc196402529"/>
      <w:r w:rsidRPr="00D2224F">
        <w:lastRenderedPageBreak/>
        <w:t>R E S U E L V E</w:t>
      </w:r>
      <w:bookmarkEnd w:id="16"/>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b/>
          <w:color w:val="000000"/>
        </w:rPr>
        <w:t>PRIMERO</w:t>
      </w:r>
      <w:r w:rsidRPr="00D2224F">
        <w:rPr>
          <w:color w:val="000000"/>
        </w:rPr>
        <w:t xml:space="preserve">. Se </w:t>
      </w:r>
      <w:r w:rsidRPr="00D2224F">
        <w:rPr>
          <w:b/>
          <w:color w:val="000000"/>
        </w:rPr>
        <w:t>REVOCA</w:t>
      </w:r>
      <w:r w:rsidRPr="00D2224F">
        <w:rPr>
          <w:color w:val="000000"/>
        </w:rPr>
        <w:t xml:space="preserve"> la respuesta a las solicitudes de información pública 00855/TOLUCA/IP/2025 y 00856/TOLUCA/IP/2025, por resultar </w:t>
      </w:r>
      <w:r w:rsidRPr="00D2224F">
        <w:rPr>
          <w:b/>
          <w:color w:val="000000"/>
        </w:rPr>
        <w:t>FUNDADAS</w:t>
      </w:r>
      <w:r w:rsidRPr="00D2224F">
        <w:rPr>
          <w:color w:val="000000"/>
        </w:rPr>
        <w:t xml:space="preserve"> las razones o motivos de inconformidad hechos valer por el Recurrente</w:t>
      </w:r>
      <w:r w:rsidRPr="00D2224F">
        <w:rPr>
          <w:b/>
          <w:color w:val="000000"/>
        </w:rPr>
        <w:t>,</w:t>
      </w:r>
      <w:r w:rsidRPr="00D2224F">
        <w:rPr>
          <w:color w:val="000000"/>
        </w:rPr>
        <w:t xml:space="preserve"> en términos de los Considerandos QUINTO y SEXTO de esta Resolución.</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b/>
          <w:color w:val="000000"/>
        </w:rPr>
        <w:t xml:space="preserve">SEGUNDO. </w:t>
      </w:r>
      <w:r w:rsidRPr="00D2224F">
        <w:rPr>
          <w:color w:val="000000"/>
        </w:rPr>
        <w:t xml:space="preserve">Se </w:t>
      </w:r>
      <w:r w:rsidRPr="00D2224F">
        <w:rPr>
          <w:b/>
          <w:color w:val="000000"/>
        </w:rPr>
        <w:t>ORDENA</w:t>
      </w:r>
      <w:r w:rsidRPr="00D2224F">
        <w:rPr>
          <w:color w:val="000000"/>
        </w:rPr>
        <w:t xml:space="preserve"> al Ayuntamiento de Toluca, a efecto de que previa búsqueda y exhaustiva y razonable en los archivos de las unidades administrativas competentes, entregue a través, del Sistema de Acceso a la Información Mexiquense (SAIMEX), en versión pública, lo siguiente:</w:t>
      </w:r>
    </w:p>
    <w:p w:rsidR="00E0122B" w:rsidRPr="00D2224F" w:rsidRDefault="00E0122B">
      <w:pPr>
        <w:spacing w:after="0" w:line="360" w:lineRule="auto"/>
        <w:rPr>
          <w:color w:val="000000"/>
        </w:rPr>
      </w:pPr>
    </w:p>
    <w:p w:rsidR="00E0122B" w:rsidRPr="00D2224F" w:rsidRDefault="003153D4">
      <w:pPr>
        <w:numPr>
          <w:ilvl w:val="0"/>
          <w:numId w:val="1"/>
        </w:numPr>
        <w:spacing w:after="0" w:line="360" w:lineRule="auto"/>
        <w:rPr>
          <w:color w:val="000000"/>
        </w:rPr>
      </w:pPr>
      <w:r w:rsidRPr="00D2224F">
        <w:rPr>
          <w:color w:val="000000"/>
        </w:rPr>
        <w:t>Los recibos de nómina de la primera y segunda quincena de enero de dos mil veinticinco, de los integrantes del Cabildo.</w:t>
      </w:r>
    </w:p>
    <w:p w:rsidR="00E0122B" w:rsidRPr="00D2224F" w:rsidRDefault="00E0122B">
      <w:pPr>
        <w:spacing w:after="0" w:line="360" w:lineRule="auto"/>
        <w:jc w:val="left"/>
        <w:rPr>
          <w:color w:val="000000"/>
        </w:rPr>
      </w:pPr>
    </w:p>
    <w:p w:rsidR="00E0122B" w:rsidRPr="00D2224F" w:rsidRDefault="003153D4">
      <w:pPr>
        <w:spacing w:after="0" w:line="360" w:lineRule="auto"/>
      </w:pPr>
      <w:r w:rsidRPr="00D2224F">
        <w:t>Además, deberá proporcionar el Acuerdo de Clasificación donde el Comité de Transparencia, confirme la eliminación de los datos o información clasificada, en términos del Considerando QUINTO, en la versión pública, de conformidad con los artículos 49, fracciones II y VIII y 132, fracción II de la Ley de Transparencia y Acceso a la Información Pública del Estado de México y Municipios.</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b/>
          <w:color w:val="000000"/>
        </w:rPr>
        <w:t>TERCERO. NOTIFÍQUESE</w:t>
      </w:r>
      <w:r w:rsidRPr="00D2224F">
        <w:rPr>
          <w:color w:val="000000"/>
        </w:rPr>
        <w:t xml:space="preserve">  </w:t>
      </w:r>
      <w:r w:rsidRPr="00D2224F">
        <w:rPr>
          <w:b/>
          <w:color w:val="000000"/>
        </w:rPr>
        <w:t>VÍA SAIMEX</w:t>
      </w:r>
      <w:r w:rsidRPr="00D2224F">
        <w:rPr>
          <w:color w:val="000000"/>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w:t>
      </w:r>
      <w:r w:rsidRPr="00D2224F">
        <w:rPr>
          <w:color w:val="000000"/>
        </w:rPr>
        <w:lastRenderedPageBreak/>
        <w:t>a la presente, se le apercibe que en caso de negarse a cumplir la presente resolución o hacerlo de manera parcial, se le impondrá una medida de apremio de conformidad con lo previsto en los artículos 198, 200, fracción III, 214, 215 y 216 de la Ley referida.</w:t>
      </w:r>
    </w:p>
    <w:p w:rsidR="00E0122B" w:rsidRPr="00D2224F" w:rsidRDefault="00E0122B">
      <w:pPr>
        <w:spacing w:after="0" w:line="360" w:lineRule="auto"/>
        <w:rPr>
          <w:color w:val="000000"/>
        </w:rPr>
      </w:pPr>
    </w:p>
    <w:p w:rsidR="00E0122B" w:rsidRPr="00D2224F" w:rsidRDefault="003153D4">
      <w:pPr>
        <w:spacing w:after="0" w:line="360" w:lineRule="auto"/>
        <w:rPr>
          <w:color w:val="000000"/>
        </w:rPr>
      </w:pPr>
      <w:r w:rsidRPr="00D2224F">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E0122B" w:rsidRPr="00D2224F" w:rsidRDefault="00E0122B">
      <w:pPr>
        <w:spacing w:after="0" w:line="360" w:lineRule="auto"/>
        <w:rPr>
          <w:color w:val="000000"/>
        </w:rPr>
      </w:pPr>
    </w:p>
    <w:p w:rsidR="00E0122B" w:rsidRPr="00D2224F" w:rsidRDefault="003153D4">
      <w:pPr>
        <w:spacing w:after="0" w:line="360" w:lineRule="auto"/>
      </w:pPr>
      <w:r w:rsidRPr="00D2224F">
        <w:rPr>
          <w:b/>
        </w:rPr>
        <w:t>CUARTO. NOTIFÍQUESE</w:t>
      </w:r>
      <w:r w:rsidRPr="00D2224F">
        <w:t xml:space="preserve"> </w:t>
      </w:r>
      <w:r w:rsidRPr="00D2224F">
        <w:rPr>
          <w:b/>
        </w:rPr>
        <w:t>VÍA SAIMEX</w:t>
      </w:r>
      <w:r w:rsidRPr="00D2224F">
        <w:t xml:space="preserve"> al Recurrente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E0122B" w:rsidRPr="00D2224F" w:rsidRDefault="00E0122B">
      <w:pPr>
        <w:spacing w:after="0" w:line="360" w:lineRule="auto"/>
      </w:pPr>
    </w:p>
    <w:p w:rsidR="00E0122B" w:rsidRDefault="003153D4">
      <w:pPr>
        <w:spacing w:after="0" w:line="360" w:lineRule="auto"/>
        <w:rPr>
          <w:color w:val="000000"/>
        </w:rPr>
      </w:pPr>
      <w:r w:rsidRPr="00D2224F">
        <w:rPr>
          <w:color w:val="000000"/>
        </w:rPr>
        <w:t xml:space="preserve">ASÍ LO RESUELVE, POR </w:t>
      </w:r>
      <w:r w:rsidRPr="00EF43C2">
        <w:rPr>
          <w:b/>
          <w:color w:val="000000"/>
        </w:rPr>
        <w:t>UNANIMIDAD</w:t>
      </w:r>
      <w:r w:rsidRPr="00D2224F">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w:t>
      </w:r>
      <w:r w:rsidRPr="00D2224F">
        <w:t>VEINTITRÉS</w:t>
      </w:r>
      <w:r w:rsidRPr="00D2224F">
        <w:rPr>
          <w:color w:val="000000"/>
        </w:rPr>
        <w:t xml:space="preserve"> DE ABRIL DE DOS MIL VEINTICINCO, ANTE EL SECRETARIO TÉCNICO DEL PLENO, ALEXIS TAPIA RAMÍREZ.</w:t>
      </w: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spacing w:after="0" w:line="360" w:lineRule="auto"/>
        <w:rPr>
          <w:color w:val="000000"/>
        </w:rPr>
      </w:pPr>
    </w:p>
    <w:p w:rsidR="00E0122B" w:rsidRDefault="00E0122B">
      <w:pPr>
        <w:widowControl w:val="0"/>
        <w:spacing w:after="0" w:line="360" w:lineRule="auto"/>
        <w:rPr>
          <w:color w:val="000000"/>
        </w:rPr>
      </w:pPr>
    </w:p>
    <w:sectPr w:rsidR="00E0122B">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4D" w:rsidRDefault="00B2124D">
      <w:pPr>
        <w:spacing w:after="0" w:line="240" w:lineRule="auto"/>
      </w:pPr>
      <w:r>
        <w:separator/>
      </w:r>
    </w:p>
  </w:endnote>
  <w:endnote w:type="continuationSeparator" w:id="0">
    <w:p w:rsidR="00B2124D" w:rsidRDefault="00B2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2B" w:rsidRDefault="003153D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187C">
      <w:rPr>
        <w:b/>
        <w:noProof/>
        <w:color w:val="000000"/>
        <w:sz w:val="24"/>
        <w:szCs w:val="24"/>
      </w:rPr>
      <w:t>32</w:t>
    </w:r>
    <w:r>
      <w:rPr>
        <w:b/>
        <w:color w:val="000000"/>
        <w:sz w:val="24"/>
        <w:szCs w:val="24"/>
      </w:rPr>
      <w:fldChar w:fldCharType="end"/>
    </w:r>
  </w:p>
  <w:p w:rsidR="00E0122B" w:rsidRDefault="00E0122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2B" w:rsidRDefault="003153D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3DA4">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3DA4">
      <w:rPr>
        <w:b/>
        <w:noProof/>
        <w:color w:val="000000"/>
        <w:sz w:val="24"/>
        <w:szCs w:val="24"/>
      </w:rPr>
      <w:t>32</w:t>
    </w:r>
    <w:r>
      <w:rPr>
        <w:b/>
        <w:color w:val="000000"/>
        <w:sz w:val="24"/>
        <w:szCs w:val="24"/>
      </w:rPr>
      <w:fldChar w:fldCharType="end"/>
    </w:r>
  </w:p>
  <w:p w:rsidR="00E0122B" w:rsidRDefault="00E0122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2B" w:rsidRDefault="003153D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43DA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43DA4">
      <w:rPr>
        <w:b/>
        <w:noProof/>
        <w:color w:val="000000"/>
        <w:sz w:val="24"/>
        <w:szCs w:val="24"/>
      </w:rPr>
      <w:t>32</w:t>
    </w:r>
    <w:r>
      <w:rPr>
        <w:b/>
        <w:color w:val="000000"/>
        <w:sz w:val="24"/>
        <w:szCs w:val="24"/>
      </w:rPr>
      <w:fldChar w:fldCharType="end"/>
    </w:r>
  </w:p>
  <w:p w:rsidR="00E0122B" w:rsidRDefault="00E0122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4D" w:rsidRDefault="00B2124D">
      <w:pPr>
        <w:spacing w:after="0" w:line="240" w:lineRule="auto"/>
      </w:pPr>
      <w:r>
        <w:separator/>
      </w:r>
    </w:p>
  </w:footnote>
  <w:footnote w:type="continuationSeparator" w:id="0">
    <w:p w:rsidR="00B2124D" w:rsidRDefault="00B21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2B" w:rsidRDefault="00E0122B">
    <w:pPr>
      <w:widowControl w:val="0"/>
      <w:pBdr>
        <w:top w:val="nil"/>
        <w:left w:val="nil"/>
        <w:bottom w:val="nil"/>
        <w:right w:val="nil"/>
        <w:between w:val="nil"/>
      </w:pBdr>
      <w:spacing w:after="0" w:line="276" w:lineRule="auto"/>
      <w:jc w:val="left"/>
      <w:rPr>
        <w:color w:val="000000"/>
      </w:rPr>
    </w:pPr>
  </w:p>
  <w:tbl>
    <w:tblPr>
      <w:tblStyle w:val="a5"/>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E0122B">
      <w:trPr>
        <w:trHeight w:val="141"/>
      </w:trPr>
      <w:tc>
        <w:tcPr>
          <w:tcW w:w="0" w:type="auto"/>
        </w:tcPr>
        <w:p w:rsidR="00E0122B" w:rsidRDefault="003153D4">
          <w:pPr>
            <w:tabs>
              <w:tab w:val="right" w:pos="8838"/>
            </w:tabs>
            <w:ind w:right="-105"/>
            <w:rPr>
              <w:b/>
            </w:rPr>
          </w:pPr>
          <w:r>
            <w:rPr>
              <w:b/>
            </w:rPr>
            <w:t>Recurso de Revisión:</w:t>
          </w:r>
        </w:p>
      </w:tc>
      <w:tc>
        <w:tcPr>
          <w:tcW w:w="0" w:type="auto"/>
        </w:tcPr>
        <w:p w:rsidR="00E0122B" w:rsidRDefault="003153D4">
          <w:pPr>
            <w:tabs>
              <w:tab w:val="right" w:pos="8838"/>
            </w:tabs>
            <w:ind w:left="-28" w:right="683"/>
          </w:pPr>
          <w:r>
            <w:t>04196/INFOEM/IP/RR/2020</w:t>
          </w:r>
        </w:p>
      </w:tc>
    </w:tr>
    <w:tr w:rsidR="00E0122B">
      <w:trPr>
        <w:trHeight w:val="276"/>
      </w:trPr>
      <w:tc>
        <w:tcPr>
          <w:tcW w:w="0" w:type="auto"/>
        </w:tcPr>
        <w:p w:rsidR="00E0122B" w:rsidRDefault="003153D4">
          <w:pPr>
            <w:tabs>
              <w:tab w:val="right" w:pos="8838"/>
            </w:tabs>
            <w:ind w:right="-105"/>
            <w:rPr>
              <w:b/>
            </w:rPr>
          </w:pPr>
          <w:r>
            <w:rPr>
              <w:b/>
            </w:rPr>
            <w:t>Sujeto Obligado:</w:t>
          </w:r>
        </w:p>
      </w:tc>
      <w:tc>
        <w:tcPr>
          <w:tcW w:w="0" w:type="auto"/>
        </w:tcPr>
        <w:p w:rsidR="00E0122B" w:rsidRDefault="003153D4">
          <w:pPr>
            <w:tabs>
              <w:tab w:val="right" w:pos="8838"/>
            </w:tabs>
            <w:ind w:right="116"/>
          </w:pPr>
          <w:r>
            <w:t>Ayuntamiento de Chapultepec</w:t>
          </w:r>
        </w:p>
      </w:tc>
    </w:tr>
    <w:tr w:rsidR="00E0122B">
      <w:trPr>
        <w:trHeight w:val="276"/>
      </w:trPr>
      <w:tc>
        <w:tcPr>
          <w:tcW w:w="0" w:type="auto"/>
        </w:tcPr>
        <w:p w:rsidR="00E0122B" w:rsidRDefault="003153D4">
          <w:pPr>
            <w:tabs>
              <w:tab w:val="right" w:pos="8838"/>
            </w:tabs>
            <w:ind w:right="-105"/>
            <w:rPr>
              <w:b/>
            </w:rPr>
          </w:pPr>
          <w:r>
            <w:rPr>
              <w:b/>
            </w:rPr>
            <w:t>Comisionado Ponente:</w:t>
          </w:r>
        </w:p>
      </w:tc>
      <w:tc>
        <w:tcPr>
          <w:tcW w:w="0" w:type="auto"/>
        </w:tcPr>
        <w:p w:rsidR="00E0122B" w:rsidRDefault="003153D4">
          <w:pPr>
            <w:tabs>
              <w:tab w:val="right" w:pos="8838"/>
            </w:tabs>
            <w:ind w:right="-32"/>
          </w:pPr>
          <w:r>
            <w:t>Luis Gustavo Parra Noriega</w:t>
          </w:r>
        </w:p>
      </w:tc>
    </w:tr>
  </w:tbl>
  <w:p w:rsidR="00E0122B" w:rsidRDefault="00B2124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2B" w:rsidRDefault="00E0122B">
    <w:pPr>
      <w:rPr>
        <w:sz w:val="16"/>
        <w:szCs w:val="16"/>
      </w:rPr>
    </w:pPr>
  </w:p>
  <w:tbl>
    <w:tblPr>
      <w:tblStyle w:val="a6"/>
      <w:tblW w:w="7088"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E0122B">
      <w:trPr>
        <w:trHeight w:val="141"/>
      </w:trPr>
      <w:tc>
        <w:tcPr>
          <w:tcW w:w="2404" w:type="dxa"/>
        </w:tcPr>
        <w:p w:rsidR="00E0122B" w:rsidRDefault="003153D4">
          <w:pPr>
            <w:tabs>
              <w:tab w:val="right" w:pos="8838"/>
            </w:tabs>
            <w:ind w:left="-395" w:right="-105" w:firstLine="395"/>
            <w:rPr>
              <w:b/>
            </w:rPr>
          </w:pPr>
          <w:r>
            <w:rPr>
              <w:b/>
            </w:rPr>
            <w:t>Recurso de Revisión:</w:t>
          </w:r>
        </w:p>
      </w:tc>
      <w:tc>
        <w:tcPr>
          <w:tcW w:w="4684" w:type="dxa"/>
        </w:tcPr>
        <w:p w:rsidR="00E0122B" w:rsidRDefault="003153D4">
          <w:pPr>
            <w:tabs>
              <w:tab w:val="right" w:pos="8838"/>
            </w:tabs>
            <w:ind w:left="-28" w:right="454"/>
          </w:pPr>
          <w:r>
            <w:t>02746/INFOEM/IP/RR/2025 y acumulado</w:t>
          </w:r>
        </w:p>
      </w:tc>
    </w:tr>
    <w:tr w:rsidR="00E0122B">
      <w:trPr>
        <w:trHeight w:val="276"/>
      </w:trPr>
      <w:tc>
        <w:tcPr>
          <w:tcW w:w="2404" w:type="dxa"/>
        </w:tcPr>
        <w:p w:rsidR="00E0122B" w:rsidRDefault="003153D4">
          <w:pPr>
            <w:tabs>
              <w:tab w:val="right" w:pos="8838"/>
            </w:tabs>
            <w:ind w:right="-105"/>
            <w:rPr>
              <w:b/>
            </w:rPr>
          </w:pPr>
          <w:r>
            <w:rPr>
              <w:b/>
            </w:rPr>
            <w:t>Sujeto Obligado:</w:t>
          </w:r>
        </w:p>
      </w:tc>
      <w:tc>
        <w:tcPr>
          <w:tcW w:w="4684" w:type="dxa"/>
        </w:tcPr>
        <w:p w:rsidR="00E0122B" w:rsidRDefault="003153D4">
          <w:pPr>
            <w:tabs>
              <w:tab w:val="left" w:pos="3158"/>
              <w:tab w:val="left" w:pos="4292"/>
              <w:tab w:val="right" w:pos="8838"/>
            </w:tabs>
            <w:ind w:right="601"/>
          </w:pPr>
          <w:r>
            <w:t>Ayuntamiento de Toluca</w:t>
          </w:r>
        </w:p>
      </w:tc>
    </w:tr>
    <w:tr w:rsidR="00E0122B">
      <w:trPr>
        <w:trHeight w:val="276"/>
      </w:trPr>
      <w:tc>
        <w:tcPr>
          <w:tcW w:w="2404" w:type="dxa"/>
        </w:tcPr>
        <w:p w:rsidR="00E0122B" w:rsidRDefault="003153D4">
          <w:pPr>
            <w:tabs>
              <w:tab w:val="right" w:pos="8838"/>
            </w:tabs>
            <w:ind w:right="-105"/>
            <w:rPr>
              <w:b/>
            </w:rPr>
          </w:pPr>
          <w:r>
            <w:rPr>
              <w:b/>
            </w:rPr>
            <w:t>Comisionado Ponente:</w:t>
          </w:r>
        </w:p>
      </w:tc>
      <w:tc>
        <w:tcPr>
          <w:tcW w:w="4684" w:type="dxa"/>
        </w:tcPr>
        <w:p w:rsidR="00E0122B" w:rsidRDefault="003153D4">
          <w:pPr>
            <w:tabs>
              <w:tab w:val="right" w:pos="8838"/>
            </w:tabs>
            <w:ind w:right="454"/>
          </w:pPr>
          <w:r>
            <w:t>Luis Gustavo Parra Noriega</w:t>
          </w:r>
        </w:p>
        <w:p w:rsidR="00E0122B" w:rsidRDefault="00E0122B">
          <w:pPr>
            <w:tabs>
              <w:tab w:val="right" w:pos="8838"/>
            </w:tabs>
            <w:ind w:right="454"/>
          </w:pPr>
        </w:p>
      </w:tc>
    </w:tr>
  </w:tbl>
  <w:p w:rsidR="00E0122B" w:rsidRDefault="00B2124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2B" w:rsidRDefault="00B2124D">
    <w:pPr>
      <w:widowControl w:val="0"/>
      <w:pBdr>
        <w:top w:val="nil"/>
        <w:left w:val="nil"/>
        <w:bottom w:val="nil"/>
        <w:right w:val="nil"/>
        <w:between w:val="nil"/>
      </w:pBdr>
      <w:spacing w:after="0" w:line="276" w:lineRule="auto"/>
      <w:jc w:val="lef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4.65pt;width:663.5pt;height:12in;z-index:-251658752;mso-position-horizontal-relative:margin;mso-position-vertical-relative:margin">
          <v:imagedata r:id="rId1" o:title="image1"/>
          <w10:wrap anchorx="margin" anchory="margin"/>
        </v:shape>
      </w:pict>
    </w:r>
  </w:p>
  <w:tbl>
    <w:tblPr>
      <w:tblStyle w:val="a7"/>
      <w:tblW w:w="9214" w:type="dxa"/>
      <w:tblInd w:w="0" w:type="dxa"/>
      <w:tblLayout w:type="fixed"/>
      <w:tblLook w:val="0400" w:firstRow="0" w:lastRow="0" w:firstColumn="0" w:lastColumn="0" w:noHBand="0" w:noVBand="1"/>
    </w:tblPr>
    <w:tblGrid>
      <w:gridCol w:w="2127"/>
      <w:gridCol w:w="7087"/>
    </w:tblGrid>
    <w:tr w:rsidR="00E0122B">
      <w:trPr>
        <w:trHeight w:val="1546"/>
      </w:trPr>
      <w:tc>
        <w:tcPr>
          <w:tcW w:w="2127" w:type="dxa"/>
          <w:shd w:val="clear" w:color="auto" w:fill="auto"/>
        </w:tcPr>
        <w:p w:rsidR="00E0122B" w:rsidRDefault="00E0122B">
          <w:pPr>
            <w:tabs>
              <w:tab w:val="right" w:pos="4273"/>
            </w:tabs>
            <w:rPr>
              <w:rFonts w:ascii="Garamond" w:eastAsia="Garamond" w:hAnsi="Garamond" w:cs="Garamond"/>
              <w:sz w:val="16"/>
              <w:szCs w:val="16"/>
            </w:rPr>
          </w:pPr>
        </w:p>
      </w:tc>
      <w:tc>
        <w:tcPr>
          <w:tcW w:w="7087" w:type="dxa"/>
          <w:shd w:val="clear" w:color="auto" w:fill="auto"/>
        </w:tcPr>
        <w:p w:rsidR="00E0122B" w:rsidRDefault="00E0122B">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8"/>
            <w:tblW w:w="6662" w:type="dxa"/>
            <w:tblInd w:w="452" w:type="dxa"/>
            <w:tblBorders>
              <w:top w:val="nil"/>
              <w:left w:val="nil"/>
              <w:bottom w:val="nil"/>
              <w:right w:val="nil"/>
              <w:insideH w:val="nil"/>
              <w:insideV w:val="nil"/>
            </w:tblBorders>
            <w:tblLayout w:type="fixed"/>
            <w:tblLook w:val="0400" w:firstRow="0" w:lastRow="0" w:firstColumn="0" w:lastColumn="0" w:noHBand="0" w:noVBand="1"/>
          </w:tblPr>
          <w:tblGrid>
            <w:gridCol w:w="2404"/>
            <w:gridCol w:w="4258"/>
          </w:tblGrid>
          <w:tr w:rsidR="00E0122B">
            <w:trPr>
              <w:trHeight w:val="141"/>
            </w:trPr>
            <w:tc>
              <w:tcPr>
                <w:tcW w:w="2404" w:type="dxa"/>
                <w:vAlign w:val="bottom"/>
              </w:tcPr>
              <w:p w:rsidR="00E0122B" w:rsidRDefault="003153D4">
                <w:pPr>
                  <w:tabs>
                    <w:tab w:val="right" w:pos="8838"/>
                  </w:tabs>
                  <w:ind w:right="-105"/>
                  <w:rPr>
                    <w:b/>
                  </w:rPr>
                </w:pPr>
                <w:r>
                  <w:rPr>
                    <w:b/>
                  </w:rPr>
                  <w:t>Recurso de Revisión:</w:t>
                </w:r>
              </w:p>
            </w:tc>
            <w:tc>
              <w:tcPr>
                <w:tcW w:w="4258" w:type="dxa"/>
              </w:tcPr>
              <w:p w:rsidR="00E0122B" w:rsidRDefault="003153D4">
                <w:pPr>
                  <w:tabs>
                    <w:tab w:val="right" w:pos="8838"/>
                  </w:tabs>
                  <w:ind w:left="-28" w:right="-107"/>
                </w:pPr>
                <w:r>
                  <w:t>02746/INFOEM/IP/RR/2025 y acumulado</w:t>
                </w:r>
              </w:p>
            </w:tc>
          </w:tr>
          <w:tr w:rsidR="00E0122B">
            <w:trPr>
              <w:trHeight w:val="141"/>
            </w:trPr>
            <w:tc>
              <w:tcPr>
                <w:tcW w:w="2404" w:type="dxa"/>
              </w:tcPr>
              <w:p w:rsidR="00E0122B" w:rsidRDefault="003153D4">
                <w:pPr>
                  <w:tabs>
                    <w:tab w:val="right" w:pos="8838"/>
                  </w:tabs>
                  <w:ind w:right="-105"/>
                  <w:rPr>
                    <w:b/>
                  </w:rPr>
                </w:pPr>
                <w:r>
                  <w:rPr>
                    <w:b/>
                  </w:rPr>
                  <w:t>Recurrente:</w:t>
                </w:r>
              </w:p>
            </w:tc>
            <w:tc>
              <w:tcPr>
                <w:tcW w:w="4258" w:type="dxa"/>
              </w:tcPr>
              <w:p w:rsidR="00E0122B" w:rsidRDefault="00E43DA4">
                <w:pPr>
                  <w:tabs>
                    <w:tab w:val="right" w:pos="8838"/>
                  </w:tabs>
                  <w:ind w:right="-107"/>
                </w:pPr>
                <w:r w:rsidRPr="00E43DA4">
                  <w:rPr>
                    <w:highlight w:val="black"/>
                  </w:rPr>
                  <w:t>XXXXXXXX</w:t>
                </w:r>
              </w:p>
            </w:tc>
          </w:tr>
          <w:tr w:rsidR="00E0122B">
            <w:trPr>
              <w:trHeight w:val="276"/>
            </w:trPr>
            <w:tc>
              <w:tcPr>
                <w:tcW w:w="2404" w:type="dxa"/>
              </w:tcPr>
              <w:p w:rsidR="00E0122B" w:rsidRDefault="003153D4">
                <w:pPr>
                  <w:tabs>
                    <w:tab w:val="right" w:pos="8838"/>
                  </w:tabs>
                  <w:ind w:right="-105"/>
                  <w:rPr>
                    <w:b/>
                  </w:rPr>
                </w:pPr>
                <w:r>
                  <w:rPr>
                    <w:b/>
                  </w:rPr>
                  <w:t>Sujeto Obligado:</w:t>
                </w:r>
              </w:p>
            </w:tc>
            <w:tc>
              <w:tcPr>
                <w:tcW w:w="4258" w:type="dxa"/>
              </w:tcPr>
              <w:p w:rsidR="00E0122B" w:rsidRDefault="003153D4">
                <w:pPr>
                  <w:tabs>
                    <w:tab w:val="right" w:pos="8838"/>
                  </w:tabs>
                  <w:ind w:right="33"/>
                </w:pPr>
                <w:r>
                  <w:t>Ayuntamiento de Toluca</w:t>
                </w:r>
              </w:p>
            </w:tc>
          </w:tr>
          <w:tr w:rsidR="00E0122B">
            <w:trPr>
              <w:trHeight w:val="276"/>
            </w:trPr>
            <w:tc>
              <w:tcPr>
                <w:tcW w:w="2404" w:type="dxa"/>
              </w:tcPr>
              <w:p w:rsidR="00E0122B" w:rsidRDefault="003153D4">
                <w:pPr>
                  <w:tabs>
                    <w:tab w:val="right" w:pos="8838"/>
                  </w:tabs>
                  <w:ind w:right="-105"/>
                  <w:rPr>
                    <w:b/>
                  </w:rPr>
                </w:pPr>
                <w:r>
                  <w:rPr>
                    <w:b/>
                  </w:rPr>
                  <w:t>Comisionado Ponente:</w:t>
                </w:r>
              </w:p>
            </w:tc>
            <w:tc>
              <w:tcPr>
                <w:tcW w:w="4258" w:type="dxa"/>
              </w:tcPr>
              <w:p w:rsidR="00E0122B" w:rsidRDefault="003153D4">
                <w:pPr>
                  <w:tabs>
                    <w:tab w:val="right" w:pos="8838"/>
                  </w:tabs>
                  <w:ind w:right="-107"/>
                </w:pPr>
                <w:r>
                  <w:t>Luis Gustavo Parra Noriega</w:t>
                </w:r>
              </w:p>
            </w:tc>
          </w:tr>
        </w:tbl>
        <w:p w:rsidR="00E0122B" w:rsidRDefault="00E0122B">
          <w:pPr>
            <w:tabs>
              <w:tab w:val="right" w:pos="8838"/>
            </w:tabs>
            <w:ind w:left="-28"/>
            <w:rPr>
              <w:rFonts w:ascii="Arial" w:eastAsia="Arial" w:hAnsi="Arial" w:cs="Arial"/>
              <w:b/>
            </w:rPr>
          </w:pPr>
        </w:p>
      </w:tc>
    </w:tr>
  </w:tbl>
  <w:p w:rsidR="00E0122B" w:rsidRDefault="00E0122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F32F2"/>
    <w:multiLevelType w:val="multilevel"/>
    <w:tmpl w:val="4A6EB11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960235A"/>
    <w:multiLevelType w:val="multilevel"/>
    <w:tmpl w:val="D8FA787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744638"/>
    <w:multiLevelType w:val="multilevel"/>
    <w:tmpl w:val="0F8A70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E16E1"/>
    <w:multiLevelType w:val="multilevel"/>
    <w:tmpl w:val="DB3E71B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5C2160"/>
    <w:multiLevelType w:val="multilevel"/>
    <w:tmpl w:val="385EC1C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A2376C"/>
    <w:multiLevelType w:val="multilevel"/>
    <w:tmpl w:val="C7D48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806FC1"/>
    <w:multiLevelType w:val="multilevel"/>
    <w:tmpl w:val="259E8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2B"/>
    <w:rsid w:val="00080395"/>
    <w:rsid w:val="001F0430"/>
    <w:rsid w:val="003153D4"/>
    <w:rsid w:val="007B187C"/>
    <w:rsid w:val="009408C8"/>
    <w:rsid w:val="00B2124D"/>
    <w:rsid w:val="00D2224F"/>
    <w:rsid w:val="00E0122B"/>
    <w:rsid w:val="00E43DA4"/>
    <w:rsid w:val="00EF43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5640526-8FFD-44D0-9B82-3CECD44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link w:val="Ttulo1Car"/>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table" w:customStyle="1" w:styleId="Tablaconcuadrcula1">
    <w:name w:val="Tabla con cuadrícula1"/>
    <w:basedOn w:val="Tablanormal"/>
    <w:next w:val="Tablaconcuadrcula"/>
    <w:uiPriority w:val="59"/>
    <w:rsid w:val="001B3719"/>
    <w:pPr>
      <w:spacing w:after="0" w:line="240" w:lineRule="auto"/>
      <w:jc w:val="left"/>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A40D2"/>
    <w:rPr>
      <w:b/>
      <w:color w:val="000000" w:themeColor="text1"/>
      <w:sz w:val="24"/>
      <w:szCs w:val="48"/>
    </w:rPr>
  </w:style>
  <w:style w:type="character" w:customStyle="1" w:styleId="Ttulo2Car">
    <w:name w:val="Título 2 Car"/>
    <w:basedOn w:val="Fuentedeprrafopredeter"/>
    <w:link w:val="Ttulo2"/>
    <w:uiPriority w:val="9"/>
    <w:rsid w:val="00AA40D2"/>
    <w:rPr>
      <w:b/>
      <w:color w:val="000000" w:themeColor="text1"/>
      <w:szCs w:val="36"/>
    </w:rPr>
  </w:style>
  <w:style w:type="table" w:customStyle="1" w:styleId="Tablaconcuadrcula2">
    <w:name w:val="Tabla con cuadrícula2"/>
    <w:basedOn w:val="Tablanormal"/>
    <w:next w:val="Tablaconcuadrcula"/>
    <w:uiPriority w:val="59"/>
    <w:qFormat/>
    <w:rsid w:val="00601C61"/>
    <w:pPr>
      <w:spacing w:after="0" w:line="240" w:lineRule="auto"/>
      <w:jc w:val="left"/>
    </w:pPr>
    <w:rPr>
      <w:rFonts w:ascii="Calibri" w:eastAsia="Calibri" w:hAnsi="Calibri" w:cs="Times New Roman"/>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f.gob.mx/nota_detalle.php?codigo=5492254&amp;fecha=28/07/201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b.mx/segob/renapo/acciones-y-programas/clave-unica-de-registro-de-poblacion-curp-14222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vvdW3bSbpIowr+bnPijT9k/Yg==">CgMxLjAyDmgubTM1M3R1ZmVoZWFvMg5oLmduMmw4bngxenZ2MzIOaC45dzF2cHF5NTVnazUyDmguY2t0NnVpeTk2cGUzMg5oLjl6anMxZHl2MTdjbzIOaC44dDVzc3I5aDhxZDQyDmguYTc2dGZ2eGh0YmUzMg5oLnNwM2p5MHoyMWRwYTIOaC54ZzFjcnVuNDNrZ3cyDmguZzJ4ZGQxZjFxajF2Mg5oLm8zMmlnbXRmN2JqbzIOaC5ncnp3ZnN0NnRzZ3kyDWguZzZveXFkNncxNXgyDmguamJsY3h4Y3E1aWF6Mg5oLmY3YWdraHdiNjFoajINaC50emp1ZDZnc3JjNzIOaC4xcGJ3eTRyc2ZvYnk4AHIhMTVUN0hmb1dfT0tmU3JqUmhWcWtsd2huWUdpNFJYVUh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DB71F7-814D-429F-82F2-1ECF9828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8244</Words>
  <Characters>45348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INFOEM500</cp:lastModifiedBy>
  <cp:revision>4</cp:revision>
  <cp:lastPrinted>2025-04-25T16:36:00Z</cp:lastPrinted>
  <dcterms:created xsi:type="dcterms:W3CDTF">2025-04-25T16:36:00Z</dcterms:created>
  <dcterms:modified xsi:type="dcterms:W3CDTF">2025-06-02T20:27:00Z</dcterms:modified>
</cp:coreProperties>
</file>