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075F6"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AA114E" w:rsidRPr="009E7B83">
        <w:rPr>
          <w:rFonts w:ascii="Palatino Linotype" w:eastAsia="Palatino Linotype" w:hAnsi="Palatino Linotype" w:cs="Palatino Linotype"/>
          <w:b/>
          <w:sz w:val="22"/>
          <w:szCs w:val="22"/>
        </w:rPr>
        <w:t>seis</w:t>
      </w:r>
      <w:r w:rsidRPr="009E7B83">
        <w:rPr>
          <w:rFonts w:ascii="Palatino Linotype" w:eastAsia="Palatino Linotype" w:hAnsi="Palatino Linotype" w:cs="Palatino Linotype"/>
          <w:b/>
          <w:sz w:val="22"/>
          <w:szCs w:val="22"/>
        </w:rPr>
        <w:t xml:space="preserve"> de </w:t>
      </w:r>
      <w:r w:rsidR="00AA114E" w:rsidRPr="009E7B83">
        <w:rPr>
          <w:rFonts w:ascii="Palatino Linotype" w:eastAsia="Palatino Linotype" w:hAnsi="Palatino Linotype" w:cs="Palatino Linotype"/>
          <w:b/>
          <w:sz w:val="22"/>
          <w:szCs w:val="22"/>
        </w:rPr>
        <w:t>agosto</w:t>
      </w:r>
      <w:r w:rsidRPr="009E7B83">
        <w:rPr>
          <w:rFonts w:ascii="Palatino Linotype" w:eastAsia="Palatino Linotype" w:hAnsi="Palatino Linotype" w:cs="Palatino Linotype"/>
          <w:b/>
          <w:sz w:val="22"/>
          <w:szCs w:val="22"/>
        </w:rPr>
        <w:t xml:space="preserve"> de dos mil veinticinco. </w:t>
      </w:r>
    </w:p>
    <w:p w14:paraId="40EA2540" w14:textId="77777777" w:rsidR="00422AF6" w:rsidRPr="009E7B83" w:rsidRDefault="00422AF6">
      <w:pPr>
        <w:spacing w:line="360" w:lineRule="auto"/>
        <w:ind w:right="49"/>
        <w:jc w:val="both"/>
        <w:rPr>
          <w:rFonts w:ascii="Palatino Linotype" w:eastAsia="Palatino Linotype" w:hAnsi="Palatino Linotype" w:cs="Palatino Linotype"/>
          <w:sz w:val="22"/>
          <w:szCs w:val="22"/>
        </w:rPr>
      </w:pPr>
    </w:p>
    <w:p w14:paraId="71A3DBA4" w14:textId="77E2ED32"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 xml:space="preserve">VISTO </w:t>
      </w:r>
      <w:r w:rsidRPr="009E7B83">
        <w:rPr>
          <w:rFonts w:ascii="Palatino Linotype" w:eastAsia="Palatino Linotype" w:hAnsi="Palatino Linotype" w:cs="Palatino Linotype"/>
          <w:sz w:val="22"/>
          <w:szCs w:val="22"/>
        </w:rPr>
        <w:t xml:space="preserve">el expediente relativo al recurso de revisión </w:t>
      </w:r>
      <w:r w:rsidR="00B949AB" w:rsidRPr="009E7B83">
        <w:rPr>
          <w:rFonts w:ascii="Palatino Linotype" w:eastAsia="Palatino Linotype" w:hAnsi="Palatino Linotype" w:cs="Palatino Linotype"/>
          <w:b/>
          <w:color w:val="000000"/>
          <w:sz w:val="22"/>
          <w:szCs w:val="22"/>
        </w:rPr>
        <w:t>04504/INFOEM/IP/RR/2025</w:t>
      </w:r>
      <w:r w:rsidRPr="009E7B83">
        <w:rPr>
          <w:rFonts w:ascii="Palatino Linotype" w:eastAsia="Palatino Linotype" w:hAnsi="Palatino Linotype" w:cs="Palatino Linotype"/>
          <w:b/>
          <w:color w:val="000000"/>
          <w:sz w:val="22"/>
          <w:szCs w:val="22"/>
        </w:rPr>
        <w:t xml:space="preserve">, </w:t>
      </w:r>
      <w:r w:rsidRPr="009E7B83">
        <w:rPr>
          <w:rFonts w:ascii="Palatino Linotype" w:eastAsia="Palatino Linotype" w:hAnsi="Palatino Linotype" w:cs="Palatino Linotype"/>
          <w:sz w:val="22"/>
          <w:szCs w:val="22"/>
        </w:rPr>
        <w:t xml:space="preserve">interpuesto por </w:t>
      </w:r>
      <w:r w:rsidR="006914F1" w:rsidRPr="006914F1">
        <w:rPr>
          <w:rFonts w:ascii="Palatino Linotype" w:eastAsia="Palatino Linotype" w:hAnsi="Palatino Linotype" w:cs="Palatino Linotype"/>
          <w:b/>
          <w:color w:val="000000"/>
          <w:sz w:val="22"/>
          <w:szCs w:val="22"/>
        </w:rPr>
        <w:t>XXXXXXXXXXXXX X</w:t>
      </w:r>
      <w:r w:rsidRPr="009E7B83">
        <w:rPr>
          <w:rFonts w:ascii="Palatino Linotype" w:eastAsia="Palatino Linotype" w:hAnsi="Palatino Linotype" w:cs="Palatino Linotype"/>
          <w:sz w:val="22"/>
          <w:szCs w:val="22"/>
        </w:rPr>
        <w:t xml:space="preserve">, en lo sucesivo la parte </w:t>
      </w:r>
      <w:r w:rsidRPr="009E7B83">
        <w:rPr>
          <w:rFonts w:ascii="Palatino Linotype" w:eastAsia="Palatino Linotype" w:hAnsi="Palatino Linotype" w:cs="Palatino Linotype"/>
          <w:b/>
          <w:sz w:val="22"/>
          <w:szCs w:val="22"/>
        </w:rPr>
        <w:t>Recurrente</w:t>
      </w:r>
      <w:r w:rsidRPr="009E7B83">
        <w:rPr>
          <w:rFonts w:ascii="Palatino Linotype" w:eastAsia="Palatino Linotype" w:hAnsi="Palatino Linotype" w:cs="Palatino Linotype"/>
          <w:sz w:val="22"/>
          <w:szCs w:val="22"/>
        </w:rPr>
        <w:t xml:space="preserve">, en contra de la respuesta a la solicitud de información por parte del </w:t>
      </w:r>
      <w:r w:rsidRPr="009E7B83">
        <w:rPr>
          <w:rFonts w:ascii="Palatino Linotype" w:eastAsia="Palatino Linotype" w:hAnsi="Palatino Linotype" w:cs="Palatino Linotype"/>
          <w:b/>
          <w:color w:val="000000"/>
          <w:sz w:val="22"/>
          <w:szCs w:val="22"/>
        </w:rPr>
        <w:t xml:space="preserve">el </w:t>
      </w:r>
      <w:r w:rsidR="00B949AB" w:rsidRPr="009E7B83">
        <w:rPr>
          <w:rFonts w:ascii="Palatino Linotype" w:eastAsia="Palatino Linotype" w:hAnsi="Palatino Linotype" w:cs="Palatino Linotype"/>
          <w:b/>
          <w:color w:val="000000"/>
          <w:sz w:val="22"/>
          <w:szCs w:val="22"/>
        </w:rPr>
        <w:t>Ayuntamiento de Jaltenco</w:t>
      </w:r>
      <w:r w:rsidRPr="009E7B83">
        <w:rPr>
          <w:rFonts w:ascii="Palatino Linotype" w:eastAsia="Palatino Linotype" w:hAnsi="Palatino Linotype" w:cs="Palatino Linotype"/>
          <w:sz w:val="22"/>
          <w:szCs w:val="22"/>
        </w:rPr>
        <w:t xml:space="preserve">, en lo sucesivo el </w:t>
      </w:r>
      <w:r w:rsidRPr="009E7B83">
        <w:rPr>
          <w:rFonts w:ascii="Palatino Linotype" w:eastAsia="Palatino Linotype" w:hAnsi="Palatino Linotype" w:cs="Palatino Linotype"/>
          <w:b/>
          <w:sz w:val="22"/>
          <w:szCs w:val="22"/>
        </w:rPr>
        <w:t xml:space="preserve">Sujeto Obligado; </w:t>
      </w:r>
      <w:r w:rsidRPr="009E7B83">
        <w:rPr>
          <w:rFonts w:ascii="Palatino Linotype" w:eastAsia="Palatino Linotype" w:hAnsi="Palatino Linotype" w:cs="Palatino Linotype"/>
          <w:sz w:val="22"/>
          <w:szCs w:val="22"/>
        </w:rPr>
        <w:t>se procede a dictar la presente resolución, con base en lo</w:t>
      </w:r>
      <w:r w:rsidR="0066285D" w:rsidRPr="009E7B83">
        <w:rPr>
          <w:rFonts w:ascii="Palatino Linotype" w:eastAsia="Palatino Linotype" w:hAnsi="Palatino Linotype" w:cs="Palatino Linotype"/>
          <w:sz w:val="22"/>
          <w:szCs w:val="22"/>
        </w:rPr>
        <w:t>s</w:t>
      </w:r>
      <w:r w:rsidRPr="009E7B83">
        <w:rPr>
          <w:rFonts w:ascii="Palatino Linotype" w:eastAsia="Palatino Linotype" w:hAnsi="Palatino Linotype" w:cs="Palatino Linotype"/>
          <w:sz w:val="22"/>
          <w:szCs w:val="22"/>
        </w:rPr>
        <w:t xml:space="preserve"> siguiente</w:t>
      </w:r>
      <w:r w:rsidR="0066285D" w:rsidRPr="009E7B83">
        <w:rPr>
          <w:rFonts w:ascii="Palatino Linotype" w:eastAsia="Palatino Linotype" w:hAnsi="Palatino Linotype" w:cs="Palatino Linotype"/>
          <w:sz w:val="22"/>
          <w:szCs w:val="22"/>
        </w:rPr>
        <w:t>s</w:t>
      </w:r>
      <w:r w:rsidRPr="009E7B83">
        <w:rPr>
          <w:rFonts w:ascii="Palatino Linotype" w:eastAsia="Palatino Linotype" w:hAnsi="Palatino Linotype" w:cs="Palatino Linotype"/>
          <w:sz w:val="22"/>
          <w:szCs w:val="22"/>
        </w:rPr>
        <w:t>.</w:t>
      </w:r>
    </w:p>
    <w:p w14:paraId="1E9336C8" w14:textId="77777777" w:rsidR="0066285D" w:rsidRPr="009E7B83" w:rsidRDefault="0066285D">
      <w:pPr>
        <w:spacing w:line="360" w:lineRule="auto"/>
        <w:ind w:right="49"/>
        <w:jc w:val="both"/>
        <w:rPr>
          <w:rFonts w:ascii="Palatino Linotype" w:eastAsia="Palatino Linotype" w:hAnsi="Palatino Linotype" w:cs="Palatino Linotype"/>
          <w:sz w:val="22"/>
          <w:szCs w:val="22"/>
        </w:rPr>
      </w:pPr>
    </w:p>
    <w:p w14:paraId="362E2926" w14:textId="77777777" w:rsidR="00422AF6" w:rsidRPr="009E7B83" w:rsidRDefault="0067296C">
      <w:pPr>
        <w:spacing w:line="360" w:lineRule="auto"/>
        <w:ind w:right="49"/>
        <w:jc w:val="center"/>
        <w:rPr>
          <w:rFonts w:ascii="Palatino Linotype" w:eastAsia="Palatino Linotype" w:hAnsi="Palatino Linotype" w:cs="Palatino Linotype"/>
          <w:b/>
          <w:sz w:val="22"/>
          <w:szCs w:val="22"/>
        </w:rPr>
      </w:pPr>
      <w:r w:rsidRPr="009E7B83">
        <w:rPr>
          <w:rFonts w:ascii="Palatino Linotype" w:eastAsia="Palatino Linotype" w:hAnsi="Palatino Linotype" w:cs="Palatino Linotype"/>
          <w:b/>
          <w:sz w:val="22"/>
          <w:szCs w:val="22"/>
        </w:rPr>
        <w:t>I.</w:t>
      </w:r>
      <w:r w:rsidRPr="009E7B83">
        <w:rPr>
          <w:rFonts w:ascii="Palatino Linotype" w:eastAsia="Palatino Linotype" w:hAnsi="Palatino Linotype" w:cs="Palatino Linotype"/>
          <w:b/>
          <w:sz w:val="22"/>
          <w:szCs w:val="22"/>
        </w:rPr>
        <w:tab/>
        <w:t>A N T E C E D E N T E S</w:t>
      </w:r>
    </w:p>
    <w:p w14:paraId="23ED7956" w14:textId="77777777" w:rsidR="00422AF6" w:rsidRPr="009E7B83" w:rsidRDefault="00422AF6">
      <w:pPr>
        <w:spacing w:line="360" w:lineRule="auto"/>
        <w:ind w:right="49"/>
        <w:jc w:val="both"/>
        <w:rPr>
          <w:rFonts w:ascii="Palatino Linotype" w:eastAsia="Palatino Linotype" w:hAnsi="Palatino Linotype" w:cs="Palatino Linotype"/>
          <w:sz w:val="22"/>
          <w:szCs w:val="22"/>
        </w:rPr>
      </w:pPr>
    </w:p>
    <w:p w14:paraId="6854AC9C" w14:textId="77777777" w:rsidR="00422AF6" w:rsidRPr="009E7B83" w:rsidRDefault="0067296C">
      <w:pPr>
        <w:spacing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1.</w:t>
      </w:r>
      <w:r w:rsidRPr="009E7B83">
        <w:rPr>
          <w:rFonts w:ascii="Palatino Linotype" w:eastAsia="Palatino Linotype" w:hAnsi="Palatino Linotype" w:cs="Palatino Linotype"/>
          <w:sz w:val="22"/>
          <w:szCs w:val="22"/>
        </w:rPr>
        <w:t xml:space="preserve"> </w:t>
      </w:r>
      <w:r w:rsidRPr="009E7B83">
        <w:rPr>
          <w:rFonts w:ascii="Palatino Linotype" w:eastAsia="Palatino Linotype" w:hAnsi="Palatino Linotype" w:cs="Palatino Linotype"/>
          <w:b/>
          <w:sz w:val="22"/>
          <w:szCs w:val="22"/>
        </w:rPr>
        <w:t xml:space="preserve">Solicitud de Acceso a la Información. El </w:t>
      </w:r>
      <w:r w:rsidR="00B949AB" w:rsidRPr="009E7B83">
        <w:rPr>
          <w:rFonts w:ascii="Palatino Linotype" w:eastAsia="Palatino Linotype" w:hAnsi="Palatino Linotype" w:cs="Palatino Linotype"/>
          <w:b/>
          <w:sz w:val="22"/>
          <w:szCs w:val="22"/>
        </w:rPr>
        <w:t>veinticuatro</w:t>
      </w:r>
      <w:r w:rsidRPr="009E7B83">
        <w:rPr>
          <w:rFonts w:ascii="Palatino Linotype" w:eastAsia="Palatino Linotype" w:hAnsi="Palatino Linotype" w:cs="Palatino Linotype"/>
          <w:b/>
          <w:sz w:val="22"/>
          <w:szCs w:val="22"/>
        </w:rPr>
        <w:t xml:space="preserve"> de </w:t>
      </w:r>
      <w:r w:rsidR="001624D4" w:rsidRPr="009E7B83">
        <w:rPr>
          <w:rFonts w:ascii="Palatino Linotype" w:eastAsia="Palatino Linotype" w:hAnsi="Palatino Linotype" w:cs="Palatino Linotype"/>
          <w:b/>
          <w:sz w:val="22"/>
          <w:szCs w:val="22"/>
        </w:rPr>
        <w:t>marzo</w:t>
      </w:r>
      <w:r w:rsidRPr="009E7B83">
        <w:rPr>
          <w:rFonts w:ascii="Palatino Linotype" w:eastAsia="Palatino Linotype" w:hAnsi="Palatino Linotype" w:cs="Palatino Linotype"/>
          <w:b/>
          <w:sz w:val="22"/>
          <w:szCs w:val="22"/>
        </w:rPr>
        <w:t xml:space="preserve"> de dos mil veinticinco</w:t>
      </w:r>
      <w:r w:rsidRPr="009E7B83">
        <w:rPr>
          <w:rFonts w:ascii="Palatino Linotype" w:eastAsia="Palatino Linotype" w:hAnsi="Palatino Linotype" w:cs="Palatino Linotype"/>
          <w:sz w:val="22"/>
          <w:szCs w:val="22"/>
        </w:rPr>
        <w:t xml:space="preserve">, </w:t>
      </w:r>
      <w:r w:rsidRPr="009E7B83">
        <w:rPr>
          <w:rFonts w:ascii="Palatino Linotype" w:eastAsia="Palatino Linotype" w:hAnsi="Palatino Linotype" w:cs="Palatino Linotype"/>
          <w:b/>
          <w:sz w:val="22"/>
          <w:szCs w:val="22"/>
        </w:rPr>
        <w:t>LA PARTE</w:t>
      </w:r>
      <w:r w:rsidRPr="009E7B83">
        <w:rPr>
          <w:rFonts w:ascii="Palatino Linotype" w:eastAsia="Palatino Linotype" w:hAnsi="Palatino Linotype" w:cs="Palatino Linotype"/>
          <w:sz w:val="22"/>
          <w:szCs w:val="22"/>
        </w:rPr>
        <w:t xml:space="preserve"> </w:t>
      </w:r>
      <w:r w:rsidRPr="009E7B83">
        <w:rPr>
          <w:rFonts w:ascii="Palatino Linotype" w:eastAsia="Palatino Linotype" w:hAnsi="Palatino Linotype" w:cs="Palatino Linotype"/>
          <w:b/>
          <w:sz w:val="22"/>
          <w:szCs w:val="22"/>
        </w:rPr>
        <w:t>RECURRENTE</w:t>
      </w:r>
      <w:r w:rsidRPr="009E7B83">
        <w:rPr>
          <w:rFonts w:ascii="Palatino Linotype" w:eastAsia="Palatino Linotype" w:hAnsi="Palatino Linotype" w:cs="Palatino Linotype"/>
          <w:sz w:val="22"/>
          <w:szCs w:val="22"/>
        </w:rPr>
        <w:t xml:space="preserve"> formuló solicitud de acceso a información pública a través del </w:t>
      </w:r>
      <w:r w:rsidRPr="009E7B83">
        <w:rPr>
          <w:rFonts w:ascii="Palatino Linotype" w:eastAsia="Palatino Linotype" w:hAnsi="Palatino Linotype" w:cs="Palatino Linotype"/>
          <w:b/>
          <w:sz w:val="22"/>
          <w:szCs w:val="22"/>
        </w:rPr>
        <w:t>SAIMEX</w:t>
      </w:r>
      <w:r w:rsidRPr="009E7B83">
        <w:rPr>
          <w:rFonts w:ascii="Palatino Linotype" w:eastAsia="Palatino Linotype" w:hAnsi="Palatino Linotype" w:cs="Palatino Linotype"/>
          <w:sz w:val="22"/>
          <w:szCs w:val="22"/>
        </w:rPr>
        <w:t>, en las que requirió lo siguiente:</w:t>
      </w:r>
    </w:p>
    <w:p w14:paraId="136ECABF" w14:textId="77777777" w:rsidR="00422AF6" w:rsidRPr="009E7B83" w:rsidRDefault="00422AF6">
      <w:pPr>
        <w:spacing w:line="360" w:lineRule="auto"/>
        <w:jc w:val="both"/>
        <w:rPr>
          <w:rFonts w:ascii="Palatino Linotype" w:eastAsia="Palatino Linotype" w:hAnsi="Palatino Linotype" w:cs="Palatino Linotype"/>
          <w:sz w:val="22"/>
          <w:szCs w:val="22"/>
        </w:rPr>
      </w:pPr>
    </w:p>
    <w:tbl>
      <w:tblPr>
        <w:tblStyle w:val="af3"/>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422AF6" w:rsidRPr="009E7B83" w14:paraId="4262BAE8" w14:textId="77777777">
        <w:tc>
          <w:tcPr>
            <w:tcW w:w="3256" w:type="dxa"/>
            <w:shd w:val="clear" w:color="auto" w:fill="D9D9D9"/>
          </w:tcPr>
          <w:p w14:paraId="1C64AE59" w14:textId="77777777" w:rsidR="00422AF6" w:rsidRPr="009E7B83" w:rsidRDefault="0067296C">
            <w:pPr>
              <w:spacing w:line="360" w:lineRule="auto"/>
              <w:jc w:val="both"/>
              <w:rPr>
                <w:rFonts w:ascii="Palatino Linotype" w:eastAsia="Palatino Linotype" w:hAnsi="Palatino Linotype" w:cs="Palatino Linotype"/>
                <w:b/>
                <w:i/>
                <w:sz w:val="22"/>
                <w:szCs w:val="22"/>
              </w:rPr>
            </w:pPr>
            <w:bookmarkStart w:id="0" w:name="_heading=h.1fob9te" w:colFirst="0" w:colLast="0"/>
            <w:bookmarkEnd w:id="0"/>
            <w:r w:rsidRPr="009E7B83">
              <w:rPr>
                <w:rFonts w:ascii="Palatino Linotype" w:eastAsia="Palatino Linotype" w:hAnsi="Palatino Linotype" w:cs="Palatino Linotype"/>
                <w:b/>
                <w:i/>
                <w:sz w:val="22"/>
                <w:szCs w:val="22"/>
              </w:rPr>
              <w:t>Número de solicitud</w:t>
            </w:r>
          </w:p>
        </w:tc>
        <w:tc>
          <w:tcPr>
            <w:tcW w:w="5670" w:type="dxa"/>
            <w:shd w:val="clear" w:color="auto" w:fill="D9D9D9"/>
          </w:tcPr>
          <w:p w14:paraId="5D813F35" w14:textId="77777777" w:rsidR="00422AF6" w:rsidRPr="009E7B83" w:rsidRDefault="0067296C">
            <w:pPr>
              <w:spacing w:line="360" w:lineRule="auto"/>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Información requerida.</w:t>
            </w:r>
          </w:p>
        </w:tc>
      </w:tr>
      <w:tr w:rsidR="00422AF6" w:rsidRPr="009E7B83" w14:paraId="0BDEF4BF" w14:textId="77777777">
        <w:trPr>
          <w:trHeight w:val="564"/>
        </w:trPr>
        <w:tc>
          <w:tcPr>
            <w:tcW w:w="3256" w:type="dxa"/>
          </w:tcPr>
          <w:p w14:paraId="60A92A46" w14:textId="77777777" w:rsidR="00422AF6" w:rsidRPr="009E7B83" w:rsidRDefault="0067296C" w:rsidP="00B949AB">
            <w:pPr>
              <w:spacing w:line="360" w:lineRule="auto"/>
              <w:jc w:val="both"/>
              <w:rPr>
                <w:rFonts w:ascii="Palatino Linotype" w:eastAsia="Palatino Linotype" w:hAnsi="Palatino Linotype" w:cs="Palatino Linotype"/>
                <w:b/>
                <w:sz w:val="22"/>
                <w:szCs w:val="22"/>
              </w:rPr>
            </w:pPr>
            <w:bookmarkStart w:id="1" w:name="_heading=h.3znysh7" w:colFirst="0" w:colLast="0"/>
            <w:bookmarkEnd w:id="1"/>
            <w:r w:rsidRPr="009E7B83">
              <w:rPr>
                <w:rFonts w:ascii="Palatino Linotype" w:eastAsia="Palatino Linotype" w:hAnsi="Palatino Linotype" w:cs="Palatino Linotype"/>
                <w:b/>
                <w:sz w:val="22"/>
                <w:szCs w:val="22"/>
              </w:rPr>
              <w:t>0</w:t>
            </w:r>
            <w:r w:rsidR="00B949AB" w:rsidRPr="009E7B83">
              <w:rPr>
                <w:rFonts w:ascii="Palatino Linotype" w:eastAsia="Palatino Linotype" w:hAnsi="Palatino Linotype" w:cs="Palatino Linotype"/>
                <w:b/>
                <w:sz w:val="22"/>
                <w:szCs w:val="22"/>
              </w:rPr>
              <w:t>0021</w:t>
            </w:r>
            <w:r w:rsidRPr="009E7B83">
              <w:rPr>
                <w:rFonts w:ascii="Palatino Linotype" w:eastAsia="Palatino Linotype" w:hAnsi="Palatino Linotype" w:cs="Palatino Linotype"/>
                <w:b/>
                <w:sz w:val="22"/>
                <w:szCs w:val="22"/>
              </w:rPr>
              <w:t>/</w:t>
            </w:r>
            <w:r w:rsidR="00B949AB" w:rsidRPr="009E7B83">
              <w:rPr>
                <w:rFonts w:ascii="Palatino Linotype" w:eastAsia="Palatino Linotype" w:hAnsi="Palatino Linotype" w:cs="Palatino Linotype"/>
                <w:b/>
                <w:sz w:val="22"/>
                <w:szCs w:val="22"/>
              </w:rPr>
              <w:t>JALTENCO</w:t>
            </w:r>
            <w:r w:rsidRPr="009E7B83">
              <w:rPr>
                <w:rFonts w:ascii="Palatino Linotype" w:eastAsia="Palatino Linotype" w:hAnsi="Palatino Linotype" w:cs="Palatino Linotype"/>
                <w:b/>
                <w:sz w:val="22"/>
                <w:szCs w:val="22"/>
              </w:rPr>
              <w:t>/IP/2025</w:t>
            </w:r>
          </w:p>
        </w:tc>
        <w:tc>
          <w:tcPr>
            <w:tcW w:w="5670" w:type="dxa"/>
          </w:tcPr>
          <w:p w14:paraId="54C7B105" w14:textId="77777777" w:rsidR="00AA114E" w:rsidRPr="009E7B83" w:rsidRDefault="00B949AB">
            <w:pPr>
              <w:spacing w:line="360" w:lineRule="auto"/>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Presupuesto destinado, año de ejecución, gasto ejercido y desglosado para la construcción del "Parque Recreativo San Andrés"</w:t>
            </w:r>
          </w:p>
        </w:tc>
      </w:tr>
    </w:tbl>
    <w:p w14:paraId="035FF465" w14:textId="77777777" w:rsidR="00422AF6" w:rsidRPr="009E7B83" w:rsidRDefault="00422AF6">
      <w:pPr>
        <w:spacing w:line="360" w:lineRule="auto"/>
        <w:ind w:right="49"/>
        <w:jc w:val="both"/>
        <w:rPr>
          <w:rFonts w:ascii="Palatino Linotype" w:eastAsia="Palatino Linotype" w:hAnsi="Palatino Linotype" w:cs="Palatino Linotype"/>
          <w:b/>
          <w:sz w:val="22"/>
          <w:szCs w:val="22"/>
        </w:rPr>
      </w:pPr>
    </w:p>
    <w:p w14:paraId="132F723A"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Modalidad elegida para la entrega de la información:</w:t>
      </w:r>
      <w:r w:rsidRPr="009E7B83">
        <w:rPr>
          <w:rFonts w:ascii="Palatino Linotype" w:eastAsia="Palatino Linotype" w:hAnsi="Palatino Linotype" w:cs="Palatino Linotype"/>
          <w:sz w:val="22"/>
          <w:szCs w:val="22"/>
        </w:rPr>
        <w:t xml:space="preserve"> a través del Sistema de Acceso a la Información Mexiquense (SAIMEX).</w:t>
      </w:r>
    </w:p>
    <w:p w14:paraId="1E3DE301" w14:textId="77777777" w:rsidR="00422AF6" w:rsidRPr="009E7B83" w:rsidRDefault="00422AF6">
      <w:pPr>
        <w:spacing w:line="360" w:lineRule="auto"/>
        <w:jc w:val="both"/>
        <w:rPr>
          <w:rFonts w:ascii="Palatino Linotype" w:eastAsia="Palatino Linotype" w:hAnsi="Palatino Linotype" w:cs="Palatino Linotype"/>
          <w:sz w:val="22"/>
          <w:szCs w:val="22"/>
        </w:rPr>
      </w:pPr>
    </w:p>
    <w:p w14:paraId="473A5F3A" w14:textId="172A83E4" w:rsidR="00422AF6" w:rsidRPr="009E7B83" w:rsidRDefault="0067296C">
      <w:pPr>
        <w:widowControl w:val="0"/>
        <w:spacing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3. Respuesta.</w:t>
      </w:r>
      <w:r w:rsidRPr="009E7B83">
        <w:rPr>
          <w:rFonts w:ascii="Palatino Linotype" w:eastAsia="Palatino Linotype" w:hAnsi="Palatino Linotype" w:cs="Palatino Linotype"/>
          <w:sz w:val="22"/>
          <w:szCs w:val="22"/>
        </w:rPr>
        <w:t xml:space="preserve"> El </w:t>
      </w:r>
      <w:r w:rsidR="00B949AB" w:rsidRPr="009E7B83">
        <w:rPr>
          <w:rFonts w:ascii="Palatino Linotype" w:eastAsia="Palatino Linotype" w:hAnsi="Palatino Linotype" w:cs="Palatino Linotype"/>
          <w:b/>
          <w:sz w:val="22"/>
          <w:szCs w:val="22"/>
        </w:rPr>
        <w:t>quince</w:t>
      </w:r>
      <w:r w:rsidRPr="009E7B83">
        <w:rPr>
          <w:rFonts w:ascii="Palatino Linotype" w:eastAsia="Palatino Linotype" w:hAnsi="Palatino Linotype" w:cs="Palatino Linotype"/>
          <w:sz w:val="22"/>
          <w:szCs w:val="22"/>
        </w:rPr>
        <w:t xml:space="preserve"> </w:t>
      </w:r>
      <w:r w:rsidRPr="009E7B83">
        <w:rPr>
          <w:rFonts w:ascii="Palatino Linotype" w:eastAsia="Palatino Linotype" w:hAnsi="Palatino Linotype" w:cs="Palatino Linotype"/>
          <w:b/>
          <w:sz w:val="22"/>
          <w:szCs w:val="22"/>
        </w:rPr>
        <w:t xml:space="preserve">de </w:t>
      </w:r>
      <w:r w:rsidR="001624D4" w:rsidRPr="009E7B83">
        <w:rPr>
          <w:rFonts w:ascii="Palatino Linotype" w:eastAsia="Palatino Linotype" w:hAnsi="Palatino Linotype" w:cs="Palatino Linotype"/>
          <w:b/>
          <w:sz w:val="22"/>
          <w:szCs w:val="22"/>
        </w:rPr>
        <w:t>abril</w:t>
      </w:r>
      <w:r w:rsidRPr="009E7B83">
        <w:rPr>
          <w:rFonts w:ascii="Palatino Linotype" w:eastAsia="Palatino Linotype" w:hAnsi="Palatino Linotype" w:cs="Palatino Linotype"/>
          <w:b/>
          <w:sz w:val="22"/>
          <w:szCs w:val="22"/>
        </w:rPr>
        <w:t xml:space="preserve"> de dos mil veinticinco</w:t>
      </w:r>
      <w:r w:rsidRPr="009E7B83">
        <w:rPr>
          <w:rFonts w:ascii="Palatino Linotype" w:eastAsia="Palatino Linotype" w:hAnsi="Palatino Linotype" w:cs="Palatino Linotype"/>
          <w:sz w:val="22"/>
          <w:szCs w:val="22"/>
        </w:rPr>
        <w:t>, el Sujeto Obliga</w:t>
      </w:r>
      <w:r w:rsidR="001F1622" w:rsidRPr="009E7B83">
        <w:rPr>
          <w:rFonts w:ascii="Palatino Linotype" w:eastAsia="Palatino Linotype" w:hAnsi="Palatino Linotype" w:cs="Palatino Linotype"/>
          <w:sz w:val="22"/>
          <w:szCs w:val="22"/>
        </w:rPr>
        <w:t>d</w:t>
      </w:r>
      <w:r w:rsidR="00543888" w:rsidRPr="009E7B83">
        <w:rPr>
          <w:rFonts w:ascii="Palatino Linotype" w:eastAsia="Palatino Linotype" w:hAnsi="Palatino Linotype" w:cs="Palatino Linotype"/>
          <w:sz w:val="22"/>
          <w:szCs w:val="22"/>
        </w:rPr>
        <w:t xml:space="preserve">o dio respuesta a la solicitud </w:t>
      </w:r>
      <w:r w:rsidRPr="009E7B83">
        <w:rPr>
          <w:rFonts w:ascii="Palatino Linotype" w:eastAsia="Palatino Linotype" w:hAnsi="Palatino Linotype" w:cs="Palatino Linotype"/>
          <w:sz w:val="22"/>
          <w:szCs w:val="22"/>
        </w:rPr>
        <w:t>en los siguientes términos:</w:t>
      </w:r>
    </w:p>
    <w:p w14:paraId="256400F3" w14:textId="77777777" w:rsidR="00422AF6" w:rsidRPr="009E7B83" w:rsidRDefault="00422AF6">
      <w:pPr>
        <w:widowControl w:val="0"/>
        <w:spacing w:line="360" w:lineRule="auto"/>
        <w:jc w:val="both"/>
        <w:rPr>
          <w:rFonts w:ascii="Palatino Linotype" w:eastAsia="Palatino Linotype" w:hAnsi="Palatino Linotype" w:cs="Palatino Linotype"/>
          <w:sz w:val="22"/>
          <w:szCs w:val="22"/>
        </w:rPr>
      </w:pPr>
    </w:p>
    <w:p w14:paraId="08852BB2" w14:textId="77777777" w:rsidR="001624D4" w:rsidRPr="009E7B83" w:rsidRDefault="001624D4" w:rsidP="001624D4">
      <w:pPr>
        <w:widowControl w:val="0"/>
        <w:spacing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E9EEBA" w14:textId="77777777" w:rsidR="001624D4" w:rsidRPr="009E7B83" w:rsidRDefault="001624D4" w:rsidP="001624D4">
      <w:pPr>
        <w:widowControl w:val="0"/>
        <w:spacing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En atención a la solicitud con folio </w:t>
      </w:r>
      <w:r w:rsidR="00B949AB" w:rsidRPr="009E7B83">
        <w:rPr>
          <w:rFonts w:ascii="Palatino Linotype" w:eastAsia="Palatino Linotype" w:hAnsi="Palatino Linotype" w:cs="Palatino Linotype"/>
          <w:b/>
          <w:sz w:val="22"/>
          <w:szCs w:val="22"/>
        </w:rPr>
        <w:t>00021/JALTENCO/IP/2025</w:t>
      </w:r>
      <w:r w:rsidRPr="009E7B83">
        <w:rPr>
          <w:rFonts w:ascii="Palatino Linotype" w:eastAsia="Palatino Linotype" w:hAnsi="Palatino Linotype" w:cs="Palatino Linotype"/>
          <w:i/>
          <w:sz w:val="22"/>
          <w:szCs w:val="22"/>
        </w:rPr>
        <w:t>, me permito adjuntar al presente la respuesta correspondiente de la Segunda Sindicatura, Sin más por el momento, reciba un saludo.</w:t>
      </w:r>
    </w:p>
    <w:p w14:paraId="64785612" w14:textId="77777777" w:rsidR="001624D4" w:rsidRPr="009E7B83" w:rsidRDefault="001624D4" w:rsidP="001624D4">
      <w:pPr>
        <w:widowControl w:val="0"/>
        <w:spacing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ATENTAMENTE</w:t>
      </w:r>
    </w:p>
    <w:p w14:paraId="778ADE28" w14:textId="77777777" w:rsidR="00422AF6" w:rsidRPr="009E7B83" w:rsidRDefault="001624D4" w:rsidP="001624D4">
      <w:pPr>
        <w:widowControl w:val="0"/>
        <w:spacing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Dr. Nahum Miguel Mendoza Morales</w:t>
      </w:r>
      <w:r w:rsidR="0067296C" w:rsidRPr="009E7B83">
        <w:rPr>
          <w:rFonts w:ascii="Palatino Linotype" w:eastAsia="Palatino Linotype" w:hAnsi="Palatino Linotype" w:cs="Palatino Linotype"/>
          <w:i/>
          <w:sz w:val="22"/>
          <w:szCs w:val="22"/>
        </w:rPr>
        <w:t>.</w:t>
      </w:r>
      <w:r w:rsidRPr="009E7B83">
        <w:rPr>
          <w:rFonts w:ascii="Palatino Linotype" w:eastAsia="Palatino Linotype" w:hAnsi="Palatino Linotype" w:cs="Palatino Linotype"/>
          <w:i/>
          <w:sz w:val="22"/>
          <w:szCs w:val="22"/>
        </w:rPr>
        <w:t>”</w:t>
      </w:r>
    </w:p>
    <w:p w14:paraId="25799AC5" w14:textId="77777777" w:rsidR="00B949AB" w:rsidRPr="009E7B83" w:rsidRDefault="00B949AB" w:rsidP="001624D4">
      <w:pPr>
        <w:widowControl w:val="0"/>
        <w:spacing w:line="360" w:lineRule="auto"/>
        <w:ind w:left="567" w:right="843"/>
        <w:jc w:val="both"/>
        <w:rPr>
          <w:rFonts w:ascii="Palatino Linotype" w:eastAsia="Palatino Linotype" w:hAnsi="Palatino Linotype" w:cs="Palatino Linotype"/>
          <w:i/>
          <w:sz w:val="22"/>
          <w:szCs w:val="22"/>
        </w:rPr>
      </w:pPr>
    </w:p>
    <w:p w14:paraId="45334352" w14:textId="77777777" w:rsidR="00422AF6" w:rsidRPr="009E7B83" w:rsidRDefault="00B949AB" w:rsidP="00B949AB">
      <w:pPr>
        <w:pStyle w:val="Prrafodelista"/>
        <w:widowControl w:val="0"/>
        <w:numPr>
          <w:ilvl w:val="0"/>
          <w:numId w:val="8"/>
        </w:numPr>
        <w:spacing w:line="360" w:lineRule="auto"/>
        <w:ind w:left="426"/>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A la respuesta, se adjuntó el documento electrónico </w:t>
      </w:r>
      <w:r w:rsidRPr="009E7B83">
        <w:rPr>
          <w:rFonts w:ascii="Palatino Linotype" w:eastAsia="Palatino Linotype" w:hAnsi="Palatino Linotype" w:cs="Palatino Linotype"/>
          <w:b/>
          <w:sz w:val="22"/>
          <w:szCs w:val="22"/>
        </w:rPr>
        <w:t>solicitud 21.pdf</w:t>
      </w:r>
      <w:r w:rsidRPr="009E7B83">
        <w:rPr>
          <w:rFonts w:ascii="Palatino Linotype" w:eastAsia="Palatino Linotype" w:hAnsi="Palatino Linotype" w:cs="Palatino Linotype"/>
          <w:sz w:val="22"/>
          <w:szCs w:val="22"/>
        </w:rPr>
        <w:t>, cuyo contenido será analizado en el Considerando correspondiente.</w:t>
      </w:r>
    </w:p>
    <w:p w14:paraId="5AAA6CC4" w14:textId="77777777" w:rsidR="00B949AB" w:rsidRPr="009E7B83" w:rsidRDefault="00B949AB">
      <w:pPr>
        <w:widowControl w:val="0"/>
        <w:spacing w:line="360" w:lineRule="auto"/>
        <w:jc w:val="both"/>
        <w:rPr>
          <w:rFonts w:ascii="Palatino Linotype" w:eastAsia="Palatino Linotype" w:hAnsi="Palatino Linotype" w:cs="Palatino Linotype"/>
          <w:sz w:val="22"/>
          <w:szCs w:val="22"/>
        </w:rPr>
      </w:pPr>
    </w:p>
    <w:p w14:paraId="571B7C16" w14:textId="77777777" w:rsidR="00422AF6" w:rsidRPr="009E7B83" w:rsidRDefault="0067296C">
      <w:pPr>
        <w:spacing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 xml:space="preserve">3. Del Recurso de Revisión. </w:t>
      </w:r>
      <w:r w:rsidRPr="009E7B83">
        <w:rPr>
          <w:rFonts w:ascii="Palatino Linotype" w:eastAsia="Palatino Linotype" w:hAnsi="Palatino Linotype" w:cs="Palatino Linotype"/>
          <w:sz w:val="22"/>
          <w:szCs w:val="22"/>
        </w:rPr>
        <w:t>Inconforme con la respuesta del</w:t>
      </w:r>
      <w:r w:rsidRPr="009E7B83">
        <w:rPr>
          <w:rFonts w:ascii="Palatino Linotype" w:eastAsia="Palatino Linotype" w:hAnsi="Palatino Linotype" w:cs="Palatino Linotype"/>
          <w:b/>
          <w:sz w:val="22"/>
          <w:szCs w:val="22"/>
        </w:rPr>
        <w:t xml:space="preserve"> SUJETO OBLIGADO, </w:t>
      </w:r>
      <w:r w:rsidRPr="009E7B83">
        <w:rPr>
          <w:rFonts w:ascii="Palatino Linotype" w:eastAsia="Palatino Linotype" w:hAnsi="Palatino Linotype" w:cs="Palatino Linotype"/>
          <w:sz w:val="22"/>
          <w:szCs w:val="22"/>
        </w:rPr>
        <w:t xml:space="preserve">en fecha </w:t>
      </w:r>
      <w:r w:rsidR="00B949AB" w:rsidRPr="009E7B83">
        <w:rPr>
          <w:rFonts w:ascii="Palatino Linotype" w:eastAsia="Palatino Linotype" w:hAnsi="Palatino Linotype" w:cs="Palatino Linotype"/>
          <w:b/>
          <w:sz w:val="22"/>
          <w:szCs w:val="22"/>
        </w:rPr>
        <w:t>veintiuno</w:t>
      </w:r>
      <w:r w:rsidRPr="009E7B83">
        <w:rPr>
          <w:rFonts w:ascii="Palatino Linotype" w:eastAsia="Palatino Linotype" w:hAnsi="Palatino Linotype" w:cs="Palatino Linotype"/>
          <w:b/>
          <w:sz w:val="22"/>
          <w:szCs w:val="22"/>
        </w:rPr>
        <w:t xml:space="preserve"> de </w:t>
      </w:r>
      <w:r w:rsidR="001624D4" w:rsidRPr="009E7B83">
        <w:rPr>
          <w:rFonts w:ascii="Palatino Linotype" w:eastAsia="Palatino Linotype" w:hAnsi="Palatino Linotype" w:cs="Palatino Linotype"/>
          <w:b/>
          <w:sz w:val="22"/>
          <w:szCs w:val="22"/>
        </w:rPr>
        <w:t>abril</w:t>
      </w:r>
      <w:r w:rsidRPr="009E7B83">
        <w:rPr>
          <w:rFonts w:ascii="Palatino Linotype" w:eastAsia="Palatino Linotype" w:hAnsi="Palatino Linotype" w:cs="Palatino Linotype"/>
          <w:b/>
          <w:sz w:val="22"/>
          <w:szCs w:val="22"/>
        </w:rPr>
        <w:t xml:space="preserve"> de dos mil veinticinco, LA PARTE RECURRENTE </w:t>
      </w:r>
      <w:r w:rsidRPr="009E7B83">
        <w:rPr>
          <w:rFonts w:ascii="Palatino Linotype" w:eastAsia="Palatino Linotype" w:hAnsi="Palatino Linotype" w:cs="Palatino Linotype"/>
          <w:sz w:val="22"/>
          <w:szCs w:val="22"/>
        </w:rPr>
        <w:t xml:space="preserve">interpuso el recurso de revisión, mediante el cual y manifestó lo siguiente: </w:t>
      </w:r>
    </w:p>
    <w:p w14:paraId="54742C83" w14:textId="77777777" w:rsidR="001624D4" w:rsidRPr="009E7B83" w:rsidRDefault="001624D4">
      <w:pPr>
        <w:spacing w:line="360" w:lineRule="auto"/>
        <w:jc w:val="both"/>
        <w:rPr>
          <w:rFonts w:ascii="Palatino Linotype" w:eastAsia="Palatino Linotype" w:hAnsi="Palatino Linotype" w:cs="Palatino Linotype"/>
          <w:sz w:val="22"/>
          <w:szCs w:val="22"/>
        </w:rPr>
      </w:pPr>
    </w:p>
    <w:p w14:paraId="07DC733D" w14:textId="77777777" w:rsidR="00422AF6" w:rsidRPr="009E7B83" w:rsidRDefault="0067296C">
      <w:pPr>
        <w:spacing w:line="360" w:lineRule="auto"/>
        <w:ind w:left="142" w:right="56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Acto Impugnado:</w:t>
      </w:r>
      <w:r w:rsidRPr="009E7B83">
        <w:rPr>
          <w:rFonts w:ascii="Palatino Linotype" w:eastAsia="Palatino Linotype" w:hAnsi="Palatino Linotype" w:cs="Palatino Linotype"/>
          <w:i/>
          <w:sz w:val="22"/>
          <w:szCs w:val="22"/>
        </w:rPr>
        <w:t xml:space="preserve"> “</w:t>
      </w:r>
      <w:r w:rsidR="00953DDA" w:rsidRPr="009E7B83">
        <w:rPr>
          <w:rFonts w:ascii="Palatino Linotype" w:eastAsia="Palatino Linotype" w:hAnsi="Palatino Linotype" w:cs="Palatino Linotype"/>
          <w:i/>
          <w:sz w:val="22"/>
          <w:szCs w:val="22"/>
        </w:rPr>
        <w:t>Respuesta a la solicitud 00021 de este Sujeto Obligado</w:t>
      </w:r>
      <w:r w:rsidRPr="009E7B83">
        <w:rPr>
          <w:rFonts w:ascii="Palatino Linotype" w:eastAsia="Palatino Linotype" w:hAnsi="Palatino Linotype" w:cs="Palatino Linotype"/>
          <w:i/>
          <w:sz w:val="22"/>
          <w:szCs w:val="22"/>
        </w:rPr>
        <w:t>”</w:t>
      </w:r>
    </w:p>
    <w:p w14:paraId="2F3D8FE0" w14:textId="77777777" w:rsidR="00422AF6" w:rsidRPr="009E7B83" w:rsidRDefault="0067296C">
      <w:pPr>
        <w:spacing w:line="360" w:lineRule="auto"/>
        <w:ind w:left="142" w:right="56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Motivo de inconformidad:</w:t>
      </w:r>
      <w:r w:rsidRPr="009E7B83">
        <w:rPr>
          <w:rFonts w:ascii="Palatino Linotype" w:eastAsia="Palatino Linotype" w:hAnsi="Palatino Linotype" w:cs="Palatino Linotype"/>
          <w:i/>
          <w:sz w:val="22"/>
          <w:szCs w:val="22"/>
        </w:rPr>
        <w:t xml:space="preserve"> “</w:t>
      </w:r>
      <w:r w:rsidR="00953DDA" w:rsidRPr="009E7B83">
        <w:rPr>
          <w:rFonts w:ascii="Palatino Linotype" w:eastAsia="Palatino Linotype" w:hAnsi="Palatino Linotype" w:cs="Palatino Linotype"/>
          <w:i/>
          <w:sz w:val="22"/>
          <w:szCs w:val="22"/>
        </w:rPr>
        <w:t xml:space="preserve">Alegar desconocimiento del parque mencionado, pues su construcción se realizó y se ubica en la entrada del municipio con rumbo al circuito exterior mexiquense. Se anexan </w:t>
      </w:r>
      <w:proofErr w:type="spellStart"/>
      <w:r w:rsidR="00953DDA" w:rsidRPr="009E7B83">
        <w:rPr>
          <w:rFonts w:ascii="Palatino Linotype" w:eastAsia="Palatino Linotype" w:hAnsi="Palatino Linotype" w:cs="Palatino Linotype"/>
          <w:i/>
          <w:sz w:val="22"/>
          <w:szCs w:val="22"/>
        </w:rPr>
        <w:t>imagenes</w:t>
      </w:r>
      <w:proofErr w:type="spellEnd"/>
      <w:r w:rsidRPr="009E7B83">
        <w:rPr>
          <w:rFonts w:ascii="Palatino Linotype" w:eastAsia="Palatino Linotype" w:hAnsi="Palatino Linotype" w:cs="Palatino Linotype"/>
          <w:i/>
          <w:sz w:val="22"/>
          <w:szCs w:val="22"/>
        </w:rPr>
        <w:t>”</w:t>
      </w:r>
    </w:p>
    <w:p w14:paraId="67C55E5D" w14:textId="77777777" w:rsidR="001624D4" w:rsidRPr="009E7B83" w:rsidRDefault="001624D4">
      <w:pPr>
        <w:spacing w:line="360" w:lineRule="auto"/>
        <w:ind w:left="142" w:right="560"/>
        <w:jc w:val="both"/>
        <w:rPr>
          <w:rFonts w:ascii="Palatino Linotype" w:eastAsia="Palatino Linotype" w:hAnsi="Palatino Linotype" w:cs="Palatino Linotype"/>
          <w:i/>
          <w:sz w:val="22"/>
          <w:szCs w:val="22"/>
        </w:rPr>
      </w:pPr>
    </w:p>
    <w:p w14:paraId="19C1F565" w14:textId="77777777" w:rsidR="00953DDA" w:rsidRPr="009E7B83" w:rsidRDefault="001624D4" w:rsidP="001624D4">
      <w:pPr>
        <w:pStyle w:val="Prrafodelista"/>
        <w:numPr>
          <w:ilvl w:val="0"/>
          <w:numId w:val="6"/>
        </w:numPr>
        <w:spacing w:line="360" w:lineRule="auto"/>
        <w:ind w:left="284" w:right="56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El Recurrente adjuntó</w:t>
      </w:r>
      <w:r w:rsidR="00953DDA" w:rsidRPr="009E7B83">
        <w:rPr>
          <w:rFonts w:ascii="Palatino Linotype" w:eastAsia="Palatino Linotype" w:hAnsi="Palatino Linotype" w:cs="Palatino Linotype"/>
          <w:sz w:val="22"/>
          <w:szCs w:val="22"/>
        </w:rPr>
        <w:t xml:space="preserve"> los documentos denominados </w:t>
      </w:r>
      <w:r w:rsidR="00953DDA" w:rsidRPr="009E7B83">
        <w:rPr>
          <w:rFonts w:ascii="Palatino Linotype" w:eastAsia="Palatino Linotype" w:hAnsi="Palatino Linotype" w:cs="Palatino Linotype"/>
          <w:b/>
          <w:sz w:val="22"/>
          <w:szCs w:val="22"/>
        </w:rPr>
        <w:t>Parqe.jpg y pparq.jpg</w:t>
      </w:r>
      <w:r w:rsidR="00953DDA" w:rsidRPr="009E7B83">
        <w:rPr>
          <w:rFonts w:ascii="Palatino Linotype" w:eastAsia="Palatino Linotype" w:hAnsi="Palatino Linotype" w:cs="Palatino Linotype"/>
          <w:sz w:val="22"/>
          <w:szCs w:val="22"/>
        </w:rPr>
        <w:t xml:space="preserve"> los cuales contienen dos imágenes que dan cuenta la existencia de la construcción del parque recreativo municipal referido en la solicitud.</w:t>
      </w:r>
    </w:p>
    <w:p w14:paraId="40EFF4D7" w14:textId="77777777" w:rsidR="00953DDA" w:rsidRPr="009E7B83" w:rsidRDefault="00953DDA" w:rsidP="00953DDA">
      <w:pPr>
        <w:pStyle w:val="Prrafodelista"/>
        <w:spacing w:line="360" w:lineRule="auto"/>
        <w:ind w:left="284" w:right="560"/>
        <w:jc w:val="both"/>
        <w:rPr>
          <w:rFonts w:ascii="Palatino Linotype" w:eastAsia="Palatino Linotype" w:hAnsi="Palatino Linotype" w:cs="Palatino Linotype"/>
          <w:sz w:val="22"/>
          <w:szCs w:val="22"/>
        </w:rPr>
      </w:pPr>
    </w:p>
    <w:p w14:paraId="5090AB14" w14:textId="77777777" w:rsidR="001624D4" w:rsidRPr="009E7B83" w:rsidRDefault="001624D4" w:rsidP="001624D4">
      <w:pPr>
        <w:spacing w:line="360" w:lineRule="auto"/>
        <w:ind w:right="560"/>
        <w:jc w:val="both"/>
        <w:rPr>
          <w:rFonts w:ascii="Palatino Linotype" w:eastAsia="Palatino Linotype" w:hAnsi="Palatino Linotype" w:cs="Palatino Linotype"/>
          <w:i/>
          <w:sz w:val="22"/>
          <w:szCs w:val="22"/>
        </w:rPr>
      </w:pPr>
    </w:p>
    <w:p w14:paraId="59000956" w14:textId="77777777" w:rsidR="00422AF6" w:rsidRPr="009E7B83" w:rsidRDefault="0067296C">
      <w:pPr>
        <w:spacing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 xml:space="preserve">4. </w:t>
      </w:r>
      <w:r w:rsidRPr="009E7B83">
        <w:rPr>
          <w:rFonts w:ascii="Palatino Linotype" w:eastAsia="Palatino Linotype" w:hAnsi="Palatino Linotype" w:cs="Palatino Linotype"/>
          <w:b/>
          <w:color w:val="000000"/>
          <w:sz w:val="22"/>
          <w:szCs w:val="22"/>
        </w:rPr>
        <w:t xml:space="preserve">Turno. </w:t>
      </w:r>
      <w:r w:rsidRPr="009E7B83">
        <w:rPr>
          <w:rFonts w:ascii="Palatino Linotype" w:eastAsia="Palatino Linotype" w:hAnsi="Palatino Linotype" w:cs="Palatino Linotype"/>
          <w:color w:val="000000"/>
          <w:sz w:val="22"/>
          <w:szCs w:val="22"/>
        </w:rPr>
        <w:t xml:space="preserve">De conformidad con el artículo 185, fracción I de la Ley de Transparencia y Acceso a la Información Pública del Estado de México y Municipios, el recurso de revisión número </w:t>
      </w:r>
      <w:r w:rsidR="00B949AB" w:rsidRPr="009E7B83">
        <w:rPr>
          <w:rFonts w:ascii="Palatino Linotype" w:eastAsia="Palatino Linotype" w:hAnsi="Palatino Linotype" w:cs="Palatino Linotype"/>
          <w:b/>
          <w:color w:val="000000"/>
          <w:sz w:val="22"/>
          <w:szCs w:val="22"/>
        </w:rPr>
        <w:t>04504/INFOEM/IP/RR/2025</w:t>
      </w:r>
      <w:r w:rsidRPr="009E7B83">
        <w:rPr>
          <w:rFonts w:ascii="Palatino Linotype" w:eastAsia="Palatino Linotype" w:hAnsi="Palatino Linotype" w:cs="Palatino Linotype"/>
          <w:color w:val="000000"/>
          <w:sz w:val="22"/>
          <w:szCs w:val="22"/>
        </w:rPr>
        <w:t xml:space="preserve">, se turnó por el sistema electrónico del Instituto de Transparencia, Acceso a la Información Pública y Protección de Datos Personales del Estado de México y Municipios, a la Comisionada </w:t>
      </w:r>
      <w:r w:rsidRPr="009E7B83">
        <w:rPr>
          <w:rFonts w:ascii="Palatino Linotype" w:eastAsia="Palatino Linotype" w:hAnsi="Palatino Linotype" w:cs="Palatino Linotype"/>
          <w:b/>
          <w:color w:val="000000"/>
          <w:sz w:val="22"/>
          <w:szCs w:val="22"/>
        </w:rPr>
        <w:t>Guadalupe Ramírez Peña</w:t>
      </w:r>
      <w:r w:rsidRPr="009E7B83">
        <w:rPr>
          <w:rFonts w:ascii="Palatino Linotype" w:eastAsia="Palatino Linotype" w:hAnsi="Palatino Linotype" w:cs="Palatino Linotype"/>
          <w:color w:val="000000"/>
          <w:sz w:val="22"/>
          <w:szCs w:val="22"/>
        </w:rPr>
        <w:t>, para su análisis, estudio, elaboración del proyecto y presentación ante el Pleno de este Instituto.</w:t>
      </w:r>
    </w:p>
    <w:p w14:paraId="717317BC" w14:textId="77777777" w:rsidR="00422AF6" w:rsidRPr="009E7B83" w:rsidRDefault="00422AF6">
      <w:pPr>
        <w:spacing w:line="360" w:lineRule="auto"/>
        <w:jc w:val="both"/>
        <w:rPr>
          <w:rFonts w:ascii="Palatino Linotype" w:eastAsia="Palatino Linotype" w:hAnsi="Palatino Linotype" w:cs="Palatino Linotype"/>
          <w:sz w:val="22"/>
          <w:szCs w:val="22"/>
        </w:rPr>
      </w:pPr>
    </w:p>
    <w:p w14:paraId="67626BEC" w14:textId="77777777" w:rsidR="00422AF6" w:rsidRPr="009E7B83" w:rsidRDefault="0067296C">
      <w:pPr>
        <w:spacing w:line="360" w:lineRule="auto"/>
        <w:jc w:val="both"/>
        <w:rPr>
          <w:rFonts w:ascii="Palatino Linotype" w:eastAsia="Palatino Linotype" w:hAnsi="Palatino Linotype" w:cs="Palatino Linotype"/>
          <w:b/>
          <w:sz w:val="22"/>
          <w:szCs w:val="22"/>
        </w:rPr>
      </w:pPr>
      <w:r w:rsidRPr="009E7B83">
        <w:rPr>
          <w:rFonts w:ascii="Palatino Linotype" w:eastAsia="Palatino Linotype" w:hAnsi="Palatino Linotype" w:cs="Palatino Linotype"/>
          <w:b/>
          <w:sz w:val="22"/>
          <w:szCs w:val="22"/>
        </w:rPr>
        <w:t xml:space="preserve">5. Admisión. </w:t>
      </w:r>
      <w:r w:rsidRPr="009E7B83">
        <w:rPr>
          <w:rFonts w:ascii="Palatino Linotype" w:eastAsia="Palatino Linotype" w:hAnsi="Palatino Linotype" w:cs="Palatino Linotype"/>
          <w:sz w:val="22"/>
          <w:szCs w:val="22"/>
        </w:rPr>
        <w:t xml:space="preserve">El </w:t>
      </w:r>
      <w:r w:rsidRPr="009E7B83">
        <w:rPr>
          <w:rFonts w:ascii="Palatino Linotype" w:eastAsia="Palatino Linotype" w:hAnsi="Palatino Linotype" w:cs="Palatino Linotype"/>
          <w:b/>
          <w:sz w:val="22"/>
          <w:szCs w:val="22"/>
        </w:rPr>
        <w:t>veinti</w:t>
      </w:r>
      <w:r w:rsidR="001624D4" w:rsidRPr="009E7B83">
        <w:rPr>
          <w:rFonts w:ascii="Palatino Linotype" w:eastAsia="Palatino Linotype" w:hAnsi="Palatino Linotype" w:cs="Palatino Linotype"/>
          <w:b/>
          <w:sz w:val="22"/>
          <w:szCs w:val="22"/>
        </w:rPr>
        <w:t>cuatro</w:t>
      </w:r>
      <w:r w:rsidRPr="009E7B83">
        <w:rPr>
          <w:rFonts w:ascii="Palatino Linotype" w:eastAsia="Palatino Linotype" w:hAnsi="Palatino Linotype" w:cs="Palatino Linotype"/>
          <w:sz w:val="22"/>
          <w:szCs w:val="22"/>
        </w:rPr>
        <w:t xml:space="preserve"> </w:t>
      </w:r>
      <w:r w:rsidRPr="009E7B83">
        <w:rPr>
          <w:rFonts w:ascii="Palatino Linotype" w:eastAsia="Palatino Linotype" w:hAnsi="Palatino Linotype" w:cs="Palatino Linotype"/>
          <w:b/>
          <w:sz w:val="22"/>
          <w:szCs w:val="22"/>
        </w:rPr>
        <w:t xml:space="preserve">de </w:t>
      </w:r>
      <w:r w:rsidR="001624D4" w:rsidRPr="009E7B83">
        <w:rPr>
          <w:rFonts w:ascii="Palatino Linotype" w:eastAsia="Palatino Linotype" w:hAnsi="Palatino Linotype" w:cs="Palatino Linotype"/>
          <w:b/>
          <w:sz w:val="22"/>
          <w:szCs w:val="22"/>
        </w:rPr>
        <w:t>abril</w:t>
      </w:r>
      <w:r w:rsidRPr="009E7B83">
        <w:rPr>
          <w:rFonts w:ascii="Palatino Linotype" w:eastAsia="Palatino Linotype" w:hAnsi="Palatino Linotype" w:cs="Palatino Linotype"/>
          <w:b/>
          <w:sz w:val="22"/>
          <w:szCs w:val="22"/>
        </w:rPr>
        <w:t xml:space="preserve"> de dos mil veinticinco</w:t>
      </w:r>
      <w:r w:rsidRPr="009E7B83">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admitieron a trámite los recursos de revisión</w:t>
      </w:r>
      <w:r w:rsidRPr="009E7B83">
        <w:rPr>
          <w:rFonts w:ascii="Palatino Linotype" w:eastAsia="Palatino Linotype" w:hAnsi="Palatino Linotype" w:cs="Palatino Linotype"/>
          <w:b/>
          <w:sz w:val="22"/>
          <w:szCs w:val="22"/>
        </w:rPr>
        <w:t>.</w:t>
      </w:r>
    </w:p>
    <w:p w14:paraId="45D33AD7" w14:textId="77777777" w:rsidR="00422AF6" w:rsidRPr="009E7B83" w:rsidRDefault="00422AF6">
      <w:pPr>
        <w:spacing w:line="360" w:lineRule="auto"/>
        <w:jc w:val="both"/>
        <w:rPr>
          <w:rFonts w:ascii="Palatino Linotype" w:eastAsia="Palatino Linotype" w:hAnsi="Palatino Linotype" w:cs="Palatino Linotype"/>
          <w:b/>
          <w:sz w:val="22"/>
          <w:szCs w:val="22"/>
        </w:rPr>
      </w:pPr>
    </w:p>
    <w:p w14:paraId="5385187B" w14:textId="77777777" w:rsidR="001F1622" w:rsidRPr="009E7B83" w:rsidRDefault="0067296C">
      <w:pPr>
        <w:spacing w:line="360" w:lineRule="auto"/>
        <w:jc w:val="both"/>
        <w:rPr>
          <w:rFonts w:ascii="Palatino Linotype" w:eastAsia="Palatino Linotype" w:hAnsi="Palatino Linotype" w:cs="Palatino Linotype"/>
          <w:b/>
          <w:sz w:val="22"/>
          <w:szCs w:val="22"/>
        </w:rPr>
      </w:pPr>
      <w:r w:rsidRPr="009E7B83">
        <w:rPr>
          <w:rFonts w:ascii="Palatino Linotype" w:eastAsia="Palatino Linotype" w:hAnsi="Palatino Linotype" w:cs="Palatino Linotype"/>
          <w:b/>
          <w:sz w:val="22"/>
          <w:szCs w:val="22"/>
        </w:rPr>
        <w:t xml:space="preserve">6. Manifestaciones. </w:t>
      </w:r>
      <w:r w:rsidR="001F1622" w:rsidRPr="009E7B83">
        <w:rPr>
          <w:rFonts w:ascii="Palatino Linotype" w:eastAsia="Palatino Linotype" w:hAnsi="Palatino Linotype" w:cs="Palatino Linotype"/>
          <w:sz w:val="22"/>
          <w:szCs w:val="22"/>
        </w:rPr>
        <w:t>De las constancias que obran en el expediente electrónico del SAIMEX, se advierte que tanto el Sujeto Obligado como el Recurrente fueron omisos en realizar manifestaciones; se inserta imagen de referencia:</w:t>
      </w:r>
    </w:p>
    <w:p w14:paraId="34090060" w14:textId="77777777" w:rsidR="001F1622" w:rsidRPr="009E7B83" w:rsidRDefault="001F1622">
      <w:pPr>
        <w:spacing w:line="360" w:lineRule="auto"/>
        <w:jc w:val="both"/>
        <w:rPr>
          <w:rFonts w:ascii="Palatino Linotype" w:eastAsia="Palatino Linotype" w:hAnsi="Palatino Linotype" w:cs="Palatino Linotype"/>
          <w:b/>
          <w:sz w:val="22"/>
          <w:szCs w:val="22"/>
        </w:rPr>
      </w:pPr>
    </w:p>
    <w:p w14:paraId="5860269C" w14:textId="77777777" w:rsidR="001F1622" w:rsidRPr="009E7B83" w:rsidRDefault="001F1622">
      <w:pPr>
        <w:spacing w:line="360" w:lineRule="auto"/>
        <w:jc w:val="both"/>
        <w:rPr>
          <w:rFonts w:ascii="Palatino Linotype" w:eastAsia="Palatino Linotype" w:hAnsi="Palatino Linotype" w:cs="Palatino Linotype"/>
          <w:b/>
          <w:sz w:val="22"/>
          <w:szCs w:val="22"/>
        </w:rPr>
      </w:pPr>
      <w:r w:rsidRPr="009E7B83">
        <w:rPr>
          <w:rFonts w:ascii="Palatino Linotype" w:eastAsia="Palatino Linotype" w:hAnsi="Palatino Linotype" w:cs="Palatino Linotype"/>
          <w:b/>
          <w:noProof/>
          <w:sz w:val="22"/>
          <w:szCs w:val="22"/>
        </w:rPr>
        <w:drawing>
          <wp:inline distT="0" distB="0" distL="0" distR="0" wp14:anchorId="79526CCE" wp14:editId="6A25163E">
            <wp:extent cx="5756275" cy="18853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1885315"/>
                    </a:xfrm>
                    <a:prstGeom prst="rect">
                      <a:avLst/>
                    </a:prstGeom>
                  </pic:spPr>
                </pic:pic>
              </a:graphicData>
            </a:graphic>
          </wp:inline>
        </w:drawing>
      </w:r>
    </w:p>
    <w:p w14:paraId="7BB6104D" w14:textId="77777777" w:rsidR="001F1622" w:rsidRPr="009E7B83" w:rsidRDefault="001F1622">
      <w:pPr>
        <w:spacing w:line="360" w:lineRule="auto"/>
        <w:jc w:val="both"/>
        <w:rPr>
          <w:rFonts w:ascii="Palatino Linotype" w:eastAsia="Palatino Linotype" w:hAnsi="Palatino Linotype" w:cs="Palatino Linotype"/>
          <w:b/>
          <w:sz w:val="22"/>
          <w:szCs w:val="22"/>
        </w:rPr>
      </w:pPr>
    </w:p>
    <w:p w14:paraId="129C4DD1" w14:textId="77777777" w:rsidR="00422AF6" w:rsidRPr="009E7B83" w:rsidRDefault="0067296C">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9E7B83">
        <w:rPr>
          <w:rFonts w:ascii="Palatino Linotype" w:eastAsia="Palatino Linotype" w:hAnsi="Palatino Linotype" w:cs="Palatino Linotype"/>
          <w:b/>
          <w:color w:val="000000"/>
          <w:sz w:val="22"/>
          <w:szCs w:val="22"/>
        </w:rPr>
        <w:lastRenderedPageBreak/>
        <w:t xml:space="preserve">7. Ampliación de plazo. El </w:t>
      </w:r>
      <w:r w:rsidR="008D237D" w:rsidRPr="009E7B83">
        <w:rPr>
          <w:rFonts w:ascii="Palatino Linotype" w:eastAsia="Palatino Linotype" w:hAnsi="Palatino Linotype" w:cs="Palatino Linotype"/>
          <w:b/>
          <w:color w:val="000000"/>
          <w:sz w:val="22"/>
          <w:szCs w:val="22"/>
        </w:rPr>
        <w:t>quince</w:t>
      </w:r>
      <w:r w:rsidRPr="009E7B83">
        <w:rPr>
          <w:rFonts w:ascii="Palatino Linotype" w:eastAsia="Palatino Linotype" w:hAnsi="Palatino Linotype" w:cs="Palatino Linotype"/>
          <w:b/>
          <w:color w:val="000000"/>
          <w:sz w:val="22"/>
          <w:szCs w:val="22"/>
        </w:rPr>
        <w:t xml:space="preserve"> de julio de dos mil veinticinco</w:t>
      </w:r>
      <w:r w:rsidRPr="009E7B83">
        <w:rPr>
          <w:rFonts w:ascii="Palatino Linotype" w:eastAsia="Palatino Linotype" w:hAnsi="Palatino Linotype" w:cs="Palatino Linotype"/>
          <w:color w:val="000000"/>
          <w:sz w:val="22"/>
          <w:szCs w:val="22"/>
        </w:rPr>
        <w:t xml:space="preserve">, se amplió el término para resolver el recurso de revisión en términos del artículo 181 párrafo tercero de la Ley de Transparencia y Acceso a la Información Pública del Estado de México y Municipios. </w:t>
      </w:r>
    </w:p>
    <w:p w14:paraId="1161F783" w14:textId="77777777" w:rsidR="00422AF6" w:rsidRPr="009E7B83" w:rsidRDefault="00422AF6">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766112FC"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52248CF"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 </w:t>
      </w:r>
    </w:p>
    <w:p w14:paraId="0F4FD909"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545EBB7"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 </w:t>
      </w:r>
    </w:p>
    <w:p w14:paraId="66707CDB"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72D24D" w14:textId="77777777" w:rsidR="00422AF6" w:rsidRPr="009E7B83" w:rsidRDefault="00422AF6">
      <w:pPr>
        <w:spacing w:line="360" w:lineRule="auto"/>
        <w:ind w:right="49"/>
        <w:jc w:val="both"/>
        <w:rPr>
          <w:rFonts w:ascii="Palatino Linotype" w:eastAsia="Palatino Linotype" w:hAnsi="Palatino Linotype" w:cs="Palatino Linotype"/>
          <w:sz w:val="22"/>
          <w:szCs w:val="22"/>
        </w:rPr>
      </w:pPr>
    </w:p>
    <w:p w14:paraId="43FA874C"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D2558B4" w14:textId="77777777" w:rsidR="00422AF6" w:rsidRPr="009E7B83" w:rsidRDefault="00422AF6">
      <w:pPr>
        <w:spacing w:line="360" w:lineRule="auto"/>
        <w:ind w:right="49"/>
        <w:jc w:val="both"/>
        <w:rPr>
          <w:rFonts w:ascii="Palatino Linotype" w:eastAsia="Palatino Linotype" w:hAnsi="Palatino Linotype" w:cs="Palatino Linotype"/>
          <w:sz w:val="22"/>
          <w:szCs w:val="22"/>
        </w:rPr>
      </w:pPr>
    </w:p>
    <w:p w14:paraId="1CC8F963"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5141884" w14:textId="77777777" w:rsidR="00422AF6" w:rsidRPr="009E7B83" w:rsidRDefault="00422AF6">
      <w:pPr>
        <w:spacing w:line="360" w:lineRule="auto"/>
        <w:ind w:right="49"/>
        <w:jc w:val="both"/>
        <w:rPr>
          <w:rFonts w:ascii="Palatino Linotype" w:eastAsia="Palatino Linotype" w:hAnsi="Palatino Linotype" w:cs="Palatino Linotype"/>
          <w:sz w:val="22"/>
          <w:szCs w:val="22"/>
        </w:rPr>
      </w:pPr>
    </w:p>
    <w:p w14:paraId="4EFD59B7" w14:textId="77777777" w:rsidR="00422AF6" w:rsidRPr="009E7B83" w:rsidRDefault="0067296C">
      <w:pPr>
        <w:tabs>
          <w:tab w:val="left" w:pos="709"/>
        </w:tabs>
        <w:spacing w:line="360" w:lineRule="auto"/>
        <w:ind w:left="567" w:right="56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a)    Complejidad del asunto:</w:t>
      </w:r>
      <w:r w:rsidRPr="009E7B83">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6867B28C" w14:textId="77777777" w:rsidR="00422AF6" w:rsidRPr="009E7B83" w:rsidRDefault="0067296C">
      <w:pPr>
        <w:tabs>
          <w:tab w:val="left" w:pos="709"/>
        </w:tabs>
        <w:spacing w:line="360" w:lineRule="auto"/>
        <w:ind w:left="567" w:right="56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b)   Actividad Procesal del interesado</w:t>
      </w:r>
      <w:r w:rsidRPr="009E7B83">
        <w:rPr>
          <w:rFonts w:ascii="Palatino Linotype" w:eastAsia="Palatino Linotype" w:hAnsi="Palatino Linotype" w:cs="Palatino Linotype"/>
          <w:sz w:val="22"/>
          <w:szCs w:val="22"/>
        </w:rPr>
        <w:t>: Acciones u omisiones del interesado.</w:t>
      </w:r>
    </w:p>
    <w:p w14:paraId="6D39825E" w14:textId="77777777" w:rsidR="00422AF6" w:rsidRPr="009E7B83" w:rsidRDefault="0067296C">
      <w:pPr>
        <w:tabs>
          <w:tab w:val="left" w:pos="851"/>
        </w:tabs>
        <w:spacing w:line="360" w:lineRule="auto"/>
        <w:ind w:left="567" w:right="56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c)  Conducta de la Autoridad:</w:t>
      </w:r>
      <w:r w:rsidRPr="009E7B83">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24B445D" w14:textId="77777777" w:rsidR="00422AF6" w:rsidRPr="009E7B83" w:rsidRDefault="0067296C">
      <w:pPr>
        <w:tabs>
          <w:tab w:val="left" w:pos="851"/>
        </w:tabs>
        <w:spacing w:line="360" w:lineRule="auto"/>
        <w:ind w:left="567" w:right="56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d) La afectación generada en la situación jurídica de la persona involucrada en el proceso:</w:t>
      </w:r>
      <w:r w:rsidRPr="009E7B83">
        <w:rPr>
          <w:rFonts w:ascii="Palatino Linotype" w:eastAsia="Palatino Linotype" w:hAnsi="Palatino Linotype" w:cs="Palatino Linotype"/>
          <w:sz w:val="22"/>
          <w:szCs w:val="22"/>
        </w:rPr>
        <w:t xml:space="preserve"> Violación a sus derechos humanos.</w:t>
      </w:r>
    </w:p>
    <w:p w14:paraId="2C8A7323" w14:textId="77777777" w:rsidR="00422AF6" w:rsidRPr="009E7B83" w:rsidRDefault="00422AF6">
      <w:pPr>
        <w:spacing w:line="360" w:lineRule="auto"/>
        <w:ind w:right="49"/>
        <w:jc w:val="both"/>
        <w:rPr>
          <w:rFonts w:ascii="Palatino Linotype" w:eastAsia="Palatino Linotype" w:hAnsi="Palatino Linotype" w:cs="Palatino Linotype"/>
          <w:sz w:val="22"/>
          <w:szCs w:val="22"/>
        </w:rPr>
      </w:pPr>
    </w:p>
    <w:p w14:paraId="566FC6E7"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2E66CF"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 </w:t>
      </w:r>
    </w:p>
    <w:p w14:paraId="242AD357"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9E7B83">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9E7B83">
        <w:rPr>
          <w:rFonts w:ascii="Palatino Linotype" w:eastAsia="Palatino Linotype" w:hAnsi="Palatino Linotype" w:cs="Palatino Linotype"/>
          <w:sz w:val="22"/>
          <w:szCs w:val="22"/>
        </w:rPr>
        <w:t>, visible en la Gaceta del Seminario Judicial de la Federación con el registro digital 205635.</w:t>
      </w:r>
    </w:p>
    <w:p w14:paraId="19FA76AB"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 </w:t>
      </w:r>
    </w:p>
    <w:p w14:paraId="38A72B3B"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323740" w14:textId="77777777" w:rsidR="00422AF6" w:rsidRPr="009E7B83" w:rsidRDefault="00422AF6">
      <w:pPr>
        <w:spacing w:line="360" w:lineRule="auto"/>
        <w:ind w:right="49"/>
        <w:jc w:val="both"/>
        <w:rPr>
          <w:rFonts w:ascii="Palatino Linotype" w:eastAsia="Palatino Linotype" w:hAnsi="Palatino Linotype" w:cs="Palatino Linotype"/>
          <w:sz w:val="22"/>
          <w:szCs w:val="22"/>
        </w:rPr>
      </w:pPr>
    </w:p>
    <w:p w14:paraId="217E4A4C"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4F51A5C" w14:textId="77777777" w:rsidR="00422AF6" w:rsidRPr="009E7B83" w:rsidRDefault="00422AF6">
      <w:pPr>
        <w:spacing w:line="360" w:lineRule="auto"/>
        <w:ind w:right="49"/>
        <w:jc w:val="both"/>
        <w:rPr>
          <w:rFonts w:ascii="Palatino Linotype" w:eastAsia="Palatino Linotype" w:hAnsi="Palatino Linotype" w:cs="Palatino Linotype"/>
          <w:sz w:val="22"/>
          <w:szCs w:val="22"/>
        </w:rPr>
      </w:pPr>
    </w:p>
    <w:p w14:paraId="4A00E7A1" w14:textId="77777777" w:rsidR="00422AF6" w:rsidRPr="009E7B83" w:rsidRDefault="0067296C">
      <w:pPr>
        <w:spacing w:line="360" w:lineRule="auto"/>
        <w:ind w:left="567" w:right="56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9E7B83">
        <w:rPr>
          <w:rFonts w:ascii="Palatino Linotype" w:eastAsia="Palatino Linotype" w:hAnsi="Palatino Linotype" w:cs="Palatino Linotype"/>
          <w:sz w:val="22"/>
          <w:szCs w:val="22"/>
        </w:rPr>
        <w:t xml:space="preserve"> consultable en el Seminario Judicial de la Federación y su gaceta, con el registro digital 2002351.</w:t>
      </w:r>
    </w:p>
    <w:p w14:paraId="1FC2EBC6" w14:textId="77777777" w:rsidR="00422AF6" w:rsidRPr="009E7B83" w:rsidRDefault="0067296C">
      <w:pPr>
        <w:spacing w:line="360" w:lineRule="auto"/>
        <w:ind w:left="567" w:right="56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9E7B83">
        <w:rPr>
          <w:rFonts w:ascii="Palatino Linotype" w:eastAsia="Palatino Linotype" w:hAnsi="Palatino Linotype" w:cs="Palatino Linotype"/>
          <w:sz w:val="22"/>
          <w:szCs w:val="22"/>
        </w:rPr>
        <w:t xml:space="preserve"> visible en el Seminario Judicial de la Federación y su gaceta, con el registro digital 2002350.</w:t>
      </w:r>
    </w:p>
    <w:p w14:paraId="13DBCE12" w14:textId="77777777" w:rsidR="00422AF6" w:rsidRPr="009E7B83" w:rsidRDefault="00422AF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727D326C" w14:textId="77777777" w:rsidR="00422AF6" w:rsidRPr="009E7B83" w:rsidRDefault="0067296C">
      <w:pPr>
        <w:pBdr>
          <w:top w:val="nil"/>
          <w:left w:val="nil"/>
          <w:bottom w:val="nil"/>
          <w:right w:val="nil"/>
          <w:between w:val="nil"/>
        </w:pBdr>
        <w:spacing w:line="360" w:lineRule="auto"/>
        <w:ind w:right="49"/>
        <w:jc w:val="both"/>
        <w:rPr>
          <w:rFonts w:ascii="Palatino Linotype" w:eastAsia="Palatino Linotype" w:hAnsi="Palatino Linotype" w:cs="Palatino Linotype"/>
          <w:color w:val="FF0000"/>
          <w:sz w:val="22"/>
          <w:szCs w:val="22"/>
        </w:rPr>
      </w:pPr>
      <w:r w:rsidRPr="009E7B83">
        <w:rPr>
          <w:rFonts w:ascii="Palatino Linotype" w:eastAsia="Palatino Linotype" w:hAnsi="Palatino Linotype" w:cs="Palatino Linotype"/>
          <w:color w:val="000000"/>
          <w:sz w:val="22"/>
          <w:szCs w:val="22"/>
        </w:rPr>
        <w:t>Por ello, este organismo garante comprometido con la tutela de los derechos humanos confiados señala que este exceso del plazo legal para resolver el presente asunto resulta de carácter excepcional.</w:t>
      </w:r>
      <w:r w:rsidRPr="009E7B83">
        <w:rPr>
          <w:rFonts w:ascii="Palatino Linotype" w:eastAsia="Palatino Linotype" w:hAnsi="Palatino Linotype" w:cs="Palatino Linotype"/>
          <w:color w:val="FF0000"/>
          <w:sz w:val="22"/>
          <w:szCs w:val="22"/>
        </w:rPr>
        <w:t xml:space="preserve"> </w:t>
      </w:r>
    </w:p>
    <w:p w14:paraId="480447AE" w14:textId="77777777" w:rsidR="00422AF6" w:rsidRPr="009E7B83" w:rsidRDefault="00422AF6">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673EAE28" w14:textId="74EE8678" w:rsidR="00422AF6" w:rsidRPr="009E7B83" w:rsidRDefault="0067296C">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9E7B83">
        <w:rPr>
          <w:rFonts w:ascii="Palatino Linotype" w:eastAsia="Palatino Linotype" w:hAnsi="Palatino Linotype" w:cs="Palatino Linotype"/>
          <w:b/>
          <w:color w:val="000000"/>
          <w:sz w:val="22"/>
          <w:szCs w:val="22"/>
        </w:rPr>
        <w:t>8. Cierre de instrucción</w:t>
      </w:r>
      <w:r w:rsidRPr="009E7B83">
        <w:rPr>
          <w:rFonts w:ascii="Palatino Linotype" w:eastAsia="Palatino Linotype" w:hAnsi="Palatino Linotype" w:cs="Palatino Linotype"/>
          <w:color w:val="000000"/>
          <w:sz w:val="22"/>
          <w:szCs w:val="22"/>
        </w:rPr>
        <w:t xml:space="preserve">. En fecha </w:t>
      </w:r>
      <w:r w:rsidR="001F1622" w:rsidRPr="009E7B83">
        <w:rPr>
          <w:rFonts w:ascii="Palatino Linotype" w:eastAsia="Palatino Linotype" w:hAnsi="Palatino Linotype" w:cs="Palatino Linotype"/>
          <w:b/>
          <w:sz w:val="22"/>
          <w:szCs w:val="22"/>
        </w:rPr>
        <w:t>quince</w:t>
      </w:r>
      <w:r w:rsidR="008D237D" w:rsidRPr="009E7B83">
        <w:rPr>
          <w:rFonts w:ascii="Palatino Linotype" w:eastAsia="Palatino Linotype" w:hAnsi="Palatino Linotype" w:cs="Palatino Linotype"/>
          <w:b/>
          <w:sz w:val="22"/>
          <w:szCs w:val="22"/>
        </w:rPr>
        <w:t xml:space="preserve"> de </w:t>
      </w:r>
      <w:r w:rsidR="001F1622" w:rsidRPr="009E7B83">
        <w:rPr>
          <w:rFonts w:ascii="Palatino Linotype" w:eastAsia="Palatino Linotype" w:hAnsi="Palatino Linotype" w:cs="Palatino Linotype"/>
          <w:b/>
          <w:sz w:val="22"/>
          <w:szCs w:val="22"/>
        </w:rPr>
        <w:t>julio</w:t>
      </w:r>
      <w:r w:rsidRPr="009E7B83">
        <w:rPr>
          <w:rFonts w:ascii="Palatino Linotype" w:eastAsia="Palatino Linotype" w:hAnsi="Palatino Linotype" w:cs="Palatino Linotype"/>
          <w:b/>
          <w:sz w:val="22"/>
          <w:szCs w:val="22"/>
        </w:rPr>
        <w:t xml:space="preserve"> </w:t>
      </w:r>
      <w:r w:rsidRPr="009E7B83">
        <w:rPr>
          <w:rFonts w:ascii="Palatino Linotype" w:eastAsia="Palatino Linotype" w:hAnsi="Palatino Linotype" w:cs="Palatino Linotype"/>
          <w:b/>
          <w:color w:val="000000"/>
          <w:sz w:val="22"/>
          <w:szCs w:val="22"/>
        </w:rPr>
        <w:t>de dos mil veinticinco</w:t>
      </w:r>
      <w:r w:rsidR="00D503DE" w:rsidRPr="009E7B83">
        <w:rPr>
          <w:rFonts w:ascii="Palatino Linotype" w:eastAsia="Palatino Linotype" w:hAnsi="Palatino Linotype" w:cs="Palatino Linotype"/>
          <w:b/>
          <w:color w:val="000000"/>
          <w:sz w:val="22"/>
          <w:szCs w:val="22"/>
        </w:rPr>
        <w:t>,</w:t>
      </w:r>
      <w:r w:rsidRPr="009E7B83">
        <w:rPr>
          <w:rFonts w:ascii="Palatino Linotype" w:eastAsia="Palatino Linotype" w:hAnsi="Palatino Linotype" w:cs="Palatino Linotype"/>
          <w:color w:val="000000"/>
          <w:sz w:val="22"/>
          <w:szCs w:val="22"/>
        </w:rPr>
        <w:t xml:space="preserve"> la Comisionada Ponente determinó el cierre de instrucción en términos de la fracción VI del artículo 185 de la Ley de Transparencia y Acceso a la Información Pública del Estado de México y Municipios. </w:t>
      </w:r>
    </w:p>
    <w:p w14:paraId="6AAC2D77" w14:textId="77777777" w:rsidR="00422AF6" w:rsidRPr="009E7B83" w:rsidRDefault="00422A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A590E83" w14:textId="5BB58EA9"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Debido a que </w:t>
      </w:r>
      <w:r w:rsidR="001A29C6" w:rsidRPr="009E7B83">
        <w:rPr>
          <w:rFonts w:ascii="Palatino Linotype" w:eastAsia="Palatino Linotype" w:hAnsi="Palatino Linotype" w:cs="Palatino Linotype"/>
          <w:sz w:val="22"/>
          <w:szCs w:val="22"/>
        </w:rPr>
        <w:t>fue debidamente sustanciado el</w:t>
      </w:r>
      <w:r w:rsidRPr="009E7B83">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58EA116" w14:textId="77777777" w:rsidR="00422AF6" w:rsidRPr="009E7B83" w:rsidRDefault="00422AF6">
      <w:pPr>
        <w:spacing w:line="360" w:lineRule="auto"/>
        <w:ind w:right="49"/>
        <w:jc w:val="both"/>
        <w:rPr>
          <w:rFonts w:ascii="Palatino Linotype" w:eastAsia="Palatino Linotype" w:hAnsi="Palatino Linotype" w:cs="Palatino Linotype"/>
          <w:sz w:val="22"/>
          <w:szCs w:val="22"/>
        </w:rPr>
      </w:pPr>
    </w:p>
    <w:p w14:paraId="7BC6BF9A" w14:textId="77777777" w:rsidR="00422AF6" w:rsidRPr="009E7B83" w:rsidRDefault="0067296C">
      <w:pPr>
        <w:spacing w:line="360" w:lineRule="auto"/>
        <w:ind w:right="49"/>
        <w:jc w:val="center"/>
        <w:rPr>
          <w:rFonts w:ascii="Palatino Linotype" w:eastAsia="Palatino Linotype" w:hAnsi="Palatino Linotype" w:cs="Palatino Linotype"/>
          <w:b/>
          <w:sz w:val="22"/>
          <w:szCs w:val="22"/>
        </w:rPr>
      </w:pPr>
      <w:r w:rsidRPr="009E7B83">
        <w:rPr>
          <w:rFonts w:ascii="Palatino Linotype" w:eastAsia="Palatino Linotype" w:hAnsi="Palatino Linotype" w:cs="Palatino Linotype"/>
          <w:b/>
          <w:sz w:val="22"/>
          <w:szCs w:val="22"/>
        </w:rPr>
        <w:t>II.</w:t>
      </w:r>
      <w:r w:rsidRPr="009E7B83">
        <w:rPr>
          <w:rFonts w:ascii="Palatino Linotype" w:eastAsia="Palatino Linotype" w:hAnsi="Palatino Linotype" w:cs="Palatino Linotype"/>
          <w:b/>
          <w:sz w:val="22"/>
          <w:szCs w:val="22"/>
        </w:rPr>
        <w:tab/>
        <w:t>C O N S I D E R A N D O:</w:t>
      </w:r>
    </w:p>
    <w:p w14:paraId="12B16578" w14:textId="77777777" w:rsidR="00422AF6" w:rsidRPr="009E7B83" w:rsidRDefault="00422AF6">
      <w:pPr>
        <w:spacing w:line="360" w:lineRule="auto"/>
        <w:ind w:right="49"/>
        <w:jc w:val="both"/>
        <w:rPr>
          <w:rFonts w:ascii="Palatino Linotype" w:eastAsia="Palatino Linotype" w:hAnsi="Palatino Linotype" w:cs="Palatino Linotype"/>
          <w:sz w:val="22"/>
          <w:szCs w:val="22"/>
        </w:rPr>
      </w:pPr>
    </w:p>
    <w:p w14:paraId="3A8E5D13" w14:textId="77777777" w:rsidR="00422AF6" w:rsidRPr="009E7B83" w:rsidRDefault="0067296C">
      <w:pPr>
        <w:spacing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Primero. Competencia.</w:t>
      </w:r>
      <w:r w:rsidRPr="009E7B8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2956963" w14:textId="77777777" w:rsidR="00422AF6" w:rsidRPr="009E7B83" w:rsidRDefault="0067296C">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 xml:space="preserve">Segundo. Oportunidad y Procedibilidad del Recurso de Revisión. </w:t>
      </w:r>
      <w:r w:rsidRPr="009E7B83">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8F8B962" w14:textId="77777777" w:rsidR="00422AF6" w:rsidRPr="009E7B83" w:rsidRDefault="0067296C">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lastRenderedPageBreak/>
        <w:t>Al respecto la Ley de Transparencia y Acceso a la Información Pública del Estado de México y Municipios, establece lo siguiente:</w:t>
      </w:r>
    </w:p>
    <w:p w14:paraId="38ECA3D8" w14:textId="77777777" w:rsidR="00422AF6" w:rsidRPr="009E7B83" w:rsidRDefault="0067296C">
      <w:pPr>
        <w:spacing w:line="360" w:lineRule="auto"/>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 xml:space="preserve">“Artículo 178. </w:t>
      </w:r>
      <w:r w:rsidRPr="009E7B83">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9566BA2" w14:textId="6B976FC0" w:rsidR="00422AF6" w:rsidRPr="009E7B83" w:rsidRDefault="0067296C">
      <w:pPr>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9E7B83">
        <w:rPr>
          <w:rFonts w:ascii="Palatino Linotype" w:eastAsia="Palatino Linotype" w:hAnsi="Palatino Linotype" w:cs="Palatino Linotype"/>
          <w:b/>
          <w:sz w:val="22"/>
          <w:szCs w:val="22"/>
        </w:rPr>
        <w:t>SUJETO OBLIGADO</w:t>
      </w:r>
      <w:r w:rsidRPr="009E7B83">
        <w:rPr>
          <w:rFonts w:ascii="Palatino Linotype" w:eastAsia="Palatino Linotype" w:hAnsi="Palatino Linotype" w:cs="Palatino Linotype"/>
          <w:sz w:val="22"/>
          <w:szCs w:val="22"/>
        </w:rPr>
        <w:t xml:space="preserve"> remitió la respuesta a la solicitud de información </w:t>
      </w:r>
      <w:r w:rsidR="004718C5" w:rsidRPr="009E7B83">
        <w:rPr>
          <w:rFonts w:ascii="Palatino Linotype" w:eastAsia="Palatino Linotype" w:hAnsi="Palatino Linotype" w:cs="Palatino Linotype"/>
          <w:sz w:val="22"/>
          <w:szCs w:val="22"/>
        </w:rPr>
        <w:t xml:space="preserve">el día </w:t>
      </w:r>
      <w:r w:rsidR="00543888" w:rsidRPr="009E7B83">
        <w:rPr>
          <w:rFonts w:ascii="Palatino Linotype" w:eastAsia="Palatino Linotype" w:hAnsi="Palatino Linotype" w:cs="Palatino Linotype"/>
          <w:sz w:val="22"/>
          <w:szCs w:val="22"/>
        </w:rPr>
        <w:t>quince de abril</w:t>
      </w:r>
      <w:r w:rsidRPr="009E7B83">
        <w:rPr>
          <w:rFonts w:ascii="Palatino Linotype" w:eastAsia="Palatino Linotype" w:hAnsi="Palatino Linotype" w:cs="Palatino Linotype"/>
          <w:b/>
          <w:color w:val="FF0000"/>
          <w:sz w:val="22"/>
          <w:szCs w:val="22"/>
        </w:rPr>
        <w:t xml:space="preserve"> </w:t>
      </w:r>
      <w:r w:rsidRPr="009E7B83">
        <w:rPr>
          <w:rFonts w:ascii="Palatino Linotype" w:eastAsia="Palatino Linotype" w:hAnsi="Palatino Linotype" w:cs="Palatino Linotype"/>
          <w:b/>
          <w:sz w:val="22"/>
          <w:szCs w:val="22"/>
        </w:rPr>
        <w:t xml:space="preserve">de dos mil veinticinco, </w:t>
      </w:r>
      <w:r w:rsidRPr="009E7B83">
        <w:rPr>
          <w:rFonts w:ascii="Palatino Linotype" w:eastAsia="Palatino Linotype" w:hAnsi="Palatino Linotype" w:cs="Palatino Linotype"/>
          <w:sz w:val="22"/>
          <w:szCs w:val="22"/>
        </w:rPr>
        <w:t xml:space="preserve">mientras que el recurso de revisión interpuesto por la parte </w:t>
      </w:r>
      <w:r w:rsidRPr="009E7B83">
        <w:rPr>
          <w:rFonts w:ascii="Palatino Linotype" w:eastAsia="Palatino Linotype" w:hAnsi="Palatino Linotype" w:cs="Palatino Linotype"/>
          <w:b/>
          <w:sz w:val="22"/>
          <w:szCs w:val="22"/>
        </w:rPr>
        <w:t>RECURRENTE</w:t>
      </w:r>
      <w:r w:rsidRPr="009E7B83">
        <w:rPr>
          <w:rFonts w:ascii="Palatino Linotype" w:eastAsia="Palatino Linotype" w:hAnsi="Palatino Linotype" w:cs="Palatino Linotype"/>
          <w:sz w:val="22"/>
          <w:szCs w:val="22"/>
        </w:rPr>
        <w:t>, se tuv</w:t>
      </w:r>
      <w:r w:rsidR="004718C5" w:rsidRPr="009E7B83">
        <w:rPr>
          <w:rFonts w:ascii="Palatino Linotype" w:eastAsia="Palatino Linotype" w:hAnsi="Palatino Linotype" w:cs="Palatino Linotype"/>
          <w:sz w:val="22"/>
          <w:szCs w:val="22"/>
        </w:rPr>
        <w:t>o</w:t>
      </w:r>
      <w:r w:rsidRPr="009E7B83">
        <w:rPr>
          <w:rFonts w:ascii="Palatino Linotype" w:eastAsia="Palatino Linotype" w:hAnsi="Palatino Linotype" w:cs="Palatino Linotype"/>
          <w:sz w:val="22"/>
          <w:szCs w:val="22"/>
        </w:rPr>
        <w:t xml:space="preserve"> por presentado el </w:t>
      </w:r>
      <w:r w:rsidRPr="009E7B83">
        <w:rPr>
          <w:rFonts w:ascii="Palatino Linotype" w:eastAsia="Palatino Linotype" w:hAnsi="Palatino Linotype" w:cs="Palatino Linotype"/>
          <w:b/>
          <w:sz w:val="22"/>
          <w:szCs w:val="22"/>
        </w:rPr>
        <w:t>veinti</w:t>
      </w:r>
      <w:r w:rsidR="004718C5" w:rsidRPr="009E7B83">
        <w:rPr>
          <w:rFonts w:ascii="Palatino Linotype" w:eastAsia="Palatino Linotype" w:hAnsi="Palatino Linotype" w:cs="Palatino Linotype"/>
          <w:b/>
          <w:sz w:val="22"/>
          <w:szCs w:val="22"/>
        </w:rPr>
        <w:t>uno</w:t>
      </w:r>
      <w:r w:rsidRPr="009E7B83">
        <w:rPr>
          <w:rFonts w:ascii="Palatino Linotype" w:eastAsia="Palatino Linotype" w:hAnsi="Palatino Linotype" w:cs="Palatino Linotype"/>
          <w:b/>
          <w:sz w:val="22"/>
          <w:szCs w:val="22"/>
        </w:rPr>
        <w:t xml:space="preserve"> de </w:t>
      </w:r>
      <w:r w:rsidR="004718C5" w:rsidRPr="009E7B83">
        <w:rPr>
          <w:rFonts w:ascii="Palatino Linotype" w:eastAsia="Palatino Linotype" w:hAnsi="Palatino Linotype" w:cs="Palatino Linotype"/>
          <w:b/>
          <w:sz w:val="22"/>
          <w:szCs w:val="22"/>
        </w:rPr>
        <w:t>abril</w:t>
      </w:r>
      <w:r w:rsidRPr="009E7B83">
        <w:rPr>
          <w:rFonts w:ascii="Palatino Linotype" w:eastAsia="Palatino Linotype" w:hAnsi="Palatino Linotype" w:cs="Palatino Linotype"/>
          <w:b/>
          <w:sz w:val="22"/>
          <w:szCs w:val="22"/>
        </w:rPr>
        <w:t xml:space="preserve"> del año dos mil veinticinco</w:t>
      </w:r>
      <w:r w:rsidRPr="009E7B83">
        <w:rPr>
          <w:rFonts w:ascii="Palatino Linotype" w:eastAsia="Palatino Linotype" w:hAnsi="Palatino Linotype" w:cs="Palatino Linotype"/>
          <w:sz w:val="22"/>
          <w:szCs w:val="22"/>
        </w:rPr>
        <w:t xml:space="preserve">; esto es, </w:t>
      </w:r>
      <w:r w:rsidR="00543888" w:rsidRPr="009E7B83">
        <w:rPr>
          <w:rFonts w:ascii="Palatino Linotype" w:eastAsia="Palatino Linotype" w:hAnsi="Palatino Linotype" w:cs="Palatino Linotype"/>
          <w:sz w:val="22"/>
          <w:szCs w:val="22"/>
        </w:rPr>
        <w:t>al primer día hábil</w:t>
      </w:r>
      <w:r w:rsidR="001D1E6D" w:rsidRPr="009E7B83">
        <w:rPr>
          <w:rFonts w:ascii="Palatino Linotype" w:eastAsia="Palatino Linotype" w:hAnsi="Palatino Linotype" w:cs="Palatino Linotype"/>
          <w:color w:val="FF0000"/>
          <w:sz w:val="22"/>
          <w:szCs w:val="22"/>
        </w:rPr>
        <w:t xml:space="preserve"> </w:t>
      </w:r>
      <w:r w:rsidR="001D1E6D" w:rsidRPr="009E7B83">
        <w:rPr>
          <w:rFonts w:ascii="Palatino Linotype" w:eastAsia="Palatino Linotype" w:hAnsi="Palatino Linotype" w:cs="Palatino Linotype"/>
          <w:sz w:val="22"/>
          <w:szCs w:val="22"/>
        </w:rPr>
        <w:t>se tuvo conoci</w:t>
      </w:r>
      <w:r w:rsidRPr="009E7B83">
        <w:rPr>
          <w:rFonts w:ascii="Palatino Linotype" w:eastAsia="Palatino Linotype" w:hAnsi="Palatino Linotype" w:cs="Palatino Linotype"/>
          <w:sz w:val="22"/>
          <w:szCs w:val="22"/>
        </w:rPr>
        <w:t>miento de la respuesta</w:t>
      </w:r>
      <w:r w:rsidR="00543888" w:rsidRPr="009E7B83">
        <w:rPr>
          <w:rFonts w:ascii="Palatino Linotype" w:eastAsia="Palatino Linotype" w:hAnsi="Palatino Linotype" w:cs="Palatino Linotype"/>
          <w:sz w:val="22"/>
          <w:szCs w:val="22"/>
        </w:rPr>
        <w:t>.</w:t>
      </w:r>
    </w:p>
    <w:p w14:paraId="1B44BE1E" w14:textId="77777777" w:rsidR="001F1622" w:rsidRPr="009E7B83" w:rsidRDefault="001F1622" w:rsidP="001F1622">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Por cuanto hace a la procedibilidad del recurso de revisión, es de suma importancia señalar que la parte </w:t>
      </w:r>
      <w:r w:rsidRPr="009E7B83">
        <w:rPr>
          <w:rFonts w:ascii="Palatino Linotype" w:eastAsia="Palatino Linotype" w:hAnsi="Palatino Linotype" w:cs="Palatino Linotype"/>
          <w:b/>
          <w:sz w:val="22"/>
          <w:szCs w:val="22"/>
        </w:rPr>
        <w:t>RECURRENTE</w:t>
      </w:r>
      <w:r w:rsidRPr="009E7B83">
        <w:rPr>
          <w:rFonts w:ascii="Palatino Linotype" w:eastAsia="Palatino Linotype" w:hAnsi="Palatino Linotype" w:cs="Palatino Linotype"/>
          <w:sz w:val="22"/>
          <w:szCs w:val="22"/>
        </w:rPr>
        <w:t>, no proporcionó su nombre</w:t>
      </w:r>
      <w:r w:rsidRPr="009E7B83">
        <w:rPr>
          <w:rFonts w:ascii="Palatino Linotype" w:eastAsia="Palatino Linotype" w:hAnsi="Palatino Linotype" w:cs="Palatino Linotype"/>
          <w:b/>
          <w:sz w:val="22"/>
          <w:szCs w:val="22"/>
        </w:rPr>
        <w:t>,</w:t>
      </w:r>
      <w:r w:rsidRPr="009E7B83">
        <w:rPr>
          <w:rFonts w:ascii="Palatino Linotype" w:eastAsia="Palatino Linotype" w:hAnsi="Palatino Linotype" w:cs="Palatino Linotype"/>
          <w:sz w:val="22"/>
          <w:szCs w:val="22"/>
        </w:rPr>
        <w:t xml:space="preserve"> como se advierte en el detalle de seguimiento del SAIMEX, no obstante el no proporcionar nombre</w:t>
      </w:r>
      <w:r w:rsidRPr="009E7B83">
        <w:rPr>
          <w:rFonts w:ascii="Palatino Linotype" w:eastAsia="Palatino Linotype" w:hAnsi="Palatino Linotype" w:cs="Palatino Linotype"/>
          <w:strike/>
          <w:sz w:val="22"/>
          <w:szCs w:val="22"/>
        </w:rPr>
        <w:t xml:space="preserve"> </w:t>
      </w:r>
      <w:r w:rsidRPr="009E7B83">
        <w:rPr>
          <w:rFonts w:ascii="Palatino Linotype" w:eastAsia="Palatino Linotype" w:hAnsi="Palatino Linotype" w:cs="Palatino Linotype"/>
          <w:sz w:val="22"/>
          <w:szCs w:val="22"/>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73E36BA" w14:textId="77777777" w:rsidR="001F1622" w:rsidRPr="009E7B83" w:rsidRDefault="001F1622" w:rsidP="001F1622">
      <w:pPr>
        <w:spacing w:before="240" w:after="24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r w:rsidRPr="009E7B83">
        <w:rPr>
          <w:rFonts w:ascii="Palatino Linotype" w:eastAsia="Palatino Linotype" w:hAnsi="Palatino Linotype" w:cs="Palatino Linotype"/>
          <w:b/>
          <w:i/>
          <w:sz w:val="22"/>
          <w:szCs w:val="22"/>
        </w:rPr>
        <w:t xml:space="preserve">Las solicitudes </w:t>
      </w:r>
      <w:r w:rsidRPr="009E7B83">
        <w:rPr>
          <w:rFonts w:ascii="Palatino Linotype" w:eastAsia="Palatino Linotype" w:hAnsi="Palatino Linotype" w:cs="Palatino Linotype"/>
          <w:i/>
          <w:sz w:val="22"/>
          <w:szCs w:val="22"/>
        </w:rPr>
        <w:t xml:space="preserve">anónimas, con </w:t>
      </w:r>
      <w:r w:rsidRPr="009E7B83">
        <w:rPr>
          <w:rFonts w:ascii="Palatino Linotype" w:eastAsia="Palatino Linotype" w:hAnsi="Palatino Linotype" w:cs="Palatino Linotype"/>
          <w:b/>
          <w:i/>
          <w:sz w:val="22"/>
          <w:szCs w:val="22"/>
        </w:rPr>
        <w:t>nombre incompleto o seudónimo</w:t>
      </w:r>
      <w:r w:rsidRPr="009E7B83">
        <w:rPr>
          <w:rFonts w:ascii="Palatino Linotype" w:eastAsia="Palatino Linotype" w:hAnsi="Palatino Linotype" w:cs="Palatino Linotype"/>
          <w:i/>
          <w:sz w:val="22"/>
          <w:szCs w:val="22"/>
        </w:rPr>
        <w:t xml:space="preserve"> </w:t>
      </w:r>
      <w:r w:rsidRPr="009E7B83">
        <w:rPr>
          <w:rFonts w:ascii="Palatino Linotype" w:eastAsia="Palatino Linotype" w:hAnsi="Palatino Linotype" w:cs="Palatino Linotype"/>
          <w:b/>
          <w:i/>
          <w:sz w:val="22"/>
          <w:szCs w:val="22"/>
        </w:rPr>
        <w:t xml:space="preserve">serán procedentes para su trámite por parte del sujeto obligado ante quien se </w:t>
      </w:r>
      <w:r w:rsidRPr="009E7B83">
        <w:rPr>
          <w:rFonts w:ascii="Palatino Linotype" w:eastAsia="Palatino Linotype" w:hAnsi="Palatino Linotype" w:cs="Palatino Linotype"/>
          <w:b/>
          <w:i/>
          <w:sz w:val="22"/>
          <w:szCs w:val="22"/>
        </w:rPr>
        <w:lastRenderedPageBreak/>
        <w:t>presente</w:t>
      </w:r>
      <w:r w:rsidRPr="009E7B83">
        <w:rPr>
          <w:rFonts w:ascii="Palatino Linotype" w:eastAsia="Palatino Linotype" w:hAnsi="Palatino Linotype" w:cs="Palatino Linotype"/>
          <w:i/>
          <w:sz w:val="22"/>
          <w:szCs w:val="22"/>
        </w:rPr>
        <w:t>. No podrá requerirse información adicional con motivo del nombre proporcionado por el solicitante."(Sic)</w:t>
      </w:r>
    </w:p>
    <w:p w14:paraId="68C64F64" w14:textId="77777777" w:rsidR="001F1622" w:rsidRPr="009E7B83" w:rsidRDefault="001F1622" w:rsidP="001F1622">
      <w:pPr>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AE096A8" w14:textId="77777777" w:rsidR="00422AF6" w:rsidRPr="009E7B83" w:rsidRDefault="0067296C">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w:t>
      </w:r>
      <w:r w:rsidR="004718C5" w:rsidRPr="009E7B83">
        <w:rPr>
          <w:rFonts w:ascii="Palatino Linotype" w:eastAsia="Palatino Linotype" w:hAnsi="Palatino Linotype" w:cs="Palatino Linotype"/>
          <w:sz w:val="22"/>
          <w:szCs w:val="22"/>
        </w:rPr>
        <w:t xml:space="preserve"> </w:t>
      </w:r>
      <w:r w:rsidRPr="009E7B83">
        <w:rPr>
          <w:rFonts w:ascii="Palatino Linotype" w:eastAsia="Palatino Linotype" w:hAnsi="Palatino Linotype" w:cs="Palatino Linotype"/>
          <w:sz w:val="22"/>
          <w:szCs w:val="22"/>
        </w:rPr>
        <w:t>de la ley de la materia, que a la letra dice:</w:t>
      </w:r>
    </w:p>
    <w:p w14:paraId="35007104" w14:textId="77777777" w:rsidR="00422AF6" w:rsidRPr="009E7B83" w:rsidRDefault="0067296C">
      <w:pPr>
        <w:spacing w:line="360" w:lineRule="auto"/>
        <w:ind w:left="851" w:right="1041"/>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r w:rsidRPr="009E7B83">
        <w:rPr>
          <w:rFonts w:ascii="Palatino Linotype" w:eastAsia="Palatino Linotype" w:hAnsi="Palatino Linotype" w:cs="Palatino Linotype"/>
          <w:b/>
          <w:i/>
          <w:sz w:val="22"/>
          <w:szCs w:val="22"/>
        </w:rPr>
        <w:t xml:space="preserve">Artículo 179. </w:t>
      </w:r>
      <w:r w:rsidRPr="009E7B8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CFC72F4" w14:textId="77777777" w:rsidR="004718C5" w:rsidRPr="009E7B83" w:rsidRDefault="004718C5" w:rsidP="004718C5">
      <w:pPr>
        <w:pStyle w:val="Prrafodelista"/>
        <w:numPr>
          <w:ilvl w:val="0"/>
          <w:numId w:val="7"/>
        </w:numPr>
        <w:spacing w:line="360" w:lineRule="auto"/>
        <w:ind w:left="1276" w:right="1041" w:hanging="426"/>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La negativa de la información </w:t>
      </w:r>
    </w:p>
    <w:p w14:paraId="2BD2E5F1" w14:textId="77777777" w:rsidR="00422AF6" w:rsidRPr="009E7B83" w:rsidRDefault="0067296C">
      <w:pPr>
        <w:spacing w:line="360" w:lineRule="auto"/>
        <w:ind w:left="851" w:right="1041"/>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54CC0639" w14:textId="77777777" w:rsidR="00422AF6" w:rsidRPr="009E7B83" w:rsidRDefault="0067296C">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 xml:space="preserve">Tercero. Materia de la revisión. </w:t>
      </w:r>
      <w:r w:rsidRPr="009E7B83">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E7B83">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9E7B83">
        <w:rPr>
          <w:rFonts w:ascii="Palatino Linotype" w:eastAsia="Palatino Linotype" w:hAnsi="Palatino Linotype" w:cs="Palatino Linotype"/>
          <w:sz w:val="22"/>
          <w:szCs w:val="22"/>
        </w:rPr>
        <w:t xml:space="preserve">de la parte </w:t>
      </w:r>
      <w:r w:rsidRPr="009E7B83">
        <w:rPr>
          <w:rFonts w:ascii="Palatino Linotype" w:eastAsia="Palatino Linotype" w:hAnsi="Palatino Linotype" w:cs="Palatino Linotype"/>
          <w:b/>
          <w:sz w:val="22"/>
          <w:szCs w:val="22"/>
        </w:rPr>
        <w:t>Recurrente</w:t>
      </w:r>
      <w:r w:rsidRPr="009E7B83">
        <w:rPr>
          <w:rFonts w:ascii="Palatino Linotype" w:eastAsia="Palatino Linotype" w:hAnsi="Palatino Linotype" w:cs="Palatino Linotype"/>
          <w:sz w:val="22"/>
          <w:szCs w:val="22"/>
        </w:rPr>
        <w:t>, o en su defecto, en caso de ser procedente, ordenar la entrega de información.</w:t>
      </w:r>
    </w:p>
    <w:p w14:paraId="321790F9" w14:textId="77777777" w:rsidR="00422AF6" w:rsidRPr="009E7B83" w:rsidRDefault="0067296C">
      <w:pPr>
        <w:spacing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 xml:space="preserve">Cuarto. Estudio del asunto. </w:t>
      </w:r>
      <w:r w:rsidRPr="009E7B83">
        <w:rPr>
          <w:rFonts w:ascii="Palatino Linotype" w:eastAsia="Palatino Linotype" w:hAnsi="Palatino Linotype" w:cs="Palatino Linotype"/>
          <w:sz w:val="22"/>
          <w:szCs w:val="22"/>
        </w:rPr>
        <w:t xml:space="preserve">En principio, es conveniente analizar si la respuesta como el informe justificado del </w:t>
      </w:r>
      <w:r w:rsidRPr="009E7B83">
        <w:rPr>
          <w:rFonts w:ascii="Palatino Linotype" w:eastAsia="Palatino Linotype" w:hAnsi="Palatino Linotype" w:cs="Palatino Linotype"/>
          <w:b/>
          <w:sz w:val="22"/>
          <w:szCs w:val="22"/>
        </w:rPr>
        <w:t>SUJETO OBLIGADO</w:t>
      </w:r>
      <w:r w:rsidRPr="009E7B83">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w:t>
      </w:r>
      <w:r w:rsidRPr="009E7B83">
        <w:rPr>
          <w:rFonts w:ascii="Palatino Linotype" w:eastAsia="Palatino Linotype" w:hAnsi="Palatino Linotype" w:cs="Palatino Linotype"/>
          <w:sz w:val="22"/>
          <w:szCs w:val="22"/>
        </w:rPr>
        <w:lastRenderedPageBreak/>
        <w:t>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D21793F" w14:textId="77777777" w:rsidR="00422AF6" w:rsidRPr="009E7B83" w:rsidRDefault="00422AF6">
      <w:pPr>
        <w:spacing w:line="360" w:lineRule="auto"/>
        <w:jc w:val="both"/>
        <w:rPr>
          <w:rFonts w:ascii="Palatino Linotype" w:eastAsia="Palatino Linotype" w:hAnsi="Palatino Linotype" w:cs="Palatino Linotype"/>
          <w:sz w:val="22"/>
          <w:szCs w:val="22"/>
        </w:rPr>
      </w:pPr>
    </w:p>
    <w:p w14:paraId="18354918" w14:textId="77777777" w:rsidR="00422AF6" w:rsidRPr="009E7B83" w:rsidRDefault="0067296C">
      <w:pPr>
        <w:spacing w:line="276" w:lineRule="auto"/>
        <w:ind w:left="567" w:right="616"/>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r w:rsidRPr="009E7B83">
        <w:rPr>
          <w:rFonts w:ascii="Palatino Linotype" w:eastAsia="Palatino Linotype" w:hAnsi="Palatino Linotype" w:cs="Palatino Linotype"/>
          <w:b/>
          <w:i/>
          <w:sz w:val="22"/>
          <w:szCs w:val="22"/>
        </w:rPr>
        <w:t>Artículo 4</w:t>
      </w:r>
      <w:r w:rsidRPr="009E7B8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F41E413" w14:textId="77777777" w:rsidR="00422AF6" w:rsidRPr="009E7B83" w:rsidRDefault="0067296C">
      <w:pPr>
        <w:spacing w:line="276" w:lineRule="auto"/>
        <w:ind w:left="567" w:right="616"/>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E7B8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DD79C3F" w14:textId="77777777" w:rsidR="00422AF6" w:rsidRPr="009E7B83" w:rsidRDefault="0067296C">
      <w:pPr>
        <w:spacing w:line="276" w:lineRule="auto"/>
        <w:ind w:left="567" w:right="616"/>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E7B83">
        <w:rPr>
          <w:rFonts w:ascii="Palatino Linotype" w:eastAsia="Palatino Linotype" w:hAnsi="Palatino Linotype" w:cs="Palatino Linotype"/>
          <w:i/>
          <w:sz w:val="22"/>
          <w:szCs w:val="22"/>
        </w:rPr>
        <w:t>.”</w:t>
      </w:r>
    </w:p>
    <w:p w14:paraId="4391F394" w14:textId="77777777" w:rsidR="00422AF6" w:rsidRPr="009E7B83" w:rsidRDefault="00422AF6">
      <w:pPr>
        <w:spacing w:line="276" w:lineRule="auto"/>
        <w:jc w:val="both"/>
        <w:rPr>
          <w:rFonts w:ascii="Palatino Linotype" w:eastAsia="Palatino Linotype" w:hAnsi="Palatino Linotype" w:cs="Palatino Linotype"/>
          <w:sz w:val="22"/>
          <w:szCs w:val="22"/>
        </w:rPr>
      </w:pPr>
    </w:p>
    <w:p w14:paraId="513A54AC" w14:textId="77777777" w:rsidR="00422AF6" w:rsidRPr="009E7B83" w:rsidRDefault="0067296C">
      <w:pPr>
        <w:spacing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5CF3781" w14:textId="77777777" w:rsidR="00422AF6" w:rsidRPr="009E7B83" w:rsidRDefault="00422AF6">
      <w:pPr>
        <w:spacing w:line="360" w:lineRule="auto"/>
        <w:jc w:val="both"/>
        <w:rPr>
          <w:rFonts w:ascii="Palatino Linotype" w:eastAsia="Palatino Linotype" w:hAnsi="Palatino Linotype" w:cs="Palatino Linotype"/>
          <w:sz w:val="22"/>
          <w:szCs w:val="22"/>
        </w:rPr>
      </w:pPr>
    </w:p>
    <w:p w14:paraId="399134B8" w14:textId="77777777" w:rsidR="00422AF6" w:rsidRPr="009E7B83" w:rsidRDefault="0067296C">
      <w:pPr>
        <w:spacing w:line="276" w:lineRule="auto"/>
        <w:ind w:left="567" w:right="616"/>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lastRenderedPageBreak/>
        <w:t>“Artículo 12.-</w:t>
      </w:r>
      <w:r w:rsidRPr="009E7B8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2A03D0E" w14:textId="77777777" w:rsidR="00422AF6" w:rsidRPr="009E7B83" w:rsidRDefault="00422AF6">
      <w:pPr>
        <w:spacing w:line="276" w:lineRule="auto"/>
        <w:ind w:left="567" w:right="616"/>
        <w:jc w:val="both"/>
        <w:rPr>
          <w:rFonts w:ascii="Palatino Linotype" w:eastAsia="Palatino Linotype" w:hAnsi="Palatino Linotype" w:cs="Palatino Linotype"/>
          <w:i/>
          <w:sz w:val="22"/>
          <w:szCs w:val="22"/>
        </w:rPr>
      </w:pPr>
    </w:p>
    <w:p w14:paraId="2852FD22" w14:textId="77777777" w:rsidR="00422AF6" w:rsidRPr="009E7B83" w:rsidRDefault="0067296C">
      <w:pPr>
        <w:spacing w:line="276" w:lineRule="auto"/>
        <w:ind w:left="567" w:right="616"/>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E7B83">
        <w:rPr>
          <w:rFonts w:ascii="Palatino Linotype" w:eastAsia="Palatino Linotype" w:hAnsi="Palatino Linotype" w:cs="Palatino Linotype"/>
          <w:i/>
          <w:sz w:val="22"/>
          <w:szCs w:val="22"/>
        </w:rPr>
        <w:t xml:space="preserve">. </w:t>
      </w:r>
      <w:r w:rsidRPr="009E7B83">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2C5B9ED" w14:textId="77777777" w:rsidR="00422AF6" w:rsidRPr="009E7B83" w:rsidRDefault="00422AF6">
      <w:pPr>
        <w:spacing w:line="360" w:lineRule="auto"/>
        <w:ind w:right="-93"/>
        <w:jc w:val="both"/>
        <w:rPr>
          <w:rFonts w:ascii="Palatino Linotype" w:eastAsia="Palatino Linotype" w:hAnsi="Palatino Linotype" w:cs="Palatino Linotype"/>
          <w:sz w:val="22"/>
          <w:szCs w:val="22"/>
        </w:rPr>
      </w:pPr>
    </w:p>
    <w:p w14:paraId="467A71E5" w14:textId="77777777" w:rsidR="00422AF6" w:rsidRPr="009E7B83" w:rsidRDefault="0067296C">
      <w:pPr>
        <w:spacing w:line="360" w:lineRule="auto"/>
        <w:ind w:right="-93"/>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2702BE4" w14:textId="77777777" w:rsidR="00422AF6" w:rsidRPr="009E7B83" w:rsidRDefault="00422AF6">
      <w:pPr>
        <w:spacing w:line="360" w:lineRule="auto"/>
        <w:ind w:right="-93"/>
        <w:jc w:val="both"/>
        <w:rPr>
          <w:rFonts w:ascii="Palatino Linotype" w:eastAsia="Palatino Linotype" w:hAnsi="Palatino Linotype" w:cs="Palatino Linotype"/>
          <w:sz w:val="22"/>
          <w:szCs w:val="22"/>
        </w:rPr>
      </w:pPr>
    </w:p>
    <w:p w14:paraId="0450B188" w14:textId="6FB711A1" w:rsidR="00422AF6" w:rsidRPr="009E7B83" w:rsidRDefault="0067296C">
      <w:pPr>
        <w:spacing w:line="360" w:lineRule="auto"/>
        <w:ind w:right="-93"/>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Sirve de apoyo a lo anterior, el criterio</w:t>
      </w:r>
      <w:r w:rsidR="00543888" w:rsidRPr="009E7B83">
        <w:rPr>
          <w:rFonts w:ascii="Palatino Linotype" w:eastAsia="Palatino Linotype" w:hAnsi="Palatino Linotype" w:cs="Palatino Linotype"/>
          <w:sz w:val="22"/>
          <w:szCs w:val="22"/>
        </w:rPr>
        <w:t xml:space="preserve"> orientador</w:t>
      </w:r>
      <w:r w:rsidRPr="009E7B83">
        <w:rPr>
          <w:rFonts w:ascii="Palatino Linotype" w:eastAsia="Palatino Linotype" w:hAnsi="Palatino Linotype" w:cs="Palatino Linotype"/>
          <w:sz w:val="22"/>
          <w:szCs w:val="22"/>
        </w:rPr>
        <w:t xml:space="preserve"> 03-17, expuesto por el</w:t>
      </w:r>
      <w:r w:rsidR="00543888" w:rsidRPr="009E7B83">
        <w:rPr>
          <w:rFonts w:ascii="Palatino Linotype" w:eastAsia="Palatino Linotype" w:hAnsi="Palatino Linotype" w:cs="Palatino Linotype"/>
          <w:sz w:val="22"/>
          <w:szCs w:val="22"/>
        </w:rPr>
        <w:t xml:space="preserve"> entonces</w:t>
      </w:r>
      <w:r w:rsidRPr="009E7B83">
        <w:rPr>
          <w:rFonts w:ascii="Palatino Linotype" w:eastAsia="Palatino Linotype" w:hAnsi="Palatino Linotype" w:cs="Palatino Linotype"/>
          <w:sz w:val="22"/>
          <w:szCs w:val="22"/>
        </w:rPr>
        <w:t xml:space="preserve"> Instituto Nacional de Transparencia, Acceso a la Información y Protección de Datos Personales, que dice:</w:t>
      </w:r>
      <w:r w:rsidRPr="009E7B83">
        <w:rPr>
          <w:rFonts w:ascii="Palatino Linotype" w:eastAsia="Palatino Linotype" w:hAnsi="Palatino Linotype" w:cs="Palatino Linotype"/>
          <w:b/>
          <w:sz w:val="22"/>
          <w:szCs w:val="22"/>
        </w:rPr>
        <w:t xml:space="preserve"> </w:t>
      </w:r>
    </w:p>
    <w:p w14:paraId="26B770DF" w14:textId="77777777" w:rsidR="00422AF6" w:rsidRPr="009E7B83" w:rsidRDefault="00422AF6">
      <w:pPr>
        <w:spacing w:line="360" w:lineRule="auto"/>
        <w:jc w:val="both"/>
        <w:rPr>
          <w:rFonts w:ascii="Palatino Linotype" w:eastAsia="Palatino Linotype" w:hAnsi="Palatino Linotype" w:cs="Palatino Linotype"/>
          <w:b/>
          <w:sz w:val="22"/>
          <w:szCs w:val="22"/>
        </w:rPr>
      </w:pPr>
    </w:p>
    <w:p w14:paraId="6671D2E8" w14:textId="77777777" w:rsidR="00422AF6" w:rsidRPr="009E7B83" w:rsidRDefault="0067296C">
      <w:pPr>
        <w:ind w:left="567" w:right="616"/>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r w:rsidRPr="009E7B83">
        <w:rPr>
          <w:rFonts w:ascii="Palatino Linotype" w:eastAsia="Palatino Linotype" w:hAnsi="Palatino Linotype" w:cs="Palatino Linotype"/>
          <w:b/>
          <w:i/>
          <w:sz w:val="22"/>
          <w:szCs w:val="22"/>
        </w:rPr>
        <w:t>No existe obligación de elaborar documentos ad hoc para atender las solicitudes de acceso a la información.</w:t>
      </w:r>
      <w:r w:rsidRPr="009E7B8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7B4FB74" w14:textId="77777777" w:rsidR="00422AF6" w:rsidRPr="009E7B83" w:rsidRDefault="00422AF6">
      <w:pPr>
        <w:spacing w:line="360" w:lineRule="auto"/>
        <w:ind w:right="-93"/>
        <w:jc w:val="both"/>
        <w:rPr>
          <w:rFonts w:ascii="Palatino Linotype" w:eastAsia="Palatino Linotype" w:hAnsi="Palatino Linotype" w:cs="Palatino Linotype"/>
          <w:sz w:val="22"/>
          <w:szCs w:val="22"/>
        </w:rPr>
      </w:pPr>
    </w:p>
    <w:p w14:paraId="351F5D92" w14:textId="77777777" w:rsidR="00422AF6" w:rsidRPr="009E7B83" w:rsidRDefault="0067296C">
      <w:pPr>
        <w:spacing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A83D085" w14:textId="77777777" w:rsidR="00422AF6" w:rsidRPr="009E7B83" w:rsidRDefault="0067296C">
      <w:pPr>
        <w:spacing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DE35636" w14:textId="77777777" w:rsidR="00422AF6" w:rsidRPr="009E7B83" w:rsidRDefault="00422AF6">
      <w:pPr>
        <w:spacing w:line="360" w:lineRule="auto"/>
        <w:ind w:right="49"/>
        <w:jc w:val="both"/>
        <w:rPr>
          <w:rFonts w:ascii="Palatino Linotype" w:eastAsia="Palatino Linotype" w:hAnsi="Palatino Linotype" w:cs="Palatino Linotype"/>
          <w:sz w:val="22"/>
          <w:szCs w:val="22"/>
        </w:rPr>
      </w:pPr>
    </w:p>
    <w:p w14:paraId="656F0B90" w14:textId="77777777" w:rsidR="00422AF6" w:rsidRPr="009E7B83" w:rsidRDefault="0067296C">
      <w:pPr>
        <w:spacing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01B8B1F" w14:textId="77777777" w:rsidR="00422AF6" w:rsidRPr="009E7B83" w:rsidRDefault="00422AF6">
      <w:pPr>
        <w:spacing w:line="360" w:lineRule="auto"/>
        <w:ind w:left="567" w:right="616"/>
        <w:jc w:val="both"/>
        <w:rPr>
          <w:rFonts w:ascii="Palatino Linotype" w:eastAsia="Palatino Linotype" w:hAnsi="Palatino Linotype" w:cs="Palatino Linotype"/>
          <w:i/>
          <w:sz w:val="22"/>
          <w:szCs w:val="22"/>
        </w:rPr>
      </w:pPr>
    </w:p>
    <w:p w14:paraId="6BB50F1B" w14:textId="77777777" w:rsidR="00422AF6" w:rsidRPr="009E7B83" w:rsidRDefault="0067296C">
      <w:pPr>
        <w:ind w:left="567" w:right="616"/>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r w:rsidRPr="009E7B83">
        <w:rPr>
          <w:rFonts w:ascii="Palatino Linotype" w:eastAsia="Palatino Linotype" w:hAnsi="Palatino Linotype" w:cs="Palatino Linotype"/>
          <w:b/>
          <w:i/>
          <w:sz w:val="22"/>
          <w:szCs w:val="22"/>
        </w:rPr>
        <w:t xml:space="preserve">Artículo 3. </w:t>
      </w:r>
      <w:r w:rsidRPr="009E7B83">
        <w:rPr>
          <w:rFonts w:ascii="Palatino Linotype" w:eastAsia="Palatino Linotype" w:hAnsi="Palatino Linotype" w:cs="Palatino Linotype"/>
          <w:i/>
          <w:sz w:val="22"/>
          <w:szCs w:val="22"/>
        </w:rPr>
        <w:t>Para los efectos de la presente Ley se entenderá por:</w:t>
      </w:r>
    </w:p>
    <w:p w14:paraId="1C117FEA" w14:textId="77777777" w:rsidR="00422AF6" w:rsidRPr="009E7B83" w:rsidRDefault="0067296C">
      <w:pPr>
        <w:ind w:left="567" w:right="616"/>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6664E648" w14:textId="77777777" w:rsidR="00422AF6" w:rsidRPr="009E7B83" w:rsidRDefault="0067296C">
      <w:pPr>
        <w:ind w:left="567" w:right="616"/>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XI. Documento:</w:t>
      </w:r>
      <w:r w:rsidRPr="009E7B83">
        <w:rPr>
          <w:rFonts w:ascii="Palatino Linotype" w:eastAsia="Palatino Linotype" w:hAnsi="Palatino Linotype" w:cs="Palatino Linotype"/>
          <w:i/>
          <w:sz w:val="22"/>
          <w:szCs w:val="22"/>
        </w:rPr>
        <w:t xml:space="preserve"> Los expedientes, reportes, estudios, actas</w:t>
      </w:r>
      <w:r w:rsidRPr="009E7B83">
        <w:rPr>
          <w:rFonts w:ascii="Palatino Linotype" w:eastAsia="Palatino Linotype" w:hAnsi="Palatino Linotype" w:cs="Palatino Linotype"/>
          <w:b/>
          <w:i/>
          <w:sz w:val="22"/>
          <w:szCs w:val="22"/>
        </w:rPr>
        <w:t>,</w:t>
      </w:r>
      <w:r w:rsidRPr="009E7B8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9E7B83">
        <w:rPr>
          <w:rFonts w:ascii="Palatino Linotype" w:eastAsia="Palatino Linotype" w:hAnsi="Palatino Linotype" w:cs="Palatino Linotype"/>
          <w:i/>
          <w:sz w:val="22"/>
          <w:szCs w:val="22"/>
        </w:rPr>
        <w:lastRenderedPageBreak/>
        <w:t xml:space="preserve">documentos podrán estar en cualquier medio, sea escrito, impreso, sonoro, visual, electrónico, informático u holográfico…” </w:t>
      </w:r>
    </w:p>
    <w:p w14:paraId="47E353CA" w14:textId="77777777" w:rsidR="00422AF6" w:rsidRPr="009E7B83" w:rsidRDefault="00422AF6">
      <w:pPr>
        <w:spacing w:line="360" w:lineRule="auto"/>
        <w:ind w:left="851" w:right="899"/>
        <w:jc w:val="both"/>
        <w:rPr>
          <w:rFonts w:ascii="Palatino Linotype" w:eastAsia="Palatino Linotype" w:hAnsi="Palatino Linotype" w:cs="Palatino Linotype"/>
          <w:sz w:val="22"/>
          <w:szCs w:val="22"/>
        </w:rPr>
      </w:pPr>
    </w:p>
    <w:p w14:paraId="77123AFB" w14:textId="77777777" w:rsidR="00422AF6" w:rsidRPr="009E7B83" w:rsidRDefault="0067296C">
      <w:pPr>
        <w:spacing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16D9DC8" w14:textId="77777777" w:rsidR="00422AF6" w:rsidRPr="009E7B83" w:rsidRDefault="00422AF6">
      <w:pPr>
        <w:spacing w:line="360" w:lineRule="auto"/>
        <w:jc w:val="both"/>
        <w:rPr>
          <w:rFonts w:ascii="Palatino Linotype" w:eastAsia="Palatino Linotype" w:hAnsi="Palatino Linotype" w:cs="Palatino Linotype"/>
          <w:sz w:val="22"/>
          <w:szCs w:val="22"/>
        </w:rPr>
      </w:pPr>
    </w:p>
    <w:p w14:paraId="354AB907" w14:textId="77777777" w:rsidR="00422AF6" w:rsidRPr="009E7B83" w:rsidRDefault="0067296C">
      <w:pPr>
        <w:ind w:left="567" w:right="616"/>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sz w:val="22"/>
          <w:szCs w:val="22"/>
        </w:rPr>
        <w:t>“</w:t>
      </w:r>
      <w:r w:rsidRPr="009E7B83">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9E7B8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EA9244D" w14:textId="77777777" w:rsidR="00422AF6" w:rsidRPr="009E7B83" w:rsidRDefault="0067296C">
      <w:pPr>
        <w:ind w:left="567" w:right="616"/>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En </w:t>
      </w:r>
      <w:proofErr w:type="gramStart"/>
      <w:r w:rsidRPr="009E7B83">
        <w:rPr>
          <w:rFonts w:ascii="Palatino Linotype" w:eastAsia="Palatino Linotype" w:hAnsi="Palatino Linotype" w:cs="Palatino Linotype"/>
          <w:i/>
          <w:sz w:val="22"/>
          <w:szCs w:val="22"/>
        </w:rPr>
        <w:t>consecuencia</w:t>
      </w:r>
      <w:proofErr w:type="gramEnd"/>
      <w:r w:rsidRPr="009E7B8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9E260E3" w14:textId="77777777" w:rsidR="00422AF6" w:rsidRPr="009E7B83" w:rsidRDefault="0067296C">
      <w:pPr>
        <w:ind w:left="567" w:right="616"/>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1) Que se trate de información registrada en cualquier soporte documental, </w:t>
      </w:r>
      <w:proofErr w:type="gramStart"/>
      <w:r w:rsidRPr="009E7B83">
        <w:rPr>
          <w:rFonts w:ascii="Palatino Linotype" w:eastAsia="Palatino Linotype" w:hAnsi="Palatino Linotype" w:cs="Palatino Linotype"/>
          <w:i/>
          <w:sz w:val="22"/>
          <w:szCs w:val="22"/>
        </w:rPr>
        <w:t>que</w:t>
      </w:r>
      <w:proofErr w:type="gramEnd"/>
      <w:r w:rsidRPr="009E7B83">
        <w:rPr>
          <w:rFonts w:ascii="Palatino Linotype" w:eastAsia="Palatino Linotype" w:hAnsi="Palatino Linotype" w:cs="Palatino Linotype"/>
          <w:i/>
          <w:sz w:val="22"/>
          <w:szCs w:val="22"/>
        </w:rPr>
        <w:t xml:space="preserve"> en ejercicio de las atribuciones conferidas, sea generada por los Sujetos Obligados;</w:t>
      </w:r>
    </w:p>
    <w:p w14:paraId="4CAB9FCF" w14:textId="77777777" w:rsidR="00422AF6" w:rsidRPr="009E7B83" w:rsidRDefault="0067296C">
      <w:pPr>
        <w:ind w:left="567" w:right="616"/>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9E7B83">
        <w:rPr>
          <w:rFonts w:ascii="Palatino Linotype" w:eastAsia="Palatino Linotype" w:hAnsi="Palatino Linotype" w:cs="Palatino Linotype"/>
          <w:b/>
          <w:i/>
          <w:sz w:val="22"/>
          <w:szCs w:val="22"/>
        </w:rPr>
        <w:t>que</w:t>
      </w:r>
      <w:proofErr w:type="gramEnd"/>
      <w:r w:rsidRPr="009E7B83">
        <w:rPr>
          <w:rFonts w:ascii="Palatino Linotype" w:eastAsia="Palatino Linotype" w:hAnsi="Palatino Linotype" w:cs="Palatino Linotype"/>
          <w:b/>
          <w:i/>
          <w:sz w:val="22"/>
          <w:szCs w:val="22"/>
        </w:rPr>
        <w:t xml:space="preserve"> en ejercicio de las atribuciones conferidas, sea administrada por los Sujetos Obligados, y</w:t>
      </w:r>
    </w:p>
    <w:p w14:paraId="6F1E9CA4" w14:textId="77777777" w:rsidR="00422AF6" w:rsidRPr="009E7B83" w:rsidRDefault="0067296C">
      <w:pPr>
        <w:ind w:left="567" w:right="616"/>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9E7B83">
        <w:rPr>
          <w:rFonts w:ascii="Palatino Linotype" w:eastAsia="Palatino Linotype" w:hAnsi="Palatino Linotype" w:cs="Palatino Linotype"/>
          <w:b/>
          <w:i/>
          <w:sz w:val="22"/>
          <w:szCs w:val="22"/>
        </w:rPr>
        <w:t>que</w:t>
      </w:r>
      <w:proofErr w:type="gramEnd"/>
      <w:r w:rsidRPr="009E7B83">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046C349F" w14:textId="77777777" w:rsidR="00422AF6" w:rsidRPr="009E7B83" w:rsidRDefault="00422AF6">
      <w:pPr>
        <w:tabs>
          <w:tab w:val="left" w:pos="8647"/>
        </w:tabs>
        <w:spacing w:line="360" w:lineRule="auto"/>
        <w:jc w:val="both"/>
        <w:rPr>
          <w:rFonts w:ascii="Palatino Linotype" w:eastAsia="Palatino Linotype" w:hAnsi="Palatino Linotype" w:cs="Palatino Linotype"/>
          <w:b/>
          <w:sz w:val="22"/>
          <w:szCs w:val="22"/>
        </w:rPr>
      </w:pPr>
    </w:p>
    <w:p w14:paraId="462B60BF" w14:textId="77777777" w:rsidR="004718C5" w:rsidRPr="009E7B83" w:rsidRDefault="0067296C">
      <w:pPr>
        <w:spacing w:after="240" w:line="360" w:lineRule="auto"/>
        <w:jc w:val="both"/>
        <w:rPr>
          <w:rFonts w:ascii="Palatino Linotype" w:eastAsia="Palatino Linotype" w:hAnsi="Palatino Linotype" w:cs="Palatino Linotype"/>
          <w:color w:val="000000"/>
          <w:sz w:val="22"/>
          <w:szCs w:val="22"/>
        </w:rPr>
      </w:pPr>
      <w:r w:rsidRPr="009E7B83">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00B949AB" w:rsidRPr="009E7B83">
        <w:rPr>
          <w:rFonts w:ascii="Palatino Linotype" w:eastAsia="Palatino Linotype" w:hAnsi="Palatino Linotype" w:cs="Palatino Linotype"/>
          <w:b/>
          <w:color w:val="000000"/>
          <w:sz w:val="22"/>
          <w:szCs w:val="22"/>
        </w:rPr>
        <w:t>Ayuntamiento de Jaltenco</w:t>
      </w:r>
      <w:r w:rsidR="004718C5" w:rsidRPr="009E7B83">
        <w:rPr>
          <w:rFonts w:ascii="Palatino Linotype" w:eastAsia="Palatino Linotype" w:hAnsi="Palatino Linotype" w:cs="Palatino Linotype"/>
          <w:b/>
          <w:color w:val="000000"/>
          <w:sz w:val="22"/>
          <w:szCs w:val="22"/>
        </w:rPr>
        <w:t xml:space="preserve"> </w:t>
      </w:r>
      <w:r w:rsidR="004718C5" w:rsidRPr="009E7B83">
        <w:rPr>
          <w:rFonts w:ascii="Palatino Linotype" w:eastAsia="Palatino Linotype" w:hAnsi="Palatino Linotype" w:cs="Palatino Linotype"/>
          <w:color w:val="000000"/>
          <w:sz w:val="22"/>
          <w:szCs w:val="22"/>
        </w:rPr>
        <w:t>lo siguiente</w:t>
      </w:r>
      <w:r w:rsidR="00794987" w:rsidRPr="009E7B83">
        <w:rPr>
          <w:rFonts w:ascii="Palatino Linotype" w:eastAsia="Palatino Linotype" w:hAnsi="Palatino Linotype" w:cs="Palatino Linotype"/>
          <w:color w:val="000000"/>
          <w:sz w:val="22"/>
          <w:szCs w:val="22"/>
        </w:rPr>
        <w:t xml:space="preserve"> del “Parque Recreativo San Andrés</w:t>
      </w:r>
      <w:r w:rsidR="004718C5" w:rsidRPr="009E7B83">
        <w:rPr>
          <w:rFonts w:ascii="Palatino Linotype" w:eastAsia="Palatino Linotype" w:hAnsi="Palatino Linotype" w:cs="Palatino Linotype"/>
          <w:color w:val="000000"/>
          <w:sz w:val="22"/>
          <w:szCs w:val="22"/>
        </w:rPr>
        <w:t>:</w:t>
      </w:r>
    </w:p>
    <w:p w14:paraId="092B66F1" w14:textId="77777777" w:rsidR="00794987" w:rsidRPr="009E7B83" w:rsidRDefault="00794987" w:rsidP="00794987">
      <w:pPr>
        <w:pStyle w:val="Prrafodelista"/>
        <w:numPr>
          <w:ilvl w:val="0"/>
          <w:numId w:val="6"/>
        </w:numPr>
        <w:spacing w:after="240" w:line="360" w:lineRule="auto"/>
        <w:jc w:val="both"/>
        <w:rPr>
          <w:rFonts w:ascii="Palatino Linotype" w:eastAsia="Palatino Linotype" w:hAnsi="Palatino Linotype" w:cs="Palatino Linotype"/>
          <w:b/>
          <w:color w:val="000000"/>
          <w:sz w:val="22"/>
          <w:szCs w:val="22"/>
        </w:rPr>
      </w:pPr>
      <w:r w:rsidRPr="009E7B83">
        <w:rPr>
          <w:rFonts w:ascii="Palatino Linotype" w:eastAsia="Palatino Linotype" w:hAnsi="Palatino Linotype" w:cs="Palatino Linotype"/>
          <w:b/>
          <w:color w:val="000000"/>
          <w:sz w:val="22"/>
          <w:szCs w:val="22"/>
        </w:rPr>
        <w:t>Presupuesto destinado;</w:t>
      </w:r>
    </w:p>
    <w:p w14:paraId="6118E013" w14:textId="77777777" w:rsidR="00794987" w:rsidRPr="009E7B83" w:rsidRDefault="00794987" w:rsidP="00794987">
      <w:pPr>
        <w:pStyle w:val="Prrafodelista"/>
        <w:numPr>
          <w:ilvl w:val="0"/>
          <w:numId w:val="6"/>
        </w:numPr>
        <w:spacing w:after="240" w:line="360" w:lineRule="auto"/>
        <w:jc w:val="both"/>
        <w:rPr>
          <w:rFonts w:ascii="Palatino Linotype" w:eastAsia="Palatino Linotype" w:hAnsi="Palatino Linotype" w:cs="Palatino Linotype"/>
          <w:b/>
          <w:color w:val="000000"/>
          <w:sz w:val="22"/>
          <w:szCs w:val="22"/>
        </w:rPr>
      </w:pPr>
      <w:r w:rsidRPr="009E7B83">
        <w:rPr>
          <w:rFonts w:ascii="Palatino Linotype" w:eastAsia="Palatino Linotype" w:hAnsi="Palatino Linotype" w:cs="Palatino Linotype"/>
          <w:b/>
          <w:color w:val="000000"/>
          <w:sz w:val="22"/>
          <w:szCs w:val="22"/>
        </w:rPr>
        <w:lastRenderedPageBreak/>
        <w:t>Año de ejecución;</w:t>
      </w:r>
    </w:p>
    <w:p w14:paraId="12591F68" w14:textId="77777777" w:rsidR="00794987" w:rsidRPr="009E7B83" w:rsidRDefault="00794987" w:rsidP="00794987">
      <w:pPr>
        <w:pStyle w:val="Prrafodelista"/>
        <w:numPr>
          <w:ilvl w:val="0"/>
          <w:numId w:val="6"/>
        </w:numPr>
        <w:spacing w:after="240" w:line="360" w:lineRule="auto"/>
        <w:jc w:val="both"/>
        <w:rPr>
          <w:rFonts w:ascii="Palatino Linotype" w:eastAsia="Palatino Linotype" w:hAnsi="Palatino Linotype" w:cs="Palatino Linotype"/>
          <w:b/>
          <w:color w:val="000000"/>
          <w:sz w:val="22"/>
          <w:szCs w:val="22"/>
        </w:rPr>
      </w:pPr>
      <w:r w:rsidRPr="009E7B83">
        <w:rPr>
          <w:rFonts w:ascii="Palatino Linotype" w:eastAsia="Palatino Linotype" w:hAnsi="Palatino Linotype" w:cs="Palatino Linotype"/>
          <w:b/>
          <w:color w:val="000000"/>
          <w:sz w:val="22"/>
          <w:szCs w:val="22"/>
        </w:rPr>
        <w:t>Gasto ejercido y desglosado.</w:t>
      </w:r>
    </w:p>
    <w:p w14:paraId="00169ED8" w14:textId="77777777" w:rsidR="004718C5" w:rsidRPr="009E7B83" w:rsidRDefault="004718C5" w:rsidP="004718C5">
      <w:pPr>
        <w:jc w:val="both"/>
        <w:rPr>
          <w:rFonts w:ascii="Palatino Linotype" w:hAnsi="Palatino Linotype"/>
          <w:sz w:val="22"/>
          <w:szCs w:val="22"/>
        </w:rPr>
      </w:pPr>
    </w:p>
    <w:p w14:paraId="7ED87192" w14:textId="4ADBE45E" w:rsidR="00653524" w:rsidRPr="009E7B83" w:rsidRDefault="00794987">
      <w:pPr>
        <w:spacing w:after="240" w:line="360" w:lineRule="auto"/>
        <w:jc w:val="both"/>
        <w:rPr>
          <w:rFonts w:ascii="Palatino Linotype" w:eastAsia="Palatino Linotype" w:hAnsi="Palatino Linotype" w:cs="Palatino Linotype"/>
          <w:noProof/>
          <w:color w:val="000000"/>
          <w:sz w:val="22"/>
          <w:szCs w:val="22"/>
        </w:rPr>
      </w:pPr>
      <w:r w:rsidRPr="009E7B83">
        <w:rPr>
          <w:rFonts w:ascii="Palatino Linotype" w:eastAsia="Palatino Linotype" w:hAnsi="Palatino Linotype" w:cs="Palatino Linotype"/>
          <w:noProof/>
          <w:color w:val="000000"/>
          <w:sz w:val="22"/>
          <w:szCs w:val="22"/>
        </w:rPr>
        <w:t>El Sujeto Obligado</w:t>
      </w:r>
      <w:r w:rsidR="000D1C76" w:rsidRPr="009E7B83">
        <w:rPr>
          <w:rFonts w:ascii="Palatino Linotype" w:eastAsia="Palatino Linotype" w:hAnsi="Palatino Linotype" w:cs="Palatino Linotype"/>
          <w:noProof/>
          <w:color w:val="000000"/>
          <w:sz w:val="22"/>
          <w:szCs w:val="22"/>
        </w:rPr>
        <w:t>, a través de la Tesorería Municipal</w:t>
      </w:r>
      <w:r w:rsidRPr="009E7B83">
        <w:rPr>
          <w:rFonts w:ascii="Palatino Linotype" w:eastAsia="Palatino Linotype" w:hAnsi="Palatino Linotype" w:cs="Palatino Linotype"/>
          <w:noProof/>
          <w:color w:val="000000"/>
          <w:sz w:val="22"/>
          <w:szCs w:val="22"/>
        </w:rPr>
        <w:t xml:space="preserve"> refirió </w:t>
      </w:r>
      <w:r w:rsidR="000D1C76" w:rsidRPr="009E7B83">
        <w:rPr>
          <w:rFonts w:ascii="Palatino Linotype" w:eastAsia="Palatino Linotype" w:hAnsi="Palatino Linotype" w:cs="Palatino Linotype"/>
          <w:noProof/>
          <w:color w:val="000000"/>
          <w:sz w:val="22"/>
          <w:szCs w:val="22"/>
        </w:rPr>
        <w:t>que en el Municipio de San Andrés Jaltenco no existe a la fecha el Parque Recreativo con el nombre de referencia, ni lugar donde se ubica, por lo que se pide ser más exacto.</w:t>
      </w:r>
      <w:r w:rsidRPr="009E7B83">
        <w:rPr>
          <w:rFonts w:ascii="Palatino Linotype" w:eastAsia="Palatino Linotype" w:hAnsi="Palatino Linotype" w:cs="Palatino Linotype"/>
          <w:noProof/>
          <w:color w:val="000000"/>
          <w:sz w:val="22"/>
          <w:szCs w:val="22"/>
        </w:rPr>
        <w:t xml:space="preserve"> </w:t>
      </w:r>
    </w:p>
    <w:p w14:paraId="0234458E" w14:textId="77777777" w:rsidR="00B53698" w:rsidRPr="009E7B83" w:rsidRDefault="00B53698" w:rsidP="00B53698">
      <w:pPr>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2A5D0685"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4DCFDD0E" w14:textId="77777777" w:rsidR="00B53698" w:rsidRPr="009E7B83" w:rsidRDefault="00B53698" w:rsidP="00B53698">
      <w:pPr>
        <w:spacing w:before="240" w:after="240" w:line="360" w:lineRule="auto"/>
        <w:ind w:right="51"/>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w:t>
      </w:r>
      <w:r w:rsidRPr="009E7B83">
        <w:rPr>
          <w:rFonts w:ascii="Palatino Linotype" w:eastAsia="Palatino Linotype" w:hAnsi="Palatino Linotype" w:cs="Palatino Linotype"/>
          <w:sz w:val="22"/>
          <w:szCs w:val="22"/>
        </w:rPr>
        <w:lastRenderedPageBreak/>
        <w:t>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3A605088"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70D4B779" w14:textId="28AEFC6D" w:rsidR="00B53698" w:rsidRPr="009E7B83" w:rsidRDefault="00B53698" w:rsidP="00B53698">
      <w:pPr>
        <w:spacing w:after="240" w:line="360" w:lineRule="auto"/>
        <w:jc w:val="both"/>
        <w:rPr>
          <w:rFonts w:ascii="Palatino Linotype" w:eastAsia="Palatino Linotype" w:hAnsi="Palatino Linotype" w:cs="Palatino Linotype"/>
          <w:b/>
          <w:noProof/>
          <w:color w:val="000000"/>
          <w:sz w:val="22"/>
          <w:szCs w:val="22"/>
        </w:rPr>
      </w:pPr>
      <w:r w:rsidRPr="009E7B83">
        <w:rPr>
          <w:rFonts w:ascii="Palatino Linotype" w:eastAsia="Palatino Linotype" w:hAnsi="Palatino Linotype" w:cs="Palatino Linotype"/>
          <w:sz w:val="22"/>
          <w:szCs w:val="22"/>
        </w:rPr>
        <w:t>En el caso particular, derivado del análisis de las constancias que obran en el expediente electrónico en el que se actúa, se advirtió que la Unidad de Transparencia turnó la solicitud de información</w:t>
      </w:r>
      <w:r w:rsidR="00543888" w:rsidRPr="009E7B83">
        <w:rPr>
          <w:rFonts w:ascii="Palatino Linotype" w:eastAsia="Palatino Linotype" w:hAnsi="Palatino Linotype" w:cs="Palatino Linotype"/>
          <w:sz w:val="22"/>
          <w:szCs w:val="22"/>
        </w:rPr>
        <w:t xml:space="preserve"> al Tesorero Municipal,</w:t>
      </w:r>
      <w:r w:rsidR="00AA33FC" w:rsidRPr="009E7B83">
        <w:rPr>
          <w:rFonts w:ascii="Palatino Linotype" w:eastAsia="Palatino Linotype" w:hAnsi="Palatino Linotype" w:cs="Palatino Linotype"/>
          <w:sz w:val="22"/>
          <w:szCs w:val="22"/>
        </w:rPr>
        <w:t xml:space="preserve"> que de acuerdo a la Ley Orgánica Municipal tiene las siguientes atribuciones:</w:t>
      </w:r>
    </w:p>
    <w:p w14:paraId="4DA11ECE" w14:textId="77777777" w:rsidR="00AA33FC" w:rsidRPr="009E7B83" w:rsidRDefault="00AA33FC" w:rsidP="00CE6EBC">
      <w:pPr>
        <w:spacing w:after="240" w:line="360" w:lineRule="auto"/>
        <w:ind w:left="567" w:right="843"/>
        <w:jc w:val="center"/>
        <w:rPr>
          <w:rFonts w:ascii="Palatino Linotype" w:hAnsi="Palatino Linotype"/>
          <w:b/>
          <w:i/>
          <w:sz w:val="22"/>
          <w:szCs w:val="22"/>
        </w:rPr>
      </w:pPr>
      <w:r w:rsidRPr="009E7B83">
        <w:rPr>
          <w:rFonts w:ascii="Palatino Linotype" w:hAnsi="Palatino Linotype"/>
          <w:b/>
          <w:i/>
          <w:sz w:val="22"/>
          <w:szCs w:val="22"/>
        </w:rPr>
        <w:t>CAPITULO SEGUNDO</w:t>
      </w:r>
    </w:p>
    <w:p w14:paraId="3D994C83" w14:textId="3D773F81" w:rsidR="00AA33FC" w:rsidRPr="009E7B83" w:rsidRDefault="00AA33FC" w:rsidP="00CE6EBC">
      <w:pPr>
        <w:spacing w:after="240" w:line="360" w:lineRule="auto"/>
        <w:ind w:left="567" w:right="843"/>
        <w:jc w:val="center"/>
        <w:rPr>
          <w:rFonts w:ascii="Palatino Linotype" w:hAnsi="Palatino Linotype"/>
          <w:b/>
          <w:i/>
          <w:sz w:val="22"/>
          <w:szCs w:val="22"/>
        </w:rPr>
      </w:pPr>
      <w:r w:rsidRPr="009E7B83">
        <w:rPr>
          <w:rFonts w:ascii="Palatino Linotype" w:hAnsi="Palatino Linotype"/>
          <w:b/>
          <w:i/>
          <w:sz w:val="22"/>
          <w:szCs w:val="22"/>
        </w:rPr>
        <w:t>De la Tesorería Municipal</w:t>
      </w:r>
    </w:p>
    <w:p w14:paraId="1C238062" w14:textId="77777777" w:rsidR="00AA33FC" w:rsidRPr="009E7B83" w:rsidRDefault="00AA33FC" w:rsidP="00CE6EBC">
      <w:pPr>
        <w:spacing w:after="240" w:line="360" w:lineRule="auto"/>
        <w:ind w:left="567" w:right="843"/>
        <w:jc w:val="both"/>
        <w:rPr>
          <w:rFonts w:ascii="Palatino Linotype" w:hAnsi="Palatino Linotype"/>
          <w:i/>
          <w:sz w:val="22"/>
          <w:szCs w:val="22"/>
        </w:rPr>
      </w:pPr>
      <w:r w:rsidRPr="009E7B83">
        <w:rPr>
          <w:rFonts w:ascii="Palatino Linotype" w:hAnsi="Palatino Linotype"/>
          <w:i/>
          <w:sz w:val="22"/>
          <w:szCs w:val="22"/>
        </w:rPr>
        <w:t>Artículo 93.- La tesorería municipal es el órgano encargado de la recaudación de los ingresos municipales y responsable de realizar las erogaciones que haga el ayuntamiento.</w:t>
      </w:r>
    </w:p>
    <w:p w14:paraId="08651476" w14:textId="53E0333F" w:rsidR="00AA33FC" w:rsidRPr="009E7B83" w:rsidRDefault="00AA33FC" w:rsidP="00CE6EBC">
      <w:pPr>
        <w:spacing w:after="240" w:line="360" w:lineRule="auto"/>
        <w:ind w:left="567" w:right="843"/>
        <w:jc w:val="both"/>
        <w:rPr>
          <w:rFonts w:ascii="Palatino Linotype" w:hAnsi="Palatino Linotype"/>
          <w:i/>
          <w:sz w:val="22"/>
          <w:szCs w:val="22"/>
        </w:rPr>
      </w:pPr>
      <w:r w:rsidRPr="009E7B83">
        <w:rPr>
          <w:rFonts w:ascii="Palatino Linotype" w:hAnsi="Palatino Linotype"/>
          <w:i/>
          <w:sz w:val="22"/>
          <w:szCs w:val="22"/>
        </w:rPr>
        <w:t xml:space="preserve">Artículo 94.- El tesorero municipal, al tomar posesión de su cargo, recibirá la hacienda pública de acuerdo con las previsiones a que se refiere el artículo 19 de esta Ley y remitirá </w:t>
      </w:r>
      <w:r w:rsidRPr="009E7B83">
        <w:rPr>
          <w:rFonts w:ascii="Palatino Linotype" w:hAnsi="Palatino Linotype"/>
          <w:i/>
          <w:sz w:val="22"/>
          <w:szCs w:val="22"/>
        </w:rPr>
        <w:lastRenderedPageBreak/>
        <w:t xml:space="preserve">un ejemplar de dicha documentación al ayuntamiento, al Órgano Superior de Fiscalización del Estado de México y al archivo de la tesorería. </w:t>
      </w:r>
    </w:p>
    <w:p w14:paraId="47C96D91" w14:textId="77777777" w:rsidR="00AA33FC" w:rsidRPr="009E7B83" w:rsidRDefault="00AA33FC" w:rsidP="00CE6EBC">
      <w:pPr>
        <w:spacing w:after="240"/>
        <w:ind w:left="567" w:right="843"/>
        <w:jc w:val="both"/>
        <w:rPr>
          <w:rFonts w:ascii="Palatino Linotype" w:hAnsi="Palatino Linotype"/>
          <w:i/>
          <w:sz w:val="22"/>
          <w:szCs w:val="22"/>
        </w:rPr>
      </w:pPr>
      <w:r w:rsidRPr="009E7B83">
        <w:rPr>
          <w:rFonts w:ascii="Palatino Linotype" w:hAnsi="Palatino Linotype"/>
          <w:i/>
          <w:sz w:val="22"/>
          <w:szCs w:val="22"/>
        </w:rPr>
        <w:t xml:space="preserve">Artículo 95.- Son atribuciones del tesorero municipal: </w:t>
      </w:r>
    </w:p>
    <w:p w14:paraId="73AE3CDF" w14:textId="157D2CC5" w:rsidR="00543888" w:rsidRPr="009E7B83" w:rsidRDefault="00AA33FC" w:rsidP="00CE6EBC">
      <w:pPr>
        <w:spacing w:after="240"/>
        <w:ind w:left="567" w:right="843"/>
        <w:jc w:val="both"/>
        <w:rPr>
          <w:rFonts w:ascii="Palatino Linotype" w:hAnsi="Palatino Linotype"/>
          <w:i/>
          <w:sz w:val="22"/>
          <w:szCs w:val="22"/>
        </w:rPr>
      </w:pPr>
      <w:r w:rsidRPr="009E7B83">
        <w:rPr>
          <w:rFonts w:ascii="Palatino Linotype" w:hAnsi="Palatino Linotype"/>
          <w:i/>
          <w:sz w:val="22"/>
          <w:szCs w:val="22"/>
        </w:rPr>
        <w:t>I. Administrar la hacienda pública municipal, de conformidad con las disposiciones legales aplicables;</w:t>
      </w:r>
    </w:p>
    <w:p w14:paraId="5B1ACA15" w14:textId="54E20DBE" w:rsidR="00AA33FC" w:rsidRPr="009E7B83" w:rsidRDefault="00AA33FC" w:rsidP="00CE6EBC">
      <w:pPr>
        <w:spacing w:after="240"/>
        <w:ind w:left="567" w:right="843"/>
        <w:jc w:val="both"/>
        <w:rPr>
          <w:rFonts w:ascii="Palatino Linotype" w:hAnsi="Palatino Linotype"/>
          <w:i/>
          <w:sz w:val="22"/>
          <w:szCs w:val="22"/>
        </w:rPr>
      </w:pPr>
      <w:r w:rsidRPr="009E7B83">
        <w:rPr>
          <w:rFonts w:ascii="Palatino Linotype" w:hAnsi="Palatino Linotype"/>
          <w:i/>
          <w:sz w:val="22"/>
          <w:szCs w:val="22"/>
        </w:rPr>
        <w:t>…</w:t>
      </w:r>
    </w:p>
    <w:p w14:paraId="7F3613A7" w14:textId="59B31F6D" w:rsidR="00AA33FC" w:rsidRPr="009E7B83" w:rsidRDefault="00AA33FC" w:rsidP="00CE6EBC">
      <w:pPr>
        <w:spacing w:after="240"/>
        <w:ind w:left="567" w:right="843"/>
        <w:jc w:val="both"/>
        <w:rPr>
          <w:rFonts w:ascii="Palatino Linotype" w:hAnsi="Palatino Linotype"/>
          <w:i/>
          <w:sz w:val="22"/>
          <w:szCs w:val="22"/>
        </w:rPr>
      </w:pPr>
      <w:r w:rsidRPr="009E7B83">
        <w:rPr>
          <w:rFonts w:ascii="Palatino Linotype" w:hAnsi="Palatino Linotype"/>
          <w:i/>
          <w:sz w:val="22"/>
          <w:szCs w:val="22"/>
        </w:rPr>
        <w:t>IV. Llevar los registros contables, financieros y administrativos de los ingresos, egresos, e inventarios;</w:t>
      </w:r>
    </w:p>
    <w:p w14:paraId="0F6EB188" w14:textId="77777777" w:rsidR="00AA33FC" w:rsidRPr="009E7B83" w:rsidRDefault="00AA33FC" w:rsidP="00CE6EBC">
      <w:pPr>
        <w:spacing w:after="240"/>
        <w:ind w:left="567" w:right="843"/>
        <w:jc w:val="both"/>
        <w:rPr>
          <w:rFonts w:ascii="Palatino Linotype" w:hAnsi="Palatino Linotype"/>
          <w:i/>
          <w:sz w:val="22"/>
          <w:szCs w:val="22"/>
        </w:rPr>
      </w:pPr>
      <w:r w:rsidRPr="009E7B83">
        <w:rPr>
          <w:rFonts w:ascii="Palatino Linotype" w:hAnsi="Palatino Linotype"/>
          <w:i/>
          <w:sz w:val="22"/>
          <w:szCs w:val="22"/>
        </w:rPr>
        <w:t xml:space="preserve">VI. Presentar anualmente al ayuntamiento un informe de la situación contable financiera de la Tesorería Municipal; </w:t>
      </w:r>
    </w:p>
    <w:p w14:paraId="7E2B33EA" w14:textId="249D74D7" w:rsidR="00AA33FC" w:rsidRPr="009E7B83" w:rsidRDefault="00AA33FC" w:rsidP="00CE6EBC">
      <w:pPr>
        <w:spacing w:after="240"/>
        <w:ind w:left="567" w:right="843"/>
        <w:jc w:val="both"/>
        <w:rPr>
          <w:rFonts w:ascii="Palatino Linotype" w:eastAsia="Palatino Linotype" w:hAnsi="Palatino Linotype" w:cs="Palatino Linotype"/>
          <w:b/>
          <w:i/>
          <w:noProof/>
          <w:color w:val="000000"/>
          <w:sz w:val="22"/>
          <w:szCs w:val="22"/>
        </w:rPr>
      </w:pPr>
      <w:r w:rsidRPr="009E7B83">
        <w:rPr>
          <w:rFonts w:ascii="Palatino Linotype" w:hAnsi="Palatino Linotype"/>
          <w:i/>
          <w:sz w:val="22"/>
          <w:szCs w:val="22"/>
        </w:rPr>
        <w:t>VI Bis. Proporcionar para la formulación del proyecto de Presupuesto de Egresos Municipales la información financiera relativa a la solución o en su caso, el pago de los litigios laborales;</w:t>
      </w:r>
    </w:p>
    <w:p w14:paraId="7A1AD923" w14:textId="0C3AF5CB" w:rsidR="00CE6EBC" w:rsidRPr="009E7B83" w:rsidRDefault="00CE6EBC">
      <w:pPr>
        <w:spacing w:after="240" w:line="360" w:lineRule="auto"/>
        <w:jc w:val="both"/>
        <w:rPr>
          <w:rFonts w:ascii="Palatino Linotype" w:eastAsia="Palatino Linotype" w:hAnsi="Palatino Linotype" w:cs="Palatino Linotype"/>
          <w:noProof/>
          <w:color w:val="000000"/>
          <w:sz w:val="22"/>
          <w:szCs w:val="22"/>
        </w:rPr>
      </w:pPr>
      <w:r w:rsidRPr="009E7B83">
        <w:rPr>
          <w:rFonts w:ascii="Palatino Linotype" w:eastAsia="Palatino Linotype" w:hAnsi="Palatino Linotype" w:cs="Palatino Linotype"/>
          <w:noProof/>
          <w:color w:val="000000"/>
          <w:sz w:val="22"/>
          <w:szCs w:val="22"/>
        </w:rPr>
        <w:t>Tal y como se aprecia, la Tesorería Municipal es la autoridad encargada de administrar la hacienda pública del municipio y la responsable de realizar cualquier erogación que requiera el Ayuntamiento, debiendo registrar debidamente los egresos en los registros contables, por lo que es la unidad administrativa con atribuciones, competencias y facultades para generar la información que requiere el particular. Sin embargo, no escapa de la óptica de este Organismo Garante que, si bien la solicitud versa sobre</w:t>
      </w:r>
      <w:r w:rsidR="0005084E" w:rsidRPr="009E7B83">
        <w:rPr>
          <w:rFonts w:ascii="Palatino Linotype" w:eastAsia="Palatino Linotype" w:hAnsi="Palatino Linotype" w:cs="Palatino Linotype"/>
          <w:noProof/>
          <w:color w:val="000000"/>
          <w:sz w:val="22"/>
          <w:szCs w:val="22"/>
        </w:rPr>
        <w:t xml:space="preserve"> presupuesto y gasto ejercido, también lo es que se trata de una obra pública, es decir, la construcción de un parque. </w:t>
      </w:r>
    </w:p>
    <w:p w14:paraId="0B444EB5" w14:textId="28E636A4" w:rsidR="00976B6A" w:rsidRPr="009E7B83" w:rsidRDefault="00976B6A">
      <w:pPr>
        <w:spacing w:after="240" w:line="360" w:lineRule="auto"/>
        <w:jc w:val="both"/>
        <w:rPr>
          <w:rFonts w:ascii="Palatino Linotype" w:eastAsia="Palatino Linotype" w:hAnsi="Palatino Linotype" w:cs="Palatino Linotype"/>
          <w:noProof/>
          <w:sz w:val="22"/>
          <w:szCs w:val="22"/>
        </w:rPr>
      </w:pPr>
      <w:r w:rsidRPr="009E7B83">
        <w:rPr>
          <w:rFonts w:ascii="Palatino Linotype" w:eastAsia="Palatino Linotype" w:hAnsi="Palatino Linotype" w:cs="Palatino Linotype"/>
          <w:noProof/>
          <w:sz w:val="22"/>
          <w:szCs w:val="22"/>
        </w:rPr>
        <w:t>Entonces, se determina que la Dirección de Obras Públicas o equivalente, en la administración municipal, cuenta con facultades, atribuciones y competencias para conocer de lo solicitado por el Recurrente, por lo que es conveniente traer a contexto el artículo 96 Bis de la Ley Orgánica</w:t>
      </w:r>
      <w:r w:rsidR="00202C20" w:rsidRPr="009E7B83">
        <w:rPr>
          <w:rFonts w:ascii="Palatino Linotype" w:eastAsia="Palatino Linotype" w:hAnsi="Palatino Linotype" w:cs="Palatino Linotype"/>
          <w:noProof/>
          <w:sz w:val="22"/>
          <w:szCs w:val="22"/>
        </w:rPr>
        <w:t xml:space="preserve"> Municipal del Estado de México:</w:t>
      </w:r>
    </w:p>
    <w:p w14:paraId="2426A194" w14:textId="77777777" w:rsidR="00202C20" w:rsidRPr="009E7B83" w:rsidRDefault="00202C20" w:rsidP="00202C20">
      <w:pPr>
        <w:spacing w:after="240"/>
        <w:ind w:left="567" w:right="843"/>
        <w:jc w:val="both"/>
        <w:rPr>
          <w:rFonts w:ascii="Palatino Linotype" w:hAnsi="Palatino Linotype"/>
          <w:i/>
          <w:sz w:val="22"/>
          <w:szCs w:val="22"/>
        </w:rPr>
      </w:pPr>
      <w:r w:rsidRPr="009E7B83">
        <w:rPr>
          <w:rFonts w:ascii="Palatino Linotype" w:hAnsi="Palatino Linotype"/>
          <w:i/>
          <w:sz w:val="22"/>
          <w:szCs w:val="22"/>
        </w:rPr>
        <w:lastRenderedPageBreak/>
        <w:t xml:space="preserve">Artículo 96. </w:t>
      </w:r>
      <w:proofErr w:type="gramStart"/>
      <w:r w:rsidRPr="009E7B83">
        <w:rPr>
          <w:rFonts w:ascii="Palatino Linotype" w:hAnsi="Palatino Linotype"/>
          <w:i/>
          <w:sz w:val="22"/>
          <w:szCs w:val="22"/>
        </w:rPr>
        <w:t>Bis.-</w:t>
      </w:r>
      <w:proofErr w:type="gramEnd"/>
      <w:r w:rsidRPr="009E7B83">
        <w:rPr>
          <w:rFonts w:ascii="Palatino Linotype" w:hAnsi="Palatino Linotype"/>
          <w:i/>
          <w:sz w:val="22"/>
          <w:szCs w:val="22"/>
        </w:rPr>
        <w:t xml:space="preserve"> El Director de Obras Públicas o el Titular de la Unidad Administrativa equivalente, tiene las siguientes atribuciones: </w:t>
      </w:r>
    </w:p>
    <w:p w14:paraId="2AA11EF7" w14:textId="77777777" w:rsidR="00202C20" w:rsidRPr="009E7B83" w:rsidRDefault="00202C20" w:rsidP="00202C20">
      <w:pPr>
        <w:spacing w:after="240"/>
        <w:ind w:left="567" w:right="843"/>
        <w:jc w:val="both"/>
        <w:rPr>
          <w:rFonts w:ascii="Palatino Linotype" w:hAnsi="Palatino Linotype"/>
          <w:b/>
          <w:i/>
          <w:sz w:val="22"/>
          <w:szCs w:val="22"/>
        </w:rPr>
      </w:pPr>
      <w:r w:rsidRPr="009E7B83">
        <w:rPr>
          <w:rFonts w:ascii="Palatino Linotype" w:hAnsi="Palatino Linotype"/>
          <w:b/>
          <w:i/>
          <w:sz w:val="22"/>
          <w:szCs w:val="22"/>
        </w:rPr>
        <w:t xml:space="preserve">I. Realizar la programación y ejecución de las obras públicas y servicios relacionados, que por orden expresa del Ayuntamiento requieran prioridad; </w:t>
      </w:r>
    </w:p>
    <w:p w14:paraId="61066A9D" w14:textId="022DA8E6" w:rsidR="00202C20" w:rsidRPr="009E7B83" w:rsidRDefault="00202C20" w:rsidP="00202C20">
      <w:pPr>
        <w:spacing w:after="240"/>
        <w:ind w:left="567" w:right="843"/>
        <w:jc w:val="both"/>
        <w:rPr>
          <w:rFonts w:ascii="Palatino Linotype" w:hAnsi="Palatino Linotype"/>
          <w:b/>
          <w:i/>
          <w:sz w:val="22"/>
          <w:szCs w:val="22"/>
        </w:rPr>
      </w:pPr>
      <w:r w:rsidRPr="009E7B83">
        <w:rPr>
          <w:rFonts w:ascii="Palatino Linotype" w:hAnsi="Palatino Linotype"/>
          <w:b/>
          <w:i/>
          <w:sz w:val="22"/>
          <w:szCs w:val="22"/>
        </w:rPr>
        <w:t>II. Planear y coordinar los proyectos de obras públicas y servicios relacionados con las mismas que autorice el Ayuntamiento, una vez que se cumplan los requisitos de licitación y otros que determine la ley de la materia;</w:t>
      </w:r>
    </w:p>
    <w:p w14:paraId="011F6EFF" w14:textId="77777777" w:rsidR="00202C20" w:rsidRPr="009E7B83" w:rsidRDefault="00202C20" w:rsidP="00202C20">
      <w:pPr>
        <w:spacing w:after="240"/>
        <w:ind w:left="567" w:right="843"/>
        <w:jc w:val="both"/>
        <w:rPr>
          <w:rFonts w:ascii="Palatino Linotype" w:hAnsi="Palatino Linotype"/>
          <w:i/>
          <w:sz w:val="22"/>
          <w:szCs w:val="22"/>
        </w:rPr>
      </w:pPr>
      <w:r w:rsidRPr="009E7B83">
        <w:rPr>
          <w:rFonts w:ascii="Palatino Linotype" w:hAnsi="Palatino Linotype"/>
          <w:i/>
          <w:sz w:val="22"/>
          <w:szCs w:val="22"/>
        </w:rPr>
        <w:t xml:space="preserve">III. Proyectar las obras públicas y servicios relacionados, que realice el Municipio, incluyendo la conservación y mantenimiento de edificios, monumentos, calles, parques y jardines; </w:t>
      </w:r>
    </w:p>
    <w:p w14:paraId="33450E81" w14:textId="77777777" w:rsidR="00202C20" w:rsidRPr="009E7B83" w:rsidRDefault="00202C20" w:rsidP="00202C20">
      <w:pPr>
        <w:spacing w:after="240"/>
        <w:ind w:left="567" w:right="843"/>
        <w:jc w:val="both"/>
        <w:rPr>
          <w:rFonts w:ascii="Palatino Linotype" w:hAnsi="Palatino Linotype"/>
          <w:i/>
          <w:sz w:val="22"/>
          <w:szCs w:val="22"/>
        </w:rPr>
      </w:pPr>
      <w:r w:rsidRPr="009E7B83">
        <w:rPr>
          <w:rFonts w:ascii="Palatino Linotype" w:hAnsi="Palatino Linotype"/>
          <w:i/>
          <w:sz w:val="22"/>
          <w:szCs w:val="22"/>
        </w:rPr>
        <w:t xml:space="preserve">IV. Construir y ejecutar todas aquellas obras públicas y servicios relacionados, que aumenten y mantengan la infraestructura municipal y que estén consideradas en el programa respectivo; </w:t>
      </w:r>
    </w:p>
    <w:p w14:paraId="2589E2B3" w14:textId="7B4A2CCC" w:rsidR="00202C20" w:rsidRPr="009E7B83" w:rsidRDefault="00202C20" w:rsidP="00202C20">
      <w:pPr>
        <w:spacing w:after="240"/>
        <w:ind w:left="567" w:right="843"/>
        <w:jc w:val="both"/>
        <w:rPr>
          <w:rFonts w:ascii="Palatino Linotype" w:eastAsia="Palatino Linotype" w:hAnsi="Palatino Linotype" w:cs="Palatino Linotype"/>
          <w:i/>
          <w:noProof/>
          <w:sz w:val="22"/>
          <w:szCs w:val="22"/>
        </w:rPr>
      </w:pPr>
      <w:r w:rsidRPr="009E7B83">
        <w:rPr>
          <w:rFonts w:ascii="Palatino Linotype" w:hAnsi="Palatino Linotype"/>
          <w:i/>
          <w:sz w:val="22"/>
          <w:szCs w:val="22"/>
        </w:rPr>
        <w:t>V. Determinar y cuantificar los materiales y trabajos necesarios para programas de construcción y mantenimiento de obras públicas y servicios relacionados;</w:t>
      </w:r>
    </w:p>
    <w:p w14:paraId="6F9E4046" w14:textId="77777777" w:rsidR="00202C20" w:rsidRPr="009E7B83" w:rsidRDefault="00202C20" w:rsidP="00202C20">
      <w:pPr>
        <w:spacing w:after="240"/>
        <w:ind w:left="567" w:right="843"/>
        <w:jc w:val="both"/>
        <w:rPr>
          <w:rFonts w:ascii="Palatino Linotype" w:hAnsi="Palatino Linotype"/>
          <w:b/>
          <w:i/>
          <w:sz w:val="22"/>
          <w:szCs w:val="22"/>
        </w:rPr>
      </w:pPr>
      <w:r w:rsidRPr="009E7B83">
        <w:rPr>
          <w:rFonts w:ascii="Palatino Linotype" w:hAnsi="Palatino Linotype"/>
          <w:b/>
          <w:i/>
          <w:sz w:val="22"/>
          <w:szCs w:val="22"/>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7C8DB8C5" w14:textId="2514A1D6" w:rsidR="00202C20" w:rsidRPr="009E7B83" w:rsidRDefault="00202C20" w:rsidP="00202C20">
      <w:pPr>
        <w:spacing w:after="240"/>
        <w:ind w:left="567" w:right="843"/>
        <w:jc w:val="both"/>
        <w:rPr>
          <w:rFonts w:ascii="Palatino Linotype" w:hAnsi="Palatino Linotype"/>
          <w:b/>
          <w:i/>
          <w:sz w:val="22"/>
          <w:szCs w:val="22"/>
        </w:rPr>
      </w:pPr>
      <w:r w:rsidRPr="009E7B83">
        <w:rPr>
          <w:rFonts w:ascii="Palatino Linotype" w:hAnsi="Palatino Linotype"/>
          <w:b/>
          <w:i/>
          <w:sz w:val="22"/>
          <w:szCs w:val="22"/>
        </w:rPr>
        <w:t>X. Verificar que las obras públicas y los servicios relacionados con la misma, hayan sido programadas, presupuestadas, ejecutadas, adquiridas y contratadas en estricto apego a las disposiciones legales aplicables;</w:t>
      </w:r>
    </w:p>
    <w:p w14:paraId="23915181" w14:textId="6304B3C3" w:rsidR="00202C20" w:rsidRPr="009E7B83" w:rsidRDefault="00202C20" w:rsidP="00202C20">
      <w:pPr>
        <w:spacing w:after="240"/>
        <w:ind w:left="567" w:right="843"/>
        <w:jc w:val="both"/>
        <w:rPr>
          <w:rFonts w:ascii="Palatino Linotype" w:eastAsia="Palatino Linotype" w:hAnsi="Palatino Linotype" w:cs="Palatino Linotype"/>
          <w:b/>
          <w:i/>
          <w:noProof/>
          <w:color w:val="000000"/>
          <w:sz w:val="22"/>
          <w:szCs w:val="22"/>
        </w:rPr>
      </w:pPr>
      <w:r w:rsidRPr="009E7B83">
        <w:rPr>
          <w:rFonts w:ascii="Palatino Linotype" w:hAnsi="Palatino Linotype"/>
          <w:b/>
          <w:i/>
          <w:sz w:val="22"/>
          <w:szCs w:val="22"/>
        </w:rPr>
        <w:t>…</w:t>
      </w:r>
    </w:p>
    <w:p w14:paraId="63F65FCA" w14:textId="0978C9A8" w:rsidR="00202C20" w:rsidRPr="009E7B83" w:rsidRDefault="00202C20">
      <w:pPr>
        <w:spacing w:after="240" w:line="360" w:lineRule="auto"/>
        <w:jc w:val="both"/>
        <w:rPr>
          <w:rFonts w:ascii="Palatino Linotype" w:eastAsia="Palatino Linotype" w:hAnsi="Palatino Linotype" w:cs="Palatino Linotype"/>
          <w:b/>
          <w:noProof/>
          <w:color w:val="000000"/>
          <w:sz w:val="22"/>
          <w:szCs w:val="22"/>
        </w:rPr>
      </w:pPr>
      <w:r w:rsidRPr="009E7B83">
        <w:rPr>
          <w:rFonts w:ascii="Palatino Linotype" w:hAnsi="Palatino Linotype"/>
          <w:sz w:val="22"/>
          <w:szCs w:val="22"/>
        </w:rPr>
        <w:t xml:space="preserve">El precepto legal citado, establece las atribuciones para el </w:t>
      </w:r>
      <w:proofErr w:type="gramStart"/>
      <w:r w:rsidRPr="009E7B83">
        <w:rPr>
          <w:rFonts w:ascii="Palatino Linotype" w:hAnsi="Palatino Linotype"/>
          <w:sz w:val="22"/>
          <w:szCs w:val="22"/>
        </w:rPr>
        <w:t>Director</w:t>
      </w:r>
      <w:proofErr w:type="gramEnd"/>
      <w:r w:rsidRPr="009E7B83">
        <w:rPr>
          <w:rFonts w:ascii="Palatino Linotype" w:hAnsi="Palatino Linotype"/>
          <w:sz w:val="22"/>
          <w:szCs w:val="22"/>
        </w:rPr>
        <w:t xml:space="preserve"> de Obras Públicas o titular equivalente, destacando su papel estratégico en el desarrollo de infraestructura municipal. Señalando que su función no se limita únicamente a la ejecución de obras, sino que abarca desde la planeación, programación, presupuestación, así como la administración de recursos </w:t>
      </w:r>
      <w:r w:rsidRPr="009E7B83">
        <w:rPr>
          <w:rFonts w:ascii="Palatino Linotype" w:hAnsi="Palatino Linotype"/>
          <w:sz w:val="22"/>
          <w:szCs w:val="22"/>
        </w:rPr>
        <w:lastRenderedPageBreak/>
        <w:t>públicos en coordinación con la Tesorería Municipal, por lo que, al igual que esta última, la Dirección de Obras Públicas es unidad administrativa competente para generar, administrar y poseer la información que es de interés para el particular.</w:t>
      </w:r>
    </w:p>
    <w:p w14:paraId="6EB324CE" w14:textId="1EB80E59" w:rsidR="00F3419F" w:rsidRPr="009E7B83" w:rsidRDefault="00F3419F" w:rsidP="00F3419F">
      <w:pPr>
        <w:spacing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Por lo que, al haber turnado la solicitud </w:t>
      </w:r>
      <w:r w:rsidR="00347352" w:rsidRPr="009E7B83">
        <w:rPr>
          <w:rFonts w:ascii="Palatino Linotype" w:eastAsia="Palatino Linotype" w:hAnsi="Palatino Linotype" w:cs="Palatino Linotype"/>
          <w:sz w:val="22"/>
          <w:szCs w:val="22"/>
        </w:rPr>
        <w:t xml:space="preserve">únicamente </w:t>
      </w:r>
      <w:r w:rsidRPr="009E7B83">
        <w:rPr>
          <w:rFonts w:ascii="Palatino Linotype" w:eastAsia="Palatino Linotype" w:hAnsi="Palatino Linotype" w:cs="Palatino Linotype"/>
          <w:sz w:val="22"/>
          <w:szCs w:val="22"/>
        </w:rPr>
        <w:t>a la Tesorería Municipal,</w:t>
      </w:r>
      <w:r w:rsidRPr="009E7B83">
        <w:rPr>
          <w:rFonts w:ascii="Palatino Linotype" w:eastAsia="Palatino Linotype" w:hAnsi="Palatino Linotype" w:cs="Palatino Linotype"/>
          <w:bCs/>
          <w:color w:val="000000"/>
          <w:sz w:val="22"/>
          <w:szCs w:val="22"/>
        </w:rPr>
        <w:t xml:space="preserve"> se</w:t>
      </w:r>
      <w:r w:rsidRPr="009E7B83">
        <w:rPr>
          <w:rFonts w:ascii="Palatino Linotype" w:eastAsia="Palatino Linotype" w:hAnsi="Palatino Linotype" w:cs="Palatino Linotype"/>
          <w:sz w:val="22"/>
          <w:szCs w:val="22"/>
        </w:rPr>
        <w:t xml:space="preserve"> advierte que el Sujeto Obligado incumplió con lo que disponen los artículos 151, 160, 162, 164, 165 y 166, de la Ley de Transparencia y Acceso a la Información Pública del Estado de México y Municipios:</w:t>
      </w:r>
    </w:p>
    <w:p w14:paraId="6997E1F4" w14:textId="77777777" w:rsidR="00F3419F" w:rsidRPr="009E7B83" w:rsidRDefault="00F3419F" w:rsidP="00F3419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2C435DF" w14:textId="77777777" w:rsidR="00F3419F" w:rsidRPr="009E7B83" w:rsidRDefault="00F3419F" w:rsidP="00F3419F">
      <w:pPr>
        <w:spacing w:line="360" w:lineRule="auto"/>
        <w:ind w:left="284" w:right="191"/>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C535287" w14:textId="77777777" w:rsidR="00F3419F" w:rsidRPr="009E7B83" w:rsidRDefault="00F3419F" w:rsidP="00F3419F">
      <w:pPr>
        <w:spacing w:line="360" w:lineRule="auto"/>
        <w:ind w:left="284" w:right="191"/>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6391C675" w14:textId="77777777" w:rsidR="00F3419F" w:rsidRPr="009E7B83" w:rsidRDefault="00F3419F" w:rsidP="00F3419F">
      <w:pPr>
        <w:spacing w:line="360" w:lineRule="auto"/>
        <w:ind w:left="284" w:right="191"/>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A7756EF" w14:textId="77777777" w:rsidR="00F3419F" w:rsidRPr="009E7B83" w:rsidRDefault="00F3419F" w:rsidP="00F3419F">
      <w:pPr>
        <w:spacing w:line="360" w:lineRule="auto"/>
        <w:ind w:left="284" w:right="191"/>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w:t>
      </w:r>
      <w:r w:rsidRPr="009E7B83">
        <w:rPr>
          <w:rFonts w:ascii="Palatino Linotype" w:eastAsia="Palatino Linotype" w:hAnsi="Palatino Linotype" w:cs="Palatino Linotype"/>
          <w:sz w:val="22"/>
          <w:szCs w:val="22"/>
        </w:rPr>
        <w:lastRenderedPageBreak/>
        <w:t xml:space="preserve">Obligados darán por concluida la solicitud y procederán de ser el caso, a la destrucción del material; </w:t>
      </w:r>
    </w:p>
    <w:p w14:paraId="7F4F0642" w14:textId="77777777" w:rsidR="00F3419F" w:rsidRPr="009E7B83" w:rsidRDefault="00F3419F" w:rsidP="00F3419F">
      <w:pPr>
        <w:spacing w:line="360" w:lineRule="auto"/>
        <w:ind w:left="284" w:right="191"/>
        <w:jc w:val="both"/>
        <w:rPr>
          <w:rFonts w:ascii="Palatino Linotype" w:eastAsia="Palatino Linotype" w:hAnsi="Palatino Linotype" w:cs="Palatino Linotype"/>
          <w:sz w:val="22"/>
          <w:szCs w:val="22"/>
        </w:rPr>
      </w:pPr>
    </w:p>
    <w:p w14:paraId="7A1876A7" w14:textId="384B12DF" w:rsidR="00347352" w:rsidRPr="009E7B83" w:rsidRDefault="00F3419F" w:rsidP="008177D1">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En este orden de ideas, se reitera que la Unidad de Transparencia no siguió el procedimiento que establece el artículo 162 de la Ley de Transparencia Local, ya que</w:t>
      </w:r>
      <w:r w:rsidR="00347352" w:rsidRPr="009E7B83">
        <w:rPr>
          <w:rFonts w:ascii="Palatino Linotype" w:eastAsia="Palatino Linotype" w:hAnsi="Palatino Linotype" w:cs="Palatino Linotype"/>
          <w:sz w:val="22"/>
          <w:szCs w:val="22"/>
        </w:rPr>
        <w:t xml:space="preserve"> omitió turnar la solicitud a las demás áreas que de acuerdo a sus atribuciones, funciones y competencias deben generar, administrar y poseer la información requerida por el particular, como lo es, de manera enunciativa más no limitativa la Dirección de Obras Públicas.</w:t>
      </w:r>
    </w:p>
    <w:p w14:paraId="10CDEC70" w14:textId="77777777" w:rsidR="00347352" w:rsidRPr="009E7B83" w:rsidRDefault="00347352" w:rsidP="008177D1">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58CE27C1" w14:textId="301B7FFA" w:rsidR="00B53698" w:rsidRPr="009E7B83" w:rsidRDefault="00F3419F" w:rsidP="008177D1">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 </w:t>
      </w:r>
      <w:r w:rsidR="00B53698" w:rsidRPr="009E7B83">
        <w:rPr>
          <w:rFonts w:ascii="Palatino Linotype" w:eastAsia="Palatino Linotype" w:hAnsi="Palatino Linotype" w:cs="Palatino Linotype"/>
          <w:sz w:val="22"/>
          <w:szCs w:val="22"/>
        </w:rPr>
        <w:t xml:space="preserve">En este contexto, se menciona que si bien, el </w:t>
      </w:r>
      <w:r w:rsidR="00B53698" w:rsidRPr="009E7B83">
        <w:rPr>
          <w:rFonts w:ascii="Palatino Linotype" w:eastAsia="Palatino Linotype" w:hAnsi="Palatino Linotype" w:cs="Palatino Linotype"/>
          <w:b/>
          <w:sz w:val="22"/>
          <w:szCs w:val="22"/>
        </w:rPr>
        <w:t xml:space="preserve">Sujeto Obligado </w:t>
      </w:r>
      <w:r w:rsidR="00B53698" w:rsidRPr="009E7B83">
        <w:rPr>
          <w:rFonts w:ascii="Palatino Linotype" w:eastAsia="Palatino Linotype" w:hAnsi="Palatino Linotype" w:cs="Palatino Linotype"/>
          <w:sz w:val="22"/>
          <w:szCs w:val="22"/>
        </w:rPr>
        <w:t>tiene la facultad para celebrar contratos de obra pública, estos se realizan en función del Programa Anual de Obra, documento que forma parte del Presupuesto de Egresos Municipal,  cuya versión definitiva se promulga y publica en la "Gaceta Municipal”, por la Presidenta o el Presidente Municipal,  a más tardar el día veinticinco de febrero de cada año, de conformidad con los artículos 125, párrafo cuarto de la Constitución Política del Estado Libre y Soberano de México, 351, párrafo segundo del Código Financiero del Estado de México, y 47 de la Ley de Fiscalización Superior del Estado de México, a saber:</w:t>
      </w:r>
    </w:p>
    <w:p w14:paraId="77D80913"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r w:rsidRPr="009E7B83">
        <w:rPr>
          <w:rFonts w:ascii="Palatino Linotype" w:eastAsia="Palatino Linotype" w:hAnsi="Palatino Linotype" w:cs="Palatino Linotype"/>
          <w:b/>
          <w:i/>
          <w:sz w:val="22"/>
          <w:szCs w:val="22"/>
        </w:rPr>
        <w:t>Artículo 125</w:t>
      </w:r>
      <w:r w:rsidRPr="009E7B83">
        <w:rPr>
          <w:rFonts w:ascii="Palatino Linotype" w:eastAsia="Palatino Linotype" w:hAnsi="Palatino Linotype" w:cs="Palatino Linotype"/>
          <w:i/>
          <w:sz w:val="22"/>
          <w:szCs w:val="22"/>
        </w:rPr>
        <w:t>...</w:t>
      </w:r>
    </w:p>
    <w:p w14:paraId="35E128AC" w14:textId="77777777" w:rsidR="00B53698" w:rsidRPr="009E7B83" w:rsidRDefault="00B53698" w:rsidP="00B53698">
      <w:pPr>
        <w:spacing w:before="120" w:after="120"/>
        <w:ind w:left="851" w:right="902"/>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9E7B83">
        <w:rPr>
          <w:rFonts w:ascii="Palatino Linotype" w:eastAsia="Palatino Linotype" w:hAnsi="Palatino Linotype" w:cs="Palatino Linotype"/>
          <w:b/>
          <w:i/>
          <w:sz w:val="22"/>
          <w:szCs w:val="22"/>
        </w:rPr>
        <w:t xml:space="preserve">La </w:t>
      </w:r>
      <w:proofErr w:type="gramStart"/>
      <w:r w:rsidRPr="009E7B83">
        <w:rPr>
          <w:rFonts w:ascii="Palatino Linotype" w:eastAsia="Palatino Linotype" w:hAnsi="Palatino Linotype" w:cs="Palatino Linotype"/>
          <w:b/>
          <w:i/>
          <w:sz w:val="22"/>
          <w:szCs w:val="22"/>
        </w:rPr>
        <w:t>Presidenta</w:t>
      </w:r>
      <w:proofErr w:type="gramEnd"/>
      <w:r w:rsidRPr="009E7B83">
        <w:rPr>
          <w:rFonts w:ascii="Palatino Linotype" w:eastAsia="Palatino Linotype" w:hAnsi="Palatino Linotype" w:cs="Palatino Linotype"/>
          <w:b/>
          <w:i/>
          <w:sz w:val="22"/>
          <w:szCs w:val="22"/>
        </w:rPr>
        <w:t xml:space="preserve"> o el Presidente Municipal, promulgará y publicará el Presupuesto de Egresos Municipal, a más tardar el día 25 de febrero de cada año debiendo enviarlo al Órgano Superior de Fiscalización en la misma fecha.”</w:t>
      </w:r>
    </w:p>
    <w:p w14:paraId="19E21140"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351</w:t>
      </w:r>
      <w:r w:rsidRPr="009E7B83">
        <w:rPr>
          <w:rFonts w:ascii="Palatino Linotype" w:eastAsia="Palatino Linotype" w:hAnsi="Palatino Linotype" w:cs="Palatino Linotype"/>
          <w:i/>
          <w:sz w:val="22"/>
          <w:szCs w:val="22"/>
        </w:rPr>
        <w:t>...</w:t>
      </w:r>
    </w:p>
    <w:p w14:paraId="10BC71A9" w14:textId="77777777" w:rsidR="00B53698" w:rsidRPr="009E7B83" w:rsidRDefault="00B53698" w:rsidP="00B53698">
      <w:pPr>
        <w:spacing w:before="120" w:after="120"/>
        <w:ind w:left="851" w:right="902"/>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lastRenderedPageBreak/>
        <w:t>Los Ayuntamientos al aprobar en forma definitiva su presupuesto de egresos, deberán publicar en la "Gaceta Municipal</w:t>
      </w:r>
      <w:r w:rsidRPr="009E7B83">
        <w:rPr>
          <w:rFonts w:ascii="Palatino Linotype" w:eastAsia="Palatino Linotype" w:hAnsi="Palatino Linotype" w:cs="Palatino Linotype"/>
          <w:i/>
          <w:sz w:val="22"/>
          <w:szCs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9E7B83">
        <w:rPr>
          <w:rFonts w:ascii="Palatino Linotype" w:eastAsia="Palatino Linotype" w:hAnsi="Palatino Linotype" w:cs="Palatino Linotype"/>
          <w:b/>
          <w:i/>
          <w:sz w:val="22"/>
          <w:szCs w:val="22"/>
        </w:rPr>
        <w:t>a más tardar el 25 de febrero del año para el cual habrá de aplicar dicho presupuesto.”</w:t>
      </w:r>
    </w:p>
    <w:p w14:paraId="286116B8" w14:textId="77777777" w:rsidR="00B53698" w:rsidRPr="009E7B83" w:rsidRDefault="00B53698" w:rsidP="00B53698">
      <w:pPr>
        <w:spacing w:before="120" w:after="120"/>
        <w:ind w:left="851" w:right="902"/>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“Artículo 47</w:t>
      </w:r>
      <w:r w:rsidRPr="009E7B83">
        <w:rPr>
          <w:rFonts w:ascii="Palatino Linotype" w:eastAsia="Palatino Linotype" w:hAnsi="Palatino Linotype" w:cs="Palatino Linotype"/>
          <w:i/>
          <w:sz w:val="22"/>
          <w:szCs w:val="22"/>
        </w:rPr>
        <w:t xml:space="preserve">.- Los </w:t>
      </w:r>
      <w:proofErr w:type="gramStart"/>
      <w:r w:rsidRPr="009E7B83">
        <w:rPr>
          <w:rFonts w:ascii="Palatino Linotype" w:eastAsia="Palatino Linotype" w:hAnsi="Palatino Linotype" w:cs="Palatino Linotype"/>
          <w:i/>
          <w:sz w:val="22"/>
          <w:szCs w:val="22"/>
        </w:rPr>
        <w:t>Presidentes</w:t>
      </w:r>
      <w:proofErr w:type="gramEnd"/>
      <w:r w:rsidRPr="009E7B83">
        <w:rPr>
          <w:rFonts w:ascii="Palatino Linotype" w:eastAsia="Palatino Linotype" w:hAnsi="Palatino Linotype" w:cs="Palatino Linotype"/>
          <w:i/>
          <w:sz w:val="22"/>
          <w:szCs w:val="22"/>
        </w:rPr>
        <w:t xml:space="preserve"> Municipales y los Síndicos estarán obligados a </w:t>
      </w:r>
      <w:r w:rsidRPr="009E7B83">
        <w:rPr>
          <w:rFonts w:ascii="Palatino Linotype" w:eastAsia="Palatino Linotype" w:hAnsi="Palatino Linotype" w:cs="Palatino Linotype"/>
          <w:b/>
          <w:i/>
          <w:sz w:val="22"/>
          <w:szCs w:val="22"/>
        </w:rPr>
        <w:t xml:space="preserve">informar al Órgano Superior, a más tardar el 25 de febrero de cada año, el Presupuesto de Egresos Municipal que haya aprobado el Ayuntamiento </w:t>
      </w:r>
      <w:r w:rsidRPr="009E7B83">
        <w:rPr>
          <w:rFonts w:ascii="Palatino Linotype" w:eastAsia="Palatino Linotype" w:hAnsi="Palatino Linotype" w:cs="Palatino Linotype"/>
          <w:i/>
          <w:sz w:val="22"/>
          <w:szCs w:val="22"/>
        </w:rPr>
        <w:t>correspondiente.”</w:t>
      </w:r>
    </w:p>
    <w:p w14:paraId="2FB15EC5"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Como se adelantó, entre los formatos que integran el Presupuesto de Egresos aprobado, de conformidad con el numeral 3.4.1 del Manual para la Planeación, Programación y Presupuesto de Egresos Municipal, se encuentra el </w:t>
      </w:r>
      <w:r w:rsidRPr="009E7B83">
        <w:rPr>
          <w:rFonts w:ascii="Palatino Linotype" w:eastAsia="Palatino Linotype" w:hAnsi="Palatino Linotype" w:cs="Palatino Linotype"/>
          <w:b/>
          <w:sz w:val="22"/>
          <w:szCs w:val="22"/>
        </w:rPr>
        <w:t xml:space="preserve">PbRM-07a Programa Anual de Obra </w:t>
      </w:r>
      <w:r w:rsidRPr="009E7B83">
        <w:rPr>
          <w:rFonts w:ascii="Palatino Linotype" w:eastAsia="Palatino Linotype" w:hAnsi="Palatino Linotype" w:cs="Palatino Linotype"/>
          <w:sz w:val="22"/>
          <w:szCs w:val="22"/>
        </w:rPr>
        <w:t xml:space="preserve">y el </w:t>
      </w:r>
      <w:proofErr w:type="spellStart"/>
      <w:r w:rsidRPr="009E7B83">
        <w:rPr>
          <w:rFonts w:ascii="Palatino Linotype" w:eastAsia="Palatino Linotype" w:hAnsi="Palatino Linotype" w:cs="Palatino Linotype"/>
          <w:b/>
          <w:sz w:val="22"/>
          <w:szCs w:val="22"/>
        </w:rPr>
        <w:t>PbRM</w:t>
      </w:r>
      <w:proofErr w:type="spellEnd"/>
      <w:r w:rsidRPr="009E7B83">
        <w:rPr>
          <w:rFonts w:ascii="Palatino Linotype" w:eastAsia="Palatino Linotype" w:hAnsi="Palatino Linotype" w:cs="Palatino Linotype"/>
          <w:b/>
          <w:sz w:val="22"/>
          <w:szCs w:val="22"/>
        </w:rPr>
        <w:t xml:space="preserve"> 07b Programa anual de obra (reparaciones y mantenimientos),</w:t>
      </w:r>
      <w:r w:rsidRPr="009E7B83">
        <w:rPr>
          <w:rFonts w:ascii="Palatino Linotype" w:eastAsia="Palatino Linotype" w:hAnsi="Palatino Linotype" w:cs="Palatino Linotype"/>
          <w:sz w:val="22"/>
          <w:szCs w:val="22"/>
        </w:rPr>
        <w:t xml:space="preserve"> los cuales especifican de manera precisa el período de ejecución y presupuesto ejercido de la obra pública de que se trate; así como la fuente de financiamiento con la que ésta se llevará a cabo, como se desprende de los formatos y los instructivo de llenado respectivos:</w:t>
      </w:r>
    </w:p>
    <w:p w14:paraId="428D81CF" w14:textId="77777777" w:rsidR="00B53698" w:rsidRPr="009E7B83" w:rsidRDefault="00B53698" w:rsidP="00B53698">
      <w:pPr>
        <w:spacing w:before="240" w:after="240" w:line="360" w:lineRule="auto"/>
        <w:jc w:val="center"/>
        <w:rPr>
          <w:rFonts w:ascii="Palatino Linotype" w:eastAsia="Palatino Linotype" w:hAnsi="Palatino Linotype" w:cs="Palatino Linotype"/>
          <w:sz w:val="22"/>
          <w:szCs w:val="22"/>
        </w:rPr>
      </w:pPr>
      <w:r w:rsidRPr="009E7B83">
        <w:rPr>
          <w:rFonts w:ascii="Palatino Linotype" w:eastAsia="Palatino Linotype" w:hAnsi="Palatino Linotype" w:cs="Palatino Linotype"/>
          <w:noProof/>
          <w:sz w:val="22"/>
          <w:szCs w:val="22"/>
        </w:rPr>
        <w:drawing>
          <wp:inline distT="0" distB="0" distL="0" distR="0" wp14:anchorId="0C6BB566" wp14:editId="1B1ACCAB">
            <wp:extent cx="5040000" cy="2908351"/>
            <wp:effectExtent l="0" t="0" r="0" b="0"/>
            <wp:docPr id="21401318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040000" cy="2908351"/>
                    </a:xfrm>
                    <a:prstGeom prst="rect">
                      <a:avLst/>
                    </a:prstGeom>
                    <a:ln/>
                  </pic:spPr>
                </pic:pic>
              </a:graphicData>
            </a:graphic>
          </wp:inline>
        </w:drawing>
      </w:r>
    </w:p>
    <w:p w14:paraId="49B9BEA9" w14:textId="77777777" w:rsidR="00B53698" w:rsidRPr="009E7B83" w:rsidRDefault="00B53698" w:rsidP="00B53698">
      <w:pPr>
        <w:spacing w:before="240" w:after="240" w:line="360" w:lineRule="auto"/>
        <w:jc w:val="center"/>
        <w:rPr>
          <w:rFonts w:ascii="Palatino Linotype" w:eastAsia="Palatino Linotype" w:hAnsi="Palatino Linotype" w:cs="Palatino Linotype"/>
          <w:sz w:val="22"/>
          <w:szCs w:val="22"/>
        </w:rPr>
      </w:pPr>
      <w:r w:rsidRPr="009E7B83">
        <w:rPr>
          <w:rFonts w:ascii="Palatino Linotype" w:eastAsia="Palatino Linotype" w:hAnsi="Palatino Linotype" w:cs="Palatino Linotype"/>
          <w:noProof/>
          <w:sz w:val="22"/>
          <w:szCs w:val="22"/>
        </w:rPr>
        <w:lastRenderedPageBreak/>
        <w:drawing>
          <wp:inline distT="0" distB="0" distL="0" distR="0" wp14:anchorId="6E2A81F4" wp14:editId="6FC85291">
            <wp:extent cx="4860000" cy="3463257"/>
            <wp:effectExtent l="0" t="0" r="0" b="0"/>
            <wp:docPr id="21401318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860000" cy="3463257"/>
                    </a:xfrm>
                    <a:prstGeom prst="rect">
                      <a:avLst/>
                    </a:prstGeom>
                    <a:ln/>
                  </pic:spPr>
                </pic:pic>
              </a:graphicData>
            </a:graphic>
          </wp:inline>
        </w:drawing>
      </w:r>
    </w:p>
    <w:p w14:paraId="75D438C6" w14:textId="77777777" w:rsidR="00B53698" w:rsidRPr="009E7B83" w:rsidRDefault="00B53698" w:rsidP="00B53698">
      <w:pPr>
        <w:spacing w:before="240" w:after="240" w:line="360" w:lineRule="auto"/>
        <w:jc w:val="center"/>
        <w:rPr>
          <w:rFonts w:ascii="Palatino Linotype" w:eastAsia="Palatino Linotype" w:hAnsi="Palatino Linotype" w:cs="Palatino Linotype"/>
          <w:sz w:val="22"/>
          <w:szCs w:val="22"/>
        </w:rPr>
      </w:pPr>
      <w:r w:rsidRPr="009E7B83">
        <w:rPr>
          <w:rFonts w:ascii="Palatino Linotype" w:eastAsia="Palatino Linotype" w:hAnsi="Palatino Linotype" w:cs="Palatino Linotype"/>
          <w:noProof/>
          <w:sz w:val="22"/>
          <w:szCs w:val="22"/>
        </w:rPr>
        <w:lastRenderedPageBreak/>
        <w:drawing>
          <wp:inline distT="0" distB="0" distL="0" distR="0" wp14:anchorId="7314784A" wp14:editId="73579336">
            <wp:extent cx="5040000" cy="3788839"/>
            <wp:effectExtent l="0" t="0" r="0" b="0"/>
            <wp:docPr id="21401318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040000" cy="3788839"/>
                    </a:xfrm>
                    <a:prstGeom prst="rect">
                      <a:avLst/>
                    </a:prstGeom>
                    <a:ln/>
                  </pic:spPr>
                </pic:pic>
              </a:graphicData>
            </a:graphic>
          </wp:inline>
        </w:drawing>
      </w:r>
    </w:p>
    <w:p w14:paraId="69930CE5" w14:textId="77777777" w:rsidR="00B53698" w:rsidRPr="009E7B83" w:rsidRDefault="00B53698" w:rsidP="00B53698">
      <w:pPr>
        <w:spacing w:before="240" w:after="240" w:line="360" w:lineRule="auto"/>
        <w:jc w:val="center"/>
        <w:rPr>
          <w:rFonts w:ascii="Palatino Linotype" w:eastAsia="Palatino Linotype" w:hAnsi="Palatino Linotype" w:cs="Palatino Linotype"/>
          <w:sz w:val="22"/>
          <w:szCs w:val="22"/>
        </w:rPr>
      </w:pPr>
      <w:r w:rsidRPr="009E7B83">
        <w:rPr>
          <w:rFonts w:ascii="Palatino Linotype" w:eastAsia="Palatino Linotype" w:hAnsi="Palatino Linotype" w:cs="Palatino Linotype"/>
          <w:noProof/>
          <w:sz w:val="22"/>
          <w:szCs w:val="22"/>
        </w:rPr>
        <w:drawing>
          <wp:inline distT="0" distB="0" distL="0" distR="0" wp14:anchorId="01B760DA" wp14:editId="730B43C3">
            <wp:extent cx="4860000" cy="2765987"/>
            <wp:effectExtent l="0" t="0" r="0" b="0"/>
            <wp:docPr id="21401318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4860000" cy="2765987"/>
                    </a:xfrm>
                    <a:prstGeom prst="rect">
                      <a:avLst/>
                    </a:prstGeom>
                    <a:ln/>
                  </pic:spPr>
                </pic:pic>
              </a:graphicData>
            </a:graphic>
          </wp:inline>
        </w:drawing>
      </w:r>
    </w:p>
    <w:p w14:paraId="4962AEE4" w14:textId="77777777" w:rsidR="00B53698" w:rsidRPr="009E7B83" w:rsidRDefault="00B53698" w:rsidP="00B53698">
      <w:pPr>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lastRenderedPageBreak/>
        <w:t xml:space="preserve">De igual forma, el </w:t>
      </w:r>
      <w:r w:rsidRPr="009E7B83">
        <w:rPr>
          <w:rFonts w:ascii="Palatino Linotype" w:eastAsia="Palatino Linotype" w:hAnsi="Palatino Linotype" w:cs="Palatino Linotype"/>
          <w:b/>
          <w:sz w:val="22"/>
          <w:szCs w:val="22"/>
        </w:rPr>
        <w:t xml:space="preserve">Sujeto Obligado </w:t>
      </w:r>
      <w:r w:rsidRPr="009E7B83">
        <w:rPr>
          <w:rFonts w:ascii="Palatino Linotype" w:eastAsia="Palatino Linotype" w:hAnsi="Palatino Linotype" w:cs="Palatino Linotype"/>
          <w:sz w:val="22"/>
          <w:szCs w:val="22"/>
        </w:rPr>
        <w:t>se encuentra constreñido a entregar al Órgano Superior de Fiscalización del Estado de México, como parte de los informes trimestrales, el Avance del Programa Anal de Obras,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69DC4AC6" w14:textId="77777777" w:rsidR="00B53698" w:rsidRPr="009E7B83" w:rsidRDefault="00B53698" w:rsidP="00B53698">
      <w:pPr>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De conformidad con los Lineamientos del ejercicio 2025, la información que generan los entes fiscalizables de carácter municipal con motivo del avance del programa anual de obras, se encuentra contenida en el Módulo 2 Información Presupuestaria, Submódulo Información Presupuestal (Plataforma Digital), como se muestra a continuación:</w:t>
      </w:r>
    </w:p>
    <w:p w14:paraId="432D87FD" w14:textId="77777777" w:rsidR="00B53698" w:rsidRPr="009E7B83" w:rsidRDefault="00B53698" w:rsidP="00B53698">
      <w:pPr>
        <w:spacing w:before="240" w:after="240" w:line="360" w:lineRule="auto"/>
        <w:ind w:right="49"/>
        <w:jc w:val="center"/>
        <w:rPr>
          <w:rFonts w:ascii="Palatino Linotype" w:eastAsia="Palatino Linotype" w:hAnsi="Palatino Linotype" w:cs="Palatino Linotype"/>
          <w:sz w:val="22"/>
          <w:szCs w:val="22"/>
        </w:rPr>
      </w:pPr>
      <w:r w:rsidRPr="009E7B83">
        <w:rPr>
          <w:rFonts w:ascii="Palatino Linotype" w:eastAsia="Palatino Linotype" w:hAnsi="Palatino Linotype" w:cs="Palatino Linotype"/>
          <w:noProof/>
          <w:sz w:val="22"/>
          <w:szCs w:val="22"/>
        </w:rPr>
        <w:drawing>
          <wp:inline distT="0" distB="0" distL="0" distR="0" wp14:anchorId="1233955E" wp14:editId="5FF5F590">
            <wp:extent cx="5040000" cy="2482935"/>
            <wp:effectExtent l="0" t="0" r="0" b="0"/>
            <wp:docPr id="21401318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040000" cy="2482935"/>
                    </a:xfrm>
                    <a:prstGeom prst="rect">
                      <a:avLst/>
                    </a:prstGeom>
                    <a:ln/>
                  </pic:spPr>
                </pic:pic>
              </a:graphicData>
            </a:graphic>
          </wp:inline>
        </w:drawing>
      </w:r>
    </w:p>
    <w:p w14:paraId="44C6CAA1" w14:textId="77777777" w:rsidR="00B53698" w:rsidRPr="009E7B83" w:rsidRDefault="00B53698" w:rsidP="00B53698">
      <w:pPr>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noProof/>
          <w:sz w:val="22"/>
          <w:szCs w:val="22"/>
        </w:rPr>
        <w:lastRenderedPageBreak/>
        <w:drawing>
          <wp:inline distT="0" distB="0" distL="0" distR="0" wp14:anchorId="79DA7AE9" wp14:editId="4DAA4889">
            <wp:extent cx="5612130" cy="3495040"/>
            <wp:effectExtent l="0" t="0" r="0" b="0"/>
            <wp:docPr id="21401318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612130" cy="3495040"/>
                    </a:xfrm>
                    <a:prstGeom prst="rect">
                      <a:avLst/>
                    </a:prstGeom>
                    <a:ln/>
                  </pic:spPr>
                </pic:pic>
              </a:graphicData>
            </a:graphic>
          </wp:inline>
        </w:drawing>
      </w:r>
      <w:r w:rsidRPr="009E7B83">
        <w:rPr>
          <w:rFonts w:ascii="Palatino Linotype" w:hAnsi="Palatino Linotype"/>
          <w:noProof/>
          <w:sz w:val="22"/>
          <w:szCs w:val="22"/>
        </w:rPr>
        <mc:AlternateContent>
          <mc:Choice Requires="wps">
            <w:drawing>
              <wp:anchor distT="0" distB="0" distL="114300" distR="114300" simplePos="0" relativeHeight="251659264" behindDoc="0" locked="0" layoutInCell="1" hidden="0" allowOverlap="1" wp14:anchorId="18AD8E68" wp14:editId="553CEF11">
                <wp:simplePos x="0" y="0"/>
                <wp:positionH relativeFrom="column">
                  <wp:posOffset>647700</wp:posOffset>
                </wp:positionH>
                <wp:positionV relativeFrom="paragraph">
                  <wp:posOffset>2997200</wp:posOffset>
                </wp:positionV>
                <wp:extent cx="4856591" cy="308445"/>
                <wp:effectExtent l="0" t="0" r="0" b="0"/>
                <wp:wrapNone/>
                <wp:docPr id="2140131833" name="Rectángulo 2140131833"/>
                <wp:cNvGraphicFramePr/>
                <a:graphic xmlns:a="http://schemas.openxmlformats.org/drawingml/2006/main">
                  <a:graphicData uri="http://schemas.microsoft.com/office/word/2010/wordprocessingShape">
                    <wps:wsp>
                      <wps:cNvSpPr/>
                      <wps:spPr>
                        <a:xfrm>
                          <a:off x="2936755" y="3644828"/>
                          <a:ext cx="4818491" cy="270345"/>
                        </a:xfrm>
                        <a:prstGeom prst="rect">
                          <a:avLst/>
                        </a:prstGeom>
                        <a:noFill/>
                        <a:ln w="38100" cap="flat" cmpd="sng">
                          <a:solidFill>
                            <a:srgbClr val="C00000"/>
                          </a:solidFill>
                          <a:prstDash val="solid"/>
                          <a:round/>
                          <a:headEnd type="none" w="sm" len="sm"/>
                          <a:tailEnd type="none" w="sm" len="sm"/>
                        </a:ln>
                      </wps:spPr>
                      <wps:txbx>
                        <w:txbxContent>
                          <w:p w14:paraId="161A35A8" w14:textId="77777777" w:rsidR="00976B6A" w:rsidRDefault="00976B6A" w:rsidP="00B53698">
                            <w:pPr>
                              <w:textDirection w:val="btLr"/>
                            </w:pPr>
                          </w:p>
                        </w:txbxContent>
                      </wps:txbx>
                      <wps:bodyPr spcFirstLastPara="1" wrap="square" lIns="91425" tIns="91425" rIns="91425" bIns="91425" anchor="ctr" anchorCtr="0">
                        <a:noAutofit/>
                      </wps:bodyPr>
                    </wps:wsp>
                  </a:graphicData>
                </a:graphic>
              </wp:anchor>
            </w:drawing>
          </mc:Choice>
          <mc:Fallback>
            <w:pict>
              <v:rect w14:anchorId="18AD8E68" id="Rectángulo 2140131833" o:spid="_x0000_s1026" style="position:absolute;left:0;text-align:left;margin-left:51pt;margin-top:236pt;width:382.4pt;height:2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" filled="f" strokecolor="#c00000" strokeweight="3pt">
                <v:stroke startarrowwidth="narrow" startarrowlength="short" endarrowwidth="narrow" endarrowlength="short" joinstyle="round"/>
                <v:textbox inset="2.53958mm,2.53958mm,2.53958mm,2.53958mm">
                  <w:txbxContent>
                    <w:p w14:paraId="161A35A8" w14:textId="77777777" w:rsidR="00976B6A" w:rsidRDefault="00976B6A" w:rsidP="00B53698">
                      <w:pPr>
                        <w:textDirection w:val="btLr"/>
                      </w:pPr>
                    </w:p>
                  </w:txbxContent>
                </v:textbox>
              </v:rect>
            </w:pict>
          </mc:Fallback>
        </mc:AlternateContent>
      </w:r>
    </w:p>
    <w:p w14:paraId="1958548A" w14:textId="77777777" w:rsidR="00B53698" w:rsidRPr="009E7B83" w:rsidRDefault="00B53698" w:rsidP="00B53698">
      <w:pPr>
        <w:spacing w:before="240" w:after="240" w:line="360" w:lineRule="auto"/>
        <w:ind w:right="49"/>
        <w:jc w:val="center"/>
        <w:rPr>
          <w:rFonts w:ascii="Palatino Linotype" w:eastAsia="Palatino Linotype" w:hAnsi="Palatino Linotype" w:cs="Palatino Linotype"/>
          <w:sz w:val="22"/>
          <w:szCs w:val="22"/>
        </w:rPr>
      </w:pPr>
      <w:r w:rsidRPr="009E7B83">
        <w:rPr>
          <w:rFonts w:ascii="Palatino Linotype" w:eastAsia="Palatino Linotype" w:hAnsi="Palatino Linotype" w:cs="Palatino Linotype"/>
          <w:noProof/>
          <w:sz w:val="22"/>
          <w:szCs w:val="22"/>
        </w:rPr>
        <w:drawing>
          <wp:inline distT="0" distB="0" distL="0" distR="0" wp14:anchorId="1DAC3D5D" wp14:editId="73BAD89F">
            <wp:extent cx="5040000" cy="2837067"/>
            <wp:effectExtent l="0" t="0" r="0" b="0"/>
            <wp:docPr id="21401318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040000" cy="2837067"/>
                    </a:xfrm>
                    <a:prstGeom prst="rect">
                      <a:avLst/>
                    </a:prstGeom>
                    <a:ln/>
                  </pic:spPr>
                </pic:pic>
              </a:graphicData>
            </a:graphic>
          </wp:inline>
        </w:drawing>
      </w:r>
    </w:p>
    <w:p w14:paraId="6CAFE1A3" w14:textId="77777777" w:rsidR="00B53698" w:rsidRPr="009E7B83" w:rsidRDefault="00B53698" w:rsidP="00B53698">
      <w:pPr>
        <w:spacing w:before="240" w:after="240" w:line="360" w:lineRule="auto"/>
        <w:ind w:right="49"/>
        <w:jc w:val="center"/>
        <w:rPr>
          <w:rFonts w:ascii="Palatino Linotype" w:eastAsia="Palatino Linotype" w:hAnsi="Palatino Linotype" w:cs="Palatino Linotype"/>
          <w:sz w:val="22"/>
          <w:szCs w:val="22"/>
        </w:rPr>
      </w:pPr>
      <w:r w:rsidRPr="009E7B83">
        <w:rPr>
          <w:rFonts w:ascii="Palatino Linotype" w:eastAsia="Palatino Linotype" w:hAnsi="Palatino Linotype" w:cs="Palatino Linotype"/>
          <w:noProof/>
          <w:sz w:val="22"/>
          <w:szCs w:val="22"/>
        </w:rPr>
        <w:lastRenderedPageBreak/>
        <w:drawing>
          <wp:inline distT="0" distB="0" distL="0" distR="0" wp14:anchorId="621542AC" wp14:editId="64ABA483">
            <wp:extent cx="5040000" cy="2616945"/>
            <wp:effectExtent l="0" t="0" r="0" b="0"/>
            <wp:docPr id="2140131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040000" cy="2616945"/>
                    </a:xfrm>
                    <a:prstGeom prst="rect">
                      <a:avLst/>
                    </a:prstGeom>
                    <a:ln/>
                  </pic:spPr>
                </pic:pic>
              </a:graphicData>
            </a:graphic>
          </wp:inline>
        </w:drawing>
      </w:r>
    </w:p>
    <w:p w14:paraId="32700A33" w14:textId="77777777" w:rsidR="00B53698" w:rsidRPr="009E7B83" w:rsidRDefault="00B53698" w:rsidP="00B53698">
      <w:pPr>
        <w:spacing w:before="240" w:after="240" w:line="360" w:lineRule="auto"/>
        <w:ind w:right="49"/>
        <w:jc w:val="center"/>
        <w:rPr>
          <w:rFonts w:ascii="Palatino Linotype" w:eastAsia="Palatino Linotype" w:hAnsi="Palatino Linotype" w:cs="Palatino Linotype"/>
          <w:sz w:val="22"/>
          <w:szCs w:val="22"/>
        </w:rPr>
      </w:pPr>
      <w:r w:rsidRPr="009E7B83">
        <w:rPr>
          <w:rFonts w:ascii="Palatino Linotype" w:eastAsia="Palatino Linotype" w:hAnsi="Palatino Linotype" w:cs="Palatino Linotype"/>
          <w:noProof/>
          <w:sz w:val="22"/>
          <w:szCs w:val="22"/>
        </w:rPr>
        <w:drawing>
          <wp:inline distT="0" distB="0" distL="0" distR="0" wp14:anchorId="27D3223D" wp14:editId="69D5402B">
            <wp:extent cx="5040000" cy="1949735"/>
            <wp:effectExtent l="0" t="0" r="0" b="0"/>
            <wp:docPr id="21401318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040000" cy="1949735"/>
                    </a:xfrm>
                    <a:prstGeom prst="rect">
                      <a:avLst/>
                    </a:prstGeom>
                    <a:ln/>
                  </pic:spPr>
                </pic:pic>
              </a:graphicData>
            </a:graphic>
          </wp:inline>
        </w:drawing>
      </w:r>
    </w:p>
    <w:p w14:paraId="0F44143B"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Por otro lado, es oportuno hacer alusión al Libro Décimo Segundo. De la obra pública, del Código Administrativo del Estado de México, el cual, de conformidad con el artículo 12.1, regular los actos relativos a la planeación, programación, presupuestación, adjudicación, contratación, ejecución y control de la obra pública, así como los servicios relacionados con la misma que, por sí o por conducto de terceros, realicen las secretarías y unidades administrativas del Poder Ejecutivo del Estado; la Fiscalía General de Justicia; </w:t>
      </w:r>
      <w:r w:rsidRPr="009E7B83">
        <w:rPr>
          <w:rFonts w:ascii="Palatino Linotype" w:eastAsia="Palatino Linotype" w:hAnsi="Palatino Linotype" w:cs="Palatino Linotype"/>
          <w:b/>
          <w:sz w:val="22"/>
          <w:szCs w:val="22"/>
          <w:u w:val="single"/>
        </w:rPr>
        <w:t>los ayuntamientos de los municipios del Estado</w:t>
      </w:r>
      <w:r w:rsidRPr="009E7B83">
        <w:rPr>
          <w:rFonts w:ascii="Palatino Linotype" w:eastAsia="Palatino Linotype" w:hAnsi="Palatino Linotype" w:cs="Palatino Linotype"/>
          <w:sz w:val="22"/>
          <w:szCs w:val="22"/>
        </w:rPr>
        <w:t>; los organismos auxiliares y fideicomisos públicos del Estado y municipios; y los tribunales administrativos.</w:t>
      </w:r>
    </w:p>
    <w:p w14:paraId="41C8DCC5"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lastRenderedPageBreak/>
        <w:t xml:space="preserve">En este tenor, de conformidad con el artículo 12.4 del Libro Décimo Segundo del referido Código, </w:t>
      </w:r>
      <w:r w:rsidRPr="009E7B83">
        <w:rPr>
          <w:rFonts w:ascii="Palatino Linotype" w:eastAsia="Palatino Linotype" w:hAnsi="Palatino Linotype" w:cs="Palatino Linotype"/>
          <w:b/>
          <w:sz w:val="22"/>
          <w:szCs w:val="22"/>
        </w:rPr>
        <w:t xml:space="preserve">se considera obra pública todo trabajo que tenga por objeto principal construir, instalar, ampliar, adecuar, remodelar, restaurar, conservar, mantener, modificar o demoler </w:t>
      </w:r>
      <w:r w:rsidRPr="009E7B83">
        <w:rPr>
          <w:rFonts w:ascii="Palatino Linotype" w:eastAsia="Palatino Linotype" w:hAnsi="Palatino Linotype" w:cs="Palatino Linotype"/>
          <w:b/>
          <w:sz w:val="22"/>
          <w:szCs w:val="22"/>
          <w:u w:val="single"/>
        </w:rPr>
        <w:t>bienes inmuebles propiedad</w:t>
      </w:r>
      <w:r w:rsidRPr="009E7B83">
        <w:rPr>
          <w:rFonts w:ascii="Palatino Linotype" w:eastAsia="Palatino Linotype" w:hAnsi="Palatino Linotype" w:cs="Palatino Linotype"/>
          <w:b/>
          <w:sz w:val="22"/>
          <w:szCs w:val="22"/>
        </w:rPr>
        <w:t xml:space="preserve"> </w:t>
      </w:r>
      <w:r w:rsidRPr="009E7B83">
        <w:rPr>
          <w:rFonts w:ascii="Palatino Linotype" w:eastAsia="Palatino Linotype" w:hAnsi="Palatino Linotype" w:cs="Palatino Linotype"/>
          <w:sz w:val="22"/>
          <w:szCs w:val="22"/>
        </w:rPr>
        <w:t xml:space="preserve">del Estado, de sus dependencias y entidades y </w:t>
      </w:r>
      <w:r w:rsidRPr="009E7B83">
        <w:rPr>
          <w:rFonts w:ascii="Palatino Linotype" w:eastAsia="Palatino Linotype" w:hAnsi="Palatino Linotype" w:cs="Palatino Linotype"/>
          <w:b/>
          <w:sz w:val="22"/>
          <w:szCs w:val="22"/>
          <w:u w:val="single"/>
        </w:rPr>
        <w:t>de los municipios</w:t>
      </w:r>
      <w:r w:rsidRPr="009E7B83">
        <w:rPr>
          <w:rFonts w:ascii="Palatino Linotype" w:eastAsia="Palatino Linotype" w:hAnsi="Palatino Linotype" w:cs="Palatino Linotype"/>
          <w:sz w:val="22"/>
          <w:szCs w:val="22"/>
        </w:rPr>
        <w:t xml:space="preserve"> y sus organismos </w:t>
      </w:r>
      <w:r w:rsidRPr="009E7B83">
        <w:rPr>
          <w:rFonts w:ascii="Palatino Linotype" w:eastAsia="Palatino Linotype" w:hAnsi="Palatino Linotype" w:cs="Palatino Linotype"/>
          <w:b/>
          <w:sz w:val="22"/>
          <w:szCs w:val="22"/>
        </w:rPr>
        <w:t xml:space="preserve">con cargo a recursos públicos estatales o municipales, </w:t>
      </w:r>
      <w:r w:rsidRPr="009E7B83">
        <w:rPr>
          <w:rFonts w:ascii="Palatino Linotype" w:eastAsia="Palatino Linotype" w:hAnsi="Palatino Linotype" w:cs="Palatino Linotype"/>
          <w:sz w:val="22"/>
          <w:szCs w:val="22"/>
        </w:rPr>
        <w:t xml:space="preserve">quedando comprendidos dentro de la obra pública: </w:t>
      </w:r>
    </w:p>
    <w:p w14:paraId="51CA5A64" w14:textId="77777777" w:rsidR="00B53698" w:rsidRPr="009E7B83" w:rsidRDefault="00B53698" w:rsidP="00B53698">
      <w:pPr>
        <w:spacing w:before="240" w:after="240" w:line="360" w:lineRule="auto"/>
        <w:ind w:left="284"/>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I. El mantenimiento, restauración, desmantelamiento o remoción de bienes muebles incorporados o adheridos a un inmueble; </w:t>
      </w:r>
    </w:p>
    <w:p w14:paraId="5AFA8C96" w14:textId="77777777" w:rsidR="00B53698" w:rsidRPr="009E7B83" w:rsidRDefault="00B53698" w:rsidP="00B53698">
      <w:pPr>
        <w:spacing w:before="240" w:after="240" w:line="360" w:lineRule="auto"/>
        <w:ind w:left="284"/>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II. Los proyectos integrales o comúnmente denominados llave en mano, en los cuales el contratista se obliga desde el diseño de la obra hasta su terminación total, incluyéndose, cuando se requiera, la transferencia de tecnología; </w:t>
      </w:r>
    </w:p>
    <w:p w14:paraId="58F043A9" w14:textId="77777777" w:rsidR="00B53698" w:rsidRPr="009E7B83" w:rsidRDefault="00B53698" w:rsidP="00B53698">
      <w:pPr>
        <w:spacing w:before="240" w:after="240" w:line="360" w:lineRule="auto"/>
        <w:ind w:left="284"/>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III. Los trabajos de exploración, localización y perforación; mejoramiento del suelo y/o subsuelo; desmontes y extracción y aquellos similares que tengan por objeto la explotación y desarrollo de los recursos naturales que se encuentran en el suelo y/o subsuelo; </w:t>
      </w:r>
    </w:p>
    <w:p w14:paraId="14609D30" w14:textId="77777777" w:rsidR="00B53698" w:rsidRPr="009E7B83" w:rsidRDefault="00B53698" w:rsidP="00B53698">
      <w:pPr>
        <w:spacing w:before="240" w:after="240" w:line="360" w:lineRule="auto"/>
        <w:ind w:left="284"/>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IV. Los trabajos de infraestructura agropecuaria e hidroagrícola: </w:t>
      </w:r>
    </w:p>
    <w:p w14:paraId="597AF867" w14:textId="77777777" w:rsidR="00B53698" w:rsidRPr="009E7B83" w:rsidRDefault="00B53698" w:rsidP="00B53698">
      <w:pPr>
        <w:spacing w:before="240" w:after="240" w:line="360" w:lineRule="auto"/>
        <w:ind w:left="284"/>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5D986993" w14:textId="77777777" w:rsidR="00B53698" w:rsidRPr="009E7B83" w:rsidRDefault="00B53698" w:rsidP="00B53698">
      <w:pPr>
        <w:spacing w:before="240" w:after="240" w:line="360" w:lineRule="auto"/>
        <w:ind w:left="284"/>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VI. Los demás que tengan por objeto principal alguno de los conceptos a que se refiere el párrafo primero de este artículo, excluyéndose expresamente los trabajos regulados por el Libro Décimo Sexto del Código</w:t>
      </w:r>
      <w:r w:rsidRPr="009E7B83">
        <w:rPr>
          <w:rFonts w:ascii="Palatino Linotype" w:hAnsi="Palatino Linotype"/>
          <w:sz w:val="22"/>
          <w:szCs w:val="22"/>
        </w:rPr>
        <w:t>.</w:t>
      </w:r>
    </w:p>
    <w:p w14:paraId="3B17044B"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lastRenderedPageBreak/>
        <w:t xml:space="preserve">Mientras que el artículo 12.5 del Libro Décimo Segundo, señala que </w:t>
      </w:r>
      <w:r w:rsidRPr="009E7B83">
        <w:rPr>
          <w:rFonts w:ascii="Palatino Linotype" w:eastAsia="Palatino Linotype" w:hAnsi="Palatino Linotype" w:cs="Palatino Linotype"/>
          <w:b/>
          <w:sz w:val="22"/>
          <w:szCs w:val="22"/>
        </w:rPr>
        <w:t xml:space="preserve">se consideran servicios relacionados con la obra pública, los trabajos que tengan por objeto concebir, diseñar y calcular los elementos que integran </w:t>
      </w:r>
      <w:r w:rsidRPr="009E7B83">
        <w:rPr>
          <w:rFonts w:ascii="Palatino Linotype" w:eastAsia="Palatino Linotype" w:hAnsi="Palatino Linotype" w:cs="Palatino Linotype"/>
          <w:b/>
          <w:sz w:val="22"/>
          <w:szCs w:val="22"/>
          <w:u w:val="single"/>
        </w:rPr>
        <w:t>un proyecto de obra pública</w:t>
      </w:r>
      <w:r w:rsidRPr="009E7B83">
        <w:rPr>
          <w:rFonts w:ascii="Palatino Linotype" w:eastAsia="Palatino Linotype" w:hAnsi="Palatino Linotype" w:cs="Palatino Linotype"/>
          <w:sz w:val="22"/>
          <w:szCs w:val="22"/>
        </w:rPr>
        <w:t xml:space="preserve">; </w:t>
      </w:r>
      <w:r w:rsidRPr="009E7B83">
        <w:rPr>
          <w:rFonts w:ascii="Palatino Linotype" w:eastAsia="Palatino Linotype" w:hAnsi="Palatino Linotype" w:cs="Palatino Linotype"/>
          <w:b/>
          <w:sz w:val="22"/>
          <w:szCs w:val="22"/>
        </w:rPr>
        <w:t xml:space="preserve">las investigaciones, estudios, asesorías y consultorías que </w:t>
      </w:r>
      <w:r w:rsidRPr="009E7B83">
        <w:rPr>
          <w:rFonts w:ascii="Palatino Linotype" w:eastAsia="Palatino Linotype" w:hAnsi="Palatino Linotype" w:cs="Palatino Linotype"/>
          <w:b/>
          <w:sz w:val="22"/>
          <w:szCs w:val="22"/>
          <w:u w:val="single"/>
        </w:rPr>
        <w:t>se vinculen con los actos que regula el Libro Décimo Segundo</w:t>
      </w:r>
      <w:r w:rsidRPr="009E7B83">
        <w:rPr>
          <w:rFonts w:ascii="Palatino Linotype" w:eastAsia="Palatino Linotype" w:hAnsi="Palatino Linotype" w:cs="Palatino Linotype"/>
          <w:sz w:val="22"/>
          <w:szCs w:val="22"/>
        </w:rPr>
        <w:t>;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14:paraId="7D0C8D8E" w14:textId="77777777" w:rsidR="00B53698" w:rsidRPr="009E7B83" w:rsidRDefault="00B53698" w:rsidP="008177D1">
      <w:pPr>
        <w:spacing w:before="240" w:after="240"/>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659F7865" w14:textId="77777777" w:rsidR="00B53698" w:rsidRPr="009E7B83" w:rsidRDefault="00B53698" w:rsidP="008177D1">
      <w:pPr>
        <w:spacing w:before="240" w:after="240"/>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31DAA59E" w14:textId="77777777" w:rsidR="00B53698" w:rsidRPr="009E7B83" w:rsidRDefault="00B53698" w:rsidP="008177D1">
      <w:pPr>
        <w:spacing w:before="240" w:after="240"/>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2C105998" w14:textId="77777777" w:rsidR="00B53698" w:rsidRPr="009E7B83" w:rsidRDefault="00B53698" w:rsidP="008177D1">
      <w:pPr>
        <w:spacing w:before="240" w:after="240"/>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IV</w:t>
      </w:r>
      <w:r w:rsidRPr="009E7B83">
        <w:rPr>
          <w:rFonts w:ascii="Palatino Linotype" w:eastAsia="Palatino Linotype" w:hAnsi="Palatino Linotype" w:cs="Palatino Linotype"/>
          <w:i/>
          <w:sz w:val="22"/>
          <w:szCs w:val="22"/>
        </w:rPr>
        <w:t xml:space="preserve">. Los estudios económicos y de planeación de </w:t>
      </w:r>
      <w:proofErr w:type="spellStart"/>
      <w:r w:rsidRPr="009E7B83">
        <w:rPr>
          <w:rFonts w:ascii="Palatino Linotype" w:eastAsia="Palatino Linotype" w:hAnsi="Palatino Linotype" w:cs="Palatino Linotype"/>
          <w:i/>
          <w:sz w:val="22"/>
          <w:szCs w:val="22"/>
        </w:rPr>
        <w:t>preinversión</w:t>
      </w:r>
      <w:proofErr w:type="spellEnd"/>
      <w:r w:rsidRPr="009E7B83">
        <w:rPr>
          <w:rFonts w:ascii="Palatino Linotype" w:eastAsia="Palatino Linotype" w:hAnsi="Palatino Linotype" w:cs="Palatino Linotype"/>
          <w:i/>
          <w:sz w:val="22"/>
          <w:szCs w:val="22"/>
        </w:rPr>
        <w:t xml:space="preserve">, factibilidad técnico económica, ecológica o social, de evaluación, adaptación, tenencia de la tierra, financieros, de desarrollo y restitución de la eficiencia de las instalaciones; </w:t>
      </w:r>
    </w:p>
    <w:p w14:paraId="0A49E2BB" w14:textId="77777777" w:rsidR="00B53698" w:rsidRPr="009E7B83" w:rsidRDefault="00B53698" w:rsidP="008177D1">
      <w:pPr>
        <w:spacing w:before="240" w:after="240"/>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w:t>
      </w:r>
      <w:r w:rsidRPr="009E7B83">
        <w:rPr>
          <w:rFonts w:ascii="Palatino Linotype" w:eastAsia="Palatino Linotype" w:hAnsi="Palatino Linotype" w:cs="Palatino Linotype"/>
          <w:i/>
          <w:sz w:val="22"/>
          <w:szCs w:val="22"/>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14:paraId="4F8BD07D" w14:textId="77777777" w:rsidR="00B53698" w:rsidRPr="009E7B83" w:rsidRDefault="00B53698" w:rsidP="008177D1">
      <w:pPr>
        <w:spacing w:before="240" w:after="240"/>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lastRenderedPageBreak/>
        <w:t>VI.</w:t>
      </w:r>
      <w:r w:rsidRPr="009E7B83">
        <w:rPr>
          <w:rFonts w:ascii="Palatino Linotype" w:eastAsia="Palatino Linotype" w:hAnsi="Palatino Linotype" w:cs="Palatino Linotype"/>
          <w:i/>
          <w:sz w:val="22"/>
          <w:szCs w:val="22"/>
        </w:rPr>
        <w:t xml:space="preserve"> Los trabajos de organización, informática, comunicaciones, cibernética y sistemas aplicados a las materias que regulan este Libro; </w:t>
      </w:r>
    </w:p>
    <w:p w14:paraId="41CA19DC" w14:textId="77777777" w:rsidR="00B53698" w:rsidRPr="009E7B83" w:rsidRDefault="00B53698" w:rsidP="008177D1">
      <w:pPr>
        <w:spacing w:before="240" w:after="240"/>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VII.</w:t>
      </w:r>
      <w:r w:rsidRPr="009E7B83">
        <w:rPr>
          <w:rFonts w:ascii="Palatino Linotype" w:eastAsia="Palatino Linotype" w:hAnsi="Palatino Linotype" w:cs="Palatino Linotype"/>
          <w:i/>
          <w:sz w:val="22"/>
          <w:szCs w:val="22"/>
        </w:rPr>
        <w:t xml:space="preserve"> Los dictámenes, peritajes, avalúos y auditorías técnico normativas, y estudios aplicables a la obra pública; </w:t>
      </w:r>
    </w:p>
    <w:p w14:paraId="014EED95" w14:textId="77777777" w:rsidR="00B53698" w:rsidRPr="009E7B83" w:rsidRDefault="00B53698" w:rsidP="008177D1">
      <w:pPr>
        <w:spacing w:before="240" w:after="240"/>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VIII.</w:t>
      </w:r>
      <w:r w:rsidRPr="009E7B83">
        <w:rPr>
          <w:rFonts w:ascii="Palatino Linotype" w:eastAsia="Palatino Linotype" w:hAnsi="Palatino Linotype" w:cs="Palatino Linotype"/>
          <w:i/>
          <w:sz w:val="22"/>
          <w:szCs w:val="22"/>
        </w:rPr>
        <w:t xml:space="preserve"> Los estudios que tengan por objeto rehabilitar, corregir, sustituir o incrementar la eficiencia de las instalaciones en un bien inmueble; </w:t>
      </w:r>
    </w:p>
    <w:p w14:paraId="4BFD2CBE" w14:textId="77777777" w:rsidR="00B53698" w:rsidRPr="009E7B83" w:rsidRDefault="00B53698" w:rsidP="008177D1">
      <w:pPr>
        <w:spacing w:before="240" w:after="240"/>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IX.</w:t>
      </w:r>
      <w:r w:rsidRPr="009E7B83">
        <w:rPr>
          <w:rFonts w:ascii="Palatino Linotype" w:eastAsia="Palatino Linotype" w:hAnsi="Palatino Linotype" w:cs="Palatino Linotype"/>
          <w:i/>
          <w:sz w:val="22"/>
          <w:szCs w:val="22"/>
        </w:rPr>
        <w:t xml:space="preserve"> Los estudios de apoyo tecnológico, incluyendo los de desarrollo y transferencia de tecnología, entre otros; </w:t>
      </w:r>
    </w:p>
    <w:p w14:paraId="4AAA5708" w14:textId="77777777" w:rsidR="00B53698" w:rsidRPr="009E7B83" w:rsidRDefault="00B53698" w:rsidP="008177D1">
      <w:pPr>
        <w:spacing w:before="240" w:after="240"/>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X.</w:t>
      </w:r>
      <w:r w:rsidRPr="009E7B83">
        <w:rPr>
          <w:rFonts w:ascii="Palatino Linotype" w:eastAsia="Palatino Linotype" w:hAnsi="Palatino Linotype" w:cs="Palatino Linotype"/>
          <w:i/>
          <w:sz w:val="22"/>
          <w:szCs w:val="22"/>
        </w:rPr>
        <w:t xml:space="preserve"> Los demás que tengan por objeto alguno de los conceptos a que se refiere el párrafo primero de este artículo.</w:t>
      </w:r>
    </w:p>
    <w:p w14:paraId="03D9A354" w14:textId="77777777" w:rsidR="00B53698" w:rsidRPr="009E7B83" w:rsidRDefault="00B53698" w:rsidP="00B53698">
      <w:pPr>
        <w:tabs>
          <w:tab w:val="left" w:pos="3080"/>
        </w:tabs>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El artículo 12.12 del Libro Décimo Segundo, señala que en la planeación de la obra pública o de los servicios relacionados con la misma, las dependencias, entidades y ayuntamientos en lo que les corresponda, deberán, entre otras previsiones, considerar la disponibilidad de recursos financieros.</w:t>
      </w:r>
    </w:p>
    <w:p w14:paraId="4F5B83B0" w14:textId="77777777" w:rsidR="00B53698" w:rsidRPr="009E7B83" w:rsidRDefault="00B53698" w:rsidP="00B53698">
      <w:pPr>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Por lo que se refiere al procedimiento de adjudicación, el Capítulo Tercero del Libro Décimo Segundo del Código Administrativo del Estado de México, dispone lo siguiente:</w:t>
      </w:r>
    </w:p>
    <w:p w14:paraId="04D7DD4B"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12.20</w:t>
      </w:r>
      <w:r w:rsidRPr="009E7B83">
        <w:rPr>
          <w:rFonts w:ascii="Palatino Linotype" w:eastAsia="Palatino Linotype" w:hAnsi="Palatino Linotype" w:cs="Palatino Linotype"/>
          <w:i/>
          <w:sz w:val="22"/>
          <w:szCs w:val="22"/>
        </w:rPr>
        <w:t xml:space="preserve">.- Los contratos a que se refiere este Libro, </w:t>
      </w:r>
      <w:r w:rsidRPr="009E7B83">
        <w:rPr>
          <w:rFonts w:ascii="Palatino Linotype" w:eastAsia="Palatino Linotype" w:hAnsi="Palatino Linotype" w:cs="Palatino Linotype"/>
          <w:b/>
          <w:i/>
          <w:sz w:val="22"/>
          <w:szCs w:val="22"/>
        </w:rPr>
        <w:t xml:space="preserve">se adjudicarán a través de </w:t>
      </w:r>
      <w:r w:rsidRPr="009E7B83">
        <w:rPr>
          <w:rFonts w:ascii="Palatino Linotype" w:eastAsia="Palatino Linotype" w:hAnsi="Palatino Linotype" w:cs="Palatino Linotype"/>
          <w:b/>
          <w:i/>
          <w:sz w:val="22"/>
          <w:szCs w:val="22"/>
          <w:u w:val="single"/>
        </w:rPr>
        <w:t>licitaciones públicas</w:t>
      </w:r>
      <w:r w:rsidRPr="009E7B83">
        <w:rPr>
          <w:rFonts w:ascii="Palatino Linotype" w:eastAsia="Palatino Linotype" w:hAnsi="Palatino Linotype" w:cs="Palatino Linotype"/>
          <w:b/>
          <w:i/>
          <w:sz w:val="22"/>
          <w:szCs w:val="22"/>
        </w:rPr>
        <w:t>, mediante convocatoria pública.</w:t>
      </w:r>
      <w:r w:rsidRPr="009E7B83">
        <w:rPr>
          <w:rFonts w:ascii="Palatino Linotype" w:eastAsia="Palatino Linotype" w:hAnsi="Palatino Linotype" w:cs="Palatino Linotype"/>
          <w:i/>
          <w:sz w:val="22"/>
          <w:szCs w:val="22"/>
        </w:rPr>
        <w:t xml:space="preserve"> </w:t>
      </w:r>
    </w:p>
    <w:p w14:paraId="68513E5E"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12.21</w:t>
      </w:r>
      <w:r w:rsidRPr="009E7B83">
        <w:rPr>
          <w:rFonts w:ascii="Palatino Linotype" w:eastAsia="Palatino Linotype" w:hAnsi="Palatino Linotype" w:cs="Palatino Linotype"/>
          <w:i/>
          <w:sz w:val="22"/>
          <w:szCs w:val="22"/>
        </w:rPr>
        <w:t xml:space="preserve">.- Las dependencias, entidades y ayuntamientos podrán adjudicar contratos para la ejecución de obra pública o servicios relacionados con la misma. </w:t>
      </w:r>
      <w:r w:rsidRPr="009E7B83">
        <w:rPr>
          <w:rFonts w:ascii="Palatino Linotype" w:eastAsia="Palatino Linotype" w:hAnsi="Palatino Linotype" w:cs="Palatino Linotype"/>
          <w:b/>
          <w:i/>
          <w:sz w:val="22"/>
          <w:szCs w:val="22"/>
        </w:rPr>
        <w:t>mediante las excepciones al procedimiento de licitación</w:t>
      </w:r>
      <w:r w:rsidRPr="009E7B83">
        <w:rPr>
          <w:rFonts w:ascii="Palatino Linotype" w:eastAsia="Palatino Linotype" w:hAnsi="Palatino Linotype" w:cs="Palatino Linotype"/>
          <w:i/>
          <w:sz w:val="22"/>
          <w:szCs w:val="22"/>
        </w:rPr>
        <w:t xml:space="preserve"> siguientes: </w:t>
      </w:r>
    </w:p>
    <w:p w14:paraId="0FD277DD" w14:textId="77777777" w:rsidR="00B53698" w:rsidRPr="009E7B83" w:rsidRDefault="00B53698" w:rsidP="00B53698">
      <w:pP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w:t>
      </w:r>
      <w:r w:rsidRPr="009E7B83">
        <w:rPr>
          <w:rFonts w:ascii="Palatino Linotype" w:eastAsia="Palatino Linotype" w:hAnsi="Palatino Linotype" w:cs="Palatino Linotype"/>
          <w:b/>
          <w:i/>
          <w:sz w:val="22"/>
          <w:szCs w:val="22"/>
        </w:rPr>
        <w:t>Invitación restringida</w:t>
      </w:r>
      <w:r w:rsidRPr="009E7B83">
        <w:rPr>
          <w:rFonts w:ascii="Palatino Linotype" w:eastAsia="Palatino Linotype" w:hAnsi="Palatino Linotype" w:cs="Palatino Linotype"/>
          <w:i/>
          <w:sz w:val="22"/>
          <w:szCs w:val="22"/>
        </w:rPr>
        <w:t xml:space="preserve">; </w:t>
      </w:r>
    </w:p>
    <w:p w14:paraId="184D195A" w14:textId="77777777" w:rsidR="00B53698" w:rsidRPr="009E7B83" w:rsidRDefault="00B53698" w:rsidP="00B53698">
      <w:pP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w:t>
      </w:r>
      <w:r w:rsidRPr="009E7B83">
        <w:rPr>
          <w:rFonts w:ascii="Palatino Linotype" w:eastAsia="Palatino Linotype" w:hAnsi="Palatino Linotype" w:cs="Palatino Linotype"/>
          <w:b/>
          <w:i/>
          <w:sz w:val="22"/>
          <w:szCs w:val="22"/>
        </w:rPr>
        <w:t>Adjudicación directa.”</w:t>
      </w:r>
    </w:p>
    <w:p w14:paraId="60D250C9" w14:textId="77777777" w:rsidR="00B53698" w:rsidRPr="009E7B83" w:rsidRDefault="00B53698" w:rsidP="00B53698">
      <w:pPr>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Como se advierte, la normativa contempla como modalidades para la adjudicación de contratos de obra pública y servicios relacionados con la misma la licitación pública, y de manera excepcional a través de invitación restringida y adjudicación directa, cuyas </w:t>
      </w:r>
      <w:r w:rsidRPr="009E7B83">
        <w:rPr>
          <w:rFonts w:ascii="Palatino Linotype" w:eastAsia="Palatino Linotype" w:hAnsi="Palatino Linotype" w:cs="Palatino Linotype"/>
          <w:sz w:val="22"/>
          <w:szCs w:val="22"/>
        </w:rPr>
        <w:lastRenderedPageBreak/>
        <w:t>formalidades se encuentran previstas en el Reglamento del Libro Décimo Segundo del Código Administrativo del Estado de México, que en su parte conducente dispone lo siguiente:</w:t>
      </w:r>
    </w:p>
    <w:p w14:paraId="7F72069B"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r w:rsidRPr="009E7B83">
        <w:rPr>
          <w:rFonts w:ascii="Palatino Linotype" w:eastAsia="Palatino Linotype" w:hAnsi="Palatino Linotype" w:cs="Palatino Linotype"/>
          <w:b/>
          <w:i/>
          <w:sz w:val="22"/>
          <w:szCs w:val="22"/>
        </w:rPr>
        <w:t>Artículo 26</w:t>
      </w:r>
      <w:r w:rsidRPr="009E7B83">
        <w:rPr>
          <w:rFonts w:ascii="Palatino Linotype" w:eastAsia="Palatino Linotype" w:hAnsi="Palatino Linotype" w:cs="Palatino Linotype"/>
          <w:i/>
          <w:sz w:val="22"/>
          <w:szCs w:val="22"/>
        </w:rPr>
        <w:t>.-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14:paraId="54747579" w14:textId="77777777" w:rsidR="00B53698" w:rsidRPr="009E7B83" w:rsidRDefault="00B53698" w:rsidP="008177D1">
      <w:pPr>
        <w:spacing w:before="120" w:after="120"/>
        <w:ind w:left="851" w:right="900"/>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w:t>
      </w:r>
    </w:p>
    <w:p w14:paraId="12CB84E4"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28.-</w:t>
      </w:r>
      <w:r w:rsidRPr="009E7B83">
        <w:rPr>
          <w:rFonts w:ascii="Palatino Linotype" w:eastAsia="Palatino Linotype" w:hAnsi="Palatino Linotype" w:cs="Palatino Linotype"/>
          <w:i/>
          <w:sz w:val="22"/>
          <w:szCs w:val="22"/>
        </w:rPr>
        <w:t xml:space="preserve"> Las dependencias y entidades podrán convocar a licitación pública, adjudicar y contratar obra pública y servicios sólo cuando la Secretaría del Ramo se los haya autorizado por contar con elementos propios y organización necesarios para realizarlas. Esta autorización deberá estar publicada en la Gaceta del Gobierno del Estado de México.</w:t>
      </w:r>
    </w:p>
    <w:p w14:paraId="24B5E1D1"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Los ayuntamientos, que realicen obras o servicios con cargo parcial o total a recursos estatales, deberán solicitar la autorización preferentemente al inicio de su periodo de gestión, la que deberá estar publicada en la Gaceta del Gobierno del Estado de México.</w:t>
      </w:r>
    </w:p>
    <w:p w14:paraId="70A4D13C"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7DFBE17B"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Articulo 30</w:t>
      </w:r>
      <w:r w:rsidRPr="009E7B83">
        <w:rPr>
          <w:rFonts w:ascii="Palatino Linotype" w:eastAsia="Palatino Linotype" w:hAnsi="Palatino Linotype" w:cs="Palatino Linotype"/>
          <w:i/>
          <w:sz w:val="22"/>
          <w:szCs w:val="22"/>
        </w:rPr>
        <w:t xml:space="preserve">.- El procedimiento de licitación pública inicia con la publicación de la convocatoria y concluye con el fallo y adjudicación. Cubrirá las etapas siguientes: </w:t>
      </w:r>
    </w:p>
    <w:p w14:paraId="43062119" w14:textId="77777777" w:rsidR="00B53698" w:rsidRPr="009E7B83" w:rsidRDefault="00B53698" w:rsidP="008177D1">
      <w:pPr>
        <w:spacing w:before="120" w:after="120"/>
        <w:ind w:left="851" w:right="900"/>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w:t>
      </w:r>
    </w:p>
    <w:p w14:paraId="5D3087D5"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w:t>
      </w:r>
      <w:r w:rsidRPr="009E7B83">
        <w:rPr>
          <w:rFonts w:ascii="Palatino Linotype" w:eastAsia="Palatino Linotype" w:hAnsi="Palatino Linotype" w:cs="Palatino Linotype"/>
          <w:i/>
          <w:sz w:val="22"/>
          <w:szCs w:val="22"/>
        </w:rPr>
        <w:t xml:space="preserve"> La presentación y apertura de propuestas; </w:t>
      </w:r>
    </w:p>
    <w:p w14:paraId="29D7E8B9"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u w:val="single"/>
        </w:rPr>
        <w:t>VII. La evaluación de propuestas</w:t>
      </w:r>
      <w:r w:rsidRPr="009E7B83">
        <w:rPr>
          <w:rFonts w:ascii="Palatino Linotype" w:eastAsia="Palatino Linotype" w:hAnsi="Palatino Linotype" w:cs="Palatino Linotype"/>
          <w:i/>
          <w:sz w:val="22"/>
          <w:szCs w:val="22"/>
        </w:rPr>
        <w:t xml:space="preserve">; y </w:t>
      </w:r>
    </w:p>
    <w:p w14:paraId="5B07BBBA"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VIII.</w:t>
      </w:r>
      <w:r w:rsidRPr="009E7B83">
        <w:rPr>
          <w:rFonts w:ascii="Palatino Linotype" w:eastAsia="Palatino Linotype" w:hAnsi="Palatino Linotype" w:cs="Palatino Linotype"/>
          <w:i/>
          <w:sz w:val="22"/>
          <w:szCs w:val="22"/>
        </w:rPr>
        <w:t xml:space="preserve"> El fallo y adjudicación.</w:t>
      </w:r>
    </w:p>
    <w:p w14:paraId="52B9A317"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36B27F00"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43</w:t>
      </w:r>
      <w:r w:rsidRPr="009E7B83">
        <w:rPr>
          <w:rFonts w:ascii="Palatino Linotype" w:eastAsia="Palatino Linotype" w:hAnsi="Palatino Linotype" w:cs="Palatino Linotype"/>
          <w:i/>
          <w:sz w:val="22"/>
          <w:szCs w:val="22"/>
        </w:rPr>
        <w:t>.- La propuesta es el conjunto de documentos que presenta el licitante en un proceso de licitación pública. Con la propuesta, el convocante determina: si el licitante cumple con los requisitos establecidos en las bases de licitación; y si su opción es la más conveniente para llevar a cabo una obra o servicio.</w:t>
      </w:r>
    </w:p>
    <w:p w14:paraId="78BEEE13"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44</w:t>
      </w:r>
      <w:r w:rsidRPr="009E7B83">
        <w:rPr>
          <w:rFonts w:ascii="Palatino Linotype" w:eastAsia="Palatino Linotype" w:hAnsi="Palatino Linotype" w:cs="Palatino Linotype"/>
          <w:i/>
          <w:sz w:val="22"/>
          <w:szCs w:val="22"/>
        </w:rPr>
        <w:t xml:space="preserve">.- En la propuesta, el licitante acreditará documentalmente: su existencia legal; su experiencia profesional; su capacidad técnica y financiera para revisar y/o formular: los análisis de conceptos, volúmenes, precios unitarios y </w:t>
      </w:r>
      <w:r w:rsidRPr="009E7B83">
        <w:rPr>
          <w:rFonts w:ascii="Palatino Linotype" w:eastAsia="Palatino Linotype" w:hAnsi="Palatino Linotype" w:cs="Palatino Linotype"/>
          <w:i/>
          <w:sz w:val="22"/>
          <w:szCs w:val="22"/>
        </w:rPr>
        <w:lastRenderedPageBreak/>
        <w:t>programas de obra; y su compromiso para realizar en tiempo, forma y precio, la obra pública o servicio.</w:t>
      </w:r>
    </w:p>
    <w:p w14:paraId="4FC04F41" w14:textId="77777777" w:rsidR="00B53698" w:rsidRPr="009E7B83" w:rsidRDefault="00B53698" w:rsidP="008177D1">
      <w:pPr>
        <w:spacing w:before="120" w:after="120"/>
        <w:ind w:left="851" w:right="900"/>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w:t>
      </w:r>
    </w:p>
    <w:p w14:paraId="1FAD504D"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49</w:t>
      </w:r>
      <w:r w:rsidRPr="009E7B83">
        <w:rPr>
          <w:rFonts w:ascii="Palatino Linotype" w:eastAsia="Palatino Linotype" w:hAnsi="Palatino Linotype" w:cs="Palatino Linotype"/>
          <w:i/>
          <w:sz w:val="22"/>
          <w:szCs w:val="22"/>
        </w:rPr>
        <w:t>.- Los licitantes son los únicos responsables de que sus propuestas sean entregadas en tiempo y forma en el acto de presentación y apertura de propuestas. Todos los documentos de la propuesta deberán estar foliados y firmados por el licitante o su representante legal, se entregarán en un sobre cerrado que contendrá:</w:t>
      </w:r>
    </w:p>
    <w:p w14:paraId="56EE4BB9"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I. La documentación legal y administrativa; </w:t>
      </w:r>
    </w:p>
    <w:p w14:paraId="0EDBE96D"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u w:val="single"/>
        </w:rPr>
        <w:t>II. La propuesta y económica</w:t>
      </w:r>
      <w:r w:rsidRPr="009E7B83">
        <w:rPr>
          <w:rFonts w:ascii="Palatino Linotype" w:eastAsia="Palatino Linotype" w:hAnsi="Palatino Linotype" w:cs="Palatino Linotype"/>
          <w:i/>
          <w:sz w:val="22"/>
          <w:szCs w:val="22"/>
        </w:rPr>
        <w:t xml:space="preserve">. </w:t>
      </w:r>
    </w:p>
    <w:p w14:paraId="2596BFAF"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El licitante deberá identificar los sobres con el nombre de la dependencia, entidad o ayuntamiento; número y denominación de la licitación, la fecha, nombre o razón social del licitante y el contenido del sobre.</w:t>
      </w:r>
    </w:p>
    <w:p w14:paraId="2344622F"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1177751A"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52.-</w:t>
      </w:r>
      <w:r w:rsidRPr="009E7B83">
        <w:rPr>
          <w:rFonts w:ascii="Palatino Linotype" w:eastAsia="Palatino Linotype" w:hAnsi="Palatino Linotype" w:cs="Palatino Linotype"/>
          <w:i/>
          <w:sz w:val="22"/>
          <w:szCs w:val="22"/>
        </w:rPr>
        <w:t xml:space="preserve"> El acto de recepción y apertura de propuestas se desarrollará en el orden siguiente: </w:t>
      </w:r>
    </w:p>
    <w:p w14:paraId="2ED4199F"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El servidor público que preside el acto tomará lista de los licitantes presentes; </w:t>
      </w:r>
    </w:p>
    <w:p w14:paraId="19E7C4ED"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Al ser nombrados, los licitantes entregarán su propuesta en sobre cerrado; </w:t>
      </w:r>
    </w:p>
    <w:p w14:paraId="6B7A7B9B" w14:textId="77777777" w:rsidR="00B53698" w:rsidRPr="009E7B83" w:rsidRDefault="00B53698" w:rsidP="008177D1">
      <w:pPr>
        <w:spacing w:before="120" w:after="120"/>
        <w:ind w:left="851" w:right="900"/>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El servidor público abrirá el sobre que contiene la propuesta de cada licitante y hará la revisión cuantitativa de los documentos. </w:t>
      </w:r>
      <w:r w:rsidRPr="009E7B83">
        <w:rPr>
          <w:rFonts w:ascii="Palatino Linotype" w:eastAsia="Palatino Linotype" w:hAnsi="Palatino Linotype" w:cs="Palatino Linotype"/>
          <w:b/>
          <w:i/>
          <w:sz w:val="22"/>
          <w:szCs w:val="22"/>
        </w:rPr>
        <w:t xml:space="preserve">Leerá en voz alta cuando menos el importe total de cada una de las propuestas admitidas. </w:t>
      </w:r>
    </w:p>
    <w:p w14:paraId="54E4DC66"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Serán rechazadas las propuestas que no cumplan con todos los requisitos contenidos en las bases de licitación, debiéndose establecer con toda precisión la causa del incumplimiento</w:t>
      </w:r>
      <w:r w:rsidRPr="009E7B83">
        <w:rPr>
          <w:rFonts w:ascii="Palatino Linotype" w:eastAsia="Palatino Linotype" w:hAnsi="Palatino Linotype" w:cs="Palatino Linotype"/>
          <w:i/>
          <w:sz w:val="22"/>
          <w:szCs w:val="22"/>
        </w:rPr>
        <w:t xml:space="preserve">. Se entregará recibo de la garantía otorgada por los licitantes cuyas propuestas sean admitidas; </w:t>
      </w:r>
    </w:p>
    <w:p w14:paraId="6AE80EE4"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a) Los documentos de las propuestas en que se señalen los precios y el importe total de los trabajos serán rubricados por todos los participantes. En los contratos a precio alzado, se firmará el programa de ejecución de los trabajos y el presupuesto de obra; en los contratos mixtos, el programa y presupuesto de la parte a precios unitarios y el programa y presupuesto de obra de la parte a precio alzado;</w:t>
      </w:r>
    </w:p>
    <w:p w14:paraId="639038DD"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b) Se informará a los licitantes fecha y hora de la realización del acto del fallo.</w:t>
      </w:r>
    </w:p>
    <w:p w14:paraId="2EE24FD3"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53</w:t>
      </w:r>
      <w:r w:rsidRPr="009E7B83">
        <w:rPr>
          <w:rFonts w:ascii="Palatino Linotype" w:eastAsia="Palatino Linotype" w:hAnsi="Palatino Linotype" w:cs="Palatino Linotype"/>
          <w:i/>
          <w:sz w:val="22"/>
          <w:szCs w:val="22"/>
        </w:rPr>
        <w:t xml:space="preserve">.- El servidor público designado por el convocante para presidir los actos será la única persona facultada para aceptar o desechar las propuestas y, en general, para tomar todas las decisiones durante la realización del acto, debiendo permanecer </w:t>
      </w:r>
      <w:r w:rsidRPr="009E7B83">
        <w:rPr>
          <w:rFonts w:ascii="Palatino Linotype" w:eastAsia="Palatino Linotype" w:hAnsi="Palatino Linotype" w:cs="Palatino Linotype"/>
          <w:i/>
          <w:sz w:val="22"/>
          <w:szCs w:val="22"/>
        </w:rPr>
        <w:lastRenderedPageBreak/>
        <w:t xml:space="preserve">durante su desarrollo. Declarará desierta la licitación si no se recibe propuesta alguna o si las presentadas fueren desechadas, lo que se asentará en el acta correspondiente. </w:t>
      </w:r>
    </w:p>
    <w:p w14:paraId="3B1D2DD1"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54.-</w:t>
      </w:r>
      <w:r w:rsidRPr="009E7B83">
        <w:rPr>
          <w:rFonts w:ascii="Palatino Linotype" w:eastAsia="Palatino Linotype" w:hAnsi="Palatino Linotype" w:cs="Palatino Linotype"/>
          <w:i/>
          <w:sz w:val="22"/>
          <w:szCs w:val="22"/>
        </w:rPr>
        <w:t xml:space="preserve"> Al concluir el acto de recepción y entrega de propuestas, se levantará un acta que contendrá como mínimo: </w:t>
      </w:r>
    </w:p>
    <w:p w14:paraId="69736E6F"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Fecha, lugar y hora en que se llevó a cabo;</w:t>
      </w:r>
    </w:p>
    <w:p w14:paraId="0C608B6B"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Nombre del servidor público encargado de presidir el acto y de los demás servidores públicos participantes; </w:t>
      </w:r>
    </w:p>
    <w:p w14:paraId="6ED13B58"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w:t>
      </w:r>
      <w:r w:rsidRPr="009E7B83">
        <w:rPr>
          <w:rFonts w:ascii="Palatino Linotype" w:eastAsia="Palatino Linotype" w:hAnsi="Palatino Linotype" w:cs="Palatino Linotype"/>
          <w:b/>
          <w:i/>
          <w:sz w:val="22"/>
          <w:szCs w:val="22"/>
        </w:rPr>
        <w:t>Nombre de los licitantes cuyas propuestas fueron desechadas, así como las causas que lo motivaron</w:t>
      </w:r>
      <w:r w:rsidRPr="009E7B83">
        <w:rPr>
          <w:rFonts w:ascii="Palatino Linotype" w:eastAsia="Palatino Linotype" w:hAnsi="Palatino Linotype" w:cs="Palatino Linotype"/>
          <w:i/>
          <w:sz w:val="22"/>
          <w:szCs w:val="22"/>
        </w:rPr>
        <w:t xml:space="preserve">; </w:t>
      </w:r>
    </w:p>
    <w:p w14:paraId="6BDE9700"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u w:val="single"/>
        </w:rPr>
      </w:pPr>
      <w:r w:rsidRPr="009E7B83">
        <w:rPr>
          <w:rFonts w:ascii="Palatino Linotype" w:eastAsia="Palatino Linotype" w:hAnsi="Palatino Linotype" w:cs="Palatino Linotype"/>
          <w:b/>
          <w:i/>
          <w:sz w:val="22"/>
          <w:szCs w:val="22"/>
        </w:rPr>
        <w:t>IV.</w:t>
      </w:r>
      <w:r w:rsidRPr="009E7B83">
        <w:rPr>
          <w:rFonts w:ascii="Palatino Linotype" w:eastAsia="Palatino Linotype" w:hAnsi="Palatino Linotype" w:cs="Palatino Linotype"/>
          <w:i/>
          <w:sz w:val="22"/>
          <w:szCs w:val="22"/>
        </w:rPr>
        <w:t xml:space="preserve"> </w:t>
      </w:r>
      <w:r w:rsidRPr="009E7B83">
        <w:rPr>
          <w:rFonts w:ascii="Palatino Linotype" w:eastAsia="Palatino Linotype" w:hAnsi="Palatino Linotype" w:cs="Palatino Linotype"/>
          <w:b/>
          <w:i/>
          <w:sz w:val="22"/>
          <w:szCs w:val="22"/>
        </w:rPr>
        <w:t xml:space="preserve">Nombre de los licitantes </w:t>
      </w:r>
      <w:r w:rsidRPr="009E7B83">
        <w:rPr>
          <w:rFonts w:ascii="Palatino Linotype" w:eastAsia="Palatino Linotype" w:hAnsi="Palatino Linotype" w:cs="Palatino Linotype"/>
          <w:b/>
          <w:i/>
          <w:sz w:val="22"/>
          <w:szCs w:val="22"/>
          <w:u w:val="single"/>
        </w:rPr>
        <w:t>cuyas propuestas fueron aceptadas para su análisis cualitativo</w:t>
      </w:r>
      <w:r w:rsidRPr="009E7B83">
        <w:rPr>
          <w:rFonts w:ascii="Palatino Linotype" w:eastAsia="Palatino Linotype" w:hAnsi="Palatino Linotype" w:cs="Palatino Linotype"/>
          <w:i/>
          <w:sz w:val="22"/>
          <w:szCs w:val="22"/>
          <w:u w:val="single"/>
        </w:rPr>
        <w:t xml:space="preserve">; </w:t>
      </w:r>
    </w:p>
    <w:p w14:paraId="5553DAE7"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w:t>
      </w:r>
      <w:r w:rsidRPr="009E7B83">
        <w:rPr>
          <w:rFonts w:ascii="Palatino Linotype" w:eastAsia="Palatino Linotype" w:hAnsi="Palatino Linotype" w:cs="Palatino Linotype"/>
          <w:i/>
          <w:sz w:val="22"/>
          <w:szCs w:val="22"/>
        </w:rPr>
        <w:t xml:space="preserve">. Lugar, fecha y hora en que se llevará a cabo el acto de fallo y adjudicación; y </w:t>
      </w:r>
    </w:p>
    <w:p w14:paraId="0D01AC28"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w:t>
      </w:r>
      <w:r w:rsidRPr="009E7B83">
        <w:rPr>
          <w:rFonts w:ascii="Palatino Linotype" w:eastAsia="Palatino Linotype" w:hAnsi="Palatino Linotype" w:cs="Palatino Linotype"/>
          <w:i/>
          <w:sz w:val="22"/>
          <w:szCs w:val="22"/>
        </w:rPr>
        <w:t xml:space="preserve"> Firma de los participantes. </w:t>
      </w:r>
    </w:p>
    <w:p w14:paraId="14364503"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A cada uno de los participantes, se entregará copia del acta.</w:t>
      </w:r>
    </w:p>
    <w:p w14:paraId="01024CB3"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55.-</w:t>
      </w:r>
      <w:r w:rsidRPr="009E7B83">
        <w:rPr>
          <w:rFonts w:ascii="Palatino Linotype" w:eastAsia="Palatino Linotype" w:hAnsi="Palatino Linotype" w:cs="Palatino Linotype"/>
          <w:i/>
          <w:sz w:val="22"/>
          <w:szCs w:val="22"/>
        </w:rPr>
        <w:t xml:space="preserve"> La evaluación de las propuestas deberá considerar mínimo: </w:t>
      </w:r>
    </w:p>
    <w:p w14:paraId="504522E1"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La verificación de que los documentos cumplen, sin excepción, con los requisitos y contienen toda la información solicitada; </w:t>
      </w:r>
    </w:p>
    <w:p w14:paraId="0757DFE5"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La suficiente experiencia y capacidad de los profesionales y técnicos para la adecuada dirección y administración de los trabajos. Al realizar la evaluación, se tomará en cuenta: </w:t>
      </w:r>
    </w:p>
    <w:p w14:paraId="5134FE13"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w:t>
      </w:r>
      <w:r w:rsidRPr="009E7B83">
        <w:rPr>
          <w:rFonts w:ascii="Palatino Linotype" w:eastAsia="Palatino Linotype" w:hAnsi="Palatino Linotype" w:cs="Palatino Linotype"/>
          <w:i/>
          <w:sz w:val="22"/>
          <w:szCs w:val="22"/>
        </w:rPr>
        <w:t xml:space="preserve"> El grado académico y las certificaciones necesarias; </w:t>
      </w:r>
    </w:p>
    <w:p w14:paraId="79040D58"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b</w:t>
      </w:r>
      <w:r w:rsidRPr="009E7B83">
        <w:rPr>
          <w:rFonts w:ascii="Palatino Linotype" w:eastAsia="Palatino Linotype" w:hAnsi="Palatino Linotype" w:cs="Palatino Linotype"/>
          <w:i/>
          <w:sz w:val="22"/>
          <w:szCs w:val="22"/>
        </w:rPr>
        <w:t xml:space="preserve">. La experiencia en obras similares; c. La capacidad profesional o técnica de las personas físicas responsables de la ejecución de los trabajos. </w:t>
      </w:r>
    </w:p>
    <w:p w14:paraId="2B80DF22"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Lo suficiente y adecuado de la maquinaria y equipo de construcción para desarrollar los trabajos que se convocan, sea arrendado o propiedad del licitante; </w:t>
      </w:r>
    </w:p>
    <w:p w14:paraId="09FCE010"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IV</w:t>
      </w:r>
      <w:r w:rsidRPr="009E7B83">
        <w:rPr>
          <w:rFonts w:ascii="Palatino Linotype" w:eastAsia="Palatino Linotype" w:hAnsi="Palatino Linotype" w:cs="Palatino Linotype"/>
          <w:i/>
          <w:sz w:val="22"/>
          <w:szCs w:val="22"/>
        </w:rPr>
        <w:t xml:space="preserve">. La congruencia entre la planeación propuesta por el licitante para el desarrollo y organización de los trabajos y las características, complejidad y magnitud de los mismos; </w:t>
      </w:r>
    </w:p>
    <w:p w14:paraId="452C8EF1"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w:t>
      </w:r>
      <w:r w:rsidRPr="009E7B83">
        <w:rPr>
          <w:rFonts w:ascii="Palatino Linotype" w:eastAsia="Palatino Linotype" w:hAnsi="Palatino Linotype" w:cs="Palatino Linotype"/>
          <w:i/>
          <w:sz w:val="22"/>
          <w:szCs w:val="22"/>
        </w:rPr>
        <w:t xml:space="preserve">. La adecuada selección del procedimiento constructivo por el licitante y su congruencia con el programa de ejecución considerado en su propuesta; </w:t>
      </w:r>
    </w:p>
    <w:p w14:paraId="5974982E"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lastRenderedPageBreak/>
        <w:t>VI</w:t>
      </w:r>
      <w:r w:rsidRPr="009E7B83">
        <w:rPr>
          <w:rFonts w:ascii="Palatino Linotype" w:eastAsia="Palatino Linotype" w:hAnsi="Palatino Linotype" w:cs="Palatino Linotype"/>
          <w:i/>
          <w:sz w:val="22"/>
          <w:szCs w:val="22"/>
        </w:rPr>
        <w:t xml:space="preserve">. La evaluación de la capacidad financiera del licitante. Al revisar la declaración fiscal anual o estados financieros dictaminados por contador público certificado independiente, se verificará entre otros: </w:t>
      </w:r>
    </w:p>
    <w:p w14:paraId="68FEF460"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w:t>
      </w:r>
      <w:r w:rsidRPr="009E7B83">
        <w:rPr>
          <w:rFonts w:ascii="Palatino Linotype" w:eastAsia="Palatino Linotype" w:hAnsi="Palatino Linotype" w:cs="Palatino Linotype"/>
          <w:i/>
          <w:sz w:val="22"/>
          <w:szCs w:val="22"/>
        </w:rPr>
        <w:t xml:space="preserve"> La suficiencia del capital de trabajo para sustentar los requerimientos financieros de los trabajos a realizar; </w:t>
      </w:r>
    </w:p>
    <w:p w14:paraId="17F1F4A6"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b.</w:t>
      </w:r>
      <w:r w:rsidRPr="009E7B83">
        <w:rPr>
          <w:rFonts w:ascii="Palatino Linotype" w:eastAsia="Palatino Linotype" w:hAnsi="Palatino Linotype" w:cs="Palatino Linotype"/>
          <w:i/>
          <w:sz w:val="22"/>
          <w:szCs w:val="22"/>
        </w:rPr>
        <w:t xml:space="preserve"> La capacidad para cumplir sus obligaciones de pago; y </w:t>
      </w:r>
    </w:p>
    <w:p w14:paraId="38433BC1"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c</w:t>
      </w:r>
      <w:r w:rsidRPr="009E7B83">
        <w:rPr>
          <w:rFonts w:ascii="Palatino Linotype" w:eastAsia="Palatino Linotype" w:hAnsi="Palatino Linotype" w:cs="Palatino Linotype"/>
          <w:i/>
          <w:sz w:val="22"/>
          <w:szCs w:val="22"/>
        </w:rPr>
        <w:t>. La rentabilidad financiera de la empresa.</w:t>
      </w:r>
    </w:p>
    <w:p w14:paraId="06581E7A"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7D95ED1B"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57</w:t>
      </w:r>
      <w:r w:rsidRPr="009E7B83">
        <w:rPr>
          <w:rFonts w:ascii="Palatino Linotype" w:eastAsia="Palatino Linotype" w:hAnsi="Palatino Linotype" w:cs="Palatino Linotype"/>
          <w:i/>
          <w:sz w:val="22"/>
          <w:szCs w:val="22"/>
        </w:rPr>
        <w:t>.- Para la evaluación de los aspectos económicos se debe verificar que los documentos contengan la información solicitada, realizar el análisis comparativo del presupuesto base contra las propuestas, verificar que los precios sean aceptables en lo individual y en el total de la propuesta y que sean acordes según corresponda con la situación vigente en el mercado internacional, en el nacional o en el de la zona o región en donde se ejecutarán los trabajos.</w:t>
      </w:r>
    </w:p>
    <w:p w14:paraId="7BB62D40"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58.-</w:t>
      </w:r>
      <w:r w:rsidRPr="009E7B83">
        <w:rPr>
          <w:rFonts w:ascii="Palatino Linotype" w:eastAsia="Palatino Linotype" w:hAnsi="Palatino Linotype" w:cs="Palatino Linotype"/>
          <w:i/>
          <w:sz w:val="22"/>
          <w:szCs w:val="22"/>
        </w:rPr>
        <w:t xml:space="preserve"> El convocante deberá verificar en las propuestas que consideren precios unitarios, que </w:t>
      </w:r>
    </w:p>
    <w:p w14:paraId="16F2E79D"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w:t>
      </w:r>
      <w:r w:rsidRPr="009E7B83">
        <w:rPr>
          <w:rFonts w:ascii="Palatino Linotype" w:eastAsia="Palatino Linotype" w:hAnsi="Palatino Linotype" w:cs="Palatino Linotype"/>
          <w:i/>
          <w:sz w:val="22"/>
          <w:szCs w:val="22"/>
        </w:rPr>
        <w:t xml:space="preserve"> En el presupuesto de obra: </w:t>
      </w:r>
    </w:p>
    <w:p w14:paraId="7FAC3325"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Cada uno de los conceptos señale el importe del precio unitario;</w:t>
      </w:r>
    </w:p>
    <w:p w14:paraId="0C330CBA"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El importe del precio unitario esté anotado con número y letra y que éstos sean coincidentes entre sí. En caso de diferencia prevalecerá el que coincida con la integración del precio unitario o, cuando no se tenga, el escrito con letra, y </w:t>
      </w:r>
    </w:p>
    <w:p w14:paraId="1D7BFFD5"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Las operaciones aritméticas estén correctas. Cuando una o más operaciones estén equivocadas, se harán las correcciones correspondientes. El monto correcto será el considerado para el análisis comparativo de las propuestas. </w:t>
      </w:r>
    </w:p>
    <w:p w14:paraId="39125410"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B</w:t>
      </w:r>
      <w:r w:rsidRPr="009E7B83">
        <w:rPr>
          <w:rFonts w:ascii="Palatino Linotype" w:eastAsia="Palatino Linotype" w:hAnsi="Palatino Linotype" w:cs="Palatino Linotype"/>
          <w:i/>
          <w:sz w:val="22"/>
          <w:szCs w:val="22"/>
        </w:rPr>
        <w:t xml:space="preserve">. El análisis, cálculo e integración de los precios unitarios se haya realizado de acuerdo con lo establecido en este Reglamento y que: </w:t>
      </w:r>
    </w:p>
    <w:p w14:paraId="0F2FC0CF"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Los análisis de los precios unitarios se integren con costos directos, indirectos, de financiamiento, cargo por utilidad y cargos adicionales; </w:t>
      </w:r>
    </w:p>
    <w:p w14:paraId="36047441"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Los costos directos comprendan los correspondientes a materiales, mano de obra, maquinaria y equipo de construcción;</w:t>
      </w:r>
    </w:p>
    <w:p w14:paraId="63ECBE26"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Los precios de adquisición de los materiales estén dentro de los parámetros de precios de mercado; </w:t>
      </w:r>
    </w:p>
    <w:p w14:paraId="0C479E29"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lastRenderedPageBreak/>
        <w:t>IV</w:t>
      </w:r>
      <w:r w:rsidRPr="009E7B83">
        <w:rPr>
          <w:rFonts w:ascii="Palatino Linotype" w:eastAsia="Palatino Linotype" w:hAnsi="Palatino Linotype" w:cs="Palatino Linotype"/>
          <w:i/>
          <w:sz w:val="22"/>
          <w:szCs w:val="22"/>
        </w:rPr>
        <w:t xml:space="preserve">. Los costos de la mano de obra se hayan obtenido aplicando los factores de salario integrado a los sueldos y salarios del personal, conforme a lo previsto en este Reglamento; </w:t>
      </w:r>
    </w:p>
    <w:p w14:paraId="328B4304"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w:t>
      </w:r>
      <w:r w:rsidRPr="009E7B83">
        <w:rPr>
          <w:rFonts w:ascii="Palatino Linotype" w:eastAsia="Palatino Linotype" w:hAnsi="Palatino Linotype" w:cs="Palatino Linotype"/>
          <w:i/>
          <w:sz w:val="22"/>
          <w:szCs w:val="22"/>
        </w:rPr>
        <w:t xml:space="preserve">. El cargo por el uso de herramienta menor esté incluido; </w:t>
      </w:r>
    </w:p>
    <w:p w14:paraId="2396CC2B"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w:t>
      </w:r>
      <w:r w:rsidRPr="009E7B83">
        <w:rPr>
          <w:rFonts w:ascii="Palatino Linotype" w:eastAsia="Palatino Linotype" w:hAnsi="Palatino Linotype" w:cs="Palatino Linotype"/>
          <w:i/>
          <w:sz w:val="22"/>
          <w:szCs w:val="22"/>
        </w:rPr>
        <w:t xml:space="preserve"> Los costos horarios por la utilización de la maquinaria y equipo de construcción estén determinados por hora efectiva de trabajo, calculados para cada máquina o equipo; considerando, cuando sea el caso, los accesorios integrados; </w:t>
      </w:r>
    </w:p>
    <w:p w14:paraId="6B234DAF"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C</w:t>
      </w:r>
      <w:r w:rsidRPr="009E7B83">
        <w:rPr>
          <w:rFonts w:ascii="Palatino Linotype" w:eastAsia="Palatino Linotype" w:hAnsi="Palatino Linotype" w:cs="Palatino Linotype"/>
          <w:i/>
          <w:sz w:val="22"/>
          <w:szCs w:val="22"/>
        </w:rPr>
        <w:t xml:space="preserve">. Los costos directos de los precios unitarios se hayan estructurado y determinado de acuerdo con lo previsto en este Reglamento y que: </w:t>
      </w:r>
    </w:p>
    <w:p w14:paraId="44681807"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Los costos de los materiales considerados por el licitante sean coincidentes con la relación de los costos y cumplan las normas de calidad señaladas en las bases de la licitación; </w:t>
      </w:r>
    </w:p>
    <w:p w14:paraId="686E9C48"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Los costos de mano de obra considerados por el licitante sean coincidentes con el tabulador de salarios y con los costos que prevalezcan en la zona donde se ejecutarán los trabajos; y</w:t>
      </w:r>
    </w:p>
    <w:p w14:paraId="766E6AE4"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Los costos horarios de la maquinaria y equipo de construcción estén determinados con base en el precio y rendimientos máximos de unidades nuevas, tomados de los manuales de los fabricantes y que consideraron las características ambientales de la zona donde vayan a realizarse los trabajos. </w:t>
      </w:r>
    </w:p>
    <w:p w14:paraId="0507ACE2"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D</w:t>
      </w:r>
      <w:r w:rsidRPr="009E7B83">
        <w:rPr>
          <w:rFonts w:ascii="Palatino Linotype" w:eastAsia="Palatino Linotype" w:hAnsi="Palatino Linotype" w:cs="Palatino Linotype"/>
          <w:i/>
          <w:sz w:val="22"/>
          <w:szCs w:val="22"/>
        </w:rPr>
        <w:t xml:space="preserve">. Los costos indirectos de los precios unitarios estén integrados de acuerdo con lo previsto en este Reglamento y que: </w:t>
      </w:r>
    </w:p>
    <w:p w14:paraId="12801DEA"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Estén calculados por conceptos con sus importes, determinándose el monto total y su porcentaje sobre el monto del costo directo;</w:t>
      </w:r>
    </w:p>
    <w:p w14:paraId="58085C3E"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Los costos indirectos de las oficinas centrales del licitante sean únicamente los necesarios para el apoyo técnico y administrativo a la superintendencia de la obra encargada directamente de los trabajos, así como los de campo necesarios para la dirección, supervisión y administración de la obra; y </w:t>
      </w:r>
    </w:p>
    <w:p w14:paraId="53C7A63E"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No se incluyan cargos que, por sus características o conforme a las bases de la licitación, deban formen parte de un precio unitario. </w:t>
      </w:r>
    </w:p>
    <w:p w14:paraId="2D416BB2"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E.</w:t>
      </w:r>
      <w:r w:rsidRPr="009E7B83">
        <w:rPr>
          <w:rFonts w:ascii="Palatino Linotype" w:eastAsia="Palatino Linotype" w:hAnsi="Palatino Linotype" w:cs="Palatino Linotype"/>
          <w:i/>
          <w:sz w:val="22"/>
          <w:szCs w:val="22"/>
        </w:rPr>
        <w:t xml:space="preserve"> El costo financiero de los precios unitarios se haya estructurado y determinado conforme a lo señalado en este Reglamento y que:</w:t>
      </w:r>
    </w:p>
    <w:p w14:paraId="41CD56F8"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Los ingresos consideren la periodicidad y el plazo de trámite y el pago del o los anticipos y las estimaciones y que éstas incluyan la amortización de los anticipos; </w:t>
      </w:r>
    </w:p>
    <w:p w14:paraId="7D8E309F"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lastRenderedPageBreak/>
        <w:t>II.</w:t>
      </w:r>
      <w:r w:rsidRPr="009E7B83">
        <w:rPr>
          <w:rFonts w:ascii="Palatino Linotype" w:eastAsia="Palatino Linotype" w:hAnsi="Palatino Linotype" w:cs="Palatino Linotype"/>
          <w:i/>
          <w:sz w:val="22"/>
          <w:szCs w:val="22"/>
        </w:rPr>
        <w:t xml:space="preserve"> El costo del financiamiento esté representado por un porcentaje de la suma de los costos directos e indirectos; </w:t>
      </w:r>
    </w:p>
    <w:p w14:paraId="52EC3D5F"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La tasa de interés aplicable esté definida con base en un indicador económico específico; </w:t>
      </w:r>
    </w:p>
    <w:p w14:paraId="4BFB37DC"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IV</w:t>
      </w:r>
      <w:r w:rsidRPr="009E7B83">
        <w:rPr>
          <w:rFonts w:ascii="Palatino Linotype" w:eastAsia="Palatino Linotype" w:hAnsi="Palatino Linotype" w:cs="Palatino Linotype"/>
          <w:i/>
          <w:sz w:val="22"/>
          <w:szCs w:val="22"/>
        </w:rPr>
        <w:t xml:space="preserve">. El costo del financiamiento sea congruente con el programa de ejecución valorizado con montos mensuales; y </w:t>
      </w:r>
    </w:p>
    <w:p w14:paraId="7F9ABE4C"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w:t>
      </w:r>
      <w:r w:rsidRPr="009E7B83">
        <w:rPr>
          <w:rFonts w:ascii="Palatino Linotype" w:eastAsia="Palatino Linotype" w:hAnsi="Palatino Linotype" w:cs="Palatino Linotype"/>
          <w:i/>
          <w:sz w:val="22"/>
          <w:szCs w:val="22"/>
        </w:rPr>
        <w:t xml:space="preserve">. El procedimiento para el cálculo del costo por financiamiento aplicado por el licitante corresponda con el de las bases de la licitación. </w:t>
      </w:r>
    </w:p>
    <w:p w14:paraId="6E835F78"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F</w:t>
      </w:r>
      <w:r w:rsidRPr="009E7B83">
        <w:rPr>
          <w:rFonts w:ascii="Palatino Linotype" w:eastAsia="Palatino Linotype" w:hAnsi="Palatino Linotype" w:cs="Palatino Linotype"/>
          <w:i/>
          <w:sz w:val="22"/>
          <w:szCs w:val="22"/>
        </w:rPr>
        <w:t xml:space="preserve">. El cálculo del cargo por utilidad de los precios unitarios considere la utilidad que el contratista estima debe percibir y las deducciones e impuestos correspondientes, no siendo necesario su desglose. </w:t>
      </w:r>
    </w:p>
    <w:p w14:paraId="40F27428"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G.</w:t>
      </w:r>
      <w:r w:rsidRPr="009E7B83">
        <w:rPr>
          <w:rFonts w:ascii="Palatino Linotype" w:eastAsia="Palatino Linotype" w:hAnsi="Palatino Linotype" w:cs="Palatino Linotype"/>
          <w:i/>
          <w:sz w:val="22"/>
          <w:szCs w:val="22"/>
        </w:rPr>
        <w:t xml:space="preserve"> El importe total de la propuesta a precios unitarios sea coincidente con el total del programa general de erogaciones de ejecución de los trabajos y con la suma de los importes de los programas específicos de erogaciones de materiales, mano de obra y maquinaria y equipo de construcción. </w:t>
      </w:r>
    </w:p>
    <w:p w14:paraId="305EFC39"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El servidor público responsable de revisar la correcta formulación de los precios unitarios deberá contar con la certificación de conocimientos y habilidades en la materia.</w:t>
      </w:r>
    </w:p>
    <w:p w14:paraId="46FEDA71"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3A0F02AF"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62.-</w:t>
      </w:r>
      <w:r w:rsidRPr="009E7B83">
        <w:rPr>
          <w:rFonts w:ascii="Palatino Linotype" w:eastAsia="Palatino Linotype" w:hAnsi="Palatino Linotype" w:cs="Palatino Linotype"/>
          <w:i/>
          <w:sz w:val="22"/>
          <w:szCs w:val="22"/>
        </w:rPr>
        <w:t xml:space="preserve"> Realizada la evaluación de las propuestas, el convocante emitirá el dictamen que servirá de base para el fallo. El dictamen deberá contener: </w:t>
      </w:r>
    </w:p>
    <w:p w14:paraId="6CE6C10C"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La relación sucinta y cronológica de los actos del procedimiento; </w:t>
      </w:r>
    </w:p>
    <w:p w14:paraId="6B88E284"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w:t>
      </w:r>
      <w:r w:rsidRPr="009E7B83">
        <w:rPr>
          <w:rFonts w:ascii="Palatino Linotype" w:eastAsia="Palatino Linotype" w:hAnsi="Palatino Linotype" w:cs="Palatino Linotype"/>
          <w:b/>
          <w:i/>
          <w:sz w:val="22"/>
          <w:szCs w:val="22"/>
        </w:rPr>
        <w:t>Los criterios utilizados para la evaluación de las propuestas;</w:t>
      </w:r>
    </w:p>
    <w:p w14:paraId="7D66D736"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 xml:space="preserve">III. </w:t>
      </w:r>
      <w:r w:rsidRPr="009E7B83">
        <w:rPr>
          <w:rFonts w:ascii="Palatino Linotype" w:eastAsia="Palatino Linotype" w:hAnsi="Palatino Linotype" w:cs="Palatino Linotype"/>
          <w:b/>
          <w:i/>
          <w:sz w:val="22"/>
          <w:szCs w:val="22"/>
          <w:u w:val="single"/>
        </w:rPr>
        <w:t>Las razones por las cuales se aceptan o desechan las propuestas presentadas por los licitantes;</w:t>
      </w:r>
    </w:p>
    <w:p w14:paraId="6D5B3D28"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IV</w:t>
      </w:r>
      <w:r w:rsidRPr="009E7B83">
        <w:rPr>
          <w:rFonts w:ascii="Palatino Linotype" w:eastAsia="Palatino Linotype" w:hAnsi="Palatino Linotype" w:cs="Palatino Linotype"/>
          <w:i/>
          <w:sz w:val="22"/>
          <w:szCs w:val="22"/>
        </w:rPr>
        <w:t>. El nombre de los licitantes cuyas propuestas fueron aceptadas por haber cumplido con los requerimientos exigidos;</w:t>
      </w:r>
    </w:p>
    <w:p w14:paraId="60462230"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w:t>
      </w:r>
      <w:r w:rsidRPr="009E7B83">
        <w:rPr>
          <w:rFonts w:ascii="Palatino Linotype" w:eastAsia="Palatino Linotype" w:hAnsi="Palatino Linotype" w:cs="Palatino Linotype"/>
          <w:i/>
          <w:sz w:val="22"/>
          <w:szCs w:val="22"/>
        </w:rPr>
        <w:t xml:space="preserve">. El nombre de los licitantes cuyas propuestas hayan sido desechadas como resultado del análisis de las mismas; </w:t>
      </w:r>
    </w:p>
    <w:p w14:paraId="7D9A729C"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w:t>
      </w:r>
      <w:r w:rsidRPr="009E7B83">
        <w:rPr>
          <w:rFonts w:ascii="Palatino Linotype" w:eastAsia="Palatino Linotype" w:hAnsi="Palatino Linotype" w:cs="Palatino Linotype"/>
          <w:i/>
          <w:sz w:val="22"/>
          <w:szCs w:val="22"/>
        </w:rPr>
        <w:t xml:space="preserve">. La relación de los licitantes cuyas propuestas se calificaron como solventes, ubicándolas de menor a mayor, de acuerdo con sus montos; </w:t>
      </w:r>
    </w:p>
    <w:p w14:paraId="292BCF72"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VII</w:t>
      </w:r>
      <w:r w:rsidRPr="009E7B83">
        <w:rPr>
          <w:rFonts w:ascii="Palatino Linotype" w:eastAsia="Palatino Linotype" w:hAnsi="Palatino Linotype" w:cs="Palatino Linotype"/>
          <w:i/>
          <w:sz w:val="22"/>
          <w:szCs w:val="22"/>
        </w:rPr>
        <w:t xml:space="preserve">. La fecha y lugar de elaboración, y </w:t>
      </w:r>
    </w:p>
    <w:p w14:paraId="10C21D29"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lastRenderedPageBreak/>
        <w:t>VIII.</w:t>
      </w:r>
      <w:r w:rsidRPr="009E7B83">
        <w:rPr>
          <w:rFonts w:ascii="Palatino Linotype" w:eastAsia="Palatino Linotype" w:hAnsi="Palatino Linotype" w:cs="Palatino Linotype"/>
          <w:i/>
          <w:sz w:val="22"/>
          <w:szCs w:val="22"/>
        </w:rPr>
        <w:t xml:space="preserve"> El nombre, firma y cargo de los servidores públicos encargados de su elaboración y aprobación.</w:t>
      </w:r>
    </w:p>
    <w:p w14:paraId="01E57215"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5A564E58"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69</w:t>
      </w:r>
      <w:r w:rsidRPr="009E7B83">
        <w:rPr>
          <w:rFonts w:ascii="Palatino Linotype" w:eastAsia="Palatino Linotype" w:hAnsi="Palatino Linotype" w:cs="Palatino Linotype"/>
          <w:i/>
          <w:sz w:val="22"/>
          <w:szCs w:val="22"/>
        </w:rPr>
        <w:t xml:space="preserve">.- Cuando las dependencias, entidades y ayuntamientos determinen optar por las modalidades de invitación restringida o adjudicación directa, deberán respaldar su determinación en un estudio que fundamente su conveniencia por ofrecer mejores condiciones para el Estado de México, tomando en cuenta los siguientes criterios: </w:t>
      </w:r>
    </w:p>
    <w:p w14:paraId="3C086116"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 xml:space="preserve">I. </w:t>
      </w:r>
      <w:r w:rsidRPr="009E7B83">
        <w:rPr>
          <w:rFonts w:ascii="Palatino Linotype" w:eastAsia="Palatino Linotype" w:hAnsi="Palatino Linotype" w:cs="Palatino Linotype"/>
          <w:i/>
          <w:sz w:val="22"/>
          <w:szCs w:val="22"/>
        </w:rPr>
        <w:t xml:space="preserve">Economía, que signifique un menor costo de la obra o servicio; </w:t>
      </w:r>
    </w:p>
    <w:p w14:paraId="28814EAD"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Oportunidad, que permita satisfacer la necesidad que se atiende con la obra pública o servicio en el menor lapso posible; </w:t>
      </w:r>
    </w:p>
    <w:p w14:paraId="03B419D8"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Eficacia, que la obra o servicio satisfaga la necesidad que la origina; </w:t>
      </w:r>
    </w:p>
    <w:p w14:paraId="2F502286"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IV</w:t>
      </w:r>
      <w:r w:rsidRPr="009E7B83">
        <w:rPr>
          <w:rFonts w:ascii="Palatino Linotype" w:eastAsia="Palatino Linotype" w:hAnsi="Palatino Linotype" w:cs="Palatino Linotype"/>
          <w:i/>
          <w:sz w:val="22"/>
          <w:szCs w:val="22"/>
        </w:rPr>
        <w:t xml:space="preserve">. Eficiencia, que se dé el máximo aprovechamiento de los recursos que la dependencia, entidad o ayuntamiento asigne a la obra o servicio; </w:t>
      </w:r>
    </w:p>
    <w:p w14:paraId="30494B38"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w:t>
      </w:r>
      <w:r w:rsidRPr="009E7B83">
        <w:rPr>
          <w:rFonts w:ascii="Palatino Linotype" w:eastAsia="Palatino Linotype" w:hAnsi="Palatino Linotype" w:cs="Palatino Linotype"/>
          <w:i/>
          <w:sz w:val="22"/>
          <w:szCs w:val="22"/>
        </w:rPr>
        <w:t xml:space="preserve">. Imparcialidad, que la adjudicación de la obra o servicio se realice sin favorecer a ninguno de los interesados; </w:t>
      </w:r>
    </w:p>
    <w:p w14:paraId="06D76356"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w:t>
      </w:r>
      <w:r w:rsidRPr="009E7B83">
        <w:rPr>
          <w:rFonts w:ascii="Palatino Linotype" w:eastAsia="Palatino Linotype" w:hAnsi="Palatino Linotype" w:cs="Palatino Linotype"/>
          <w:i/>
          <w:sz w:val="22"/>
          <w:szCs w:val="22"/>
        </w:rPr>
        <w:t xml:space="preserve">. Honradez, que garantice una justa prestación para las partes involucradas; </w:t>
      </w:r>
    </w:p>
    <w:p w14:paraId="100A925E"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VII</w:t>
      </w:r>
      <w:r w:rsidRPr="009E7B83">
        <w:rPr>
          <w:rFonts w:ascii="Palatino Linotype" w:eastAsia="Palatino Linotype" w:hAnsi="Palatino Linotype" w:cs="Palatino Linotype"/>
          <w:i/>
          <w:sz w:val="22"/>
          <w:szCs w:val="22"/>
        </w:rPr>
        <w:t>. Transparencia, que se respeten escrupulosamente en la adjudicación de la obra o servicio los procedimientos establecidos en el Libro y en este Reglamento.</w:t>
      </w:r>
    </w:p>
    <w:p w14:paraId="009DD580" w14:textId="77777777" w:rsidR="00B53698" w:rsidRPr="009E7B83" w:rsidRDefault="00B53698" w:rsidP="008177D1">
      <w:pPr>
        <w:spacing w:before="120" w:after="120"/>
        <w:ind w:left="851" w:right="900"/>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w:t>
      </w:r>
    </w:p>
    <w:p w14:paraId="42144F90"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85</w:t>
      </w:r>
      <w:r w:rsidRPr="009E7B83">
        <w:rPr>
          <w:rFonts w:ascii="Palatino Linotype" w:eastAsia="Palatino Linotype" w:hAnsi="Palatino Linotype" w:cs="Palatino Linotype"/>
          <w:i/>
          <w:sz w:val="22"/>
          <w:szCs w:val="22"/>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14:paraId="203D2CC5"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La descripción general de la obra o servicio; </w:t>
      </w:r>
    </w:p>
    <w:p w14:paraId="65EB3E42"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El informe del procedimiento de licitación pública que fue declarado desierto; </w:t>
      </w:r>
    </w:p>
    <w:p w14:paraId="0CC048C4"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I. La fecha probable de inicio de los trabajos y el plazo de ejecución de los mismos; </w:t>
      </w:r>
    </w:p>
    <w:p w14:paraId="47B43210"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IV</w:t>
      </w:r>
      <w:r w:rsidRPr="009E7B83">
        <w:rPr>
          <w:rFonts w:ascii="Palatino Linotype" w:eastAsia="Palatino Linotype" w:hAnsi="Palatino Linotype" w:cs="Palatino Linotype"/>
          <w:i/>
          <w:sz w:val="22"/>
          <w:szCs w:val="22"/>
        </w:rPr>
        <w:t xml:space="preserve">. El presupuesto base; </w:t>
      </w:r>
    </w:p>
    <w:p w14:paraId="66F165C1"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w:t>
      </w:r>
      <w:r w:rsidRPr="009E7B83">
        <w:rPr>
          <w:rFonts w:ascii="Palatino Linotype" w:eastAsia="Palatino Linotype" w:hAnsi="Palatino Linotype" w:cs="Palatino Linotype"/>
          <w:i/>
          <w:sz w:val="22"/>
          <w:szCs w:val="22"/>
        </w:rPr>
        <w:t>. La autorización presupuestal;</w:t>
      </w:r>
    </w:p>
    <w:p w14:paraId="55D98410"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w:t>
      </w:r>
      <w:r w:rsidRPr="009E7B83">
        <w:rPr>
          <w:rFonts w:ascii="Palatino Linotype" w:eastAsia="Palatino Linotype" w:hAnsi="Palatino Linotype" w:cs="Palatino Linotype"/>
          <w:i/>
          <w:sz w:val="22"/>
          <w:szCs w:val="22"/>
        </w:rPr>
        <w:t xml:space="preserve">. El nombre y firma del titular del área responsable de la ejecución de los trabajos; y </w:t>
      </w:r>
    </w:p>
    <w:p w14:paraId="14AC49AF"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lastRenderedPageBreak/>
        <w:t>VII</w:t>
      </w:r>
      <w:r w:rsidRPr="009E7B83">
        <w:rPr>
          <w:rFonts w:ascii="Palatino Linotype" w:eastAsia="Palatino Linotype" w:hAnsi="Palatino Linotype" w:cs="Palatino Linotype"/>
          <w:i/>
          <w:sz w:val="22"/>
          <w:szCs w:val="22"/>
        </w:rPr>
        <w:t xml:space="preserve">. El formato de caso para el dictamen de procedencia de excepción. </w:t>
      </w:r>
    </w:p>
    <w:p w14:paraId="30937952"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Cuando la dependencia, entidad o ayuntamiento no cuente con Comité Interno de Obra Pública, la unidad ejecutora de obra pública deberá integrar el caso que someterá a la autorización del titular. </w:t>
      </w:r>
    </w:p>
    <w:p w14:paraId="24A201DA"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14:paraId="762DD179"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Articulo 86.-</w:t>
      </w:r>
      <w:r w:rsidRPr="009E7B83">
        <w:rPr>
          <w:rFonts w:ascii="Palatino Linotype" w:eastAsia="Palatino Linotype" w:hAnsi="Palatino Linotype" w:cs="Palatino Linotype"/>
          <w:i/>
          <w:sz w:val="22"/>
          <w:szCs w:val="22"/>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14:paraId="56CA0185"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Las dependencias, entidades y ayuntamientos seleccionarán del catálogo de contratistas, que opere la Secretaría del Ramo, a cuando menos tres personas que serán invitadas a presentar propuestas; asimismo, formularán los oficios de invitación que contendrán: </w:t>
      </w:r>
    </w:p>
    <w:p w14:paraId="1EA9412E"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El nombre del convocante; </w:t>
      </w:r>
    </w:p>
    <w:p w14:paraId="5E3650D5"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El nombre y la ubicación de la obra o servicio; </w:t>
      </w:r>
    </w:p>
    <w:p w14:paraId="64C7F463"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El nombre y domicilio del invitado y la referencia a su clave de registro en el catálogo de contratistas; </w:t>
      </w:r>
    </w:p>
    <w:p w14:paraId="65F76137"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IV</w:t>
      </w:r>
      <w:r w:rsidRPr="009E7B83">
        <w:rPr>
          <w:rFonts w:ascii="Palatino Linotype" w:eastAsia="Palatino Linotype" w:hAnsi="Palatino Linotype" w:cs="Palatino Linotype"/>
          <w:i/>
          <w:sz w:val="22"/>
          <w:szCs w:val="22"/>
        </w:rPr>
        <w:t xml:space="preserve">. La invitación expresa y el señalamiento de las fechas previstas para las etapas del procedimiento; </w:t>
      </w:r>
    </w:p>
    <w:p w14:paraId="5E59605B"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w:t>
      </w:r>
      <w:r w:rsidRPr="009E7B83">
        <w:rPr>
          <w:rFonts w:ascii="Palatino Linotype" w:eastAsia="Palatino Linotype" w:hAnsi="Palatino Linotype" w:cs="Palatino Linotype"/>
          <w:i/>
          <w:sz w:val="22"/>
          <w:szCs w:val="22"/>
        </w:rPr>
        <w:t xml:space="preserve">. La indicación de que se anexan las bases de la invitación; </w:t>
      </w:r>
    </w:p>
    <w:p w14:paraId="25D27A0C"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w:t>
      </w:r>
      <w:r w:rsidRPr="009E7B83">
        <w:rPr>
          <w:rFonts w:ascii="Palatino Linotype" w:eastAsia="Palatino Linotype" w:hAnsi="Palatino Linotype" w:cs="Palatino Linotype"/>
          <w:i/>
          <w:sz w:val="22"/>
          <w:szCs w:val="22"/>
        </w:rPr>
        <w:t xml:space="preserve">. Nombre y firma del servidor público responsable del proceso; </w:t>
      </w:r>
    </w:p>
    <w:p w14:paraId="16A0E2EC"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VII</w:t>
      </w:r>
      <w:r w:rsidRPr="009E7B83">
        <w:rPr>
          <w:rFonts w:ascii="Palatino Linotype" w:eastAsia="Palatino Linotype" w:hAnsi="Palatino Linotype" w:cs="Palatino Linotype"/>
          <w:i/>
          <w:sz w:val="22"/>
          <w:szCs w:val="22"/>
        </w:rPr>
        <w:t xml:space="preserve">. El origen de los recursos para la realización de la obra o servicio; y </w:t>
      </w:r>
    </w:p>
    <w:p w14:paraId="352E32EE"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VIII.</w:t>
      </w:r>
      <w:r w:rsidRPr="009E7B83">
        <w:rPr>
          <w:rFonts w:ascii="Palatino Linotype" w:eastAsia="Palatino Linotype" w:hAnsi="Palatino Linotype" w:cs="Palatino Linotype"/>
          <w:i/>
          <w:sz w:val="22"/>
          <w:szCs w:val="22"/>
        </w:rPr>
        <w:t xml:space="preserve"> El plazo de ejecución de los trabajos, indicando la fecha estimada de inicio de los mismos. </w:t>
      </w:r>
    </w:p>
    <w:p w14:paraId="48649AF8"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Articulo 87.-</w:t>
      </w:r>
      <w:r w:rsidRPr="009E7B83">
        <w:rPr>
          <w:rFonts w:ascii="Palatino Linotype" w:eastAsia="Palatino Linotype" w:hAnsi="Palatino Linotype" w:cs="Palatino Linotype"/>
          <w:i/>
          <w:sz w:val="22"/>
          <w:szCs w:val="22"/>
        </w:rPr>
        <w:t xml:space="preserve"> </w:t>
      </w:r>
      <w:r w:rsidRPr="009E7B83">
        <w:rPr>
          <w:rFonts w:ascii="Palatino Linotype" w:eastAsia="Palatino Linotype" w:hAnsi="Palatino Linotype" w:cs="Palatino Linotype"/>
          <w:b/>
          <w:i/>
          <w:sz w:val="22"/>
          <w:szCs w:val="22"/>
        </w:rPr>
        <w:t>El procedimiento de invitación restringida seguirá los mismos pasos que el de licitación pública salvo la publicación de la convocatoria</w:t>
      </w:r>
      <w:r w:rsidRPr="009E7B83">
        <w:rPr>
          <w:rFonts w:ascii="Palatino Linotype" w:eastAsia="Palatino Linotype" w:hAnsi="Palatino Linotype" w:cs="Palatino Linotype"/>
          <w:i/>
          <w:sz w:val="22"/>
          <w:szCs w:val="22"/>
        </w:rPr>
        <w:t>, misma que se sustituye por la invitación señalada en el artículo anterior.</w:t>
      </w:r>
    </w:p>
    <w:p w14:paraId="5699F302"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88.-</w:t>
      </w:r>
      <w:r w:rsidRPr="009E7B83">
        <w:rPr>
          <w:rFonts w:ascii="Palatino Linotype" w:eastAsia="Palatino Linotype" w:hAnsi="Palatino Linotype" w:cs="Palatino Linotype"/>
          <w:i/>
          <w:sz w:val="22"/>
          <w:szCs w:val="22"/>
        </w:rPr>
        <w:t xml:space="preserve"> Si la dependencia, entidad o ayuntamiento necesita llevar a cabo un procedimiento de adjudicación directa, salvo que las obras o servicios a contratar no rebasen los montos establecidos por el Presupuesto de Egresos del Gobierno del </w:t>
      </w:r>
      <w:r w:rsidRPr="009E7B83">
        <w:rPr>
          <w:rFonts w:ascii="Palatino Linotype" w:eastAsia="Palatino Linotype" w:hAnsi="Palatino Linotype" w:cs="Palatino Linotype"/>
          <w:i/>
          <w:sz w:val="22"/>
          <w:szCs w:val="22"/>
        </w:rPr>
        <w:lastRenderedPageBreak/>
        <w:t xml:space="preserve">Estado de México del ejercicio correspondiente y cuenta con Comité Interno de Obra Pública, se solicitará a ese órgano colegiado el dictamen de procedencia del procedimiento de adjudicación directa; para ello, la unidad ejecutora de obra pública o servicio integrará y presentará el caso conforme se </w:t>
      </w:r>
      <w:proofErr w:type="spellStart"/>
      <w:r w:rsidRPr="009E7B83">
        <w:rPr>
          <w:rFonts w:ascii="Palatino Linotype" w:eastAsia="Palatino Linotype" w:hAnsi="Palatino Linotype" w:cs="Palatino Linotype"/>
          <w:i/>
          <w:sz w:val="22"/>
          <w:szCs w:val="22"/>
        </w:rPr>
        <w:t>señalo</w:t>
      </w:r>
      <w:proofErr w:type="spellEnd"/>
      <w:r w:rsidRPr="009E7B83">
        <w:rPr>
          <w:rFonts w:ascii="Palatino Linotype" w:eastAsia="Palatino Linotype" w:hAnsi="Palatino Linotype" w:cs="Palatino Linotype"/>
          <w:i/>
          <w:sz w:val="22"/>
          <w:szCs w:val="22"/>
        </w:rPr>
        <w:t xml:space="preserve"> en el procedimiento de invitación restringida. </w:t>
      </w:r>
    </w:p>
    <w:p w14:paraId="6B0C888A"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Cuando la dependencia, entidad o ayuntamiento no cuente con Comité Interno de Obra Pública, la unidad ejecutora de obra pública deberá integrar el caso que someterá a la autorización del titular. </w:t>
      </w:r>
    </w:p>
    <w:p w14:paraId="5ADEF6CA"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89.</w:t>
      </w:r>
      <w:r w:rsidRPr="009E7B83">
        <w:rPr>
          <w:rFonts w:ascii="Palatino Linotype" w:eastAsia="Palatino Linotype" w:hAnsi="Palatino Linotype" w:cs="Palatino Linotype"/>
          <w:i/>
          <w:sz w:val="22"/>
          <w:szCs w:val="22"/>
        </w:rPr>
        <w:t>- El titular de la dependencia, entidad o ayuntamiento emitirá un acuerdo en el que autorice el procedimiento de adjudicación directa.</w:t>
      </w:r>
    </w:p>
    <w:p w14:paraId="36AE8983"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60DE302B" w14:textId="77777777" w:rsidR="00B53698" w:rsidRPr="009E7B83" w:rsidRDefault="00B53698" w:rsidP="008177D1">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Articulo 91</w:t>
      </w:r>
      <w:r w:rsidRPr="009E7B83">
        <w:rPr>
          <w:rFonts w:ascii="Palatino Linotype" w:eastAsia="Palatino Linotype" w:hAnsi="Palatino Linotype" w:cs="Palatino Linotype"/>
          <w:i/>
          <w:sz w:val="22"/>
          <w:szCs w:val="22"/>
        </w:rPr>
        <w:t>.- El convocante recibirá de la persona invitada la documentación de su propuesta para su evaluación la revisará y, en su caso, procederá a formular el contrato correspondiente.”</w:t>
      </w:r>
    </w:p>
    <w:p w14:paraId="46EAC9B2" w14:textId="77777777" w:rsidR="00B53698" w:rsidRPr="009E7B83" w:rsidRDefault="00B53698" w:rsidP="00B53698">
      <w:pPr>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Por cuanto hace a la contratación, el artículo 12.38 del Libro Décimo Segundo del Código Administrativo de la entidad, dispone que la adjudicación de la obra o servicios relacionados con la misma obligará a la dependencia, entidad o ayuntamiento y a la persona en que hubiere recaído, a </w:t>
      </w:r>
      <w:r w:rsidRPr="009E7B83">
        <w:rPr>
          <w:rFonts w:ascii="Palatino Linotype" w:eastAsia="Palatino Linotype" w:hAnsi="Palatino Linotype" w:cs="Palatino Linotype"/>
          <w:b/>
          <w:sz w:val="22"/>
          <w:szCs w:val="22"/>
        </w:rPr>
        <w:t>suscribir el contrato respectivo dentro de los diez días hábiles siguientes al de la notificación del fallo</w:t>
      </w:r>
      <w:r w:rsidRPr="009E7B83">
        <w:rPr>
          <w:rFonts w:ascii="Palatino Linotype" w:eastAsia="Palatino Linotype" w:hAnsi="Palatino Linotype" w:cs="Palatino Linotype"/>
          <w:sz w:val="22"/>
          <w:szCs w:val="22"/>
        </w:rPr>
        <w:t>.</w:t>
      </w:r>
    </w:p>
    <w:p w14:paraId="384896F8" w14:textId="77777777" w:rsidR="00B53698" w:rsidRPr="009E7B83" w:rsidRDefault="00B53698" w:rsidP="00B53698">
      <w:pPr>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En este tenor, los contratos de obra pública y servicios relacionados con la misma, deben contener, como mínimo los requisitos que establece el artículo 104 del Reglamento del Libro Décimo Segundo del Código Administrativo, a saber:</w:t>
      </w:r>
    </w:p>
    <w:p w14:paraId="53D471BF"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w:t>
      </w:r>
      <w:r w:rsidRPr="009E7B83">
        <w:rPr>
          <w:rFonts w:ascii="Palatino Linotype" w:eastAsia="Palatino Linotype" w:hAnsi="Palatino Linotype" w:cs="Palatino Linotype"/>
          <w:b/>
          <w:i/>
          <w:sz w:val="22"/>
          <w:szCs w:val="22"/>
        </w:rPr>
        <w:t>La autorización presupuestal</w:t>
      </w:r>
      <w:r w:rsidRPr="009E7B83">
        <w:rPr>
          <w:rFonts w:ascii="Palatino Linotype" w:eastAsia="Palatino Linotype" w:hAnsi="Palatino Linotype" w:cs="Palatino Linotype"/>
          <w:i/>
          <w:sz w:val="22"/>
          <w:szCs w:val="22"/>
        </w:rPr>
        <w:t xml:space="preserve"> para cubrir el compromiso derivado del contrato y sus anexos; </w:t>
      </w:r>
    </w:p>
    <w:p w14:paraId="181C9B6F"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w:t>
      </w:r>
      <w:r w:rsidRPr="009E7B83">
        <w:rPr>
          <w:rFonts w:ascii="Palatino Linotype" w:eastAsia="Palatino Linotype" w:hAnsi="Palatino Linotype" w:cs="Palatino Linotype"/>
          <w:b/>
          <w:i/>
          <w:sz w:val="22"/>
          <w:szCs w:val="22"/>
        </w:rPr>
        <w:t>La indicación del procedimiento</w:t>
      </w:r>
      <w:r w:rsidRPr="009E7B83">
        <w:rPr>
          <w:rFonts w:ascii="Palatino Linotype" w:eastAsia="Palatino Linotype" w:hAnsi="Palatino Linotype" w:cs="Palatino Linotype"/>
          <w:i/>
          <w:sz w:val="22"/>
          <w:szCs w:val="22"/>
        </w:rPr>
        <w:t xml:space="preserve"> conforme al cual se adjudicó el contrato;</w:t>
      </w:r>
    </w:p>
    <w:p w14:paraId="1C83AC25"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La descripción pormenorizada de los trabajos que se deban ejecutar, debiendo acompañar los proyectos, planos, especificaciones, programas y presupuestos como parte </w:t>
      </w:r>
      <w:r w:rsidRPr="009E7B83">
        <w:rPr>
          <w:rFonts w:ascii="Palatino Linotype" w:eastAsia="Palatino Linotype" w:hAnsi="Palatino Linotype" w:cs="Palatino Linotype"/>
          <w:i/>
          <w:sz w:val="22"/>
          <w:szCs w:val="22"/>
        </w:rPr>
        <w:lastRenderedPageBreak/>
        <w:t xml:space="preserve">integrante del contrato en el caso de las obras; tratándose de servicios, los términos de referencia; </w:t>
      </w:r>
    </w:p>
    <w:p w14:paraId="026FD17A"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IV</w:t>
      </w:r>
      <w:r w:rsidRPr="009E7B83">
        <w:rPr>
          <w:rFonts w:ascii="Palatino Linotype" w:eastAsia="Palatino Linotype" w:hAnsi="Palatino Linotype" w:cs="Palatino Linotype"/>
          <w:i/>
          <w:sz w:val="22"/>
          <w:szCs w:val="22"/>
        </w:rPr>
        <w:t xml:space="preserve">. El precio a pagar por los trabajos objeto del contrato. En el caso de contratos mixtos, la parte y el monto que se cubrirá sobre la base de precios unitarios y la correspondiente a precio alzado; </w:t>
      </w:r>
    </w:p>
    <w:p w14:paraId="16C3D41E"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w:t>
      </w:r>
      <w:r w:rsidRPr="009E7B83">
        <w:rPr>
          <w:rFonts w:ascii="Palatino Linotype" w:eastAsia="Palatino Linotype" w:hAnsi="Palatino Linotype" w:cs="Palatino Linotype"/>
          <w:i/>
          <w:sz w:val="22"/>
          <w:szCs w:val="22"/>
        </w:rPr>
        <w:t xml:space="preserve">. El plazo de ejecución de los trabajos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14:paraId="71AD4F7A"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w:t>
      </w:r>
      <w:r w:rsidRPr="009E7B83">
        <w:rPr>
          <w:rFonts w:ascii="Palatino Linotype" w:eastAsia="Palatino Linotype" w:hAnsi="Palatino Linotype" w:cs="Palatino Linotype"/>
          <w:i/>
          <w:sz w:val="22"/>
          <w:szCs w:val="22"/>
        </w:rPr>
        <w:t xml:space="preserve">. Porcentajes, número y fechas de las exhibiciones y amortización de los anticipos que se otorguen; </w:t>
      </w:r>
    </w:p>
    <w:p w14:paraId="20CEDE3A"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VII. Forma y términos de garantizar la correcta inversión de los anticipos y el cumplimiento del contrato;</w:t>
      </w:r>
    </w:p>
    <w:p w14:paraId="3B3027EB"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VIII</w:t>
      </w:r>
      <w:r w:rsidRPr="009E7B83">
        <w:rPr>
          <w:rFonts w:ascii="Palatino Linotype" w:eastAsia="Palatino Linotype" w:hAnsi="Palatino Linotype" w:cs="Palatino Linotype"/>
          <w:i/>
          <w:sz w:val="22"/>
          <w:szCs w:val="22"/>
        </w:rPr>
        <w:t xml:space="preserve">. Plazos, forma y lugar de pago de las estimaciones de trabajos ejecutados y, cuando corresponda, de los ajustes de costos; </w:t>
      </w:r>
    </w:p>
    <w:p w14:paraId="41783BD6"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IX.</w:t>
      </w:r>
      <w:r w:rsidRPr="009E7B83">
        <w:rPr>
          <w:rFonts w:ascii="Palatino Linotype" w:eastAsia="Palatino Linotype" w:hAnsi="Palatino Linotype" w:cs="Palatino Linotype"/>
          <w:i/>
          <w:sz w:val="22"/>
          <w:szCs w:val="22"/>
        </w:rPr>
        <w:t xml:space="preserve"> Penas convencionales por atraso en la ejecución de los trabajos por causas imputables a los contratistas, determinadas únicamente en función del incumplimiento al programa convenido, las que en ningún caso podrán ser superiores, en su conjunto, al monto de la garantía de cumplimiento. El contratante deberá establecer los términos, forma y porcentajes para aplicar las penas convencionales; </w:t>
      </w:r>
    </w:p>
    <w:p w14:paraId="3C9C55F0"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lastRenderedPageBreak/>
        <w:t>X</w:t>
      </w:r>
      <w:r w:rsidRPr="009E7B83">
        <w:rPr>
          <w:rFonts w:ascii="Palatino Linotype" w:eastAsia="Palatino Linotype" w:hAnsi="Palatino Linotype" w:cs="Palatino Linotype"/>
          <w:i/>
          <w:sz w:val="22"/>
          <w:szCs w:val="22"/>
        </w:rPr>
        <w:t xml:space="preserve">. Términos en que el contratista, en su caso, reintegrará las cantidades que hubiere recibido en exceso por la contratación o durante la ejecución de los trabajos, para lo cual se utilizará el procedimiento que se establezca; </w:t>
      </w:r>
    </w:p>
    <w:p w14:paraId="54999FD1"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XI</w:t>
      </w:r>
      <w:r w:rsidRPr="009E7B83">
        <w:rPr>
          <w:rFonts w:ascii="Palatino Linotype" w:eastAsia="Palatino Linotype" w:hAnsi="Palatino Linotype" w:cs="Palatino Linotype"/>
          <w:i/>
          <w:sz w:val="22"/>
          <w:szCs w:val="22"/>
        </w:rPr>
        <w:t xml:space="preserve">. Procedimiento de ajuste de costos que deberá ser el determinado desde las bases de la licitación por el convocante, el cual deberá regir durante la vigencia del contrato; </w:t>
      </w:r>
    </w:p>
    <w:p w14:paraId="249507A5"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XII</w:t>
      </w:r>
      <w:r w:rsidRPr="009E7B83">
        <w:rPr>
          <w:rFonts w:ascii="Palatino Linotype" w:eastAsia="Palatino Linotype" w:hAnsi="Palatino Linotype" w:cs="Palatino Linotype"/>
          <w:i/>
          <w:sz w:val="22"/>
          <w:szCs w:val="22"/>
        </w:rPr>
        <w:t xml:space="preserve">. Causales y procedimiento mediante los cuales el contratante podrá dar por rescindido el contrato en los términos de este Reglamento; </w:t>
      </w:r>
    </w:p>
    <w:p w14:paraId="0452FBF1"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 xml:space="preserve">XIII. </w:t>
      </w:r>
      <w:r w:rsidRPr="009E7B83">
        <w:rPr>
          <w:rFonts w:ascii="Palatino Linotype" w:eastAsia="Palatino Linotype" w:hAnsi="Palatino Linotype" w:cs="Palatino Linotype"/>
          <w:i/>
          <w:sz w:val="22"/>
          <w:szCs w:val="22"/>
        </w:rPr>
        <w:t>Los procedimientos mediante los cuales las partes resolverán, entre sí, las discrepancias futuras y previsibles sobre problemas específicos de carácter técnico y administrativo;</w:t>
      </w:r>
    </w:p>
    <w:p w14:paraId="7E980C76"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XIV</w:t>
      </w:r>
      <w:r w:rsidRPr="009E7B83">
        <w:rPr>
          <w:rFonts w:ascii="Palatino Linotype" w:eastAsia="Palatino Linotype" w:hAnsi="Palatino Linotype" w:cs="Palatino Linotype"/>
          <w:i/>
          <w:sz w:val="22"/>
          <w:szCs w:val="22"/>
        </w:rPr>
        <w:t xml:space="preserve">. Señalamiento del domicilio en el Estado para oír y recibir notificaciones; y </w:t>
      </w:r>
    </w:p>
    <w:p w14:paraId="2A2308C0"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 xml:space="preserve">XV. </w:t>
      </w:r>
      <w:r w:rsidRPr="009E7B83">
        <w:rPr>
          <w:rFonts w:ascii="Palatino Linotype" w:eastAsia="Palatino Linotype" w:hAnsi="Palatino Linotype" w:cs="Palatino Linotype"/>
          <w:i/>
          <w:sz w:val="22"/>
          <w:szCs w:val="22"/>
        </w:rPr>
        <w:t xml:space="preserve">Manifestación de renuncia expresa al fuero que les pudiera corresponder en función de su domicilio presente o futuro en el caso de que no se encuentre en el Estado de México. </w:t>
      </w:r>
    </w:p>
    <w:p w14:paraId="1D136739" w14:textId="77777777" w:rsidR="00B53698" w:rsidRPr="009E7B83" w:rsidRDefault="00B53698" w:rsidP="008177D1">
      <w:pPr>
        <w:spacing w:before="240" w:after="240" w:line="360" w:lineRule="auto"/>
        <w:ind w:left="567" w:right="843"/>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El contrato deberá firmarse dentro de los diez días hábiles siguientes a la notificación del fallo. Se deberá entregar al contratista una copia del contrato firmado. </w:t>
      </w:r>
    </w:p>
    <w:p w14:paraId="5089FB94" w14:textId="6B6E3BF9" w:rsidR="002F0351" w:rsidRPr="009E7B83" w:rsidRDefault="00B53698" w:rsidP="002F0351">
      <w:pPr>
        <w:spacing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Además de lo anterior, no debe perderse de vista que el artículo </w:t>
      </w:r>
      <w:r w:rsidR="002F0351" w:rsidRPr="009E7B83">
        <w:rPr>
          <w:rFonts w:ascii="Palatino Linotype" w:hAnsi="Palatino Linotype" w:cs="Arial"/>
          <w:sz w:val="22"/>
          <w:szCs w:val="22"/>
        </w:rPr>
        <w:t xml:space="preserve">92, fracción </w:t>
      </w:r>
      <w:r w:rsidR="002F0351" w:rsidRPr="009E7B83">
        <w:rPr>
          <w:rFonts w:ascii="Palatino Linotype" w:eastAsia="Palatino Linotype" w:hAnsi="Palatino Linotype" w:cs="Palatino Linotype"/>
          <w:sz w:val="22"/>
          <w:szCs w:val="22"/>
        </w:rPr>
        <w:t xml:space="preserve">XIX de la Ley de Transparencia y Acceso a la Información Pública del Estado de México y Municipios, la cual </w:t>
      </w:r>
      <w:r w:rsidR="002F0351" w:rsidRPr="009E7B83">
        <w:rPr>
          <w:rFonts w:ascii="Palatino Linotype" w:hAnsi="Palatino Linotype" w:cs="Arial"/>
          <w:sz w:val="22"/>
          <w:szCs w:val="22"/>
        </w:rPr>
        <w:t xml:space="preserve">dispone que </w:t>
      </w:r>
      <w:r w:rsidR="002F0351" w:rsidRPr="009E7B83">
        <w:rPr>
          <w:rFonts w:ascii="Palatino Linotype" w:eastAsia="Palatino Linotype" w:hAnsi="Palatino Linotype" w:cs="Palatino Linotype"/>
          <w:sz w:val="22"/>
          <w:szCs w:val="22"/>
        </w:rPr>
        <w:t xml:space="preserve">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w:t>
      </w:r>
      <w:r w:rsidR="002F0351" w:rsidRPr="009E7B83">
        <w:rPr>
          <w:rFonts w:ascii="Palatino Linotype" w:eastAsia="Palatino Linotype" w:hAnsi="Palatino Linotype" w:cs="Palatino Linotype"/>
          <w:sz w:val="22"/>
          <w:szCs w:val="22"/>
        </w:rPr>
        <w:lastRenderedPageBreak/>
        <w:t xml:space="preserve">expediente respectivo y de los contratos celebrados, por tratarse de una obligación de transparencia, a saber: </w:t>
      </w:r>
    </w:p>
    <w:p w14:paraId="588548E3" w14:textId="77777777" w:rsidR="002F0351" w:rsidRPr="009E7B83" w:rsidRDefault="002F0351" w:rsidP="008177D1">
      <w:pPr>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r w:rsidRPr="009E7B83">
        <w:rPr>
          <w:rFonts w:ascii="Palatino Linotype" w:eastAsia="Palatino Linotype" w:hAnsi="Palatino Linotype" w:cs="Palatino Linotype"/>
          <w:b/>
          <w:i/>
          <w:sz w:val="22"/>
          <w:szCs w:val="22"/>
        </w:rPr>
        <w:t>Artículo 92</w:t>
      </w:r>
      <w:r w:rsidRPr="009E7B83">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4A0A6E" w14:textId="77777777" w:rsidR="002F0351" w:rsidRPr="009E7B83" w:rsidRDefault="002F0351" w:rsidP="008177D1">
      <w:pPr>
        <w:tabs>
          <w:tab w:val="left" w:pos="426"/>
        </w:tabs>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0F7EC8E6" w14:textId="77777777" w:rsidR="002F0351" w:rsidRPr="009E7B83" w:rsidRDefault="002F0351" w:rsidP="008177D1">
      <w:pPr>
        <w:tabs>
          <w:tab w:val="left" w:pos="426"/>
        </w:tabs>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XXIX.</w:t>
      </w:r>
      <w:r w:rsidRPr="009E7B83">
        <w:rPr>
          <w:rFonts w:ascii="Palatino Linotype" w:eastAsia="Palatino Linotype" w:hAnsi="Palatino Linotype" w:cs="Palatino Linotype"/>
          <w:i/>
          <w:sz w:val="22"/>
          <w:szCs w:val="22"/>
        </w:rPr>
        <w:t xml:space="preserve"> La </w:t>
      </w:r>
      <w:r w:rsidRPr="009E7B83">
        <w:rPr>
          <w:rFonts w:ascii="Palatino Linotype" w:eastAsia="Palatino Linotype" w:hAnsi="Palatino Linotype" w:cs="Palatino Linotype"/>
          <w:b/>
          <w:i/>
          <w:sz w:val="22"/>
          <w:szCs w:val="22"/>
        </w:rPr>
        <w:t xml:space="preserve">información sobre los procesos y resultados </w:t>
      </w:r>
      <w:r w:rsidRPr="009E7B83">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9E7B83">
        <w:rPr>
          <w:rFonts w:ascii="Palatino Linotype" w:eastAsia="Palatino Linotype" w:hAnsi="Palatino Linotype" w:cs="Palatino Linotype"/>
          <w:i/>
          <w:sz w:val="22"/>
          <w:szCs w:val="22"/>
          <w:u w:val="single"/>
        </w:rPr>
        <w:t xml:space="preserve">, </w:t>
      </w:r>
      <w:r w:rsidRPr="009E7B83">
        <w:rPr>
          <w:rFonts w:ascii="Palatino Linotype" w:eastAsia="Palatino Linotype" w:hAnsi="Palatino Linotype" w:cs="Palatino Linotype"/>
          <w:b/>
          <w:i/>
          <w:sz w:val="22"/>
          <w:szCs w:val="22"/>
        </w:rPr>
        <w:t>incluyendo la versión pública</w:t>
      </w:r>
      <w:r w:rsidRPr="009E7B83">
        <w:rPr>
          <w:rFonts w:ascii="Palatino Linotype" w:eastAsia="Palatino Linotype" w:hAnsi="Palatino Linotype" w:cs="Palatino Linotype"/>
          <w:i/>
          <w:sz w:val="22"/>
          <w:szCs w:val="22"/>
        </w:rPr>
        <w:t xml:space="preserve"> del expediente respectivo y </w:t>
      </w:r>
      <w:r w:rsidRPr="009E7B83">
        <w:rPr>
          <w:rFonts w:ascii="Palatino Linotype" w:eastAsia="Palatino Linotype" w:hAnsi="Palatino Linotype" w:cs="Palatino Linotype"/>
          <w:b/>
          <w:i/>
          <w:sz w:val="22"/>
          <w:szCs w:val="22"/>
        </w:rPr>
        <w:t>de los contratos celebrados</w:t>
      </w:r>
      <w:r w:rsidRPr="009E7B83">
        <w:rPr>
          <w:rFonts w:ascii="Palatino Linotype" w:eastAsia="Palatino Linotype" w:hAnsi="Palatino Linotype" w:cs="Palatino Linotype"/>
          <w:i/>
          <w:sz w:val="22"/>
          <w:szCs w:val="22"/>
        </w:rPr>
        <w:t>, que deberán contener, por los menos, lo siguiente:</w:t>
      </w:r>
    </w:p>
    <w:p w14:paraId="0DEDD61B" w14:textId="77777777" w:rsidR="002F0351" w:rsidRPr="009E7B83" w:rsidRDefault="002F0351" w:rsidP="008177D1">
      <w:pPr>
        <w:tabs>
          <w:tab w:val="left" w:pos="426"/>
        </w:tabs>
        <w:spacing w:before="120" w:after="120"/>
        <w:ind w:left="1418" w:right="902"/>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a) De licitaciones públicas o procedimientos de invitación restringida:</w:t>
      </w:r>
    </w:p>
    <w:p w14:paraId="783B8646"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1)</w:t>
      </w:r>
      <w:r w:rsidRPr="009E7B83">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1E9B1BAD"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2)</w:t>
      </w:r>
      <w:r w:rsidRPr="009E7B83">
        <w:rPr>
          <w:rFonts w:ascii="Palatino Linotype" w:eastAsia="Palatino Linotype" w:hAnsi="Palatino Linotype" w:cs="Palatino Linotype"/>
          <w:i/>
          <w:sz w:val="22"/>
          <w:szCs w:val="22"/>
        </w:rPr>
        <w:t xml:space="preserve"> Los nombres de los participantes o invitados;</w:t>
      </w:r>
    </w:p>
    <w:p w14:paraId="3F817338"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3)</w:t>
      </w:r>
      <w:r w:rsidRPr="009E7B83">
        <w:rPr>
          <w:rFonts w:ascii="Palatino Linotype" w:eastAsia="Palatino Linotype" w:hAnsi="Palatino Linotype" w:cs="Palatino Linotype"/>
          <w:i/>
          <w:sz w:val="22"/>
          <w:szCs w:val="22"/>
        </w:rPr>
        <w:t xml:space="preserve"> El nombre del ganador y las razones que lo justifican;</w:t>
      </w:r>
    </w:p>
    <w:p w14:paraId="642E0E19"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4)</w:t>
      </w:r>
      <w:r w:rsidRPr="009E7B83">
        <w:rPr>
          <w:rFonts w:ascii="Palatino Linotype" w:eastAsia="Palatino Linotype" w:hAnsi="Palatino Linotype" w:cs="Palatino Linotype"/>
          <w:i/>
          <w:sz w:val="22"/>
          <w:szCs w:val="22"/>
        </w:rPr>
        <w:t xml:space="preserve"> El área solicitante y la responsable de su ejecución;</w:t>
      </w:r>
    </w:p>
    <w:p w14:paraId="55DFBE5B"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5)</w:t>
      </w:r>
      <w:r w:rsidRPr="009E7B83">
        <w:rPr>
          <w:rFonts w:ascii="Palatino Linotype" w:eastAsia="Palatino Linotype" w:hAnsi="Palatino Linotype" w:cs="Palatino Linotype"/>
          <w:i/>
          <w:sz w:val="22"/>
          <w:szCs w:val="22"/>
        </w:rPr>
        <w:t xml:space="preserve"> Las convocatorias e invitaciones emitidas; </w:t>
      </w:r>
    </w:p>
    <w:p w14:paraId="03968AC5"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6)</w:t>
      </w:r>
      <w:r w:rsidRPr="009E7B83">
        <w:rPr>
          <w:rFonts w:ascii="Palatino Linotype" w:eastAsia="Palatino Linotype" w:hAnsi="Palatino Linotype" w:cs="Palatino Linotype"/>
          <w:i/>
          <w:sz w:val="22"/>
          <w:szCs w:val="22"/>
        </w:rPr>
        <w:t xml:space="preserve"> Los dictámenes y fallo de adjudicación;</w:t>
      </w:r>
    </w:p>
    <w:p w14:paraId="415655A6"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 xml:space="preserve">7) El contrato y, en su caso, sus anexos; </w:t>
      </w:r>
    </w:p>
    <w:p w14:paraId="28208FFB"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8)</w:t>
      </w:r>
      <w:r w:rsidRPr="009E7B83">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04405F63"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34980C38"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10)</w:t>
      </w:r>
      <w:r w:rsidRPr="009E7B83">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48197D1C"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lastRenderedPageBreak/>
        <w:t>11)</w:t>
      </w:r>
      <w:r w:rsidRPr="009E7B83">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14E180ED"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12)</w:t>
      </w:r>
      <w:r w:rsidRPr="009E7B83">
        <w:rPr>
          <w:rFonts w:ascii="Palatino Linotype" w:eastAsia="Palatino Linotype" w:hAnsi="Palatino Linotype" w:cs="Palatino Linotype"/>
          <w:i/>
          <w:sz w:val="22"/>
          <w:szCs w:val="22"/>
        </w:rPr>
        <w:t xml:space="preserve"> Los informes de avance físico y financiero sobre las obras o servicios contratados; </w:t>
      </w:r>
    </w:p>
    <w:p w14:paraId="2A1BD133"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13)</w:t>
      </w:r>
      <w:r w:rsidRPr="009E7B83">
        <w:rPr>
          <w:rFonts w:ascii="Palatino Linotype" w:eastAsia="Palatino Linotype" w:hAnsi="Palatino Linotype" w:cs="Palatino Linotype"/>
          <w:i/>
          <w:sz w:val="22"/>
          <w:szCs w:val="22"/>
        </w:rPr>
        <w:t xml:space="preserve"> El convenio de terminación; </w:t>
      </w:r>
    </w:p>
    <w:p w14:paraId="083567D9"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14)</w:t>
      </w:r>
      <w:r w:rsidRPr="009E7B83">
        <w:rPr>
          <w:rFonts w:ascii="Palatino Linotype" w:eastAsia="Palatino Linotype" w:hAnsi="Palatino Linotype" w:cs="Palatino Linotype"/>
          <w:i/>
          <w:sz w:val="22"/>
          <w:szCs w:val="22"/>
        </w:rPr>
        <w:t xml:space="preserve"> El finiquito.</w:t>
      </w:r>
    </w:p>
    <w:p w14:paraId="03DDACE7" w14:textId="77777777" w:rsidR="002F0351" w:rsidRPr="009E7B83" w:rsidRDefault="002F0351" w:rsidP="008177D1">
      <w:pPr>
        <w:tabs>
          <w:tab w:val="left" w:pos="426"/>
        </w:tabs>
        <w:spacing w:before="120" w:after="120"/>
        <w:ind w:left="1418" w:right="902"/>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 xml:space="preserve">b) De las adjudicaciones directas: </w:t>
      </w:r>
    </w:p>
    <w:p w14:paraId="6A3ECED1"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1)</w:t>
      </w:r>
      <w:r w:rsidRPr="009E7B83">
        <w:rPr>
          <w:rFonts w:ascii="Palatino Linotype" w:eastAsia="Palatino Linotype" w:hAnsi="Palatino Linotype" w:cs="Palatino Linotype"/>
          <w:i/>
          <w:sz w:val="22"/>
          <w:szCs w:val="22"/>
        </w:rPr>
        <w:t xml:space="preserve"> La propuesta enviada por el participante; </w:t>
      </w:r>
    </w:p>
    <w:p w14:paraId="06910AE9"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2)</w:t>
      </w:r>
      <w:r w:rsidRPr="009E7B83">
        <w:rPr>
          <w:rFonts w:ascii="Palatino Linotype" w:eastAsia="Palatino Linotype" w:hAnsi="Palatino Linotype" w:cs="Palatino Linotype"/>
          <w:i/>
          <w:sz w:val="22"/>
          <w:szCs w:val="22"/>
        </w:rPr>
        <w:t xml:space="preserve"> Los motivos y fundamentos legales aplicados para llevarla a cabo;</w:t>
      </w:r>
    </w:p>
    <w:p w14:paraId="055C3E1A"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 xml:space="preserve">3) La autorización del ejercicio de la opción; </w:t>
      </w:r>
    </w:p>
    <w:p w14:paraId="3EC71A6D"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 xml:space="preserve">4) </w:t>
      </w:r>
      <w:r w:rsidRPr="009E7B83">
        <w:rPr>
          <w:rFonts w:ascii="Palatino Linotype" w:eastAsia="Palatino Linotype" w:hAnsi="Palatino Linotype" w:cs="Palatino Linotype"/>
          <w:i/>
          <w:sz w:val="22"/>
          <w:szCs w:val="22"/>
        </w:rPr>
        <w:t>En su caso, las cotizaciones consideradas, especificando los nombres de los proveedores y sus montos;</w:t>
      </w:r>
      <w:r w:rsidRPr="009E7B83">
        <w:rPr>
          <w:rFonts w:ascii="Palatino Linotype" w:eastAsia="Palatino Linotype" w:hAnsi="Palatino Linotype" w:cs="Palatino Linotype"/>
          <w:b/>
          <w:i/>
          <w:sz w:val="22"/>
          <w:szCs w:val="22"/>
        </w:rPr>
        <w:t xml:space="preserve"> </w:t>
      </w:r>
    </w:p>
    <w:p w14:paraId="774D9D2A"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5)</w:t>
      </w:r>
      <w:r w:rsidRPr="009E7B83">
        <w:rPr>
          <w:rFonts w:ascii="Palatino Linotype" w:eastAsia="Palatino Linotype" w:hAnsi="Palatino Linotype" w:cs="Palatino Linotype"/>
          <w:i/>
          <w:sz w:val="22"/>
          <w:szCs w:val="22"/>
        </w:rPr>
        <w:t xml:space="preserve"> El nombre de la persona física o jurídica colectiva adjudicada; </w:t>
      </w:r>
    </w:p>
    <w:p w14:paraId="77933EBA"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6)</w:t>
      </w:r>
      <w:r w:rsidRPr="009E7B83">
        <w:rPr>
          <w:rFonts w:ascii="Palatino Linotype" w:eastAsia="Palatino Linotype" w:hAnsi="Palatino Linotype" w:cs="Palatino Linotype"/>
          <w:i/>
          <w:sz w:val="22"/>
          <w:szCs w:val="22"/>
        </w:rPr>
        <w:t xml:space="preserve"> La unidad administrativa solicitante y la responsable de su ejecución; </w:t>
      </w:r>
    </w:p>
    <w:p w14:paraId="66DA6A1E"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6425E72C"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8)</w:t>
      </w:r>
      <w:r w:rsidRPr="009E7B83">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1D2280DE"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9)</w:t>
      </w:r>
      <w:r w:rsidRPr="009E7B83">
        <w:rPr>
          <w:rFonts w:ascii="Palatino Linotype" w:eastAsia="Palatino Linotype" w:hAnsi="Palatino Linotype" w:cs="Palatino Linotype"/>
          <w:i/>
          <w:sz w:val="22"/>
          <w:szCs w:val="22"/>
        </w:rPr>
        <w:t xml:space="preserve"> Los informes de avance sobre las obras o servicios contratados; </w:t>
      </w:r>
    </w:p>
    <w:p w14:paraId="4FB67E1E"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10)</w:t>
      </w:r>
      <w:r w:rsidRPr="009E7B83">
        <w:rPr>
          <w:rFonts w:ascii="Palatino Linotype" w:eastAsia="Palatino Linotype" w:hAnsi="Palatino Linotype" w:cs="Palatino Linotype"/>
          <w:i/>
          <w:sz w:val="22"/>
          <w:szCs w:val="22"/>
        </w:rPr>
        <w:t xml:space="preserve"> El convenio de terminación; y </w:t>
      </w:r>
    </w:p>
    <w:p w14:paraId="27112AF4" w14:textId="77777777" w:rsidR="002F0351" w:rsidRPr="009E7B83" w:rsidRDefault="002F0351" w:rsidP="008177D1">
      <w:pPr>
        <w:tabs>
          <w:tab w:val="left" w:pos="426"/>
        </w:tabs>
        <w:spacing w:before="120" w:after="120"/>
        <w:ind w:left="170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11)</w:t>
      </w:r>
      <w:r w:rsidRPr="009E7B83">
        <w:rPr>
          <w:rFonts w:ascii="Palatino Linotype" w:eastAsia="Palatino Linotype" w:hAnsi="Palatino Linotype" w:cs="Palatino Linotype"/>
          <w:i/>
          <w:sz w:val="22"/>
          <w:szCs w:val="22"/>
        </w:rPr>
        <w:t xml:space="preserve"> El finiquito;”</w:t>
      </w:r>
    </w:p>
    <w:p w14:paraId="58A99540" w14:textId="77777777" w:rsidR="002F0351" w:rsidRPr="009E7B83" w:rsidRDefault="002F0351" w:rsidP="002F0351">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7CCFA471" w14:textId="77777777" w:rsidR="002F0351" w:rsidRPr="009E7B83" w:rsidRDefault="002F0351" w:rsidP="002F0351">
      <w:pPr>
        <w:tabs>
          <w:tab w:val="left" w:pos="709"/>
        </w:tabs>
        <w:spacing w:before="240" w:after="240" w:line="360" w:lineRule="auto"/>
        <w:ind w:left="284"/>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        </w:t>
      </w:r>
      <w:r w:rsidRPr="009E7B83">
        <w:rPr>
          <w:rFonts w:ascii="Palatino Linotype" w:eastAsia="Palatino Linotype" w:hAnsi="Palatino Linotype" w:cs="Palatino Linotype"/>
          <w:b/>
          <w:sz w:val="22"/>
          <w:szCs w:val="22"/>
        </w:rPr>
        <w:t xml:space="preserve">Licitación pública: </w:t>
      </w:r>
      <w:r w:rsidRPr="009E7B83">
        <w:rPr>
          <w:rFonts w:ascii="Palatino Linotype" w:eastAsia="Palatino Linotype" w:hAnsi="Palatino Linotype" w:cs="Palatino Linotype"/>
          <w:sz w:val="22"/>
          <w:szCs w:val="22"/>
        </w:rPr>
        <w:t xml:space="preserve">convocatoria y fundamentos legales aplicables para llevarla a cabo, nombre de los participantes, nombre del ganador y razones, área solicitante y </w:t>
      </w:r>
      <w:r w:rsidRPr="009E7B83">
        <w:rPr>
          <w:rFonts w:ascii="Palatino Linotype" w:eastAsia="Palatino Linotype" w:hAnsi="Palatino Linotype" w:cs="Palatino Linotype"/>
          <w:sz w:val="22"/>
          <w:szCs w:val="22"/>
        </w:rPr>
        <w:lastRenderedPageBreak/>
        <w:t>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44E48E58" w14:textId="77777777" w:rsidR="002F0351" w:rsidRPr="009E7B83" w:rsidRDefault="002F0351" w:rsidP="002F0351">
      <w:pPr>
        <w:tabs>
          <w:tab w:val="left" w:pos="709"/>
        </w:tabs>
        <w:spacing w:before="240" w:after="240" w:line="360" w:lineRule="auto"/>
        <w:ind w:left="284"/>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   </w:t>
      </w:r>
      <w:r w:rsidRPr="009E7B83">
        <w:rPr>
          <w:rFonts w:ascii="Palatino Linotype" w:eastAsia="Palatino Linotype" w:hAnsi="Palatino Linotype" w:cs="Palatino Linotype"/>
          <w:b/>
          <w:sz w:val="22"/>
          <w:szCs w:val="22"/>
        </w:rPr>
        <w:t xml:space="preserve">Invitación restringida: </w:t>
      </w:r>
      <w:r w:rsidRPr="009E7B83">
        <w:rPr>
          <w:rFonts w:ascii="Palatino Linotype" w:eastAsia="Palatino Linotype" w:hAnsi="Palatino Linotype" w:cs="Palatino Linotype"/>
          <w:sz w:val="22"/>
          <w:szCs w:val="22"/>
        </w:rPr>
        <w:t>invitación emitida y fundamentos legales aplicables para llevarla a cabo, nombre de los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0F359339" w14:textId="77777777" w:rsidR="002F0351" w:rsidRPr="009E7B83" w:rsidRDefault="002F0351" w:rsidP="002F0351">
      <w:pPr>
        <w:tabs>
          <w:tab w:val="left" w:pos="709"/>
        </w:tabs>
        <w:spacing w:before="240" w:after="240" w:line="360" w:lineRule="auto"/>
        <w:ind w:left="284"/>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 </w:t>
      </w:r>
      <w:r w:rsidRPr="009E7B83">
        <w:rPr>
          <w:rFonts w:ascii="Palatino Linotype" w:eastAsia="Palatino Linotype" w:hAnsi="Palatino Linotype" w:cs="Palatino Linotype"/>
          <w:b/>
          <w:sz w:val="22"/>
          <w:szCs w:val="22"/>
        </w:rPr>
        <w:t xml:space="preserve">Adjudicaciones directas: </w:t>
      </w:r>
      <w:r w:rsidRPr="009E7B83">
        <w:rPr>
          <w:rFonts w:ascii="Palatino Linotype" w:eastAsia="Palatino Linotype" w:hAnsi="Palatino Linotype" w:cs="Palatino Linotype"/>
          <w:sz w:val="22"/>
          <w:szCs w:val="22"/>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155DAF9A" w14:textId="77777777" w:rsidR="002F0351" w:rsidRPr="009E7B83" w:rsidRDefault="002F0351" w:rsidP="002F0351">
      <w:pPr>
        <w:spacing w:after="240" w:line="360" w:lineRule="auto"/>
        <w:jc w:val="both"/>
        <w:rPr>
          <w:rFonts w:ascii="Palatino Linotype" w:eastAsia="Palatino Linotype" w:hAnsi="Palatino Linotype" w:cs="Palatino Linotype"/>
          <w:b/>
          <w:color w:val="000000"/>
          <w:sz w:val="22"/>
          <w:szCs w:val="22"/>
        </w:rPr>
      </w:pPr>
      <w:r w:rsidRPr="009E7B83">
        <w:rPr>
          <w:rFonts w:ascii="Palatino Linotype" w:eastAsia="Palatino Linotype" w:hAnsi="Palatino Linotype" w:cs="Palatino Linotype"/>
          <w:sz w:val="22"/>
          <w:szCs w:val="22"/>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w:t>
      </w:r>
      <w:r w:rsidRPr="009E7B83">
        <w:rPr>
          <w:rFonts w:ascii="Palatino Linotype" w:eastAsia="Palatino Linotype" w:hAnsi="Palatino Linotype" w:cs="Palatino Linotype"/>
          <w:sz w:val="22"/>
          <w:szCs w:val="22"/>
        </w:rPr>
        <w:lastRenderedPageBreak/>
        <w:t xml:space="preserve">transparencia señalada en el artículo 70  fracción XXVIII de la Ley General de Transparencia y Acceso a la Información Pública, vigentes a la fecha de la solicitud, los sujetos obligados deben publicar información sobre los actos, contratos y convenios celebrados, misma que </w:t>
      </w:r>
      <w:r w:rsidRPr="009E7B83">
        <w:rPr>
          <w:rFonts w:ascii="Palatino Linotype" w:eastAsia="Palatino Linotype" w:hAnsi="Palatino Linotype" w:cs="Palatino Linotype"/>
          <w:b/>
          <w:sz w:val="22"/>
          <w:szCs w:val="22"/>
        </w:rPr>
        <w:t>debe presentarse en una base de datos en la que cada registro se hará por tipo de procedimiento, ya sea licitación pública, invitación restringida o adjudicación directa,</w:t>
      </w:r>
      <w:r w:rsidRPr="009E7B83">
        <w:rPr>
          <w:rFonts w:ascii="Palatino Linotype" w:eastAsia="Palatino Linotype" w:hAnsi="Palatino Linotype" w:cs="Palatino Linotype"/>
          <w:sz w:val="22"/>
          <w:szCs w:val="22"/>
        </w:rPr>
        <w:t xml:space="preserve"> </w:t>
      </w:r>
      <w:r w:rsidRPr="009E7B83">
        <w:rPr>
          <w:rFonts w:ascii="Palatino Linotype" w:eastAsia="Palatino Linotype" w:hAnsi="Palatino Linotype" w:cs="Palatino Linotype"/>
          <w:b/>
          <w:sz w:val="22"/>
          <w:szCs w:val="22"/>
        </w:rPr>
        <w:t xml:space="preserve">especificando para cada tipo de procedimiento la materia, pudiendo ser </w:t>
      </w:r>
      <w:r w:rsidRPr="009E7B83">
        <w:rPr>
          <w:rFonts w:ascii="Palatino Linotype" w:eastAsia="Palatino Linotype" w:hAnsi="Palatino Linotype" w:cs="Palatino Linotype"/>
          <w:b/>
          <w:sz w:val="22"/>
          <w:szCs w:val="22"/>
          <w:u w:val="single"/>
        </w:rPr>
        <w:t>obra pública, servicios relacionados con obra pública</w:t>
      </w:r>
      <w:r w:rsidRPr="009E7B83">
        <w:rPr>
          <w:rFonts w:ascii="Palatino Linotype" w:eastAsia="Palatino Linotype" w:hAnsi="Palatino Linotype" w:cs="Palatino Linotype"/>
          <w:sz w:val="22"/>
          <w:szCs w:val="22"/>
        </w:rPr>
        <w:t>,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46265BC5" w14:textId="77777777" w:rsidR="002F0351" w:rsidRPr="009E7B83" w:rsidRDefault="00577B88" w:rsidP="00E66F70">
      <w:pPr>
        <w:spacing w:after="240" w:line="360" w:lineRule="auto"/>
        <w:jc w:val="both"/>
        <w:rPr>
          <w:rFonts w:ascii="Palatino Linotype" w:eastAsia="Palatino Linotype" w:hAnsi="Palatino Linotype" w:cs="Palatino Linotype"/>
          <w:color w:val="000000"/>
          <w:sz w:val="22"/>
          <w:szCs w:val="22"/>
        </w:rPr>
      </w:pPr>
      <w:r w:rsidRPr="009E7B83">
        <w:rPr>
          <w:rFonts w:ascii="Palatino Linotype" w:eastAsia="Palatino Linotype" w:hAnsi="Palatino Linotype" w:cs="Palatino Linotype"/>
          <w:color w:val="000000"/>
          <w:sz w:val="22"/>
          <w:szCs w:val="22"/>
        </w:rPr>
        <w:t>Ahora bien, se determina que el Sujeto Obligado tiene el deber de generar la información relacionada con presupuesto asignado y ejercido, así como el año de ejecución de las obras públicas que se realizan dentro del territorio municipal</w:t>
      </w:r>
      <w:r w:rsidR="0013632B" w:rsidRPr="009E7B83">
        <w:rPr>
          <w:rFonts w:ascii="Palatino Linotype" w:eastAsia="Palatino Linotype" w:hAnsi="Palatino Linotype" w:cs="Palatino Linotype"/>
          <w:color w:val="000000"/>
          <w:sz w:val="22"/>
          <w:szCs w:val="22"/>
        </w:rPr>
        <w:t xml:space="preserve">. </w:t>
      </w:r>
      <w:r w:rsidR="007E5721" w:rsidRPr="009E7B83">
        <w:rPr>
          <w:rFonts w:ascii="Palatino Linotype" w:eastAsia="Palatino Linotype" w:hAnsi="Palatino Linotype" w:cs="Palatino Linotype"/>
          <w:color w:val="000000"/>
          <w:sz w:val="22"/>
          <w:szCs w:val="22"/>
        </w:rPr>
        <w:t xml:space="preserve">Ahora bien, no escapa de la óptica de este Organismo Garante que los Recurrentes pueden no ser expertos en la materia y no conocer de manera específica los documentos generados, administrados o poseídos por los Sujetos Obligados, por lo que los Sujetos Obligados pueden realizar la interpretación a las solicitudes, a efecto de garantizar de manera correcta el derecho accionado por el Recurrente. </w:t>
      </w:r>
    </w:p>
    <w:p w14:paraId="489B7094" w14:textId="77777777" w:rsidR="007E5721" w:rsidRPr="009E7B83" w:rsidRDefault="007E5721" w:rsidP="00E66F70">
      <w:pPr>
        <w:spacing w:after="240" w:line="360" w:lineRule="auto"/>
        <w:jc w:val="both"/>
        <w:rPr>
          <w:rFonts w:ascii="Palatino Linotype" w:eastAsia="Palatino Linotype" w:hAnsi="Palatino Linotype" w:cs="Palatino Linotype"/>
          <w:color w:val="000000"/>
          <w:sz w:val="22"/>
          <w:szCs w:val="22"/>
        </w:rPr>
      </w:pPr>
      <w:r w:rsidRPr="009E7B83">
        <w:rPr>
          <w:rFonts w:ascii="Palatino Linotype" w:eastAsia="Palatino Linotype" w:hAnsi="Palatino Linotype" w:cs="Palatino Linotype"/>
          <w:color w:val="000000"/>
          <w:sz w:val="22"/>
          <w:szCs w:val="22"/>
        </w:rPr>
        <w:t>Mediante el Recurso de Revisión el Recurrente adjuntó la siguiente imagen:</w:t>
      </w:r>
    </w:p>
    <w:p w14:paraId="0E3AB9B5" w14:textId="77777777" w:rsidR="007E5721" w:rsidRPr="009E7B83" w:rsidRDefault="007E5721" w:rsidP="00E66F70">
      <w:pPr>
        <w:spacing w:after="240" w:line="360" w:lineRule="auto"/>
        <w:jc w:val="both"/>
        <w:rPr>
          <w:rFonts w:ascii="Palatino Linotype" w:eastAsia="Palatino Linotype" w:hAnsi="Palatino Linotype" w:cs="Palatino Linotype"/>
          <w:color w:val="000000"/>
          <w:sz w:val="22"/>
          <w:szCs w:val="22"/>
        </w:rPr>
      </w:pPr>
      <w:r w:rsidRPr="009E7B83">
        <w:rPr>
          <w:rFonts w:ascii="Palatino Linotype" w:eastAsia="Palatino Linotype" w:hAnsi="Palatino Linotype" w:cs="Palatino Linotype"/>
          <w:noProof/>
          <w:color w:val="000000"/>
          <w:sz w:val="22"/>
          <w:szCs w:val="22"/>
        </w:rPr>
        <w:lastRenderedPageBreak/>
        <w:drawing>
          <wp:inline distT="0" distB="0" distL="0" distR="0" wp14:anchorId="2BD328A8" wp14:editId="5ECB9098">
            <wp:extent cx="5756275" cy="3775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275" cy="3775075"/>
                    </a:xfrm>
                    <a:prstGeom prst="rect">
                      <a:avLst/>
                    </a:prstGeom>
                  </pic:spPr>
                </pic:pic>
              </a:graphicData>
            </a:graphic>
          </wp:inline>
        </w:drawing>
      </w:r>
    </w:p>
    <w:p w14:paraId="7DF3035B" w14:textId="77777777" w:rsidR="007E5721" w:rsidRPr="009E7B83" w:rsidRDefault="007E5721" w:rsidP="00E66F70">
      <w:pPr>
        <w:spacing w:after="240" w:line="360" w:lineRule="auto"/>
        <w:jc w:val="both"/>
        <w:rPr>
          <w:rFonts w:ascii="Palatino Linotype" w:eastAsia="Palatino Linotype" w:hAnsi="Palatino Linotype" w:cs="Palatino Linotype"/>
          <w:color w:val="000000"/>
          <w:sz w:val="22"/>
          <w:szCs w:val="22"/>
        </w:rPr>
      </w:pPr>
      <w:r w:rsidRPr="009E7B83">
        <w:rPr>
          <w:rFonts w:ascii="Palatino Linotype" w:eastAsia="Palatino Linotype" w:hAnsi="Palatino Linotype" w:cs="Palatino Linotype"/>
          <w:color w:val="000000"/>
          <w:sz w:val="22"/>
          <w:szCs w:val="22"/>
        </w:rPr>
        <w:t xml:space="preserve">La información fue corroborada por este Organismo Garante y determinó que la información proporcionada por el Recurrente es correcta y la identificación del parque no permite visualizar el nombre correcto ya que es identificado únicamente como Parque Recreativo Municipal y se encuentra dentro del Territorio Municipal de Jaltenco </w:t>
      </w:r>
      <w:r w:rsidRPr="009E7B83">
        <w:rPr>
          <w:rFonts w:ascii="Palatino Linotype" w:eastAsia="Palatino Linotype" w:hAnsi="Palatino Linotype" w:cs="Palatino Linotype"/>
          <w:b/>
          <w:sz w:val="22"/>
          <w:szCs w:val="22"/>
        </w:rPr>
        <w:t>Ubicado en la Avenida Profesor Isidro González, esquina Carretera Teoloyucan-Jaltenco.</w:t>
      </w:r>
    </w:p>
    <w:p w14:paraId="6ED4B982" w14:textId="70B0482A" w:rsidR="007E5721" w:rsidRPr="009E7B83" w:rsidRDefault="007E5721" w:rsidP="00E66F70">
      <w:pPr>
        <w:spacing w:after="240" w:line="360" w:lineRule="auto"/>
        <w:jc w:val="both"/>
        <w:rPr>
          <w:rFonts w:ascii="Palatino Linotype" w:eastAsia="Palatino Linotype" w:hAnsi="Palatino Linotype" w:cs="Palatino Linotype"/>
          <w:color w:val="000000"/>
          <w:sz w:val="22"/>
          <w:szCs w:val="22"/>
        </w:rPr>
      </w:pPr>
      <w:r w:rsidRPr="009E7B83">
        <w:rPr>
          <w:rFonts w:ascii="Palatino Linotype" w:eastAsia="Palatino Linotype" w:hAnsi="Palatino Linotype" w:cs="Palatino Linotype"/>
          <w:color w:val="000000"/>
          <w:sz w:val="22"/>
          <w:szCs w:val="22"/>
        </w:rPr>
        <w:t xml:space="preserve">Lo anterior, asevera la existencia de la información, ya que se tiene que el parque de mérito fue una obra a ejecutar en la administración 2022-2024, por lo que, a la fecha de la solicitud, la información ya fue generada, administrada y poseída, por lo que se ORDENA realizar una búsqueda exhaustiva y razonable de la información a efecto de localizar y poner a disposición del Recurrente los documentos donde consten del parque anteriormente referido, a la fecha de la solicitud el presupuesto destinado, año de ejecución, gasto ejercido y desglosado. De ser </w:t>
      </w:r>
      <w:r w:rsidRPr="009E7B83">
        <w:rPr>
          <w:rFonts w:ascii="Palatino Linotype" w:eastAsia="Palatino Linotype" w:hAnsi="Palatino Linotype" w:cs="Palatino Linotype"/>
          <w:color w:val="000000"/>
          <w:sz w:val="22"/>
          <w:szCs w:val="22"/>
        </w:rPr>
        <w:lastRenderedPageBreak/>
        <w:t>el caso de que la información que se ORDENA entregar contenga datos personales susceptibles de clasificarse como confidenciales, el Sujeto Obligado deberá estar a lo dispuesto en el Considerando que a continuación se enuncia.</w:t>
      </w:r>
    </w:p>
    <w:p w14:paraId="7677EEE3" w14:textId="50D1A881" w:rsidR="00B66BCF" w:rsidRPr="009E7B83" w:rsidRDefault="00B66BCF" w:rsidP="00B66BCF">
      <w:pPr>
        <w:pStyle w:val="NormalWeb"/>
        <w:spacing w:before="240" w:beforeAutospacing="0" w:after="240" w:afterAutospacing="0" w:line="360" w:lineRule="auto"/>
        <w:ind w:right="49"/>
        <w:jc w:val="both"/>
        <w:rPr>
          <w:rFonts w:ascii="Palatino Linotype" w:hAnsi="Palatino Linotype"/>
          <w:sz w:val="22"/>
          <w:szCs w:val="22"/>
        </w:rPr>
      </w:pPr>
      <w:r w:rsidRPr="009E7B83">
        <w:rPr>
          <w:rFonts w:ascii="Palatino Linotype" w:hAnsi="Palatino Linotype"/>
          <w:sz w:val="22"/>
          <w:szCs w:val="22"/>
        </w:rPr>
        <w:t xml:space="preserve">Por último y no menos importante, es necesario precisar que el Sujeto Obligado a </w:t>
      </w:r>
      <w:r w:rsidR="000E1A97" w:rsidRPr="009E7B83">
        <w:rPr>
          <w:rFonts w:ascii="Palatino Linotype" w:hAnsi="Palatino Linotype"/>
          <w:sz w:val="22"/>
          <w:szCs w:val="22"/>
        </w:rPr>
        <w:t>través</w:t>
      </w:r>
      <w:r w:rsidRPr="009E7B83">
        <w:rPr>
          <w:rFonts w:ascii="Palatino Linotype" w:hAnsi="Palatino Linotype"/>
          <w:sz w:val="22"/>
          <w:szCs w:val="22"/>
        </w:rPr>
        <w:t xml:space="preserve"> de su respuesta indicó que no existe </w:t>
      </w:r>
      <w:r w:rsidR="000E1A97" w:rsidRPr="009E7B83">
        <w:rPr>
          <w:rFonts w:ascii="Palatino Linotype" w:hAnsi="Palatino Linotype"/>
          <w:sz w:val="22"/>
          <w:szCs w:val="22"/>
        </w:rPr>
        <w:t>Parque Recreativo con el nombre que refiere el particular ni con el lugar donde se ubica, exhortando que sea más exacto con su solicitud.</w:t>
      </w:r>
    </w:p>
    <w:p w14:paraId="2B259A88" w14:textId="72148010" w:rsidR="00B66BCF" w:rsidRPr="009E7B83" w:rsidRDefault="00B66BCF" w:rsidP="00B66BCF">
      <w:pPr>
        <w:pStyle w:val="NormalWeb"/>
        <w:spacing w:before="240" w:beforeAutospacing="0" w:after="240" w:afterAutospacing="0" w:line="360" w:lineRule="auto"/>
        <w:ind w:right="49"/>
        <w:jc w:val="both"/>
        <w:rPr>
          <w:rFonts w:ascii="Palatino Linotype" w:eastAsia="Palatino Linotype" w:hAnsi="Palatino Linotype" w:cs="Palatino Linotype"/>
          <w:b/>
          <w:color w:val="000000"/>
          <w:sz w:val="22"/>
          <w:szCs w:val="22"/>
        </w:rPr>
      </w:pPr>
      <w:r w:rsidRPr="009E7B83">
        <w:rPr>
          <w:rFonts w:ascii="Palatino Linotype" w:hAnsi="Palatino Linotype"/>
          <w:sz w:val="22"/>
          <w:szCs w:val="22"/>
        </w:rPr>
        <w:t xml:space="preserve">De la manifestación vertida por el Sujeto Obligado, se debe entender que está solicitando una aclaración a los requerimientos del particular, </w:t>
      </w:r>
      <w:r w:rsidRPr="009E7B83">
        <w:rPr>
          <w:rFonts w:ascii="Palatino Linotype" w:eastAsia="Palatino Linotype" w:hAnsi="Palatino Linotype" w:cs="Palatino Linotype"/>
          <w:color w:val="000000"/>
          <w:sz w:val="22"/>
          <w:szCs w:val="22"/>
        </w:rPr>
        <w:t>por considerar que los detalles proporcionados para localizar los documentos resultan insuficientes, incompletos o son erróneos, la pretensión del Ayuntamiento encuentra fundamento en el artículo 159 de la Ley de Transparencia del Estado de México y Municipios; sin embargo, dicho precepto legal establece que se podrá requerir al solicitante que aclare sus requerimientos, cuando estos sean insuficientes, incompletos o erróneos</w:t>
      </w:r>
      <w:r w:rsidRPr="009E7B83">
        <w:rPr>
          <w:rFonts w:ascii="Palatino Linotype" w:eastAsia="Palatino Linotype" w:hAnsi="Palatino Linotype" w:cs="Palatino Linotype"/>
          <w:b/>
          <w:color w:val="000000"/>
          <w:sz w:val="22"/>
          <w:szCs w:val="22"/>
        </w:rPr>
        <w:t xml:space="preserve">, este requerimiento se hará dentro de los cinco días hábiles de conocida la solicitud. </w:t>
      </w:r>
    </w:p>
    <w:p w14:paraId="5CA62A8C" w14:textId="6D1D3032" w:rsidR="00B66BCF" w:rsidRPr="009E7B83" w:rsidRDefault="00B66BCF" w:rsidP="00B66BCF">
      <w:pPr>
        <w:spacing w:line="360" w:lineRule="auto"/>
        <w:ind w:right="49"/>
        <w:jc w:val="both"/>
        <w:rPr>
          <w:rFonts w:ascii="Palatino Linotype" w:eastAsia="Palatino Linotype" w:hAnsi="Palatino Linotype" w:cs="Palatino Linotype"/>
          <w:color w:val="000000"/>
          <w:sz w:val="22"/>
          <w:szCs w:val="22"/>
        </w:rPr>
      </w:pPr>
      <w:r w:rsidRPr="009E7B83">
        <w:rPr>
          <w:rFonts w:ascii="Palatino Linotype" w:eastAsia="Palatino Linotype" w:hAnsi="Palatino Linotype" w:cs="Palatino Linotype"/>
          <w:color w:val="000000"/>
          <w:sz w:val="22"/>
          <w:szCs w:val="22"/>
        </w:rPr>
        <w:t xml:space="preserve">Al respecto, es necesario precisar que la solicitud de acceso a la información pública se presentó el </w:t>
      </w:r>
      <w:r w:rsidR="000E1A97" w:rsidRPr="009E7B83">
        <w:rPr>
          <w:rFonts w:ascii="Palatino Linotype" w:eastAsia="Palatino Linotype" w:hAnsi="Palatino Linotype" w:cs="Palatino Linotype"/>
          <w:color w:val="000000"/>
          <w:sz w:val="22"/>
          <w:szCs w:val="22"/>
        </w:rPr>
        <w:t>veinticuatro</w:t>
      </w:r>
      <w:r w:rsidRPr="009E7B83">
        <w:rPr>
          <w:rFonts w:ascii="Palatino Linotype" w:eastAsia="Palatino Linotype" w:hAnsi="Palatino Linotype" w:cs="Palatino Linotype"/>
          <w:color w:val="000000"/>
          <w:sz w:val="22"/>
          <w:szCs w:val="22"/>
        </w:rPr>
        <w:t xml:space="preserve"> de </w:t>
      </w:r>
      <w:r w:rsidR="000E1A97" w:rsidRPr="009E7B83">
        <w:rPr>
          <w:rFonts w:ascii="Palatino Linotype" w:eastAsia="Palatino Linotype" w:hAnsi="Palatino Linotype" w:cs="Palatino Linotype"/>
          <w:color w:val="000000"/>
          <w:sz w:val="22"/>
          <w:szCs w:val="22"/>
        </w:rPr>
        <w:t>marzo</w:t>
      </w:r>
      <w:r w:rsidRPr="009E7B83">
        <w:rPr>
          <w:rFonts w:ascii="Palatino Linotype" w:eastAsia="Palatino Linotype" w:hAnsi="Palatino Linotype" w:cs="Palatino Linotype"/>
          <w:color w:val="000000"/>
          <w:sz w:val="22"/>
          <w:szCs w:val="22"/>
        </w:rPr>
        <w:t xml:space="preserve"> por lo que el plazo para solicitar al Recurrente la aclaración a sus requerimientos feneció el </w:t>
      </w:r>
      <w:r w:rsidR="000E1A97" w:rsidRPr="009E7B83">
        <w:rPr>
          <w:rFonts w:ascii="Palatino Linotype" w:eastAsia="Palatino Linotype" w:hAnsi="Palatino Linotype" w:cs="Palatino Linotype"/>
          <w:color w:val="000000"/>
          <w:sz w:val="22"/>
          <w:szCs w:val="22"/>
        </w:rPr>
        <w:t>uno</w:t>
      </w:r>
      <w:r w:rsidRPr="009E7B83">
        <w:rPr>
          <w:rFonts w:ascii="Palatino Linotype" w:eastAsia="Palatino Linotype" w:hAnsi="Palatino Linotype" w:cs="Palatino Linotype"/>
          <w:color w:val="000000"/>
          <w:sz w:val="22"/>
          <w:szCs w:val="22"/>
        </w:rPr>
        <w:t xml:space="preserve"> de </w:t>
      </w:r>
      <w:r w:rsidR="000E1A97" w:rsidRPr="009E7B83">
        <w:rPr>
          <w:rFonts w:ascii="Palatino Linotype" w:eastAsia="Palatino Linotype" w:hAnsi="Palatino Linotype" w:cs="Palatino Linotype"/>
          <w:color w:val="000000"/>
          <w:sz w:val="22"/>
          <w:szCs w:val="22"/>
        </w:rPr>
        <w:t>abril</w:t>
      </w:r>
      <w:r w:rsidRPr="009E7B83">
        <w:rPr>
          <w:rFonts w:ascii="Palatino Linotype" w:eastAsia="Palatino Linotype" w:hAnsi="Palatino Linotype" w:cs="Palatino Linotype"/>
          <w:color w:val="000000"/>
          <w:sz w:val="22"/>
          <w:szCs w:val="22"/>
        </w:rPr>
        <w:t xml:space="preserve">; sin embargo, al haber sido presentado el requerimiento en la respuesta el día </w:t>
      </w:r>
      <w:r w:rsidR="000E1A97" w:rsidRPr="009E7B83">
        <w:rPr>
          <w:rFonts w:ascii="Palatino Linotype" w:eastAsia="Palatino Linotype" w:hAnsi="Palatino Linotype" w:cs="Palatino Linotype"/>
          <w:color w:val="000000"/>
          <w:sz w:val="22"/>
          <w:szCs w:val="22"/>
        </w:rPr>
        <w:t>quince</w:t>
      </w:r>
      <w:r w:rsidRPr="009E7B83">
        <w:rPr>
          <w:rFonts w:ascii="Palatino Linotype" w:eastAsia="Palatino Linotype" w:hAnsi="Palatino Linotype" w:cs="Palatino Linotype"/>
          <w:color w:val="000000"/>
          <w:sz w:val="22"/>
          <w:szCs w:val="22"/>
        </w:rPr>
        <w:t xml:space="preserve"> de </w:t>
      </w:r>
      <w:r w:rsidR="000E1A97" w:rsidRPr="009E7B83">
        <w:rPr>
          <w:rFonts w:ascii="Palatino Linotype" w:eastAsia="Palatino Linotype" w:hAnsi="Palatino Linotype" w:cs="Palatino Linotype"/>
          <w:color w:val="000000"/>
          <w:sz w:val="22"/>
          <w:szCs w:val="22"/>
        </w:rPr>
        <w:t>abril</w:t>
      </w:r>
      <w:r w:rsidRPr="009E7B83">
        <w:rPr>
          <w:rFonts w:ascii="Palatino Linotype" w:eastAsia="Palatino Linotype" w:hAnsi="Palatino Linotype" w:cs="Palatino Linotype"/>
          <w:color w:val="000000"/>
          <w:sz w:val="22"/>
          <w:szCs w:val="22"/>
        </w:rPr>
        <w:t xml:space="preserve">, se encuentra fuera del plazo establecido para tal efecto. </w:t>
      </w:r>
    </w:p>
    <w:p w14:paraId="6DBB2036" w14:textId="77777777" w:rsidR="00B66BCF" w:rsidRPr="009E7B83" w:rsidRDefault="00B66BCF" w:rsidP="00B66BCF">
      <w:pPr>
        <w:spacing w:line="360" w:lineRule="auto"/>
        <w:ind w:right="49"/>
        <w:jc w:val="both"/>
        <w:rPr>
          <w:rFonts w:ascii="Palatino Linotype" w:eastAsia="Palatino Linotype" w:hAnsi="Palatino Linotype" w:cs="Palatino Linotype"/>
          <w:color w:val="000000"/>
          <w:sz w:val="22"/>
          <w:szCs w:val="22"/>
        </w:rPr>
      </w:pPr>
    </w:p>
    <w:p w14:paraId="0A9997CC" w14:textId="79F0E304" w:rsidR="000E1A97" w:rsidRPr="009E7B83" w:rsidRDefault="00B66BCF" w:rsidP="00B66BCF">
      <w:pPr>
        <w:spacing w:after="240" w:line="360" w:lineRule="auto"/>
        <w:jc w:val="both"/>
        <w:rPr>
          <w:rFonts w:ascii="Palatino Linotype" w:eastAsia="Palatino Linotype" w:hAnsi="Palatino Linotype" w:cs="Palatino Linotype"/>
          <w:color w:val="000000"/>
          <w:sz w:val="22"/>
          <w:szCs w:val="22"/>
        </w:rPr>
      </w:pPr>
      <w:r w:rsidRPr="009E7B83">
        <w:rPr>
          <w:rFonts w:ascii="Palatino Linotype" w:eastAsia="Palatino Linotype" w:hAnsi="Palatino Linotype" w:cs="Palatino Linotype"/>
          <w:color w:val="000000"/>
          <w:sz w:val="22"/>
          <w:szCs w:val="22"/>
        </w:rPr>
        <w:t>No obstante, este Organismo Garante determina que</w:t>
      </w:r>
      <w:r w:rsidR="000E1A97" w:rsidRPr="009E7B83">
        <w:rPr>
          <w:rFonts w:ascii="Palatino Linotype" w:eastAsia="Palatino Linotype" w:hAnsi="Palatino Linotype" w:cs="Palatino Linotype"/>
          <w:color w:val="000000"/>
          <w:sz w:val="22"/>
          <w:szCs w:val="22"/>
        </w:rPr>
        <w:t xml:space="preserve"> la solicitud del particular permite identificar la información que requiere, por lo que no ha lugar a la aclaración, además, en atención a la respuesta, el Recurrente, en su escrito de recurso de revisión aporta mayores elementos que permiten identificar el parque del cual desea tener acceso a la información</w:t>
      </w:r>
      <w:r w:rsidR="00D77D30" w:rsidRPr="009E7B83">
        <w:rPr>
          <w:rFonts w:ascii="Palatino Linotype" w:eastAsia="Palatino Linotype" w:hAnsi="Palatino Linotype" w:cs="Palatino Linotype"/>
          <w:color w:val="000000"/>
          <w:sz w:val="22"/>
          <w:szCs w:val="22"/>
        </w:rPr>
        <w:t>.</w:t>
      </w:r>
    </w:p>
    <w:p w14:paraId="484E1398" w14:textId="77777777" w:rsidR="000E1A97" w:rsidRPr="009E7B83" w:rsidRDefault="000E1A97" w:rsidP="00B66BCF">
      <w:pPr>
        <w:spacing w:after="240" w:line="360" w:lineRule="auto"/>
        <w:jc w:val="both"/>
        <w:rPr>
          <w:rFonts w:ascii="Palatino Linotype" w:eastAsia="Palatino Linotype" w:hAnsi="Palatino Linotype" w:cs="Palatino Linotype"/>
          <w:color w:val="000000"/>
          <w:sz w:val="22"/>
          <w:szCs w:val="22"/>
        </w:rPr>
      </w:pPr>
    </w:p>
    <w:p w14:paraId="1C31C866" w14:textId="77777777" w:rsidR="00B53698" w:rsidRPr="009E7B83" w:rsidRDefault="0067296C" w:rsidP="00B53698">
      <w:pPr>
        <w:spacing w:before="240" w:after="240" w:line="360" w:lineRule="auto"/>
        <w:ind w:right="51"/>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 xml:space="preserve">Quinto. Versión Pública. </w:t>
      </w:r>
      <w:r w:rsidR="00B53698" w:rsidRPr="009E7B83">
        <w:rPr>
          <w:rFonts w:ascii="Palatino Linotype" w:eastAsia="Palatino Linotype" w:hAnsi="Palatino Linotype" w:cs="Palatino Linotype"/>
          <w:b/>
          <w:sz w:val="22"/>
          <w:szCs w:val="22"/>
        </w:rPr>
        <w:t xml:space="preserve">Quinto. Versión Pública. </w:t>
      </w:r>
      <w:r w:rsidR="00B53698" w:rsidRPr="009E7B83">
        <w:rPr>
          <w:rFonts w:ascii="Palatino Linotype" w:eastAsia="Palatino Linotype" w:hAnsi="Palatino Linotype" w:cs="Palatino Linotype"/>
          <w:sz w:val="22"/>
          <w:szCs w:val="22"/>
        </w:rPr>
        <w:t>Como fue debidamente apuntado, el </w:t>
      </w:r>
      <w:r w:rsidR="00B53698" w:rsidRPr="009E7B83">
        <w:rPr>
          <w:rFonts w:ascii="Palatino Linotype" w:eastAsia="Palatino Linotype" w:hAnsi="Palatino Linotype" w:cs="Palatino Linotype"/>
          <w:b/>
          <w:sz w:val="22"/>
          <w:szCs w:val="22"/>
        </w:rPr>
        <w:t>Sujeto Obligado</w:t>
      </w:r>
      <w:r w:rsidR="00B53698" w:rsidRPr="009E7B83">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3CE1BADC" w14:textId="77777777" w:rsidR="00B53698" w:rsidRPr="009E7B83" w:rsidRDefault="00B53698" w:rsidP="00B53698">
      <w:pPr>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ACA608A" w14:textId="77777777" w:rsidR="00B53698" w:rsidRPr="009E7B83" w:rsidRDefault="00B53698" w:rsidP="00B53698">
      <w:pPr>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0E66714" w14:textId="77777777" w:rsidR="00B53698" w:rsidRPr="009E7B83" w:rsidRDefault="00B53698" w:rsidP="00B53698">
      <w:pPr>
        <w:spacing w:before="240" w:after="240" w:line="360" w:lineRule="auto"/>
        <w:ind w:right="49"/>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220D0EAF"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sz w:val="22"/>
          <w:szCs w:val="22"/>
        </w:rPr>
        <w:t> </w:t>
      </w:r>
      <w:r w:rsidRPr="009E7B83">
        <w:rPr>
          <w:rFonts w:ascii="Palatino Linotype" w:eastAsia="Palatino Linotype" w:hAnsi="Palatino Linotype" w:cs="Palatino Linotype"/>
          <w:i/>
          <w:sz w:val="22"/>
          <w:szCs w:val="22"/>
        </w:rPr>
        <w:t>“</w:t>
      </w:r>
      <w:r w:rsidRPr="009E7B83">
        <w:rPr>
          <w:rFonts w:ascii="Palatino Linotype" w:eastAsia="Palatino Linotype" w:hAnsi="Palatino Linotype" w:cs="Palatino Linotype"/>
          <w:b/>
          <w:i/>
          <w:sz w:val="22"/>
          <w:szCs w:val="22"/>
        </w:rPr>
        <w:t>Artículo 3.</w:t>
      </w:r>
      <w:r w:rsidRPr="009E7B83">
        <w:rPr>
          <w:rFonts w:ascii="Palatino Linotype" w:eastAsia="Palatino Linotype" w:hAnsi="Palatino Linotype" w:cs="Palatino Linotype"/>
          <w:i/>
          <w:sz w:val="22"/>
          <w:szCs w:val="22"/>
        </w:rPr>
        <w:t xml:space="preserve"> Para los efectos de la presente Ley se entenderá por:</w:t>
      </w:r>
    </w:p>
    <w:p w14:paraId="69F90DB0" w14:textId="77777777" w:rsidR="00B53698" w:rsidRPr="009E7B83" w:rsidRDefault="00B53698" w:rsidP="00B53698">
      <w:pPr>
        <w:tabs>
          <w:tab w:val="left" w:pos="1276"/>
        </w:tabs>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128F1489" w14:textId="77777777" w:rsidR="00B53698" w:rsidRPr="009E7B83" w:rsidRDefault="00B53698" w:rsidP="00B53698">
      <w:pPr>
        <w:tabs>
          <w:tab w:val="left" w:pos="1276"/>
        </w:tabs>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IX. Datos personales</w:t>
      </w:r>
      <w:r w:rsidRPr="009E7B83">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161383AB" w14:textId="77777777" w:rsidR="00B53698" w:rsidRPr="009E7B83" w:rsidRDefault="00B53698" w:rsidP="00B53698">
      <w:pPr>
        <w:tabs>
          <w:tab w:val="left" w:pos="1276"/>
        </w:tabs>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05AEFDEF" w14:textId="77777777" w:rsidR="00B53698" w:rsidRPr="009E7B83" w:rsidRDefault="00B53698" w:rsidP="00B53698">
      <w:pPr>
        <w:tabs>
          <w:tab w:val="left" w:pos="1276"/>
        </w:tabs>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lastRenderedPageBreak/>
        <w:t>XX. Información clasificada</w:t>
      </w:r>
      <w:r w:rsidRPr="009E7B83">
        <w:rPr>
          <w:rFonts w:ascii="Palatino Linotype" w:eastAsia="Palatino Linotype" w:hAnsi="Palatino Linotype" w:cs="Palatino Linotype"/>
          <w:i/>
          <w:sz w:val="22"/>
          <w:szCs w:val="22"/>
        </w:rPr>
        <w:t>: Aquella considerada por la presente Ley como reservada o confidencial;</w:t>
      </w:r>
    </w:p>
    <w:p w14:paraId="25505FE4" w14:textId="77777777" w:rsidR="00B53698" w:rsidRPr="009E7B83" w:rsidRDefault="00B53698" w:rsidP="00B53698">
      <w:pPr>
        <w:tabs>
          <w:tab w:val="left" w:pos="1276"/>
        </w:tabs>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XXI. Información confidencial</w:t>
      </w:r>
      <w:r w:rsidRPr="009E7B83">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77B6BCC" w14:textId="77777777" w:rsidR="00B53698" w:rsidRPr="009E7B83" w:rsidRDefault="00B53698" w:rsidP="00B53698">
      <w:pPr>
        <w:tabs>
          <w:tab w:val="left" w:pos="1276"/>
        </w:tabs>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74E32CE6" w14:textId="77777777" w:rsidR="00B53698" w:rsidRPr="009E7B83" w:rsidRDefault="00B53698" w:rsidP="00B53698">
      <w:pPr>
        <w:tabs>
          <w:tab w:val="left" w:pos="1276"/>
        </w:tabs>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XXXII. Protección de Datos Personales</w:t>
      </w:r>
      <w:r w:rsidRPr="009E7B83">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4A3E71CF" w14:textId="77777777" w:rsidR="00B53698" w:rsidRPr="009E7B83" w:rsidRDefault="00B53698" w:rsidP="00B53698">
      <w:pPr>
        <w:tabs>
          <w:tab w:val="left" w:pos="1276"/>
        </w:tabs>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58A0EE96" w14:textId="77777777" w:rsidR="00B53698" w:rsidRPr="009E7B83" w:rsidRDefault="00B53698" w:rsidP="00B53698">
      <w:pPr>
        <w:tabs>
          <w:tab w:val="left" w:pos="1276"/>
        </w:tabs>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XLV. Versión pública</w:t>
      </w:r>
      <w:r w:rsidRPr="009E7B8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0EDC8E9"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 Artículo 6</w:t>
      </w:r>
      <w:r w:rsidRPr="009E7B83">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D415302"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3E1A4EB1"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91.</w:t>
      </w:r>
      <w:r w:rsidRPr="009E7B8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9E7B83">
        <w:rPr>
          <w:rFonts w:ascii="Palatino Linotype" w:eastAsia="Palatino Linotype" w:hAnsi="Palatino Linotype" w:cs="Palatino Linotype"/>
          <w:i/>
          <w:sz w:val="22"/>
          <w:szCs w:val="22"/>
        </w:rPr>
        <w:br/>
        <w:t>…</w:t>
      </w:r>
    </w:p>
    <w:p w14:paraId="1249A369"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132.</w:t>
      </w:r>
      <w:r w:rsidRPr="009E7B83">
        <w:rPr>
          <w:rFonts w:ascii="Palatino Linotype" w:eastAsia="Palatino Linotype" w:hAnsi="Palatino Linotype" w:cs="Palatino Linotype"/>
          <w:i/>
          <w:sz w:val="22"/>
          <w:szCs w:val="22"/>
        </w:rPr>
        <w:t xml:space="preserve"> La clasificación de la información se llevará a cabo en el momento en que:</w:t>
      </w:r>
    </w:p>
    <w:p w14:paraId="2E0EB515" w14:textId="77777777" w:rsidR="00B53698" w:rsidRPr="009E7B83" w:rsidRDefault="00B53698" w:rsidP="00B53698">
      <w:pP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Se reciba una solicitud de acceso a la información;</w:t>
      </w:r>
    </w:p>
    <w:p w14:paraId="0545BA7A" w14:textId="77777777" w:rsidR="00B53698" w:rsidRPr="009E7B83" w:rsidRDefault="00B53698" w:rsidP="00B53698">
      <w:pP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Se determine mediante resolución de autoridad competente; o</w:t>
      </w:r>
    </w:p>
    <w:p w14:paraId="5F0F979C" w14:textId="77777777" w:rsidR="00B53698" w:rsidRPr="009E7B83" w:rsidRDefault="00B53698" w:rsidP="00B53698">
      <w:pP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4382BD6"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w:t>
      </w:r>
    </w:p>
    <w:p w14:paraId="29F6ADB9"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137.</w:t>
      </w:r>
      <w:r w:rsidRPr="009E7B8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w:t>
      </w:r>
      <w:r w:rsidRPr="009E7B83">
        <w:rPr>
          <w:rFonts w:ascii="Palatino Linotype" w:eastAsia="Palatino Linotype" w:hAnsi="Palatino Linotype" w:cs="Palatino Linotype"/>
          <w:i/>
          <w:sz w:val="22"/>
          <w:szCs w:val="22"/>
        </w:rPr>
        <w:lastRenderedPageBreak/>
        <w:t>efectos de atender una solicitud de información, deberán elaborar una versión pública en la que se testen las partes o secciones clasificadas, indicando su contenido de manera genérica y fundando y motivando su clasificación.</w:t>
      </w:r>
    </w:p>
    <w:p w14:paraId="77736B25"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 Artículo 143.</w:t>
      </w:r>
      <w:r w:rsidRPr="009E7B83">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21E25B96" w14:textId="77777777" w:rsidR="00B53698" w:rsidRPr="009E7B83" w:rsidRDefault="00B53698" w:rsidP="00B53698">
      <w:pP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3E047C3"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9E7B83">
        <w:rPr>
          <w:rFonts w:ascii="Palatino Linotype" w:eastAsia="Palatino Linotype" w:hAnsi="Palatino Linotype" w:cs="Palatino Linotype"/>
          <w:b/>
          <w:sz w:val="22"/>
          <w:szCs w:val="22"/>
        </w:rPr>
        <w:t>Sujeto Obligado</w:t>
      </w:r>
      <w:r w:rsidRPr="009E7B83">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E2DB524"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A8B13D9"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w:t>
      </w:r>
      <w:r w:rsidRPr="009E7B83">
        <w:rPr>
          <w:rFonts w:ascii="Palatino Linotype" w:eastAsia="Palatino Linotype" w:hAnsi="Palatino Linotype" w:cs="Palatino Linotype"/>
          <w:sz w:val="22"/>
          <w:szCs w:val="22"/>
        </w:rPr>
        <w:lastRenderedPageBreak/>
        <w:t>momento de la elaboración de versiones públicas, como pudieran ser de manera enunciativa más no limitativa, clave de elector, numero de OCR, CURP, el número de cuenta bancaria, que sean exclusivamente de particulares, entre otros.</w:t>
      </w:r>
    </w:p>
    <w:p w14:paraId="548549A4"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La </w:t>
      </w:r>
      <w:r w:rsidRPr="009E7B83">
        <w:rPr>
          <w:rFonts w:ascii="Palatino Linotype" w:eastAsia="Palatino Linotype" w:hAnsi="Palatino Linotype" w:cs="Palatino Linotype"/>
          <w:b/>
          <w:sz w:val="22"/>
          <w:szCs w:val="22"/>
        </w:rPr>
        <w:t>clave de elector</w:t>
      </w:r>
      <w:r w:rsidRPr="009E7B83">
        <w:rPr>
          <w:rFonts w:ascii="Palatino Linotype" w:eastAsia="Palatino Linotype" w:hAnsi="Palatino Linotype" w:cs="Palatino Linotype"/>
          <w:sz w:val="22"/>
          <w:szCs w:val="22"/>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9E7B83">
        <w:rPr>
          <w:rFonts w:ascii="Palatino Linotype" w:eastAsia="Palatino Linotype" w:hAnsi="Palatino Linotype" w:cs="Palatino Linotype"/>
          <w:sz w:val="22"/>
          <w:szCs w:val="22"/>
        </w:rPr>
        <w:t>homoclave</w:t>
      </w:r>
      <w:proofErr w:type="spellEnd"/>
      <w:r w:rsidRPr="009E7B83">
        <w:rPr>
          <w:rFonts w:ascii="Palatino Linotype" w:eastAsia="Palatino Linotype" w:hAnsi="Palatino Linotype" w:cs="Palatino Linotype"/>
          <w:sz w:val="22"/>
          <w:szCs w:val="22"/>
        </w:rPr>
        <w:t xml:space="preserve"> que distingue a su titular de cualquier otro homónimo, por lo tanto, se trata de un dato personal que debe ser protegido.</w:t>
      </w:r>
    </w:p>
    <w:p w14:paraId="1867024E"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El </w:t>
      </w:r>
      <w:r w:rsidRPr="009E7B83">
        <w:rPr>
          <w:rFonts w:ascii="Palatino Linotype" w:eastAsia="Palatino Linotype" w:hAnsi="Palatino Linotype" w:cs="Palatino Linotype"/>
          <w:b/>
          <w:sz w:val="22"/>
          <w:szCs w:val="22"/>
        </w:rPr>
        <w:t>número de OCR,</w:t>
      </w:r>
      <w:r w:rsidRPr="009E7B83">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9E7B83">
        <w:rPr>
          <w:rFonts w:ascii="Palatino Linotype" w:eastAsia="Palatino Linotype" w:hAnsi="Palatino Linotype" w:cs="Palatino Linotype"/>
          <w:sz w:val="22"/>
          <w:szCs w:val="22"/>
        </w:rPr>
        <w:t>geoelectoral</w:t>
      </w:r>
      <w:proofErr w:type="spellEnd"/>
      <w:r w:rsidRPr="009E7B83">
        <w:rPr>
          <w:rFonts w:ascii="Palatino Linotype" w:eastAsia="Palatino Linotype" w:hAnsi="Palatino Linotype" w:cs="Palatino Linotype"/>
          <w:sz w:val="22"/>
          <w:szCs w:val="22"/>
        </w:rPr>
        <w:t xml:space="preserve"> ahí contenida, por lo que es susceptible de resguardarse.</w:t>
      </w:r>
    </w:p>
    <w:p w14:paraId="42D02920"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La </w:t>
      </w:r>
      <w:r w:rsidRPr="009E7B83">
        <w:rPr>
          <w:rFonts w:ascii="Palatino Linotype" w:eastAsia="Palatino Linotype" w:hAnsi="Palatino Linotype" w:cs="Palatino Linotype"/>
          <w:b/>
          <w:sz w:val="22"/>
          <w:szCs w:val="22"/>
        </w:rPr>
        <w:t>clave única del registro de población,</w:t>
      </w:r>
      <w:r w:rsidRPr="009E7B83">
        <w:rPr>
          <w:rFonts w:ascii="Palatino Linotype" w:eastAsia="Palatino Linotype" w:hAnsi="Palatino Linotype" w:cs="Palatino Linotype"/>
          <w:i/>
          <w:sz w:val="22"/>
          <w:szCs w:val="22"/>
        </w:rPr>
        <w:t xml:space="preserve"> </w:t>
      </w:r>
      <w:r w:rsidRPr="009E7B83">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46C692B5"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Igualmente, resulta importante destacar que el </w:t>
      </w:r>
      <w:r w:rsidRPr="009E7B83">
        <w:rPr>
          <w:rFonts w:ascii="Palatino Linotype" w:eastAsia="Palatino Linotype" w:hAnsi="Palatino Linotype" w:cs="Palatino Linotype"/>
          <w:i/>
          <w:sz w:val="22"/>
          <w:szCs w:val="22"/>
        </w:rPr>
        <w:t>número de cuenta bancaria</w:t>
      </w:r>
      <w:r w:rsidRPr="009E7B83">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AF6FAAD"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lastRenderedPageBreak/>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7FFB9F47"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31A5E3A"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559DC597"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Es por esta razón que se debe omitir el o los números de cuentas bancarias de particulares en las versiones públicas que de las facturas se hagan, para ser entregadas.</w:t>
      </w:r>
    </w:p>
    <w:p w14:paraId="20B208B3"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69048282"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14:paraId="6D0F9A01"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“Cuentas bancarias y/o CLABE interbancaria de personas físicas y morales privadas.</w:t>
      </w:r>
      <w:r w:rsidRPr="009E7B83">
        <w:rPr>
          <w:rFonts w:ascii="Palatino Linotype" w:eastAsia="Palatino Linotype" w:hAnsi="Palatino Linotype" w:cs="Palatino Linotype"/>
          <w:i/>
          <w:sz w:val="22"/>
          <w:szCs w:val="22"/>
        </w:rPr>
        <w:t xml:space="preserve"> El número de cuenta bancaria y/o CLABE interbancaria de particulares </w:t>
      </w:r>
      <w:r w:rsidRPr="009E7B83">
        <w:rPr>
          <w:rFonts w:ascii="Palatino Linotype" w:eastAsia="Palatino Linotype" w:hAnsi="Palatino Linotype" w:cs="Palatino Linotype"/>
          <w:i/>
          <w:sz w:val="22"/>
          <w:szCs w:val="22"/>
        </w:rPr>
        <w:lastRenderedPageBreak/>
        <w:t>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A93FDF8"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9E7B83">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A82D242"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Por cuanto hace al </w:t>
      </w:r>
      <w:r w:rsidRPr="009E7B83">
        <w:rPr>
          <w:rFonts w:ascii="Palatino Linotype" w:eastAsia="Palatino Linotype" w:hAnsi="Palatino Linotype" w:cs="Palatino Linotype"/>
          <w:b/>
          <w:sz w:val="22"/>
          <w:szCs w:val="22"/>
        </w:rPr>
        <w:t xml:space="preserve">Registro Federal de Contribuyentes (RFC) </w:t>
      </w:r>
      <w:r w:rsidRPr="009E7B83">
        <w:rPr>
          <w:rFonts w:ascii="Palatino Linotype" w:eastAsia="Palatino Linotype" w:hAnsi="Palatino Linotype" w:cs="Palatino Linotype"/>
          <w:sz w:val="22"/>
          <w:szCs w:val="22"/>
        </w:rPr>
        <w:t>y</w:t>
      </w:r>
      <w:r w:rsidRPr="009E7B83">
        <w:rPr>
          <w:rFonts w:ascii="Palatino Linotype" w:eastAsia="Palatino Linotype" w:hAnsi="Palatino Linotype" w:cs="Palatino Linotype"/>
          <w:b/>
          <w:sz w:val="22"/>
          <w:szCs w:val="22"/>
        </w:rPr>
        <w:t xml:space="preserve"> el domicilio fiscal </w:t>
      </w:r>
      <w:r w:rsidRPr="009E7B83">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7C90C89"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6F2C673"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9E7B83">
        <w:rPr>
          <w:rFonts w:ascii="Palatino Linotype" w:eastAsia="Palatino Linotype" w:hAnsi="Palatino Linotype" w:cs="Palatino Linotype"/>
          <w:b/>
          <w:sz w:val="22"/>
          <w:szCs w:val="22"/>
        </w:rPr>
        <w:t xml:space="preserve">no puede considerarse </w:t>
      </w:r>
      <w:r w:rsidRPr="009E7B83">
        <w:rPr>
          <w:rFonts w:ascii="Palatino Linotype" w:eastAsia="Palatino Linotype" w:hAnsi="Palatino Linotype" w:cs="Palatino Linotype"/>
          <w:b/>
          <w:sz w:val="22"/>
          <w:szCs w:val="22"/>
        </w:rPr>
        <w:lastRenderedPageBreak/>
        <w:t>como información clasificada lo relativo a su nombre, registro federal de contribuyentes y domicilio fiscal</w:t>
      </w:r>
      <w:r w:rsidRPr="009E7B83">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1AB40C16"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Robustece lo anterior el criterio orientador 04/21 emitido por el entonces Instituto Nacional de Transparencia, Acceso a la Información y Protección de Datos Personales, INAI, el cual refiere:</w:t>
      </w:r>
    </w:p>
    <w:p w14:paraId="08406776"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 xml:space="preserve">“Registro Federal de Contribuyentes (RFC) de personas físicas proveedoras o contratistas. </w:t>
      </w:r>
      <w:r w:rsidRPr="009E7B83">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9E7B83">
        <w:rPr>
          <w:rFonts w:ascii="Palatino Linotype" w:eastAsia="Palatino Linotype" w:hAnsi="Palatino Linotype" w:cs="Palatino Linotype"/>
          <w:i/>
          <w:sz w:val="22"/>
          <w:szCs w:val="22"/>
        </w:rPr>
        <w:t>ya que</w:t>
      </w:r>
      <w:proofErr w:type="gramEnd"/>
      <w:r w:rsidRPr="009E7B83">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29CDC793"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Relacionado con lo anterior, el </w:t>
      </w:r>
      <w:r w:rsidRPr="009E7B83">
        <w:rPr>
          <w:rFonts w:ascii="Palatino Linotype" w:eastAsia="Palatino Linotype" w:hAnsi="Palatino Linotype" w:cs="Palatino Linotype"/>
          <w:b/>
          <w:sz w:val="22"/>
          <w:szCs w:val="22"/>
        </w:rPr>
        <w:t>nombre de las personas físicas</w:t>
      </w:r>
      <w:r w:rsidRPr="009E7B83">
        <w:rPr>
          <w:rFonts w:ascii="Palatino Linotype" w:eastAsia="Palatino Linotype" w:hAnsi="Palatino Linotype" w:cs="Palatino Linotype"/>
          <w:sz w:val="22"/>
          <w:szCs w:val="22"/>
        </w:rPr>
        <w:t xml:space="preserve"> o los </w:t>
      </w:r>
      <w:r w:rsidRPr="009E7B83">
        <w:rPr>
          <w:rFonts w:ascii="Palatino Linotype" w:eastAsia="Palatino Linotype" w:hAnsi="Palatino Linotype" w:cs="Palatino Linotype"/>
          <w:b/>
          <w:sz w:val="22"/>
          <w:szCs w:val="22"/>
        </w:rPr>
        <w:t>representantes legales de las personas morales</w:t>
      </w:r>
      <w:r w:rsidRPr="009E7B83">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566E2499"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5A7EE563"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lastRenderedPageBreak/>
        <w:t>“</w:t>
      </w:r>
      <w:r w:rsidRPr="009E7B83">
        <w:rPr>
          <w:rFonts w:ascii="Palatino Linotype" w:eastAsia="Palatino Linotype" w:hAnsi="Palatino Linotype" w:cs="Palatino Linotype"/>
          <w:b/>
          <w:i/>
          <w:sz w:val="22"/>
          <w:szCs w:val="22"/>
        </w:rPr>
        <w:t>Artículo 23.</w:t>
      </w:r>
      <w:r w:rsidRPr="009E7B83">
        <w:rPr>
          <w:rFonts w:ascii="Palatino Linotype" w:eastAsia="Palatino Linotype" w:hAnsi="Palatino Linotype" w:cs="Palatino Linotype"/>
          <w:i/>
          <w:sz w:val="22"/>
          <w:szCs w:val="22"/>
        </w:rPr>
        <w:t xml:space="preserve"> (…)</w:t>
      </w:r>
    </w:p>
    <w:p w14:paraId="5132DEB5"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7969421" w14:textId="77777777" w:rsidR="00B53698" w:rsidRPr="009E7B83" w:rsidRDefault="00B53698" w:rsidP="00B53698">
      <w:pPr>
        <w:spacing w:before="280" w:after="28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56BD8FAD" w14:textId="77777777" w:rsidR="00B53698" w:rsidRPr="009E7B83" w:rsidRDefault="00B53698" w:rsidP="00B53698">
      <w:pPr>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“Datos de identificación del representante o apoderado legal.</w:t>
      </w:r>
      <w:r w:rsidRPr="009E7B83">
        <w:rPr>
          <w:rFonts w:ascii="Palatino Linotype" w:eastAsia="Palatino Linotype" w:hAnsi="Palatino Linotype" w:cs="Palatino Linotype"/>
          <w:i/>
          <w:sz w:val="22"/>
          <w:szCs w:val="22"/>
        </w:rPr>
        <w:t xml:space="preserve"> </w:t>
      </w:r>
      <w:r w:rsidRPr="009E7B83">
        <w:rPr>
          <w:rFonts w:ascii="Palatino Linotype" w:eastAsia="Palatino Linotype" w:hAnsi="Palatino Linotype" w:cs="Palatino Linotype"/>
          <w:b/>
          <w:i/>
          <w:sz w:val="22"/>
          <w:szCs w:val="22"/>
        </w:rPr>
        <w:t xml:space="preserve">Naturaleza jurídica. </w:t>
      </w:r>
      <w:r w:rsidRPr="009E7B83">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9E7B83">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9E7B83">
        <w:rPr>
          <w:rFonts w:ascii="Palatino Linotype" w:eastAsia="Palatino Linotype" w:hAnsi="Palatino Linotype" w:cs="Palatino Linotype"/>
          <w:i/>
          <w:sz w:val="22"/>
          <w:szCs w:val="22"/>
        </w:rPr>
        <w:t>.”</w:t>
      </w:r>
    </w:p>
    <w:p w14:paraId="413DC9F2" w14:textId="77777777" w:rsidR="00B53698" w:rsidRPr="009E7B83" w:rsidRDefault="00B53698" w:rsidP="00B53698">
      <w:pPr>
        <w:spacing w:before="240" w:after="240" w:line="360" w:lineRule="auto"/>
        <w:ind w:right="50"/>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9E7B83">
        <w:rPr>
          <w:rFonts w:ascii="Palatino Linotype" w:eastAsia="Palatino Linotype" w:hAnsi="Palatino Linotype" w:cs="Palatino Linotype"/>
          <w:sz w:val="22"/>
          <w:szCs w:val="22"/>
        </w:rPr>
        <w:t>Responsable</w:t>
      </w:r>
      <w:proofErr w:type="gramEnd"/>
      <w:r w:rsidRPr="009E7B83">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7A792A8B"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49.</w:t>
      </w:r>
      <w:r w:rsidRPr="009E7B83">
        <w:rPr>
          <w:rFonts w:ascii="Palatino Linotype" w:eastAsia="Palatino Linotype" w:hAnsi="Palatino Linotype" w:cs="Palatino Linotype"/>
          <w:i/>
          <w:sz w:val="22"/>
          <w:szCs w:val="22"/>
        </w:rPr>
        <w:t xml:space="preserve"> </w:t>
      </w:r>
      <w:r w:rsidRPr="009E7B83">
        <w:rPr>
          <w:rFonts w:ascii="Palatino Linotype" w:eastAsia="Palatino Linotype" w:hAnsi="Palatino Linotype" w:cs="Palatino Linotype"/>
          <w:b/>
          <w:i/>
          <w:sz w:val="22"/>
          <w:szCs w:val="22"/>
        </w:rPr>
        <w:t>Los Comités de Transparencia</w:t>
      </w:r>
      <w:r w:rsidRPr="009E7B83">
        <w:rPr>
          <w:rFonts w:ascii="Palatino Linotype" w:eastAsia="Palatino Linotype" w:hAnsi="Palatino Linotype" w:cs="Palatino Linotype"/>
          <w:i/>
          <w:sz w:val="22"/>
          <w:szCs w:val="22"/>
        </w:rPr>
        <w:t xml:space="preserve"> tendrán las siguientes atribuciones:</w:t>
      </w:r>
    </w:p>
    <w:p w14:paraId="15620A57" w14:textId="77777777" w:rsidR="00B53698" w:rsidRPr="009E7B83" w:rsidRDefault="00B53698" w:rsidP="00B53698">
      <w:pP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VIII. Aprobar, modificar o revocar la clasificación de la información</w:t>
      </w:r>
      <w:r w:rsidRPr="009E7B83">
        <w:rPr>
          <w:rFonts w:ascii="Palatino Linotype" w:eastAsia="Palatino Linotype" w:hAnsi="Palatino Linotype" w:cs="Palatino Linotype"/>
          <w:i/>
          <w:sz w:val="22"/>
          <w:szCs w:val="22"/>
        </w:rPr>
        <w:t>…”</w:t>
      </w:r>
    </w:p>
    <w:p w14:paraId="6D33582F"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r w:rsidRPr="009E7B83">
        <w:rPr>
          <w:rFonts w:ascii="Palatino Linotype" w:eastAsia="Palatino Linotype" w:hAnsi="Palatino Linotype" w:cs="Palatino Linotype"/>
          <w:b/>
          <w:i/>
          <w:sz w:val="22"/>
          <w:szCs w:val="22"/>
        </w:rPr>
        <w:t>Artículo 53.</w:t>
      </w:r>
      <w:r w:rsidRPr="009E7B83">
        <w:rPr>
          <w:rFonts w:ascii="Palatino Linotype" w:eastAsia="Palatino Linotype" w:hAnsi="Palatino Linotype" w:cs="Palatino Linotype"/>
          <w:i/>
          <w:sz w:val="22"/>
          <w:szCs w:val="22"/>
        </w:rPr>
        <w:t xml:space="preserve"> Las </w:t>
      </w:r>
      <w:r w:rsidRPr="009E7B83">
        <w:rPr>
          <w:rFonts w:ascii="Palatino Linotype" w:eastAsia="Palatino Linotype" w:hAnsi="Palatino Linotype" w:cs="Palatino Linotype"/>
          <w:b/>
          <w:i/>
          <w:sz w:val="22"/>
          <w:szCs w:val="22"/>
        </w:rPr>
        <w:t>Unidades de Transparencia</w:t>
      </w:r>
      <w:r w:rsidRPr="009E7B83">
        <w:rPr>
          <w:rFonts w:ascii="Palatino Linotype" w:eastAsia="Palatino Linotype" w:hAnsi="Palatino Linotype" w:cs="Palatino Linotype"/>
          <w:i/>
          <w:sz w:val="22"/>
          <w:szCs w:val="22"/>
        </w:rPr>
        <w:t xml:space="preserve"> tendrán las siguientes </w:t>
      </w:r>
      <w:r w:rsidRPr="009E7B83">
        <w:rPr>
          <w:rFonts w:ascii="Palatino Linotype" w:eastAsia="Palatino Linotype" w:hAnsi="Palatino Linotype" w:cs="Palatino Linotype"/>
          <w:b/>
          <w:i/>
          <w:sz w:val="22"/>
          <w:szCs w:val="22"/>
        </w:rPr>
        <w:t>funciones</w:t>
      </w:r>
      <w:r w:rsidRPr="009E7B83">
        <w:rPr>
          <w:rFonts w:ascii="Palatino Linotype" w:eastAsia="Palatino Linotype" w:hAnsi="Palatino Linotype" w:cs="Palatino Linotype"/>
          <w:i/>
          <w:sz w:val="22"/>
          <w:szCs w:val="22"/>
        </w:rPr>
        <w:t>:</w:t>
      </w:r>
    </w:p>
    <w:p w14:paraId="65CB0632" w14:textId="77777777" w:rsidR="00B53698" w:rsidRPr="009E7B83" w:rsidRDefault="00B53698" w:rsidP="00B53698">
      <w:pP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X. Presentar ante el Comité, el proyecto de clasificación de información</w:t>
      </w:r>
      <w:r w:rsidRPr="009E7B83">
        <w:rPr>
          <w:rFonts w:ascii="Palatino Linotype" w:eastAsia="Palatino Linotype" w:hAnsi="Palatino Linotype" w:cs="Palatino Linotype"/>
          <w:i/>
          <w:sz w:val="22"/>
          <w:szCs w:val="22"/>
        </w:rPr>
        <w:t xml:space="preserve">…” </w:t>
      </w:r>
    </w:p>
    <w:p w14:paraId="38B9A792"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“Artículo 59.</w:t>
      </w:r>
      <w:r w:rsidRPr="009E7B83">
        <w:rPr>
          <w:rFonts w:ascii="Palatino Linotype" w:eastAsia="Palatino Linotype" w:hAnsi="Palatino Linotype" w:cs="Palatino Linotype"/>
          <w:i/>
          <w:sz w:val="22"/>
          <w:szCs w:val="22"/>
        </w:rPr>
        <w:t xml:space="preserve"> Los </w:t>
      </w:r>
      <w:r w:rsidRPr="009E7B83">
        <w:rPr>
          <w:rFonts w:ascii="Palatino Linotype" w:eastAsia="Palatino Linotype" w:hAnsi="Palatino Linotype" w:cs="Palatino Linotype"/>
          <w:b/>
          <w:i/>
          <w:sz w:val="22"/>
          <w:szCs w:val="22"/>
        </w:rPr>
        <w:t>servidores públicos habilitados</w:t>
      </w:r>
      <w:r w:rsidRPr="009E7B83">
        <w:rPr>
          <w:rFonts w:ascii="Palatino Linotype" w:eastAsia="Palatino Linotype" w:hAnsi="Palatino Linotype" w:cs="Palatino Linotype"/>
          <w:i/>
          <w:sz w:val="22"/>
          <w:szCs w:val="22"/>
        </w:rPr>
        <w:t xml:space="preserve"> tendrán las </w:t>
      </w:r>
      <w:r w:rsidRPr="009E7B83">
        <w:rPr>
          <w:rFonts w:ascii="Palatino Linotype" w:eastAsia="Palatino Linotype" w:hAnsi="Palatino Linotype" w:cs="Palatino Linotype"/>
          <w:b/>
          <w:i/>
          <w:sz w:val="22"/>
          <w:szCs w:val="22"/>
        </w:rPr>
        <w:t>funciones</w:t>
      </w:r>
      <w:r w:rsidRPr="009E7B83">
        <w:rPr>
          <w:rFonts w:ascii="Palatino Linotype" w:eastAsia="Palatino Linotype" w:hAnsi="Palatino Linotype" w:cs="Palatino Linotype"/>
          <w:i/>
          <w:sz w:val="22"/>
          <w:szCs w:val="22"/>
        </w:rPr>
        <w:t xml:space="preserve"> siguientes:</w:t>
      </w:r>
    </w:p>
    <w:p w14:paraId="455E6C19" w14:textId="77777777" w:rsidR="00B53698" w:rsidRPr="009E7B83" w:rsidRDefault="00B53698" w:rsidP="00B53698">
      <w:pP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9E7B83">
        <w:rPr>
          <w:rFonts w:ascii="Palatino Linotype" w:eastAsia="Palatino Linotype" w:hAnsi="Palatino Linotype" w:cs="Palatino Linotype"/>
          <w:i/>
          <w:sz w:val="22"/>
          <w:szCs w:val="22"/>
        </w:rPr>
        <w:t>, la cual tendrá los fundamentos y argumentos en que se basa dicha propuesta…”</w:t>
      </w:r>
    </w:p>
    <w:p w14:paraId="5265CFAD"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6DCFC76"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6CE01D4"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r w:rsidRPr="009E7B83">
        <w:rPr>
          <w:rFonts w:ascii="Palatino Linotype" w:eastAsia="Palatino Linotype" w:hAnsi="Palatino Linotype" w:cs="Palatino Linotype"/>
          <w:b/>
          <w:i/>
          <w:sz w:val="22"/>
          <w:szCs w:val="22"/>
        </w:rPr>
        <w:t>Artículo 149.</w:t>
      </w:r>
      <w:r w:rsidRPr="009E7B83">
        <w:rPr>
          <w:rFonts w:ascii="Palatino Linotype" w:eastAsia="Palatino Linotype" w:hAnsi="Palatino Linotype" w:cs="Palatino Linotype"/>
          <w:i/>
          <w:sz w:val="22"/>
          <w:szCs w:val="22"/>
        </w:rPr>
        <w:t xml:space="preserve"> El </w:t>
      </w:r>
      <w:r w:rsidRPr="009E7B83">
        <w:rPr>
          <w:rFonts w:ascii="Palatino Linotype" w:eastAsia="Palatino Linotype" w:hAnsi="Palatino Linotype" w:cs="Palatino Linotype"/>
          <w:b/>
          <w:i/>
          <w:sz w:val="22"/>
          <w:szCs w:val="22"/>
        </w:rPr>
        <w:t>acuerdo que clasifique la información como confidencial</w:t>
      </w:r>
      <w:r w:rsidRPr="009E7B8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2828D605" w14:textId="77777777" w:rsidR="00B53698" w:rsidRPr="009E7B83" w:rsidRDefault="00B53698" w:rsidP="00B53698">
      <w:pPr>
        <w:spacing w:before="240" w:after="240" w:line="360" w:lineRule="auto"/>
        <w:ind w:right="51"/>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Es decir, el </w:t>
      </w:r>
      <w:r w:rsidRPr="009E7B83">
        <w:rPr>
          <w:rFonts w:ascii="Palatino Linotype" w:eastAsia="Palatino Linotype" w:hAnsi="Palatino Linotype" w:cs="Palatino Linotype"/>
          <w:b/>
          <w:sz w:val="22"/>
          <w:szCs w:val="22"/>
        </w:rPr>
        <w:t>Sujeto Obligado</w:t>
      </w:r>
      <w:r w:rsidRPr="009E7B83">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41A7338A" w14:textId="77777777" w:rsidR="00B53698" w:rsidRPr="009E7B83" w:rsidRDefault="00B53698" w:rsidP="00B5369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9E7B83">
        <w:rPr>
          <w:rFonts w:ascii="Palatino Linotype" w:eastAsia="Palatino Linotype" w:hAnsi="Palatino Linotype" w:cs="Palatino Linotype"/>
          <w:b/>
          <w:sz w:val="22"/>
          <w:szCs w:val="22"/>
        </w:rPr>
        <w:t>Sujeto Obligado</w:t>
      </w:r>
      <w:r w:rsidRPr="009E7B83">
        <w:rPr>
          <w:rFonts w:ascii="Palatino Linotype" w:eastAsia="Palatino Linotype" w:hAnsi="Palatino Linotype" w:cs="Palatino Linotype"/>
          <w:sz w:val="22"/>
          <w:szCs w:val="22"/>
        </w:rPr>
        <w:t xml:space="preserve"> a través de su Comité de Transparencia, los Lineamientos </w:t>
      </w:r>
      <w:r w:rsidRPr="009E7B83">
        <w:rPr>
          <w:rFonts w:ascii="Palatino Linotype" w:eastAsia="Palatino Linotype" w:hAnsi="Palatino Linotype" w:cs="Palatino Linotype"/>
          <w:sz w:val="22"/>
          <w:szCs w:val="22"/>
        </w:rPr>
        <w:lastRenderedPageBreak/>
        <w:t>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4671180A"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 xml:space="preserve"> “Quincuagésimo. </w:t>
      </w:r>
      <w:r w:rsidRPr="009E7B83">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BB4087A" w14:textId="77777777" w:rsidR="00B53698" w:rsidRPr="009E7B83" w:rsidRDefault="00B53698" w:rsidP="00B5369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 xml:space="preserve">Quincuagésimo primero. </w:t>
      </w:r>
      <w:r w:rsidRPr="009E7B83">
        <w:rPr>
          <w:rFonts w:ascii="Palatino Linotype" w:eastAsia="Palatino Linotype" w:hAnsi="Palatino Linotype" w:cs="Palatino Linotype"/>
          <w:i/>
          <w:sz w:val="22"/>
          <w:szCs w:val="22"/>
        </w:rPr>
        <w:t xml:space="preserve">Toda acta del Comité de Transparencia deberá contener: </w:t>
      </w:r>
    </w:p>
    <w:p w14:paraId="44B63026" w14:textId="77777777" w:rsidR="00B53698" w:rsidRPr="009E7B83" w:rsidRDefault="00B53698" w:rsidP="00B5369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El número de sesión y fecha; </w:t>
      </w:r>
    </w:p>
    <w:p w14:paraId="1C61F727" w14:textId="77777777" w:rsidR="00B53698" w:rsidRPr="009E7B83" w:rsidRDefault="00B53698" w:rsidP="00B5369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El nombre del área que solicitó la clasificación de información; </w:t>
      </w:r>
    </w:p>
    <w:p w14:paraId="7553425F" w14:textId="77777777" w:rsidR="00B53698" w:rsidRPr="009E7B83" w:rsidRDefault="00B53698" w:rsidP="00B5369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La fundamentación legal y motivación correspondiente; </w:t>
      </w:r>
    </w:p>
    <w:p w14:paraId="162620FD" w14:textId="77777777" w:rsidR="00B53698" w:rsidRPr="009E7B83" w:rsidRDefault="00B53698" w:rsidP="00B5369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IV</w:t>
      </w:r>
      <w:r w:rsidRPr="009E7B83">
        <w:rPr>
          <w:rFonts w:ascii="Palatino Linotype" w:eastAsia="Palatino Linotype" w:hAnsi="Palatino Linotype" w:cs="Palatino Linotype"/>
          <w:i/>
          <w:sz w:val="22"/>
          <w:szCs w:val="22"/>
        </w:rPr>
        <w:t xml:space="preserve">. La resolución o resoluciones aprobadas; y </w:t>
      </w:r>
    </w:p>
    <w:p w14:paraId="4FCC41BB" w14:textId="77777777" w:rsidR="00B53698" w:rsidRPr="009E7B83" w:rsidRDefault="00B53698" w:rsidP="00B5369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V</w:t>
      </w:r>
      <w:r w:rsidRPr="009E7B83">
        <w:rPr>
          <w:rFonts w:ascii="Palatino Linotype" w:eastAsia="Palatino Linotype" w:hAnsi="Palatino Linotype" w:cs="Palatino Linotype"/>
          <w:i/>
          <w:sz w:val="22"/>
          <w:szCs w:val="22"/>
        </w:rPr>
        <w:t xml:space="preserve">. La rúbrica o firma digital de cada integrante del Comité de Transparencia. </w:t>
      </w:r>
    </w:p>
    <w:p w14:paraId="6A028922" w14:textId="77777777" w:rsidR="00B53698" w:rsidRPr="009E7B83" w:rsidRDefault="00B53698" w:rsidP="00B5369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E53D442" w14:textId="77777777" w:rsidR="00B53698" w:rsidRPr="009E7B83" w:rsidRDefault="00B53698" w:rsidP="00B5369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102F24B" w14:textId="77777777" w:rsidR="00B53698" w:rsidRPr="009E7B83" w:rsidRDefault="00B53698" w:rsidP="00B53698">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Descripción de las partes o secciones reservadas, en caso de clasificación parcial</w:t>
      </w:r>
      <w:r w:rsidRPr="009E7B83">
        <w:rPr>
          <w:rFonts w:ascii="Palatino Linotype" w:eastAsia="Palatino Linotype" w:hAnsi="Palatino Linotype" w:cs="Palatino Linotype"/>
          <w:b/>
          <w:i/>
          <w:sz w:val="22"/>
          <w:szCs w:val="22"/>
        </w:rPr>
        <w:t xml:space="preserve">; </w:t>
      </w:r>
    </w:p>
    <w:p w14:paraId="19160D14" w14:textId="77777777" w:rsidR="00B53698" w:rsidRPr="009E7B83" w:rsidRDefault="00B53698" w:rsidP="00B5369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El periodo por el que mantendrá su clasificación y fecha de expiración; y </w:t>
      </w:r>
    </w:p>
    <w:p w14:paraId="7E00660B" w14:textId="77777777" w:rsidR="00B53698" w:rsidRPr="009E7B83" w:rsidRDefault="00B53698" w:rsidP="00B5369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IV.</w:t>
      </w:r>
      <w:r w:rsidRPr="009E7B83">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7057B385" w14:textId="77777777" w:rsidR="00B53698" w:rsidRPr="009E7B83" w:rsidRDefault="00B53698" w:rsidP="00B5369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F8EFB83" w14:textId="77777777" w:rsidR="00B53698" w:rsidRPr="009E7B83" w:rsidRDefault="00B53698" w:rsidP="00B5369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B53B6B7" w14:textId="77777777" w:rsidR="00B53698" w:rsidRPr="009E7B83" w:rsidRDefault="00B53698" w:rsidP="00B53698">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Para la elaboración de las versiones públicas, además, se deberán observar las formalidades establecidas en los Lineamientos Quincuagésimo segundo, Quincuagésimo cuarto, </w:t>
      </w:r>
      <w:r w:rsidRPr="009E7B83">
        <w:rPr>
          <w:rFonts w:ascii="Palatino Linotype" w:eastAsia="Palatino Linotype" w:hAnsi="Palatino Linotype" w:cs="Palatino Linotype"/>
          <w:sz w:val="22"/>
          <w:szCs w:val="22"/>
        </w:rPr>
        <w:lastRenderedPageBreak/>
        <w:t>Quincuagésimo quinto, Quincuagésimo séptimo y Quincuagésimo octavo, que establecen lo siguiente:</w:t>
      </w:r>
    </w:p>
    <w:p w14:paraId="35957A80" w14:textId="77777777" w:rsidR="00B53698" w:rsidRPr="009E7B83" w:rsidRDefault="00B53698" w:rsidP="00B53698">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r w:rsidRPr="009E7B83">
        <w:rPr>
          <w:rFonts w:ascii="Palatino Linotype" w:eastAsia="Palatino Linotype" w:hAnsi="Palatino Linotype" w:cs="Palatino Linotype"/>
          <w:b/>
          <w:i/>
          <w:sz w:val="22"/>
          <w:szCs w:val="22"/>
        </w:rPr>
        <w:t>Quincuagésimo segundo</w:t>
      </w:r>
      <w:r w:rsidRPr="009E7B83">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289492E" w14:textId="77777777" w:rsidR="00B53698" w:rsidRPr="009E7B83" w:rsidRDefault="00B53698" w:rsidP="00B53698">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27C94AE5" w14:textId="77777777" w:rsidR="00B53698" w:rsidRPr="009E7B83" w:rsidRDefault="00B53698" w:rsidP="00B53698">
      <w:pPr>
        <w:spacing w:before="120" w:after="120"/>
        <w:ind w:left="1134"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04AFD38" w14:textId="77777777" w:rsidR="00B53698" w:rsidRPr="009E7B83" w:rsidRDefault="00B53698" w:rsidP="00B53698">
      <w:pPr>
        <w:spacing w:before="120" w:after="120"/>
        <w:ind w:left="1134"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07E138DF" w14:textId="77777777" w:rsidR="00B53698" w:rsidRPr="009E7B83" w:rsidRDefault="00B53698" w:rsidP="00B53698">
      <w:pPr>
        <w:spacing w:before="120" w:after="120"/>
        <w:ind w:left="1134"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Señalar las personas o instancias autorizadas a acceder a la información clasificada.</w:t>
      </w:r>
    </w:p>
    <w:p w14:paraId="664F694C" w14:textId="77777777" w:rsidR="00B53698" w:rsidRPr="009E7B83" w:rsidRDefault="00B53698" w:rsidP="00B53698">
      <w:pP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F8781D9" w14:textId="77777777" w:rsidR="00B53698" w:rsidRPr="009E7B83" w:rsidRDefault="00B53698" w:rsidP="00B53698">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w:t>
      </w:r>
    </w:p>
    <w:p w14:paraId="5C8D1143" w14:textId="77777777" w:rsidR="00B53698" w:rsidRPr="009E7B83" w:rsidRDefault="00B53698" w:rsidP="00B53698">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 xml:space="preserve">Quincuagésimo cuarto. </w:t>
      </w:r>
      <w:r w:rsidRPr="009E7B83">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9E7B83">
        <w:rPr>
          <w:rFonts w:ascii="Palatino Linotype" w:eastAsia="Palatino Linotype" w:hAnsi="Palatino Linotype" w:cs="Palatino Linotype"/>
          <w:b/>
          <w:i/>
          <w:sz w:val="22"/>
          <w:szCs w:val="22"/>
        </w:rPr>
        <w:t xml:space="preserve"> </w:t>
      </w:r>
    </w:p>
    <w:p w14:paraId="2ADC105B"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 xml:space="preserve">Quincuagésimo quinto. </w:t>
      </w:r>
      <w:r w:rsidRPr="009E7B83">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9E7B83">
        <w:rPr>
          <w:rFonts w:ascii="Palatino Linotype" w:eastAsia="Palatino Linotype" w:hAnsi="Palatino Linotype" w:cs="Palatino Linotype"/>
          <w:i/>
          <w:sz w:val="22"/>
          <w:szCs w:val="22"/>
        </w:rPr>
        <w:t>testado</w:t>
      </w:r>
      <w:proofErr w:type="spellEnd"/>
      <w:r w:rsidRPr="009E7B83">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76C44CE" w14:textId="77777777" w:rsidR="00B53698" w:rsidRPr="009E7B83" w:rsidRDefault="00B53698" w:rsidP="00B53698">
      <w:pPr>
        <w:spacing w:before="120" w:after="120"/>
        <w:ind w:left="851" w:right="902"/>
        <w:jc w:val="both"/>
        <w:rPr>
          <w:rFonts w:ascii="Palatino Linotype" w:eastAsia="Palatino Linotype" w:hAnsi="Palatino Linotype" w:cs="Palatino Linotype"/>
          <w:b/>
          <w:i/>
          <w:sz w:val="22"/>
          <w:szCs w:val="22"/>
        </w:rPr>
      </w:pPr>
      <w:r w:rsidRPr="009E7B83">
        <w:rPr>
          <w:rFonts w:ascii="Palatino Linotype" w:eastAsia="Palatino Linotype" w:hAnsi="Palatino Linotype" w:cs="Palatino Linotype"/>
          <w:b/>
          <w:i/>
          <w:sz w:val="22"/>
          <w:szCs w:val="22"/>
        </w:rPr>
        <w:t>...</w:t>
      </w:r>
    </w:p>
    <w:p w14:paraId="6F987331"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lastRenderedPageBreak/>
        <w:t>Quincuagésimo séptimo</w:t>
      </w:r>
      <w:r w:rsidRPr="009E7B83">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6880F45" w14:textId="77777777" w:rsidR="00B53698" w:rsidRPr="009E7B83" w:rsidRDefault="00B53698" w:rsidP="00B53698">
      <w:pP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w:t>
      </w:r>
      <w:r w:rsidRPr="009E7B83">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CBE9644" w14:textId="77777777" w:rsidR="00B53698" w:rsidRPr="009E7B83" w:rsidRDefault="00B53698" w:rsidP="00B53698">
      <w:pP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w:t>
      </w:r>
      <w:r w:rsidRPr="009E7B83">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697A47D" w14:textId="77777777" w:rsidR="00B53698" w:rsidRPr="009E7B83" w:rsidRDefault="00B53698" w:rsidP="00B53698">
      <w:pPr>
        <w:spacing w:before="120" w:after="120"/>
        <w:ind w:left="1134"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b/>
          <w:i/>
          <w:sz w:val="22"/>
          <w:szCs w:val="22"/>
        </w:rPr>
        <w:t>III</w:t>
      </w:r>
      <w:r w:rsidRPr="009E7B83">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28E3DED" w14:textId="77777777" w:rsidR="00B53698" w:rsidRPr="009E7B83" w:rsidRDefault="00B53698" w:rsidP="00B53698">
      <w:pPr>
        <w:spacing w:before="120" w:after="120"/>
        <w:ind w:left="851" w:right="902"/>
        <w:jc w:val="both"/>
        <w:rPr>
          <w:rFonts w:ascii="Palatino Linotype" w:eastAsia="Palatino Linotype" w:hAnsi="Palatino Linotype" w:cs="Palatino Linotype"/>
          <w:i/>
          <w:sz w:val="22"/>
          <w:szCs w:val="22"/>
        </w:rPr>
      </w:pPr>
      <w:r w:rsidRPr="009E7B83">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40E0582" w14:textId="05EAAA3B" w:rsidR="00422AF6" w:rsidRPr="009E7B83" w:rsidRDefault="00B53698" w:rsidP="00B53698">
      <w:pPr>
        <w:tabs>
          <w:tab w:val="left" w:pos="709"/>
        </w:tabs>
        <w:spacing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i/>
          <w:sz w:val="22"/>
          <w:szCs w:val="22"/>
        </w:rPr>
        <w:t>Quincuagésimo octavo</w:t>
      </w:r>
      <w:r w:rsidRPr="009E7B83">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r w:rsidR="0067296C" w:rsidRPr="009E7B83">
        <w:rPr>
          <w:rFonts w:ascii="Palatino Linotype" w:eastAsia="Palatino Linotype" w:hAnsi="Palatino Linotype" w:cs="Palatino Linotype"/>
          <w:sz w:val="22"/>
          <w:szCs w:val="22"/>
        </w:rPr>
        <w:t>.</w:t>
      </w:r>
    </w:p>
    <w:p w14:paraId="78F5F609" w14:textId="682335EB" w:rsidR="00422AF6" w:rsidRPr="009E7B83" w:rsidRDefault="0067296C">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Por lo anteriormente expuesto y con fundamento en lo prescrito en los artículos 5 párrafos trigésimo noveno, cuadragésimo y cuadragésimo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14:paraId="0EEC9EC0" w14:textId="77777777" w:rsidR="00422AF6" w:rsidRPr="009E7B83" w:rsidRDefault="0067296C">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color w:val="000000"/>
          <w:sz w:val="22"/>
          <w:szCs w:val="22"/>
        </w:rPr>
      </w:pPr>
      <w:r w:rsidRPr="009E7B83">
        <w:rPr>
          <w:rFonts w:ascii="Palatino Linotype" w:eastAsia="Palatino Linotype" w:hAnsi="Palatino Linotype" w:cs="Palatino Linotype"/>
          <w:b/>
          <w:color w:val="000000"/>
          <w:sz w:val="22"/>
          <w:szCs w:val="22"/>
        </w:rPr>
        <w:t>R E S U E L V E:</w:t>
      </w:r>
    </w:p>
    <w:p w14:paraId="2692D962" w14:textId="4F2BC495" w:rsidR="00422AF6" w:rsidRPr="009E7B83" w:rsidRDefault="0067296C">
      <w:pPr>
        <w:spacing w:before="240" w:after="240" w:line="360" w:lineRule="auto"/>
        <w:jc w:val="both"/>
        <w:rPr>
          <w:rFonts w:ascii="Palatino Linotype" w:eastAsia="Palatino Linotype" w:hAnsi="Palatino Linotype" w:cs="Palatino Linotype"/>
          <w:b/>
          <w:sz w:val="22"/>
          <w:szCs w:val="22"/>
        </w:rPr>
      </w:pPr>
      <w:r w:rsidRPr="009E7B83">
        <w:rPr>
          <w:rFonts w:ascii="Palatino Linotype" w:eastAsia="Palatino Linotype" w:hAnsi="Palatino Linotype" w:cs="Palatino Linotype"/>
          <w:b/>
          <w:sz w:val="22"/>
          <w:szCs w:val="22"/>
        </w:rPr>
        <w:t xml:space="preserve">Primero. </w:t>
      </w:r>
      <w:r w:rsidRPr="009E7B83">
        <w:rPr>
          <w:rFonts w:ascii="Palatino Linotype" w:eastAsia="Palatino Linotype" w:hAnsi="Palatino Linotype" w:cs="Palatino Linotype"/>
          <w:sz w:val="22"/>
          <w:szCs w:val="22"/>
        </w:rPr>
        <w:t>Resultan</w:t>
      </w:r>
      <w:r w:rsidRPr="009E7B83">
        <w:rPr>
          <w:rFonts w:ascii="Palatino Linotype" w:eastAsia="Palatino Linotype" w:hAnsi="Palatino Linotype" w:cs="Palatino Linotype"/>
          <w:b/>
          <w:sz w:val="22"/>
          <w:szCs w:val="22"/>
        </w:rPr>
        <w:t xml:space="preserve"> fundados </w:t>
      </w:r>
      <w:r w:rsidRPr="009E7B83">
        <w:rPr>
          <w:rFonts w:ascii="Palatino Linotype" w:eastAsia="Palatino Linotype" w:hAnsi="Palatino Linotype" w:cs="Palatino Linotype"/>
          <w:sz w:val="22"/>
          <w:szCs w:val="22"/>
        </w:rPr>
        <w:t xml:space="preserve">los motivos de inconformidad hechos valer por </w:t>
      </w:r>
      <w:r w:rsidRPr="009E7B83">
        <w:rPr>
          <w:rFonts w:ascii="Palatino Linotype" w:eastAsia="Palatino Linotype" w:hAnsi="Palatino Linotype" w:cs="Palatino Linotype"/>
          <w:b/>
          <w:sz w:val="22"/>
          <w:szCs w:val="22"/>
        </w:rPr>
        <w:t>la parte Recurrente</w:t>
      </w:r>
      <w:r w:rsidRPr="009E7B83">
        <w:rPr>
          <w:rFonts w:ascii="Palatino Linotype" w:eastAsia="Palatino Linotype" w:hAnsi="Palatino Linotype" w:cs="Palatino Linotype"/>
          <w:sz w:val="22"/>
          <w:szCs w:val="22"/>
        </w:rPr>
        <w:t xml:space="preserve"> en los Recursos de Revisión</w:t>
      </w:r>
      <w:r w:rsidRPr="009E7B83">
        <w:rPr>
          <w:rFonts w:ascii="Palatino Linotype" w:eastAsia="Palatino Linotype" w:hAnsi="Palatino Linotype" w:cs="Palatino Linotype"/>
          <w:b/>
          <w:sz w:val="22"/>
          <w:szCs w:val="22"/>
        </w:rPr>
        <w:t xml:space="preserve"> </w:t>
      </w:r>
      <w:r w:rsidR="00B949AB" w:rsidRPr="009E7B83">
        <w:rPr>
          <w:rFonts w:ascii="Palatino Linotype" w:eastAsia="Palatino Linotype" w:hAnsi="Palatino Linotype" w:cs="Palatino Linotype"/>
          <w:b/>
          <w:color w:val="000000"/>
          <w:sz w:val="22"/>
          <w:szCs w:val="22"/>
        </w:rPr>
        <w:t>04504/INFOEM/IP/RR/2025</w:t>
      </w:r>
      <w:r w:rsidRPr="009E7B83">
        <w:rPr>
          <w:rFonts w:ascii="Palatino Linotype" w:eastAsia="Palatino Linotype" w:hAnsi="Palatino Linotype" w:cs="Palatino Linotype"/>
          <w:b/>
          <w:color w:val="000000"/>
          <w:sz w:val="22"/>
          <w:szCs w:val="22"/>
        </w:rPr>
        <w:t xml:space="preserve">, </w:t>
      </w:r>
      <w:r w:rsidRPr="009E7B83">
        <w:rPr>
          <w:rFonts w:ascii="Palatino Linotype" w:eastAsia="Palatino Linotype" w:hAnsi="Palatino Linotype" w:cs="Palatino Linotype"/>
          <w:color w:val="000000"/>
          <w:sz w:val="22"/>
          <w:szCs w:val="22"/>
        </w:rPr>
        <w:t>por lo que</w:t>
      </w:r>
      <w:r w:rsidRPr="009E7B83">
        <w:rPr>
          <w:rFonts w:ascii="Palatino Linotype" w:eastAsia="Palatino Linotype" w:hAnsi="Palatino Linotype" w:cs="Palatino Linotype"/>
          <w:b/>
          <w:color w:val="000000"/>
          <w:sz w:val="22"/>
          <w:szCs w:val="22"/>
        </w:rPr>
        <w:t xml:space="preserve">, en términos del Considerando Cuarto </w:t>
      </w:r>
      <w:r w:rsidRPr="009E7B83">
        <w:rPr>
          <w:rFonts w:ascii="Palatino Linotype" w:eastAsia="Palatino Linotype" w:hAnsi="Palatino Linotype" w:cs="Palatino Linotype"/>
          <w:color w:val="000000"/>
          <w:sz w:val="22"/>
          <w:szCs w:val="22"/>
        </w:rPr>
        <w:t>de la presente resolución</w:t>
      </w:r>
      <w:r w:rsidRPr="009E7B83">
        <w:rPr>
          <w:rFonts w:ascii="Palatino Linotype" w:eastAsia="Palatino Linotype" w:hAnsi="Palatino Linotype" w:cs="Palatino Linotype"/>
          <w:b/>
          <w:color w:val="000000"/>
          <w:sz w:val="22"/>
          <w:szCs w:val="22"/>
        </w:rPr>
        <w:t xml:space="preserve">, se </w:t>
      </w:r>
      <w:r w:rsidR="00B949AB" w:rsidRPr="009E7B83">
        <w:rPr>
          <w:rFonts w:ascii="Palatino Linotype" w:eastAsia="Palatino Linotype" w:hAnsi="Palatino Linotype" w:cs="Palatino Linotype"/>
          <w:b/>
          <w:color w:val="000000"/>
          <w:sz w:val="22"/>
          <w:szCs w:val="22"/>
        </w:rPr>
        <w:t>REVOCA</w:t>
      </w:r>
      <w:r w:rsidRPr="009E7B83">
        <w:rPr>
          <w:rFonts w:ascii="Palatino Linotype" w:eastAsia="Palatino Linotype" w:hAnsi="Palatino Linotype" w:cs="Palatino Linotype"/>
          <w:b/>
          <w:sz w:val="22"/>
          <w:szCs w:val="22"/>
        </w:rPr>
        <w:t xml:space="preserve"> </w:t>
      </w:r>
      <w:r w:rsidRPr="009E7B83">
        <w:rPr>
          <w:rFonts w:ascii="Palatino Linotype" w:eastAsia="Palatino Linotype" w:hAnsi="Palatino Linotype" w:cs="Palatino Linotype"/>
          <w:sz w:val="22"/>
          <w:szCs w:val="22"/>
        </w:rPr>
        <w:t>la respuesta del</w:t>
      </w:r>
      <w:r w:rsidRPr="009E7B83">
        <w:rPr>
          <w:rFonts w:ascii="Palatino Linotype" w:eastAsia="Palatino Linotype" w:hAnsi="Palatino Linotype" w:cs="Palatino Linotype"/>
          <w:b/>
          <w:sz w:val="22"/>
          <w:szCs w:val="22"/>
        </w:rPr>
        <w:t xml:space="preserve"> Sujeto Obligado.</w:t>
      </w:r>
    </w:p>
    <w:p w14:paraId="6AAA4FD4" w14:textId="2F62CE35" w:rsidR="00F834DE" w:rsidRPr="009E7B83" w:rsidRDefault="0067296C">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9E7B83">
        <w:rPr>
          <w:rFonts w:ascii="Palatino Linotype" w:eastAsia="Palatino Linotype" w:hAnsi="Palatino Linotype" w:cs="Palatino Linotype"/>
          <w:b/>
          <w:sz w:val="22"/>
          <w:szCs w:val="22"/>
        </w:rPr>
        <w:lastRenderedPageBreak/>
        <w:t xml:space="preserve">Segundo. Se Ordena al Sujeto Obligado </w:t>
      </w:r>
      <w:r w:rsidR="005454DD" w:rsidRPr="009E7B83">
        <w:rPr>
          <w:rFonts w:ascii="Palatino Linotype" w:eastAsia="Palatino Linotype" w:hAnsi="Palatino Linotype" w:cs="Palatino Linotype"/>
          <w:sz w:val="22"/>
          <w:szCs w:val="22"/>
        </w:rPr>
        <w:t>que,</w:t>
      </w:r>
      <w:r w:rsidRPr="009E7B83">
        <w:rPr>
          <w:rFonts w:ascii="Palatino Linotype" w:eastAsia="Palatino Linotype" w:hAnsi="Palatino Linotype" w:cs="Palatino Linotype"/>
          <w:sz w:val="22"/>
          <w:szCs w:val="22"/>
        </w:rPr>
        <w:t xml:space="preserve"> en términos de los</w:t>
      </w:r>
      <w:r w:rsidRPr="009E7B83">
        <w:rPr>
          <w:rFonts w:ascii="Palatino Linotype" w:eastAsia="Palatino Linotype" w:hAnsi="Palatino Linotype" w:cs="Palatino Linotype"/>
          <w:b/>
          <w:sz w:val="22"/>
          <w:szCs w:val="22"/>
        </w:rPr>
        <w:t xml:space="preserve"> </w:t>
      </w:r>
      <w:r w:rsidRPr="009E7B83">
        <w:rPr>
          <w:rFonts w:ascii="Palatino Linotype" w:eastAsia="Palatino Linotype" w:hAnsi="Palatino Linotype" w:cs="Palatino Linotype"/>
          <w:b/>
          <w:color w:val="000000"/>
          <w:sz w:val="22"/>
          <w:szCs w:val="22"/>
        </w:rPr>
        <w:t xml:space="preserve">Considerandos Cuarto y Quinto </w:t>
      </w:r>
      <w:r w:rsidRPr="009E7B83">
        <w:rPr>
          <w:rFonts w:ascii="Palatino Linotype" w:eastAsia="Palatino Linotype" w:hAnsi="Palatino Linotype" w:cs="Palatino Linotype"/>
          <w:sz w:val="22"/>
          <w:szCs w:val="22"/>
        </w:rPr>
        <w:t xml:space="preserve">de esta resolución, haga entrega </w:t>
      </w:r>
      <w:r w:rsidR="00D77D30" w:rsidRPr="009E7B83">
        <w:rPr>
          <w:rFonts w:ascii="Palatino Linotype" w:eastAsia="Palatino Linotype" w:hAnsi="Palatino Linotype" w:cs="Palatino Linotype"/>
          <w:sz w:val="22"/>
          <w:szCs w:val="22"/>
        </w:rPr>
        <w:t xml:space="preserve">previa búsqueda exhaustiva y razonable, </w:t>
      </w:r>
      <w:r w:rsidRPr="009E7B83">
        <w:rPr>
          <w:rFonts w:ascii="Palatino Linotype" w:eastAsia="Palatino Linotype" w:hAnsi="Palatino Linotype" w:cs="Palatino Linotype"/>
          <w:sz w:val="22"/>
          <w:szCs w:val="22"/>
        </w:rPr>
        <w:t xml:space="preserve">a </w:t>
      </w:r>
      <w:r w:rsidRPr="009E7B83">
        <w:rPr>
          <w:rFonts w:ascii="Palatino Linotype" w:eastAsia="Palatino Linotype" w:hAnsi="Palatino Linotype" w:cs="Palatino Linotype"/>
          <w:b/>
          <w:sz w:val="22"/>
          <w:szCs w:val="22"/>
        </w:rPr>
        <w:t>la parte Recurrente a través del SAIMEX</w:t>
      </w:r>
      <w:r w:rsidR="00FE0BFB" w:rsidRPr="009E7B83">
        <w:rPr>
          <w:rFonts w:ascii="Palatino Linotype" w:eastAsia="Palatino Linotype" w:hAnsi="Palatino Linotype" w:cs="Palatino Linotype"/>
          <w:b/>
          <w:sz w:val="22"/>
          <w:szCs w:val="22"/>
        </w:rPr>
        <w:t xml:space="preserve">, </w:t>
      </w:r>
      <w:r w:rsidR="00FE0BFB" w:rsidRPr="009E7B83">
        <w:rPr>
          <w:rFonts w:ascii="Palatino Linotype" w:eastAsia="Palatino Linotype" w:hAnsi="Palatino Linotype" w:cs="Palatino Linotype"/>
          <w:sz w:val="22"/>
          <w:szCs w:val="22"/>
        </w:rPr>
        <w:t>de ser el caso en versión pública,</w:t>
      </w:r>
      <w:r w:rsidR="00F834DE" w:rsidRPr="009E7B83">
        <w:rPr>
          <w:rFonts w:ascii="Palatino Linotype" w:eastAsia="Palatino Linotype" w:hAnsi="Palatino Linotype" w:cs="Palatino Linotype"/>
          <w:sz w:val="22"/>
          <w:szCs w:val="22"/>
        </w:rPr>
        <w:t xml:space="preserve"> la siguiente información</w:t>
      </w:r>
      <w:r w:rsidR="00F834DE" w:rsidRPr="009E7B83">
        <w:rPr>
          <w:rFonts w:ascii="Palatino Linotype" w:eastAsia="Palatino Linotype" w:hAnsi="Palatino Linotype" w:cs="Palatino Linotype"/>
          <w:b/>
          <w:sz w:val="22"/>
          <w:szCs w:val="22"/>
        </w:rPr>
        <w:t>:</w:t>
      </w:r>
    </w:p>
    <w:p w14:paraId="22C55FF1" w14:textId="523738D9" w:rsidR="00F834DE" w:rsidRPr="009E7B83" w:rsidRDefault="00F834DE" w:rsidP="00D77D30">
      <w:pPr>
        <w:pStyle w:val="Prrafodelista"/>
        <w:numPr>
          <w:ilvl w:val="0"/>
          <w:numId w:val="10"/>
        </w:numPr>
        <w:spacing w:before="240" w:after="240" w:line="360" w:lineRule="auto"/>
        <w:jc w:val="both"/>
        <w:rPr>
          <w:rFonts w:ascii="Palatino Linotype" w:eastAsia="Palatino Linotype" w:hAnsi="Palatino Linotype" w:cs="Palatino Linotype"/>
          <w:b/>
          <w:sz w:val="22"/>
          <w:szCs w:val="22"/>
        </w:rPr>
      </w:pPr>
      <w:r w:rsidRPr="009E7B83">
        <w:rPr>
          <w:rFonts w:ascii="Palatino Linotype" w:eastAsia="Palatino Linotype" w:hAnsi="Palatino Linotype" w:cs="Palatino Linotype"/>
          <w:b/>
          <w:sz w:val="22"/>
          <w:szCs w:val="22"/>
        </w:rPr>
        <w:t>Del Parque Recreativo Municipal Ubicado en la Avenida Profesor Isidro Gonzále</w:t>
      </w:r>
      <w:r w:rsidR="004E36C1" w:rsidRPr="009E7B83">
        <w:rPr>
          <w:rFonts w:ascii="Palatino Linotype" w:eastAsia="Palatino Linotype" w:hAnsi="Palatino Linotype" w:cs="Palatino Linotype"/>
          <w:b/>
          <w:sz w:val="22"/>
          <w:szCs w:val="22"/>
        </w:rPr>
        <w:t>z</w:t>
      </w:r>
      <w:r w:rsidRPr="009E7B83">
        <w:rPr>
          <w:rFonts w:ascii="Palatino Linotype" w:eastAsia="Palatino Linotype" w:hAnsi="Palatino Linotype" w:cs="Palatino Linotype"/>
          <w:b/>
          <w:sz w:val="22"/>
          <w:szCs w:val="22"/>
        </w:rPr>
        <w:t>, esquin</w:t>
      </w:r>
      <w:r w:rsidR="00D77D30" w:rsidRPr="009E7B83">
        <w:rPr>
          <w:rFonts w:ascii="Palatino Linotype" w:eastAsia="Palatino Linotype" w:hAnsi="Palatino Linotype" w:cs="Palatino Linotype"/>
          <w:b/>
          <w:sz w:val="22"/>
          <w:szCs w:val="22"/>
        </w:rPr>
        <w:t xml:space="preserve">a Carretera Teoloyucan-Jaltenco, </w:t>
      </w:r>
      <w:r w:rsidRPr="009E7B83">
        <w:rPr>
          <w:rFonts w:ascii="Palatino Linotype" w:eastAsia="Palatino Linotype" w:hAnsi="Palatino Linotype" w:cs="Palatino Linotype"/>
          <w:b/>
          <w:sz w:val="22"/>
          <w:szCs w:val="22"/>
        </w:rPr>
        <w:t>al veinticuatro de marzo de dos mil veinticinco</w:t>
      </w:r>
      <w:r w:rsidR="005454DD" w:rsidRPr="009E7B83">
        <w:rPr>
          <w:rFonts w:ascii="Palatino Linotype" w:eastAsia="Palatino Linotype" w:hAnsi="Palatino Linotype" w:cs="Palatino Linotype"/>
          <w:b/>
          <w:sz w:val="22"/>
          <w:szCs w:val="22"/>
        </w:rPr>
        <w:t>, los documentos donde conste:</w:t>
      </w:r>
    </w:p>
    <w:p w14:paraId="08FE77EC" w14:textId="77777777" w:rsidR="00F834DE" w:rsidRPr="009E7B83" w:rsidRDefault="00F834DE" w:rsidP="00D77D30">
      <w:pPr>
        <w:numPr>
          <w:ilvl w:val="0"/>
          <w:numId w:val="11"/>
        </w:numPr>
        <w:pBdr>
          <w:top w:val="nil"/>
          <w:left w:val="nil"/>
          <w:bottom w:val="nil"/>
          <w:right w:val="nil"/>
          <w:between w:val="nil"/>
        </w:pBdr>
        <w:spacing w:before="240" w:line="360" w:lineRule="auto"/>
        <w:ind w:left="1276"/>
        <w:jc w:val="both"/>
        <w:rPr>
          <w:rFonts w:ascii="Palatino Linotype" w:eastAsia="Palatino Linotype" w:hAnsi="Palatino Linotype" w:cs="Palatino Linotype"/>
          <w:b/>
          <w:color w:val="000000"/>
          <w:sz w:val="22"/>
          <w:szCs w:val="22"/>
        </w:rPr>
      </w:pPr>
      <w:r w:rsidRPr="009E7B83">
        <w:rPr>
          <w:rFonts w:ascii="Palatino Linotype" w:eastAsia="Palatino Linotype" w:hAnsi="Palatino Linotype" w:cs="Palatino Linotype"/>
          <w:b/>
          <w:color w:val="000000"/>
          <w:sz w:val="22"/>
          <w:szCs w:val="22"/>
        </w:rPr>
        <w:t>Presupuesto destinado;</w:t>
      </w:r>
    </w:p>
    <w:p w14:paraId="254B4445" w14:textId="77777777" w:rsidR="00F834DE" w:rsidRPr="009E7B83" w:rsidRDefault="00F834DE" w:rsidP="00D77D30">
      <w:pPr>
        <w:numPr>
          <w:ilvl w:val="0"/>
          <w:numId w:val="11"/>
        </w:numPr>
        <w:pBdr>
          <w:top w:val="nil"/>
          <w:left w:val="nil"/>
          <w:bottom w:val="nil"/>
          <w:right w:val="nil"/>
          <w:between w:val="nil"/>
        </w:pBdr>
        <w:spacing w:before="240" w:line="360" w:lineRule="auto"/>
        <w:ind w:left="1276"/>
        <w:jc w:val="both"/>
        <w:rPr>
          <w:rFonts w:ascii="Palatino Linotype" w:eastAsia="Palatino Linotype" w:hAnsi="Palatino Linotype" w:cs="Palatino Linotype"/>
          <w:b/>
          <w:color w:val="000000"/>
          <w:sz w:val="22"/>
          <w:szCs w:val="22"/>
        </w:rPr>
      </w:pPr>
      <w:r w:rsidRPr="009E7B83">
        <w:rPr>
          <w:rFonts w:ascii="Palatino Linotype" w:eastAsia="Palatino Linotype" w:hAnsi="Palatino Linotype" w:cs="Palatino Linotype"/>
          <w:b/>
          <w:color w:val="000000"/>
          <w:sz w:val="22"/>
          <w:szCs w:val="22"/>
        </w:rPr>
        <w:t>Año de ejecución;</w:t>
      </w:r>
    </w:p>
    <w:p w14:paraId="5386D2FF" w14:textId="77777777" w:rsidR="00F834DE" w:rsidRPr="009E7B83" w:rsidRDefault="00F834DE" w:rsidP="00D77D30">
      <w:pPr>
        <w:numPr>
          <w:ilvl w:val="0"/>
          <w:numId w:val="11"/>
        </w:numPr>
        <w:pBdr>
          <w:top w:val="nil"/>
          <w:left w:val="nil"/>
          <w:bottom w:val="nil"/>
          <w:right w:val="nil"/>
          <w:between w:val="nil"/>
        </w:pBdr>
        <w:spacing w:before="240" w:line="360" w:lineRule="auto"/>
        <w:ind w:left="1276"/>
        <w:jc w:val="both"/>
        <w:rPr>
          <w:rFonts w:ascii="Palatino Linotype" w:eastAsia="Palatino Linotype" w:hAnsi="Palatino Linotype" w:cs="Palatino Linotype"/>
          <w:b/>
          <w:color w:val="000000"/>
          <w:sz w:val="22"/>
          <w:szCs w:val="22"/>
        </w:rPr>
      </w:pPr>
      <w:r w:rsidRPr="009E7B83">
        <w:rPr>
          <w:rFonts w:ascii="Palatino Linotype" w:eastAsia="Palatino Linotype" w:hAnsi="Palatino Linotype" w:cs="Palatino Linotype"/>
          <w:b/>
          <w:color w:val="000000"/>
          <w:sz w:val="22"/>
          <w:szCs w:val="22"/>
        </w:rPr>
        <w:t>Gasto ejercido y desglosado</w:t>
      </w:r>
      <w:r w:rsidR="00E927E7" w:rsidRPr="009E7B83">
        <w:rPr>
          <w:rFonts w:ascii="Palatino Linotype" w:eastAsia="Palatino Linotype" w:hAnsi="Palatino Linotype" w:cs="Palatino Linotype"/>
          <w:b/>
          <w:color w:val="000000"/>
          <w:sz w:val="22"/>
          <w:szCs w:val="22"/>
        </w:rPr>
        <w:t>.</w:t>
      </w:r>
    </w:p>
    <w:p w14:paraId="765968DC" w14:textId="77777777" w:rsidR="00F834DE" w:rsidRPr="009E7B83" w:rsidRDefault="00F834DE" w:rsidP="004E7FF3">
      <w:pPr>
        <w:pBdr>
          <w:top w:val="nil"/>
          <w:left w:val="nil"/>
          <w:bottom w:val="nil"/>
          <w:right w:val="nil"/>
          <w:between w:val="nil"/>
        </w:pBdr>
        <w:ind w:left="284" w:right="560"/>
        <w:jc w:val="both"/>
        <w:rPr>
          <w:rFonts w:ascii="Palatino Linotype" w:eastAsia="Palatino Linotype" w:hAnsi="Palatino Linotype" w:cs="Palatino Linotype"/>
          <w:i/>
          <w:color w:val="000000"/>
          <w:sz w:val="22"/>
          <w:szCs w:val="22"/>
        </w:rPr>
      </w:pPr>
    </w:p>
    <w:p w14:paraId="5F18B329" w14:textId="77777777" w:rsidR="004E7FF3" w:rsidRPr="009E7B83" w:rsidRDefault="004E7FF3" w:rsidP="004E7FF3">
      <w:pPr>
        <w:pBdr>
          <w:top w:val="nil"/>
          <w:left w:val="nil"/>
          <w:bottom w:val="nil"/>
          <w:right w:val="nil"/>
          <w:between w:val="nil"/>
        </w:pBdr>
        <w:ind w:left="284" w:right="560"/>
        <w:jc w:val="both"/>
        <w:rPr>
          <w:rFonts w:ascii="Palatino Linotype" w:eastAsia="Palatino Linotype" w:hAnsi="Palatino Linotype" w:cs="Palatino Linotype"/>
          <w:i/>
          <w:color w:val="000000"/>
          <w:sz w:val="22"/>
          <w:szCs w:val="22"/>
        </w:rPr>
      </w:pPr>
      <w:r w:rsidRPr="009E7B83">
        <w:rPr>
          <w:rFonts w:ascii="Palatino Linotype" w:eastAsia="Palatino Linotype" w:hAnsi="Palatino Linotype" w:cs="Palatino Linotype"/>
          <w:i/>
          <w:color w:val="000000"/>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9E7B83">
        <w:rPr>
          <w:rFonts w:ascii="Palatino Linotype" w:eastAsia="Palatino Linotype" w:hAnsi="Palatino Linotype" w:cs="Palatino Linotype"/>
          <w:b/>
          <w:i/>
          <w:color w:val="000000"/>
          <w:sz w:val="22"/>
          <w:szCs w:val="22"/>
        </w:rPr>
        <w:t>,</w:t>
      </w:r>
      <w:r w:rsidRPr="009E7B83">
        <w:rPr>
          <w:rFonts w:ascii="Palatino Linotype" w:eastAsia="Palatino Linotype" w:hAnsi="Palatino Linotype" w:cs="Palatino Linotype"/>
          <w:i/>
          <w:color w:val="000000"/>
          <w:sz w:val="22"/>
          <w:szCs w:val="22"/>
        </w:rPr>
        <w:t xml:space="preserve"> </w:t>
      </w:r>
      <w:proofErr w:type="gramStart"/>
      <w:r w:rsidRPr="009E7B83">
        <w:rPr>
          <w:rFonts w:ascii="Palatino Linotype" w:eastAsia="Palatino Linotype" w:hAnsi="Palatino Linotype" w:cs="Palatino Linotype"/>
          <w:i/>
          <w:color w:val="000000"/>
          <w:sz w:val="22"/>
          <w:szCs w:val="22"/>
        </w:rPr>
        <w:t>y  se</w:t>
      </w:r>
      <w:proofErr w:type="gramEnd"/>
      <w:r w:rsidRPr="009E7B83">
        <w:rPr>
          <w:rFonts w:ascii="Palatino Linotype" w:eastAsia="Palatino Linotype" w:hAnsi="Palatino Linotype" w:cs="Palatino Linotype"/>
          <w:i/>
          <w:color w:val="000000"/>
          <w:sz w:val="22"/>
          <w:szCs w:val="22"/>
        </w:rPr>
        <w:t xml:space="preserve"> ponga a disposición de la parte Recurrente, en términos de los artículos 49, fracción VIII,  de la Ley de Transparencia y Acceso a la Información Pública del Estado de México y Municipios.</w:t>
      </w:r>
    </w:p>
    <w:p w14:paraId="519E13D2" w14:textId="77777777" w:rsidR="00422AF6" w:rsidRPr="009E7B83" w:rsidRDefault="0067296C">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t xml:space="preserve">Tercero.  Notifíquese vía SAIMEX, </w:t>
      </w:r>
      <w:r w:rsidRPr="009E7B83">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86B36A8" w14:textId="77777777" w:rsidR="00422AF6" w:rsidRPr="009E7B83" w:rsidRDefault="0067296C">
      <w:pPr>
        <w:spacing w:before="240" w:after="240" w:line="360" w:lineRule="auto"/>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b/>
          <w:sz w:val="22"/>
          <w:szCs w:val="22"/>
        </w:rPr>
        <w:lastRenderedPageBreak/>
        <w:t xml:space="preserve">Cuarto. </w:t>
      </w:r>
      <w:r w:rsidRPr="009E7B83">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9E7B83">
        <w:rPr>
          <w:rFonts w:ascii="Palatino Linotype" w:eastAsia="Palatino Linotype" w:hAnsi="Palatino Linotype" w:cs="Palatino Linotype"/>
          <w:b/>
          <w:sz w:val="22"/>
          <w:szCs w:val="22"/>
        </w:rPr>
        <w:t>Sujeto Obligado</w:t>
      </w:r>
      <w:r w:rsidRPr="009E7B83">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41C9CEF" w14:textId="77777777" w:rsidR="00422AF6" w:rsidRPr="009E7B83" w:rsidRDefault="0067296C">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9E7B83">
        <w:rPr>
          <w:rFonts w:ascii="Palatino Linotype" w:eastAsia="Palatino Linotype" w:hAnsi="Palatino Linotype" w:cs="Palatino Linotype"/>
          <w:b/>
          <w:sz w:val="22"/>
          <w:szCs w:val="22"/>
        </w:rPr>
        <w:t xml:space="preserve">Quinto. Notifíquese vía SAIMEX, </w:t>
      </w:r>
      <w:r w:rsidRPr="009E7B83">
        <w:rPr>
          <w:rFonts w:ascii="Palatino Linotype" w:eastAsia="Palatino Linotype" w:hAnsi="Palatino Linotype" w:cs="Palatino Linotype"/>
          <w:sz w:val="22"/>
          <w:szCs w:val="22"/>
        </w:rPr>
        <w:t>a</w:t>
      </w:r>
      <w:r w:rsidRPr="009E7B83">
        <w:rPr>
          <w:rFonts w:ascii="Palatino Linotype" w:eastAsia="Palatino Linotype" w:hAnsi="Palatino Linotype" w:cs="Palatino Linotype"/>
          <w:b/>
          <w:sz w:val="22"/>
          <w:szCs w:val="22"/>
        </w:rPr>
        <w:t xml:space="preserve"> la parte Recurrente</w:t>
      </w:r>
      <w:r w:rsidRPr="009E7B83">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B8CB493" w14:textId="77777777" w:rsidR="00D77D30" w:rsidRPr="009E7B83" w:rsidRDefault="00D77D30">
      <w:pPr>
        <w:spacing w:line="360" w:lineRule="auto"/>
        <w:ind w:right="-93"/>
        <w:jc w:val="both"/>
        <w:rPr>
          <w:rFonts w:ascii="Palatino Linotype" w:eastAsia="Palatino Linotype" w:hAnsi="Palatino Linotype" w:cs="Palatino Linotype"/>
          <w:sz w:val="22"/>
          <w:szCs w:val="22"/>
        </w:rPr>
      </w:pPr>
      <w:bookmarkStart w:id="4" w:name="_heading=h.zgmzruezwlco" w:colFirst="0" w:colLast="0"/>
      <w:bookmarkStart w:id="5" w:name="_heading=h.jl0dlasot4f" w:colFirst="0" w:colLast="0"/>
      <w:bookmarkEnd w:id="4"/>
      <w:bookmarkEnd w:id="5"/>
    </w:p>
    <w:p w14:paraId="6A43CA8D" w14:textId="77777777" w:rsidR="00422AF6" w:rsidRPr="00BA7EAD" w:rsidRDefault="0067296C">
      <w:pPr>
        <w:spacing w:line="360" w:lineRule="auto"/>
        <w:ind w:right="-93"/>
        <w:jc w:val="both"/>
        <w:rPr>
          <w:rFonts w:ascii="Palatino Linotype" w:eastAsia="Palatino Linotype" w:hAnsi="Palatino Linotype" w:cs="Palatino Linotype"/>
          <w:sz w:val="22"/>
          <w:szCs w:val="22"/>
        </w:rPr>
      </w:pPr>
      <w:r w:rsidRPr="009E7B83">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AA114E" w:rsidRPr="009E7B83">
        <w:rPr>
          <w:rFonts w:ascii="Palatino Linotype" w:eastAsia="Palatino Linotype" w:hAnsi="Palatino Linotype" w:cs="Palatino Linotype"/>
          <w:sz w:val="22"/>
          <w:szCs w:val="22"/>
        </w:rPr>
        <w:t>SÉPTIMA</w:t>
      </w:r>
      <w:r w:rsidRPr="009E7B83">
        <w:rPr>
          <w:rFonts w:ascii="Palatino Linotype" w:eastAsia="Palatino Linotype" w:hAnsi="Palatino Linotype" w:cs="Palatino Linotype"/>
          <w:sz w:val="22"/>
          <w:szCs w:val="22"/>
        </w:rPr>
        <w:t xml:space="preserve"> SESIÓN ORDINARIA CELEBRADA EL </w:t>
      </w:r>
      <w:r w:rsidR="00AA114E" w:rsidRPr="009E7B83">
        <w:rPr>
          <w:rFonts w:ascii="Palatino Linotype" w:eastAsia="Palatino Linotype" w:hAnsi="Palatino Linotype" w:cs="Palatino Linotype"/>
          <w:sz w:val="22"/>
          <w:szCs w:val="22"/>
        </w:rPr>
        <w:t>SEIS</w:t>
      </w:r>
      <w:r w:rsidRPr="009E7B83">
        <w:rPr>
          <w:rFonts w:ascii="Palatino Linotype" w:eastAsia="Palatino Linotype" w:hAnsi="Palatino Linotype" w:cs="Palatino Linotype"/>
          <w:sz w:val="22"/>
          <w:szCs w:val="22"/>
        </w:rPr>
        <w:t xml:space="preserve"> DE </w:t>
      </w:r>
      <w:r w:rsidR="00AA114E" w:rsidRPr="009E7B83">
        <w:rPr>
          <w:rFonts w:ascii="Palatino Linotype" w:eastAsia="Palatino Linotype" w:hAnsi="Palatino Linotype" w:cs="Palatino Linotype"/>
          <w:sz w:val="22"/>
          <w:szCs w:val="22"/>
        </w:rPr>
        <w:t>AGOSTO</w:t>
      </w:r>
      <w:r w:rsidRPr="009E7B83">
        <w:rPr>
          <w:rFonts w:ascii="Palatino Linotype" w:eastAsia="Palatino Linotype" w:hAnsi="Palatino Linotype" w:cs="Palatino Linotype"/>
          <w:sz w:val="22"/>
          <w:szCs w:val="22"/>
        </w:rPr>
        <w:t xml:space="preserve"> DE DOS MIL VEINTICINCO, ANTE EL SECRETARIO TÉCNICO DEL PLENO ALEXIS TAPIA RAMÍREZ.</w:t>
      </w:r>
    </w:p>
    <w:p w14:paraId="45BE7676"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36D374A5"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692EA75E"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3DD7C1A7"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192CEADA"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6B3A7619"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3CD1932B"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4F07BCA6"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76DD18F3"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1B130AA8"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448C838E"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5D9FC516"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5558C96A"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4A33BAFA"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3D98EFFF"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2F3BE80C"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2841E91B"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039874FF" w14:textId="77777777" w:rsidR="00422AF6" w:rsidRPr="00BA7EAD" w:rsidRDefault="00422AF6">
      <w:pPr>
        <w:spacing w:line="360" w:lineRule="auto"/>
        <w:ind w:right="-93"/>
        <w:jc w:val="both"/>
        <w:rPr>
          <w:rFonts w:ascii="Palatino Linotype" w:eastAsia="Palatino Linotype" w:hAnsi="Palatino Linotype" w:cs="Palatino Linotype"/>
          <w:sz w:val="22"/>
          <w:szCs w:val="22"/>
        </w:rPr>
      </w:pPr>
    </w:p>
    <w:p w14:paraId="0ACD195B" w14:textId="77777777" w:rsidR="00422AF6" w:rsidRPr="00BA7EAD" w:rsidRDefault="00422AF6">
      <w:pPr>
        <w:spacing w:line="360" w:lineRule="auto"/>
        <w:ind w:right="49"/>
        <w:jc w:val="both"/>
        <w:rPr>
          <w:rFonts w:ascii="Palatino Linotype" w:eastAsia="Palatino Linotype" w:hAnsi="Palatino Linotype" w:cs="Palatino Linotype"/>
          <w:sz w:val="22"/>
          <w:szCs w:val="22"/>
        </w:rPr>
      </w:pPr>
    </w:p>
    <w:sectPr w:rsidR="00422AF6" w:rsidRPr="00BA7EAD">
      <w:headerReference w:type="default" r:id="rId20"/>
      <w:footerReference w:type="default" r:id="rId21"/>
      <w:headerReference w:type="first" r:id="rId22"/>
      <w:footerReference w:type="first" r:id="rId2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896ED" w14:textId="77777777" w:rsidR="004800BD" w:rsidRDefault="004800BD">
      <w:r>
        <w:separator/>
      </w:r>
    </w:p>
  </w:endnote>
  <w:endnote w:type="continuationSeparator" w:id="0">
    <w:p w14:paraId="5AA36160" w14:textId="77777777" w:rsidR="004800BD" w:rsidRDefault="00480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B11" w14:textId="77777777" w:rsidR="00976B6A" w:rsidRDefault="00976B6A">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2B32DA">
      <w:rPr>
        <w:b/>
        <w:noProof/>
        <w:color w:val="000000"/>
      </w:rPr>
      <w:t>58</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2B32DA">
      <w:rPr>
        <w:b/>
        <w:noProof/>
        <w:color w:val="000000"/>
      </w:rPr>
      <w:t>60</w:t>
    </w:r>
    <w:r>
      <w:rPr>
        <w:b/>
        <w:color w:val="000000"/>
      </w:rPr>
      <w:fldChar w:fldCharType="end"/>
    </w:r>
  </w:p>
  <w:p w14:paraId="467EC850" w14:textId="77777777" w:rsidR="00976B6A" w:rsidRDefault="00976B6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7CEE2" w14:textId="77777777" w:rsidR="00976B6A" w:rsidRDefault="00976B6A">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2B32DA">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2B32DA">
      <w:rPr>
        <w:b/>
        <w:noProof/>
        <w:color w:val="000000"/>
      </w:rPr>
      <w:t>60</w:t>
    </w:r>
    <w:r>
      <w:rPr>
        <w:b/>
        <w:color w:val="000000"/>
      </w:rPr>
      <w:fldChar w:fldCharType="end"/>
    </w:r>
  </w:p>
  <w:p w14:paraId="6CD88984" w14:textId="77777777" w:rsidR="00976B6A" w:rsidRDefault="00976B6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5926D" w14:textId="77777777" w:rsidR="004800BD" w:rsidRDefault="004800BD">
      <w:r>
        <w:separator/>
      </w:r>
    </w:p>
  </w:footnote>
  <w:footnote w:type="continuationSeparator" w:id="0">
    <w:p w14:paraId="7223168E" w14:textId="77777777" w:rsidR="004800BD" w:rsidRDefault="00480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BDE7E" w14:textId="77777777" w:rsidR="00976B6A" w:rsidRDefault="00976B6A">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2C5BAD37" wp14:editId="5410EE92">
          <wp:simplePos x="0" y="0"/>
          <wp:positionH relativeFrom="column">
            <wp:posOffset>0</wp:posOffset>
          </wp:positionH>
          <wp:positionV relativeFrom="paragraph">
            <wp:posOffset>-401954</wp:posOffset>
          </wp:positionV>
          <wp:extent cx="7809876" cy="10165823"/>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03" w:type="dxa"/>
      <w:tblInd w:w="3611" w:type="dxa"/>
      <w:tblLayout w:type="fixed"/>
      <w:tblLook w:val="0400" w:firstRow="0" w:lastRow="0" w:firstColumn="0" w:lastColumn="0" w:noHBand="0" w:noVBand="1"/>
    </w:tblPr>
    <w:tblGrid>
      <w:gridCol w:w="2551"/>
      <w:gridCol w:w="3052"/>
    </w:tblGrid>
    <w:tr w:rsidR="00976B6A" w14:paraId="78F79A64" w14:textId="77777777">
      <w:tc>
        <w:tcPr>
          <w:tcW w:w="2551" w:type="dxa"/>
          <w:vAlign w:val="center"/>
        </w:tcPr>
        <w:p w14:paraId="39C39071" w14:textId="77777777" w:rsidR="00976B6A" w:rsidRDefault="00976B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1E8924E1" w14:textId="77777777" w:rsidR="00976B6A" w:rsidRDefault="00976B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0E589FD0" w14:textId="77777777" w:rsidR="00976B6A" w:rsidRDefault="00976B6A" w:rsidP="00B949A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AA114E">
            <w:rPr>
              <w:rFonts w:ascii="Palatino Linotype" w:eastAsia="Palatino Linotype" w:hAnsi="Palatino Linotype" w:cs="Palatino Linotype"/>
              <w:b/>
              <w:color w:val="000000"/>
              <w:sz w:val="22"/>
              <w:szCs w:val="20"/>
            </w:rPr>
            <w:t>0</w:t>
          </w:r>
          <w:r>
            <w:rPr>
              <w:rFonts w:ascii="Palatino Linotype" w:eastAsia="Palatino Linotype" w:hAnsi="Palatino Linotype" w:cs="Palatino Linotype"/>
              <w:b/>
              <w:color w:val="000000"/>
              <w:sz w:val="22"/>
              <w:szCs w:val="20"/>
            </w:rPr>
            <w:t>4504</w:t>
          </w:r>
          <w:r w:rsidRPr="00AA114E">
            <w:rPr>
              <w:rFonts w:ascii="Palatino Linotype" w:eastAsia="Palatino Linotype" w:hAnsi="Palatino Linotype" w:cs="Palatino Linotype"/>
              <w:b/>
              <w:color w:val="000000"/>
              <w:sz w:val="22"/>
              <w:szCs w:val="20"/>
            </w:rPr>
            <w:t>/INFOEM/IP/RR/2025</w:t>
          </w:r>
        </w:p>
      </w:tc>
    </w:tr>
    <w:tr w:rsidR="00976B6A" w14:paraId="5F71411D" w14:textId="77777777">
      <w:trPr>
        <w:trHeight w:val="217"/>
      </w:trPr>
      <w:tc>
        <w:tcPr>
          <w:tcW w:w="2551" w:type="dxa"/>
          <w:vAlign w:val="center"/>
        </w:tcPr>
        <w:p w14:paraId="4DEAF87F" w14:textId="77777777" w:rsidR="00976B6A" w:rsidRDefault="00976B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4A4BF7E1" w14:textId="77777777" w:rsidR="00976B6A" w:rsidRDefault="00976B6A">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0"/>
              <w:szCs w:val="20"/>
            </w:rPr>
            <w:t>Ayuntamiento de Jaltenco</w:t>
          </w:r>
        </w:p>
      </w:tc>
    </w:tr>
    <w:tr w:rsidR="00976B6A" w14:paraId="4C976B78" w14:textId="77777777">
      <w:tc>
        <w:tcPr>
          <w:tcW w:w="2551" w:type="dxa"/>
          <w:vAlign w:val="center"/>
        </w:tcPr>
        <w:p w14:paraId="16DBCF3A" w14:textId="77777777" w:rsidR="00976B6A" w:rsidRDefault="00976B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09A9A7CF" w14:textId="77777777" w:rsidR="00976B6A" w:rsidRDefault="00976B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6802A811" w14:textId="77777777" w:rsidR="00976B6A" w:rsidRDefault="00976B6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6434" w14:textId="77777777" w:rsidR="00976B6A" w:rsidRDefault="00976B6A">
    <w:pPr>
      <w:widowControl w:val="0"/>
      <w:pBdr>
        <w:top w:val="nil"/>
        <w:left w:val="nil"/>
        <w:bottom w:val="nil"/>
        <w:right w:val="nil"/>
        <w:between w:val="nil"/>
      </w:pBdr>
      <w:rPr>
        <w:rFonts w:ascii="Palatino Linotype" w:eastAsia="Palatino Linotype" w:hAnsi="Palatino Linotype" w:cs="Palatino Linotype"/>
        <w:sz w:val="22"/>
        <w:szCs w:val="22"/>
      </w:rPr>
    </w:pPr>
  </w:p>
  <w:tbl>
    <w:tblPr>
      <w:tblStyle w:val="af5"/>
      <w:tblW w:w="5603" w:type="dxa"/>
      <w:tblInd w:w="3611" w:type="dxa"/>
      <w:tblLayout w:type="fixed"/>
      <w:tblLook w:val="0400" w:firstRow="0" w:lastRow="0" w:firstColumn="0" w:lastColumn="0" w:noHBand="0" w:noVBand="1"/>
    </w:tblPr>
    <w:tblGrid>
      <w:gridCol w:w="2551"/>
      <w:gridCol w:w="3052"/>
    </w:tblGrid>
    <w:tr w:rsidR="00976B6A" w14:paraId="40EC8C6F" w14:textId="77777777">
      <w:tc>
        <w:tcPr>
          <w:tcW w:w="2551" w:type="dxa"/>
          <w:vAlign w:val="center"/>
        </w:tcPr>
        <w:p w14:paraId="63FBFD99" w14:textId="77777777" w:rsidR="00976B6A" w:rsidRDefault="00976B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553CC733" w14:textId="77777777" w:rsidR="00976B6A" w:rsidRDefault="00976B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17B2C998" w14:textId="77777777" w:rsidR="00976B6A" w:rsidRDefault="00976B6A" w:rsidP="00AA114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sidRPr="00AA114E">
            <w:rPr>
              <w:rFonts w:ascii="Palatino Linotype" w:eastAsia="Palatino Linotype" w:hAnsi="Palatino Linotype" w:cs="Palatino Linotype"/>
              <w:b/>
              <w:color w:val="000000"/>
              <w:sz w:val="22"/>
              <w:szCs w:val="20"/>
            </w:rPr>
            <w:t>0</w:t>
          </w:r>
          <w:r>
            <w:rPr>
              <w:rFonts w:ascii="Palatino Linotype" w:eastAsia="Palatino Linotype" w:hAnsi="Palatino Linotype" w:cs="Palatino Linotype"/>
              <w:b/>
              <w:color w:val="000000"/>
              <w:sz w:val="22"/>
              <w:szCs w:val="20"/>
            </w:rPr>
            <w:t>4504</w:t>
          </w:r>
          <w:r w:rsidRPr="00AA114E">
            <w:rPr>
              <w:rFonts w:ascii="Palatino Linotype" w:eastAsia="Palatino Linotype" w:hAnsi="Palatino Linotype" w:cs="Palatino Linotype"/>
              <w:b/>
              <w:color w:val="000000"/>
              <w:sz w:val="22"/>
              <w:szCs w:val="20"/>
            </w:rPr>
            <w:t>/INFOEM/IP/RR/2025</w:t>
          </w:r>
        </w:p>
      </w:tc>
    </w:tr>
    <w:tr w:rsidR="00976B6A" w14:paraId="26F20C8D" w14:textId="77777777">
      <w:tc>
        <w:tcPr>
          <w:tcW w:w="2551" w:type="dxa"/>
          <w:vAlign w:val="center"/>
        </w:tcPr>
        <w:p w14:paraId="4DD44B5A" w14:textId="77777777" w:rsidR="00976B6A" w:rsidRDefault="00976B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bookmarkStart w:id="6" w:name="_Hlk207731108"/>
          <w:r>
            <w:rPr>
              <w:rFonts w:ascii="Palatino Linotype" w:eastAsia="Palatino Linotype" w:hAnsi="Palatino Linotype" w:cs="Palatino Linotype"/>
              <w:b/>
              <w:color w:val="000000"/>
              <w:sz w:val="20"/>
              <w:szCs w:val="20"/>
            </w:rPr>
            <w:t>Recurrente:</w:t>
          </w:r>
          <w:r>
            <w:rPr>
              <w:noProof/>
            </w:rPr>
            <w:drawing>
              <wp:anchor distT="0" distB="0" distL="0" distR="0" simplePos="0" relativeHeight="251659264" behindDoc="1" locked="0" layoutInCell="1" hidden="0" allowOverlap="1" wp14:anchorId="289D3DD8" wp14:editId="335A430A">
                <wp:simplePos x="0" y="0"/>
                <wp:positionH relativeFrom="column">
                  <wp:posOffset>-3248024</wp:posOffset>
                </wp:positionH>
                <wp:positionV relativeFrom="paragraph">
                  <wp:posOffset>-1014093</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c>
        <w:tcPr>
          <w:tcW w:w="3052" w:type="dxa"/>
          <w:vAlign w:val="center"/>
        </w:tcPr>
        <w:p w14:paraId="645B8B0B" w14:textId="08E3AF22" w:rsidR="00976B6A" w:rsidRDefault="006914F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XXXXXXXXXXXXX X </w:t>
          </w:r>
        </w:p>
      </w:tc>
    </w:tr>
    <w:bookmarkEnd w:id="6"/>
    <w:tr w:rsidR="00976B6A" w14:paraId="5C2769EF" w14:textId="77777777">
      <w:trPr>
        <w:trHeight w:val="152"/>
      </w:trPr>
      <w:tc>
        <w:tcPr>
          <w:tcW w:w="2551" w:type="dxa"/>
          <w:vAlign w:val="center"/>
        </w:tcPr>
        <w:p w14:paraId="2ED831C0" w14:textId="77777777" w:rsidR="00976B6A" w:rsidRDefault="00976B6A">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6F952E4" w14:textId="77777777" w:rsidR="00976B6A" w:rsidRDefault="00976B6A">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15EDBAE4" w14:textId="77777777" w:rsidR="00976B6A" w:rsidRDefault="00976B6A">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Ayuntamiento de Jaltenco</w:t>
          </w:r>
        </w:p>
      </w:tc>
    </w:tr>
    <w:tr w:rsidR="00976B6A" w14:paraId="12A2BBE4" w14:textId="77777777">
      <w:tc>
        <w:tcPr>
          <w:tcW w:w="2551" w:type="dxa"/>
          <w:vAlign w:val="center"/>
        </w:tcPr>
        <w:p w14:paraId="6F17DCFF" w14:textId="77777777" w:rsidR="00976B6A" w:rsidRDefault="00976B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0186276A" w14:textId="77777777" w:rsidR="00976B6A" w:rsidRDefault="00976B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080EDE05" w14:textId="77777777" w:rsidR="00976B6A" w:rsidRDefault="00976B6A">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7D65"/>
    <w:multiLevelType w:val="hybridMultilevel"/>
    <w:tmpl w:val="3220432A"/>
    <w:lvl w:ilvl="0" w:tplc="7E002CA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D97530D"/>
    <w:multiLevelType w:val="hybridMultilevel"/>
    <w:tmpl w:val="BF4C5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56117A"/>
    <w:multiLevelType w:val="hybridMultilevel"/>
    <w:tmpl w:val="C6401F1C"/>
    <w:lvl w:ilvl="0" w:tplc="F124987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62131A"/>
    <w:multiLevelType w:val="multilevel"/>
    <w:tmpl w:val="026AFBD6"/>
    <w:lvl w:ilvl="0">
      <w:start w:val="1"/>
      <w:numFmt w:val="decimal"/>
      <w:lvlText w:val="%1)"/>
      <w:lvlJc w:val="left"/>
      <w:pPr>
        <w:ind w:left="644" w:hanging="359"/>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3C0D0688"/>
    <w:multiLevelType w:val="multilevel"/>
    <w:tmpl w:val="8B84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287627"/>
    <w:multiLevelType w:val="multilevel"/>
    <w:tmpl w:val="1152F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302F63"/>
    <w:multiLevelType w:val="multilevel"/>
    <w:tmpl w:val="5804031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1B52A09"/>
    <w:multiLevelType w:val="multilevel"/>
    <w:tmpl w:val="B04A9E32"/>
    <w:lvl w:ilvl="0">
      <w:start w:val="1"/>
      <w:numFmt w:val="bullet"/>
      <w:lvlText w:val=""/>
      <w:lvlJc w:val="left"/>
      <w:pPr>
        <w:ind w:left="644" w:hanging="359"/>
      </w:pPr>
      <w:rPr>
        <w:rFonts w:ascii="Symbol" w:hAnsi="Symbol"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65DD11D7"/>
    <w:multiLevelType w:val="multilevel"/>
    <w:tmpl w:val="4CC2203A"/>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0E1A61"/>
    <w:multiLevelType w:val="hybridMultilevel"/>
    <w:tmpl w:val="87261E62"/>
    <w:lvl w:ilvl="0" w:tplc="080A0001">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D1315FE"/>
    <w:multiLevelType w:val="multilevel"/>
    <w:tmpl w:val="C8E232AE"/>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5"/>
  </w:num>
  <w:num w:numId="2">
    <w:abstractNumId w:val="4"/>
  </w:num>
  <w:num w:numId="3">
    <w:abstractNumId w:val="10"/>
  </w:num>
  <w:num w:numId="4">
    <w:abstractNumId w:val="8"/>
  </w:num>
  <w:num w:numId="5">
    <w:abstractNumId w:val="6"/>
  </w:num>
  <w:num w:numId="6">
    <w:abstractNumId w:val="9"/>
  </w:num>
  <w:num w:numId="7">
    <w:abstractNumId w:val="0"/>
  </w:num>
  <w:num w:numId="8">
    <w:abstractNumId w:val="1"/>
  </w:num>
  <w:num w:numId="9">
    <w:abstractNumId w:val="7"/>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AF6"/>
    <w:rsid w:val="0005084E"/>
    <w:rsid w:val="00063DF8"/>
    <w:rsid w:val="000B38DA"/>
    <w:rsid w:val="000D1C76"/>
    <w:rsid w:val="000E1A97"/>
    <w:rsid w:val="00110383"/>
    <w:rsid w:val="0013632B"/>
    <w:rsid w:val="0014314D"/>
    <w:rsid w:val="001624D4"/>
    <w:rsid w:val="00167D40"/>
    <w:rsid w:val="001A29C6"/>
    <w:rsid w:val="001C0AF3"/>
    <w:rsid w:val="001D1E6D"/>
    <w:rsid w:val="001F1622"/>
    <w:rsid w:val="00202C20"/>
    <w:rsid w:val="00207AC3"/>
    <w:rsid w:val="002177CF"/>
    <w:rsid w:val="002509D7"/>
    <w:rsid w:val="002A7BA3"/>
    <w:rsid w:val="002B32DA"/>
    <w:rsid w:val="002F0351"/>
    <w:rsid w:val="00347352"/>
    <w:rsid w:val="0039338F"/>
    <w:rsid w:val="003A14D4"/>
    <w:rsid w:val="003E1B02"/>
    <w:rsid w:val="00422AF6"/>
    <w:rsid w:val="004718C5"/>
    <w:rsid w:val="004800BD"/>
    <w:rsid w:val="004A1051"/>
    <w:rsid w:val="004E36C1"/>
    <w:rsid w:val="004E7FF3"/>
    <w:rsid w:val="00543888"/>
    <w:rsid w:val="005454DD"/>
    <w:rsid w:val="00577B88"/>
    <w:rsid w:val="005D3F50"/>
    <w:rsid w:val="00604EBA"/>
    <w:rsid w:val="00630719"/>
    <w:rsid w:val="00653524"/>
    <w:rsid w:val="0066285D"/>
    <w:rsid w:val="0067296C"/>
    <w:rsid w:val="00687E30"/>
    <w:rsid w:val="006914F1"/>
    <w:rsid w:val="006A6BE3"/>
    <w:rsid w:val="00794987"/>
    <w:rsid w:val="007A790E"/>
    <w:rsid w:val="007D2AE8"/>
    <w:rsid w:val="007E5721"/>
    <w:rsid w:val="008177D1"/>
    <w:rsid w:val="008D237D"/>
    <w:rsid w:val="00953DDA"/>
    <w:rsid w:val="00976B6A"/>
    <w:rsid w:val="009D68F9"/>
    <w:rsid w:val="009E7B83"/>
    <w:rsid w:val="009F454D"/>
    <w:rsid w:val="00AA114E"/>
    <w:rsid w:val="00AA33FC"/>
    <w:rsid w:val="00AF70E5"/>
    <w:rsid w:val="00B53698"/>
    <w:rsid w:val="00B66BCF"/>
    <w:rsid w:val="00B949AB"/>
    <w:rsid w:val="00BA7EAD"/>
    <w:rsid w:val="00BF61E3"/>
    <w:rsid w:val="00C372DF"/>
    <w:rsid w:val="00CE6EBC"/>
    <w:rsid w:val="00D503DE"/>
    <w:rsid w:val="00D56653"/>
    <w:rsid w:val="00D77D30"/>
    <w:rsid w:val="00D918FB"/>
    <w:rsid w:val="00E234F3"/>
    <w:rsid w:val="00E30DF8"/>
    <w:rsid w:val="00E66F70"/>
    <w:rsid w:val="00E751DB"/>
    <w:rsid w:val="00E927E7"/>
    <w:rsid w:val="00E971CE"/>
    <w:rsid w:val="00EB5D3C"/>
    <w:rsid w:val="00F05E73"/>
    <w:rsid w:val="00F3419F"/>
    <w:rsid w:val="00F41ABB"/>
    <w:rsid w:val="00F569E4"/>
    <w:rsid w:val="00F834DE"/>
    <w:rsid w:val="00FA5B7B"/>
    <w:rsid w:val="00FE0B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742B12"/>
  <w15:docId w15:val="{3912A0F5-CAB8-4693-BFF4-979D0A82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top w:w="15" w:type="dxa"/>
        <w:left w:w="115" w:type="dxa"/>
        <w:bottom w:w="15" w:type="dxa"/>
        <w:right w:w="115" w:type="dxa"/>
      </w:tblCellMar>
    </w:tblPr>
  </w:style>
  <w:style w:type="table" w:customStyle="1" w:styleId="aa">
    <w:basedOn w:val="TableNormal2"/>
    <w:tblPr>
      <w:tblStyleRowBandSize w:val="1"/>
      <w:tblStyleColBandSize w:val="1"/>
      <w:tblCellMar>
        <w:top w:w="15" w:type="dxa"/>
        <w:left w:w="115" w:type="dxa"/>
        <w:bottom w:w="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top w:w="15" w:type="dxa"/>
        <w:left w:w="115" w:type="dxa"/>
        <w:bottom w:w="15" w:type="dxa"/>
        <w:right w:w="115" w:type="dxa"/>
      </w:tblCellMar>
    </w:tblPr>
  </w:style>
  <w:style w:type="table" w:customStyle="1" w:styleId="af2">
    <w:basedOn w:val="TableNormal1"/>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5"/>
      </w:numPr>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top w:w="15" w:type="dxa"/>
        <w:left w:w="115" w:type="dxa"/>
        <w:bottom w:w="15" w:type="dxa"/>
        <w:right w:w="115" w:type="dxa"/>
      </w:tblCellMar>
    </w:tblPr>
  </w:style>
  <w:style w:type="table" w:customStyle="1" w:styleId="af5">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18743">
      <w:bodyDiv w:val="1"/>
      <w:marLeft w:val="0"/>
      <w:marRight w:val="0"/>
      <w:marTop w:val="0"/>
      <w:marBottom w:val="0"/>
      <w:divBdr>
        <w:top w:val="none" w:sz="0" w:space="0" w:color="auto"/>
        <w:left w:val="none" w:sz="0" w:space="0" w:color="auto"/>
        <w:bottom w:val="none" w:sz="0" w:space="0" w:color="auto"/>
        <w:right w:val="none" w:sz="0" w:space="0" w:color="auto"/>
      </w:divBdr>
    </w:div>
    <w:div w:id="752818789">
      <w:bodyDiv w:val="1"/>
      <w:marLeft w:val="0"/>
      <w:marRight w:val="0"/>
      <w:marTop w:val="0"/>
      <w:marBottom w:val="0"/>
      <w:divBdr>
        <w:top w:val="none" w:sz="0" w:space="0" w:color="auto"/>
        <w:left w:val="none" w:sz="0" w:space="0" w:color="auto"/>
        <w:bottom w:val="none" w:sz="0" w:space="0" w:color="auto"/>
        <w:right w:val="none" w:sz="0" w:space="0" w:color="auto"/>
      </w:divBdr>
    </w:div>
    <w:div w:id="889072379">
      <w:bodyDiv w:val="1"/>
      <w:marLeft w:val="0"/>
      <w:marRight w:val="0"/>
      <w:marTop w:val="0"/>
      <w:marBottom w:val="0"/>
      <w:divBdr>
        <w:top w:val="none" w:sz="0" w:space="0" w:color="auto"/>
        <w:left w:val="none" w:sz="0" w:space="0" w:color="auto"/>
        <w:bottom w:val="none" w:sz="0" w:space="0" w:color="auto"/>
        <w:right w:val="none" w:sz="0" w:space="0" w:color="auto"/>
      </w:divBdr>
    </w:div>
    <w:div w:id="1161189841">
      <w:bodyDiv w:val="1"/>
      <w:marLeft w:val="0"/>
      <w:marRight w:val="0"/>
      <w:marTop w:val="0"/>
      <w:marBottom w:val="0"/>
      <w:divBdr>
        <w:top w:val="none" w:sz="0" w:space="0" w:color="auto"/>
        <w:left w:val="none" w:sz="0" w:space="0" w:color="auto"/>
        <w:bottom w:val="none" w:sz="0" w:space="0" w:color="auto"/>
        <w:right w:val="none" w:sz="0" w:space="0" w:color="auto"/>
      </w:divBdr>
    </w:div>
    <w:div w:id="1333528386">
      <w:bodyDiv w:val="1"/>
      <w:marLeft w:val="0"/>
      <w:marRight w:val="0"/>
      <w:marTop w:val="0"/>
      <w:marBottom w:val="0"/>
      <w:divBdr>
        <w:top w:val="none" w:sz="0" w:space="0" w:color="auto"/>
        <w:left w:val="none" w:sz="0" w:space="0" w:color="auto"/>
        <w:bottom w:val="none" w:sz="0" w:space="0" w:color="auto"/>
        <w:right w:val="none" w:sz="0" w:space="0" w:color="auto"/>
      </w:divBdr>
    </w:div>
    <w:div w:id="1407264735">
      <w:bodyDiv w:val="1"/>
      <w:marLeft w:val="0"/>
      <w:marRight w:val="0"/>
      <w:marTop w:val="0"/>
      <w:marBottom w:val="0"/>
      <w:divBdr>
        <w:top w:val="none" w:sz="0" w:space="0" w:color="auto"/>
        <w:left w:val="none" w:sz="0" w:space="0" w:color="auto"/>
        <w:bottom w:val="none" w:sz="0" w:space="0" w:color="auto"/>
        <w:right w:val="none" w:sz="0" w:space="0" w:color="auto"/>
      </w:divBdr>
    </w:div>
    <w:div w:id="1547836901">
      <w:bodyDiv w:val="1"/>
      <w:marLeft w:val="0"/>
      <w:marRight w:val="0"/>
      <w:marTop w:val="0"/>
      <w:marBottom w:val="0"/>
      <w:divBdr>
        <w:top w:val="none" w:sz="0" w:space="0" w:color="auto"/>
        <w:left w:val="none" w:sz="0" w:space="0" w:color="auto"/>
        <w:bottom w:val="none" w:sz="0" w:space="0" w:color="auto"/>
        <w:right w:val="none" w:sz="0" w:space="0" w:color="auto"/>
      </w:divBdr>
    </w:div>
    <w:div w:id="1792896478">
      <w:bodyDiv w:val="1"/>
      <w:marLeft w:val="0"/>
      <w:marRight w:val="0"/>
      <w:marTop w:val="0"/>
      <w:marBottom w:val="0"/>
      <w:divBdr>
        <w:top w:val="none" w:sz="0" w:space="0" w:color="auto"/>
        <w:left w:val="none" w:sz="0" w:space="0" w:color="auto"/>
        <w:bottom w:val="none" w:sz="0" w:space="0" w:color="auto"/>
        <w:right w:val="none" w:sz="0" w:space="0" w:color="auto"/>
      </w:divBdr>
    </w:div>
    <w:div w:id="1868786518">
      <w:bodyDiv w:val="1"/>
      <w:marLeft w:val="0"/>
      <w:marRight w:val="0"/>
      <w:marTop w:val="0"/>
      <w:marBottom w:val="0"/>
      <w:divBdr>
        <w:top w:val="none" w:sz="0" w:space="0" w:color="auto"/>
        <w:left w:val="none" w:sz="0" w:space="0" w:color="auto"/>
        <w:bottom w:val="none" w:sz="0" w:space="0" w:color="auto"/>
        <w:right w:val="none" w:sz="0" w:space="0" w:color="auto"/>
      </w:divBdr>
    </w:div>
    <w:div w:id="2137483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oAQFtBYMY1XaEqqC7L3lrJYjhg==">CgMxLjAyCWguMWZvYjl0ZTIJaC4zem55c2g3Mg5oLmozcHB5eHdsYjFzMjIIaC50eWpjd3QyDmguemdtenJ1ZXp3bGNvMg1oLmpsMGRsYXNvdDRmOAByITFhbW1ZRFRwRW9VTUVIVnAwT25ldjVCYkZ0R3pFUThneQ==</go:docsCustomData>
</go:gDocsCustomXmlDataStorage>
</file>

<file path=customXml/itemProps1.xml><?xml version="1.0" encoding="utf-8"?>
<ds:datastoreItem xmlns:ds="http://schemas.openxmlformats.org/officeDocument/2006/customXml" ds:itemID="{C9E6FC52-2C6D-484A-8297-BE5AE84E007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15458</Words>
  <Characters>85019</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2025-08-08T19:37:00Z</cp:lastPrinted>
  <dcterms:created xsi:type="dcterms:W3CDTF">2025-09-03T00:48:00Z</dcterms:created>
  <dcterms:modified xsi:type="dcterms:W3CDTF">2025-09-03T00:48:00Z</dcterms:modified>
</cp:coreProperties>
</file>