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8098B" w14:textId="77777777" w:rsidR="008E7388" w:rsidRDefault="008E7388" w:rsidP="001F276C">
      <w:pPr>
        <w:shd w:val="clear" w:color="auto" w:fill="FFFFFF"/>
        <w:spacing w:line="360" w:lineRule="auto"/>
        <w:jc w:val="both"/>
        <w:rPr>
          <w:rFonts w:ascii="Palatino Linotype" w:hAnsi="Palatino Linotype" w:cs="Arial"/>
          <w:color w:val="000000"/>
          <w:lang w:val="es-MX" w:eastAsia="es-MX"/>
        </w:rPr>
      </w:pPr>
    </w:p>
    <w:p w14:paraId="7572E7A5" w14:textId="727F3C51" w:rsidR="008E7388" w:rsidRPr="00037B15" w:rsidRDefault="008E7388" w:rsidP="001F276C">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50214">
        <w:rPr>
          <w:rFonts w:ascii="Palatino Linotype" w:hAnsi="Palatino Linotype" w:cs="Arial"/>
          <w:b/>
          <w:color w:val="000000"/>
          <w:lang w:val="es-MX" w:eastAsia="es-MX"/>
        </w:rPr>
        <w:t>trece</w:t>
      </w:r>
      <w:r w:rsidR="00C052BE">
        <w:rPr>
          <w:rFonts w:ascii="Palatino Linotype" w:hAnsi="Palatino Linotype" w:cs="Arial"/>
          <w:b/>
          <w:color w:val="000000"/>
          <w:lang w:val="es-MX" w:eastAsia="es-MX"/>
        </w:rPr>
        <w:t xml:space="preserve"> de </w:t>
      </w:r>
      <w:r w:rsidR="005D2A2B">
        <w:rPr>
          <w:rFonts w:ascii="Palatino Linotype" w:hAnsi="Palatino Linotype" w:cs="Arial"/>
          <w:b/>
          <w:color w:val="000000"/>
          <w:lang w:val="es-MX" w:eastAsia="es-MX"/>
        </w:rPr>
        <w:t xml:space="preserve">agosto de dos mil veinticinco. </w:t>
      </w:r>
      <w:r w:rsidR="00C052BE">
        <w:rPr>
          <w:rFonts w:ascii="Palatino Linotype" w:hAnsi="Palatino Linotype" w:cs="Arial"/>
          <w:b/>
          <w:color w:val="000000"/>
          <w:lang w:val="es-MX" w:eastAsia="es-MX"/>
        </w:rPr>
        <w:t xml:space="preserve"> </w:t>
      </w:r>
      <w:r w:rsidR="00590D3B">
        <w:rPr>
          <w:rFonts w:ascii="Palatino Linotype" w:hAnsi="Palatino Linotype" w:cs="Arial"/>
          <w:b/>
          <w:color w:val="000000"/>
          <w:lang w:val="es-MX" w:eastAsia="es-MX"/>
        </w:rPr>
        <w:t xml:space="preserve"> </w:t>
      </w:r>
    </w:p>
    <w:p w14:paraId="542D9017" w14:textId="77777777" w:rsidR="008E7388" w:rsidRPr="00037B15" w:rsidRDefault="008E7388" w:rsidP="001F276C">
      <w:pPr>
        <w:tabs>
          <w:tab w:val="left" w:pos="1701"/>
        </w:tabs>
        <w:spacing w:line="360" w:lineRule="auto"/>
        <w:jc w:val="both"/>
        <w:rPr>
          <w:rFonts w:ascii="Palatino Linotype" w:hAnsi="Palatino Linotype" w:cs="Arial"/>
          <w:color w:val="000000"/>
          <w:lang w:val="es-MX" w:eastAsia="es-MX"/>
        </w:rPr>
      </w:pPr>
    </w:p>
    <w:p w14:paraId="77B1A212" w14:textId="4E55FF36" w:rsidR="005D2A2B" w:rsidRPr="005D2A2B" w:rsidRDefault="008E7388" w:rsidP="001F276C">
      <w:pPr>
        <w:tabs>
          <w:tab w:val="left" w:pos="1701"/>
        </w:tabs>
        <w:spacing w:line="360" w:lineRule="auto"/>
        <w:jc w:val="both"/>
        <w:rPr>
          <w:rFonts w:ascii="Palatino Linotype" w:hAnsi="Palatino Linotype" w:cs="Arial"/>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bookmarkStart w:id="0" w:name="_GoBack"/>
      <w:r w:rsidR="005D2A2B">
        <w:rPr>
          <w:rFonts w:ascii="Palatino Linotype" w:eastAsiaTheme="minorHAnsi" w:hAnsi="Palatino Linotype" w:cs="Arial"/>
          <w:b/>
          <w:lang w:val="es-MX" w:eastAsia="en-US"/>
        </w:rPr>
        <w:t>02650</w:t>
      </w:r>
      <w:r w:rsidRPr="00037B15">
        <w:rPr>
          <w:rFonts w:ascii="Palatino Linotype" w:eastAsiaTheme="minorHAnsi" w:hAnsi="Palatino Linotype" w:cs="Arial"/>
          <w:b/>
          <w:bCs/>
          <w:lang w:val="es-MX" w:eastAsia="es-MX"/>
        </w:rPr>
        <w:t>/INFOEM/IP/RR/202</w:t>
      </w:r>
      <w:r w:rsidR="005D2A2B">
        <w:rPr>
          <w:rFonts w:ascii="Palatino Linotype" w:eastAsiaTheme="minorHAnsi" w:hAnsi="Palatino Linotype" w:cs="Arial"/>
          <w:b/>
          <w:bCs/>
          <w:lang w:val="es-MX" w:eastAsia="es-MX"/>
        </w:rPr>
        <w:t>5</w:t>
      </w:r>
      <w:bookmarkEnd w:id="0"/>
      <w:r w:rsidRPr="00037B15">
        <w:rPr>
          <w:rFonts w:ascii="Palatino Linotype" w:eastAsiaTheme="minorHAnsi" w:hAnsi="Palatino Linotype" w:cs="Arial"/>
          <w:lang w:val="es-MX" w:eastAsia="en-US"/>
        </w:rPr>
        <w:t xml:space="preserve">, </w:t>
      </w:r>
      <w:r w:rsidRPr="00037B15">
        <w:rPr>
          <w:rFonts w:ascii="Palatino Linotype" w:hAnsi="Palatino Linotype" w:cs="Arial"/>
        </w:rPr>
        <w:t xml:space="preserve">interpuesto por </w:t>
      </w:r>
      <w:r w:rsidR="005D2A2B">
        <w:rPr>
          <w:rFonts w:ascii="Palatino Linotype" w:hAnsi="Palatino Linotype" w:cs="Arial"/>
        </w:rPr>
        <w:t xml:space="preserve">un particular, en lo sucesivo </w:t>
      </w:r>
      <w:r w:rsidR="005D2A2B">
        <w:rPr>
          <w:rFonts w:ascii="Palatino Linotype" w:hAnsi="Palatino Linotype" w:cs="Arial"/>
          <w:b/>
          <w:bCs/>
        </w:rPr>
        <w:t xml:space="preserve">El Recurrente, </w:t>
      </w:r>
      <w:r w:rsidR="005D2A2B">
        <w:rPr>
          <w:rFonts w:ascii="Palatino Linotype" w:hAnsi="Palatino Linotype" w:cs="Arial"/>
        </w:rPr>
        <w:t xml:space="preserve">en contra de la respuesta del </w:t>
      </w:r>
      <w:r w:rsidR="005D2A2B">
        <w:rPr>
          <w:rFonts w:ascii="Palatino Linotype" w:hAnsi="Palatino Linotype" w:cs="Arial"/>
          <w:b/>
          <w:bCs/>
        </w:rPr>
        <w:t xml:space="preserve">Ayuntamiento de Toluca, </w:t>
      </w:r>
      <w:r w:rsidR="005D2A2B">
        <w:rPr>
          <w:rFonts w:ascii="Palatino Linotype" w:hAnsi="Palatino Linotype" w:cs="Arial"/>
        </w:rPr>
        <w:t xml:space="preserve">en lo subsecuente </w:t>
      </w:r>
      <w:r w:rsidR="005D2A2B">
        <w:rPr>
          <w:rFonts w:ascii="Palatino Linotype" w:hAnsi="Palatino Linotype" w:cs="Arial"/>
          <w:b/>
          <w:bCs/>
        </w:rPr>
        <w:t xml:space="preserve">El Sujeto Obligado, </w:t>
      </w:r>
      <w:r w:rsidR="005D2A2B">
        <w:rPr>
          <w:rFonts w:ascii="Palatino Linotype" w:hAnsi="Palatino Linotype" w:cs="Arial"/>
        </w:rPr>
        <w:t xml:space="preserve">se procede a dictar la presente resolución. </w:t>
      </w:r>
    </w:p>
    <w:p w14:paraId="41F65FC9" w14:textId="77777777" w:rsidR="005D2A2B" w:rsidRDefault="005D2A2B" w:rsidP="001F276C">
      <w:pPr>
        <w:tabs>
          <w:tab w:val="left" w:pos="1701"/>
        </w:tabs>
        <w:spacing w:line="360" w:lineRule="auto"/>
        <w:jc w:val="both"/>
        <w:rPr>
          <w:rFonts w:ascii="Palatino Linotype" w:hAnsi="Palatino Linotype" w:cs="Arial"/>
        </w:rPr>
      </w:pPr>
    </w:p>
    <w:p w14:paraId="4654180B" w14:textId="77777777" w:rsidR="00590D3B" w:rsidRDefault="00590D3B" w:rsidP="001F276C">
      <w:pPr>
        <w:spacing w:line="360" w:lineRule="auto"/>
        <w:jc w:val="center"/>
        <w:rPr>
          <w:rFonts w:ascii="Palatino Linotype" w:eastAsiaTheme="minorHAnsi" w:hAnsi="Palatino Linotype" w:cs="Arial"/>
          <w:b/>
          <w:sz w:val="28"/>
          <w:lang w:val="es-MX" w:eastAsia="en-US"/>
        </w:rPr>
      </w:pPr>
    </w:p>
    <w:p w14:paraId="3B5E2847" w14:textId="4AB96B3E" w:rsidR="008E7388" w:rsidRPr="00037B15" w:rsidRDefault="008E7388" w:rsidP="001F276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263BFE5E" w14:textId="77777777" w:rsidR="008E7388" w:rsidRPr="00037B15" w:rsidRDefault="008E7388" w:rsidP="001F276C">
      <w:pPr>
        <w:spacing w:line="360" w:lineRule="auto"/>
        <w:jc w:val="center"/>
        <w:rPr>
          <w:rFonts w:ascii="Palatino Linotype" w:eastAsiaTheme="minorHAnsi" w:hAnsi="Palatino Linotype" w:cs="Arial"/>
          <w:b/>
          <w:sz w:val="16"/>
          <w:lang w:val="es-MX" w:eastAsia="en-US"/>
        </w:rPr>
      </w:pPr>
    </w:p>
    <w:p w14:paraId="669A1611" w14:textId="77777777" w:rsidR="008E7388" w:rsidRPr="00037B15" w:rsidRDefault="008E7388" w:rsidP="001F276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4FF15F86" w14:textId="4BFB6067" w:rsidR="005D2A2B" w:rsidRDefault="008E7388" w:rsidP="001F276C">
      <w:pPr>
        <w:spacing w:line="360" w:lineRule="auto"/>
        <w:jc w:val="both"/>
        <w:rPr>
          <w:rFonts w:ascii="Palatino Linotype" w:hAnsi="Palatino Linotype" w:cs="Arial"/>
        </w:rPr>
      </w:pPr>
      <w:r>
        <w:rPr>
          <w:rFonts w:ascii="Palatino Linotype" w:eastAsiaTheme="minorHAnsi" w:hAnsi="Palatino Linotype" w:cs="Arial"/>
          <w:szCs w:val="22"/>
          <w:lang w:val="es-MX" w:eastAsia="en-US"/>
        </w:rPr>
        <w:t>En fecha</w:t>
      </w:r>
      <w:r w:rsidR="00590D3B">
        <w:rPr>
          <w:rFonts w:ascii="Palatino Linotype" w:eastAsiaTheme="minorHAnsi" w:hAnsi="Palatino Linotype" w:cs="Arial"/>
          <w:szCs w:val="22"/>
          <w:lang w:val="es-MX" w:eastAsia="en-US"/>
        </w:rPr>
        <w:t xml:space="preserve"> </w:t>
      </w:r>
      <w:r w:rsidR="005D2A2B">
        <w:rPr>
          <w:rFonts w:ascii="Palatino Linotype" w:eastAsiaTheme="minorHAnsi" w:hAnsi="Palatino Linotype" w:cs="Arial"/>
          <w:b/>
          <w:bCs/>
          <w:szCs w:val="22"/>
          <w:lang w:val="es-MX" w:eastAsia="en-US"/>
        </w:rPr>
        <w:t xml:space="preserve">once de febrero de dos mil veinticinco, El Recurrente, </w:t>
      </w:r>
      <w:r w:rsidR="005D2A2B" w:rsidRPr="009447E4">
        <w:rPr>
          <w:rFonts w:ascii="Palatino Linotype" w:hAnsi="Palatino Linotype" w:cs="Arial"/>
        </w:rPr>
        <w:t>presentó a través del Sistema de Acceso a la Información Mexiquense (</w:t>
      </w:r>
      <w:r w:rsidR="005D2A2B" w:rsidRPr="009447E4">
        <w:rPr>
          <w:rFonts w:ascii="Palatino Linotype" w:hAnsi="Palatino Linotype" w:cs="Arial"/>
          <w:b/>
        </w:rPr>
        <w:t>SAIMEX)</w:t>
      </w:r>
      <w:r w:rsidR="005D2A2B" w:rsidRPr="009447E4">
        <w:rPr>
          <w:rFonts w:ascii="Palatino Linotype" w:hAnsi="Palatino Linotype" w:cs="Arial"/>
        </w:rPr>
        <w:t xml:space="preserve"> ante </w:t>
      </w:r>
      <w:r w:rsidR="005D2A2B" w:rsidRPr="009447E4">
        <w:rPr>
          <w:rFonts w:ascii="Palatino Linotype" w:hAnsi="Palatino Linotype" w:cs="Arial"/>
          <w:b/>
        </w:rPr>
        <w:t>El Sujeto Obligado</w:t>
      </w:r>
      <w:r w:rsidR="005D2A2B" w:rsidRPr="009447E4">
        <w:rPr>
          <w:rFonts w:ascii="Palatino Linotype" w:hAnsi="Palatino Linotype" w:cs="Arial"/>
        </w:rPr>
        <w:t xml:space="preserve">, </w:t>
      </w:r>
      <w:proofErr w:type="gramStart"/>
      <w:r w:rsidR="005D2A2B" w:rsidRPr="009447E4">
        <w:rPr>
          <w:rFonts w:ascii="Palatino Linotype" w:hAnsi="Palatino Linotype" w:cs="Arial"/>
        </w:rPr>
        <w:t>solicitud</w:t>
      </w:r>
      <w:proofErr w:type="gramEnd"/>
      <w:r w:rsidR="005D2A2B" w:rsidRPr="009447E4">
        <w:rPr>
          <w:rFonts w:ascii="Palatino Linotype" w:hAnsi="Palatino Linotype" w:cs="Arial"/>
        </w:rPr>
        <w:t xml:space="preserve"> de acceso a la información pública, registrada bajo el número de expediente</w:t>
      </w:r>
      <w:r w:rsidR="005D2A2B">
        <w:rPr>
          <w:rFonts w:ascii="Palatino Linotype" w:hAnsi="Palatino Linotype" w:cs="Arial"/>
        </w:rPr>
        <w:t xml:space="preserve"> </w:t>
      </w:r>
      <w:r w:rsidR="005D2A2B">
        <w:rPr>
          <w:rFonts w:ascii="Palatino Linotype" w:hAnsi="Palatino Linotype" w:cs="Arial"/>
          <w:b/>
          <w:bCs/>
        </w:rPr>
        <w:t xml:space="preserve">00809/TOLUCA/IP/2025, </w:t>
      </w:r>
      <w:r w:rsidR="005D2A2B">
        <w:rPr>
          <w:rFonts w:ascii="Palatino Linotype" w:hAnsi="Palatino Linotype" w:cs="Arial"/>
        </w:rPr>
        <w:t xml:space="preserve">mediante la cual solicitó información en el tenor siguiente: </w:t>
      </w:r>
    </w:p>
    <w:p w14:paraId="06A52CD0" w14:textId="1AB3B2D9" w:rsidR="005D2A2B" w:rsidRDefault="005D2A2B" w:rsidP="005D2A2B">
      <w:pPr>
        <w:pStyle w:val="Citas"/>
        <w:rPr>
          <w:b/>
          <w:bCs/>
        </w:rPr>
      </w:pPr>
      <w:r>
        <w:t>“</w:t>
      </w:r>
      <w:r w:rsidRPr="005D2A2B">
        <w:t xml:space="preserve">Solicito se me informe a través de este conducto y mediante documentación probatoria ya sea el caso en versión pública el estado actual del procedimiento sobre el pago de mi finiquito correspondiente al período que desempeñe los servidores </w:t>
      </w:r>
      <w:proofErr w:type="spellStart"/>
      <w:r w:rsidRPr="005D2A2B">
        <w:t>publicos</w:t>
      </w:r>
      <w:proofErr w:type="spellEnd"/>
      <w:r w:rsidRPr="005D2A2B">
        <w:t xml:space="preserve"> dados de baja en 2022</w:t>
      </w:r>
      <w:r>
        <w:t xml:space="preserve">” </w:t>
      </w:r>
      <w:r>
        <w:rPr>
          <w:b/>
          <w:bCs/>
        </w:rPr>
        <w:t>(Sic)</w:t>
      </w:r>
    </w:p>
    <w:p w14:paraId="0E9625D4" w14:textId="1DD1BDB5" w:rsidR="008E7388" w:rsidRDefault="008E7388" w:rsidP="001F276C">
      <w:pPr>
        <w:tabs>
          <w:tab w:val="left" w:pos="5647"/>
        </w:tabs>
        <w:spacing w:line="360" w:lineRule="auto"/>
        <w:ind w:right="49"/>
        <w:jc w:val="both"/>
        <w:rPr>
          <w:rFonts w:ascii="Palatino Linotype" w:eastAsiaTheme="minorHAnsi" w:hAnsi="Palatino Linotype" w:cstheme="minorBidi"/>
          <w:bCs/>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 </w:t>
      </w:r>
      <w:r w:rsidR="00590D3B">
        <w:rPr>
          <w:rFonts w:ascii="Palatino Linotype" w:eastAsiaTheme="minorHAnsi" w:hAnsi="Palatino Linotype" w:cstheme="minorBidi"/>
          <w:b/>
          <w:color w:val="000000"/>
          <w:lang w:val="es-MX" w:eastAsia="en-US"/>
        </w:rPr>
        <w:t>SAIMEX</w:t>
      </w:r>
      <w:r w:rsidR="005D2A2B">
        <w:rPr>
          <w:rFonts w:ascii="Palatino Linotype" w:eastAsiaTheme="minorHAnsi" w:hAnsi="Palatino Linotype" w:cstheme="minorBidi"/>
          <w:b/>
          <w:color w:val="000000"/>
          <w:lang w:val="es-MX" w:eastAsia="en-US"/>
        </w:rPr>
        <w:t>.</w:t>
      </w:r>
    </w:p>
    <w:p w14:paraId="7A0FFD2E" w14:textId="77777777" w:rsidR="00590D3B" w:rsidRPr="00590D3B" w:rsidRDefault="00590D3B" w:rsidP="001F276C">
      <w:pPr>
        <w:tabs>
          <w:tab w:val="left" w:pos="5647"/>
        </w:tabs>
        <w:spacing w:line="360" w:lineRule="auto"/>
        <w:ind w:right="49"/>
        <w:jc w:val="both"/>
        <w:rPr>
          <w:rFonts w:ascii="Palatino Linotype" w:eastAsiaTheme="minorHAnsi" w:hAnsi="Palatino Linotype" w:cstheme="minorBidi"/>
          <w:bCs/>
          <w:color w:val="000000"/>
          <w:lang w:val="es-MX" w:eastAsia="en-US"/>
        </w:rPr>
      </w:pPr>
    </w:p>
    <w:p w14:paraId="7D428D52" w14:textId="36D15CDB" w:rsidR="008E7388" w:rsidRDefault="00C052BE" w:rsidP="001F276C">
      <w:pPr>
        <w:spacing w:line="360" w:lineRule="auto"/>
        <w:ind w:right="334"/>
        <w:jc w:val="both"/>
        <w:rPr>
          <w:rFonts w:ascii="Palatino Linotype" w:hAnsi="Palatino Linotype" w:cs="Arial"/>
          <w:b/>
          <w:sz w:val="28"/>
        </w:rPr>
      </w:pPr>
      <w:r>
        <w:rPr>
          <w:rFonts w:ascii="Palatino Linotype" w:hAnsi="Palatino Linotype" w:cs="Arial"/>
          <w:b/>
          <w:sz w:val="28"/>
          <w:szCs w:val="20"/>
        </w:rPr>
        <w:lastRenderedPageBreak/>
        <w:t>SEGUNDO</w:t>
      </w:r>
      <w:r w:rsidR="0089718F">
        <w:rPr>
          <w:rFonts w:ascii="Palatino Linotype" w:hAnsi="Palatino Linotype" w:cs="Arial"/>
          <w:b/>
          <w:sz w:val="28"/>
          <w:szCs w:val="20"/>
        </w:rPr>
        <w:t xml:space="preserve">. De la </w:t>
      </w:r>
      <w:r w:rsidR="008E7388">
        <w:rPr>
          <w:rFonts w:ascii="Palatino Linotype" w:hAnsi="Palatino Linotype" w:cs="Arial"/>
          <w:b/>
          <w:sz w:val="28"/>
          <w:szCs w:val="20"/>
        </w:rPr>
        <w:t>respuesta del Sujeto Obligado.</w:t>
      </w:r>
    </w:p>
    <w:p w14:paraId="44D45103" w14:textId="00BB874D" w:rsidR="005D2A2B" w:rsidRDefault="008E7388" w:rsidP="001F276C">
      <w:pPr>
        <w:pStyle w:val="Sinespaciado"/>
        <w:spacing w:line="360" w:lineRule="auto"/>
        <w:jc w:val="both"/>
        <w:rPr>
          <w:rFonts w:ascii="Palatino Linotype" w:hAnsi="Palatino Linotype"/>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5D2A2B">
        <w:rPr>
          <w:rFonts w:ascii="Palatino Linotype" w:hAnsi="Palatino Linotype"/>
          <w:b/>
          <w:bCs/>
        </w:rPr>
        <w:t xml:space="preserve">cinco de marzo de dos mil veinticinco, El Sujeto Obligado </w:t>
      </w:r>
      <w:r w:rsidR="005D2A2B">
        <w:rPr>
          <w:rFonts w:ascii="Palatino Linotype" w:hAnsi="Palatino Linotype"/>
        </w:rPr>
        <w:t xml:space="preserve">dio respuesta a través del </w:t>
      </w:r>
      <w:r w:rsidR="005D2A2B">
        <w:rPr>
          <w:rFonts w:ascii="Palatino Linotype" w:hAnsi="Palatino Linotype"/>
          <w:b/>
          <w:bCs/>
        </w:rPr>
        <w:t xml:space="preserve">SAIMEX, </w:t>
      </w:r>
      <w:r w:rsidR="005D2A2B">
        <w:rPr>
          <w:rFonts w:ascii="Palatino Linotype" w:hAnsi="Palatino Linotype"/>
        </w:rPr>
        <w:t>a la solicitud de información en los siguientes términos:</w:t>
      </w:r>
    </w:p>
    <w:p w14:paraId="4B1E92BC" w14:textId="4E6AF6B7" w:rsidR="005D2A2B" w:rsidRDefault="005D2A2B" w:rsidP="005D2A2B">
      <w:pPr>
        <w:pStyle w:val="Citas"/>
      </w:pPr>
      <w:r>
        <w:t>“</w:t>
      </w:r>
      <w:r w:rsidRPr="005D2A2B">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0754CC2" w14:textId="75F23848" w:rsidR="005D2A2B" w:rsidRPr="005D2A2B" w:rsidRDefault="005D2A2B" w:rsidP="005D2A2B">
      <w:pPr>
        <w:pStyle w:val="Citas"/>
        <w:rPr>
          <w:b/>
          <w:bCs/>
        </w:rPr>
      </w:pPr>
      <w:r w:rsidRPr="005D2A2B">
        <w:t>En atención a la solicitud con folio 0809/TOLUCA/IP/2025, me permito adjuntar al presente la respuesta correspondiente. Sin más por el momento, reciba un saludo</w:t>
      </w:r>
      <w:r>
        <w:t xml:space="preserve">” </w:t>
      </w:r>
      <w:r>
        <w:rPr>
          <w:b/>
          <w:bCs/>
        </w:rPr>
        <w:t>(Sic)</w:t>
      </w:r>
    </w:p>
    <w:p w14:paraId="2E1C1962" w14:textId="0EBD15A0" w:rsidR="005D2A2B" w:rsidRPr="005D2A2B" w:rsidRDefault="0089718F" w:rsidP="00D97A43">
      <w:pPr>
        <w:spacing w:line="360" w:lineRule="auto"/>
        <w:ind w:right="49"/>
        <w:jc w:val="both"/>
        <w:rPr>
          <w:rFonts w:ascii="Palatino Linotype" w:hAnsi="Palatino Linotype"/>
          <w:iCs/>
          <w:szCs w:val="22"/>
          <w:lang w:val="es-MX" w:eastAsia="es-MX"/>
        </w:rPr>
      </w:pPr>
      <w:r>
        <w:rPr>
          <w:rFonts w:ascii="Palatino Linotype" w:hAnsi="Palatino Linotype"/>
          <w:iCs/>
          <w:szCs w:val="22"/>
          <w:lang w:val="es-MX" w:eastAsia="es-MX"/>
        </w:rPr>
        <w:t xml:space="preserve">De forma complementaria, anexo </w:t>
      </w:r>
      <w:r w:rsidR="00C052BE">
        <w:rPr>
          <w:rFonts w:ascii="Palatino Linotype" w:hAnsi="Palatino Linotype"/>
          <w:iCs/>
          <w:szCs w:val="22"/>
          <w:lang w:val="es-MX" w:eastAsia="es-MX"/>
        </w:rPr>
        <w:t xml:space="preserve">el documento electrónico </w:t>
      </w:r>
      <w:r w:rsidR="00C052BE">
        <w:rPr>
          <w:rFonts w:ascii="Palatino Linotype" w:hAnsi="Palatino Linotype"/>
          <w:b/>
          <w:bCs/>
          <w:iCs/>
          <w:szCs w:val="22"/>
          <w:lang w:val="es-MX" w:eastAsia="es-MX"/>
        </w:rPr>
        <w:t>“</w:t>
      </w:r>
      <w:r w:rsidR="005D2A2B">
        <w:rPr>
          <w:rFonts w:ascii="Palatino Linotype" w:hAnsi="Palatino Linotype"/>
          <w:b/>
          <w:bCs/>
          <w:iCs/>
          <w:szCs w:val="22"/>
          <w:lang w:val="es-MX" w:eastAsia="es-MX"/>
        </w:rPr>
        <w:t>R. 0809. 2025</w:t>
      </w:r>
      <w:proofErr w:type="gramStart"/>
      <w:r w:rsidR="005D2A2B">
        <w:rPr>
          <w:rFonts w:ascii="Palatino Linotype" w:hAnsi="Palatino Linotype"/>
          <w:b/>
          <w:bCs/>
          <w:iCs/>
          <w:szCs w:val="22"/>
          <w:lang w:val="es-MX" w:eastAsia="es-MX"/>
        </w:rPr>
        <w:t>.pdf</w:t>
      </w:r>
      <w:proofErr w:type="gramEnd"/>
      <w:r w:rsidR="005D2A2B">
        <w:rPr>
          <w:rFonts w:ascii="Palatino Linotype" w:hAnsi="Palatino Linotype"/>
          <w:b/>
          <w:bCs/>
          <w:iCs/>
          <w:szCs w:val="22"/>
          <w:lang w:val="es-MX" w:eastAsia="es-MX"/>
        </w:rPr>
        <w:t xml:space="preserve">”, </w:t>
      </w:r>
      <w:r w:rsidR="005D2A2B">
        <w:rPr>
          <w:rFonts w:ascii="Palatino Linotype" w:hAnsi="Palatino Linotype"/>
          <w:iCs/>
          <w:szCs w:val="22"/>
          <w:lang w:val="es-MX" w:eastAsia="es-MX"/>
        </w:rPr>
        <w:t xml:space="preserve">cuyo contenido será materia de análisis en el considerando respectivo. </w:t>
      </w:r>
    </w:p>
    <w:p w14:paraId="1FA67884" w14:textId="77777777" w:rsidR="005D2A2B" w:rsidRDefault="005D2A2B" w:rsidP="00D97A43">
      <w:pPr>
        <w:spacing w:line="360" w:lineRule="auto"/>
        <w:ind w:right="49"/>
        <w:jc w:val="both"/>
        <w:rPr>
          <w:rFonts w:ascii="Palatino Linotype" w:hAnsi="Palatino Linotype"/>
          <w:b/>
          <w:bCs/>
          <w:iCs/>
          <w:szCs w:val="22"/>
          <w:lang w:val="es-MX" w:eastAsia="es-MX"/>
        </w:rPr>
      </w:pPr>
    </w:p>
    <w:p w14:paraId="1274FDBF" w14:textId="77777777" w:rsidR="005D2A2B" w:rsidRDefault="005D2A2B" w:rsidP="00D97A43">
      <w:pPr>
        <w:spacing w:line="360" w:lineRule="auto"/>
        <w:ind w:right="49"/>
        <w:jc w:val="both"/>
        <w:rPr>
          <w:rFonts w:ascii="Palatino Linotype" w:hAnsi="Palatino Linotype"/>
          <w:b/>
          <w:bCs/>
          <w:iCs/>
          <w:szCs w:val="22"/>
          <w:lang w:val="es-MX" w:eastAsia="es-MX"/>
        </w:rPr>
      </w:pPr>
    </w:p>
    <w:p w14:paraId="278EED36" w14:textId="3CD1FD36" w:rsidR="008E7388" w:rsidRPr="00037B15" w:rsidRDefault="00C052BE" w:rsidP="001F276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8E7388" w:rsidRPr="00037B15">
        <w:rPr>
          <w:rFonts w:ascii="Palatino Linotype" w:eastAsiaTheme="minorHAnsi" w:hAnsi="Palatino Linotype" w:cs="Arial"/>
          <w:b/>
          <w:sz w:val="28"/>
          <w:lang w:val="es-MX" w:eastAsia="en-US"/>
        </w:rPr>
        <w:t>. Del recurso de revisión.</w:t>
      </w:r>
    </w:p>
    <w:p w14:paraId="187C13F0" w14:textId="34ADE962" w:rsidR="00C052BE" w:rsidRDefault="008E7388" w:rsidP="0089718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w:t>
      </w:r>
      <w:r w:rsidR="0089718F">
        <w:rPr>
          <w:rFonts w:ascii="Palatino Linotype" w:eastAsiaTheme="minorHAnsi" w:hAnsi="Palatino Linotype" w:cs="Arial"/>
          <w:b/>
          <w:bCs/>
          <w:lang w:val="es-MX" w:eastAsia="en-US"/>
        </w:rPr>
        <w:t>El</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5D2A2B">
        <w:rPr>
          <w:rFonts w:ascii="Palatino Linotype" w:eastAsiaTheme="minorHAnsi" w:hAnsi="Palatino Linotype" w:cs="Arial"/>
          <w:b/>
          <w:bCs/>
          <w:lang w:val="es-MX" w:eastAsia="en-US"/>
        </w:rPr>
        <w:t xml:space="preserve">ocho de marzo de dos mil veinticinco, </w:t>
      </w:r>
      <w:r w:rsidR="005D2A2B">
        <w:rPr>
          <w:rFonts w:ascii="Palatino Linotype" w:eastAsiaTheme="minorHAnsi" w:hAnsi="Palatino Linotype" w:cs="Arial"/>
          <w:lang w:val="es-MX" w:eastAsia="en-US"/>
        </w:rPr>
        <w:t xml:space="preserve">el </w:t>
      </w:r>
      <w:r w:rsidR="00C052BE">
        <w:rPr>
          <w:rFonts w:ascii="Palatino Linotype" w:eastAsiaTheme="minorHAnsi" w:hAnsi="Palatino Linotype" w:cs="Arial"/>
          <w:lang w:val="es-MX" w:eastAsia="en-US"/>
        </w:rPr>
        <w:t xml:space="preserve">cual fue registrado en el sistema electrónico con el expediente número </w:t>
      </w:r>
      <w:r w:rsidR="005D2A2B">
        <w:rPr>
          <w:rFonts w:ascii="Palatino Linotype" w:eastAsiaTheme="minorHAnsi" w:hAnsi="Palatino Linotype" w:cs="Arial"/>
          <w:b/>
          <w:bCs/>
          <w:lang w:val="es-MX" w:eastAsia="en-US"/>
        </w:rPr>
        <w:t>02650</w:t>
      </w:r>
      <w:r w:rsidR="00C052BE">
        <w:rPr>
          <w:rFonts w:ascii="Palatino Linotype" w:eastAsiaTheme="minorHAnsi" w:hAnsi="Palatino Linotype" w:cs="Arial"/>
          <w:b/>
          <w:bCs/>
          <w:lang w:val="es-MX" w:eastAsia="en-US"/>
        </w:rPr>
        <w:t>/INFOEM/IP/RR/202</w:t>
      </w:r>
      <w:r w:rsidR="005D2A2B">
        <w:rPr>
          <w:rFonts w:ascii="Palatino Linotype" w:eastAsiaTheme="minorHAnsi" w:hAnsi="Palatino Linotype" w:cs="Arial"/>
          <w:b/>
          <w:bCs/>
          <w:lang w:val="es-MX" w:eastAsia="en-US"/>
        </w:rPr>
        <w:t>5</w:t>
      </w:r>
      <w:r w:rsidR="00C052BE">
        <w:rPr>
          <w:rFonts w:ascii="Palatino Linotype" w:eastAsiaTheme="minorHAnsi" w:hAnsi="Palatino Linotype" w:cs="Arial"/>
          <w:b/>
          <w:bCs/>
          <w:lang w:val="es-MX" w:eastAsia="en-US"/>
        </w:rPr>
        <w:t xml:space="preserve">, </w:t>
      </w:r>
      <w:r w:rsidR="00C052BE">
        <w:rPr>
          <w:rFonts w:ascii="Palatino Linotype" w:eastAsiaTheme="minorHAnsi" w:hAnsi="Palatino Linotype" w:cs="Arial"/>
          <w:lang w:val="es-MX" w:eastAsia="en-US"/>
        </w:rPr>
        <w:t xml:space="preserve">en el cual </w:t>
      </w:r>
      <w:r w:rsidR="005D2A2B">
        <w:rPr>
          <w:rFonts w:ascii="Palatino Linotype" w:eastAsiaTheme="minorHAnsi" w:hAnsi="Palatino Linotype" w:cs="Arial"/>
          <w:lang w:val="es-MX" w:eastAsia="en-US"/>
        </w:rPr>
        <w:t>señala lo siguiente:</w:t>
      </w:r>
    </w:p>
    <w:p w14:paraId="21B245FC" w14:textId="06885AA2" w:rsidR="005D2A2B" w:rsidRDefault="005D2A2B" w:rsidP="0089718F">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64C35418" w14:textId="6203C5B7" w:rsidR="005D2A2B" w:rsidRPr="005D2A2B" w:rsidRDefault="005D2A2B" w:rsidP="005D2A2B">
      <w:pPr>
        <w:pStyle w:val="Citas"/>
        <w:rPr>
          <w:b/>
          <w:bCs/>
        </w:rPr>
      </w:pPr>
      <w:r>
        <w:t>“</w:t>
      </w:r>
      <w:r w:rsidRPr="005D2A2B">
        <w:t>La atención de mis solicitud no es lo que se pide no se hizo una búsqueda donde se tiene la facultades</w:t>
      </w:r>
      <w:r>
        <w:t xml:space="preserve">” </w:t>
      </w:r>
      <w:r>
        <w:rPr>
          <w:b/>
          <w:bCs/>
        </w:rPr>
        <w:t>(Sic)</w:t>
      </w:r>
    </w:p>
    <w:p w14:paraId="037ECDDD" w14:textId="77777777" w:rsidR="00C052BE" w:rsidRDefault="00C052BE" w:rsidP="0089718F">
      <w:pPr>
        <w:spacing w:line="360" w:lineRule="auto"/>
        <w:jc w:val="both"/>
        <w:rPr>
          <w:rFonts w:ascii="Palatino Linotype" w:eastAsiaTheme="minorHAnsi" w:hAnsi="Palatino Linotype" w:cs="Arial"/>
          <w:lang w:val="es-MX" w:eastAsia="en-US"/>
        </w:rPr>
      </w:pPr>
    </w:p>
    <w:p w14:paraId="024A2212" w14:textId="13956A1D" w:rsidR="005D2A2B" w:rsidRDefault="005D2A2B" w:rsidP="005D2A2B">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lastRenderedPageBreak/>
        <w:t>Razones o motivos de inconformidad:</w:t>
      </w:r>
    </w:p>
    <w:p w14:paraId="3DD2582D" w14:textId="0F2A3C9B" w:rsidR="005D2A2B" w:rsidRPr="005D2A2B" w:rsidRDefault="005D2A2B" w:rsidP="005D2A2B">
      <w:pPr>
        <w:pStyle w:val="Citas"/>
        <w:rPr>
          <w:b/>
          <w:bCs/>
        </w:rPr>
      </w:pPr>
      <w:r>
        <w:t>“</w:t>
      </w:r>
      <w:r w:rsidRPr="005D2A2B">
        <w:t>Niega la información la contraloría pero no se hizo la búsquedas en el área qué tiene la facultades</w:t>
      </w:r>
      <w:r>
        <w:t xml:space="preserve">” </w:t>
      </w:r>
      <w:r>
        <w:rPr>
          <w:b/>
          <w:bCs/>
        </w:rPr>
        <w:t>(Sic)</w:t>
      </w:r>
    </w:p>
    <w:p w14:paraId="1D13239E" w14:textId="77777777" w:rsidR="005D2A2B" w:rsidRDefault="005D2A2B" w:rsidP="0089718F">
      <w:pPr>
        <w:spacing w:line="360" w:lineRule="auto"/>
        <w:jc w:val="both"/>
        <w:rPr>
          <w:rFonts w:ascii="Palatino Linotype" w:eastAsiaTheme="minorHAnsi" w:hAnsi="Palatino Linotype" w:cs="Arial"/>
          <w:lang w:val="es-MX" w:eastAsia="en-US"/>
        </w:rPr>
      </w:pPr>
    </w:p>
    <w:p w14:paraId="39F04ECF" w14:textId="03DF7FB4" w:rsidR="008E7388" w:rsidRPr="00037B15" w:rsidRDefault="00C052BE" w:rsidP="001F276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8E7388" w:rsidRPr="00037B15">
        <w:rPr>
          <w:rFonts w:ascii="Palatino Linotype" w:eastAsiaTheme="minorHAnsi" w:hAnsi="Palatino Linotype" w:cs="Arial"/>
          <w:b/>
          <w:sz w:val="28"/>
          <w:lang w:val="es-MX" w:eastAsia="en-US"/>
        </w:rPr>
        <w:t>. Del turno del recurso de revisión.</w:t>
      </w:r>
    </w:p>
    <w:p w14:paraId="530C3A6F" w14:textId="0B2EFB05" w:rsidR="008E7388" w:rsidRPr="00037B15" w:rsidRDefault="008E7388" w:rsidP="001F276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Presidente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w:t>
      </w:r>
      <w:r>
        <w:rPr>
          <w:rFonts w:ascii="Palatino Linotype" w:eastAsiaTheme="minorHAnsi" w:hAnsi="Palatino Linotype" w:cs="Arial"/>
          <w:lang w:val="es-MX" w:eastAsia="en-US"/>
        </w:rPr>
        <w:t>yó acuerdo de admisión en fecha</w:t>
      </w:r>
      <w:r>
        <w:rPr>
          <w:rFonts w:ascii="Palatino Linotype" w:eastAsiaTheme="minorHAnsi" w:hAnsi="Palatino Linotype" w:cs="Arial"/>
          <w:b/>
          <w:lang w:val="es-MX" w:eastAsia="en-US"/>
        </w:rPr>
        <w:t xml:space="preserve"> </w:t>
      </w:r>
      <w:r w:rsidR="005D2A2B">
        <w:rPr>
          <w:rFonts w:ascii="Palatino Linotype" w:eastAsiaTheme="minorHAnsi" w:hAnsi="Palatino Linotype" w:cs="Arial"/>
          <w:b/>
          <w:lang w:val="es-MX" w:eastAsia="en-US"/>
        </w:rPr>
        <w:t xml:space="preserve">doce de marzo de dos mil veinticinco, </w:t>
      </w:r>
      <w:r w:rsidRPr="00037B15">
        <w:rPr>
          <w:rFonts w:ascii="Palatino Linotype" w:eastAsiaTheme="minorHAnsi" w:hAnsi="Palatino Linotype" w:cs="Arial"/>
          <w:lang w:val="es-MX" w:eastAsia="en-US"/>
        </w:rPr>
        <w:t>determinándose en él, un plazo de siete días para que las partes manifestaran lo que a su derecho corresponda en términos del numeral ya citado.</w:t>
      </w:r>
    </w:p>
    <w:p w14:paraId="172A88FF" w14:textId="77777777" w:rsidR="008E7388" w:rsidRPr="00037B15" w:rsidRDefault="008E7388" w:rsidP="001F276C">
      <w:pPr>
        <w:spacing w:line="360" w:lineRule="auto"/>
        <w:jc w:val="both"/>
        <w:rPr>
          <w:rFonts w:ascii="Palatino Linotype" w:eastAsiaTheme="minorHAnsi" w:hAnsi="Palatino Linotype" w:cs="Arial"/>
          <w:lang w:val="es-MX" w:eastAsia="en-US"/>
        </w:rPr>
      </w:pPr>
    </w:p>
    <w:p w14:paraId="55D65BDA" w14:textId="303C2F82" w:rsidR="008E7388" w:rsidRPr="00037B15" w:rsidRDefault="00C052BE" w:rsidP="001F276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8E7388" w:rsidRPr="00037B15">
        <w:rPr>
          <w:rFonts w:ascii="Palatino Linotype" w:eastAsiaTheme="minorHAnsi" w:hAnsi="Palatino Linotype" w:cs="Arial"/>
          <w:b/>
          <w:sz w:val="28"/>
          <w:lang w:val="es-MX" w:eastAsia="en-US"/>
        </w:rPr>
        <w:t>. De la etapa de manifestaciones y/o alegatos.</w:t>
      </w:r>
    </w:p>
    <w:p w14:paraId="27FA430B" w14:textId="2E915E2B" w:rsidR="005D2A2B" w:rsidRPr="005D2A2B" w:rsidRDefault="008E7388" w:rsidP="001F276C">
      <w:pPr>
        <w:spacing w:line="360" w:lineRule="auto"/>
        <w:jc w:val="both"/>
        <w:rPr>
          <w:rFonts w:ascii="Palatino Linotype" w:eastAsiaTheme="minorHAnsi" w:hAnsi="Palatino Linotype" w:cs="Arial"/>
          <w:b/>
          <w:bCs/>
          <w:lang w:val="es-MX" w:eastAsia="en-US"/>
        </w:rPr>
      </w:pPr>
      <w:r w:rsidRPr="00037B15">
        <w:rPr>
          <w:rFonts w:ascii="Palatino Linotype" w:eastAsiaTheme="minorHAnsi" w:hAnsi="Palatino Linotype" w:cs="Arial"/>
          <w:lang w:val="es-MX" w:eastAsia="en-US"/>
        </w:rPr>
        <w:t xml:space="preserve">Una vez transcurrido el término legal referido </w:t>
      </w:r>
      <w:r w:rsidR="00F37B58">
        <w:rPr>
          <w:rFonts w:ascii="Palatino Linotype" w:eastAsiaTheme="minorHAnsi" w:hAnsi="Palatino Linotype" w:cs="Arial"/>
          <w:b/>
          <w:lang w:val="es-MX" w:eastAsia="en-US"/>
        </w:rPr>
        <w:t>e</w:t>
      </w:r>
      <w:r w:rsidRPr="00037B15">
        <w:rPr>
          <w:rFonts w:ascii="Palatino Linotype" w:eastAsiaTheme="minorHAnsi" w:hAnsi="Palatino Linotype" w:cs="Arial"/>
          <w:b/>
          <w:lang w:val="es-MX" w:eastAsia="en-US"/>
        </w:rPr>
        <w:t>l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el día </w:t>
      </w:r>
      <w:r w:rsidR="005D2A2B">
        <w:rPr>
          <w:rFonts w:ascii="Palatino Linotype" w:eastAsiaTheme="minorHAnsi" w:hAnsi="Palatino Linotype" w:cs="Arial"/>
          <w:b/>
          <w:bCs/>
          <w:lang w:val="es-MX" w:eastAsia="en-US"/>
        </w:rPr>
        <w:t xml:space="preserve">veinticinco de marzo de dos mil veinticinco, </w:t>
      </w:r>
      <w:r w:rsidR="005D2A2B">
        <w:rPr>
          <w:rFonts w:ascii="Palatino Linotype" w:eastAsiaTheme="minorHAnsi" w:hAnsi="Palatino Linotype" w:cs="Arial"/>
          <w:lang w:val="es-MX" w:eastAsia="en-US"/>
        </w:rPr>
        <w:t xml:space="preserve">mismo que fue puesto a la vista el </w:t>
      </w:r>
      <w:r w:rsidR="005D2A2B">
        <w:rPr>
          <w:rFonts w:ascii="Palatino Linotype" w:eastAsiaTheme="minorHAnsi" w:hAnsi="Palatino Linotype" w:cs="Arial"/>
          <w:b/>
          <w:bCs/>
          <w:lang w:val="es-MX" w:eastAsia="en-US"/>
        </w:rPr>
        <w:t xml:space="preserve">veintiséis de marzo de los corrientes. </w:t>
      </w:r>
    </w:p>
    <w:p w14:paraId="3874B61B" w14:textId="77777777" w:rsidR="005D2A2B" w:rsidRDefault="005D2A2B" w:rsidP="001F276C">
      <w:pPr>
        <w:spacing w:line="360" w:lineRule="auto"/>
        <w:jc w:val="both"/>
        <w:rPr>
          <w:rFonts w:ascii="Palatino Linotype" w:eastAsiaTheme="minorHAnsi" w:hAnsi="Palatino Linotype" w:cs="Arial"/>
          <w:lang w:val="es-MX" w:eastAsia="en-US"/>
        </w:rPr>
      </w:pPr>
    </w:p>
    <w:p w14:paraId="52768C49" w14:textId="302E0676" w:rsidR="005D2A2B" w:rsidRPr="00037B15" w:rsidRDefault="005D2A2B" w:rsidP="005D2A2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037B15">
        <w:rPr>
          <w:rFonts w:ascii="Palatino Linotype" w:eastAsiaTheme="minorHAnsi" w:hAnsi="Palatino Linotype" w:cs="Arial"/>
          <w:b/>
          <w:sz w:val="28"/>
          <w:lang w:val="es-MX" w:eastAsia="en-US"/>
        </w:rPr>
        <w:t xml:space="preserve">. </w:t>
      </w:r>
      <w:r>
        <w:rPr>
          <w:rFonts w:ascii="Palatino Linotype" w:eastAsiaTheme="minorHAnsi" w:hAnsi="Palatino Linotype" w:cs="Arial"/>
          <w:b/>
          <w:sz w:val="28"/>
          <w:lang w:val="es-MX" w:eastAsia="en-US"/>
        </w:rPr>
        <w:t>Del cierre de instrucción</w:t>
      </w:r>
    </w:p>
    <w:p w14:paraId="6363F68C" w14:textId="2C3D2102" w:rsidR="005D2A2B" w:rsidRDefault="005D2A2B" w:rsidP="005D2A2B">
      <w:pPr>
        <w:spacing w:before="240" w:line="360" w:lineRule="auto"/>
        <w:jc w:val="both"/>
        <w:rPr>
          <w:rFonts w:ascii="Palatino Linotype" w:hAnsi="Palatino Linotype" w:cs="Arial"/>
        </w:rPr>
      </w:pPr>
      <w:r>
        <w:rPr>
          <w:rFonts w:ascii="Palatino Linotype" w:hAnsi="Palatino Linotype" w:cs="Arial"/>
          <w:bCs/>
        </w:rPr>
        <w:t xml:space="preserve">Por lo cual se decretó cierre de instrucción con </w:t>
      </w:r>
      <w:r w:rsidRPr="00650EAD">
        <w:rPr>
          <w:rFonts w:ascii="Palatino Linotype" w:hAnsi="Palatino Linotype" w:cs="Arial"/>
          <w:bCs/>
        </w:rPr>
        <w:t xml:space="preserve">fecha </w:t>
      </w:r>
      <w:r>
        <w:rPr>
          <w:rFonts w:ascii="Palatino Linotype" w:hAnsi="Palatino Linotype" w:cs="Arial"/>
          <w:b/>
        </w:rPr>
        <w:t xml:space="preserve">uno de abril de dos mil veinticinco, </w:t>
      </w:r>
      <w:r w:rsidRPr="00730609">
        <w:rPr>
          <w:rFonts w:ascii="Palatino Linotype" w:hAnsi="Palatino Linotype" w:cs="Arial"/>
        </w:rPr>
        <w:t>en</w:t>
      </w:r>
      <w:r>
        <w:rPr>
          <w:rFonts w:ascii="Palatino Linotype" w:hAnsi="Palatino Linotype" w:cs="Arial"/>
        </w:rPr>
        <w:t xml:space="preserve"> términos del artículo 185 Fracción VI de la Ley de Transparencia y Acceso a la Información Pública del Estado de México y Municipios, iniciando el término legal para dictar resolución definitiva del asunto. </w:t>
      </w:r>
    </w:p>
    <w:p w14:paraId="59F2BC82" w14:textId="77777777" w:rsidR="005D2A2B" w:rsidRDefault="005D2A2B" w:rsidP="005D2A2B">
      <w:pPr>
        <w:spacing w:before="240" w:line="360" w:lineRule="auto"/>
        <w:jc w:val="both"/>
        <w:rPr>
          <w:rFonts w:ascii="Palatino Linotype" w:hAnsi="Palatino Linotype" w:cs="Arial"/>
        </w:rPr>
      </w:pPr>
    </w:p>
    <w:p w14:paraId="67F7CF89" w14:textId="52FB4B88" w:rsidR="005D2A2B" w:rsidRPr="00037B15" w:rsidRDefault="005D2A2B" w:rsidP="005D2A2B">
      <w:pPr>
        <w:spacing w:line="360" w:lineRule="auto"/>
        <w:jc w:val="both"/>
        <w:rPr>
          <w:rFonts w:ascii="Palatino Linotype" w:eastAsiaTheme="minorHAnsi" w:hAnsi="Palatino Linotype" w:cs="Arial"/>
          <w:b/>
          <w:sz w:val="28"/>
          <w:lang w:val="es-MX" w:eastAsia="en-US"/>
        </w:rPr>
      </w:pPr>
      <w:bookmarkStart w:id="1" w:name="_Hlk197597279"/>
      <w:r>
        <w:rPr>
          <w:rFonts w:ascii="Palatino Linotype" w:eastAsiaTheme="minorHAnsi" w:hAnsi="Palatino Linotype" w:cs="Arial"/>
          <w:b/>
          <w:sz w:val="28"/>
          <w:lang w:val="es-MX" w:eastAsia="en-US"/>
        </w:rPr>
        <w:lastRenderedPageBreak/>
        <w:t>SÉPTIMO.</w:t>
      </w:r>
      <w:r w:rsidRPr="00037B15">
        <w:rPr>
          <w:rFonts w:ascii="Palatino Linotype" w:eastAsiaTheme="minorHAnsi" w:hAnsi="Palatino Linotype" w:cs="Arial"/>
          <w:b/>
          <w:sz w:val="28"/>
          <w:lang w:val="es-MX" w:eastAsia="en-US"/>
        </w:rPr>
        <w:t xml:space="preserve"> </w:t>
      </w:r>
      <w:r>
        <w:rPr>
          <w:rFonts w:ascii="Palatino Linotype" w:eastAsiaTheme="minorHAnsi" w:hAnsi="Palatino Linotype" w:cs="Arial"/>
          <w:b/>
          <w:sz w:val="28"/>
          <w:lang w:val="es-MX" w:eastAsia="en-US"/>
        </w:rPr>
        <w:t>De la ampliación de plazo para resolver el recurso de revisión</w:t>
      </w:r>
    </w:p>
    <w:p w14:paraId="0CF64642" w14:textId="05D77FEE" w:rsidR="005D2A2B" w:rsidRPr="007D5B87" w:rsidRDefault="005D2A2B" w:rsidP="005D2A2B">
      <w:pPr>
        <w:spacing w:line="360" w:lineRule="auto"/>
        <w:jc w:val="both"/>
        <w:rPr>
          <w:rFonts w:ascii="Palatino Linotype" w:hAnsi="Palatino Linotype" w:cs="Arial"/>
        </w:rPr>
      </w:pPr>
      <w:r w:rsidRPr="007D5B87">
        <w:rPr>
          <w:rFonts w:ascii="Palatino Linotype" w:hAnsi="Palatino Linotype" w:cs="Arial"/>
        </w:rPr>
        <w:t xml:space="preserve">El día </w:t>
      </w:r>
      <w:r>
        <w:rPr>
          <w:rFonts w:ascii="Palatino Linotype" w:hAnsi="Palatino Linotype" w:cs="Arial"/>
          <w:b/>
          <w:bCs/>
        </w:rPr>
        <w:t xml:space="preserve">nueve de mayo de dos mil veinticinco, </w:t>
      </w:r>
      <w:r w:rsidRPr="007D5B87">
        <w:rPr>
          <w:rFonts w:ascii="Palatino Linotype" w:hAnsi="Palatino Linotype" w:cs="Arial"/>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27D496DC" w14:textId="77777777" w:rsidR="005D2A2B" w:rsidRDefault="005D2A2B" w:rsidP="001F276C">
      <w:pPr>
        <w:spacing w:line="360" w:lineRule="auto"/>
        <w:jc w:val="both"/>
        <w:rPr>
          <w:rFonts w:ascii="Palatino Linotype" w:hAnsi="Palatino Linotype" w:cs="Arial"/>
          <w:b/>
        </w:rPr>
      </w:pPr>
    </w:p>
    <w:p w14:paraId="00107200" w14:textId="74991366" w:rsidR="008E7388" w:rsidRDefault="00723261" w:rsidP="001F276C">
      <w:pPr>
        <w:spacing w:line="360" w:lineRule="auto"/>
        <w:jc w:val="both"/>
        <w:rPr>
          <w:rFonts w:ascii="Palatino Linotype" w:hAnsi="Palatino Linotype" w:cs="Arial"/>
          <w:b/>
          <w:sz w:val="28"/>
          <w:szCs w:val="28"/>
        </w:rPr>
      </w:pPr>
      <w:r>
        <w:rPr>
          <w:rFonts w:ascii="Palatino Linotype" w:hAnsi="Palatino Linotype" w:cs="Arial"/>
          <w:b/>
          <w:sz w:val="28"/>
        </w:rPr>
        <w:t>OCTAVO</w:t>
      </w:r>
      <w:r w:rsidR="008E7388" w:rsidRPr="00B07D6D">
        <w:rPr>
          <w:rFonts w:ascii="Palatino Linotype" w:hAnsi="Palatino Linotype" w:cs="Arial"/>
          <w:b/>
        </w:rPr>
        <w:t xml:space="preserve">. </w:t>
      </w:r>
      <w:r w:rsidR="008E7388" w:rsidRPr="00B07D6D">
        <w:rPr>
          <w:rFonts w:ascii="Palatino Linotype" w:hAnsi="Palatino Linotype" w:cs="Arial"/>
          <w:b/>
          <w:sz w:val="28"/>
          <w:szCs w:val="28"/>
        </w:rPr>
        <w:t xml:space="preserve">De la </w:t>
      </w:r>
      <w:r w:rsidR="008E7388">
        <w:rPr>
          <w:rFonts w:ascii="Palatino Linotype" w:hAnsi="Palatino Linotype" w:cs="Arial"/>
          <w:b/>
          <w:sz w:val="28"/>
          <w:szCs w:val="28"/>
        </w:rPr>
        <w:t>regularización del expediente electrónico.</w:t>
      </w:r>
    </w:p>
    <w:p w14:paraId="1AD05A14" w14:textId="77777777" w:rsidR="00B22B7F" w:rsidRDefault="008E7388" w:rsidP="00B22B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Calibri" w:hAnsi="Palatino Linotype" w:cs="Arial"/>
        </w:rPr>
        <w:t xml:space="preserve">En fecha </w:t>
      </w:r>
      <w:r w:rsidR="00B22B7F">
        <w:rPr>
          <w:rFonts w:ascii="Palatino Linotype" w:eastAsia="Calibri" w:hAnsi="Palatino Linotype" w:cs="Arial"/>
          <w:b/>
          <w:bCs/>
        </w:rPr>
        <w:t xml:space="preserve">nueve de julio de dos </w:t>
      </w:r>
      <w:r w:rsidR="00B22B7F" w:rsidRPr="00B22B7F">
        <w:rPr>
          <w:rFonts w:ascii="Palatino Linotype" w:eastAsia="Calibri" w:hAnsi="Palatino Linotype" w:cs="Arial"/>
          <w:b/>
          <w:bCs/>
        </w:rPr>
        <w:t xml:space="preserve">mil veinticinco, </w:t>
      </w:r>
      <w:r w:rsidR="00B22B7F" w:rsidRPr="00B22B7F">
        <w:rPr>
          <w:rFonts w:ascii="Palatino Linotype" w:eastAsia="Palatino Linotype" w:hAnsi="Palatino Linotype" w:cs="Palatino Linotype"/>
          <w:color w:val="000000"/>
        </w:rPr>
        <w:t>derivado de las pretensiones del Recurrente, se determinó procedente la reconducción de vía de derecho de acceso a información pública a acceso a datos personales, por lo que, de conformidad con la normatividad aplicable, se previno al Recurrente para que en el término de cinco días hábiles exhibiera los documentos que acrediten su identidad como titular de los datos solicitados, apercibiéndolo que de no hacerlo, el recurso de revisión sería sobreseído, por lo que se dejó sin efectos el cierre de instrucción y se habilitó nuevamente la etapa de manifestaciones.</w:t>
      </w:r>
    </w:p>
    <w:p w14:paraId="79E4E9DC" w14:textId="77777777" w:rsidR="00B22B7F" w:rsidRDefault="00B22B7F" w:rsidP="00B22B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032CD5" w14:textId="461C5FCC" w:rsidR="00723261" w:rsidRPr="00B22B7F" w:rsidRDefault="00723261" w:rsidP="001F276C">
      <w:pPr>
        <w:spacing w:line="360" w:lineRule="auto"/>
        <w:jc w:val="both"/>
        <w:rPr>
          <w:rFonts w:ascii="Palatino Linotype" w:eastAsia="Calibri" w:hAnsi="Palatino Linotype" w:cs="Arial"/>
        </w:rPr>
      </w:pPr>
    </w:p>
    <w:p w14:paraId="51366519" w14:textId="0C319E5A" w:rsidR="00313AEF" w:rsidRDefault="00313AEF" w:rsidP="00313AEF">
      <w:pPr>
        <w:spacing w:line="360" w:lineRule="auto"/>
        <w:jc w:val="both"/>
        <w:rPr>
          <w:rFonts w:ascii="Palatino Linotype" w:hAnsi="Palatino Linotype" w:cs="Arial"/>
          <w:b/>
          <w:sz w:val="28"/>
          <w:szCs w:val="28"/>
        </w:rPr>
      </w:pPr>
      <w:r>
        <w:rPr>
          <w:rFonts w:ascii="Palatino Linotype" w:hAnsi="Palatino Linotype" w:cs="Arial"/>
          <w:b/>
          <w:sz w:val="28"/>
        </w:rPr>
        <w:t>NOVENO</w:t>
      </w:r>
      <w:r w:rsidRPr="00B07D6D">
        <w:rPr>
          <w:rFonts w:ascii="Palatino Linotype" w:hAnsi="Palatino Linotype" w:cs="Arial"/>
          <w:b/>
        </w:rPr>
        <w:t xml:space="preserve">. </w:t>
      </w:r>
      <w:r>
        <w:rPr>
          <w:rFonts w:ascii="Palatino Linotype" w:hAnsi="Palatino Linotype" w:cs="Arial"/>
          <w:b/>
          <w:sz w:val="28"/>
          <w:szCs w:val="28"/>
        </w:rPr>
        <w:t>Del cierre de instrucción</w:t>
      </w:r>
    </w:p>
    <w:p w14:paraId="6F5A303F" w14:textId="759139EA" w:rsidR="00313AEF" w:rsidRPr="00313AEF" w:rsidRDefault="00313AEF" w:rsidP="00313AEF">
      <w:pPr>
        <w:spacing w:line="360" w:lineRule="auto"/>
        <w:jc w:val="both"/>
        <w:rPr>
          <w:rFonts w:ascii="Palatino Linotype" w:eastAsia="Palatino Linotype" w:hAnsi="Palatino Linotype" w:cs="Palatino Linotype"/>
          <w:color w:val="000000"/>
        </w:rPr>
      </w:pPr>
      <w:r w:rsidRPr="00313AEF">
        <w:rPr>
          <w:rFonts w:ascii="Palatino Linotype" w:eastAsia="Palatino Linotype" w:hAnsi="Palatino Linotype" w:cs="Palatino Linotype"/>
          <w:color w:val="000000"/>
        </w:rPr>
        <w:t xml:space="preserve">Una vez transcurrido el término otorgado para desahogar la prevención por parte del Recurrente y ante la falta de pronunciamiento del particular, el día </w:t>
      </w:r>
      <w:r w:rsidR="008553EC">
        <w:rPr>
          <w:rFonts w:ascii="Palatino Linotype" w:eastAsia="Palatino Linotype" w:hAnsi="Palatino Linotype" w:cs="Palatino Linotype"/>
          <w:b/>
          <w:bCs/>
          <w:color w:val="000000"/>
        </w:rPr>
        <w:t>trece</w:t>
      </w:r>
      <w:r w:rsidRPr="00313AEF">
        <w:rPr>
          <w:rFonts w:ascii="Palatino Linotype" w:eastAsia="Palatino Linotype" w:hAnsi="Palatino Linotype" w:cs="Palatino Linotype"/>
          <w:b/>
          <w:bCs/>
          <w:color w:val="000000"/>
        </w:rPr>
        <w:t xml:space="preserve"> de agosto de dos mil veinticinco</w:t>
      </w:r>
      <w:r w:rsidRPr="00313AEF">
        <w:rPr>
          <w:rFonts w:ascii="Palatino Linotype" w:eastAsia="Palatino Linotype" w:hAnsi="Palatino Linotype" w:cs="Palatino Linotype"/>
          <w:color w:val="000000"/>
        </w:rPr>
        <w:t xml:space="preserve"> se decretó el cierre de la etapa de instrucción, en términos del artículo 185 fracción VI de la Ley de Transparencia y Acceso a la Información Pública </w:t>
      </w:r>
      <w:r w:rsidRPr="00313AEF">
        <w:rPr>
          <w:rFonts w:ascii="Palatino Linotype" w:eastAsia="Palatino Linotype" w:hAnsi="Palatino Linotype" w:cs="Palatino Linotype"/>
          <w:color w:val="000000"/>
        </w:rPr>
        <w:lastRenderedPageBreak/>
        <w:t>del Estado de México y Municipios, iniciando el término legal para dictar resolución definitiva del asunto.</w:t>
      </w:r>
    </w:p>
    <w:p w14:paraId="30A6CF74" w14:textId="77777777" w:rsidR="00723261" w:rsidRDefault="00723261" w:rsidP="001F276C">
      <w:pPr>
        <w:spacing w:line="360" w:lineRule="auto"/>
        <w:jc w:val="both"/>
        <w:rPr>
          <w:rFonts w:ascii="Palatino Linotype" w:eastAsia="Calibri" w:hAnsi="Palatino Linotype" w:cs="Arial"/>
        </w:rPr>
      </w:pPr>
    </w:p>
    <w:p w14:paraId="6BAF51CD" w14:textId="77777777" w:rsidR="007A48D3" w:rsidRDefault="007A48D3" w:rsidP="001F276C">
      <w:pPr>
        <w:spacing w:line="360" w:lineRule="auto"/>
        <w:jc w:val="both"/>
        <w:rPr>
          <w:rFonts w:ascii="Palatino Linotype" w:eastAsiaTheme="minorHAnsi" w:hAnsi="Palatino Linotype" w:cs="Arial"/>
          <w:b/>
          <w:sz w:val="28"/>
          <w:lang w:val="es-MX" w:eastAsia="en-US"/>
        </w:rPr>
      </w:pPr>
    </w:p>
    <w:p w14:paraId="3FE21411" w14:textId="77777777" w:rsidR="008E7388" w:rsidRPr="00037B15" w:rsidRDefault="008E7388" w:rsidP="001F276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5F28ADE9" w14:textId="77777777" w:rsidR="008E7388" w:rsidRPr="00037B15" w:rsidRDefault="008E7388" w:rsidP="001F276C">
      <w:pPr>
        <w:spacing w:line="360" w:lineRule="auto"/>
        <w:jc w:val="center"/>
        <w:rPr>
          <w:rFonts w:ascii="Palatino Linotype" w:eastAsiaTheme="minorHAnsi" w:hAnsi="Palatino Linotype" w:cs="Arial"/>
          <w:b/>
          <w:sz w:val="14"/>
          <w:lang w:val="es-MX" w:eastAsia="en-US"/>
        </w:rPr>
      </w:pPr>
    </w:p>
    <w:p w14:paraId="36A4A667" w14:textId="77777777" w:rsidR="008E7388" w:rsidRPr="00037B15" w:rsidRDefault="008E7388" w:rsidP="001F276C">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4A9E990D" w14:textId="77777777" w:rsidR="00313AEF" w:rsidRPr="001E48B6" w:rsidRDefault="00313AEF" w:rsidP="00313AEF">
      <w:pPr>
        <w:spacing w:line="360" w:lineRule="auto"/>
        <w:jc w:val="both"/>
        <w:rPr>
          <w:rFonts w:ascii="Palatino Linotype" w:hAnsi="Palatino Linotype" w:cs="Arial"/>
        </w:rPr>
      </w:pPr>
      <w:r w:rsidRPr="001E48B6">
        <w:rPr>
          <w:rFonts w:ascii="Palatino Linotype" w:hAnsi="Palatino Linotype" w:cs="Arial"/>
        </w:rPr>
        <w:t xml:space="preserve">Este Instituto de Transparencia, Acceso a la Información Pública y Protección de Datos Personales del Estado de México y Municipios, </w:t>
      </w:r>
      <w:r w:rsidRPr="00AE31C9">
        <w:rPr>
          <w:rFonts w:ascii="Palatino Linotype" w:hAnsi="Palatino Linotype" w:cs="Arial"/>
        </w:rPr>
        <w:t xml:space="preserve">es competente para conocer y resolver el presente Recurso de Revisión, conforme a lo dispuesto en el artículo </w:t>
      </w:r>
      <w:r w:rsidRPr="00AE31C9">
        <w:rPr>
          <w:rFonts w:ascii="Palatino Linotype" w:hAnsi="Palatino Linotype"/>
        </w:rPr>
        <w:t xml:space="preserve">5o párrafos trigésimo tercero, trigésimo noveno, cuadragésimo y cuadragésimo primero, fracción VIII de la Constitución Política del Estado Libre y Soberano de México; </w:t>
      </w:r>
      <w:r w:rsidRPr="00AE31C9">
        <w:rPr>
          <w:rFonts w:ascii="Palatino Linotype" w:hAnsi="Palatino Linotype" w:cs="Arial"/>
        </w:rPr>
        <w:t>1, 81, 82 fracciones I y III, 119, 127, 128 y 129, de la Ley de Protección de Datos Personales en Posesión de Sujetos Obligados del Estado de México y Municipios</w:t>
      </w:r>
      <w:r w:rsidRPr="001E48B6">
        <w:rPr>
          <w:rFonts w:ascii="Palatino Linotype" w:hAnsi="Palatino Linotype" w:cs="Arial"/>
        </w:rPr>
        <w:t>;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DCDCC2F" w14:textId="77777777" w:rsidR="00313AEF" w:rsidRDefault="00313AEF" w:rsidP="001F276C">
      <w:pPr>
        <w:autoSpaceDE w:val="0"/>
        <w:autoSpaceDN w:val="0"/>
        <w:adjustRightInd w:val="0"/>
        <w:spacing w:line="360" w:lineRule="auto"/>
        <w:jc w:val="both"/>
        <w:rPr>
          <w:rFonts w:ascii="Palatino Linotype" w:eastAsiaTheme="minorHAnsi" w:hAnsi="Palatino Linotype" w:cs="Arial"/>
          <w:b/>
          <w:sz w:val="28"/>
          <w:lang w:val="es-MX" w:eastAsia="en-US"/>
        </w:rPr>
      </w:pPr>
    </w:p>
    <w:p w14:paraId="281A7727" w14:textId="6BEB2A4E" w:rsidR="008E7388" w:rsidRPr="00037B15" w:rsidRDefault="008E7388" w:rsidP="001F276C">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062882F8" w14:textId="77777777" w:rsidR="00313AEF" w:rsidRDefault="00313AEF" w:rsidP="00313AE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53CCA8B" w14:textId="77777777" w:rsidR="008E7388" w:rsidRPr="009044FE" w:rsidRDefault="008E7388" w:rsidP="001F276C">
      <w:pPr>
        <w:pStyle w:val="Prrafodelista"/>
        <w:autoSpaceDE w:val="0"/>
        <w:autoSpaceDN w:val="0"/>
        <w:adjustRightInd w:val="0"/>
        <w:spacing w:line="360" w:lineRule="auto"/>
        <w:ind w:left="0"/>
        <w:jc w:val="both"/>
        <w:rPr>
          <w:rFonts w:ascii="Palatino Linotype" w:hAnsi="Palatino Linotype" w:cs="Arial"/>
          <w:b/>
        </w:rPr>
      </w:pPr>
    </w:p>
    <w:p w14:paraId="169E5D2C" w14:textId="77777777" w:rsidR="001A1DC3" w:rsidRDefault="001A1DC3" w:rsidP="00B7265E">
      <w:pPr>
        <w:autoSpaceDE w:val="0"/>
        <w:autoSpaceDN w:val="0"/>
        <w:adjustRightInd w:val="0"/>
        <w:spacing w:line="360" w:lineRule="auto"/>
        <w:jc w:val="both"/>
        <w:rPr>
          <w:rFonts w:ascii="Palatino Linotype" w:hAnsi="Palatino Linotype" w:cs="Arial"/>
          <w:b/>
          <w:sz w:val="28"/>
        </w:rPr>
      </w:pPr>
    </w:p>
    <w:p w14:paraId="0832E5A1" w14:textId="2AD3105D" w:rsidR="00B7265E" w:rsidRPr="00610919" w:rsidRDefault="00313AEF" w:rsidP="00B7265E">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B7265E" w:rsidRPr="00610919">
        <w:rPr>
          <w:rFonts w:ascii="Palatino Linotype" w:hAnsi="Palatino Linotype" w:cs="Arial"/>
          <w:b/>
          <w:sz w:val="28"/>
        </w:rPr>
        <w:t>. Del estudio de las causas de improcedencia y sobreseimiento.</w:t>
      </w:r>
    </w:p>
    <w:p w14:paraId="502E7DA7"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En primer término, es importante establecer la materia de la solicitud, para determinar si se trata de una solicitud de acceso a la información como fue ingresada, o bien, si es de acceso a datos personales, en virtud de que la parte Recurrente al momento de formular su solicitud lo realizó vía el Sistema de Acceso a la Información Mexiquense.</w:t>
      </w:r>
    </w:p>
    <w:p w14:paraId="22974863"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0C0B3D7"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Al respecto, el derecho de acceso a la información pública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w:t>
      </w:r>
    </w:p>
    <w:p w14:paraId="1BC00996"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13C8819"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 xml:space="preserve">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w:t>
      </w:r>
      <w:r w:rsidRPr="008553EC">
        <w:rPr>
          <w:rFonts w:ascii="Palatino Linotype" w:eastAsia="Palatino Linotype" w:hAnsi="Palatino Linotype" w:cs="Palatino Linotype"/>
          <w:color w:val="000000"/>
        </w:rPr>
        <w:lastRenderedPageBreak/>
        <w:t>través del procedimiento previsto en los artículos 150, 152, 153 y 155 de la Ley de Transparencia y Acceso a la Información Pública del Estado de México y Municipios.</w:t>
      </w:r>
    </w:p>
    <w:p w14:paraId="7A3E014B"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7C48EC3"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0AA593B4"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D201119"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223CA21C"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23BE3A"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lastRenderedPageBreak/>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7545776E"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503B84B"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Así las cosas, se tiene que una solicitud de derechos ARCO se refiere a aquel derecho que tiene un titular de datos personales para solicitar el acceso, rectificación, cancelación, oposición y portabilidad sobre el tratamiento de sus datos, ante el sujeto obligado que esté en posesión de estos.</w:t>
      </w:r>
    </w:p>
    <w:p w14:paraId="7AC1B623"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47552F3" w14:textId="77777777" w:rsidR="008553EC" w:rsidRPr="008553EC"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553EC">
        <w:rPr>
          <w:rFonts w:ascii="Palatino Linotype" w:eastAsia="Palatino Linotype" w:hAnsi="Palatino Linotype" w:cs="Palatino Linotype"/>
          <w:color w:val="000000"/>
        </w:rPr>
        <w:t>Es importante señalar, que la procedencia de los derechos de acceso, rectificación, cancelación y oposición de datos personales es efectiva una vez que el titular o su representante legal acrediten su identidad o representación, respectivamente.</w:t>
      </w:r>
    </w:p>
    <w:p w14:paraId="69D708E0" w14:textId="01963050" w:rsidR="008553EC" w:rsidRPr="008553EC" w:rsidRDefault="008553EC" w:rsidP="001A1DC3">
      <w:pPr>
        <w:autoSpaceDE w:val="0"/>
        <w:autoSpaceDN w:val="0"/>
        <w:adjustRightInd w:val="0"/>
        <w:spacing w:before="240" w:line="360" w:lineRule="auto"/>
        <w:jc w:val="both"/>
        <w:rPr>
          <w:rFonts w:ascii="Palatino Linotype" w:hAnsi="Palatino Linotype" w:cs="Arial"/>
        </w:rPr>
      </w:pPr>
      <w:r w:rsidRPr="008553EC">
        <w:rPr>
          <w:rFonts w:ascii="Palatino Linotype" w:eastAsiaTheme="minorEastAsia" w:hAnsi="Palatino Linotype" w:cstheme="minorBidi"/>
          <w:lang w:eastAsia="en-US"/>
        </w:rPr>
        <w:t xml:space="preserve">En virtud de lo anterior, es conveniente recordar que </w:t>
      </w:r>
      <w:r>
        <w:rPr>
          <w:rFonts w:ascii="Palatino Linotype" w:eastAsiaTheme="minorEastAsia" w:hAnsi="Palatino Linotype" w:cstheme="minorBidi"/>
          <w:b/>
          <w:bCs/>
          <w:lang w:eastAsia="en-US"/>
        </w:rPr>
        <w:t>El</w:t>
      </w:r>
      <w:r w:rsidRPr="008553EC">
        <w:rPr>
          <w:rFonts w:ascii="Palatino Linotype" w:eastAsiaTheme="minorEastAsia" w:hAnsi="Palatino Linotype" w:cstheme="minorBidi"/>
          <w:b/>
          <w:bCs/>
          <w:lang w:eastAsia="en-US"/>
        </w:rPr>
        <w:t xml:space="preserve"> Recurrente</w:t>
      </w:r>
      <w:r w:rsidRPr="008553EC">
        <w:rPr>
          <w:rFonts w:ascii="Palatino Linotype" w:eastAsiaTheme="minorEastAsia" w:hAnsi="Palatino Linotype" w:cstheme="minorBidi"/>
          <w:lang w:eastAsia="en-US"/>
        </w:rPr>
        <w:t xml:space="preserve"> requirió</w:t>
      </w:r>
      <w:r>
        <w:rPr>
          <w:rFonts w:ascii="Palatino Linotype" w:eastAsiaTheme="minorEastAsia" w:hAnsi="Palatino Linotype" w:cstheme="minorBidi"/>
          <w:lang w:eastAsia="en-US"/>
        </w:rPr>
        <w:t xml:space="preserve"> lo siguiente: </w:t>
      </w:r>
    </w:p>
    <w:p w14:paraId="1D0AE1D3" w14:textId="40280251" w:rsidR="001A1DC3" w:rsidRPr="00313AEF" w:rsidRDefault="00313AEF" w:rsidP="00313AEF">
      <w:pPr>
        <w:pStyle w:val="Citas"/>
        <w:rPr>
          <w:b/>
          <w:bCs/>
        </w:rPr>
      </w:pPr>
      <w:r>
        <w:t>“</w:t>
      </w:r>
      <w:r w:rsidRPr="00313AEF">
        <w:t xml:space="preserve">Solicito se me informe a través de este conducto y mediante documentación probatoria ya sea el caso en versión pública el estado actual del procedimiento sobre </w:t>
      </w:r>
      <w:r w:rsidR="004062B7" w:rsidRPr="004062B7">
        <w:rPr>
          <w:b/>
          <w:bCs/>
        </w:rPr>
        <w:lastRenderedPageBreak/>
        <w:t>EL PAGO DE MI</w:t>
      </w:r>
      <w:r w:rsidR="004062B7" w:rsidRPr="00313AEF">
        <w:t xml:space="preserve"> </w:t>
      </w:r>
      <w:r w:rsidRPr="00313AEF">
        <w:t xml:space="preserve">finiquito correspondiente al período que desempeñe los servidores </w:t>
      </w:r>
      <w:proofErr w:type="spellStart"/>
      <w:r w:rsidRPr="00313AEF">
        <w:t>publicos</w:t>
      </w:r>
      <w:proofErr w:type="spellEnd"/>
      <w:r w:rsidRPr="00313AEF">
        <w:t xml:space="preserve"> dados de baja en 2022</w:t>
      </w:r>
      <w:r>
        <w:t xml:space="preserve">” </w:t>
      </w:r>
      <w:r>
        <w:rPr>
          <w:b/>
          <w:bCs/>
        </w:rPr>
        <w:t>(Sic)</w:t>
      </w:r>
    </w:p>
    <w:p w14:paraId="02131621" w14:textId="77777777" w:rsidR="00313AEF" w:rsidRDefault="00313AEF" w:rsidP="001F276C">
      <w:pPr>
        <w:tabs>
          <w:tab w:val="left" w:pos="709"/>
        </w:tabs>
        <w:spacing w:line="360" w:lineRule="auto"/>
        <w:ind w:right="51"/>
        <w:jc w:val="both"/>
        <w:rPr>
          <w:rFonts w:ascii="Palatino Linotype" w:hAnsi="Palatino Linotype"/>
        </w:rPr>
      </w:pPr>
    </w:p>
    <w:p w14:paraId="206B70F5" w14:textId="6351489F" w:rsidR="00313AEF" w:rsidRDefault="00486912" w:rsidP="001F276C">
      <w:pPr>
        <w:pStyle w:val="Prrafodelista"/>
        <w:widowControl w:val="0"/>
        <w:autoSpaceDE w:val="0"/>
        <w:autoSpaceDN w:val="0"/>
        <w:adjustRightInd w:val="0"/>
        <w:spacing w:line="360" w:lineRule="auto"/>
        <w:ind w:left="0" w:right="51"/>
        <w:jc w:val="both"/>
        <w:rPr>
          <w:rFonts w:ascii="Palatino Linotype" w:hAnsi="Palatino Linotype" w:cs="Arial"/>
          <w:bCs/>
        </w:rPr>
      </w:pPr>
      <w:r w:rsidRPr="008324E8">
        <w:rPr>
          <w:rFonts w:ascii="Palatino Linotype" w:hAnsi="Palatino Linotype" w:cs="Arial"/>
        </w:rPr>
        <w:t xml:space="preserve">En este tenor, se precisa que </w:t>
      </w:r>
      <w:r w:rsidR="00CD210C" w:rsidRPr="008324E8">
        <w:rPr>
          <w:rFonts w:ascii="Palatino Linotype" w:hAnsi="Palatino Linotype" w:cs="Arial"/>
          <w:b/>
          <w:bCs/>
        </w:rPr>
        <w:t>El</w:t>
      </w:r>
      <w:r w:rsidRPr="008324E8">
        <w:rPr>
          <w:rFonts w:ascii="Palatino Linotype" w:hAnsi="Palatino Linotype" w:cs="Arial"/>
          <w:b/>
          <w:bCs/>
        </w:rPr>
        <w:t xml:space="preserve"> Sujeto </w:t>
      </w:r>
      <w:bookmarkStart w:id="2" w:name="_Hlk147391257"/>
      <w:r w:rsidRPr="008324E8">
        <w:rPr>
          <w:rFonts w:ascii="Palatino Linotype" w:hAnsi="Palatino Linotype" w:cs="Arial"/>
          <w:b/>
          <w:bCs/>
        </w:rPr>
        <w:t>Obligado</w:t>
      </w:r>
      <w:r w:rsidRPr="008324E8">
        <w:rPr>
          <w:rFonts w:ascii="Palatino Linotype" w:hAnsi="Palatino Linotype" w:cs="Arial"/>
          <w:b/>
        </w:rPr>
        <w:t xml:space="preserve"> </w:t>
      </w:r>
      <w:r w:rsidR="00CD210C" w:rsidRPr="008324E8">
        <w:rPr>
          <w:rFonts w:ascii="Palatino Linotype" w:hAnsi="Palatino Linotype" w:cs="Arial"/>
          <w:bCs/>
        </w:rPr>
        <w:t xml:space="preserve">rindió su respuesta en fecha </w:t>
      </w:r>
      <w:r w:rsidR="00313AEF">
        <w:rPr>
          <w:rFonts w:ascii="Palatino Linotype" w:hAnsi="Palatino Linotype" w:cs="Arial"/>
          <w:b/>
        </w:rPr>
        <w:t xml:space="preserve">cinco de marzo de dos mil veinticinco, </w:t>
      </w:r>
      <w:r w:rsidR="00313AEF">
        <w:rPr>
          <w:rFonts w:ascii="Palatino Linotype" w:hAnsi="Palatino Linotype" w:cs="Arial"/>
          <w:bCs/>
        </w:rPr>
        <w:t>adjuntando para tal efecto lo siguiente:</w:t>
      </w:r>
    </w:p>
    <w:p w14:paraId="1EF2FD0D" w14:textId="15C4967D" w:rsidR="00313AEF" w:rsidRPr="004062B7" w:rsidRDefault="00313AEF" w:rsidP="00313AEF">
      <w:pPr>
        <w:pStyle w:val="Prrafodelista"/>
        <w:widowControl w:val="0"/>
        <w:numPr>
          <w:ilvl w:val="0"/>
          <w:numId w:val="16"/>
        </w:numPr>
        <w:autoSpaceDE w:val="0"/>
        <w:autoSpaceDN w:val="0"/>
        <w:adjustRightInd w:val="0"/>
        <w:spacing w:line="360" w:lineRule="auto"/>
        <w:ind w:right="51"/>
        <w:jc w:val="both"/>
        <w:rPr>
          <w:rFonts w:ascii="Palatino Linotype" w:hAnsi="Palatino Linotype" w:cs="Arial"/>
          <w:b/>
        </w:rPr>
      </w:pPr>
      <w:r>
        <w:rPr>
          <w:rFonts w:ascii="Palatino Linotype" w:hAnsi="Palatino Linotype" w:cs="Arial"/>
          <w:b/>
        </w:rPr>
        <w:t xml:space="preserve">“R. 0809. 2025.pdf”: </w:t>
      </w:r>
      <w:r w:rsidR="004062B7">
        <w:rPr>
          <w:rFonts w:ascii="Palatino Linotype" w:hAnsi="Palatino Linotype" w:cs="Arial"/>
          <w:bCs/>
        </w:rPr>
        <w:t>Oficio sin número signado por el titular de la unidad de transparencia, dirigido al solicitante, de fecha cinco de marzo de dos mil veinticinco, resulta de nuestro interés el siguiente extracto:</w:t>
      </w:r>
    </w:p>
    <w:p w14:paraId="460AFADC" w14:textId="0F1ED5E1" w:rsidR="004062B7" w:rsidRPr="004062B7" w:rsidRDefault="004062B7" w:rsidP="004062B7">
      <w:pPr>
        <w:pStyle w:val="Prrafodelista"/>
        <w:widowControl w:val="0"/>
        <w:autoSpaceDE w:val="0"/>
        <w:autoSpaceDN w:val="0"/>
        <w:adjustRightInd w:val="0"/>
        <w:spacing w:line="360" w:lineRule="auto"/>
        <w:ind w:left="720" w:right="51"/>
        <w:jc w:val="both"/>
        <w:rPr>
          <w:rFonts w:ascii="Palatino Linotype" w:hAnsi="Palatino Linotype" w:cs="Arial"/>
          <w:b/>
          <w:i/>
          <w:iCs/>
        </w:rPr>
      </w:pPr>
      <w:r>
        <w:rPr>
          <w:rFonts w:ascii="Palatino Linotype" w:hAnsi="Palatino Linotype" w:cs="Arial"/>
          <w:bCs/>
          <w:i/>
          <w:iCs/>
        </w:rPr>
        <w:t xml:space="preserve">“hago de su conocimiento que la Contraloría Municipal y Servidora Pública Habilitada, informó que con fundamento al artículo 3.12 del Código Reglamentario Municipal del Ayuntamiento de Toluca, se informa </w:t>
      </w:r>
      <w:r w:rsidR="006A14FE">
        <w:rPr>
          <w:rFonts w:ascii="Palatino Linotype" w:hAnsi="Palatino Linotype" w:cs="Arial"/>
          <w:bCs/>
          <w:i/>
          <w:iCs/>
        </w:rPr>
        <w:t>que,</w:t>
      </w:r>
      <w:r>
        <w:rPr>
          <w:rFonts w:ascii="Palatino Linotype" w:hAnsi="Palatino Linotype" w:cs="Arial"/>
          <w:bCs/>
          <w:i/>
          <w:iCs/>
        </w:rPr>
        <w:t xml:space="preserve"> conforme a las atribuciones de la contraloría municipal, no se encontró la información solicitada por no haberse generado, poseído y/o administrado” </w:t>
      </w:r>
      <w:r>
        <w:rPr>
          <w:rFonts w:ascii="Palatino Linotype" w:hAnsi="Palatino Linotype" w:cs="Arial"/>
          <w:b/>
          <w:i/>
          <w:iCs/>
        </w:rPr>
        <w:t>(Sic)</w:t>
      </w:r>
    </w:p>
    <w:p w14:paraId="27699767" w14:textId="77777777" w:rsidR="00313AEF" w:rsidRDefault="00313AEF" w:rsidP="001F276C">
      <w:pPr>
        <w:pStyle w:val="Prrafodelista"/>
        <w:widowControl w:val="0"/>
        <w:autoSpaceDE w:val="0"/>
        <w:autoSpaceDN w:val="0"/>
        <w:adjustRightInd w:val="0"/>
        <w:spacing w:line="360" w:lineRule="auto"/>
        <w:ind w:left="0" w:right="51"/>
        <w:jc w:val="both"/>
        <w:rPr>
          <w:rFonts w:ascii="Palatino Linotype" w:hAnsi="Palatino Linotype" w:cs="Arial"/>
          <w:bCs/>
        </w:rPr>
      </w:pPr>
    </w:p>
    <w:bookmarkEnd w:id="2"/>
    <w:p w14:paraId="111BD30E" w14:textId="0B444C24" w:rsidR="004062B7" w:rsidRDefault="00486912" w:rsidP="001F276C">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Por otro lado, </w:t>
      </w:r>
      <w:r w:rsidRPr="00143C58">
        <w:rPr>
          <w:rFonts w:ascii="Palatino Linotype" w:hAnsi="Palatino Linotype" w:cs="Arial"/>
        </w:rPr>
        <w:t xml:space="preserve">tenemos </w:t>
      </w:r>
      <w:r w:rsidR="00017A9B" w:rsidRPr="00143C58">
        <w:rPr>
          <w:rFonts w:ascii="Palatino Linotype" w:hAnsi="Palatino Linotype" w:cs="Arial"/>
        </w:rPr>
        <w:t>que,</w:t>
      </w:r>
      <w:r w:rsidRPr="00143C58">
        <w:rPr>
          <w:rFonts w:ascii="Palatino Linotype" w:hAnsi="Palatino Linotype" w:cs="Arial"/>
        </w:rPr>
        <w:t xml:space="preserve"> </w:t>
      </w:r>
      <w:r w:rsidR="00CD210C">
        <w:rPr>
          <w:rFonts w:ascii="Palatino Linotype" w:hAnsi="Palatino Linotype" w:cs="Arial"/>
        </w:rPr>
        <w:t xml:space="preserve">al momento de interponer el recurso de revisión, </w:t>
      </w:r>
      <w:r w:rsidR="00CD210C">
        <w:rPr>
          <w:rFonts w:ascii="Palatino Linotype" w:hAnsi="Palatino Linotype" w:cs="Arial"/>
          <w:b/>
          <w:bCs/>
        </w:rPr>
        <w:t xml:space="preserve">El Recurrente </w:t>
      </w:r>
      <w:r w:rsidR="008324E8">
        <w:rPr>
          <w:rFonts w:ascii="Palatino Linotype" w:hAnsi="Palatino Linotype" w:cs="Arial"/>
        </w:rPr>
        <w:t xml:space="preserve">manifestó </w:t>
      </w:r>
      <w:r w:rsidR="004062B7">
        <w:rPr>
          <w:rFonts w:ascii="Palatino Linotype" w:hAnsi="Palatino Linotype" w:cs="Arial"/>
        </w:rPr>
        <w:t>lo siguiente:</w:t>
      </w:r>
    </w:p>
    <w:p w14:paraId="34523C25" w14:textId="77777777" w:rsidR="004062B7" w:rsidRDefault="004062B7" w:rsidP="004062B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51DA2F08" w14:textId="77777777" w:rsidR="004062B7" w:rsidRPr="005D2A2B" w:rsidRDefault="004062B7" w:rsidP="004062B7">
      <w:pPr>
        <w:pStyle w:val="Citas"/>
        <w:rPr>
          <w:b/>
          <w:bCs/>
        </w:rPr>
      </w:pPr>
      <w:r>
        <w:t>“</w:t>
      </w:r>
      <w:r w:rsidRPr="005D2A2B">
        <w:t>La atención de mis solicitud no es lo que se pide no se hizo una búsqueda donde se tiene la facultades</w:t>
      </w:r>
      <w:r>
        <w:t xml:space="preserve">” </w:t>
      </w:r>
      <w:r>
        <w:rPr>
          <w:b/>
          <w:bCs/>
        </w:rPr>
        <w:t>(Sic)</w:t>
      </w:r>
    </w:p>
    <w:p w14:paraId="70FEFDAF" w14:textId="77777777" w:rsidR="004062B7" w:rsidRDefault="004062B7" w:rsidP="004062B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Razones o motivos de inconformidad:</w:t>
      </w:r>
    </w:p>
    <w:p w14:paraId="01570BED" w14:textId="77777777" w:rsidR="004062B7" w:rsidRPr="005D2A2B" w:rsidRDefault="004062B7" w:rsidP="004062B7">
      <w:pPr>
        <w:pStyle w:val="Citas"/>
        <w:rPr>
          <w:b/>
          <w:bCs/>
        </w:rPr>
      </w:pPr>
      <w:r>
        <w:t>“</w:t>
      </w:r>
      <w:r w:rsidRPr="005D2A2B">
        <w:t>Niega la información la contraloría pero no se hizo la búsquedas en el área qué tiene la facultades</w:t>
      </w:r>
      <w:r>
        <w:t xml:space="preserve">” </w:t>
      </w:r>
      <w:r>
        <w:rPr>
          <w:b/>
          <w:bCs/>
        </w:rPr>
        <w:t>(Sic)</w:t>
      </w:r>
    </w:p>
    <w:p w14:paraId="174B90EB" w14:textId="77777777" w:rsidR="004062B7" w:rsidRPr="004062B7" w:rsidRDefault="004062B7" w:rsidP="001F276C">
      <w:pPr>
        <w:pStyle w:val="Prrafodelista"/>
        <w:widowControl w:val="0"/>
        <w:autoSpaceDE w:val="0"/>
        <w:autoSpaceDN w:val="0"/>
        <w:adjustRightInd w:val="0"/>
        <w:spacing w:line="360" w:lineRule="auto"/>
        <w:ind w:left="0" w:right="51"/>
        <w:jc w:val="both"/>
        <w:rPr>
          <w:rFonts w:ascii="Palatino Linotype" w:hAnsi="Palatino Linotype" w:cs="Arial"/>
          <w:lang w:val="es-MX"/>
        </w:rPr>
      </w:pPr>
    </w:p>
    <w:p w14:paraId="1DC7138E" w14:textId="77777777" w:rsidR="004062B7" w:rsidRDefault="004062B7" w:rsidP="001F276C">
      <w:pPr>
        <w:pStyle w:val="Prrafodelista"/>
        <w:widowControl w:val="0"/>
        <w:autoSpaceDE w:val="0"/>
        <w:autoSpaceDN w:val="0"/>
        <w:adjustRightInd w:val="0"/>
        <w:spacing w:line="360" w:lineRule="auto"/>
        <w:ind w:left="0" w:right="51"/>
        <w:jc w:val="both"/>
        <w:rPr>
          <w:rFonts w:ascii="Palatino Linotype" w:hAnsi="Palatino Linotype" w:cs="Arial"/>
        </w:rPr>
      </w:pPr>
    </w:p>
    <w:p w14:paraId="2B865D36" w14:textId="2741A8A6" w:rsidR="004062B7" w:rsidRDefault="00074B2C" w:rsidP="001F276C">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lastRenderedPageBreak/>
        <w:t xml:space="preserve">Dentro de este marco, en fecha </w:t>
      </w:r>
      <w:r w:rsidR="004062B7">
        <w:rPr>
          <w:rFonts w:ascii="Palatino Linotype" w:hAnsi="Palatino Linotype" w:cs="Arial"/>
          <w:b/>
          <w:bCs/>
        </w:rPr>
        <w:t xml:space="preserve">veinticinco de marzo de dos mil veinticinco, El Sujeto Obligado </w:t>
      </w:r>
      <w:r w:rsidR="004062B7">
        <w:rPr>
          <w:rFonts w:ascii="Palatino Linotype" w:hAnsi="Palatino Linotype" w:cs="Arial"/>
        </w:rPr>
        <w:t>rindió su informe justificado, mediante el siguiente documento electrónico:</w:t>
      </w:r>
    </w:p>
    <w:p w14:paraId="3417A134" w14:textId="10F1AD82" w:rsidR="004062B7" w:rsidRPr="004062B7" w:rsidRDefault="004062B7" w:rsidP="004062B7">
      <w:pPr>
        <w:pStyle w:val="Prrafodelista"/>
        <w:widowControl w:val="0"/>
        <w:numPr>
          <w:ilvl w:val="0"/>
          <w:numId w:val="17"/>
        </w:numPr>
        <w:autoSpaceDE w:val="0"/>
        <w:autoSpaceDN w:val="0"/>
        <w:adjustRightInd w:val="0"/>
        <w:spacing w:line="360" w:lineRule="auto"/>
        <w:ind w:right="51"/>
        <w:jc w:val="both"/>
        <w:rPr>
          <w:rFonts w:ascii="Palatino Linotype" w:hAnsi="Palatino Linotype" w:cs="Arial"/>
          <w:b/>
          <w:bCs/>
        </w:rPr>
      </w:pPr>
      <w:r>
        <w:rPr>
          <w:rFonts w:ascii="Palatino Linotype" w:hAnsi="Palatino Linotype" w:cs="Arial"/>
          <w:b/>
          <w:bCs/>
        </w:rPr>
        <w:t xml:space="preserve">“2. Ratificación RR-02650-2025.pdf”: </w:t>
      </w:r>
      <w:r>
        <w:rPr>
          <w:rFonts w:ascii="Palatino Linotype" w:hAnsi="Palatino Linotype" w:cs="Arial"/>
        </w:rPr>
        <w:t xml:space="preserve">Oficio sin número emitido por el titular de la unidad de transparencia, dirigido al comisionado presidente, de fecha veinticuatro de marzo de dos mil veinticinco, en términos generales se ratifica la respuesta primigenia. </w:t>
      </w:r>
    </w:p>
    <w:p w14:paraId="4E86DB2B" w14:textId="77777777" w:rsidR="004062B7" w:rsidRDefault="004062B7" w:rsidP="001F276C">
      <w:pPr>
        <w:pStyle w:val="Prrafodelista"/>
        <w:widowControl w:val="0"/>
        <w:autoSpaceDE w:val="0"/>
        <w:autoSpaceDN w:val="0"/>
        <w:adjustRightInd w:val="0"/>
        <w:spacing w:line="360" w:lineRule="auto"/>
        <w:ind w:left="0" w:right="51"/>
        <w:jc w:val="both"/>
        <w:rPr>
          <w:rFonts w:ascii="Palatino Linotype" w:hAnsi="Palatino Linotype" w:cs="Arial"/>
        </w:rPr>
      </w:pPr>
    </w:p>
    <w:p w14:paraId="6E18F6D4" w14:textId="77777777" w:rsidR="006A14FE" w:rsidRDefault="004343E7" w:rsidP="004062B7">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Debe señalarse que el </w:t>
      </w:r>
      <w:r w:rsidR="004062B7">
        <w:rPr>
          <w:rFonts w:ascii="Palatino Linotype" w:hAnsi="Palatino Linotype" w:cs="Arial"/>
          <w:b/>
          <w:bCs/>
        </w:rPr>
        <w:t xml:space="preserve">uno de abril del presente, </w:t>
      </w:r>
      <w:r w:rsidR="004062B7">
        <w:rPr>
          <w:rFonts w:ascii="Palatino Linotype" w:hAnsi="Palatino Linotype" w:cs="Arial"/>
        </w:rPr>
        <w:t xml:space="preserve">se decretó el cierre de instrucción. </w:t>
      </w:r>
    </w:p>
    <w:p w14:paraId="070AA179" w14:textId="77777777" w:rsidR="006A14FE" w:rsidRDefault="006A14FE" w:rsidP="004062B7">
      <w:pPr>
        <w:pStyle w:val="Prrafodelista"/>
        <w:widowControl w:val="0"/>
        <w:autoSpaceDE w:val="0"/>
        <w:autoSpaceDN w:val="0"/>
        <w:adjustRightInd w:val="0"/>
        <w:spacing w:line="360" w:lineRule="auto"/>
        <w:ind w:left="0" w:right="51"/>
        <w:jc w:val="both"/>
        <w:rPr>
          <w:rFonts w:ascii="Palatino Linotype" w:hAnsi="Palatino Linotype" w:cs="Arial"/>
        </w:rPr>
      </w:pPr>
    </w:p>
    <w:p w14:paraId="3C71D9D3" w14:textId="4EC21774" w:rsidR="004062B7" w:rsidRPr="004062B7" w:rsidRDefault="004062B7" w:rsidP="004062B7">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Adicionalmente, en fecha </w:t>
      </w:r>
      <w:r>
        <w:rPr>
          <w:rFonts w:ascii="Palatino Linotype" w:eastAsia="Calibri" w:hAnsi="Palatino Linotype" w:cs="Arial"/>
          <w:b/>
          <w:bCs/>
        </w:rPr>
        <w:t xml:space="preserve">nueve de julio de dos </w:t>
      </w:r>
      <w:r w:rsidRPr="00B22B7F">
        <w:rPr>
          <w:rFonts w:ascii="Palatino Linotype" w:eastAsia="Calibri" w:hAnsi="Palatino Linotype" w:cs="Arial"/>
          <w:b/>
          <w:bCs/>
        </w:rPr>
        <w:t xml:space="preserve">mil veinticinco, </w:t>
      </w:r>
      <w:r w:rsidRPr="00B22B7F">
        <w:rPr>
          <w:rFonts w:ascii="Palatino Linotype" w:eastAsia="Palatino Linotype" w:hAnsi="Palatino Linotype" w:cs="Palatino Linotype"/>
          <w:color w:val="000000"/>
        </w:rPr>
        <w:t xml:space="preserve">derivado de las pretensiones del Recurrente, se determinó procedente la reconducción de vía de derecho de acceso a información pública a acceso a datos personales, por lo que, de conformidad con la normatividad aplicable, </w:t>
      </w:r>
      <w:r>
        <w:rPr>
          <w:rFonts w:ascii="Palatino Linotype" w:eastAsia="Palatino Linotype" w:hAnsi="Palatino Linotype" w:cs="Palatino Linotype"/>
          <w:color w:val="000000"/>
        </w:rPr>
        <w:t xml:space="preserve">se dejó sin efectos el cierre de instrucción, se habilitó nuevamente la etapa de manifestaciones y </w:t>
      </w:r>
      <w:r w:rsidRPr="00B22B7F">
        <w:rPr>
          <w:rFonts w:ascii="Palatino Linotype" w:eastAsia="Palatino Linotype" w:hAnsi="Palatino Linotype" w:cs="Palatino Linotype"/>
          <w:color w:val="000000"/>
        </w:rPr>
        <w:t xml:space="preserve">se previno al Recurrente para que en el término de </w:t>
      </w:r>
      <w:r w:rsidRPr="004343E7">
        <w:rPr>
          <w:rFonts w:ascii="Palatino Linotype" w:hAnsi="Palatino Linotype" w:cs="Arial"/>
        </w:rPr>
        <w:t xml:space="preserve">5 (cinco) días hábiles siguientes de notificado el presente, </w:t>
      </w:r>
      <w:r>
        <w:rPr>
          <w:rFonts w:ascii="Palatino Linotype" w:hAnsi="Palatino Linotype" w:cs="Arial"/>
          <w:b/>
          <w:bCs/>
        </w:rPr>
        <w:t xml:space="preserve">El Recurrente </w:t>
      </w:r>
      <w:r>
        <w:rPr>
          <w:rFonts w:ascii="Palatino Linotype" w:hAnsi="Palatino Linotype" w:cs="Arial"/>
        </w:rPr>
        <w:t xml:space="preserve">exhibiera los documentos encauzados a acreditar su identidad y personalidad como el titular de datos personales o su interés jurídico, mismo que no fue desahogado. </w:t>
      </w:r>
    </w:p>
    <w:p w14:paraId="7B7F25A9" w14:textId="77777777" w:rsidR="004062B7" w:rsidRPr="004062B7" w:rsidRDefault="004062B7" w:rsidP="004062B7">
      <w:pPr>
        <w:pStyle w:val="Prrafodelista"/>
        <w:widowControl w:val="0"/>
        <w:autoSpaceDE w:val="0"/>
        <w:autoSpaceDN w:val="0"/>
        <w:adjustRightInd w:val="0"/>
        <w:spacing w:line="360" w:lineRule="auto"/>
        <w:ind w:left="0" w:right="51"/>
        <w:jc w:val="both"/>
        <w:rPr>
          <w:rFonts w:ascii="Palatino Linotype" w:hAnsi="Palatino Linotype" w:cs="Arial"/>
          <w:b/>
          <w:bCs/>
        </w:rPr>
      </w:pPr>
    </w:p>
    <w:p w14:paraId="45DDB286" w14:textId="03673DB8" w:rsidR="00B7265E" w:rsidRPr="004062B7" w:rsidRDefault="004343E7" w:rsidP="004062B7">
      <w:pPr>
        <w:pStyle w:val="Prrafodelista"/>
        <w:widowControl w:val="0"/>
        <w:autoSpaceDE w:val="0"/>
        <w:autoSpaceDN w:val="0"/>
        <w:adjustRightInd w:val="0"/>
        <w:spacing w:line="360" w:lineRule="auto"/>
        <w:ind w:left="0" w:right="51"/>
        <w:jc w:val="both"/>
        <w:rPr>
          <w:rFonts w:ascii="Palatino Linotype" w:hAnsi="Palatino Linotype"/>
        </w:rPr>
      </w:pPr>
      <w:r w:rsidRPr="004062B7">
        <w:rPr>
          <w:rFonts w:ascii="Palatino Linotype" w:hAnsi="Palatino Linotype"/>
        </w:rPr>
        <w:t>Una vez sentado lo anterior y</w:t>
      </w:r>
      <w:r w:rsidR="00B7265E" w:rsidRPr="004062B7">
        <w:rPr>
          <w:rFonts w:ascii="Palatino Linotype" w:hAnsi="Palatino Linotype"/>
        </w:rPr>
        <w:t xml:space="preserve"> de conformidad con lo establecido en el Título Décimo Primero capítulos primero y segundo, de la Ley en comento, este Órgano </w:t>
      </w:r>
      <w:proofErr w:type="spellStart"/>
      <w:r w:rsidR="00B7265E" w:rsidRPr="004062B7">
        <w:rPr>
          <w:rFonts w:ascii="Palatino Linotype" w:hAnsi="Palatino Linotype"/>
        </w:rPr>
        <w:t>Resolutor</w:t>
      </w:r>
      <w:proofErr w:type="spellEnd"/>
      <w:r w:rsidR="00B7265E" w:rsidRPr="004062B7">
        <w:rPr>
          <w:rFonts w:ascii="Palatino Linotype" w:hAnsi="Palatino Linotype"/>
        </w:rPr>
        <w:t xml:space="preserve"> se encuentra en aptitud de verificar los presupuestos procesales establecidos para la procedencia de los recursos de revisión en aras de garantizar los derechos en tutela.</w:t>
      </w:r>
    </w:p>
    <w:p w14:paraId="65169765" w14:textId="77777777" w:rsidR="00B7265E" w:rsidRPr="005039DD" w:rsidRDefault="00B7265E" w:rsidP="00B7265E">
      <w:pPr>
        <w:pStyle w:val="Textoindependiente"/>
        <w:spacing w:line="360" w:lineRule="auto"/>
        <w:ind w:left="0" w:right="49" w:firstLine="1"/>
        <w:jc w:val="both"/>
        <w:rPr>
          <w:sz w:val="24"/>
          <w:szCs w:val="24"/>
          <w:highlight w:val="yellow"/>
        </w:rPr>
      </w:pPr>
    </w:p>
    <w:p w14:paraId="2EBAD9EE" w14:textId="202BE7DE" w:rsidR="00B7265E" w:rsidRPr="004343E7" w:rsidRDefault="00B7265E" w:rsidP="00B7265E">
      <w:pPr>
        <w:pStyle w:val="Textoindependiente"/>
        <w:spacing w:line="360" w:lineRule="auto"/>
        <w:ind w:left="0" w:right="49"/>
        <w:jc w:val="both"/>
        <w:rPr>
          <w:sz w:val="24"/>
          <w:szCs w:val="24"/>
        </w:rPr>
      </w:pPr>
      <w:r w:rsidRPr="004343E7">
        <w:rPr>
          <w:sz w:val="24"/>
          <w:szCs w:val="24"/>
        </w:rPr>
        <w:t xml:space="preserve">Como ha quedado señalado </w:t>
      </w:r>
      <w:r w:rsidR="004343E7" w:rsidRPr="004343E7">
        <w:rPr>
          <w:b/>
          <w:bCs/>
          <w:sz w:val="24"/>
          <w:szCs w:val="24"/>
        </w:rPr>
        <w:t>El</w:t>
      </w:r>
      <w:r w:rsidRPr="004343E7">
        <w:rPr>
          <w:sz w:val="24"/>
          <w:szCs w:val="24"/>
        </w:rPr>
        <w:t xml:space="preserve"> </w:t>
      </w:r>
      <w:r w:rsidRPr="004343E7">
        <w:rPr>
          <w:b/>
          <w:sz w:val="24"/>
          <w:szCs w:val="24"/>
        </w:rPr>
        <w:t>Recurrente</w:t>
      </w:r>
      <w:r w:rsidRPr="004343E7">
        <w:rPr>
          <w:sz w:val="24"/>
          <w:szCs w:val="24"/>
        </w:rPr>
        <w:t xml:space="preserve"> </w:t>
      </w:r>
      <w:r w:rsidR="006A14FE">
        <w:rPr>
          <w:sz w:val="24"/>
          <w:szCs w:val="24"/>
        </w:rPr>
        <w:t>ejerció</w:t>
      </w:r>
      <w:r w:rsidRPr="004343E7">
        <w:rPr>
          <w:sz w:val="24"/>
          <w:szCs w:val="24"/>
        </w:rPr>
        <w:t xml:space="preserve"> su derecho de acceso a sus datos </w:t>
      </w:r>
      <w:r w:rsidRPr="004343E7">
        <w:rPr>
          <w:sz w:val="24"/>
          <w:szCs w:val="24"/>
        </w:rPr>
        <w:lastRenderedPageBreak/>
        <w:t xml:space="preserve">personales, empero se establece como un presupuesto procesal indispensable para su procedencia, </w:t>
      </w:r>
      <w:r w:rsidRPr="004343E7">
        <w:rPr>
          <w:b/>
          <w:sz w:val="24"/>
          <w:szCs w:val="24"/>
        </w:rPr>
        <w:t>la acreditación de la identidad del titular</w:t>
      </w:r>
      <w:r w:rsidRPr="004343E7">
        <w:rPr>
          <w:sz w:val="24"/>
          <w:szCs w:val="24"/>
        </w:rPr>
        <w:t xml:space="preserve">, </w:t>
      </w:r>
      <w:r w:rsidRPr="004343E7">
        <w:rPr>
          <w:rFonts w:cs="Arial"/>
          <w:sz w:val="24"/>
          <w:szCs w:val="24"/>
        </w:rPr>
        <w:t>en términos de lo dispuesto por los artículos 97 y 106, párrafo tercero, de la Ley de Protección de Datos Personales en Posesión de Sujetos Obligados del Estado de México y Municipios.</w:t>
      </w:r>
    </w:p>
    <w:p w14:paraId="514749F0" w14:textId="77777777" w:rsidR="00B7265E" w:rsidRPr="005039DD" w:rsidRDefault="00B7265E" w:rsidP="00B7265E">
      <w:pPr>
        <w:pStyle w:val="Textoindependiente"/>
        <w:spacing w:line="360" w:lineRule="auto"/>
        <w:ind w:left="0" w:right="49"/>
        <w:jc w:val="both"/>
        <w:rPr>
          <w:sz w:val="24"/>
          <w:szCs w:val="24"/>
          <w:highlight w:val="yellow"/>
        </w:rPr>
      </w:pPr>
    </w:p>
    <w:p w14:paraId="36EC6B28" w14:textId="168CED0A" w:rsidR="00B7265E" w:rsidRPr="004343E7" w:rsidRDefault="00B7265E" w:rsidP="00B7265E">
      <w:pPr>
        <w:pStyle w:val="Textoindependiente"/>
        <w:spacing w:line="360" w:lineRule="auto"/>
        <w:ind w:left="0" w:right="49"/>
        <w:jc w:val="both"/>
        <w:rPr>
          <w:sz w:val="24"/>
          <w:szCs w:val="24"/>
        </w:rPr>
      </w:pPr>
      <w:r w:rsidRPr="004343E7">
        <w:rPr>
          <w:sz w:val="24"/>
          <w:szCs w:val="24"/>
        </w:rPr>
        <w:t xml:space="preserve">Y como se aprecia de las constancias que integran el expediente en que se actúa, específicamente </w:t>
      </w:r>
      <w:r w:rsidR="007F0F92">
        <w:rPr>
          <w:sz w:val="24"/>
          <w:szCs w:val="24"/>
        </w:rPr>
        <w:t>de los apartados relativos a</w:t>
      </w:r>
      <w:r w:rsidR="004343E7" w:rsidRPr="004343E7">
        <w:rPr>
          <w:sz w:val="24"/>
          <w:szCs w:val="24"/>
        </w:rPr>
        <w:t xml:space="preserve"> solicitud</w:t>
      </w:r>
      <w:r w:rsidR="007F0F92">
        <w:rPr>
          <w:sz w:val="24"/>
          <w:szCs w:val="24"/>
        </w:rPr>
        <w:t xml:space="preserve"> de información</w:t>
      </w:r>
      <w:r w:rsidR="004343E7" w:rsidRPr="004343E7">
        <w:rPr>
          <w:sz w:val="24"/>
          <w:szCs w:val="24"/>
        </w:rPr>
        <w:t>,</w:t>
      </w:r>
      <w:r w:rsidRPr="004343E7">
        <w:rPr>
          <w:sz w:val="24"/>
          <w:szCs w:val="24"/>
        </w:rPr>
        <w:t xml:space="preserve"> </w:t>
      </w:r>
      <w:r w:rsidR="004B4150" w:rsidRPr="004343E7">
        <w:rPr>
          <w:sz w:val="24"/>
          <w:szCs w:val="24"/>
        </w:rPr>
        <w:t>interposición</w:t>
      </w:r>
      <w:r w:rsidR="004343E7" w:rsidRPr="004343E7">
        <w:rPr>
          <w:sz w:val="24"/>
          <w:szCs w:val="24"/>
        </w:rPr>
        <w:t xml:space="preserve"> </w:t>
      </w:r>
      <w:r w:rsidR="007F0F92">
        <w:rPr>
          <w:sz w:val="24"/>
          <w:szCs w:val="24"/>
        </w:rPr>
        <w:t xml:space="preserve">del recurso de revisión </w:t>
      </w:r>
      <w:r w:rsidR="004343E7" w:rsidRPr="004343E7">
        <w:rPr>
          <w:sz w:val="24"/>
          <w:szCs w:val="24"/>
        </w:rPr>
        <w:t>o manifestaciones</w:t>
      </w:r>
      <w:r w:rsidRPr="004343E7">
        <w:rPr>
          <w:sz w:val="24"/>
          <w:szCs w:val="24"/>
        </w:rPr>
        <w:t xml:space="preserve">, se advierte que </w:t>
      </w:r>
      <w:r w:rsidR="004343E7" w:rsidRPr="004343E7">
        <w:rPr>
          <w:sz w:val="24"/>
          <w:szCs w:val="24"/>
        </w:rPr>
        <w:t>el</w:t>
      </w:r>
      <w:r w:rsidRPr="004343E7">
        <w:rPr>
          <w:sz w:val="24"/>
          <w:szCs w:val="24"/>
        </w:rPr>
        <w:t xml:space="preserve"> ahora </w:t>
      </w:r>
      <w:r w:rsidRPr="004343E7">
        <w:rPr>
          <w:b/>
          <w:sz w:val="24"/>
          <w:szCs w:val="24"/>
        </w:rPr>
        <w:t xml:space="preserve">Recurrente, </w:t>
      </w:r>
      <w:r w:rsidR="004343E7" w:rsidRPr="004343E7">
        <w:rPr>
          <w:sz w:val="24"/>
          <w:szCs w:val="24"/>
        </w:rPr>
        <w:t xml:space="preserve">no adjuntó ningún documento </w:t>
      </w:r>
      <w:r w:rsidR="007F0F92">
        <w:rPr>
          <w:sz w:val="24"/>
          <w:szCs w:val="24"/>
        </w:rPr>
        <w:t xml:space="preserve">de identidad </w:t>
      </w:r>
      <w:r w:rsidR="004343E7" w:rsidRPr="004343E7">
        <w:rPr>
          <w:sz w:val="24"/>
          <w:szCs w:val="24"/>
        </w:rPr>
        <w:t>como</w:t>
      </w:r>
      <w:r w:rsidRPr="004343E7">
        <w:rPr>
          <w:sz w:val="24"/>
          <w:szCs w:val="24"/>
        </w:rPr>
        <w:t xml:space="preserve"> medio de acreditación de su titularidad de los datos peticionados</w:t>
      </w:r>
      <w:r w:rsidR="008952F6" w:rsidRPr="004343E7">
        <w:rPr>
          <w:sz w:val="24"/>
          <w:szCs w:val="24"/>
        </w:rPr>
        <w:t>.</w:t>
      </w:r>
    </w:p>
    <w:p w14:paraId="26D7B7BF" w14:textId="77777777" w:rsidR="00B7265E" w:rsidRPr="005039DD" w:rsidRDefault="00B7265E" w:rsidP="00B7265E">
      <w:pPr>
        <w:spacing w:line="360" w:lineRule="auto"/>
        <w:jc w:val="both"/>
        <w:rPr>
          <w:rFonts w:ascii="Palatino Linotype" w:eastAsiaTheme="minorHAnsi" w:hAnsi="Palatino Linotype" w:cs="Arial"/>
          <w:highlight w:val="yellow"/>
          <w:lang w:val="es-MX" w:eastAsia="en-US"/>
        </w:rPr>
      </w:pPr>
    </w:p>
    <w:p w14:paraId="0D6254A0" w14:textId="77777777" w:rsidR="00802F09" w:rsidRPr="00802F09" w:rsidRDefault="00802F09" w:rsidP="00802F09">
      <w:p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Al respecto, es de indicar que, de conformidad con los artículos 120 de la Ley de Protección de Datos local; 76 de los Lineamientos Generales de Protección de Datos Personales para el Sector Público; y 2.5 Bis del Código Civil del Estado de México, los medios para acreditar la identidad de personas físicas son los siguientes:</w:t>
      </w:r>
    </w:p>
    <w:p w14:paraId="10553281" w14:textId="77777777" w:rsidR="00802F09" w:rsidRPr="00802F09" w:rsidRDefault="00802F09" w:rsidP="00802F09">
      <w:p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p>
    <w:p w14:paraId="2F7F3111" w14:textId="77777777" w:rsidR="00802F09" w:rsidRPr="00802F09"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Identificación oficial, como Credencial para votar, pasaporte, matrícula consular mexicana, carta de naturalización, cédula profesional o de pasante, etc.</w:t>
      </w:r>
    </w:p>
    <w:p w14:paraId="3D8A277A" w14:textId="77777777" w:rsidR="00802F09" w:rsidRPr="00802F09"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Credenciales expedidas por autoridades educativas que cuenten con autorización o con reconocimiento de validez oficial o instituciones de seguridad social, licencia para conducir, cartilla del servicio militar nacional, etc.</w:t>
      </w:r>
    </w:p>
    <w:p w14:paraId="7819460A" w14:textId="77777777" w:rsidR="00802F09" w:rsidRPr="00802F09"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Firma electrónica avanzada o del instrumento electrónico que lo sustituya.</w:t>
      </w:r>
    </w:p>
    <w:p w14:paraId="7CA0DBD9" w14:textId="77777777" w:rsidR="00802F09" w:rsidRPr="00802F09" w:rsidRDefault="00802F09" w:rsidP="00802F09">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 xml:space="preserve">Mecanismos de autenticación autorizados por el Instituto o el Instituto Nacional publicados por acuerdo general en el periódico oficial “Gaceta del Gobierno” o </w:t>
      </w:r>
      <w:r w:rsidRPr="00802F09">
        <w:rPr>
          <w:rFonts w:ascii="Palatino Linotype" w:eastAsia="Palatino Linotype" w:hAnsi="Palatino Linotype" w:cs="Palatino Linotype"/>
          <w:color w:val="000000"/>
        </w:rPr>
        <w:lastRenderedPageBreak/>
        <w:t>en el Diario Oficial de la Federación, siempre y cuando permitan de forma inequívoca la acreditación de la identidad del titular.</w:t>
      </w:r>
    </w:p>
    <w:p w14:paraId="249567EE" w14:textId="77777777" w:rsidR="00802F09" w:rsidRPr="00802F09" w:rsidRDefault="00802F09" w:rsidP="00B7265E">
      <w:pPr>
        <w:pStyle w:val="Textoindependiente"/>
        <w:spacing w:line="360" w:lineRule="auto"/>
        <w:ind w:right="49"/>
        <w:jc w:val="both"/>
        <w:rPr>
          <w:sz w:val="24"/>
          <w:szCs w:val="24"/>
          <w:lang w:val="es-ES"/>
        </w:rPr>
      </w:pPr>
    </w:p>
    <w:p w14:paraId="0B144368" w14:textId="77777777" w:rsidR="00802F09" w:rsidRDefault="00802F09" w:rsidP="00B7265E">
      <w:pPr>
        <w:pStyle w:val="Textoindependiente"/>
        <w:spacing w:line="360" w:lineRule="auto"/>
        <w:ind w:right="49"/>
        <w:jc w:val="both"/>
        <w:rPr>
          <w:sz w:val="24"/>
          <w:szCs w:val="24"/>
        </w:rPr>
      </w:pPr>
    </w:p>
    <w:p w14:paraId="3CB0E88A" w14:textId="3E371844" w:rsidR="00B7265E" w:rsidRPr="00544406" w:rsidRDefault="00802F09" w:rsidP="00B7265E">
      <w:pPr>
        <w:pStyle w:val="Textoindependiente"/>
        <w:spacing w:line="360" w:lineRule="auto"/>
        <w:ind w:right="49"/>
        <w:jc w:val="both"/>
        <w:rPr>
          <w:sz w:val="24"/>
          <w:szCs w:val="24"/>
        </w:rPr>
      </w:pPr>
      <w:r>
        <w:rPr>
          <w:sz w:val="24"/>
          <w:szCs w:val="24"/>
        </w:rPr>
        <w:t>I</w:t>
      </w:r>
      <w:r w:rsidR="00B7265E" w:rsidRPr="00544406">
        <w:rPr>
          <w:sz w:val="24"/>
          <w:szCs w:val="24"/>
        </w:rPr>
        <w:t xml:space="preserve">ncumpliendo con lo establecido en los artículos </w:t>
      </w:r>
      <w:r w:rsidR="00B7265E" w:rsidRPr="00544406">
        <w:rPr>
          <w:rFonts w:cs="Arial"/>
        </w:rPr>
        <w:t xml:space="preserve">artículo 97, 106 </w:t>
      </w:r>
      <w:proofErr w:type="gramStart"/>
      <w:r w:rsidR="00B7265E" w:rsidRPr="00544406">
        <w:rPr>
          <w:rFonts w:cs="Arial"/>
        </w:rPr>
        <w:t>párrafo</w:t>
      </w:r>
      <w:proofErr w:type="gramEnd"/>
      <w:r w:rsidR="00B7265E" w:rsidRPr="00544406">
        <w:rPr>
          <w:rFonts w:cs="Arial"/>
        </w:rPr>
        <w:t xml:space="preserve"> tercero y 130 fracción VI, de la Ley de Protección de Datos Personales en Posesión de Sujetos Obligados del Estado de México y Municipios, los que se citan a continuación:</w:t>
      </w:r>
    </w:p>
    <w:p w14:paraId="47709978" w14:textId="77777777" w:rsidR="00B7265E" w:rsidRPr="00544406" w:rsidRDefault="00B7265E" w:rsidP="00544406">
      <w:pPr>
        <w:pStyle w:val="Citas"/>
      </w:pPr>
      <w:r w:rsidRPr="00544406">
        <w:t>“</w:t>
      </w:r>
      <w:r w:rsidRPr="00544406">
        <w:rPr>
          <w:b/>
        </w:rPr>
        <w:t>Artículo 97.</w:t>
      </w:r>
      <w:r w:rsidRPr="00544406">
        <w:t xml:space="preserve"> Los derechos de acceso, rectificación, cancelación y oposición de datos personales son derechos independientes. El ejercicio de cualquiera de ellos no es requisito previo no impide el ejercicio de otro.</w:t>
      </w:r>
    </w:p>
    <w:p w14:paraId="694BCA7C" w14:textId="77777777" w:rsidR="00B7265E" w:rsidRPr="00544406" w:rsidRDefault="00B7265E" w:rsidP="00544406">
      <w:pPr>
        <w:pStyle w:val="Citas"/>
      </w:pPr>
      <w:r w:rsidRPr="00544406">
        <w:rPr>
          <w:b/>
          <w:u w:val="single"/>
        </w:rPr>
        <w:t>La procedencia de estos derechos, en su caso, se hará efectiva una vez que el titular o su representante legal acrediten su identidad o representación, respectivamente.</w:t>
      </w:r>
    </w:p>
    <w:p w14:paraId="7906E9D0" w14:textId="77777777" w:rsidR="00B7265E" w:rsidRPr="00544406" w:rsidRDefault="00B7265E" w:rsidP="00544406">
      <w:pPr>
        <w:pStyle w:val="Citas"/>
      </w:pPr>
      <w:r w:rsidRPr="00544406">
        <w:t>En ningún caso el acceso a los datos personales de un titular podrá afectar los derechos y libertades de otros.</w:t>
      </w:r>
    </w:p>
    <w:p w14:paraId="7CF34470" w14:textId="77777777" w:rsidR="00B7265E" w:rsidRPr="00544406" w:rsidRDefault="00B7265E" w:rsidP="00544406">
      <w:pPr>
        <w:pStyle w:val="Citas"/>
      </w:pPr>
      <w:r w:rsidRPr="00544406">
        <w:t>El ejercicio de cualquiera de los derechos ARCO, forma parte de las garantías primarias del derecho a la protección de datos personales.</w:t>
      </w:r>
    </w:p>
    <w:p w14:paraId="4E3047D1" w14:textId="77777777" w:rsidR="00B7265E" w:rsidRPr="00544406" w:rsidRDefault="00B7265E" w:rsidP="00544406">
      <w:pPr>
        <w:pStyle w:val="Citas"/>
      </w:pPr>
      <w:r w:rsidRPr="00544406">
        <w:rPr>
          <w:b/>
        </w:rPr>
        <w:t>Artículo 106</w:t>
      </w:r>
      <w:r w:rsidRPr="00544406">
        <w:t>. …</w:t>
      </w:r>
    </w:p>
    <w:p w14:paraId="2D3FFFFC" w14:textId="77777777" w:rsidR="00B7265E" w:rsidRPr="00544406" w:rsidRDefault="00B7265E" w:rsidP="00544406">
      <w:pPr>
        <w:pStyle w:val="Citas"/>
      </w:pPr>
      <w:r w:rsidRPr="00544406">
        <w:rPr>
          <w:b/>
          <w:u w:val="single"/>
        </w:rPr>
        <w:t xml:space="preserve">Para el ejercicio de los derechos ARCO solicitados será necesario acreditar la identidad de titular y en su caso la identidad y personalidad con la que actúe el representante. </w:t>
      </w:r>
      <w:r w:rsidRPr="00544406">
        <w:t>(…)</w:t>
      </w:r>
    </w:p>
    <w:p w14:paraId="024CE152" w14:textId="77777777" w:rsidR="00B7265E" w:rsidRPr="00544406" w:rsidRDefault="00B7265E" w:rsidP="00544406">
      <w:pPr>
        <w:pStyle w:val="Citas"/>
      </w:pPr>
      <w:r w:rsidRPr="00544406">
        <w:rPr>
          <w:b/>
        </w:rPr>
        <w:t>Artículo 130.</w:t>
      </w:r>
      <w:r w:rsidRPr="00544406">
        <w:t xml:space="preserve"> Los únicos </w:t>
      </w:r>
      <w:r w:rsidRPr="00544406">
        <w:rPr>
          <w:b/>
          <w:u w:val="single"/>
        </w:rPr>
        <w:t>requisitos exigibles en el escrito de interposición del recurso de revisión</w:t>
      </w:r>
      <w:r w:rsidRPr="00544406">
        <w:t xml:space="preserve"> serán los siguientes:</w:t>
      </w:r>
    </w:p>
    <w:p w14:paraId="5A6CB65E" w14:textId="77777777" w:rsidR="00B7265E" w:rsidRPr="00544406" w:rsidRDefault="00B7265E" w:rsidP="00544406">
      <w:pPr>
        <w:pStyle w:val="Citas"/>
        <w:rPr>
          <w:bCs/>
        </w:rPr>
      </w:pPr>
      <w:r w:rsidRPr="00544406">
        <w:rPr>
          <w:bCs/>
        </w:rPr>
        <w:lastRenderedPageBreak/>
        <w:t>(…)</w:t>
      </w:r>
    </w:p>
    <w:p w14:paraId="179D1B1B" w14:textId="40A4A3F3" w:rsidR="00B7265E" w:rsidRDefault="00B7265E" w:rsidP="00544406">
      <w:pPr>
        <w:pStyle w:val="Citas"/>
        <w:rPr>
          <w:highlight w:val="yellow"/>
          <w:u w:val="single"/>
        </w:rPr>
      </w:pPr>
      <w:r w:rsidRPr="00544406">
        <w:rPr>
          <w:b/>
        </w:rPr>
        <w:t>VI</w:t>
      </w:r>
      <w:r w:rsidRPr="00544406">
        <w:t xml:space="preserve">. </w:t>
      </w:r>
      <w:r w:rsidRPr="00544406">
        <w:rPr>
          <w:u w:val="single"/>
        </w:rPr>
        <w:t>Los documentos que acrediten la identidad del titular y en su caso, la personalidad e identidad de su representante.</w:t>
      </w:r>
    </w:p>
    <w:p w14:paraId="37BB1349" w14:textId="4BADB036" w:rsidR="00544406" w:rsidRPr="00544406" w:rsidRDefault="00544406" w:rsidP="00544406">
      <w:pPr>
        <w:pStyle w:val="Citas"/>
        <w:rPr>
          <w:b/>
          <w:highlight w:val="yellow"/>
          <w:u w:val="single"/>
        </w:rPr>
      </w:pPr>
      <w:r>
        <w:rPr>
          <w:bCs/>
        </w:rPr>
        <w:t xml:space="preserve">(…)” </w:t>
      </w:r>
      <w:r>
        <w:rPr>
          <w:b/>
        </w:rPr>
        <w:t>(Sic)</w:t>
      </w:r>
    </w:p>
    <w:p w14:paraId="012594F5" w14:textId="3FC6973C" w:rsidR="00B7265E" w:rsidRPr="005039DD" w:rsidRDefault="00B7265E" w:rsidP="00B7265E">
      <w:pPr>
        <w:pStyle w:val="Textoindependiente"/>
        <w:spacing w:line="276" w:lineRule="auto"/>
        <w:ind w:left="567" w:right="616"/>
        <w:jc w:val="right"/>
        <w:rPr>
          <w:i/>
          <w:sz w:val="18"/>
          <w:szCs w:val="22"/>
          <w:highlight w:val="yellow"/>
        </w:rPr>
      </w:pPr>
    </w:p>
    <w:p w14:paraId="19D02CAF" w14:textId="77777777" w:rsidR="00B7265E" w:rsidRPr="005039DD" w:rsidRDefault="00B7265E" w:rsidP="00B7265E">
      <w:pPr>
        <w:pStyle w:val="Textoindependiente"/>
        <w:spacing w:line="276" w:lineRule="auto"/>
        <w:ind w:left="0" w:right="49"/>
        <w:jc w:val="both"/>
        <w:rPr>
          <w:sz w:val="24"/>
          <w:szCs w:val="24"/>
          <w:highlight w:val="yellow"/>
        </w:rPr>
      </w:pPr>
    </w:p>
    <w:p w14:paraId="624EF975" w14:textId="67AFB09F" w:rsidR="00B7265E" w:rsidRPr="00544406" w:rsidRDefault="00B7265E" w:rsidP="00B7265E">
      <w:pPr>
        <w:tabs>
          <w:tab w:val="left" w:pos="1440"/>
        </w:tabs>
        <w:spacing w:line="360" w:lineRule="auto"/>
        <w:jc w:val="both"/>
        <w:rPr>
          <w:rFonts w:ascii="Palatino Linotype" w:hAnsi="Palatino Linotype" w:cs="Arial"/>
        </w:rPr>
      </w:pPr>
      <w:r w:rsidRPr="00544406">
        <w:rPr>
          <w:rFonts w:ascii="Palatino Linotype" w:hAnsi="Palatino Linotype"/>
        </w:rPr>
        <w:t xml:space="preserve">Lo anterior, ya que como ha quedado señalado </w:t>
      </w:r>
      <w:r w:rsidRPr="00544406">
        <w:rPr>
          <w:rFonts w:ascii="Palatino Linotype" w:hAnsi="Palatino Linotype" w:cs="Arial"/>
        </w:rPr>
        <w:t xml:space="preserve">el artículo 106 de la Ley de Protección de Datos Personales en Posesión de Sujetos Obligados del Estado de México, es precisamente que el </w:t>
      </w:r>
      <w:r w:rsidR="002F4B6B" w:rsidRPr="00544406">
        <w:rPr>
          <w:rFonts w:ascii="Palatino Linotype" w:hAnsi="Palatino Linotype" w:cs="Arial"/>
          <w:b/>
        </w:rPr>
        <w:t>titular de los derechos arco</w:t>
      </w:r>
      <w:r w:rsidRPr="00544406">
        <w:rPr>
          <w:rFonts w:ascii="Palatino Linotype" w:hAnsi="Palatino Linotype" w:cs="Arial"/>
          <w:b/>
        </w:rPr>
        <w:t xml:space="preserve">, </w:t>
      </w:r>
      <w:r w:rsidRPr="00544406">
        <w:rPr>
          <w:rFonts w:ascii="Palatino Linotype" w:hAnsi="Palatino Linotype" w:cs="Arial"/>
        </w:rPr>
        <w:t xml:space="preserve">pueda ejercerlos en sus diferentes modalidades de </w:t>
      </w:r>
      <w:r w:rsidR="009A15C7">
        <w:rPr>
          <w:rFonts w:ascii="Palatino Linotype" w:hAnsi="Palatino Linotype" w:cs="Arial"/>
        </w:rPr>
        <w:t>acceso, rectificación</w:t>
      </w:r>
      <w:r w:rsidRPr="00544406">
        <w:rPr>
          <w:rFonts w:ascii="Palatino Linotype" w:hAnsi="Palatino Linotype" w:cs="Arial"/>
        </w:rPr>
        <w:t xml:space="preserve">, cancelación u oposición, por lo que al no tenerse por acreditada la titularidad de los derechos, deviene que no se tenga por acreditado el interés jurídico </w:t>
      </w:r>
      <w:r w:rsidR="009A15C7">
        <w:rPr>
          <w:rFonts w:ascii="Palatino Linotype" w:hAnsi="Palatino Linotype" w:cs="Arial"/>
        </w:rPr>
        <w:t>del</w:t>
      </w:r>
      <w:r w:rsidRPr="00544406">
        <w:rPr>
          <w:rFonts w:ascii="Palatino Linotype" w:hAnsi="Palatino Linotype" w:cs="Arial"/>
        </w:rPr>
        <w:t xml:space="preserve"> </w:t>
      </w:r>
      <w:proofErr w:type="spellStart"/>
      <w:r w:rsidRPr="00544406">
        <w:rPr>
          <w:rFonts w:ascii="Palatino Linotype" w:hAnsi="Palatino Linotype" w:cs="Arial"/>
        </w:rPr>
        <w:t>peticionante</w:t>
      </w:r>
      <w:proofErr w:type="spellEnd"/>
      <w:r w:rsidRPr="00544406">
        <w:rPr>
          <w:rFonts w:ascii="Palatino Linotype" w:hAnsi="Palatino Linotype" w:cs="Arial"/>
        </w:rPr>
        <w:t>, es menester de este Órgano Garante, observar lo establecido en la Tesis Aislada 168895, de la Novena Época, Tomo XXVIII, Septiembre de 2008, así como la Jurisprudencia 170500, emitida por la Primera Sala de la Novena Época, Página 225, las cuales establecen lo siguiente:</w:t>
      </w:r>
    </w:p>
    <w:p w14:paraId="4180F352" w14:textId="77777777" w:rsidR="00B7265E" w:rsidRPr="00544406" w:rsidRDefault="00B7265E" w:rsidP="00544406">
      <w:pPr>
        <w:pStyle w:val="Citas"/>
      </w:pPr>
      <w:r w:rsidRPr="00544406">
        <w:t>“</w:t>
      </w:r>
      <w:r w:rsidRPr="00544406">
        <w:rPr>
          <w:b/>
        </w:rPr>
        <w:t xml:space="preserve">INTERÉS JURÍDICO EN EL AMPARO. ELEMENTOS QUE LO COMPONEN. </w:t>
      </w:r>
      <w:r w:rsidRPr="00544406">
        <w:t xml:space="preserve">El interés jurídico plasmado en el numeral 73, fracción V, de la Ley Reglamentaria de los Artículos 103 y 107 Constitucionales, </w:t>
      </w:r>
      <w:r w:rsidRPr="00544406">
        <w:rPr>
          <w:u w:val="single"/>
        </w:rPr>
        <w:t xml:space="preserve">es considerado como uno de los presupuestos procesales para la procedencia del juicio de garantías, y debe ser entendido bajo dos elementos: el </w:t>
      </w:r>
      <w:proofErr w:type="spellStart"/>
      <w:r w:rsidRPr="00544406">
        <w:rPr>
          <w:b/>
          <w:u w:val="single"/>
        </w:rPr>
        <w:t>acreditamiento</w:t>
      </w:r>
      <w:proofErr w:type="spellEnd"/>
      <w:r w:rsidRPr="00544406">
        <w:rPr>
          <w:b/>
          <w:u w:val="single"/>
        </w:rPr>
        <w:t xml:space="preserve"> y la afectación</w:t>
      </w:r>
      <w:r w:rsidRPr="00544406">
        <w:rPr>
          <w:u w:val="single"/>
        </w:rPr>
        <w:t xml:space="preserve">. </w:t>
      </w:r>
      <w:r w:rsidRPr="00544406">
        <w:t xml:space="preserve">Tales aspectos necesariamente deben conjugarse para cumplir con el presupuesto de procedencia de la causa constitucional por excelencia referida. </w:t>
      </w:r>
      <w:r w:rsidRPr="00544406">
        <w:rPr>
          <w:b/>
        </w:rPr>
        <w:t>Esto es, de faltar alguno, se está indefectiblemente en el supuesto de improcedencia descrito</w:t>
      </w:r>
      <w:r w:rsidRPr="00544406">
        <w:t xml:space="preserve">. Lo anterior porque es factible ostentarse titular de determinado derecho, pero éste no verse afectado por los órganos del Estado o, en su caso, estar disfrutando de ese derecho sí afectado por </w:t>
      </w:r>
      <w:r w:rsidRPr="00544406">
        <w:lastRenderedPageBreak/>
        <w:t>la autoridad y no tener el respaldo legítimo y legal sobre él, ya que en este último tópico se estaría en el caso de un interés simple. Por ello, es requisito sine qua non (sin el cual no), se reúnan ambos supuestos (ver diagrama).</w:t>
      </w:r>
    </w:p>
    <w:p w14:paraId="1FA25732" w14:textId="77777777" w:rsidR="00B7265E" w:rsidRPr="00544406" w:rsidRDefault="00B7265E" w:rsidP="00544406">
      <w:pPr>
        <w:pStyle w:val="Citas"/>
      </w:pPr>
      <w:r w:rsidRPr="00544406">
        <w:t>SEGUNDO TRIBUNAL COLEGIADO EN MATERIA CIVIL DEL SÉPTIMO CIRCUITO.</w:t>
      </w:r>
    </w:p>
    <w:p w14:paraId="0A05462B" w14:textId="77777777" w:rsidR="00B7265E" w:rsidRPr="00544406" w:rsidRDefault="00B7265E" w:rsidP="00544406">
      <w:pPr>
        <w:pStyle w:val="Citas"/>
      </w:pPr>
      <w:r w:rsidRPr="00544406">
        <w:t xml:space="preserve">Amparo en revisión (improcedencia) 151/2008. Armando Pardo Tejeda. 19 de mayo de 2008. Unanimidad de votos. Ponente: José Manuel de Alba de Alba. Secretario: Omar </w:t>
      </w:r>
      <w:proofErr w:type="spellStart"/>
      <w:r w:rsidRPr="00544406">
        <w:t>Liévanos</w:t>
      </w:r>
      <w:proofErr w:type="spellEnd"/>
      <w:r w:rsidRPr="00544406">
        <w:t xml:space="preserve"> Ruiz.</w:t>
      </w:r>
    </w:p>
    <w:p w14:paraId="076195CC" w14:textId="77777777" w:rsidR="00B7265E" w:rsidRPr="00544406" w:rsidRDefault="00B7265E" w:rsidP="00544406">
      <w:pPr>
        <w:pStyle w:val="Citas"/>
        <w:rPr>
          <w:b/>
        </w:rPr>
      </w:pPr>
    </w:p>
    <w:p w14:paraId="45BC7319" w14:textId="77777777" w:rsidR="00B7265E" w:rsidRPr="00544406" w:rsidRDefault="00B7265E" w:rsidP="00544406">
      <w:pPr>
        <w:pStyle w:val="Citas"/>
      </w:pPr>
      <w:r w:rsidRPr="00544406">
        <w:rPr>
          <w:b/>
        </w:rPr>
        <w:t>INTERÉS JURÍDICO EN EL AMPARO. ELEMENTOS CONSTITUTIVOS</w:t>
      </w:r>
      <w:r w:rsidRPr="00544406">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w:t>
      </w:r>
      <w:r w:rsidRPr="00544406">
        <w:rPr>
          <w:b/>
          <w:u w:val="single"/>
        </w:rPr>
        <w:t>teniendo en cuenta que el interés jurídico debe acreditarse en forma fehaciente y no inferirse con base en presunciones</w:t>
      </w:r>
      <w:r w:rsidRPr="00544406">
        <w:t xml:space="preserve">; </w:t>
      </w:r>
      <w:r w:rsidRPr="00544406">
        <w:rPr>
          <w:u w:val="single"/>
        </w:rPr>
        <w:t>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1656EA64" w14:textId="77777777" w:rsidR="00B7265E" w:rsidRPr="00544406" w:rsidRDefault="00B7265E" w:rsidP="00544406">
      <w:pPr>
        <w:pStyle w:val="Citas"/>
      </w:pPr>
      <w:r w:rsidRPr="00544406">
        <w:rPr>
          <w:b/>
        </w:rPr>
        <w:lastRenderedPageBreak/>
        <w:t>Amparo en revisión 1441/88</w:t>
      </w:r>
      <w:r w:rsidRPr="00544406">
        <w:t xml:space="preserve">. Guadalupe Henderson Calderón. 29 de agosto de 1988. Cinco votos. Ponente: Sergio Hugo </w:t>
      </w:r>
      <w:proofErr w:type="spellStart"/>
      <w:r w:rsidRPr="00544406">
        <w:t>Chapital</w:t>
      </w:r>
      <w:proofErr w:type="spellEnd"/>
      <w:r w:rsidRPr="00544406">
        <w:t xml:space="preserve"> Gutiérrez. Secretario: Jaime Raúl Oropeza García.</w:t>
      </w:r>
    </w:p>
    <w:p w14:paraId="5D16E7C8" w14:textId="77777777" w:rsidR="00B7265E" w:rsidRPr="00544406" w:rsidRDefault="00B7265E" w:rsidP="00544406">
      <w:pPr>
        <w:pStyle w:val="Citas"/>
      </w:pPr>
      <w:r w:rsidRPr="00544406">
        <w:rPr>
          <w:b/>
        </w:rPr>
        <w:t>Amparo en revisión 1522/97.</w:t>
      </w:r>
      <w:r w:rsidRPr="00544406">
        <w:t xml:space="preserve"> Comisariado Ejidal de Mixquic, Delegación Tláhuac, Distrito Federal. 2 de diciembre de 1998. Cinco votos. Ponente: Olga Sánchez Cordero de García Villegas. Secretaria: Mariana </w:t>
      </w:r>
      <w:proofErr w:type="spellStart"/>
      <w:r w:rsidRPr="00544406">
        <w:t>Mureddu</w:t>
      </w:r>
      <w:proofErr w:type="spellEnd"/>
      <w:r w:rsidRPr="00544406">
        <w:t xml:space="preserve"> </w:t>
      </w:r>
      <w:proofErr w:type="spellStart"/>
      <w:r w:rsidRPr="00544406">
        <w:t>Gilabert</w:t>
      </w:r>
      <w:proofErr w:type="spellEnd"/>
      <w:r w:rsidRPr="00544406">
        <w:t>.</w:t>
      </w:r>
    </w:p>
    <w:p w14:paraId="2D0A46B1" w14:textId="77777777" w:rsidR="00B7265E" w:rsidRPr="00544406" w:rsidRDefault="00B7265E" w:rsidP="00544406">
      <w:pPr>
        <w:pStyle w:val="Citas"/>
      </w:pPr>
      <w:r w:rsidRPr="00544406">
        <w:rPr>
          <w:b/>
        </w:rPr>
        <w:t>Amparo en revisión 204/2002</w:t>
      </w:r>
      <w:r w:rsidRPr="00544406">
        <w:t xml:space="preserve">. Enseñanza y Educación de Occidente, A.C. e Instituto Tecnológico y de Estudios Superiores de Monterrey. 18 de septiembre de 2002. Cinco votos. Ponente: Humberto Román Palacios. Secretario: José de Jesús </w:t>
      </w:r>
      <w:proofErr w:type="spellStart"/>
      <w:r w:rsidRPr="00544406">
        <w:t>Bañales</w:t>
      </w:r>
      <w:proofErr w:type="spellEnd"/>
      <w:r w:rsidRPr="00544406">
        <w:t xml:space="preserve"> Sánchez.</w:t>
      </w:r>
    </w:p>
    <w:p w14:paraId="78D5C0FF" w14:textId="77777777" w:rsidR="00B7265E" w:rsidRPr="00544406" w:rsidRDefault="00B7265E" w:rsidP="00544406">
      <w:pPr>
        <w:pStyle w:val="Citas"/>
      </w:pPr>
      <w:r w:rsidRPr="00544406">
        <w:rPr>
          <w:b/>
        </w:rPr>
        <w:t>Amparo en revisión 964/2005.</w:t>
      </w:r>
      <w:r w:rsidRPr="00544406">
        <w:t xml:space="preserve"> Jorge Francisco Durán Olvera y/o Jorge Durán Olvera. 10 de agosto de 2005. Cinco votos. Ponente: Sergio A. Valls Hernández. Secretario: Joaquín Cisneros Sánchez.</w:t>
      </w:r>
    </w:p>
    <w:p w14:paraId="01DE9035" w14:textId="77777777" w:rsidR="00B7265E" w:rsidRPr="00544406" w:rsidRDefault="00B7265E" w:rsidP="00544406">
      <w:pPr>
        <w:pStyle w:val="Citas"/>
      </w:pPr>
      <w:r w:rsidRPr="00544406">
        <w:rPr>
          <w:b/>
        </w:rPr>
        <w:t>Amparo directo en revisión 1035/2007.</w:t>
      </w:r>
      <w:r w:rsidRPr="00544406">
        <w:t xml:space="preserve"> Tenedora Global, S.A. de C.V. 5 de septiembre de 2007. Cinco votos. Ponente: Sergio A. Valls Hernández. Secretaria: Miriam Flores Aguilar.</w:t>
      </w:r>
    </w:p>
    <w:p w14:paraId="3840B06E" w14:textId="2F4BD892" w:rsidR="00B7265E" w:rsidRPr="00544406" w:rsidRDefault="00B7265E" w:rsidP="00544406">
      <w:pPr>
        <w:pStyle w:val="Citas"/>
        <w:rPr>
          <w:b/>
          <w:bCs/>
        </w:rPr>
      </w:pPr>
      <w:r w:rsidRPr="00544406">
        <w:t>Tesis de jurisprudencia 168/2007. Aprobada por la Primera Sala de este Alto Tribunal, en sesión de veintiocho de noviembre de dos mil siete.”</w:t>
      </w:r>
      <w:r w:rsidR="00544406" w:rsidRPr="00544406">
        <w:t xml:space="preserve"> </w:t>
      </w:r>
      <w:r w:rsidR="00544406" w:rsidRPr="00544406">
        <w:rPr>
          <w:b/>
          <w:bCs/>
        </w:rPr>
        <w:t>(Sic)</w:t>
      </w:r>
    </w:p>
    <w:p w14:paraId="64798A9C" w14:textId="77777777" w:rsidR="00802F09" w:rsidRDefault="00802F09" w:rsidP="00B7265E">
      <w:pPr>
        <w:pStyle w:val="Textoindependiente"/>
        <w:spacing w:line="360" w:lineRule="auto"/>
        <w:ind w:right="49" w:hanging="1"/>
        <w:jc w:val="both"/>
        <w:rPr>
          <w:sz w:val="24"/>
          <w:szCs w:val="24"/>
        </w:rPr>
      </w:pPr>
    </w:p>
    <w:p w14:paraId="0B7F22E8" w14:textId="5A17BDD2" w:rsidR="00B7265E" w:rsidRPr="00544406" w:rsidRDefault="00B7265E" w:rsidP="00B7265E">
      <w:pPr>
        <w:pStyle w:val="Textoindependiente"/>
        <w:spacing w:line="360" w:lineRule="auto"/>
        <w:ind w:right="49" w:hanging="1"/>
        <w:jc w:val="both"/>
        <w:rPr>
          <w:sz w:val="24"/>
          <w:szCs w:val="24"/>
        </w:rPr>
      </w:pPr>
      <w:r w:rsidRPr="00544406">
        <w:rPr>
          <w:sz w:val="24"/>
          <w:szCs w:val="24"/>
        </w:rPr>
        <w:t>Por las razones antes expuestas se actualiza la causa de improcedencia inmersa en la fracción II del artículo 138 de la Ley de Protección de Datos Personales en Posesión de Sujetos Obligados del Estado de México y Municipios, que establece:</w:t>
      </w:r>
    </w:p>
    <w:p w14:paraId="4A7BF470" w14:textId="77777777" w:rsidR="00B7265E" w:rsidRPr="00544406" w:rsidRDefault="00B7265E" w:rsidP="00544406">
      <w:pPr>
        <w:pStyle w:val="Citas"/>
      </w:pPr>
      <w:r w:rsidRPr="00544406">
        <w:t>“</w:t>
      </w:r>
      <w:r w:rsidRPr="00544406">
        <w:rPr>
          <w:b/>
        </w:rPr>
        <w:t>Artículo 138</w:t>
      </w:r>
      <w:r w:rsidRPr="00544406">
        <w:t xml:space="preserve">. El recurso de revisión podrá ser </w:t>
      </w:r>
      <w:r w:rsidRPr="00544406">
        <w:rPr>
          <w:u w:val="single"/>
        </w:rPr>
        <w:t>desechado por improcedente</w:t>
      </w:r>
      <w:r w:rsidRPr="00544406">
        <w:t xml:space="preserve"> cuando: </w:t>
      </w:r>
    </w:p>
    <w:p w14:paraId="105D4BED" w14:textId="77777777" w:rsidR="00FB16E9" w:rsidRPr="00544406" w:rsidRDefault="00FB16E9" w:rsidP="00544406">
      <w:pPr>
        <w:pStyle w:val="Citas"/>
      </w:pPr>
      <w:r w:rsidRPr="00544406">
        <w:lastRenderedPageBreak/>
        <w:t>(…)</w:t>
      </w:r>
    </w:p>
    <w:p w14:paraId="66367167" w14:textId="713BF314" w:rsidR="00B7265E" w:rsidRPr="00544406" w:rsidRDefault="00B7265E" w:rsidP="00544406">
      <w:pPr>
        <w:pStyle w:val="Citas"/>
      </w:pPr>
      <w:r w:rsidRPr="00544406">
        <w:rPr>
          <w:b/>
        </w:rPr>
        <w:t>II</w:t>
      </w:r>
      <w:r w:rsidRPr="00544406">
        <w:t xml:space="preserve">. El titular o su representante no acrediten debidamente su identidad y personalidad de este último.” </w:t>
      </w:r>
      <w:r w:rsidRPr="00544406">
        <w:rPr>
          <w:b/>
          <w:bCs/>
        </w:rPr>
        <w:t>(</w:t>
      </w:r>
      <w:r w:rsidR="00544406" w:rsidRPr="00544406">
        <w:rPr>
          <w:b/>
          <w:bCs/>
        </w:rPr>
        <w:t>S</w:t>
      </w:r>
      <w:r w:rsidRPr="00544406">
        <w:rPr>
          <w:b/>
          <w:bCs/>
        </w:rPr>
        <w:t>ic)</w:t>
      </w:r>
    </w:p>
    <w:p w14:paraId="51A95FFF" w14:textId="77777777" w:rsidR="00B7265E" w:rsidRPr="005039DD" w:rsidRDefault="00B7265E" w:rsidP="00B7265E">
      <w:pPr>
        <w:autoSpaceDE w:val="0"/>
        <w:autoSpaceDN w:val="0"/>
        <w:adjustRightInd w:val="0"/>
        <w:spacing w:line="360" w:lineRule="auto"/>
        <w:jc w:val="both"/>
        <w:rPr>
          <w:rFonts w:ascii="Palatino Linotype" w:eastAsiaTheme="minorHAnsi" w:hAnsi="Palatino Linotype" w:cs="Arial"/>
          <w:szCs w:val="22"/>
          <w:highlight w:val="yellow"/>
          <w:lang w:val="es-MX" w:eastAsia="en-US"/>
        </w:rPr>
      </w:pPr>
    </w:p>
    <w:p w14:paraId="69D4A2D5" w14:textId="77777777" w:rsidR="00B7265E" w:rsidRPr="00544406" w:rsidRDefault="00B7265E" w:rsidP="00B7265E">
      <w:pPr>
        <w:autoSpaceDE w:val="0"/>
        <w:autoSpaceDN w:val="0"/>
        <w:adjustRightInd w:val="0"/>
        <w:spacing w:line="360" w:lineRule="auto"/>
        <w:jc w:val="both"/>
        <w:rPr>
          <w:rFonts w:ascii="Palatino Linotype" w:hAnsi="Palatino Linotype" w:cs="Arial"/>
        </w:rPr>
      </w:pPr>
      <w:r w:rsidRPr="00544406">
        <w:rPr>
          <w:rFonts w:ascii="Palatino Linotype" w:eastAsiaTheme="minorHAnsi" w:hAnsi="Palatino Linotype" w:cs="Arial"/>
          <w:szCs w:val="22"/>
          <w:lang w:val="es-MX" w:eastAsia="en-US"/>
        </w:rPr>
        <w:t xml:space="preserve">En conclusión, </w:t>
      </w:r>
      <w:r w:rsidR="00FB16E9" w:rsidRPr="00544406">
        <w:rPr>
          <w:rFonts w:ascii="Palatino Linotype" w:eastAsiaTheme="minorHAnsi" w:hAnsi="Palatino Linotype" w:cs="Arial"/>
          <w:szCs w:val="22"/>
          <w:lang w:val="es-MX" w:eastAsia="en-US"/>
        </w:rPr>
        <w:t>de conformidad con lo señalado en el artículo 139 fracción III de la Ley de Protección de Datos Personales en Posesión de Sujetos Obligados del Estado de México y Municipios, mismo que se transcribe a continuación en la parte aplicable:</w:t>
      </w:r>
    </w:p>
    <w:p w14:paraId="17063540" w14:textId="77777777" w:rsidR="00FB16E9" w:rsidRPr="00544406" w:rsidRDefault="00B7265E" w:rsidP="00544406">
      <w:pPr>
        <w:pStyle w:val="Citas"/>
      </w:pPr>
      <w:r w:rsidRPr="00544406">
        <w:t>“</w:t>
      </w:r>
      <w:r w:rsidR="00FB16E9" w:rsidRPr="00544406">
        <w:t xml:space="preserve">Causales de Sobreseimiento </w:t>
      </w:r>
    </w:p>
    <w:p w14:paraId="6435A68C" w14:textId="77777777" w:rsidR="00FB16E9" w:rsidRPr="00544406" w:rsidRDefault="00FB16E9" w:rsidP="00544406">
      <w:pPr>
        <w:pStyle w:val="Citas"/>
      </w:pPr>
      <w:r w:rsidRPr="00544406">
        <w:rPr>
          <w:b/>
        </w:rPr>
        <w:t>Artículo 139</w:t>
      </w:r>
      <w:r w:rsidRPr="00544406">
        <w:t xml:space="preserve">. El recurso de revisión sólo podrá ser sobreseído cuando: </w:t>
      </w:r>
    </w:p>
    <w:p w14:paraId="794341F1" w14:textId="77777777" w:rsidR="00FB16E9" w:rsidRPr="00544406" w:rsidRDefault="00FB16E9" w:rsidP="00544406">
      <w:pPr>
        <w:pStyle w:val="Citas"/>
      </w:pPr>
      <w:r w:rsidRPr="00544406">
        <w:t xml:space="preserve">I. El recurrente se desista expresamente. </w:t>
      </w:r>
    </w:p>
    <w:p w14:paraId="2445A8C6" w14:textId="77777777" w:rsidR="00FB16E9" w:rsidRPr="00544406" w:rsidRDefault="00FB16E9" w:rsidP="00544406">
      <w:pPr>
        <w:pStyle w:val="Citas"/>
      </w:pPr>
      <w:r w:rsidRPr="00544406">
        <w:t xml:space="preserve">II. El recurrente fallezca. </w:t>
      </w:r>
    </w:p>
    <w:p w14:paraId="1F686EE7" w14:textId="77777777" w:rsidR="00FB16E9" w:rsidRPr="00544406" w:rsidRDefault="00FB16E9" w:rsidP="00544406">
      <w:pPr>
        <w:pStyle w:val="Citas"/>
        <w:rPr>
          <w:u w:val="single"/>
        </w:rPr>
      </w:pPr>
      <w:r w:rsidRPr="00544406">
        <w:rPr>
          <w:b/>
          <w:u w:val="single"/>
        </w:rPr>
        <w:t>III. Admitido el recurso de revisión, se actualice alguna causal de improcedencia en los términos de la presente Ley</w:t>
      </w:r>
      <w:r w:rsidRPr="00544406">
        <w:rPr>
          <w:u w:val="single"/>
        </w:rPr>
        <w:t xml:space="preserve">. </w:t>
      </w:r>
    </w:p>
    <w:p w14:paraId="04734586" w14:textId="77777777" w:rsidR="00FB16E9" w:rsidRPr="00544406" w:rsidRDefault="00FB16E9" w:rsidP="00544406">
      <w:pPr>
        <w:pStyle w:val="Citas"/>
      </w:pPr>
      <w:r w:rsidRPr="00544406">
        <w:t xml:space="preserve">IV. El responsable modifique o revoque su respuesta de tal manera que el recurso de revisión quede sin materia. </w:t>
      </w:r>
    </w:p>
    <w:p w14:paraId="553EE298" w14:textId="5DF6FC99" w:rsidR="00B7265E" w:rsidRPr="00544406" w:rsidRDefault="00FB16E9" w:rsidP="00544406">
      <w:pPr>
        <w:pStyle w:val="Citas"/>
        <w:rPr>
          <w:b/>
          <w:bCs/>
        </w:rPr>
      </w:pPr>
      <w:r w:rsidRPr="00544406">
        <w:t>V. Quede sin materia el recurso de revisión.</w:t>
      </w:r>
      <w:r w:rsidR="00B7265E" w:rsidRPr="00544406">
        <w:t>”</w:t>
      </w:r>
      <w:r w:rsidR="00544406">
        <w:t xml:space="preserve"> </w:t>
      </w:r>
      <w:r w:rsidR="00544406">
        <w:rPr>
          <w:b/>
          <w:bCs/>
        </w:rPr>
        <w:t>(Sic)</w:t>
      </w:r>
    </w:p>
    <w:p w14:paraId="3DFFB381" w14:textId="77777777" w:rsidR="00B7265E" w:rsidRPr="005039DD" w:rsidRDefault="00B7265E" w:rsidP="00B7265E">
      <w:pPr>
        <w:autoSpaceDE w:val="0"/>
        <w:autoSpaceDN w:val="0"/>
        <w:adjustRightInd w:val="0"/>
        <w:spacing w:line="360" w:lineRule="auto"/>
        <w:jc w:val="both"/>
        <w:rPr>
          <w:rFonts w:ascii="Palatino Linotype" w:hAnsi="Palatino Linotype"/>
          <w:sz w:val="14"/>
          <w:highlight w:val="yellow"/>
        </w:rPr>
      </w:pPr>
    </w:p>
    <w:p w14:paraId="5B3EE290" w14:textId="77777777" w:rsidR="003E6A87" w:rsidRDefault="003E6A87" w:rsidP="00B7265E">
      <w:pPr>
        <w:autoSpaceDE w:val="0"/>
        <w:autoSpaceDN w:val="0"/>
        <w:adjustRightInd w:val="0"/>
        <w:spacing w:line="360" w:lineRule="auto"/>
        <w:jc w:val="both"/>
        <w:rPr>
          <w:rFonts w:ascii="Palatino Linotype" w:hAnsi="Palatino Linotype"/>
        </w:rPr>
      </w:pPr>
    </w:p>
    <w:p w14:paraId="159632EF" w14:textId="2AB77637" w:rsidR="00B7265E" w:rsidRPr="00544406" w:rsidRDefault="00B7265E" w:rsidP="00B7265E">
      <w:pPr>
        <w:autoSpaceDE w:val="0"/>
        <w:autoSpaceDN w:val="0"/>
        <w:adjustRightInd w:val="0"/>
        <w:spacing w:line="360" w:lineRule="auto"/>
        <w:jc w:val="both"/>
        <w:rPr>
          <w:rFonts w:ascii="Palatino Linotype" w:hAnsi="Palatino Linotype"/>
          <w:b/>
          <w:u w:val="single"/>
        </w:rPr>
      </w:pPr>
      <w:r w:rsidRPr="00544406">
        <w:rPr>
          <w:rFonts w:ascii="Palatino Linotype" w:hAnsi="Palatino Linotype"/>
        </w:rPr>
        <w:t xml:space="preserve">Es importante resaltar a manera de analogía que la Suprema Corte de Justicia de la Nación mediante el número 2 de la Serie </w:t>
      </w:r>
      <w:r w:rsidRPr="00544406">
        <w:rPr>
          <w:rFonts w:ascii="Palatino Linotype" w:hAnsi="Palatino Linotype"/>
          <w:i/>
        </w:rPr>
        <w:t xml:space="preserve">Estudios Introductorios sobre el Juicio de Amparo </w:t>
      </w:r>
      <w:r w:rsidRPr="00544406">
        <w:rPr>
          <w:rFonts w:ascii="Palatino Linotype" w:hAnsi="Palatino Linotype"/>
        </w:rPr>
        <w:t xml:space="preserve">relativo a </w:t>
      </w:r>
      <w:r w:rsidRPr="00544406">
        <w:rPr>
          <w:rFonts w:ascii="Palatino Linotype" w:hAnsi="Palatino Linotype"/>
          <w:i/>
        </w:rPr>
        <w:t xml:space="preserve">LA IMPROCEDENCIA DE LA ACCIÓN DE AMPARO </w:t>
      </w:r>
      <w:r w:rsidRPr="00544406">
        <w:rPr>
          <w:rFonts w:ascii="Palatino Linotype" w:hAnsi="Palatino Linotype"/>
        </w:rPr>
        <w:t xml:space="preserve">definió a la improcedencia del amparo como la institución jurídica procesal en la que, al </w:t>
      </w:r>
      <w:r w:rsidRPr="00544406">
        <w:rPr>
          <w:rFonts w:ascii="Palatino Linotype" w:hAnsi="Palatino Linotype"/>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44406">
        <w:rPr>
          <w:rFonts w:ascii="Palatino Linotype" w:hAnsi="Palatino Linotype"/>
          <w:b/>
          <w:u w:val="single"/>
        </w:rPr>
        <w:t>lo que generará que la demanda sea desechada; o bien, después de admitida la demanda, lo que tendrá como consecuencia que se sobresea en el juicio.</w:t>
      </w:r>
    </w:p>
    <w:p w14:paraId="3E2CB0D9" w14:textId="77777777" w:rsidR="00B7265E" w:rsidRDefault="00B7265E" w:rsidP="00B7265E">
      <w:pPr>
        <w:autoSpaceDE w:val="0"/>
        <w:autoSpaceDN w:val="0"/>
        <w:adjustRightInd w:val="0"/>
        <w:spacing w:line="360" w:lineRule="auto"/>
        <w:jc w:val="both"/>
        <w:rPr>
          <w:rFonts w:ascii="Palatino Linotype" w:hAnsi="Palatino Linotype"/>
          <w:b/>
          <w:u w:val="single"/>
        </w:rPr>
      </w:pPr>
    </w:p>
    <w:p w14:paraId="0AF696D6" w14:textId="77777777" w:rsidR="00802F09" w:rsidRPr="00802F09" w:rsidRDefault="00802F09" w:rsidP="00802F09">
      <w:pPr>
        <w:spacing w:line="360" w:lineRule="auto"/>
        <w:jc w:val="both"/>
        <w:rPr>
          <w:rFonts w:ascii="Palatino Linotype" w:hAnsi="Palatino Linotype"/>
        </w:rPr>
      </w:pPr>
      <w:r w:rsidRPr="00802F09">
        <w:rPr>
          <w:rFonts w:ascii="Palatino Linotype" w:hAnsi="Palatino Linotype"/>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802F09">
        <w:rPr>
          <w:rFonts w:ascii="Palatino Linotype" w:eastAsia="Palatino Linotype" w:hAnsi="Palatino Linotype" w:cs="Palatino Linotype"/>
          <w:vertAlign w:val="superscript"/>
        </w:rPr>
        <w:footnoteReference w:id="1"/>
      </w:r>
      <w:r w:rsidRPr="00802F09">
        <w:rPr>
          <w:rFonts w:ascii="Palatino Linotype" w:hAnsi="Palatino Linotype"/>
        </w:rPr>
        <w:t>, en la que se estipula lo siguiente:</w:t>
      </w:r>
    </w:p>
    <w:p w14:paraId="310540BF" w14:textId="77777777" w:rsidR="00802F09" w:rsidRPr="00802F09" w:rsidRDefault="00802F09" w:rsidP="00802F09">
      <w:pPr>
        <w:spacing w:line="360" w:lineRule="auto"/>
        <w:jc w:val="both"/>
        <w:rPr>
          <w:rFonts w:ascii="Palatino Linotype" w:hAnsi="Palatino Linotype"/>
        </w:rPr>
      </w:pPr>
    </w:p>
    <w:p w14:paraId="3191B149" w14:textId="0A19422C" w:rsidR="00802F09" w:rsidRPr="00802F09" w:rsidRDefault="00802F09" w:rsidP="00802F09">
      <w:pPr>
        <w:spacing w:line="360" w:lineRule="auto"/>
        <w:ind w:left="567" w:right="567"/>
        <w:jc w:val="both"/>
        <w:rPr>
          <w:rFonts w:ascii="Palatino Linotype" w:eastAsia="Palatino Linotype" w:hAnsi="Palatino Linotype" w:cs="Palatino Linotype"/>
          <w:b/>
          <w:bCs/>
          <w:iCs/>
        </w:rPr>
      </w:pPr>
      <w:r>
        <w:rPr>
          <w:rFonts w:ascii="Palatino Linotype" w:eastAsia="Palatino Linotype" w:hAnsi="Palatino Linotype" w:cs="Palatino Linotype"/>
          <w:b/>
          <w:bCs/>
          <w:i/>
          <w:iCs/>
        </w:rPr>
        <w:t>“</w:t>
      </w:r>
      <w:r w:rsidRPr="00802F09">
        <w:rPr>
          <w:rFonts w:ascii="Palatino Linotype" w:eastAsia="Palatino Linotype" w:hAnsi="Palatino Linotype" w:cs="Palatino Linotype"/>
          <w:b/>
          <w:bCs/>
          <w:i/>
          <w:iCs/>
        </w:rPr>
        <w:t>SOBRESEIMIENTO. IMPIDE EL ESTUDIO DE LAS CUESTIONES DE FONDO.</w:t>
      </w:r>
    </w:p>
    <w:p w14:paraId="3D4B0574" w14:textId="1A1C1D5D" w:rsidR="00802F09" w:rsidRPr="00802F09" w:rsidRDefault="00802F09" w:rsidP="00802F09">
      <w:pPr>
        <w:spacing w:line="360" w:lineRule="auto"/>
        <w:ind w:left="567" w:right="567"/>
        <w:jc w:val="both"/>
        <w:rPr>
          <w:rFonts w:ascii="Palatino Linotype" w:eastAsia="Palatino Linotype" w:hAnsi="Palatino Linotype" w:cs="Palatino Linotype"/>
          <w:b/>
          <w:bCs/>
          <w:iCs/>
        </w:rPr>
      </w:pPr>
      <w:r w:rsidRPr="00802F09">
        <w:rPr>
          <w:rFonts w:ascii="Palatino Linotype" w:eastAsia="Palatino Linotype" w:hAnsi="Palatino Linotype" w:cs="Palatino Linotype"/>
          <w:i/>
          <w:iC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r>
        <w:rPr>
          <w:rFonts w:ascii="Palatino Linotype" w:eastAsia="Palatino Linotype" w:hAnsi="Palatino Linotype" w:cs="Palatino Linotype"/>
          <w:i/>
          <w:iCs/>
        </w:rPr>
        <w:t xml:space="preserve">” </w:t>
      </w:r>
      <w:r>
        <w:rPr>
          <w:rFonts w:ascii="Palatino Linotype" w:eastAsia="Palatino Linotype" w:hAnsi="Palatino Linotype" w:cs="Palatino Linotype"/>
          <w:b/>
          <w:bCs/>
          <w:i/>
          <w:iCs/>
        </w:rPr>
        <w:t>(Sic)</w:t>
      </w:r>
    </w:p>
    <w:p w14:paraId="021CF502" w14:textId="77777777" w:rsidR="00802F09" w:rsidRPr="00802F09" w:rsidRDefault="00802F09" w:rsidP="00802F09">
      <w:pPr>
        <w:spacing w:line="360" w:lineRule="auto"/>
        <w:jc w:val="both"/>
        <w:rPr>
          <w:rFonts w:ascii="Palatino Linotype" w:hAnsi="Palatino Linotype"/>
        </w:rPr>
      </w:pPr>
    </w:p>
    <w:p w14:paraId="2BEFF43E"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F79AFF1"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 xml:space="preserve">No obstante, se dejan a salvo los derechos de la persona solicitante para que presente nueva solicitud en caso de ser de su interés; asimismo, es importante hacer de su </w:t>
      </w:r>
      <w:r w:rsidRPr="00802F09">
        <w:rPr>
          <w:rFonts w:ascii="Palatino Linotype" w:eastAsia="Palatino Linotype" w:hAnsi="Palatino Linotype" w:cs="Palatino Linotype"/>
          <w:color w:val="000000"/>
        </w:rPr>
        <w:lastRenderedPageBreak/>
        <w:t>conocimiento que la Ley otorga a los titulares de los datos personales el derecho a acceder, rectificar y cancelar su información personal en posesión de Sujetos Obligados, o bien oponerse a su tratamiento, recordando que para ejercer dichos derechos ante el responsable o el Instituto, deberá demostrar que es el titular de los datos o, en caso de que lo haga en representación del titular de los datos personales, deberá acreditar esta situación. Esto con la finalidad de que nadie más que el titular o el representante, puedan decidir el uso que se le dará a sus datos personales, como una medida de seguridad de si información personal.</w:t>
      </w:r>
    </w:p>
    <w:p w14:paraId="6A5F6A9E"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98A26D5"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Para lo anterior pueden ser utilizados los medios de identificación y formas de acreditar la personalidad que se prevén en los artículos 120 y 121 de la Ley de Protección de Datos Personales en Posesión de Sujetos Obligados del Estado de México y Municipios; 73, 76 y 77 de los Lineamientos Generales de Protección de Datos Personales para el Sector Público; 2.5 Bis, del Código Civil del Estado de México, y de ésta manera evitar el uso malintencionado que alguien pueda hacer de la información o documentación que le concierne.</w:t>
      </w:r>
    </w:p>
    <w:p w14:paraId="7400A7BF"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303994"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t xml:space="preserve">Asimismo, se hace del conocimiento del Recurrente que existe el sistema denominado Sistema de Acceso, Rectificación, Cancelación y Oposición de Datos Personales del Estado de México, </w:t>
      </w:r>
      <w:r w:rsidRPr="002F4B6B">
        <w:rPr>
          <w:rFonts w:ascii="Palatino Linotype" w:eastAsia="Palatino Linotype" w:hAnsi="Palatino Linotype" w:cs="Palatino Linotype"/>
          <w:b/>
          <w:bCs/>
          <w:color w:val="000000"/>
        </w:rPr>
        <w:t>SARCOEM</w:t>
      </w:r>
      <w:r w:rsidRPr="00802F09">
        <w:rPr>
          <w:rFonts w:ascii="Palatino Linotype" w:eastAsia="Palatino Linotype" w:hAnsi="Palatino Linotype" w:cs="Palatino Linotype"/>
          <w:color w:val="000000"/>
        </w:rPr>
        <w:t xml:space="preserve">; a través del cual, puede ejercer los derechos ARCO, que se refieren a aquel derecho que tiene el titular de datos personales, para solicitar el acceso, rectificación, cancelación, oposición y portabilidad sobre el tratamiento de sus datos, ante el sujeto obligado que esté en posesión de estos. </w:t>
      </w:r>
    </w:p>
    <w:p w14:paraId="4D1DD1E2"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C09B341"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2F09">
        <w:rPr>
          <w:rFonts w:ascii="Palatino Linotype" w:eastAsia="Palatino Linotype" w:hAnsi="Palatino Linotype" w:cs="Palatino Linotype"/>
          <w:color w:val="000000"/>
        </w:rPr>
        <w:lastRenderedPageBreak/>
        <w:t xml:space="preserve">Cabe mencionar que el sistema </w:t>
      </w:r>
      <w:r w:rsidRPr="002F4B6B">
        <w:rPr>
          <w:rFonts w:ascii="Palatino Linotype" w:eastAsia="Palatino Linotype" w:hAnsi="Palatino Linotype" w:cs="Palatino Linotype"/>
          <w:b/>
          <w:bCs/>
          <w:color w:val="000000"/>
        </w:rPr>
        <w:t>SARCOEM</w:t>
      </w:r>
      <w:r w:rsidRPr="00802F09">
        <w:rPr>
          <w:rFonts w:ascii="Palatino Linotype" w:eastAsia="Palatino Linotype" w:hAnsi="Palatino Linotype" w:cs="Palatino Linotype"/>
          <w:color w:val="000000"/>
        </w:rPr>
        <w:t xml:space="preserve"> se encuentra en la dirección electrónica </w:t>
      </w:r>
      <w:hyperlink r:id="rId7" w:history="1">
        <w:r w:rsidRPr="00802F09">
          <w:rPr>
            <w:rStyle w:val="Hipervnculo"/>
            <w:rFonts w:ascii="Palatino Linotype" w:eastAsia="Palatino Linotype" w:hAnsi="Palatino Linotype" w:cs="Palatino Linotype"/>
          </w:rPr>
          <w:t>https://www.sarcoem.org.mx/sarcoem/ciudadano/login.page</w:t>
        </w:r>
      </w:hyperlink>
      <w:r w:rsidRPr="00802F09">
        <w:rPr>
          <w:rFonts w:ascii="Palatino Linotype" w:eastAsia="Palatino Linotype" w:hAnsi="Palatino Linotype" w:cs="Palatino Linotype"/>
          <w:color w:val="000000"/>
        </w:rPr>
        <w:t xml:space="preserve">, asimismo, las guías de uso de dicho sistema, tales como el registro ciudadano, el registro de solicitudes, el seguimiento a recursos de revisión, entre otras, se encuentran disponibles en la dirección electrónica </w:t>
      </w:r>
      <w:hyperlink r:id="rId8" w:history="1">
        <w:r w:rsidRPr="00802F09">
          <w:rPr>
            <w:rStyle w:val="Hipervnculo"/>
            <w:rFonts w:ascii="Palatino Linotype" w:eastAsia="Palatino Linotype" w:hAnsi="Palatino Linotype" w:cs="Palatino Linotype"/>
          </w:rPr>
          <w:t>https://www.sarcoem.org.mx/sarcoem/guias.html</w:t>
        </w:r>
      </w:hyperlink>
      <w:r w:rsidRPr="00802F09">
        <w:rPr>
          <w:rFonts w:ascii="Palatino Linotype" w:eastAsia="Palatino Linotype" w:hAnsi="Palatino Linotype" w:cs="Palatino Linotype"/>
          <w:color w:val="000000"/>
        </w:rPr>
        <w:t>.</w:t>
      </w:r>
    </w:p>
    <w:p w14:paraId="6B2E8A85" w14:textId="77777777" w:rsidR="00802F09" w:rsidRPr="00802F09"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EF3A35" w14:textId="71B7C293" w:rsidR="000C66C4" w:rsidRPr="000C66C4" w:rsidRDefault="00B7265E" w:rsidP="00B7265E">
      <w:pPr>
        <w:spacing w:line="360" w:lineRule="auto"/>
        <w:ind w:right="51"/>
        <w:jc w:val="both"/>
        <w:rPr>
          <w:rFonts w:ascii="Palatino Linotype" w:hAnsi="Palatino Linotype" w:cs="Arial"/>
        </w:rPr>
      </w:pPr>
      <w:r w:rsidRPr="00544406">
        <w:rPr>
          <w:rFonts w:ascii="Palatino Linotype" w:hAnsi="Palatino Linotype" w:cs="Arial"/>
        </w:rPr>
        <w:t>En mérito de lo expuesto en líneas anteriores</w:t>
      </w:r>
      <w:r w:rsidRPr="00544406">
        <w:rPr>
          <w:rFonts w:ascii="Palatino Linotype" w:hAnsi="Palatino Linotype"/>
          <w:noProof/>
          <w:lang w:eastAsia="es-MX"/>
        </w:rPr>
        <w:t xml:space="preserve">, resultan </w:t>
      </w:r>
      <w:r w:rsidR="004B4150" w:rsidRPr="00544406">
        <w:rPr>
          <w:rFonts w:ascii="Palatino Linotype" w:hAnsi="Palatino Linotype"/>
          <w:noProof/>
          <w:lang w:eastAsia="es-MX"/>
        </w:rPr>
        <w:t>infundado</w:t>
      </w:r>
      <w:r w:rsidRPr="00544406">
        <w:rPr>
          <w:rFonts w:ascii="Palatino Linotype" w:hAnsi="Palatino Linotype"/>
          <w:noProof/>
          <w:lang w:eastAsia="es-MX"/>
        </w:rPr>
        <w:t xml:space="preserve">s los motivos de inconformidad que arguye </w:t>
      </w:r>
      <w:r w:rsidR="000C66C4">
        <w:rPr>
          <w:rFonts w:ascii="Palatino Linotype" w:hAnsi="Palatino Linotype"/>
          <w:b/>
          <w:noProof/>
          <w:lang w:eastAsia="es-MX"/>
        </w:rPr>
        <w:t>El</w:t>
      </w:r>
      <w:r w:rsidRPr="00544406">
        <w:rPr>
          <w:rFonts w:ascii="Palatino Linotype" w:hAnsi="Palatino Linotype"/>
          <w:b/>
          <w:noProof/>
          <w:lang w:eastAsia="es-MX"/>
        </w:rPr>
        <w:t xml:space="preserve"> Recurrente</w:t>
      </w:r>
      <w:r w:rsidRPr="00544406">
        <w:rPr>
          <w:rFonts w:ascii="Palatino Linotype" w:hAnsi="Palatino Linotype"/>
          <w:noProof/>
          <w:lang w:eastAsia="es-MX"/>
        </w:rPr>
        <w:t xml:space="preserve"> en su medio de impugnación que fue materia de estudio, </w:t>
      </w:r>
      <w:r w:rsidRPr="00544406">
        <w:rPr>
          <w:rFonts w:ascii="Palatino Linotype" w:hAnsi="Palatino Linotype" w:cs="Arial"/>
        </w:rPr>
        <w:t>por ello con fundamento en el artículo 1</w:t>
      </w:r>
      <w:r w:rsidR="003123FB" w:rsidRPr="00544406">
        <w:rPr>
          <w:rFonts w:ascii="Palatino Linotype" w:hAnsi="Palatino Linotype" w:cs="Arial"/>
        </w:rPr>
        <w:t>3</w:t>
      </w:r>
      <w:r w:rsidRPr="00544406">
        <w:rPr>
          <w:rFonts w:ascii="Palatino Linotype" w:hAnsi="Palatino Linotype" w:cs="Arial"/>
        </w:rPr>
        <w:t xml:space="preserve">8, fracción </w:t>
      </w:r>
      <w:r w:rsidR="003123FB" w:rsidRPr="00544406">
        <w:rPr>
          <w:rFonts w:ascii="Palatino Linotype" w:hAnsi="Palatino Linotype" w:cs="Arial"/>
        </w:rPr>
        <w:t>I</w:t>
      </w:r>
      <w:r w:rsidRPr="00544406">
        <w:rPr>
          <w:rFonts w:ascii="Palatino Linotype" w:hAnsi="Palatino Linotype" w:cs="Arial"/>
        </w:rPr>
        <w:t>I, en concordancia con el artículo 1</w:t>
      </w:r>
      <w:r w:rsidR="003123FB" w:rsidRPr="00544406">
        <w:rPr>
          <w:rFonts w:ascii="Palatino Linotype" w:hAnsi="Palatino Linotype" w:cs="Arial"/>
        </w:rPr>
        <w:t>3</w:t>
      </w:r>
      <w:r w:rsidRPr="00544406">
        <w:rPr>
          <w:rFonts w:ascii="Palatino Linotype" w:hAnsi="Palatino Linotype" w:cs="Arial"/>
        </w:rPr>
        <w:t>9, fracción I</w:t>
      </w:r>
      <w:r w:rsidR="003123FB" w:rsidRPr="00544406">
        <w:rPr>
          <w:rFonts w:ascii="Palatino Linotype" w:hAnsi="Palatino Linotype" w:cs="Arial"/>
        </w:rPr>
        <w:t>II</w:t>
      </w:r>
      <w:r w:rsidRPr="00544406">
        <w:rPr>
          <w:rFonts w:ascii="Palatino Linotype" w:hAnsi="Palatino Linotype" w:cs="Arial"/>
        </w:rPr>
        <w:t xml:space="preserve">, de la </w:t>
      </w:r>
      <w:r w:rsidR="003123FB" w:rsidRPr="00544406">
        <w:rPr>
          <w:rFonts w:ascii="Palatino Linotype" w:eastAsia="Palatino Linotype" w:hAnsi="Palatino Linotype" w:cs="Palatino Linotype"/>
          <w:color w:val="000000"/>
          <w:lang w:val="es-MX" w:eastAsia="en-US"/>
        </w:rPr>
        <w:t>Ley de Protección de Datos Personales en Posesión de Sujetos Obligados del Estado de México</w:t>
      </w:r>
      <w:r w:rsidRPr="00544406">
        <w:rPr>
          <w:rFonts w:ascii="Palatino Linotype" w:hAnsi="Palatino Linotype" w:cs="Arial"/>
        </w:rPr>
        <w:t xml:space="preserve">, se </w:t>
      </w:r>
      <w:r w:rsidRPr="00544406">
        <w:rPr>
          <w:rFonts w:ascii="Palatino Linotype" w:hAnsi="Palatino Linotype" w:cs="Arial"/>
          <w:b/>
        </w:rPr>
        <w:t>SOBRESEE</w:t>
      </w:r>
      <w:r w:rsidRPr="00544406">
        <w:rPr>
          <w:rFonts w:ascii="Palatino Linotype" w:hAnsi="Palatino Linotype" w:cs="Arial"/>
        </w:rPr>
        <w:t xml:space="preserve"> el recurso de revisión </w:t>
      </w:r>
      <w:r w:rsidR="00802F09">
        <w:rPr>
          <w:rFonts w:ascii="Palatino Linotype" w:hAnsi="Palatino Linotype" w:cs="Arial"/>
          <w:b/>
          <w:bCs/>
        </w:rPr>
        <w:t>02650</w:t>
      </w:r>
      <w:r w:rsidR="000C66C4">
        <w:rPr>
          <w:rFonts w:ascii="Palatino Linotype" w:hAnsi="Palatino Linotype" w:cs="Arial"/>
          <w:b/>
          <w:bCs/>
        </w:rPr>
        <w:t>/INFOEM/IP/RR/202</w:t>
      </w:r>
      <w:r w:rsidR="00802F09">
        <w:rPr>
          <w:rFonts w:ascii="Palatino Linotype" w:hAnsi="Palatino Linotype" w:cs="Arial"/>
          <w:b/>
          <w:bCs/>
        </w:rPr>
        <w:t>5</w:t>
      </w:r>
      <w:r w:rsidR="000C66C4">
        <w:rPr>
          <w:rFonts w:ascii="Palatino Linotype" w:hAnsi="Palatino Linotype" w:cs="Arial"/>
          <w:b/>
          <w:bCs/>
        </w:rPr>
        <w:t xml:space="preserve">, </w:t>
      </w:r>
      <w:r w:rsidR="000C66C4">
        <w:rPr>
          <w:rFonts w:ascii="Palatino Linotype" w:hAnsi="Palatino Linotype" w:cs="Arial"/>
        </w:rPr>
        <w:t xml:space="preserve">que ha sido materia del presente fallo. </w:t>
      </w:r>
    </w:p>
    <w:p w14:paraId="7C445166" w14:textId="77777777" w:rsidR="000C66C4" w:rsidRDefault="000C66C4" w:rsidP="00B7265E">
      <w:pPr>
        <w:tabs>
          <w:tab w:val="left" w:pos="8931"/>
        </w:tabs>
        <w:spacing w:line="360" w:lineRule="auto"/>
        <w:ind w:right="51"/>
        <w:jc w:val="both"/>
        <w:rPr>
          <w:rFonts w:ascii="Palatino Linotype" w:eastAsiaTheme="minorHAnsi" w:hAnsi="Palatino Linotype" w:cstheme="minorBidi"/>
          <w:lang w:val="es-MX" w:eastAsia="en-US"/>
        </w:rPr>
      </w:pPr>
    </w:p>
    <w:p w14:paraId="2AD27200" w14:textId="1DF933C8" w:rsidR="00B7265E" w:rsidRPr="00544406" w:rsidRDefault="00B7265E" w:rsidP="00B7265E">
      <w:pPr>
        <w:tabs>
          <w:tab w:val="left" w:pos="8931"/>
        </w:tabs>
        <w:spacing w:line="360" w:lineRule="auto"/>
        <w:ind w:right="51"/>
        <w:jc w:val="both"/>
        <w:rPr>
          <w:rFonts w:ascii="Palatino Linotype" w:eastAsiaTheme="minorHAnsi" w:hAnsi="Palatino Linotype" w:cstheme="minorBidi"/>
          <w:lang w:val="es-MX" w:eastAsia="en-US"/>
        </w:rPr>
      </w:pPr>
      <w:r w:rsidRPr="00544406">
        <w:rPr>
          <w:rFonts w:ascii="Palatino Linotype" w:eastAsiaTheme="minorHAnsi" w:hAnsi="Palatino Linotype" w:cstheme="minorBidi"/>
          <w:lang w:val="es-MX" w:eastAsia="en-US"/>
        </w:rPr>
        <w:t>Por lo antes expuesto y fundado es de resolverse y,</w:t>
      </w:r>
    </w:p>
    <w:p w14:paraId="0FE83369" w14:textId="77777777" w:rsidR="008553EC" w:rsidRDefault="008553EC" w:rsidP="00B7265E">
      <w:pPr>
        <w:spacing w:line="360" w:lineRule="auto"/>
        <w:jc w:val="center"/>
        <w:rPr>
          <w:rFonts w:ascii="Palatino Linotype" w:hAnsi="Palatino Linotype" w:cstheme="minorBidi"/>
          <w:b/>
          <w:bCs/>
          <w:spacing w:val="60"/>
          <w:sz w:val="28"/>
          <w:szCs w:val="22"/>
          <w:lang w:val="es-ES_tradnl" w:eastAsia="en-US"/>
        </w:rPr>
      </w:pPr>
    </w:p>
    <w:p w14:paraId="26D2AD73" w14:textId="77777777" w:rsidR="008553EC" w:rsidRDefault="008553EC" w:rsidP="00B7265E">
      <w:pPr>
        <w:spacing w:line="360" w:lineRule="auto"/>
        <w:jc w:val="center"/>
        <w:rPr>
          <w:rFonts w:ascii="Palatino Linotype" w:hAnsi="Palatino Linotype" w:cstheme="minorBidi"/>
          <w:b/>
          <w:bCs/>
          <w:spacing w:val="60"/>
          <w:sz w:val="28"/>
          <w:szCs w:val="22"/>
          <w:lang w:val="es-ES_tradnl" w:eastAsia="en-US"/>
        </w:rPr>
      </w:pPr>
    </w:p>
    <w:p w14:paraId="30F9341C" w14:textId="5A09035B" w:rsidR="00B7265E" w:rsidRPr="00544406" w:rsidRDefault="00B7265E" w:rsidP="00B7265E">
      <w:pPr>
        <w:spacing w:line="360" w:lineRule="auto"/>
        <w:jc w:val="center"/>
        <w:rPr>
          <w:rFonts w:ascii="Palatino Linotype" w:hAnsi="Palatino Linotype" w:cstheme="minorBidi"/>
          <w:b/>
          <w:bCs/>
          <w:spacing w:val="60"/>
          <w:sz w:val="28"/>
          <w:szCs w:val="22"/>
          <w:lang w:val="es-ES_tradnl" w:eastAsia="en-US"/>
        </w:rPr>
      </w:pPr>
      <w:r w:rsidRPr="00544406">
        <w:rPr>
          <w:rFonts w:ascii="Palatino Linotype" w:hAnsi="Palatino Linotype" w:cstheme="minorBidi"/>
          <w:b/>
          <w:bCs/>
          <w:spacing w:val="60"/>
          <w:sz w:val="28"/>
          <w:szCs w:val="22"/>
          <w:lang w:val="es-ES_tradnl" w:eastAsia="en-US"/>
        </w:rPr>
        <w:t>SE    RESUELVE</w:t>
      </w:r>
    </w:p>
    <w:p w14:paraId="6350DFF9" w14:textId="77777777" w:rsidR="00B7265E" w:rsidRPr="00544406" w:rsidRDefault="00B7265E" w:rsidP="00B7265E">
      <w:pPr>
        <w:pStyle w:val="Sinespaciado"/>
        <w:rPr>
          <w:lang w:eastAsia="en-US"/>
        </w:rPr>
      </w:pPr>
    </w:p>
    <w:p w14:paraId="30AD5070" w14:textId="7137F3DC" w:rsidR="00B7265E" w:rsidRPr="00544406" w:rsidRDefault="00B7265E" w:rsidP="00B7265E">
      <w:pPr>
        <w:spacing w:line="360" w:lineRule="auto"/>
        <w:jc w:val="both"/>
        <w:rPr>
          <w:rFonts w:ascii="Palatino Linotype" w:eastAsiaTheme="minorHAnsi" w:hAnsi="Palatino Linotype" w:cs="Arial"/>
          <w:lang w:val="es-ES_tradnl" w:eastAsia="en-US"/>
        </w:rPr>
      </w:pPr>
      <w:r w:rsidRPr="00544406">
        <w:rPr>
          <w:rFonts w:ascii="Palatino Linotype" w:hAnsi="Palatino Linotype" w:cstheme="minorBidi"/>
          <w:b/>
          <w:bCs/>
          <w:sz w:val="28"/>
          <w:szCs w:val="22"/>
          <w:lang w:val="es-MX" w:eastAsia="es-MX"/>
        </w:rPr>
        <w:t>PRIMERO</w:t>
      </w:r>
      <w:r w:rsidRPr="00544406">
        <w:rPr>
          <w:rFonts w:ascii="Palatino Linotype" w:hAnsi="Palatino Linotype" w:cstheme="minorBidi"/>
          <w:sz w:val="28"/>
          <w:szCs w:val="22"/>
          <w:lang w:val="es-MX" w:eastAsia="es-MX"/>
        </w:rPr>
        <w:t xml:space="preserve">. </w:t>
      </w:r>
      <w:r w:rsidRPr="00544406">
        <w:rPr>
          <w:rFonts w:ascii="Palatino Linotype" w:eastAsiaTheme="minorEastAsia" w:hAnsi="Palatino Linotype" w:cs="Arial"/>
          <w:lang w:val="es-ES_tradnl" w:eastAsia="en-US"/>
        </w:rPr>
        <w:t xml:space="preserve">Se </w:t>
      </w:r>
      <w:r w:rsidRPr="00544406">
        <w:rPr>
          <w:rFonts w:ascii="Palatino Linotype" w:eastAsiaTheme="minorEastAsia" w:hAnsi="Palatino Linotype" w:cs="Arial"/>
          <w:b/>
          <w:lang w:val="es-ES_tradnl" w:eastAsia="en-US"/>
        </w:rPr>
        <w:t>SOBRESEE</w:t>
      </w:r>
      <w:r w:rsidRPr="00544406">
        <w:rPr>
          <w:rFonts w:ascii="Palatino Linotype" w:eastAsiaTheme="minorEastAsia" w:hAnsi="Palatino Linotype" w:cs="Arial"/>
          <w:lang w:val="es-ES_tradnl" w:eastAsia="en-US"/>
        </w:rPr>
        <w:t xml:space="preserve"> el recurso de revisión </w:t>
      </w:r>
      <w:r w:rsidR="00802F09">
        <w:rPr>
          <w:rFonts w:ascii="Palatino Linotype" w:eastAsiaTheme="minorEastAsia" w:hAnsi="Palatino Linotype" w:cs="Arial"/>
          <w:b/>
          <w:lang w:val="es-ES_tradnl" w:eastAsia="en-US"/>
        </w:rPr>
        <w:t>02650</w:t>
      </w:r>
      <w:r w:rsidRPr="00544406">
        <w:rPr>
          <w:rFonts w:ascii="Palatino Linotype" w:eastAsiaTheme="minorEastAsia" w:hAnsi="Palatino Linotype" w:cs="Arial"/>
          <w:b/>
          <w:lang w:val="es-ES_tradnl" w:eastAsia="en-US"/>
        </w:rPr>
        <w:t>/INFOEM/IP/RR/202</w:t>
      </w:r>
      <w:r w:rsidR="00802F09">
        <w:rPr>
          <w:rFonts w:ascii="Palatino Linotype" w:eastAsiaTheme="minorEastAsia" w:hAnsi="Palatino Linotype" w:cs="Arial"/>
          <w:b/>
          <w:lang w:val="es-ES_tradnl" w:eastAsia="en-US"/>
        </w:rPr>
        <w:t>5</w:t>
      </w:r>
      <w:r w:rsidRPr="00544406">
        <w:rPr>
          <w:rFonts w:ascii="Palatino Linotype" w:eastAsiaTheme="minorEastAsia" w:hAnsi="Palatino Linotype" w:cs="Arial"/>
          <w:lang w:val="es-ES_tradnl" w:eastAsia="en-US"/>
        </w:rPr>
        <w:t xml:space="preserve">, por </w:t>
      </w:r>
      <w:r w:rsidRPr="00544406">
        <w:rPr>
          <w:rFonts w:ascii="Palatino Linotype" w:eastAsia="Palatino Linotype" w:hAnsi="Palatino Linotype" w:cs="Palatino Linotype"/>
          <w:color w:val="000000"/>
          <w:lang w:val="es-MX" w:eastAsia="en-US"/>
        </w:rPr>
        <w:t xml:space="preserve">improcedente al actualizarse lo dispuesto en el artículo </w:t>
      </w:r>
      <w:r w:rsidRPr="00544406">
        <w:rPr>
          <w:rFonts w:ascii="Palatino Linotype" w:eastAsia="Palatino Linotype" w:hAnsi="Palatino Linotype" w:cs="Palatino Linotype"/>
          <w:b/>
          <w:color w:val="000000"/>
          <w:lang w:val="es-MX" w:eastAsia="en-US"/>
        </w:rPr>
        <w:t>1</w:t>
      </w:r>
      <w:r w:rsidR="00FB16E9" w:rsidRPr="00544406">
        <w:rPr>
          <w:rFonts w:ascii="Palatino Linotype" w:eastAsia="Palatino Linotype" w:hAnsi="Palatino Linotype" w:cs="Palatino Linotype"/>
          <w:b/>
          <w:color w:val="000000"/>
          <w:lang w:val="es-MX" w:eastAsia="en-US"/>
        </w:rPr>
        <w:t>38 fracción II</w:t>
      </w:r>
      <w:r w:rsidRPr="00544406">
        <w:rPr>
          <w:rFonts w:ascii="Palatino Linotype" w:eastAsia="Palatino Linotype" w:hAnsi="Palatino Linotype" w:cs="Palatino Linotype"/>
          <w:color w:val="000000"/>
          <w:lang w:val="es-MX" w:eastAsia="en-US"/>
        </w:rPr>
        <w:t xml:space="preserve">, </w:t>
      </w:r>
      <w:r w:rsidR="00FB16E9" w:rsidRPr="00544406">
        <w:rPr>
          <w:rFonts w:ascii="Palatino Linotype" w:eastAsia="Palatino Linotype" w:hAnsi="Palatino Linotype" w:cs="Palatino Linotype"/>
          <w:color w:val="000000"/>
          <w:lang w:val="es-MX" w:eastAsia="en-US"/>
        </w:rPr>
        <w:t xml:space="preserve">y </w:t>
      </w:r>
      <w:r w:rsidRPr="00544406">
        <w:rPr>
          <w:rFonts w:ascii="Palatino Linotype" w:eastAsia="Palatino Linotype" w:hAnsi="Palatino Linotype" w:cs="Palatino Linotype"/>
          <w:b/>
          <w:color w:val="000000"/>
          <w:lang w:val="es-MX" w:eastAsia="en-US"/>
        </w:rPr>
        <w:t>1</w:t>
      </w:r>
      <w:r w:rsidR="00FB16E9" w:rsidRPr="00544406">
        <w:rPr>
          <w:rFonts w:ascii="Palatino Linotype" w:eastAsia="Palatino Linotype" w:hAnsi="Palatino Linotype" w:cs="Palatino Linotype"/>
          <w:b/>
          <w:color w:val="000000"/>
          <w:lang w:val="es-MX" w:eastAsia="en-US"/>
        </w:rPr>
        <w:t>3</w:t>
      </w:r>
      <w:r w:rsidRPr="00544406">
        <w:rPr>
          <w:rFonts w:ascii="Palatino Linotype" w:eastAsia="Palatino Linotype" w:hAnsi="Palatino Linotype" w:cs="Palatino Linotype"/>
          <w:b/>
          <w:color w:val="000000"/>
          <w:lang w:val="es-MX" w:eastAsia="en-US"/>
        </w:rPr>
        <w:t>9</w:t>
      </w:r>
      <w:r w:rsidR="006D051B" w:rsidRPr="00544406">
        <w:rPr>
          <w:rFonts w:ascii="Palatino Linotype" w:eastAsia="Palatino Linotype" w:hAnsi="Palatino Linotype" w:cs="Palatino Linotype"/>
          <w:color w:val="000000"/>
          <w:lang w:val="es-MX" w:eastAsia="en-US"/>
        </w:rPr>
        <w:t xml:space="preserve"> </w:t>
      </w:r>
      <w:r w:rsidR="006D051B" w:rsidRPr="00544406">
        <w:rPr>
          <w:rFonts w:ascii="Palatino Linotype" w:eastAsia="Palatino Linotype" w:hAnsi="Palatino Linotype" w:cs="Palatino Linotype"/>
          <w:b/>
          <w:color w:val="000000"/>
          <w:lang w:val="es-MX" w:eastAsia="en-US"/>
        </w:rPr>
        <w:t>fracción III</w:t>
      </w:r>
      <w:r w:rsidRPr="00544406">
        <w:rPr>
          <w:rFonts w:ascii="Palatino Linotype" w:eastAsia="Palatino Linotype" w:hAnsi="Palatino Linotype" w:cs="Palatino Linotype"/>
          <w:color w:val="000000"/>
          <w:lang w:val="es-MX" w:eastAsia="en-US"/>
        </w:rPr>
        <w:t xml:space="preserve"> de la </w:t>
      </w:r>
      <w:r w:rsidR="00FB16E9" w:rsidRPr="00544406">
        <w:rPr>
          <w:rFonts w:ascii="Palatino Linotype" w:eastAsia="Palatino Linotype" w:hAnsi="Palatino Linotype" w:cs="Palatino Linotype"/>
          <w:color w:val="000000"/>
          <w:lang w:val="es-MX" w:eastAsia="en-US"/>
        </w:rPr>
        <w:t>Ley de Protección de Datos Personales en Posesión de Sujetos Obligados del Estado de México</w:t>
      </w:r>
      <w:r w:rsidRPr="00544406">
        <w:rPr>
          <w:rFonts w:ascii="Palatino Linotype" w:eastAsia="Palatino Linotype" w:hAnsi="Palatino Linotype" w:cs="Palatino Linotype"/>
          <w:color w:val="000000"/>
          <w:lang w:val="es-MX" w:eastAsia="en-US"/>
        </w:rPr>
        <w:t xml:space="preserve">, </w:t>
      </w:r>
      <w:r w:rsidRPr="00544406">
        <w:rPr>
          <w:rFonts w:ascii="Palatino Linotype" w:eastAsiaTheme="minorHAnsi" w:hAnsi="Palatino Linotype" w:cs="Arial"/>
          <w:lang w:val="es-ES_tradnl" w:eastAsia="en-US"/>
        </w:rPr>
        <w:t xml:space="preserve">en términos del Considerando </w:t>
      </w:r>
      <w:r w:rsidR="00802F09">
        <w:rPr>
          <w:rFonts w:ascii="Palatino Linotype" w:eastAsiaTheme="minorHAnsi" w:hAnsi="Palatino Linotype" w:cs="Arial"/>
          <w:b/>
          <w:lang w:val="es-ES_tradnl" w:eastAsia="en-US"/>
        </w:rPr>
        <w:t>TERCERO</w:t>
      </w:r>
      <w:r w:rsidRPr="00544406">
        <w:rPr>
          <w:rFonts w:ascii="Palatino Linotype" w:eastAsiaTheme="minorHAnsi" w:hAnsi="Palatino Linotype" w:cs="Arial"/>
          <w:b/>
          <w:lang w:val="es-ES_tradnl" w:eastAsia="en-US"/>
        </w:rPr>
        <w:t xml:space="preserve"> </w:t>
      </w:r>
      <w:r w:rsidRPr="00544406">
        <w:rPr>
          <w:rFonts w:ascii="Palatino Linotype" w:eastAsiaTheme="minorHAnsi" w:hAnsi="Palatino Linotype" w:cs="Arial"/>
          <w:lang w:val="es-ES_tradnl" w:eastAsia="en-US"/>
        </w:rPr>
        <w:t>de la presente resolución.</w:t>
      </w:r>
    </w:p>
    <w:p w14:paraId="03F3B1A2" w14:textId="77777777" w:rsidR="00B7265E" w:rsidRPr="00544406" w:rsidRDefault="00B7265E" w:rsidP="00B7265E">
      <w:pPr>
        <w:spacing w:line="360" w:lineRule="auto"/>
        <w:jc w:val="both"/>
        <w:rPr>
          <w:rFonts w:ascii="Palatino Linotype" w:eastAsiaTheme="minorEastAsia" w:hAnsi="Palatino Linotype" w:cstheme="minorBidi"/>
          <w:lang w:val="es-ES_tradnl" w:eastAsia="en-US"/>
        </w:rPr>
      </w:pPr>
    </w:p>
    <w:p w14:paraId="36F23845" w14:textId="77777777" w:rsidR="00B7265E" w:rsidRPr="00544406" w:rsidRDefault="00B7265E" w:rsidP="00B7265E">
      <w:pPr>
        <w:spacing w:line="360" w:lineRule="auto"/>
        <w:jc w:val="both"/>
        <w:rPr>
          <w:rFonts w:ascii="Palatino Linotype" w:eastAsiaTheme="minorHAnsi" w:hAnsi="Palatino Linotype" w:cstheme="minorBidi"/>
          <w:lang w:val="es-MX" w:eastAsia="en-US"/>
        </w:rPr>
      </w:pPr>
      <w:r w:rsidRPr="00544406">
        <w:rPr>
          <w:rFonts w:ascii="Palatino Linotype" w:eastAsiaTheme="minorHAnsi" w:hAnsi="Palatino Linotype" w:cstheme="minorBidi"/>
          <w:b/>
          <w:sz w:val="28"/>
          <w:lang w:val="es-MX" w:eastAsia="en-US"/>
        </w:rPr>
        <w:lastRenderedPageBreak/>
        <w:t>SEGUNDO.</w:t>
      </w:r>
      <w:r w:rsidRPr="00544406">
        <w:rPr>
          <w:rFonts w:ascii="Palatino Linotype" w:eastAsiaTheme="minorHAnsi" w:hAnsi="Palatino Linotype" w:cs="Arial"/>
          <w:sz w:val="28"/>
          <w:lang w:val="es-MX" w:eastAsia="en-US"/>
        </w:rPr>
        <w:t xml:space="preserve"> </w:t>
      </w:r>
      <w:r w:rsidRPr="00544406">
        <w:rPr>
          <w:rFonts w:ascii="Palatino Linotype" w:eastAsiaTheme="minorHAnsi" w:hAnsi="Palatino Linotype" w:cstheme="minorBidi"/>
          <w:b/>
          <w:lang w:val="es-MX" w:eastAsia="en-US"/>
        </w:rPr>
        <w:t>NOTIFÍQUESE</w:t>
      </w:r>
      <w:r w:rsidRPr="00544406">
        <w:rPr>
          <w:rFonts w:ascii="Palatino Linotype" w:eastAsiaTheme="minorHAnsi" w:hAnsi="Palatino Linotype" w:cstheme="minorBidi"/>
          <w:lang w:val="es-MX" w:eastAsia="en-US"/>
        </w:rPr>
        <w:t xml:space="preserve"> vía Sistema de Acceso a la Información Mexiquense </w:t>
      </w:r>
      <w:r w:rsidRPr="00544406">
        <w:rPr>
          <w:rFonts w:ascii="Palatino Linotype" w:eastAsiaTheme="minorHAnsi" w:hAnsi="Palatino Linotype" w:cstheme="minorBidi"/>
          <w:b/>
          <w:lang w:val="es-MX" w:eastAsia="en-US"/>
        </w:rPr>
        <w:t>(SAIMEX)</w:t>
      </w:r>
      <w:r w:rsidRPr="00544406">
        <w:rPr>
          <w:rFonts w:ascii="Palatino Linotype" w:eastAsiaTheme="minorHAnsi" w:hAnsi="Palatino Linotype" w:cstheme="minorBidi"/>
          <w:lang w:val="es-MX" w:eastAsia="en-US"/>
        </w:rPr>
        <w:t xml:space="preserve">, la presente resolución al Titular de la Unidad de Transparencia del </w:t>
      </w:r>
      <w:r w:rsidRPr="00544406">
        <w:rPr>
          <w:rFonts w:ascii="Palatino Linotype" w:eastAsiaTheme="minorHAnsi" w:hAnsi="Palatino Linotype" w:cstheme="minorBidi"/>
          <w:b/>
          <w:lang w:val="es-MX" w:eastAsia="en-US"/>
        </w:rPr>
        <w:t>Sujeto Obligado</w:t>
      </w:r>
      <w:r w:rsidRPr="00544406">
        <w:rPr>
          <w:rFonts w:ascii="Palatino Linotype" w:eastAsiaTheme="minorHAnsi" w:hAnsi="Palatino Linotype" w:cstheme="minorBidi"/>
          <w:lang w:val="es-MX" w:eastAsia="en-US"/>
        </w:rPr>
        <w:t>.</w:t>
      </w:r>
    </w:p>
    <w:p w14:paraId="05656D30" w14:textId="77777777" w:rsidR="00FB16E9" w:rsidRPr="00544406" w:rsidRDefault="00FB16E9" w:rsidP="00B7265E">
      <w:pPr>
        <w:spacing w:line="360" w:lineRule="auto"/>
        <w:jc w:val="both"/>
        <w:rPr>
          <w:rFonts w:ascii="Palatino Linotype" w:eastAsiaTheme="minorHAnsi" w:hAnsi="Palatino Linotype" w:cs="Arial"/>
          <w:b/>
          <w:sz w:val="28"/>
          <w:lang w:val="es-MX" w:eastAsia="en-US"/>
        </w:rPr>
      </w:pPr>
    </w:p>
    <w:p w14:paraId="1F1A6DCE" w14:textId="2DB08629" w:rsidR="00B7265E" w:rsidRPr="00610919" w:rsidRDefault="00B7265E" w:rsidP="00B7265E">
      <w:pPr>
        <w:spacing w:line="360" w:lineRule="auto"/>
        <w:jc w:val="both"/>
        <w:rPr>
          <w:rFonts w:ascii="Palatino Linotype" w:eastAsiaTheme="minorHAnsi" w:hAnsi="Palatino Linotype" w:cstheme="minorBidi"/>
          <w:lang w:val="es-MX" w:eastAsia="en-US"/>
        </w:rPr>
      </w:pPr>
      <w:r w:rsidRPr="00544406">
        <w:rPr>
          <w:rFonts w:ascii="Palatino Linotype" w:eastAsiaTheme="minorHAnsi" w:hAnsi="Palatino Linotype" w:cs="Arial"/>
          <w:b/>
          <w:sz w:val="28"/>
          <w:lang w:val="es-MX" w:eastAsia="en-US"/>
        </w:rPr>
        <w:t>TERCERO.</w:t>
      </w:r>
      <w:r w:rsidRPr="00802F09">
        <w:rPr>
          <w:rFonts w:ascii="Palatino Linotype" w:eastAsiaTheme="minorHAnsi" w:hAnsi="Palatino Linotype" w:cs="Arial"/>
          <w:b/>
          <w:sz w:val="28"/>
          <w:lang w:val="es-MX" w:eastAsia="en-US"/>
        </w:rPr>
        <w:t xml:space="preserve"> </w:t>
      </w:r>
      <w:r w:rsidR="00802F09" w:rsidRPr="00802F09">
        <w:rPr>
          <w:rFonts w:ascii="Palatino Linotype" w:eastAsia="Palatino Linotype" w:hAnsi="Palatino Linotype" w:cs="Palatino Linotype"/>
          <w:b/>
        </w:rPr>
        <w:t>Notifíquese</w:t>
      </w:r>
      <w:r w:rsidR="00802F09" w:rsidRPr="00802F09">
        <w:rPr>
          <w:rFonts w:ascii="Palatino Linotype" w:eastAsia="Palatino Linotype" w:hAnsi="Palatino Linotype" w:cs="Palatino Linotype"/>
        </w:rPr>
        <w:t xml:space="preserve"> la presente resolución al Recurrente</w:t>
      </w:r>
      <w:r w:rsidR="00802F09" w:rsidRPr="00802F09">
        <w:rPr>
          <w:rFonts w:ascii="Palatino Linotype" w:hAnsi="Palatino Linotype"/>
        </w:rPr>
        <w:t xml:space="preserve"> </w:t>
      </w:r>
      <w:r w:rsidR="00802F09" w:rsidRPr="00802F09">
        <w:rPr>
          <w:rFonts w:ascii="Palatino Linotype" w:eastAsia="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 y 142 de la Ley de Protección de Datos Personales en Posesión de Sujetos Obligados del Estado de México y Municipios.</w:t>
      </w:r>
    </w:p>
    <w:p w14:paraId="53F3477C" w14:textId="77777777" w:rsidR="00951155" w:rsidRDefault="00951155" w:rsidP="001F276C">
      <w:pPr>
        <w:spacing w:line="360" w:lineRule="auto"/>
        <w:jc w:val="both"/>
        <w:rPr>
          <w:rFonts w:ascii="Palatino Linotype" w:eastAsiaTheme="minorHAnsi" w:hAnsi="Palatino Linotype" w:cs="Arial"/>
          <w:lang w:val="es-MX" w:eastAsia="en-US"/>
        </w:rPr>
      </w:pPr>
    </w:p>
    <w:p w14:paraId="23C342B2" w14:textId="77777777" w:rsidR="00844B6E" w:rsidRPr="009447E4" w:rsidRDefault="00844B6E" w:rsidP="00844B6E">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OCTAVA SESIÓN ORDINARIA CELEBRADA EL TRECE DE AGOSTO DE DOS MIL VEINTICINCO, </w:t>
      </w:r>
      <w:r w:rsidRPr="009447E4">
        <w:rPr>
          <w:rFonts w:ascii="Palatino Linotype" w:hAnsi="Palatino Linotype" w:cs="Arial"/>
          <w:lang w:val="es-MX"/>
        </w:rPr>
        <w:t xml:space="preserve">ANTE EL SECRETARIO </w:t>
      </w:r>
      <w:r w:rsidRPr="009447E4">
        <w:rPr>
          <w:rFonts w:ascii="Palatino Linotype" w:hAnsi="Palatino Linotype" w:cs="Arial"/>
          <w:sz w:val="23"/>
          <w:szCs w:val="23"/>
          <w:lang w:val="es-MX"/>
        </w:rPr>
        <w:t xml:space="preserve">TÉCNICO DEL PLENO, ALEXIS TAPIA RAMÍREZ. </w:t>
      </w:r>
    </w:p>
    <w:p w14:paraId="67E01BA7" w14:textId="401C585A" w:rsidR="008E7388" w:rsidRDefault="00844B6E" w:rsidP="001F276C">
      <w:pPr>
        <w:spacing w:line="360" w:lineRule="auto"/>
        <w:rPr>
          <w:sz w:val="22"/>
          <w:szCs w:val="22"/>
          <w:lang w:val="es-MX"/>
        </w:rPr>
      </w:pPr>
      <w:r w:rsidRPr="00844B6E">
        <w:rPr>
          <w:sz w:val="22"/>
          <w:szCs w:val="22"/>
          <w:lang w:val="es-MX"/>
        </w:rPr>
        <w:t>CCR/JCMA</w:t>
      </w:r>
    </w:p>
    <w:p w14:paraId="75A14949" w14:textId="16868C33" w:rsidR="008553EC" w:rsidRDefault="008553EC" w:rsidP="001F276C">
      <w:pPr>
        <w:spacing w:line="360" w:lineRule="auto"/>
        <w:rPr>
          <w:sz w:val="22"/>
          <w:szCs w:val="22"/>
          <w:lang w:val="es-MX"/>
        </w:rPr>
      </w:pPr>
    </w:p>
    <w:p w14:paraId="657AF1F5" w14:textId="77777777" w:rsidR="008553EC" w:rsidRDefault="008553EC" w:rsidP="001F276C">
      <w:pPr>
        <w:spacing w:line="360" w:lineRule="auto"/>
        <w:rPr>
          <w:sz w:val="22"/>
          <w:szCs w:val="22"/>
          <w:lang w:val="es-MX"/>
        </w:rPr>
      </w:pPr>
    </w:p>
    <w:p w14:paraId="183956B0" w14:textId="77777777" w:rsidR="008553EC" w:rsidRDefault="008553EC" w:rsidP="001F276C">
      <w:pPr>
        <w:spacing w:line="360" w:lineRule="auto"/>
        <w:rPr>
          <w:sz w:val="22"/>
          <w:szCs w:val="22"/>
          <w:lang w:val="es-MX"/>
        </w:rPr>
      </w:pPr>
    </w:p>
    <w:p w14:paraId="485584AC" w14:textId="77777777" w:rsidR="008553EC" w:rsidRDefault="008553EC" w:rsidP="001F276C">
      <w:pPr>
        <w:spacing w:line="360" w:lineRule="auto"/>
        <w:rPr>
          <w:sz w:val="22"/>
          <w:szCs w:val="22"/>
          <w:lang w:val="es-MX"/>
        </w:rPr>
      </w:pPr>
    </w:p>
    <w:p w14:paraId="1CD62D33" w14:textId="77777777" w:rsidR="008553EC" w:rsidRDefault="008553EC" w:rsidP="001F276C">
      <w:pPr>
        <w:spacing w:line="360" w:lineRule="auto"/>
        <w:rPr>
          <w:sz w:val="22"/>
          <w:szCs w:val="22"/>
          <w:lang w:val="es-MX"/>
        </w:rPr>
      </w:pPr>
    </w:p>
    <w:p w14:paraId="4D871DAA" w14:textId="77777777" w:rsidR="008553EC" w:rsidRDefault="008553EC" w:rsidP="001F276C">
      <w:pPr>
        <w:spacing w:line="360" w:lineRule="auto"/>
        <w:rPr>
          <w:sz w:val="22"/>
          <w:szCs w:val="22"/>
          <w:lang w:val="es-MX"/>
        </w:rPr>
      </w:pPr>
    </w:p>
    <w:p w14:paraId="6A1A542D" w14:textId="77777777" w:rsidR="008553EC" w:rsidRDefault="008553EC" w:rsidP="001F276C">
      <w:pPr>
        <w:spacing w:line="360" w:lineRule="auto"/>
        <w:rPr>
          <w:sz w:val="22"/>
          <w:szCs w:val="22"/>
          <w:lang w:val="es-MX"/>
        </w:rPr>
      </w:pPr>
    </w:p>
    <w:p w14:paraId="46BF7499" w14:textId="77777777" w:rsidR="008553EC" w:rsidRDefault="008553EC" w:rsidP="001F276C">
      <w:pPr>
        <w:spacing w:line="360" w:lineRule="auto"/>
        <w:rPr>
          <w:sz w:val="22"/>
          <w:szCs w:val="22"/>
          <w:lang w:val="es-MX"/>
        </w:rPr>
      </w:pPr>
    </w:p>
    <w:p w14:paraId="376B821B" w14:textId="77777777" w:rsidR="008553EC" w:rsidRDefault="008553EC" w:rsidP="001F276C">
      <w:pPr>
        <w:spacing w:line="360" w:lineRule="auto"/>
        <w:rPr>
          <w:sz w:val="22"/>
          <w:szCs w:val="22"/>
          <w:lang w:val="es-MX"/>
        </w:rPr>
      </w:pPr>
    </w:p>
    <w:p w14:paraId="5198E143" w14:textId="77777777" w:rsidR="008553EC" w:rsidRDefault="008553EC" w:rsidP="001F276C">
      <w:pPr>
        <w:spacing w:line="360" w:lineRule="auto"/>
        <w:rPr>
          <w:sz w:val="22"/>
          <w:szCs w:val="22"/>
          <w:lang w:val="es-MX"/>
        </w:rPr>
      </w:pPr>
    </w:p>
    <w:p w14:paraId="277EC695" w14:textId="77777777" w:rsidR="008553EC" w:rsidRDefault="008553EC" w:rsidP="001F276C">
      <w:pPr>
        <w:spacing w:line="360" w:lineRule="auto"/>
        <w:rPr>
          <w:sz w:val="22"/>
          <w:szCs w:val="22"/>
          <w:lang w:val="es-MX"/>
        </w:rPr>
      </w:pPr>
    </w:p>
    <w:p w14:paraId="00AA3573" w14:textId="77777777" w:rsidR="008553EC" w:rsidRDefault="008553EC" w:rsidP="001F276C">
      <w:pPr>
        <w:spacing w:line="360" w:lineRule="auto"/>
        <w:rPr>
          <w:sz w:val="22"/>
          <w:szCs w:val="22"/>
          <w:lang w:val="es-MX"/>
        </w:rPr>
      </w:pPr>
    </w:p>
    <w:p w14:paraId="1CF92489" w14:textId="77777777" w:rsidR="008553EC" w:rsidRDefault="008553EC" w:rsidP="001F276C">
      <w:pPr>
        <w:spacing w:line="360" w:lineRule="auto"/>
        <w:rPr>
          <w:sz w:val="22"/>
          <w:szCs w:val="22"/>
          <w:lang w:val="es-MX"/>
        </w:rPr>
      </w:pPr>
    </w:p>
    <w:p w14:paraId="7167F69E" w14:textId="77777777" w:rsidR="008553EC" w:rsidRDefault="008553EC" w:rsidP="001F276C">
      <w:pPr>
        <w:spacing w:line="360" w:lineRule="auto"/>
        <w:rPr>
          <w:sz w:val="22"/>
          <w:szCs w:val="22"/>
          <w:lang w:val="es-MX"/>
        </w:rPr>
      </w:pPr>
    </w:p>
    <w:p w14:paraId="3EDA2F5D" w14:textId="77777777" w:rsidR="008553EC" w:rsidRDefault="008553EC" w:rsidP="001F276C">
      <w:pPr>
        <w:spacing w:line="360" w:lineRule="auto"/>
        <w:rPr>
          <w:sz w:val="22"/>
          <w:szCs w:val="22"/>
          <w:lang w:val="es-MX"/>
        </w:rPr>
      </w:pPr>
    </w:p>
    <w:p w14:paraId="6B9564DB" w14:textId="77777777" w:rsidR="008553EC" w:rsidRDefault="008553EC" w:rsidP="001F276C">
      <w:pPr>
        <w:spacing w:line="360" w:lineRule="auto"/>
        <w:rPr>
          <w:sz w:val="22"/>
          <w:szCs w:val="22"/>
          <w:lang w:val="es-MX"/>
        </w:rPr>
      </w:pPr>
    </w:p>
    <w:p w14:paraId="2605E63F" w14:textId="77777777" w:rsidR="008553EC" w:rsidRDefault="008553EC" w:rsidP="001F276C">
      <w:pPr>
        <w:spacing w:line="360" w:lineRule="auto"/>
        <w:rPr>
          <w:sz w:val="22"/>
          <w:szCs w:val="22"/>
          <w:lang w:val="es-MX"/>
        </w:rPr>
      </w:pPr>
    </w:p>
    <w:p w14:paraId="10204F95" w14:textId="77777777" w:rsidR="008553EC" w:rsidRDefault="008553EC" w:rsidP="001F276C">
      <w:pPr>
        <w:spacing w:line="360" w:lineRule="auto"/>
        <w:rPr>
          <w:sz w:val="22"/>
          <w:szCs w:val="22"/>
          <w:lang w:val="es-MX"/>
        </w:rPr>
      </w:pPr>
    </w:p>
    <w:p w14:paraId="200B6D4D" w14:textId="77777777" w:rsidR="008553EC" w:rsidRDefault="008553EC" w:rsidP="001F276C">
      <w:pPr>
        <w:spacing w:line="360" w:lineRule="auto"/>
        <w:rPr>
          <w:sz w:val="22"/>
          <w:szCs w:val="22"/>
          <w:lang w:val="es-MX"/>
        </w:rPr>
      </w:pPr>
    </w:p>
    <w:p w14:paraId="782C62C8" w14:textId="77777777" w:rsidR="008553EC" w:rsidRDefault="008553EC" w:rsidP="001F276C">
      <w:pPr>
        <w:spacing w:line="360" w:lineRule="auto"/>
        <w:rPr>
          <w:sz w:val="22"/>
          <w:szCs w:val="22"/>
          <w:lang w:val="es-MX"/>
        </w:rPr>
      </w:pPr>
    </w:p>
    <w:p w14:paraId="169C2161" w14:textId="77777777" w:rsidR="008553EC" w:rsidRDefault="008553EC" w:rsidP="001F276C">
      <w:pPr>
        <w:spacing w:line="360" w:lineRule="auto"/>
        <w:rPr>
          <w:sz w:val="22"/>
          <w:szCs w:val="22"/>
          <w:lang w:val="es-MX"/>
        </w:rPr>
      </w:pPr>
    </w:p>
    <w:p w14:paraId="261B2E4C" w14:textId="77777777" w:rsidR="008553EC" w:rsidRDefault="008553EC" w:rsidP="001F276C">
      <w:pPr>
        <w:spacing w:line="360" w:lineRule="auto"/>
        <w:rPr>
          <w:sz w:val="22"/>
          <w:szCs w:val="22"/>
          <w:lang w:val="es-MX"/>
        </w:rPr>
      </w:pPr>
    </w:p>
    <w:p w14:paraId="56AF7DD5" w14:textId="77777777" w:rsidR="008553EC" w:rsidRDefault="008553EC" w:rsidP="001F276C">
      <w:pPr>
        <w:spacing w:line="360" w:lineRule="auto"/>
        <w:rPr>
          <w:sz w:val="22"/>
          <w:szCs w:val="22"/>
          <w:lang w:val="es-MX"/>
        </w:rPr>
      </w:pPr>
    </w:p>
    <w:p w14:paraId="03C553B5" w14:textId="77777777" w:rsidR="008553EC" w:rsidRDefault="008553EC" w:rsidP="001F276C">
      <w:pPr>
        <w:spacing w:line="360" w:lineRule="auto"/>
        <w:rPr>
          <w:sz w:val="22"/>
          <w:szCs w:val="22"/>
          <w:lang w:val="es-MX"/>
        </w:rPr>
      </w:pPr>
    </w:p>
    <w:p w14:paraId="71E3C8D0" w14:textId="77777777" w:rsidR="008553EC" w:rsidRDefault="008553EC" w:rsidP="001F276C">
      <w:pPr>
        <w:spacing w:line="360" w:lineRule="auto"/>
        <w:rPr>
          <w:sz w:val="22"/>
          <w:szCs w:val="22"/>
          <w:lang w:val="es-MX"/>
        </w:rPr>
      </w:pPr>
    </w:p>
    <w:p w14:paraId="53800155" w14:textId="77777777" w:rsidR="008553EC" w:rsidRPr="00844B6E" w:rsidRDefault="008553EC" w:rsidP="001F276C">
      <w:pPr>
        <w:spacing w:line="360" w:lineRule="auto"/>
        <w:rPr>
          <w:sz w:val="22"/>
          <w:szCs w:val="22"/>
          <w:lang w:val="es-MX"/>
        </w:rPr>
      </w:pPr>
    </w:p>
    <w:p w14:paraId="1B91BBCC" w14:textId="77777777" w:rsidR="008E7388" w:rsidRDefault="008E7388" w:rsidP="001F276C">
      <w:pPr>
        <w:spacing w:line="360" w:lineRule="auto"/>
      </w:pPr>
    </w:p>
    <w:p w14:paraId="40DE4AB0" w14:textId="77777777" w:rsidR="008E7388" w:rsidRDefault="008E7388" w:rsidP="001F276C">
      <w:pPr>
        <w:spacing w:line="360" w:lineRule="auto"/>
      </w:pPr>
    </w:p>
    <w:p w14:paraId="2AE42A04" w14:textId="77777777" w:rsidR="008E7388" w:rsidRDefault="008E7388" w:rsidP="001F276C">
      <w:pPr>
        <w:spacing w:line="360" w:lineRule="auto"/>
      </w:pPr>
    </w:p>
    <w:p w14:paraId="0E2C9A65" w14:textId="77777777" w:rsidR="008E7388" w:rsidRDefault="008E7388" w:rsidP="001F276C">
      <w:pPr>
        <w:spacing w:line="360" w:lineRule="auto"/>
      </w:pPr>
    </w:p>
    <w:p w14:paraId="602BDE58" w14:textId="77777777" w:rsidR="008E7388" w:rsidRDefault="008E7388" w:rsidP="001F276C">
      <w:pPr>
        <w:spacing w:line="360" w:lineRule="auto"/>
      </w:pPr>
    </w:p>
    <w:p w14:paraId="627241F3" w14:textId="77777777" w:rsidR="008E7388" w:rsidRDefault="008E7388" w:rsidP="001F276C">
      <w:pPr>
        <w:spacing w:line="360" w:lineRule="auto"/>
      </w:pPr>
    </w:p>
    <w:sectPr w:rsidR="008E7388" w:rsidSect="00F37B5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1AF6D" w14:textId="77777777" w:rsidR="00FE1511" w:rsidRDefault="00FE1511" w:rsidP="008E7388">
      <w:r>
        <w:separator/>
      </w:r>
    </w:p>
  </w:endnote>
  <w:endnote w:type="continuationSeparator" w:id="0">
    <w:p w14:paraId="0C28A49B" w14:textId="77777777" w:rsidR="00FE1511" w:rsidRDefault="00FE1511"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A85A7" w14:textId="77777777" w:rsidR="00F56989" w:rsidRPr="000D3AD4" w:rsidRDefault="00F56989"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464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464C">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F348" w14:textId="77777777" w:rsidR="00F56989" w:rsidRPr="000D3AD4" w:rsidRDefault="00F56989"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464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464C">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81AAC" w14:textId="77777777" w:rsidR="00FE1511" w:rsidRDefault="00FE1511" w:rsidP="008E7388">
      <w:r>
        <w:separator/>
      </w:r>
    </w:p>
  </w:footnote>
  <w:footnote w:type="continuationSeparator" w:id="0">
    <w:p w14:paraId="79D90D2C" w14:textId="77777777" w:rsidR="00FE1511" w:rsidRDefault="00FE1511" w:rsidP="008E7388">
      <w:r>
        <w:continuationSeparator/>
      </w:r>
    </w:p>
  </w:footnote>
  <w:footnote w:id="1">
    <w:p w14:paraId="4FCC9309" w14:textId="77777777" w:rsidR="00802F09" w:rsidRPr="0027331A" w:rsidRDefault="00802F09" w:rsidP="00802F09">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6B04" w14:textId="77777777" w:rsidR="00F56989" w:rsidRDefault="0001464C">
    <w:pPr>
      <w:pStyle w:val="Encabezado"/>
    </w:pPr>
    <w:r>
      <w:rPr>
        <w:noProof/>
        <w:lang w:val="es-MX" w:eastAsia="es-MX"/>
      </w:rPr>
      <w:pict w14:anchorId="3E3BE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989" w:rsidRPr="008F2CCC" w14:paraId="63240A91" w14:textId="77777777" w:rsidTr="00F37B58">
      <w:tc>
        <w:tcPr>
          <w:tcW w:w="2551" w:type="dxa"/>
          <w:vAlign w:val="center"/>
        </w:tcPr>
        <w:p w14:paraId="6B5D1910"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D975EFD" w14:textId="06475D49" w:rsidR="00F56989" w:rsidRPr="0029071C" w:rsidRDefault="00590D3B"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D2A2B">
            <w:rPr>
              <w:rFonts w:ascii="Palatino Linotype" w:hAnsi="Palatino Linotype"/>
              <w:sz w:val="22"/>
              <w:szCs w:val="22"/>
              <w:lang w:val="es-ES_tradnl"/>
            </w:rPr>
            <w:t>2650</w:t>
          </w:r>
          <w:r w:rsidR="00F56989" w:rsidRPr="0029071C">
            <w:rPr>
              <w:rFonts w:ascii="Palatino Linotype" w:hAnsi="Palatino Linotype"/>
              <w:sz w:val="22"/>
              <w:szCs w:val="22"/>
              <w:lang w:val="es-ES_tradnl"/>
            </w:rPr>
            <w:t>/INFOEM/IP/RR/202</w:t>
          </w:r>
          <w:r w:rsidR="005D2A2B">
            <w:rPr>
              <w:rFonts w:ascii="Palatino Linotype" w:hAnsi="Palatino Linotype"/>
              <w:sz w:val="22"/>
              <w:szCs w:val="22"/>
              <w:lang w:val="es-ES_tradnl"/>
            </w:rPr>
            <w:t>5</w:t>
          </w:r>
        </w:p>
      </w:tc>
    </w:tr>
    <w:tr w:rsidR="00F56989" w:rsidRPr="008F2CCC" w14:paraId="10966F0E" w14:textId="77777777" w:rsidTr="00F37B58">
      <w:trPr>
        <w:trHeight w:val="228"/>
      </w:trPr>
      <w:tc>
        <w:tcPr>
          <w:tcW w:w="2551" w:type="dxa"/>
          <w:vAlign w:val="center"/>
        </w:tcPr>
        <w:p w14:paraId="78B643D9"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355E09C" w14:textId="70050D24" w:rsidR="00F56989" w:rsidRPr="0029071C" w:rsidRDefault="005D2A2B" w:rsidP="00F37B58">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F56989" w:rsidRPr="008F2CCC" w14:paraId="56E7E2A1" w14:textId="77777777" w:rsidTr="00F37B58">
      <w:tc>
        <w:tcPr>
          <w:tcW w:w="2551" w:type="dxa"/>
          <w:vAlign w:val="center"/>
        </w:tcPr>
        <w:p w14:paraId="762F3045"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0B5BAC26" w14:textId="77777777" w:rsidR="00F56989" w:rsidRPr="0029071C" w:rsidRDefault="00F56989"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8EE1681" w14:textId="77777777" w:rsidR="00F56989" w:rsidRPr="001779E0" w:rsidRDefault="0001464C" w:rsidP="00F37B5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BA46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20.2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989" w:rsidRPr="008F2CCC" w14:paraId="413725FB" w14:textId="77777777" w:rsidTr="00F37B58">
      <w:tc>
        <w:tcPr>
          <w:tcW w:w="2551" w:type="dxa"/>
          <w:vAlign w:val="center"/>
        </w:tcPr>
        <w:p w14:paraId="19992498"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31D9703" w14:textId="2B656FB8" w:rsidR="00F56989" w:rsidRPr="0029071C" w:rsidRDefault="00590D3B"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D2A2B">
            <w:rPr>
              <w:rFonts w:ascii="Palatino Linotype" w:hAnsi="Palatino Linotype"/>
              <w:sz w:val="22"/>
              <w:szCs w:val="22"/>
              <w:lang w:val="es-ES_tradnl"/>
            </w:rPr>
            <w:t>2650</w:t>
          </w:r>
          <w:r w:rsidR="00F56989" w:rsidRPr="0029071C">
            <w:rPr>
              <w:rFonts w:ascii="Palatino Linotype" w:hAnsi="Palatino Linotype"/>
              <w:sz w:val="22"/>
              <w:szCs w:val="22"/>
              <w:lang w:val="es-ES_tradnl"/>
            </w:rPr>
            <w:t>/INFOEM/IP/RR/202</w:t>
          </w:r>
          <w:r w:rsidR="005D2A2B">
            <w:rPr>
              <w:rFonts w:ascii="Palatino Linotype" w:hAnsi="Palatino Linotype"/>
              <w:sz w:val="22"/>
              <w:szCs w:val="22"/>
              <w:lang w:val="es-ES_tradnl"/>
            </w:rPr>
            <w:t>5</w:t>
          </w:r>
        </w:p>
      </w:tc>
    </w:tr>
    <w:tr w:rsidR="00F56989" w:rsidRPr="008F2CCC" w14:paraId="6EDCCE0D" w14:textId="77777777" w:rsidTr="00F37B58">
      <w:tc>
        <w:tcPr>
          <w:tcW w:w="2551" w:type="dxa"/>
          <w:vAlign w:val="center"/>
        </w:tcPr>
        <w:p w14:paraId="7BB8EA7E"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0008DB97" w14:textId="5112CE55" w:rsidR="00F56989" w:rsidRPr="006D30E6" w:rsidRDefault="0001464C" w:rsidP="00F37B5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56989" w:rsidRPr="008F2CCC" w14:paraId="468F02E1" w14:textId="77777777" w:rsidTr="00F37B58">
      <w:trPr>
        <w:trHeight w:val="228"/>
      </w:trPr>
      <w:tc>
        <w:tcPr>
          <w:tcW w:w="2551" w:type="dxa"/>
          <w:vAlign w:val="center"/>
        </w:tcPr>
        <w:p w14:paraId="27D9AA48"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4666073" w14:textId="6F39FFE7" w:rsidR="00F56989" w:rsidRPr="0029071C" w:rsidRDefault="005D2A2B" w:rsidP="00F37B58">
          <w:pPr>
            <w:spacing w:line="276" w:lineRule="auto"/>
            <w:jc w:val="right"/>
            <w:rPr>
              <w:rFonts w:ascii="Palatino Linotype" w:hAnsi="Palatino Linotype"/>
              <w:sz w:val="22"/>
              <w:szCs w:val="22"/>
            </w:rPr>
          </w:pPr>
          <w:r>
            <w:rPr>
              <w:rFonts w:ascii="Palatino Linotype" w:hAnsi="Palatino Linotype"/>
              <w:sz w:val="22"/>
              <w:szCs w:val="22"/>
            </w:rPr>
            <w:t>Ayuntamiento de Toluca</w:t>
          </w:r>
          <w:r w:rsidR="00C052BE">
            <w:rPr>
              <w:rFonts w:ascii="Palatino Linotype" w:hAnsi="Palatino Linotype"/>
              <w:sz w:val="22"/>
              <w:szCs w:val="22"/>
            </w:rPr>
            <w:t xml:space="preserve"> </w:t>
          </w:r>
        </w:p>
      </w:tc>
    </w:tr>
    <w:tr w:rsidR="00F56989" w:rsidRPr="008F2CCC" w14:paraId="07D8EBBB" w14:textId="77777777" w:rsidTr="00F37B58">
      <w:tc>
        <w:tcPr>
          <w:tcW w:w="2551" w:type="dxa"/>
          <w:vAlign w:val="center"/>
        </w:tcPr>
        <w:p w14:paraId="776E492D"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CFA4293" w14:textId="77777777" w:rsidR="00F56989" w:rsidRPr="0029071C" w:rsidRDefault="00F56989"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989" w:rsidRPr="008F2CCC" w14:paraId="5A60E06B" w14:textId="77777777" w:rsidTr="00F37B58">
      <w:tc>
        <w:tcPr>
          <w:tcW w:w="2551" w:type="dxa"/>
          <w:vAlign w:val="center"/>
        </w:tcPr>
        <w:p w14:paraId="27D80EBF" w14:textId="77777777" w:rsidR="00F56989" w:rsidRPr="008F5DAE" w:rsidRDefault="00F56989" w:rsidP="00F37B58">
          <w:pPr>
            <w:spacing w:line="276" w:lineRule="auto"/>
            <w:jc w:val="right"/>
            <w:rPr>
              <w:rFonts w:ascii="Palatino Linotype" w:hAnsi="Palatino Linotype"/>
              <w:b/>
              <w:sz w:val="22"/>
              <w:szCs w:val="22"/>
              <w:lang w:val="es-ES_tradnl"/>
            </w:rPr>
          </w:pPr>
        </w:p>
      </w:tc>
      <w:tc>
        <w:tcPr>
          <w:tcW w:w="4116" w:type="dxa"/>
          <w:vAlign w:val="center"/>
        </w:tcPr>
        <w:p w14:paraId="26BA7680" w14:textId="77777777" w:rsidR="00F56989" w:rsidRPr="00BA27FC" w:rsidRDefault="00F56989" w:rsidP="00F37B58">
          <w:pPr>
            <w:spacing w:line="276" w:lineRule="auto"/>
            <w:rPr>
              <w:rFonts w:ascii="Palatino Linotype" w:hAnsi="Palatino Linotype"/>
              <w:sz w:val="14"/>
              <w:szCs w:val="22"/>
              <w:lang w:val="es-ES_tradnl"/>
            </w:rPr>
          </w:pPr>
        </w:p>
      </w:tc>
    </w:tr>
  </w:tbl>
  <w:p w14:paraId="518E537E" w14:textId="77777777" w:rsidR="00F56989" w:rsidRPr="009F1AB6" w:rsidRDefault="0001464C">
    <w:pPr>
      <w:pStyle w:val="Encabezado"/>
      <w:rPr>
        <w:sz w:val="10"/>
      </w:rPr>
    </w:pPr>
    <w:r>
      <w:rPr>
        <w:noProof/>
        <w:sz w:val="10"/>
        <w:lang w:val="es-MX" w:eastAsia="es-MX"/>
      </w:rPr>
      <w:pict w14:anchorId="0E2F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26.5pt;width:628.7pt;height:818.9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4DE"/>
    <w:multiLevelType w:val="hybridMultilevel"/>
    <w:tmpl w:val="D30E5F9E"/>
    <w:lvl w:ilvl="0" w:tplc="87AA12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81320"/>
    <w:multiLevelType w:val="hybridMultilevel"/>
    <w:tmpl w:val="EC482824"/>
    <w:lvl w:ilvl="0" w:tplc="304C5A2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FE6CB8"/>
    <w:multiLevelType w:val="hybridMultilevel"/>
    <w:tmpl w:val="743ED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03E5B"/>
    <w:multiLevelType w:val="hybridMultilevel"/>
    <w:tmpl w:val="FEDCE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A6106A"/>
    <w:multiLevelType w:val="hybridMultilevel"/>
    <w:tmpl w:val="72489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76A66"/>
    <w:multiLevelType w:val="hybridMultilevel"/>
    <w:tmpl w:val="D2128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F70E26"/>
    <w:multiLevelType w:val="hybridMultilevel"/>
    <w:tmpl w:val="E71810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4211E2"/>
    <w:multiLevelType w:val="hybridMultilevel"/>
    <w:tmpl w:val="90883C80"/>
    <w:lvl w:ilvl="0" w:tplc="80F246A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B14B35"/>
    <w:multiLevelType w:val="hybridMultilevel"/>
    <w:tmpl w:val="9FD8C7C6"/>
    <w:lvl w:ilvl="0" w:tplc="D0528C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B753FA"/>
    <w:multiLevelType w:val="hybridMultilevel"/>
    <w:tmpl w:val="2FA4FC7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E8028C"/>
    <w:multiLevelType w:val="hybridMultilevel"/>
    <w:tmpl w:val="7BAE334C"/>
    <w:lvl w:ilvl="0" w:tplc="EF54031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421F6F0A"/>
    <w:multiLevelType w:val="hybridMultilevel"/>
    <w:tmpl w:val="60E6D052"/>
    <w:lvl w:ilvl="0" w:tplc="AEEE4BEE">
      <w:start w:val="1"/>
      <w:numFmt w:val="bullet"/>
      <w:lvlText w:val=""/>
      <w:lvlJc w:val="left"/>
      <w:pPr>
        <w:ind w:left="720" w:hanging="360"/>
      </w:pPr>
      <w:rPr>
        <w:rFonts w:ascii="Symbol" w:eastAsiaTheme="minorHAnsi" w:hAnsi="Symbol" w:cs="TimesNewRomanPS-ItalicMT"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5533EC"/>
    <w:multiLevelType w:val="hybridMultilevel"/>
    <w:tmpl w:val="3E48A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3"/>
  </w:num>
  <w:num w:numId="4">
    <w:abstractNumId w:val="14"/>
  </w:num>
  <w:num w:numId="5">
    <w:abstractNumId w:val="13"/>
  </w:num>
  <w:num w:numId="6">
    <w:abstractNumId w:val="7"/>
  </w:num>
  <w:num w:numId="7">
    <w:abstractNumId w:val="10"/>
  </w:num>
  <w:num w:numId="8">
    <w:abstractNumId w:val="11"/>
  </w:num>
  <w:num w:numId="9">
    <w:abstractNumId w:val="9"/>
  </w:num>
  <w:num w:numId="10">
    <w:abstractNumId w:val="1"/>
  </w:num>
  <w:num w:numId="11">
    <w:abstractNumId w:val="0"/>
  </w:num>
  <w:num w:numId="12">
    <w:abstractNumId w:val="12"/>
  </w:num>
  <w:num w:numId="13">
    <w:abstractNumId w:val="4"/>
  </w:num>
  <w:num w:numId="14">
    <w:abstractNumId w:val="6"/>
  </w:num>
  <w:num w:numId="15">
    <w:abstractNumId w:val="5"/>
  </w:num>
  <w:num w:numId="16">
    <w:abstractNumId w:val="1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88"/>
    <w:rsid w:val="00003A11"/>
    <w:rsid w:val="0001464C"/>
    <w:rsid w:val="00015197"/>
    <w:rsid w:val="00017A9B"/>
    <w:rsid w:val="00035D86"/>
    <w:rsid w:val="0006128F"/>
    <w:rsid w:val="00073504"/>
    <w:rsid w:val="00074B2C"/>
    <w:rsid w:val="00093F70"/>
    <w:rsid w:val="000C66C4"/>
    <w:rsid w:val="00101CC3"/>
    <w:rsid w:val="00104874"/>
    <w:rsid w:val="00106F90"/>
    <w:rsid w:val="00184778"/>
    <w:rsid w:val="0019329B"/>
    <w:rsid w:val="001A1DC3"/>
    <w:rsid w:val="001D05D4"/>
    <w:rsid w:val="001F276C"/>
    <w:rsid w:val="00206837"/>
    <w:rsid w:val="00215AB7"/>
    <w:rsid w:val="00225E5A"/>
    <w:rsid w:val="002450C6"/>
    <w:rsid w:val="002F4B6B"/>
    <w:rsid w:val="003123FB"/>
    <w:rsid w:val="00313AEF"/>
    <w:rsid w:val="003310F0"/>
    <w:rsid w:val="003371E3"/>
    <w:rsid w:val="00382FD3"/>
    <w:rsid w:val="003E6A87"/>
    <w:rsid w:val="00403525"/>
    <w:rsid w:val="004062B7"/>
    <w:rsid w:val="004079A5"/>
    <w:rsid w:val="004343E7"/>
    <w:rsid w:val="00486912"/>
    <w:rsid w:val="004B4150"/>
    <w:rsid w:val="004C0485"/>
    <w:rsid w:val="00544406"/>
    <w:rsid w:val="00562E3F"/>
    <w:rsid w:val="0056421A"/>
    <w:rsid w:val="00590D3B"/>
    <w:rsid w:val="005A7715"/>
    <w:rsid w:val="005D2A2B"/>
    <w:rsid w:val="00677954"/>
    <w:rsid w:val="0068568B"/>
    <w:rsid w:val="006A14FE"/>
    <w:rsid w:val="006C1161"/>
    <w:rsid w:val="006D051B"/>
    <w:rsid w:val="00723261"/>
    <w:rsid w:val="007244A5"/>
    <w:rsid w:val="00745C05"/>
    <w:rsid w:val="00787BCF"/>
    <w:rsid w:val="00794D8F"/>
    <w:rsid w:val="007A48D3"/>
    <w:rsid w:val="007F0F92"/>
    <w:rsid w:val="007F5F60"/>
    <w:rsid w:val="00802F09"/>
    <w:rsid w:val="008129F0"/>
    <w:rsid w:val="00814ECE"/>
    <w:rsid w:val="00815B00"/>
    <w:rsid w:val="008324E8"/>
    <w:rsid w:val="00844B6E"/>
    <w:rsid w:val="008454BF"/>
    <w:rsid w:val="008553EC"/>
    <w:rsid w:val="0089079B"/>
    <w:rsid w:val="008952F6"/>
    <w:rsid w:val="0089718F"/>
    <w:rsid w:val="008E0856"/>
    <w:rsid w:val="008E7388"/>
    <w:rsid w:val="009044FE"/>
    <w:rsid w:val="00910A91"/>
    <w:rsid w:val="00931D7F"/>
    <w:rsid w:val="0094444D"/>
    <w:rsid w:val="00951155"/>
    <w:rsid w:val="00957390"/>
    <w:rsid w:val="0096411E"/>
    <w:rsid w:val="009856B5"/>
    <w:rsid w:val="009A15C7"/>
    <w:rsid w:val="009C237A"/>
    <w:rsid w:val="00A50214"/>
    <w:rsid w:val="00AC6552"/>
    <w:rsid w:val="00AD2295"/>
    <w:rsid w:val="00B20383"/>
    <w:rsid w:val="00B22B7F"/>
    <w:rsid w:val="00B278D9"/>
    <w:rsid w:val="00B303F3"/>
    <w:rsid w:val="00B63B16"/>
    <w:rsid w:val="00B7265E"/>
    <w:rsid w:val="00B84038"/>
    <w:rsid w:val="00BD7D2E"/>
    <w:rsid w:val="00C00AF6"/>
    <w:rsid w:val="00C052BE"/>
    <w:rsid w:val="00C23155"/>
    <w:rsid w:val="00C878F1"/>
    <w:rsid w:val="00C94128"/>
    <w:rsid w:val="00CD210C"/>
    <w:rsid w:val="00CE1214"/>
    <w:rsid w:val="00D24017"/>
    <w:rsid w:val="00D26833"/>
    <w:rsid w:val="00D415CA"/>
    <w:rsid w:val="00D97A43"/>
    <w:rsid w:val="00DB1739"/>
    <w:rsid w:val="00DB28E9"/>
    <w:rsid w:val="00DF67E7"/>
    <w:rsid w:val="00E22A21"/>
    <w:rsid w:val="00E3711C"/>
    <w:rsid w:val="00E61131"/>
    <w:rsid w:val="00E711C0"/>
    <w:rsid w:val="00E86C79"/>
    <w:rsid w:val="00ED682F"/>
    <w:rsid w:val="00EE1527"/>
    <w:rsid w:val="00EF0551"/>
    <w:rsid w:val="00F01F8F"/>
    <w:rsid w:val="00F37B58"/>
    <w:rsid w:val="00F4665A"/>
    <w:rsid w:val="00F52178"/>
    <w:rsid w:val="00F56989"/>
    <w:rsid w:val="00FB16E9"/>
    <w:rsid w:val="00FD2916"/>
    <w:rsid w:val="00FD5845"/>
    <w:rsid w:val="00FE1511"/>
    <w:rsid w:val="00FF7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76F33"/>
  <w15:chartTrackingRefBased/>
  <w15:docId w15:val="{084AB147-4132-4B1D-9B96-0440DCB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7388"/>
    <w:rPr>
      <w:rFonts w:eastAsiaTheme="minorEastAsia"/>
      <w:sz w:val="24"/>
      <w:szCs w:val="24"/>
      <w:lang w:val="es-ES_tradnl" w:eastAsia="es-ES"/>
    </w:rPr>
  </w:style>
  <w:style w:type="paragraph" w:styleId="Piedepgina">
    <w:name w:val="footer"/>
    <w:basedOn w:val="Normal"/>
    <w:link w:val="Piedepgina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738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738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738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E7388"/>
    <w:rPr>
      <w:color w:val="0563C1" w:themeColor="hyperlink"/>
      <w:u w:val="single"/>
    </w:rPr>
  </w:style>
  <w:style w:type="paragraph" w:styleId="Sinespaciado">
    <w:name w:val="No Spacing"/>
    <w:aliases w:val="Francesa,INAI"/>
    <w:link w:val="SinespaciadoCar"/>
    <w:uiPriority w:val="1"/>
    <w:qFormat/>
    <w:rsid w:val="008E738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7388"/>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E7388"/>
    <w:rPr>
      <w:vertAlign w:val="superscript"/>
    </w:rPr>
  </w:style>
  <w:style w:type="character" w:customStyle="1" w:styleId="apple-converted-space">
    <w:name w:val="apple-converted-space"/>
    <w:basedOn w:val="Fuentedeprrafopredeter"/>
    <w:rsid w:val="008E7388"/>
  </w:style>
  <w:style w:type="paragraph" w:customStyle="1" w:styleId="Citas">
    <w:name w:val="Citas"/>
    <w:basedOn w:val="Normal"/>
    <w:qFormat/>
    <w:rsid w:val="008E738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qFormat/>
    <w:rsid w:val="008E7388"/>
    <w:pPr>
      <w:widowControl w:val="0"/>
      <w:ind w:left="109"/>
    </w:pPr>
    <w:rPr>
      <w:rFonts w:ascii="Palatino Linotype" w:eastAsia="Palatino Linotype" w:hAnsi="Palatino Linotype" w:cstheme="minorBidi"/>
      <w:sz w:val="23"/>
      <w:szCs w:val="23"/>
      <w:lang w:val="es-MX" w:eastAsia="en-US"/>
    </w:rPr>
  </w:style>
  <w:style w:type="character" w:customStyle="1" w:styleId="TextoindependienteCar">
    <w:name w:val="Texto independiente Car"/>
    <w:basedOn w:val="Fuentedeprrafopredeter"/>
    <w:link w:val="Textoindependiente"/>
    <w:uiPriority w:val="1"/>
    <w:rsid w:val="008E7388"/>
    <w:rPr>
      <w:rFonts w:ascii="Palatino Linotype" w:eastAsia="Palatino Linotype" w:hAnsi="Palatino Linotype"/>
      <w:sz w:val="23"/>
      <w:szCs w:val="23"/>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D682F"/>
    <w:rPr>
      <w:sz w:val="20"/>
      <w:szCs w:val="20"/>
    </w:rPr>
  </w:style>
  <w:style w:type="paragraph" w:customStyle="1" w:styleId="INFOEM">
    <w:name w:val="INFOEM"/>
    <w:basedOn w:val="Normal"/>
    <w:qFormat/>
    <w:rsid w:val="008324E8"/>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9525">
      <w:bodyDiv w:val="1"/>
      <w:marLeft w:val="0"/>
      <w:marRight w:val="0"/>
      <w:marTop w:val="0"/>
      <w:marBottom w:val="0"/>
      <w:divBdr>
        <w:top w:val="none" w:sz="0" w:space="0" w:color="auto"/>
        <w:left w:val="none" w:sz="0" w:space="0" w:color="auto"/>
        <w:bottom w:val="none" w:sz="0" w:space="0" w:color="auto"/>
        <w:right w:val="none" w:sz="0" w:space="0" w:color="auto"/>
      </w:divBdr>
    </w:div>
    <w:div w:id="743573303">
      <w:bodyDiv w:val="1"/>
      <w:marLeft w:val="0"/>
      <w:marRight w:val="0"/>
      <w:marTop w:val="0"/>
      <w:marBottom w:val="0"/>
      <w:divBdr>
        <w:top w:val="none" w:sz="0" w:space="0" w:color="auto"/>
        <w:left w:val="none" w:sz="0" w:space="0" w:color="auto"/>
        <w:bottom w:val="none" w:sz="0" w:space="0" w:color="auto"/>
        <w:right w:val="none" w:sz="0" w:space="0" w:color="auto"/>
      </w:divBdr>
    </w:div>
    <w:div w:id="1522085308">
      <w:bodyDiv w:val="1"/>
      <w:marLeft w:val="0"/>
      <w:marRight w:val="0"/>
      <w:marTop w:val="0"/>
      <w:marBottom w:val="0"/>
      <w:divBdr>
        <w:top w:val="none" w:sz="0" w:space="0" w:color="auto"/>
        <w:left w:val="none" w:sz="0" w:space="0" w:color="auto"/>
        <w:bottom w:val="none" w:sz="0" w:space="0" w:color="auto"/>
        <w:right w:val="none" w:sz="0" w:space="0" w:color="auto"/>
      </w:divBdr>
    </w:div>
    <w:div w:id="16658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guia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rcoem.org.mx/sarcoem/ciudadano/login.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4520</Words>
  <Characters>24861</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INFOEM557</cp:lastModifiedBy>
  <cp:revision>11</cp:revision>
  <cp:lastPrinted>2025-08-15T18:03:00Z</cp:lastPrinted>
  <dcterms:created xsi:type="dcterms:W3CDTF">2025-08-05T19:41:00Z</dcterms:created>
  <dcterms:modified xsi:type="dcterms:W3CDTF">2025-09-02T16:26:00Z</dcterms:modified>
</cp:coreProperties>
</file>