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1C" w:rsidRPr="0024200F" w:rsidRDefault="00C0731C" w:rsidP="00C0731C">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FE7458">
        <w:rPr>
          <w:rFonts w:ascii="Palatino Linotype" w:hAnsi="Palatino Linotype"/>
        </w:rPr>
        <w:t>doce</w:t>
      </w:r>
      <w:r>
        <w:rPr>
          <w:rFonts w:ascii="Palatino Linotype" w:hAnsi="Palatino Linotype"/>
        </w:rPr>
        <w:t xml:space="preserve"> de febrero de dos mil veinticinco.</w:t>
      </w:r>
    </w:p>
    <w:p w:rsidR="00C0731C" w:rsidRPr="0024200F" w:rsidRDefault="00C0731C" w:rsidP="00C0731C">
      <w:pPr>
        <w:spacing w:line="360" w:lineRule="auto"/>
        <w:jc w:val="both"/>
        <w:rPr>
          <w:rFonts w:ascii="Palatino Linotype" w:hAnsi="Palatino Linotype"/>
        </w:rPr>
      </w:pPr>
    </w:p>
    <w:p w:rsidR="00C0731C" w:rsidRPr="002C3EC8" w:rsidRDefault="00C0731C" w:rsidP="00C0731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Pr>
          <w:rFonts w:ascii="Palatino Linotype" w:hAnsi="Palatino Linotype" w:cs="Arial"/>
          <w:b/>
          <w:bCs/>
          <w:lang w:eastAsia="es-MX"/>
        </w:rPr>
        <w:t>0</w:t>
      </w:r>
      <w:r w:rsidR="002925A2">
        <w:rPr>
          <w:rFonts w:ascii="Palatino Linotype" w:hAnsi="Palatino Linotype" w:cs="Arial"/>
          <w:b/>
          <w:bCs/>
          <w:lang w:eastAsia="es-MX"/>
        </w:rPr>
        <w:t>0</w:t>
      </w:r>
      <w:r>
        <w:rPr>
          <w:rFonts w:ascii="Palatino Linotype" w:hAnsi="Palatino Linotype" w:cs="Arial"/>
          <w:b/>
          <w:bCs/>
          <w:lang w:eastAsia="es-MX"/>
        </w:rPr>
        <w:t>120/INFOEM/IP/RR/2025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C0731C">
        <w:rPr>
          <w:rFonts w:ascii="Palatino Linotype" w:hAnsi="Palatino Linotype"/>
          <w:b/>
        </w:rPr>
        <w:t>Ayuntamiento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C0731C" w:rsidRDefault="00C0731C" w:rsidP="00C0731C">
      <w:pPr>
        <w:pStyle w:val="infoemcitas"/>
        <w:jc w:val="center"/>
        <w:rPr>
          <w:b/>
          <w:bCs/>
          <w:i w:val="0"/>
          <w:iCs/>
          <w:sz w:val="28"/>
          <w:szCs w:val="28"/>
        </w:rPr>
      </w:pPr>
    </w:p>
    <w:p w:rsidR="00C0731C" w:rsidRDefault="00C0731C" w:rsidP="00C0731C">
      <w:pPr>
        <w:pStyle w:val="infoemcitas"/>
        <w:jc w:val="center"/>
        <w:rPr>
          <w:b/>
          <w:bCs/>
          <w:i w:val="0"/>
          <w:iCs/>
          <w:sz w:val="28"/>
          <w:szCs w:val="28"/>
        </w:rPr>
      </w:pPr>
      <w:r w:rsidRPr="002C3EC8">
        <w:rPr>
          <w:b/>
          <w:bCs/>
          <w:i w:val="0"/>
          <w:iCs/>
          <w:sz w:val="28"/>
          <w:szCs w:val="28"/>
        </w:rPr>
        <w:t>A N T E C E D E N T E S   D E L   A S U N T O</w:t>
      </w:r>
    </w:p>
    <w:p w:rsidR="00C0731C" w:rsidRPr="002C3EC8" w:rsidRDefault="00C0731C" w:rsidP="00C0731C">
      <w:pPr>
        <w:pStyle w:val="infoemcitas"/>
        <w:jc w:val="center"/>
        <w:rPr>
          <w:b/>
          <w:bCs/>
          <w:i w:val="0"/>
          <w:iCs/>
          <w:sz w:val="28"/>
          <w:szCs w:val="28"/>
        </w:rPr>
      </w:pPr>
    </w:p>
    <w:p w:rsidR="00C0731C" w:rsidRPr="002C3EC8" w:rsidRDefault="00C0731C" w:rsidP="00C0731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C0731C" w:rsidRPr="00D705FF" w:rsidRDefault="00C0731C" w:rsidP="00C0731C">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seis de diciembre</w:t>
      </w:r>
      <w:r>
        <w:rPr>
          <w:rFonts w:ascii="Palatino Linotype" w:hAnsi="Palatino Linotype" w:cs="Arial"/>
        </w:rPr>
        <w:t xml:space="preserve"> </w:t>
      </w:r>
      <w:r w:rsidRPr="00002E02">
        <w:rPr>
          <w:rFonts w:ascii="Palatino Linotype" w:hAnsi="Palatino Linotype" w:cs="Arial"/>
          <w:b/>
        </w:rPr>
        <w:t>de dos mil veinticuatro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03409/TOLUCA/IP/2024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C0731C" w:rsidRPr="001C7F6F" w:rsidRDefault="00C0731C" w:rsidP="00C0731C">
      <w:pPr>
        <w:pStyle w:val="INFOEM"/>
        <w:rPr>
          <w:lang w:val="es-ES_tradnl" w:eastAsia="es-ES"/>
        </w:rPr>
      </w:pPr>
      <w:r w:rsidRPr="00D705FF">
        <w:rPr>
          <w:lang w:val="es-ES_tradnl" w:eastAsia="es-ES"/>
        </w:rPr>
        <w:t>“</w:t>
      </w:r>
      <w:r w:rsidRPr="00C0731C">
        <w:rPr>
          <w:lang w:val="es-ES" w:eastAsia="es-ES"/>
        </w:rPr>
        <w:t xml:space="preserve">Cuantas infracciones de levantaron de 1 de enero a 31 de diciembre de 2024 cuanto recaudo y como se </w:t>
      </w:r>
      <w:proofErr w:type="spellStart"/>
      <w:r w:rsidRPr="00C0731C">
        <w:rPr>
          <w:lang w:val="es-ES" w:eastAsia="es-ES"/>
        </w:rPr>
        <w:t>invirtio</w:t>
      </w:r>
      <w:proofErr w:type="spellEnd"/>
      <w:r w:rsidRPr="00D705FF">
        <w:rPr>
          <w:lang w:val="es-ES_tradnl" w:eastAsia="es-ES"/>
        </w:rPr>
        <w:t>” (Sic)</w:t>
      </w:r>
    </w:p>
    <w:p w:rsidR="00C0731C" w:rsidRPr="002C3EC8" w:rsidRDefault="00C0731C" w:rsidP="00C0731C">
      <w:pPr>
        <w:spacing w:before="240"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rsidR="00C0731C" w:rsidRDefault="00C0731C" w:rsidP="00C0731C">
      <w:pPr>
        <w:spacing w:before="240" w:line="360" w:lineRule="auto"/>
        <w:jc w:val="both"/>
        <w:rPr>
          <w:rFonts w:ascii="Palatino Linotype" w:hAnsi="Palatino Linotype" w:cs="Arial"/>
          <w:b/>
          <w:sz w:val="28"/>
        </w:rPr>
      </w:pPr>
    </w:p>
    <w:p w:rsidR="00C0731C" w:rsidRDefault="00C0731C" w:rsidP="00C0731C">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C0731C" w:rsidRPr="00C0731C" w:rsidRDefault="00C0731C" w:rsidP="00C0731C">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diecisiete de enero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C0731C" w:rsidRPr="00E818A5" w:rsidRDefault="00C0731C" w:rsidP="00C0731C">
      <w:pPr>
        <w:spacing w:line="360" w:lineRule="auto"/>
        <w:jc w:val="both"/>
        <w:rPr>
          <w:rFonts w:ascii="Palatino Linotype" w:hAnsi="Palatino Linotype" w:cs="Arial"/>
        </w:rPr>
      </w:pPr>
    </w:p>
    <w:p w:rsidR="00C0731C" w:rsidRPr="00C0731C" w:rsidRDefault="00C0731C" w:rsidP="00C0731C">
      <w:pPr>
        <w:ind w:left="567" w:right="567"/>
        <w:jc w:val="both"/>
        <w:rPr>
          <w:rFonts w:ascii="Palatino Linotype" w:hAnsi="Palatino Linotype" w:cs="Arial"/>
          <w:i/>
        </w:rPr>
      </w:pPr>
      <w:r>
        <w:rPr>
          <w:rFonts w:ascii="Palatino Linotype" w:hAnsi="Palatino Linotype" w:cs="Arial"/>
          <w:i/>
        </w:rPr>
        <w:t>“</w:t>
      </w:r>
      <w:r w:rsidRPr="00C0731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0731C" w:rsidRDefault="00C0731C" w:rsidP="00C0731C">
      <w:pPr>
        <w:ind w:left="567" w:right="567"/>
        <w:jc w:val="both"/>
        <w:rPr>
          <w:rFonts w:ascii="Palatino Linotype" w:hAnsi="Palatino Linotype" w:cs="Arial"/>
          <w:i/>
        </w:rPr>
      </w:pPr>
      <w:r w:rsidRPr="00C0731C">
        <w:rPr>
          <w:rFonts w:ascii="Palatino Linotype" w:hAnsi="Palatino Linotype" w:cs="Arial"/>
          <w:i/>
        </w:rPr>
        <w:t xml:space="preserve">En atención a la solicitud con folio 03409/TOLUCA/IP/2024, me permito adjuntar al presente la respuesta correspondiente. Sin más por el momento, reciba un saludo. </w:t>
      </w:r>
      <w:r w:rsidRPr="00667998">
        <w:rPr>
          <w:rFonts w:ascii="Palatino Linotype" w:hAnsi="Palatino Linotype" w:cs="Arial"/>
          <w:i/>
        </w:rPr>
        <w:t>“(Sic).</w:t>
      </w:r>
    </w:p>
    <w:p w:rsidR="00C0731C" w:rsidRDefault="00C0731C" w:rsidP="00C0731C">
      <w:pPr>
        <w:spacing w:line="360" w:lineRule="auto"/>
        <w:ind w:right="567"/>
        <w:jc w:val="both"/>
        <w:rPr>
          <w:rFonts w:ascii="Palatino Linotype" w:hAnsi="Palatino Linotype" w:cs="Arial"/>
        </w:rPr>
      </w:pPr>
    </w:p>
    <w:p w:rsidR="00C0731C" w:rsidRDefault="00C0731C" w:rsidP="00C0731C">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Pr="00C0731C">
        <w:rPr>
          <w:rFonts w:ascii="Palatino Linotype" w:hAnsi="Palatino Linotype" w:cs="Arial"/>
          <w:b/>
          <w:i/>
        </w:rPr>
        <w:t>RESPUESTA 03409. 2024</w:t>
      </w:r>
      <w:proofErr w:type="gramStart"/>
      <w:r w:rsidRPr="00C0731C">
        <w:rPr>
          <w:rFonts w:ascii="Palatino Linotype" w:hAnsi="Palatino Linotype" w:cs="Arial"/>
          <w:b/>
          <w:i/>
        </w:rPr>
        <w:t>.pdf</w:t>
      </w:r>
      <w:proofErr w:type="gramEnd"/>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C0731C" w:rsidRDefault="00C0731C" w:rsidP="00C0731C">
      <w:pPr>
        <w:spacing w:line="360" w:lineRule="auto"/>
        <w:jc w:val="both"/>
        <w:rPr>
          <w:rFonts w:ascii="Palatino Linotype" w:hAnsi="Palatino Linotype" w:cs="Arial"/>
        </w:rPr>
      </w:pPr>
    </w:p>
    <w:p w:rsidR="00C0731C" w:rsidRPr="002C3EC8" w:rsidRDefault="00C0731C" w:rsidP="00C0731C">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C0731C" w:rsidRDefault="00C0731C" w:rsidP="00C0731C">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dieciocho de enero de dos mil veinti</w:t>
      </w:r>
      <w:r w:rsidR="00734932">
        <w:rPr>
          <w:rFonts w:ascii="Palatino Linotype" w:hAnsi="Palatino Linotype" w:cs="Arial"/>
          <w:b/>
        </w:rPr>
        <w:t>ci</w:t>
      </w:r>
      <w:r>
        <w:rPr>
          <w:rFonts w:ascii="Palatino Linotype" w:hAnsi="Palatino Linotype" w:cs="Arial"/>
          <w:b/>
        </w:rPr>
        <w:t>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2925A2">
        <w:rPr>
          <w:rFonts w:ascii="Palatino Linotype" w:hAnsi="Palatino Linotype" w:cs="Arial"/>
          <w:b/>
        </w:rPr>
        <w:t>0</w:t>
      </w:r>
      <w:r>
        <w:rPr>
          <w:rFonts w:ascii="Palatino Linotype" w:hAnsi="Palatino Linotype" w:cs="Arial"/>
          <w:b/>
        </w:rPr>
        <w:t>120/INFOEM/IP/RR/2025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B351B7" w:rsidRPr="0033050B" w:rsidRDefault="00C0731C" w:rsidP="00B351B7">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lastRenderedPageBreak/>
        <w:t xml:space="preserve">Acto impugnado </w:t>
      </w:r>
      <w:r w:rsidR="00B351B7">
        <w:rPr>
          <w:rFonts w:ascii="Palatino Linotype" w:hAnsi="Palatino Linotype" w:cs="Arial"/>
          <w:b/>
          <w:i/>
        </w:rPr>
        <w:t xml:space="preserve">y </w:t>
      </w:r>
      <w:r w:rsidR="00B351B7" w:rsidRPr="0033050B">
        <w:rPr>
          <w:rFonts w:ascii="Palatino Linotype" w:hAnsi="Palatino Linotype" w:cs="Arial"/>
          <w:b/>
          <w:i/>
        </w:rPr>
        <w:t>Razones o motivos de inconformidad</w:t>
      </w:r>
    </w:p>
    <w:p w:rsidR="00C0731C" w:rsidRPr="007E4713" w:rsidRDefault="00C0731C" w:rsidP="00C0731C">
      <w:pPr>
        <w:pStyle w:val="INFOEM"/>
      </w:pPr>
      <w:r w:rsidRPr="007E4713">
        <w:t>“</w:t>
      </w:r>
      <w:r w:rsidR="00B351B7" w:rsidRPr="00B351B7">
        <w:t>Información incompleta</w:t>
      </w:r>
      <w:r>
        <w:t>” (sic)</w:t>
      </w:r>
    </w:p>
    <w:p w:rsidR="00C0731C" w:rsidRDefault="00C0731C" w:rsidP="00C0731C">
      <w:pPr>
        <w:spacing w:line="360" w:lineRule="auto"/>
        <w:jc w:val="both"/>
        <w:rPr>
          <w:rFonts w:ascii="Palatino Linotype" w:hAnsi="Palatino Linotype" w:cs="Arial"/>
        </w:rPr>
      </w:pPr>
    </w:p>
    <w:p w:rsidR="00C0731C" w:rsidRPr="002C3EC8" w:rsidRDefault="00C0731C" w:rsidP="00C0731C">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C0731C" w:rsidRDefault="00C0731C" w:rsidP="00C0731C">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B351B7">
        <w:rPr>
          <w:rFonts w:ascii="Palatino Linotype" w:hAnsi="Palatino Linotype"/>
          <w:b/>
        </w:rPr>
        <w:t>veintiuno de enero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C0731C" w:rsidRPr="004C20B7" w:rsidRDefault="00C0731C" w:rsidP="00C0731C">
      <w:pPr>
        <w:spacing w:before="240" w:line="360" w:lineRule="auto"/>
        <w:jc w:val="both"/>
        <w:rPr>
          <w:rFonts w:ascii="Palatino Linotype" w:hAnsi="Palatino Linotype" w:cs="Arial"/>
          <w:sz w:val="28"/>
        </w:rPr>
      </w:pPr>
    </w:p>
    <w:p w:rsidR="00C0731C" w:rsidRPr="00E52C83" w:rsidRDefault="00C0731C" w:rsidP="00C0731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590166" w:rsidRPr="00590166" w:rsidRDefault="00590166" w:rsidP="00590166">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treinta de enero de dos mil veinticinco</w:t>
      </w:r>
      <w:r w:rsidRPr="00D32665">
        <w:rPr>
          <w:rFonts w:ascii="Palatino Linotype" w:hAnsi="Palatino Linotype" w:cs="Arial"/>
        </w:rPr>
        <w:t>, por medio del archivo electrónico “</w:t>
      </w:r>
      <w:r w:rsidRPr="00590166">
        <w:rPr>
          <w:rFonts w:ascii="Palatino Linotype" w:hAnsi="Palatino Linotype" w:cs="Arial"/>
          <w:b/>
          <w:i/>
        </w:rPr>
        <w:t>Informe Justificado 120.pdf</w:t>
      </w:r>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Pr>
          <w:rFonts w:ascii="Palatino Linotype" w:hAnsi="Palatino Linotype" w:cs="Arial"/>
        </w:rPr>
        <w:t>cuatro de febrero de dos mil veinticinco</w:t>
      </w:r>
      <w:r w:rsidRPr="00D32665">
        <w:rPr>
          <w:rFonts w:ascii="Palatino Linotype" w:hAnsi="Palatino Linotype" w:cs="Arial"/>
          <w:b/>
          <w:i/>
        </w:rPr>
        <w:t>.</w:t>
      </w:r>
    </w:p>
    <w:p w:rsidR="00590166" w:rsidRPr="00D32665" w:rsidRDefault="00590166" w:rsidP="00590166">
      <w:pPr>
        <w:spacing w:line="360" w:lineRule="auto"/>
        <w:jc w:val="both"/>
        <w:rPr>
          <w:rFonts w:ascii="Palatino Linotype" w:hAnsi="Palatino Linotype"/>
        </w:rPr>
      </w:pPr>
    </w:p>
    <w:p w:rsidR="00590166" w:rsidRPr="00D32665" w:rsidRDefault="00590166" w:rsidP="00590166">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xml:space="preserve">; todo lo </w:t>
      </w:r>
      <w:r w:rsidRPr="00D32665">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rsidR="00C0731C" w:rsidRDefault="00C0731C" w:rsidP="00C0731C">
      <w:pPr>
        <w:spacing w:line="360" w:lineRule="auto"/>
        <w:jc w:val="both"/>
        <w:rPr>
          <w:rFonts w:ascii="Palatino Linotype" w:hAnsi="Palatino Linotype" w:cs="Arial"/>
          <w:b/>
          <w:sz w:val="28"/>
          <w:szCs w:val="28"/>
        </w:rPr>
      </w:pPr>
    </w:p>
    <w:p w:rsidR="00C0731C" w:rsidRPr="002C3EC8" w:rsidRDefault="00C0731C" w:rsidP="00C0731C">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C0731C" w:rsidRDefault="00C0731C" w:rsidP="00C0731C">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B351B7">
        <w:rPr>
          <w:rFonts w:ascii="Palatino Linotype" w:hAnsi="Palatino Linotype" w:cs="Arial"/>
          <w:b/>
        </w:rPr>
        <w:t>treinta y uno de enero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C0731C" w:rsidRDefault="00C0731C" w:rsidP="00C0731C">
      <w:pPr>
        <w:spacing w:line="360" w:lineRule="auto"/>
        <w:jc w:val="both"/>
        <w:rPr>
          <w:rFonts w:ascii="Palatino Linotype" w:hAnsi="Palatino Linotype" w:cs="Arial"/>
          <w:b/>
          <w:sz w:val="28"/>
          <w:szCs w:val="28"/>
        </w:rPr>
      </w:pPr>
    </w:p>
    <w:p w:rsidR="00C0731C" w:rsidRPr="0024200F" w:rsidRDefault="00C0731C" w:rsidP="00C0731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C0731C" w:rsidRPr="00825F67" w:rsidRDefault="00C0731C" w:rsidP="00C0731C">
      <w:pPr>
        <w:spacing w:line="360" w:lineRule="auto"/>
        <w:ind w:right="49"/>
        <w:jc w:val="both"/>
        <w:rPr>
          <w:rFonts w:ascii="Palatino Linotype" w:hAnsi="Palatino Linotype"/>
          <w:szCs w:val="28"/>
        </w:rPr>
      </w:pPr>
    </w:p>
    <w:p w:rsidR="00C0731C" w:rsidRPr="002C3EC8" w:rsidRDefault="00C0731C" w:rsidP="00C0731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C0731C" w:rsidRPr="007C6AB6" w:rsidRDefault="00C0731C" w:rsidP="00C0731C">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C6AB6">
        <w:rPr>
          <w:rFonts w:ascii="Palatino Linotype" w:hAnsi="Palatino Linotype"/>
        </w:rPr>
        <w:lastRenderedPageBreak/>
        <w:t>Acceso a la Información Pública y Protección de Datos Personales del Estado de México y Municipios.</w:t>
      </w:r>
    </w:p>
    <w:p w:rsidR="00C0731C" w:rsidRPr="002C3EC8" w:rsidRDefault="00C0731C" w:rsidP="00C0731C">
      <w:pPr>
        <w:spacing w:before="240" w:line="360" w:lineRule="auto"/>
        <w:jc w:val="both"/>
        <w:rPr>
          <w:rFonts w:ascii="Palatino Linotype" w:eastAsia="Calibri" w:hAnsi="Palatino Linotype"/>
          <w:b/>
          <w:color w:val="000000" w:themeColor="text1"/>
        </w:rPr>
      </w:pPr>
    </w:p>
    <w:p w:rsidR="00C0731C" w:rsidRPr="002C3EC8" w:rsidRDefault="00C0731C" w:rsidP="00C0731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C0731C" w:rsidRDefault="00C0731C" w:rsidP="00C0731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0731C" w:rsidRPr="00821CCD" w:rsidRDefault="00C0731C" w:rsidP="00C0731C">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C0731C" w:rsidRPr="00821CCD" w:rsidRDefault="00C0731C" w:rsidP="00C0731C">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C0731C" w:rsidRPr="00821CCD" w:rsidRDefault="00C0731C" w:rsidP="00C0731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C0731C" w:rsidRPr="00821CCD" w:rsidRDefault="00C0731C" w:rsidP="00C0731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C0731C" w:rsidRPr="00821CCD" w:rsidRDefault="00C0731C" w:rsidP="00C0731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C0731C" w:rsidRPr="00821CCD" w:rsidRDefault="00C0731C" w:rsidP="00C0731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C0731C" w:rsidRPr="00821CCD" w:rsidRDefault="00C0731C" w:rsidP="00C0731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C0731C" w:rsidRPr="00821CCD" w:rsidRDefault="00C0731C" w:rsidP="00C0731C">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lastRenderedPageBreak/>
        <w:t>VI. Las razones o motivos de inconformidad;</w:t>
      </w:r>
    </w:p>
    <w:p w:rsidR="00C0731C" w:rsidRPr="00821CCD" w:rsidRDefault="00C0731C" w:rsidP="00C0731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C0731C" w:rsidRPr="00821CCD" w:rsidRDefault="00C0731C" w:rsidP="00C0731C">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C0731C" w:rsidRPr="00821CCD" w:rsidRDefault="00C0731C" w:rsidP="00C0731C">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C0731C" w:rsidRPr="00821CCD" w:rsidRDefault="00C0731C" w:rsidP="00C0731C">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C0731C" w:rsidRPr="00821CCD" w:rsidRDefault="00C0731C" w:rsidP="00C0731C">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C0731C" w:rsidRPr="00821CCD" w:rsidRDefault="00C0731C" w:rsidP="00C0731C">
      <w:pPr>
        <w:autoSpaceDE w:val="0"/>
        <w:autoSpaceDN w:val="0"/>
        <w:adjustRightInd w:val="0"/>
        <w:spacing w:before="240" w:line="360" w:lineRule="auto"/>
        <w:jc w:val="both"/>
        <w:rPr>
          <w:rFonts w:ascii="Palatino Linotype" w:hAnsi="Palatino Linotype"/>
        </w:rPr>
      </w:pPr>
    </w:p>
    <w:p w:rsidR="00C0731C" w:rsidRPr="00821CCD" w:rsidRDefault="00C0731C" w:rsidP="00C0731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0731C" w:rsidRPr="00821CCD" w:rsidTr="00B351B7">
        <w:trPr>
          <w:trHeight w:val="1360"/>
        </w:trPr>
        <w:tc>
          <w:tcPr>
            <w:tcW w:w="7982" w:type="dxa"/>
          </w:tcPr>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C0731C" w:rsidRPr="00821CCD" w:rsidRDefault="00C0731C" w:rsidP="00C0731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Robusteciendo lo anterior se encuentra lo dispuesto en los artículos 6, Apartado A, fracciones III y IV, de la Constitución Política de los Estados Unidos Mexicanos y 5 </w:t>
      </w:r>
      <w:r w:rsidRPr="00821CCD">
        <w:rPr>
          <w:rFonts w:ascii="Palatino Linotype" w:hAnsi="Palatino Linotype"/>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0731C" w:rsidRPr="00821CCD" w:rsidTr="00B351B7">
        <w:trPr>
          <w:jc w:val="center"/>
        </w:trPr>
        <w:tc>
          <w:tcPr>
            <w:tcW w:w="8075" w:type="dxa"/>
          </w:tcPr>
          <w:p w:rsidR="00C0731C" w:rsidRPr="00821CCD" w:rsidRDefault="00C0731C" w:rsidP="00B351B7">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C0731C" w:rsidRPr="00821CCD" w:rsidRDefault="00C0731C" w:rsidP="00B351B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C0731C" w:rsidRPr="00821CCD" w:rsidRDefault="00C0731C" w:rsidP="00B351B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C0731C" w:rsidRPr="00821CCD" w:rsidRDefault="00C0731C" w:rsidP="00B351B7">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C0731C" w:rsidRPr="00821CCD" w:rsidRDefault="00C0731C" w:rsidP="00B351B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C0731C" w:rsidRPr="00821CCD" w:rsidRDefault="00C0731C" w:rsidP="00B351B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C0731C" w:rsidRPr="00821CCD" w:rsidRDefault="00C0731C" w:rsidP="00B351B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C0731C" w:rsidRPr="00821CCD" w:rsidRDefault="00C0731C" w:rsidP="00C0731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C0731C" w:rsidRPr="00821CCD" w:rsidRDefault="00C0731C" w:rsidP="00C0731C">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C0731C" w:rsidRPr="00FF46DA" w:rsidRDefault="00C0731C" w:rsidP="00C0731C">
      <w:pPr>
        <w:pStyle w:val="Prrafodelista"/>
        <w:autoSpaceDE w:val="0"/>
        <w:autoSpaceDN w:val="0"/>
        <w:adjustRightInd w:val="0"/>
        <w:spacing w:before="240" w:after="160" w:line="360" w:lineRule="auto"/>
        <w:ind w:left="0"/>
        <w:jc w:val="both"/>
        <w:rPr>
          <w:rFonts w:ascii="Palatino Linotype" w:hAnsi="Palatino Linotype" w:cs="Arial"/>
        </w:rPr>
      </w:pPr>
    </w:p>
    <w:p w:rsidR="00C0731C" w:rsidRPr="002C3EC8" w:rsidRDefault="00C0731C" w:rsidP="00C0731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C0731C" w:rsidRPr="002C3EC8" w:rsidRDefault="00C0731C" w:rsidP="00C0731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0731C" w:rsidRPr="002C3EC8" w:rsidRDefault="00C0731C" w:rsidP="00C0731C">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C0731C" w:rsidRDefault="00C0731C" w:rsidP="00C0731C">
      <w:pPr>
        <w:tabs>
          <w:tab w:val="left" w:pos="709"/>
        </w:tabs>
        <w:spacing w:before="240" w:line="360" w:lineRule="auto"/>
        <w:ind w:right="51"/>
        <w:jc w:val="both"/>
        <w:rPr>
          <w:rFonts w:ascii="Palatino Linotype" w:hAnsi="Palatino Linotype"/>
          <w:b/>
          <w:sz w:val="28"/>
          <w:szCs w:val="28"/>
        </w:rPr>
      </w:pPr>
    </w:p>
    <w:p w:rsidR="00C0731C" w:rsidRPr="002C3EC8" w:rsidRDefault="00C0731C" w:rsidP="00C0731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C0731C" w:rsidRPr="007379EE" w:rsidRDefault="00C0731C" w:rsidP="00C0731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351B7" w:rsidRDefault="00B351B7" w:rsidP="00B351B7">
      <w:pPr>
        <w:autoSpaceDE w:val="0"/>
        <w:autoSpaceDN w:val="0"/>
        <w:adjustRightInd w:val="0"/>
        <w:ind w:right="567"/>
        <w:rPr>
          <w:rFonts w:ascii="Palatino Linotype" w:eastAsia="Calibri" w:hAnsi="Palatino Linotype" w:cs="Arial"/>
        </w:rPr>
      </w:pPr>
    </w:p>
    <w:p w:rsidR="00B351B7" w:rsidRDefault="00B351B7" w:rsidP="00B351B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B351B7" w:rsidRDefault="00B351B7" w:rsidP="00B351B7">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B351B7" w:rsidRDefault="00B351B7" w:rsidP="00B351B7">
      <w:pPr>
        <w:pStyle w:val="Citas"/>
        <w:numPr>
          <w:ilvl w:val="0"/>
          <w:numId w:val="9"/>
        </w:numPr>
        <w:spacing w:before="0" w:after="0" w:line="240" w:lineRule="auto"/>
      </w:pPr>
      <w:r w:rsidRPr="002E7A81">
        <w:t xml:space="preserve">La negativa a la información solicitada; </w:t>
      </w:r>
    </w:p>
    <w:p w:rsidR="00B351B7" w:rsidRDefault="00B351B7" w:rsidP="00B351B7">
      <w:pPr>
        <w:pStyle w:val="Citas"/>
        <w:numPr>
          <w:ilvl w:val="0"/>
          <w:numId w:val="9"/>
        </w:numPr>
        <w:spacing w:before="0" w:after="0" w:line="240" w:lineRule="auto"/>
      </w:pPr>
      <w:r w:rsidRPr="002E7A81">
        <w:t xml:space="preserve">La clasificación de la información; </w:t>
      </w:r>
    </w:p>
    <w:p w:rsidR="00B351B7" w:rsidRDefault="00B351B7" w:rsidP="00B351B7">
      <w:pPr>
        <w:pStyle w:val="Citas"/>
        <w:numPr>
          <w:ilvl w:val="0"/>
          <w:numId w:val="9"/>
        </w:numPr>
        <w:spacing w:before="0" w:after="0" w:line="240" w:lineRule="auto"/>
      </w:pPr>
      <w:r w:rsidRPr="002E7A81">
        <w:lastRenderedPageBreak/>
        <w:t xml:space="preserve">La declaración de inexistencia de la información; </w:t>
      </w:r>
    </w:p>
    <w:p w:rsidR="00B351B7" w:rsidRDefault="00B351B7" w:rsidP="00B351B7">
      <w:pPr>
        <w:pStyle w:val="Citas"/>
        <w:numPr>
          <w:ilvl w:val="0"/>
          <w:numId w:val="9"/>
        </w:numPr>
        <w:spacing w:before="0" w:after="0" w:line="240" w:lineRule="auto"/>
      </w:pPr>
      <w:r w:rsidRPr="002E7A81">
        <w:t xml:space="preserve">La declaración de incompetencia por el sujeto obligado; </w:t>
      </w:r>
    </w:p>
    <w:p w:rsidR="00B351B7" w:rsidRPr="00957049" w:rsidRDefault="00B351B7" w:rsidP="00B351B7">
      <w:pPr>
        <w:pStyle w:val="Citas"/>
        <w:numPr>
          <w:ilvl w:val="0"/>
          <w:numId w:val="9"/>
        </w:numPr>
        <w:spacing w:before="0" w:after="0" w:line="240" w:lineRule="auto"/>
        <w:rPr>
          <w:b/>
        </w:rPr>
      </w:pPr>
      <w:r w:rsidRPr="00957049">
        <w:rPr>
          <w:b/>
        </w:rPr>
        <w:t xml:space="preserve">La entrega de información incompleta; </w:t>
      </w:r>
    </w:p>
    <w:p w:rsidR="00B351B7" w:rsidRDefault="00B351B7" w:rsidP="00B351B7">
      <w:pPr>
        <w:pStyle w:val="Citas"/>
        <w:numPr>
          <w:ilvl w:val="0"/>
          <w:numId w:val="9"/>
        </w:numPr>
        <w:spacing w:before="0" w:after="0" w:line="240" w:lineRule="auto"/>
      </w:pPr>
      <w:r w:rsidRPr="002E7A81">
        <w:t xml:space="preserve">La entrega de información que no corresponda con lo solicitado; </w:t>
      </w:r>
    </w:p>
    <w:p w:rsidR="00B351B7" w:rsidRDefault="00B351B7" w:rsidP="00B351B7">
      <w:pPr>
        <w:pStyle w:val="Citas"/>
        <w:numPr>
          <w:ilvl w:val="0"/>
          <w:numId w:val="9"/>
        </w:numPr>
        <w:spacing w:before="0" w:after="0" w:line="240" w:lineRule="auto"/>
      </w:pPr>
      <w:r w:rsidRPr="002E7A81">
        <w:t xml:space="preserve">La falta de respuesta a una solicitud de acceso a la información; </w:t>
      </w:r>
    </w:p>
    <w:p w:rsidR="00B351B7" w:rsidRDefault="00B351B7" w:rsidP="00B351B7">
      <w:pPr>
        <w:pStyle w:val="Citas"/>
        <w:numPr>
          <w:ilvl w:val="0"/>
          <w:numId w:val="9"/>
        </w:numPr>
        <w:spacing w:before="0" w:after="0" w:line="240" w:lineRule="auto"/>
      </w:pPr>
      <w:r w:rsidRPr="002E7A81">
        <w:t xml:space="preserve">La notificación, entrega o puesta a disposición de información en una modalidad o formato distinto al solicitado; </w:t>
      </w:r>
    </w:p>
    <w:p w:rsidR="00B351B7" w:rsidRDefault="00B351B7" w:rsidP="00B351B7">
      <w:pPr>
        <w:pStyle w:val="Citas"/>
        <w:numPr>
          <w:ilvl w:val="0"/>
          <w:numId w:val="9"/>
        </w:numPr>
        <w:spacing w:before="0" w:after="0" w:line="240" w:lineRule="auto"/>
      </w:pPr>
      <w:r w:rsidRPr="002E7A81">
        <w:t xml:space="preserve">La entrega o puesta a disposición de información en un formato incomprensible y/o no accesible para el solicitante; </w:t>
      </w:r>
    </w:p>
    <w:p w:rsidR="00B351B7" w:rsidRDefault="00B351B7" w:rsidP="00B351B7">
      <w:pPr>
        <w:pStyle w:val="Citas"/>
        <w:numPr>
          <w:ilvl w:val="0"/>
          <w:numId w:val="9"/>
        </w:numPr>
        <w:spacing w:before="0" w:after="0" w:line="240" w:lineRule="auto"/>
      </w:pPr>
      <w:r w:rsidRPr="002E7A81">
        <w:t xml:space="preserve">Los costos o tiempos de entrega de la información; </w:t>
      </w:r>
    </w:p>
    <w:p w:rsidR="00B351B7" w:rsidRDefault="00B351B7" w:rsidP="00B351B7">
      <w:pPr>
        <w:pStyle w:val="Citas"/>
        <w:numPr>
          <w:ilvl w:val="0"/>
          <w:numId w:val="9"/>
        </w:numPr>
        <w:spacing w:before="0" w:after="0" w:line="240" w:lineRule="auto"/>
      </w:pPr>
      <w:r w:rsidRPr="002E7A81">
        <w:t xml:space="preserve">La falta de trámite a una solicitud; </w:t>
      </w:r>
    </w:p>
    <w:p w:rsidR="00B351B7" w:rsidRDefault="00B351B7" w:rsidP="00B351B7">
      <w:pPr>
        <w:pStyle w:val="Citas"/>
        <w:numPr>
          <w:ilvl w:val="0"/>
          <w:numId w:val="9"/>
        </w:numPr>
        <w:spacing w:before="0" w:after="0" w:line="240" w:lineRule="auto"/>
      </w:pPr>
      <w:r w:rsidRPr="002E7A81">
        <w:t xml:space="preserve">La negativa a permitir la consulta directa de la información; </w:t>
      </w:r>
    </w:p>
    <w:p w:rsidR="00B351B7" w:rsidRDefault="00B351B7" w:rsidP="00B351B7">
      <w:pPr>
        <w:pStyle w:val="Citas"/>
        <w:numPr>
          <w:ilvl w:val="0"/>
          <w:numId w:val="9"/>
        </w:numPr>
        <w:spacing w:before="0" w:after="0" w:line="240" w:lineRule="auto"/>
      </w:pPr>
      <w:r w:rsidRPr="002E7A81">
        <w:t xml:space="preserve">La falta, deficiencia o insuficiencia de la fundamentación y/o motivación en la respuesta; y </w:t>
      </w:r>
    </w:p>
    <w:p w:rsidR="00B351B7" w:rsidRDefault="00B351B7" w:rsidP="00B351B7">
      <w:pPr>
        <w:pStyle w:val="Citas"/>
        <w:numPr>
          <w:ilvl w:val="0"/>
          <w:numId w:val="9"/>
        </w:numPr>
        <w:spacing w:before="0" w:after="0" w:line="240" w:lineRule="auto"/>
      </w:pPr>
      <w:r w:rsidRPr="002E7A81">
        <w:t xml:space="preserve">La orientación a un trámite específico. </w:t>
      </w:r>
    </w:p>
    <w:p w:rsidR="00B351B7" w:rsidRPr="007379EE" w:rsidRDefault="00B351B7" w:rsidP="00B351B7">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B351B7" w:rsidRDefault="00B351B7" w:rsidP="00B351B7">
      <w:pPr>
        <w:autoSpaceDE w:val="0"/>
        <w:autoSpaceDN w:val="0"/>
        <w:adjustRightInd w:val="0"/>
        <w:ind w:right="567"/>
        <w:rPr>
          <w:rFonts w:ascii="Palatino Linotype" w:eastAsia="Calibri" w:hAnsi="Palatino Linotype" w:cs="Arial"/>
        </w:rPr>
      </w:pPr>
    </w:p>
    <w:p w:rsidR="00B351B7" w:rsidRDefault="00B351B7" w:rsidP="00B351B7">
      <w:pPr>
        <w:autoSpaceDE w:val="0"/>
        <w:autoSpaceDN w:val="0"/>
        <w:adjustRightInd w:val="0"/>
        <w:ind w:right="567"/>
        <w:rPr>
          <w:rFonts w:ascii="Palatino Linotype" w:eastAsia="Calibri" w:hAnsi="Palatino Linotype" w:cs="Arial"/>
        </w:rPr>
      </w:pPr>
    </w:p>
    <w:p w:rsidR="00C0731C" w:rsidRPr="00CA5FE5" w:rsidRDefault="00C0731C" w:rsidP="00C0731C">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C0731C" w:rsidRPr="00B351B7" w:rsidRDefault="00B351B7" w:rsidP="00B351B7">
      <w:pPr>
        <w:pStyle w:val="Prrafodelista"/>
        <w:numPr>
          <w:ilvl w:val="0"/>
          <w:numId w:val="3"/>
        </w:numPr>
        <w:tabs>
          <w:tab w:val="left" w:pos="1828"/>
        </w:tabs>
        <w:spacing w:line="360" w:lineRule="auto"/>
        <w:jc w:val="both"/>
        <w:rPr>
          <w:rFonts w:ascii="Palatino Linotype" w:hAnsi="Palatino Linotype" w:cs="Tahoma"/>
          <w:bCs/>
        </w:rPr>
      </w:pPr>
      <w:r w:rsidRPr="00B351B7">
        <w:rPr>
          <w:rFonts w:ascii="Palatino Linotype" w:hAnsi="Palatino Linotype" w:cs="Tahoma"/>
          <w:bCs/>
        </w:rPr>
        <w:t>Cuantas infracciones de levantaron de 1 de enero a 31 de diciembre de 2024 cuanto recaudo y como se invirtió</w:t>
      </w:r>
      <w:r>
        <w:rPr>
          <w:rFonts w:ascii="Palatino Linotype" w:hAnsi="Palatino Linotype" w:cs="Tahoma"/>
          <w:bCs/>
        </w:rPr>
        <w:t>.</w:t>
      </w:r>
    </w:p>
    <w:p w:rsidR="00C0731C" w:rsidRPr="001106D5" w:rsidRDefault="00C0731C" w:rsidP="00C0731C">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03409/TOLUCA/IP/2024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C0731C" w:rsidRPr="00E2427C" w:rsidRDefault="00B351B7" w:rsidP="00B351B7">
      <w:pPr>
        <w:pStyle w:val="Sinespaciado"/>
        <w:numPr>
          <w:ilvl w:val="0"/>
          <w:numId w:val="1"/>
        </w:numPr>
        <w:spacing w:before="240" w:line="360" w:lineRule="auto"/>
        <w:jc w:val="both"/>
        <w:rPr>
          <w:rFonts w:ascii="Palatino Linotype" w:hAnsi="Palatino Linotype" w:cs="Arial"/>
          <w:b/>
          <w:i/>
          <w:sz w:val="24"/>
        </w:rPr>
      </w:pPr>
      <w:r w:rsidRPr="00B351B7">
        <w:rPr>
          <w:rFonts w:ascii="Palatino Linotype" w:hAnsi="Palatino Linotype" w:cs="Arial"/>
          <w:b/>
          <w:i/>
          <w:sz w:val="24"/>
        </w:rPr>
        <w:t>RESPUESTA 03409. 2024.pdf</w:t>
      </w:r>
      <w:r w:rsidR="00C0731C" w:rsidRPr="00E2427C">
        <w:rPr>
          <w:rFonts w:ascii="Palatino Linotype" w:hAnsi="Palatino Linotype" w:cs="Arial"/>
          <w:b/>
          <w:i/>
          <w:sz w:val="24"/>
        </w:rPr>
        <w:t xml:space="preserve">: </w:t>
      </w:r>
      <w:r w:rsidR="00C0731C" w:rsidRPr="00E2427C">
        <w:rPr>
          <w:rFonts w:ascii="Palatino Linotype" w:hAnsi="Palatino Linotype" w:cs="Arial"/>
          <w:sz w:val="24"/>
        </w:rPr>
        <w:t xml:space="preserve">constante de </w:t>
      </w:r>
      <w:r>
        <w:rPr>
          <w:rFonts w:ascii="Palatino Linotype" w:hAnsi="Palatino Linotype" w:cs="Arial"/>
          <w:sz w:val="24"/>
        </w:rPr>
        <w:t>dos</w:t>
      </w:r>
      <w:r w:rsidR="00C0731C">
        <w:rPr>
          <w:rFonts w:ascii="Palatino Linotype" w:hAnsi="Palatino Linotype" w:cs="Arial"/>
          <w:sz w:val="24"/>
        </w:rPr>
        <w:t xml:space="preserve"> foja</w:t>
      </w:r>
      <w:r>
        <w:rPr>
          <w:rFonts w:ascii="Palatino Linotype" w:hAnsi="Palatino Linotype" w:cs="Arial"/>
          <w:sz w:val="24"/>
        </w:rPr>
        <w:t>s</w:t>
      </w:r>
      <w:r w:rsidR="00C0731C" w:rsidRPr="00E2427C">
        <w:rPr>
          <w:rFonts w:ascii="Palatino Linotype" w:hAnsi="Palatino Linotype" w:cs="Arial"/>
          <w:sz w:val="24"/>
        </w:rPr>
        <w:t xml:space="preserve">, en formato </w:t>
      </w:r>
      <w:proofErr w:type="spellStart"/>
      <w:r w:rsidR="00C0731C" w:rsidRPr="00E2427C">
        <w:rPr>
          <w:rFonts w:ascii="Palatino Linotype" w:hAnsi="Palatino Linotype" w:cs="Arial"/>
          <w:sz w:val="24"/>
        </w:rPr>
        <w:t>pdf</w:t>
      </w:r>
      <w:proofErr w:type="spellEnd"/>
      <w:r w:rsidR="00C0731C" w:rsidRPr="00E2427C">
        <w:rPr>
          <w:rFonts w:ascii="Palatino Linotype" w:hAnsi="Palatino Linotype" w:cs="Arial"/>
          <w:sz w:val="24"/>
        </w:rPr>
        <w:t xml:space="preserve">, contiene </w:t>
      </w:r>
      <w:r>
        <w:rPr>
          <w:rFonts w:ascii="Palatino Linotype" w:hAnsi="Palatino Linotype" w:cs="Arial"/>
          <w:sz w:val="24"/>
        </w:rPr>
        <w:t>la respuesta a la solicitud de información</w:t>
      </w:r>
      <w:r w:rsidR="00C0731C" w:rsidRPr="00E2427C">
        <w:rPr>
          <w:rFonts w:ascii="Palatino Linotype" w:hAnsi="Palatino Linotype" w:cs="Arial"/>
          <w:sz w:val="24"/>
        </w:rPr>
        <w:t xml:space="preserve">, de fecha </w:t>
      </w:r>
      <w:r>
        <w:rPr>
          <w:rFonts w:ascii="Palatino Linotype" w:hAnsi="Palatino Linotype" w:cs="Arial"/>
          <w:sz w:val="24"/>
        </w:rPr>
        <w:t>diecisiete de enero de dos mil veinticinco</w:t>
      </w:r>
      <w:r w:rsidR="00C0731C">
        <w:rPr>
          <w:rFonts w:ascii="Palatino Linotype" w:hAnsi="Palatino Linotype" w:cs="Arial"/>
          <w:sz w:val="24"/>
        </w:rPr>
        <w:t xml:space="preserve">, firmado por </w:t>
      </w:r>
      <w:r>
        <w:rPr>
          <w:rFonts w:ascii="Palatino Linotype" w:hAnsi="Palatino Linotype" w:cs="Arial"/>
          <w:sz w:val="24"/>
        </w:rPr>
        <w:t>el Titular de la Unidad de Transparencia</w:t>
      </w:r>
      <w:r w:rsidR="00C0731C" w:rsidRPr="00E2427C">
        <w:rPr>
          <w:rFonts w:ascii="Palatino Linotype" w:hAnsi="Palatino Linotype" w:cs="Arial"/>
          <w:sz w:val="24"/>
        </w:rPr>
        <w:t>, en el que refiere lo siguiente:</w:t>
      </w:r>
    </w:p>
    <w:p w:rsidR="00B351B7" w:rsidRDefault="00C0731C" w:rsidP="00B351B7">
      <w:pPr>
        <w:pStyle w:val="INFOEM"/>
      </w:pPr>
      <w:r>
        <w:lastRenderedPageBreak/>
        <w:t>“…</w:t>
      </w:r>
      <w:r w:rsidR="00B351B7">
        <w:t xml:space="preserve"> hago de su conocimiento que la Dirección General de Seguridad y Protección Ciudadana y Servidor Público Habilitado, informó que después de realizar una búsqueda exhaustiva y razonable en los archivos de esta dirección general, se informa que se tiene registrada la formulación de </w:t>
      </w:r>
      <w:r w:rsidR="00B351B7">
        <w:rPr>
          <w:b/>
        </w:rPr>
        <w:t>42,233 tickets</w:t>
      </w:r>
      <w:r w:rsidR="00B351B7">
        <w:t xml:space="preserve"> por infracción al Reglamento de Tránsito del Estado de México, en el lapso del 1° de Enero al 10 de Diciembre de 2024.</w:t>
      </w:r>
    </w:p>
    <w:p w:rsidR="00B351B7" w:rsidRDefault="00B351B7" w:rsidP="00B351B7">
      <w:pPr>
        <w:pStyle w:val="INFOEM"/>
      </w:pPr>
      <w:r>
        <w:t>Por lo que respecta a los montos recaudados y su destino, esta Dirección de Sustentabilidad Vial no cuenta con información, toda vez que dicha información sale de sus funciones y atribuciones.</w:t>
      </w:r>
    </w:p>
    <w:p w:rsidR="00B351B7" w:rsidRDefault="00B351B7" w:rsidP="00B351B7">
      <w:pPr>
        <w:pStyle w:val="INFOEM"/>
      </w:pPr>
      <w:r>
        <w:t>Así mismo la Tesorería Municipal y Servidora Pública Habilitada</w:t>
      </w:r>
      <w:r w:rsidR="007B38D4">
        <w:t xml:space="preserve">, informo que conforme al Manual Único de Contabilidad Gubernamental para las Dependencias y Entidades Públicas del Gobierno y Municipios del Estado de México 2024, se da a conocer la “Lista de cuentas de ingresos” por lo que cumpliendo con dicha normatividad el importe recaudado de enero a septiembre de 2024 por concepto de “Sanciones Administrativas” fue de </w:t>
      </w:r>
      <w:r w:rsidR="007B38D4">
        <w:rPr>
          <w:b/>
        </w:rPr>
        <w:t xml:space="preserve">$53,705, 610.62 (Cincuenta </w:t>
      </w:r>
      <w:r w:rsidR="007B38D4">
        <w:t>y tres millones setecientos cinco mil seiscientos diez pesos  62/100 M.N.), cabe señalar que los importes son brutos y la cuenta no solo incluye este concepto.</w:t>
      </w:r>
    </w:p>
    <w:p w:rsidR="007B38D4" w:rsidRDefault="007B38D4" w:rsidP="00B351B7">
      <w:pPr>
        <w:pStyle w:val="INFOEM"/>
      </w:pPr>
      <w:r>
        <w:t>Se anexa el Estado Comparativo Presupuestal de Ingresos de enero a septiembre del 2024 donde puede corroborar el importe recaudado, en la cuenta contable 4162 01 01 0001 “Sanciones Administrativas”, no omito mencionar que a información puede consultarse en el siguiente link:</w:t>
      </w:r>
    </w:p>
    <w:p w:rsidR="0036697E" w:rsidRDefault="0036697E" w:rsidP="0036697E">
      <w:pPr>
        <w:pStyle w:val="INFOEM"/>
        <w:jc w:val="center"/>
      </w:pPr>
      <w:r>
        <w:rPr>
          <w:noProof/>
          <w:lang w:eastAsia="es-MX"/>
        </w:rPr>
        <w:drawing>
          <wp:inline distT="0" distB="0" distL="0" distR="0">
            <wp:extent cx="4238625" cy="41268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C9892.tmp"/>
                    <pic:cNvPicPr/>
                  </pic:nvPicPr>
                  <pic:blipFill>
                    <a:blip r:embed="rId7">
                      <a:extLst>
                        <a:ext uri="{28A0092B-C50C-407E-A947-70E740481C1C}">
                          <a14:useLocalDpi xmlns:a14="http://schemas.microsoft.com/office/drawing/2010/main" val="0"/>
                        </a:ext>
                      </a:extLst>
                    </a:blip>
                    <a:stretch>
                      <a:fillRect/>
                    </a:stretch>
                  </pic:blipFill>
                  <pic:spPr>
                    <a:xfrm>
                      <a:off x="0" y="0"/>
                      <a:ext cx="4378656" cy="426320"/>
                    </a:xfrm>
                    <a:prstGeom prst="rect">
                      <a:avLst/>
                    </a:prstGeom>
                  </pic:spPr>
                </pic:pic>
              </a:graphicData>
            </a:graphic>
          </wp:inline>
        </w:drawing>
      </w:r>
    </w:p>
    <w:p w:rsidR="007B38D4" w:rsidRDefault="007B38D4" w:rsidP="00B351B7">
      <w:pPr>
        <w:pStyle w:val="INFOEM"/>
      </w:pPr>
      <w:r>
        <w:t>Enero- septiembre 2024</w:t>
      </w:r>
    </w:p>
    <w:p w:rsidR="007B38D4" w:rsidRDefault="007B38D4" w:rsidP="00B351B7">
      <w:pPr>
        <w:pStyle w:val="INFOEM"/>
      </w:pPr>
    </w:p>
    <w:p w:rsidR="007B38D4" w:rsidRDefault="007B38D4" w:rsidP="00B351B7">
      <w:pPr>
        <w:pStyle w:val="INFOEM"/>
      </w:pPr>
      <w:r>
        <w:t>Conforme al calendario emitido por el Órgano Superior de Fiscalización del Estado de México (OSFEM) mediante el cual se indican las fechas para realizar la entrega de los informes trimestrales de las entidades fiscalizables del Estado de México el ejercicio fiscal 2024, la información del periodo de octubre a diciembre correspondiente a esta fracción se podrá consultar en enero de 2025, en el apartado de estructura organizacional del artículo 92 fracción XL VII A en el siguiente link:</w:t>
      </w:r>
    </w:p>
    <w:p w:rsidR="007B38D4" w:rsidRPr="007B38D4" w:rsidRDefault="0036697E" w:rsidP="0036697E">
      <w:pPr>
        <w:pStyle w:val="INFOEM"/>
        <w:jc w:val="center"/>
      </w:pPr>
      <w:r>
        <w:rPr>
          <w:noProof/>
          <w:lang w:eastAsia="es-MX"/>
        </w:rPr>
        <w:drawing>
          <wp:inline distT="0" distB="0" distL="0" distR="0">
            <wp:extent cx="3867150" cy="34478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CBF84.tmp"/>
                    <pic:cNvPicPr/>
                  </pic:nvPicPr>
                  <pic:blipFill>
                    <a:blip r:embed="rId8">
                      <a:extLst>
                        <a:ext uri="{28A0092B-C50C-407E-A947-70E740481C1C}">
                          <a14:useLocalDpi xmlns:a14="http://schemas.microsoft.com/office/drawing/2010/main" val="0"/>
                        </a:ext>
                      </a:extLst>
                    </a:blip>
                    <a:stretch>
                      <a:fillRect/>
                    </a:stretch>
                  </pic:blipFill>
                  <pic:spPr>
                    <a:xfrm>
                      <a:off x="0" y="0"/>
                      <a:ext cx="3944050" cy="351638"/>
                    </a:xfrm>
                    <a:prstGeom prst="rect">
                      <a:avLst/>
                    </a:prstGeom>
                  </pic:spPr>
                </pic:pic>
              </a:graphicData>
            </a:graphic>
          </wp:inline>
        </w:drawing>
      </w:r>
    </w:p>
    <w:p w:rsidR="00C0731C" w:rsidRDefault="00C0731C" w:rsidP="00C0731C">
      <w:pPr>
        <w:pStyle w:val="INFOEM"/>
      </w:pPr>
      <w:r>
        <w:t>…” (Sic)</w:t>
      </w:r>
    </w:p>
    <w:p w:rsidR="009D673D" w:rsidRPr="009D673D" w:rsidRDefault="009D673D" w:rsidP="009D673D">
      <w:pPr>
        <w:spacing w:line="360" w:lineRule="auto"/>
        <w:jc w:val="both"/>
        <w:rPr>
          <w:rFonts w:ascii="Palatino Linotype" w:eastAsia="Calibri" w:hAnsi="Palatino Linotype" w:cs="Tahoma"/>
          <w:bCs/>
          <w:szCs w:val="22"/>
          <w:lang w:val="es-ES_tradnl" w:eastAsia="es-MX"/>
        </w:rPr>
      </w:pPr>
      <w:r>
        <w:rPr>
          <w:rFonts w:ascii="Palatino Linotype" w:eastAsia="Calibri" w:hAnsi="Palatino Linotype" w:cs="Tahoma"/>
          <w:bCs/>
          <w:szCs w:val="22"/>
          <w:lang w:val="es-ES_tradnl" w:eastAsia="es-MX"/>
        </w:rPr>
        <w:t>En primer término</w:t>
      </w:r>
      <w:r w:rsidRPr="009D673D">
        <w:rPr>
          <w:rFonts w:ascii="Palatino Linotype" w:eastAsia="Calibri" w:hAnsi="Palatino Linotype" w:cs="Tahoma"/>
          <w:bCs/>
          <w:szCs w:val="22"/>
          <w:lang w:val="es-ES_tradnl" w:eastAsia="es-MX"/>
        </w:rPr>
        <w:t xml:space="preserve">, se debe precisar que dicho medio electrónico se encuentra en un formato cerrado, es decir que, para </w:t>
      </w:r>
      <w:r w:rsidRPr="009D673D">
        <w:rPr>
          <w:rFonts w:ascii="Palatino Linotype" w:eastAsia="Calibri" w:hAnsi="Palatino Linotype" w:cs="Tahoma"/>
          <w:b/>
          <w:bCs/>
          <w:szCs w:val="22"/>
          <w:lang w:val="es-ES_tradnl" w:eastAsia="es-MX"/>
        </w:rPr>
        <w:t xml:space="preserve">LA PARTE RECURRENTE </w:t>
      </w:r>
      <w:r w:rsidRPr="009D673D">
        <w:rPr>
          <w:rFonts w:ascii="Palatino Linotype" w:eastAsia="Calibri" w:hAnsi="Palatino Linotype" w:cs="Tahoma"/>
          <w:bCs/>
          <w:szCs w:val="22"/>
          <w:lang w:val="es-ES_tradnl" w:eastAsia="es-MX"/>
        </w:rPr>
        <w:t xml:space="preserve">implica realizar una transcripción de la totalidad de los caracteres que integran </w:t>
      </w:r>
      <w:r>
        <w:rPr>
          <w:rFonts w:ascii="Palatino Linotype" w:eastAsia="Calibri" w:hAnsi="Palatino Linotype" w:cs="Tahoma"/>
          <w:bCs/>
          <w:szCs w:val="22"/>
          <w:lang w:val="es-ES_tradnl" w:eastAsia="es-MX"/>
        </w:rPr>
        <w:t>las ligas electrónicas</w:t>
      </w:r>
      <w:r w:rsidRPr="009D673D">
        <w:rPr>
          <w:rFonts w:ascii="Palatino Linotype" w:eastAsia="Calibri" w:hAnsi="Palatino Linotype" w:cs="Tahoma"/>
          <w:bCs/>
          <w:szCs w:val="22"/>
          <w:lang w:val="es-ES_tradnl" w:eastAsia="es-MX"/>
        </w:rPr>
        <w:t>, lo cual puede llevar a errores técnicos y humanos que impidan o dificulten a los solicitantes allegarse de la información que conforme a su derecho sea requerida.</w:t>
      </w:r>
    </w:p>
    <w:p w:rsidR="009D673D" w:rsidRPr="009D673D" w:rsidRDefault="009D673D" w:rsidP="009D673D">
      <w:pPr>
        <w:spacing w:line="360" w:lineRule="auto"/>
        <w:jc w:val="both"/>
        <w:rPr>
          <w:rFonts w:ascii="Palatino Linotype" w:eastAsia="Calibri" w:hAnsi="Palatino Linotype" w:cs="Tahoma"/>
          <w:bCs/>
          <w:szCs w:val="22"/>
          <w:lang w:val="es-ES_tradnl" w:eastAsia="es-MX"/>
        </w:rPr>
      </w:pPr>
    </w:p>
    <w:p w:rsidR="009D673D" w:rsidRPr="009D673D" w:rsidRDefault="009D673D" w:rsidP="009D673D">
      <w:pPr>
        <w:spacing w:line="360" w:lineRule="auto"/>
        <w:jc w:val="both"/>
        <w:rPr>
          <w:rFonts w:ascii="Palatino Linotype" w:eastAsia="Calibri" w:hAnsi="Palatino Linotype" w:cs="Tahoma"/>
          <w:b/>
          <w:bCs/>
          <w:i/>
          <w:szCs w:val="22"/>
          <w:lang w:val="es-ES_tradnl" w:eastAsia="es-MX"/>
        </w:rPr>
      </w:pPr>
      <w:r w:rsidRPr="009D673D">
        <w:rPr>
          <w:rFonts w:ascii="Palatino Linotype" w:eastAsia="Calibri" w:hAnsi="Palatino Linotype" w:cs="Tahoma"/>
          <w:bCs/>
          <w:szCs w:val="22"/>
          <w:lang w:val="es-ES_tradnl" w:eastAsia="es-MX"/>
        </w:rPr>
        <w:t>Al respecto la Carta Internacional de Datos Abiertos; prevé que: “</w:t>
      </w:r>
      <w:r w:rsidRPr="009D673D">
        <w:rPr>
          <w:rFonts w:ascii="Palatino Linotype" w:eastAsia="Calibri" w:hAnsi="Palatino Linotype" w:cs="Tahoma"/>
          <w:bCs/>
          <w:i/>
          <w:szCs w:val="22"/>
          <w:lang w:val="es-ES_tradnl" w:eastAsia="es-MX"/>
        </w:rPr>
        <w:t>los</w:t>
      </w:r>
      <w:r w:rsidRPr="009D673D">
        <w:rPr>
          <w:rFonts w:ascii="Palatino Linotype" w:eastAsia="Calibri" w:hAnsi="Palatino Linotype" w:cs="Tahoma"/>
          <w:bCs/>
          <w:szCs w:val="22"/>
          <w:lang w:val="es-ES_tradnl" w:eastAsia="es-MX"/>
        </w:rPr>
        <w:t xml:space="preserve"> </w:t>
      </w:r>
      <w:r w:rsidRPr="009D673D">
        <w:rPr>
          <w:rFonts w:ascii="Palatino Linotype" w:eastAsia="Calibri" w:hAnsi="Palatino Linotype" w:cs="Tahoma"/>
          <w:bCs/>
          <w:i/>
          <w:szCs w:val="22"/>
          <w:lang w:val="es-ES_tradnl" w:eastAsia="es-MX"/>
        </w:rPr>
        <w:t>Datos abiertos son datos digitales que son puestos a disposición con las características técnicas y jurídicas necesarias para que puedan ser usados, reutilizados y redistribuidos libremente por cualquier persona, en cualquier momento y en cualquier lugar”.</w:t>
      </w:r>
    </w:p>
    <w:p w:rsidR="009D673D" w:rsidRPr="009D673D" w:rsidRDefault="009D673D" w:rsidP="009D673D">
      <w:pPr>
        <w:spacing w:line="360" w:lineRule="auto"/>
        <w:jc w:val="both"/>
        <w:rPr>
          <w:rFonts w:ascii="Palatino Linotype" w:eastAsia="Calibri" w:hAnsi="Palatino Linotype" w:cs="Tahoma"/>
          <w:b/>
          <w:bCs/>
          <w:i/>
          <w:szCs w:val="22"/>
          <w:lang w:val="es-ES_tradnl" w:eastAsia="es-MX"/>
        </w:rPr>
      </w:pPr>
    </w:p>
    <w:p w:rsidR="009D673D" w:rsidRPr="009D673D" w:rsidRDefault="009D673D" w:rsidP="009D673D">
      <w:pPr>
        <w:spacing w:line="360" w:lineRule="auto"/>
        <w:jc w:val="both"/>
        <w:rPr>
          <w:rFonts w:ascii="Palatino Linotype" w:eastAsia="Calibri" w:hAnsi="Palatino Linotype" w:cs="Tahoma"/>
          <w:bCs/>
          <w:szCs w:val="22"/>
          <w:lang w:val="es-ES_tradnl" w:eastAsia="es-MX"/>
        </w:rPr>
      </w:pPr>
      <w:r w:rsidRPr="009D673D">
        <w:rPr>
          <w:rFonts w:ascii="Palatino Linotype" w:eastAsia="Calibri" w:hAnsi="Palatino Linotype" w:cs="Tahoma"/>
          <w:bCs/>
          <w:szCs w:val="22"/>
          <w:lang w:val="es-ES_tradnl" w:eastAsia="es-MX"/>
        </w:rPr>
        <w:t>Por su parte, el Decreto por el que se establece la regulación en materia de Datos Abiertos, publicado en el Diario Oficial de la Federación el veinte de febrero de dos mil quince, indica en su artículo segundo lo siguiente:</w:t>
      </w:r>
    </w:p>
    <w:p w:rsidR="009D673D" w:rsidRPr="009D673D" w:rsidRDefault="009D673D" w:rsidP="009D673D">
      <w:pPr>
        <w:spacing w:line="360" w:lineRule="auto"/>
        <w:jc w:val="both"/>
        <w:rPr>
          <w:rFonts w:ascii="Palatino Linotype" w:eastAsia="Calibri" w:hAnsi="Palatino Linotype" w:cs="Tahoma"/>
          <w:bCs/>
          <w:szCs w:val="22"/>
          <w:lang w:val="es-ES_tradnl" w:eastAsia="es-MX"/>
        </w:rPr>
      </w:pPr>
    </w:p>
    <w:p w:rsidR="009D673D" w:rsidRPr="009D673D" w:rsidRDefault="009D673D" w:rsidP="009D673D">
      <w:pPr>
        <w:ind w:left="567" w:right="616"/>
        <w:jc w:val="both"/>
        <w:rPr>
          <w:rFonts w:ascii="Palatino Linotype" w:eastAsia="Calibri" w:hAnsi="Palatino Linotype" w:cs="Tahoma"/>
          <w:b/>
          <w:bCs/>
          <w:i/>
          <w:szCs w:val="22"/>
          <w:lang w:val="es-ES_tradnl" w:eastAsia="es-MX"/>
        </w:rPr>
      </w:pPr>
      <w:r w:rsidRPr="009D673D">
        <w:rPr>
          <w:rFonts w:ascii="Palatino Linotype" w:eastAsia="Calibri" w:hAnsi="Palatino Linotype" w:cs="Tahoma"/>
          <w:b/>
          <w:bCs/>
          <w:i/>
          <w:szCs w:val="22"/>
          <w:lang w:val="es-ES_tradnl" w:eastAsia="es-MX"/>
        </w:rPr>
        <w:t>ARTÍCULO SEGUNDO. -Para los efectos del presente Decreto, se entenderá por:</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I al IV…</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
          <w:bCs/>
          <w:i/>
          <w:szCs w:val="22"/>
          <w:lang w:val="es-ES_tradnl" w:eastAsia="es-MX"/>
        </w:rPr>
        <w:t>V. Datos abiertos</w:t>
      </w:r>
      <w:r w:rsidRPr="009D673D">
        <w:rPr>
          <w:rFonts w:ascii="Palatino Linotype" w:eastAsia="Calibri" w:hAnsi="Palatino Linotype" w:cs="Tahoma"/>
          <w:bCs/>
          <w:i/>
          <w:szCs w:val="22"/>
          <w:lang w:val="es-ES_tradnl" w:eastAsia="es-MX"/>
        </w:rPr>
        <w:t xml:space="preserve">: los datos digitales de carácter público que son accesibles en línea, y pueden </w:t>
      </w:r>
      <w:r w:rsidRPr="009D673D">
        <w:rPr>
          <w:rFonts w:ascii="Palatino Linotype" w:eastAsia="Calibri" w:hAnsi="Palatino Linotype" w:cs="Tahoma"/>
          <w:b/>
          <w:bCs/>
          <w:i/>
          <w:szCs w:val="22"/>
          <w:u w:val="single"/>
          <w:lang w:val="es-ES_tradnl" w:eastAsia="es-MX"/>
        </w:rPr>
        <w:t>ser usados, reutilizados y redistribuidos</w:t>
      </w:r>
      <w:r w:rsidRPr="009D673D">
        <w:rPr>
          <w:rFonts w:ascii="Palatino Linotype" w:eastAsia="Calibri" w:hAnsi="Palatino Linotype" w:cs="Tahoma"/>
          <w:bCs/>
          <w:i/>
          <w:szCs w:val="22"/>
          <w:lang w:val="es-ES_tradnl" w:eastAsia="es-MX"/>
        </w:rPr>
        <w:t>, por cualquier interesado</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VI al VIII…</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
          <w:bCs/>
          <w:i/>
          <w:szCs w:val="22"/>
          <w:lang w:val="es-ES_tradnl" w:eastAsia="es-MX"/>
        </w:rPr>
        <w:t>IX. Formato Abierto:</w:t>
      </w:r>
      <w:r w:rsidRPr="009D673D">
        <w:rPr>
          <w:rFonts w:ascii="Palatino Linotype" w:eastAsia="Calibri" w:hAnsi="Palatino Linotype" w:cs="Tahoma"/>
          <w:bCs/>
          <w:i/>
          <w:szCs w:val="22"/>
          <w:lang w:val="es-ES_tradnl" w:eastAsia="es-MX"/>
        </w:rPr>
        <w:t xml:space="preserve"> el conjunto de características técnicas y de presentación que corresponden a la estructura lógica usada para almacenar datos en un archivo digital, cuyas especificaciones técnicas están disponibles públicamente, </w:t>
      </w:r>
      <w:r w:rsidRPr="009D673D">
        <w:rPr>
          <w:rFonts w:ascii="Palatino Linotype" w:eastAsia="Calibri" w:hAnsi="Palatino Linotype" w:cs="Tahoma"/>
          <w:b/>
          <w:bCs/>
          <w:i/>
          <w:szCs w:val="22"/>
          <w:u w:val="single"/>
          <w:lang w:val="es-ES_tradnl" w:eastAsia="es-MX"/>
        </w:rPr>
        <w:t>que no suponen una dificultad de acceso y que su aplicación y reproducción no estén condicionadas a contraprestación alguna</w:t>
      </w:r>
      <w:r w:rsidRPr="009D673D">
        <w:rPr>
          <w:rFonts w:ascii="Palatino Linotype" w:eastAsia="Calibri" w:hAnsi="Palatino Linotype" w:cs="Tahoma"/>
          <w:bCs/>
          <w:i/>
          <w:szCs w:val="22"/>
          <w:lang w:val="es-ES_tradnl" w:eastAsia="es-MX"/>
        </w:rPr>
        <w:t>;</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X al XII…</w:t>
      </w:r>
    </w:p>
    <w:p w:rsidR="009D673D" w:rsidRPr="009D673D" w:rsidRDefault="009D673D" w:rsidP="009D673D">
      <w:pPr>
        <w:spacing w:line="360" w:lineRule="auto"/>
        <w:ind w:left="567"/>
        <w:jc w:val="both"/>
        <w:rPr>
          <w:rFonts w:ascii="Palatino Linotype" w:eastAsia="Calibri" w:hAnsi="Palatino Linotype" w:cs="Tahoma"/>
          <w:bCs/>
          <w:szCs w:val="22"/>
          <w:lang w:val="es-ES_tradnl" w:eastAsia="es-MX"/>
        </w:rPr>
      </w:pPr>
    </w:p>
    <w:p w:rsidR="009D673D" w:rsidRPr="009D673D" w:rsidRDefault="009D673D" w:rsidP="009D673D">
      <w:pPr>
        <w:spacing w:line="360" w:lineRule="auto"/>
        <w:jc w:val="both"/>
        <w:rPr>
          <w:rFonts w:ascii="Palatino Linotype" w:eastAsia="Calibri" w:hAnsi="Palatino Linotype" w:cs="Tahoma"/>
          <w:bCs/>
          <w:szCs w:val="22"/>
          <w:lang w:val="es-ES_tradnl" w:eastAsia="es-MX"/>
        </w:rPr>
      </w:pPr>
      <w:r w:rsidRPr="009D673D">
        <w:rPr>
          <w:rFonts w:ascii="Palatino Linotype" w:eastAsia="Calibri" w:hAnsi="Palatino Linotype" w:cs="Tahoma"/>
          <w:bCs/>
          <w:szCs w:val="22"/>
          <w:lang w:val="es-ES_tradnl" w:eastAsia="es-MX"/>
        </w:rPr>
        <w:t>Lo anterior, se robustece con lo dispuesto por la Ley de Transparencia y Acceso a la Información Pública del Estado de México y Municipios; la cual establece en su artículo 3°, fracción VIII, lo siguiente:</w:t>
      </w:r>
    </w:p>
    <w:p w:rsidR="009D673D" w:rsidRPr="009D673D" w:rsidRDefault="009D673D" w:rsidP="009D673D">
      <w:pPr>
        <w:jc w:val="both"/>
        <w:rPr>
          <w:rFonts w:ascii="Palatino Linotype" w:eastAsia="Calibri" w:hAnsi="Palatino Linotype" w:cs="Tahoma"/>
          <w:bCs/>
          <w:szCs w:val="22"/>
          <w:lang w:val="es-ES_tradnl" w:eastAsia="es-MX"/>
        </w:rPr>
      </w:pPr>
    </w:p>
    <w:p w:rsidR="009D673D" w:rsidRPr="009D673D" w:rsidRDefault="009D673D" w:rsidP="009D673D">
      <w:pPr>
        <w:ind w:left="567" w:right="616"/>
        <w:jc w:val="both"/>
        <w:rPr>
          <w:rFonts w:ascii="Palatino Linotype" w:eastAsia="Calibri" w:hAnsi="Palatino Linotype" w:cs="Calibri"/>
          <w:b/>
          <w:i/>
          <w:szCs w:val="22"/>
          <w:lang w:val="es-ES_tradnl" w:eastAsia="es-MX"/>
        </w:rPr>
      </w:pPr>
      <w:r w:rsidRPr="009D673D">
        <w:rPr>
          <w:rFonts w:ascii="Palatino Linotype" w:eastAsia="Calibri" w:hAnsi="Palatino Linotype" w:cs="Calibri"/>
          <w:b/>
          <w:i/>
          <w:szCs w:val="22"/>
          <w:lang w:val="es-ES_tradnl" w:eastAsia="es-MX"/>
        </w:rPr>
        <w:t>Artículo 3. Para los efectos de la presente Ley se entenderá por:</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i/>
          <w:szCs w:val="22"/>
          <w:lang w:val="es-ES_tradnl" w:eastAsia="es-MX"/>
        </w:rPr>
        <w:t>I al VII…</w:t>
      </w:r>
    </w:p>
    <w:p w:rsidR="009D673D" w:rsidRPr="009D673D" w:rsidRDefault="009D673D" w:rsidP="009D673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Calibri"/>
          <w:b/>
          <w:i/>
          <w:szCs w:val="22"/>
          <w:lang w:val="es-ES_tradnl" w:eastAsia="es-MX"/>
        </w:rPr>
        <w:t>VIII. Datos abiertos</w:t>
      </w:r>
      <w:r w:rsidRPr="009D673D">
        <w:rPr>
          <w:rFonts w:ascii="Palatino Linotype" w:eastAsia="Calibri" w:hAnsi="Palatino Linotype" w:cs="Calibri"/>
          <w:i/>
          <w:szCs w:val="22"/>
          <w:lang w:val="es-ES_tradnl" w:eastAsia="es-MX"/>
        </w:rPr>
        <w:t xml:space="preserve">: Los datos digitales de carácter público </w:t>
      </w:r>
      <w:r w:rsidRPr="009D673D">
        <w:rPr>
          <w:rFonts w:ascii="Palatino Linotype" w:eastAsia="Calibri" w:hAnsi="Palatino Linotype" w:cs="Calibri"/>
          <w:b/>
          <w:i/>
          <w:szCs w:val="22"/>
          <w:lang w:val="es-ES_tradnl" w:eastAsia="es-MX"/>
        </w:rPr>
        <w:t>que son accesibles</w:t>
      </w:r>
      <w:r w:rsidRPr="009D673D">
        <w:rPr>
          <w:rFonts w:ascii="Palatino Linotype" w:eastAsia="Calibri" w:hAnsi="Palatino Linotype" w:cs="Calibri"/>
          <w:i/>
          <w:szCs w:val="22"/>
          <w:lang w:val="es-ES_tradnl" w:eastAsia="es-MX"/>
        </w:rPr>
        <w:t xml:space="preserve"> en línea </w:t>
      </w:r>
      <w:r w:rsidRPr="009D673D">
        <w:rPr>
          <w:rFonts w:ascii="Palatino Linotype" w:eastAsia="Calibri" w:hAnsi="Palatino Linotype" w:cs="Calibri"/>
          <w:b/>
          <w:i/>
          <w:szCs w:val="22"/>
          <w:lang w:val="es-ES_tradnl" w:eastAsia="es-MX"/>
        </w:rPr>
        <w:t xml:space="preserve">que pueden </w:t>
      </w:r>
      <w:r w:rsidRPr="009D673D">
        <w:rPr>
          <w:rFonts w:ascii="Palatino Linotype" w:eastAsia="Calibri" w:hAnsi="Palatino Linotype" w:cs="Calibri"/>
          <w:b/>
          <w:i/>
          <w:szCs w:val="22"/>
          <w:u w:val="single"/>
          <w:lang w:val="es-ES_tradnl" w:eastAsia="es-MX"/>
        </w:rPr>
        <w:t>ser usados, reutilizados y redistribuidos</w:t>
      </w:r>
      <w:r w:rsidRPr="009D673D">
        <w:rPr>
          <w:rFonts w:ascii="Palatino Linotype" w:eastAsia="Calibri" w:hAnsi="Palatino Linotype" w:cs="Calibri"/>
          <w:i/>
          <w:szCs w:val="22"/>
          <w:lang w:val="es-ES_tradnl" w:eastAsia="es-MX"/>
        </w:rPr>
        <w:t xml:space="preserve"> por cualquier interesado y que tienen las siguientes características:</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 xml:space="preserve">a) Accesibles: </w:t>
      </w:r>
      <w:r w:rsidRPr="009D673D">
        <w:rPr>
          <w:rFonts w:ascii="Palatino Linotype" w:eastAsia="Calibri" w:hAnsi="Palatino Linotype" w:cs="Calibri"/>
          <w:i/>
          <w:szCs w:val="22"/>
          <w:lang w:val="es-ES_tradnl" w:eastAsia="es-MX"/>
        </w:rPr>
        <w:t>Los datos están disponibles para la gama más amplia de usuarios, para cualquier propósito;</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b) Integrales</w:t>
      </w:r>
      <w:r w:rsidRPr="009D673D">
        <w:rPr>
          <w:rFonts w:ascii="Palatino Linotype" w:eastAsia="Calibri" w:hAnsi="Palatino Linotype" w:cs="Calibri"/>
          <w:i/>
          <w:szCs w:val="22"/>
          <w:lang w:val="es-ES_tradnl" w:eastAsia="es-MX"/>
        </w:rPr>
        <w:t>: Contienen el tema que describen a detalle y con los metadatos necesarios;</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c) Gratuitos</w:t>
      </w:r>
      <w:r w:rsidRPr="009D673D">
        <w:rPr>
          <w:rFonts w:ascii="Palatino Linotype" w:eastAsia="Calibri" w:hAnsi="Palatino Linotype" w:cs="Calibri"/>
          <w:i/>
          <w:szCs w:val="22"/>
          <w:lang w:val="es-ES_tradnl" w:eastAsia="es-MX"/>
        </w:rPr>
        <w:t xml:space="preserve">: Se obtienen sin entregar a cambio contraprestación alguna;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d) No discriminatorios:</w:t>
      </w:r>
      <w:r w:rsidRPr="009D673D">
        <w:rPr>
          <w:rFonts w:ascii="Palatino Linotype" w:eastAsia="Calibri" w:hAnsi="Palatino Linotype" w:cs="Calibri"/>
          <w:i/>
          <w:szCs w:val="22"/>
          <w:lang w:val="es-ES_tradnl" w:eastAsia="es-MX"/>
        </w:rPr>
        <w:t xml:space="preserve"> Los datos están disponibles para cualquier persona, sin necesidad de registro;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e) Oportunos</w:t>
      </w:r>
      <w:r w:rsidRPr="009D673D">
        <w:rPr>
          <w:rFonts w:ascii="Palatino Linotype" w:eastAsia="Calibri" w:hAnsi="Palatino Linotype" w:cs="Calibri"/>
          <w:i/>
          <w:szCs w:val="22"/>
          <w:lang w:val="es-ES_tradnl" w:eastAsia="es-MX"/>
        </w:rPr>
        <w:t xml:space="preserve">: Son actualizados, periódicamente, conforme se generen;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f) Permanentes</w:t>
      </w:r>
      <w:r w:rsidRPr="009D673D">
        <w:rPr>
          <w:rFonts w:ascii="Palatino Linotype" w:eastAsia="Calibri" w:hAnsi="Palatino Linotype" w:cs="Calibri"/>
          <w:i/>
          <w:szCs w:val="22"/>
          <w:lang w:val="es-ES_tradnl" w:eastAsia="es-MX"/>
        </w:rPr>
        <w:t xml:space="preserve">: Se conservan en el tiempo, para lo cual, las versiones históricas relevantes para uso público se mantendrán disponibles con identificadores adecuados al efecto;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lastRenderedPageBreak/>
        <w:t>g) Primarios</w:t>
      </w:r>
      <w:r w:rsidRPr="009D673D">
        <w:rPr>
          <w:rFonts w:ascii="Palatino Linotype" w:eastAsia="Calibri" w:hAnsi="Palatino Linotype" w:cs="Calibri"/>
          <w:i/>
          <w:szCs w:val="22"/>
          <w:lang w:val="es-ES_tradnl" w:eastAsia="es-MX"/>
        </w:rPr>
        <w:t xml:space="preserve">: Provienen de la fuente de origen con el máximo nivel de desagregación posible;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h) Legibles por máquinas</w:t>
      </w:r>
      <w:r w:rsidRPr="009D673D">
        <w:rPr>
          <w:rFonts w:ascii="Palatino Linotype" w:eastAsia="Calibri" w:hAnsi="Palatino Linotype" w:cs="Calibri"/>
          <w:i/>
          <w:szCs w:val="22"/>
          <w:lang w:val="es-ES_tradnl" w:eastAsia="es-MX"/>
        </w:rPr>
        <w:t xml:space="preserve">: Deberán estar estructurados, total o parcialmente, para ser procesados e interpretados por equipos electrónicos de manera automática; </w:t>
      </w:r>
    </w:p>
    <w:p w:rsidR="009D673D" w:rsidRPr="009D673D" w:rsidRDefault="009D673D" w:rsidP="009D673D">
      <w:pPr>
        <w:ind w:left="567" w:right="616"/>
        <w:jc w:val="both"/>
        <w:rPr>
          <w:rFonts w:ascii="Palatino Linotype" w:eastAsia="Calibri" w:hAnsi="Palatino Linotype" w:cs="Calibri"/>
          <w:b/>
          <w:i/>
          <w:szCs w:val="22"/>
          <w:lang w:val="es-ES_tradnl" w:eastAsia="es-MX"/>
        </w:rPr>
      </w:pPr>
      <w:r w:rsidRPr="009D673D">
        <w:rPr>
          <w:rFonts w:ascii="Palatino Linotype" w:eastAsia="Calibri" w:hAnsi="Palatino Linotype" w:cs="Calibri"/>
          <w:b/>
          <w:i/>
          <w:szCs w:val="22"/>
          <w:lang w:val="es-ES_tradnl" w:eastAsia="es-MX"/>
        </w:rPr>
        <w:t>i) En formatos abiertos</w:t>
      </w:r>
      <w:r w:rsidRPr="009D673D">
        <w:rPr>
          <w:rFonts w:ascii="Palatino Linotype" w:eastAsia="Calibri" w:hAnsi="Palatino Linotype" w:cs="Calibri"/>
          <w:i/>
          <w:szCs w:val="22"/>
          <w:lang w:val="es-ES_tradnl" w:eastAsia="es-MX"/>
        </w:rPr>
        <w:t>: Los datos estarán disponibles c</w:t>
      </w:r>
      <w:r w:rsidRPr="009D673D">
        <w:rPr>
          <w:rFonts w:ascii="Palatino Linotype" w:eastAsia="Calibri" w:hAnsi="Palatino Linotype" w:cs="Calibri"/>
          <w:b/>
          <w:i/>
          <w:szCs w:val="22"/>
          <w:lang w:val="es-ES_tradnl" w:eastAsia="es-MX"/>
        </w:rPr>
        <w:t xml:space="preserve">on el conjunto de características técnicas y de presentación </w:t>
      </w:r>
      <w:r w:rsidRPr="009D673D">
        <w:rPr>
          <w:rFonts w:ascii="Palatino Linotype" w:eastAsia="Calibri" w:hAnsi="Palatino Linotype" w:cs="Calibri"/>
          <w:i/>
          <w:szCs w:val="22"/>
          <w:lang w:val="es-ES_tradnl" w:eastAsia="es-MX"/>
        </w:rPr>
        <w:t xml:space="preserve">que corresponden a la estructura lógica usada para almacenar datos en un archivo digital, </w:t>
      </w:r>
      <w:r w:rsidRPr="009D673D">
        <w:rPr>
          <w:rFonts w:ascii="Palatino Linotype" w:eastAsia="Calibri" w:hAnsi="Palatino Linotype" w:cs="Calibri"/>
          <w:b/>
          <w:i/>
          <w:szCs w:val="22"/>
          <w:lang w:val="es-ES_tradnl" w:eastAsia="es-MX"/>
        </w:rPr>
        <w:t>cuyas especificaciones técnicas están disponibles públicamente</w:t>
      </w:r>
      <w:r w:rsidRPr="009D673D">
        <w:rPr>
          <w:rFonts w:ascii="Palatino Linotype" w:eastAsia="Calibri" w:hAnsi="Palatino Linotype" w:cs="Calibri"/>
          <w:i/>
          <w:szCs w:val="22"/>
          <w:lang w:val="es-ES_tradnl" w:eastAsia="es-MX"/>
        </w:rPr>
        <w:t xml:space="preserve">, que </w:t>
      </w:r>
      <w:r w:rsidRPr="009D673D">
        <w:rPr>
          <w:rFonts w:ascii="Palatino Linotype" w:eastAsia="Calibri" w:hAnsi="Palatino Linotype" w:cs="Calibri"/>
          <w:b/>
          <w:i/>
          <w:szCs w:val="22"/>
          <w:lang w:val="es-ES_tradnl" w:eastAsia="es-MX"/>
        </w:rPr>
        <w:t xml:space="preserve">no suponen una dificultad de acceso y </w:t>
      </w:r>
      <w:r w:rsidRPr="009D673D">
        <w:rPr>
          <w:rFonts w:ascii="Palatino Linotype" w:eastAsia="Calibri" w:hAnsi="Palatino Linotype" w:cs="Calibri"/>
          <w:b/>
          <w:i/>
          <w:szCs w:val="22"/>
          <w:u w:val="single"/>
          <w:lang w:val="es-ES_tradnl" w:eastAsia="es-MX"/>
        </w:rPr>
        <w:t>que su aplicación y reproducción no estén condicionadas</w:t>
      </w:r>
      <w:r w:rsidRPr="009D673D">
        <w:rPr>
          <w:rFonts w:ascii="Palatino Linotype" w:eastAsia="Calibri" w:hAnsi="Palatino Linotype" w:cs="Calibri"/>
          <w:b/>
          <w:i/>
          <w:szCs w:val="22"/>
          <w:lang w:val="es-ES_tradnl" w:eastAsia="es-MX"/>
        </w:rPr>
        <w:t xml:space="preserve"> a contraprestación alguna; y </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j) De libre uso:</w:t>
      </w:r>
      <w:r w:rsidRPr="009D673D">
        <w:rPr>
          <w:rFonts w:ascii="Palatino Linotype" w:eastAsia="Calibri" w:hAnsi="Palatino Linotype" w:cs="Calibri"/>
          <w:i/>
          <w:szCs w:val="22"/>
          <w:lang w:val="es-ES_tradnl" w:eastAsia="es-MX"/>
        </w:rPr>
        <w:t xml:space="preserve"> Citan la fuente de origen como único requerimiento para ser utilizados libremente.</w:t>
      </w:r>
    </w:p>
    <w:p w:rsidR="009D673D" w:rsidRPr="009D673D" w:rsidRDefault="009D673D" w:rsidP="009D673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i/>
          <w:szCs w:val="22"/>
          <w:lang w:val="es-ES_tradnl" w:eastAsia="es-MX"/>
        </w:rPr>
        <w:t>IX al XLV…</w:t>
      </w:r>
    </w:p>
    <w:p w:rsidR="00C0731C" w:rsidRDefault="00C0731C" w:rsidP="009D673D">
      <w:pPr>
        <w:spacing w:line="360" w:lineRule="auto"/>
        <w:jc w:val="both"/>
        <w:rPr>
          <w:rFonts w:ascii="Palatino Linotype" w:hAnsi="Palatino Linotype" w:cs="Arial"/>
          <w:bCs/>
        </w:rPr>
      </w:pPr>
    </w:p>
    <w:p w:rsidR="00C0731C" w:rsidRPr="00AB3BF1" w:rsidRDefault="00C0731C" w:rsidP="00C0731C">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9D673D" w:rsidRPr="009D673D">
        <w:rPr>
          <w:rFonts w:ascii="Palatino Linotype" w:hAnsi="Palatino Linotype"/>
          <w:i/>
        </w:rPr>
        <w:t>Información incompleta</w:t>
      </w:r>
      <w:r w:rsidRPr="00205720">
        <w:rPr>
          <w:rFonts w:ascii="Palatino Linotype" w:hAnsi="Palatino Linotype"/>
          <w:i/>
        </w:rPr>
        <w:t>” (Sic).</w:t>
      </w:r>
    </w:p>
    <w:p w:rsidR="00C0731C" w:rsidRDefault="009D673D" w:rsidP="00C0731C">
      <w:pPr>
        <w:spacing w:line="360" w:lineRule="auto"/>
        <w:jc w:val="both"/>
        <w:rPr>
          <w:rFonts w:ascii="Palatino Linotype" w:hAnsi="Palatino Linotype"/>
          <w:i/>
        </w:rPr>
      </w:pPr>
      <w:r>
        <w:rPr>
          <w:rFonts w:ascii="Palatino Linotype" w:hAnsi="Palatino Linotype"/>
          <w:i/>
        </w:rPr>
        <w:t xml:space="preserve"> </w:t>
      </w:r>
    </w:p>
    <w:p w:rsidR="00590166" w:rsidRPr="005A71B5" w:rsidRDefault="00590166" w:rsidP="00590166">
      <w:pPr>
        <w:autoSpaceDE w:val="0"/>
        <w:autoSpaceDN w:val="0"/>
        <w:adjustRightInd w:val="0"/>
        <w:spacing w:line="360" w:lineRule="auto"/>
        <w:jc w:val="both"/>
        <w:rPr>
          <w:rFonts w:ascii="Palatino Linotype" w:hAnsi="Palatino Linotype" w:cs="Arial"/>
          <w:sz w:val="28"/>
        </w:rPr>
      </w:pPr>
      <w:r w:rsidRPr="00590166">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por medio del archivo electrónico denominado </w:t>
      </w:r>
      <w:r w:rsidRPr="00590166">
        <w:rPr>
          <w:rFonts w:ascii="Palatino Linotype" w:eastAsia="Calibri" w:hAnsi="Palatino Linotype" w:cs="Calibri"/>
          <w:b/>
          <w:i/>
          <w:lang w:val="es-ES_tradnl" w:eastAsia="es-MX"/>
        </w:rPr>
        <w:t xml:space="preserve">“Informe Justificado 120.pdf”, </w:t>
      </w:r>
      <w:r>
        <w:rPr>
          <w:rFonts w:ascii="Palatino Linotype" w:eastAsia="Calibri" w:hAnsi="Palatino Linotype" w:cs="Calibri"/>
          <w:lang w:val="es-ES_tradnl" w:eastAsia="es-MX"/>
        </w:rPr>
        <w:t xml:space="preserve">firmado por el Titular de la Unidad de Transparencia, </w:t>
      </w:r>
      <w:r w:rsidRPr="00590166">
        <w:rPr>
          <w:rFonts w:ascii="Palatino Linotype" w:eastAsia="Calibri" w:hAnsi="Palatino Linotype" w:cs="Calibri"/>
          <w:lang w:val="es-ES_tradnl" w:eastAsia="es-MX"/>
        </w:rPr>
        <w:t>en el que sustancialmente ratifica su respuesta</w:t>
      </w:r>
      <w:r>
        <w:rPr>
          <w:rFonts w:ascii="Palatino Linotype" w:eastAsia="Calibri" w:hAnsi="Palatino Linotype" w:cs="Calibri"/>
          <w:lang w:val="es-ES_tradnl" w:eastAsia="es-MX"/>
        </w:rPr>
        <w:t xml:space="preserve"> y requiere se confirme la respuesta</w:t>
      </w:r>
      <w:r w:rsidRPr="00590166">
        <w:rPr>
          <w:rFonts w:ascii="Palatino Linotype" w:eastAsia="Calibri" w:hAnsi="Palatino Linotype" w:cs="Calibri"/>
          <w:lang w:val="es-ES_tradnl" w:eastAsia="es-MX"/>
        </w:rPr>
        <w:t>.</w:t>
      </w:r>
    </w:p>
    <w:p w:rsidR="00C0731C" w:rsidRDefault="00C0731C" w:rsidP="00C0731C">
      <w:pPr>
        <w:spacing w:line="360" w:lineRule="auto"/>
        <w:jc w:val="both"/>
        <w:rPr>
          <w:rFonts w:ascii="Palatino Linotype" w:eastAsia="Calibri" w:hAnsi="Palatino Linotype" w:cs="Tahoma"/>
          <w:bCs/>
        </w:rPr>
      </w:pPr>
      <w:r>
        <w:rPr>
          <w:rFonts w:ascii="Palatino Linotype" w:hAnsi="Palatino Linotype" w:cs="Arial"/>
        </w:rPr>
        <w:t xml:space="preserve"> </w:t>
      </w:r>
    </w:p>
    <w:p w:rsidR="00932EC4" w:rsidRDefault="00C0731C" w:rsidP="00C0731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F566FE">
        <w:rPr>
          <w:rFonts w:ascii="Palatino Linotype" w:eastAsia="Calibri" w:hAnsi="Palatino Linotype" w:cs="Calibri"/>
          <w:lang w:val="es-ES_tradnl" w:eastAsia="es-MX"/>
        </w:rPr>
        <w:t xml:space="preserve">Para delimitar esferas competenciales, </w:t>
      </w:r>
      <w:r w:rsidR="00932EC4">
        <w:rPr>
          <w:rFonts w:ascii="Palatino Linotype" w:eastAsia="Calibri" w:hAnsi="Palatino Linotype" w:cs="Calibri"/>
          <w:lang w:val="es-ES_tradnl" w:eastAsia="es-MX"/>
        </w:rPr>
        <w:t xml:space="preserve">es necesario traer a colación el Bando Municipal de Toluca 2024, en el cual se establece que los tipos de infracciones, es decir, al orden público, a los servicios públicos, protección al medio ambiente, desarrollo urbano, protección civil y </w:t>
      </w:r>
      <w:r w:rsidR="001A2BA2">
        <w:rPr>
          <w:rFonts w:ascii="Palatino Linotype" w:eastAsia="Calibri" w:hAnsi="Palatino Linotype" w:cs="Calibri"/>
          <w:lang w:val="es-ES_tradnl" w:eastAsia="es-MX"/>
        </w:rPr>
        <w:t>bomberos, de tránsito y viales, tal como se establece:</w:t>
      </w:r>
    </w:p>
    <w:p w:rsidR="00A40B47" w:rsidRDefault="001A2BA2" w:rsidP="00A40B47">
      <w:pPr>
        <w:pStyle w:val="Citas"/>
        <w:spacing w:before="0" w:after="0" w:line="240" w:lineRule="auto"/>
        <w:rPr>
          <w:lang w:val="es-ES"/>
        </w:rPr>
      </w:pPr>
      <w:r w:rsidRPr="00A40B47">
        <w:rPr>
          <w:b/>
          <w:lang w:val="es-ES"/>
        </w:rPr>
        <w:t>Artículo 105</w:t>
      </w:r>
      <w:r w:rsidRPr="001A2BA2">
        <w:rPr>
          <w:lang w:val="es-ES"/>
        </w:rPr>
        <w:t xml:space="preserve">. Son infracciones a las disposiciones sobre el orden público: </w:t>
      </w:r>
    </w:p>
    <w:p w:rsidR="00A40B47" w:rsidRPr="00A40B47" w:rsidRDefault="001A2BA2" w:rsidP="00A40B47">
      <w:pPr>
        <w:pStyle w:val="Citas"/>
        <w:spacing w:before="0" w:after="0" w:line="240" w:lineRule="auto"/>
        <w:rPr>
          <w:b/>
          <w:lang w:val="es-ES"/>
        </w:rPr>
      </w:pPr>
      <w:r w:rsidRPr="00A40B47">
        <w:rPr>
          <w:b/>
          <w:lang w:val="es-ES"/>
        </w:rPr>
        <w:t xml:space="preserve">A) Graves </w:t>
      </w:r>
    </w:p>
    <w:p w:rsidR="00A40B47" w:rsidRDefault="00A40B47" w:rsidP="00A40B47">
      <w:pPr>
        <w:pStyle w:val="Citas"/>
        <w:spacing w:before="0" w:after="0" w:line="240" w:lineRule="auto"/>
        <w:rPr>
          <w:lang w:val="es-ES"/>
        </w:rPr>
      </w:pPr>
      <w:r>
        <w:rPr>
          <w:lang w:val="es-ES"/>
        </w:rPr>
        <w:lastRenderedPageBreak/>
        <w:t>…</w:t>
      </w:r>
    </w:p>
    <w:p w:rsidR="00A40B47" w:rsidRDefault="001A2BA2" w:rsidP="00A40B47">
      <w:pPr>
        <w:pStyle w:val="Citas"/>
        <w:spacing w:before="0" w:after="0" w:line="240" w:lineRule="auto"/>
        <w:rPr>
          <w:lang w:val="es-ES"/>
        </w:rPr>
      </w:pPr>
      <w:r w:rsidRPr="001A2BA2">
        <w:rPr>
          <w:lang w:val="es-ES"/>
        </w:rPr>
        <w:t xml:space="preserve">La infracción señalada en la fracción VIII se sancionará con una multa equivalente al importe de 15 a 35 veces la Unidad de Medida y Actualización; el resto de las infracciones serán sancionadas con arresto inconmutable de 24 y hasta 36 horas. </w:t>
      </w:r>
    </w:p>
    <w:p w:rsidR="00A40B47" w:rsidRDefault="001A2BA2" w:rsidP="00A40B47">
      <w:pPr>
        <w:pStyle w:val="Citas"/>
        <w:spacing w:before="0" w:after="0" w:line="240" w:lineRule="auto"/>
        <w:rPr>
          <w:lang w:val="es-ES"/>
        </w:rPr>
      </w:pPr>
      <w:r w:rsidRPr="001A2BA2">
        <w:rPr>
          <w:lang w:val="es-ES"/>
        </w:rPr>
        <w:t xml:space="preserve">Para el caso de la infracción señalada en la fracción XI, además de las sanciones previstas la persona infractora será remitida a la autoridad competente en materia de prevención, atención y erradicación a la violencia de género, con el objeto de recibir orientación con perspectiva de género y en su caso asistencia psicológica. </w:t>
      </w:r>
    </w:p>
    <w:p w:rsidR="00A40B47" w:rsidRDefault="001A2BA2" w:rsidP="00A40B47">
      <w:pPr>
        <w:pStyle w:val="Citas"/>
        <w:spacing w:before="0" w:after="0" w:line="240" w:lineRule="auto"/>
        <w:rPr>
          <w:lang w:val="es-ES"/>
        </w:rPr>
      </w:pPr>
      <w:r w:rsidRPr="001A2BA2">
        <w:rPr>
          <w:lang w:val="es-ES"/>
        </w:rPr>
        <w:t xml:space="preserve">A quien dolosamente preste ayuda o auxilio al autor de una infracción administrativa para su ejecución o a fin de que el infractor evada a la autoridad municipal, se sancionarán con multa de 3 a 40 Unidades de Medida y Actualización; si para los efectos de ayudar o auxiliar al autor de una infracción administrativa se utilizan equipos de radiocomunicación, se llevará a cabo el aseguramiento de los mismos. </w:t>
      </w:r>
    </w:p>
    <w:p w:rsidR="00A40B47" w:rsidRPr="00A40B47" w:rsidRDefault="001A2BA2" w:rsidP="00A40B47">
      <w:pPr>
        <w:pStyle w:val="Citas"/>
        <w:spacing w:before="0" w:after="0" w:line="240" w:lineRule="auto"/>
        <w:rPr>
          <w:b/>
          <w:lang w:val="es-ES"/>
        </w:rPr>
      </w:pPr>
      <w:r w:rsidRPr="00A40B47">
        <w:rPr>
          <w:b/>
          <w:lang w:val="es-ES"/>
        </w:rPr>
        <w:t xml:space="preserve">B) No graves </w:t>
      </w:r>
    </w:p>
    <w:p w:rsidR="00A40B47" w:rsidRDefault="00A40B47" w:rsidP="00A40B47">
      <w:pPr>
        <w:pStyle w:val="Citas"/>
        <w:spacing w:before="0" w:after="0" w:line="240" w:lineRule="auto"/>
        <w:rPr>
          <w:lang w:val="es-ES"/>
        </w:rPr>
      </w:pPr>
      <w:r>
        <w:rPr>
          <w:lang w:val="es-ES"/>
        </w:rPr>
        <w:t>…</w:t>
      </w:r>
    </w:p>
    <w:p w:rsidR="001A2BA2" w:rsidRDefault="001A2BA2" w:rsidP="00A40B47">
      <w:pPr>
        <w:pStyle w:val="Citas"/>
        <w:spacing w:before="0" w:after="0" w:line="240" w:lineRule="auto"/>
      </w:pPr>
      <w:r w:rsidRPr="00044D8E">
        <w:rPr>
          <w:b/>
          <w:u w:val="single"/>
        </w:rPr>
        <w:t xml:space="preserve">La conducta señalada en la fracción XVIII será sancionada con amonestación por parte del Juez Cívico; </w:t>
      </w:r>
      <w:r w:rsidRPr="001A2BA2">
        <w:t>en caso de reincidencia hasta por una ocasión se impondrá una multa equivalente al importe de 10 a 30 veces la Unidad de Medida y Actualización o arresto administrativo de 12 y hasta 23 horas.</w:t>
      </w:r>
    </w:p>
    <w:p w:rsidR="00A40B47" w:rsidRDefault="00A40B47" w:rsidP="00A40B47">
      <w:pPr>
        <w:pStyle w:val="Citas"/>
        <w:spacing w:before="0" w:after="0" w:line="240" w:lineRule="auto"/>
      </w:pPr>
      <w:r w:rsidRPr="00A40B47">
        <w:t xml:space="preserve">Las infracciones señaladas en las fracciones I, II, III y IV se sancionarán con multa equivalente al importe de 10 a 25 Unidades de Medida y Actualización o arresto administrativo de 6 y hasta 12 horas; en caso de reincidencia, el arresto deberá ser de 12 y hasta 36 horas. </w:t>
      </w:r>
    </w:p>
    <w:p w:rsidR="00A40B47" w:rsidRDefault="00A40B47" w:rsidP="00A40B47">
      <w:pPr>
        <w:pStyle w:val="Citas"/>
        <w:spacing w:before="0" w:after="0" w:line="240" w:lineRule="auto"/>
      </w:pPr>
      <w:r w:rsidRPr="00A40B47">
        <w:t xml:space="preserve">Las infracciones comprendidas en las fracciones V, VI, VII, VIII, IX, X, XI, XII, XIII, XIV, XV, XVI y XIX se sancionarán con multa de 5 hasta 50 Unidades de Medida y Actualización, o arresto administrativo de 2 hasta 12 horas. </w:t>
      </w:r>
    </w:p>
    <w:p w:rsidR="00A40B47" w:rsidRDefault="00A40B47" w:rsidP="00A40B47">
      <w:pPr>
        <w:pStyle w:val="Citas"/>
        <w:spacing w:before="0" w:after="0" w:line="240" w:lineRule="auto"/>
      </w:pPr>
      <w:r w:rsidRPr="00A40B47">
        <w:t xml:space="preserve">En caso de reincidencia, se duplicará la sanción, sin que la multa exceda de 50 Unidades de Medida y Actualización ni el arresto de 36 horas. </w:t>
      </w:r>
    </w:p>
    <w:p w:rsidR="00B907C8" w:rsidRDefault="00B907C8" w:rsidP="00A40B47">
      <w:pPr>
        <w:pStyle w:val="Citas"/>
        <w:spacing w:before="0" w:after="0" w:line="240" w:lineRule="auto"/>
      </w:pPr>
    </w:p>
    <w:p w:rsidR="00A40B47" w:rsidRDefault="00A40B47" w:rsidP="00A40B47">
      <w:pPr>
        <w:pStyle w:val="Citas"/>
        <w:spacing w:before="0" w:after="0" w:line="240" w:lineRule="auto"/>
        <w:rPr>
          <w:b/>
        </w:rPr>
      </w:pPr>
      <w:r w:rsidRPr="00A40B47">
        <w:rPr>
          <w:b/>
        </w:rPr>
        <w:t xml:space="preserve">Artículo 106. Son infracciones a las normas sobre servicios públicos municipales: </w:t>
      </w:r>
    </w:p>
    <w:p w:rsidR="00B907C8" w:rsidRDefault="00B907C8" w:rsidP="00A40B47">
      <w:pPr>
        <w:pStyle w:val="Citas"/>
        <w:spacing w:before="0" w:after="0" w:line="240" w:lineRule="auto"/>
      </w:pPr>
      <w:r>
        <w:t>…</w:t>
      </w:r>
    </w:p>
    <w:p w:rsidR="00A40B47" w:rsidRDefault="00A40B47" w:rsidP="00A40B47">
      <w:pPr>
        <w:pStyle w:val="Citas"/>
        <w:spacing w:before="0" w:after="0" w:line="240" w:lineRule="auto"/>
      </w:pPr>
      <w:r w:rsidRPr="00A40B47">
        <w:t>Estas infracciones serán sancionadas con multa equivalente al importe de 20 hasta 50 Unidades de Medida y Actualización.</w:t>
      </w:r>
    </w:p>
    <w:p w:rsidR="00A40B47" w:rsidRDefault="00A40B47" w:rsidP="00A40B47">
      <w:pPr>
        <w:pStyle w:val="Citas"/>
        <w:spacing w:before="0" w:after="0" w:line="240" w:lineRule="auto"/>
        <w:rPr>
          <w:lang w:val="es-ES"/>
        </w:rPr>
      </w:pPr>
      <w:r w:rsidRPr="00A40B47">
        <w:rPr>
          <w:lang w:val="es-ES"/>
        </w:rPr>
        <w:t>En el caso de las infracciones contenidas en las fracciones I y VII, además de la sanción correspondiente, el infractor reparará el daño causado.</w:t>
      </w:r>
    </w:p>
    <w:p w:rsidR="00A40B47" w:rsidRDefault="00A40B47" w:rsidP="00A40B47">
      <w:pPr>
        <w:pStyle w:val="Citas"/>
        <w:spacing w:before="0" w:after="0" w:line="240" w:lineRule="auto"/>
        <w:rPr>
          <w:lang w:val="es-ES"/>
        </w:rPr>
      </w:pPr>
      <w:r w:rsidRPr="00A40B47">
        <w:rPr>
          <w:lang w:val="es-ES"/>
        </w:rPr>
        <w:t xml:space="preserve"> </w:t>
      </w:r>
    </w:p>
    <w:p w:rsidR="00A40B47" w:rsidRPr="00A40B47" w:rsidRDefault="00A40B47" w:rsidP="00A40B47">
      <w:pPr>
        <w:pStyle w:val="Citas"/>
        <w:spacing w:before="0" w:after="0" w:line="240" w:lineRule="auto"/>
        <w:rPr>
          <w:b/>
          <w:lang w:val="es-ES"/>
        </w:rPr>
      </w:pPr>
      <w:r w:rsidRPr="00A40B47">
        <w:rPr>
          <w:b/>
          <w:lang w:val="es-ES"/>
        </w:rPr>
        <w:t xml:space="preserve">Artículo 107. Son infracciones a las disposiciones sobre la protección al medio ambiente: </w:t>
      </w:r>
    </w:p>
    <w:p w:rsidR="00B907C8" w:rsidRDefault="00B907C8" w:rsidP="00A40B47">
      <w:pPr>
        <w:pStyle w:val="Citas"/>
        <w:spacing w:before="0" w:after="0" w:line="240" w:lineRule="auto"/>
        <w:rPr>
          <w:lang w:val="es-ES"/>
        </w:rPr>
      </w:pPr>
      <w:r>
        <w:rPr>
          <w:lang w:val="es-ES"/>
        </w:rPr>
        <w:t>…</w:t>
      </w:r>
    </w:p>
    <w:p w:rsidR="00B907C8" w:rsidRDefault="00A40B47" w:rsidP="00A40B47">
      <w:pPr>
        <w:pStyle w:val="Citas"/>
        <w:spacing w:before="0" w:after="0" w:line="240" w:lineRule="auto"/>
        <w:rPr>
          <w:lang w:val="es-ES"/>
        </w:rPr>
      </w:pPr>
      <w:r w:rsidRPr="00A40B47">
        <w:rPr>
          <w:lang w:val="es-ES"/>
        </w:rPr>
        <w:lastRenderedPageBreak/>
        <w:t xml:space="preserve">Tratándose de la transgresión a la fracción XXVI, se impondrá multa de 5 a 50 Unidades de Medida y Actualización, además de la clausura de la unidad económica o el aseguramiento de mercancías, según sea el caso. </w:t>
      </w:r>
    </w:p>
    <w:p w:rsidR="00B907C8" w:rsidRDefault="00B907C8" w:rsidP="00A40B47">
      <w:pPr>
        <w:pStyle w:val="Citas"/>
        <w:spacing w:before="0" w:after="0" w:line="240" w:lineRule="auto"/>
        <w:rPr>
          <w:lang w:val="es-ES"/>
        </w:rPr>
      </w:pPr>
    </w:p>
    <w:p w:rsidR="00B907C8" w:rsidRDefault="00A40B47" w:rsidP="00A40B47">
      <w:pPr>
        <w:pStyle w:val="Citas"/>
        <w:spacing w:before="0" w:after="0" w:line="240" w:lineRule="auto"/>
        <w:rPr>
          <w:lang w:val="es-ES"/>
        </w:rPr>
      </w:pPr>
      <w:r w:rsidRPr="00A40B47">
        <w:rPr>
          <w:lang w:val="es-ES"/>
        </w:rPr>
        <w:t xml:space="preserve">Para el resto de las fracciones en caso de reincidencia, además de la sanción impuesta, la persona infraccionada deberá acudir a la Dirección de Prevención, Educación y Control Ambiental para tomar un curso sobre el cuidado ambiental y acreditar el mismo. </w:t>
      </w:r>
    </w:p>
    <w:p w:rsidR="00B907C8" w:rsidRDefault="00B907C8" w:rsidP="00A40B47">
      <w:pPr>
        <w:pStyle w:val="Citas"/>
        <w:spacing w:before="0" w:after="0" w:line="240" w:lineRule="auto"/>
        <w:rPr>
          <w:lang w:val="es-ES"/>
        </w:rPr>
      </w:pPr>
    </w:p>
    <w:p w:rsidR="00B907C8" w:rsidRDefault="00A40B47" w:rsidP="00A40B47">
      <w:pPr>
        <w:pStyle w:val="Citas"/>
        <w:spacing w:before="0" w:after="0" w:line="240" w:lineRule="auto"/>
        <w:rPr>
          <w:lang w:val="es-ES"/>
        </w:rPr>
      </w:pPr>
      <w:r w:rsidRPr="00B907C8">
        <w:rPr>
          <w:b/>
          <w:lang w:val="es-ES"/>
        </w:rPr>
        <w:t xml:space="preserve">Artículo 108. Son infracciones a las normas de desarrollo urbano: </w:t>
      </w:r>
    </w:p>
    <w:p w:rsidR="00B907C8" w:rsidRDefault="00B907C8" w:rsidP="00A40B47">
      <w:pPr>
        <w:pStyle w:val="Citas"/>
        <w:spacing w:before="0" w:after="0" w:line="240" w:lineRule="auto"/>
        <w:rPr>
          <w:lang w:val="es-ES"/>
        </w:rPr>
      </w:pPr>
    </w:p>
    <w:p w:rsidR="00B907C8" w:rsidRDefault="00B907C8" w:rsidP="00A40B47">
      <w:pPr>
        <w:pStyle w:val="Citas"/>
        <w:spacing w:before="0" w:after="0" w:line="240" w:lineRule="auto"/>
        <w:rPr>
          <w:lang w:val="es-ES"/>
        </w:rPr>
      </w:pPr>
      <w:r>
        <w:rPr>
          <w:lang w:val="es-ES"/>
        </w:rPr>
        <w:t>…</w:t>
      </w:r>
    </w:p>
    <w:p w:rsidR="00A40B47" w:rsidRDefault="00A40B47" w:rsidP="00A40B47">
      <w:pPr>
        <w:pStyle w:val="Citas"/>
        <w:spacing w:before="0" w:after="0" w:line="240" w:lineRule="auto"/>
        <w:rPr>
          <w:lang w:val="es-ES"/>
        </w:rPr>
      </w:pPr>
      <w:r w:rsidRPr="00A40B47">
        <w:rPr>
          <w:lang w:val="es-ES"/>
        </w:rPr>
        <w:t>Serán sancionadas con multa de 10 a 50 Unidades de Medida y Actualización las infracciones que prevén las fracciones VI, VII, VIII y X, las demás se sancionarán conforme a las multas establecidas en el Libro Quinto y Libro Décimo Octavo del Código Administrativo del Estado de México. Cuando proceda, se ordenará al propietario o poseedor la demolición y limpia total del inmueble invadido; en caso de incumplimiento, la autoridad la realizará con cargo a aquél.</w:t>
      </w:r>
    </w:p>
    <w:p w:rsidR="00B907C8" w:rsidRDefault="00B907C8" w:rsidP="00A40B47">
      <w:pPr>
        <w:pStyle w:val="Citas"/>
        <w:spacing w:before="0" w:after="0" w:line="240" w:lineRule="auto"/>
        <w:rPr>
          <w:lang w:val="es-ES"/>
        </w:rPr>
      </w:pPr>
    </w:p>
    <w:p w:rsidR="00B907C8" w:rsidRDefault="00A40B47" w:rsidP="00B907C8">
      <w:pPr>
        <w:pStyle w:val="Citas"/>
        <w:spacing w:before="0" w:after="0" w:line="240" w:lineRule="auto"/>
        <w:rPr>
          <w:lang w:val="es-ES"/>
        </w:rPr>
      </w:pPr>
      <w:r w:rsidRPr="00B907C8">
        <w:rPr>
          <w:b/>
          <w:lang w:val="es-ES"/>
        </w:rPr>
        <w:t>Artículo 109. Son infracciones a las disposiciones de protección civil y bomberos:</w:t>
      </w:r>
      <w:r w:rsidRPr="00A40B47">
        <w:rPr>
          <w:lang w:val="es-ES"/>
        </w:rPr>
        <w:t xml:space="preserve"> </w:t>
      </w:r>
    </w:p>
    <w:p w:rsidR="00B907C8" w:rsidRDefault="00A40B47" w:rsidP="00B907C8">
      <w:pPr>
        <w:pStyle w:val="Citas"/>
        <w:spacing w:before="0" w:after="0" w:line="240" w:lineRule="auto"/>
        <w:rPr>
          <w:lang w:val="es-ES"/>
        </w:rPr>
      </w:pPr>
      <w:r w:rsidRPr="00A40B47">
        <w:rPr>
          <w:lang w:val="es-ES"/>
        </w:rPr>
        <w:t xml:space="preserve">I. Ejercer actividades sin haber obtenido las autorizaciones, registros o dictámenes a que se está obligado en términos de la legislación de la materia; II. Omitir, evadir o incumplir total o parcialmente con las medidas de protección civil; III. Obstruir o entorpecer las funciones del personal de protección civil y bomberos; IV. Utilizar u operar maquinaria o vehículos en la vía pública o en inmuebles, sin cumplir con las medidas de protección civil, o hacerlo con aditamentos no aptos para los mismos; e V. Incumplir cualquier otra obligación o prohibición prevista en los ordenamientos federales, estatales o municipales en materia de protección civil y de pirotecnia. Estas infracciones se sancionarán con multa de 5 hasta 50 veces el importe de la Unidad de Medida y Actualización. En caso de reincidencia se duplicará la sanción. Tratándose de la fracción I, además de lo anterior, podrá sancionarse con la suspensión definitiva. </w:t>
      </w:r>
    </w:p>
    <w:p w:rsidR="00B907C8" w:rsidRDefault="00B907C8" w:rsidP="00B907C8">
      <w:pPr>
        <w:pStyle w:val="Citas"/>
        <w:spacing w:before="0" w:after="0" w:line="240" w:lineRule="auto"/>
        <w:rPr>
          <w:lang w:val="es-ES"/>
        </w:rPr>
      </w:pPr>
    </w:p>
    <w:p w:rsidR="00B907C8" w:rsidRDefault="00A40B47" w:rsidP="00B907C8">
      <w:pPr>
        <w:pStyle w:val="Citas"/>
        <w:spacing w:before="0" w:after="0" w:line="240" w:lineRule="auto"/>
        <w:rPr>
          <w:lang w:val="es-ES"/>
        </w:rPr>
      </w:pPr>
      <w:r w:rsidRPr="00B907C8">
        <w:rPr>
          <w:b/>
          <w:lang w:val="es-ES"/>
        </w:rPr>
        <w:t>Artículo 110. Son infracciones a las disposiciones de tránsito y vialidad, las estipuladas en el Libro Octavo del Código Administrativo del Estado de México y el Reglamento de Tránsito del Estado de México vigente, además de las siguientes</w:t>
      </w:r>
      <w:r w:rsidRPr="00A40B47">
        <w:rPr>
          <w:lang w:val="es-ES"/>
        </w:rPr>
        <w:t xml:space="preserve">: </w:t>
      </w:r>
    </w:p>
    <w:p w:rsidR="00B907C8" w:rsidRDefault="00B907C8" w:rsidP="00B907C8">
      <w:pPr>
        <w:pStyle w:val="Citas"/>
        <w:spacing w:before="0" w:after="0" w:line="240" w:lineRule="auto"/>
      </w:pPr>
      <w:r>
        <w:t>…</w:t>
      </w:r>
    </w:p>
    <w:p w:rsidR="00B907C8" w:rsidRDefault="00B907C8" w:rsidP="00B907C8">
      <w:pPr>
        <w:pStyle w:val="Citas"/>
        <w:spacing w:before="0" w:after="0" w:line="240" w:lineRule="auto"/>
      </w:pPr>
    </w:p>
    <w:p w:rsidR="00B907C8" w:rsidRDefault="00A40B47" w:rsidP="00B907C8">
      <w:pPr>
        <w:pStyle w:val="Citas"/>
        <w:spacing w:before="0" w:after="0" w:line="240" w:lineRule="auto"/>
      </w:pPr>
      <w:r w:rsidRPr="00A40B47">
        <w:lastRenderedPageBreak/>
        <w:t xml:space="preserve">Las infracciones establecidas en este artículo se sancionarán conforme lo determine el Reglamento de Tránsito del Estado de México; aquellas que no estén consideradas en el mismo tendrán una sanción equivalente a 10 Unidades de Medida y Actualización. </w:t>
      </w:r>
    </w:p>
    <w:p w:rsidR="00B907C8" w:rsidRDefault="00B907C8" w:rsidP="00B907C8">
      <w:pPr>
        <w:pStyle w:val="Citas"/>
        <w:spacing w:before="0" w:after="0" w:line="240" w:lineRule="auto"/>
      </w:pPr>
    </w:p>
    <w:p w:rsidR="00B907C8" w:rsidRDefault="00A40B47" w:rsidP="00B907C8">
      <w:pPr>
        <w:pStyle w:val="Citas"/>
        <w:spacing w:before="0" w:after="0" w:line="240" w:lineRule="auto"/>
      </w:pPr>
      <w:r w:rsidRPr="00A40B47">
        <w:t xml:space="preserve">Si la o el infractor cubre dentro de los cinco días hábiles posteriores a la fecha de su infracción, la multa impuesta por falta de pago al servicio de </w:t>
      </w:r>
      <w:proofErr w:type="spellStart"/>
      <w:r w:rsidRPr="00A40B47">
        <w:t>estacionómetros</w:t>
      </w:r>
      <w:proofErr w:type="spellEnd"/>
      <w:r w:rsidRPr="00A40B47">
        <w:t xml:space="preserve">, se le otorgará una bonificación de un 50%. </w:t>
      </w:r>
    </w:p>
    <w:p w:rsidR="00B907C8" w:rsidRDefault="00B907C8" w:rsidP="00B907C8">
      <w:pPr>
        <w:pStyle w:val="Citas"/>
        <w:spacing w:before="0" w:after="0" w:line="240" w:lineRule="auto"/>
      </w:pPr>
    </w:p>
    <w:p w:rsidR="00B907C8" w:rsidRDefault="00A40B47" w:rsidP="00B907C8">
      <w:pPr>
        <w:pStyle w:val="Citas"/>
        <w:spacing w:before="0" w:after="0" w:line="240" w:lineRule="auto"/>
      </w:pPr>
      <w:r w:rsidRPr="00A40B47">
        <w:t xml:space="preserve">En el caso de multas por faltas a los preceptos de tránsito y vialidad se aplicará el descuento estipulado por el Reglamento de Tránsito Estatal vigente y el Código Administrativo del Estado de México, como a continuación se describe </w:t>
      </w:r>
    </w:p>
    <w:p w:rsidR="00B907C8" w:rsidRDefault="00A40B47" w:rsidP="00B907C8">
      <w:pPr>
        <w:pStyle w:val="Citas"/>
        <w:spacing w:before="0" w:after="0" w:line="240" w:lineRule="auto"/>
      </w:pPr>
      <w:r w:rsidRPr="00A40B47">
        <w:t xml:space="preserve">a. Durante los primeros tres días hábiles al día que en que se cometió la infracción: 70% de descuento; </w:t>
      </w:r>
    </w:p>
    <w:p w:rsidR="00B907C8" w:rsidRDefault="00A40B47" w:rsidP="00B907C8">
      <w:pPr>
        <w:pStyle w:val="Citas"/>
        <w:spacing w:before="0" w:after="0" w:line="240" w:lineRule="auto"/>
      </w:pPr>
      <w:r w:rsidRPr="00A40B47">
        <w:t xml:space="preserve">b. Después de los 3 días hábiles al día en que se cometió la infracción y dentro de los 10 días naturales posteriores: 50% de descuento; </w:t>
      </w:r>
    </w:p>
    <w:p w:rsidR="00B907C8" w:rsidRDefault="00A40B47" w:rsidP="00B907C8">
      <w:pPr>
        <w:pStyle w:val="Citas"/>
        <w:spacing w:before="0" w:after="0" w:line="240" w:lineRule="auto"/>
      </w:pPr>
      <w:r w:rsidRPr="00A40B47">
        <w:t xml:space="preserve">c. Después de 15 días posteriores a la infracción: no habrá descuento. </w:t>
      </w:r>
    </w:p>
    <w:p w:rsidR="00B907C8" w:rsidRDefault="00B907C8" w:rsidP="00B907C8">
      <w:pPr>
        <w:pStyle w:val="Citas"/>
        <w:spacing w:before="0" w:after="0" w:line="240" w:lineRule="auto"/>
      </w:pPr>
    </w:p>
    <w:p w:rsidR="00A40B47" w:rsidRDefault="00A40B47" w:rsidP="00B907C8">
      <w:pPr>
        <w:pStyle w:val="Citas"/>
        <w:spacing w:before="0" w:after="0" w:line="240" w:lineRule="auto"/>
      </w:pPr>
      <w:r w:rsidRPr="00A40B47">
        <w:t>En caso de que se presente un accidente de tránsito en el cual se produzcan daños al patrimonio municipal, el infractor deberá resarcir el daño con el pago que corresponda, el cual podrá ser cubierto en efectivo o en especie, previo avalúo de la autoridad competente.</w:t>
      </w:r>
    </w:p>
    <w:p w:rsidR="00B907C8" w:rsidRDefault="00B907C8" w:rsidP="00B907C8">
      <w:pPr>
        <w:pStyle w:val="Citas"/>
        <w:spacing w:before="0" w:after="0" w:line="240" w:lineRule="auto"/>
      </w:pPr>
    </w:p>
    <w:p w:rsidR="00A40B47" w:rsidRDefault="00A40B47" w:rsidP="00B907C8">
      <w:pPr>
        <w:pStyle w:val="Citas"/>
        <w:spacing w:before="0" w:after="0" w:line="240" w:lineRule="auto"/>
      </w:pPr>
      <w:r w:rsidRPr="00B907C8">
        <w:rPr>
          <w:b/>
        </w:rPr>
        <w:t>Artículo 112. En materia de alcoholimetría,</w:t>
      </w:r>
      <w:r w:rsidRPr="00A40B47">
        <w:t xml:space="preserve"> las autoridades municipales se sujetarán a lo establecido en la </w:t>
      </w:r>
      <w:r w:rsidRPr="00B907C8">
        <w:rPr>
          <w:b/>
        </w:rPr>
        <w:t>Ley General de Movilidad y Seguridad</w:t>
      </w:r>
      <w:r w:rsidRPr="00A40B47">
        <w:t xml:space="preserve"> Vial, el Reglamento de Tránsito del Estado de México, Código Administrativo del Estado de México, el Acuerdo General por el que se establece el Programa Permanente con Fines de Prevención de Accidentes Viales por la ingesta inmoderada de bebidas alcohólicas en el Estado de México, “Conduce sin Alcohol” y el presente Bando Municipal.</w:t>
      </w:r>
    </w:p>
    <w:p w:rsidR="00B907C8" w:rsidRDefault="00B907C8" w:rsidP="00B907C8">
      <w:pPr>
        <w:pStyle w:val="Citas"/>
        <w:spacing w:before="0" w:after="0" w:line="240" w:lineRule="auto"/>
      </w:pPr>
    </w:p>
    <w:p w:rsidR="00A40B47" w:rsidRPr="00B907C8" w:rsidRDefault="00A40B47" w:rsidP="00B907C8">
      <w:pPr>
        <w:pStyle w:val="Citas"/>
        <w:spacing w:before="0" w:after="0" w:line="240" w:lineRule="auto"/>
        <w:rPr>
          <w:b/>
        </w:rPr>
      </w:pPr>
      <w:r w:rsidRPr="00B907C8">
        <w:rPr>
          <w:b/>
        </w:rPr>
        <w:t>Artículo 113. Las infracciones previstas en la Ley de Prevención del Tabaquismo y de Protección ante la Exposición al Humo del Tabaco en el Estado de México</w:t>
      </w:r>
      <w:r w:rsidRPr="00A40B47">
        <w:t xml:space="preserve">, el Código Administrativo del Estado de México, el Código Financiero del Estado de México y Municipios, el Código para la Biodiversidad del Estado de México, otras leyes y reglamentos federales o estatales, </w:t>
      </w:r>
      <w:r w:rsidRPr="00B907C8">
        <w:rPr>
          <w:b/>
        </w:rPr>
        <w:t>serán sancionadas por las autoridades municipales conforme a sus atribuciones reglamentarias, fundamentando sus resoluciones en esas disposiciones legales.</w:t>
      </w:r>
    </w:p>
    <w:p w:rsidR="00B907C8" w:rsidRDefault="00B907C8" w:rsidP="00B907C8">
      <w:pPr>
        <w:pStyle w:val="Citas"/>
        <w:spacing w:before="0" w:after="0" w:line="240" w:lineRule="auto"/>
        <w:rPr>
          <w:lang w:val="es-ES"/>
        </w:rPr>
      </w:pPr>
    </w:p>
    <w:p w:rsidR="00B907C8" w:rsidRDefault="00A40B47" w:rsidP="00B907C8">
      <w:pPr>
        <w:pStyle w:val="Citas"/>
        <w:spacing w:before="0" w:after="0" w:line="240" w:lineRule="auto"/>
        <w:rPr>
          <w:lang w:val="es-ES"/>
        </w:rPr>
      </w:pPr>
      <w:r w:rsidRPr="00A40B47">
        <w:rPr>
          <w:lang w:val="es-ES"/>
        </w:rPr>
        <w:t xml:space="preserve">Artículo 114. Toda infracción cometida por una o un adolescente será causa de exhortación al transgresor y se citará a la persona que ejerza la patria potestad o tutela, quien mitigará el daño causado, en su caso. De no ser localizada la persona </w:t>
      </w:r>
      <w:r w:rsidRPr="00A40B47">
        <w:rPr>
          <w:lang w:val="es-ES"/>
        </w:rPr>
        <w:lastRenderedPageBreak/>
        <w:t xml:space="preserve">facultada para recoger al menor, o si ésta no se presentara en un término prudente, la autoridad municipal competente podrá decidir el retiro del menor, velando por el respeto a sus derechos fundamentales, la seguridad del mismo y atendiendo a la transgresión cometida. </w:t>
      </w:r>
    </w:p>
    <w:p w:rsidR="00B907C8" w:rsidRDefault="00B907C8" w:rsidP="00B907C8">
      <w:pPr>
        <w:pStyle w:val="Citas"/>
        <w:spacing w:before="0" w:after="0" w:line="240" w:lineRule="auto"/>
        <w:rPr>
          <w:lang w:val="es-ES"/>
        </w:rPr>
      </w:pPr>
    </w:p>
    <w:p w:rsidR="00A40B47" w:rsidRDefault="00A40B47" w:rsidP="00B907C8">
      <w:pPr>
        <w:pStyle w:val="Citas"/>
        <w:spacing w:before="0" w:after="0" w:line="240" w:lineRule="auto"/>
        <w:rPr>
          <w:lang w:val="es-ES"/>
        </w:rPr>
      </w:pPr>
      <w:r w:rsidRPr="00A40B47">
        <w:rPr>
          <w:lang w:val="es-ES"/>
        </w:rPr>
        <w:t>La o el Juez Cívico, en caso de que la persona probable infractora sea adolescente, considerará su trato en estricto</w:t>
      </w:r>
      <w:r w:rsidR="00B907C8">
        <w:rPr>
          <w:lang w:val="es-ES"/>
        </w:rPr>
        <w:t xml:space="preserve"> </w:t>
      </w:r>
      <w:r w:rsidR="00B907C8" w:rsidRPr="00B907C8">
        <w:rPr>
          <w:lang w:val="es-ES"/>
        </w:rPr>
        <w:t>apego a las disposiciones jurídicas aplicables en la materia y se sujetara a lo siguiente:</w:t>
      </w:r>
    </w:p>
    <w:p w:rsidR="00B907C8" w:rsidRDefault="00B907C8" w:rsidP="00B907C8">
      <w:pPr>
        <w:pStyle w:val="Citas"/>
        <w:spacing w:before="0" w:after="0" w:line="240" w:lineRule="auto"/>
      </w:pPr>
      <w:r>
        <w:rPr>
          <w:lang w:val="es-ES"/>
        </w:rPr>
        <w:t>…</w:t>
      </w:r>
    </w:p>
    <w:p w:rsidR="00B907C8" w:rsidRDefault="00B907C8" w:rsidP="00B907C8">
      <w:pPr>
        <w:pStyle w:val="Citas"/>
        <w:spacing w:before="0" w:after="0" w:line="240" w:lineRule="auto"/>
        <w:rPr>
          <w:b/>
          <w:lang w:val="es-ES"/>
        </w:rPr>
      </w:pPr>
    </w:p>
    <w:p w:rsidR="00A40B47" w:rsidRPr="00513771" w:rsidRDefault="00A40B47" w:rsidP="00B907C8">
      <w:pPr>
        <w:pStyle w:val="Citas"/>
        <w:spacing w:before="0" w:after="0" w:line="240" w:lineRule="auto"/>
        <w:rPr>
          <w:b/>
        </w:rPr>
      </w:pPr>
      <w:r w:rsidRPr="00A40B47">
        <w:rPr>
          <w:b/>
          <w:lang w:val="es-ES"/>
        </w:rPr>
        <w:t>Artículo 115.</w:t>
      </w:r>
      <w:r w:rsidRPr="00A40B47">
        <w:rPr>
          <w:lang w:val="es-ES"/>
        </w:rPr>
        <w:t xml:space="preserve"> </w:t>
      </w:r>
      <w:r w:rsidRPr="00513771">
        <w:rPr>
          <w:b/>
          <w:lang w:val="es-ES"/>
        </w:rPr>
        <w:t>Para la calificación de las infracciones en que incurran las personas físicas o jurídicas colectivas, la determinación de la sanción, así como el monto de la multa, la autoridad municipal competente deberá tomar como base la Unidad de Medida y Actualización vigente al momento de la infracción.</w:t>
      </w:r>
    </w:p>
    <w:p w:rsidR="00932EC4" w:rsidRDefault="00932EC4" w:rsidP="00C0731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932EC4" w:rsidRDefault="00932EC4" w:rsidP="00C0731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C0731C" w:rsidRDefault="00932EC4" w:rsidP="00C0731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Pr>
          <w:rFonts w:ascii="Palatino Linotype" w:eastAsia="Calibri" w:hAnsi="Palatino Linotype" w:cs="Calibri"/>
          <w:lang w:val="es-ES_tradnl" w:eastAsia="es-MX"/>
        </w:rPr>
        <w:t xml:space="preserve">Por otro lado, </w:t>
      </w:r>
      <w:r w:rsidR="00C0731C" w:rsidRPr="00F566FE">
        <w:rPr>
          <w:rFonts w:ascii="Palatino Linotype" w:eastAsia="Calibri" w:hAnsi="Palatino Linotype" w:cs="Calibri"/>
          <w:lang w:val="es-ES_tradnl" w:eastAsia="es-MX"/>
        </w:rPr>
        <w:t xml:space="preserve">resulta oportuno analizar el </w:t>
      </w:r>
      <w:r w:rsidR="00061D8C">
        <w:rPr>
          <w:rFonts w:ascii="Palatino Linotype" w:eastAsia="Calibri" w:hAnsi="Palatino Linotype" w:cs="Calibri"/>
          <w:lang w:val="es-ES_tradnl" w:eastAsia="es-MX"/>
        </w:rPr>
        <w:t>Manual de Organización de la Tesorería Municipal</w:t>
      </w:r>
      <w:r w:rsidR="00C0731C" w:rsidRPr="00F566FE">
        <w:rPr>
          <w:rFonts w:ascii="Palatino Linotype" w:eastAsia="Calibri" w:hAnsi="Palatino Linotype" w:cs="Calibri"/>
          <w:lang w:val="es-ES_tradnl" w:eastAsia="es-MX"/>
        </w:rPr>
        <w:t>:</w:t>
      </w:r>
    </w:p>
    <w:p w:rsidR="00061D8C" w:rsidRPr="004B099C" w:rsidRDefault="00061D8C" w:rsidP="00061D8C">
      <w:pPr>
        <w:pStyle w:val="Citas"/>
        <w:spacing w:line="240" w:lineRule="auto"/>
        <w:rPr>
          <w:b/>
          <w:sz w:val="24"/>
        </w:rPr>
      </w:pPr>
      <w:r w:rsidRPr="004B099C">
        <w:rPr>
          <w:b/>
          <w:sz w:val="24"/>
        </w:rPr>
        <w:t>202012005 Departamento de Control de Ingresos</w:t>
      </w:r>
    </w:p>
    <w:p w:rsidR="00061D8C" w:rsidRPr="004B099C" w:rsidRDefault="00061D8C" w:rsidP="00061D8C">
      <w:pPr>
        <w:pStyle w:val="Citas"/>
        <w:spacing w:line="240" w:lineRule="auto"/>
        <w:rPr>
          <w:b/>
          <w:sz w:val="24"/>
        </w:rPr>
      </w:pPr>
      <w:r w:rsidRPr="004B099C">
        <w:rPr>
          <w:b/>
          <w:sz w:val="24"/>
        </w:rPr>
        <w:t xml:space="preserve">Objetivo </w:t>
      </w:r>
    </w:p>
    <w:p w:rsidR="00061D8C" w:rsidRPr="004B099C" w:rsidRDefault="00061D8C" w:rsidP="00061D8C">
      <w:pPr>
        <w:pStyle w:val="Citas"/>
        <w:spacing w:line="240" w:lineRule="auto"/>
        <w:rPr>
          <w:sz w:val="24"/>
        </w:rPr>
      </w:pPr>
      <w:r w:rsidRPr="004B099C">
        <w:rPr>
          <w:sz w:val="24"/>
        </w:rPr>
        <w:t>Controlar, supervisar y reportar la cifra de ingresos recaudada en el municipio, obtenidos por obligaciones hacendarias, impuestos, derechos, aprovechamientos y demás ingresos municipales.</w:t>
      </w:r>
    </w:p>
    <w:p w:rsidR="00061D8C" w:rsidRPr="004B099C" w:rsidRDefault="00061D8C" w:rsidP="00061D8C">
      <w:pPr>
        <w:pStyle w:val="Citas"/>
        <w:spacing w:line="240" w:lineRule="auto"/>
        <w:rPr>
          <w:sz w:val="24"/>
        </w:rPr>
      </w:pPr>
      <w:r w:rsidRPr="004B099C">
        <w:rPr>
          <w:sz w:val="24"/>
        </w:rPr>
        <w:t>Funciones:</w:t>
      </w:r>
    </w:p>
    <w:p w:rsidR="00061D8C" w:rsidRPr="004B099C" w:rsidRDefault="00061D8C" w:rsidP="00061D8C">
      <w:pPr>
        <w:pStyle w:val="Citas"/>
        <w:spacing w:line="240" w:lineRule="auto"/>
        <w:rPr>
          <w:sz w:val="24"/>
        </w:rPr>
      </w:pPr>
      <w:r w:rsidRPr="004B099C">
        <w:rPr>
          <w:sz w:val="24"/>
        </w:rPr>
        <w:t>…</w:t>
      </w:r>
    </w:p>
    <w:p w:rsidR="00061D8C" w:rsidRPr="004B099C" w:rsidRDefault="00061D8C" w:rsidP="00061D8C">
      <w:pPr>
        <w:pStyle w:val="Citas"/>
        <w:spacing w:line="240" w:lineRule="auto"/>
        <w:rPr>
          <w:sz w:val="24"/>
        </w:rPr>
      </w:pPr>
      <w:r w:rsidRPr="004B099C">
        <w:rPr>
          <w:sz w:val="24"/>
        </w:rPr>
        <w:t xml:space="preserve">4. Resguardar, administrar y organizar la documentación comprobatoria del ingreso municipal;  </w:t>
      </w:r>
    </w:p>
    <w:p w:rsidR="00061D8C" w:rsidRPr="004B099C" w:rsidRDefault="00061D8C" w:rsidP="00061D8C">
      <w:pPr>
        <w:pStyle w:val="Citas"/>
        <w:spacing w:line="240" w:lineRule="auto"/>
        <w:rPr>
          <w:sz w:val="24"/>
        </w:rPr>
      </w:pPr>
      <w:r w:rsidRPr="004B099C">
        <w:rPr>
          <w:sz w:val="24"/>
        </w:rPr>
        <w:t xml:space="preserve">5. Integrar, sistematizar y actualizar el registro contable de ingresos captados diariamente por la administración pública municipal y reportar los saldos a la Dirección de Ingresos;  </w:t>
      </w:r>
    </w:p>
    <w:p w:rsidR="00061D8C" w:rsidRPr="004B099C" w:rsidRDefault="00061D8C" w:rsidP="00061D8C">
      <w:pPr>
        <w:pStyle w:val="Citas"/>
        <w:spacing w:line="240" w:lineRule="auto"/>
        <w:rPr>
          <w:sz w:val="24"/>
        </w:rPr>
      </w:pPr>
      <w:r w:rsidRPr="004B099C">
        <w:rPr>
          <w:sz w:val="24"/>
        </w:rPr>
        <w:lastRenderedPageBreak/>
        <w:t xml:space="preserve">6. Recibir, registrar y verificar los cortes de caja y corroborar que el total de recursos se deposite correctamente;  </w:t>
      </w:r>
    </w:p>
    <w:p w:rsidR="00061D8C" w:rsidRPr="004B099C" w:rsidRDefault="00061D8C" w:rsidP="00061D8C">
      <w:pPr>
        <w:pStyle w:val="Citas"/>
        <w:spacing w:line="240" w:lineRule="auto"/>
        <w:rPr>
          <w:sz w:val="24"/>
        </w:rPr>
      </w:pPr>
      <w:r w:rsidRPr="004B099C">
        <w:rPr>
          <w:sz w:val="24"/>
        </w:rPr>
        <w:t>…</w:t>
      </w:r>
    </w:p>
    <w:p w:rsidR="00061D8C" w:rsidRPr="004B099C" w:rsidRDefault="00061D8C" w:rsidP="00061D8C">
      <w:pPr>
        <w:pStyle w:val="Citas"/>
        <w:spacing w:line="240" w:lineRule="auto"/>
        <w:rPr>
          <w:sz w:val="24"/>
        </w:rPr>
      </w:pPr>
      <w:r w:rsidRPr="004B099C">
        <w:rPr>
          <w:sz w:val="24"/>
        </w:rPr>
        <w:t xml:space="preserve">8. Documentar, integrar y elaborar diariamente la póliza de ingresos;  </w:t>
      </w:r>
    </w:p>
    <w:p w:rsidR="00061D8C" w:rsidRPr="004B099C" w:rsidRDefault="00061D8C" w:rsidP="00061D8C">
      <w:pPr>
        <w:pStyle w:val="Citas"/>
        <w:spacing w:line="240" w:lineRule="auto"/>
        <w:rPr>
          <w:sz w:val="24"/>
        </w:rPr>
      </w:pPr>
      <w:r w:rsidRPr="004B099C">
        <w:rPr>
          <w:sz w:val="24"/>
        </w:rPr>
        <w:t>9. Integrar, elaborar y presentar mensualmente el Estado Comparativo Presupuestal de Ingresos.</w:t>
      </w:r>
    </w:p>
    <w:p w:rsidR="004B099C" w:rsidRPr="004B099C" w:rsidRDefault="004B099C" w:rsidP="00061D8C">
      <w:pPr>
        <w:pStyle w:val="Citas"/>
        <w:spacing w:line="240" w:lineRule="auto"/>
        <w:rPr>
          <w:b/>
          <w:sz w:val="24"/>
        </w:rPr>
      </w:pPr>
      <w:r w:rsidRPr="004B099C">
        <w:rPr>
          <w:b/>
          <w:sz w:val="24"/>
        </w:rPr>
        <w:t xml:space="preserve">202013003 Departamento de Programación y Control Presupuestal </w:t>
      </w:r>
    </w:p>
    <w:p w:rsidR="004B099C" w:rsidRPr="004B099C" w:rsidRDefault="004B099C" w:rsidP="00061D8C">
      <w:pPr>
        <w:pStyle w:val="Citas"/>
        <w:spacing w:line="240" w:lineRule="auto"/>
        <w:rPr>
          <w:b/>
          <w:sz w:val="24"/>
        </w:rPr>
      </w:pPr>
      <w:r w:rsidRPr="004B099C">
        <w:rPr>
          <w:b/>
          <w:sz w:val="24"/>
        </w:rPr>
        <w:t xml:space="preserve">Objetivo </w:t>
      </w:r>
    </w:p>
    <w:p w:rsidR="00061D8C" w:rsidRPr="004B099C" w:rsidRDefault="004B099C" w:rsidP="00061D8C">
      <w:pPr>
        <w:pStyle w:val="Citas"/>
        <w:spacing w:line="240" w:lineRule="auto"/>
        <w:rPr>
          <w:sz w:val="24"/>
        </w:rPr>
      </w:pPr>
      <w:r w:rsidRPr="004B099C">
        <w:rPr>
          <w:sz w:val="24"/>
        </w:rPr>
        <w:t>Establecer mecanismos de coordinación con las unidades administrativas para la integración del Presupuesto Anual de Egresos de la administración pública municipal, así como difundir la normatividad y procedimientos para el ejercicio y control eficiente del gasto.</w:t>
      </w:r>
    </w:p>
    <w:p w:rsidR="004B099C" w:rsidRPr="004B099C" w:rsidRDefault="004B099C" w:rsidP="00061D8C">
      <w:pPr>
        <w:pStyle w:val="Citas"/>
        <w:spacing w:line="240" w:lineRule="auto"/>
        <w:rPr>
          <w:sz w:val="24"/>
        </w:rPr>
      </w:pPr>
      <w:r w:rsidRPr="004B099C">
        <w:rPr>
          <w:sz w:val="24"/>
          <w:u w:val="single"/>
        </w:rPr>
        <w:t>1. Integrar y presentar el Anteproyecto, Proyecto y Presupuesto de Egresos Definitivo Anual de la administración pública municipal</w:t>
      </w:r>
      <w:r w:rsidRPr="004B099C">
        <w:rPr>
          <w:sz w:val="24"/>
        </w:rPr>
        <w:t xml:space="preserve">, someterlo a consideración de la Dirección de Egresos, para su posterior presentación al H. Cabildo a efecto de que se apruebe, en las tres etapas;  </w:t>
      </w:r>
    </w:p>
    <w:p w:rsidR="004B099C" w:rsidRPr="004B099C" w:rsidRDefault="004B099C" w:rsidP="00061D8C">
      <w:pPr>
        <w:pStyle w:val="Citas"/>
        <w:spacing w:line="240" w:lineRule="auto"/>
        <w:rPr>
          <w:sz w:val="24"/>
        </w:rPr>
      </w:pPr>
      <w:r w:rsidRPr="004B099C">
        <w:rPr>
          <w:sz w:val="24"/>
        </w:rPr>
        <w:t xml:space="preserve">2. Planear, organizar y proporcionar las asesorías en materia presupuestal a las unidades administrativas que integran la administración pública municipal para la elaboración de sus respectivos presupuestos;  </w:t>
      </w:r>
    </w:p>
    <w:p w:rsidR="004B099C" w:rsidRPr="004B099C" w:rsidRDefault="004B099C" w:rsidP="00061D8C">
      <w:pPr>
        <w:pStyle w:val="Citas"/>
        <w:spacing w:line="240" w:lineRule="auto"/>
        <w:rPr>
          <w:sz w:val="24"/>
          <w:u w:val="single"/>
        </w:rPr>
      </w:pPr>
      <w:r w:rsidRPr="004B099C">
        <w:rPr>
          <w:sz w:val="24"/>
          <w:u w:val="single"/>
        </w:rPr>
        <w:t xml:space="preserve">3. Elaborar y presentar el análisis del presupuesto de egresos para realizar proyecciones de cierre del ejercicio fiscal;  </w:t>
      </w:r>
    </w:p>
    <w:p w:rsidR="004B099C" w:rsidRPr="004B099C" w:rsidRDefault="004B099C" w:rsidP="00061D8C">
      <w:pPr>
        <w:pStyle w:val="Citas"/>
        <w:spacing w:line="240" w:lineRule="auto"/>
        <w:rPr>
          <w:sz w:val="24"/>
        </w:rPr>
      </w:pPr>
      <w:r>
        <w:rPr>
          <w:sz w:val="24"/>
        </w:rPr>
        <w:t>…</w:t>
      </w:r>
    </w:p>
    <w:p w:rsidR="004B099C" w:rsidRPr="004B099C" w:rsidRDefault="004B099C" w:rsidP="00061D8C">
      <w:pPr>
        <w:pStyle w:val="Citas"/>
        <w:spacing w:line="240" w:lineRule="auto"/>
        <w:rPr>
          <w:sz w:val="24"/>
        </w:rPr>
      </w:pPr>
      <w:r w:rsidRPr="004B099C">
        <w:rPr>
          <w:sz w:val="24"/>
        </w:rPr>
        <w:t xml:space="preserve">5. Recibir y revisar presupuestalmente los requisitos generales de los formatos de Suficiencia Presupuestal de Adquisición de Bienes y de Servicios, para la validación por parte de la o el titular de la Dirección de Egresos;  </w:t>
      </w:r>
    </w:p>
    <w:p w:rsidR="004B099C" w:rsidRPr="004B099C" w:rsidRDefault="004B099C" w:rsidP="00061D8C">
      <w:pPr>
        <w:pStyle w:val="Citas"/>
        <w:spacing w:line="240" w:lineRule="auto"/>
        <w:rPr>
          <w:sz w:val="24"/>
        </w:rPr>
      </w:pPr>
      <w:r w:rsidRPr="004B099C">
        <w:rPr>
          <w:sz w:val="24"/>
        </w:rPr>
        <w:t xml:space="preserve">6. Ejecutar la revisión presupuestal de los requisitos fiscales y firmas, de los fondos fijos ingresados por las dependencias que les fue autorizado; </w:t>
      </w:r>
    </w:p>
    <w:p w:rsidR="004B099C" w:rsidRPr="004B099C" w:rsidRDefault="004B099C" w:rsidP="00061D8C">
      <w:pPr>
        <w:pStyle w:val="Citas"/>
        <w:spacing w:line="240" w:lineRule="auto"/>
        <w:rPr>
          <w:sz w:val="24"/>
        </w:rPr>
      </w:pPr>
      <w:r w:rsidRPr="004B099C">
        <w:rPr>
          <w:sz w:val="24"/>
        </w:rPr>
        <w:lastRenderedPageBreak/>
        <w:t xml:space="preserve">7. Administrar y controlar la autorización presupuestal mediante el sello y folio, de los formatos de Suficiencia Presupuestal de Adquisición de Bienes y de Servicios;  </w:t>
      </w:r>
    </w:p>
    <w:p w:rsidR="004B099C" w:rsidRPr="004B099C" w:rsidRDefault="004B099C" w:rsidP="00061D8C">
      <w:pPr>
        <w:pStyle w:val="Citas"/>
        <w:spacing w:line="240" w:lineRule="auto"/>
        <w:rPr>
          <w:sz w:val="24"/>
        </w:rPr>
      </w:pPr>
      <w:r w:rsidRPr="004B099C">
        <w:rPr>
          <w:sz w:val="24"/>
        </w:rPr>
        <w:t xml:space="preserve">8. Recibir y analizar las solicitudes de adecuación o traspasos presupuestales internos y externos, para autorización de la Dirección de Egresos y validación de la o el titular de la Tesorería Municipal o bien, para su análisis y aprobación del H. Cabildo, según sea el caso;  </w:t>
      </w:r>
    </w:p>
    <w:p w:rsidR="004B099C" w:rsidRPr="004B099C" w:rsidRDefault="004B099C" w:rsidP="00061D8C">
      <w:pPr>
        <w:pStyle w:val="Citas"/>
        <w:spacing w:line="240" w:lineRule="auto"/>
        <w:rPr>
          <w:sz w:val="24"/>
        </w:rPr>
      </w:pPr>
      <w:r w:rsidRPr="004B099C">
        <w:rPr>
          <w:sz w:val="24"/>
        </w:rPr>
        <w:t>9</w:t>
      </w:r>
      <w:r w:rsidRPr="004B099C">
        <w:rPr>
          <w:sz w:val="24"/>
          <w:u w:val="single"/>
        </w:rPr>
        <w:t>. Analizar el avance presupuestal/financiero de los programas de gasto corriente de las dependencias municipales e informar de los resultados a la Dirección de Egresos</w:t>
      </w:r>
      <w:r w:rsidRPr="004B099C">
        <w:rPr>
          <w:sz w:val="24"/>
        </w:rPr>
        <w:t xml:space="preserve">, para que en su caso se propongan a la o el titular de la Tesorería Municipal las medidas de control necesarias;  </w:t>
      </w:r>
    </w:p>
    <w:p w:rsidR="004B099C" w:rsidRPr="004B099C" w:rsidRDefault="004B099C" w:rsidP="00061D8C">
      <w:pPr>
        <w:pStyle w:val="Citas"/>
        <w:spacing w:line="240" w:lineRule="auto"/>
        <w:rPr>
          <w:sz w:val="24"/>
        </w:rPr>
      </w:pPr>
      <w:r w:rsidRPr="004B099C">
        <w:rPr>
          <w:sz w:val="24"/>
        </w:rPr>
        <w:t xml:space="preserve">10. Validar en conjunto con la Unidad de Información, Planeación, Programación y Evaluación los proyectos y programas municipales, en materia del control y programación presupuestal;  </w:t>
      </w:r>
    </w:p>
    <w:p w:rsidR="004B099C" w:rsidRPr="004B099C" w:rsidRDefault="004B099C" w:rsidP="00061D8C">
      <w:pPr>
        <w:pStyle w:val="Citas"/>
        <w:spacing w:line="240" w:lineRule="auto"/>
        <w:rPr>
          <w:sz w:val="24"/>
        </w:rPr>
      </w:pPr>
      <w:r w:rsidRPr="004B099C">
        <w:rPr>
          <w:sz w:val="24"/>
        </w:rPr>
        <w:t xml:space="preserve">11. Realizar la afectación presupuestal de la documentación y/o comprobantes de los pagos, para turnarla al Departamento de Recursos Propios para la elaboración del pago correspondiente; y  </w:t>
      </w:r>
    </w:p>
    <w:p w:rsidR="004B099C" w:rsidRPr="004B099C" w:rsidRDefault="004B099C" w:rsidP="00061D8C">
      <w:pPr>
        <w:pStyle w:val="Citas"/>
        <w:spacing w:line="240" w:lineRule="auto"/>
        <w:rPr>
          <w:sz w:val="24"/>
        </w:rPr>
      </w:pPr>
      <w:r>
        <w:rPr>
          <w:sz w:val="24"/>
        </w:rPr>
        <w:t>…</w:t>
      </w:r>
    </w:p>
    <w:p w:rsidR="00061D8C" w:rsidRPr="00F566FE" w:rsidRDefault="00061D8C" w:rsidP="00061D8C">
      <w:pPr>
        <w:pStyle w:val="Citas"/>
        <w:spacing w:line="240" w:lineRule="auto"/>
      </w:pPr>
    </w:p>
    <w:p w:rsidR="00C0731C" w:rsidRDefault="004B099C" w:rsidP="00C0731C">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Por otro lado, el Manual de Organización de la Dirección General de Seguridad y Protección establece lo siguiente:</w:t>
      </w:r>
    </w:p>
    <w:p w:rsidR="004B099C" w:rsidRDefault="004B099C" w:rsidP="00513771">
      <w:pPr>
        <w:pStyle w:val="Citas"/>
        <w:spacing w:before="0" w:after="0" w:line="240" w:lineRule="auto"/>
      </w:pPr>
      <w:r w:rsidRPr="004B099C">
        <w:t xml:space="preserve">Artículo 3.39 bis La o el titular de la Dirección de Sustentabilidad Vial tiene las siguientes atribuciones: </w:t>
      </w:r>
    </w:p>
    <w:p w:rsidR="004B099C" w:rsidRDefault="004B099C" w:rsidP="00513771">
      <w:pPr>
        <w:pStyle w:val="Citas"/>
        <w:numPr>
          <w:ilvl w:val="0"/>
          <w:numId w:val="12"/>
        </w:numPr>
        <w:spacing w:before="0" w:after="0" w:line="240" w:lineRule="auto"/>
      </w:pPr>
      <w:r w:rsidRPr="004B099C">
        <w:t xml:space="preserve">Planear y estructurar proyectos de infraestructura vial; </w:t>
      </w:r>
    </w:p>
    <w:p w:rsidR="004B099C" w:rsidRDefault="004B099C" w:rsidP="00513771">
      <w:pPr>
        <w:pStyle w:val="Citas"/>
        <w:spacing w:before="0" w:after="0" w:line="240" w:lineRule="auto"/>
      </w:pPr>
      <w:r>
        <w:t>…</w:t>
      </w:r>
    </w:p>
    <w:p w:rsidR="004B099C" w:rsidRDefault="004B099C" w:rsidP="00513771">
      <w:pPr>
        <w:pStyle w:val="Citas"/>
        <w:numPr>
          <w:ilvl w:val="0"/>
          <w:numId w:val="11"/>
        </w:numPr>
        <w:spacing w:before="0" w:after="0" w:line="240" w:lineRule="auto"/>
      </w:pPr>
      <w:r w:rsidRPr="004B099C">
        <w:t xml:space="preserve">Modernizar los procesos de infracciones, </w:t>
      </w:r>
      <w:proofErr w:type="spellStart"/>
      <w:r w:rsidRPr="004B099C">
        <w:t>estacionómetros</w:t>
      </w:r>
      <w:proofErr w:type="spellEnd"/>
      <w:r w:rsidRPr="004B099C">
        <w:t>, semáforos y bicicleta</w:t>
      </w:r>
    </w:p>
    <w:p w:rsidR="004B099C" w:rsidRDefault="004B099C" w:rsidP="00513771">
      <w:pPr>
        <w:pStyle w:val="Citas"/>
        <w:spacing w:before="0" w:after="0" w:line="240" w:lineRule="auto"/>
        <w:rPr>
          <w:b/>
        </w:rPr>
      </w:pPr>
      <w:r w:rsidRPr="004B099C">
        <w:rPr>
          <w:b/>
        </w:rPr>
        <w:t xml:space="preserve">205016002 Departamento de Infracciones  </w:t>
      </w:r>
    </w:p>
    <w:p w:rsidR="004B099C" w:rsidRDefault="004B099C" w:rsidP="00513771">
      <w:pPr>
        <w:pStyle w:val="Citas"/>
        <w:spacing w:before="0" w:after="0" w:line="240" w:lineRule="auto"/>
      </w:pPr>
      <w:r w:rsidRPr="004B099C">
        <w:t xml:space="preserve">Objetivo: </w:t>
      </w:r>
    </w:p>
    <w:p w:rsidR="004B099C" w:rsidRDefault="004B099C" w:rsidP="00513771">
      <w:pPr>
        <w:pStyle w:val="Citas"/>
        <w:spacing w:before="0" w:after="0" w:line="240" w:lineRule="auto"/>
      </w:pPr>
      <w:r w:rsidRPr="004B099C">
        <w:t xml:space="preserve">Administrar, operar y controlar los sistemas tecnológicos, almacenes de datos y resguardo de documentos oficiales físicos que se generan derivado de la imposición de multas por infracciones de tránsito. </w:t>
      </w:r>
    </w:p>
    <w:p w:rsidR="004B099C" w:rsidRDefault="004B099C" w:rsidP="00513771">
      <w:pPr>
        <w:pStyle w:val="Citas"/>
        <w:spacing w:before="0" w:after="0" w:line="240" w:lineRule="auto"/>
      </w:pPr>
      <w:r w:rsidRPr="004B099C">
        <w:lastRenderedPageBreak/>
        <w:t>Funciones:</w:t>
      </w:r>
    </w:p>
    <w:p w:rsidR="00A6520B" w:rsidRDefault="00A6520B" w:rsidP="00513771">
      <w:pPr>
        <w:pStyle w:val="Citas"/>
        <w:spacing w:before="0" w:after="0" w:line="240" w:lineRule="auto"/>
      </w:pPr>
      <w:r>
        <w:t>…</w:t>
      </w:r>
    </w:p>
    <w:p w:rsidR="00A6520B" w:rsidRPr="00A6520B" w:rsidRDefault="00A6520B" w:rsidP="00513771">
      <w:pPr>
        <w:pStyle w:val="Citas"/>
        <w:spacing w:before="0" w:after="0" w:line="240" w:lineRule="auto"/>
        <w:rPr>
          <w:b/>
        </w:rPr>
      </w:pPr>
      <w:r w:rsidRPr="00A6520B">
        <w:rPr>
          <w:b/>
        </w:rPr>
        <w:t xml:space="preserve">5. Supervisar que sea integrado de forma diligente el almacén de datos y de documentos retenidos por infracción, para su correcto registro, control y posterior liberación;  </w:t>
      </w:r>
    </w:p>
    <w:p w:rsidR="00A6520B" w:rsidRDefault="00A6520B" w:rsidP="00513771">
      <w:pPr>
        <w:pStyle w:val="Citas"/>
        <w:spacing w:before="0" w:after="0" w:line="240" w:lineRule="auto"/>
      </w:pPr>
      <w:r>
        <w:t>…</w:t>
      </w:r>
    </w:p>
    <w:p w:rsidR="00A6520B" w:rsidRDefault="00A6520B" w:rsidP="00513771">
      <w:pPr>
        <w:pStyle w:val="Citas"/>
        <w:spacing w:before="0" w:after="0" w:line="240" w:lineRule="auto"/>
      </w:pPr>
      <w:r>
        <w:t xml:space="preserve">9. </w:t>
      </w:r>
      <w:r w:rsidRPr="00A6520B">
        <w:t xml:space="preserve">Supervisar la integración de la base de datos de infracciones, el resguardo correcto de los documentos retenidos, así como su liberación una vez realizado el pago de la multa respectiva ante la Tesorería Municipal, cuidando la trazabilidad y </w:t>
      </w:r>
      <w:proofErr w:type="spellStart"/>
      <w:r w:rsidRPr="00A6520B">
        <w:t>auditabilidad</w:t>
      </w:r>
      <w:proofErr w:type="spellEnd"/>
      <w:r w:rsidRPr="00A6520B">
        <w:t xml:space="preserve"> de la información;   </w:t>
      </w:r>
    </w:p>
    <w:p w:rsidR="00A6520B" w:rsidRDefault="00A6520B" w:rsidP="00513771">
      <w:pPr>
        <w:pStyle w:val="Citas"/>
        <w:spacing w:before="0" w:after="0" w:line="240" w:lineRule="auto"/>
      </w:pPr>
      <w:r w:rsidRPr="00A6520B">
        <w:rPr>
          <w:b/>
        </w:rPr>
        <w:t xml:space="preserve">10. Calificar las infracciones de tránsito, determinando el monto a pagar ante la Tesorería Municipal emitiendo la orden de pago </w:t>
      </w:r>
      <w:r w:rsidRPr="00A6520B">
        <w:t>respectiva en apego estricto de las disposiciones de la normatividad aplicable, evitando así la discrecionalidad; y</w:t>
      </w:r>
    </w:p>
    <w:p w:rsidR="00513771" w:rsidRPr="004B099C" w:rsidRDefault="00513771" w:rsidP="00513771">
      <w:pPr>
        <w:pStyle w:val="Citas"/>
        <w:spacing w:before="0" w:after="0" w:line="240" w:lineRule="auto"/>
      </w:pPr>
      <w:r>
        <w:rPr>
          <w:b/>
        </w:rPr>
        <w:t>…</w:t>
      </w:r>
    </w:p>
    <w:p w:rsidR="00A53525" w:rsidRDefault="00A53525" w:rsidP="00A6520B">
      <w:pPr>
        <w:widowControl w:val="0"/>
        <w:spacing w:line="360" w:lineRule="auto"/>
        <w:jc w:val="both"/>
        <w:rPr>
          <w:rFonts w:ascii="Palatino Linotype" w:hAnsi="Palatino Linotype"/>
        </w:rPr>
      </w:pPr>
    </w:p>
    <w:p w:rsidR="00A53525" w:rsidRDefault="00A53525" w:rsidP="00A53525">
      <w:pPr>
        <w:widowControl w:val="0"/>
        <w:spacing w:line="360" w:lineRule="auto"/>
        <w:jc w:val="both"/>
        <w:rPr>
          <w:rFonts w:ascii="Palatino Linotype" w:hAnsi="Palatino Linotype"/>
        </w:rPr>
      </w:pPr>
      <w:r>
        <w:rPr>
          <w:rFonts w:ascii="Palatino Linotype" w:hAnsi="Palatino Linotype"/>
        </w:rPr>
        <w:t xml:space="preserve">Por otro lado, la Tesorería omitió pronunciarse respecto al requerimiento </w:t>
      </w:r>
      <w:r>
        <w:rPr>
          <w:rFonts w:ascii="Palatino Linotype" w:hAnsi="Palatino Linotype"/>
          <w:i/>
        </w:rPr>
        <w:t xml:space="preserve">“como se invirtió”, </w:t>
      </w:r>
      <w:r>
        <w:rPr>
          <w:rFonts w:ascii="Palatino Linotype" w:hAnsi="Palatino Linotype"/>
        </w:rPr>
        <w:t>d</w:t>
      </w:r>
      <w:r>
        <w:rPr>
          <w:rFonts w:ascii="Palatino Linotype" w:eastAsia="Palatino Linotype" w:hAnsi="Palatino Linotype" w:cs="Palatino Linotype"/>
          <w:color w:val="000000"/>
        </w:rPr>
        <w:t xml:space="preserve">e lo anterior, se tiene que cada área del ayuntamiento se encarga de realizar un anteproyecto de presupuesto con base a resultados de la dependencia a su cargo. </w:t>
      </w:r>
      <w:r w:rsidRPr="00513771">
        <w:rPr>
          <w:rFonts w:ascii="Palatino Linotype" w:eastAsia="Palatino Linotype" w:hAnsi="Palatino Linotype" w:cs="Palatino Linotype"/>
          <w:color w:val="000000"/>
        </w:rPr>
        <w:t xml:space="preserve">Sin embargo, quien se encarga de </w:t>
      </w:r>
      <w:r w:rsidRPr="00513771">
        <w:rPr>
          <w:rFonts w:ascii="Palatino Linotype" w:hAnsi="Palatino Linotype"/>
        </w:rPr>
        <w:t xml:space="preserve">coordinar la </w:t>
      </w:r>
      <w:proofErr w:type="spellStart"/>
      <w:r w:rsidRPr="00513771">
        <w:rPr>
          <w:rFonts w:ascii="Palatino Linotype" w:hAnsi="Palatino Linotype"/>
        </w:rPr>
        <w:t>presupuestación</w:t>
      </w:r>
      <w:proofErr w:type="spellEnd"/>
      <w:r w:rsidRPr="00513771">
        <w:rPr>
          <w:rFonts w:ascii="Palatino Linotype" w:hAnsi="Palatino Linotype"/>
        </w:rPr>
        <w:t>, programación y ejercicio del gasto de la Administración Pública Municipal es la Tesorería.</w:t>
      </w:r>
    </w:p>
    <w:p w:rsidR="00A6520B" w:rsidRDefault="00A6520B" w:rsidP="00A6520B">
      <w:pPr>
        <w:widowControl w:val="0"/>
        <w:spacing w:line="360" w:lineRule="auto"/>
        <w:jc w:val="both"/>
        <w:rPr>
          <w:rFonts w:ascii="Palatino Linotype" w:eastAsia="Palatino Linotype" w:hAnsi="Palatino Linotype" w:cs="Palatino Linotype"/>
          <w:color w:val="000000"/>
        </w:rPr>
      </w:pPr>
    </w:p>
    <w:p w:rsidR="00A6520B" w:rsidRPr="00C544BF" w:rsidRDefault="00A6520B" w:rsidP="00A6520B">
      <w:pPr>
        <w:widowControl w:val="0"/>
        <w:spacing w:line="360" w:lineRule="auto"/>
        <w:jc w:val="both"/>
        <w:rPr>
          <w:rFonts w:ascii="Palatino Linotype" w:eastAsia="Palatino Linotype" w:hAnsi="Palatino Linotype" w:cs="Palatino Linotype"/>
          <w:b/>
          <w:color w:val="000000"/>
          <w:u w:val="single"/>
        </w:rPr>
      </w:pPr>
      <w:r w:rsidRPr="00C544BF">
        <w:rPr>
          <w:rFonts w:ascii="Palatino Linotype" w:eastAsia="Palatino Linotype" w:hAnsi="Palatino Linotype" w:cs="Palatino Linotype"/>
          <w:b/>
          <w:color w:val="000000"/>
          <w:u w:val="single"/>
        </w:rPr>
        <w:t>Existen 4 tipos de clasificaciones del gasto público:</w:t>
      </w:r>
    </w:p>
    <w:p w:rsidR="00A6520B" w:rsidRPr="003B3A48" w:rsidRDefault="00A6520B" w:rsidP="00A6520B">
      <w:pPr>
        <w:pStyle w:val="Prrafodelista"/>
        <w:numPr>
          <w:ilvl w:val="3"/>
          <w:numId w:val="13"/>
        </w:numPr>
        <w:spacing w:line="360" w:lineRule="auto"/>
        <w:ind w:left="567"/>
        <w:jc w:val="both"/>
        <w:rPr>
          <w:rFonts w:ascii="Palatino Linotype" w:eastAsia="Calibri" w:hAnsi="Palatino Linotype"/>
        </w:rPr>
      </w:pPr>
      <w:r w:rsidRPr="00DA6F19">
        <w:rPr>
          <w:rFonts w:ascii="Palatino Linotype" w:eastAsia="Palatino Linotype" w:hAnsi="Palatino Linotype" w:cs="Palatino Linotype"/>
          <w:b/>
          <w:color w:val="000000"/>
        </w:rPr>
        <w:t xml:space="preserve">Administrativa: </w:t>
      </w:r>
      <w:r w:rsidRPr="003B3A48">
        <w:rPr>
          <w:rFonts w:ascii="Palatino Linotype" w:eastAsia="Palatino Linotype" w:hAnsi="Palatino Linotype" w:cs="Palatino Linotype"/>
          <w:color w:val="000000"/>
        </w:rPr>
        <w:t xml:space="preserve">nos permite saber quién gasta. </w:t>
      </w:r>
      <w:r w:rsidRPr="003B3A48">
        <w:rPr>
          <w:rFonts w:ascii="Palatino Linotype" w:hAnsi="Palatino Linotype"/>
        </w:rPr>
        <w:t>la clasificación administrativa organiza a las dependencias y entidades públicas en </w:t>
      </w:r>
      <w:r w:rsidRPr="003B3A48">
        <w:rPr>
          <w:rFonts w:ascii="Palatino Linotype" w:hAnsi="Palatino Linotype"/>
          <w:b/>
          <w:bCs/>
        </w:rPr>
        <w:t>Ramos presupuestales</w:t>
      </w:r>
      <w:r w:rsidRPr="003B3A48">
        <w:rPr>
          <w:rFonts w:ascii="Palatino Linotype" w:hAnsi="Palatino Linotype"/>
        </w:rPr>
        <w:t xml:space="preserve"> y se desagrega por la Unidades Responsables que los conforman. </w:t>
      </w:r>
      <w:r w:rsidRPr="003B3A48">
        <w:rPr>
          <w:rFonts w:ascii="Palatino Linotype" w:eastAsia="Calibri" w:hAnsi="Palatino Linotype"/>
        </w:rPr>
        <w:t>Con la finalidad de simplificar y designar a un responsable directo de la ejecución de los recursos en cada Ramo, se cuenta con la </w:t>
      </w:r>
      <w:r w:rsidRPr="003B3A48">
        <w:rPr>
          <w:rFonts w:ascii="Palatino Linotype" w:eastAsia="Calibri" w:hAnsi="Palatino Linotype"/>
          <w:b/>
          <w:bCs/>
        </w:rPr>
        <w:t>Unidad Responsable (UR)</w:t>
      </w:r>
      <w:r w:rsidRPr="003B3A48">
        <w:rPr>
          <w:rFonts w:ascii="Palatino Linotype" w:eastAsia="Calibri" w:hAnsi="Palatino Linotype"/>
        </w:rPr>
        <w:t>. Conceptualmente, una UR es la unidad mínima a la que se </w:t>
      </w:r>
      <w:r w:rsidRPr="003B3A48">
        <w:rPr>
          <w:rFonts w:ascii="Palatino Linotype" w:eastAsia="Calibri" w:hAnsi="Palatino Linotype"/>
          <w:b/>
          <w:bCs/>
        </w:rPr>
        <w:t>dota de asignación presupuestaria</w:t>
      </w:r>
      <w:r w:rsidRPr="003B3A48">
        <w:rPr>
          <w:rFonts w:ascii="Palatino Linotype" w:eastAsia="Calibri" w:hAnsi="Palatino Linotype"/>
        </w:rPr>
        <w:t xml:space="preserve">. Usualmente corresponde a las unidades administrativas de las dependencias, a </w:t>
      </w:r>
      <w:r w:rsidRPr="003B3A48">
        <w:rPr>
          <w:rFonts w:ascii="Palatino Linotype" w:eastAsia="Calibri" w:hAnsi="Palatino Linotype"/>
        </w:rPr>
        <w:lastRenderedPageBreak/>
        <w:t>las entidades paraestatales, o bien a las unidades administrativas responsables de los ramos generales.</w:t>
      </w:r>
    </w:p>
    <w:p w:rsidR="00A6520B" w:rsidRPr="003B3A48" w:rsidRDefault="00A6520B" w:rsidP="00A6520B">
      <w:pPr>
        <w:pStyle w:val="Prrafodelista"/>
        <w:widowControl w:val="0"/>
        <w:numPr>
          <w:ilvl w:val="3"/>
          <w:numId w:val="13"/>
        </w:numPr>
        <w:spacing w:line="360" w:lineRule="auto"/>
        <w:ind w:left="567"/>
        <w:jc w:val="both"/>
        <w:rPr>
          <w:rFonts w:ascii="Palatino Linotype" w:eastAsia="Palatino Linotype" w:hAnsi="Palatino Linotype" w:cs="Palatino Linotype"/>
          <w:color w:val="000000"/>
        </w:rPr>
      </w:pPr>
      <w:r w:rsidRPr="00DA6F19">
        <w:rPr>
          <w:rFonts w:ascii="Palatino Linotype" w:eastAsia="Palatino Linotype" w:hAnsi="Palatino Linotype" w:cs="Palatino Linotype"/>
          <w:b/>
          <w:color w:val="000000"/>
          <w:u w:val="single"/>
        </w:rPr>
        <w:t xml:space="preserve">Funcional y programática: </w:t>
      </w:r>
      <w:r w:rsidRPr="00DA6F19">
        <w:rPr>
          <w:rFonts w:ascii="Palatino Linotype" w:hAnsi="Palatino Linotype"/>
        </w:rPr>
        <w:t>Con</w:t>
      </w:r>
      <w:r w:rsidRPr="00A35753">
        <w:rPr>
          <w:rFonts w:ascii="Palatino Linotype" w:hAnsi="Palatino Linotype"/>
        </w:rPr>
        <w:t xml:space="preserve"> la primera</w:t>
      </w:r>
      <w:r>
        <w:rPr>
          <w:rFonts w:ascii="Palatino Linotype" w:hAnsi="Palatino Linotype"/>
        </w:rPr>
        <w:t xml:space="preserve"> </w:t>
      </w:r>
      <w:r w:rsidRPr="00A35753">
        <w:rPr>
          <w:rFonts w:ascii="Palatino Linotype" w:hAnsi="Palatino Linotype"/>
        </w:rPr>
        <w:t xml:space="preserve">podemos ubicar el gasto utilizado para cubrir con ciertas </w:t>
      </w:r>
      <w:r w:rsidRPr="00314052">
        <w:rPr>
          <w:rFonts w:ascii="Palatino Linotype" w:hAnsi="Palatino Linotype"/>
          <w:b/>
          <w:u w:val="single"/>
        </w:rPr>
        <w:t xml:space="preserve">funciones, finalidades y </w:t>
      </w:r>
      <w:proofErr w:type="spellStart"/>
      <w:r w:rsidRPr="00314052">
        <w:rPr>
          <w:rFonts w:ascii="Palatino Linotype" w:hAnsi="Palatino Linotype"/>
          <w:b/>
          <w:u w:val="single"/>
        </w:rPr>
        <w:t>subfunciones</w:t>
      </w:r>
      <w:proofErr w:type="spellEnd"/>
      <w:r w:rsidRPr="00A35753">
        <w:rPr>
          <w:rFonts w:ascii="Palatino Linotype" w:hAnsi="Palatino Linotype"/>
        </w:rPr>
        <w:t xml:space="preserve">. </w:t>
      </w:r>
      <w:r w:rsidRPr="00C544BF">
        <w:rPr>
          <w:rFonts w:ascii="Palatino Linotype" w:hAnsi="Palatino Linotype"/>
          <w:b/>
          <w:u w:val="single"/>
        </w:rPr>
        <w:t>Su objetivo primordial es presentar una descripción que permita informar sobre la naturaleza de los servicios gubernamentales y la proporción del gasto que se destina a cada tipo de servicio</w:t>
      </w:r>
      <w:r w:rsidRPr="00A35753">
        <w:rPr>
          <w:rFonts w:ascii="Palatino Linotype" w:hAnsi="Palatino Linotype"/>
        </w:rPr>
        <w:t xml:space="preserve"> y,</w:t>
      </w:r>
      <w:r>
        <w:rPr>
          <w:rFonts w:ascii="Palatino Linotype" w:hAnsi="Palatino Linotype"/>
        </w:rPr>
        <w:t xml:space="preserve"> </w:t>
      </w:r>
      <w:r w:rsidRPr="00A35753">
        <w:rPr>
          <w:rFonts w:ascii="Palatino Linotype" w:hAnsi="Palatino Linotype"/>
        </w:rPr>
        <w:t>por su parte, la programática divide el gasto público en modalidades y se les asigna una</w:t>
      </w:r>
      <w:r>
        <w:rPr>
          <w:rFonts w:ascii="Palatino Linotype" w:hAnsi="Palatino Linotype"/>
        </w:rPr>
        <w:t xml:space="preserve"> </w:t>
      </w:r>
      <w:r w:rsidRPr="00A35753">
        <w:rPr>
          <w:rFonts w:ascii="Palatino Linotype" w:hAnsi="Palatino Linotype"/>
        </w:rPr>
        <w:t>clave</w:t>
      </w:r>
      <w:r>
        <w:rPr>
          <w:rFonts w:ascii="Palatino Linotype" w:hAnsi="Palatino Linotype"/>
        </w:rPr>
        <w:t>.</w:t>
      </w:r>
    </w:p>
    <w:p w:rsidR="00A6520B" w:rsidRDefault="00A6520B" w:rsidP="00A6520B">
      <w:pPr>
        <w:pStyle w:val="Prrafodelista"/>
        <w:widowControl w:val="0"/>
        <w:spacing w:line="360" w:lineRule="auto"/>
        <w:ind w:left="567"/>
        <w:jc w:val="both"/>
        <w:rPr>
          <w:rFonts w:ascii="Palatino Linotype" w:hAnsi="Palatino Linotype"/>
        </w:rPr>
      </w:pPr>
      <w:r>
        <w:rPr>
          <w:rFonts w:ascii="Palatino Linotype" w:hAnsi="Palatino Linotype"/>
        </w:rPr>
        <w:t>T</w:t>
      </w:r>
      <w:r w:rsidRPr="003B3A48">
        <w:rPr>
          <w:rFonts w:ascii="Palatino Linotype" w:hAnsi="Palatino Linotype"/>
        </w:rPr>
        <w:t>iene como finalidad responder a la pregunta: ¿Para qué gasta? Contribuye a identificar las prioridades del gobierno y corroborar si corresponden con las necesidades y demandas de la sociedad a través del conocimiento de la forma en cómo se asignan los recursos a determinadas funciones o actividades específicas.</w:t>
      </w:r>
    </w:p>
    <w:p w:rsidR="00A6520B" w:rsidRDefault="00A6520B" w:rsidP="00A6520B">
      <w:pPr>
        <w:pStyle w:val="Prrafodelista"/>
        <w:widowControl w:val="0"/>
        <w:spacing w:line="360" w:lineRule="auto"/>
        <w:ind w:left="567"/>
        <w:jc w:val="both"/>
        <w:rPr>
          <w:rFonts w:ascii="Palatino Linotype" w:hAnsi="Palatino Linotype"/>
        </w:rPr>
      </w:pPr>
      <w:r w:rsidRPr="00C572D8">
        <w:rPr>
          <w:rFonts w:ascii="Palatino Linotype" w:hAnsi="Palatino Linotype"/>
        </w:rPr>
        <w:t>En primer lugar, las </w:t>
      </w:r>
      <w:r w:rsidRPr="00C572D8">
        <w:rPr>
          <w:rFonts w:ascii="Palatino Linotype" w:hAnsi="Palatino Linotype"/>
          <w:b/>
          <w:bCs/>
        </w:rPr>
        <w:t>finalidades</w:t>
      </w:r>
      <w:r w:rsidRPr="00C572D8">
        <w:rPr>
          <w:rFonts w:ascii="Palatino Linotype" w:hAnsi="Palatino Linotype"/>
        </w:rPr>
        <w:t> del gasto público permiten identificar la naturaleza de los bienes y servicios gubernamentales, estas son: </w:t>
      </w:r>
      <w:r w:rsidRPr="003B3A48">
        <w:rPr>
          <w:rFonts w:ascii="Palatino Linotype" w:hAnsi="Palatino Linotype"/>
          <w:bCs/>
        </w:rPr>
        <w:t>Gobierno</w:t>
      </w:r>
      <w:r w:rsidRPr="003B3A48">
        <w:rPr>
          <w:rFonts w:ascii="Palatino Linotype" w:hAnsi="Palatino Linotype"/>
        </w:rPr>
        <w:t>,</w:t>
      </w:r>
      <w:r w:rsidRPr="00C572D8">
        <w:rPr>
          <w:rFonts w:ascii="Palatino Linotype" w:hAnsi="Palatino Linotype"/>
        </w:rPr>
        <w:t> </w:t>
      </w:r>
      <w:r w:rsidRPr="00C572D8">
        <w:rPr>
          <w:rFonts w:ascii="Palatino Linotype" w:hAnsi="Palatino Linotype"/>
          <w:b/>
          <w:bCs/>
        </w:rPr>
        <w:t>Desarrollo Social</w:t>
      </w:r>
      <w:r w:rsidRPr="00C572D8">
        <w:rPr>
          <w:rFonts w:ascii="Palatino Linotype" w:hAnsi="Palatino Linotype"/>
        </w:rPr>
        <w:t>, </w:t>
      </w:r>
      <w:r w:rsidRPr="003B3A48">
        <w:rPr>
          <w:rFonts w:ascii="Palatino Linotype" w:hAnsi="Palatino Linotype"/>
          <w:bCs/>
        </w:rPr>
        <w:t>Desarrollo Económico</w:t>
      </w:r>
      <w:r w:rsidRPr="003B3A48">
        <w:rPr>
          <w:rFonts w:ascii="Palatino Linotype" w:hAnsi="Palatino Linotype"/>
        </w:rPr>
        <w:t> y </w:t>
      </w:r>
      <w:r w:rsidRPr="003B3A48">
        <w:rPr>
          <w:rFonts w:ascii="Palatino Linotype" w:hAnsi="Palatino Linotype"/>
          <w:bCs/>
        </w:rPr>
        <w:t>Otras no clasificadas en funciones anteriores</w:t>
      </w:r>
      <w:r w:rsidRPr="003B3A48">
        <w:rPr>
          <w:rFonts w:ascii="Palatino Linotype" w:hAnsi="Palatino Linotype"/>
        </w:rPr>
        <w:t>.</w:t>
      </w:r>
    </w:p>
    <w:p w:rsidR="00A6520B" w:rsidRDefault="00A6520B" w:rsidP="00A6520B">
      <w:pPr>
        <w:pStyle w:val="Prrafodelista"/>
        <w:widowControl w:val="0"/>
        <w:spacing w:line="360" w:lineRule="auto"/>
        <w:ind w:left="567"/>
        <w:jc w:val="both"/>
        <w:rPr>
          <w:rFonts w:ascii="Palatino Linotype" w:hAnsi="Palatino Linotype"/>
        </w:rPr>
      </w:pPr>
      <w:r w:rsidRPr="00C572D8">
        <w:rPr>
          <w:rFonts w:ascii="Palatino Linotype" w:hAnsi="Palatino Linotype"/>
        </w:rPr>
        <w:t>Después de identificar la finalidad, se deben mencionar las acciones que realizan las unidades responsables para cumplir con las tareas que asignan los ordenamientos legales a través de la </w:t>
      </w:r>
      <w:r w:rsidRPr="00C572D8">
        <w:rPr>
          <w:rFonts w:ascii="Palatino Linotype" w:hAnsi="Palatino Linotype"/>
          <w:b/>
          <w:bCs/>
        </w:rPr>
        <w:t>función</w:t>
      </w:r>
      <w:r w:rsidRPr="00C572D8">
        <w:rPr>
          <w:rFonts w:ascii="Palatino Linotype" w:hAnsi="Palatino Linotype"/>
        </w:rPr>
        <w:t>. Posteriormente, y de manera más específica, se debe establecer la </w:t>
      </w:r>
      <w:proofErr w:type="spellStart"/>
      <w:r w:rsidRPr="00C572D8">
        <w:rPr>
          <w:rFonts w:ascii="Palatino Linotype" w:hAnsi="Palatino Linotype"/>
          <w:b/>
          <w:bCs/>
        </w:rPr>
        <w:t>subfunción</w:t>
      </w:r>
      <w:proofErr w:type="spellEnd"/>
      <w:r w:rsidRPr="00C572D8">
        <w:rPr>
          <w:rFonts w:ascii="Palatino Linotype" w:hAnsi="Palatino Linotype"/>
        </w:rPr>
        <w:t xml:space="preserve">. Vale la pena aclarar que en cuanto a estructura y la forma como se visualiza esta clasificación en las bases de datos, las 4 finalidades pueden ser identificadas mediante el primer dígito de la clasificación, las 28 funciones se identifican por el segundo dígito y las 111 </w:t>
      </w:r>
      <w:proofErr w:type="spellStart"/>
      <w:r w:rsidRPr="00C572D8">
        <w:rPr>
          <w:rFonts w:ascii="Palatino Linotype" w:hAnsi="Palatino Linotype"/>
        </w:rPr>
        <w:t>subfunciones</w:t>
      </w:r>
      <w:proofErr w:type="spellEnd"/>
      <w:r w:rsidRPr="00C572D8">
        <w:rPr>
          <w:rFonts w:ascii="Palatino Linotype" w:hAnsi="Palatino Linotype"/>
        </w:rPr>
        <w:t xml:space="preserve"> corresponden al tercero (CONAC, 2010).</w:t>
      </w:r>
    </w:p>
    <w:p w:rsidR="00A6520B" w:rsidRDefault="00A6520B" w:rsidP="00A6520B">
      <w:pPr>
        <w:pStyle w:val="Prrafodelista"/>
        <w:widowControl w:val="0"/>
        <w:spacing w:line="360" w:lineRule="auto"/>
        <w:ind w:left="567"/>
        <w:jc w:val="both"/>
        <w:rPr>
          <w:rFonts w:ascii="Palatino Linotype" w:hAnsi="Palatino Linotype"/>
        </w:rPr>
      </w:pPr>
      <w:r w:rsidRPr="00C572D8">
        <w:rPr>
          <w:rFonts w:ascii="Palatino Linotype" w:hAnsi="Palatino Linotype"/>
        </w:rPr>
        <w:t xml:space="preserve">En la siguiente tabla se presenta un fragmento del PEF en el que se describen </w:t>
      </w:r>
      <w:r w:rsidRPr="00C572D8">
        <w:rPr>
          <w:rFonts w:ascii="Palatino Linotype" w:hAnsi="Palatino Linotype"/>
        </w:rPr>
        <w:lastRenderedPageBreak/>
        <w:t>diversas partidas correspondientes a la UR A3Q, es decir, la Universidad Nacional Autónoma de México (UNAM)</w:t>
      </w:r>
    </w:p>
    <w:p w:rsidR="00A6520B" w:rsidRDefault="00A6520B" w:rsidP="00A6520B">
      <w:pPr>
        <w:pStyle w:val="Prrafodelista"/>
        <w:widowControl w:val="0"/>
        <w:spacing w:line="360" w:lineRule="auto"/>
        <w:ind w:left="567"/>
        <w:jc w:val="center"/>
        <w:rPr>
          <w:rFonts w:ascii="Palatino Linotype" w:hAnsi="Palatino Linotype"/>
        </w:rPr>
      </w:pPr>
      <w:r w:rsidRPr="00C572D8">
        <w:rPr>
          <w:rFonts w:ascii="Palatino Linotype" w:hAnsi="Palatino Linotype"/>
          <w:noProof/>
          <w:lang w:val="es-MX" w:eastAsia="es-MX"/>
        </w:rPr>
        <w:drawing>
          <wp:inline distT="0" distB="0" distL="0" distR="0" wp14:anchorId="3A2F37E9" wp14:editId="4080CB3F">
            <wp:extent cx="4238625" cy="2659747"/>
            <wp:effectExtent l="0" t="0" r="0" b="7620"/>
            <wp:docPr id="8" name="Imagen 8" descr="DPbR 2024 Tabla 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PbR 2024 Tabla L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9790" cy="2679303"/>
                    </a:xfrm>
                    <a:prstGeom prst="rect">
                      <a:avLst/>
                    </a:prstGeom>
                    <a:noFill/>
                    <a:ln>
                      <a:noFill/>
                    </a:ln>
                  </pic:spPr>
                </pic:pic>
              </a:graphicData>
            </a:graphic>
          </wp:inline>
        </w:drawing>
      </w:r>
    </w:p>
    <w:p w:rsidR="00A6520B" w:rsidRPr="001166F8" w:rsidRDefault="00A6520B" w:rsidP="00A6520B">
      <w:pPr>
        <w:spacing w:line="360" w:lineRule="auto"/>
        <w:ind w:left="709"/>
        <w:jc w:val="both"/>
        <w:rPr>
          <w:rFonts w:ascii="Palatino Linotype" w:hAnsi="Palatino Linotype"/>
          <w:b/>
          <w:sz w:val="18"/>
        </w:rPr>
      </w:pPr>
      <w:r w:rsidRPr="001166F8">
        <w:rPr>
          <w:rFonts w:ascii="Palatino Linotype" w:hAnsi="Palatino Linotype"/>
          <w:b/>
          <w:sz w:val="18"/>
        </w:rPr>
        <w:t>Fuente: Elaboración SHCP-UED, con base en PEF 2024.</w:t>
      </w:r>
    </w:p>
    <w:p w:rsidR="00A6520B" w:rsidRPr="00C572D8" w:rsidRDefault="00A6520B" w:rsidP="00A6520B">
      <w:pPr>
        <w:pStyle w:val="INFOEM"/>
        <w:spacing w:line="240" w:lineRule="auto"/>
      </w:pPr>
      <w:proofErr w:type="spellStart"/>
      <w:r w:rsidRPr="00C572D8">
        <w:rPr>
          <w:b/>
          <w:bCs/>
        </w:rPr>
        <w:t>GPO_FUNCIONAl</w:t>
      </w:r>
      <w:proofErr w:type="spellEnd"/>
      <w:r w:rsidRPr="00C572D8">
        <w:t> significa Grupo funcional y también se le conoce como </w:t>
      </w:r>
      <w:r w:rsidRPr="00C572D8">
        <w:rPr>
          <w:b/>
          <w:bCs/>
        </w:rPr>
        <w:t>finalidad</w:t>
      </w:r>
      <w:r w:rsidRPr="00C572D8">
        <w:t>. En México tenemos los siguientes grupos funcionales o finalidades: Gobierno, Desarrollo Social, Desarrollo Económico. En ese orden, cada uno de estos grupos funcionales o finalidades tiene asignado un número.</w:t>
      </w:r>
    </w:p>
    <w:p w:rsidR="00A6520B" w:rsidRPr="00C572D8" w:rsidRDefault="00A6520B" w:rsidP="00A6520B">
      <w:pPr>
        <w:pStyle w:val="INFOEM"/>
        <w:spacing w:line="240" w:lineRule="auto"/>
      </w:pPr>
      <w:r w:rsidRPr="00C572D8">
        <w:rPr>
          <w:b/>
          <w:bCs/>
        </w:rPr>
        <w:t>DESC_GPO_FUNCIONAL</w:t>
      </w:r>
      <w:r w:rsidRPr="00C572D8">
        <w:t> significa descripción del </w:t>
      </w:r>
      <w:r w:rsidRPr="00C572D8">
        <w:rPr>
          <w:b/>
          <w:bCs/>
        </w:rPr>
        <w:t>grupo funcional</w:t>
      </w:r>
      <w:r w:rsidRPr="00C572D8">
        <w:t>, es decir, los nombres de cada uno de los grupos funcionales o finalidades, los cuales se presentaron en el párrafo anterior. En el caso del presupuesto de la UNAM, tiene asignado presupuesto a las finalidades de desarrollo social y desarrollo económico. Esta información se encuentra en la columna G del PEF 2024.</w:t>
      </w:r>
    </w:p>
    <w:p w:rsidR="00A6520B" w:rsidRPr="00C572D8" w:rsidRDefault="00A6520B" w:rsidP="00A6520B">
      <w:pPr>
        <w:pStyle w:val="INFOEM"/>
        <w:spacing w:line="240" w:lineRule="auto"/>
      </w:pPr>
      <w:r w:rsidRPr="00C572D8">
        <w:rPr>
          <w:b/>
          <w:bCs/>
        </w:rPr>
        <w:t>ID_FUNCION </w:t>
      </w:r>
      <w:r w:rsidRPr="00C572D8">
        <w:t>es el número de </w:t>
      </w:r>
      <w:r w:rsidRPr="00C572D8">
        <w:rPr>
          <w:b/>
          <w:bCs/>
        </w:rPr>
        <w:t>identificación de las funciones</w:t>
      </w:r>
      <w:r w:rsidRPr="00C572D8">
        <w:t xml:space="preserve">. Cada uno de los grupos funcionales, tiene diversas funciones. Por ejemplo, desarrollo social tiene las funciones de protección ambiental, vivienda y servicios a la comunidad, salud, recreación, cultura y otras manifestaciones sociales, educación, protección social y otros asuntos sociales. De la misma forma, los otros tres grupos funcionales tienen sus propias funciones las cuales, naturalmente, son distintas a las de desarrollo social. En el ejemplo del presupuesto de la UNAM, son diversas las funciones a las cuales contribuye, que son recreación, cultura y otras manifestaciones sociales, educación (en donde se concentra la mayor parte del presupuesto) y ciencia, tecnología e </w:t>
      </w:r>
      <w:r w:rsidRPr="00C572D8">
        <w:lastRenderedPageBreak/>
        <w:t>innovación.</w:t>
      </w:r>
      <w:r w:rsidRPr="00C572D8">
        <w:br/>
      </w:r>
    </w:p>
    <w:p w:rsidR="00A6520B" w:rsidRPr="00C572D8" w:rsidRDefault="00A6520B" w:rsidP="00A6520B">
      <w:pPr>
        <w:pStyle w:val="INFOEM"/>
        <w:spacing w:line="240" w:lineRule="auto"/>
      </w:pPr>
      <w:r w:rsidRPr="00C572D8">
        <w:rPr>
          <w:b/>
          <w:bCs/>
        </w:rPr>
        <w:t>DESC_FUNCION</w:t>
      </w:r>
      <w:r w:rsidRPr="00C572D8">
        <w:t> significa </w:t>
      </w:r>
      <w:r w:rsidRPr="00C572D8">
        <w:rPr>
          <w:b/>
          <w:bCs/>
        </w:rPr>
        <w:t>descripción de la función</w:t>
      </w:r>
      <w:r w:rsidRPr="00C572D8">
        <w:t> que es el nombre que tiene cada una de las funciones de los cuatro grupos funcionales. Esta descripción corresponde al ID de las funciones y en la base del PEF 2024 se puede encontrar en la columna I.</w:t>
      </w:r>
    </w:p>
    <w:p w:rsidR="00A6520B" w:rsidRPr="00C572D8" w:rsidRDefault="00A6520B" w:rsidP="00A6520B">
      <w:pPr>
        <w:pStyle w:val="INFOEM"/>
        <w:spacing w:line="240" w:lineRule="auto"/>
      </w:pPr>
      <w:r w:rsidRPr="00C572D8">
        <w:rPr>
          <w:b/>
          <w:bCs/>
        </w:rPr>
        <w:t>ID_SUBFUNCION</w:t>
      </w:r>
      <w:r w:rsidRPr="00C572D8">
        <w:t> es el </w:t>
      </w:r>
      <w:r w:rsidRPr="00C572D8">
        <w:rPr>
          <w:b/>
          <w:bCs/>
        </w:rPr>
        <w:t xml:space="preserve">número de identificación de las </w:t>
      </w:r>
      <w:proofErr w:type="spellStart"/>
      <w:r w:rsidRPr="00C572D8">
        <w:rPr>
          <w:b/>
          <w:bCs/>
        </w:rPr>
        <w:t>subfunciones</w:t>
      </w:r>
      <w:proofErr w:type="spellEnd"/>
      <w:r w:rsidRPr="00C572D8">
        <w:t xml:space="preserve">. Cada una de las funciones tiene diversas </w:t>
      </w:r>
      <w:proofErr w:type="spellStart"/>
      <w:r w:rsidRPr="00C572D8">
        <w:t>subfunciones</w:t>
      </w:r>
      <w:proofErr w:type="spellEnd"/>
      <w:r w:rsidRPr="00C572D8">
        <w:t xml:space="preserve">. Por ejemplo, la función Educación tiene seis </w:t>
      </w:r>
      <w:proofErr w:type="spellStart"/>
      <w:r w:rsidRPr="00C572D8">
        <w:t>subfunciones</w:t>
      </w:r>
      <w:proofErr w:type="spellEnd"/>
      <w:r w:rsidRPr="00C572D8">
        <w:t xml:space="preserve">: educación básica, educación media superior, educación superior, posgrado, educación para adultos y otros servicios educativos y actividades inherentes. En el caso de la UNAM, sus </w:t>
      </w:r>
      <w:proofErr w:type="spellStart"/>
      <w:r w:rsidRPr="00C572D8">
        <w:t>subfunciones</w:t>
      </w:r>
      <w:proofErr w:type="spellEnd"/>
      <w:r w:rsidRPr="00C572D8">
        <w:t xml:space="preserve"> dentro de esta función son de educación media superior, educación superior y posgrado. Esta información se encuentra en la columna J.</w:t>
      </w:r>
    </w:p>
    <w:p w:rsidR="00A6520B" w:rsidRPr="00C572D8" w:rsidRDefault="00A6520B" w:rsidP="00A6520B">
      <w:pPr>
        <w:pStyle w:val="INFOEM"/>
        <w:spacing w:line="240" w:lineRule="auto"/>
      </w:pPr>
      <w:r w:rsidRPr="00C572D8">
        <w:t>De forma análoga, </w:t>
      </w:r>
      <w:r w:rsidRPr="00C572D8">
        <w:rPr>
          <w:b/>
          <w:bCs/>
        </w:rPr>
        <w:t>DESC_SUBFUNCION</w:t>
      </w:r>
      <w:r w:rsidRPr="00C572D8">
        <w:t> significa </w:t>
      </w:r>
      <w:r w:rsidRPr="00C572D8">
        <w:rPr>
          <w:b/>
          <w:bCs/>
        </w:rPr>
        <w:t xml:space="preserve">descripción de la </w:t>
      </w:r>
      <w:proofErr w:type="spellStart"/>
      <w:r w:rsidRPr="00C572D8">
        <w:rPr>
          <w:b/>
          <w:bCs/>
        </w:rPr>
        <w:t>subfunción</w:t>
      </w:r>
      <w:proofErr w:type="spellEnd"/>
      <w:r w:rsidRPr="00C572D8">
        <w:t xml:space="preserve">, que es el nombre que </w:t>
      </w:r>
      <w:proofErr w:type="gramStart"/>
      <w:r w:rsidRPr="00C572D8">
        <w:t>tienen</w:t>
      </w:r>
      <w:proofErr w:type="gramEnd"/>
      <w:r w:rsidRPr="00C572D8">
        <w:t xml:space="preserve"> cada una de las </w:t>
      </w:r>
      <w:proofErr w:type="spellStart"/>
      <w:r w:rsidRPr="00C572D8">
        <w:t>subfunciones</w:t>
      </w:r>
      <w:proofErr w:type="spellEnd"/>
      <w:r w:rsidRPr="00C572D8">
        <w:t xml:space="preserve"> de esta clasificación. En el ejemplo tenemos la </w:t>
      </w:r>
      <w:proofErr w:type="spellStart"/>
      <w:r w:rsidRPr="00C572D8">
        <w:t>subfunción</w:t>
      </w:r>
      <w:proofErr w:type="spellEnd"/>
      <w:r w:rsidRPr="00C572D8">
        <w:t xml:space="preserve"> Cultura que corresponde a la función Recreación, Cultura y Otras manifestaciones sociales e Investigación Científica, correspondiente a la función Ciencia, Tecnología e Innovación”. </w:t>
      </w:r>
    </w:p>
    <w:p w:rsidR="00A6520B" w:rsidRPr="00DA6F19" w:rsidRDefault="00A6520B" w:rsidP="00A6520B">
      <w:pPr>
        <w:pStyle w:val="Prrafodelista"/>
        <w:widowControl w:val="0"/>
        <w:numPr>
          <w:ilvl w:val="3"/>
          <w:numId w:val="13"/>
        </w:numPr>
        <w:spacing w:line="360" w:lineRule="auto"/>
        <w:ind w:left="567"/>
        <w:jc w:val="both"/>
        <w:rPr>
          <w:rFonts w:ascii="Palatino Linotype" w:eastAsia="Palatino Linotype" w:hAnsi="Palatino Linotype" w:cs="Palatino Linotype"/>
          <w:color w:val="000000"/>
        </w:rPr>
      </w:pPr>
      <w:r w:rsidRPr="00DA6F19">
        <w:rPr>
          <w:rFonts w:ascii="Palatino Linotype" w:eastAsia="Palatino Linotype" w:hAnsi="Palatino Linotype" w:cs="Palatino Linotype"/>
          <w:b/>
          <w:color w:val="000000"/>
          <w:u w:val="single"/>
        </w:rPr>
        <w:t>Económica:</w:t>
      </w:r>
      <w:r>
        <w:rPr>
          <w:rFonts w:ascii="Palatino Linotype" w:eastAsia="Palatino Linotype" w:hAnsi="Palatino Linotype" w:cs="Palatino Linotype"/>
          <w:color w:val="000000"/>
        </w:rPr>
        <w:t xml:space="preserve"> </w:t>
      </w:r>
      <w:r w:rsidRPr="00066F42">
        <w:rPr>
          <w:rFonts w:ascii="Palatino Linotype" w:hAnsi="Palatino Linotype"/>
        </w:rPr>
        <w:t>Esta clasificación responde a la pregunta: </w:t>
      </w:r>
      <w:r w:rsidRPr="00066F42">
        <w:rPr>
          <w:rFonts w:ascii="Palatino Linotype" w:hAnsi="Palatino Linotype"/>
          <w:b/>
          <w:bCs/>
        </w:rPr>
        <w:t>¿En qué gasta? </w:t>
      </w:r>
      <w:r w:rsidRPr="00066F42">
        <w:rPr>
          <w:rFonts w:ascii="Palatino Linotype" w:hAnsi="Palatino Linotype"/>
        </w:rPr>
        <w:t>Primero que nada, identifica cuáles asignaciones de presupuesto son gasto corriente y gasto de capital conforme a su naturaleza</w:t>
      </w:r>
      <w:r>
        <w:rPr>
          <w:rFonts w:ascii="Palatino Linotype" w:hAnsi="Palatino Linotype"/>
        </w:rPr>
        <w:t>.</w:t>
      </w:r>
    </w:p>
    <w:p w:rsidR="00A6520B" w:rsidRDefault="00A6520B" w:rsidP="00A6520B">
      <w:pPr>
        <w:pStyle w:val="Prrafodelista"/>
        <w:widowControl w:val="0"/>
        <w:spacing w:line="360" w:lineRule="auto"/>
        <w:ind w:left="567"/>
        <w:jc w:val="both"/>
        <w:rPr>
          <w:rFonts w:ascii="Palatino Linotype" w:eastAsia="Palatino Linotype" w:hAnsi="Palatino Linotype" w:cs="Palatino Linotype"/>
          <w:color w:val="000000"/>
        </w:rPr>
      </w:pPr>
      <w:r w:rsidRPr="00DA6F19">
        <w:rPr>
          <w:rFonts w:ascii="Palatino Linotype" w:eastAsia="Palatino Linotype" w:hAnsi="Palatino Linotype" w:cs="Palatino Linotype"/>
          <w:color w:val="000000"/>
        </w:rPr>
        <w:t>Ejemplo de Clasificación Económica. Fragmento del presupuesto aprobado para la UNAM durante 2024</w:t>
      </w:r>
    </w:p>
    <w:p w:rsidR="00A6520B" w:rsidRPr="00DA6F19" w:rsidRDefault="00A6520B" w:rsidP="00A6520B">
      <w:pPr>
        <w:pStyle w:val="Prrafodelista"/>
        <w:widowControl w:val="0"/>
        <w:spacing w:line="360" w:lineRule="auto"/>
        <w:ind w:left="567"/>
        <w:jc w:val="center"/>
        <w:rPr>
          <w:rFonts w:ascii="Palatino Linotype" w:eastAsia="Palatino Linotype" w:hAnsi="Palatino Linotype" w:cs="Palatino Linotype"/>
          <w:color w:val="000000"/>
        </w:rPr>
      </w:pPr>
      <w:r w:rsidRPr="00066F42">
        <w:rPr>
          <w:rFonts w:ascii="Palatino Linotype" w:hAnsi="Palatino Linotype"/>
          <w:noProof/>
          <w:lang w:val="es-MX" w:eastAsia="es-MX"/>
        </w:rPr>
        <w:drawing>
          <wp:inline distT="0" distB="0" distL="0" distR="0" wp14:anchorId="2802156B" wp14:editId="72FC6211">
            <wp:extent cx="3514725" cy="2067266"/>
            <wp:effectExtent l="0" t="0" r="0" b="9525"/>
            <wp:docPr id="56" name="Imagen 56" descr="DPbR 2024 Tabla 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PbR 2024 Tabla L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913" cy="2076787"/>
                    </a:xfrm>
                    <a:prstGeom prst="rect">
                      <a:avLst/>
                    </a:prstGeom>
                    <a:noFill/>
                    <a:ln>
                      <a:noFill/>
                    </a:ln>
                  </pic:spPr>
                </pic:pic>
              </a:graphicData>
            </a:graphic>
          </wp:inline>
        </w:drawing>
      </w:r>
    </w:p>
    <w:p w:rsidR="00A6520B" w:rsidRDefault="00A6520B" w:rsidP="00A6520B">
      <w:pPr>
        <w:pStyle w:val="Prrafodelista"/>
        <w:widowControl w:val="0"/>
        <w:spacing w:line="360" w:lineRule="auto"/>
        <w:ind w:left="567"/>
        <w:jc w:val="both"/>
        <w:rPr>
          <w:rFonts w:ascii="Palatino Linotype" w:eastAsia="Palatino Linotype" w:hAnsi="Palatino Linotype" w:cs="Palatino Linotype"/>
          <w:b/>
          <w:color w:val="000000"/>
          <w:sz w:val="20"/>
        </w:rPr>
      </w:pPr>
      <w:r w:rsidRPr="00DA6F19">
        <w:rPr>
          <w:rFonts w:ascii="Palatino Linotype" w:eastAsia="Palatino Linotype" w:hAnsi="Palatino Linotype" w:cs="Palatino Linotype"/>
          <w:color w:val="000000"/>
        </w:rPr>
        <w:lastRenderedPageBreak/>
        <w:t xml:space="preserve"> </w:t>
      </w:r>
      <w:r w:rsidRPr="00DA6F19">
        <w:rPr>
          <w:rFonts w:ascii="Palatino Linotype" w:eastAsia="Palatino Linotype" w:hAnsi="Palatino Linotype" w:cs="Palatino Linotype"/>
          <w:b/>
          <w:color w:val="000000"/>
          <w:sz w:val="20"/>
        </w:rPr>
        <w:t>Fuente: elaboración SHCP-UED, con base en el PEF 2024.</w:t>
      </w:r>
    </w:p>
    <w:p w:rsidR="00A6520B" w:rsidRPr="00DA6F19" w:rsidRDefault="00A6520B" w:rsidP="00A6520B">
      <w:pPr>
        <w:pStyle w:val="Prrafodelista"/>
        <w:widowControl w:val="0"/>
        <w:spacing w:line="360" w:lineRule="auto"/>
        <w:ind w:left="567"/>
        <w:jc w:val="both"/>
        <w:rPr>
          <w:rFonts w:ascii="Palatino Linotype" w:eastAsia="Palatino Linotype" w:hAnsi="Palatino Linotype" w:cs="Palatino Linotype"/>
          <w:b/>
          <w:color w:val="000000"/>
          <w:sz w:val="20"/>
        </w:rPr>
      </w:pPr>
    </w:p>
    <w:p w:rsidR="00A6520B" w:rsidRPr="00FA547B" w:rsidRDefault="00A6520B" w:rsidP="00A6520B">
      <w:pPr>
        <w:pStyle w:val="Prrafodelista"/>
        <w:widowControl w:val="0"/>
        <w:numPr>
          <w:ilvl w:val="3"/>
          <w:numId w:val="13"/>
        </w:numPr>
        <w:spacing w:line="360" w:lineRule="auto"/>
        <w:ind w:left="567"/>
        <w:jc w:val="both"/>
        <w:rPr>
          <w:rFonts w:ascii="Palatino Linotype" w:eastAsia="Palatino Linotype" w:hAnsi="Palatino Linotype" w:cs="Palatino Linotype"/>
          <w:color w:val="000000"/>
        </w:rPr>
      </w:pPr>
      <w:r w:rsidRPr="00DA6F19">
        <w:rPr>
          <w:rFonts w:ascii="Palatino Linotype" w:hAnsi="Palatino Linotype"/>
          <w:b/>
        </w:rPr>
        <w:t>Geográfica:</w:t>
      </w:r>
      <w:r>
        <w:rPr>
          <w:rFonts w:ascii="Palatino Linotype" w:hAnsi="Palatino Linotype"/>
        </w:rPr>
        <w:t xml:space="preserve"> </w:t>
      </w:r>
      <w:r w:rsidRPr="00066F42">
        <w:rPr>
          <w:rFonts w:ascii="Palatino Linotype" w:hAnsi="Palatino Linotype"/>
        </w:rPr>
        <w:t>hace referencia a la </w:t>
      </w:r>
      <w:r w:rsidRPr="00066F42">
        <w:rPr>
          <w:rFonts w:ascii="Palatino Linotype" w:hAnsi="Palatino Linotype"/>
          <w:b/>
          <w:bCs/>
        </w:rPr>
        <w:t>regionalización del gasto público</w:t>
      </w:r>
      <w:r w:rsidRPr="00066F42">
        <w:rPr>
          <w:rFonts w:ascii="Palatino Linotype" w:hAnsi="Palatino Linotype"/>
        </w:rPr>
        <w:t>. La Ley Federal de Presupuesto y Responsabilidad Hacendaria (LFPRH) establece que, en todos los proyectos de inversión, se debe señalar el </w:t>
      </w:r>
      <w:r w:rsidRPr="00066F42">
        <w:rPr>
          <w:rFonts w:ascii="Palatino Linotype" w:hAnsi="Palatino Linotype"/>
          <w:b/>
          <w:bCs/>
        </w:rPr>
        <w:t>destino geográfico</w:t>
      </w:r>
      <w:r w:rsidRPr="00066F42">
        <w:rPr>
          <w:rFonts w:ascii="Palatino Linotype" w:hAnsi="Palatino Linotype"/>
        </w:rPr>
        <w:t> correspondiente, es decir, la entidad federativa, y en su caso, la región o municipio, en donde se realizará el ejercicio de los recursos o en donde se ubicará la infraestructura creada a partir de un determinado proyecto.</w:t>
      </w:r>
    </w:p>
    <w:p w:rsidR="00A6520B" w:rsidRPr="00DA6F19" w:rsidRDefault="00A6520B" w:rsidP="00A6520B">
      <w:pPr>
        <w:spacing w:line="360" w:lineRule="auto"/>
        <w:ind w:left="360"/>
        <w:jc w:val="center"/>
        <w:rPr>
          <w:rFonts w:ascii="Palatino Linotype" w:hAnsi="Palatino Linotype"/>
        </w:rPr>
      </w:pPr>
      <w:r w:rsidRPr="00066F42">
        <w:rPr>
          <w:noProof/>
          <w:lang w:val="es-MX" w:eastAsia="es-MX"/>
        </w:rPr>
        <w:drawing>
          <wp:inline distT="0" distB="0" distL="0" distR="0" wp14:anchorId="574B08DB" wp14:editId="749F9BF0">
            <wp:extent cx="3590925" cy="2364026"/>
            <wp:effectExtent l="0" t="0" r="0" b="0"/>
            <wp:docPr id="61" name="Imagen 61" descr="DPbR 2024 Figura L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PbR 2024 Figura L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4214" cy="2379358"/>
                    </a:xfrm>
                    <a:prstGeom prst="rect">
                      <a:avLst/>
                    </a:prstGeom>
                    <a:noFill/>
                    <a:ln>
                      <a:noFill/>
                    </a:ln>
                  </pic:spPr>
                </pic:pic>
              </a:graphicData>
            </a:graphic>
          </wp:inline>
        </w:drawing>
      </w:r>
    </w:p>
    <w:p w:rsidR="00A6520B" w:rsidRPr="00DA6F19" w:rsidRDefault="00A6520B" w:rsidP="00A6520B">
      <w:pPr>
        <w:pStyle w:val="Prrafodelista"/>
        <w:spacing w:line="360" w:lineRule="auto"/>
        <w:ind w:left="720"/>
        <w:jc w:val="both"/>
        <w:rPr>
          <w:rFonts w:ascii="Palatino Linotype" w:hAnsi="Palatino Linotype"/>
          <w:b/>
          <w:sz w:val="22"/>
        </w:rPr>
      </w:pPr>
      <w:r w:rsidRPr="00DA6F19">
        <w:rPr>
          <w:rFonts w:ascii="Palatino Linotype" w:hAnsi="Palatino Linotype"/>
          <w:b/>
          <w:sz w:val="22"/>
        </w:rPr>
        <w:t>Fuente: elaboración SHCP-UED.</w:t>
      </w:r>
    </w:p>
    <w:p w:rsidR="00A6520B" w:rsidRDefault="00A6520B" w:rsidP="00A6520B">
      <w:pPr>
        <w:widowControl w:val="0"/>
        <w:spacing w:line="360" w:lineRule="auto"/>
        <w:jc w:val="both"/>
        <w:rPr>
          <w:rFonts w:ascii="Palatino Linotype" w:eastAsia="Palatino Linotype" w:hAnsi="Palatino Linotype" w:cs="Palatino Linotype"/>
          <w:color w:val="000000"/>
        </w:rPr>
      </w:pPr>
    </w:p>
    <w:p w:rsidR="00A6520B" w:rsidRDefault="00A6520B" w:rsidP="00A6520B">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viene a colación ya que el Sujeto Obligado entrego el Estado Analítico del Ejercicio del Presupuesto de Egresos en su Clasificación Administrativa, es decir, si bien se logra visualizar que quien ejerció el gasto fue la Dirección de Desarrollo Social, también lo es que, los documentos que da cuentan de la información que solicita la parte Recurrente es el Estado Analítico del Ejercicio del Presupuesto de Egresos Detallado – LDF Clasificación Funcional (Finalidad y Función), ya que este responde al cuestionamiento ¿para qué se gasta?; y el Estado Analítico del Presupuesto de Egresos Clasificación </w:t>
      </w:r>
      <w:r>
        <w:rPr>
          <w:rFonts w:ascii="Palatino Linotype" w:eastAsia="Palatino Linotype" w:hAnsi="Palatino Linotype" w:cs="Palatino Linotype"/>
          <w:color w:val="000000"/>
        </w:rPr>
        <w:lastRenderedPageBreak/>
        <w:t>Económica (por tipo de gasto), responde a la pregunta ¿en qué se gasta?</w:t>
      </w:r>
    </w:p>
    <w:p w:rsidR="00A6520B" w:rsidRDefault="00A6520B" w:rsidP="00A6520B">
      <w:pPr>
        <w:widowControl w:val="0"/>
        <w:spacing w:line="360" w:lineRule="auto"/>
        <w:jc w:val="both"/>
        <w:rPr>
          <w:rFonts w:ascii="Palatino Linotype" w:eastAsia="Palatino Linotype" w:hAnsi="Palatino Linotype" w:cs="Palatino Linotype"/>
          <w:color w:val="000000"/>
        </w:rPr>
      </w:pPr>
    </w:p>
    <w:p w:rsidR="004B099C" w:rsidRDefault="004B099C" w:rsidP="00C0731C">
      <w:pPr>
        <w:pStyle w:val="Sinespaciado"/>
        <w:spacing w:line="360" w:lineRule="auto"/>
        <w:jc w:val="both"/>
        <w:rPr>
          <w:rFonts w:ascii="Palatino Linotype" w:eastAsia="Palatino Linotype" w:hAnsi="Palatino Linotype" w:cs="Palatino Linotype"/>
          <w:color w:val="000000"/>
          <w:sz w:val="24"/>
          <w:lang w:val="es-ES_tradnl" w:eastAsia="es-MX"/>
        </w:rPr>
      </w:pPr>
    </w:p>
    <w:p w:rsidR="00C0731C" w:rsidRPr="006F1142" w:rsidRDefault="00C0731C" w:rsidP="00C0731C">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sidR="00F3644D">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C0731C" w:rsidRPr="00177253" w:rsidRDefault="00C0731C" w:rsidP="00C0731C">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5478"/>
        <w:gridCol w:w="1643"/>
      </w:tblGrid>
      <w:tr w:rsidR="00C0731C" w:rsidTr="000E2974">
        <w:trPr>
          <w:trHeight w:val="408"/>
        </w:trPr>
        <w:tc>
          <w:tcPr>
            <w:tcW w:w="1970" w:type="dxa"/>
            <w:shd w:val="clear" w:color="auto" w:fill="E7E6E6" w:themeFill="background2"/>
          </w:tcPr>
          <w:p w:rsidR="00C0731C" w:rsidRPr="00E80E99" w:rsidRDefault="00C0731C" w:rsidP="00B351B7">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5478" w:type="dxa"/>
            <w:shd w:val="clear" w:color="auto" w:fill="E7E6E6" w:themeFill="background2"/>
          </w:tcPr>
          <w:p w:rsidR="00C0731C" w:rsidRPr="00E80E99" w:rsidRDefault="00C0731C" w:rsidP="00B351B7">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643" w:type="dxa"/>
            <w:shd w:val="clear" w:color="auto" w:fill="E7E6E6" w:themeFill="background2"/>
          </w:tcPr>
          <w:p w:rsidR="00C0731C" w:rsidRPr="00E80E99" w:rsidRDefault="00C0731C" w:rsidP="00B351B7">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C0731C" w:rsidTr="000E2974">
        <w:trPr>
          <w:trHeight w:val="1234"/>
        </w:trPr>
        <w:tc>
          <w:tcPr>
            <w:tcW w:w="1970" w:type="dxa"/>
          </w:tcPr>
          <w:p w:rsidR="00C0731C" w:rsidRPr="008B1D97" w:rsidRDefault="00044D8E" w:rsidP="00F3644D">
            <w:pPr>
              <w:tabs>
                <w:tab w:val="left" w:pos="1828"/>
              </w:tabs>
              <w:jc w:val="both"/>
              <w:rPr>
                <w:rFonts w:ascii="Palatino Linotype" w:hAnsi="Palatino Linotype" w:cs="Tahoma"/>
                <w:bCs/>
              </w:rPr>
            </w:pPr>
            <w:r>
              <w:rPr>
                <w:rFonts w:ascii="Palatino Linotype" w:hAnsi="Palatino Linotype" w:cs="Tahoma"/>
                <w:bCs/>
              </w:rPr>
              <w:t>Cu</w:t>
            </w:r>
            <w:r w:rsidRPr="00F3644D">
              <w:rPr>
                <w:rFonts w:ascii="Palatino Linotype" w:hAnsi="Palatino Linotype" w:cs="Tahoma"/>
                <w:bCs/>
              </w:rPr>
              <w:t>ántas</w:t>
            </w:r>
            <w:r w:rsidR="00F3644D" w:rsidRPr="00F3644D">
              <w:rPr>
                <w:rFonts w:ascii="Palatino Linotype" w:hAnsi="Palatino Linotype" w:cs="Tahoma"/>
                <w:bCs/>
              </w:rPr>
              <w:t xml:space="preserve"> infracciones de levantaron de 1 de e</w:t>
            </w:r>
            <w:r w:rsidR="00F3644D">
              <w:rPr>
                <w:rFonts w:ascii="Palatino Linotype" w:hAnsi="Palatino Linotype" w:cs="Tahoma"/>
                <w:bCs/>
              </w:rPr>
              <w:t>nero a 31 de diciembre de 2024</w:t>
            </w:r>
          </w:p>
        </w:tc>
        <w:tc>
          <w:tcPr>
            <w:tcW w:w="5478" w:type="dxa"/>
          </w:tcPr>
          <w:p w:rsidR="00F3644D" w:rsidRPr="00F3644D" w:rsidRDefault="00F3644D" w:rsidP="00F3644D">
            <w:pPr>
              <w:pStyle w:val="INFOEM"/>
              <w:spacing w:line="240" w:lineRule="auto"/>
              <w:ind w:left="0" w:right="0"/>
              <w:rPr>
                <w:i w:val="0"/>
              </w:rPr>
            </w:pPr>
            <w:r w:rsidRPr="00F3644D">
              <w:rPr>
                <w:i w:val="0"/>
                <w:lang w:val="es-ES"/>
              </w:rPr>
              <w:t>La Dirección General de Seguridad y Protección Ciudadana</w:t>
            </w:r>
            <w:r w:rsidRPr="00F3644D">
              <w:rPr>
                <w:b/>
                <w:i w:val="0"/>
                <w:lang w:val="es-ES"/>
              </w:rPr>
              <w:t xml:space="preserve"> </w:t>
            </w:r>
            <w:r w:rsidRPr="00F3644D">
              <w:rPr>
                <w:i w:val="0"/>
                <w:lang w:val="es-ES"/>
              </w:rPr>
              <w:t>inform</w:t>
            </w:r>
            <w:r w:rsidR="004B099C">
              <w:rPr>
                <w:i w:val="0"/>
                <w:lang w:val="es-ES"/>
              </w:rPr>
              <w:t>ó</w:t>
            </w:r>
            <w:r w:rsidRPr="00F3644D">
              <w:rPr>
                <w:i w:val="0"/>
                <w:lang w:val="es-ES"/>
              </w:rPr>
              <w:t xml:space="preserve"> que fueron</w:t>
            </w:r>
            <w:r w:rsidRPr="00F3644D">
              <w:rPr>
                <w:b/>
                <w:i w:val="0"/>
                <w:lang w:val="es-ES"/>
              </w:rPr>
              <w:t xml:space="preserve"> </w:t>
            </w:r>
            <w:r w:rsidRPr="00F3644D">
              <w:rPr>
                <w:b/>
                <w:i w:val="0"/>
              </w:rPr>
              <w:t>42,233 tickets</w:t>
            </w:r>
            <w:r w:rsidRPr="00F3644D">
              <w:rPr>
                <w:i w:val="0"/>
              </w:rPr>
              <w:t xml:space="preserve"> por infracción al Reglamento de Tránsito del Estado de México, en el lapso del 1° de Enero </w:t>
            </w:r>
            <w:r w:rsidRPr="00F3644D">
              <w:rPr>
                <w:i w:val="0"/>
                <w:u w:val="single"/>
              </w:rPr>
              <w:t>al 10 de Diciembre de 2024.</w:t>
            </w:r>
          </w:p>
          <w:p w:rsidR="00C0731C" w:rsidRPr="00E729B8" w:rsidRDefault="00C0731C" w:rsidP="00F3644D">
            <w:pPr>
              <w:jc w:val="both"/>
              <w:rPr>
                <w:rFonts w:ascii="Palatino Linotype" w:hAnsi="Palatino Linotype"/>
                <w:b/>
                <w:color w:val="000000"/>
              </w:rPr>
            </w:pPr>
          </w:p>
        </w:tc>
        <w:tc>
          <w:tcPr>
            <w:tcW w:w="1643" w:type="dxa"/>
          </w:tcPr>
          <w:p w:rsidR="00C0731C" w:rsidRPr="00F3644D" w:rsidRDefault="00F3644D" w:rsidP="00F3644D">
            <w:pPr>
              <w:jc w:val="center"/>
              <w:rPr>
                <w:rFonts w:ascii="Palatino Linotype" w:hAnsi="Palatino Linotype"/>
                <w:b/>
                <w:i/>
              </w:rPr>
            </w:pPr>
            <w:r w:rsidRPr="00F3644D">
              <w:rPr>
                <w:rFonts w:ascii="Palatino Linotype" w:hAnsi="Palatino Linotype"/>
                <w:b/>
                <w:i/>
              </w:rPr>
              <w:t xml:space="preserve">Parcialmente </w:t>
            </w:r>
          </w:p>
          <w:p w:rsidR="00F3644D" w:rsidRPr="001D033E" w:rsidRDefault="00F3644D" w:rsidP="00F3644D">
            <w:pPr>
              <w:jc w:val="center"/>
              <w:rPr>
                <w:rFonts w:ascii="Palatino Linotype" w:hAnsi="Palatino Linotype"/>
                <w:i/>
              </w:rPr>
            </w:pPr>
            <w:r>
              <w:rPr>
                <w:rFonts w:ascii="Palatino Linotype" w:hAnsi="Palatino Linotype"/>
                <w:i/>
              </w:rPr>
              <w:t xml:space="preserve">Se pronuncian hasta el 10 de diciembre 2024. </w:t>
            </w:r>
          </w:p>
        </w:tc>
      </w:tr>
      <w:tr w:rsidR="00C0731C" w:rsidTr="000E2974">
        <w:trPr>
          <w:trHeight w:val="1234"/>
        </w:trPr>
        <w:tc>
          <w:tcPr>
            <w:tcW w:w="1970" w:type="dxa"/>
          </w:tcPr>
          <w:p w:rsidR="00C0731C" w:rsidRPr="008B1D97" w:rsidRDefault="00044D8E" w:rsidP="00044D8E">
            <w:pPr>
              <w:tabs>
                <w:tab w:val="left" w:pos="1828"/>
              </w:tabs>
              <w:jc w:val="both"/>
              <w:rPr>
                <w:rFonts w:ascii="Palatino Linotype" w:hAnsi="Palatino Linotype" w:cs="Tahoma"/>
                <w:bCs/>
              </w:rPr>
            </w:pPr>
            <w:r>
              <w:rPr>
                <w:rFonts w:ascii="Palatino Linotype" w:hAnsi="Palatino Linotype" w:cs="Tahoma"/>
                <w:bCs/>
              </w:rPr>
              <w:t>Cu</w:t>
            </w:r>
            <w:r w:rsidRPr="00F3644D">
              <w:rPr>
                <w:rFonts w:ascii="Palatino Linotype" w:hAnsi="Palatino Linotype" w:cs="Tahoma"/>
                <w:bCs/>
              </w:rPr>
              <w:t>ánto</w:t>
            </w:r>
            <w:r w:rsidR="00F3644D" w:rsidRPr="00F3644D">
              <w:rPr>
                <w:rFonts w:ascii="Palatino Linotype" w:hAnsi="Palatino Linotype" w:cs="Tahoma"/>
                <w:bCs/>
              </w:rPr>
              <w:t xml:space="preserve"> recaudo</w:t>
            </w:r>
          </w:p>
        </w:tc>
        <w:tc>
          <w:tcPr>
            <w:tcW w:w="5478" w:type="dxa"/>
          </w:tcPr>
          <w:p w:rsidR="00C0731C" w:rsidRDefault="00C603F0" w:rsidP="00F3644D">
            <w:pPr>
              <w:jc w:val="both"/>
              <w:rPr>
                <w:rFonts w:ascii="Palatino Linotype" w:hAnsi="Palatino Linotype"/>
                <w:color w:val="000000"/>
              </w:rPr>
            </w:pPr>
            <w:r>
              <w:rPr>
                <w:rFonts w:ascii="Palatino Linotype" w:hAnsi="Palatino Linotype"/>
                <w:color w:val="000000"/>
              </w:rPr>
              <w:t>L</w:t>
            </w:r>
            <w:r w:rsidRPr="00C603F0">
              <w:rPr>
                <w:rFonts w:ascii="Palatino Linotype" w:hAnsi="Palatino Linotype"/>
                <w:color w:val="000000"/>
              </w:rPr>
              <w:t>a Tesorería Municipa</w:t>
            </w:r>
            <w:r>
              <w:rPr>
                <w:rFonts w:ascii="Palatino Linotype" w:hAnsi="Palatino Linotype"/>
                <w:color w:val="000000"/>
              </w:rPr>
              <w:t xml:space="preserve">l refirió: </w:t>
            </w:r>
          </w:p>
          <w:p w:rsidR="00BF5AB4" w:rsidRDefault="00BF5AB4" w:rsidP="00BF5AB4">
            <w:pPr>
              <w:jc w:val="both"/>
              <w:rPr>
                <w:rFonts w:ascii="Palatino Linotype" w:hAnsi="Palatino Linotype"/>
                <w:color w:val="000000"/>
              </w:rPr>
            </w:pPr>
            <w:r>
              <w:rPr>
                <w:rFonts w:ascii="Palatino Linotype" w:hAnsi="Palatino Linotype"/>
                <w:color w:val="000000"/>
              </w:rPr>
              <w:t>E</w:t>
            </w:r>
            <w:r w:rsidRPr="00BF5AB4">
              <w:rPr>
                <w:rFonts w:ascii="Palatino Linotype" w:hAnsi="Palatino Linotype"/>
                <w:color w:val="000000"/>
              </w:rPr>
              <w:t xml:space="preserve">l importe recaudado </w:t>
            </w:r>
            <w:r w:rsidRPr="00BF5AB4">
              <w:rPr>
                <w:rFonts w:ascii="Palatino Linotype" w:hAnsi="Palatino Linotype"/>
                <w:color w:val="000000"/>
                <w:u w:val="single"/>
              </w:rPr>
              <w:t>de enero a septiembre de 2024</w:t>
            </w:r>
            <w:r w:rsidRPr="00BF5AB4">
              <w:rPr>
                <w:rFonts w:ascii="Palatino Linotype" w:hAnsi="Palatino Linotype"/>
                <w:color w:val="000000"/>
              </w:rPr>
              <w:t xml:space="preserve"> por concepto de “Sanciones Administrativas” fue de </w:t>
            </w:r>
            <w:r w:rsidRPr="00BF5AB4">
              <w:rPr>
                <w:rFonts w:ascii="Palatino Linotype" w:hAnsi="Palatino Linotype"/>
                <w:b/>
                <w:color w:val="000000"/>
              </w:rPr>
              <w:t>$53,705, 610.62 (Cincuenta y tres millones setecientos cinco mil seiscientos diez pesos  62/100 M.N.),</w:t>
            </w:r>
            <w:r w:rsidRPr="00BF5AB4">
              <w:rPr>
                <w:rFonts w:ascii="Palatino Linotype" w:hAnsi="Palatino Linotype"/>
                <w:color w:val="000000"/>
              </w:rPr>
              <w:t xml:space="preserve"> cabe señalar </w:t>
            </w:r>
            <w:r w:rsidRPr="00734932">
              <w:rPr>
                <w:rFonts w:ascii="Palatino Linotype" w:hAnsi="Palatino Linotype"/>
                <w:b/>
                <w:color w:val="000000"/>
              </w:rPr>
              <w:t>que los importes son brutos y la cuenta no solo incluye este concepto.</w:t>
            </w:r>
          </w:p>
          <w:p w:rsidR="000E2974" w:rsidRPr="000E2974" w:rsidRDefault="000E2974" w:rsidP="00BF5AB4">
            <w:pPr>
              <w:jc w:val="both"/>
              <w:rPr>
                <w:rFonts w:ascii="Palatino Linotype" w:hAnsi="Palatino Linotype"/>
                <w:color w:val="000000"/>
                <w:lang w:val="es-MX"/>
              </w:rPr>
            </w:pPr>
            <w:r w:rsidRPr="000E2974">
              <w:rPr>
                <w:rFonts w:ascii="Palatino Linotype" w:hAnsi="Palatino Linotype"/>
                <w:color w:val="000000"/>
                <w:lang w:val="es-MX"/>
              </w:rPr>
              <w:t xml:space="preserve">Conforme al calendario emitido por el Órgano Superior de Fiscalización del Estado de México (OSFEM) mediante el cual se indican las fechas para realizar la entrega de los informes trimestrales de las entidades fiscalizables del Estado de México el ejercicio fiscal 2024, la información del periodo de octubre a diciembre correspondiente a esta fracción se podrá consultar </w:t>
            </w:r>
            <w:r w:rsidRPr="000E2974">
              <w:rPr>
                <w:rFonts w:ascii="Palatino Linotype" w:hAnsi="Palatino Linotype"/>
                <w:color w:val="000000"/>
                <w:lang w:val="es-MX"/>
              </w:rPr>
              <w:lastRenderedPageBreak/>
              <w:t>en enero de 2025, en el apartado de estructura organizacional del artículo 92 fracción XL VII A en el siguiente link:</w:t>
            </w:r>
          </w:p>
        </w:tc>
        <w:tc>
          <w:tcPr>
            <w:tcW w:w="1643" w:type="dxa"/>
          </w:tcPr>
          <w:p w:rsidR="00BF5AB4" w:rsidRPr="00F3644D" w:rsidRDefault="00BF5AB4" w:rsidP="00BF5AB4">
            <w:pPr>
              <w:jc w:val="center"/>
              <w:rPr>
                <w:rFonts w:ascii="Palatino Linotype" w:hAnsi="Palatino Linotype"/>
                <w:b/>
                <w:i/>
              </w:rPr>
            </w:pPr>
            <w:r w:rsidRPr="00F3644D">
              <w:rPr>
                <w:rFonts w:ascii="Palatino Linotype" w:hAnsi="Palatino Linotype"/>
                <w:b/>
                <w:i/>
              </w:rPr>
              <w:lastRenderedPageBreak/>
              <w:t xml:space="preserve">Parcialmente </w:t>
            </w:r>
          </w:p>
          <w:p w:rsidR="00C0731C" w:rsidRPr="001D033E" w:rsidRDefault="00BF5AB4" w:rsidP="00BF5AB4">
            <w:pPr>
              <w:jc w:val="center"/>
              <w:rPr>
                <w:rFonts w:ascii="Palatino Linotype" w:hAnsi="Palatino Linotype"/>
                <w:i/>
              </w:rPr>
            </w:pPr>
            <w:r>
              <w:rPr>
                <w:rFonts w:ascii="Palatino Linotype" w:hAnsi="Palatino Linotype"/>
                <w:i/>
              </w:rPr>
              <w:t xml:space="preserve">Se pronuncian hasta </w:t>
            </w:r>
            <w:r w:rsidRPr="00BF5AB4">
              <w:rPr>
                <w:rFonts w:ascii="Palatino Linotype" w:hAnsi="Palatino Linotype"/>
                <w:i/>
                <w:color w:val="000000"/>
              </w:rPr>
              <w:t>septiembre</w:t>
            </w:r>
            <w:r w:rsidR="00734932">
              <w:rPr>
                <w:rFonts w:ascii="Palatino Linotype" w:hAnsi="Palatino Linotype"/>
                <w:i/>
              </w:rPr>
              <w:t xml:space="preserve"> 2024. Aunado a ello, refieren que el monto hace referencia al importe bruto, es decir, incluye otros conceptos.</w:t>
            </w:r>
          </w:p>
        </w:tc>
      </w:tr>
      <w:tr w:rsidR="00C0731C" w:rsidTr="000E2974">
        <w:trPr>
          <w:trHeight w:val="1234"/>
        </w:trPr>
        <w:tc>
          <w:tcPr>
            <w:tcW w:w="1970" w:type="dxa"/>
          </w:tcPr>
          <w:p w:rsidR="00C0731C" w:rsidRPr="008B1D97" w:rsidRDefault="00044D8E" w:rsidP="00F3644D">
            <w:pPr>
              <w:tabs>
                <w:tab w:val="left" w:pos="1828"/>
              </w:tabs>
              <w:jc w:val="both"/>
              <w:rPr>
                <w:rFonts w:ascii="Palatino Linotype" w:hAnsi="Palatino Linotype" w:cs="Tahoma"/>
                <w:bCs/>
              </w:rPr>
            </w:pPr>
            <w:r>
              <w:rPr>
                <w:rFonts w:ascii="Palatino Linotype" w:hAnsi="Palatino Linotype" w:cs="Tahoma"/>
                <w:bCs/>
              </w:rPr>
              <w:t>Có</w:t>
            </w:r>
            <w:r w:rsidR="00F3644D" w:rsidRPr="00F3644D">
              <w:rPr>
                <w:rFonts w:ascii="Palatino Linotype" w:hAnsi="Palatino Linotype" w:cs="Tahoma"/>
                <w:bCs/>
              </w:rPr>
              <w:t>mo se invirtió</w:t>
            </w:r>
          </w:p>
        </w:tc>
        <w:tc>
          <w:tcPr>
            <w:tcW w:w="5478" w:type="dxa"/>
          </w:tcPr>
          <w:p w:rsidR="00C0731C" w:rsidRPr="00BF5AB4" w:rsidRDefault="00BF5AB4" w:rsidP="00F3644D">
            <w:pPr>
              <w:jc w:val="both"/>
              <w:rPr>
                <w:rFonts w:ascii="Palatino Linotype" w:hAnsi="Palatino Linotype"/>
                <w:color w:val="000000"/>
              </w:rPr>
            </w:pPr>
            <w:r w:rsidRPr="00BF5AB4">
              <w:rPr>
                <w:rFonts w:ascii="Palatino Linotype" w:hAnsi="Palatino Linotype"/>
                <w:color w:val="000000"/>
              </w:rPr>
              <w:t>No se pronunci</w:t>
            </w:r>
            <w:r>
              <w:rPr>
                <w:rFonts w:ascii="Palatino Linotype" w:hAnsi="Palatino Linotype"/>
                <w:color w:val="000000"/>
              </w:rPr>
              <w:t>ó</w:t>
            </w:r>
          </w:p>
        </w:tc>
        <w:tc>
          <w:tcPr>
            <w:tcW w:w="1643" w:type="dxa"/>
          </w:tcPr>
          <w:p w:rsidR="00C0731C" w:rsidRPr="00BF5AB4" w:rsidRDefault="00BF5AB4" w:rsidP="00F3644D">
            <w:pPr>
              <w:jc w:val="center"/>
              <w:rPr>
                <w:rFonts w:ascii="Palatino Linotype" w:hAnsi="Palatino Linotype"/>
                <w:b/>
                <w:i/>
              </w:rPr>
            </w:pPr>
            <w:r w:rsidRPr="00BF5AB4">
              <w:rPr>
                <w:rFonts w:ascii="Palatino Linotype" w:hAnsi="Palatino Linotype"/>
                <w:b/>
                <w:i/>
              </w:rPr>
              <w:t>No</w:t>
            </w:r>
          </w:p>
        </w:tc>
      </w:tr>
    </w:tbl>
    <w:p w:rsidR="00C0731C" w:rsidRDefault="00C0731C" w:rsidP="00C0731C">
      <w:pPr>
        <w:spacing w:line="360" w:lineRule="auto"/>
        <w:jc w:val="both"/>
        <w:rPr>
          <w:rFonts w:ascii="Palatino Linotype" w:hAnsi="Palatino Linotype"/>
          <w:color w:val="000000"/>
        </w:rPr>
      </w:pPr>
    </w:p>
    <w:p w:rsidR="000E2974" w:rsidRPr="000E2974" w:rsidRDefault="000E2974" w:rsidP="000E2974">
      <w:pPr>
        <w:spacing w:line="360" w:lineRule="auto"/>
        <w:jc w:val="both"/>
        <w:rPr>
          <w:rFonts w:ascii="Palatino Linotype" w:hAnsi="Palatino Linotype"/>
          <w:color w:val="000000"/>
        </w:rPr>
      </w:pPr>
    </w:p>
    <w:p w:rsidR="00044D8E" w:rsidRPr="009E63DA" w:rsidRDefault="00044D8E" w:rsidP="00044D8E">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044D8E" w:rsidRPr="009E63DA" w:rsidRDefault="00044D8E" w:rsidP="00044D8E">
      <w:pPr>
        <w:ind w:left="567" w:right="567"/>
        <w:jc w:val="both"/>
        <w:rPr>
          <w:rFonts w:ascii="Palatino Linotype" w:hAnsi="Palatino Linotype"/>
        </w:rPr>
      </w:pPr>
    </w:p>
    <w:p w:rsidR="00044D8E" w:rsidRPr="009E63DA" w:rsidRDefault="00044D8E" w:rsidP="00044D8E">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044D8E" w:rsidRPr="009E63DA" w:rsidRDefault="00044D8E" w:rsidP="00044D8E">
      <w:pPr>
        <w:ind w:left="851" w:right="851"/>
        <w:jc w:val="both"/>
        <w:rPr>
          <w:rFonts w:ascii="Palatino Linotype" w:hAnsi="Palatino Linotype"/>
          <w:i/>
        </w:rPr>
      </w:pPr>
      <w:r w:rsidRPr="009E63DA">
        <w:rPr>
          <w:rFonts w:ascii="Palatino Linotype" w:hAnsi="Palatino Linotype"/>
          <w:i/>
        </w:rPr>
        <w:t>…</w:t>
      </w:r>
    </w:p>
    <w:p w:rsidR="00044D8E" w:rsidRPr="009E63DA" w:rsidRDefault="00044D8E" w:rsidP="00044D8E">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044D8E" w:rsidRPr="009E63DA" w:rsidRDefault="00044D8E" w:rsidP="00044D8E">
      <w:pPr>
        <w:ind w:left="851" w:right="851"/>
        <w:jc w:val="both"/>
        <w:rPr>
          <w:rFonts w:ascii="Palatino Linotype" w:hAnsi="Palatino Linotype"/>
          <w:i/>
        </w:rPr>
      </w:pPr>
    </w:p>
    <w:p w:rsidR="00044D8E" w:rsidRPr="009E63DA" w:rsidRDefault="00044D8E" w:rsidP="00044D8E">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044D8E" w:rsidRPr="009E63DA" w:rsidRDefault="00044D8E" w:rsidP="00044D8E">
      <w:pPr>
        <w:ind w:left="851" w:right="851"/>
        <w:jc w:val="both"/>
        <w:rPr>
          <w:rFonts w:ascii="Palatino Linotype" w:hAnsi="Palatino Linotype"/>
          <w:bCs/>
          <w:i/>
        </w:rPr>
      </w:pPr>
    </w:p>
    <w:p w:rsidR="00044D8E" w:rsidRPr="009E63DA" w:rsidRDefault="00044D8E" w:rsidP="00044D8E">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w:t>
      </w:r>
      <w:r w:rsidRPr="009E63DA">
        <w:rPr>
          <w:rFonts w:ascii="Palatino Linotype" w:hAnsi="Palatino Linotype"/>
          <w:bCs/>
          <w:i/>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044D8E" w:rsidRPr="009E63DA" w:rsidRDefault="00044D8E" w:rsidP="00044D8E">
      <w:pPr>
        <w:ind w:left="851" w:right="851"/>
        <w:jc w:val="both"/>
        <w:rPr>
          <w:rFonts w:ascii="Palatino Linotype" w:hAnsi="Palatino Linotype"/>
          <w:bCs/>
          <w:i/>
        </w:rPr>
      </w:pPr>
    </w:p>
    <w:p w:rsidR="00044D8E" w:rsidRPr="009E63DA" w:rsidRDefault="00044D8E" w:rsidP="00044D8E">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044D8E" w:rsidRPr="009E63DA" w:rsidRDefault="00044D8E" w:rsidP="00044D8E">
      <w:pPr>
        <w:ind w:left="851" w:right="851"/>
        <w:jc w:val="both"/>
        <w:rPr>
          <w:rFonts w:ascii="Palatino Linotype" w:hAnsi="Palatino Linotype"/>
          <w:i/>
        </w:rPr>
      </w:pPr>
    </w:p>
    <w:p w:rsidR="00044D8E" w:rsidRPr="009E63DA" w:rsidRDefault="00044D8E" w:rsidP="00044D8E">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044D8E" w:rsidRPr="009E63DA" w:rsidRDefault="00044D8E" w:rsidP="00044D8E">
      <w:pPr>
        <w:ind w:left="851" w:right="851"/>
        <w:jc w:val="both"/>
        <w:rPr>
          <w:rFonts w:ascii="Palatino Linotype" w:hAnsi="Palatino Linotype"/>
          <w:i/>
        </w:rPr>
      </w:pPr>
    </w:p>
    <w:p w:rsidR="00044D8E" w:rsidRPr="009E63DA" w:rsidRDefault="00044D8E" w:rsidP="00044D8E">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044D8E" w:rsidRPr="009E63DA" w:rsidRDefault="00044D8E" w:rsidP="00044D8E">
      <w:pPr>
        <w:jc w:val="both"/>
        <w:rPr>
          <w:rFonts w:ascii="Palatino Linotype" w:hAnsi="Palatino Linotype"/>
        </w:rPr>
      </w:pPr>
    </w:p>
    <w:p w:rsidR="00044D8E" w:rsidRDefault="00044D8E" w:rsidP="00044D8E">
      <w:pPr>
        <w:spacing w:line="360" w:lineRule="auto"/>
        <w:jc w:val="both"/>
        <w:rPr>
          <w:rFonts w:ascii="Palatino Linotype" w:eastAsia="Calibri" w:hAnsi="Palatino Linotype" w:cs="Arial"/>
          <w:color w:val="000000"/>
          <w:lang w:val="es-ES_tradnl" w:eastAsia="es-MX"/>
        </w:rPr>
      </w:pPr>
    </w:p>
    <w:p w:rsidR="00044D8E" w:rsidRDefault="00044D8E" w:rsidP="00044D8E">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rsidR="00044D8E" w:rsidRPr="00DC0E0E" w:rsidRDefault="00044D8E" w:rsidP="00044D8E">
      <w:pPr>
        <w:pStyle w:val="Citas"/>
        <w:tabs>
          <w:tab w:val="left" w:pos="7470"/>
        </w:tabs>
        <w:ind w:left="0" w:right="72"/>
        <w:rPr>
          <w:bCs/>
          <w:i w:val="0"/>
          <w:sz w:val="24"/>
          <w:szCs w:val="24"/>
        </w:rPr>
      </w:pPr>
      <w:r w:rsidRPr="00DC0E0E">
        <w:rPr>
          <w:rFonts w:eastAsia="Calibri"/>
          <w:i w:val="0"/>
          <w:sz w:val="24"/>
          <w:szCs w:val="24"/>
        </w:rPr>
        <w:t xml:space="preserve">Por lo anterior, debe </w:t>
      </w:r>
      <w:r w:rsidRPr="00DC0E0E">
        <w:rPr>
          <w:bCs/>
          <w:i w:val="0"/>
          <w:sz w:val="24"/>
          <w:szCs w:val="24"/>
        </w:rPr>
        <w:t>arribarse a las siguientes consideraciones:</w:t>
      </w:r>
    </w:p>
    <w:p w:rsidR="00044D8E" w:rsidRPr="00DC0E0E" w:rsidRDefault="00044D8E" w:rsidP="00044D8E">
      <w:pPr>
        <w:pStyle w:val="Sinespaciado"/>
        <w:numPr>
          <w:ilvl w:val="0"/>
          <w:numId w:val="14"/>
        </w:numPr>
        <w:spacing w:line="360" w:lineRule="auto"/>
        <w:jc w:val="both"/>
        <w:rPr>
          <w:rFonts w:ascii="Palatino Linotype" w:hAnsi="Palatino Linotype"/>
          <w:sz w:val="24"/>
          <w:szCs w:val="24"/>
        </w:rPr>
      </w:pPr>
      <w:r w:rsidRPr="00DC0E0E">
        <w:rPr>
          <w:rFonts w:ascii="Palatino Linotype" w:hAnsi="Palatino Linotype"/>
          <w:sz w:val="24"/>
          <w:szCs w:val="24"/>
        </w:rPr>
        <w:t xml:space="preserve">El derecho de acceso a la información versa esencialmente en acceder a información registrada en cualquier soporte documental que en ejercicio de las </w:t>
      </w:r>
      <w:r w:rsidRPr="00DC0E0E">
        <w:rPr>
          <w:rFonts w:ascii="Palatino Linotype" w:hAnsi="Palatino Linotype"/>
          <w:sz w:val="24"/>
          <w:szCs w:val="24"/>
        </w:rPr>
        <w:lastRenderedPageBreak/>
        <w:t xml:space="preserve">atribuciones conferidas sea generada, poseída o administrada por los </w:t>
      </w:r>
      <w:r w:rsidRPr="00DC0E0E">
        <w:rPr>
          <w:rFonts w:ascii="Palatino Linotype" w:hAnsi="Palatino Linotype"/>
          <w:b/>
          <w:bCs/>
          <w:sz w:val="24"/>
          <w:szCs w:val="24"/>
        </w:rPr>
        <w:t xml:space="preserve">Sujetos Obligados. </w:t>
      </w:r>
    </w:p>
    <w:p w:rsidR="00044D8E" w:rsidRPr="00DC0E0E" w:rsidRDefault="00044D8E" w:rsidP="00044D8E">
      <w:pPr>
        <w:pStyle w:val="Sinespaciado"/>
        <w:numPr>
          <w:ilvl w:val="0"/>
          <w:numId w:val="14"/>
        </w:numPr>
        <w:spacing w:line="360" w:lineRule="auto"/>
        <w:jc w:val="both"/>
        <w:rPr>
          <w:rFonts w:ascii="Palatino Linotype" w:hAnsi="Palatino Linotype"/>
          <w:sz w:val="24"/>
          <w:szCs w:val="24"/>
        </w:rPr>
      </w:pPr>
      <w:r w:rsidRPr="00DC0E0E">
        <w:rPr>
          <w:rFonts w:ascii="Palatino Linotype" w:hAnsi="Palatino Linotype"/>
          <w:sz w:val="24"/>
          <w:szCs w:val="24"/>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DC0E0E">
        <w:rPr>
          <w:rFonts w:ascii="Palatino Linotype" w:hAnsi="Palatino Linotype"/>
          <w:b/>
          <w:bCs/>
          <w:sz w:val="24"/>
          <w:szCs w:val="24"/>
        </w:rPr>
        <w:t xml:space="preserve">El Sujeto Obligado. </w:t>
      </w:r>
    </w:p>
    <w:p w:rsidR="00044D8E" w:rsidRPr="00DC0E0E" w:rsidRDefault="00044D8E" w:rsidP="00044D8E">
      <w:pPr>
        <w:pStyle w:val="Prrafodelista"/>
        <w:numPr>
          <w:ilvl w:val="0"/>
          <w:numId w:val="14"/>
        </w:numPr>
        <w:spacing w:line="360" w:lineRule="auto"/>
        <w:jc w:val="both"/>
        <w:rPr>
          <w:rFonts w:ascii="Palatino Linotype" w:hAnsi="Palatino Linotype" w:cs="Arial"/>
        </w:rPr>
      </w:pPr>
      <w:r w:rsidRPr="00DC0E0E">
        <w:rPr>
          <w:rFonts w:ascii="Palatino Linotype" w:hAnsi="Palatino Linotype" w:cs="Arial"/>
        </w:rPr>
        <w:t xml:space="preserve">Resulta evidente para esta Ponencia que la Unidad de Transparencia del </w:t>
      </w:r>
      <w:r w:rsidRPr="00DC0E0E">
        <w:rPr>
          <w:rFonts w:ascii="Palatino Linotype" w:hAnsi="Palatino Linotype" w:cs="Arial"/>
          <w:b/>
        </w:rPr>
        <w:t>Sujeto Obligado</w:t>
      </w:r>
      <w:r w:rsidRPr="00DC0E0E">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DC0E0E">
        <w:rPr>
          <w:rFonts w:ascii="Palatino Linotype" w:hAnsi="Palatino Linotype" w:cs="Arial"/>
          <w:b/>
        </w:rPr>
        <w:t>Recurrente</w:t>
      </w:r>
      <w:r w:rsidRPr="00DC0E0E">
        <w:rPr>
          <w:rFonts w:ascii="Palatino Linotype" w:hAnsi="Palatino Linotype" w:cs="Arial"/>
        </w:rPr>
        <w:t>.</w:t>
      </w:r>
    </w:p>
    <w:p w:rsidR="00044D8E" w:rsidRPr="00DC0E0E" w:rsidRDefault="00044D8E" w:rsidP="00044D8E">
      <w:pPr>
        <w:pStyle w:val="Prrafodelista"/>
        <w:numPr>
          <w:ilvl w:val="0"/>
          <w:numId w:val="14"/>
        </w:numPr>
        <w:spacing w:line="360" w:lineRule="auto"/>
        <w:jc w:val="both"/>
        <w:rPr>
          <w:rFonts w:ascii="Palatino Linotype" w:eastAsia="Calibri" w:hAnsi="Palatino Linotype" w:cs="Arial"/>
          <w:b/>
        </w:rPr>
      </w:pPr>
      <w:r w:rsidRPr="00DC0E0E">
        <w:rPr>
          <w:rFonts w:ascii="Palatino Linotype" w:hAnsi="Palatino Linotype"/>
        </w:rPr>
        <w:t xml:space="preserve">Que, de una interpretación sistemática al Organigrama del Ayuntamiento de </w:t>
      </w:r>
      <w:r>
        <w:rPr>
          <w:rFonts w:ascii="Palatino Linotype" w:hAnsi="Palatino Linotype"/>
        </w:rPr>
        <w:t>Toluca</w:t>
      </w:r>
      <w:r w:rsidRPr="00DC0E0E">
        <w:rPr>
          <w:rFonts w:ascii="Palatino Linotype" w:hAnsi="Palatino Linotype"/>
        </w:rPr>
        <w:t xml:space="preserve">, se advierte que </w:t>
      </w:r>
      <w:r>
        <w:rPr>
          <w:rFonts w:ascii="Palatino Linotype" w:hAnsi="Palatino Linotype"/>
        </w:rPr>
        <w:t xml:space="preserve">la </w:t>
      </w:r>
      <w:r w:rsidR="008C6321" w:rsidRPr="008C6321">
        <w:rPr>
          <w:rFonts w:ascii="Palatino Linotype" w:hAnsi="Palatino Linotype"/>
          <w:u w:val="single"/>
        </w:rPr>
        <w:t>Tesorería Municipal, la</w:t>
      </w:r>
      <w:r w:rsidR="008C6321">
        <w:rPr>
          <w:rFonts w:ascii="Palatino Linotype" w:hAnsi="Palatino Linotype"/>
          <w:u w:val="single"/>
        </w:rPr>
        <w:t xml:space="preserve"> </w:t>
      </w:r>
      <w:r w:rsidR="008C6321" w:rsidRPr="008C6321">
        <w:rPr>
          <w:rFonts w:ascii="Palatino Linotype" w:eastAsia="Palatino Linotype" w:hAnsi="Palatino Linotype" w:cs="Palatino Linotype"/>
          <w:color w:val="000000"/>
          <w:u w:val="single"/>
          <w:lang w:val="es-ES_tradnl" w:eastAsia="es-MX"/>
        </w:rPr>
        <w:t xml:space="preserve">Dirección General de Seguridad y Protección, </w:t>
      </w:r>
      <w:r w:rsidR="008C6321" w:rsidRPr="008C6321">
        <w:rPr>
          <w:rFonts w:ascii="Palatino Linotype" w:eastAsia="Palatino Linotype" w:hAnsi="Palatino Linotype" w:cs="Palatino Linotype"/>
          <w:color w:val="000000"/>
          <w:u w:val="single"/>
          <w:lang w:eastAsia="es-MX"/>
        </w:rPr>
        <w:t>Dirección General de Medio Ambiente, Dirección General de Servicios Públicos, Dirección General de Desarrollo Urbano, Ordenamiento Territorial y Obras Públicas, así como el Juez Cívico</w:t>
      </w:r>
      <w:r>
        <w:rPr>
          <w:rFonts w:ascii="Palatino Linotype" w:hAnsi="Palatino Linotype"/>
        </w:rPr>
        <w:t xml:space="preserve">, </w:t>
      </w:r>
      <w:r w:rsidRPr="00DC0E0E">
        <w:rPr>
          <w:rFonts w:ascii="Palatino Linotype" w:hAnsi="Palatino Linotype"/>
        </w:rPr>
        <w:t>resulta</w:t>
      </w:r>
      <w:r>
        <w:rPr>
          <w:rFonts w:ascii="Palatino Linotype" w:hAnsi="Palatino Linotype"/>
        </w:rPr>
        <w:t>n</w:t>
      </w:r>
      <w:r w:rsidRPr="00DC0E0E">
        <w:rPr>
          <w:rFonts w:ascii="Palatino Linotype" w:hAnsi="Palatino Linotype"/>
        </w:rPr>
        <w:t xml:space="preserve"> competente</w:t>
      </w:r>
      <w:r>
        <w:rPr>
          <w:rFonts w:ascii="Palatino Linotype" w:hAnsi="Palatino Linotype"/>
        </w:rPr>
        <w:t>s</w:t>
      </w:r>
      <w:r w:rsidRPr="00DC0E0E">
        <w:rPr>
          <w:rFonts w:ascii="Palatino Linotype" w:hAnsi="Palatino Linotype"/>
        </w:rPr>
        <w:t xml:space="preserve"> para conocer y atender la solicitud de información número </w:t>
      </w:r>
      <w:r w:rsidRPr="00044D8E">
        <w:rPr>
          <w:rFonts w:ascii="Palatino Linotype" w:hAnsi="Palatino Linotype"/>
          <w:b/>
        </w:rPr>
        <w:t>03409/TOLUCA/IP/2024</w:t>
      </w:r>
      <w:r w:rsidRPr="00DC0E0E">
        <w:rPr>
          <w:rFonts w:ascii="Palatino Linotype" w:hAnsi="Palatino Linotype"/>
          <w:b/>
        </w:rPr>
        <w:t>.</w:t>
      </w:r>
    </w:p>
    <w:p w:rsidR="00C0731C" w:rsidRPr="009E63DA" w:rsidRDefault="00C0731C" w:rsidP="00C0731C">
      <w:pPr>
        <w:ind w:left="567" w:right="567"/>
        <w:jc w:val="both"/>
        <w:rPr>
          <w:rFonts w:ascii="Palatino Linotype" w:eastAsia="Calibri" w:hAnsi="Palatino Linotype" w:cs="Arial"/>
          <w:i/>
          <w:color w:val="000000"/>
          <w:sz w:val="2"/>
          <w:lang w:val="es-ES_tradnl" w:eastAsia="es-MX"/>
        </w:rPr>
      </w:pPr>
    </w:p>
    <w:p w:rsidR="00C0731C" w:rsidRDefault="00C0731C" w:rsidP="00C0731C">
      <w:pPr>
        <w:rPr>
          <w:rFonts w:ascii="Palatino Linotype" w:hAnsi="Palatino Linotype" w:cs="Arial"/>
          <w:noProof/>
          <w:color w:val="000000"/>
          <w:lang w:eastAsia="es-MX"/>
        </w:rPr>
      </w:pPr>
    </w:p>
    <w:p w:rsidR="00661F7E" w:rsidRDefault="00661F7E" w:rsidP="00661F7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61F7E" w:rsidRDefault="00661F7E" w:rsidP="00661F7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virtud de lo anterior, se tiene que el Sujeto esta constreñido a generar la información solicitada, por lo que los documentos que pueden dar cuenta de la información que solicita la parte Recurrente, de manera enunciativa más no limitativa, son el Estado Analítico del Ejercicio del Presupuesto de Egresos Detallado – LDF Clasificación </w:t>
      </w:r>
      <w:r>
        <w:rPr>
          <w:rFonts w:ascii="Palatino Linotype" w:eastAsia="Palatino Linotype" w:hAnsi="Palatino Linotype" w:cs="Palatino Linotype"/>
          <w:color w:val="000000"/>
        </w:rPr>
        <w:lastRenderedPageBreak/>
        <w:t>Funcional (Finalidad y Función) y el Estado Analítico del Ejercicio del Presupuesto de Egresos Clasificació</w:t>
      </w:r>
      <w:r w:rsidR="009B0C04">
        <w:rPr>
          <w:rFonts w:ascii="Palatino Linotype" w:eastAsia="Palatino Linotype" w:hAnsi="Palatino Linotype" w:cs="Palatino Linotype"/>
          <w:color w:val="000000"/>
        </w:rPr>
        <w:t xml:space="preserve">n Económica (por tipo de gasto), así como el Diario de Ingresos. </w:t>
      </w:r>
    </w:p>
    <w:p w:rsidR="00661F7E" w:rsidRDefault="00661F7E" w:rsidP="00661F7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61F7E" w:rsidRDefault="00661F7E" w:rsidP="00C0731C">
      <w:pPr>
        <w:rPr>
          <w:rFonts w:ascii="Palatino Linotype" w:hAnsi="Palatino Linotype" w:cs="Arial"/>
          <w:noProof/>
          <w:color w:val="000000"/>
          <w:lang w:eastAsia="es-MX"/>
        </w:rPr>
      </w:pPr>
    </w:p>
    <w:p w:rsidR="00C0731C" w:rsidRPr="00386A5B" w:rsidRDefault="00C0731C" w:rsidP="00C0731C">
      <w:pPr>
        <w:rPr>
          <w:rFonts w:ascii="Palatino Linotype" w:eastAsia="Calibri" w:hAnsi="Palatino Linotype" w:cs="Calibri"/>
          <w:b/>
          <w:i/>
          <w:sz w:val="28"/>
          <w:szCs w:val="22"/>
          <w:lang w:val="es-ES_tradnl" w:eastAsia="es-MX"/>
        </w:rPr>
      </w:pPr>
      <w:r w:rsidRPr="00386A5B">
        <w:rPr>
          <w:rFonts w:ascii="Palatino Linotype" w:eastAsia="Calibri" w:hAnsi="Palatino Linotype" w:cs="Calibri"/>
          <w:b/>
          <w:i/>
          <w:sz w:val="28"/>
          <w:szCs w:val="22"/>
          <w:lang w:val="es-ES_tradnl" w:eastAsia="es-MX"/>
        </w:rPr>
        <w:t>Versión Pública General</w:t>
      </w:r>
    </w:p>
    <w:p w:rsidR="00C0731C" w:rsidRPr="00386A5B" w:rsidRDefault="00C0731C" w:rsidP="00C0731C">
      <w:pPr>
        <w:tabs>
          <w:tab w:val="left" w:pos="7938"/>
        </w:tabs>
        <w:spacing w:before="240" w:after="240" w:line="360" w:lineRule="auto"/>
        <w:jc w:val="both"/>
        <w:rPr>
          <w:rFonts w:ascii="Palatino Linotype" w:eastAsia="Arial Unicode MS" w:hAnsi="Palatino Linotype" w:cs="Arial"/>
          <w:szCs w:val="22"/>
          <w:lang w:val="es-ES_tradnl" w:eastAsia="es-MX"/>
        </w:rPr>
      </w:pPr>
      <w:r w:rsidRPr="00386A5B">
        <w:rPr>
          <w:rFonts w:ascii="Palatino Linotype" w:eastAsia="Arial Unicode MS" w:hAnsi="Palatino Linotype" w:cs="Arial"/>
          <w:szCs w:val="22"/>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C0731C" w:rsidRPr="00386A5B" w:rsidRDefault="00C0731C" w:rsidP="009B0C04">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3. Para los efectos de la presente Ley se entenderá por:</w:t>
      </w:r>
    </w:p>
    <w:p w:rsidR="00C0731C" w:rsidRPr="00386A5B" w:rsidRDefault="00C0731C" w:rsidP="009B0C04">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IX. Datos personales:</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La información concerniente a una persona, identificada o identificable según lo dispuesto por la Ley de Protección de Datos Personales del Estado de México;</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XLV. Versión pública:</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Documento en el que se elimine, suprime o borra la información clasificada como reservada o confidencial para permitir su acceso.</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t xml:space="preserve">Artículo 122. </w:t>
      </w:r>
      <w:r w:rsidRPr="00386A5B">
        <w:rPr>
          <w:rFonts w:ascii="Palatino Linotype" w:eastAsia="Calibri" w:hAnsi="Palatino Linotype" w:cs="Arial"/>
          <w:b/>
          <w:i/>
          <w:szCs w:val="22"/>
          <w:u w:val="single"/>
          <w:lang w:val="es-ES_tradnl" w:eastAsia="es-MX"/>
        </w:rPr>
        <w:t xml:space="preserve">La clasificación es el proceso mediante el cual el sujeto obligado determina que la información en su poder </w:t>
      </w:r>
      <w:proofErr w:type="spellStart"/>
      <w:r w:rsidRPr="00386A5B">
        <w:rPr>
          <w:rFonts w:ascii="Palatino Linotype" w:eastAsia="Calibri" w:hAnsi="Palatino Linotype" w:cs="Arial"/>
          <w:b/>
          <w:i/>
          <w:szCs w:val="22"/>
          <w:u w:val="single"/>
          <w:lang w:val="es-ES_tradnl" w:eastAsia="es-MX"/>
        </w:rPr>
        <w:t>actualiza</w:t>
      </w:r>
      <w:proofErr w:type="spellEnd"/>
      <w:r w:rsidRPr="00386A5B">
        <w:rPr>
          <w:rFonts w:ascii="Palatino Linotype" w:eastAsia="Calibri" w:hAnsi="Palatino Linotype" w:cs="Arial"/>
          <w:b/>
          <w:i/>
          <w:szCs w:val="22"/>
          <w:u w:val="single"/>
          <w:lang w:val="es-ES_tradnl" w:eastAsia="es-MX"/>
        </w:rPr>
        <w:t xml:space="preserve"> alguno de los supuestos de reserva o confidencialidad, de conformidad con lo dispuesto en el presente título.</w:t>
      </w:r>
    </w:p>
    <w:p w:rsidR="00C0731C" w:rsidRPr="00386A5B" w:rsidRDefault="00C0731C" w:rsidP="009B0C04">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rsidR="00C0731C" w:rsidRPr="00386A5B" w:rsidRDefault="00C0731C" w:rsidP="009B0C04">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132. La clasificación de la información se llevará a cabo en el momento en que:</w:t>
      </w:r>
    </w:p>
    <w:p w:rsidR="00C0731C" w:rsidRPr="00386A5B" w:rsidRDefault="00C0731C" w:rsidP="009B0C04">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lastRenderedPageBreak/>
        <w:t>[…]</w:t>
      </w:r>
    </w:p>
    <w:p w:rsidR="00C0731C" w:rsidRPr="00386A5B" w:rsidRDefault="00C0731C" w:rsidP="009B0C04">
      <w:pPr>
        <w:ind w:left="851" w:right="851"/>
        <w:jc w:val="both"/>
        <w:rPr>
          <w:rFonts w:ascii="Palatino Linotype" w:eastAsia="Calibri" w:hAnsi="Palatino Linotype" w:cs="Arial"/>
          <w:b/>
          <w:i/>
          <w:szCs w:val="22"/>
          <w:u w:val="single"/>
          <w:lang w:val="es-ES_tradnl" w:eastAsia="es-MX"/>
        </w:rPr>
      </w:pPr>
      <w:r w:rsidRPr="00386A5B">
        <w:rPr>
          <w:rFonts w:ascii="Palatino Linotype" w:eastAsia="Calibri" w:hAnsi="Palatino Linotype" w:cs="Arial"/>
          <w:b/>
          <w:i/>
          <w:szCs w:val="22"/>
          <w:u w:val="single"/>
          <w:lang w:val="es-ES_tradnl" w:eastAsia="es-MX"/>
        </w:rPr>
        <w:t>II. Se determine mediante resolución de autoridad competente; o</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rsidR="00C0731C" w:rsidRPr="00386A5B" w:rsidRDefault="00C0731C" w:rsidP="009B0C04">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b/>
          <w:i/>
          <w:szCs w:val="22"/>
          <w:u w:val="single"/>
          <w:lang w:val="es-ES_tradnl" w:eastAsia="es-MX"/>
        </w:rPr>
        <w:t xml:space="preserve">de manera genérica y fundando y motivando su clasificación.” </w:t>
      </w:r>
      <w:r w:rsidRPr="00386A5B">
        <w:rPr>
          <w:rFonts w:ascii="Palatino Linotype" w:eastAsia="Calibri" w:hAnsi="Palatino Linotype" w:cs="Arial"/>
          <w:b/>
          <w:i/>
          <w:szCs w:val="22"/>
          <w:lang w:val="es-ES_tradnl" w:eastAsia="es-MX"/>
        </w:rPr>
        <w:t>[Sic]</w:t>
      </w:r>
    </w:p>
    <w:p w:rsidR="00C0731C" w:rsidRDefault="00C0731C" w:rsidP="00C0731C">
      <w:pPr>
        <w:autoSpaceDE w:val="0"/>
        <w:autoSpaceDN w:val="0"/>
        <w:adjustRightInd w:val="0"/>
        <w:spacing w:before="240" w:line="360" w:lineRule="auto"/>
        <w:jc w:val="both"/>
        <w:rPr>
          <w:rFonts w:ascii="Palatino Linotype" w:eastAsia="Calibri" w:hAnsi="Palatino Linotype" w:cs="Arial"/>
          <w:szCs w:val="22"/>
          <w:lang w:val="es-ES_tradnl" w:eastAsia="es-MX"/>
        </w:rPr>
      </w:pPr>
    </w:p>
    <w:p w:rsidR="00C0731C" w:rsidRDefault="00C0731C" w:rsidP="00C0731C">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386A5B">
        <w:rPr>
          <w:rFonts w:ascii="Palatino Linotype" w:eastAsia="Calibri" w:hAnsi="Palatino Linotype" w:cs="Arial"/>
          <w:szCs w:val="22"/>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86A5B">
        <w:rPr>
          <w:rFonts w:ascii="Palatino Linotype" w:eastAsia="Calibri" w:hAnsi="Palatino Linotype" w:cs="Arial"/>
          <w:b/>
          <w:szCs w:val="22"/>
          <w:lang w:val="es-ES_tradnl" w:eastAsia="es-MX"/>
        </w:rPr>
        <w:t>LINEAMIENTOS GENERALES EN MATERIA DE CLASIFICACIÓN Y DESCLASIFICACIÓN DE LA INFORMACIÓN, ASÍ COMO PARA LA ELABORACIÓN DE VERSIONES PÚBLICAS,</w:t>
      </w:r>
      <w:r w:rsidRPr="00386A5B">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Pr>
          <w:rFonts w:ascii="Palatino Linotype" w:eastAsia="Calibri" w:hAnsi="Palatino Linotype" w:cs="Arial"/>
          <w:szCs w:val="22"/>
          <w:lang w:val="es-ES_tradnl" w:eastAsia="es-MX"/>
        </w:rPr>
        <w:t>.</w:t>
      </w:r>
    </w:p>
    <w:p w:rsidR="00C0731C" w:rsidRDefault="00C0731C" w:rsidP="00C0731C">
      <w:pPr>
        <w:autoSpaceDE w:val="0"/>
        <w:autoSpaceDN w:val="0"/>
        <w:adjustRightInd w:val="0"/>
        <w:spacing w:before="240" w:line="360" w:lineRule="auto"/>
        <w:jc w:val="both"/>
        <w:rPr>
          <w:rFonts w:ascii="Palatino Linotype" w:eastAsia="Calibri" w:hAnsi="Palatino Linotype" w:cs="Arial"/>
          <w:szCs w:val="22"/>
          <w:lang w:val="es-ES_tradnl" w:eastAsia="es-MX"/>
        </w:rPr>
      </w:pPr>
    </w:p>
    <w:p w:rsidR="00C0731C" w:rsidRPr="009A71E1" w:rsidRDefault="00C0731C" w:rsidP="00C0731C">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w:t>
      </w:r>
      <w:r w:rsidRPr="009A71E1">
        <w:rPr>
          <w:rFonts w:ascii="Palatino Linotype" w:eastAsiaTheme="minorHAnsi" w:hAnsi="Palatino Linotype" w:cstheme="minorBidi"/>
          <w:lang w:val="es-MX" w:eastAsia="en-US"/>
        </w:rPr>
        <w:lastRenderedPageBreak/>
        <w:t xml:space="preserve">emitida a la solicitud de información </w:t>
      </w:r>
      <w:r>
        <w:rPr>
          <w:rFonts w:ascii="Palatino Linotype" w:hAnsi="Palatino Linotype"/>
          <w:b/>
          <w:bCs/>
        </w:rPr>
        <w:t>03409/TOLUCA/IP/2024</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C0731C" w:rsidRPr="009A71E1" w:rsidRDefault="00C0731C" w:rsidP="00C0731C">
      <w:pPr>
        <w:spacing w:line="360" w:lineRule="auto"/>
        <w:jc w:val="both"/>
        <w:rPr>
          <w:rFonts w:ascii="Palatino Linotype" w:eastAsiaTheme="minorHAnsi" w:hAnsi="Palatino Linotype" w:cstheme="minorBidi"/>
          <w:lang w:val="es-MX" w:eastAsia="en-US"/>
        </w:rPr>
      </w:pPr>
    </w:p>
    <w:p w:rsidR="00C0731C" w:rsidRDefault="00C0731C" w:rsidP="00C0731C">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C0731C" w:rsidRDefault="00C0731C" w:rsidP="00C0731C">
      <w:pPr>
        <w:spacing w:line="360" w:lineRule="auto"/>
        <w:jc w:val="both"/>
        <w:rPr>
          <w:rFonts w:ascii="Palatino Linotype" w:hAnsi="Palatino Linotype"/>
          <w:lang w:val="es-MX"/>
        </w:rPr>
      </w:pPr>
    </w:p>
    <w:p w:rsidR="00C0731C" w:rsidRPr="009A71E1" w:rsidRDefault="00C0731C" w:rsidP="00C0731C">
      <w:pPr>
        <w:spacing w:line="360" w:lineRule="auto"/>
        <w:jc w:val="both"/>
        <w:rPr>
          <w:rFonts w:ascii="Palatino Linotype" w:hAnsi="Palatino Linotype"/>
          <w:lang w:val="es-MX"/>
        </w:rPr>
      </w:pPr>
    </w:p>
    <w:p w:rsidR="00C0731C" w:rsidRPr="009A71E1" w:rsidRDefault="00C0731C" w:rsidP="00C0731C">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C0731C" w:rsidRDefault="00C0731C" w:rsidP="00C0731C">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C0731C" w:rsidRPr="00165D42" w:rsidRDefault="00C0731C" w:rsidP="00C0731C">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03409/TOLUCA/IP/2024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C0731C" w:rsidRPr="00165D42" w:rsidRDefault="00C0731C" w:rsidP="00C0731C">
      <w:pPr>
        <w:spacing w:line="360" w:lineRule="auto"/>
        <w:jc w:val="both"/>
        <w:rPr>
          <w:rFonts w:ascii="Palatino Linotype" w:hAnsi="Palatino Linotype" w:cs="Arial"/>
        </w:rPr>
      </w:pPr>
    </w:p>
    <w:p w:rsidR="00C0731C" w:rsidRDefault="00C0731C" w:rsidP="00C0731C">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y al mayor grado de desagregación posible, de </w:t>
      </w:r>
      <w:r w:rsidRPr="00165D42">
        <w:rPr>
          <w:rFonts w:ascii="Palatino Linotype" w:hAnsi="Palatino Linotype" w:cs="Tahoma"/>
        </w:rPr>
        <w:t>lo siguiente:</w:t>
      </w:r>
    </w:p>
    <w:p w:rsidR="00C0731C" w:rsidRDefault="00C0731C" w:rsidP="00C0731C">
      <w:pPr>
        <w:spacing w:line="360" w:lineRule="auto"/>
        <w:jc w:val="both"/>
        <w:rPr>
          <w:rFonts w:ascii="Palatino Linotype" w:hAnsi="Palatino Linotype" w:cs="Arial"/>
        </w:rPr>
      </w:pPr>
    </w:p>
    <w:p w:rsidR="00C0731C" w:rsidRDefault="00C0731C" w:rsidP="00C0731C">
      <w:pPr>
        <w:pStyle w:val="Prrafodelista"/>
        <w:numPr>
          <w:ilvl w:val="3"/>
          <w:numId w:val="7"/>
        </w:numPr>
        <w:spacing w:before="240" w:line="360" w:lineRule="auto"/>
        <w:ind w:left="567" w:right="72"/>
        <w:jc w:val="both"/>
        <w:rPr>
          <w:rFonts w:ascii="Palatino Linotype" w:hAnsi="Palatino Linotype" w:cs="Arial"/>
        </w:rPr>
      </w:pPr>
      <w:r>
        <w:rPr>
          <w:rFonts w:ascii="Palatino Linotype" w:hAnsi="Palatino Linotype" w:cs="Arial"/>
        </w:rPr>
        <w:t xml:space="preserve">Documentos donde conste el </w:t>
      </w:r>
      <w:r w:rsidR="00661F7E">
        <w:rPr>
          <w:rFonts w:ascii="Palatino Linotype" w:hAnsi="Palatino Linotype" w:cs="Arial"/>
        </w:rPr>
        <w:t>número de infracciones</w:t>
      </w:r>
      <w:r w:rsidR="00FF7BF1">
        <w:rPr>
          <w:rFonts w:ascii="Palatino Linotype" w:hAnsi="Palatino Linotype" w:cs="Arial"/>
        </w:rPr>
        <w:t xml:space="preserve"> </w:t>
      </w:r>
      <w:r w:rsidR="00FF7BF1" w:rsidRPr="00FF7BF1">
        <w:rPr>
          <w:rFonts w:ascii="Palatino Linotype" w:hAnsi="Palatino Linotype" w:cs="Arial"/>
          <w:highlight w:val="yellow"/>
        </w:rPr>
        <w:t>faltantes</w:t>
      </w:r>
      <w:r w:rsidR="00661F7E">
        <w:rPr>
          <w:rFonts w:ascii="Palatino Linotype" w:hAnsi="Palatino Linotype" w:cs="Arial"/>
        </w:rPr>
        <w:t xml:space="preserve">, del </w:t>
      </w:r>
      <w:r w:rsidR="009B0C04">
        <w:rPr>
          <w:rFonts w:ascii="Palatino Linotype" w:hAnsi="Palatino Linotype" w:cs="Arial"/>
        </w:rPr>
        <w:t>primero de enero</w:t>
      </w:r>
      <w:r w:rsidR="00661F7E">
        <w:rPr>
          <w:rFonts w:ascii="Palatino Linotype" w:hAnsi="Palatino Linotype" w:cs="Arial"/>
        </w:rPr>
        <w:t xml:space="preserve"> al </w:t>
      </w:r>
      <w:r w:rsidR="00FF7BF1" w:rsidRPr="00FF7BF1">
        <w:rPr>
          <w:rFonts w:ascii="Palatino Linotype" w:hAnsi="Palatino Linotype" w:cs="Arial"/>
          <w:highlight w:val="yellow"/>
        </w:rPr>
        <w:t>seis</w:t>
      </w:r>
      <w:r w:rsidR="00661F7E">
        <w:rPr>
          <w:rFonts w:ascii="Palatino Linotype" w:hAnsi="Palatino Linotype" w:cs="Arial"/>
        </w:rPr>
        <w:t xml:space="preserve"> de diciembre de dos mil veinticuatro.</w:t>
      </w:r>
    </w:p>
    <w:p w:rsidR="00661F7E" w:rsidRDefault="00661F7E" w:rsidP="00C0731C">
      <w:pPr>
        <w:pStyle w:val="Prrafodelista"/>
        <w:numPr>
          <w:ilvl w:val="3"/>
          <w:numId w:val="7"/>
        </w:numPr>
        <w:spacing w:before="240" w:line="360" w:lineRule="auto"/>
        <w:ind w:left="567" w:right="72"/>
        <w:jc w:val="both"/>
        <w:rPr>
          <w:rFonts w:ascii="Palatino Linotype" w:hAnsi="Palatino Linotype" w:cs="Arial"/>
        </w:rPr>
      </w:pPr>
      <w:r>
        <w:rPr>
          <w:rFonts w:ascii="Palatino Linotype" w:hAnsi="Palatino Linotype" w:cs="Arial"/>
        </w:rPr>
        <w:t xml:space="preserve">Documentos que den cuenta del monto recaudado por infracciones, del primero de </w:t>
      </w:r>
      <w:r w:rsidR="00734932">
        <w:rPr>
          <w:rFonts w:ascii="Palatino Linotype" w:hAnsi="Palatino Linotype" w:cs="Arial"/>
        </w:rPr>
        <w:t>enero</w:t>
      </w:r>
      <w:r>
        <w:rPr>
          <w:rFonts w:ascii="Palatino Linotype" w:hAnsi="Palatino Linotype" w:cs="Arial"/>
        </w:rPr>
        <w:t xml:space="preserve"> al </w:t>
      </w:r>
      <w:r w:rsidR="00FF7BF1" w:rsidRPr="00FF7BF1">
        <w:rPr>
          <w:rFonts w:ascii="Palatino Linotype" w:hAnsi="Palatino Linotype" w:cs="Arial"/>
          <w:highlight w:val="yellow"/>
        </w:rPr>
        <w:t>seis</w:t>
      </w:r>
      <w:r w:rsidR="00FF7BF1">
        <w:rPr>
          <w:rFonts w:ascii="Palatino Linotype" w:hAnsi="Palatino Linotype" w:cs="Arial"/>
        </w:rPr>
        <w:t xml:space="preserve"> </w:t>
      </w:r>
      <w:r>
        <w:rPr>
          <w:rFonts w:ascii="Palatino Linotype" w:hAnsi="Palatino Linotype" w:cs="Arial"/>
        </w:rPr>
        <w:t>de diciembre de dos mil veinticuatro.</w:t>
      </w:r>
    </w:p>
    <w:p w:rsidR="00661F7E" w:rsidRPr="00DF7F7B" w:rsidRDefault="00661F7E" w:rsidP="00C0731C">
      <w:pPr>
        <w:pStyle w:val="Prrafodelista"/>
        <w:numPr>
          <w:ilvl w:val="3"/>
          <w:numId w:val="7"/>
        </w:numPr>
        <w:spacing w:before="240" w:line="360" w:lineRule="auto"/>
        <w:ind w:left="567" w:right="72"/>
        <w:jc w:val="both"/>
        <w:rPr>
          <w:rFonts w:ascii="Palatino Linotype" w:hAnsi="Palatino Linotype" w:cs="Arial"/>
        </w:rPr>
      </w:pPr>
      <w:r>
        <w:rPr>
          <w:rFonts w:ascii="Palatino Linotype" w:hAnsi="Palatino Linotype" w:cs="Arial"/>
        </w:rPr>
        <w:t xml:space="preserve">Documentos que den cuenta sobre </w:t>
      </w:r>
      <w:r w:rsidR="008C6321">
        <w:rPr>
          <w:rFonts w:ascii="Palatino Linotype" w:hAnsi="Palatino Linotype" w:cs="Arial"/>
        </w:rPr>
        <w:t>el destino</w:t>
      </w:r>
      <w:r>
        <w:rPr>
          <w:rFonts w:ascii="Palatino Linotype" w:hAnsi="Palatino Linotype" w:cs="Arial"/>
        </w:rPr>
        <w:t xml:space="preserve"> </w:t>
      </w:r>
      <w:r w:rsidR="008C6321">
        <w:rPr>
          <w:rFonts w:ascii="Palatino Linotype" w:hAnsi="Palatino Linotype" w:cs="Arial"/>
        </w:rPr>
        <w:t>d</w:t>
      </w:r>
      <w:r>
        <w:rPr>
          <w:rFonts w:ascii="Palatino Linotype" w:hAnsi="Palatino Linotype" w:cs="Arial"/>
        </w:rPr>
        <w:t>el monto recaudado</w:t>
      </w:r>
      <w:r w:rsidR="005E7088">
        <w:rPr>
          <w:rFonts w:ascii="Palatino Linotype" w:hAnsi="Palatino Linotype" w:cs="Arial"/>
        </w:rPr>
        <w:t xml:space="preserve"> por infracciones</w:t>
      </w:r>
      <w:r>
        <w:rPr>
          <w:rFonts w:ascii="Palatino Linotype" w:hAnsi="Palatino Linotype" w:cs="Arial"/>
        </w:rPr>
        <w:t xml:space="preserve">, del primero de enero al </w:t>
      </w:r>
      <w:r w:rsidR="00FF7BF1" w:rsidRPr="00FF7BF1">
        <w:rPr>
          <w:rFonts w:ascii="Palatino Linotype" w:hAnsi="Palatino Linotype" w:cs="Arial"/>
          <w:highlight w:val="yellow"/>
        </w:rPr>
        <w:t>seis</w:t>
      </w:r>
      <w:r w:rsidR="00FF7BF1">
        <w:rPr>
          <w:rFonts w:ascii="Palatino Linotype" w:hAnsi="Palatino Linotype" w:cs="Arial"/>
        </w:rPr>
        <w:t xml:space="preserve"> </w:t>
      </w:r>
      <w:r>
        <w:rPr>
          <w:rFonts w:ascii="Palatino Linotype" w:hAnsi="Palatino Linotype" w:cs="Arial"/>
        </w:rPr>
        <w:t>de diciembre de dos mil veinticuatro.</w:t>
      </w:r>
    </w:p>
    <w:p w:rsidR="00C0731C" w:rsidRDefault="00C0731C" w:rsidP="00C0731C">
      <w:pPr>
        <w:pStyle w:val="INFOEM"/>
        <w:spacing w:before="0" w:after="0"/>
        <w:ind w:left="720" w:right="567"/>
        <w:rPr>
          <w:sz w:val="24"/>
          <w:szCs w:val="24"/>
        </w:rPr>
      </w:pPr>
    </w:p>
    <w:p w:rsidR="00FF7BF1" w:rsidRDefault="00C0731C" w:rsidP="00FF7BF1">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FF7BF1" w:rsidRDefault="00FF7BF1" w:rsidP="00FF7BF1">
      <w:pPr>
        <w:pStyle w:val="INFOEM"/>
        <w:spacing w:before="0" w:after="0"/>
        <w:ind w:left="720" w:right="567"/>
        <w:rPr>
          <w:sz w:val="24"/>
          <w:szCs w:val="24"/>
        </w:rPr>
      </w:pPr>
    </w:p>
    <w:p w:rsidR="00FF7BF1" w:rsidRDefault="00FF7BF1" w:rsidP="00FF7BF1">
      <w:pPr>
        <w:pStyle w:val="INFOEM"/>
        <w:spacing w:before="0" w:after="0"/>
        <w:ind w:left="720" w:right="567"/>
        <w:rPr>
          <w:sz w:val="24"/>
          <w:szCs w:val="24"/>
        </w:rPr>
      </w:pPr>
      <w:r w:rsidRPr="00FF7BF1">
        <w:rPr>
          <w:sz w:val="24"/>
          <w:szCs w:val="24"/>
          <w:highlight w:val="yellow"/>
        </w:rPr>
        <w:t>En el supuesto de que el Sujeto Obligado no cuente con la información que se ordena en el punto 3, bastará con que el área competente se manifieste de manera precisa y clara.</w:t>
      </w:r>
      <w:r>
        <w:rPr>
          <w:sz w:val="24"/>
          <w:szCs w:val="24"/>
        </w:rPr>
        <w:t xml:space="preserve"> </w:t>
      </w:r>
    </w:p>
    <w:p w:rsidR="00FF7BF1" w:rsidRPr="00FF7BF1" w:rsidRDefault="00FF7BF1" w:rsidP="00FF7BF1">
      <w:pPr>
        <w:pStyle w:val="INFOEM"/>
        <w:spacing w:before="0" w:after="0"/>
        <w:ind w:left="720" w:right="567"/>
        <w:rPr>
          <w:sz w:val="24"/>
          <w:szCs w:val="24"/>
        </w:rPr>
      </w:pPr>
    </w:p>
    <w:p w:rsidR="00C0731C" w:rsidRPr="00DC5E29" w:rsidRDefault="00C0731C" w:rsidP="00C0731C">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0731C" w:rsidRPr="00DC5E29" w:rsidRDefault="00C0731C" w:rsidP="00C0731C">
      <w:pPr>
        <w:spacing w:line="360" w:lineRule="auto"/>
        <w:ind w:right="-595"/>
        <w:jc w:val="both"/>
        <w:rPr>
          <w:rFonts w:ascii="Palatino Linotype" w:hAnsi="Palatino Linotype" w:cs="Tahoma"/>
          <w:bCs/>
        </w:rPr>
      </w:pPr>
    </w:p>
    <w:p w:rsidR="00C0731C" w:rsidRDefault="00C0731C" w:rsidP="00C0731C">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w:t>
      </w:r>
      <w:r w:rsidRPr="00DC5E29">
        <w:rPr>
          <w:rFonts w:ascii="Palatino Linotype" w:hAnsi="Palatino Linotype" w:cs="Arial"/>
        </w:rPr>
        <w:lastRenderedPageBreak/>
        <w:t xml:space="preserve">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C0731C" w:rsidRPr="00DC5E29" w:rsidRDefault="00C0731C" w:rsidP="00C0731C">
      <w:pPr>
        <w:autoSpaceDE w:val="0"/>
        <w:autoSpaceDN w:val="0"/>
        <w:adjustRightInd w:val="0"/>
        <w:spacing w:line="360" w:lineRule="auto"/>
        <w:jc w:val="both"/>
        <w:rPr>
          <w:rFonts w:ascii="Palatino Linotype" w:hAnsi="Palatino Linotype" w:cs="Arial"/>
        </w:rPr>
      </w:pPr>
    </w:p>
    <w:p w:rsidR="00C0731C" w:rsidRDefault="00C0731C" w:rsidP="00C0731C">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C0731C" w:rsidRDefault="00C0731C" w:rsidP="00C0731C">
      <w:pPr>
        <w:spacing w:line="360" w:lineRule="auto"/>
        <w:jc w:val="both"/>
        <w:rPr>
          <w:rFonts w:ascii="Palatino Linotype" w:hAnsi="Palatino Linotype" w:cs="Arial"/>
        </w:rPr>
      </w:pPr>
    </w:p>
    <w:p w:rsidR="00C0731C" w:rsidRPr="007C3942" w:rsidRDefault="00C0731C" w:rsidP="00C0731C">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590166">
        <w:rPr>
          <w:rFonts w:ascii="Palatino Linotype" w:hAnsi="Palatino Linotype" w:cs="Arial"/>
        </w:rPr>
        <w:t>QUINTA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590166">
        <w:rPr>
          <w:rFonts w:ascii="Palatino Linotype" w:hAnsi="Palatino Linotype" w:cs="Arial"/>
        </w:rPr>
        <w:t>DOCE</w:t>
      </w:r>
      <w:r w:rsidR="00661F7E">
        <w:rPr>
          <w:rFonts w:ascii="Palatino Linotype" w:hAnsi="Palatino Linotype" w:cs="Arial"/>
        </w:rPr>
        <w:t xml:space="preserve"> DE FEBRERO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2925A2">
        <w:rPr>
          <w:rFonts w:ascii="Palatino Linotype" w:hAnsi="Palatino Linotype" w:cs="Arial"/>
        </w:rPr>
        <w:t>-------------------------------</w:t>
      </w:r>
    </w:p>
    <w:p w:rsidR="00C0731C" w:rsidRDefault="00C0731C" w:rsidP="00C0731C">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00661F7E">
        <w:rPr>
          <w:rFonts w:ascii="Palatino Linotype" w:hAnsi="Palatino Linotype" w:cs="Arial"/>
          <w:sz w:val="16"/>
        </w:rPr>
        <w:t>JMV/CCR/</w:t>
      </w:r>
      <w:r w:rsidR="00FE7458">
        <w:rPr>
          <w:rFonts w:ascii="Palatino Linotype" w:hAnsi="Palatino Linotype" w:cs="Arial"/>
          <w:sz w:val="16"/>
        </w:rPr>
        <w:t>LMST</w:t>
      </w:r>
    </w:p>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0731C" w:rsidRDefault="00C0731C" w:rsidP="00C0731C"/>
    <w:p w:rsidR="00CE1345" w:rsidRDefault="00CE1345"/>
    <w:sectPr w:rsidR="00CE1345" w:rsidSect="00B351B7">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7E" w:rsidRDefault="00661F7E" w:rsidP="00C0731C">
      <w:r>
        <w:separator/>
      </w:r>
    </w:p>
  </w:endnote>
  <w:endnote w:type="continuationSeparator" w:id="0">
    <w:p w:rsidR="00661F7E" w:rsidRDefault="00661F7E" w:rsidP="00C0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7E" w:rsidRPr="00A2780F" w:rsidRDefault="00661F7E" w:rsidP="00B351B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97638">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97638">
      <w:rPr>
        <w:rFonts w:ascii="Arial" w:hAnsi="Arial" w:cs="Arial"/>
        <w:b/>
        <w:bCs/>
        <w:noProof/>
        <w:sz w:val="20"/>
        <w:szCs w:val="20"/>
      </w:rPr>
      <w:t>37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7E" w:rsidRPr="00070856" w:rsidRDefault="00661F7E" w:rsidP="00B351B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9763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97638">
      <w:rPr>
        <w:rFonts w:ascii="Arial" w:hAnsi="Arial" w:cs="Arial"/>
        <w:b/>
        <w:bCs/>
        <w:noProof/>
        <w:sz w:val="20"/>
        <w:szCs w:val="20"/>
      </w:rPr>
      <w:t>37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7E" w:rsidRDefault="00661F7E" w:rsidP="00C0731C">
      <w:r>
        <w:separator/>
      </w:r>
    </w:p>
  </w:footnote>
  <w:footnote w:type="continuationSeparator" w:id="0">
    <w:p w:rsidR="00661F7E" w:rsidRDefault="00661F7E" w:rsidP="00C0731C">
      <w:r>
        <w:continuationSeparator/>
      </w:r>
    </w:p>
  </w:footnote>
  <w:footnote w:id="1">
    <w:p w:rsidR="00661F7E" w:rsidRPr="005552A8" w:rsidRDefault="00661F7E" w:rsidP="00C0731C">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61F7E" w:rsidRPr="005552A8" w:rsidRDefault="00661F7E" w:rsidP="00C0731C">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661F7E" w:rsidRPr="008F2CCC" w:rsidTr="00B351B7">
      <w:tc>
        <w:tcPr>
          <w:tcW w:w="3620" w:type="dxa"/>
          <w:shd w:val="clear" w:color="auto" w:fill="auto"/>
        </w:tcPr>
        <w:p w:rsidR="00661F7E" w:rsidRPr="007E5FC4" w:rsidRDefault="00661F7E" w:rsidP="00B351B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661F7E" w:rsidRPr="00664658" w:rsidRDefault="00661F7E" w:rsidP="00B351B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925A2">
            <w:rPr>
              <w:rFonts w:ascii="Palatino Linotype" w:hAnsi="Palatino Linotype"/>
              <w:b/>
              <w:sz w:val="22"/>
              <w:szCs w:val="22"/>
              <w:lang w:val="es-ES_tradnl"/>
            </w:rPr>
            <w:t>0</w:t>
          </w:r>
          <w:r>
            <w:rPr>
              <w:rFonts w:ascii="Palatino Linotype" w:hAnsi="Palatino Linotype"/>
              <w:b/>
              <w:sz w:val="22"/>
              <w:szCs w:val="22"/>
              <w:lang w:val="es-ES_tradnl"/>
            </w:rPr>
            <w:t>120/INFOEM/IP/RR/2025</w:t>
          </w:r>
        </w:p>
      </w:tc>
    </w:tr>
    <w:tr w:rsidR="00661F7E" w:rsidRPr="008F2CCC" w:rsidTr="00B351B7">
      <w:tc>
        <w:tcPr>
          <w:tcW w:w="3620" w:type="dxa"/>
          <w:shd w:val="clear" w:color="auto" w:fill="auto"/>
        </w:tcPr>
        <w:p w:rsidR="00661F7E" w:rsidRPr="007E5FC4" w:rsidRDefault="00661F7E" w:rsidP="00B351B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661F7E" w:rsidRPr="00664658" w:rsidRDefault="00661F7E" w:rsidP="00B351B7">
          <w:pPr>
            <w:spacing w:line="276" w:lineRule="auto"/>
            <w:jc w:val="right"/>
            <w:rPr>
              <w:rFonts w:ascii="Palatino Linotype" w:hAnsi="Palatino Linotype"/>
              <w:b/>
              <w:sz w:val="22"/>
              <w:szCs w:val="22"/>
              <w:lang w:val="es-ES_tradnl"/>
            </w:rPr>
          </w:pPr>
          <w:r w:rsidRPr="00C0731C">
            <w:rPr>
              <w:rFonts w:ascii="Palatino Linotype" w:hAnsi="Palatino Linotype"/>
              <w:b/>
              <w:sz w:val="22"/>
              <w:szCs w:val="22"/>
            </w:rPr>
            <w:t>Ayuntamiento de Toluca</w:t>
          </w:r>
        </w:p>
      </w:tc>
    </w:tr>
    <w:tr w:rsidR="00661F7E" w:rsidRPr="008F2CCC" w:rsidTr="00B351B7">
      <w:trPr>
        <w:trHeight w:val="228"/>
      </w:trPr>
      <w:tc>
        <w:tcPr>
          <w:tcW w:w="3620" w:type="dxa"/>
          <w:shd w:val="clear" w:color="auto" w:fill="auto"/>
        </w:tcPr>
        <w:p w:rsidR="00661F7E" w:rsidRPr="007E5FC4" w:rsidRDefault="00661F7E" w:rsidP="00B351B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661F7E" w:rsidRPr="00664658" w:rsidRDefault="00661F7E" w:rsidP="00B351B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61F7E" w:rsidRDefault="00661F7E" w:rsidP="00B351B7">
    <w:pPr>
      <w:pStyle w:val="Encabezado"/>
      <w:tabs>
        <w:tab w:val="clear" w:pos="4252"/>
        <w:tab w:val="clear" w:pos="8504"/>
        <w:tab w:val="left" w:pos="2326"/>
      </w:tabs>
      <w:rPr>
        <w:rFonts w:ascii="Palatino Linotype" w:hAnsi="Palatino Linotype"/>
        <w:sz w:val="20"/>
      </w:rPr>
    </w:pPr>
  </w:p>
  <w:p w:rsidR="00661F7E" w:rsidRPr="001779E0" w:rsidRDefault="00661F7E" w:rsidP="00B351B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8A8E792" wp14:editId="02C8C8B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661F7E" w:rsidRPr="008F2CCC" w:rsidTr="00B351B7">
      <w:tc>
        <w:tcPr>
          <w:tcW w:w="2977" w:type="dxa"/>
          <w:shd w:val="clear" w:color="auto" w:fill="auto"/>
        </w:tcPr>
        <w:p w:rsidR="00661F7E" w:rsidRPr="007E5FC4" w:rsidRDefault="00661F7E" w:rsidP="00B351B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661F7E" w:rsidRPr="008F2CCC" w:rsidRDefault="00661F7E" w:rsidP="00B351B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925A2">
            <w:rPr>
              <w:rFonts w:ascii="Palatino Linotype" w:hAnsi="Palatino Linotype"/>
              <w:b/>
              <w:sz w:val="22"/>
              <w:szCs w:val="22"/>
              <w:lang w:val="es-ES_tradnl"/>
            </w:rPr>
            <w:t>0</w:t>
          </w:r>
          <w:r>
            <w:rPr>
              <w:rFonts w:ascii="Palatino Linotype" w:hAnsi="Palatino Linotype"/>
              <w:b/>
              <w:sz w:val="22"/>
              <w:szCs w:val="22"/>
              <w:lang w:val="es-ES_tradnl"/>
            </w:rPr>
            <w:t>120/INFOEM/IP/RR/2025</w:t>
          </w:r>
        </w:p>
      </w:tc>
    </w:tr>
    <w:tr w:rsidR="00661F7E" w:rsidRPr="008F2CCC" w:rsidTr="00B351B7">
      <w:tc>
        <w:tcPr>
          <w:tcW w:w="2977" w:type="dxa"/>
          <w:shd w:val="clear" w:color="auto" w:fill="auto"/>
          <w:vAlign w:val="center"/>
        </w:tcPr>
        <w:p w:rsidR="00661F7E" w:rsidRPr="007E5FC4" w:rsidRDefault="00661F7E" w:rsidP="00B351B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661F7E" w:rsidRPr="008F2CCC" w:rsidRDefault="00097638" w:rsidP="00B351B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661F7E" w:rsidRPr="008F2CCC" w:rsidTr="00B351B7">
      <w:trPr>
        <w:trHeight w:val="228"/>
      </w:trPr>
      <w:tc>
        <w:tcPr>
          <w:tcW w:w="2977" w:type="dxa"/>
          <w:shd w:val="clear" w:color="auto" w:fill="auto"/>
        </w:tcPr>
        <w:p w:rsidR="00661F7E" w:rsidRPr="007E5FC4" w:rsidRDefault="00661F7E" w:rsidP="00B351B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661F7E" w:rsidRPr="00DC41C8" w:rsidRDefault="00661F7E" w:rsidP="00B351B7">
          <w:pPr>
            <w:spacing w:line="360" w:lineRule="auto"/>
            <w:jc w:val="right"/>
            <w:rPr>
              <w:rFonts w:ascii="Palatino Linotype" w:hAnsi="Palatino Linotype"/>
              <w:b/>
              <w:sz w:val="22"/>
              <w:szCs w:val="22"/>
            </w:rPr>
          </w:pPr>
          <w:r w:rsidRPr="00C0731C">
            <w:rPr>
              <w:rFonts w:ascii="Palatino Linotype" w:hAnsi="Palatino Linotype"/>
              <w:b/>
              <w:sz w:val="22"/>
              <w:szCs w:val="22"/>
            </w:rPr>
            <w:t>Ayuntamiento de Toluca</w:t>
          </w:r>
        </w:p>
      </w:tc>
    </w:tr>
    <w:tr w:rsidR="00661F7E" w:rsidRPr="008F2CCC" w:rsidTr="00B351B7">
      <w:tc>
        <w:tcPr>
          <w:tcW w:w="2977" w:type="dxa"/>
          <w:shd w:val="clear" w:color="auto" w:fill="auto"/>
        </w:tcPr>
        <w:p w:rsidR="00661F7E" w:rsidRPr="007E5FC4" w:rsidRDefault="00661F7E" w:rsidP="00B351B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661F7E" w:rsidRPr="008F2CCC" w:rsidRDefault="00661F7E" w:rsidP="00B351B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61F7E" w:rsidRPr="009F1AB6" w:rsidRDefault="00661F7E">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BC91E45" wp14:editId="1D9B3EB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C911DD6"/>
    <w:multiLevelType w:val="hybridMultilevel"/>
    <w:tmpl w:val="12BAE6B8"/>
    <w:lvl w:ilvl="0" w:tplc="61686F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E7522"/>
    <w:multiLevelType w:val="hybridMultilevel"/>
    <w:tmpl w:val="20024410"/>
    <w:lvl w:ilvl="0" w:tplc="43DCB69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41173FCC"/>
    <w:multiLevelType w:val="hybridMultilevel"/>
    <w:tmpl w:val="04E88BA0"/>
    <w:lvl w:ilvl="0" w:tplc="551A522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4AF8533E"/>
    <w:multiLevelType w:val="hybridMultilevel"/>
    <w:tmpl w:val="4BFEC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10"/>
  </w:num>
  <w:num w:numId="6">
    <w:abstractNumId w:val="3"/>
  </w:num>
  <w:num w:numId="7">
    <w:abstractNumId w:val="0"/>
  </w:num>
  <w:num w:numId="8">
    <w:abstractNumId w:val="8"/>
  </w:num>
  <w:num w:numId="9">
    <w:abstractNumId w:val="2"/>
  </w:num>
  <w:num w:numId="10">
    <w:abstractNumId w:val="9"/>
  </w:num>
  <w:num w:numId="11">
    <w:abstractNumId w:val="11"/>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1C"/>
    <w:rsid w:val="00044D8E"/>
    <w:rsid w:val="00061D8C"/>
    <w:rsid w:val="00097638"/>
    <w:rsid w:val="000E2974"/>
    <w:rsid w:val="0016468E"/>
    <w:rsid w:val="001A2BA2"/>
    <w:rsid w:val="001E5BFD"/>
    <w:rsid w:val="00264792"/>
    <w:rsid w:val="002925A2"/>
    <w:rsid w:val="0036697E"/>
    <w:rsid w:val="004B099C"/>
    <w:rsid w:val="004C2189"/>
    <w:rsid w:val="00513771"/>
    <w:rsid w:val="00590166"/>
    <w:rsid w:val="005E7088"/>
    <w:rsid w:val="00661F7E"/>
    <w:rsid w:val="00734932"/>
    <w:rsid w:val="007B38D4"/>
    <w:rsid w:val="008C6321"/>
    <w:rsid w:val="00932EC4"/>
    <w:rsid w:val="009B0C04"/>
    <w:rsid w:val="009D673D"/>
    <w:rsid w:val="00A40B47"/>
    <w:rsid w:val="00A53525"/>
    <w:rsid w:val="00A6520B"/>
    <w:rsid w:val="00A71C6D"/>
    <w:rsid w:val="00B351B7"/>
    <w:rsid w:val="00B907C8"/>
    <w:rsid w:val="00BF5AB4"/>
    <w:rsid w:val="00C0731C"/>
    <w:rsid w:val="00C603F0"/>
    <w:rsid w:val="00CE1345"/>
    <w:rsid w:val="00F3644D"/>
    <w:rsid w:val="00FE7458"/>
    <w:rsid w:val="00FF7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73B7-7468-4051-B4D5-854112B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731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0731C"/>
    <w:rPr>
      <w:rFonts w:eastAsiaTheme="minorEastAsia"/>
      <w:sz w:val="24"/>
      <w:szCs w:val="24"/>
      <w:lang w:val="es-ES_tradnl" w:eastAsia="es-ES"/>
    </w:rPr>
  </w:style>
  <w:style w:type="paragraph" w:styleId="Piedepgina">
    <w:name w:val="footer"/>
    <w:basedOn w:val="Normal"/>
    <w:link w:val="PiedepginaCar"/>
    <w:uiPriority w:val="99"/>
    <w:unhideWhenUsed/>
    <w:rsid w:val="00C0731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0731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731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0731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0731C"/>
    <w:pPr>
      <w:spacing w:after="0" w:line="240" w:lineRule="auto"/>
    </w:pPr>
  </w:style>
  <w:style w:type="character" w:customStyle="1" w:styleId="SinespaciadoCar">
    <w:name w:val="Sin espaciado Car"/>
    <w:aliases w:val="Francesa Car,INAI Car"/>
    <w:link w:val="Sinespaciado"/>
    <w:uiPriority w:val="1"/>
    <w:locked/>
    <w:rsid w:val="00C0731C"/>
  </w:style>
  <w:style w:type="character" w:styleId="Hipervnculo">
    <w:name w:val="Hyperlink"/>
    <w:aliases w:val="Hipervínculo1,Hipervínculo11,Hipervínculo12,Hipervínculo13,Hipervínculo14,Hipervínculo15"/>
    <w:basedOn w:val="Fuentedeprrafopredeter"/>
    <w:uiPriority w:val="99"/>
    <w:unhideWhenUsed/>
    <w:rsid w:val="00C0731C"/>
    <w:rPr>
      <w:color w:val="0563C1" w:themeColor="hyperlink"/>
      <w:u w:val="single"/>
    </w:rPr>
  </w:style>
  <w:style w:type="paragraph" w:customStyle="1" w:styleId="INFOEM">
    <w:name w:val="INFOEM"/>
    <w:basedOn w:val="Normal"/>
    <w:qFormat/>
    <w:rsid w:val="00C0731C"/>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C0731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0731C"/>
    <w:rPr>
      <w:vertAlign w:val="superscript"/>
    </w:rPr>
  </w:style>
  <w:style w:type="paragraph" w:customStyle="1" w:styleId="infoemcitas">
    <w:name w:val="infoem citas"/>
    <w:basedOn w:val="Normal"/>
    <w:qFormat/>
    <w:rsid w:val="00C0731C"/>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C0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0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351B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Hipervnculovisitado">
    <w:name w:val="FollowedHyperlink"/>
    <w:basedOn w:val="Fuentedeprrafopredeter"/>
    <w:uiPriority w:val="99"/>
    <w:semiHidden/>
    <w:unhideWhenUsed/>
    <w:rsid w:val="00A71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37</Pages>
  <Words>8855</Words>
  <Characters>48707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14</cp:revision>
  <dcterms:created xsi:type="dcterms:W3CDTF">2025-01-29T15:54:00Z</dcterms:created>
  <dcterms:modified xsi:type="dcterms:W3CDTF">2025-02-25T20:23:00Z</dcterms:modified>
</cp:coreProperties>
</file>