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C14084" w14:textId="77777777" w:rsidR="00F65DEA" w:rsidRDefault="00F65DEA">
      <w:pPr>
        <w:widowControl w:val="0"/>
        <w:pBdr>
          <w:top w:val="nil"/>
          <w:left w:val="nil"/>
          <w:bottom w:val="nil"/>
          <w:right w:val="nil"/>
          <w:between w:val="nil"/>
        </w:pBdr>
        <w:spacing w:after="0" w:line="276" w:lineRule="auto"/>
        <w:jc w:val="left"/>
      </w:pPr>
    </w:p>
    <w:p w14:paraId="5ED4E0BE" w14:textId="77777777" w:rsidR="00F65DEA" w:rsidRDefault="00F65DEA">
      <w:pPr>
        <w:widowControl w:val="0"/>
        <w:pBdr>
          <w:top w:val="nil"/>
          <w:left w:val="nil"/>
          <w:bottom w:val="nil"/>
          <w:right w:val="nil"/>
          <w:between w:val="nil"/>
        </w:pBdr>
        <w:spacing w:after="0" w:line="360" w:lineRule="auto"/>
        <w:jc w:val="left"/>
      </w:pPr>
    </w:p>
    <w:sdt>
      <w:sdtPr>
        <w:rPr>
          <w:rFonts w:ascii="Palatino Linotype" w:eastAsia="Palatino Linotype" w:hAnsi="Palatino Linotype" w:cs="Palatino Linotype"/>
          <w:color w:val="auto"/>
          <w:sz w:val="22"/>
          <w:szCs w:val="22"/>
          <w:lang w:val="es-ES"/>
        </w:rPr>
        <w:id w:val="1882822569"/>
        <w:docPartObj>
          <w:docPartGallery w:val="Table of Contents"/>
          <w:docPartUnique/>
        </w:docPartObj>
      </w:sdtPr>
      <w:sdtEndPr>
        <w:rPr>
          <w:b/>
          <w:bCs/>
        </w:rPr>
      </w:sdtEndPr>
      <w:sdtContent>
        <w:p w14:paraId="1B67FBAC" w14:textId="43E4B5BE" w:rsidR="004F1B85" w:rsidRPr="005D1CE8" w:rsidRDefault="004F1B85">
          <w:pPr>
            <w:pStyle w:val="TtuloTDC"/>
          </w:pPr>
          <w:r w:rsidRPr="005D1CE8">
            <w:rPr>
              <w:lang w:val="es-ES"/>
            </w:rPr>
            <w:t>Tabla de contenido</w:t>
          </w:r>
        </w:p>
        <w:p w14:paraId="52D068D4" w14:textId="4194EDBD" w:rsidR="004F1B85" w:rsidRPr="005D1CE8" w:rsidRDefault="004F1B85">
          <w:pPr>
            <w:pStyle w:val="TDC1"/>
            <w:tabs>
              <w:tab w:val="right" w:leader="dot" w:pos="9204"/>
            </w:tabs>
            <w:rPr>
              <w:rFonts w:asciiTheme="minorHAnsi" w:eastAsiaTheme="minorEastAsia" w:hAnsiTheme="minorHAnsi" w:cstheme="minorBidi"/>
              <w:noProof/>
              <w:kern w:val="2"/>
              <w:sz w:val="24"/>
              <w:szCs w:val="24"/>
              <w14:ligatures w14:val="standardContextual"/>
            </w:rPr>
          </w:pPr>
          <w:r w:rsidRPr="005D1CE8">
            <w:fldChar w:fldCharType="begin"/>
          </w:r>
          <w:r w:rsidRPr="005D1CE8">
            <w:instrText xml:space="preserve"> TOC \o "1-3" \h \z \u </w:instrText>
          </w:r>
          <w:r w:rsidRPr="005D1CE8">
            <w:fldChar w:fldCharType="separate"/>
          </w:r>
          <w:hyperlink w:anchor="_Toc209098645" w:history="1">
            <w:r w:rsidRPr="005D1CE8">
              <w:rPr>
                <w:rStyle w:val="Hipervnculo"/>
                <w:noProof/>
              </w:rPr>
              <w:t>A N T E C E D E N T E S</w:t>
            </w:r>
            <w:r w:rsidRPr="005D1CE8">
              <w:rPr>
                <w:noProof/>
                <w:webHidden/>
              </w:rPr>
              <w:tab/>
            </w:r>
            <w:r w:rsidRPr="005D1CE8">
              <w:rPr>
                <w:noProof/>
                <w:webHidden/>
              </w:rPr>
              <w:fldChar w:fldCharType="begin"/>
            </w:r>
            <w:r w:rsidRPr="005D1CE8">
              <w:rPr>
                <w:noProof/>
                <w:webHidden/>
              </w:rPr>
              <w:instrText xml:space="preserve"> PAGEREF _Toc209098645 \h </w:instrText>
            </w:r>
            <w:r w:rsidRPr="005D1CE8">
              <w:rPr>
                <w:noProof/>
                <w:webHidden/>
              </w:rPr>
            </w:r>
            <w:r w:rsidRPr="005D1CE8">
              <w:rPr>
                <w:noProof/>
                <w:webHidden/>
              </w:rPr>
              <w:fldChar w:fldCharType="separate"/>
            </w:r>
            <w:r w:rsidR="00BB52FA">
              <w:rPr>
                <w:noProof/>
                <w:webHidden/>
              </w:rPr>
              <w:t>2</w:t>
            </w:r>
            <w:r w:rsidRPr="005D1CE8">
              <w:rPr>
                <w:noProof/>
                <w:webHidden/>
              </w:rPr>
              <w:fldChar w:fldCharType="end"/>
            </w:r>
          </w:hyperlink>
        </w:p>
        <w:p w14:paraId="20526D27" w14:textId="59F42C20" w:rsidR="004F1B85" w:rsidRPr="005D1CE8" w:rsidRDefault="004F1B85">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09098646" w:history="1">
            <w:r w:rsidRPr="005D1CE8">
              <w:rPr>
                <w:rStyle w:val="Hipervnculo"/>
                <w:noProof/>
              </w:rPr>
              <w:t>I. Presentación de la solicitud de información</w:t>
            </w:r>
            <w:r w:rsidRPr="005D1CE8">
              <w:rPr>
                <w:noProof/>
                <w:webHidden/>
              </w:rPr>
              <w:tab/>
            </w:r>
            <w:r w:rsidRPr="005D1CE8">
              <w:rPr>
                <w:noProof/>
                <w:webHidden/>
              </w:rPr>
              <w:fldChar w:fldCharType="begin"/>
            </w:r>
            <w:r w:rsidRPr="005D1CE8">
              <w:rPr>
                <w:noProof/>
                <w:webHidden/>
              </w:rPr>
              <w:instrText xml:space="preserve"> PAGEREF _Toc209098646 \h </w:instrText>
            </w:r>
            <w:r w:rsidRPr="005D1CE8">
              <w:rPr>
                <w:noProof/>
                <w:webHidden/>
              </w:rPr>
            </w:r>
            <w:r w:rsidRPr="005D1CE8">
              <w:rPr>
                <w:noProof/>
                <w:webHidden/>
              </w:rPr>
              <w:fldChar w:fldCharType="separate"/>
            </w:r>
            <w:r w:rsidR="00BB52FA">
              <w:rPr>
                <w:noProof/>
                <w:webHidden/>
              </w:rPr>
              <w:t>2</w:t>
            </w:r>
            <w:r w:rsidRPr="005D1CE8">
              <w:rPr>
                <w:noProof/>
                <w:webHidden/>
              </w:rPr>
              <w:fldChar w:fldCharType="end"/>
            </w:r>
          </w:hyperlink>
        </w:p>
        <w:p w14:paraId="1532265F" w14:textId="4CCFCF02" w:rsidR="004F1B85" w:rsidRPr="005D1CE8" w:rsidRDefault="004F1B85">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09098647" w:history="1">
            <w:r w:rsidRPr="005D1CE8">
              <w:rPr>
                <w:rStyle w:val="Hipervnculo"/>
                <w:noProof/>
              </w:rPr>
              <w:t>II. Respuesta del Sujeto Obligado</w:t>
            </w:r>
            <w:r w:rsidRPr="005D1CE8">
              <w:rPr>
                <w:noProof/>
                <w:webHidden/>
              </w:rPr>
              <w:tab/>
            </w:r>
            <w:r w:rsidRPr="005D1CE8">
              <w:rPr>
                <w:noProof/>
                <w:webHidden/>
              </w:rPr>
              <w:fldChar w:fldCharType="begin"/>
            </w:r>
            <w:r w:rsidRPr="005D1CE8">
              <w:rPr>
                <w:noProof/>
                <w:webHidden/>
              </w:rPr>
              <w:instrText xml:space="preserve"> PAGEREF _Toc209098647 \h </w:instrText>
            </w:r>
            <w:r w:rsidRPr="005D1CE8">
              <w:rPr>
                <w:noProof/>
                <w:webHidden/>
              </w:rPr>
            </w:r>
            <w:r w:rsidRPr="005D1CE8">
              <w:rPr>
                <w:noProof/>
                <w:webHidden/>
              </w:rPr>
              <w:fldChar w:fldCharType="separate"/>
            </w:r>
            <w:r w:rsidR="00BB52FA">
              <w:rPr>
                <w:noProof/>
                <w:webHidden/>
              </w:rPr>
              <w:t>3</w:t>
            </w:r>
            <w:r w:rsidRPr="005D1CE8">
              <w:rPr>
                <w:noProof/>
                <w:webHidden/>
              </w:rPr>
              <w:fldChar w:fldCharType="end"/>
            </w:r>
          </w:hyperlink>
        </w:p>
        <w:p w14:paraId="3FF6BCA4" w14:textId="0ED77DDC" w:rsidR="004F1B85" w:rsidRPr="005D1CE8" w:rsidRDefault="004F1B85">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09098648" w:history="1">
            <w:r w:rsidRPr="005D1CE8">
              <w:rPr>
                <w:rStyle w:val="Hipervnculo"/>
                <w:noProof/>
              </w:rPr>
              <w:t>III. Interposición del Recurso de Revisión</w:t>
            </w:r>
            <w:r w:rsidRPr="005D1CE8">
              <w:rPr>
                <w:noProof/>
                <w:webHidden/>
              </w:rPr>
              <w:tab/>
            </w:r>
            <w:r w:rsidRPr="005D1CE8">
              <w:rPr>
                <w:noProof/>
                <w:webHidden/>
              </w:rPr>
              <w:fldChar w:fldCharType="begin"/>
            </w:r>
            <w:r w:rsidRPr="005D1CE8">
              <w:rPr>
                <w:noProof/>
                <w:webHidden/>
              </w:rPr>
              <w:instrText xml:space="preserve"> PAGEREF _Toc209098648 \h </w:instrText>
            </w:r>
            <w:r w:rsidRPr="005D1CE8">
              <w:rPr>
                <w:noProof/>
                <w:webHidden/>
              </w:rPr>
            </w:r>
            <w:r w:rsidRPr="005D1CE8">
              <w:rPr>
                <w:noProof/>
                <w:webHidden/>
              </w:rPr>
              <w:fldChar w:fldCharType="separate"/>
            </w:r>
            <w:r w:rsidR="00BB52FA">
              <w:rPr>
                <w:noProof/>
                <w:webHidden/>
              </w:rPr>
              <w:t>3</w:t>
            </w:r>
            <w:r w:rsidRPr="005D1CE8">
              <w:rPr>
                <w:noProof/>
                <w:webHidden/>
              </w:rPr>
              <w:fldChar w:fldCharType="end"/>
            </w:r>
          </w:hyperlink>
        </w:p>
        <w:p w14:paraId="77AFA6E8" w14:textId="4410B8E8" w:rsidR="004F1B85" w:rsidRPr="005D1CE8" w:rsidRDefault="004F1B85">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09098649" w:history="1">
            <w:r w:rsidRPr="005D1CE8">
              <w:rPr>
                <w:rStyle w:val="Hipervnculo"/>
                <w:noProof/>
              </w:rPr>
              <w:t>IV. Trámite del Recurso de Revisión ante este Instituto</w:t>
            </w:r>
            <w:r w:rsidRPr="005D1CE8">
              <w:rPr>
                <w:noProof/>
                <w:webHidden/>
              </w:rPr>
              <w:tab/>
            </w:r>
            <w:r w:rsidRPr="005D1CE8">
              <w:rPr>
                <w:noProof/>
                <w:webHidden/>
              </w:rPr>
              <w:fldChar w:fldCharType="begin"/>
            </w:r>
            <w:r w:rsidRPr="005D1CE8">
              <w:rPr>
                <w:noProof/>
                <w:webHidden/>
              </w:rPr>
              <w:instrText xml:space="preserve"> PAGEREF _Toc209098649 \h </w:instrText>
            </w:r>
            <w:r w:rsidRPr="005D1CE8">
              <w:rPr>
                <w:noProof/>
                <w:webHidden/>
              </w:rPr>
            </w:r>
            <w:r w:rsidRPr="005D1CE8">
              <w:rPr>
                <w:noProof/>
                <w:webHidden/>
              </w:rPr>
              <w:fldChar w:fldCharType="separate"/>
            </w:r>
            <w:r w:rsidR="00BB52FA">
              <w:rPr>
                <w:noProof/>
                <w:webHidden/>
              </w:rPr>
              <w:t>4</w:t>
            </w:r>
            <w:r w:rsidRPr="005D1CE8">
              <w:rPr>
                <w:noProof/>
                <w:webHidden/>
              </w:rPr>
              <w:fldChar w:fldCharType="end"/>
            </w:r>
          </w:hyperlink>
        </w:p>
        <w:p w14:paraId="28A30F7D" w14:textId="1EB04A97" w:rsidR="004F1B85" w:rsidRPr="005D1CE8" w:rsidRDefault="004F1B85">
          <w:pPr>
            <w:pStyle w:val="TDC1"/>
            <w:tabs>
              <w:tab w:val="right" w:leader="dot" w:pos="9204"/>
            </w:tabs>
            <w:rPr>
              <w:rFonts w:asciiTheme="minorHAnsi" w:eastAsiaTheme="minorEastAsia" w:hAnsiTheme="minorHAnsi" w:cstheme="minorBidi"/>
              <w:noProof/>
              <w:kern w:val="2"/>
              <w:sz w:val="24"/>
              <w:szCs w:val="24"/>
              <w14:ligatures w14:val="standardContextual"/>
            </w:rPr>
          </w:pPr>
          <w:hyperlink w:anchor="_Toc209098650" w:history="1">
            <w:r w:rsidRPr="005D1CE8">
              <w:rPr>
                <w:rStyle w:val="Hipervnculo"/>
                <w:noProof/>
              </w:rPr>
              <w:t>C O N S I D E R A N D O S</w:t>
            </w:r>
            <w:r w:rsidRPr="005D1CE8">
              <w:rPr>
                <w:noProof/>
                <w:webHidden/>
              </w:rPr>
              <w:tab/>
            </w:r>
            <w:r w:rsidRPr="005D1CE8">
              <w:rPr>
                <w:noProof/>
                <w:webHidden/>
              </w:rPr>
              <w:fldChar w:fldCharType="begin"/>
            </w:r>
            <w:r w:rsidRPr="005D1CE8">
              <w:rPr>
                <w:noProof/>
                <w:webHidden/>
              </w:rPr>
              <w:instrText xml:space="preserve"> PAGEREF _Toc209098650 \h </w:instrText>
            </w:r>
            <w:r w:rsidRPr="005D1CE8">
              <w:rPr>
                <w:noProof/>
                <w:webHidden/>
              </w:rPr>
            </w:r>
            <w:r w:rsidRPr="005D1CE8">
              <w:rPr>
                <w:noProof/>
                <w:webHidden/>
              </w:rPr>
              <w:fldChar w:fldCharType="separate"/>
            </w:r>
            <w:r w:rsidR="00BB52FA">
              <w:rPr>
                <w:noProof/>
                <w:webHidden/>
              </w:rPr>
              <w:t>5</w:t>
            </w:r>
            <w:r w:rsidRPr="005D1CE8">
              <w:rPr>
                <w:noProof/>
                <w:webHidden/>
              </w:rPr>
              <w:fldChar w:fldCharType="end"/>
            </w:r>
          </w:hyperlink>
        </w:p>
        <w:p w14:paraId="1295F5F8" w14:textId="2CB7D26E" w:rsidR="004F1B85" w:rsidRPr="005D1CE8" w:rsidRDefault="004F1B85">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09098651" w:history="1">
            <w:r w:rsidRPr="005D1CE8">
              <w:rPr>
                <w:rStyle w:val="Hipervnculo"/>
                <w:noProof/>
              </w:rPr>
              <w:t>PRIMERO. Competencia</w:t>
            </w:r>
            <w:r w:rsidRPr="005D1CE8">
              <w:rPr>
                <w:noProof/>
                <w:webHidden/>
              </w:rPr>
              <w:tab/>
            </w:r>
            <w:r w:rsidRPr="005D1CE8">
              <w:rPr>
                <w:noProof/>
                <w:webHidden/>
              </w:rPr>
              <w:fldChar w:fldCharType="begin"/>
            </w:r>
            <w:r w:rsidRPr="005D1CE8">
              <w:rPr>
                <w:noProof/>
                <w:webHidden/>
              </w:rPr>
              <w:instrText xml:space="preserve"> PAGEREF _Toc209098651 \h </w:instrText>
            </w:r>
            <w:r w:rsidRPr="005D1CE8">
              <w:rPr>
                <w:noProof/>
                <w:webHidden/>
              </w:rPr>
            </w:r>
            <w:r w:rsidRPr="005D1CE8">
              <w:rPr>
                <w:noProof/>
                <w:webHidden/>
              </w:rPr>
              <w:fldChar w:fldCharType="separate"/>
            </w:r>
            <w:r w:rsidR="00BB52FA">
              <w:rPr>
                <w:noProof/>
                <w:webHidden/>
              </w:rPr>
              <w:t>5</w:t>
            </w:r>
            <w:r w:rsidRPr="005D1CE8">
              <w:rPr>
                <w:noProof/>
                <w:webHidden/>
              </w:rPr>
              <w:fldChar w:fldCharType="end"/>
            </w:r>
          </w:hyperlink>
        </w:p>
        <w:p w14:paraId="1E09F07B" w14:textId="4BB8FC38" w:rsidR="004F1B85" w:rsidRPr="005D1CE8" w:rsidRDefault="004F1B85">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09098652" w:history="1">
            <w:r w:rsidRPr="005D1CE8">
              <w:rPr>
                <w:rStyle w:val="Hipervnculo"/>
                <w:noProof/>
              </w:rPr>
              <w:t>SEGUNDO. Causales de improcedencia y sobreseimiento</w:t>
            </w:r>
            <w:r w:rsidRPr="005D1CE8">
              <w:rPr>
                <w:noProof/>
                <w:webHidden/>
              </w:rPr>
              <w:tab/>
            </w:r>
            <w:r w:rsidRPr="005D1CE8">
              <w:rPr>
                <w:noProof/>
                <w:webHidden/>
              </w:rPr>
              <w:fldChar w:fldCharType="begin"/>
            </w:r>
            <w:r w:rsidRPr="005D1CE8">
              <w:rPr>
                <w:noProof/>
                <w:webHidden/>
              </w:rPr>
              <w:instrText xml:space="preserve"> PAGEREF _Toc209098652 \h </w:instrText>
            </w:r>
            <w:r w:rsidRPr="005D1CE8">
              <w:rPr>
                <w:noProof/>
                <w:webHidden/>
              </w:rPr>
            </w:r>
            <w:r w:rsidRPr="005D1CE8">
              <w:rPr>
                <w:noProof/>
                <w:webHidden/>
              </w:rPr>
              <w:fldChar w:fldCharType="separate"/>
            </w:r>
            <w:r w:rsidR="00BB52FA">
              <w:rPr>
                <w:noProof/>
                <w:webHidden/>
              </w:rPr>
              <w:t>6</w:t>
            </w:r>
            <w:r w:rsidRPr="005D1CE8">
              <w:rPr>
                <w:noProof/>
                <w:webHidden/>
              </w:rPr>
              <w:fldChar w:fldCharType="end"/>
            </w:r>
          </w:hyperlink>
        </w:p>
        <w:p w14:paraId="7E5B59CC" w14:textId="23CD78CD" w:rsidR="004F1B85" w:rsidRPr="005D1CE8" w:rsidRDefault="004F1B85">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09098653" w:history="1">
            <w:r w:rsidRPr="005D1CE8">
              <w:rPr>
                <w:rStyle w:val="Hipervnculo"/>
                <w:noProof/>
              </w:rPr>
              <w:t>TERCERO. Determinación de la Controversia</w:t>
            </w:r>
            <w:r w:rsidRPr="005D1CE8">
              <w:rPr>
                <w:noProof/>
                <w:webHidden/>
              </w:rPr>
              <w:tab/>
            </w:r>
            <w:r w:rsidRPr="005D1CE8">
              <w:rPr>
                <w:noProof/>
                <w:webHidden/>
              </w:rPr>
              <w:fldChar w:fldCharType="begin"/>
            </w:r>
            <w:r w:rsidRPr="005D1CE8">
              <w:rPr>
                <w:noProof/>
                <w:webHidden/>
              </w:rPr>
              <w:instrText xml:space="preserve"> PAGEREF _Toc209098653 \h </w:instrText>
            </w:r>
            <w:r w:rsidRPr="005D1CE8">
              <w:rPr>
                <w:noProof/>
                <w:webHidden/>
              </w:rPr>
            </w:r>
            <w:r w:rsidRPr="005D1CE8">
              <w:rPr>
                <w:noProof/>
                <w:webHidden/>
              </w:rPr>
              <w:fldChar w:fldCharType="separate"/>
            </w:r>
            <w:r w:rsidR="00BB52FA">
              <w:rPr>
                <w:noProof/>
                <w:webHidden/>
              </w:rPr>
              <w:t>7</w:t>
            </w:r>
            <w:r w:rsidRPr="005D1CE8">
              <w:rPr>
                <w:noProof/>
                <w:webHidden/>
              </w:rPr>
              <w:fldChar w:fldCharType="end"/>
            </w:r>
          </w:hyperlink>
        </w:p>
        <w:p w14:paraId="1190F361" w14:textId="42094FD8" w:rsidR="004F1B85" w:rsidRPr="005D1CE8" w:rsidRDefault="004F1B85">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09098654" w:history="1">
            <w:r w:rsidRPr="005D1CE8">
              <w:rPr>
                <w:rStyle w:val="Hipervnculo"/>
                <w:noProof/>
              </w:rPr>
              <w:t>CUARTO. Marco normativo aplicable en materia de transparencia y acceso a la información pública</w:t>
            </w:r>
            <w:r w:rsidRPr="005D1CE8">
              <w:rPr>
                <w:noProof/>
                <w:webHidden/>
              </w:rPr>
              <w:tab/>
            </w:r>
            <w:r w:rsidRPr="005D1CE8">
              <w:rPr>
                <w:noProof/>
                <w:webHidden/>
              </w:rPr>
              <w:fldChar w:fldCharType="begin"/>
            </w:r>
            <w:r w:rsidRPr="005D1CE8">
              <w:rPr>
                <w:noProof/>
                <w:webHidden/>
              </w:rPr>
              <w:instrText xml:space="preserve"> PAGEREF _Toc209098654 \h </w:instrText>
            </w:r>
            <w:r w:rsidRPr="005D1CE8">
              <w:rPr>
                <w:noProof/>
                <w:webHidden/>
              </w:rPr>
            </w:r>
            <w:r w:rsidRPr="005D1CE8">
              <w:rPr>
                <w:noProof/>
                <w:webHidden/>
              </w:rPr>
              <w:fldChar w:fldCharType="separate"/>
            </w:r>
            <w:r w:rsidR="00BB52FA">
              <w:rPr>
                <w:noProof/>
                <w:webHidden/>
              </w:rPr>
              <w:t>9</w:t>
            </w:r>
            <w:r w:rsidRPr="005D1CE8">
              <w:rPr>
                <w:noProof/>
                <w:webHidden/>
              </w:rPr>
              <w:fldChar w:fldCharType="end"/>
            </w:r>
          </w:hyperlink>
        </w:p>
        <w:p w14:paraId="00D584EB" w14:textId="5CD3AC36" w:rsidR="004F1B85" w:rsidRPr="005D1CE8" w:rsidRDefault="004F1B85">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09098655" w:history="1">
            <w:r w:rsidRPr="005D1CE8">
              <w:rPr>
                <w:rStyle w:val="Hipervnculo"/>
                <w:smallCaps/>
                <w:noProof/>
              </w:rPr>
              <w:t>QUINTO.</w:t>
            </w:r>
            <w:r w:rsidRPr="005D1CE8">
              <w:rPr>
                <w:rStyle w:val="Hipervnculo"/>
                <w:noProof/>
              </w:rPr>
              <w:t xml:space="preserve"> Estudio de Fondo</w:t>
            </w:r>
            <w:r w:rsidRPr="005D1CE8">
              <w:rPr>
                <w:noProof/>
                <w:webHidden/>
              </w:rPr>
              <w:tab/>
            </w:r>
            <w:r w:rsidRPr="005D1CE8">
              <w:rPr>
                <w:noProof/>
                <w:webHidden/>
              </w:rPr>
              <w:fldChar w:fldCharType="begin"/>
            </w:r>
            <w:r w:rsidRPr="005D1CE8">
              <w:rPr>
                <w:noProof/>
                <w:webHidden/>
              </w:rPr>
              <w:instrText xml:space="preserve"> PAGEREF _Toc209098655 \h </w:instrText>
            </w:r>
            <w:r w:rsidRPr="005D1CE8">
              <w:rPr>
                <w:noProof/>
                <w:webHidden/>
              </w:rPr>
            </w:r>
            <w:r w:rsidRPr="005D1CE8">
              <w:rPr>
                <w:noProof/>
                <w:webHidden/>
              </w:rPr>
              <w:fldChar w:fldCharType="separate"/>
            </w:r>
            <w:r w:rsidR="00BB52FA">
              <w:rPr>
                <w:noProof/>
                <w:webHidden/>
              </w:rPr>
              <w:t>10</w:t>
            </w:r>
            <w:r w:rsidRPr="005D1CE8">
              <w:rPr>
                <w:noProof/>
                <w:webHidden/>
              </w:rPr>
              <w:fldChar w:fldCharType="end"/>
            </w:r>
          </w:hyperlink>
        </w:p>
        <w:p w14:paraId="1A58D316" w14:textId="0C2656BA" w:rsidR="004F1B85" w:rsidRPr="005D1CE8" w:rsidRDefault="004F1B85">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09098656" w:history="1">
            <w:r w:rsidRPr="005D1CE8">
              <w:rPr>
                <w:rStyle w:val="Hipervnculo"/>
                <w:noProof/>
              </w:rPr>
              <w:t>SEXTO. Decisión</w:t>
            </w:r>
            <w:r w:rsidRPr="005D1CE8">
              <w:rPr>
                <w:noProof/>
                <w:webHidden/>
              </w:rPr>
              <w:tab/>
            </w:r>
            <w:r w:rsidRPr="005D1CE8">
              <w:rPr>
                <w:noProof/>
                <w:webHidden/>
              </w:rPr>
              <w:fldChar w:fldCharType="begin"/>
            </w:r>
            <w:r w:rsidRPr="005D1CE8">
              <w:rPr>
                <w:noProof/>
                <w:webHidden/>
              </w:rPr>
              <w:instrText xml:space="preserve"> PAGEREF _Toc209098656 \h </w:instrText>
            </w:r>
            <w:r w:rsidRPr="005D1CE8">
              <w:rPr>
                <w:noProof/>
                <w:webHidden/>
              </w:rPr>
            </w:r>
            <w:r w:rsidRPr="005D1CE8">
              <w:rPr>
                <w:noProof/>
                <w:webHidden/>
              </w:rPr>
              <w:fldChar w:fldCharType="separate"/>
            </w:r>
            <w:r w:rsidR="00BB52FA">
              <w:rPr>
                <w:noProof/>
                <w:webHidden/>
              </w:rPr>
              <w:t>29</w:t>
            </w:r>
            <w:r w:rsidRPr="005D1CE8">
              <w:rPr>
                <w:noProof/>
                <w:webHidden/>
              </w:rPr>
              <w:fldChar w:fldCharType="end"/>
            </w:r>
          </w:hyperlink>
        </w:p>
        <w:p w14:paraId="5CA6B0CF" w14:textId="0240B37F" w:rsidR="004F1B85" w:rsidRPr="005D1CE8" w:rsidRDefault="004F1B85">
          <w:pPr>
            <w:pStyle w:val="TDC1"/>
            <w:tabs>
              <w:tab w:val="right" w:leader="dot" w:pos="9204"/>
            </w:tabs>
            <w:rPr>
              <w:rFonts w:asciiTheme="minorHAnsi" w:eastAsiaTheme="minorEastAsia" w:hAnsiTheme="minorHAnsi" w:cstheme="minorBidi"/>
              <w:noProof/>
              <w:kern w:val="2"/>
              <w:sz w:val="24"/>
              <w:szCs w:val="24"/>
              <w14:ligatures w14:val="standardContextual"/>
            </w:rPr>
          </w:pPr>
          <w:hyperlink w:anchor="_Toc209098657" w:history="1">
            <w:r w:rsidRPr="005D1CE8">
              <w:rPr>
                <w:rStyle w:val="Hipervnculo"/>
                <w:noProof/>
              </w:rPr>
              <w:t>R E S U E L V E</w:t>
            </w:r>
            <w:r w:rsidRPr="005D1CE8">
              <w:rPr>
                <w:noProof/>
                <w:webHidden/>
              </w:rPr>
              <w:tab/>
            </w:r>
            <w:r w:rsidRPr="005D1CE8">
              <w:rPr>
                <w:noProof/>
                <w:webHidden/>
              </w:rPr>
              <w:fldChar w:fldCharType="begin"/>
            </w:r>
            <w:r w:rsidRPr="005D1CE8">
              <w:rPr>
                <w:noProof/>
                <w:webHidden/>
              </w:rPr>
              <w:instrText xml:space="preserve"> PAGEREF _Toc209098657 \h </w:instrText>
            </w:r>
            <w:r w:rsidRPr="005D1CE8">
              <w:rPr>
                <w:noProof/>
                <w:webHidden/>
              </w:rPr>
            </w:r>
            <w:r w:rsidRPr="005D1CE8">
              <w:rPr>
                <w:noProof/>
                <w:webHidden/>
              </w:rPr>
              <w:fldChar w:fldCharType="separate"/>
            </w:r>
            <w:r w:rsidR="00BB52FA">
              <w:rPr>
                <w:noProof/>
                <w:webHidden/>
              </w:rPr>
              <w:t>30</w:t>
            </w:r>
            <w:r w:rsidRPr="005D1CE8">
              <w:rPr>
                <w:noProof/>
                <w:webHidden/>
              </w:rPr>
              <w:fldChar w:fldCharType="end"/>
            </w:r>
          </w:hyperlink>
        </w:p>
        <w:p w14:paraId="7F2EA908" w14:textId="0732D366" w:rsidR="004F1B85" w:rsidRPr="005D1CE8" w:rsidRDefault="004F1B85">
          <w:r w:rsidRPr="005D1CE8">
            <w:rPr>
              <w:b/>
              <w:bCs/>
              <w:lang w:val="es-ES"/>
            </w:rPr>
            <w:fldChar w:fldCharType="end"/>
          </w:r>
        </w:p>
      </w:sdtContent>
    </w:sdt>
    <w:p w14:paraId="4B8E9805" w14:textId="77777777" w:rsidR="00F65DEA" w:rsidRPr="005D1CE8" w:rsidRDefault="00F65DEA">
      <w:pPr>
        <w:widowControl w:val="0"/>
        <w:pBdr>
          <w:top w:val="nil"/>
          <w:left w:val="nil"/>
          <w:bottom w:val="nil"/>
          <w:right w:val="nil"/>
          <w:between w:val="nil"/>
        </w:pBdr>
        <w:spacing w:after="0" w:line="360" w:lineRule="auto"/>
        <w:jc w:val="left"/>
      </w:pPr>
    </w:p>
    <w:p w14:paraId="386AE2AA" w14:textId="77777777" w:rsidR="00F65DEA" w:rsidRPr="005D1CE8" w:rsidRDefault="00DC2701">
      <w:pPr>
        <w:pStyle w:val="Ttulo2"/>
        <w:spacing w:before="0" w:after="0"/>
      </w:pPr>
      <w:r w:rsidRPr="005D1CE8">
        <w:br w:type="page"/>
      </w:r>
    </w:p>
    <w:p w14:paraId="77866E58" w14:textId="77777777" w:rsidR="00F65DEA" w:rsidRPr="005D1CE8" w:rsidRDefault="00DC2701">
      <w:pPr>
        <w:spacing w:after="0" w:line="360" w:lineRule="auto"/>
      </w:pPr>
      <w:r w:rsidRPr="005D1CE8">
        <w:lastRenderedPageBreak/>
        <w:t>Resolución del Pleno del Instituto de Transparencia, Acceso a la Información Pública y Protección de Datos Personales del Estado de México y Municipios, con domicilio en Metepec, Estado de México, de fecha dieciocho de septiembre de dos mil veinticinco.</w:t>
      </w:r>
    </w:p>
    <w:p w14:paraId="7B4416F5" w14:textId="77777777" w:rsidR="00F65DEA" w:rsidRPr="005D1CE8" w:rsidRDefault="00F65DEA">
      <w:pPr>
        <w:spacing w:after="0" w:line="360" w:lineRule="auto"/>
        <w:rPr>
          <w:b/>
        </w:rPr>
      </w:pPr>
    </w:p>
    <w:p w14:paraId="7E31B1E8" w14:textId="5AA95C01" w:rsidR="00F65DEA" w:rsidRPr="005D1CE8" w:rsidRDefault="00DC2701">
      <w:pPr>
        <w:spacing w:after="0" w:line="360" w:lineRule="auto"/>
      </w:pPr>
      <w:r w:rsidRPr="005D1CE8">
        <w:rPr>
          <w:b/>
        </w:rPr>
        <w:t>VISTO</w:t>
      </w:r>
      <w:r w:rsidRPr="005D1CE8">
        <w:t xml:space="preserve"> el expediente conformado con motivo del Recurso de Revisión </w:t>
      </w:r>
      <w:r w:rsidRPr="00E20146">
        <w:rPr>
          <w:b/>
        </w:rPr>
        <w:t>08551/INFOEM/IP/RR/2025</w:t>
      </w:r>
      <w:r w:rsidRPr="005D1CE8">
        <w:t xml:space="preserve">, interpuesto por </w:t>
      </w:r>
      <w:r w:rsidR="00D47AF1" w:rsidRPr="00D47AF1">
        <w:rPr>
          <w:b/>
          <w:bCs/>
          <w:highlight w:val="black"/>
        </w:rPr>
        <w:t>XXXXXXXX</w:t>
      </w:r>
      <w:r w:rsidRPr="005D1CE8">
        <w:rPr>
          <w:bCs/>
        </w:rPr>
        <w:t>,</w:t>
      </w:r>
      <w:r w:rsidRPr="005D1CE8">
        <w:t xml:space="preserve"> en lo sucesivo, la persona Recurrente o Particular, en contra de la respuesta del Sujeto Obligado, </w:t>
      </w:r>
      <w:r w:rsidRPr="00E20146">
        <w:rPr>
          <w:b/>
        </w:rPr>
        <w:t>Ayuntamiento de Tepetlixpa</w:t>
      </w:r>
      <w:r w:rsidRPr="005D1CE8">
        <w:t>, se emite la presente Resolución, con base en los antecedentes y considerandos que se exponen a continuación:</w:t>
      </w:r>
    </w:p>
    <w:p w14:paraId="538309B1" w14:textId="77777777" w:rsidR="00F65DEA" w:rsidRPr="005D1CE8" w:rsidRDefault="00F65DEA">
      <w:pPr>
        <w:spacing w:after="0" w:line="360" w:lineRule="auto"/>
      </w:pPr>
    </w:p>
    <w:p w14:paraId="6517A13E" w14:textId="77777777" w:rsidR="00F65DEA" w:rsidRPr="005D1CE8" w:rsidRDefault="00DC2701">
      <w:pPr>
        <w:pStyle w:val="Ttulo1"/>
        <w:spacing w:before="0" w:after="0"/>
        <w:rPr>
          <w:sz w:val="22"/>
          <w:szCs w:val="22"/>
        </w:rPr>
      </w:pPr>
      <w:bookmarkStart w:id="0" w:name="_Toc209098645"/>
      <w:r w:rsidRPr="005D1CE8">
        <w:rPr>
          <w:sz w:val="22"/>
          <w:szCs w:val="22"/>
        </w:rPr>
        <w:t>A N T E C E D E N T E S</w:t>
      </w:r>
      <w:bookmarkEnd w:id="0"/>
    </w:p>
    <w:p w14:paraId="5691AE79" w14:textId="77777777" w:rsidR="00F65DEA" w:rsidRPr="005D1CE8" w:rsidRDefault="00F65DEA">
      <w:pPr>
        <w:spacing w:after="0" w:line="360" w:lineRule="auto"/>
      </w:pPr>
      <w:bookmarkStart w:id="1" w:name="_heading=h.gjdgxs" w:colFirst="0" w:colLast="0"/>
      <w:bookmarkEnd w:id="1"/>
    </w:p>
    <w:p w14:paraId="2DDF47D4" w14:textId="77777777" w:rsidR="00F65DEA" w:rsidRPr="005D1CE8" w:rsidRDefault="00DC2701">
      <w:pPr>
        <w:pStyle w:val="Ttulo2"/>
        <w:spacing w:before="0" w:after="0"/>
      </w:pPr>
      <w:bookmarkStart w:id="2" w:name="_Toc209098646"/>
      <w:r w:rsidRPr="005D1CE8">
        <w:t>I. Presentación de la solicitud de información</w:t>
      </w:r>
      <w:bookmarkEnd w:id="2"/>
    </w:p>
    <w:p w14:paraId="69D34AC2" w14:textId="77777777" w:rsidR="00F65DEA" w:rsidRPr="005D1CE8" w:rsidRDefault="00F65DEA">
      <w:pPr>
        <w:tabs>
          <w:tab w:val="left" w:pos="567"/>
        </w:tabs>
        <w:spacing w:after="0" w:line="360" w:lineRule="auto"/>
      </w:pPr>
    </w:p>
    <w:p w14:paraId="69E7DDE6" w14:textId="77777777" w:rsidR="00F65DEA" w:rsidRPr="005D1CE8" w:rsidRDefault="00DC2701">
      <w:pPr>
        <w:spacing w:after="0" w:line="360" w:lineRule="auto"/>
      </w:pPr>
      <w:bookmarkStart w:id="3" w:name="_heading=h.su0jssiigkpq" w:colFirst="0" w:colLast="0"/>
      <w:bookmarkEnd w:id="3"/>
      <w:r w:rsidRPr="005D1CE8">
        <w:t>Con fecha veintidós de junio de dos mil veinticinco, la parte Solicitante presentó una solicitud de acceso a la información pública, a través del Sistema de Acceso a la Información Mexiquense, en lo sucesivo el SAIMEX, ante el Ayuntamiento de Tepetlixpa, la cual se radicó en fecha veintitrés de junio del mismo año, al tratarse del día siguiente hábil de conformidad con el calendario aprobado por el Pleno de este Organismo Garante, en la que requirió lo siguiente:</w:t>
      </w:r>
    </w:p>
    <w:p w14:paraId="7F38B032" w14:textId="77777777" w:rsidR="00F65DEA" w:rsidRPr="005D1CE8" w:rsidRDefault="00F65DEA">
      <w:pPr>
        <w:spacing w:after="0" w:line="360" w:lineRule="auto"/>
      </w:pPr>
    </w:p>
    <w:p w14:paraId="3CCC60BB" w14:textId="77777777" w:rsidR="00F65DEA" w:rsidRPr="005D1CE8" w:rsidRDefault="00DC2701">
      <w:pPr>
        <w:tabs>
          <w:tab w:val="left" w:pos="567"/>
        </w:tabs>
        <w:spacing w:after="0" w:line="360" w:lineRule="auto"/>
        <w:ind w:left="567" w:right="709"/>
        <w:rPr>
          <w:b/>
          <w:sz w:val="20"/>
          <w:szCs w:val="20"/>
        </w:rPr>
      </w:pPr>
      <w:r w:rsidRPr="005D1CE8">
        <w:rPr>
          <w:b/>
          <w:sz w:val="20"/>
          <w:szCs w:val="20"/>
        </w:rPr>
        <w:t>Folio de la solicitud: 00116/TEPETLIX/IP/2025</w:t>
      </w:r>
    </w:p>
    <w:p w14:paraId="07A7B570" w14:textId="77777777" w:rsidR="00F65DEA" w:rsidRPr="005D1CE8" w:rsidRDefault="00DC2701">
      <w:pPr>
        <w:tabs>
          <w:tab w:val="left" w:pos="567"/>
        </w:tabs>
        <w:spacing w:after="0" w:line="360" w:lineRule="auto"/>
        <w:ind w:left="567" w:right="709"/>
        <w:rPr>
          <w:b/>
          <w:sz w:val="20"/>
          <w:szCs w:val="20"/>
        </w:rPr>
      </w:pPr>
      <w:r w:rsidRPr="005D1CE8">
        <w:rPr>
          <w:b/>
          <w:sz w:val="20"/>
          <w:szCs w:val="20"/>
        </w:rPr>
        <w:t>DESCRIPCIÓN CLARA Y PRECISA DE LA INFORMACIÓN SOLICITADA</w:t>
      </w:r>
    </w:p>
    <w:p w14:paraId="47E83273" w14:textId="77777777" w:rsidR="00F65DEA" w:rsidRPr="005D1CE8" w:rsidRDefault="00DC2701">
      <w:pPr>
        <w:tabs>
          <w:tab w:val="left" w:pos="4667"/>
        </w:tabs>
        <w:spacing w:after="0" w:line="360" w:lineRule="auto"/>
        <w:ind w:left="567" w:right="709"/>
        <w:rPr>
          <w:i/>
          <w:sz w:val="20"/>
          <w:szCs w:val="20"/>
        </w:rPr>
      </w:pPr>
      <w:r w:rsidRPr="005D1CE8">
        <w:rPr>
          <w:i/>
          <w:sz w:val="20"/>
          <w:szCs w:val="20"/>
        </w:rPr>
        <w:t>“Reporte de nomina donde se muestren nombres y sueldos de todos los servidores públicos del H. Ayuntamiento de Tepetlixpa, organos auxiliares, direcciones, etc.; de los meses: marzo, abril, mayo y junio de 2025.” (Sic.)</w:t>
      </w:r>
    </w:p>
    <w:p w14:paraId="0853B424" w14:textId="77777777" w:rsidR="005318AB" w:rsidRPr="005D1CE8" w:rsidRDefault="005318AB">
      <w:pPr>
        <w:tabs>
          <w:tab w:val="left" w:pos="4667"/>
        </w:tabs>
        <w:spacing w:after="0" w:line="360" w:lineRule="auto"/>
        <w:ind w:left="567" w:right="709"/>
        <w:rPr>
          <w:i/>
          <w:sz w:val="20"/>
          <w:szCs w:val="20"/>
        </w:rPr>
      </w:pPr>
    </w:p>
    <w:p w14:paraId="31E4386D" w14:textId="77777777" w:rsidR="00F65DEA" w:rsidRPr="005D1CE8" w:rsidRDefault="00DC2701">
      <w:pPr>
        <w:tabs>
          <w:tab w:val="left" w:pos="4667"/>
        </w:tabs>
        <w:spacing w:after="0" w:line="360" w:lineRule="auto"/>
        <w:ind w:left="567" w:right="709"/>
        <w:rPr>
          <w:b/>
          <w:sz w:val="20"/>
          <w:szCs w:val="20"/>
        </w:rPr>
      </w:pPr>
      <w:r w:rsidRPr="005D1CE8">
        <w:rPr>
          <w:b/>
          <w:sz w:val="20"/>
          <w:szCs w:val="20"/>
        </w:rPr>
        <w:t xml:space="preserve">MODALIDAD DE ENTREGA </w:t>
      </w:r>
      <w:r w:rsidRPr="005D1CE8">
        <w:rPr>
          <w:i/>
          <w:sz w:val="20"/>
          <w:szCs w:val="20"/>
        </w:rPr>
        <w:t>“A través del SAIMEX.”</w:t>
      </w:r>
    </w:p>
    <w:p w14:paraId="1B556E7D" w14:textId="77777777" w:rsidR="00F65DEA" w:rsidRPr="005D1CE8" w:rsidRDefault="00F65DEA">
      <w:pPr>
        <w:tabs>
          <w:tab w:val="left" w:pos="4667"/>
        </w:tabs>
        <w:spacing w:after="0" w:line="360" w:lineRule="auto"/>
        <w:ind w:right="709"/>
      </w:pPr>
    </w:p>
    <w:p w14:paraId="377C706D" w14:textId="77777777" w:rsidR="00F65DEA" w:rsidRPr="005D1CE8" w:rsidRDefault="00DC2701">
      <w:pPr>
        <w:pStyle w:val="Ttulo2"/>
        <w:spacing w:before="0" w:after="0"/>
      </w:pPr>
      <w:bookmarkStart w:id="4" w:name="_Toc209098647"/>
      <w:r w:rsidRPr="005D1CE8">
        <w:t>II. Respuesta del Sujeto Obligado</w:t>
      </w:r>
      <w:bookmarkEnd w:id="4"/>
    </w:p>
    <w:p w14:paraId="3BF1D639" w14:textId="77777777" w:rsidR="00F65DEA" w:rsidRPr="005D1CE8" w:rsidRDefault="00F65DEA">
      <w:pPr>
        <w:spacing w:after="0" w:line="360" w:lineRule="auto"/>
      </w:pPr>
    </w:p>
    <w:p w14:paraId="47B40D44" w14:textId="77777777" w:rsidR="00F65DEA" w:rsidRPr="005D1CE8" w:rsidRDefault="00DC2701">
      <w:pPr>
        <w:spacing w:after="0" w:line="360" w:lineRule="auto"/>
        <w:rPr>
          <w:b/>
          <w:i/>
        </w:rPr>
      </w:pPr>
      <w:r w:rsidRPr="005D1CE8">
        <w:t xml:space="preserve">El nueve de julio de dos mil veinticinco, el Sujeto Obligado a través de SAIMEX, dio respuesta, mediante los siguientes archivos: </w:t>
      </w:r>
      <w:r w:rsidRPr="005D1CE8">
        <w:rPr>
          <w:b/>
          <w:i/>
        </w:rPr>
        <w:t xml:space="preserve">xnomina1aqnaabril25.pdf; </w:t>
      </w:r>
      <w:r w:rsidRPr="005D1CE8">
        <w:rPr>
          <w:b/>
        </w:rPr>
        <w:t xml:space="preserve"> </w:t>
      </w:r>
      <w:r w:rsidRPr="005D1CE8">
        <w:rPr>
          <w:b/>
          <w:i/>
        </w:rPr>
        <w:t xml:space="preserve">xnomina2aqnaabril25.pdf; xnomina2aqnamarzo25.pdf; xnomina2qnamayo25.pdf; xnomina1aqnamarzo25.pdf; xnomina1aqnamayo25.pdf; y xnomina1aqnajunio25.pdf; </w:t>
      </w:r>
      <w:r w:rsidRPr="005D1CE8">
        <w:t>en cada uno de los mencionados se desprenden documentos en los que se aprecian listados con el nombre, cargo, día, un monto total de percepciones, deducciones y neto y del que se aprecia un apartado testado en su totalidad.</w:t>
      </w:r>
      <w:r w:rsidRPr="005D1CE8">
        <w:rPr>
          <w:b/>
          <w:i/>
        </w:rPr>
        <w:t xml:space="preserve">  </w:t>
      </w:r>
    </w:p>
    <w:p w14:paraId="616DCB42" w14:textId="77777777" w:rsidR="00F65DEA" w:rsidRPr="005D1CE8" w:rsidRDefault="00F65DEA">
      <w:pPr>
        <w:spacing w:after="0" w:line="360" w:lineRule="auto"/>
      </w:pPr>
    </w:p>
    <w:p w14:paraId="4C1B8FD9" w14:textId="77777777" w:rsidR="00F65DEA" w:rsidRPr="005D1CE8" w:rsidRDefault="00DC2701">
      <w:pPr>
        <w:pStyle w:val="Ttulo2"/>
        <w:spacing w:before="0" w:after="0"/>
      </w:pPr>
      <w:bookmarkStart w:id="5" w:name="_Toc209098648"/>
      <w:r w:rsidRPr="005D1CE8">
        <w:t>III. Interposición del Recurso de Revisión</w:t>
      </w:r>
      <w:bookmarkEnd w:id="5"/>
    </w:p>
    <w:p w14:paraId="586A4EBF" w14:textId="77777777" w:rsidR="00F65DEA" w:rsidRPr="005D1CE8" w:rsidRDefault="00F65DEA">
      <w:pPr>
        <w:spacing w:after="0" w:line="360" w:lineRule="auto"/>
        <w:rPr>
          <w:b/>
        </w:rPr>
      </w:pPr>
    </w:p>
    <w:p w14:paraId="015BEA34" w14:textId="77777777" w:rsidR="00F65DEA" w:rsidRPr="005D1CE8" w:rsidRDefault="00DC2701">
      <w:pPr>
        <w:spacing w:after="0" w:line="360" w:lineRule="auto"/>
      </w:pPr>
      <w:bookmarkStart w:id="6" w:name="_heading=h.2et92p0" w:colFirst="0" w:colLast="0"/>
      <w:bookmarkEnd w:id="6"/>
      <w:r w:rsidRPr="005D1CE8">
        <w:t>Con fecha catorce de julio de dos mil veinticinco, se recibió a través del SAIMEX, el Recurso de Revisión interpuesto por la persona Recurrente, en los siguientes términos:</w:t>
      </w:r>
    </w:p>
    <w:p w14:paraId="3E34872F" w14:textId="77777777" w:rsidR="00F65DEA" w:rsidRPr="005D1CE8" w:rsidRDefault="00F65DEA">
      <w:pPr>
        <w:spacing w:after="0" w:line="360" w:lineRule="auto"/>
      </w:pPr>
    </w:p>
    <w:p w14:paraId="0032FC0F" w14:textId="77777777" w:rsidR="00F65DEA" w:rsidRPr="005D1CE8" w:rsidRDefault="00DC2701">
      <w:pPr>
        <w:spacing w:after="0" w:line="360" w:lineRule="auto"/>
        <w:ind w:left="567" w:right="709"/>
        <w:rPr>
          <w:b/>
          <w:sz w:val="20"/>
          <w:szCs w:val="20"/>
        </w:rPr>
      </w:pPr>
      <w:r w:rsidRPr="005D1CE8">
        <w:rPr>
          <w:b/>
          <w:sz w:val="20"/>
          <w:szCs w:val="20"/>
        </w:rPr>
        <w:t>ACTO IMPUGNADO</w:t>
      </w:r>
      <w:r w:rsidRPr="005D1CE8">
        <w:rPr>
          <w:b/>
          <w:sz w:val="20"/>
          <w:szCs w:val="20"/>
        </w:rPr>
        <w:tab/>
      </w:r>
    </w:p>
    <w:p w14:paraId="3EFC6C31" w14:textId="77777777" w:rsidR="00F65DEA" w:rsidRPr="005D1CE8" w:rsidRDefault="00DC2701">
      <w:pPr>
        <w:spacing w:after="0" w:line="360" w:lineRule="auto"/>
        <w:ind w:left="567" w:right="709"/>
        <w:rPr>
          <w:b/>
          <w:sz w:val="20"/>
          <w:szCs w:val="20"/>
        </w:rPr>
      </w:pPr>
      <w:r w:rsidRPr="005D1CE8">
        <w:rPr>
          <w:i/>
          <w:sz w:val="20"/>
          <w:szCs w:val="20"/>
        </w:rPr>
        <w:t xml:space="preserve">“Negativa de información-información parcial.” </w:t>
      </w:r>
    </w:p>
    <w:p w14:paraId="74CF7C19" w14:textId="77777777" w:rsidR="00F65DEA" w:rsidRPr="005D1CE8" w:rsidRDefault="00F65DEA">
      <w:pPr>
        <w:spacing w:after="0" w:line="360" w:lineRule="auto"/>
        <w:ind w:left="567" w:right="709"/>
        <w:rPr>
          <w:sz w:val="20"/>
          <w:szCs w:val="20"/>
        </w:rPr>
      </w:pPr>
    </w:p>
    <w:p w14:paraId="56D8D3AD" w14:textId="77777777" w:rsidR="00F65DEA" w:rsidRPr="005D1CE8" w:rsidRDefault="00DC2701">
      <w:pPr>
        <w:spacing w:after="0" w:line="360" w:lineRule="auto"/>
        <w:ind w:left="567" w:right="709"/>
        <w:rPr>
          <w:b/>
          <w:sz w:val="20"/>
          <w:szCs w:val="20"/>
        </w:rPr>
      </w:pPr>
      <w:r w:rsidRPr="005D1CE8">
        <w:rPr>
          <w:b/>
          <w:sz w:val="20"/>
          <w:szCs w:val="20"/>
        </w:rPr>
        <w:t>RAZONES O MOTIVOS DE LA INCONFORMIDAD</w:t>
      </w:r>
      <w:r w:rsidRPr="005D1CE8">
        <w:rPr>
          <w:b/>
          <w:sz w:val="20"/>
          <w:szCs w:val="20"/>
        </w:rPr>
        <w:tab/>
      </w:r>
    </w:p>
    <w:p w14:paraId="573D72C8" w14:textId="77777777" w:rsidR="00F65DEA" w:rsidRPr="005D1CE8" w:rsidRDefault="00DC2701">
      <w:pPr>
        <w:tabs>
          <w:tab w:val="left" w:pos="4667"/>
        </w:tabs>
        <w:spacing w:after="0" w:line="360" w:lineRule="auto"/>
        <w:ind w:left="567" w:right="709"/>
        <w:rPr>
          <w:i/>
          <w:sz w:val="20"/>
          <w:szCs w:val="20"/>
        </w:rPr>
      </w:pPr>
      <w:r w:rsidRPr="005D1CE8">
        <w:rPr>
          <w:i/>
          <w:sz w:val="20"/>
          <w:szCs w:val="20"/>
        </w:rPr>
        <w:t xml:space="preserve">“De la información solicitada no se brinda la totalidad de servidores públicos inscritos en la nómina del ayuntamiento, </w:t>
      </w:r>
      <w:r w:rsidRPr="005D1CE8">
        <w:rPr>
          <w:b/>
          <w:i/>
          <w:sz w:val="20"/>
          <w:szCs w:val="20"/>
        </w:rPr>
        <w:t>toda vez que se testa un número importante de los mismos</w:t>
      </w:r>
      <w:r w:rsidRPr="005D1CE8">
        <w:rPr>
          <w:i/>
          <w:sz w:val="20"/>
          <w:szCs w:val="20"/>
        </w:rPr>
        <w:t>. Lo anterior se realiza sin evidenciar causa, motivo o fundamento, lo que trasgrede la amplitud del derecho a la información. (Se anexa evidencia de los documentos testados en sus páginas 7 y 8.)” (Énfasis añadido)</w:t>
      </w:r>
    </w:p>
    <w:p w14:paraId="6B6941D0" w14:textId="77777777" w:rsidR="00F65DEA" w:rsidRPr="005D1CE8" w:rsidRDefault="00F65DEA">
      <w:pPr>
        <w:tabs>
          <w:tab w:val="left" w:pos="4667"/>
        </w:tabs>
        <w:spacing w:after="0" w:line="360" w:lineRule="auto"/>
        <w:ind w:left="567" w:right="709"/>
        <w:rPr>
          <w:i/>
        </w:rPr>
      </w:pPr>
    </w:p>
    <w:p w14:paraId="400EBCA0" w14:textId="77777777" w:rsidR="00F65DEA" w:rsidRPr="005D1CE8" w:rsidRDefault="00DC2701">
      <w:pPr>
        <w:tabs>
          <w:tab w:val="left" w:pos="4667"/>
        </w:tabs>
        <w:spacing w:after="0" w:line="360" w:lineRule="auto"/>
      </w:pPr>
      <w:r w:rsidRPr="005D1CE8">
        <w:lastRenderedPageBreak/>
        <w:t xml:space="preserve">La persona Recurrente adjuntó los archivos que fueron entregados en respuesta en los mismos términos antes descritos. </w:t>
      </w:r>
    </w:p>
    <w:p w14:paraId="10672DE7" w14:textId="77777777" w:rsidR="00F65DEA" w:rsidRPr="005D1CE8" w:rsidRDefault="00F65DEA">
      <w:pPr>
        <w:tabs>
          <w:tab w:val="left" w:pos="4667"/>
        </w:tabs>
        <w:spacing w:after="0" w:line="360" w:lineRule="auto"/>
      </w:pPr>
    </w:p>
    <w:p w14:paraId="6158C059" w14:textId="77777777" w:rsidR="00F65DEA" w:rsidRPr="005D1CE8" w:rsidRDefault="00DC2701">
      <w:pPr>
        <w:pStyle w:val="Ttulo2"/>
        <w:spacing w:before="0" w:after="0"/>
      </w:pPr>
      <w:bookmarkStart w:id="7" w:name="_Toc209098649"/>
      <w:r w:rsidRPr="005D1CE8">
        <w:t>IV. Trámite del Recurso de Revisión ante este Instituto</w:t>
      </w:r>
      <w:bookmarkEnd w:id="7"/>
    </w:p>
    <w:p w14:paraId="24D7F079" w14:textId="77777777" w:rsidR="00F65DEA" w:rsidRPr="005D1CE8" w:rsidRDefault="00F65DEA">
      <w:pPr>
        <w:spacing w:after="0" w:line="360" w:lineRule="auto"/>
        <w:rPr>
          <w:b/>
        </w:rPr>
      </w:pPr>
    </w:p>
    <w:p w14:paraId="0B311924" w14:textId="77777777" w:rsidR="00F65DEA" w:rsidRPr="005D1CE8" w:rsidRDefault="00DC2701">
      <w:pPr>
        <w:spacing w:after="0" w:line="360" w:lineRule="auto"/>
      </w:pPr>
      <w:r w:rsidRPr="005D1CE8">
        <w:rPr>
          <w:b/>
        </w:rPr>
        <w:t>a) Turno del Medio de Impugnación.</w:t>
      </w:r>
      <w:r w:rsidRPr="005D1CE8">
        <w:t xml:space="preserve"> El catorce de julio de dos mil veinticinco, el SAIMEX, asignó el número de expediente</w:t>
      </w:r>
      <w:r w:rsidRPr="005D1CE8">
        <w:rPr>
          <w:b/>
        </w:rPr>
        <w:t xml:space="preserve"> 08551/INFOEM/IP/RR/2025, </w:t>
      </w:r>
      <w:r w:rsidRPr="005D1CE8">
        <w:t>al medio de impugnación que nos ocupan, con base en el sistema aprobado por el Pleno de este Órgano Garante y se turnó al Comisionado Ponente Luis Gustavo Parra Noriega, para los efectos del artículo 185, fracción I de la Ley de Transparencia y Acceso a la Información Pública del Estado de México y Municipios.</w:t>
      </w:r>
    </w:p>
    <w:p w14:paraId="759E42FB" w14:textId="77777777" w:rsidR="00F65DEA" w:rsidRPr="005D1CE8" w:rsidRDefault="00F65DEA">
      <w:pPr>
        <w:spacing w:after="0" w:line="360" w:lineRule="auto"/>
      </w:pPr>
    </w:p>
    <w:p w14:paraId="537C8D45" w14:textId="77777777" w:rsidR="00F65DEA" w:rsidRPr="005D1CE8" w:rsidRDefault="00DC2701">
      <w:pPr>
        <w:spacing w:after="0" w:line="360" w:lineRule="auto"/>
      </w:pPr>
      <w:r w:rsidRPr="005D1CE8">
        <w:rPr>
          <w:b/>
        </w:rPr>
        <w:t>b) Admisión del Recurso de Revisión.</w:t>
      </w:r>
      <w:r w:rsidRPr="005D1CE8">
        <w:t xml:space="preserve"> El dieciocho de julio de dos mil veinticinco, se acordó la admisión del Recurso de Revisión interpuesto por la persona Recurrente en contra del Sujeto Obligado, en términos del artículo 185, fracciones I y II de la Ley de Transparencia y Acceso a la Información Pública del Estado de México y Municipios, la cual fue notificada a las partes en la misma fecha través del SAIMEX, en el que se les otorgó un plazo de siete días hábiles posteriores a la misma, para que manifestara lo que a su derecho conviniera y formularán alegatos.</w:t>
      </w:r>
    </w:p>
    <w:p w14:paraId="6C447418" w14:textId="77777777" w:rsidR="00F65DEA" w:rsidRPr="005D1CE8" w:rsidRDefault="00F65DEA">
      <w:pPr>
        <w:spacing w:after="0" w:line="360" w:lineRule="auto"/>
      </w:pPr>
    </w:p>
    <w:p w14:paraId="1926A95E" w14:textId="77777777" w:rsidR="00F65DEA" w:rsidRPr="005D1CE8" w:rsidRDefault="00DC2701">
      <w:pPr>
        <w:spacing w:after="0" w:line="360" w:lineRule="auto"/>
      </w:pPr>
      <w:r w:rsidRPr="005D1CE8">
        <w:rPr>
          <w:b/>
        </w:rPr>
        <w:t xml:space="preserve">c) Informe Justificado y Manifestaciones de la parte Recurrente.  </w:t>
      </w:r>
      <w:r w:rsidRPr="005D1CE8">
        <w:t xml:space="preserve">De las constancias que obran en el SAIMEX, se advierte que el Sujeto Obligado no rindió informe justificado y la parte Recurrente no añadió manifestaciones. </w:t>
      </w:r>
    </w:p>
    <w:p w14:paraId="7B3C3D28" w14:textId="77777777" w:rsidR="00F65DEA" w:rsidRPr="005D1CE8" w:rsidRDefault="00F65DEA">
      <w:pPr>
        <w:spacing w:after="0" w:line="360" w:lineRule="auto"/>
      </w:pPr>
    </w:p>
    <w:p w14:paraId="510328B5" w14:textId="77777777" w:rsidR="00F65DEA" w:rsidRPr="005D1CE8" w:rsidRDefault="00DC2701">
      <w:pPr>
        <w:spacing w:after="0" w:line="360" w:lineRule="auto"/>
        <w:rPr>
          <w:b/>
          <w:color w:val="000000"/>
        </w:rPr>
      </w:pPr>
      <w:r w:rsidRPr="005D1CE8">
        <w:rPr>
          <w:b/>
          <w:color w:val="000000"/>
        </w:rPr>
        <w:t>d)</w:t>
      </w:r>
      <w:r w:rsidRPr="005D1CE8">
        <w:rPr>
          <w:color w:val="000000"/>
        </w:rPr>
        <w:t xml:space="preserve"> </w:t>
      </w:r>
      <w:r w:rsidRPr="005D1CE8">
        <w:rPr>
          <w:b/>
          <w:color w:val="000000"/>
        </w:rPr>
        <w:t>Ampliación de plazo para resolver</w:t>
      </w:r>
      <w:r w:rsidRPr="005D1CE8">
        <w:rPr>
          <w:color w:val="000000"/>
        </w:rPr>
        <w:t xml:space="preserve">. El nueve de septiembre de dos mil veinticinco, el Comisionado Ponente, con fundamento en lo dispuesto por el artículo 181, párrafo tercero, de la Ley de Transparencia y Acceso a la Información Pública del Estado de México y Municipios, </w:t>
      </w:r>
      <w:r w:rsidRPr="005D1CE8">
        <w:rPr>
          <w:color w:val="000000"/>
        </w:rPr>
        <w:lastRenderedPageBreak/>
        <w:t>acordó ampliar por quince días hábiles, el plazo para resolver el Recurso de Revisión que nos ocupa; acto que fue notificado a las partes en la misma fecha, mediante el SAIMEX.</w:t>
      </w:r>
    </w:p>
    <w:p w14:paraId="013D874B" w14:textId="77777777" w:rsidR="00F65DEA" w:rsidRPr="005D1CE8" w:rsidRDefault="00F65DEA">
      <w:pPr>
        <w:spacing w:after="0" w:line="360" w:lineRule="auto"/>
      </w:pPr>
    </w:p>
    <w:p w14:paraId="307BEC10" w14:textId="77777777" w:rsidR="00F65DEA" w:rsidRPr="005D1CE8" w:rsidRDefault="00DC2701">
      <w:pPr>
        <w:spacing w:after="0" w:line="360" w:lineRule="auto"/>
      </w:pPr>
      <w:r w:rsidRPr="005D1CE8">
        <w:rPr>
          <w:b/>
        </w:rPr>
        <w:t>e) Cierre de instrucción.</w:t>
      </w:r>
      <w:r w:rsidRPr="005D1CE8">
        <w:t xml:space="preserve"> El </w:t>
      </w:r>
      <w:r w:rsidRPr="005D1CE8">
        <w:rPr>
          <w:color w:val="000000"/>
        </w:rPr>
        <w:t xml:space="preserve">nueve de septiembre </w:t>
      </w:r>
      <w:r w:rsidRPr="005D1CE8">
        <w:t>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en la misma fecha, mediante el SAIMEX.</w:t>
      </w:r>
    </w:p>
    <w:p w14:paraId="1D1BF4E9" w14:textId="77777777" w:rsidR="00F65DEA" w:rsidRPr="005D1CE8" w:rsidRDefault="00F65DEA">
      <w:pPr>
        <w:spacing w:after="0" w:line="360" w:lineRule="auto"/>
      </w:pPr>
    </w:p>
    <w:p w14:paraId="548F5E7B" w14:textId="77777777" w:rsidR="00F65DEA" w:rsidRPr="005D1CE8" w:rsidRDefault="00DC2701">
      <w:pPr>
        <w:spacing w:after="0" w:line="360" w:lineRule="auto"/>
      </w:pPr>
      <w:r w:rsidRPr="005D1CE8">
        <w:t xml:space="preserve">En razón de que fue debidamente sustanciado e integrado el expediente electrónico y no existir diligencia pendiente de desahogo, se emite la resolución que conforme a Derecho proceda, de acuerdo a los siguientes: </w:t>
      </w:r>
    </w:p>
    <w:p w14:paraId="1B286FFC" w14:textId="77777777" w:rsidR="00F65DEA" w:rsidRPr="005D1CE8" w:rsidRDefault="00F65DEA">
      <w:pPr>
        <w:spacing w:after="0" w:line="360" w:lineRule="auto"/>
      </w:pPr>
    </w:p>
    <w:p w14:paraId="795CE9DD" w14:textId="77777777" w:rsidR="00F65DEA" w:rsidRPr="005D1CE8" w:rsidRDefault="00DC2701">
      <w:pPr>
        <w:pStyle w:val="Ttulo1"/>
        <w:spacing w:before="0" w:after="0"/>
        <w:rPr>
          <w:sz w:val="22"/>
          <w:szCs w:val="22"/>
        </w:rPr>
      </w:pPr>
      <w:bookmarkStart w:id="8" w:name="_Toc209098650"/>
      <w:r w:rsidRPr="005D1CE8">
        <w:rPr>
          <w:sz w:val="22"/>
          <w:szCs w:val="22"/>
        </w:rPr>
        <w:t>C O N S I D E R A N D O S</w:t>
      </w:r>
      <w:bookmarkEnd w:id="8"/>
    </w:p>
    <w:p w14:paraId="7C84C2E2" w14:textId="77777777" w:rsidR="00F65DEA" w:rsidRPr="005D1CE8" w:rsidRDefault="00F65DEA">
      <w:pPr>
        <w:spacing w:after="0" w:line="360" w:lineRule="auto"/>
        <w:rPr>
          <w:b/>
        </w:rPr>
      </w:pPr>
    </w:p>
    <w:p w14:paraId="0C356532" w14:textId="77777777" w:rsidR="00F65DEA" w:rsidRPr="005D1CE8" w:rsidRDefault="00DC2701">
      <w:pPr>
        <w:pStyle w:val="Ttulo2"/>
        <w:spacing w:before="0" w:after="0"/>
      </w:pPr>
      <w:bookmarkStart w:id="9" w:name="_Toc209098651"/>
      <w:r w:rsidRPr="005D1CE8">
        <w:t>PRIMERO. Competencia</w:t>
      </w:r>
      <w:bookmarkEnd w:id="9"/>
    </w:p>
    <w:p w14:paraId="7777E3D6" w14:textId="77777777" w:rsidR="00F65DEA" w:rsidRPr="005D1CE8" w:rsidRDefault="00F65DEA">
      <w:pPr>
        <w:spacing w:after="0" w:line="360" w:lineRule="auto"/>
      </w:pPr>
    </w:p>
    <w:p w14:paraId="4D6C7D2E" w14:textId="77777777" w:rsidR="00F65DEA" w:rsidRPr="005D1CE8" w:rsidRDefault="00DC2701">
      <w:pPr>
        <w:spacing w:after="0" w:line="360" w:lineRule="auto"/>
      </w:pPr>
      <w:r w:rsidRPr="005D1CE8">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trigésimo noveno, cuadragésimo y cuadragésimo primero de la Constitución Política del Estado Libre y Soberano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560B31E4" w14:textId="77777777" w:rsidR="00F65DEA" w:rsidRPr="005D1CE8" w:rsidRDefault="00F65DEA">
      <w:pPr>
        <w:spacing w:after="0" w:line="360" w:lineRule="auto"/>
      </w:pPr>
    </w:p>
    <w:p w14:paraId="0685CC0D" w14:textId="77777777" w:rsidR="00F65DEA" w:rsidRPr="005D1CE8" w:rsidRDefault="00DC2701">
      <w:pPr>
        <w:pStyle w:val="Ttulo2"/>
        <w:spacing w:before="0" w:after="0"/>
      </w:pPr>
      <w:bookmarkStart w:id="10" w:name="_Toc209098652"/>
      <w:r w:rsidRPr="005D1CE8">
        <w:t>SEGUNDO. Causales de improcedencia y sobreseimiento</w:t>
      </w:r>
      <w:bookmarkEnd w:id="10"/>
    </w:p>
    <w:p w14:paraId="55F1C87E" w14:textId="77777777" w:rsidR="00F65DEA" w:rsidRPr="005D1CE8" w:rsidRDefault="00F65DEA">
      <w:pPr>
        <w:spacing w:after="0" w:line="360" w:lineRule="auto"/>
      </w:pPr>
    </w:p>
    <w:p w14:paraId="37A56556" w14:textId="77777777" w:rsidR="00F65DEA" w:rsidRPr="005D1CE8" w:rsidRDefault="00DC2701">
      <w:pPr>
        <w:spacing w:after="0" w:line="360" w:lineRule="auto"/>
      </w:pPr>
      <w:r w:rsidRPr="005D1CE8">
        <w:t xml:space="preserve">De las constancias que forman parte del Recurso de Revisión que se analiza, se advierte que previo al estudio del fondo de la </w:t>
      </w:r>
      <w:r w:rsidRPr="005D1CE8">
        <w:rPr>
          <w:i/>
        </w:rPr>
        <w:t>litis</w:t>
      </w:r>
      <w:r w:rsidRPr="005D1CE8">
        <w:t>, es necesario estudiar las causales de improcedencia y sobreseimiento que se adviertan, para determinar lo que en Derecho proceda.</w:t>
      </w:r>
    </w:p>
    <w:p w14:paraId="5F2D6CBB" w14:textId="77777777" w:rsidR="00F65DEA" w:rsidRPr="005D1CE8" w:rsidRDefault="00F65DEA">
      <w:pPr>
        <w:spacing w:after="0" w:line="360" w:lineRule="auto"/>
      </w:pPr>
    </w:p>
    <w:p w14:paraId="6CB12FA0" w14:textId="77777777" w:rsidR="00F65DEA" w:rsidRPr="005D1CE8" w:rsidRDefault="00DC2701">
      <w:pPr>
        <w:spacing w:after="0" w:line="360" w:lineRule="auto"/>
        <w:rPr>
          <w:b/>
        </w:rPr>
      </w:pPr>
      <w:r w:rsidRPr="005D1CE8">
        <w:rPr>
          <w:b/>
        </w:rPr>
        <w:t>Causales de improcedencia</w:t>
      </w:r>
    </w:p>
    <w:p w14:paraId="647D0A54" w14:textId="77777777" w:rsidR="00F65DEA" w:rsidRPr="005D1CE8" w:rsidRDefault="00F65DEA">
      <w:pPr>
        <w:spacing w:after="0" w:line="360" w:lineRule="auto"/>
      </w:pPr>
    </w:p>
    <w:p w14:paraId="2C022670" w14:textId="77777777" w:rsidR="00F65DEA" w:rsidRPr="005D1CE8" w:rsidRDefault="00DC2701">
      <w:pPr>
        <w:spacing w:after="0" w:line="360" w:lineRule="auto"/>
      </w:pPr>
      <w:r w:rsidRPr="005D1CE8">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1a./J. 163/2005</w:t>
      </w:r>
      <w:r w:rsidRPr="005D1CE8">
        <w:rPr>
          <w:b/>
        </w:rPr>
        <w:t xml:space="preserve"> </w:t>
      </w:r>
      <w:r w:rsidRPr="005D1CE8">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69895C12" w14:textId="77777777" w:rsidR="00F65DEA" w:rsidRPr="005D1CE8" w:rsidRDefault="00F65DEA">
      <w:pPr>
        <w:spacing w:after="0" w:line="360" w:lineRule="auto"/>
      </w:pPr>
    </w:p>
    <w:p w14:paraId="559E0005" w14:textId="77777777" w:rsidR="00F65DEA" w:rsidRPr="005D1CE8" w:rsidRDefault="00DC2701">
      <w:pPr>
        <w:spacing w:after="0" w:line="360" w:lineRule="auto"/>
      </w:pPr>
      <w:r w:rsidRPr="005D1CE8">
        <w:t xml:space="preserve">En el presente caso, </w:t>
      </w:r>
      <w:r w:rsidRPr="005D1CE8">
        <w:rPr>
          <w:b/>
        </w:rPr>
        <w:t>no se actualiza ninguna de las causales de improcedencia</w:t>
      </w:r>
      <w:r w:rsidRPr="005D1CE8">
        <w:t xml:space="preserve">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2973A5B8" w14:textId="77777777" w:rsidR="00F65DEA" w:rsidRPr="005D1CE8" w:rsidRDefault="00F65DEA">
      <w:pPr>
        <w:spacing w:after="0" w:line="360" w:lineRule="auto"/>
        <w:rPr>
          <w:b/>
        </w:rPr>
      </w:pPr>
    </w:p>
    <w:p w14:paraId="54A95EE1" w14:textId="77777777" w:rsidR="00F65DEA" w:rsidRPr="005D1CE8" w:rsidRDefault="00DC2701">
      <w:pPr>
        <w:spacing w:after="0" w:line="360" w:lineRule="auto"/>
        <w:ind w:right="-28"/>
        <w:rPr>
          <w:b/>
        </w:rPr>
      </w:pPr>
      <w:r w:rsidRPr="005D1CE8">
        <w:rPr>
          <w:b/>
        </w:rPr>
        <w:t>Causales de sobreseimiento</w:t>
      </w:r>
    </w:p>
    <w:p w14:paraId="00A9D22E" w14:textId="77777777" w:rsidR="00F65DEA" w:rsidRPr="005D1CE8" w:rsidRDefault="00DC2701">
      <w:pPr>
        <w:spacing w:after="0" w:line="360" w:lineRule="auto"/>
      </w:pPr>
      <w:r w:rsidRPr="005D1CE8">
        <w:lastRenderedPageBreak/>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causales establecidas en las fracciones I, II, III, IV y V,</w:t>
      </w:r>
      <w:r w:rsidRPr="005D1CE8">
        <w:rPr>
          <w:b/>
        </w:rPr>
        <w:t xml:space="preserve"> </w:t>
      </w:r>
      <w:r w:rsidRPr="005D1CE8">
        <w:t>toda vez que no hay constancias en el expediente en que se actúa, de que la persona Recurrente se haya desistido, fallecido, que el Sujeto Obligado hubiese modificado o revocado el acto impugnado o bien, que admitido una vez admitido el Recurso de Revisión, aparezca alguna causal de improcedencia o haya quedado sin materia.</w:t>
      </w:r>
    </w:p>
    <w:p w14:paraId="0DF0EC88" w14:textId="77777777" w:rsidR="00F65DEA" w:rsidRPr="005D1CE8" w:rsidRDefault="00F65DEA">
      <w:pPr>
        <w:spacing w:after="0" w:line="360" w:lineRule="auto"/>
      </w:pPr>
    </w:p>
    <w:p w14:paraId="6EAECB43" w14:textId="77777777" w:rsidR="00F65DEA" w:rsidRPr="005D1CE8" w:rsidRDefault="00DC2701">
      <w:pPr>
        <w:pStyle w:val="Ttulo2"/>
        <w:spacing w:before="0" w:after="0"/>
      </w:pPr>
      <w:bookmarkStart w:id="11" w:name="_Toc209098653"/>
      <w:r w:rsidRPr="005D1CE8">
        <w:t>TERCERO. Determinación de la Controversia</w:t>
      </w:r>
      <w:bookmarkEnd w:id="11"/>
    </w:p>
    <w:p w14:paraId="42B8B4F9" w14:textId="77777777" w:rsidR="00F65DEA" w:rsidRPr="005D1CE8" w:rsidRDefault="00F65DEA">
      <w:pPr>
        <w:tabs>
          <w:tab w:val="left" w:pos="4962"/>
        </w:tabs>
        <w:spacing w:after="0" w:line="360" w:lineRule="auto"/>
      </w:pPr>
    </w:p>
    <w:p w14:paraId="22578EB6" w14:textId="4BBA5345" w:rsidR="00F65DEA" w:rsidRPr="005D1CE8" w:rsidRDefault="00DC2701" w:rsidP="005318AB">
      <w:pPr>
        <w:tabs>
          <w:tab w:val="left" w:pos="4962"/>
        </w:tabs>
        <w:spacing w:after="0" w:line="360" w:lineRule="auto"/>
        <w:rPr>
          <w:color w:val="000000"/>
        </w:rPr>
      </w:pPr>
      <w:r w:rsidRPr="005D1CE8">
        <w:t xml:space="preserve">La parte Solicitante requirió conocer del área de adquisiciones del Sujeto Obligado, </w:t>
      </w:r>
      <w:r w:rsidR="005318AB" w:rsidRPr="005D1CE8">
        <w:t>el</w:t>
      </w:r>
      <w:r w:rsidRPr="005D1CE8">
        <w:rPr>
          <w:color w:val="000000"/>
        </w:rPr>
        <w:t xml:space="preserve"> reporte de nómina donde se muestren los nombres y sueldos de todas las personas servidoras públicas de los meses de marzo, abril, mayo y junio de 2025</w:t>
      </w:r>
    </w:p>
    <w:p w14:paraId="140AAF5E" w14:textId="77777777" w:rsidR="00F65DEA" w:rsidRPr="005D1CE8" w:rsidRDefault="00F65DEA">
      <w:pPr>
        <w:pBdr>
          <w:top w:val="nil"/>
          <w:left w:val="nil"/>
          <w:bottom w:val="nil"/>
          <w:right w:val="nil"/>
          <w:between w:val="nil"/>
        </w:pBdr>
        <w:tabs>
          <w:tab w:val="left" w:pos="4962"/>
        </w:tabs>
        <w:spacing w:after="0" w:line="360" w:lineRule="auto"/>
        <w:ind w:left="720"/>
        <w:rPr>
          <w:color w:val="000000"/>
        </w:rPr>
      </w:pPr>
    </w:p>
    <w:p w14:paraId="78F6550E" w14:textId="77777777" w:rsidR="00F65DEA" w:rsidRPr="005D1CE8" w:rsidRDefault="00DC2701">
      <w:pPr>
        <w:spacing w:after="0" w:line="360" w:lineRule="auto"/>
        <w:rPr>
          <w:b/>
          <w:i/>
        </w:rPr>
      </w:pPr>
      <w:r w:rsidRPr="005D1CE8">
        <w:t>En respuesta, el Sujeto Obligado remitió siete archivos en los que se aprecian listados con el nombre, cargo, día, un monto total de percepciones, deducciones y neto y del que se aprecia un apartado testado en su totalidad.</w:t>
      </w:r>
      <w:r w:rsidRPr="005D1CE8">
        <w:rPr>
          <w:b/>
          <w:i/>
        </w:rPr>
        <w:t xml:space="preserve">  </w:t>
      </w:r>
    </w:p>
    <w:p w14:paraId="1D29E4DC" w14:textId="77777777" w:rsidR="00F65DEA" w:rsidRPr="005D1CE8" w:rsidRDefault="00F65DEA">
      <w:pPr>
        <w:spacing w:after="0" w:line="360" w:lineRule="auto"/>
      </w:pPr>
    </w:p>
    <w:p w14:paraId="6B3D9F9D" w14:textId="77777777" w:rsidR="00F65DEA" w:rsidRPr="005D1CE8" w:rsidRDefault="00DC2701">
      <w:pPr>
        <w:tabs>
          <w:tab w:val="left" w:pos="4962"/>
        </w:tabs>
        <w:spacing w:after="0" w:line="360" w:lineRule="auto"/>
      </w:pPr>
      <w:r w:rsidRPr="005D1CE8">
        <w:t xml:space="preserve">Derivado de la respuesta, la parte Recurrente se inconformó bajo el argumento de la entrega de información incompleta, dado que consideró que no se entregó la información de la totalidad de servidores públicos dado que se testó un número importante de los mismos, sin que se señalará una causa o fundamento legal para ello. </w:t>
      </w:r>
    </w:p>
    <w:p w14:paraId="3621461E" w14:textId="77777777" w:rsidR="00F65DEA" w:rsidRPr="005D1CE8" w:rsidRDefault="00F65DEA">
      <w:pPr>
        <w:tabs>
          <w:tab w:val="left" w:pos="4962"/>
        </w:tabs>
        <w:spacing w:after="0" w:line="360" w:lineRule="auto"/>
      </w:pPr>
    </w:p>
    <w:p w14:paraId="20DC6581" w14:textId="6D9AC070" w:rsidR="005318AB" w:rsidRPr="005D1CE8" w:rsidRDefault="005318AB" w:rsidP="005318AB">
      <w:pPr>
        <w:spacing w:after="0" w:line="360" w:lineRule="auto"/>
        <w:rPr>
          <w:color w:val="000000"/>
        </w:rPr>
      </w:pPr>
      <w:r w:rsidRPr="005D1CE8">
        <w:rPr>
          <w:color w:val="000000"/>
        </w:rPr>
        <w:t xml:space="preserve">Conforme a lo analizado, se puede advertir que el ahora Recurrenteno se inconformó de los documentos entregados, sino del testado y clasificación de diversos datos contenidos en este;  por lo que no se hará pronunciamiento alguno respeto al documento entregado, de </w:t>
      </w:r>
      <w:r w:rsidRPr="005D1CE8">
        <w:rPr>
          <w:color w:val="000000"/>
        </w:rPr>
        <w:lastRenderedPageBreak/>
        <w:t>conformidad con el artículo 195 de la Ley de Transparencia y Acceso a la Información Pública del Estado de México y Municipios, con relación con el diverso 195, fracción IV, de Código de Procedimientos Administrativos del Estado de México, que establece que será improcedente el recurso contra los actos que se hayan consentido tácitamente, entendiéndose por estos cuando el agravio no se haya promovido en el plazo señalado para el efecto.</w:t>
      </w:r>
    </w:p>
    <w:p w14:paraId="422EB7B1" w14:textId="77777777" w:rsidR="005318AB" w:rsidRPr="005D1CE8" w:rsidRDefault="005318AB" w:rsidP="005318AB">
      <w:pPr>
        <w:spacing w:after="0" w:line="360" w:lineRule="auto"/>
        <w:rPr>
          <w:color w:val="000000"/>
        </w:rPr>
      </w:pPr>
      <w:r w:rsidRPr="005D1CE8">
        <w:rPr>
          <w:color w:val="000000"/>
        </w:rPr>
        <w:t> </w:t>
      </w:r>
    </w:p>
    <w:p w14:paraId="1549D320" w14:textId="77777777" w:rsidR="005318AB" w:rsidRPr="005D1CE8" w:rsidRDefault="005318AB" w:rsidP="005318AB">
      <w:pPr>
        <w:spacing w:after="0" w:line="360" w:lineRule="auto"/>
        <w:rPr>
          <w:color w:val="000000"/>
        </w:rPr>
      </w:pPr>
      <w:r w:rsidRPr="005D1CE8">
        <w:rPr>
          <w:color w:val="000000"/>
        </w:rPr>
        <w:t>De la misma manera resulta aplicable el criterio sostenido por el Poder Judicial de la Federación de rubro ACTOS CONSENTIDOS TÁCITAMENTE, Tesis VI.2o. J/21, emitida en la novena época, por el Segundo Tribunal Colegiado del Sexto Circuito, publicada en la Gaceta del Semanario Judicial de la Federación en agosto de 1995, página 291, número de registro 204707, del que se desprende que cuando no se reclaman los actos de autoridad en la vía y plazos establecidos en la Ley, se presume que el Particular está conforme con los mismos.</w:t>
      </w:r>
    </w:p>
    <w:p w14:paraId="4C353396" w14:textId="77777777" w:rsidR="005318AB" w:rsidRPr="005D1CE8" w:rsidRDefault="005318AB" w:rsidP="005318AB">
      <w:pPr>
        <w:spacing w:after="0" w:line="360" w:lineRule="auto"/>
        <w:rPr>
          <w:color w:val="000000"/>
        </w:rPr>
      </w:pPr>
      <w:r w:rsidRPr="005D1CE8">
        <w:rPr>
          <w:color w:val="000000"/>
        </w:rPr>
        <w:t> </w:t>
      </w:r>
    </w:p>
    <w:p w14:paraId="3008EDD7" w14:textId="77777777" w:rsidR="005318AB" w:rsidRPr="005D1CE8" w:rsidRDefault="005318AB" w:rsidP="005318AB">
      <w:pPr>
        <w:spacing w:after="0" w:line="360" w:lineRule="auto"/>
        <w:rPr>
          <w:color w:val="000000"/>
        </w:rPr>
      </w:pPr>
      <w:r w:rsidRPr="005D1CE8">
        <w:rPr>
          <w:color w:val="000000"/>
        </w:rPr>
        <w:t>De acuerdo con el criterio en comento, en el caso de que la Solicitante no haya manifestado su inconformidad en contra del acto en su totalidad o en cualquiera de sus partes, se tendrá por consentido al no haber realizado argumento alguno que formulara un agravio en su contra, por lo que, en la especie, se válida la respuesta respecto de los puntos no controvertidos y se arriba a la conclusión de que estos quedaron firmes.</w:t>
      </w:r>
    </w:p>
    <w:p w14:paraId="61991D9B" w14:textId="77777777" w:rsidR="005318AB" w:rsidRPr="005D1CE8" w:rsidRDefault="005318AB" w:rsidP="005318AB">
      <w:pPr>
        <w:spacing w:after="0" w:line="360" w:lineRule="auto"/>
        <w:rPr>
          <w:color w:val="000000"/>
        </w:rPr>
      </w:pPr>
      <w:r w:rsidRPr="005D1CE8">
        <w:rPr>
          <w:color w:val="000000"/>
        </w:rPr>
        <w:t> </w:t>
      </w:r>
    </w:p>
    <w:p w14:paraId="1F99DE51" w14:textId="1C0CFB58" w:rsidR="00F65DEA" w:rsidRPr="005D1CE8" w:rsidRDefault="005318AB" w:rsidP="005318AB">
      <w:pPr>
        <w:spacing w:after="0" w:line="360" w:lineRule="auto"/>
      </w:pPr>
      <w:r w:rsidRPr="005D1CE8">
        <w:rPr>
          <w:color w:val="000000"/>
        </w:rPr>
        <w:t xml:space="preserve">Asimismo, resulta relevante traer a colación el Criterio de Interpretación, con clave de control SO/001/2020, de la Segunda Época, emitido por el Instituto Nacional de Transparencia, Acceso a la Información y Protección de Datos Personales, el cual establece que </w:t>
      </w:r>
      <w:r w:rsidRPr="005D1CE8">
        <w:rPr>
          <w:color w:val="222222"/>
        </w:rPr>
        <w:t>es improcedente entrar al análisis de las partes de la respuesta del Sujeto Obligado que no fueron impugnadas por el Recurrente; por lo que, en el presente caso, se tiene por consentida la información entregada por el Sujeto Obligado; y únicamente se entrará al análisis de la información testada.</w:t>
      </w:r>
      <w:r w:rsidRPr="005D1CE8">
        <w:rPr>
          <w:rFonts w:ascii="Times New Roman" w:eastAsia="Times New Roman" w:hAnsi="Times New Roman" w:cs="Times New Roman"/>
          <w:color w:val="222222"/>
        </w:rPr>
        <w:t xml:space="preserve"> </w:t>
      </w:r>
      <w:r w:rsidRPr="005D1CE8">
        <w:t xml:space="preserve">Durante la sustanciación del Recurso de Revisión ambas partes fueron omisas en añadir manifestaciones o argumentos al presente asunto. </w:t>
      </w:r>
    </w:p>
    <w:p w14:paraId="2EF90CB8" w14:textId="6BA60907" w:rsidR="00F65DEA" w:rsidRPr="005D1CE8" w:rsidRDefault="00DC2701">
      <w:pPr>
        <w:tabs>
          <w:tab w:val="left" w:pos="4962"/>
        </w:tabs>
        <w:spacing w:after="0" w:line="360" w:lineRule="auto"/>
      </w:pPr>
      <w:r w:rsidRPr="005D1CE8">
        <w:lastRenderedPageBreak/>
        <w:t xml:space="preserve">Así pues, de las constancias que integran el expediente, se advierte que en el asunto que nos ocupa se actualiza la causal de procedencia señalada en el artículo 179, </w:t>
      </w:r>
      <w:r w:rsidR="005318AB" w:rsidRPr="005D1CE8">
        <w:t>fracción II</w:t>
      </w:r>
      <w:r w:rsidRPr="005D1CE8">
        <w:t>, de la Ley de la materia</w:t>
      </w:r>
      <w:r w:rsidR="005318AB" w:rsidRPr="005D1CE8">
        <w:t>, referente a la clasificación de la información</w:t>
      </w:r>
      <w:r w:rsidRPr="005D1CE8">
        <w:t xml:space="preserve">. </w:t>
      </w:r>
    </w:p>
    <w:p w14:paraId="2369BAC0" w14:textId="77777777" w:rsidR="00F65DEA" w:rsidRPr="005D1CE8" w:rsidRDefault="00F65DEA">
      <w:pPr>
        <w:tabs>
          <w:tab w:val="left" w:pos="4962"/>
        </w:tabs>
        <w:spacing w:after="0" w:line="360" w:lineRule="auto"/>
      </w:pPr>
    </w:p>
    <w:p w14:paraId="2A2E0B4D" w14:textId="77777777" w:rsidR="00F65DEA" w:rsidRPr="005D1CE8" w:rsidRDefault="00DC2701">
      <w:pPr>
        <w:tabs>
          <w:tab w:val="left" w:pos="4962"/>
        </w:tabs>
        <w:spacing w:after="0" w:line="360" w:lineRule="auto"/>
      </w:pPr>
      <w:r w:rsidRPr="005D1CE8">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14:paraId="4374619D" w14:textId="77777777" w:rsidR="00F65DEA" w:rsidRPr="005D1CE8" w:rsidRDefault="00F65DEA">
      <w:pPr>
        <w:spacing w:after="0" w:line="360" w:lineRule="auto"/>
      </w:pPr>
    </w:p>
    <w:p w14:paraId="62D1994D" w14:textId="77777777" w:rsidR="00F65DEA" w:rsidRPr="005D1CE8" w:rsidRDefault="00DC2701">
      <w:pPr>
        <w:pStyle w:val="Ttulo2"/>
        <w:spacing w:before="0" w:after="0"/>
      </w:pPr>
      <w:bookmarkStart w:id="12" w:name="_Toc209098654"/>
      <w:r w:rsidRPr="005D1CE8">
        <w:t>CUARTO. Marco normativo aplicable en materia de transparencia y acceso a la información pública</w:t>
      </w:r>
      <w:bookmarkEnd w:id="12"/>
    </w:p>
    <w:p w14:paraId="1DF313F0" w14:textId="77777777" w:rsidR="00F65DEA" w:rsidRPr="005D1CE8" w:rsidRDefault="00F65DEA">
      <w:pPr>
        <w:spacing w:after="0" w:line="360" w:lineRule="auto"/>
      </w:pPr>
    </w:p>
    <w:p w14:paraId="1150A66C" w14:textId="77777777" w:rsidR="00F65DEA" w:rsidRPr="005D1CE8" w:rsidRDefault="00DC2701">
      <w:pPr>
        <w:spacing w:after="0" w:line="360" w:lineRule="auto"/>
      </w:pPr>
      <w:r w:rsidRPr="005D1CE8">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5E0D349B" w14:textId="77777777" w:rsidR="00F65DEA" w:rsidRPr="005D1CE8" w:rsidRDefault="00F65DEA">
      <w:pPr>
        <w:spacing w:after="0" w:line="360" w:lineRule="auto"/>
      </w:pPr>
    </w:p>
    <w:p w14:paraId="3BA80111" w14:textId="77777777" w:rsidR="00F65DEA" w:rsidRPr="005D1CE8" w:rsidRDefault="00DC2701">
      <w:pPr>
        <w:spacing w:after="0" w:line="360" w:lineRule="auto"/>
      </w:pPr>
      <w:r w:rsidRPr="005D1CE8">
        <w:t>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373DAC16" w14:textId="77777777" w:rsidR="00F65DEA" w:rsidRPr="005D1CE8" w:rsidRDefault="00DC2701">
      <w:pPr>
        <w:spacing w:after="0" w:line="360" w:lineRule="auto"/>
      </w:pPr>
      <w:r w:rsidRPr="005D1CE8">
        <w:t>Por su parte, la Ley de Transparencia y Acceso a la Información Pública del Estado de México y Municipios (Reglamentaria del artículo 5° de la Constitución Local), establece lo siguiente:</w:t>
      </w:r>
    </w:p>
    <w:p w14:paraId="53FFA9B3" w14:textId="77777777" w:rsidR="00F65DEA" w:rsidRPr="005D1CE8" w:rsidRDefault="00F65DEA">
      <w:pPr>
        <w:spacing w:after="0" w:line="360" w:lineRule="auto"/>
      </w:pPr>
    </w:p>
    <w:p w14:paraId="121E0C7A" w14:textId="77777777" w:rsidR="00F65DEA" w:rsidRPr="005D1CE8" w:rsidRDefault="00DC2701">
      <w:pPr>
        <w:spacing w:after="0" w:line="360" w:lineRule="auto"/>
      </w:pPr>
      <w:r w:rsidRPr="005D1CE8">
        <w:t>El artículo 12 dice que, quienes generen, recopilen, administren, manejen, procesen, archiven o conserven información pública serán responsables de la misma.</w:t>
      </w:r>
    </w:p>
    <w:p w14:paraId="25D14CA2" w14:textId="77777777" w:rsidR="00F65DEA" w:rsidRPr="005D1CE8" w:rsidRDefault="00F65DEA">
      <w:pPr>
        <w:spacing w:after="0" w:line="360" w:lineRule="auto"/>
      </w:pPr>
    </w:p>
    <w:p w14:paraId="6975B20C" w14:textId="77777777" w:rsidR="00F65DEA" w:rsidRPr="005D1CE8" w:rsidRDefault="00DC2701">
      <w:pPr>
        <w:spacing w:after="0" w:line="360" w:lineRule="auto"/>
      </w:pPr>
      <w:r w:rsidRPr="005D1CE8">
        <w:lastRenderedPageBreak/>
        <w:t>El artículo 18, que, los Sujetos Obligados deberán documentar todo acto que derive del ejercicio de sus facultades, competencias o funciones, considerando desde su origen la eventual publicidad y reutilización de la información que generen.</w:t>
      </w:r>
    </w:p>
    <w:p w14:paraId="633C7656" w14:textId="77777777" w:rsidR="00F65DEA" w:rsidRPr="005D1CE8" w:rsidRDefault="00F65DEA">
      <w:pPr>
        <w:spacing w:after="0" w:line="360" w:lineRule="auto"/>
      </w:pPr>
    </w:p>
    <w:p w14:paraId="2194A460" w14:textId="77777777" w:rsidR="00F65DEA" w:rsidRPr="005D1CE8" w:rsidRDefault="00DC2701">
      <w:pPr>
        <w:spacing w:after="0" w:line="360" w:lineRule="auto"/>
      </w:pPr>
      <w:r w:rsidRPr="005D1CE8">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5E72B643" w14:textId="77777777" w:rsidR="00F65DEA" w:rsidRPr="005D1CE8" w:rsidRDefault="00F65DEA">
      <w:pPr>
        <w:pStyle w:val="Ttulo2"/>
        <w:spacing w:before="0" w:after="0"/>
        <w:rPr>
          <w:smallCaps/>
        </w:rPr>
      </w:pPr>
    </w:p>
    <w:p w14:paraId="71C71BCD" w14:textId="77777777" w:rsidR="00F65DEA" w:rsidRPr="005D1CE8" w:rsidRDefault="00DC2701">
      <w:pPr>
        <w:pStyle w:val="Ttulo2"/>
        <w:spacing w:before="0" w:after="0"/>
      </w:pPr>
      <w:bookmarkStart w:id="13" w:name="_Toc209098655"/>
      <w:r w:rsidRPr="005D1CE8">
        <w:rPr>
          <w:smallCaps/>
        </w:rPr>
        <w:t>QUINTO.</w:t>
      </w:r>
      <w:r w:rsidRPr="005D1CE8">
        <w:t xml:space="preserve"> Estudio de Fondo</w:t>
      </w:r>
      <w:bookmarkEnd w:id="13"/>
    </w:p>
    <w:p w14:paraId="7E828426" w14:textId="77777777" w:rsidR="00F65DEA" w:rsidRPr="005D1CE8" w:rsidRDefault="00F65DEA">
      <w:pPr>
        <w:spacing w:after="0" w:line="360" w:lineRule="auto"/>
      </w:pPr>
    </w:p>
    <w:p w14:paraId="7014AF98" w14:textId="18445DA2" w:rsidR="00F65DEA" w:rsidRPr="005D1CE8" w:rsidRDefault="00DC2701">
      <w:pPr>
        <w:spacing w:after="0" w:line="360" w:lineRule="auto"/>
      </w:pPr>
      <w:r w:rsidRPr="005D1CE8">
        <w:t xml:space="preserve">Una vez expuesto lo anterior, </w:t>
      </w:r>
      <w:r w:rsidR="005318AB" w:rsidRPr="005D1CE8">
        <w:t>se procede analizar el agravio referido por el Particular, consistente en la clasificación de la información; por lo que, de la revisión de las documentales, se logra vislumbrar que clasificó el nombre, cargo, días pagados, monto total de percepciones, deducciones y neto, tal como se muestra a continuación:</w:t>
      </w:r>
    </w:p>
    <w:p w14:paraId="607E2238" w14:textId="77777777" w:rsidR="005318AB" w:rsidRPr="005D1CE8" w:rsidRDefault="005318AB">
      <w:pPr>
        <w:spacing w:after="0" w:line="360" w:lineRule="auto"/>
      </w:pPr>
    </w:p>
    <w:p w14:paraId="0DAA9932" w14:textId="77777777" w:rsidR="00F65DEA" w:rsidRPr="005D1CE8" w:rsidRDefault="00DC2701">
      <w:pPr>
        <w:spacing w:after="0" w:line="360" w:lineRule="auto"/>
      </w:pPr>
      <w:r w:rsidRPr="005D1CE8">
        <w:rPr>
          <w:noProof/>
        </w:rPr>
        <w:drawing>
          <wp:inline distT="0" distB="0" distL="0" distR="0" wp14:anchorId="6D1DF0E5" wp14:editId="0F666E13">
            <wp:extent cx="5542411" cy="2477386"/>
            <wp:effectExtent l="0" t="0" r="0" b="0"/>
            <wp:docPr id="46779898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9"/>
                    <a:srcRect t="-1" b="64315"/>
                    <a:stretch/>
                  </pic:blipFill>
                  <pic:spPr bwMode="auto">
                    <a:xfrm>
                      <a:off x="0" y="0"/>
                      <a:ext cx="5543550" cy="2477895"/>
                    </a:xfrm>
                    <a:prstGeom prst="rect">
                      <a:avLst/>
                    </a:prstGeom>
                    <a:ln>
                      <a:noFill/>
                    </a:ln>
                    <a:extLst>
                      <a:ext uri="{53640926-AAD7-44D8-BBD7-CCE9431645EC}">
                        <a14:shadowObscured xmlns:a14="http://schemas.microsoft.com/office/drawing/2010/main"/>
                      </a:ext>
                    </a:extLst>
                  </pic:spPr>
                </pic:pic>
              </a:graphicData>
            </a:graphic>
          </wp:inline>
        </w:drawing>
      </w:r>
    </w:p>
    <w:p w14:paraId="64C3DB65" w14:textId="77777777" w:rsidR="00F65DEA" w:rsidRPr="005D1CE8" w:rsidRDefault="00F65DEA">
      <w:pPr>
        <w:spacing w:after="0" w:line="360" w:lineRule="auto"/>
        <w:rPr>
          <w:color w:val="000000"/>
        </w:rPr>
      </w:pPr>
    </w:p>
    <w:p w14:paraId="48C48F6D" w14:textId="7C2D414E" w:rsidR="00F65DEA" w:rsidRPr="005D1CE8" w:rsidRDefault="00DC2701">
      <w:pPr>
        <w:spacing w:after="0" w:line="360" w:lineRule="auto"/>
        <w:rPr>
          <w:color w:val="000000"/>
        </w:rPr>
      </w:pPr>
      <w:r w:rsidRPr="005D1CE8">
        <w:rPr>
          <w:color w:val="000000"/>
        </w:rPr>
        <w:lastRenderedPageBreak/>
        <w:t>Al respecto, es preciso señalar que se advierte que pueden ser personas servidoras públicas de la Dirección de Seguridad Pública y Vialidad, sin embargo, de los archivos que fueron remitidos en respuesta no se advierte un acuerdo por parte del Comité de Transparencia que respalde la versión pública de la documentación.</w:t>
      </w:r>
    </w:p>
    <w:p w14:paraId="37BF2B5B" w14:textId="77777777" w:rsidR="00F65DEA" w:rsidRPr="005D1CE8" w:rsidRDefault="00F65DEA">
      <w:pPr>
        <w:spacing w:after="0" w:line="360" w:lineRule="auto"/>
        <w:rPr>
          <w:color w:val="000000"/>
        </w:rPr>
      </w:pPr>
    </w:p>
    <w:p w14:paraId="3BEF04F8" w14:textId="77777777" w:rsidR="00F65DEA" w:rsidRPr="005D1CE8" w:rsidRDefault="00DC2701">
      <w:pPr>
        <w:spacing w:after="0" w:line="360" w:lineRule="auto"/>
        <w:rPr>
          <w:color w:val="000000"/>
        </w:rPr>
      </w:pPr>
      <w:r w:rsidRPr="005D1CE8">
        <w:rPr>
          <w:color w:val="000000"/>
        </w:rPr>
        <w:t xml:space="preserve">Así pues, se debe tener en consideración que la información que obra en los archivos de los Sujetos Obligados puede ser entregada en versión pública, en las que se considere algún tipo de clasificación, ya sea porque la información sea confidencial o bien, actualice un supuesto de reserva. </w:t>
      </w:r>
    </w:p>
    <w:p w14:paraId="5B9E7FCD" w14:textId="77777777" w:rsidR="00F65DEA" w:rsidRPr="005D1CE8" w:rsidRDefault="00F65DEA">
      <w:pPr>
        <w:spacing w:after="0" w:line="360" w:lineRule="auto"/>
        <w:rPr>
          <w:color w:val="000000"/>
        </w:rPr>
      </w:pPr>
    </w:p>
    <w:p w14:paraId="6A99AFEA" w14:textId="77777777" w:rsidR="00F65DEA" w:rsidRPr="005D1CE8" w:rsidRDefault="00DC2701">
      <w:pPr>
        <w:spacing w:after="0" w:line="360" w:lineRule="auto"/>
      </w:pPr>
      <w:r w:rsidRPr="005D1CE8">
        <w:t>En este sentido, es importante señalar que el artículo 6°, Apartado A), fracción I de la Constitución Política de los Estados Unidos Mexicanos, establece que toda la información en posesión de cualquier autoridad, es pública y sólo podrá ser reservada temporalmente por razones de interés público. Entonces, se prevé que la información es pública salvo los casos de excepción que prevén las leyes; al respecto, la Ley de Transparencia y Acceso a la Información Pública del Estado de México y Municipios en materia de clasificación hay dos supuestos, a saber, los siguientes:</w:t>
      </w:r>
    </w:p>
    <w:p w14:paraId="24FE990C" w14:textId="77777777" w:rsidR="00F65DEA" w:rsidRPr="005D1CE8" w:rsidRDefault="00F65DEA">
      <w:pPr>
        <w:spacing w:after="0" w:line="360" w:lineRule="auto"/>
      </w:pPr>
    </w:p>
    <w:p w14:paraId="5642308F" w14:textId="77777777" w:rsidR="00F65DEA" w:rsidRPr="005D1CE8" w:rsidRDefault="00DC2701">
      <w:pPr>
        <w:numPr>
          <w:ilvl w:val="0"/>
          <w:numId w:val="6"/>
        </w:numPr>
        <w:spacing w:after="0" w:line="360" w:lineRule="auto"/>
        <w:rPr>
          <w:color w:val="000000"/>
        </w:rPr>
      </w:pPr>
      <w:r w:rsidRPr="005D1CE8">
        <w:rPr>
          <w:b/>
          <w:color w:val="000000"/>
        </w:rPr>
        <w:t>Confidencial</w:t>
      </w:r>
      <w:r w:rsidRPr="005D1CE8">
        <w:rPr>
          <w:color w:val="000000"/>
        </w:rPr>
        <w:t>: Se trata de datos personales o de la vida privada de una persona física o jurídico-colectiva y encuentran su sustento legal en el artículo 143 de la Ley de Transparencia y Acceso a la Información Pública del Estado de México y Municipios</w:t>
      </w:r>
    </w:p>
    <w:p w14:paraId="444DB790" w14:textId="77777777" w:rsidR="00F65DEA" w:rsidRPr="005D1CE8" w:rsidRDefault="00F65DEA">
      <w:pPr>
        <w:spacing w:after="0" w:line="360" w:lineRule="auto"/>
        <w:ind w:left="720"/>
        <w:rPr>
          <w:color w:val="000000"/>
        </w:rPr>
      </w:pPr>
    </w:p>
    <w:p w14:paraId="7487F271" w14:textId="77777777" w:rsidR="00F65DEA" w:rsidRPr="005D1CE8" w:rsidRDefault="00DC2701">
      <w:pPr>
        <w:numPr>
          <w:ilvl w:val="0"/>
          <w:numId w:val="6"/>
        </w:numPr>
        <w:spacing w:after="0" w:line="360" w:lineRule="auto"/>
        <w:rPr>
          <w:color w:val="000000"/>
        </w:rPr>
      </w:pPr>
      <w:r w:rsidRPr="005D1CE8">
        <w:rPr>
          <w:b/>
          <w:color w:val="000000"/>
        </w:rPr>
        <w:t>Reservada:</w:t>
      </w:r>
      <w:r w:rsidRPr="005D1CE8">
        <w:rPr>
          <w:color w:val="000000"/>
        </w:rPr>
        <w:t xml:space="preserve"> Es información de carácter público, que no puede ser proporcionada al actualizar alguna de las causales establecidas en el artículo 140 de la Ley de Transparencia y Acceso a la Información Pública del Estado de México y Municipios y demás aplicables. </w:t>
      </w:r>
    </w:p>
    <w:p w14:paraId="1E6CBECE" w14:textId="77777777" w:rsidR="00F65DEA" w:rsidRPr="005D1CE8" w:rsidRDefault="00F65DEA">
      <w:pPr>
        <w:spacing w:after="0" w:line="360" w:lineRule="auto"/>
        <w:rPr>
          <w:color w:val="000000"/>
        </w:rPr>
      </w:pPr>
    </w:p>
    <w:p w14:paraId="4CE0B1F0" w14:textId="77777777" w:rsidR="00F65DEA" w:rsidRPr="005D1CE8" w:rsidRDefault="00DC2701">
      <w:pPr>
        <w:spacing w:after="0" w:line="360" w:lineRule="auto"/>
      </w:pPr>
      <w:r w:rsidRPr="005D1CE8">
        <w:lastRenderedPageBreak/>
        <w:t>Así pues, existen dos supuestos para la restricción del acceso a la información; que implica que la información solicitada se trate de datos personales confidenciales o que se actualice algún supuesto de reserva.</w:t>
      </w:r>
    </w:p>
    <w:p w14:paraId="63171A81" w14:textId="77777777" w:rsidR="00F65DEA" w:rsidRPr="005D1CE8" w:rsidRDefault="00F65DEA">
      <w:pPr>
        <w:spacing w:after="0" w:line="360" w:lineRule="auto"/>
      </w:pPr>
    </w:p>
    <w:p w14:paraId="0860AA4C" w14:textId="77777777" w:rsidR="00F65DEA" w:rsidRPr="005D1CE8" w:rsidRDefault="00DC2701">
      <w:pPr>
        <w:spacing w:after="0" w:line="360" w:lineRule="auto"/>
        <w:rPr>
          <w:b/>
        </w:rPr>
      </w:pPr>
      <w:r w:rsidRPr="005D1CE8">
        <w:rPr>
          <w:color w:val="000000"/>
        </w:rPr>
        <w:t xml:space="preserve">En este sentido vale la pena precisar que la clasificación de la información total o parcial, debe encontrarse debidamente fundada y motivada. </w:t>
      </w:r>
      <w:r w:rsidRPr="005D1CE8">
        <w:t xml:space="preserve">En ese sentido, conforme al artículo 134 de la Ley de Transparencia y Acceso a la Información Pública del Estado de México y Municipios y el Sexto de los Lineamientos Generales en Materia de Clasificación y Desclasificación de la Información, así como para la Elaboración de Versiones Públicas –Lineamientos Generales-, los sujetos obligados no podrán emitir acuerdos de carácter general que clasifiquen documentos o expedientes; por lo que, la clasificación de información se llevará a cabo mediante un </w:t>
      </w:r>
      <w:r w:rsidRPr="005D1CE8">
        <w:rPr>
          <w:b/>
        </w:rPr>
        <w:t>análisis caso por caso.</w:t>
      </w:r>
    </w:p>
    <w:p w14:paraId="7F71DA81" w14:textId="77777777" w:rsidR="00F65DEA" w:rsidRPr="005D1CE8" w:rsidRDefault="00F65DEA">
      <w:pPr>
        <w:spacing w:after="0" w:line="360" w:lineRule="auto"/>
        <w:rPr>
          <w:b/>
        </w:rPr>
      </w:pPr>
    </w:p>
    <w:p w14:paraId="4DD89035" w14:textId="77777777" w:rsidR="00F65DEA" w:rsidRPr="005D1CE8" w:rsidRDefault="00DC2701">
      <w:pPr>
        <w:spacing w:after="0" w:line="360" w:lineRule="auto"/>
      </w:pPr>
      <w:r w:rsidRPr="005D1CE8">
        <w:t xml:space="preserve">Además, el artículo 131 de la Ley referida, así como el Quinto de los Lineamientos Generales, establecen que los sujetos obligados </w:t>
      </w:r>
      <w:r w:rsidRPr="005D1CE8">
        <w:rPr>
          <w:b/>
        </w:rPr>
        <w:t>deberán fundar y motivar</w:t>
      </w:r>
      <w:r w:rsidRPr="005D1CE8">
        <w:t xml:space="preserve"> debidamente la clasificación de la información.</w:t>
      </w:r>
    </w:p>
    <w:p w14:paraId="08211926" w14:textId="77777777" w:rsidR="00F65DEA" w:rsidRPr="005D1CE8" w:rsidRDefault="00F65DEA">
      <w:pPr>
        <w:spacing w:after="0" w:line="360" w:lineRule="auto"/>
        <w:rPr>
          <w:b/>
        </w:rPr>
      </w:pPr>
    </w:p>
    <w:p w14:paraId="78CE7CC0" w14:textId="77777777" w:rsidR="00F65DEA" w:rsidRPr="005D1CE8" w:rsidRDefault="00DC2701">
      <w:pPr>
        <w:spacing w:after="0" w:line="360" w:lineRule="auto"/>
      </w:pPr>
      <w:r w:rsidRPr="005D1CE8">
        <w:t>Al respecto, el Octavo de los Lineamientos Generales, precisa lo siguiente:</w:t>
      </w:r>
    </w:p>
    <w:p w14:paraId="2494C990" w14:textId="77777777" w:rsidR="00F65DEA" w:rsidRPr="005D1CE8" w:rsidRDefault="00F65DEA">
      <w:pPr>
        <w:spacing w:after="0" w:line="360" w:lineRule="auto"/>
      </w:pPr>
    </w:p>
    <w:p w14:paraId="7B055DDE" w14:textId="77777777" w:rsidR="00F65DEA" w:rsidRPr="005D1CE8" w:rsidRDefault="00DC2701">
      <w:pPr>
        <w:numPr>
          <w:ilvl w:val="0"/>
          <w:numId w:val="7"/>
        </w:numPr>
        <w:spacing w:after="0" w:line="360" w:lineRule="auto"/>
      </w:pPr>
      <w:r w:rsidRPr="005D1CE8">
        <w:rPr>
          <w:b/>
        </w:rPr>
        <w:t>Para fundar la clasificación</w:t>
      </w:r>
      <w:r w:rsidRPr="005D1CE8">
        <w:t xml:space="preserve"> de la información se deberán señalar el artículo, fracción, inciso, párrafo o numeral de la Ley aplicable;</w:t>
      </w:r>
    </w:p>
    <w:p w14:paraId="17EF1592" w14:textId="77777777" w:rsidR="00F65DEA" w:rsidRPr="005D1CE8" w:rsidRDefault="00F65DEA">
      <w:pPr>
        <w:spacing w:after="0" w:line="360" w:lineRule="auto"/>
      </w:pPr>
    </w:p>
    <w:p w14:paraId="4A1B488C" w14:textId="77777777" w:rsidR="00F65DEA" w:rsidRPr="005D1CE8" w:rsidRDefault="00DC2701">
      <w:pPr>
        <w:numPr>
          <w:ilvl w:val="0"/>
          <w:numId w:val="7"/>
        </w:numPr>
        <w:spacing w:after="0" w:line="360" w:lineRule="auto"/>
      </w:pPr>
      <w:r w:rsidRPr="005D1CE8">
        <w:rPr>
          <w:b/>
        </w:rPr>
        <w:t>Para motivar la clasificación</w:t>
      </w:r>
      <w:r w:rsidRPr="005D1CE8">
        <w:t xml:space="preserve"> se deberán indicar las razones y circunstancias especiales que lo llevaron a concluir que el caso particular se ajusta al supuesto previsto por la norma legal invocada; la cual, en el caso de que se trate de información reservada, la motivación, deberá comprender las circunstancias que justifican el establecimiento de un determinado plazo de reserva.</w:t>
      </w:r>
    </w:p>
    <w:p w14:paraId="13BAF9C7" w14:textId="77777777" w:rsidR="00F65DEA" w:rsidRPr="005D1CE8" w:rsidRDefault="00F65DEA">
      <w:pPr>
        <w:spacing w:after="0" w:line="360" w:lineRule="auto"/>
      </w:pPr>
    </w:p>
    <w:p w14:paraId="070D15BF" w14:textId="77777777" w:rsidR="00F65DEA" w:rsidRPr="005D1CE8" w:rsidRDefault="00DC2701">
      <w:pPr>
        <w:spacing w:after="0" w:line="360" w:lineRule="auto"/>
      </w:pPr>
      <w:r w:rsidRPr="005D1CE8">
        <w:t>Lo anterior, toma sustento en la fracción VII, del artículo 1.8, del Código Administrativo del Estado de México, que establece que todo acto administrativo, debe estar fundado y motivado, esto es, que contenga con precisión, los preceptos legales aplicables, las circunstancias generales o especiales, razones particulares y causas que se hayan tomado en cuenta para la emisión del mismo; asimismo, la Tesis aislada número I. 4o. P. 56 P, Octava Época, publicada en el Semanario Judicial de la Federación, Tomo XIV, noviembre de mil novecientos noventa y cuatro, (p. 450), que establece lo siguiente:</w:t>
      </w:r>
    </w:p>
    <w:p w14:paraId="1C07FAAF" w14:textId="77777777" w:rsidR="00F65DEA" w:rsidRPr="005D1CE8" w:rsidRDefault="00F65DEA">
      <w:pPr>
        <w:spacing w:after="0" w:line="360" w:lineRule="auto"/>
      </w:pPr>
    </w:p>
    <w:p w14:paraId="7928CB2F" w14:textId="77777777" w:rsidR="00F65DEA" w:rsidRPr="005D1CE8" w:rsidRDefault="00DC2701">
      <w:pPr>
        <w:spacing w:after="0" w:line="360" w:lineRule="auto"/>
        <w:ind w:left="567" w:right="567"/>
        <w:rPr>
          <w:i/>
          <w:sz w:val="20"/>
          <w:szCs w:val="20"/>
        </w:rPr>
      </w:pPr>
      <w:r w:rsidRPr="005D1CE8">
        <w:rPr>
          <w:b/>
          <w:i/>
          <w:sz w:val="20"/>
          <w:szCs w:val="20"/>
        </w:rPr>
        <w:t xml:space="preserve">“FUNDAMENTACION Y MOTIVACION, CONCEPTO DE. </w:t>
      </w:r>
      <w:r w:rsidRPr="005D1CE8">
        <w:rPr>
          <w:i/>
          <w:sz w:val="20"/>
          <w:szCs w:val="20"/>
        </w:rPr>
        <w:t>La garantía de legalidad consagrada en el artículo 16 de nuestra Carta Magna, establece que todo acto de autoridad precisa encontrarse debidamente fundado y motivado, entendiéndose por lo primero la obligación de la autoridad que lo emite, para citar los preceptos legales, sustantivos y adjetivos, en que se apoye la determinación adoptada; y por lo segundo, que exprese una serie de razonamientos lógico-jurídicos sobre el por qué consideró que el caso concreto se ajusta a la hipótesis normativa.”</w:t>
      </w:r>
    </w:p>
    <w:p w14:paraId="2D07D272" w14:textId="77777777" w:rsidR="00F65DEA" w:rsidRPr="005D1CE8" w:rsidRDefault="00F65DEA">
      <w:pPr>
        <w:spacing w:after="0" w:line="360" w:lineRule="auto"/>
      </w:pPr>
    </w:p>
    <w:p w14:paraId="2021295F" w14:textId="77777777" w:rsidR="00F65DEA" w:rsidRPr="005D1CE8" w:rsidRDefault="00DC2701">
      <w:pPr>
        <w:spacing w:after="0" w:line="360" w:lineRule="auto"/>
      </w:pPr>
      <w:r w:rsidRPr="005D1CE8">
        <w:t>Conforme a lo anterior, se advierte lo siguiente:</w:t>
      </w:r>
    </w:p>
    <w:p w14:paraId="333CDFB4" w14:textId="77777777" w:rsidR="00F65DEA" w:rsidRPr="005D1CE8" w:rsidRDefault="00F65DEA">
      <w:pPr>
        <w:spacing w:after="0" w:line="360" w:lineRule="auto"/>
      </w:pPr>
    </w:p>
    <w:p w14:paraId="415ECD17" w14:textId="77777777" w:rsidR="00F65DEA" w:rsidRPr="005D1CE8" w:rsidRDefault="00DC2701">
      <w:pPr>
        <w:numPr>
          <w:ilvl w:val="0"/>
          <w:numId w:val="8"/>
        </w:numPr>
        <w:spacing w:after="0" w:line="360" w:lineRule="auto"/>
        <w:rPr>
          <w:b/>
        </w:rPr>
      </w:pPr>
      <w:r w:rsidRPr="005D1CE8">
        <w:rPr>
          <w:b/>
        </w:rPr>
        <w:t xml:space="preserve">Fundamentación: </w:t>
      </w:r>
      <w:r w:rsidRPr="005D1CE8">
        <w:t>Obligación de la autoridad que emite un acto, para citar los preceptos legales, sustantivos y adjetivos, en que se apoye para la determinación tomada.</w:t>
      </w:r>
    </w:p>
    <w:p w14:paraId="6CEEB6E1" w14:textId="77777777" w:rsidR="00F65DEA" w:rsidRPr="005D1CE8" w:rsidRDefault="00F65DEA">
      <w:pPr>
        <w:spacing w:after="0" w:line="360" w:lineRule="auto"/>
        <w:rPr>
          <w:b/>
        </w:rPr>
      </w:pPr>
    </w:p>
    <w:p w14:paraId="1CEAD98A" w14:textId="77777777" w:rsidR="00F65DEA" w:rsidRPr="005D1CE8" w:rsidRDefault="00DC2701">
      <w:pPr>
        <w:numPr>
          <w:ilvl w:val="0"/>
          <w:numId w:val="8"/>
        </w:numPr>
        <w:spacing w:after="0" w:line="360" w:lineRule="auto"/>
        <w:rPr>
          <w:b/>
        </w:rPr>
      </w:pPr>
      <w:r w:rsidRPr="005D1CE8">
        <w:rPr>
          <w:b/>
        </w:rPr>
        <w:t xml:space="preserve">Motivación: </w:t>
      </w:r>
      <w:r w:rsidRPr="005D1CE8">
        <w:t>Razonamientos lógico-jurídicos sobre porque se consideró en el caso en concreto, que se ajusta a la hipótesis normativa.</w:t>
      </w:r>
    </w:p>
    <w:p w14:paraId="78A84A16" w14:textId="77777777" w:rsidR="00F65DEA" w:rsidRPr="005D1CE8" w:rsidRDefault="00F65DEA">
      <w:pPr>
        <w:spacing w:after="0" w:line="360" w:lineRule="auto"/>
      </w:pPr>
    </w:p>
    <w:p w14:paraId="6B2F2EB7" w14:textId="77777777" w:rsidR="00F65DEA" w:rsidRPr="005D1CE8" w:rsidRDefault="00DC2701">
      <w:pPr>
        <w:spacing w:after="0" w:line="360" w:lineRule="auto"/>
      </w:pPr>
      <w:r w:rsidRPr="005D1CE8">
        <w:t>En ese orden de ideas, el Trigésimo tercero de los Lineamientos Generales, establece la forma en que se debe fundamentar y motivar la reserva de la información, es decir, a través de los siguientes pasos:</w:t>
      </w:r>
    </w:p>
    <w:p w14:paraId="0C2024EF" w14:textId="77777777" w:rsidR="00F65DEA" w:rsidRPr="005D1CE8" w:rsidRDefault="00F65DEA">
      <w:pPr>
        <w:spacing w:after="0" w:line="360" w:lineRule="auto"/>
      </w:pPr>
    </w:p>
    <w:p w14:paraId="4835A171" w14:textId="77777777" w:rsidR="00F65DEA" w:rsidRPr="005D1CE8" w:rsidRDefault="00DC2701">
      <w:pPr>
        <w:numPr>
          <w:ilvl w:val="0"/>
          <w:numId w:val="9"/>
        </w:numPr>
        <w:spacing w:after="0" w:line="360" w:lineRule="auto"/>
      </w:pPr>
      <w:r w:rsidRPr="005D1CE8">
        <w:t xml:space="preserve">Se deberá citar la fracción y, en su caso, la causal aplicable de las Ley General de Transparencia y Acceso a la Información Pública o, en el presente caso, de la Ley de Transparencia y Acceso a la Información Pública del Estado de México y Municipios, vinculándola con el Lineamiento específico; </w:t>
      </w:r>
    </w:p>
    <w:p w14:paraId="4C7F43DE" w14:textId="77777777" w:rsidR="00F65DEA" w:rsidRPr="005D1CE8" w:rsidRDefault="00F65DEA">
      <w:pPr>
        <w:spacing w:after="0" w:line="360" w:lineRule="auto"/>
      </w:pPr>
    </w:p>
    <w:p w14:paraId="495B70FE" w14:textId="77777777" w:rsidR="00F65DEA" w:rsidRPr="005D1CE8" w:rsidRDefault="00DC2701">
      <w:pPr>
        <w:numPr>
          <w:ilvl w:val="0"/>
          <w:numId w:val="9"/>
        </w:numPr>
        <w:spacing w:after="0" w:line="360" w:lineRule="auto"/>
      </w:pPr>
      <w:r w:rsidRPr="005D1CE8">
        <w:t>Se deberá demostrar que la publicidad de la información generaría un riesgo de perjuicio, que rebasa el interés público;</w:t>
      </w:r>
    </w:p>
    <w:p w14:paraId="540A95D7" w14:textId="77777777" w:rsidR="00F65DEA" w:rsidRPr="005D1CE8" w:rsidRDefault="00F65DEA">
      <w:pPr>
        <w:spacing w:after="0" w:line="360" w:lineRule="auto"/>
      </w:pPr>
    </w:p>
    <w:p w14:paraId="35234394" w14:textId="77777777" w:rsidR="00F65DEA" w:rsidRPr="005D1CE8" w:rsidRDefault="00DC2701">
      <w:pPr>
        <w:numPr>
          <w:ilvl w:val="0"/>
          <w:numId w:val="9"/>
        </w:numPr>
        <w:spacing w:after="0" w:line="360" w:lineRule="auto"/>
      </w:pPr>
      <w:r w:rsidRPr="005D1CE8">
        <w:t>Se acreditará el vínculo entre la difusión de la información y la afectación del interés jurídico tutelado;</w:t>
      </w:r>
    </w:p>
    <w:p w14:paraId="24E462E1" w14:textId="77777777" w:rsidR="00F65DEA" w:rsidRPr="005D1CE8" w:rsidRDefault="00F65DEA">
      <w:pPr>
        <w:spacing w:after="0" w:line="360" w:lineRule="auto"/>
      </w:pPr>
    </w:p>
    <w:p w14:paraId="68B20A9B" w14:textId="77777777" w:rsidR="00F65DEA" w:rsidRPr="005D1CE8" w:rsidRDefault="00DC2701">
      <w:pPr>
        <w:numPr>
          <w:ilvl w:val="0"/>
          <w:numId w:val="9"/>
        </w:numPr>
        <w:spacing w:after="0" w:line="360" w:lineRule="auto"/>
      </w:pPr>
      <w:r w:rsidRPr="005D1CE8">
        <w:t>Se precisará las razones objetivas por las que la apertura de la información generaría una afectación, por medio del riesgo real, demostrable e identificable;</w:t>
      </w:r>
    </w:p>
    <w:p w14:paraId="114DD758" w14:textId="77777777" w:rsidR="00F65DEA" w:rsidRPr="005D1CE8" w:rsidRDefault="00F65DEA">
      <w:pPr>
        <w:spacing w:after="0" w:line="360" w:lineRule="auto"/>
      </w:pPr>
    </w:p>
    <w:p w14:paraId="724B082F" w14:textId="77777777" w:rsidR="00F65DEA" w:rsidRPr="005D1CE8" w:rsidRDefault="00DC2701">
      <w:pPr>
        <w:numPr>
          <w:ilvl w:val="0"/>
          <w:numId w:val="9"/>
        </w:numPr>
        <w:spacing w:after="0" w:line="360" w:lineRule="auto"/>
      </w:pPr>
      <w:r w:rsidRPr="005D1CE8">
        <w:t>Se deberán señalar las circunstancias de modo, tiempo y lugar del daño, y</w:t>
      </w:r>
    </w:p>
    <w:p w14:paraId="4385DC46" w14:textId="77777777" w:rsidR="00F65DEA" w:rsidRPr="005D1CE8" w:rsidRDefault="00F65DEA">
      <w:pPr>
        <w:spacing w:after="0" w:line="360" w:lineRule="auto"/>
      </w:pPr>
    </w:p>
    <w:p w14:paraId="0160442C" w14:textId="77777777" w:rsidR="00F65DEA" w:rsidRPr="005D1CE8" w:rsidRDefault="00DC2701">
      <w:pPr>
        <w:numPr>
          <w:ilvl w:val="0"/>
          <w:numId w:val="9"/>
        </w:numPr>
        <w:spacing w:after="0" w:line="360" w:lineRule="auto"/>
      </w:pPr>
      <w:r w:rsidRPr="005D1CE8">
        <w:t>Se elegirá la opción de excepción al acceso a la información que menos restrinja, la cual será adecuada y proporcional para la protección del interés público.</w:t>
      </w:r>
    </w:p>
    <w:p w14:paraId="6523FE2F" w14:textId="77777777" w:rsidR="00F65DEA" w:rsidRPr="005D1CE8" w:rsidRDefault="00F65DEA">
      <w:pPr>
        <w:spacing w:after="0" w:line="360" w:lineRule="auto"/>
      </w:pPr>
    </w:p>
    <w:p w14:paraId="30DB45BD" w14:textId="77777777" w:rsidR="00F65DEA" w:rsidRPr="005D1CE8" w:rsidRDefault="00DC2701">
      <w:pPr>
        <w:spacing w:after="0" w:line="360" w:lineRule="auto"/>
      </w:pPr>
      <w:r w:rsidRPr="005D1CE8">
        <w:t>Conforme lo anterior, de las formalidades previstas por la Ley de la Materia y de los Lineamientos Generales, así como del análisis de las constancias se logra advertir que el Sujeto Obligado no fundamentó, ni motivó la clasificación de la información, por las siguientes consideraciones:</w:t>
      </w:r>
    </w:p>
    <w:p w14:paraId="090E7F30" w14:textId="77777777" w:rsidR="005318AB" w:rsidRPr="005D1CE8" w:rsidRDefault="005318AB">
      <w:pPr>
        <w:spacing w:after="0" w:line="360" w:lineRule="auto"/>
      </w:pPr>
    </w:p>
    <w:p w14:paraId="670F41D8" w14:textId="77777777" w:rsidR="00F65DEA" w:rsidRPr="005D1CE8" w:rsidRDefault="00DC2701">
      <w:pPr>
        <w:numPr>
          <w:ilvl w:val="0"/>
          <w:numId w:val="9"/>
        </w:numPr>
        <w:pBdr>
          <w:top w:val="nil"/>
          <w:left w:val="nil"/>
          <w:bottom w:val="nil"/>
          <w:right w:val="nil"/>
          <w:between w:val="nil"/>
        </w:pBdr>
        <w:spacing w:after="0" w:line="360" w:lineRule="auto"/>
        <w:rPr>
          <w:color w:val="000000"/>
        </w:rPr>
      </w:pPr>
      <w:r w:rsidRPr="005D1CE8">
        <w:rPr>
          <w:color w:val="000000"/>
        </w:rPr>
        <w:t>Dado que no entregó un acuerdo del Comité de Transparencia en el que sustentara la clasificación de la información.</w:t>
      </w:r>
    </w:p>
    <w:p w14:paraId="4F5DE1AC" w14:textId="77777777" w:rsidR="00F65DEA" w:rsidRPr="005D1CE8" w:rsidRDefault="00F65DEA">
      <w:pPr>
        <w:pBdr>
          <w:top w:val="nil"/>
          <w:left w:val="nil"/>
          <w:bottom w:val="nil"/>
          <w:right w:val="nil"/>
          <w:between w:val="nil"/>
        </w:pBdr>
        <w:spacing w:after="0" w:line="360" w:lineRule="auto"/>
        <w:ind w:left="720"/>
      </w:pPr>
    </w:p>
    <w:p w14:paraId="5FA75408" w14:textId="77777777" w:rsidR="00F65DEA" w:rsidRPr="005D1CE8" w:rsidRDefault="00DC2701">
      <w:pPr>
        <w:numPr>
          <w:ilvl w:val="0"/>
          <w:numId w:val="9"/>
        </w:numPr>
        <w:pBdr>
          <w:top w:val="nil"/>
          <w:left w:val="nil"/>
          <w:bottom w:val="nil"/>
          <w:right w:val="nil"/>
          <w:between w:val="nil"/>
        </w:pBdr>
        <w:spacing w:after="0" w:line="360" w:lineRule="auto"/>
        <w:rPr>
          <w:color w:val="000000"/>
        </w:rPr>
      </w:pPr>
      <w:r w:rsidRPr="005D1CE8">
        <w:rPr>
          <w:color w:val="000000"/>
        </w:rPr>
        <w:t xml:space="preserve">Al no contar con acuerdo del Comité, no se expresaron las razones o motivos por los que la información </w:t>
      </w:r>
      <w:r w:rsidRPr="005D1CE8">
        <w:t>debía</w:t>
      </w:r>
      <w:r w:rsidRPr="005D1CE8">
        <w:rPr>
          <w:color w:val="000000"/>
        </w:rPr>
        <w:t xml:space="preserve"> ser clasificada.</w:t>
      </w:r>
    </w:p>
    <w:p w14:paraId="314F9ADD" w14:textId="77777777" w:rsidR="00F65DEA" w:rsidRPr="005D1CE8" w:rsidRDefault="00F65DEA">
      <w:pPr>
        <w:pBdr>
          <w:top w:val="nil"/>
          <w:left w:val="nil"/>
          <w:bottom w:val="nil"/>
          <w:right w:val="nil"/>
          <w:between w:val="nil"/>
        </w:pBdr>
        <w:spacing w:after="0" w:line="360" w:lineRule="auto"/>
        <w:ind w:left="720"/>
        <w:rPr>
          <w:color w:val="000000"/>
        </w:rPr>
      </w:pPr>
    </w:p>
    <w:p w14:paraId="55F4CF99" w14:textId="77777777" w:rsidR="00F65DEA" w:rsidRPr="005D1CE8" w:rsidRDefault="00DC2701">
      <w:pPr>
        <w:numPr>
          <w:ilvl w:val="0"/>
          <w:numId w:val="9"/>
        </w:numPr>
        <w:pBdr>
          <w:top w:val="nil"/>
          <w:left w:val="nil"/>
          <w:bottom w:val="nil"/>
          <w:right w:val="nil"/>
          <w:between w:val="nil"/>
        </w:pBdr>
        <w:spacing w:after="0" w:line="360" w:lineRule="auto"/>
        <w:rPr>
          <w:color w:val="000000"/>
        </w:rPr>
      </w:pPr>
      <w:r w:rsidRPr="005D1CE8">
        <w:rPr>
          <w:color w:val="000000"/>
        </w:rPr>
        <w:t xml:space="preserve">No se expusieron motivos o circunstancias que acrediten alguna clasificación como confidencial </w:t>
      </w:r>
      <w:r w:rsidRPr="005D1CE8">
        <w:t>o</w:t>
      </w:r>
      <w:r w:rsidRPr="005D1CE8">
        <w:rPr>
          <w:color w:val="000000"/>
        </w:rPr>
        <w:t xml:space="preserve"> reservada.</w:t>
      </w:r>
    </w:p>
    <w:p w14:paraId="2BCD0D14" w14:textId="77777777" w:rsidR="00F65DEA" w:rsidRPr="005D1CE8" w:rsidRDefault="00F65DEA">
      <w:pPr>
        <w:spacing w:line="360" w:lineRule="auto"/>
      </w:pPr>
    </w:p>
    <w:p w14:paraId="747B92B4" w14:textId="77777777" w:rsidR="00F65DEA" w:rsidRPr="005D1CE8" w:rsidRDefault="00DC2701">
      <w:pPr>
        <w:numPr>
          <w:ilvl w:val="0"/>
          <w:numId w:val="9"/>
        </w:numPr>
        <w:pBdr>
          <w:top w:val="nil"/>
          <w:left w:val="nil"/>
          <w:bottom w:val="nil"/>
          <w:right w:val="nil"/>
          <w:between w:val="nil"/>
        </w:pBdr>
        <w:spacing w:after="0" w:line="360" w:lineRule="auto"/>
        <w:rPr>
          <w:color w:val="000000"/>
        </w:rPr>
      </w:pPr>
      <w:r w:rsidRPr="005D1CE8">
        <w:rPr>
          <w:color w:val="000000"/>
        </w:rPr>
        <w:t xml:space="preserve">En caso de que se trate de información reservada, no se expuso debidamente la prueba de daño, por tanto, no se acreditó la actualización del supuesto. </w:t>
      </w:r>
    </w:p>
    <w:p w14:paraId="43B7E672" w14:textId="77777777" w:rsidR="00F65DEA" w:rsidRPr="005D1CE8" w:rsidRDefault="00F65DEA">
      <w:pPr>
        <w:spacing w:line="360" w:lineRule="auto"/>
      </w:pPr>
    </w:p>
    <w:p w14:paraId="01108234" w14:textId="77777777" w:rsidR="00F65DEA" w:rsidRPr="005D1CE8" w:rsidRDefault="00DC2701">
      <w:pPr>
        <w:numPr>
          <w:ilvl w:val="0"/>
          <w:numId w:val="9"/>
        </w:numPr>
        <w:spacing w:after="0" w:line="360" w:lineRule="auto"/>
      </w:pPr>
      <w:r w:rsidRPr="005D1CE8">
        <w:t>Al no tener acuerdo, no se demostró que la publicidad de la información generaría un riesgo de perjuicio, que rebasa el interés público;</w:t>
      </w:r>
    </w:p>
    <w:p w14:paraId="715FAFBF" w14:textId="77777777" w:rsidR="00F65DEA" w:rsidRPr="005D1CE8" w:rsidRDefault="00F65DEA">
      <w:pPr>
        <w:spacing w:after="0" w:line="360" w:lineRule="auto"/>
      </w:pPr>
    </w:p>
    <w:p w14:paraId="7EE62EB1" w14:textId="77777777" w:rsidR="00F65DEA" w:rsidRPr="005D1CE8" w:rsidRDefault="00DC2701">
      <w:pPr>
        <w:numPr>
          <w:ilvl w:val="0"/>
          <w:numId w:val="9"/>
        </w:numPr>
        <w:spacing w:after="0" w:line="360" w:lineRule="auto"/>
      </w:pPr>
      <w:r w:rsidRPr="005D1CE8">
        <w:t>Al no tener acuerdo, no se acreditó el vínculo entre la difusión de la información y la afectación del interés jurídico tutelado;</w:t>
      </w:r>
    </w:p>
    <w:p w14:paraId="5F9A2EB7" w14:textId="77777777" w:rsidR="00F65DEA" w:rsidRPr="005D1CE8" w:rsidRDefault="00F65DEA">
      <w:pPr>
        <w:spacing w:after="0" w:line="360" w:lineRule="auto"/>
      </w:pPr>
    </w:p>
    <w:p w14:paraId="38FF0A68" w14:textId="77777777" w:rsidR="00F65DEA" w:rsidRPr="005D1CE8" w:rsidRDefault="00DC2701">
      <w:pPr>
        <w:numPr>
          <w:ilvl w:val="0"/>
          <w:numId w:val="9"/>
        </w:numPr>
        <w:spacing w:after="0" w:line="360" w:lineRule="auto"/>
      </w:pPr>
      <w:r w:rsidRPr="005D1CE8">
        <w:t>Al no tener acuerdo, no se precisaron las razones objetivas por las que la apertura de la información generaría una afectación, por medio del riesgo real, demostrable e identificable;</w:t>
      </w:r>
    </w:p>
    <w:p w14:paraId="2B3F0F26" w14:textId="77777777" w:rsidR="00F65DEA" w:rsidRPr="005D1CE8" w:rsidRDefault="00F65DEA">
      <w:pPr>
        <w:spacing w:after="0" w:line="360" w:lineRule="auto"/>
      </w:pPr>
    </w:p>
    <w:p w14:paraId="2D34F6B4" w14:textId="77777777" w:rsidR="00F65DEA" w:rsidRPr="005D1CE8" w:rsidRDefault="00DC2701">
      <w:pPr>
        <w:numPr>
          <w:ilvl w:val="0"/>
          <w:numId w:val="9"/>
        </w:numPr>
        <w:spacing w:after="0" w:line="360" w:lineRule="auto"/>
      </w:pPr>
      <w:r w:rsidRPr="005D1CE8">
        <w:t>Al no tener acuerdo, no se señalaron las circunstancias de modo, tiempo y lugar del daño, y</w:t>
      </w:r>
    </w:p>
    <w:p w14:paraId="63E91F52" w14:textId="77777777" w:rsidR="00F65DEA" w:rsidRPr="005D1CE8" w:rsidRDefault="00F65DEA">
      <w:pPr>
        <w:spacing w:after="0" w:line="360" w:lineRule="auto"/>
      </w:pPr>
    </w:p>
    <w:p w14:paraId="01637505" w14:textId="77777777" w:rsidR="00F65DEA" w:rsidRPr="005D1CE8" w:rsidRDefault="00DC2701">
      <w:pPr>
        <w:numPr>
          <w:ilvl w:val="0"/>
          <w:numId w:val="9"/>
        </w:numPr>
        <w:spacing w:after="0" w:line="360" w:lineRule="auto"/>
      </w:pPr>
      <w:r w:rsidRPr="005D1CE8">
        <w:t>Al no tener acuerdo, no se tiene certeza de que se trate de la opción de excepción al acceso a la información que menos restrinja, la cual será adecuada y proporcional para la protección del interés público.</w:t>
      </w:r>
    </w:p>
    <w:p w14:paraId="3B93694B" w14:textId="77777777" w:rsidR="00F65DEA" w:rsidRPr="005D1CE8" w:rsidRDefault="00DC2701">
      <w:pPr>
        <w:spacing w:after="0" w:line="360" w:lineRule="auto"/>
        <w:rPr>
          <w:b/>
        </w:rPr>
      </w:pPr>
      <w:r w:rsidRPr="005D1CE8">
        <w:lastRenderedPageBreak/>
        <w:t xml:space="preserve">En atención a los argumentos antes mencionados, la clasificación o testado de la información resulta en la entrega parcial de la información, dado que </w:t>
      </w:r>
      <w:r w:rsidRPr="005D1CE8">
        <w:rPr>
          <w:b/>
        </w:rPr>
        <w:t xml:space="preserve">se clasificó sin la debida fundamentación y motivación, dado que se debió entregar el acuerdo emitido por el Comité de Transparencia que respaldara la versión pública. </w:t>
      </w:r>
    </w:p>
    <w:p w14:paraId="213B3724" w14:textId="393AA747" w:rsidR="00F65DEA" w:rsidRPr="005D1CE8" w:rsidRDefault="00F65DEA">
      <w:pPr>
        <w:spacing w:after="0" w:line="360" w:lineRule="auto"/>
        <w:rPr>
          <w:color w:val="000000"/>
        </w:rPr>
      </w:pPr>
    </w:p>
    <w:p w14:paraId="119CC435" w14:textId="6E933FC2" w:rsidR="000A5074" w:rsidRPr="005D1CE8" w:rsidRDefault="000A5074" w:rsidP="000A5074">
      <w:pPr>
        <w:spacing w:after="0" w:line="360" w:lineRule="auto"/>
        <w:rPr>
          <w:rFonts w:eastAsiaTheme="minorHAnsi" w:cstheme="minorBidi"/>
          <w:color w:val="000000"/>
          <w:lang w:eastAsia="en-US"/>
        </w:rPr>
      </w:pPr>
      <w:r w:rsidRPr="005D1CE8">
        <w:rPr>
          <w:rFonts w:eastAsiaTheme="minorHAnsi" w:cstheme="minorBidi"/>
          <w:color w:val="000000"/>
          <w:lang w:eastAsia="en-US"/>
        </w:rPr>
        <w:t>Ahora bien, se procede analizar si procede la clasificación del nombre, carg, sueldos, deducciones, número de días laborados, de los elementos operativos en materia de seguridad pública; por lo que, respecto al segundo dato, es necesario traer a colación el</w:t>
      </w:r>
      <w:r w:rsidRPr="005D1CE8">
        <w:rPr>
          <w:rFonts w:eastAsiaTheme="minorHAnsi" w:cstheme="minorBidi"/>
          <w:b/>
          <w:color w:val="000000"/>
          <w:lang w:eastAsia="en-US"/>
        </w:rPr>
        <w:t xml:space="preserve"> </w:t>
      </w:r>
      <w:r w:rsidRPr="005D1CE8">
        <w:rPr>
          <w:rFonts w:eastAsiaTheme="minorHAnsi" w:cstheme="minorBidi"/>
          <w:color w:val="000000"/>
          <w:lang w:eastAsia="en-US"/>
        </w:rPr>
        <w:t>artículo 140, fracción I, de la Ley de Transparencia y Acceso a la Información Pública del Estado de México y Municipios, (homólogo del artículo 113, fracción I, de la Ley General de Transparencia y Acceso a la Información Pública), que prevé lo siguiente:</w:t>
      </w:r>
    </w:p>
    <w:p w14:paraId="461FDCEE" w14:textId="77777777" w:rsidR="000A5074" w:rsidRPr="005D1CE8" w:rsidRDefault="000A5074" w:rsidP="000A5074">
      <w:pPr>
        <w:tabs>
          <w:tab w:val="left" w:pos="4962"/>
        </w:tabs>
        <w:spacing w:after="0" w:line="360" w:lineRule="auto"/>
        <w:ind w:left="567" w:right="567"/>
        <w:rPr>
          <w:rFonts w:eastAsiaTheme="minorHAnsi" w:cstheme="minorBidi"/>
          <w:i/>
          <w:color w:val="000000"/>
          <w:sz w:val="20"/>
          <w:szCs w:val="20"/>
          <w:lang w:eastAsia="en-US"/>
        </w:rPr>
      </w:pPr>
    </w:p>
    <w:p w14:paraId="4F6B5F5E" w14:textId="77777777" w:rsidR="000A5074" w:rsidRPr="005D1CE8" w:rsidRDefault="000A5074" w:rsidP="000A5074">
      <w:pPr>
        <w:tabs>
          <w:tab w:val="left" w:pos="4962"/>
        </w:tabs>
        <w:spacing w:after="0" w:line="360" w:lineRule="auto"/>
        <w:ind w:left="567" w:right="567"/>
        <w:rPr>
          <w:rFonts w:eastAsiaTheme="minorHAnsi" w:cstheme="minorBidi"/>
          <w:i/>
          <w:color w:val="000000"/>
          <w:sz w:val="20"/>
          <w:szCs w:val="20"/>
          <w:lang w:eastAsia="en-US"/>
        </w:rPr>
      </w:pPr>
      <w:r w:rsidRPr="005D1CE8">
        <w:rPr>
          <w:rFonts w:eastAsiaTheme="minorHAnsi" w:cstheme="minorBidi"/>
          <w:i/>
          <w:color w:val="000000"/>
          <w:sz w:val="20"/>
          <w:szCs w:val="20"/>
          <w:lang w:eastAsia="en-US"/>
        </w:rPr>
        <w:t>“</w:t>
      </w:r>
      <w:r w:rsidRPr="005D1CE8">
        <w:rPr>
          <w:rFonts w:eastAsiaTheme="minorHAnsi" w:cstheme="minorBidi"/>
          <w:b/>
          <w:i/>
          <w:color w:val="000000"/>
          <w:sz w:val="20"/>
          <w:szCs w:val="20"/>
          <w:lang w:eastAsia="en-US"/>
        </w:rPr>
        <w:t>Artículo 140.</w:t>
      </w:r>
      <w:r w:rsidRPr="005D1CE8">
        <w:rPr>
          <w:rFonts w:eastAsiaTheme="minorHAnsi" w:cstheme="minorBidi"/>
          <w:i/>
          <w:color w:val="000000"/>
          <w:sz w:val="20"/>
          <w:szCs w:val="20"/>
          <w:lang w:eastAsia="en-US"/>
        </w:rPr>
        <w:t xml:space="preserve"> El acceso a la información pública será restringido excepcionalmente, cuando por razones de interés público, ésta sea clasificada como reservada, conforme a los criterios siguientes: </w:t>
      </w:r>
    </w:p>
    <w:p w14:paraId="653668DF" w14:textId="77777777" w:rsidR="000A5074" w:rsidRPr="005D1CE8" w:rsidRDefault="000A5074" w:rsidP="000A5074">
      <w:pPr>
        <w:tabs>
          <w:tab w:val="left" w:pos="4962"/>
        </w:tabs>
        <w:spacing w:after="0" w:line="360" w:lineRule="auto"/>
        <w:ind w:left="567" w:right="567"/>
        <w:rPr>
          <w:rFonts w:eastAsiaTheme="minorHAnsi" w:cstheme="minorBidi"/>
          <w:i/>
          <w:color w:val="000000"/>
          <w:sz w:val="20"/>
          <w:szCs w:val="20"/>
          <w:lang w:eastAsia="en-US"/>
        </w:rPr>
      </w:pPr>
    </w:p>
    <w:p w14:paraId="7362170A" w14:textId="77777777" w:rsidR="000A5074" w:rsidRPr="005D1CE8" w:rsidRDefault="000A5074" w:rsidP="000A5074">
      <w:pPr>
        <w:tabs>
          <w:tab w:val="left" w:pos="4962"/>
        </w:tabs>
        <w:spacing w:after="0" w:line="360" w:lineRule="auto"/>
        <w:ind w:left="567" w:right="567"/>
        <w:rPr>
          <w:rFonts w:eastAsiaTheme="minorHAnsi" w:cstheme="minorBidi"/>
          <w:i/>
          <w:color w:val="000000"/>
          <w:sz w:val="20"/>
          <w:szCs w:val="20"/>
          <w:lang w:eastAsia="en-US"/>
        </w:rPr>
      </w:pPr>
      <w:r w:rsidRPr="005D1CE8">
        <w:rPr>
          <w:rFonts w:eastAsiaTheme="minorHAnsi" w:cstheme="minorBidi"/>
          <w:i/>
          <w:color w:val="000000"/>
          <w:sz w:val="20"/>
          <w:szCs w:val="20"/>
          <w:lang w:eastAsia="en-US"/>
        </w:rPr>
        <w:t>I. Comprometa la seguridad pública y cuente con un propósito genuino y un efecto demostrable;</w:t>
      </w:r>
    </w:p>
    <w:p w14:paraId="151AC748" w14:textId="77777777" w:rsidR="000A5074" w:rsidRPr="005D1CE8" w:rsidRDefault="000A5074" w:rsidP="000A5074">
      <w:pPr>
        <w:tabs>
          <w:tab w:val="left" w:pos="4962"/>
        </w:tabs>
        <w:spacing w:after="0" w:line="360" w:lineRule="auto"/>
        <w:ind w:left="567" w:right="567"/>
        <w:rPr>
          <w:rFonts w:eastAsiaTheme="minorHAnsi" w:cstheme="minorBidi"/>
          <w:i/>
          <w:color w:val="000000"/>
          <w:sz w:val="20"/>
          <w:szCs w:val="20"/>
          <w:lang w:eastAsia="en-US"/>
        </w:rPr>
      </w:pPr>
      <w:r w:rsidRPr="005D1CE8">
        <w:rPr>
          <w:rFonts w:eastAsiaTheme="minorHAnsi" w:cstheme="minorBidi"/>
          <w:i/>
          <w:color w:val="000000"/>
          <w:sz w:val="20"/>
          <w:szCs w:val="20"/>
          <w:lang w:eastAsia="en-US"/>
        </w:rPr>
        <w:t xml:space="preserve">…” </w:t>
      </w:r>
    </w:p>
    <w:p w14:paraId="3F5BD72B" w14:textId="77777777" w:rsidR="000A5074" w:rsidRPr="005D1CE8" w:rsidRDefault="000A5074" w:rsidP="000A5074">
      <w:pPr>
        <w:tabs>
          <w:tab w:val="left" w:pos="4962"/>
        </w:tabs>
        <w:spacing w:after="0" w:line="360" w:lineRule="auto"/>
        <w:ind w:left="567" w:right="567"/>
        <w:rPr>
          <w:rFonts w:eastAsiaTheme="minorHAnsi" w:cstheme="minorBidi"/>
          <w:color w:val="000000"/>
          <w:sz w:val="20"/>
          <w:szCs w:val="20"/>
          <w:lang w:eastAsia="en-US"/>
        </w:rPr>
      </w:pPr>
    </w:p>
    <w:p w14:paraId="415A676F" w14:textId="77777777" w:rsidR="000A5074" w:rsidRPr="005D1CE8" w:rsidRDefault="000A5074" w:rsidP="000A5074">
      <w:pPr>
        <w:tabs>
          <w:tab w:val="left" w:pos="4962"/>
        </w:tabs>
        <w:spacing w:after="0" w:line="360" w:lineRule="auto"/>
        <w:rPr>
          <w:rFonts w:eastAsiaTheme="minorHAnsi" w:cstheme="minorBidi"/>
          <w:color w:val="000000"/>
          <w:lang w:eastAsia="en-US"/>
        </w:rPr>
      </w:pPr>
      <w:r w:rsidRPr="005D1CE8">
        <w:rPr>
          <w:rFonts w:eastAsiaTheme="minorHAnsi" w:cstheme="minorBidi"/>
          <w:color w:val="000000"/>
          <w:lang w:eastAsia="en-US"/>
        </w:rPr>
        <w:t>De dicho precepto normativo se desprende que podrá clasificarse como información reservada aquella cuya publicación comprometa la seguridad pública y cuente con un propósito genuino y un efecto demostrable; por lo que, los Lineamientos Generales multicitados, disponen:</w:t>
      </w:r>
    </w:p>
    <w:p w14:paraId="443EECDC" w14:textId="77777777" w:rsidR="000A5074" w:rsidRPr="005D1CE8" w:rsidRDefault="000A5074" w:rsidP="000A5074">
      <w:pPr>
        <w:spacing w:after="0" w:line="360" w:lineRule="auto"/>
        <w:rPr>
          <w:rFonts w:eastAsiaTheme="minorHAnsi" w:cstheme="minorBidi"/>
          <w:color w:val="000000"/>
          <w:lang w:eastAsia="en-US"/>
        </w:rPr>
      </w:pPr>
    </w:p>
    <w:p w14:paraId="3D117E1A" w14:textId="77777777" w:rsidR="000A5074" w:rsidRPr="005D1CE8" w:rsidRDefault="000A5074" w:rsidP="000A5074">
      <w:pPr>
        <w:tabs>
          <w:tab w:val="left" w:pos="4962"/>
        </w:tabs>
        <w:spacing w:after="0" w:line="360" w:lineRule="auto"/>
        <w:ind w:left="567" w:right="567"/>
        <w:rPr>
          <w:rFonts w:eastAsiaTheme="minorHAnsi" w:cstheme="minorBidi"/>
          <w:i/>
          <w:color w:val="000000"/>
          <w:sz w:val="20"/>
          <w:szCs w:val="20"/>
          <w:lang w:eastAsia="en-US"/>
        </w:rPr>
      </w:pPr>
      <w:r w:rsidRPr="005D1CE8">
        <w:rPr>
          <w:rFonts w:eastAsiaTheme="minorHAnsi" w:cstheme="minorBidi"/>
          <w:b/>
          <w:color w:val="000000"/>
          <w:sz w:val="20"/>
          <w:szCs w:val="20"/>
          <w:lang w:eastAsia="en-US"/>
        </w:rPr>
        <w:t>“</w:t>
      </w:r>
      <w:r w:rsidRPr="005D1CE8">
        <w:rPr>
          <w:rFonts w:eastAsiaTheme="minorHAnsi" w:cstheme="minorBidi"/>
          <w:b/>
          <w:i/>
          <w:color w:val="000000"/>
          <w:sz w:val="20"/>
          <w:szCs w:val="20"/>
          <w:lang w:eastAsia="en-US"/>
        </w:rPr>
        <w:t>Décimo octavo.</w:t>
      </w:r>
      <w:r w:rsidRPr="005D1CE8">
        <w:rPr>
          <w:rFonts w:eastAsiaTheme="minorHAnsi" w:cstheme="minorBidi"/>
          <w:i/>
          <w:color w:val="000000"/>
          <w:sz w:val="20"/>
          <w:szCs w:val="20"/>
          <w:lang w:eastAsia="en-US"/>
        </w:rPr>
        <w:t xml:space="preserve"> De conformidad con el artículo 113, fracción I de la Ley General, podrá considerarse como información reservada, aquella que comprometa la seguridad pública, al poner en peligro las funciones a cargo de la Federación, la Ciudad de México, los Estados y los Municipios, tendientes a preservar y resguardar la vida, la salud, la integridad y el ejercicio de los derechos de las personas, así como para el mantenimiento del orden público. </w:t>
      </w:r>
    </w:p>
    <w:p w14:paraId="631F7E8A" w14:textId="77777777" w:rsidR="000A5074" w:rsidRPr="005D1CE8" w:rsidRDefault="000A5074" w:rsidP="000A5074">
      <w:pPr>
        <w:tabs>
          <w:tab w:val="left" w:pos="4962"/>
        </w:tabs>
        <w:spacing w:after="0" w:line="360" w:lineRule="auto"/>
        <w:ind w:left="567" w:right="567"/>
        <w:rPr>
          <w:rFonts w:eastAsiaTheme="minorHAnsi" w:cstheme="minorBidi"/>
          <w:i/>
          <w:color w:val="000000"/>
          <w:sz w:val="20"/>
          <w:szCs w:val="20"/>
          <w:lang w:eastAsia="en-US"/>
        </w:rPr>
      </w:pPr>
    </w:p>
    <w:p w14:paraId="4A465ED5" w14:textId="77777777" w:rsidR="000A5074" w:rsidRPr="005D1CE8" w:rsidRDefault="000A5074" w:rsidP="000A5074">
      <w:pPr>
        <w:tabs>
          <w:tab w:val="left" w:pos="4962"/>
        </w:tabs>
        <w:spacing w:after="0" w:line="360" w:lineRule="auto"/>
        <w:ind w:left="567" w:right="567"/>
        <w:rPr>
          <w:rFonts w:eastAsiaTheme="minorHAnsi" w:cstheme="minorBidi"/>
          <w:i/>
          <w:color w:val="000000"/>
          <w:sz w:val="20"/>
          <w:szCs w:val="20"/>
          <w:lang w:eastAsia="en-US"/>
        </w:rPr>
      </w:pPr>
      <w:r w:rsidRPr="005D1CE8">
        <w:rPr>
          <w:rFonts w:eastAsiaTheme="minorHAnsi" w:cstheme="minorBidi"/>
          <w:i/>
          <w:color w:val="000000"/>
          <w:sz w:val="20"/>
          <w:szCs w:val="20"/>
          <w:lang w:eastAsia="en-US"/>
        </w:rPr>
        <w:lastRenderedPageBreak/>
        <w:t xml:space="preserve">Se pone en peligro el orden público cuando la difusión de la información pueda entorpecer los sistemas de coordinación interinstitucional en materia de seguridad pública, menoscabar o dificultar las estrategias contra la evasión de reos; o menoscabar o limitar la capacidad de las autoridades encaminadas a disuadir o prevenir disturbios sociales. </w:t>
      </w:r>
    </w:p>
    <w:p w14:paraId="08B0DE09" w14:textId="77777777" w:rsidR="000A5074" w:rsidRPr="005D1CE8" w:rsidRDefault="000A5074" w:rsidP="000A5074">
      <w:pPr>
        <w:tabs>
          <w:tab w:val="left" w:pos="4962"/>
        </w:tabs>
        <w:spacing w:after="0" w:line="360" w:lineRule="auto"/>
        <w:ind w:left="567" w:right="567"/>
        <w:rPr>
          <w:rFonts w:eastAsiaTheme="minorHAnsi" w:cstheme="minorBidi"/>
          <w:i/>
          <w:color w:val="000000"/>
          <w:sz w:val="20"/>
          <w:szCs w:val="20"/>
          <w:lang w:eastAsia="en-US"/>
        </w:rPr>
      </w:pPr>
    </w:p>
    <w:p w14:paraId="0442ABC8" w14:textId="77777777" w:rsidR="000A5074" w:rsidRPr="005D1CE8" w:rsidRDefault="000A5074" w:rsidP="000A5074">
      <w:pPr>
        <w:tabs>
          <w:tab w:val="left" w:pos="4962"/>
        </w:tabs>
        <w:spacing w:after="0" w:line="360" w:lineRule="auto"/>
        <w:ind w:left="567" w:right="567"/>
        <w:rPr>
          <w:rFonts w:eastAsiaTheme="minorHAnsi" w:cstheme="minorBidi"/>
          <w:i/>
          <w:color w:val="000000"/>
          <w:sz w:val="20"/>
          <w:szCs w:val="20"/>
          <w:lang w:eastAsia="en-US"/>
        </w:rPr>
      </w:pPr>
      <w:r w:rsidRPr="005D1CE8">
        <w:rPr>
          <w:rFonts w:eastAsiaTheme="minorHAnsi" w:cstheme="minorBidi"/>
          <w:i/>
          <w:color w:val="000000"/>
          <w:sz w:val="20"/>
          <w:szCs w:val="20"/>
          <w:lang w:eastAsia="en-US"/>
        </w:rPr>
        <w:t>Asimismo, podrá considerarse como reservada aquella que revele datos que pudieran ser aprovechados para conocer la capacidad de reacción de las instituciones encargadas de la seguridad pública, sus planes, estrategias, tecnología, información, sistemas de comunicaciones.”</w:t>
      </w:r>
    </w:p>
    <w:p w14:paraId="0CC4C717" w14:textId="77777777" w:rsidR="000A5074" w:rsidRPr="005D1CE8" w:rsidRDefault="000A5074" w:rsidP="000A5074">
      <w:pPr>
        <w:tabs>
          <w:tab w:val="left" w:pos="4962"/>
        </w:tabs>
        <w:spacing w:after="0" w:line="360" w:lineRule="auto"/>
        <w:ind w:left="567" w:right="567"/>
        <w:rPr>
          <w:rFonts w:eastAsiaTheme="minorHAnsi" w:cstheme="minorBidi"/>
          <w:i/>
          <w:color w:val="000000"/>
          <w:sz w:val="20"/>
          <w:szCs w:val="20"/>
          <w:lang w:eastAsia="en-US"/>
        </w:rPr>
      </w:pPr>
    </w:p>
    <w:p w14:paraId="74167001" w14:textId="77777777" w:rsidR="000A5074" w:rsidRPr="005D1CE8" w:rsidRDefault="000A5074" w:rsidP="000A5074">
      <w:pPr>
        <w:spacing w:after="0" w:line="360" w:lineRule="auto"/>
        <w:rPr>
          <w:rFonts w:eastAsiaTheme="minorHAnsi" w:cstheme="minorBidi"/>
          <w:color w:val="000000"/>
          <w:lang w:eastAsia="en-US"/>
        </w:rPr>
      </w:pPr>
      <w:r w:rsidRPr="005D1CE8">
        <w:rPr>
          <w:rFonts w:eastAsiaTheme="minorHAnsi" w:cstheme="minorBidi"/>
          <w:color w:val="000000"/>
          <w:lang w:eastAsia="en-US"/>
        </w:rPr>
        <w:t xml:space="preserve">Así, es posible observar que podrá clasificarse como información reservada, aquélla que comprometa la seguridad pública o bien, entorpezca los sistemas de coordinación interinstitucional en materia de seguridad pública, menoscabe o dificulte las estrategias contra la evasión de reos o la capacidad de las autoridades para disuadir o prevenir disturbios sociales. </w:t>
      </w:r>
    </w:p>
    <w:p w14:paraId="1BD3CE7A" w14:textId="77777777" w:rsidR="000A5074" w:rsidRPr="005D1CE8" w:rsidRDefault="000A5074" w:rsidP="000A5074">
      <w:pPr>
        <w:spacing w:after="0" w:line="360" w:lineRule="auto"/>
        <w:rPr>
          <w:rFonts w:eastAsiaTheme="minorHAnsi" w:cstheme="minorBidi"/>
          <w:color w:val="000000"/>
          <w:lang w:eastAsia="en-US"/>
        </w:rPr>
      </w:pPr>
    </w:p>
    <w:p w14:paraId="27A4D864" w14:textId="77777777" w:rsidR="000A5074" w:rsidRPr="005D1CE8" w:rsidRDefault="000A5074" w:rsidP="000A5074">
      <w:pPr>
        <w:spacing w:after="0" w:line="360" w:lineRule="auto"/>
        <w:rPr>
          <w:rFonts w:eastAsiaTheme="minorHAnsi" w:cstheme="minorBidi"/>
          <w:color w:val="000000"/>
          <w:lang w:eastAsia="en-US"/>
        </w:rPr>
      </w:pPr>
      <w:r w:rsidRPr="005D1CE8">
        <w:rPr>
          <w:rFonts w:eastAsiaTheme="minorHAnsi" w:cstheme="minorBidi"/>
          <w:color w:val="000000"/>
          <w:lang w:eastAsia="en-US"/>
        </w:rPr>
        <w:t>De la misma manera, será información clasificada aquella que revele datos que pudieran ser aprovechados para conocer la capacidad de reacción de las instituciones encargadas de la seguridad pública, sus planes, estrategias, tecnología, información, sistemas de comunicaciones.</w:t>
      </w:r>
    </w:p>
    <w:p w14:paraId="7A0E4566" w14:textId="77777777" w:rsidR="000A5074" w:rsidRPr="005D1CE8" w:rsidRDefault="000A5074" w:rsidP="000A5074">
      <w:pPr>
        <w:spacing w:after="0" w:line="360" w:lineRule="auto"/>
        <w:rPr>
          <w:rFonts w:eastAsiaTheme="minorHAnsi" w:cstheme="minorBidi"/>
          <w:color w:val="000000"/>
          <w:lang w:eastAsia="en-US"/>
        </w:rPr>
      </w:pPr>
    </w:p>
    <w:p w14:paraId="1089486D" w14:textId="77777777" w:rsidR="000A5074" w:rsidRPr="005D1CE8" w:rsidRDefault="000A5074" w:rsidP="000A5074">
      <w:pPr>
        <w:spacing w:after="0" w:line="360" w:lineRule="auto"/>
        <w:rPr>
          <w:rFonts w:eastAsiaTheme="minorHAnsi" w:cstheme="minorBidi"/>
          <w:color w:val="000000"/>
          <w:lang w:eastAsia="en-US"/>
        </w:rPr>
      </w:pPr>
      <w:r w:rsidRPr="005D1CE8">
        <w:rPr>
          <w:rFonts w:eastAsiaTheme="minorHAnsi" w:cstheme="minorBidi"/>
          <w:color w:val="000000"/>
          <w:lang w:eastAsia="en-US"/>
        </w:rPr>
        <w:t>En ese orden de ideas, el artículo 81 de la Ley de Seguridad del Estado de México, que establece lo siguiente:</w:t>
      </w:r>
    </w:p>
    <w:p w14:paraId="7DAC4680" w14:textId="77777777" w:rsidR="000A5074" w:rsidRPr="005D1CE8" w:rsidRDefault="000A5074" w:rsidP="000A5074">
      <w:pPr>
        <w:spacing w:after="0" w:line="360" w:lineRule="auto"/>
        <w:rPr>
          <w:rFonts w:eastAsiaTheme="minorHAnsi" w:cstheme="minorBidi"/>
          <w:color w:val="000000"/>
          <w:lang w:eastAsia="en-US"/>
        </w:rPr>
      </w:pPr>
    </w:p>
    <w:p w14:paraId="55199296" w14:textId="77777777" w:rsidR="000A5074" w:rsidRPr="005D1CE8" w:rsidRDefault="000A5074" w:rsidP="000A5074">
      <w:pPr>
        <w:spacing w:after="0" w:line="360" w:lineRule="auto"/>
        <w:ind w:left="567" w:right="567"/>
        <w:rPr>
          <w:rFonts w:eastAsiaTheme="minorHAnsi" w:cstheme="minorBidi"/>
          <w:i/>
          <w:color w:val="000000"/>
          <w:sz w:val="20"/>
          <w:szCs w:val="20"/>
          <w:lang w:eastAsia="en-US"/>
        </w:rPr>
      </w:pPr>
      <w:r w:rsidRPr="005D1CE8">
        <w:rPr>
          <w:rFonts w:eastAsiaTheme="minorHAnsi" w:cstheme="minorBidi"/>
          <w:b/>
          <w:i/>
          <w:color w:val="000000"/>
          <w:sz w:val="20"/>
          <w:szCs w:val="20"/>
          <w:lang w:eastAsia="en-US"/>
        </w:rPr>
        <w:t>“Artículo 81.-</w:t>
      </w:r>
      <w:r w:rsidRPr="005D1CE8">
        <w:rPr>
          <w:rFonts w:eastAsiaTheme="minorHAnsi" w:cstheme="minorBidi"/>
          <w:i/>
          <w:color w:val="000000"/>
          <w:sz w:val="20"/>
          <w:szCs w:val="20"/>
          <w:lang w:eastAsia="en-US"/>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 </w:t>
      </w:r>
    </w:p>
    <w:p w14:paraId="51196885" w14:textId="77777777" w:rsidR="000A5074" w:rsidRPr="005D1CE8" w:rsidRDefault="000A5074" w:rsidP="000A5074">
      <w:pPr>
        <w:spacing w:after="0" w:line="360" w:lineRule="auto"/>
        <w:ind w:left="567" w:right="567"/>
        <w:rPr>
          <w:rFonts w:eastAsiaTheme="minorHAnsi" w:cstheme="minorBidi"/>
          <w:i/>
          <w:color w:val="000000"/>
          <w:sz w:val="20"/>
          <w:szCs w:val="20"/>
          <w:lang w:eastAsia="en-US"/>
        </w:rPr>
      </w:pPr>
    </w:p>
    <w:p w14:paraId="56CBA2F6" w14:textId="77777777" w:rsidR="000A5074" w:rsidRPr="005D1CE8" w:rsidRDefault="000A5074" w:rsidP="000A5074">
      <w:pPr>
        <w:spacing w:after="0" w:line="360" w:lineRule="auto"/>
        <w:ind w:left="567" w:right="567"/>
        <w:rPr>
          <w:rFonts w:eastAsiaTheme="minorHAnsi" w:cstheme="minorBidi"/>
          <w:i/>
          <w:color w:val="000000"/>
          <w:sz w:val="20"/>
          <w:szCs w:val="20"/>
          <w:lang w:eastAsia="en-US"/>
        </w:rPr>
      </w:pPr>
      <w:r w:rsidRPr="005D1CE8">
        <w:rPr>
          <w:rFonts w:eastAsiaTheme="minorHAnsi" w:cstheme="minorBidi"/>
          <w:b/>
          <w:i/>
          <w:color w:val="000000"/>
          <w:sz w:val="20"/>
          <w:szCs w:val="20"/>
          <w:lang w:eastAsia="en-US"/>
        </w:rPr>
        <w:lastRenderedPageBreak/>
        <w:t>I.</w:t>
      </w:r>
      <w:r w:rsidRPr="005D1CE8">
        <w:rPr>
          <w:rFonts w:eastAsiaTheme="minorHAnsi" w:cstheme="minorBidi"/>
          <w:i/>
          <w:color w:val="000000"/>
          <w:sz w:val="20"/>
          <w:szCs w:val="20"/>
          <w:lang w:eastAsia="en-US"/>
        </w:rPr>
        <w:t xml:space="preserve"> Aquella cuya divulgación implique la revelación de normas, procedimientos, métodos, fuentes, especificaciones técnicas, sistemas, tecnología o equipos útiles a la generación de inteligencia para la seguridad pública o el combate a la delincuencia en el Estado de México; </w:t>
      </w:r>
    </w:p>
    <w:p w14:paraId="5D379FBE" w14:textId="77777777" w:rsidR="000A5074" w:rsidRPr="005D1CE8" w:rsidRDefault="000A5074" w:rsidP="000A5074">
      <w:pPr>
        <w:spacing w:after="0" w:line="360" w:lineRule="auto"/>
        <w:ind w:left="567" w:right="567"/>
        <w:rPr>
          <w:rFonts w:eastAsiaTheme="minorHAnsi" w:cstheme="minorBidi"/>
          <w:i/>
          <w:color w:val="000000"/>
          <w:sz w:val="20"/>
          <w:szCs w:val="20"/>
          <w:lang w:eastAsia="en-US"/>
        </w:rPr>
      </w:pPr>
    </w:p>
    <w:p w14:paraId="39F816D6" w14:textId="77777777" w:rsidR="000A5074" w:rsidRPr="005D1CE8" w:rsidRDefault="000A5074" w:rsidP="000A5074">
      <w:pPr>
        <w:spacing w:after="0" w:line="360" w:lineRule="auto"/>
        <w:ind w:left="567" w:right="567"/>
        <w:rPr>
          <w:rFonts w:eastAsiaTheme="minorHAnsi" w:cstheme="minorBidi"/>
          <w:i/>
          <w:color w:val="000000"/>
          <w:sz w:val="20"/>
          <w:szCs w:val="20"/>
          <w:lang w:eastAsia="en-US"/>
        </w:rPr>
      </w:pPr>
      <w:r w:rsidRPr="005D1CE8">
        <w:rPr>
          <w:rFonts w:eastAsiaTheme="minorHAnsi" w:cstheme="minorBidi"/>
          <w:b/>
          <w:i/>
          <w:color w:val="000000"/>
          <w:sz w:val="20"/>
          <w:szCs w:val="20"/>
          <w:lang w:eastAsia="en-US"/>
        </w:rPr>
        <w:t>II.</w:t>
      </w:r>
      <w:r w:rsidRPr="005D1CE8">
        <w:rPr>
          <w:rFonts w:eastAsiaTheme="minorHAnsi" w:cstheme="minorBidi"/>
          <w:i/>
          <w:color w:val="000000"/>
          <w:sz w:val="20"/>
          <w:szCs w:val="20"/>
          <w:lang w:eastAsia="en-US"/>
        </w:rPr>
        <w:t xml:space="preserve"> Aquella cuya revelación pueda ser utilizada para actualizar o potenciar una amenaza a la seguridad pública o a las instituciones del Estado de México; </w:t>
      </w:r>
    </w:p>
    <w:p w14:paraId="7D90EF46" w14:textId="77777777" w:rsidR="000A5074" w:rsidRPr="005D1CE8" w:rsidRDefault="000A5074" w:rsidP="000A5074">
      <w:pPr>
        <w:spacing w:after="0" w:line="360" w:lineRule="auto"/>
        <w:ind w:left="567" w:right="567"/>
        <w:rPr>
          <w:rFonts w:eastAsiaTheme="minorHAnsi" w:cstheme="minorBidi"/>
          <w:i/>
          <w:color w:val="000000"/>
          <w:sz w:val="20"/>
          <w:szCs w:val="20"/>
          <w:lang w:eastAsia="en-US"/>
        </w:rPr>
      </w:pPr>
      <w:r w:rsidRPr="005D1CE8">
        <w:rPr>
          <w:rFonts w:eastAsiaTheme="minorHAnsi" w:cstheme="minorBidi"/>
          <w:i/>
          <w:color w:val="000000"/>
          <w:sz w:val="20"/>
          <w:szCs w:val="20"/>
          <w:lang w:eastAsia="en-US"/>
        </w:rPr>
        <w:t>…</w:t>
      </w:r>
    </w:p>
    <w:p w14:paraId="3C3840F9" w14:textId="77777777" w:rsidR="000A5074" w:rsidRPr="005D1CE8" w:rsidRDefault="000A5074" w:rsidP="000A5074">
      <w:pPr>
        <w:spacing w:after="0" w:line="360" w:lineRule="auto"/>
        <w:ind w:left="567" w:right="567"/>
        <w:rPr>
          <w:rFonts w:eastAsiaTheme="minorHAnsi" w:cstheme="minorBidi"/>
          <w:i/>
          <w:color w:val="000000"/>
          <w:sz w:val="20"/>
          <w:szCs w:val="20"/>
          <w:lang w:eastAsia="en-US"/>
        </w:rPr>
      </w:pPr>
      <w:r w:rsidRPr="005D1CE8">
        <w:rPr>
          <w:rFonts w:eastAsiaTheme="minorHAnsi" w:cstheme="minorBidi"/>
          <w:b/>
          <w:i/>
          <w:color w:val="000000"/>
          <w:sz w:val="20"/>
          <w:szCs w:val="20"/>
          <w:lang w:eastAsia="en-US"/>
        </w:rPr>
        <w:t xml:space="preserve">IV. </w:t>
      </w:r>
      <w:r w:rsidRPr="005D1CE8">
        <w:rPr>
          <w:rFonts w:eastAsiaTheme="minorHAnsi" w:cstheme="minorBidi"/>
          <w:i/>
          <w:color w:val="000000"/>
          <w:sz w:val="20"/>
          <w:szCs w:val="20"/>
          <w:lang w:eastAsia="en-US"/>
        </w:rPr>
        <w:t xml:space="preserve">La que sea producto de una intervención de comunicaciones privadas autorizadas conforme a la Constitución Federal y las disposiciones legales correspondientes; y </w:t>
      </w:r>
    </w:p>
    <w:p w14:paraId="5521638D" w14:textId="77777777" w:rsidR="000A5074" w:rsidRPr="005D1CE8" w:rsidRDefault="000A5074" w:rsidP="000A5074">
      <w:pPr>
        <w:spacing w:after="0" w:line="360" w:lineRule="auto"/>
        <w:ind w:left="567" w:right="567"/>
        <w:rPr>
          <w:rFonts w:eastAsiaTheme="minorHAnsi" w:cstheme="minorBidi"/>
          <w:i/>
          <w:color w:val="000000"/>
          <w:sz w:val="20"/>
          <w:szCs w:val="20"/>
          <w:lang w:eastAsia="en-US"/>
        </w:rPr>
      </w:pPr>
      <w:r w:rsidRPr="005D1CE8">
        <w:rPr>
          <w:rFonts w:eastAsiaTheme="minorHAnsi" w:cstheme="minorBidi"/>
          <w:b/>
          <w:i/>
          <w:color w:val="000000"/>
          <w:sz w:val="20"/>
          <w:szCs w:val="20"/>
          <w:lang w:eastAsia="en-US"/>
        </w:rPr>
        <w:t>V.</w:t>
      </w:r>
      <w:r w:rsidRPr="005D1CE8">
        <w:rPr>
          <w:rFonts w:eastAsiaTheme="minorHAnsi" w:cstheme="minorBidi"/>
          <w:i/>
          <w:color w:val="000000"/>
          <w:sz w:val="20"/>
          <w:szCs w:val="20"/>
          <w:lang w:eastAsia="en-US"/>
        </w:rPr>
        <w:t xml:space="preserve"> La contenida en averiguaciones previas, carpetas de investigación, expedientes y demás archivos relativos a la investigación para la prevención y la investigación de los delitos y faltas administrativas, en términos de las disposiciones aplicables.”</w:t>
      </w:r>
    </w:p>
    <w:p w14:paraId="7CF502EB" w14:textId="77777777" w:rsidR="000A5074" w:rsidRPr="005D1CE8" w:rsidRDefault="000A5074" w:rsidP="000A5074">
      <w:pPr>
        <w:spacing w:after="0" w:line="360" w:lineRule="auto"/>
        <w:rPr>
          <w:rFonts w:eastAsiaTheme="minorHAnsi" w:cstheme="minorBidi"/>
          <w:color w:val="000000"/>
          <w:lang w:eastAsia="en-US"/>
        </w:rPr>
      </w:pPr>
    </w:p>
    <w:p w14:paraId="5E7DE462" w14:textId="77777777" w:rsidR="000A5074" w:rsidRPr="005D1CE8" w:rsidRDefault="000A5074" w:rsidP="000A5074">
      <w:pPr>
        <w:spacing w:after="0" w:line="360" w:lineRule="auto"/>
        <w:rPr>
          <w:rFonts w:eastAsiaTheme="minorHAnsi" w:cstheme="minorBidi"/>
          <w:color w:val="000000"/>
          <w:lang w:eastAsia="en-US"/>
        </w:rPr>
      </w:pPr>
      <w:r w:rsidRPr="005D1CE8">
        <w:rPr>
          <w:rFonts w:eastAsiaTheme="minorHAnsi" w:cstheme="minorBidi"/>
          <w:color w:val="000000"/>
          <w:lang w:eastAsia="en-US"/>
        </w:rPr>
        <w:t>De lo anterior, se logra desprender que es información reservada, aquella que pueda revelar las normas, procedimientos, métodos, fuentes, técnicas, sistemas y tecnología, útiles a la generación de inteligencia para la seguridad pública o el combate a la delincuencia, que pueda potenciar o amenazar la seguridad pública o las instituciones del Estado de México, la que sea producto de un intervención de comunicaciones privadas, o bien, la contenida en las averiguaciones previas, carpetas de investigación de los delitos y faltas administrativas.</w:t>
      </w:r>
    </w:p>
    <w:p w14:paraId="1EAF7CEA" w14:textId="77777777" w:rsidR="000A5074" w:rsidRPr="005D1CE8" w:rsidRDefault="000A5074" w:rsidP="000A5074">
      <w:pPr>
        <w:spacing w:after="0" w:line="360" w:lineRule="auto"/>
        <w:rPr>
          <w:rFonts w:eastAsiaTheme="minorHAnsi" w:cstheme="minorBidi"/>
          <w:color w:val="000000"/>
          <w:lang w:eastAsia="en-US"/>
        </w:rPr>
      </w:pPr>
    </w:p>
    <w:p w14:paraId="4D57D368" w14:textId="77777777" w:rsidR="000A5074" w:rsidRPr="005D1CE8" w:rsidRDefault="000A5074" w:rsidP="000A5074">
      <w:pPr>
        <w:spacing w:after="0" w:line="360" w:lineRule="auto"/>
        <w:rPr>
          <w:rFonts w:eastAsiaTheme="minorHAnsi" w:cstheme="minorBidi"/>
          <w:color w:val="000000"/>
          <w:lang w:eastAsia="en-US"/>
        </w:rPr>
      </w:pPr>
      <w:r w:rsidRPr="005D1CE8">
        <w:rPr>
          <w:rFonts w:eastAsiaTheme="minorHAnsi" w:cstheme="minorBidi"/>
          <w:color w:val="000000"/>
          <w:lang w:eastAsia="en-US"/>
        </w:rPr>
        <w:t xml:space="preserve">En ese orden de ideas, es de señalar que la reserva del dato en cuestión se sustenta en el hecho de que proporcionar el </w:t>
      </w:r>
      <w:r w:rsidRPr="005D1CE8">
        <w:rPr>
          <w:rFonts w:eastAsiaTheme="minorHAnsi" w:cstheme="minorBidi"/>
          <w:b/>
          <w:color w:val="000000"/>
          <w:lang w:eastAsia="en-US"/>
        </w:rPr>
        <w:t>cargo de los servidores públic</w:t>
      </w:r>
      <w:r w:rsidRPr="005D1CE8">
        <w:rPr>
          <w:rFonts w:eastAsiaTheme="minorHAnsi" w:cstheme="minorBidi"/>
          <w:color w:val="000000"/>
          <w:lang w:eastAsia="en-US"/>
        </w:rPr>
        <w:t xml:space="preserve">o, en específico de los cuerpos de seguridad podría revelar </w:t>
      </w:r>
      <w:r w:rsidRPr="005D1CE8">
        <w:rPr>
          <w:rFonts w:eastAsiaTheme="minorHAnsi" w:cstheme="minorBidi"/>
          <w:b/>
          <w:color w:val="000000"/>
          <w:lang w:eastAsia="en-US"/>
        </w:rPr>
        <w:t xml:space="preserve">el estado de fuerza del Municipio; </w:t>
      </w:r>
      <w:r w:rsidRPr="005D1CE8">
        <w:rPr>
          <w:rFonts w:eastAsiaTheme="minorHAnsi" w:cstheme="minorBidi"/>
          <w:color w:val="000000"/>
          <w:lang w:eastAsia="en-US"/>
        </w:rPr>
        <w:t>sobre el tema, los artículos 142 y 143 de la Ley de Seguridad del Estado de México, establecen la organización jerárquica de las instituciones policiales de la Entidad Federativa y sus municipios, la cual es la siguiente:</w:t>
      </w:r>
    </w:p>
    <w:p w14:paraId="3D5611AD" w14:textId="77777777" w:rsidR="000A5074" w:rsidRPr="005D1CE8" w:rsidRDefault="000A5074" w:rsidP="000A5074">
      <w:pPr>
        <w:spacing w:after="0" w:line="360" w:lineRule="auto"/>
        <w:rPr>
          <w:rFonts w:eastAsiaTheme="minorHAnsi" w:cstheme="minorBidi"/>
          <w:color w:val="000000"/>
          <w:lang w:eastAsia="en-US"/>
        </w:rPr>
      </w:pPr>
    </w:p>
    <w:p w14:paraId="29F0EBF9" w14:textId="77777777" w:rsidR="000A5074" w:rsidRPr="005D1CE8" w:rsidRDefault="000A5074" w:rsidP="000A5074">
      <w:pPr>
        <w:numPr>
          <w:ilvl w:val="0"/>
          <w:numId w:val="10"/>
        </w:numPr>
        <w:spacing w:after="0" w:line="360" w:lineRule="auto"/>
        <w:jc w:val="left"/>
        <w:rPr>
          <w:rFonts w:eastAsiaTheme="minorHAnsi" w:cstheme="minorBidi"/>
          <w:color w:val="000000"/>
          <w:lang w:eastAsia="en-US"/>
        </w:rPr>
      </w:pPr>
      <w:r w:rsidRPr="005D1CE8">
        <w:rPr>
          <w:rFonts w:eastAsiaTheme="minorHAnsi" w:cstheme="minorBidi"/>
          <w:color w:val="000000"/>
          <w:lang w:eastAsia="en-US"/>
        </w:rPr>
        <w:t>Comisarios:</w:t>
      </w:r>
    </w:p>
    <w:p w14:paraId="1A9965EF" w14:textId="77777777" w:rsidR="000A5074" w:rsidRPr="005D1CE8" w:rsidRDefault="000A5074" w:rsidP="000A5074">
      <w:pPr>
        <w:numPr>
          <w:ilvl w:val="0"/>
          <w:numId w:val="11"/>
        </w:numPr>
        <w:spacing w:after="0" w:line="360" w:lineRule="auto"/>
        <w:ind w:left="993" w:hanging="77"/>
        <w:jc w:val="left"/>
        <w:rPr>
          <w:rFonts w:eastAsiaTheme="minorHAnsi" w:cstheme="minorBidi"/>
          <w:color w:val="000000"/>
          <w:lang w:eastAsia="en-US"/>
        </w:rPr>
      </w:pPr>
      <w:r w:rsidRPr="005D1CE8">
        <w:rPr>
          <w:rFonts w:eastAsiaTheme="minorHAnsi" w:cstheme="minorBidi"/>
          <w:color w:val="000000"/>
          <w:lang w:eastAsia="en-US"/>
        </w:rPr>
        <w:t>Comisario General;</w:t>
      </w:r>
    </w:p>
    <w:p w14:paraId="09E83754" w14:textId="77777777" w:rsidR="000A5074" w:rsidRPr="005D1CE8" w:rsidRDefault="000A5074" w:rsidP="000A5074">
      <w:pPr>
        <w:numPr>
          <w:ilvl w:val="0"/>
          <w:numId w:val="11"/>
        </w:numPr>
        <w:spacing w:after="0" w:line="360" w:lineRule="auto"/>
        <w:ind w:left="993" w:hanging="77"/>
        <w:jc w:val="left"/>
        <w:rPr>
          <w:rFonts w:eastAsiaTheme="minorHAnsi" w:cstheme="minorBidi"/>
          <w:color w:val="000000"/>
          <w:lang w:eastAsia="en-US"/>
        </w:rPr>
      </w:pPr>
      <w:r w:rsidRPr="005D1CE8">
        <w:rPr>
          <w:rFonts w:eastAsiaTheme="minorHAnsi" w:cstheme="minorBidi"/>
          <w:color w:val="000000"/>
          <w:lang w:eastAsia="en-US"/>
        </w:rPr>
        <w:lastRenderedPageBreak/>
        <w:t>Comisario Jefe, y</w:t>
      </w:r>
    </w:p>
    <w:p w14:paraId="2C9F3927" w14:textId="77777777" w:rsidR="000A5074" w:rsidRPr="005D1CE8" w:rsidRDefault="000A5074" w:rsidP="000A5074">
      <w:pPr>
        <w:numPr>
          <w:ilvl w:val="0"/>
          <w:numId w:val="11"/>
        </w:numPr>
        <w:spacing w:after="0" w:line="360" w:lineRule="auto"/>
        <w:ind w:left="993" w:hanging="77"/>
        <w:jc w:val="left"/>
        <w:rPr>
          <w:rFonts w:eastAsiaTheme="minorHAnsi" w:cstheme="minorBidi"/>
          <w:color w:val="000000"/>
          <w:lang w:eastAsia="en-US"/>
        </w:rPr>
      </w:pPr>
      <w:r w:rsidRPr="005D1CE8">
        <w:rPr>
          <w:rFonts w:eastAsiaTheme="minorHAnsi" w:cstheme="minorBidi"/>
          <w:color w:val="000000"/>
          <w:lang w:eastAsia="en-US"/>
        </w:rPr>
        <w:t>Comisario.</w:t>
      </w:r>
    </w:p>
    <w:p w14:paraId="73606A60" w14:textId="77777777" w:rsidR="000A5074" w:rsidRPr="005D1CE8" w:rsidRDefault="000A5074" w:rsidP="000A5074">
      <w:pPr>
        <w:spacing w:after="0" w:line="360" w:lineRule="auto"/>
        <w:ind w:left="993"/>
        <w:rPr>
          <w:rFonts w:eastAsiaTheme="minorHAnsi" w:cstheme="minorBidi"/>
          <w:color w:val="000000"/>
          <w:lang w:eastAsia="en-US"/>
        </w:rPr>
      </w:pPr>
    </w:p>
    <w:p w14:paraId="54DDE394" w14:textId="77777777" w:rsidR="000A5074" w:rsidRPr="005D1CE8" w:rsidRDefault="000A5074" w:rsidP="000A5074">
      <w:pPr>
        <w:numPr>
          <w:ilvl w:val="0"/>
          <w:numId w:val="10"/>
        </w:numPr>
        <w:spacing w:after="0" w:line="360" w:lineRule="auto"/>
        <w:jc w:val="left"/>
        <w:rPr>
          <w:rFonts w:eastAsiaTheme="minorHAnsi" w:cstheme="minorBidi"/>
          <w:color w:val="000000"/>
          <w:lang w:eastAsia="en-US"/>
        </w:rPr>
      </w:pPr>
      <w:r w:rsidRPr="005D1CE8">
        <w:rPr>
          <w:rFonts w:eastAsiaTheme="minorHAnsi" w:cstheme="minorBidi"/>
          <w:color w:val="000000"/>
          <w:lang w:eastAsia="en-US"/>
        </w:rPr>
        <w:t>Inspectores:</w:t>
      </w:r>
    </w:p>
    <w:p w14:paraId="5F708499" w14:textId="77777777" w:rsidR="000A5074" w:rsidRPr="005D1CE8" w:rsidRDefault="000A5074" w:rsidP="000A5074">
      <w:pPr>
        <w:numPr>
          <w:ilvl w:val="0"/>
          <w:numId w:val="12"/>
        </w:numPr>
        <w:spacing w:after="0" w:line="360" w:lineRule="auto"/>
        <w:ind w:left="993" w:hanging="54"/>
        <w:jc w:val="left"/>
        <w:rPr>
          <w:rFonts w:eastAsiaTheme="minorHAnsi" w:cstheme="minorBidi"/>
          <w:color w:val="000000"/>
          <w:lang w:eastAsia="en-US"/>
        </w:rPr>
      </w:pPr>
      <w:r w:rsidRPr="005D1CE8">
        <w:rPr>
          <w:rFonts w:eastAsiaTheme="minorHAnsi" w:cstheme="minorBidi"/>
          <w:color w:val="000000"/>
          <w:lang w:eastAsia="en-US"/>
        </w:rPr>
        <w:t>Inspector General;</w:t>
      </w:r>
    </w:p>
    <w:p w14:paraId="7A9BC7A2" w14:textId="77777777" w:rsidR="000A5074" w:rsidRPr="005D1CE8" w:rsidRDefault="000A5074" w:rsidP="000A5074">
      <w:pPr>
        <w:numPr>
          <w:ilvl w:val="0"/>
          <w:numId w:val="12"/>
        </w:numPr>
        <w:spacing w:after="0" w:line="360" w:lineRule="auto"/>
        <w:ind w:left="993" w:hanging="54"/>
        <w:jc w:val="left"/>
        <w:rPr>
          <w:rFonts w:eastAsiaTheme="minorHAnsi" w:cstheme="minorBidi"/>
          <w:color w:val="000000"/>
          <w:lang w:eastAsia="en-US"/>
        </w:rPr>
      </w:pPr>
      <w:r w:rsidRPr="005D1CE8">
        <w:rPr>
          <w:rFonts w:eastAsiaTheme="minorHAnsi" w:cstheme="minorBidi"/>
          <w:color w:val="000000"/>
          <w:lang w:eastAsia="en-US"/>
        </w:rPr>
        <w:t>Inspector Jefe, y</w:t>
      </w:r>
    </w:p>
    <w:p w14:paraId="45467AD3" w14:textId="77777777" w:rsidR="000A5074" w:rsidRPr="005D1CE8" w:rsidRDefault="000A5074" w:rsidP="000A5074">
      <w:pPr>
        <w:numPr>
          <w:ilvl w:val="0"/>
          <w:numId w:val="12"/>
        </w:numPr>
        <w:spacing w:after="0" w:line="360" w:lineRule="auto"/>
        <w:ind w:left="993" w:hanging="54"/>
        <w:jc w:val="left"/>
        <w:rPr>
          <w:rFonts w:eastAsiaTheme="minorHAnsi" w:cstheme="minorBidi"/>
          <w:color w:val="000000"/>
          <w:lang w:eastAsia="en-US"/>
        </w:rPr>
      </w:pPr>
      <w:r w:rsidRPr="005D1CE8">
        <w:rPr>
          <w:rFonts w:eastAsiaTheme="minorHAnsi" w:cstheme="minorBidi"/>
          <w:color w:val="000000"/>
          <w:lang w:eastAsia="en-US"/>
        </w:rPr>
        <w:t>Inspector.</w:t>
      </w:r>
    </w:p>
    <w:p w14:paraId="3BE2DCED" w14:textId="77777777" w:rsidR="000A5074" w:rsidRPr="005D1CE8" w:rsidRDefault="000A5074" w:rsidP="000A5074">
      <w:pPr>
        <w:numPr>
          <w:ilvl w:val="0"/>
          <w:numId w:val="10"/>
        </w:numPr>
        <w:spacing w:after="0" w:line="360" w:lineRule="auto"/>
        <w:jc w:val="left"/>
        <w:rPr>
          <w:rFonts w:eastAsiaTheme="minorHAnsi" w:cstheme="minorBidi"/>
          <w:color w:val="000000"/>
          <w:lang w:eastAsia="en-US"/>
        </w:rPr>
      </w:pPr>
      <w:r w:rsidRPr="005D1CE8">
        <w:rPr>
          <w:rFonts w:eastAsiaTheme="minorHAnsi" w:cstheme="minorBidi"/>
          <w:color w:val="000000"/>
          <w:lang w:eastAsia="en-US"/>
        </w:rPr>
        <w:t>Oficiales:</w:t>
      </w:r>
    </w:p>
    <w:p w14:paraId="094235A3" w14:textId="77777777" w:rsidR="000A5074" w:rsidRPr="005D1CE8" w:rsidRDefault="000A5074" w:rsidP="000A5074">
      <w:pPr>
        <w:numPr>
          <w:ilvl w:val="0"/>
          <w:numId w:val="13"/>
        </w:numPr>
        <w:spacing w:after="0" w:line="360" w:lineRule="auto"/>
        <w:ind w:left="993" w:hanging="54"/>
        <w:jc w:val="left"/>
        <w:rPr>
          <w:rFonts w:eastAsiaTheme="minorHAnsi" w:cstheme="minorBidi"/>
          <w:color w:val="000000"/>
          <w:lang w:eastAsia="en-US"/>
        </w:rPr>
      </w:pPr>
      <w:r w:rsidRPr="005D1CE8">
        <w:rPr>
          <w:rFonts w:eastAsiaTheme="minorHAnsi" w:cstheme="minorBidi"/>
          <w:color w:val="000000"/>
          <w:lang w:eastAsia="en-US"/>
        </w:rPr>
        <w:t>Subinspector;</w:t>
      </w:r>
    </w:p>
    <w:p w14:paraId="4C1050E8" w14:textId="77777777" w:rsidR="000A5074" w:rsidRPr="005D1CE8" w:rsidRDefault="000A5074" w:rsidP="000A5074">
      <w:pPr>
        <w:numPr>
          <w:ilvl w:val="0"/>
          <w:numId w:val="13"/>
        </w:numPr>
        <w:spacing w:after="0" w:line="360" w:lineRule="auto"/>
        <w:ind w:left="993" w:hanging="54"/>
        <w:jc w:val="left"/>
        <w:rPr>
          <w:rFonts w:eastAsiaTheme="minorHAnsi" w:cstheme="minorBidi"/>
          <w:color w:val="000000"/>
          <w:lang w:eastAsia="en-US"/>
        </w:rPr>
      </w:pPr>
      <w:r w:rsidRPr="005D1CE8">
        <w:rPr>
          <w:rFonts w:eastAsiaTheme="minorHAnsi" w:cstheme="minorBidi"/>
          <w:color w:val="000000"/>
          <w:lang w:eastAsia="en-US"/>
        </w:rPr>
        <w:t>Oficial, y</w:t>
      </w:r>
    </w:p>
    <w:p w14:paraId="28FCB1F1" w14:textId="77777777" w:rsidR="000A5074" w:rsidRPr="005D1CE8" w:rsidRDefault="000A5074" w:rsidP="000A5074">
      <w:pPr>
        <w:numPr>
          <w:ilvl w:val="0"/>
          <w:numId w:val="13"/>
        </w:numPr>
        <w:spacing w:after="0" w:line="360" w:lineRule="auto"/>
        <w:ind w:left="993" w:hanging="54"/>
        <w:jc w:val="left"/>
        <w:rPr>
          <w:rFonts w:eastAsiaTheme="minorHAnsi" w:cstheme="minorBidi"/>
          <w:color w:val="000000"/>
          <w:lang w:eastAsia="en-US"/>
        </w:rPr>
      </w:pPr>
      <w:r w:rsidRPr="005D1CE8">
        <w:rPr>
          <w:rFonts w:eastAsiaTheme="minorHAnsi" w:cstheme="minorBidi"/>
          <w:color w:val="000000"/>
          <w:lang w:eastAsia="en-US"/>
        </w:rPr>
        <w:t>Suboficial.</w:t>
      </w:r>
    </w:p>
    <w:p w14:paraId="01434658" w14:textId="77777777" w:rsidR="000A5074" w:rsidRPr="005D1CE8" w:rsidRDefault="000A5074" w:rsidP="000A5074">
      <w:pPr>
        <w:numPr>
          <w:ilvl w:val="0"/>
          <w:numId w:val="10"/>
        </w:numPr>
        <w:spacing w:after="0" w:line="360" w:lineRule="auto"/>
        <w:jc w:val="left"/>
        <w:rPr>
          <w:rFonts w:eastAsiaTheme="minorHAnsi" w:cstheme="minorBidi"/>
          <w:color w:val="000000"/>
          <w:lang w:eastAsia="en-US"/>
        </w:rPr>
      </w:pPr>
      <w:r w:rsidRPr="005D1CE8">
        <w:rPr>
          <w:rFonts w:eastAsiaTheme="minorHAnsi" w:cstheme="minorBidi"/>
          <w:color w:val="000000"/>
          <w:lang w:eastAsia="en-US"/>
        </w:rPr>
        <w:t>Escala Básica:</w:t>
      </w:r>
    </w:p>
    <w:p w14:paraId="0CEE3EA4" w14:textId="77777777" w:rsidR="000A5074" w:rsidRPr="005D1CE8" w:rsidRDefault="000A5074" w:rsidP="000A5074">
      <w:pPr>
        <w:numPr>
          <w:ilvl w:val="0"/>
          <w:numId w:val="14"/>
        </w:numPr>
        <w:spacing w:after="0" w:line="360" w:lineRule="auto"/>
        <w:ind w:left="993" w:hanging="54"/>
        <w:jc w:val="left"/>
        <w:rPr>
          <w:rFonts w:eastAsiaTheme="minorHAnsi" w:cstheme="minorBidi"/>
          <w:color w:val="000000"/>
          <w:lang w:eastAsia="en-US"/>
        </w:rPr>
      </w:pPr>
      <w:r w:rsidRPr="005D1CE8">
        <w:rPr>
          <w:rFonts w:eastAsiaTheme="minorHAnsi" w:cstheme="minorBidi"/>
          <w:color w:val="000000"/>
          <w:lang w:eastAsia="en-US"/>
        </w:rPr>
        <w:t>Policía Primero;</w:t>
      </w:r>
    </w:p>
    <w:p w14:paraId="2AE5D48D" w14:textId="77777777" w:rsidR="000A5074" w:rsidRPr="005D1CE8" w:rsidRDefault="000A5074" w:rsidP="000A5074">
      <w:pPr>
        <w:numPr>
          <w:ilvl w:val="0"/>
          <w:numId w:val="14"/>
        </w:numPr>
        <w:spacing w:after="0" w:line="360" w:lineRule="auto"/>
        <w:ind w:left="993" w:hanging="54"/>
        <w:jc w:val="left"/>
        <w:rPr>
          <w:rFonts w:eastAsiaTheme="minorHAnsi" w:cstheme="minorBidi"/>
          <w:color w:val="000000"/>
          <w:lang w:eastAsia="en-US"/>
        </w:rPr>
      </w:pPr>
      <w:r w:rsidRPr="005D1CE8">
        <w:rPr>
          <w:rFonts w:eastAsiaTheme="minorHAnsi" w:cstheme="minorBidi"/>
          <w:color w:val="000000"/>
          <w:lang w:eastAsia="en-US"/>
        </w:rPr>
        <w:t xml:space="preserve">Policía Segundo; </w:t>
      </w:r>
    </w:p>
    <w:p w14:paraId="4E17E253" w14:textId="77777777" w:rsidR="000A5074" w:rsidRPr="005D1CE8" w:rsidRDefault="000A5074" w:rsidP="000A5074">
      <w:pPr>
        <w:numPr>
          <w:ilvl w:val="0"/>
          <w:numId w:val="14"/>
        </w:numPr>
        <w:spacing w:after="0" w:line="360" w:lineRule="auto"/>
        <w:ind w:left="993" w:hanging="54"/>
        <w:jc w:val="left"/>
        <w:rPr>
          <w:rFonts w:eastAsiaTheme="minorHAnsi" w:cstheme="minorBidi"/>
          <w:color w:val="000000"/>
          <w:lang w:eastAsia="en-US"/>
        </w:rPr>
      </w:pPr>
      <w:r w:rsidRPr="005D1CE8">
        <w:rPr>
          <w:rFonts w:eastAsiaTheme="minorHAnsi" w:cstheme="minorBidi"/>
          <w:color w:val="000000"/>
          <w:lang w:eastAsia="en-US"/>
        </w:rPr>
        <w:t>Policía Tercero, y</w:t>
      </w:r>
    </w:p>
    <w:p w14:paraId="05527C16" w14:textId="77777777" w:rsidR="000A5074" w:rsidRPr="005D1CE8" w:rsidRDefault="000A5074" w:rsidP="000A5074">
      <w:pPr>
        <w:numPr>
          <w:ilvl w:val="0"/>
          <w:numId w:val="14"/>
        </w:numPr>
        <w:spacing w:after="0" w:line="360" w:lineRule="auto"/>
        <w:ind w:left="993" w:hanging="54"/>
        <w:jc w:val="left"/>
        <w:rPr>
          <w:rFonts w:eastAsiaTheme="minorHAnsi" w:cstheme="minorBidi"/>
          <w:color w:val="000000"/>
          <w:lang w:eastAsia="en-US"/>
        </w:rPr>
      </w:pPr>
      <w:r w:rsidRPr="005D1CE8">
        <w:rPr>
          <w:rFonts w:eastAsiaTheme="minorHAnsi" w:cstheme="minorBidi"/>
          <w:color w:val="000000"/>
          <w:lang w:eastAsia="en-US"/>
        </w:rPr>
        <w:t>Policía.</w:t>
      </w:r>
    </w:p>
    <w:p w14:paraId="486EFF67" w14:textId="77777777" w:rsidR="000A5074" w:rsidRPr="005D1CE8" w:rsidRDefault="000A5074" w:rsidP="000A5074">
      <w:pPr>
        <w:spacing w:after="0" w:line="360" w:lineRule="auto"/>
        <w:rPr>
          <w:rFonts w:eastAsiaTheme="minorHAnsi" w:cstheme="minorBidi"/>
          <w:color w:val="000000"/>
          <w:sz w:val="20"/>
          <w:szCs w:val="20"/>
          <w:lang w:eastAsia="en-US"/>
        </w:rPr>
      </w:pPr>
      <w:r w:rsidRPr="005D1CE8">
        <w:rPr>
          <w:rFonts w:eastAsiaTheme="minorHAnsi" w:cstheme="minorBidi"/>
          <w:color w:val="000000"/>
          <w:sz w:val="20"/>
          <w:szCs w:val="20"/>
          <w:lang w:eastAsia="en-US"/>
        </w:rPr>
        <w:t xml:space="preserve">                                                                                                                                                                                                  </w:t>
      </w:r>
    </w:p>
    <w:p w14:paraId="65490116" w14:textId="77777777" w:rsidR="000A5074" w:rsidRPr="005D1CE8" w:rsidRDefault="000A5074" w:rsidP="000A5074">
      <w:pPr>
        <w:spacing w:after="0" w:line="360" w:lineRule="auto"/>
        <w:rPr>
          <w:rFonts w:eastAsiaTheme="minorHAnsi" w:cstheme="minorBidi"/>
          <w:color w:val="000000"/>
          <w:lang w:eastAsia="en-US"/>
        </w:rPr>
      </w:pPr>
      <w:r w:rsidRPr="005D1CE8">
        <w:rPr>
          <w:rFonts w:eastAsiaTheme="minorHAnsi" w:cstheme="minorBidi"/>
          <w:color w:val="000000"/>
          <w:lang w:eastAsia="en-US"/>
        </w:rPr>
        <w:t xml:space="preserve">Además, el Modelo Óptimo de la Función Policial, emitido por la Secretaría de Gobernación “Diagnostico Nacional sobre las Policías Preventivas de las Entidades Federativas”  (consultado en la página electrónica </w:t>
      </w:r>
      <w:hyperlink r:id="rId10" w:history="1">
        <w:r w:rsidRPr="005D1CE8">
          <w:rPr>
            <w:rFonts w:eastAsiaTheme="minorHAnsi" w:cstheme="minorBidi"/>
            <w:color w:val="0000FF"/>
            <w:u w:val="single"/>
            <w:lang w:eastAsia="en-US"/>
          </w:rPr>
          <w:t>https://secretariadoejecutivo.gob.mx//doc/Actualizacion_Diagnostico_Nacional_MOFP.pdf</w:t>
        </w:r>
      </w:hyperlink>
      <w:r w:rsidRPr="005D1CE8">
        <w:rPr>
          <w:rFonts w:eastAsiaTheme="minorHAnsi" w:cstheme="minorBidi"/>
          <w:color w:val="000000"/>
          <w:lang w:eastAsia="en-US"/>
        </w:rPr>
        <w:t>) establece que el estado de fuerza se refiere al número de elementos operativos en activo, excluyendo al personal administrativo.</w:t>
      </w:r>
    </w:p>
    <w:p w14:paraId="3CBB8DB2" w14:textId="77777777" w:rsidR="000A5074" w:rsidRPr="005D1CE8" w:rsidRDefault="000A5074" w:rsidP="000A5074">
      <w:pPr>
        <w:spacing w:after="0" w:line="360" w:lineRule="auto"/>
        <w:rPr>
          <w:rFonts w:eastAsiaTheme="minorHAnsi" w:cstheme="minorBidi"/>
          <w:color w:val="000000"/>
          <w:lang w:eastAsia="en-US"/>
        </w:rPr>
      </w:pPr>
    </w:p>
    <w:p w14:paraId="0237C44D" w14:textId="77777777" w:rsidR="000A5074" w:rsidRPr="005D1CE8" w:rsidRDefault="000A5074" w:rsidP="000A5074">
      <w:pPr>
        <w:spacing w:after="0" w:line="360" w:lineRule="auto"/>
        <w:rPr>
          <w:rFonts w:eastAsiaTheme="minorHAnsi" w:cstheme="minorBidi"/>
          <w:b/>
          <w:color w:val="000000"/>
          <w:lang w:eastAsia="en-US"/>
        </w:rPr>
      </w:pPr>
      <w:r w:rsidRPr="005D1CE8">
        <w:rPr>
          <w:rFonts w:eastAsiaTheme="minorHAnsi" w:cstheme="minorBidi"/>
          <w:color w:val="000000"/>
          <w:lang w:eastAsia="en-US"/>
        </w:rPr>
        <w:t>Lo cual se ratifica con el Anexo 1 del Acuerdo 05/XLVI/20, denominado Modelo Nacional de Policía y Justicia Cívica (</w:t>
      </w:r>
      <w:hyperlink r:id="rId11" w:history="1">
        <w:r w:rsidRPr="005D1CE8">
          <w:rPr>
            <w:rFonts w:eastAsiaTheme="minorHAnsi" w:cstheme="minorBidi"/>
            <w:color w:val="0000FF"/>
            <w:u w:val="single"/>
            <w:lang w:eastAsia="en-US"/>
          </w:rPr>
          <w:t>https://www.dof.gob.mx/2021/SSPC/SEGURIDADyPC_260121.pdf</w:t>
        </w:r>
      </w:hyperlink>
      <w:r w:rsidRPr="005D1CE8">
        <w:rPr>
          <w:rFonts w:eastAsiaTheme="minorHAnsi" w:cstheme="minorBidi"/>
          <w:color w:val="000000"/>
          <w:lang w:eastAsia="en-US"/>
        </w:rPr>
        <w:t xml:space="preserve">), que precisa que el estado de fuerza se conforma de los elementos operativos en materia de </w:t>
      </w:r>
      <w:r w:rsidRPr="005D1CE8">
        <w:rPr>
          <w:rFonts w:eastAsiaTheme="minorHAnsi" w:cstheme="minorBidi"/>
          <w:color w:val="000000"/>
          <w:lang w:eastAsia="en-US"/>
        </w:rPr>
        <w:lastRenderedPageBreak/>
        <w:t>seguridad, excluyendo al personal administrativo; sin embargo, de dicho documento se logra vislumbrar</w:t>
      </w:r>
      <w:r w:rsidRPr="005D1CE8">
        <w:rPr>
          <w:rFonts w:eastAsiaTheme="minorHAnsi" w:cstheme="minorBidi"/>
          <w:b/>
          <w:color w:val="000000"/>
          <w:lang w:eastAsia="en-US"/>
        </w:rPr>
        <w:t xml:space="preserve"> que el Estado de Fuerza real de una Institución de Seguridad, no debe basarse </w:t>
      </w:r>
      <w:r w:rsidRPr="005D1CE8">
        <w:rPr>
          <w:rFonts w:eastAsiaTheme="minorHAnsi" w:cstheme="minorBidi"/>
          <w:b/>
          <w:color w:val="000000"/>
          <w:u w:val="single"/>
          <w:lang w:eastAsia="en-US"/>
        </w:rPr>
        <w:t>únicamente en el total de servidores públicos operativos</w:t>
      </w:r>
      <w:r w:rsidRPr="005D1CE8">
        <w:rPr>
          <w:rFonts w:eastAsiaTheme="minorHAnsi" w:cstheme="minorBidi"/>
          <w:b/>
          <w:color w:val="000000"/>
          <w:lang w:eastAsia="en-US"/>
        </w:rPr>
        <w:t xml:space="preserve">, sino que se </w:t>
      </w:r>
      <w:r w:rsidRPr="005D1CE8">
        <w:rPr>
          <w:rFonts w:eastAsiaTheme="minorHAnsi" w:cstheme="minorBidi"/>
          <w:b/>
          <w:color w:val="000000"/>
          <w:u w:val="single"/>
          <w:lang w:eastAsia="en-US"/>
        </w:rPr>
        <w:t>debe ceñir a otros factores</w:t>
      </w:r>
      <w:r w:rsidRPr="005D1CE8">
        <w:rPr>
          <w:rFonts w:eastAsiaTheme="minorHAnsi" w:cstheme="minorBidi"/>
          <w:b/>
          <w:color w:val="000000"/>
          <w:lang w:eastAsia="en-US"/>
        </w:rPr>
        <w:t>, como el turno, las necesidades y actividades operativas.</w:t>
      </w:r>
    </w:p>
    <w:p w14:paraId="30728142" w14:textId="77777777" w:rsidR="000A5074" w:rsidRPr="005D1CE8" w:rsidRDefault="000A5074" w:rsidP="000A5074">
      <w:pPr>
        <w:spacing w:after="0" w:line="360" w:lineRule="auto"/>
        <w:rPr>
          <w:rFonts w:eastAsiaTheme="minorHAnsi" w:cstheme="minorBidi"/>
          <w:b/>
          <w:color w:val="000000"/>
          <w:lang w:eastAsia="en-US"/>
        </w:rPr>
      </w:pPr>
    </w:p>
    <w:p w14:paraId="33D59F2A" w14:textId="77777777" w:rsidR="000A5074" w:rsidRPr="005D1CE8" w:rsidRDefault="000A5074" w:rsidP="000A5074">
      <w:pPr>
        <w:spacing w:after="0" w:line="360" w:lineRule="auto"/>
        <w:rPr>
          <w:rFonts w:eastAsiaTheme="minorHAnsi" w:cstheme="minorBidi"/>
          <w:b/>
          <w:color w:val="000000"/>
          <w:lang w:eastAsia="en-US"/>
        </w:rPr>
      </w:pPr>
      <w:r w:rsidRPr="005D1CE8">
        <w:rPr>
          <w:rFonts w:eastAsiaTheme="minorHAnsi" w:cstheme="minorBidi"/>
          <w:color w:val="000000"/>
          <w:lang w:eastAsia="en-US"/>
        </w:rPr>
        <w:t xml:space="preserve">Así, el estado de fuerza corresponde al número de elementos operativos en total con los que cuenta el Sujeto Obligado en materia de seguridad pública y </w:t>
      </w:r>
      <w:r w:rsidRPr="005D1CE8">
        <w:rPr>
          <w:rFonts w:eastAsiaTheme="minorHAnsi" w:cstheme="minorBidi"/>
          <w:b/>
          <w:color w:val="000000"/>
          <w:lang w:eastAsia="en-US"/>
        </w:rPr>
        <w:t>el estado de fuerza real corresponde al número de policías con los que cuenta el Ayuntamiento, en un determinado turno, para atender las necesidades y tareas de seguridad.</w:t>
      </w:r>
    </w:p>
    <w:p w14:paraId="2547E51A" w14:textId="77777777" w:rsidR="000A5074" w:rsidRPr="005D1CE8" w:rsidRDefault="000A5074" w:rsidP="000A5074">
      <w:pPr>
        <w:spacing w:after="0" w:line="360" w:lineRule="auto"/>
        <w:rPr>
          <w:rFonts w:eastAsiaTheme="minorHAnsi" w:cstheme="minorBidi"/>
          <w:color w:val="000000"/>
          <w:lang w:eastAsia="en-US"/>
        </w:rPr>
      </w:pPr>
    </w:p>
    <w:p w14:paraId="522CDDED" w14:textId="0862B342" w:rsidR="000A5074" w:rsidRPr="005D1CE8" w:rsidRDefault="000A5074" w:rsidP="000A5074">
      <w:pPr>
        <w:spacing w:after="0" w:line="360" w:lineRule="auto"/>
        <w:rPr>
          <w:rFonts w:eastAsiaTheme="minorHAnsi" w:cstheme="minorBidi"/>
          <w:color w:val="000000"/>
          <w:lang w:eastAsia="en-US"/>
        </w:rPr>
      </w:pPr>
      <w:r w:rsidRPr="005D1CE8">
        <w:rPr>
          <w:rFonts w:eastAsiaTheme="minorHAnsi" w:cstheme="minorBidi"/>
          <w:color w:val="000000"/>
          <w:lang w:eastAsia="en-US"/>
        </w:rPr>
        <w:t xml:space="preserve">En ese orden de ideas, cabe precisar que si bien proporcionar el nombre, cargo, sueldos, deduciones y días laborales de los elementos operativos, </w:t>
      </w:r>
      <w:r w:rsidRPr="005D1CE8">
        <w:rPr>
          <w:rFonts w:eastAsiaTheme="minorHAnsi" w:cstheme="minorBidi"/>
          <w:b/>
          <w:color w:val="000000"/>
          <w:lang w:eastAsia="en-US"/>
        </w:rPr>
        <w:t>podría dar cuenta del estado de fuerza del municipio</w:t>
      </w:r>
      <w:r w:rsidRPr="005D1CE8">
        <w:rPr>
          <w:rFonts w:eastAsiaTheme="minorHAnsi" w:cstheme="minorBidi"/>
          <w:color w:val="000000"/>
          <w:lang w:eastAsia="en-US"/>
        </w:rPr>
        <w:t>, también lo es que no se advierte de qué forma dicha información comprometa la seguridad pública del Municipio, por las siguientes consideraciones, dar a conocer los documentos donde conste el cargo de los elementos operativos, desvinculado de su nombre (por ejemplo, Policía Primero; Policía Segundo o Policía Tercero):</w:t>
      </w:r>
    </w:p>
    <w:p w14:paraId="1E4AB1E1" w14:textId="77777777" w:rsidR="000A5074" w:rsidRPr="005D1CE8" w:rsidRDefault="000A5074" w:rsidP="000A5074">
      <w:pPr>
        <w:spacing w:after="0" w:line="360" w:lineRule="auto"/>
        <w:rPr>
          <w:rFonts w:eastAsiaTheme="minorHAnsi" w:cstheme="minorBidi"/>
          <w:color w:val="000000"/>
          <w:lang w:eastAsia="en-US"/>
        </w:rPr>
      </w:pPr>
    </w:p>
    <w:p w14:paraId="3296C3FB" w14:textId="77777777" w:rsidR="000A5074" w:rsidRPr="005D1CE8" w:rsidRDefault="000A5074" w:rsidP="000A5074">
      <w:pPr>
        <w:numPr>
          <w:ilvl w:val="0"/>
          <w:numId w:val="15"/>
        </w:numPr>
        <w:spacing w:after="0" w:line="360" w:lineRule="auto"/>
        <w:rPr>
          <w:rFonts w:eastAsiaTheme="minorHAnsi" w:cstheme="minorBidi"/>
          <w:color w:val="000000"/>
          <w:lang w:eastAsia="en-US"/>
        </w:rPr>
      </w:pPr>
      <w:r w:rsidRPr="005D1CE8">
        <w:rPr>
          <w:rFonts w:eastAsiaTheme="minorHAnsi" w:cstheme="minorBidi"/>
          <w:color w:val="000000"/>
          <w:lang w:eastAsia="en-US"/>
        </w:rPr>
        <w:t>No entorpece los sistemas de coordinación interinstitucional en materia de seguridad pública, pues únicamente se establecería el número de policías total con los que cuenta, a través de la entrega de la denominación del cargo en específico.</w:t>
      </w:r>
    </w:p>
    <w:p w14:paraId="5CE93359" w14:textId="77777777" w:rsidR="000A5074" w:rsidRPr="005D1CE8" w:rsidRDefault="000A5074" w:rsidP="000A5074">
      <w:pPr>
        <w:spacing w:after="0" w:line="360" w:lineRule="auto"/>
        <w:ind w:left="720"/>
        <w:rPr>
          <w:rFonts w:eastAsiaTheme="minorHAnsi" w:cstheme="minorBidi"/>
          <w:color w:val="000000"/>
          <w:lang w:eastAsia="en-US"/>
        </w:rPr>
      </w:pPr>
    </w:p>
    <w:p w14:paraId="7963BBE3" w14:textId="77777777" w:rsidR="000A5074" w:rsidRPr="005D1CE8" w:rsidRDefault="000A5074" w:rsidP="000A5074">
      <w:pPr>
        <w:numPr>
          <w:ilvl w:val="0"/>
          <w:numId w:val="15"/>
        </w:numPr>
        <w:spacing w:after="0" w:line="360" w:lineRule="auto"/>
        <w:rPr>
          <w:rFonts w:eastAsiaTheme="minorHAnsi" w:cstheme="minorBidi"/>
          <w:color w:val="000000"/>
          <w:lang w:eastAsia="en-US"/>
        </w:rPr>
      </w:pPr>
      <w:r w:rsidRPr="005D1CE8">
        <w:rPr>
          <w:rFonts w:eastAsiaTheme="minorHAnsi" w:cstheme="minorBidi"/>
          <w:color w:val="000000"/>
          <w:lang w:eastAsia="en-US"/>
        </w:rPr>
        <w:t xml:space="preserve">Tampoco dificulta o menoscaba las estrategias contra la evasión de reos o la capacidad de disuadir, prevenir disturbios sociales, o bien, la capacidad de reacción, planes, estrategias, tecnologías, información o sistemas de comunicaciones, pues no se está dando a conocer información concerniente a vehículos, armamento, chalecos o radios de comunicación; sino únicamente al personal que se encarga de la seguridad pública del Municipio, </w:t>
      </w:r>
      <w:r w:rsidRPr="005D1CE8">
        <w:rPr>
          <w:rFonts w:eastAsiaTheme="minorHAnsi" w:cstheme="minorBidi"/>
          <w:b/>
          <w:color w:val="000000"/>
          <w:lang w:eastAsia="en-US"/>
        </w:rPr>
        <w:t>sin dar a conocer el estado de fuerza real.</w:t>
      </w:r>
    </w:p>
    <w:p w14:paraId="022BFC83" w14:textId="77777777" w:rsidR="000A5074" w:rsidRPr="005D1CE8" w:rsidRDefault="000A5074" w:rsidP="000A5074">
      <w:pPr>
        <w:spacing w:after="0" w:line="360" w:lineRule="auto"/>
        <w:ind w:left="720"/>
        <w:jc w:val="left"/>
        <w:rPr>
          <w:rFonts w:eastAsiaTheme="minorHAnsi" w:cstheme="minorBidi"/>
          <w:color w:val="000000"/>
          <w:lang w:eastAsia="en-US"/>
        </w:rPr>
      </w:pPr>
    </w:p>
    <w:p w14:paraId="6C82E99B" w14:textId="77777777" w:rsidR="000A5074" w:rsidRPr="005D1CE8" w:rsidRDefault="000A5074" w:rsidP="000A5074">
      <w:pPr>
        <w:numPr>
          <w:ilvl w:val="0"/>
          <w:numId w:val="15"/>
        </w:numPr>
        <w:spacing w:after="0" w:line="360" w:lineRule="auto"/>
        <w:rPr>
          <w:rFonts w:eastAsiaTheme="minorHAnsi" w:cstheme="minorBidi"/>
          <w:color w:val="000000"/>
          <w:lang w:eastAsia="en-US"/>
        </w:rPr>
      </w:pPr>
      <w:r w:rsidRPr="005D1CE8">
        <w:rPr>
          <w:rFonts w:eastAsiaTheme="minorHAnsi" w:cstheme="minorBidi"/>
          <w:color w:val="000000"/>
          <w:lang w:eastAsia="en-US"/>
        </w:rPr>
        <w:t>La información requerida, no es producto de la intervención de comunicaciones privadas, ni se encuentra contenida en averiguaciones previas, carpetas de investigación, expedientes y archivos de investigación o prevención de delitos.</w:t>
      </w:r>
    </w:p>
    <w:p w14:paraId="7548CC1B" w14:textId="77777777" w:rsidR="000A5074" w:rsidRPr="005D1CE8" w:rsidRDefault="000A5074" w:rsidP="000A5074">
      <w:pPr>
        <w:spacing w:after="0" w:line="360" w:lineRule="auto"/>
        <w:ind w:left="720"/>
        <w:jc w:val="left"/>
        <w:rPr>
          <w:rFonts w:eastAsiaTheme="minorHAnsi" w:cstheme="minorBidi"/>
          <w:color w:val="000000"/>
          <w:lang w:eastAsia="en-US"/>
        </w:rPr>
      </w:pPr>
    </w:p>
    <w:p w14:paraId="04CB0EB0" w14:textId="08CC5E02" w:rsidR="000A5074" w:rsidRPr="005D1CE8" w:rsidRDefault="000A5074" w:rsidP="000A5074">
      <w:pPr>
        <w:numPr>
          <w:ilvl w:val="0"/>
          <w:numId w:val="15"/>
        </w:numPr>
        <w:spacing w:after="0" w:line="360" w:lineRule="auto"/>
        <w:rPr>
          <w:rFonts w:eastAsiaTheme="minorHAnsi" w:cstheme="minorBidi"/>
          <w:color w:val="000000"/>
          <w:lang w:eastAsia="en-US"/>
        </w:rPr>
      </w:pPr>
      <w:r w:rsidRPr="005D1CE8">
        <w:rPr>
          <w:rFonts w:eastAsiaTheme="minorHAnsi" w:cstheme="minorBidi"/>
          <w:color w:val="000000"/>
          <w:lang w:eastAsia="en-US"/>
        </w:rPr>
        <w:t>Los datos en análisis, de ninguna forma da cuenta, de normas, procedimientos, métodos, fuentes, especificaciones técnicas, sistemas, tecnologías o equipos útiles a la generación de inteligencia en materia de seguridad pública o en combate a la delincuencia, pues como se precisó solamente da a conocer el estado de fuerza municipal y no la forma de actuación, estrategias y equipo con la que opera el Área de Seguridad.</w:t>
      </w:r>
    </w:p>
    <w:p w14:paraId="7CFF388C" w14:textId="77777777" w:rsidR="000A5074" w:rsidRPr="005D1CE8" w:rsidRDefault="000A5074" w:rsidP="000A5074">
      <w:pPr>
        <w:spacing w:after="0" w:line="360" w:lineRule="auto"/>
        <w:ind w:left="720"/>
        <w:jc w:val="left"/>
        <w:rPr>
          <w:rFonts w:eastAsiaTheme="minorHAnsi" w:cstheme="minorBidi"/>
          <w:color w:val="000000"/>
          <w:lang w:eastAsia="en-US"/>
        </w:rPr>
      </w:pPr>
    </w:p>
    <w:p w14:paraId="66293F0E" w14:textId="77777777" w:rsidR="000A5074" w:rsidRPr="005D1CE8" w:rsidRDefault="000A5074" w:rsidP="000A5074">
      <w:pPr>
        <w:spacing w:after="0" w:line="360" w:lineRule="auto"/>
        <w:rPr>
          <w:rFonts w:eastAsiaTheme="minorHAnsi" w:cstheme="minorBidi"/>
          <w:b/>
          <w:color w:val="000000"/>
          <w:lang w:eastAsia="en-US"/>
        </w:rPr>
      </w:pPr>
      <w:r w:rsidRPr="005D1CE8">
        <w:rPr>
          <w:rFonts w:eastAsiaTheme="minorHAnsi" w:cstheme="minorBidi"/>
          <w:color w:val="000000"/>
          <w:lang w:eastAsia="en-US"/>
        </w:rPr>
        <w:t xml:space="preserve">Conforme a lo anterior, no advierte un riesgo real, demostrable e identificable que supere al interés público o bien perjudique la seguridad pública, proporcionar el cargo de los elementos operativos, pues como se precisó en párrafos anteriores, la información requerida </w:t>
      </w:r>
      <w:r w:rsidRPr="005D1CE8">
        <w:rPr>
          <w:rFonts w:eastAsiaTheme="minorHAnsi" w:cstheme="minorBidi"/>
          <w:b/>
          <w:color w:val="000000"/>
          <w:lang w:eastAsia="en-US"/>
        </w:rPr>
        <w:t>no da cuenta de la forma de actuación, estrategias o equipo con el que cuenta el Área de Seguridad Pública, tampoco precisa la capacidad de reacción o la forma de organización para prevenir delitos, ni de actuaciones en averiguaciones previas, carpetas de investigación o bien, la intervención de comunicaciones privadas; aunado a que tampoco revela el estado de fuerza real con el que funciona el Ayuntamiento.</w:t>
      </w:r>
    </w:p>
    <w:p w14:paraId="5764E103" w14:textId="77777777" w:rsidR="000A5074" w:rsidRPr="005D1CE8" w:rsidRDefault="000A5074" w:rsidP="000A5074">
      <w:pPr>
        <w:spacing w:after="0" w:line="360" w:lineRule="auto"/>
        <w:rPr>
          <w:rFonts w:eastAsiaTheme="minorHAnsi" w:cstheme="minorBidi"/>
          <w:b/>
          <w:color w:val="000000"/>
          <w:lang w:eastAsia="en-US"/>
        </w:rPr>
      </w:pPr>
    </w:p>
    <w:p w14:paraId="541923A1" w14:textId="6D264E0C" w:rsidR="000A5074" w:rsidRPr="005D1CE8" w:rsidRDefault="000A5074" w:rsidP="000A5074">
      <w:pPr>
        <w:tabs>
          <w:tab w:val="center" w:pos="4522"/>
        </w:tabs>
        <w:spacing w:after="0" w:line="360" w:lineRule="auto"/>
        <w:rPr>
          <w:rFonts w:eastAsiaTheme="minorHAnsi" w:cstheme="minorBidi"/>
          <w:color w:val="000000"/>
          <w:lang w:eastAsia="en-US"/>
        </w:rPr>
      </w:pPr>
      <w:r w:rsidRPr="005D1CE8">
        <w:rPr>
          <w:rFonts w:eastAsiaTheme="minorHAnsi" w:cstheme="minorBidi"/>
          <w:color w:val="000000"/>
          <w:lang w:eastAsia="en-US"/>
        </w:rPr>
        <w:t>Por tal circunstancia, en el presente caso, no se actualiza la causal de clasificación prevista en el artículo 140, fracción I, de la Ley de Transparencia y Acceso a la Información Pública del Estado de México y Municipios, del nombre, cargo o puesto, días laborados, sueldos y deducciones del personal operativo del área de seguridad pública.</w:t>
      </w:r>
    </w:p>
    <w:p w14:paraId="430F91FC" w14:textId="77777777" w:rsidR="000A5074" w:rsidRPr="005D1CE8" w:rsidRDefault="000A5074">
      <w:pPr>
        <w:spacing w:after="0" w:line="360" w:lineRule="auto"/>
        <w:rPr>
          <w:color w:val="000000"/>
        </w:rPr>
      </w:pPr>
    </w:p>
    <w:p w14:paraId="51244B64" w14:textId="77777777" w:rsidR="000A5074" w:rsidRPr="005D1CE8" w:rsidRDefault="000A5074">
      <w:pPr>
        <w:spacing w:after="0" w:line="360" w:lineRule="auto"/>
        <w:rPr>
          <w:color w:val="000000"/>
        </w:rPr>
      </w:pPr>
    </w:p>
    <w:p w14:paraId="0BF7429D" w14:textId="77777777" w:rsidR="000A5074" w:rsidRPr="005D1CE8" w:rsidRDefault="000A5074">
      <w:pPr>
        <w:spacing w:after="0" w:line="360" w:lineRule="auto"/>
        <w:rPr>
          <w:color w:val="000000"/>
        </w:rPr>
      </w:pPr>
    </w:p>
    <w:p w14:paraId="77BF3232" w14:textId="084A2CC0" w:rsidR="00F65DEA" w:rsidRPr="005D1CE8" w:rsidRDefault="000A5074">
      <w:pPr>
        <w:spacing w:after="0" w:line="360" w:lineRule="auto"/>
        <w:rPr>
          <w:color w:val="000000"/>
        </w:rPr>
      </w:pPr>
      <w:r w:rsidRPr="005D1CE8">
        <w:lastRenderedPageBreak/>
        <w:t>Ahora bien, respecto al nombre de elementos operativos, de manera oficiosa se verifica si actualiza alguna causal de reserva; para lo cual, el artículo 140, fracción IV, de la Ley de Transparencia y Acceso a la Información Pública del Estado de México y Municipios, homólogo a parte del artículo 113, fracción V de la Ley General de Transparencia y Acceso a la Información Pública, vigente a la fecha de la solicitud, prevé lo siguiente:</w:t>
      </w:r>
    </w:p>
    <w:p w14:paraId="7CF5AB5C" w14:textId="77777777" w:rsidR="00F65DEA" w:rsidRPr="005D1CE8" w:rsidRDefault="00F65DEA">
      <w:pPr>
        <w:tabs>
          <w:tab w:val="left" w:pos="4962"/>
        </w:tabs>
        <w:spacing w:after="0" w:line="360" w:lineRule="auto"/>
        <w:ind w:left="567" w:right="567"/>
        <w:rPr>
          <w:i/>
        </w:rPr>
      </w:pPr>
    </w:p>
    <w:p w14:paraId="77BBEAB8" w14:textId="77777777" w:rsidR="00F65DEA" w:rsidRPr="005D1CE8" w:rsidRDefault="00DC2701">
      <w:pPr>
        <w:tabs>
          <w:tab w:val="left" w:pos="4962"/>
        </w:tabs>
        <w:spacing w:after="0" w:line="360" w:lineRule="auto"/>
        <w:ind w:left="567" w:right="567"/>
        <w:rPr>
          <w:i/>
          <w:sz w:val="20"/>
          <w:szCs w:val="20"/>
        </w:rPr>
      </w:pPr>
      <w:r w:rsidRPr="005D1CE8">
        <w:rPr>
          <w:i/>
          <w:sz w:val="20"/>
          <w:szCs w:val="20"/>
        </w:rPr>
        <w:t xml:space="preserve"> “</w:t>
      </w:r>
      <w:r w:rsidRPr="005D1CE8">
        <w:rPr>
          <w:b/>
          <w:i/>
          <w:sz w:val="20"/>
          <w:szCs w:val="20"/>
        </w:rPr>
        <w:t>Artículo 140.</w:t>
      </w:r>
      <w:r w:rsidRPr="005D1CE8">
        <w:rPr>
          <w:i/>
          <w:sz w:val="20"/>
          <w:szCs w:val="20"/>
        </w:rPr>
        <w:t xml:space="preserve"> El acceso a la información pública será restringido excepcionalmente, cuando por razones de interés público, ésta sea clasificada como reservada, conforme a los criterios siguientes: </w:t>
      </w:r>
    </w:p>
    <w:p w14:paraId="7F28903F" w14:textId="77777777" w:rsidR="00F65DEA" w:rsidRPr="005D1CE8" w:rsidRDefault="00DC2701">
      <w:pPr>
        <w:tabs>
          <w:tab w:val="left" w:pos="4962"/>
        </w:tabs>
        <w:spacing w:after="0" w:line="360" w:lineRule="auto"/>
        <w:ind w:left="567" w:right="567"/>
        <w:rPr>
          <w:i/>
          <w:sz w:val="20"/>
          <w:szCs w:val="20"/>
        </w:rPr>
      </w:pPr>
      <w:r w:rsidRPr="005D1CE8">
        <w:rPr>
          <w:i/>
          <w:sz w:val="20"/>
          <w:szCs w:val="20"/>
        </w:rPr>
        <w:t>…</w:t>
      </w:r>
    </w:p>
    <w:p w14:paraId="5232C762" w14:textId="77777777" w:rsidR="00F65DEA" w:rsidRPr="005D1CE8" w:rsidRDefault="00DC2701">
      <w:pPr>
        <w:tabs>
          <w:tab w:val="left" w:pos="4962"/>
        </w:tabs>
        <w:spacing w:after="0" w:line="360" w:lineRule="auto"/>
        <w:ind w:left="567" w:right="567"/>
        <w:rPr>
          <w:i/>
          <w:sz w:val="20"/>
          <w:szCs w:val="20"/>
        </w:rPr>
      </w:pPr>
      <w:r w:rsidRPr="005D1CE8">
        <w:rPr>
          <w:i/>
          <w:sz w:val="20"/>
          <w:szCs w:val="20"/>
        </w:rPr>
        <w:t>IV. Ponga en riesgo la vida, la seguridad o la salud de una persona física;</w:t>
      </w:r>
    </w:p>
    <w:p w14:paraId="0117D63E" w14:textId="77777777" w:rsidR="00F65DEA" w:rsidRPr="005D1CE8" w:rsidRDefault="00DC2701">
      <w:pPr>
        <w:tabs>
          <w:tab w:val="left" w:pos="4962"/>
        </w:tabs>
        <w:spacing w:after="0" w:line="360" w:lineRule="auto"/>
        <w:ind w:left="567" w:right="567"/>
        <w:rPr>
          <w:i/>
          <w:sz w:val="20"/>
          <w:szCs w:val="20"/>
        </w:rPr>
      </w:pPr>
      <w:r w:rsidRPr="005D1CE8">
        <w:rPr>
          <w:i/>
          <w:sz w:val="20"/>
          <w:szCs w:val="20"/>
        </w:rPr>
        <w:t xml:space="preserve">…” </w:t>
      </w:r>
    </w:p>
    <w:p w14:paraId="0A82C19F" w14:textId="77777777" w:rsidR="00F65DEA" w:rsidRPr="005D1CE8" w:rsidRDefault="00F65DEA">
      <w:pPr>
        <w:spacing w:after="0" w:line="360" w:lineRule="auto"/>
      </w:pPr>
    </w:p>
    <w:p w14:paraId="554AB3F9" w14:textId="77777777" w:rsidR="00F65DEA" w:rsidRPr="005D1CE8" w:rsidRDefault="00DC2701">
      <w:pPr>
        <w:spacing w:after="0" w:line="360" w:lineRule="auto"/>
      </w:pPr>
      <w:r w:rsidRPr="005D1CE8">
        <w:t>Del precepto legal anteriormente citado se desprende que como información reservada podrá clasificarse aquella cuya publicación pueda poner en riesgo la vida, seguridad o salud de una persona física; para acreditar lo anterior, los Lineamientos Generales vigentes a la fecha de la solicitud, establecen lo siguiente:</w:t>
      </w:r>
    </w:p>
    <w:p w14:paraId="2DE73A2D" w14:textId="77777777" w:rsidR="00F65DEA" w:rsidRPr="005D1CE8" w:rsidRDefault="00F65DEA">
      <w:pPr>
        <w:spacing w:after="0" w:line="360" w:lineRule="auto"/>
      </w:pPr>
    </w:p>
    <w:p w14:paraId="1AAFA2FF" w14:textId="77777777" w:rsidR="00F65DEA" w:rsidRPr="005D1CE8" w:rsidRDefault="00DC2701">
      <w:pPr>
        <w:spacing w:after="0" w:line="360" w:lineRule="auto"/>
        <w:ind w:left="567" w:right="567"/>
        <w:rPr>
          <w:i/>
          <w:sz w:val="20"/>
          <w:szCs w:val="20"/>
        </w:rPr>
      </w:pPr>
      <w:r w:rsidRPr="005D1CE8">
        <w:rPr>
          <w:b/>
          <w:i/>
          <w:sz w:val="20"/>
          <w:szCs w:val="20"/>
        </w:rPr>
        <w:t xml:space="preserve">“Vigésimo tercero. </w:t>
      </w:r>
      <w:r w:rsidRPr="005D1CE8">
        <w:rPr>
          <w:i/>
          <w:sz w:val="20"/>
          <w:szCs w:val="20"/>
        </w:rPr>
        <w:t>Para clasificar la información como reservada, de conformidad con el artículo 113, fracción V de la Ley General, será necesario acreditar un vínculo, entre una o varias personas físicas y la información que pueda poner en riesgo su vida, seguridad o salud; especificando cuál de estos bienes jurídicos será afectado, así como el potencial daño o riesgo que causaría su difusión”</w:t>
      </w:r>
    </w:p>
    <w:p w14:paraId="5F0CD186" w14:textId="77777777" w:rsidR="00F65DEA" w:rsidRPr="005D1CE8" w:rsidRDefault="00F65DEA">
      <w:pPr>
        <w:spacing w:after="0" w:line="360" w:lineRule="auto"/>
        <w:ind w:left="567" w:right="567"/>
        <w:rPr>
          <w:i/>
        </w:rPr>
      </w:pPr>
    </w:p>
    <w:p w14:paraId="09CEE710" w14:textId="77777777" w:rsidR="00F65DEA" w:rsidRPr="005D1CE8" w:rsidRDefault="00DC2701">
      <w:pPr>
        <w:spacing w:after="0" w:line="360" w:lineRule="auto"/>
        <w:rPr>
          <w:b/>
        </w:rPr>
      </w:pPr>
      <w:r w:rsidRPr="005D1CE8">
        <w:t>Del Lineamiento referido, se desprende que para clasificar la información como reservada, será necesario acreditar un vínculo, entre la persona física y la información que pueda poner en riesgo su vida, seguridad o salud, es decir, se deben señalar el bien jurídico específico afectado y el potencial de daño o riesgo que causaría su difusión.</w:t>
      </w:r>
    </w:p>
    <w:p w14:paraId="6182FB12" w14:textId="77777777" w:rsidR="00F65DEA" w:rsidRPr="005D1CE8" w:rsidRDefault="00F65DEA">
      <w:pPr>
        <w:spacing w:after="0" w:line="360" w:lineRule="auto"/>
      </w:pPr>
    </w:p>
    <w:p w14:paraId="78E6CC75" w14:textId="77777777" w:rsidR="00F65DEA" w:rsidRPr="005D1CE8" w:rsidRDefault="00DC2701">
      <w:pPr>
        <w:spacing w:after="0" w:line="360" w:lineRule="auto"/>
      </w:pPr>
      <w:r w:rsidRPr="005D1CE8">
        <w:lastRenderedPageBreak/>
        <w:t>Además, el artículo 81, fracción III, de la Ley de Seguridad del Estado de México, establece lo siguiente:</w:t>
      </w:r>
    </w:p>
    <w:p w14:paraId="493EAC6C" w14:textId="77777777" w:rsidR="00F65DEA" w:rsidRPr="005D1CE8" w:rsidRDefault="00F65DEA">
      <w:pPr>
        <w:spacing w:after="0" w:line="360" w:lineRule="auto"/>
      </w:pPr>
    </w:p>
    <w:p w14:paraId="0469981C" w14:textId="77777777" w:rsidR="00F65DEA" w:rsidRPr="005D1CE8" w:rsidRDefault="00DC2701">
      <w:pPr>
        <w:spacing w:after="0" w:line="360" w:lineRule="auto"/>
        <w:ind w:left="567" w:right="567"/>
        <w:rPr>
          <w:i/>
          <w:sz w:val="20"/>
          <w:szCs w:val="20"/>
        </w:rPr>
      </w:pPr>
      <w:r w:rsidRPr="005D1CE8">
        <w:rPr>
          <w:b/>
          <w:i/>
          <w:sz w:val="20"/>
          <w:szCs w:val="20"/>
        </w:rPr>
        <w:t>“Artículo 81.-</w:t>
      </w:r>
      <w:r w:rsidRPr="005D1CE8">
        <w:rPr>
          <w:i/>
          <w:sz w:val="20"/>
          <w:szCs w:val="20"/>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 </w:t>
      </w:r>
    </w:p>
    <w:p w14:paraId="61FD1AB9" w14:textId="77777777" w:rsidR="00F65DEA" w:rsidRPr="005D1CE8" w:rsidRDefault="00DC2701">
      <w:pPr>
        <w:spacing w:after="0" w:line="360" w:lineRule="auto"/>
        <w:ind w:left="567" w:right="567"/>
        <w:rPr>
          <w:i/>
          <w:sz w:val="20"/>
          <w:szCs w:val="20"/>
        </w:rPr>
      </w:pPr>
      <w:r w:rsidRPr="005D1CE8">
        <w:rPr>
          <w:i/>
          <w:sz w:val="20"/>
          <w:szCs w:val="20"/>
        </w:rPr>
        <w:t>…</w:t>
      </w:r>
    </w:p>
    <w:p w14:paraId="45F72005" w14:textId="77777777" w:rsidR="00F65DEA" w:rsidRPr="005D1CE8" w:rsidRDefault="00DC2701">
      <w:pPr>
        <w:spacing w:after="0" w:line="360" w:lineRule="auto"/>
        <w:ind w:left="567" w:right="567"/>
        <w:rPr>
          <w:i/>
          <w:sz w:val="20"/>
          <w:szCs w:val="20"/>
        </w:rPr>
      </w:pPr>
      <w:r w:rsidRPr="005D1CE8">
        <w:rPr>
          <w:i/>
          <w:sz w:val="20"/>
          <w:szCs w:val="20"/>
        </w:rPr>
        <w:t>III. La relativa a los servidores públicos integrantes de las instituciones de seguridad pública, cuya revelación pueda poner en riesgo su vida e integridad física con motivo de sus funciones;</w:t>
      </w:r>
    </w:p>
    <w:p w14:paraId="3494407A" w14:textId="77777777" w:rsidR="00F65DEA" w:rsidRPr="005D1CE8" w:rsidRDefault="00DC2701">
      <w:pPr>
        <w:spacing w:after="0" w:line="360" w:lineRule="auto"/>
        <w:ind w:left="567" w:right="567"/>
        <w:rPr>
          <w:i/>
          <w:sz w:val="20"/>
          <w:szCs w:val="20"/>
        </w:rPr>
      </w:pPr>
      <w:r w:rsidRPr="005D1CE8">
        <w:rPr>
          <w:i/>
          <w:sz w:val="20"/>
          <w:szCs w:val="20"/>
        </w:rPr>
        <w:t>…”</w:t>
      </w:r>
    </w:p>
    <w:p w14:paraId="367A47EF" w14:textId="77777777" w:rsidR="00F65DEA" w:rsidRPr="005D1CE8" w:rsidRDefault="00F65DEA">
      <w:pPr>
        <w:spacing w:after="0" w:line="360" w:lineRule="auto"/>
      </w:pPr>
    </w:p>
    <w:p w14:paraId="0C267DD5" w14:textId="77777777" w:rsidR="00F65DEA" w:rsidRPr="005D1CE8" w:rsidRDefault="00DC2701">
      <w:pPr>
        <w:spacing w:after="0" w:line="360" w:lineRule="auto"/>
      </w:pPr>
      <w:r w:rsidRPr="005D1CE8">
        <w:t>Conforme al citado artículo, se desprende que es reservada toda aquella información de los servidores públicos integrantes de las instituciones de seguridad pública, cuya revelación pueda poner en riesgo su vida e integridad física con motivo de sus funciones.</w:t>
      </w:r>
    </w:p>
    <w:p w14:paraId="3BB61E55" w14:textId="77777777" w:rsidR="00F65DEA" w:rsidRPr="005D1CE8" w:rsidRDefault="00F65DEA">
      <w:pPr>
        <w:spacing w:after="0" w:line="360" w:lineRule="auto"/>
        <w:rPr>
          <w:color w:val="000000"/>
        </w:rPr>
      </w:pPr>
    </w:p>
    <w:p w14:paraId="54B6876F" w14:textId="77777777" w:rsidR="00F65DEA" w:rsidRPr="005D1CE8" w:rsidRDefault="00DC2701">
      <w:pPr>
        <w:spacing w:after="0" w:line="360" w:lineRule="auto"/>
      </w:pPr>
      <w:r w:rsidRPr="005D1CE8">
        <w:t>En ese contexto, es de señalar que los datos de servidores públicos, entre los que se encuentran el nombre de los trabajadores, por regla general, son de naturaleza pública, de conformidad con el 92, fracción VII, de la Ley de Transparencia y Acceso a la Información Pública del Estado de México y Municipios.</w:t>
      </w:r>
    </w:p>
    <w:p w14:paraId="79767E05" w14:textId="77777777" w:rsidR="00F65DEA" w:rsidRPr="005D1CE8" w:rsidRDefault="00F65DEA">
      <w:pPr>
        <w:spacing w:after="0" w:line="360" w:lineRule="auto"/>
      </w:pPr>
    </w:p>
    <w:p w14:paraId="51CD77B5" w14:textId="77777777" w:rsidR="00F65DEA" w:rsidRPr="005D1CE8" w:rsidRDefault="00DC2701">
      <w:pPr>
        <w:spacing w:after="0" w:line="360" w:lineRule="auto"/>
      </w:pPr>
      <w:r w:rsidRPr="005D1CE8">
        <w:t xml:space="preserve">No obstante, resulta necesario traer a colación por analogía, el </w:t>
      </w:r>
      <w:r w:rsidRPr="005D1CE8">
        <w:rPr>
          <w:color w:val="000000"/>
        </w:rPr>
        <w:t xml:space="preserve">Criterio Orientador, con número de registro SO/006/2009, de la Primera Época, </w:t>
      </w:r>
      <w:r w:rsidRPr="005D1CE8">
        <w:t>emitido por el entonces Instituto Federal de Acceso a la Información y Protección de Datos ahora Instituto Nacional de Transparencia, Acceso a la Información y Protección de Datos Personales, vigente a la fecha de la solicitud, que establece lo siguiente:</w:t>
      </w:r>
    </w:p>
    <w:p w14:paraId="52763830" w14:textId="77777777" w:rsidR="00F65DEA" w:rsidRPr="005D1CE8" w:rsidRDefault="00F65DEA">
      <w:pPr>
        <w:spacing w:after="0" w:line="360" w:lineRule="auto"/>
      </w:pPr>
    </w:p>
    <w:p w14:paraId="1C5676AF" w14:textId="77777777" w:rsidR="00F65DEA" w:rsidRPr="005D1CE8" w:rsidRDefault="00DC2701">
      <w:pPr>
        <w:tabs>
          <w:tab w:val="left" w:pos="4962"/>
        </w:tabs>
        <w:spacing w:after="0" w:line="360" w:lineRule="auto"/>
        <w:ind w:left="567" w:right="567"/>
        <w:rPr>
          <w:i/>
          <w:sz w:val="20"/>
          <w:szCs w:val="20"/>
        </w:rPr>
      </w:pPr>
      <w:r w:rsidRPr="005D1CE8">
        <w:rPr>
          <w:b/>
          <w:i/>
          <w:sz w:val="20"/>
          <w:szCs w:val="20"/>
        </w:rPr>
        <w:lastRenderedPageBreak/>
        <w:t>“Nombres de servidores públicos dedicados a actividades en materia de seguridad, por excepción pueden considerarse información reservada.</w:t>
      </w:r>
      <w:r w:rsidRPr="005D1CE8">
        <w:rPr>
          <w:i/>
          <w:sz w:val="20"/>
          <w:szCs w:val="20"/>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3C13EAF8" w14:textId="77777777" w:rsidR="00F65DEA" w:rsidRPr="005D1CE8" w:rsidRDefault="00F65DEA">
      <w:pPr>
        <w:spacing w:after="0" w:line="360" w:lineRule="auto"/>
      </w:pPr>
    </w:p>
    <w:p w14:paraId="632A0C4D" w14:textId="77777777" w:rsidR="00F65DEA" w:rsidRPr="005D1CE8" w:rsidRDefault="00DC2701">
      <w:pPr>
        <w:spacing w:after="0" w:line="360" w:lineRule="auto"/>
      </w:pPr>
      <w:r w:rsidRPr="005D1CE8">
        <w:t>De dicho criterio, se desprende que existen funciones a cargo de servidores públicos, tendientes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funciones de carácter operativo.</w:t>
      </w:r>
    </w:p>
    <w:p w14:paraId="5F26C880" w14:textId="77777777" w:rsidR="00F65DEA" w:rsidRPr="005D1CE8" w:rsidRDefault="00F65DEA">
      <w:pPr>
        <w:spacing w:after="0" w:line="360" w:lineRule="auto"/>
      </w:pPr>
    </w:p>
    <w:p w14:paraId="6DE6D13B" w14:textId="77777777" w:rsidR="00F65DEA" w:rsidRPr="005D1CE8" w:rsidRDefault="00DC2701">
      <w:pPr>
        <w:spacing w:after="0" w:line="360" w:lineRule="auto"/>
        <w:rPr>
          <w:color w:val="000000"/>
        </w:rPr>
      </w:pPr>
      <w:r w:rsidRPr="005D1CE8">
        <w:rPr>
          <w:color w:val="000000"/>
        </w:rPr>
        <w:t xml:space="preserve">Además, el Criterio Reiterado 09/24, emitido por el Pleno de este Instituto, precisa que el nombre del personal operativo de seguridad pública debe clasificarse como información reservada, </w:t>
      </w:r>
      <w:r w:rsidRPr="005D1CE8">
        <w:rPr>
          <w:color w:val="000000"/>
        </w:rPr>
        <w:lastRenderedPageBreak/>
        <w:t>previa acreditación de la prueba de daño, ya que su publicidad podría poner en riesgo la vida, la seguridad o la salud del servidor público, ya que los vuelve plenamente identificables ante grupos delictivos.</w:t>
      </w:r>
    </w:p>
    <w:p w14:paraId="4AF5B281" w14:textId="77777777" w:rsidR="00F65DEA" w:rsidRPr="005D1CE8" w:rsidRDefault="00F65DEA">
      <w:pPr>
        <w:spacing w:after="0" w:line="360" w:lineRule="auto"/>
      </w:pPr>
    </w:p>
    <w:p w14:paraId="4ECDD242" w14:textId="77777777" w:rsidR="00F65DEA" w:rsidRPr="005D1CE8" w:rsidRDefault="00DC2701">
      <w:pPr>
        <w:spacing w:after="0" w:line="360" w:lineRule="auto"/>
      </w:pPr>
      <w:r w:rsidRPr="005D1CE8">
        <w:t xml:space="preserve">En ese orden de ideas, si bien por regla general los nombres de los trabajadores gubernamentales son información pública de oficio, existe una excepción relativa a </w:t>
      </w:r>
      <w:r w:rsidRPr="005D1CE8">
        <w:rPr>
          <w:b/>
        </w:rPr>
        <w:t>aquellos que realicen actividades operativas en materia de seguridad,</w:t>
      </w:r>
      <w:r w:rsidRPr="005D1CE8">
        <w:t xml:space="preserve"> como es el caso de los elementos operativos y la policía municipal.</w:t>
      </w:r>
    </w:p>
    <w:p w14:paraId="49080E2F" w14:textId="77777777" w:rsidR="00F65DEA" w:rsidRPr="005D1CE8" w:rsidRDefault="00F65DEA">
      <w:pPr>
        <w:spacing w:after="0" w:line="360" w:lineRule="auto"/>
      </w:pPr>
    </w:p>
    <w:p w14:paraId="5515039B" w14:textId="77777777" w:rsidR="00F65DEA" w:rsidRPr="005D1CE8" w:rsidRDefault="00DC2701">
      <w:pPr>
        <w:spacing w:after="0" w:line="360" w:lineRule="auto"/>
      </w:pPr>
      <w:r w:rsidRPr="005D1CE8">
        <w:t>Al respecto,  el artículo 4° de la Ley de Seguridad del Estado de México prevé que la función de seguridad pública se realizará, en los diversos ámbitos de competencia, por conducto de las Instituciones Policiales y de Procuración de Justicia, de los responsables de la prisión preventiva y ejecución de sentencias, de las autoridades competentes en materia de justicia para adolescentes, de las instancias encargadas de aplicar las infracción administrativas, y de las demás autoridades de las instancias encargadas de aplicar las infracciones administrativas.</w:t>
      </w:r>
    </w:p>
    <w:p w14:paraId="223825AE" w14:textId="77777777" w:rsidR="00F65DEA" w:rsidRPr="005D1CE8" w:rsidRDefault="00F65DEA">
      <w:pPr>
        <w:spacing w:after="0" w:line="360" w:lineRule="auto"/>
      </w:pPr>
    </w:p>
    <w:p w14:paraId="5F0A4BEA" w14:textId="77777777" w:rsidR="00F65DEA" w:rsidRPr="005D1CE8" w:rsidRDefault="00DC2701">
      <w:pPr>
        <w:spacing w:after="0" w:line="360" w:lineRule="auto"/>
      </w:pPr>
      <w:r w:rsidRPr="005D1CE8">
        <w:t>En ese contexto, el artículo 6°, fracciones XI y XII de dicho ordenamiento jurídico, establece los siguientes conceptos:</w:t>
      </w:r>
    </w:p>
    <w:p w14:paraId="290F49B1" w14:textId="77777777" w:rsidR="00F65DEA" w:rsidRPr="005D1CE8" w:rsidRDefault="00F65DEA">
      <w:pPr>
        <w:spacing w:after="0" w:line="360" w:lineRule="auto"/>
      </w:pPr>
    </w:p>
    <w:p w14:paraId="4A8AE48A" w14:textId="77777777" w:rsidR="00F65DEA" w:rsidRPr="005D1CE8" w:rsidRDefault="00DC2701">
      <w:pPr>
        <w:numPr>
          <w:ilvl w:val="0"/>
          <w:numId w:val="4"/>
        </w:numPr>
        <w:spacing w:after="0" w:line="360" w:lineRule="auto"/>
        <w:jc w:val="left"/>
        <w:rPr>
          <w:b/>
        </w:rPr>
      </w:pPr>
      <w:r w:rsidRPr="005D1CE8">
        <w:rPr>
          <w:b/>
        </w:rPr>
        <w:t xml:space="preserve">Instituciones Policiales: </w:t>
      </w:r>
      <w:r w:rsidRPr="005D1CE8">
        <w:t xml:space="preserve">Son los cuerpos de policía, de vigilancia y custodia de los establecimientos penitenciarios, detención preventiva, centros de arraigo y en general, </w:t>
      </w:r>
      <w:r w:rsidRPr="005D1CE8">
        <w:rPr>
          <w:b/>
        </w:rPr>
        <w:t>todas las dependencias encargadas de la seguridad pública a nivel</w:t>
      </w:r>
      <w:r w:rsidRPr="005D1CE8">
        <w:t xml:space="preserve"> estatal y </w:t>
      </w:r>
      <w:r w:rsidRPr="005D1CE8">
        <w:rPr>
          <w:b/>
        </w:rPr>
        <w:t>municipal.</w:t>
      </w:r>
    </w:p>
    <w:p w14:paraId="4D6E68C9" w14:textId="77777777" w:rsidR="00F65DEA" w:rsidRPr="005D1CE8" w:rsidRDefault="00F65DEA">
      <w:pPr>
        <w:spacing w:after="0" w:line="360" w:lineRule="auto"/>
        <w:ind w:left="720"/>
      </w:pPr>
    </w:p>
    <w:p w14:paraId="1FB6BB04" w14:textId="77777777" w:rsidR="00F65DEA" w:rsidRPr="005D1CE8" w:rsidRDefault="00DC2701">
      <w:pPr>
        <w:numPr>
          <w:ilvl w:val="0"/>
          <w:numId w:val="4"/>
        </w:numPr>
        <w:spacing w:after="0" w:line="360" w:lineRule="auto"/>
        <w:jc w:val="left"/>
        <w:rPr>
          <w:b/>
        </w:rPr>
      </w:pPr>
      <w:r w:rsidRPr="005D1CE8">
        <w:rPr>
          <w:b/>
        </w:rPr>
        <w:t xml:space="preserve">Instituciones de Seguridad Pública: </w:t>
      </w:r>
      <w:r w:rsidRPr="005D1CE8">
        <w:t xml:space="preserve">Instituciones Policiales, Procuración de Justicia, Sistema Penitenciario y </w:t>
      </w:r>
      <w:r w:rsidRPr="005D1CE8">
        <w:rPr>
          <w:b/>
        </w:rPr>
        <w:t xml:space="preserve">dependencias encargadas de la seguridad pública a nivel </w:t>
      </w:r>
      <w:r w:rsidRPr="005D1CE8">
        <w:t xml:space="preserve">estatal y </w:t>
      </w:r>
      <w:r w:rsidRPr="005D1CE8">
        <w:rPr>
          <w:b/>
        </w:rPr>
        <w:t>municipal.</w:t>
      </w:r>
    </w:p>
    <w:p w14:paraId="3F642223" w14:textId="77777777" w:rsidR="00F65DEA" w:rsidRPr="005D1CE8" w:rsidRDefault="00DC2701">
      <w:pPr>
        <w:spacing w:after="0" w:line="360" w:lineRule="auto"/>
      </w:pPr>
      <w:r w:rsidRPr="005D1CE8">
        <w:lastRenderedPageBreak/>
        <w:t>Conforme a lo anterior, se puede deducir que la</w:t>
      </w:r>
      <w:r w:rsidRPr="005D1CE8">
        <w:rPr>
          <w:color w:val="000000"/>
        </w:rPr>
        <w:t xml:space="preserve"> Dirección de Seguridad Pública y Vialidad</w:t>
      </w:r>
      <w:r w:rsidRPr="005D1CE8">
        <w:t>, es una institución de seguridad pública, pues tiene como atribución principal, la prevención de delitos y proteger a las personas, sus propiedades, posesiones y derechos.</w:t>
      </w:r>
    </w:p>
    <w:p w14:paraId="7F7E7014" w14:textId="77777777" w:rsidR="00F65DEA" w:rsidRPr="005D1CE8" w:rsidRDefault="00F65DEA">
      <w:pPr>
        <w:spacing w:after="0" w:line="360" w:lineRule="auto"/>
      </w:pPr>
    </w:p>
    <w:p w14:paraId="309EA787" w14:textId="77777777" w:rsidR="00F65DEA" w:rsidRPr="005D1CE8" w:rsidRDefault="00DC2701">
      <w:pPr>
        <w:tabs>
          <w:tab w:val="left" w:pos="4962"/>
        </w:tabs>
        <w:spacing w:after="0" w:line="360" w:lineRule="auto"/>
        <w:ind w:right="-28"/>
      </w:pPr>
      <w:r w:rsidRPr="005D1CE8">
        <w:t xml:space="preserve">Además, el Instructivo de llenado del Formato “Personal de Seguridad Pública”, del Secretariado Ejecutivo del Sistema Nacional de Seguridad Pública, establece que los elementos operativos de seguridad pública, son aquellos que desempeñan funciones de campo (policiales, especializadas o equivalentes y que no </w:t>
      </w:r>
      <w:r w:rsidRPr="005D1CE8">
        <w:rPr>
          <w:b/>
        </w:rPr>
        <w:t>desempeña funciones de mando</w:t>
      </w:r>
      <w:r w:rsidRPr="005D1CE8">
        <w:t xml:space="preserve">), entre los cuales, se encuentra </w:t>
      </w:r>
      <w:r w:rsidRPr="005D1CE8">
        <w:rPr>
          <w:b/>
        </w:rPr>
        <w:t>la Policía Municipal</w:t>
      </w:r>
      <w:r w:rsidRPr="005D1CE8">
        <w:t>.</w:t>
      </w:r>
    </w:p>
    <w:p w14:paraId="518DAE0C" w14:textId="77777777" w:rsidR="00F65DEA" w:rsidRPr="005D1CE8" w:rsidRDefault="00F65DEA">
      <w:pPr>
        <w:tabs>
          <w:tab w:val="left" w:pos="4962"/>
        </w:tabs>
        <w:spacing w:after="0" w:line="360" w:lineRule="auto"/>
        <w:ind w:right="-28"/>
      </w:pPr>
    </w:p>
    <w:p w14:paraId="435AF18E" w14:textId="77777777" w:rsidR="00F65DEA" w:rsidRPr="005D1CE8" w:rsidRDefault="00DC2701">
      <w:pPr>
        <w:tabs>
          <w:tab w:val="left" w:pos="4962"/>
        </w:tabs>
        <w:spacing w:after="0" w:line="360" w:lineRule="auto"/>
        <w:ind w:right="-28"/>
      </w:pPr>
      <w:r w:rsidRPr="005D1CE8">
        <w:t xml:space="preserve">Asimismo, se advierte que las Instituciones Policiales, se conforman del personal </w:t>
      </w:r>
      <w:r w:rsidRPr="005D1CE8">
        <w:rPr>
          <w:b/>
        </w:rPr>
        <w:t>administrativo,</w:t>
      </w:r>
      <w:r w:rsidRPr="005D1CE8">
        <w:t xml:space="preserve"> que son los trabajadores de apoyo (chofer, personal de mantenimiento, servicios generales y área secretaría); </w:t>
      </w:r>
      <w:r w:rsidRPr="005D1CE8">
        <w:rPr>
          <w:b/>
        </w:rPr>
        <w:t>así como, el personal de mando</w:t>
      </w:r>
      <w:r w:rsidRPr="005D1CE8">
        <w:t xml:space="preserve"> (alto, medio y superior), que es aquel que realiza funciones de dirección, coordinación y supervisión, por lo cual, corresponde a aquel que tenga trabajadores a su cargo.</w:t>
      </w:r>
    </w:p>
    <w:p w14:paraId="12F19D58" w14:textId="77777777" w:rsidR="00F65DEA" w:rsidRPr="005D1CE8" w:rsidRDefault="00F65DEA">
      <w:pPr>
        <w:spacing w:after="0" w:line="360" w:lineRule="auto"/>
      </w:pPr>
    </w:p>
    <w:p w14:paraId="5A2DFAC1" w14:textId="77777777" w:rsidR="00F65DEA" w:rsidRPr="005D1CE8" w:rsidRDefault="00DC2701">
      <w:pPr>
        <w:spacing w:after="0" w:line="360" w:lineRule="auto"/>
      </w:pPr>
      <w:r w:rsidRPr="005D1CE8">
        <w:t>Así, dar a conocer el nombre de las personas, vinculado con el hecho que son policías,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14:paraId="30F9AA63" w14:textId="77777777" w:rsidR="00F65DEA" w:rsidRPr="005D1CE8" w:rsidRDefault="00F65DEA">
      <w:pPr>
        <w:spacing w:after="0" w:line="360" w:lineRule="auto"/>
      </w:pPr>
    </w:p>
    <w:p w14:paraId="750A5D7F" w14:textId="77777777" w:rsidR="00F65DEA" w:rsidRPr="005D1CE8" w:rsidRDefault="00DC2701">
      <w:pPr>
        <w:spacing w:after="0" w:line="360" w:lineRule="auto"/>
      </w:pPr>
      <w:r w:rsidRPr="005D1CE8">
        <w:lastRenderedPageBreak/>
        <w:t xml:space="preserve">Sin embargo, por lo que hace al </w:t>
      </w:r>
      <w:r w:rsidRPr="005D1CE8">
        <w:rPr>
          <w:b/>
        </w:rPr>
        <w:t>personal administrativo y los mandos medios y superiores</w:t>
      </w:r>
      <w:r w:rsidRPr="005D1CE8">
        <w:t>, se advierte que estos no realizan funciones operativas, sino únicamente realizan actividades de apoyo y dirección respectivamente, por lo que, no procede la causal de reserva establecida en el artículo 140, fracción IV, de la Ley de la materia, pues por el tipo de funciones que realizan, no se pone en peligro su vida, seguridad o salud de este tipo de trabajadores.</w:t>
      </w:r>
    </w:p>
    <w:p w14:paraId="29B1C08F" w14:textId="77777777" w:rsidR="00F65DEA" w:rsidRPr="005D1CE8" w:rsidRDefault="00F65DEA">
      <w:pPr>
        <w:spacing w:after="0" w:line="360" w:lineRule="auto"/>
      </w:pPr>
    </w:p>
    <w:p w14:paraId="2334E553" w14:textId="77777777" w:rsidR="00F65DEA" w:rsidRPr="005D1CE8" w:rsidRDefault="00DC2701">
      <w:pPr>
        <w:spacing w:after="0" w:line="360" w:lineRule="auto"/>
      </w:pPr>
      <w:r w:rsidRPr="005D1CE8">
        <w:t>De tal situación, se considera que dar a conocer el nombre de los elementos operativos en materia de seguridad, como lo son los policías municipales, puede poner en riesgo la vida, seguridad y salud de estos, de sus familias e incluso su entorno social, pues al hacerlos identificables, los hacen blancos de los agentes delincuenciales o inclusive a la delincuencia organizada, los cuales podrían amenazar o causarles algún daño, con el fin de entorpecer o disminuir la seguridad pública y aumentar la comisión de actos ilícitos.</w:t>
      </w:r>
    </w:p>
    <w:p w14:paraId="3F4E5D8B" w14:textId="77777777" w:rsidR="00F65DEA" w:rsidRPr="005D1CE8" w:rsidRDefault="00F65DEA">
      <w:pPr>
        <w:spacing w:after="0" w:line="360" w:lineRule="auto"/>
      </w:pPr>
    </w:p>
    <w:p w14:paraId="3C6786C5" w14:textId="77777777" w:rsidR="00F65DEA" w:rsidRPr="005D1CE8" w:rsidRDefault="00DC2701">
      <w:pPr>
        <w:spacing w:after="0" w:line="360" w:lineRule="auto"/>
      </w:pPr>
      <w:r w:rsidRPr="005D1CE8">
        <w:t>Lo anterior toma relevancia pues los individuos con pretensiones delictivas pudieran promover algún vínculo o relación directa con los elementos operativos, que incluye a la policía municipal o bien, someterla a extorsión o amenazas con el fin de obtener información sensible sobre el modus operandi de dicha área, lo cual se traduciría en un detrimento al combate a la delincuencia y un perjuicio a la seguridad pública, vulnerando así, el interés general.</w:t>
      </w:r>
    </w:p>
    <w:p w14:paraId="6AAA1545" w14:textId="77777777" w:rsidR="00F65DEA" w:rsidRPr="005D1CE8" w:rsidRDefault="00F65DEA">
      <w:pPr>
        <w:spacing w:after="0" w:line="360" w:lineRule="auto"/>
      </w:pPr>
    </w:p>
    <w:p w14:paraId="19FEF2E0" w14:textId="77777777" w:rsidR="00F65DEA" w:rsidRPr="005D1CE8" w:rsidRDefault="00DC2701">
      <w:pPr>
        <w:spacing w:after="0" w:line="360" w:lineRule="auto"/>
      </w:pPr>
      <w:r w:rsidRPr="005D1CE8">
        <w:t xml:space="preserve">Por tales consideraciones, </w:t>
      </w:r>
      <w:r w:rsidRPr="005D1CE8">
        <w:rPr>
          <w:b/>
        </w:rPr>
        <w:t>resulta procedente la reserva del nombre de los elementos operativos adscritos a la</w:t>
      </w:r>
      <w:r w:rsidRPr="005D1CE8">
        <w:rPr>
          <w:b/>
          <w:color w:val="000000"/>
        </w:rPr>
        <w:t xml:space="preserve"> Dirección de Seguridad Pública y Vialidad</w:t>
      </w:r>
      <w:r w:rsidRPr="005D1CE8">
        <w:rPr>
          <w:b/>
        </w:rPr>
        <w:t xml:space="preserve">, en términos del artículo 140, fracción IV, de la Ley de Transparencia y Acceso a la Información Pública del Estado de México y Municipios. </w:t>
      </w:r>
      <w:r w:rsidRPr="005D1CE8">
        <w:rPr>
          <w:b/>
          <w:u w:val="single"/>
        </w:rPr>
        <w:t>No obstante, no podrá clasificar al personal administrativo, ni los mandos medios o superiores de dicha área.</w:t>
      </w:r>
    </w:p>
    <w:p w14:paraId="64B84A0C" w14:textId="77777777" w:rsidR="00F65DEA" w:rsidRPr="005D1CE8" w:rsidRDefault="00F65DEA">
      <w:pPr>
        <w:spacing w:after="0" w:line="360" w:lineRule="auto"/>
        <w:rPr>
          <w:b/>
        </w:rPr>
      </w:pPr>
    </w:p>
    <w:p w14:paraId="0CFDA3ED" w14:textId="77777777" w:rsidR="00F65DEA" w:rsidRPr="005D1CE8" w:rsidRDefault="00DC2701">
      <w:pPr>
        <w:tabs>
          <w:tab w:val="left" w:pos="4962"/>
        </w:tabs>
        <w:spacing w:after="0" w:line="360" w:lineRule="auto"/>
      </w:pPr>
      <w:r w:rsidRPr="005D1CE8">
        <w:t xml:space="preserve">Sobre el particular, cabe traer a colación el artículo 141 de la Ley de Transparencia y Acceso a la Información Pública del Estado de México y Municipios, que establece que las causales de </w:t>
      </w:r>
      <w:r w:rsidRPr="005D1CE8">
        <w:lastRenderedPageBreak/>
        <w:t>reserva se deberán fundar y motivar, a través de la aplicación de la prueba de daño establecida en el artículo 129 de dicho ordenamiento, que se debe justificar de la siguiente manera:</w:t>
      </w:r>
    </w:p>
    <w:p w14:paraId="79866E58" w14:textId="77777777" w:rsidR="00F65DEA" w:rsidRPr="005D1CE8" w:rsidRDefault="00F65DEA">
      <w:pPr>
        <w:tabs>
          <w:tab w:val="left" w:pos="4962"/>
        </w:tabs>
        <w:spacing w:after="0" w:line="360" w:lineRule="auto"/>
      </w:pPr>
    </w:p>
    <w:p w14:paraId="35442F77" w14:textId="77777777" w:rsidR="00F65DEA" w:rsidRPr="005D1CE8" w:rsidRDefault="00DC2701">
      <w:pPr>
        <w:numPr>
          <w:ilvl w:val="0"/>
          <w:numId w:val="3"/>
        </w:numPr>
        <w:tabs>
          <w:tab w:val="left" w:pos="4962"/>
        </w:tabs>
        <w:spacing w:after="0" w:line="360" w:lineRule="auto"/>
        <w:ind w:left="709" w:hanging="436"/>
      </w:pPr>
      <w:r w:rsidRPr="005D1CE8">
        <w:t>La divulgación de la información representa un riesgo real, demostrable e identificable de perjuicio significativo al interés público o a la seguridad nacional.</w:t>
      </w:r>
    </w:p>
    <w:p w14:paraId="13DDA7B3" w14:textId="77777777" w:rsidR="00F65DEA" w:rsidRPr="005D1CE8" w:rsidRDefault="00F65DEA">
      <w:pPr>
        <w:tabs>
          <w:tab w:val="left" w:pos="4962"/>
        </w:tabs>
        <w:spacing w:after="0" w:line="360" w:lineRule="auto"/>
        <w:ind w:left="709"/>
      </w:pPr>
    </w:p>
    <w:p w14:paraId="39772BBC" w14:textId="77777777" w:rsidR="00F65DEA" w:rsidRPr="005D1CE8" w:rsidRDefault="00DC2701">
      <w:pPr>
        <w:numPr>
          <w:ilvl w:val="0"/>
          <w:numId w:val="3"/>
        </w:numPr>
        <w:tabs>
          <w:tab w:val="left" w:pos="4962"/>
        </w:tabs>
        <w:spacing w:after="0" w:line="360" w:lineRule="auto"/>
        <w:ind w:left="709" w:hanging="436"/>
        <w:jc w:val="left"/>
      </w:pPr>
      <w:r w:rsidRPr="005D1CE8">
        <w:t>El riesgo de perjuicio supera el interés público general de que se difunda.</w:t>
      </w:r>
    </w:p>
    <w:p w14:paraId="2BD59D7F" w14:textId="77777777" w:rsidR="00F65DEA" w:rsidRPr="005D1CE8" w:rsidRDefault="00F65DEA">
      <w:pPr>
        <w:tabs>
          <w:tab w:val="left" w:pos="4962"/>
        </w:tabs>
        <w:spacing w:after="0" w:line="360" w:lineRule="auto"/>
        <w:jc w:val="left"/>
      </w:pPr>
    </w:p>
    <w:p w14:paraId="3D07CE94" w14:textId="77777777" w:rsidR="00F65DEA" w:rsidRPr="005D1CE8" w:rsidRDefault="00DC2701">
      <w:pPr>
        <w:numPr>
          <w:ilvl w:val="0"/>
          <w:numId w:val="3"/>
        </w:numPr>
        <w:tabs>
          <w:tab w:val="left" w:pos="4962"/>
        </w:tabs>
        <w:spacing w:after="0" w:line="360" w:lineRule="auto"/>
        <w:ind w:left="709" w:hanging="436"/>
        <w:jc w:val="left"/>
      </w:pPr>
      <w:r w:rsidRPr="005D1CE8">
        <w:t>Que la limitación se adecua al principio de proporcionalidad y representa el medio menos restrictivo disponible para evitar el perjuicio.</w:t>
      </w:r>
    </w:p>
    <w:p w14:paraId="6F8CDB81" w14:textId="77777777" w:rsidR="00F65DEA" w:rsidRPr="005D1CE8" w:rsidRDefault="00F65DEA">
      <w:pPr>
        <w:spacing w:after="0" w:line="360" w:lineRule="auto"/>
        <w:jc w:val="left"/>
      </w:pPr>
    </w:p>
    <w:p w14:paraId="09CDD89B" w14:textId="77777777" w:rsidR="00F65DEA" w:rsidRPr="005D1CE8" w:rsidRDefault="00DC2701">
      <w:pPr>
        <w:spacing w:after="0" w:line="360" w:lineRule="auto"/>
      </w:pPr>
      <w:r w:rsidRPr="005D1CE8">
        <w:t xml:space="preserve">Además, el artículo 125 de la Ley de la materia, establece que la información clasificada como reservada según el artículo 140 de la Ley de Transparencia y Acceso a la Información Pública del Estado de México y Municipios, podrá permanecer con tal carácter hasta por un periodo de cinco años. </w:t>
      </w:r>
    </w:p>
    <w:p w14:paraId="38FB65A3" w14:textId="77777777" w:rsidR="00F65DEA" w:rsidRPr="005D1CE8" w:rsidRDefault="00F65DEA">
      <w:pPr>
        <w:spacing w:after="0" w:line="360" w:lineRule="auto"/>
      </w:pPr>
    </w:p>
    <w:p w14:paraId="1F76E1F4" w14:textId="77777777" w:rsidR="00F65DEA" w:rsidRPr="005D1CE8" w:rsidRDefault="00DC2701">
      <w:pPr>
        <w:spacing w:after="0" w:line="360" w:lineRule="auto"/>
      </w:pPr>
      <w:r w:rsidRPr="005D1CE8">
        <w:t>Asimismo señala que los documentos reservados serán desclasificados cuando se extingan las causas que dieron origen a su clasificación, expire el plazo establecido, exista resolución de una autoridad competente que determine que existe una causa de interés público que prevalece sobre la reserva de la información, o bien el Comité de Transparencia considere pertinente la desclasificación o se trate de información que esté relacionada con violaciones graves a derechos humanos o delitos de lesa humanidad; por lo que, en las versiones públicas, deberá clasificar el nombre de los elementos operativos de la</w:t>
      </w:r>
      <w:r w:rsidRPr="005D1CE8">
        <w:rPr>
          <w:color w:val="000000"/>
        </w:rPr>
        <w:t xml:space="preserve"> Dirección de Seguridad Pública y Vialidad</w:t>
      </w:r>
      <w:r w:rsidRPr="005D1CE8">
        <w:t>, de manera fundada y motivada, mediante la respectiva prueba de daño, y deberá proporcionar la información del personal administrativo y mandos medios y superiores de dicha área.</w:t>
      </w:r>
    </w:p>
    <w:p w14:paraId="2EC708E9" w14:textId="77777777" w:rsidR="00F65DEA" w:rsidRPr="005D1CE8" w:rsidRDefault="00F65DEA">
      <w:pPr>
        <w:spacing w:after="0" w:line="360" w:lineRule="auto"/>
        <w:rPr>
          <w:color w:val="000000"/>
        </w:rPr>
      </w:pPr>
    </w:p>
    <w:p w14:paraId="24ADA01F" w14:textId="2E341642" w:rsidR="00F65DEA" w:rsidRPr="005D1CE8" w:rsidRDefault="00DC2701" w:rsidP="000A5074">
      <w:pPr>
        <w:spacing w:after="0" w:line="360" w:lineRule="auto"/>
      </w:pPr>
      <w:r w:rsidRPr="005D1CE8">
        <w:lastRenderedPageBreak/>
        <w:t xml:space="preserve">Por tales consideraciones, se concluye que el Sujeto Obligado no satisfizo el derecho de acceso a la información en su totalidad, pues en los listados proporcionados testó en su totalidad información que se desconoce su contenido y no se entregó el acuerdo emitido por el Comité de Transparencia en el que se respalde la versión pública, lo cual da como resultado que el agravio sea </w:t>
      </w:r>
      <w:r w:rsidRPr="005D1CE8">
        <w:rPr>
          <w:b/>
        </w:rPr>
        <w:t>FUNDADO</w:t>
      </w:r>
      <w:r w:rsidR="000A5074" w:rsidRPr="005D1CE8">
        <w:rPr>
          <w:b/>
        </w:rPr>
        <w:t xml:space="preserve">; </w:t>
      </w:r>
      <w:r w:rsidR="000A5074" w:rsidRPr="005D1CE8">
        <w:rPr>
          <w:bCs/>
        </w:rPr>
        <w:t>por lo que, para atender el requerimiento de información, el Sujeto Obligado deberá entregar los reportes de nómina entregados en respuesta, en donde únicamente podrá clasificar el nombre de los elmentos operativos en materia de seguridad, en términos del artículo 140, fracción IV, de la Ley de la materia</w:t>
      </w:r>
      <w:r w:rsidR="00F16D49" w:rsidRPr="005D1CE8">
        <w:rPr>
          <w:bCs/>
        </w:rPr>
        <w:t xml:space="preserve"> y deberá dejar visible el resto de los datos, al guardar la naturaleza de públicos.</w:t>
      </w:r>
    </w:p>
    <w:p w14:paraId="33E4980F" w14:textId="77777777" w:rsidR="00F65DEA" w:rsidRPr="005D1CE8" w:rsidRDefault="00F65DEA">
      <w:pPr>
        <w:spacing w:after="0" w:line="360" w:lineRule="auto"/>
        <w:rPr>
          <w:b/>
        </w:rPr>
      </w:pPr>
    </w:p>
    <w:p w14:paraId="63AA4646" w14:textId="77777777" w:rsidR="00F65DEA" w:rsidRPr="005D1CE8" w:rsidRDefault="00DC2701">
      <w:pPr>
        <w:spacing w:after="0" w:line="360" w:lineRule="auto"/>
      </w:pPr>
      <w:r w:rsidRPr="005D1CE8">
        <w:rPr>
          <w:color w:val="000000"/>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1656C892" w14:textId="77777777" w:rsidR="00F65DEA" w:rsidRPr="005D1CE8" w:rsidRDefault="00F65DEA">
      <w:pPr>
        <w:spacing w:after="0" w:line="360" w:lineRule="auto"/>
      </w:pPr>
    </w:p>
    <w:p w14:paraId="1A59340D" w14:textId="77777777" w:rsidR="00F65DEA" w:rsidRPr="005D1CE8" w:rsidRDefault="00DC2701">
      <w:pPr>
        <w:pStyle w:val="Ttulo2"/>
        <w:spacing w:before="0" w:after="0"/>
        <w:rPr>
          <w:b w:val="0"/>
        </w:rPr>
      </w:pPr>
      <w:bookmarkStart w:id="14" w:name="_Toc209098656"/>
      <w:r w:rsidRPr="005D1CE8">
        <w:t>SEXTO. Decisión</w:t>
      </w:r>
      <w:bookmarkEnd w:id="14"/>
    </w:p>
    <w:p w14:paraId="6B2E943D" w14:textId="77777777" w:rsidR="00F65DEA" w:rsidRPr="005D1CE8" w:rsidRDefault="00F65DEA">
      <w:pPr>
        <w:spacing w:after="0" w:line="360" w:lineRule="auto"/>
        <w:rPr>
          <w:b/>
        </w:rPr>
      </w:pPr>
    </w:p>
    <w:p w14:paraId="74F9C6DE" w14:textId="77777777" w:rsidR="00F65DEA" w:rsidRPr="005D1CE8" w:rsidRDefault="00DC2701">
      <w:pPr>
        <w:spacing w:after="0" w:line="360" w:lineRule="auto"/>
      </w:pPr>
      <w:r w:rsidRPr="005D1CE8">
        <w:t xml:space="preserve">Con fundamento en el artículo 186, fracción III, de la Ley de Transparencia y Acceso a la Información Pública del Estado de México y Municipios, este Instituto considera procedente </w:t>
      </w:r>
      <w:r w:rsidRPr="005D1CE8">
        <w:rPr>
          <w:b/>
        </w:rPr>
        <w:t>MODIFICAR</w:t>
      </w:r>
      <w:r w:rsidRPr="005D1CE8">
        <w:t xml:space="preserve"> la respuesta otorgada por el Sujeto Obligado a la solicitud de información 00116/TEPETLIX/IP/2025, por resultar fundadas las razones o motivos de inconformidad hechos valer por la parte Recurrente, en el Recurso de Revisión 08551/INFOEM/IP/RR/2025, en consecuencia procede </w:t>
      </w:r>
      <w:r w:rsidRPr="005D1CE8">
        <w:rPr>
          <w:b/>
        </w:rPr>
        <w:t xml:space="preserve">ORDENAR, </w:t>
      </w:r>
      <w:r w:rsidRPr="005D1CE8">
        <w:t>la entrega de la información en los términos expuestos.</w:t>
      </w:r>
    </w:p>
    <w:p w14:paraId="2D4F2344" w14:textId="77777777" w:rsidR="00F65DEA" w:rsidRPr="005D1CE8" w:rsidRDefault="00F65DEA">
      <w:pPr>
        <w:spacing w:after="0" w:line="360" w:lineRule="auto"/>
      </w:pPr>
    </w:p>
    <w:p w14:paraId="5008C1D7" w14:textId="77777777" w:rsidR="00F65DEA" w:rsidRPr="005D1CE8" w:rsidRDefault="00DC2701">
      <w:pPr>
        <w:spacing w:after="0" w:line="360" w:lineRule="auto"/>
        <w:rPr>
          <w:b/>
          <w:u w:val="single"/>
        </w:rPr>
      </w:pPr>
      <w:r w:rsidRPr="005D1CE8">
        <w:rPr>
          <w:b/>
          <w:u w:val="single"/>
        </w:rPr>
        <w:t>Términos de la Resolución para la parte Recurrente:</w:t>
      </w:r>
    </w:p>
    <w:p w14:paraId="7B0142A6" w14:textId="77777777" w:rsidR="00F65DEA" w:rsidRPr="005D1CE8" w:rsidRDefault="00F65DEA">
      <w:pPr>
        <w:spacing w:after="0" w:line="360" w:lineRule="auto"/>
      </w:pPr>
    </w:p>
    <w:p w14:paraId="7A66C992" w14:textId="77777777" w:rsidR="00F65DEA" w:rsidRPr="005D1CE8" w:rsidRDefault="00DC2701">
      <w:pPr>
        <w:spacing w:after="0" w:line="360" w:lineRule="auto"/>
        <w:rPr>
          <w:u w:val="single"/>
        </w:rPr>
      </w:pPr>
      <w:r w:rsidRPr="005D1CE8">
        <w:rPr>
          <w:u w:val="single"/>
        </w:rPr>
        <w:lastRenderedPageBreak/>
        <w:t xml:space="preserve">Se hace del conocimiento de parte Recurrente que este Organismo Garante determinó concederle la razón, puesto que el Sujeto Obligado entregó listados en los que testó información sin acompañarla de un acuerdo por parte del Comité de Transparencia, por tanto, se ordena la entrega de la información en versión pública correcta.  </w:t>
      </w:r>
    </w:p>
    <w:p w14:paraId="544FDC33" w14:textId="77777777" w:rsidR="00F65DEA" w:rsidRPr="005D1CE8" w:rsidRDefault="00F65DEA">
      <w:pPr>
        <w:spacing w:after="0" w:line="360" w:lineRule="auto"/>
        <w:rPr>
          <w:u w:val="single"/>
        </w:rPr>
      </w:pPr>
    </w:p>
    <w:p w14:paraId="16BF7B9A" w14:textId="77777777" w:rsidR="00F65DEA" w:rsidRPr="005D1CE8" w:rsidRDefault="00DC2701">
      <w:pPr>
        <w:spacing w:after="0" w:line="360" w:lineRule="auto"/>
        <w:rPr>
          <w:u w:val="single"/>
        </w:rPr>
      </w:pPr>
      <w:r w:rsidRPr="005D1CE8">
        <w:rPr>
          <w:u w:val="single"/>
        </w:rPr>
        <w:t>Es necesario mencionar que para el caso de que la información tenga información confidencial o reservada, la misma debe ser testada y se entregará acompañada de un acuerdo en el que se expresen las razones por las que se protege dicha información.</w:t>
      </w:r>
    </w:p>
    <w:p w14:paraId="4AF58C13" w14:textId="77777777" w:rsidR="00F65DEA" w:rsidRPr="005D1CE8" w:rsidRDefault="00F65DEA">
      <w:pPr>
        <w:spacing w:after="0" w:line="360" w:lineRule="auto"/>
        <w:rPr>
          <w:u w:val="single"/>
        </w:rPr>
      </w:pPr>
    </w:p>
    <w:p w14:paraId="490B9988" w14:textId="77777777" w:rsidR="00F65DEA" w:rsidRPr="005D1CE8" w:rsidRDefault="00DC2701">
      <w:pPr>
        <w:spacing w:after="0" w:line="360" w:lineRule="auto"/>
        <w:rPr>
          <w:u w:val="single"/>
        </w:rPr>
      </w:pPr>
      <w:r w:rsidRPr="005D1CE8">
        <w:rPr>
          <w:u w:val="single"/>
        </w:rPr>
        <w:t>La labor del INFOEM, es apoyar a la población para acceder a la información pública y garantizar la protección de sus datos personales.</w:t>
      </w:r>
    </w:p>
    <w:p w14:paraId="5D0DCE12" w14:textId="77777777" w:rsidR="00F65DEA" w:rsidRPr="005D1CE8" w:rsidRDefault="00F65DEA">
      <w:pPr>
        <w:spacing w:after="0" w:line="360" w:lineRule="auto"/>
        <w:rPr>
          <w:u w:val="single"/>
        </w:rPr>
      </w:pPr>
    </w:p>
    <w:p w14:paraId="75A7764E" w14:textId="77777777" w:rsidR="00F65DEA" w:rsidRPr="005D1CE8" w:rsidRDefault="00DC2701">
      <w:pPr>
        <w:pStyle w:val="Ttulo1"/>
        <w:spacing w:before="0" w:after="0"/>
        <w:rPr>
          <w:b w:val="0"/>
          <w:sz w:val="22"/>
          <w:szCs w:val="22"/>
        </w:rPr>
      </w:pPr>
      <w:bookmarkStart w:id="15" w:name="_Toc209098657"/>
      <w:r w:rsidRPr="005D1CE8">
        <w:rPr>
          <w:sz w:val="22"/>
          <w:szCs w:val="22"/>
        </w:rPr>
        <w:t>R E S U E L V E</w:t>
      </w:r>
      <w:bookmarkEnd w:id="15"/>
    </w:p>
    <w:p w14:paraId="34729283" w14:textId="77777777" w:rsidR="00F65DEA" w:rsidRPr="005D1CE8" w:rsidRDefault="00F65DEA">
      <w:pPr>
        <w:spacing w:after="0" w:line="360" w:lineRule="auto"/>
        <w:rPr>
          <w:b/>
        </w:rPr>
      </w:pPr>
    </w:p>
    <w:p w14:paraId="2A6B6EF4" w14:textId="69798908" w:rsidR="00F65DEA" w:rsidRPr="005D1CE8" w:rsidRDefault="00DC2701">
      <w:pPr>
        <w:spacing w:after="0" w:line="360" w:lineRule="auto"/>
      </w:pPr>
      <w:r w:rsidRPr="005D1CE8">
        <w:rPr>
          <w:b/>
        </w:rPr>
        <w:t xml:space="preserve">PRIMERO. </w:t>
      </w:r>
      <w:r w:rsidRPr="005D1CE8">
        <w:t xml:space="preserve">Se </w:t>
      </w:r>
      <w:r w:rsidRPr="005D1CE8">
        <w:rPr>
          <w:b/>
        </w:rPr>
        <w:t>MODIFICA</w:t>
      </w:r>
      <w:r w:rsidRPr="005D1CE8">
        <w:t xml:space="preserve"> la respuesta entregada por el Ayuntamiento de Tepetlixpa a la solicitud de información 00116/TEPETLIX/IP/2025 por resultar </w:t>
      </w:r>
      <w:r w:rsidR="000A5074" w:rsidRPr="005D1CE8">
        <w:rPr>
          <w:b/>
          <w:bCs/>
        </w:rPr>
        <w:t>FUNDADAS</w:t>
      </w:r>
      <w:r w:rsidRPr="005D1CE8">
        <w:t xml:space="preserve"> las razones o motivos de inconformidad hechos valer por la persona Recurrente en el Recurso de Revisión 08551/INFOEM/IP/RR/2025, en términos de los considerandos QUINTO y SEXTO de la presente Resolución.</w:t>
      </w:r>
    </w:p>
    <w:p w14:paraId="768C456D" w14:textId="77777777" w:rsidR="00F65DEA" w:rsidRPr="005D1CE8" w:rsidRDefault="00F65DEA">
      <w:pPr>
        <w:spacing w:after="0" w:line="360" w:lineRule="auto"/>
      </w:pPr>
    </w:p>
    <w:p w14:paraId="7E506F0A" w14:textId="2095495F" w:rsidR="00F65DEA" w:rsidRPr="005D1CE8" w:rsidRDefault="00DC2701">
      <w:pPr>
        <w:spacing w:after="0" w:line="360" w:lineRule="auto"/>
        <w:rPr>
          <w:bCs/>
        </w:rPr>
      </w:pPr>
      <w:r w:rsidRPr="005D1CE8">
        <w:rPr>
          <w:b/>
        </w:rPr>
        <w:t xml:space="preserve">SEGUNDO. </w:t>
      </w:r>
      <w:r w:rsidRPr="005D1CE8">
        <w:t xml:space="preserve">Se </w:t>
      </w:r>
      <w:r w:rsidRPr="005D1CE8">
        <w:rPr>
          <w:b/>
        </w:rPr>
        <w:t>ORDENA</w:t>
      </w:r>
      <w:r w:rsidRPr="005D1CE8">
        <w:t xml:space="preserve"> al Sujeto Obligado, a efecto de entregue, a través del SAIMEX,</w:t>
      </w:r>
      <w:r w:rsidRPr="005D1CE8">
        <w:rPr>
          <w:b/>
        </w:rPr>
        <w:t xml:space="preserve"> </w:t>
      </w:r>
      <w:r w:rsidR="00F16D49" w:rsidRPr="005D1CE8">
        <w:rPr>
          <w:bCs/>
        </w:rPr>
        <w:t>en versión pública, los Reportes de Nómina entregados en respuesta.</w:t>
      </w:r>
    </w:p>
    <w:p w14:paraId="6EC0C9FE" w14:textId="77777777" w:rsidR="00F65DEA" w:rsidRPr="005D1CE8" w:rsidRDefault="00F65DEA">
      <w:pPr>
        <w:spacing w:after="0" w:line="360" w:lineRule="auto"/>
      </w:pPr>
    </w:p>
    <w:p w14:paraId="7511FCBF" w14:textId="5FE56F6E" w:rsidR="00F65DEA" w:rsidRPr="005D1CE8" w:rsidRDefault="00DC2701">
      <w:pPr>
        <w:spacing w:after="0" w:line="360" w:lineRule="auto"/>
      </w:pPr>
      <w:bookmarkStart w:id="16" w:name="_heading=h.argy21qnkmhr" w:colFirst="0" w:colLast="0"/>
      <w:bookmarkEnd w:id="16"/>
      <w:r w:rsidRPr="005D1CE8">
        <w:rPr>
          <w:color w:val="000000"/>
        </w:rPr>
        <w:t xml:space="preserve">Además, </w:t>
      </w:r>
      <w:r w:rsidRPr="005D1CE8">
        <w:t xml:space="preserve">deberá proporcionar el Acuerdo de Clasificación donde el Comité de Transparencia, confirme la eliminación de los datos, en la versión pública, </w:t>
      </w:r>
      <w:r w:rsidR="00F16D49" w:rsidRPr="005D1CE8">
        <w:t xml:space="preserve">en términos del Considerando QUINTO, </w:t>
      </w:r>
      <w:r w:rsidRPr="005D1CE8">
        <w:t>de conformidad con los artículos 49, fracciones II y VIII y 132, fracción II de la Ley de Transparencia y Acceso a la Información Pública del Estado de México y Municipios.</w:t>
      </w:r>
    </w:p>
    <w:p w14:paraId="5C26DBB0" w14:textId="77777777" w:rsidR="00F65DEA" w:rsidRPr="005D1CE8" w:rsidRDefault="00DC2701">
      <w:pPr>
        <w:spacing w:after="0" w:line="360" w:lineRule="auto"/>
      </w:pPr>
      <w:r w:rsidRPr="005D1CE8">
        <w:rPr>
          <w:b/>
        </w:rPr>
        <w:lastRenderedPageBreak/>
        <w:t xml:space="preserve">TERCERO. NOTIFÍQUESE POR SAIMEX </w:t>
      </w:r>
      <w:r w:rsidRPr="005D1CE8">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referida.</w:t>
      </w:r>
    </w:p>
    <w:p w14:paraId="59C6DDD5" w14:textId="77777777" w:rsidR="00F65DEA" w:rsidRPr="005D1CE8" w:rsidRDefault="00F65DEA">
      <w:pPr>
        <w:spacing w:after="0" w:line="360" w:lineRule="auto"/>
      </w:pPr>
    </w:p>
    <w:p w14:paraId="3D3907A0" w14:textId="77777777" w:rsidR="00F65DEA" w:rsidRPr="005D1CE8" w:rsidRDefault="00DC2701">
      <w:pPr>
        <w:spacing w:after="0" w:line="360" w:lineRule="auto"/>
      </w:pPr>
      <w:r w:rsidRPr="005D1CE8">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FE65765" w14:textId="77777777" w:rsidR="00F65DEA" w:rsidRPr="005D1CE8" w:rsidRDefault="00F65DEA">
      <w:pPr>
        <w:spacing w:after="0" w:line="360" w:lineRule="auto"/>
      </w:pPr>
    </w:p>
    <w:p w14:paraId="52B3A877" w14:textId="77777777" w:rsidR="00F65DEA" w:rsidRPr="005D1CE8" w:rsidRDefault="00DC2701">
      <w:pPr>
        <w:spacing w:after="0" w:line="360" w:lineRule="auto"/>
      </w:pPr>
      <w:r w:rsidRPr="005D1CE8">
        <w:rPr>
          <w:b/>
        </w:rPr>
        <w:t>CUARTO. NOTIFÍQUESE</w:t>
      </w:r>
      <w:r w:rsidRPr="005D1CE8">
        <w:t xml:space="preserve"> </w:t>
      </w:r>
      <w:r w:rsidRPr="005D1CE8">
        <w:rPr>
          <w:b/>
        </w:rPr>
        <w:t xml:space="preserve">POR SAIMEX </w:t>
      </w:r>
      <w:r w:rsidRPr="005D1CE8">
        <w:t>a la parte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5152B0DA" w14:textId="77777777" w:rsidR="00F65DEA" w:rsidRPr="005D1CE8" w:rsidRDefault="00F65DEA">
      <w:pPr>
        <w:spacing w:after="0" w:line="360" w:lineRule="auto"/>
      </w:pPr>
    </w:p>
    <w:p w14:paraId="6C5769F1" w14:textId="0F8CA55B" w:rsidR="00F65DEA" w:rsidRDefault="00DC2701">
      <w:pPr>
        <w:spacing w:after="0" w:line="360" w:lineRule="auto"/>
      </w:pPr>
      <w:r w:rsidRPr="005D1CE8">
        <w:t xml:space="preserve">ASÍ LO RESUELVE, POR </w:t>
      </w:r>
      <w:r w:rsidRPr="005D1CE8">
        <w:rPr>
          <w:b/>
        </w:rPr>
        <w:t>UNANIMIDAD</w:t>
      </w:r>
      <w:r w:rsidRPr="005D1CE8">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BD0ED7" w:rsidRPr="005D1CE8">
        <w:t xml:space="preserve"> (AUSENCIA JUSTIFICADA)</w:t>
      </w:r>
      <w:r w:rsidRPr="005D1CE8">
        <w:t>, LUIS GUSTAVO PARRA NORIEGA CON VOTO PARTICULAR Y GUADALUPE RAMÍREZ PEÑA</w:t>
      </w:r>
      <w:r w:rsidR="00BD0ED7" w:rsidRPr="005D1CE8">
        <w:t xml:space="preserve"> CON VOTO PARTICULAR</w:t>
      </w:r>
      <w:r w:rsidRPr="005D1CE8">
        <w:t xml:space="preserve">, EN LA TRIGÉSIMA TERCERA SESIÓN ORDINARIA, CELEBRADA EL </w:t>
      </w:r>
      <w:r w:rsidRPr="005D1CE8">
        <w:lastRenderedPageBreak/>
        <w:t>DIECIOCHO DE SEPTIEMBRE DE DOS MIL VEINTICINCO, ANTE EL SECRETARIO TÉCNICO DEL PLENO, ALEXIS TAPIA RAMÍREZ.</w:t>
      </w:r>
    </w:p>
    <w:p w14:paraId="70883F14" w14:textId="77777777" w:rsidR="00F65DEA" w:rsidRDefault="00F65DEA">
      <w:pPr>
        <w:pStyle w:val="Ttulo2"/>
        <w:spacing w:before="0" w:after="0"/>
        <w:rPr>
          <w:b w:val="0"/>
        </w:rPr>
      </w:pPr>
    </w:p>
    <w:p w14:paraId="35E8DE1F" w14:textId="77777777" w:rsidR="00F65DEA" w:rsidRDefault="00F65DEA">
      <w:pPr>
        <w:spacing w:after="0" w:line="360" w:lineRule="auto"/>
      </w:pPr>
    </w:p>
    <w:p w14:paraId="419E2ED7" w14:textId="77777777" w:rsidR="00F65DEA" w:rsidRDefault="00F65DEA">
      <w:pPr>
        <w:spacing w:after="0" w:line="360" w:lineRule="auto"/>
      </w:pPr>
    </w:p>
    <w:p w14:paraId="6C77D74D" w14:textId="77777777" w:rsidR="00F65DEA" w:rsidRDefault="00F65DEA">
      <w:pPr>
        <w:spacing w:after="0" w:line="360" w:lineRule="auto"/>
      </w:pPr>
    </w:p>
    <w:p w14:paraId="4C8BA613" w14:textId="77777777" w:rsidR="00F65DEA" w:rsidRDefault="00F65DEA">
      <w:pPr>
        <w:spacing w:after="0" w:line="360" w:lineRule="auto"/>
      </w:pPr>
    </w:p>
    <w:p w14:paraId="246EFF8B" w14:textId="77777777" w:rsidR="00F65DEA" w:rsidRDefault="00F65DEA">
      <w:pPr>
        <w:spacing w:after="0" w:line="360" w:lineRule="auto"/>
      </w:pPr>
    </w:p>
    <w:p w14:paraId="514E4CC4" w14:textId="77777777" w:rsidR="00F65DEA" w:rsidRDefault="00F65DEA">
      <w:pPr>
        <w:spacing w:after="0" w:line="360" w:lineRule="auto"/>
      </w:pPr>
    </w:p>
    <w:p w14:paraId="43E3C9CE" w14:textId="77777777" w:rsidR="00F65DEA" w:rsidRDefault="00F65DEA">
      <w:pPr>
        <w:spacing w:after="0" w:line="360" w:lineRule="auto"/>
      </w:pPr>
    </w:p>
    <w:p w14:paraId="14C1AC12" w14:textId="77777777" w:rsidR="00F65DEA" w:rsidRDefault="00F65DEA">
      <w:pPr>
        <w:spacing w:after="0" w:line="360" w:lineRule="auto"/>
      </w:pPr>
    </w:p>
    <w:p w14:paraId="64F2E5E9" w14:textId="77777777" w:rsidR="00F65DEA" w:rsidRDefault="00F65DEA">
      <w:pPr>
        <w:spacing w:after="0" w:line="360" w:lineRule="auto"/>
      </w:pPr>
    </w:p>
    <w:p w14:paraId="556AFE66" w14:textId="77777777" w:rsidR="00F65DEA" w:rsidRDefault="00F65DEA">
      <w:pPr>
        <w:spacing w:after="0" w:line="360" w:lineRule="auto"/>
      </w:pPr>
    </w:p>
    <w:p w14:paraId="04AE7855" w14:textId="77777777" w:rsidR="00F65DEA" w:rsidRDefault="00F65DEA">
      <w:pPr>
        <w:spacing w:after="0" w:line="360" w:lineRule="auto"/>
      </w:pPr>
    </w:p>
    <w:p w14:paraId="344B1039" w14:textId="77777777" w:rsidR="00F65DEA" w:rsidRDefault="00F65DEA">
      <w:pPr>
        <w:spacing w:after="0" w:line="360" w:lineRule="auto"/>
      </w:pPr>
    </w:p>
    <w:p w14:paraId="3EBA2F27" w14:textId="77777777" w:rsidR="00F65DEA" w:rsidRDefault="00F65DEA">
      <w:pPr>
        <w:spacing w:after="0" w:line="360" w:lineRule="auto"/>
      </w:pPr>
    </w:p>
    <w:p w14:paraId="07AFB9D9" w14:textId="77777777" w:rsidR="00F65DEA" w:rsidRDefault="00F65DEA">
      <w:pPr>
        <w:spacing w:after="0" w:line="360" w:lineRule="auto"/>
      </w:pPr>
    </w:p>
    <w:p w14:paraId="7B7962AA" w14:textId="77777777" w:rsidR="00F65DEA" w:rsidRDefault="00F65DEA">
      <w:pPr>
        <w:spacing w:after="0" w:line="360" w:lineRule="auto"/>
      </w:pPr>
    </w:p>
    <w:p w14:paraId="7ACB13BB" w14:textId="77777777" w:rsidR="00F65DEA" w:rsidRDefault="00F65DEA">
      <w:pPr>
        <w:spacing w:after="0" w:line="360" w:lineRule="auto"/>
      </w:pPr>
    </w:p>
    <w:p w14:paraId="5BC0F66D" w14:textId="77777777" w:rsidR="00F65DEA" w:rsidRDefault="00F65DEA">
      <w:pPr>
        <w:spacing w:after="0" w:line="360" w:lineRule="auto"/>
      </w:pPr>
    </w:p>
    <w:p w14:paraId="14BA996E" w14:textId="77777777" w:rsidR="00F65DEA" w:rsidRDefault="00F65DEA">
      <w:pPr>
        <w:spacing w:after="0" w:line="360" w:lineRule="auto"/>
      </w:pPr>
    </w:p>
    <w:p w14:paraId="559CBEAB" w14:textId="77777777" w:rsidR="00F65DEA" w:rsidRDefault="00F65DEA">
      <w:pPr>
        <w:spacing w:after="0" w:line="360" w:lineRule="auto"/>
      </w:pPr>
    </w:p>
    <w:p w14:paraId="794B7850" w14:textId="77777777" w:rsidR="00F65DEA" w:rsidRDefault="00F65DEA">
      <w:pPr>
        <w:spacing w:after="0" w:line="360" w:lineRule="auto"/>
      </w:pPr>
    </w:p>
    <w:p w14:paraId="751CEE08" w14:textId="77777777" w:rsidR="00BD0ED7" w:rsidRDefault="00BD0ED7">
      <w:pPr>
        <w:spacing w:after="0" w:line="360" w:lineRule="auto"/>
      </w:pPr>
    </w:p>
    <w:p w14:paraId="69BD2593" w14:textId="77777777" w:rsidR="00BD0ED7" w:rsidRDefault="00BD0ED7">
      <w:pPr>
        <w:spacing w:after="0" w:line="360" w:lineRule="auto"/>
      </w:pPr>
    </w:p>
    <w:p w14:paraId="6984DFFC" w14:textId="77777777" w:rsidR="00BD0ED7" w:rsidRDefault="00BD0ED7">
      <w:pPr>
        <w:spacing w:after="0" w:line="360" w:lineRule="auto"/>
      </w:pPr>
    </w:p>
    <w:p w14:paraId="578B508B" w14:textId="77777777" w:rsidR="00BD0ED7" w:rsidRDefault="00BD0ED7">
      <w:pPr>
        <w:spacing w:after="0" w:line="360" w:lineRule="auto"/>
      </w:pPr>
    </w:p>
    <w:p w14:paraId="3DE92BEA" w14:textId="77777777" w:rsidR="00BD0ED7" w:rsidRDefault="00BD0ED7">
      <w:pPr>
        <w:spacing w:after="0" w:line="360" w:lineRule="auto"/>
      </w:pPr>
    </w:p>
    <w:p w14:paraId="6B6B7ACC" w14:textId="77777777" w:rsidR="00BD0ED7" w:rsidRDefault="00BD0ED7">
      <w:pPr>
        <w:spacing w:after="0" w:line="360" w:lineRule="auto"/>
      </w:pPr>
    </w:p>
    <w:p w14:paraId="5F539F3B" w14:textId="77777777" w:rsidR="00F65DEA" w:rsidRDefault="00F65DEA">
      <w:pPr>
        <w:spacing w:after="0" w:line="360" w:lineRule="auto"/>
      </w:pPr>
    </w:p>
    <w:p w14:paraId="2610722D" w14:textId="77777777" w:rsidR="00F65DEA" w:rsidRDefault="00F65DEA">
      <w:pPr>
        <w:spacing w:after="0" w:line="360" w:lineRule="auto"/>
      </w:pPr>
    </w:p>
    <w:p w14:paraId="5FF8F6B9" w14:textId="77777777" w:rsidR="00F65DEA" w:rsidRDefault="00F65DEA">
      <w:pPr>
        <w:spacing w:after="0" w:line="360" w:lineRule="auto"/>
      </w:pPr>
    </w:p>
    <w:sectPr w:rsidR="00F65DEA">
      <w:headerReference w:type="even" r:id="rId12"/>
      <w:headerReference w:type="default" r:id="rId13"/>
      <w:footerReference w:type="even" r:id="rId14"/>
      <w:footerReference w:type="default" r:id="rId15"/>
      <w:headerReference w:type="first" r:id="rId16"/>
      <w:footerReference w:type="first" r:id="rId17"/>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F44A74" w14:textId="77777777" w:rsidR="00C12B13" w:rsidRDefault="00C12B13">
      <w:pPr>
        <w:spacing w:after="0" w:line="240" w:lineRule="auto"/>
      </w:pPr>
      <w:r>
        <w:separator/>
      </w:r>
    </w:p>
  </w:endnote>
  <w:endnote w:type="continuationSeparator" w:id="0">
    <w:p w14:paraId="38C7CA38" w14:textId="77777777" w:rsidR="00C12B13" w:rsidRDefault="00C12B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1" w:fontKey="{4EF358B9-DDEC-40DE-A426-F863D131DB94}"/>
    <w:embedBold r:id="rId2" w:fontKey="{C058D1E4-DD45-493A-87C7-BD454B6D8AB3}"/>
    <w:embedItalic r:id="rId3" w:fontKey="{2C00EBBD-42AB-4B64-BB3E-1D1EF3959DD9}"/>
    <w:embedBoldItalic r:id="rId4" w:fontKey="{C0D33D0A-99E2-4822-A8A1-EA8FEF8761BC}"/>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AA50D39B-C1E0-4529-8F4D-BF499E0C3A1D}"/>
  </w:font>
  <w:font w:name="Georgia">
    <w:panose1 w:val="02040502050405020303"/>
    <w:charset w:val="00"/>
    <w:family w:val="roman"/>
    <w:pitch w:val="variable"/>
    <w:sig w:usb0="00000287" w:usb1="00000000" w:usb2="00000000" w:usb3="00000000" w:csb0="0000009F" w:csb1="00000000"/>
    <w:embedRegular r:id="rId6" w:fontKey="{1BEBB43E-B7E8-4EBD-8EC2-021AA850909B}"/>
    <w:embedItalic r:id="rId7" w:fontKey="{3A75FBDC-A1A3-4D8A-A69B-252B40935310}"/>
  </w:font>
  <w:font w:name="Calibri">
    <w:panose1 w:val="020F0502020204030204"/>
    <w:charset w:val="00"/>
    <w:family w:val="swiss"/>
    <w:pitch w:val="variable"/>
    <w:sig w:usb0="E4002EFF" w:usb1="C200247B" w:usb2="00000009" w:usb3="00000000" w:csb0="000001FF" w:csb1="00000000"/>
    <w:embedRegular r:id="rId8" w:fontKey="{6D2EDEBC-AD28-4B54-83EA-313FF139E6FC}"/>
    <w:embedBold r:id="rId9" w:fontKey="{1FF4FD45-89E6-43EF-A9C4-D2DC2A20164B}"/>
    <w:embedItalic r:id="rId10" w:fontKey="{29F43764-48FD-43CA-BED3-8A16F4DA3084}"/>
    <w:embedBoldItalic r:id="rId11" w:fontKey="{87F3D525-FF0A-4BAC-BE3D-58111B08A809}"/>
  </w:font>
  <w:font w:name="Garamond">
    <w:panose1 w:val="02020404030301010803"/>
    <w:charset w:val="00"/>
    <w:family w:val="roman"/>
    <w:pitch w:val="variable"/>
    <w:sig w:usb0="00000287" w:usb1="00000000" w:usb2="00000000" w:usb3="00000000" w:csb0="0000009F" w:csb1="00000000"/>
    <w:embedRegular r:id="rId12" w:fontKey="{3A478110-4E24-4C8F-8A41-BA3C8D76E5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627EE" w14:textId="1F46AF88" w:rsidR="00F65DEA" w:rsidRDefault="00DC2701">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BB52FA">
      <w:rPr>
        <w:b/>
        <w:noProof/>
        <w:color w:val="000000"/>
        <w:sz w:val="24"/>
        <w:szCs w:val="24"/>
      </w:rPr>
      <w:t>33</w:t>
    </w:r>
    <w:r>
      <w:rPr>
        <w:b/>
        <w:color w:val="000000"/>
        <w:sz w:val="24"/>
        <w:szCs w:val="24"/>
      </w:rPr>
      <w:fldChar w:fldCharType="end"/>
    </w:r>
  </w:p>
  <w:p w14:paraId="2146BA64" w14:textId="77777777" w:rsidR="00F65DEA" w:rsidRDefault="00F65DEA">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84126" w14:textId="3089CBE1" w:rsidR="00F65DEA" w:rsidRDefault="00DC2701">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BB52FA">
      <w:rPr>
        <w:b/>
        <w:noProof/>
        <w:color w:val="000000"/>
        <w:sz w:val="24"/>
        <w:szCs w:val="24"/>
      </w:rPr>
      <w:t>32</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BB52FA">
      <w:rPr>
        <w:b/>
        <w:noProof/>
        <w:color w:val="000000"/>
        <w:sz w:val="24"/>
        <w:szCs w:val="24"/>
      </w:rPr>
      <w:t>33</w:t>
    </w:r>
    <w:r>
      <w:rPr>
        <w:b/>
        <w:color w:val="000000"/>
        <w:sz w:val="24"/>
        <w:szCs w:val="24"/>
      </w:rPr>
      <w:fldChar w:fldCharType="end"/>
    </w:r>
  </w:p>
  <w:p w14:paraId="36182E1D" w14:textId="77777777" w:rsidR="00F65DEA" w:rsidRDefault="00F65DEA">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AF108" w14:textId="77777777" w:rsidR="00F65DEA" w:rsidRDefault="00DC2701">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BB52FA">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BB52FA">
      <w:rPr>
        <w:b/>
        <w:noProof/>
        <w:color w:val="000000"/>
        <w:sz w:val="24"/>
        <w:szCs w:val="24"/>
      </w:rPr>
      <w:t>33</w:t>
    </w:r>
    <w:r>
      <w:rPr>
        <w:b/>
        <w:color w:val="000000"/>
        <w:sz w:val="24"/>
        <w:szCs w:val="24"/>
      </w:rPr>
      <w:fldChar w:fldCharType="end"/>
    </w:r>
  </w:p>
  <w:p w14:paraId="7C5D892F" w14:textId="77777777" w:rsidR="00F65DEA" w:rsidRDefault="00F65DEA">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200842" w14:textId="77777777" w:rsidR="00C12B13" w:rsidRDefault="00C12B13">
      <w:pPr>
        <w:spacing w:after="0" w:line="240" w:lineRule="auto"/>
      </w:pPr>
      <w:r>
        <w:separator/>
      </w:r>
    </w:p>
  </w:footnote>
  <w:footnote w:type="continuationSeparator" w:id="0">
    <w:p w14:paraId="26DB39F5" w14:textId="77777777" w:rsidR="00C12B13" w:rsidRDefault="00C12B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EAB73" w14:textId="77777777" w:rsidR="00F65DEA" w:rsidRDefault="00F65DEA">
    <w:pPr>
      <w:widowControl w:val="0"/>
      <w:pBdr>
        <w:top w:val="nil"/>
        <w:left w:val="nil"/>
        <w:bottom w:val="nil"/>
        <w:right w:val="nil"/>
        <w:between w:val="nil"/>
      </w:pBdr>
      <w:spacing w:after="0" w:line="276" w:lineRule="auto"/>
      <w:jc w:val="left"/>
      <w:rPr>
        <w:color w:val="000000"/>
      </w:rPr>
    </w:pPr>
  </w:p>
  <w:tbl>
    <w:tblPr>
      <w:tblStyle w:val="affffff1"/>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F65DEA" w14:paraId="12DED458" w14:textId="77777777">
      <w:trPr>
        <w:trHeight w:val="141"/>
      </w:trPr>
      <w:tc>
        <w:tcPr>
          <w:tcW w:w="2404" w:type="dxa"/>
        </w:tcPr>
        <w:p w14:paraId="4A44415B" w14:textId="77777777" w:rsidR="00F65DEA" w:rsidRDefault="00DC2701">
          <w:pPr>
            <w:tabs>
              <w:tab w:val="right" w:pos="8838"/>
            </w:tabs>
            <w:ind w:right="-105"/>
            <w:rPr>
              <w:b/>
            </w:rPr>
          </w:pPr>
          <w:r>
            <w:rPr>
              <w:b/>
            </w:rPr>
            <w:t>Recurso de Revisión:</w:t>
          </w:r>
        </w:p>
      </w:tc>
      <w:tc>
        <w:tcPr>
          <w:tcW w:w="3587" w:type="dxa"/>
        </w:tcPr>
        <w:p w14:paraId="378C0D16" w14:textId="77777777" w:rsidR="00F65DEA" w:rsidRDefault="00DC2701">
          <w:pPr>
            <w:tabs>
              <w:tab w:val="right" w:pos="8838"/>
            </w:tabs>
            <w:ind w:left="-28" w:right="683"/>
          </w:pPr>
          <w:r>
            <w:t>04196/INFOEM/IP/RR/2020</w:t>
          </w:r>
        </w:p>
      </w:tc>
    </w:tr>
    <w:tr w:rsidR="00F65DEA" w14:paraId="2A712160" w14:textId="77777777">
      <w:trPr>
        <w:trHeight w:val="276"/>
      </w:trPr>
      <w:tc>
        <w:tcPr>
          <w:tcW w:w="2404" w:type="dxa"/>
        </w:tcPr>
        <w:p w14:paraId="0984F529" w14:textId="77777777" w:rsidR="00F65DEA" w:rsidRDefault="00DC2701">
          <w:pPr>
            <w:tabs>
              <w:tab w:val="right" w:pos="8838"/>
            </w:tabs>
            <w:ind w:right="-105"/>
            <w:rPr>
              <w:b/>
            </w:rPr>
          </w:pPr>
          <w:r>
            <w:rPr>
              <w:b/>
            </w:rPr>
            <w:t>Sujeto Obligado:</w:t>
          </w:r>
        </w:p>
      </w:tc>
      <w:tc>
        <w:tcPr>
          <w:tcW w:w="3587" w:type="dxa"/>
        </w:tcPr>
        <w:p w14:paraId="4CBDDA6B" w14:textId="77777777" w:rsidR="00F65DEA" w:rsidRDefault="00DC2701">
          <w:pPr>
            <w:tabs>
              <w:tab w:val="right" w:pos="8838"/>
            </w:tabs>
            <w:ind w:right="116"/>
          </w:pPr>
          <w:r>
            <w:t>Ayuntamiento de Chapultepec</w:t>
          </w:r>
        </w:p>
      </w:tc>
    </w:tr>
    <w:tr w:rsidR="00F65DEA" w14:paraId="49F3C56C" w14:textId="77777777">
      <w:trPr>
        <w:trHeight w:val="276"/>
      </w:trPr>
      <w:tc>
        <w:tcPr>
          <w:tcW w:w="2404" w:type="dxa"/>
        </w:tcPr>
        <w:p w14:paraId="511A25EF" w14:textId="77777777" w:rsidR="00F65DEA" w:rsidRDefault="00DC2701">
          <w:pPr>
            <w:tabs>
              <w:tab w:val="right" w:pos="8838"/>
            </w:tabs>
            <w:ind w:right="-105"/>
            <w:rPr>
              <w:b/>
            </w:rPr>
          </w:pPr>
          <w:r>
            <w:rPr>
              <w:b/>
            </w:rPr>
            <w:t>Comisionado Ponente:</w:t>
          </w:r>
        </w:p>
      </w:tc>
      <w:tc>
        <w:tcPr>
          <w:tcW w:w="3587" w:type="dxa"/>
        </w:tcPr>
        <w:p w14:paraId="732E154B" w14:textId="77777777" w:rsidR="00F65DEA" w:rsidRDefault="00DC2701">
          <w:pPr>
            <w:tabs>
              <w:tab w:val="right" w:pos="8838"/>
            </w:tabs>
            <w:ind w:right="-32"/>
          </w:pPr>
          <w:r>
            <w:t>Luis Gustavo Parra Noriega</w:t>
          </w:r>
        </w:p>
      </w:tc>
    </w:tr>
  </w:tbl>
  <w:p w14:paraId="27E99EB9" w14:textId="77777777" w:rsidR="00F65DEA"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pict w14:anchorId="37AD17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7" type="#_x0000_t75" alt="MARCA DE AGUA - HOJA RESOLUCIÓN" style="position:absolute;left:0;text-align:left;margin-left:0;margin-top:0;width:663.5pt;height:12in;z-index:-251657728;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93204" w14:textId="77777777" w:rsidR="00F65DEA" w:rsidRDefault="00F65DEA">
    <w:pPr>
      <w:rPr>
        <w:sz w:val="16"/>
        <w:szCs w:val="16"/>
      </w:rPr>
    </w:pPr>
  </w:p>
  <w:tbl>
    <w:tblPr>
      <w:tblStyle w:val="affffff2"/>
      <w:tblW w:w="6095" w:type="dxa"/>
      <w:tblInd w:w="3828" w:type="dxa"/>
      <w:tblBorders>
        <w:top w:val="nil"/>
        <w:left w:val="nil"/>
        <w:bottom w:val="nil"/>
        <w:right w:val="nil"/>
        <w:insideH w:val="nil"/>
        <w:insideV w:val="nil"/>
      </w:tblBorders>
      <w:tblLayout w:type="fixed"/>
      <w:tblLook w:val="0400" w:firstRow="0" w:lastRow="0" w:firstColumn="0" w:lastColumn="0" w:noHBand="0" w:noVBand="1"/>
    </w:tblPr>
    <w:tblGrid>
      <w:gridCol w:w="2409"/>
      <w:gridCol w:w="3686"/>
    </w:tblGrid>
    <w:tr w:rsidR="00F65DEA" w14:paraId="7273C0CB" w14:textId="77777777" w:rsidTr="000A5074">
      <w:trPr>
        <w:trHeight w:val="141"/>
      </w:trPr>
      <w:tc>
        <w:tcPr>
          <w:tcW w:w="2409" w:type="dxa"/>
        </w:tcPr>
        <w:p w14:paraId="4C40828B" w14:textId="77777777" w:rsidR="00F65DEA" w:rsidRDefault="00DC2701">
          <w:pPr>
            <w:tabs>
              <w:tab w:val="right" w:pos="8838"/>
            </w:tabs>
            <w:ind w:left="-395" w:right="-105" w:firstLine="395"/>
            <w:rPr>
              <w:b/>
            </w:rPr>
          </w:pPr>
          <w:r>
            <w:rPr>
              <w:b/>
            </w:rPr>
            <w:t>Recurso de Revisión:</w:t>
          </w:r>
        </w:p>
      </w:tc>
      <w:tc>
        <w:tcPr>
          <w:tcW w:w="3686" w:type="dxa"/>
        </w:tcPr>
        <w:p w14:paraId="61DCE616" w14:textId="77777777" w:rsidR="00F65DEA" w:rsidRPr="000A5074" w:rsidRDefault="00DC2701">
          <w:pPr>
            <w:tabs>
              <w:tab w:val="right" w:pos="8838"/>
            </w:tabs>
            <w:ind w:right="176"/>
            <w:rPr>
              <w:bCs/>
            </w:rPr>
          </w:pPr>
          <w:r w:rsidRPr="000A5074">
            <w:rPr>
              <w:bCs/>
            </w:rPr>
            <w:t>08551/INFOEM/IP/RR/2025</w:t>
          </w:r>
        </w:p>
      </w:tc>
    </w:tr>
    <w:tr w:rsidR="00F65DEA" w14:paraId="661239B5" w14:textId="77777777" w:rsidTr="000A5074">
      <w:trPr>
        <w:trHeight w:val="276"/>
      </w:trPr>
      <w:tc>
        <w:tcPr>
          <w:tcW w:w="2409" w:type="dxa"/>
        </w:tcPr>
        <w:p w14:paraId="5DB80DAD" w14:textId="77777777" w:rsidR="00F65DEA" w:rsidRDefault="00DC2701">
          <w:pPr>
            <w:tabs>
              <w:tab w:val="right" w:pos="8838"/>
            </w:tabs>
            <w:ind w:right="-105"/>
            <w:rPr>
              <w:b/>
            </w:rPr>
          </w:pPr>
          <w:r>
            <w:rPr>
              <w:b/>
            </w:rPr>
            <w:t>Sujeto Obligado:</w:t>
          </w:r>
        </w:p>
      </w:tc>
      <w:tc>
        <w:tcPr>
          <w:tcW w:w="3686" w:type="dxa"/>
        </w:tcPr>
        <w:p w14:paraId="78F18F45" w14:textId="77777777" w:rsidR="00F65DEA" w:rsidRDefault="00DC2701">
          <w:pPr>
            <w:tabs>
              <w:tab w:val="left" w:pos="3158"/>
              <w:tab w:val="left" w:pos="4292"/>
              <w:tab w:val="right" w:pos="8838"/>
            </w:tabs>
            <w:ind w:right="176"/>
          </w:pPr>
          <w:r>
            <w:t>Ayuntamiento de Tepetlixpa</w:t>
          </w:r>
        </w:p>
      </w:tc>
    </w:tr>
    <w:tr w:rsidR="00F65DEA" w14:paraId="7B6AC77A" w14:textId="77777777" w:rsidTr="000A5074">
      <w:trPr>
        <w:trHeight w:val="276"/>
      </w:trPr>
      <w:tc>
        <w:tcPr>
          <w:tcW w:w="2409" w:type="dxa"/>
        </w:tcPr>
        <w:p w14:paraId="643CC751" w14:textId="77777777" w:rsidR="00F65DEA" w:rsidRDefault="00DC2701">
          <w:pPr>
            <w:tabs>
              <w:tab w:val="right" w:pos="8838"/>
            </w:tabs>
            <w:ind w:right="-105"/>
            <w:rPr>
              <w:b/>
            </w:rPr>
          </w:pPr>
          <w:r>
            <w:rPr>
              <w:b/>
            </w:rPr>
            <w:t>Comisionado Ponente:</w:t>
          </w:r>
        </w:p>
      </w:tc>
      <w:tc>
        <w:tcPr>
          <w:tcW w:w="3686" w:type="dxa"/>
        </w:tcPr>
        <w:p w14:paraId="0AB76437" w14:textId="77777777" w:rsidR="00F65DEA" w:rsidRDefault="00DC2701">
          <w:pPr>
            <w:tabs>
              <w:tab w:val="right" w:pos="8838"/>
            </w:tabs>
            <w:ind w:right="176"/>
          </w:pPr>
          <w:r>
            <w:t>Luis Gustavo Parra Noriega</w:t>
          </w:r>
        </w:p>
        <w:p w14:paraId="388C5A23" w14:textId="77777777" w:rsidR="00F65DEA" w:rsidRDefault="00F65DEA">
          <w:pPr>
            <w:tabs>
              <w:tab w:val="right" w:pos="8838"/>
            </w:tabs>
            <w:ind w:right="176"/>
          </w:pPr>
        </w:p>
      </w:tc>
    </w:tr>
  </w:tbl>
  <w:p w14:paraId="4A73A08F" w14:textId="77777777" w:rsidR="00F65DEA"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pict w14:anchorId="3EC21C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MARCA DE AGUA - HOJA RESOLUCIÓN" style="position:absolute;left:0;text-align:left;margin-left:0;margin-top:0;width:663.5pt;height:12in;z-index:-251659776;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D7972" w14:textId="77777777" w:rsidR="00F65DEA" w:rsidRDefault="00000000">
    <w:pPr>
      <w:widowControl w:val="0"/>
      <w:pBdr>
        <w:top w:val="nil"/>
        <w:left w:val="nil"/>
        <w:bottom w:val="nil"/>
        <w:right w:val="nil"/>
        <w:between w:val="nil"/>
      </w:pBdr>
      <w:spacing w:after="0" w:line="276" w:lineRule="auto"/>
      <w:jc w:val="left"/>
      <w:rPr>
        <w:color w:val="000000"/>
      </w:rPr>
    </w:pPr>
    <w:r>
      <w:rPr>
        <w:color w:val="000000"/>
      </w:rPr>
      <w:pict w14:anchorId="626DB5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MARCA DE AGUA - HOJA RESOLUCIÓN" style="position:absolute;margin-left:-97.1pt;margin-top:-123.85pt;width:663.5pt;height:12in;z-index:-251658752;mso-wrap-edited:f;mso-width-percent:0;mso-height-percent:0;mso-position-horizontal:absolute;mso-position-horizontal-relative:margin;mso-position-vertical:absolute;mso-position-vertical-relative:margin;mso-width-percent:0;mso-height-percent:0">
          <v:imagedata r:id="rId1" o:title="image1"/>
          <w10:wrap anchorx="margin" anchory="margin"/>
        </v:shape>
      </w:pict>
    </w:r>
  </w:p>
  <w:tbl>
    <w:tblPr>
      <w:tblStyle w:val="affffff3"/>
      <w:tblW w:w="9214" w:type="dxa"/>
      <w:tblInd w:w="0" w:type="dxa"/>
      <w:tblLayout w:type="fixed"/>
      <w:tblLook w:val="0400" w:firstRow="0" w:lastRow="0" w:firstColumn="0" w:lastColumn="0" w:noHBand="0" w:noVBand="1"/>
    </w:tblPr>
    <w:tblGrid>
      <w:gridCol w:w="2127"/>
      <w:gridCol w:w="7087"/>
    </w:tblGrid>
    <w:tr w:rsidR="00F65DEA" w14:paraId="62DAB670" w14:textId="77777777">
      <w:trPr>
        <w:trHeight w:val="1546"/>
      </w:trPr>
      <w:tc>
        <w:tcPr>
          <w:tcW w:w="2127" w:type="dxa"/>
        </w:tcPr>
        <w:p w14:paraId="7128CD9F" w14:textId="77777777" w:rsidR="00F65DEA" w:rsidRDefault="00F65DEA">
          <w:pPr>
            <w:tabs>
              <w:tab w:val="right" w:pos="4273"/>
            </w:tabs>
            <w:rPr>
              <w:rFonts w:ascii="Garamond" w:eastAsia="Garamond" w:hAnsi="Garamond" w:cs="Garamond"/>
              <w:sz w:val="16"/>
              <w:szCs w:val="16"/>
            </w:rPr>
          </w:pPr>
        </w:p>
      </w:tc>
      <w:tc>
        <w:tcPr>
          <w:tcW w:w="7087" w:type="dxa"/>
        </w:tcPr>
        <w:p w14:paraId="45654A57" w14:textId="77777777" w:rsidR="00F65DEA" w:rsidRDefault="00F65DEA">
          <w:pPr>
            <w:rPr>
              <w:sz w:val="10"/>
              <w:szCs w:val="10"/>
            </w:rPr>
          </w:pPr>
        </w:p>
        <w:tbl>
          <w:tblPr>
            <w:tblStyle w:val="affffff4"/>
            <w:tblW w:w="6525" w:type="dxa"/>
            <w:tblInd w:w="1601" w:type="dxa"/>
            <w:tblLayout w:type="fixed"/>
            <w:tblLook w:val="0400" w:firstRow="0" w:lastRow="0" w:firstColumn="0" w:lastColumn="0" w:noHBand="0" w:noVBand="1"/>
          </w:tblPr>
          <w:tblGrid>
            <w:gridCol w:w="2500"/>
            <w:gridCol w:w="4025"/>
          </w:tblGrid>
          <w:tr w:rsidR="00F65DEA" w14:paraId="6462136F" w14:textId="77777777" w:rsidTr="005318AB">
            <w:trPr>
              <w:trHeight w:val="427"/>
            </w:trPr>
            <w:tc>
              <w:tcPr>
                <w:tcW w:w="2500" w:type="dxa"/>
                <w:vAlign w:val="bottom"/>
              </w:tcPr>
              <w:p w14:paraId="59E1D5ED" w14:textId="77777777" w:rsidR="00F65DEA" w:rsidRDefault="00DC2701">
                <w:pPr>
                  <w:tabs>
                    <w:tab w:val="right" w:pos="8838"/>
                  </w:tabs>
                  <w:ind w:right="-105"/>
                  <w:rPr>
                    <w:b/>
                  </w:rPr>
                </w:pPr>
                <w:r>
                  <w:rPr>
                    <w:b/>
                  </w:rPr>
                  <w:t>Recurso de Revisión:</w:t>
                </w:r>
              </w:p>
            </w:tc>
            <w:tc>
              <w:tcPr>
                <w:tcW w:w="4025" w:type="dxa"/>
              </w:tcPr>
              <w:p w14:paraId="47D8DBA2" w14:textId="77777777" w:rsidR="00F65DEA" w:rsidRDefault="00F65DEA">
                <w:pPr>
                  <w:tabs>
                    <w:tab w:val="right" w:pos="8838"/>
                  </w:tabs>
                  <w:ind w:left="-28" w:right="-107"/>
                  <w:rPr>
                    <w:b/>
                  </w:rPr>
                </w:pPr>
              </w:p>
              <w:p w14:paraId="656EBD53" w14:textId="77777777" w:rsidR="00F65DEA" w:rsidRPr="005318AB" w:rsidRDefault="00DC2701">
                <w:pPr>
                  <w:tabs>
                    <w:tab w:val="right" w:pos="8838"/>
                  </w:tabs>
                  <w:ind w:left="-28" w:right="-107"/>
                  <w:rPr>
                    <w:bCs/>
                  </w:rPr>
                </w:pPr>
                <w:r w:rsidRPr="005318AB">
                  <w:rPr>
                    <w:bCs/>
                  </w:rPr>
                  <w:t>08551/INFOEM/IP/RR/2025</w:t>
                </w:r>
              </w:p>
            </w:tc>
          </w:tr>
          <w:tr w:rsidR="00F65DEA" w14:paraId="155B125D" w14:textId="77777777" w:rsidTr="005318AB">
            <w:trPr>
              <w:trHeight w:val="141"/>
            </w:trPr>
            <w:tc>
              <w:tcPr>
                <w:tcW w:w="2500" w:type="dxa"/>
              </w:tcPr>
              <w:p w14:paraId="219073F3" w14:textId="77777777" w:rsidR="00F65DEA" w:rsidRDefault="00DC2701">
                <w:pPr>
                  <w:tabs>
                    <w:tab w:val="right" w:pos="8838"/>
                  </w:tabs>
                  <w:ind w:right="-105"/>
                  <w:rPr>
                    <w:b/>
                  </w:rPr>
                </w:pPr>
                <w:r>
                  <w:rPr>
                    <w:b/>
                  </w:rPr>
                  <w:t>Recurrente:</w:t>
                </w:r>
              </w:p>
            </w:tc>
            <w:tc>
              <w:tcPr>
                <w:tcW w:w="4025" w:type="dxa"/>
              </w:tcPr>
              <w:p w14:paraId="3DBCF6F6" w14:textId="37EC8242" w:rsidR="00F65DEA" w:rsidRDefault="00F62A65">
                <w:pPr>
                  <w:tabs>
                    <w:tab w:val="right" w:pos="8838"/>
                  </w:tabs>
                  <w:ind w:right="-107"/>
                </w:pPr>
                <w:r w:rsidRPr="00F62A65">
                  <w:rPr>
                    <w:highlight w:val="black"/>
                  </w:rPr>
                  <w:t>XXXXXXXXX</w:t>
                </w:r>
              </w:p>
            </w:tc>
          </w:tr>
          <w:tr w:rsidR="00F65DEA" w14:paraId="62E125EE" w14:textId="77777777" w:rsidTr="005318AB">
            <w:trPr>
              <w:trHeight w:val="276"/>
            </w:trPr>
            <w:tc>
              <w:tcPr>
                <w:tcW w:w="2500" w:type="dxa"/>
              </w:tcPr>
              <w:p w14:paraId="61DC28D7" w14:textId="77777777" w:rsidR="00F65DEA" w:rsidRDefault="00DC2701">
                <w:pPr>
                  <w:tabs>
                    <w:tab w:val="right" w:pos="8838"/>
                  </w:tabs>
                  <w:ind w:right="-105"/>
                  <w:rPr>
                    <w:b/>
                  </w:rPr>
                </w:pPr>
                <w:r>
                  <w:rPr>
                    <w:b/>
                  </w:rPr>
                  <w:t>Sujeto Obligado:</w:t>
                </w:r>
              </w:p>
            </w:tc>
            <w:tc>
              <w:tcPr>
                <w:tcW w:w="4025" w:type="dxa"/>
              </w:tcPr>
              <w:p w14:paraId="56179CA4" w14:textId="77777777" w:rsidR="00F65DEA" w:rsidRDefault="00DC2701">
                <w:pPr>
                  <w:tabs>
                    <w:tab w:val="right" w:pos="8838"/>
                  </w:tabs>
                  <w:ind w:right="33"/>
                </w:pPr>
                <w:r>
                  <w:t>Ayuntamiento de Tepetlixpa</w:t>
                </w:r>
              </w:p>
            </w:tc>
          </w:tr>
          <w:tr w:rsidR="00F65DEA" w14:paraId="3E67A48D" w14:textId="77777777" w:rsidTr="005318AB">
            <w:trPr>
              <w:trHeight w:val="276"/>
            </w:trPr>
            <w:tc>
              <w:tcPr>
                <w:tcW w:w="2500" w:type="dxa"/>
              </w:tcPr>
              <w:p w14:paraId="7278F9F1" w14:textId="77777777" w:rsidR="00F65DEA" w:rsidRDefault="00DC2701">
                <w:pPr>
                  <w:tabs>
                    <w:tab w:val="right" w:pos="8838"/>
                  </w:tabs>
                  <w:ind w:right="-105"/>
                  <w:rPr>
                    <w:b/>
                  </w:rPr>
                </w:pPr>
                <w:r>
                  <w:rPr>
                    <w:b/>
                  </w:rPr>
                  <w:t>Comisionado Ponente:</w:t>
                </w:r>
              </w:p>
            </w:tc>
            <w:tc>
              <w:tcPr>
                <w:tcW w:w="4025" w:type="dxa"/>
              </w:tcPr>
              <w:p w14:paraId="261994A1" w14:textId="77777777" w:rsidR="00F65DEA" w:rsidRDefault="00DC2701">
                <w:pPr>
                  <w:tabs>
                    <w:tab w:val="right" w:pos="8838"/>
                  </w:tabs>
                  <w:ind w:right="-107"/>
                </w:pPr>
                <w:r>
                  <w:t>Luis Gustavo Parra Noriega</w:t>
                </w:r>
              </w:p>
            </w:tc>
          </w:tr>
        </w:tbl>
        <w:p w14:paraId="29209AAD" w14:textId="77777777" w:rsidR="00F65DEA" w:rsidRDefault="00F65DEA">
          <w:pPr>
            <w:tabs>
              <w:tab w:val="right" w:pos="8838"/>
            </w:tabs>
            <w:ind w:left="-28"/>
            <w:rPr>
              <w:rFonts w:ascii="Arial" w:eastAsia="Arial" w:hAnsi="Arial" w:cs="Arial"/>
              <w:b/>
            </w:rPr>
          </w:pPr>
        </w:p>
      </w:tc>
    </w:tr>
  </w:tbl>
  <w:p w14:paraId="7B95CD7C" w14:textId="77777777" w:rsidR="00F65DEA" w:rsidRDefault="00F65DEA">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31A89"/>
    <w:multiLevelType w:val="multilevel"/>
    <w:tmpl w:val="78D618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E1F5CFA"/>
    <w:multiLevelType w:val="multilevel"/>
    <w:tmpl w:val="5D3646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319230C"/>
    <w:multiLevelType w:val="multilevel"/>
    <w:tmpl w:val="857EC4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63D7909"/>
    <w:multiLevelType w:val="multilevel"/>
    <w:tmpl w:val="52D4FBEE"/>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15:restartNumberingAfterBreak="0">
    <w:nsid w:val="3CFE2541"/>
    <w:multiLevelType w:val="multilevel"/>
    <w:tmpl w:val="ECC85222"/>
    <w:lvl w:ilvl="0">
      <w:start w:val="4"/>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D605DF4"/>
    <w:multiLevelType w:val="multilevel"/>
    <w:tmpl w:val="408C9B9C"/>
    <w:lvl w:ilvl="0">
      <w:start w:val="1"/>
      <w:numFmt w:val="upperLetter"/>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3D51750"/>
    <w:multiLevelType w:val="multilevel"/>
    <w:tmpl w:val="405685FC"/>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50BC7872"/>
    <w:multiLevelType w:val="multilevel"/>
    <w:tmpl w:val="1BFAAB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3941695"/>
    <w:multiLevelType w:val="multilevel"/>
    <w:tmpl w:val="174658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6361FF2"/>
    <w:multiLevelType w:val="multilevel"/>
    <w:tmpl w:val="7BF8492E"/>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15:restartNumberingAfterBreak="0">
    <w:nsid w:val="58E215A9"/>
    <w:multiLevelType w:val="multilevel"/>
    <w:tmpl w:val="4AAC1642"/>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AE0071D"/>
    <w:multiLevelType w:val="multilevel"/>
    <w:tmpl w:val="033EB5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200310E"/>
    <w:multiLevelType w:val="multilevel"/>
    <w:tmpl w:val="41082B8E"/>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 w15:restartNumberingAfterBreak="0">
    <w:nsid w:val="78361068"/>
    <w:multiLevelType w:val="multilevel"/>
    <w:tmpl w:val="3E8E376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C505DB5"/>
    <w:multiLevelType w:val="multilevel"/>
    <w:tmpl w:val="867224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11577187">
    <w:abstractNumId w:val="8"/>
  </w:num>
  <w:num w:numId="2" w16cid:durableId="1086465502">
    <w:abstractNumId w:val="5"/>
  </w:num>
  <w:num w:numId="3" w16cid:durableId="1030761307">
    <w:abstractNumId w:val="10"/>
  </w:num>
  <w:num w:numId="4" w16cid:durableId="732510651">
    <w:abstractNumId w:val="7"/>
  </w:num>
  <w:num w:numId="5" w16cid:durableId="1174223447">
    <w:abstractNumId w:val="1"/>
  </w:num>
  <w:num w:numId="6" w16cid:durableId="678585853">
    <w:abstractNumId w:val="4"/>
  </w:num>
  <w:num w:numId="7" w16cid:durableId="1064598037">
    <w:abstractNumId w:val="2"/>
  </w:num>
  <w:num w:numId="8" w16cid:durableId="1365867962">
    <w:abstractNumId w:val="11"/>
  </w:num>
  <w:num w:numId="9" w16cid:durableId="913321368">
    <w:abstractNumId w:val="0"/>
  </w:num>
  <w:num w:numId="10" w16cid:durableId="126067745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7916228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3528328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2353885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1774115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2593290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5DEA"/>
    <w:rsid w:val="000A5074"/>
    <w:rsid w:val="0019463D"/>
    <w:rsid w:val="004D5DA4"/>
    <w:rsid w:val="004F1B85"/>
    <w:rsid w:val="00523819"/>
    <w:rsid w:val="005318AB"/>
    <w:rsid w:val="005D1CE8"/>
    <w:rsid w:val="00641026"/>
    <w:rsid w:val="007C6C09"/>
    <w:rsid w:val="008B5EA5"/>
    <w:rsid w:val="008F33D3"/>
    <w:rsid w:val="00BB52FA"/>
    <w:rsid w:val="00BD0ED7"/>
    <w:rsid w:val="00C12B13"/>
    <w:rsid w:val="00D47AF1"/>
    <w:rsid w:val="00DA12B5"/>
    <w:rsid w:val="00DC2701"/>
    <w:rsid w:val="00E00B07"/>
    <w:rsid w:val="00E20146"/>
    <w:rsid w:val="00F16D49"/>
    <w:rsid w:val="00F62A65"/>
    <w:rsid w:val="00F65D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68B69E"/>
  <w15:docId w15:val="{F31E2D2D-EDB6-864D-A208-C7D6D1A03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line="360" w:lineRule="auto"/>
      <w:jc w:val="center"/>
      <w:outlineLvl w:val="0"/>
    </w:pPr>
    <w:rPr>
      <w:b/>
      <w:sz w:val="24"/>
      <w:szCs w:val="24"/>
    </w:rPr>
  </w:style>
  <w:style w:type="paragraph" w:styleId="Ttulo2">
    <w:name w:val="heading 2"/>
    <w:basedOn w:val="Normal"/>
    <w:next w:val="Normal"/>
    <w:uiPriority w:val="9"/>
    <w:unhideWhenUsed/>
    <w:qFormat/>
    <w:pPr>
      <w:keepNext/>
      <w:keepLines/>
      <w:spacing w:before="360" w:after="80" w:line="360" w:lineRule="auto"/>
      <w:jc w:val="left"/>
      <w:outlineLvl w:val="1"/>
    </w:pPr>
    <w:rPr>
      <w:b/>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qFormat/>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table" w:customStyle="1" w:styleId="a">
    <w:basedOn w:val="TableNormalf2"/>
    <w:pPr>
      <w:spacing w:after="0" w:line="240" w:lineRule="auto"/>
    </w:pPr>
    <w:tblPr>
      <w:tblStyleRowBandSize w:val="1"/>
      <w:tblStyleColBandSize w:val="1"/>
      <w:tblCellMar>
        <w:left w:w="108" w:type="dxa"/>
        <w:right w:w="108" w:type="dxa"/>
      </w:tblCellMar>
    </w:tblPr>
  </w:style>
  <w:style w:type="table" w:customStyle="1" w:styleId="a0">
    <w:basedOn w:val="TableNormalf2"/>
    <w:pPr>
      <w:spacing w:after="0" w:line="240" w:lineRule="auto"/>
    </w:pPr>
    <w:tblPr>
      <w:tblStyleRowBandSize w:val="1"/>
      <w:tblStyleColBandSize w:val="1"/>
      <w:tblCellMar>
        <w:left w:w="108" w:type="dxa"/>
        <w:right w:w="108" w:type="dxa"/>
      </w:tblCellMar>
    </w:tblPr>
  </w:style>
  <w:style w:type="table" w:customStyle="1" w:styleId="a1">
    <w:basedOn w:val="TableNormalf2"/>
    <w:tblPr>
      <w:tblStyleRowBandSize w:val="1"/>
      <w:tblStyleColBandSize w:val="1"/>
      <w:tblCellMar>
        <w:left w:w="115" w:type="dxa"/>
        <w:right w:w="115" w:type="dxa"/>
      </w:tblCellMar>
    </w:tblPr>
  </w:style>
  <w:style w:type="table" w:customStyle="1" w:styleId="a2">
    <w:basedOn w:val="TableNormalf2"/>
    <w:pPr>
      <w:spacing w:after="0" w:line="240" w:lineRule="auto"/>
    </w:pPr>
    <w:tblPr>
      <w:tblStyleRowBandSize w:val="1"/>
      <w:tblStyleColBandSize w:val="1"/>
      <w:tblCellMar>
        <w:left w:w="108" w:type="dxa"/>
        <w:right w:w="108" w:type="dxa"/>
      </w:tblCellMar>
    </w:tblPr>
  </w:style>
  <w:style w:type="paragraph" w:styleId="TtuloTDC">
    <w:name w:val="TOC Heading"/>
    <w:next w:val="Normal"/>
    <w:uiPriority w:val="39"/>
    <w:unhideWhenUsed/>
    <w:qFormat/>
    <w:rsid w:val="00A50615"/>
    <w:pPr>
      <w:spacing w:before="240" w:after="0"/>
      <w:jc w:val="left"/>
    </w:pPr>
    <w:rPr>
      <w:rFonts w:asciiTheme="majorHAnsi" w:eastAsiaTheme="majorEastAsia" w:hAnsiTheme="majorHAnsi" w:cstheme="majorBidi"/>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a3">
    <w:basedOn w:val="TableNormalf2"/>
    <w:pPr>
      <w:spacing w:after="0" w:line="240" w:lineRule="auto"/>
    </w:pPr>
    <w:tblPr>
      <w:tblStyleRowBandSize w:val="1"/>
      <w:tblStyleColBandSize w:val="1"/>
      <w:tblCellMar>
        <w:left w:w="108" w:type="dxa"/>
        <w:right w:w="108" w:type="dxa"/>
      </w:tblCellMar>
    </w:tblPr>
  </w:style>
  <w:style w:type="table" w:customStyle="1" w:styleId="a4">
    <w:basedOn w:val="TableNormalf2"/>
    <w:pPr>
      <w:spacing w:after="0" w:line="240" w:lineRule="auto"/>
    </w:pPr>
    <w:tblPr>
      <w:tblStyleRowBandSize w:val="1"/>
      <w:tblStyleColBandSize w:val="1"/>
      <w:tblCellMar>
        <w:left w:w="108" w:type="dxa"/>
        <w:right w:w="108" w:type="dxa"/>
      </w:tblCellMar>
    </w:tblPr>
  </w:style>
  <w:style w:type="table" w:customStyle="1" w:styleId="a5">
    <w:basedOn w:val="TableNormalf2"/>
    <w:pPr>
      <w:spacing w:after="0" w:line="240" w:lineRule="auto"/>
    </w:pPr>
    <w:tblPr>
      <w:tblStyleRowBandSize w:val="1"/>
      <w:tblStyleColBandSize w:val="1"/>
      <w:tblCellMar>
        <w:left w:w="108" w:type="dxa"/>
        <w:right w:w="108" w:type="dxa"/>
      </w:tblCellMar>
    </w:tblPr>
  </w:style>
  <w:style w:type="table" w:customStyle="1" w:styleId="a6">
    <w:basedOn w:val="TableNormalf2"/>
    <w:pPr>
      <w:spacing w:after="0" w:line="240" w:lineRule="auto"/>
    </w:pPr>
    <w:tblPr>
      <w:tblStyleRowBandSize w:val="1"/>
      <w:tblStyleColBandSize w:val="1"/>
      <w:tblCellMar>
        <w:left w:w="108" w:type="dxa"/>
        <w:right w:w="108" w:type="dxa"/>
      </w:tblCellMar>
    </w:tblPr>
  </w:style>
  <w:style w:type="table" w:customStyle="1" w:styleId="a7">
    <w:basedOn w:val="TableNormalf1"/>
    <w:pPr>
      <w:spacing w:after="0" w:line="240" w:lineRule="auto"/>
    </w:pPr>
    <w:tblPr>
      <w:tblStyleRowBandSize w:val="1"/>
      <w:tblStyleColBandSize w:val="1"/>
      <w:tblCellMar>
        <w:left w:w="108" w:type="dxa"/>
        <w:right w:w="108" w:type="dxa"/>
      </w:tblCellMar>
    </w:tblPr>
  </w:style>
  <w:style w:type="table" w:customStyle="1" w:styleId="a8">
    <w:basedOn w:val="TableNormalf1"/>
    <w:pPr>
      <w:spacing w:after="0" w:line="240" w:lineRule="auto"/>
    </w:pPr>
    <w:tblPr>
      <w:tblStyleRowBandSize w:val="1"/>
      <w:tblStyleColBandSize w:val="1"/>
      <w:tblCellMar>
        <w:left w:w="108" w:type="dxa"/>
        <w:right w:w="108" w:type="dxa"/>
      </w:tblCellMar>
    </w:tblPr>
  </w:style>
  <w:style w:type="table" w:customStyle="1" w:styleId="a9">
    <w:basedOn w:val="TableNormalf1"/>
    <w:pPr>
      <w:spacing w:after="0" w:line="240" w:lineRule="auto"/>
    </w:pPr>
    <w:tblPr>
      <w:tblStyleRowBandSize w:val="1"/>
      <w:tblStyleColBandSize w:val="1"/>
      <w:tblCellMar>
        <w:left w:w="108" w:type="dxa"/>
        <w:right w:w="108" w:type="dxa"/>
      </w:tblCellMar>
    </w:tblPr>
  </w:style>
  <w:style w:type="table" w:customStyle="1" w:styleId="aa">
    <w:basedOn w:val="TableNormalf1"/>
    <w:pPr>
      <w:spacing w:after="0" w:line="240" w:lineRule="auto"/>
    </w:pPr>
    <w:tblPr>
      <w:tblStyleRowBandSize w:val="1"/>
      <w:tblStyleColBandSize w:val="1"/>
      <w:tblCellMar>
        <w:left w:w="108" w:type="dxa"/>
        <w:right w:w="108" w:type="dxa"/>
      </w:tblCellMar>
    </w:tblPr>
  </w:style>
  <w:style w:type="table" w:customStyle="1" w:styleId="ab">
    <w:basedOn w:val="TableNormalf0"/>
    <w:pPr>
      <w:spacing w:after="0" w:line="240" w:lineRule="auto"/>
    </w:pPr>
    <w:tblPr>
      <w:tblStyleRowBandSize w:val="1"/>
      <w:tblStyleColBandSize w:val="1"/>
      <w:tblCellMar>
        <w:left w:w="108" w:type="dxa"/>
        <w:right w:w="108" w:type="dxa"/>
      </w:tblCellMar>
    </w:tblPr>
  </w:style>
  <w:style w:type="table" w:customStyle="1" w:styleId="ac">
    <w:basedOn w:val="TableNormalf0"/>
    <w:pPr>
      <w:spacing w:after="0" w:line="240" w:lineRule="auto"/>
    </w:pPr>
    <w:tblPr>
      <w:tblStyleRowBandSize w:val="1"/>
      <w:tblStyleColBandSize w:val="1"/>
      <w:tblCellMar>
        <w:left w:w="108" w:type="dxa"/>
        <w:right w:w="108" w:type="dxa"/>
      </w:tblCellMar>
    </w:tblPr>
  </w:style>
  <w:style w:type="table" w:customStyle="1" w:styleId="ad">
    <w:basedOn w:val="TableNormalf0"/>
    <w:pPr>
      <w:spacing w:after="0" w:line="240" w:lineRule="auto"/>
    </w:pPr>
    <w:tblPr>
      <w:tblStyleRowBandSize w:val="1"/>
      <w:tblStyleColBandSize w:val="1"/>
      <w:tblCellMar>
        <w:left w:w="108" w:type="dxa"/>
        <w:right w:w="108" w:type="dxa"/>
      </w:tblCellMar>
    </w:tblPr>
  </w:style>
  <w:style w:type="table" w:customStyle="1" w:styleId="ae">
    <w:basedOn w:val="TableNormalf0"/>
    <w:pPr>
      <w:spacing w:after="0" w:line="240" w:lineRule="auto"/>
    </w:pPr>
    <w:tblPr>
      <w:tblStyleRowBandSize w:val="1"/>
      <w:tblStyleColBandSize w:val="1"/>
      <w:tblCellMar>
        <w:left w:w="108" w:type="dxa"/>
        <w:right w:w="108" w:type="dxa"/>
      </w:tblCellMar>
    </w:tblPr>
  </w:style>
  <w:style w:type="table" w:customStyle="1" w:styleId="af">
    <w:basedOn w:val="TableNormalf"/>
    <w:pPr>
      <w:spacing w:after="0" w:line="240" w:lineRule="auto"/>
    </w:pPr>
    <w:tblPr>
      <w:tblStyleRowBandSize w:val="1"/>
      <w:tblStyleColBandSize w:val="1"/>
      <w:tblCellMar>
        <w:left w:w="108" w:type="dxa"/>
        <w:right w:w="108" w:type="dxa"/>
      </w:tblCellMar>
    </w:tblPr>
  </w:style>
  <w:style w:type="table" w:customStyle="1" w:styleId="af0">
    <w:basedOn w:val="TableNormalf"/>
    <w:pPr>
      <w:spacing w:after="0" w:line="240" w:lineRule="auto"/>
    </w:pPr>
    <w:tblPr>
      <w:tblStyleRowBandSize w:val="1"/>
      <w:tblStyleColBandSize w:val="1"/>
      <w:tblCellMar>
        <w:left w:w="108" w:type="dxa"/>
        <w:right w:w="108" w:type="dxa"/>
      </w:tblCellMar>
    </w:tblPr>
  </w:style>
  <w:style w:type="table" w:customStyle="1" w:styleId="af1">
    <w:basedOn w:val="TableNormalf"/>
    <w:pPr>
      <w:spacing w:after="0" w:line="240" w:lineRule="auto"/>
    </w:pPr>
    <w:tblPr>
      <w:tblStyleRowBandSize w:val="1"/>
      <w:tblStyleColBandSize w:val="1"/>
      <w:tblCellMar>
        <w:left w:w="108" w:type="dxa"/>
        <w:right w:w="108" w:type="dxa"/>
      </w:tblCellMar>
    </w:tblPr>
  </w:style>
  <w:style w:type="table" w:customStyle="1" w:styleId="af2">
    <w:basedOn w:val="TableNormalf"/>
    <w:pPr>
      <w:spacing w:after="0" w:line="240" w:lineRule="auto"/>
    </w:pPr>
    <w:tblPr>
      <w:tblStyleRowBandSize w:val="1"/>
      <w:tblStyleColBandSize w:val="1"/>
      <w:tblCellMar>
        <w:left w:w="108" w:type="dxa"/>
        <w:right w:w="108" w:type="dxa"/>
      </w:tblCellMar>
    </w:tblPr>
  </w:style>
  <w:style w:type="table" w:customStyle="1" w:styleId="af3">
    <w:basedOn w:val="TableNormale"/>
    <w:pPr>
      <w:spacing w:after="0" w:line="240" w:lineRule="auto"/>
    </w:pPr>
    <w:tblPr>
      <w:tblStyleRowBandSize w:val="1"/>
      <w:tblStyleColBandSize w:val="1"/>
      <w:tblCellMar>
        <w:left w:w="108" w:type="dxa"/>
        <w:right w:w="108" w:type="dxa"/>
      </w:tblCellMar>
    </w:tblPr>
  </w:style>
  <w:style w:type="table" w:customStyle="1" w:styleId="af4">
    <w:basedOn w:val="TableNormale"/>
    <w:pPr>
      <w:spacing w:after="0" w:line="240" w:lineRule="auto"/>
    </w:pPr>
    <w:tblPr>
      <w:tblStyleRowBandSize w:val="1"/>
      <w:tblStyleColBandSize w:val="1"/>
      <w:tblCellMar>
        <w:left w:w="108" w:type="dxa"/>
        <w:right w:w="108" w:type="dxa"/>
      </w:tblCellMar>
    </w:tblPr>
  </w:style>
  <w:style w:type="table" w:customStyle="1" w:styleId="af5">
    <w:basedOn w:val="TableNormale"/>
    <w:pPr>
      <w:spacing w:after="0" w:line="240" w:lineRule="auto"/>
    </w:pPr>
    <w:tblPr>
      <w:tblStyleRowBandSize w:val="1"/>
      <w:tblStyleColBandSize w:val="1"/>
      <w:tblCellMar>
        <w:left w:w="108" w:type="dxa"/>
        <w:right w:w="108" w:type="dxa"/>
      </w:tblCellMar>
    </w:tblPr>
  </w:style>
  <w:style w:type="table" w:customStyle="1" w:styleId="af6">
    <w:basedOn w:val="TableNormale"/>
    <w:pPr>
      <w:spacing w:after="0" w:line="240" w:lineRule="auto"/>
    </w:pPr>
    <w:tblPr>
      <w:tblStyleRowBandSize w:val="1"/>
      <w:tblStyleColBandSize w:val="1"/>
      <w:tblCellMar>
        <w:left w:w="108" w:type="dxa"/>
        <w:right w:w="108" w:type="dxa"/>
      </w:tblCellMar>
    </w:tblPr>
  </w:style>
  <w:style w:type="table" w:customStyle="1" w:styleId="af7">
    <w:basedOn w:val="TableNormald"/>
    <w:pPr>
      <w:spacing w:after="0" w:line="240" w:lineRule="auto"/>
    </w:pPr>
    <w:tblPr>
      <w:tblStyleRowBandSize w:val="1"/>
      <w:tblStyleColBandSize w:val="1"/>
      <w:tblCellMar>
        <w:left w:w="108" w:type="dxa"/>
        <w:right w:w="108" w:type="dxa"/>
      </w:tblCellMar>
    </w:tblPr>
  </w:style>
  <w:style w:type="table" w:customStyle="1" w:styleId="af8">
    <w:basedOn w:val="TableNormald"/>
    <w:pPr>
      <w:spacing w:after="0" w:line="240" w:lineRule="auto"/>
    </w:pPr>
    <w:tblPr>
      <w:tblStyleRowBandSize w:val="1"/>
      <w:tblStyleColBandSize w:val="1"/>
      <w:tblCellMar>
        <w:left w:w="108" w:type="dxa"/>
        <w:right w:w="108" w:type="dxa"/>
      </w:tblCellMar>
    </w:tblPr>
  </w:style>
  <w:style w:type="table" w:customStyle="1" w:styleId="af9">
    <w:basedOn w:val="TableNormald"/>
    <w:pPr>
      <w:spacing w:after="0" w:line="240" w:lineRule="auto"/>
    </w:pPr>
    <w:tblPr>
      <w:tblStyleRowBandSize w:val="1"/>
      <w:tblStyleColBandSize w:val="1"/>
      <w:tblCellMar>
        <w:left w:w="108" w:type="dxa"/>
        <w:right w:w="108" w:type="dxa"/>
      </w:tblCellMar>
    </w:tblPr>
  </w:style>
  <w:style w:type="table" w:customStyle="1" w:styleId="afa">
    <w:basedOn w:val="TableNormald"/>
    <w:pPr>
      <w:spacing w:after="0" w:line="240" w:lineRule="auto"/>
    </w:pPr>
    <w:tblPr>
      <w:tblStyleRowBandSize w:val="1"/>
      <w:tblStyleColBandSize w:val="1"/>
      <w:tblCellMar>
        <w:left w:w="108" w:type="dxa"/>
        <w:right w:w="108" w:type="dxa"/>
      </w:tblCellMar>
    </w:tblPr>
  </w:style>
  <w:style w:type="table" w:customStyle="1" w:styleId="afb">
    <w:basedOn w:val="TableNormalc"/>
    <w:pPr>
      <w:spacing w:after="0" w:line="240" w:lineRule="auto"/>
    </w:pPr>
    <w:tblPr>
      <w:tblStyleRowBandSize w:val="1"/>
      <w:tblStyleColBandSize w:val="1"/>
      <w:tblCellMar>
        <w:left w:w="108" w:type="dxa"/>
        <w:right w:w="108" w:type="dxa"/>
      </w:tblCellMar>
    </w:tblPr>
  </w:style>
  <w:style w:type="table" w:customStyle="1" w:styleId="afc">
    <w:basedOn w:val="TableNormalc"/>
    <w:pPr>
      <w:spacing w:after="0" w:line="240" w:lineRule="auto"/>
    </w:pPr>
    <w:tblPr>
      <w:tblStyleRowBandSize w:val="1"/>
      <w:tblStyleColBandSize w:val="1"/>
      <w:tblCellMar>
        <w:left w:w="108" w:type="dxa"/>
        <w:right w:w="108" w:type="dxa"/>
      </w:tblCellMar>
    </w:tblPr>
  </w:style>
  <w:style w:type="table" w:customStyle="1" w:styleId="afd">
    <w:basedOn w:val="TableNormalc"/>
    <w:pPr>
      <w:spacing w:after="0" w:line="240" w:lineRule="auto"/>
    </w:pPr>
    <w:tblPr>
      <w:tblStyleRowBandSize w:val="1"/>
      <w:tblStyleColBandSize w:val="1"/>
      <w:tblCellMar>
        <w:left w:w="108" w:type="dxa"/>
        <w:right w:w="108" w:type="dxa"/>
      </w:tblCellMar>
    </w:tblPr>
  </w:style>
  <w:style w:type="table" w:customStyle="1" w:styleId="afe">
    <w:basedOn w:val="TableNormalc"/>
    <w:pPr>
      <w:spacing w:after="0" w:line="240" w:lineRule="auto"/>
    </w:pPr>
    <w:tblPr>
      <w:tblStyleRowBandSize w:val="1"/>
      <w:tblStyleColBandSize w:val="1"/>
      <w:tblCellMar>
        <w:left w:w="108" w:type="dxa"/>
        <w:right w:w="108" w:type="dxa"/>
      </w:tblCellMar>
    </w:tblPr>
  </w:style>
  <w:style w:type="table" w:customStyle="1" w:styleId="aff">
    <w:basedOn w:val="TableNormalb"/>
    <w:pPr>
      <w:spacing w:after="0" w:line="240" w:lineRule="auto"/>
    </w:pPr>
    <w:tblPr>
      <w:tblStyleRowBandSize w:val="1"/>
      <w:tblStyleColBandSize w:val="1"/>
      <w:tblCellMar>
        <w:left w:w="108" w:type="dxa"/>
        <w:right w:w="108" w:type="dxa"/>
      </w:tblCellMar>
    </w:tblPr>
  </w:style>
  <w:style w:type="table" w:customStyle="1" w:styleId="aff0">
    <w:basedOn w:val="TableNormalb"/>
    <w:pPr>
      <w:spacing w:after="0" w:line="240" w:lineRule="auto"/>
    </w:pPr>
    <w:tblPr>
      <w:tblStyleRowBandSize w:val="1"/>
      <w:tblStyleColBandSize w:val="1"/>
      <w:tblCellMar>
        <w:left w:w="108" w:type="dxa"/>
        <w:right w:w="108" w:type="dxa"/>
      </w:tblCellMar>
    </w:tblPr>
  </w:style>
  <w:style w:type="table" w:customStyle="1" w:styleId="aff1">
    <w:basedOn w:val="TableNormalb"/>
    <w:pPr>
      <w:spacing w:after="0" w:line="240" w:lineRule="auto"/>
    </w:pPr>
    <w:tblPr>
      <w:tblStyleRowBandSize w:val="1"/>
      <w:tblStyleColBandSize w:val="1"/>
      <w:tblCellMar>
        <w:left w:w="108" w:type="dxa"/>
        <w:right w:w="108" w:type="dxa"/>
      </w:tblCellMar>
    </w:tblPr>
  </w:style>
  <w:style w:type="table" w:customStyle="1" w:styleId="aff2">
    <w:basedOn w:val="TableNormalb"/>
    <w:pPr>
      <w:spacing w:after="0" w:line="240" w:lineRule="auto"/>
    </w:pPr>
    <w:tblPr>
      <w:tblStyleRowBandSize w:val="1"/>
      <w:tblStyleColBandSize w:val="1"/>
      <w:tblCellMar>
        <w:left w:w="108" w:type="dxa"/>
        <w:right w:w="108" w:type="dxa"/>
      </w:tblCellMar>
    </w:tblPr>
  </w:style>
  <w:style w:type="table" w:customStyle="1" w:styleId="aff3">
    <w:basedOn w:val="TableNormala"/>
    <w:pPr>
      <w:spacing w:after="0" w:line="240" w:lineRule="auto"/>
    </w:pPr>
    <w:tblPr>
      <w:tblStyleRowBandSize w:val="1"/>
      <w:tblStyleColBandSize w:val="1"/>
      <w:tblCellMar>
        <w:left w:w="108" w:type="dxa"/>
        <w:right w:w="108" w:type="dxa"/>
      </w:tblCellMar>
    </w:tblPr>
  </w:style>
  <w:style w:type="table" w:customStyle="1" w:styleId="aff4">
    <w:basedOn w:val="TableNormala"/>
    <w:pPr>
      <w:spacing w:after="0" w:line="240" w:lineRule="auto"/>
    </w:pPr>
    <w:tblPr>
      <w:tblStyleRowBandSize w:val="1"/>
      <w:tblStyleColBandSize w:val="1"/>
      <w:tblCellMar>
        <w:left w:w="108" w:type="dxa"/>
        <w:right w:w="108" w:type="dxa"/>
      </w:tblCellMar>
    </w:tblPr>
  </w:style>
  <w:style w:type="table" w:customStyle="1" w:styleId="aff5">
    <w:basedOn w:val="TableNormala"/>
    <w:pPr>
      <w:spacing w:after="0" w:line="240" w:lineRule="auto"/>
    </w:pPr>
    <w:tblPr>
      <w:tblStyleRowBandSize w:val="1"/>
      <w:tblStyleColBandSize w:val="1"/>
      <w:tblCellMar>
        <w:left w:w="108" w:type="dxa"/>
        <w:right w:w="108" w:type="dxa"/>
      </w:tblCellMar>
    </w:tblPr>
  </w:style>
  <w:style w:type="table" w:customStyle="1" w:styleId="aff6">
    <w:basedOn w:val="TableNormala"/>
    <w:pPr>
      <w:spacing w:after="0" w:line="240" w:lineRule="auto"/>
    </w:pPr>
    <w:tblPr>
      <w:tblStyleRowBandSize w:val="1"/>
      <w:tblStyleColBandSize w:val="1"/>
      <w:tblCellMar>
        <w:left w:w="108" w:type="dxa"/>
        <w:right w:w="108" w:type="dxa"/>
      </w:tblCellMar>
    </w:tblPr>
  </w:style>
  <w:style w:type="table" w:customStyle="1" w:styleId="aff7">
    <w:basedOn w:val="TableNormal9"/>
    <w:pPr>
      <w:spacing w:after="0" w:line="240" w:lineRule="auto"/>
    </w:pPr>
    <w:tblPr>
      <w:tblStyleRowBandSize w:val="1"/>
      <w:tblStyleColBandSize w:val="1"/>
      <w:tblCellMar>
        <w:left w:w="108" w:type="dxa"/>
        <w:right w:w="108" w:type="dxa"/>
      </w:tblCellMar>
    </w:tblPr>
  </w:style>
  <w:style w:type="table" w:customStyle="1" w:styleId="aff8">
    <w:basedOn w:val="TableNormal9"/>
    <w:pPr>
      <w:spacing w:after="0" w:line="240" w:lineRule="auto"/>
    </w:pPr>
    <w:tblPr>
      <w:tblStyleRowBandSize w:val="1"/>
      <w:tblStyleColBandSize w:val="1"/>
      <w:tblCellMar>
        <w:left w:w="108" w:type="dxa"/>
        <w:right w:w="108" w:type="dxa"/>
      </w:tblCellMar>
    </w:tblPr>
  </w:style>
  <w:style w:type="table" w:customStyle="1" w:styleId="aff9">
    <w:basedOn w:val="TableNormal9"/>
    <w:pPr>
      <w:spacing w:after="0" w:line="240" w:lineRule="auto"/>
    </w:pPr>
    <w:tblPr>
      <w:tblStyleRowBandSize w:val="1"/>
      <w:tblStyleColBandSize w:val="1"/>
      <w:tblCellMar>
        <w:left w:w="108" w:type="dxa"/>
        <w:right w:w="108" w:type="dxa"/>
      </w:tblCellMar>
    </w:tblPr>
  </w:style>
  <w:style w:type="table" w:customStyle="1" w:styleId="affa">
    <w:basedOn w:val="TableNormal9"/>
    <w:pPr>
      <w:spacing w:after="0" w:line="240" w:lineRule="auto"/>
    </w:pPr>
    <w:tblPr>
      <w:tblStyleRowBandSize w:val="1"/>
      <w:tblStyleColBandSize w:val="1"/>
      <w:tblCellMar>
        <w:left w:w="108" w:type="dxa"/>
        <w:right w:w="108" w:type="dxa"/>
      </w:tblCellMar>
    </w:tblPr>
  </w:style>
  <w:style w:type="table" w:customStyle="1" w:styleId="affb">
    <w:basedOn w:val="TableNormal9"/>
    <w:pPr>
      <w:spacing w:after="0" w:line="240" w:lineRule="auto"/>
    </w:pPr>
    <w:tblPr>
      <w:tblStyleRowBandSize w:val="1"/>
      <w:tblStyleColBandSize w:val="1"/>
      <w:tblCellMar>
        <w:left w:w="108" w:type="dxa"/>
        <w:right w:w="108" w:type="dxa"/>
      </w:tblCellMar>
    </w:tblPr>
  </w:style>
  <w:style w:type="table" w:customStyle="1" w:styleId="affc">
    <w:basedOn w:val="TableNormal9"/>
    <w:pPr>
      <w:spacing w:after="0" w:line="240" w:lineRule="auto"/>
    </w:pPr>
    <w:tblPr>
      <w:tblStyleRowBandSize w:val="1"/>
      <w:tblStyleColBandSize w:val="1"/>
      <w:tblCellMar>
        <w:left w:w="108" w:type="dxa"/>
        <w:right w:w="108" w:type="dxa"/>
      </w:tblCellMar>
    </w:tblPr>
  </w:style>
  <w:style w:type="table" w:customStyle="1" w:styleId="affd">
    <w:basedOn w:val="TableNormal9"/>
    <w:pPr>
      <w:spacing w:after="0" w:line="240" w:lineRule="auto"/>
    </w:pPr>
    <w:tblPr>
      <w:tblStyleRowBandSize w:val="1"/>
      <w:tblStyleColBandSize w:val="1"/>
      <w:tblCellMar>
        <w:left w:w="108" w:type="dxa"/>
        <w:right w:w="108" w:type="dxa"/>
      </w:tblCellMar>
    </w:tblPr>
  </w:style>
  <w:style w:type="table" w:customStyle="1" w:styleId="affe">
    <w:basedOn w:val="TableNormal9"/>
    <w:pPr>
      <w:spacing w:after="0" w:line="240" w:lineRule="auto"/>
    </w:pPr>
    <w:tblPr>
      <w:tblStyleRowBandSize w:val="1"/>
      <w:tblStyleColBandSize w:val="1"/>
      <w:tblCellMar>
        <w:left w:w="108" w:type="dxa"/>
        <w:right w:w="108" w:type="dxa"/>
      </w:tblCellMar>
    </w:tblPr>
  </w:style>
  <w:style w:type="table" w:customStyle="1" w:styleId="afff">
    <w:basedOn w:val="TableNormal9"/>
    <w:pPr>
      <w:spacing w:after="0" w:line="240" w:lineRule="auto"/>
    </w:pPr>
    <w:tblPr>
      <w:tblStyleRowBandSize w:val="1"/>
      <w:tblStyleColBandSize w:val="1"/>
      <w:tblCellMar>
        <w:left w:w="108" w:type="dxa"/>
        <w:right w:w="108" w:type="dxa"/>
      </w:tblCellMar>
    </w:tblPr>
  </w:style>
  <w:style w:type="table" w:customStyle="1" w:styleId="afff0">
    <w:basedOn w:val="TableNormal9"/>
    <w:pPr>
      <w:spacing w:after="0" w:line="240" w:lineRule="auto"/>
    </w:pPr>
    <w:tblPr>
      <w:tblStyleRowBandSize w:val="1"/>
      <w:tblStyleColBandSize w:val="1"/>
      <w:tblCellMar>
        <w:left w:w="108" w:type="dxa"/>
        <w:right w:w="108" w:type="dxa"/>
      </w:tblCellMar>
    </w:tblPr>
  </w:style>
  <w:style w:type="table" w:customStyle="1" w:styleId="afff1">
    <w:basedOn w:val="TableNormal9"/>
    <w:pPr>
      <w:spacing w:after="0" w:line="240" w:lineRule="auto"/>
    </w:pPr>
    <w:tblPr>
      <w:tblStyleRowBandSize w:val="1"/>
      <w:tblStyleColBandSize w:val="1"/>
      <w:tblCellMar>
        <w:left w:w="108" w:type="dxa"/>
        <w:right w:w="108" w:type="dxa"/>
      </w:tblCellMar>
    </w:tblPr>
  </w:style>
  <w:style w:type="table" w:customStyle="1" w:styleId="afff2">
    <w:basedOn w:val="TableNormal9"/>
    <w:pPr>
      <w:spacing w:after="0" w:line="240" w:lineRule="auto"/>
    </w:pPr>
    <w:tblPr>
      <w:tblStyleRowBandSize w:val="1"/>
      <w:tblStyleColBandSize w:val="1"/>
      <w:tblCellMar>
        <w:left w:w="108" w:type="dxa"/>
        <w:right w:w="108" w:type="dxa"/>
      </w:tblCellMar>
    </w:tblPr>
  </w:style>
  <w:style w:type="table" w:customStyle="1" w:styleId="afff3">
    <w:basedOn w:val="TableNormal9"/>
    <w:pPr>
      <w:spacing w:after="0" w:line="240" w:lineRule="auto"/>
    </w:pPr>
    <w:tblPr>
      <w:tblStyleRowBandSize w:val="1"/>
      <w:tblStyleColBandSize w:val="1"/>
      <w:tblCellMar>
        <w:left w:w="108" w:type="dxa"/>
        <w:right w:w="108" w:type="dxa"/>
      </w:tblCellMar>
    </w:tblPr>
  </w:style>
  <w:style w:type="table" w:customStyle="1" w:styleId="afff4">
    <w:basedOn w:val="TableNormal9"/>
    <w:pPr>
      <w:spacing w:after="0" w:line="240" w:lineRule="auto"/>
    </w:pPr>
    <w:tblPr>
      <w:tblStyleRowBandSize w:val="1"/>
      <w:tblStyleColBandSize w:val="1"/>
      <w:tblCellMar>
        <w:left w:w="108" w:type="dxa"/>
        <w:right w:w="108" w:type="dxa"/>
      </w:tblCellMar>
    </w:tblPr>
  </w:style>
  <w:style w:type="table" w:customStyle="1" w:styleId="afff5">
    <w:basedOn w:val="TableNormal9"/>
    <w:pPr>
      <w:spacing w:after="0" w:line="240" w:lineRule="auto"/>
    </w:pPr>
    <w:tblPr>
      <w:tblStyleRowBandSize w:val="1"/>
      <w:tblStyleColBandSize w:val="1"/>
      <w:tblCellMar>
        <w:left w:w="108" w:type="dxa"/>
        <w:right w:w="108" w:type="dxa"/>
      </w:tblCellMar>
    </w:tblPr>
  </w:style>
  <w:style w:type="table" w:customStyle="1" w:styleId="afff6">
    <w:basedOn w:val="TableNormal9"/>
    <w:pPr>
      <w:spacing w:after="0" w:line="240" w:lineRule="auto"/>
    </w:pPr>
    <w:tblPr>
      <w:tblStyleRowBandSize w:val="1"/>
      <w:tblStyleColBandSize w:val="1"/>
      <w:tblCellMar>
        <w:left w:w="108" w:type="dxa"/>
        <w:right w:w="108" w:type="dxa"/>
      </w:tblCellMar>
    </w:tblPr>
  </w:style>
  <w:style w:type="table" w:customStyle="1" w:styleId="afff7">
    <w:basedOn w:val="TableNormal9"/>
    <w:pPr>
      <w:spacing w:after="0" w:line="240" w:lineRule="auto"/>
    </w:pPr>
    <w:tblPr>
      <w:tblStyleRowBandSize w:val="1"/>
      <w:tblStyleColBandSize w:val="1"/>
      <w:tblCellMar>
        <w:left w:w="108" w:type="dxa"/>
        <w:right w:w="108" w:type="dxa"/>
      </w:tblCellMar>
    </w:tblPr>
  </w:style>
  <w:style w:type="table" w:customStyle="1" w:styleId="afff8">
    <w:basedOn w:val="TableNormal9"/>
    <w:pPr>
      <w:spacing w:after="0" w:line="240" w:lineRule="auto"/>
    </w:pPr>
    <w:tblPr>
      <w:tblStyleRowBandSize w:val="1"/>
      <w:tblStyleColBandSize w:val="1"/>
      <w:tblCellMar>
        <w:left w:w="108" w:type="dxa"/>
        <w:right w:w="108" w:type="dxa"/>
      </w:tblCellMar>
    </w:tblPr>
  </w:style>
  <w:style w:type="table" w:customStyle="1" w:styleId="afff9">
    <w:basedOn w:val="TableNormal9"/>
    <w:pPr>
      <w:spacing w:after="0" w:line="240" w:lineRule="auto"/>
    </w:pPr>
    <w:tblPr>
      <w:tblStyleRowBandSize w:val="1"/>
      <w:tblStyleColBandSize w:val="1"/>
      <w:tblCellMar>
        <w:left w:w="108" w:type="dxa"/>
        <w:right w:w="108" w:type="dxa"/>
      </w:tblCellMar>
    </w:tblPr>
  </w:style>
  <w:style w:type="table" w:customStyle="1" w:styleId="afffa">
    <w:basedOn w:val="TableNormal9"/>
    <w:pPr>
      <w:spacing w:after="0" w:line="240" w:lineRule="auto"/>
    </w:pPr>
    <w:tblPr>
      <w:tblStyleRowBandSize w:val="1"/>
      <w:tblStyleColBandSize w:val="1"/>
      <w:tblCellMar>
        <w:left w:w="108" w:type="dxa"/>
        <w:right w:w="108" w:type="dxa"/>
      </w:tblCellMar>
    </w:tblPr>
  </w:style>
  <w:style w:type="table" w:customStyle="1" w:styleId="afffb">
    <w:basedOn w:val="TableNormal9"/>
    <w:pPr>
      <w:spacing w:after="0" w:line="240" w:lineRule="auto"/>
    </w:pPr>
    <w:tblPr>
      <w:tblStyleRowBandSize w:val="1"/>
      <w:tblStyleColBandSize w:val="1"/>
      <w:tblCellMar>
        <w:left w:w="108" w:type="dxa"/>
        <w:right w:w="108" w:type="dxa"/>
      </w:tblCellMar>
    </w:tblPr>
  </w:style>
  <w:style w:type="table" w:customStyle="1" w:styleId="afffc">
    <w:basedOn w:val="TableNormal9"/>
    <w:pPr>
      <w:spacing w:after="0" w:line="240" w:lineRule="auto"/>
    </w:pPr>
    <w:tblPr>
      <w:tblStyleRowBandSize w:val="1"/>
      <w:tblStyleColBandSize w:val="1"/>
      <w:tblCellMar>
        <w:left w:w="108" w:type="dxa"/>
        <w:right w:w="108" w:type="dxa"/>
      </w:tblCellMar>
    </w:tblPr>
  </w:style>
  <w:style w:type="table" w:customStyle="1" w:styleId="afffd">
    <w:basedOn w:val="TableNormal8"/>
    <w:pPr>
      <w:spacing w:after="0" w:line="240" w:lineRule="auto"/>
    </w:pPr>
    <w:tblPr>
      <w:tblStyleRowBandSize w:val="1"/>
      <w:tblStyleColBandSize w:val="1"/>
      <w:tblCellMar>
        <w:left w:w="108" w:type="dxa"/>
        <w:right w:w="108" w:type="dxa"/>
      </w:tblCellMar>
    </w:tblPr>
  </w:style>
  <w:style w:type="table" w:customStyle="1" w:styleId="afffe">
    <w:basedOn w:val="TableNormal8"/>
    <w:pPr>
      <w:spacing w:after="0" w:line="240" w:lineRule="auto"/>
    </w:pPr>
    <w:tblPr>
      <w:tblStyleRowBandSize w:val="1"/>
      <w:tblStyleColBandSize w:val="1"/>
      <w:tblCellMar>
        <w:left w:w="108" w:type="dxa"/>
        <w:right w:w="108" w:type="dxa"/>
      </w:tblCellMar>
    </w:tblPr>
  </w:style>
  <w:style w:type="table" w:customStyle="1" w:styleId="affff">
    <w:basedOn w:val="TableNormal8"/>
    <w:pPr>
      <w:spacing w:after="0" w:line="240" w:lineRule="auto"/>
    </w:pPr>
    <w:tblPr>
      <w:tblStyleRowBandSize w:val="1"/>
      <w:tblStyleColBandSize w:val="1"/>
      <w:tblCellMar>
        <w:left w:w="108" w:type="dxa"/>
        <w:right w:w="108" w:type="dxa"/>
      </w:tblCellMar>
    </w:tblPr>
  </w:style>
  <w:style w:type="table" w:customStyle="1" w:styleId="affff0">
    <w:basedOn w:val="TableNormal8"/>
    <w:pPr>
      <w:spacing w:after="0" w:line="240" w:lineRule="auto"/>
    </w:pPr>
    <w:tblPr>
      <w:tblStyleRowBandSize w:val="1"/>
      <w:tblStyleColBandSize w:val="1"/>
      <w:tblCellMar>
        <w:left w:w="108" w:type="dxa"/>
        <w:right w:w="108" w:type="dxa"/>
      </w:tblCellMar>
    </w:tblPr>
  </w:style>
  <w:style w:type="table" w:customStyle="1" w:styleId="affff1">
    <w:basedOn w:val="TableNormal8"/>
    <w:pPr>
      <w:spacing w:after="0" w:line="240" w:lineRule="auto"/>
    </w:pPr>
    <w:tblPr>
      <w:tblStyleRowBandSize w:val="1"/>
      <w:tblStyleColBandSize w:val="1"/>
      <w:tblCellMar>
        <w:left w:w="108" w:type="dxa"/>
        <w:right w:w="108" w:type="dxa"/>
      </w:tblCellMar>
    </w:tblPr>
  </w:style>
  <w:style w:type="character" w:customStyle="1" w:styleId="Mencinsinresolver4">
    <w:name w:val="Mención sin resolver4"/>
    <w:basedOn w:val="Fuentedeprrafopredeter"/>
    <w:uiPriority w:val="99"/>
    <w:semiHidden/>
    <w:unhideWhenUsed/>
    <w:rsid w:val="001C2C58"/>
    <w:rPr>
      <w:color w:val="605E5C"/>
      <w:shd w:val="clear" w:color="auto" w:fill="E1DFDD"/>
    </w:rPr>
  </w:style>
  <w:style w:type="table" w:customStyle="1" w:styleId="affff2">
    <w:basedOn w:val="TableNormal7"/>
    <w:pPr>
      <w:spacing w:after="0" w:line="240" w:lineRule="auto"/>
    </w:pPr>
    <w:tblPr>
      <w:tblStyleRowBandSize w:val="1"/>
      <w:tblStyleColBandSize w:val="1"/>
      <w:tblCellMar>
        <w:left w:w="108" w:type="dxa"/>
        <w:right w:w="108" w:type="dxa"/>
      </w:tblCellMar>
    </w:tblPr>
  </w:style>
  <w:style w:type="table" w:customStyle="1" w:styleId="affff3">
    <w:basedOn w:val="TableNormal7"/>
    <w:pPr>
      <w:spacing w:after="0" w:line="240" w:lineRule="auto"/>
    </w:pPr>
    <w:tblPr>
      <w:tblStyleRowBandSize w:val="1"/>
      <w:tblStyleColBandSize w:val="1"/>
      <w:tblCellMar>
        <w:left w:w="108" w:type="dxa"/>
        <w:right w:w="108" w:type="dxa"/>
      </w:tblCellMar>
    </w:tblPr>
  </w:style>
  <w:style w:type="table" w:customStyle="1" w:styleId="affff4">
    <w:basedOn w:val="TableNormal7"/>
    <w:pPr>
      <w:spacing w:after="0" w:line="240" w:lineRule="auto"/>
    </w:pPr>
    <w:tblPr>
      <w:tblStyleRowBandSize w:val="1"/>
      <w:tblStyleColBandSize w:val="1"/>
      <w:tblCellMar>
        <w:left w:w="108" w:type="dxa"/>
        <w:right w:w="108" w:type="dxa"/>
      </w:tblCellMar>
    </w:tblPr>
  </w:style>
  <w:style w:type="table" w:customStyle="1" w:styleId="affff5">
    <w:basedOn w:val="TableNormal7"/>
    <w:pPr>
      <w:spacing w:after="0" w:line="240" w:lineRule="auto"/>
    </w:pPr>
    <w:tblPr>
      <w:tblStyleRowBandSize w:val="1"/>
      <w:tblStyleColBandSize w:val="1"/>
      <w:tblCellMar>
        <w:left w:w="108" w:type="dxa"/>
        <w:right w:w="108" w:type="dxa"/>
      </w:tblCellMar>
    </w:tblPr>
  </w:style>
  <w:style w:type="character" w:customStyle="1" w:styleId="Mencinsinresolver5">
    <w:name w:val="Mención sin resolver5"/>
    <w:basedOn w:val="Fuentedeprrafopredeter"/>
    <w:uiPriority w:val="99"/>
    <w:semiHidden/>
    <w:unhideWhenUsed/>
    <w:rsid w:val="0058145F"/>
    <w:rPr>
      <w:color w:val="605E5C"/>
      <w:shd w:val="clear" w:color="auto" w:fill="E1DFDD"/>
    </w:rPr>
  </w:style>
  <w:style w:type="table" w:customStyle="1" w:styleId="affff6">
    <w:basedOn w:val="TableNormal6"/>
    <w:pPr>
      <w:spacing w:after="0" w:line="240" w:lineRule="auto"/>
    </w:pPr>
    <w:tblPr>
      <w:tblStyleRowBandSize w:val="1"/>
      <w:tblStyleColBandSize w:val="1"/>
      <w:tblCellMar>
        <w:left w:w="108" w:type="dxa"/>
        <w:right w:w="108" w:type="dxa"/>
      </w:tblCellMar>
    </w:tblPr>
  </w:style>
  <w:style w:type="table" w:customStyle="1" w:styleId="affff7">
    <w:basedOn w:val="TableNormal6"/>
    <w:pPr>
      <w:spacing w:after="0" w:line="240" w:lineRule="auto"/>
    </w:pPr>
    <w:tblPr>
      <w:tblStyleRowBandSize w:val="1"/>
      <w:tblStyleColBandSize w:val="1"/>
      <w:tblCellMar>
        <w:left w:w="108" w:type="dxa"/>
        <w:right w:w="108" w:type="dxa"/>
      </w:tblCellMar>
    </w:tblPr>
  </w:style>
  <w:style w:type="table" w:customStyle="1" w:styleId="affff8">
    <w:basedOn w:val="TableNormal6"/>
    <w:pPr>
      <w:spacing w:after="0" w:line="240" w:lineRule="auto"/>
    </w:pPr>
    <w:tblPr>
      <w:tblStyleRowBandSize w:val="1"/>
      <w:tblStyleColBandSize w:val="1"/>
      <w:tblCellMar>
        <w:left w:w="108" w:type="dxa"/>
        <w:right w:w="108" w:type="dxa"/>
      </w:tblCellMar>
    </w:tblPr>
  </w:style>
  <w:style w:type="table" w:customStyle="1" w:styleId="affff9">
    <w:basedOn w:val="TableNormal6"/>
    <w:pPr>
      <w:spacing w:after="0" w:line="240" w:lineRule="auto"/>
    </w:pPr>
    <w:tblPr>
      <w:tblStyleRowBandSize w:val="1"/>
      <w:tblStyleColBandSize w:val="1"/>
      <w:tblCellMar>
        <w:left w:w="108" w:type="dxa"/>
        <w:right w:w="108" w:type="dxa"/>
      </w:tblCellMar>
    </w:tblPr>
  </w:style>
  <w:style w:type="table" w:customStyle="1" w:styleId="affffa">
    <w:basedOn w:val="TableNormal6"/>
    <w:pPr>
      <w:spacing w:after="0" w:line="240" w:lineRule="auto"/>
    </w:pPr>
    <w:tblPr>
      <w:tblStyleRowBandSize w:val="1"/>
      <w:tblStyleColBandSize w:val="1"/>
      <w:tblCellMar>
        <w:left w:w="108" w:type="dxa"/>
        <w:right w:w="108" w:type="dxa"/>
      </w:tblCellMar>
    </w:tblPr>
  </w:style>
  <w:style w:type="character" w:customStyle="1" w:styleId="Mencinsinresolver6">
    <w:name w:val="Mención sin resolver6"/>
    <w:basedOn w:val="Fuentedeprrafopredeter"/>
    <w:uiPriority w:val="99"/>
    <w:semiHidden/>
    <w:unhideWhenUsed/>
    <w:rsid w:val="00745900"/>
    <w:rPr>
      <w:color w:val="605E5C"/>
      <w:shd w:val="clear" w:color="auto" w:fill="E1DFDD"/>
    </w:rPr>
  </w:style>
  <w:style w:type="table" w:customStyle="1" w:styleId="affffb">
    <w:basedOn w:val="TableNormal5"/>
    <w:pPr>
      <w:spacing w:after="0" w:line="240" w:lineRule="auto"/>
    </w:pPr>
    <w:tblPr>
      <w:tblStyleRowBandSize w:val="1"/>
      <w:tblStyleColBandSize w:val="1"/>
      <w:tblCellMar>
        <w:left w:w="108" w:type="dxa"/>
        <w:right w:w="108" w:type="dxa"/>
      </w:tblCellMar>
    </w:tblPr>
  </w:style>
  <w:style w:type="table" w:customStyle="1" w:styleId="affffc">
    <w:basedOn w:val="TableNormal5"/>
    <w:pPr>
      <w:spacing w:after="0" w:line="240" w:lineRule="auto"/>
    </w:pPr>
    <w:tblPr>
      <w:tblStyleRowBandSize w:val="1"/>
      <w:tblStyleColBandSize w:val="1"/>
      <w:tblCellMar>
        <w:left w:w="108" w:type="dxa"/>
        <w:right w:w="108" w:type="dxa"/>
      </w:tblCellMar>
    </w:tblPr>
  </w:style>
  <w:style w:type="table" w:customStyle="1" w:styleId="affffd">
    <w:basedOn w:val="TableNormal5"/>
    <w:pPr>
      <w:spacing w:after="0" w:line="240" w:lineRule="auto"/>
    </w:pPr>
    <w:tblPr>
      <w:tblStyleRowBandSize w:val="1"/>
      <w:tblStyleColBandSize w:val="1"/>
      <w:tblCellMar>
        <w:left w:w="108" w:type="dxa"/>
        <w:right w:w="108" w:type="dxa"/>
      </w:tblCellMar>
    </w:tblPr>
  </w:style>
  <w:style w:type="table" w:customStyle="1" w:styleId="affffe">
    <w:basedOn w:val="TableNormal5"/>
    <w:pPr>
      <w:spacing w:after="0" w:line="240" w:lineRule="auto"/>
    </w:pPr>
    <w:tblPr>
      <w:tblStyleRowBandSize w:val="1"/>
      <w:tblStyleColBandSize w:val="1"/>
      <w:tblCellMar>
        <w:left w:w="108" w:type="dxa"/>
        <w:right w:w="108" w:type="dxa"/>
      </w:tblCellMar>
    </w:tblPr>
  </w:style>
  <w:style w:type="table" w:customStyle="1" w:styleId="afffff">
    <w:basedOn w:val="TableNormal4"/>
    <w:pPr>
      <w:spacing w:after="0" w:line="240" w:lineRule="auto"/>
    </w:pPr>
    <w:tblPr>
      <w:tblStyleRowBandSize w:val="1"/>
      <w:tblStyleColBandSize w:val="1"/>
      <w:tblCellMar>
        <w:left w:w="108" w:type="dxa"/>
        <w:right w:w="108" w:type="dxa"/>
      </w:tblCellMar>
    </w:tblPr>
  </w:style>
  <w:style w:type="table" w:customStyle="1" w:styleId="afffff0">
    <w:basedOn w:val="TableNormal4"/>
    <w:pPr>
      <w:spacing w:after="0" w:line="240" w:lineRule="auto"/>
    </w:pPr>
    <w:tblPr>
      <w:tblStyleRowBandSize w:val="1"/>
      <w:tblStyleColBandSize w:val="1"/>
      <w:tblCellMar>
        <w:left w:w="108" w:type="dxa"/>
        <w:right w:w="108" w:type="dxa"/>
      </w:tblCellMar>
    </w:tblPr>
  </w:style>
  <w:style w:type="table" w:customStyle="1" w:styleId="afffff1">
    <w:basedOn w:val="TableNormal4"/>
    <w:pPr>
      <w:spacing w:after="0" w:line="240" w:lineRule="auto"/>
    </w:pPr>
    <w:tblPr>
      <w:tblStyleRowBandSize w:val="1"/>
      <w:tblStyleColBandSize w:val="1"/>
      <w:tblCellMar>
        <w:left w:w="108" w:type="dxa"/>
        <w:right w:w="108" w:type="dxa"/>
      </w:tblCellMar>
    </w:tblPr>
  </w:style>
  <w:style w:type="table" w:customStyle="1" w:styleId="afffff2">
    <w:basedOn w:val="TableNormal4"/>
    <w:pPr>
      <w:spacing w:after="0" w:line="240" w:lineRule="auto"/>
    </w:pPr>
    <w:tblPr>
      <w:tblStyleRowBandSize w:val="1"/>
      <w:tblStyleColBandSize w:val="1"/>
      <w:tblCellMar>
        <w:left w:w="108" w:type="dxa"/>
        <w:right w:w="108" w:type="dxa"/>
      </w:tblCellMar>
    </w:tblPr>
  </w:style>
  <w:style w:type="table" w:customStyle="1" w:styleId="afffff3">
    <w:basedOn w:val="TableNormal4"/>
    <w:pPr>
      <w:spacing w:after="0" w:line="240" w:lineRule="auto"/>
    </w:pPr>
    <w:tblPr>
      <w:tblStyleRowBandSize w:val="1"/>
      <w:tblStyleColBandSize w:val="1"/>
      <w:tblCellMar>
        <w:left w:w="108" w:type="dxa"/>
        <w:right w:w="108" w:type="dxa"/>
      </w:tblCellMar>
    </w:tblPr>
  </w:style>
  <w:style w:type="table" w:customStyle="1" w:styleId="afffff4">
    <w:basedOn w:val="TableNormal3"/>
    <w:pPr>
      <w:spacing w:after="0" w:line="240" w:lineRule="auto"/>
    </w:pPr>
    <w:tblPr>
      <w:tblStyleRowBandSize w:val="1"/>
      <w:tblStyleColBandSize w:val="1"/>
      <w:tblCellMar>
        <w:left w:w="108" w:type="dxa"/>
        <w:right w:w="108" w:type="dxa"/>
      </w:tblCellMar>
    </w:tblPr>
  </w:style>
  <w:style w:type="table" w:customStyle="1" w:styleId="afffff5">
    <w:basedOn w:val="TableNormal3"/>
    <w:pPr>
      <w:spacing w:after="0" w:line="240" w:lineRule="auto"/>
    </w:pPr>
    <w:tblPr>
      <w:tblStyleRowBandSize w:val="1"/>
      <w:tblStyleColBandSize w:val="1"/>
      <w:tblCellMar>
        <w:left w:w="108" w:type="dxa"/>
        <w:right w:w="108" w:type="dxa"/>
      </w:tblCellMar>
    </w:tblPr>
  </w:style>
  <w:style w:type="table" w:customStyle="1" w:styleId="afffff6">
    <w:basedOn w:val="TableNormal3"/>
    <w:pPr>
      <w:spacing w:after="0" w:line="240" w:lineRule="auto"/>
    </w:pPr>
    <w:tblPr>
      <w:tblStyleRowBandSize w:val="1"/>
      <w:tblStyleColBandSize w:val="1"/>
      <w:tblCellMar>
        <w:left w:w="108" w:type="dxa"/>
        <w:right w:w="108" w:type="dxa"/>
      </w:tblCellMar>
    </w:tblPr>
  </w:style>
  <w:style w:type="table" w:customStyle="1" w:styleId="afffff7">
    <w:basedOn w:val="TableNormal3"/>
    <w:pPr>
      <w:spacing w:after="0" w:line="240" w:lineRule="auto"/>
    </w:pPr>
    <w:tblPr>
      <w:tblStyleRowBandSize w:val="1"/>
      <w:tblStyleColBandSize w:val="1"/>
      <w:tblCellMar>
        <w:left w:w="108" w:type="dxa"/>
        <w:right w:w="108" w:type="dxa"/>
      </w:tblCellMar>
    </w:tblPr>
  </w:style>
  <w:style w:type="character" w:customStyle="1" w:styleId="Mencinsinresolver7">
    <w:name w:val="Mención sin resolver7"/>
    <w:basedOn w:val="Fuentedeprrafopredeter"/>
    <w:uiPriority w:val="99"/>
    <w:semiHidden/>
    <w:unhideWhenUsed/>
    <w:rsid w:val="00D82F25"/>
    <w:rPr>
      <w:color w:val="605E5C"/>
      <w:shd w:val="clear" w:color="auto" w:fill="E1DFDD"/>
    </w:rPr>
  </w:style>
  <w:style w:type="table" w:customStyle="1" w:styleId="afffff8">
    <w:basedOn w:val="TableNormal2"/>
    <w:pPr>
      <w:spacing w:after="0" w:line="240" w:lineRule="auto"/>
    </w:pPr>
    <w:tblPr>
      <w:tblStyleRowBandSize w:val="1"/>
      <w:tblStyleColBandSize w:val="1"/>
      <w:tblCellMar>
        <w:left w:w="108" w:type="dxa"/>
        <w:right w:w="108" w:type="dxa"/>
      </w:tblCellMar>
    </w:tblPr>
  </w:style>
  <w:style w:type="table" w:customStyle="1" w:styleId="afffff9">
    <w:basedOn w:val="TableNormal2"/>
    <w:pPr>
      <w:spacing w:after="0" w:line="240" w:lineRule="auto"/>
    </w:pPr>
    <w:tblPr>
      <w:tblStyleRowBandSize w:val="1"/>
      <w:tblStyleColBandSize w:val="1"/>
      <w:tblCellMar>
        <w:left w:w="108" w:type="dxa"/>
        <w:right w:w="108" w:type="dxa"/>
      </w:tblCellMar>
    </w:tblPr>
  </w:style>
  <w:style w:type="table" w:customStyle="1" w:styleId="afffffa">
    <w:basedOn w:val="TableNormal2"/>
    <w:pPr>
      <w:spacing w:after="0" w:line="240" w:lineRule="auto"/>
    </w:pPr>
    <w:tblPr>
      <w:tblStyleRowBandSize w:val="1"/>
      <w:tblStyleColBandSize w:val="1"/>
      <w:tblCellMar>
        <w:left w:w="108" w:type="dxa"/>
        <w:right w:w="108" w:type="dxa"/>
      </w:tblCellMar>
    </w:tblPr>
  </w:style>
  <w:style w:type="table" w:customStyle="1" w:styleId="afffffb">
    <w:basedOn w:val="TableNormal2"/>
    <w:pPr>
      <w:spacing w:after="0" w:line="240" w:lineRule="auto"/>
    </w:pPr>
    <w:tblPr>
      <w:tblStyleRowBandSize w:val="1"/>
      <w:tblStyleColBandSize w:val="1"/>
      <w:tblCellMar>
        <w:left w:w="108" w:type="dxa"/>
        <w:right w:w="108" w:type="dxa"/>
      </w:tblCellMar>
    </w:tblPr>
  </w:style>
  <w:style w:type="table" w:customStyle="1" w:styleId="afffffc">
    <w:basedOn w:val="TableNormal2"/>
    <w:pPr>
      <w:spacing w:after="0" w:line="240" w:lineRule="auto"/>
    </w:pPr>
    <w:tblPr>
      <w:tblStyleRowBandSize w:val="1"/>
      <w:tblStyleColBandSize w:val="1"/>
      <w:tblCellMar>
        <w:left w:w="108" w:type="dxa"/>
        <w:right w:w="108" w:type="dxa"/>
      </w:tblCellMar>
    </w:tblPr>
  </w:style>
  <w:style w:type="table" w:customStyle="1" w:styleId="afffffd">
    <w:basedOn w:val="TableNormal1"/>
    <w:pPr>
      <w:spacing w:after="0" w:line="240" w:lineRule="auto"/>
    </w:pPr>
    <w:tblPr>
      <w:tblStyleRowBandSize w:val="1"/>
      <w:tblStyleColBandSize w:val="1"/>
      <w:tblCellMar>
        <w:left w:w="108" w:type="dxa"/>
        <w:right w:w="108" w:type="dxa"/>
      </w:tblCellMar>
    </w:tblPr>
  </w:style>
  <w:style w:type="table" w:customStyle="1" w:styleId="afffffe">
    <w:basedOn w:val="TableNormal1"/>
    <w:pPr>
      <w:spacing w:after="0" w:line="240" w:lineRule="auto"/>
    </w:pPr>
    <w:tblPr>
      <w:tblStyleRowBandSize w:val="1"/>
      <w:tblStyleColBandSize w:val="1"/>
      <w:tblCellMar>
        <w:left w:w="108" w:type="dxa"/>
        <w:right w:w="108" w:type="dxa"/>
      </w:tblCellMar>
    </w:tblPr>
  </w:style>
  <w:style w:type="table" w:customStyle="1" w:styleId="affffff">
    <w:basedOn w:val="TableNormal1"/>
    <w:pPr>
      <w:spacing w:after="0" w:line="240" w:lineRule="auto"/>
    </w:pPr>
    <w:tblPr>
      <w:tblStyleRowBandSize w:val="1"/>
      <w:tblStyleColBandSize w:val="1"/>
      <w:tblCellMar>
        <w:left w:w="108" w:type="dxa"/>
        <w:right w:w="108" w:type="dxa"/>
      </w:tblCellMar>
    </w:tblPr>
  </w:style>
  <w:style w:type="table" w:customStyle="1" w:styleId="affffff0">
    <w:basedOn w:val="TableNormal1"/>
    <w:pPr>
      <w:spacing w:after="0" w:line="240" w:lineRule="auto"/>
    </w:pPr>
    <w:tblPr>
      <w:tblStyleRowBandSize w:val="1"/>
      <w:tblStyleColBandSize w:val="1"/>
      <w:tblCellMar>
        <w:left w:w="108" w:type="dxa"/>
        <w:right w:w="108" w:type="dxa"/>
      </w:tblCellMar>
    </w:tblPr>
  </w:style>
  <w:style w:type="character" w:customStyle="1" w:styleId="Mencinsinresolver8">
    <w:name w:val="Mención sin resolver8"/>
    <w:basedOn w:val="Fuentedeprrafopredeter"/>
    <w:uiPriority w:val="99"/>
    <w:semiHidden/>
    <w:unhideWhenUsed/>
    <w:rsid w:val="00BF2B20"/>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ffff1">
    <w:basedOn w:val="TableNormal0"/>
    <w:pPr>
      <w:spacing w:after="0" w:line="240" w:lineRule="auto"/>
    </w:pPr>
    <w:tblPr>
      <w:tblStyleRowBandSize w:val="1"/>
      <w:tblStyleColBandSize w:val="1"/>
      <w:tblCellMar>
        <w:left w:w="108" w:type="dxa"/>
        <w:right w:w="108" w:type="dxa"/>
      </w:tblCellMar>
    </w:tblPr>
  </w:style>
  <w:style w:type="table" w:customStyle="1" w:styleId="affffff2">
    <w:basedOn w:val="TableNormal0"/>
    <w:pPr>
      <w:spacing w:after="0" w:line="240" w:lineRule="auto"/>
    </w:pPr>
    <w:tblPr>
      <w:tblStyleRowBandSize w:val="1"/>
      <w:tblStyleColBandSize w:val="1"/>
      <w:tblCellMar>
        <w:left w:w="108" w:type="dxa"/>
        <w:right w:w="108" w:type="dxa"/>
      </w:tblCellMar>
    </w:tblPr>
  </w:style>
  <w:style w:type="table" w:customStyle="1" w:styleId="affffff3">
    <w:basedOn w:val="TableNormal0"/>
    <w:pPr>
      <w:spacing w:after="0" w:line="240" w:lineRule="auto"/>
    </w:pPr>
    <w:tblPr>
      <w:tblStyleRowBandSize w:val="1"/>
      <w:tblStyleColBandSize w:val="1"/>
      <w:tblCellMar>
        <w:left w:w="108" w:type="dxa"/>
        <w:right w:w="108" w:type="dxa"/>
      </w:tblCellMar>
    </w:tblPr>
  </w:style>
  <w:style w:type="table" w:customStyle="1" w:styleId="affffff4">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dof.gob.mx/2021/SSPC/SEGURIDADyPC_260121.pdf"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s://secretariadoejecutivo.gob.mx/doc/Actualizacion_Diagnostico_Nacional_MOFP.pdf"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aZCfDmekR6zbYmG8zzjYje3yBg==">CgMxLjAyDmgucHVkb2JrdTNmeXloMghoLmdqZGd4czIOaC5mejIwNXZmdTd1N2QyDmguc3UwanNzaWlna3BxMg5oLjViNmZ5Mml1cmNhajIOaC50ZWNyY2RobjM5aWoyCWguMmV0OTJwMDIOaC5oM3h0bTNoaXZmMzAyDmguM3lidzh5NWJnYjlnMg5oLnh1MnpsbW5qdGxlZDIOaC56Z2doc2pyemkxb3MyDmguejVxMDhnZDN5d2NhMg5oLm95aWZicjFyOWxjMDIOaC4yd2c3anR4ZzkwNjcyDmgub3dtbzd0dG5veW5nMg5oLnVxMXRrcmUyM2M0MTIOaC5hcmd5MjFxbmttaHI4AHIhMXg4elFpUzdqOHREdDNvb3UxQnNqMnFRQjNEeFhYSHpX</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F444EEB-2B09-40B1-9B31-B31AA7853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8228</Words>
  <Characters>44021</Characters>
  <Application>Microsoft Office Word</Application>
  <DocSecurity>0</DocSecurity>
  <Lines>880</Lines>
  <Paragraphs>245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Roxana Lechuga</cp:lastModifiedBy>
  <cp:revision>5</cp:revision>
  <cp:lastPrinted>2025-09-19T00:36:00Z</cp:lastPrinted>
  <dcterms:created xsi:type="dcterms:W3CDTF">2025-09-19T00:36:00Z</dcterms:created>
  <dcterms:modified xsi:type="dcterms:W3CDTF">2025-11-28T03:41:00Z</dcterms:modified>
</cp:coreProperties>
</file>