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A909" w14:textId="652F2705"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F7908" w:rsidRPr="00887ACF">
        <w:rPr>
          <w:rFonts w:ascii="Palatino Linotype" w:eastAsia="Palatino Linotype" w:hAnsi="Palatino Linotype" w:cs="Palatino Linotype"/>
          <w:b/>
          <w:sz w:val="22"/>
          <w:szCs w:val="22"/>
        </w:rPr>
        <w:t>nueve de julio de dos mil veinticinco</w:t>
      </w:r>
      <w:r w:rsidRPr="00887ACF">
        <w:rPr>
          <w:rFonts w:ascii="Palatino Linotype" w:eastAsia="Palatino Linotype" w:hAnsi="Palatino Linotype" w:cs="Palatino Linotype"/>
          <w:sz w:val="22"/>
          <w:szCs w:val="22"/>
        </w:rPr>
        <w:t xml:space="preserve">. </w:t>
      </w:r>
    </w:p>
    <w:p w14:paraId="5999C690"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B636BBC" w14:textId="09D2F025"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Visto</w:t>
      </w:r>
      <w:r w:rsidRPr="00887ACF">
        <w:rPr>
          <w:rFonts w:ascii="Palatino Linotype" w:eastAsia="Palatino Linotype" w:hAnsi="Palatino Linotype" w:cs="Palatino Linotype"/>
          <w:sz w:val="22"/>
          <w:szCs w:val="22"/>
        </w:rPr>
        <w:t xml:space="preserve"> el expediente relativo al recurso de revisión </w:t>
      </w:r>
      <w:r w:rsidR="003F7908" w:rsidRPr="00887ACF">
        <w:rPr>
          <w:rFonts w:ascii="Palatino Linotype" w:eastAsia="Palatino Linotype" w:hAnsi="Palatino Linotype" w:cs="Palatino Linotype"/>
          <w:b/>
          <w:sz w:val="22"/>
          <w:szCs w:val="22"/>
        </w:rPr>
        <w:t>04194</w:t>
      </w:r>
      <w:r w:rsidRPr="00887ACF">
        <w:rPr>
          <w:rFonts w:ascii="Palatino Linotype" w:eastAsia="Palatino Linotype" w:hAnsi="Palatino Linotype" w:cs="Palatino Linotype"/>
          <w:b/>
          <w:sz w:val="22"/>
          <w:szCs w:val="22"/>
        </w:rPr>
        <w:t>/INFOEM/IP/RR/202</w:t>
      </w:r>
      <w:r w:rsidR="003F7908" w:rsidRPr="00887ACF">
        <w:rPr>
          <w:rFonts w:ascii="Palatino Linotype" w:eastAsia="Palatino Linotype" w:hAnsi="Palatino Linotype" w:cs="Palatino Linotype"/>
          <w:b/>
          <w:sz w:val="22"/>
          <w:szCs w:val="22"/>
        </w:rPr>
        <w:t>5</w:t>
      </w:r>
      <w:r w:rsidRPr="00887ACF">
        <w:rPr>
          <w:rFonts w:ascii="Palatino Linotype" w:eastAsia="Palatino Linotype" w:hAnsi="Palatino Linotype" w:cs="Palatino Linotype"/>
          <w:sz w:val="22"/>
          <w:szCs w:val="22"/>
        </w:rPr>
        <w:t xml:space="preserve">, interpuesto por </w:t>
      </w:r>
      <w:r w:rsidR="00506831">
        <w:rPr>
          <w:rFonts w:ascii="Palatino Linotype" w:eastAsia="Palatino Linotype" w:hAnsi="Palatino Linotype" w:cs="Palatino Linotype"/>
          <w:b/>
          <w:sz w:val="22"/>
          <w:szCs w:val="22"/>
        </w:rPr>
        <w:t>XXXXX XXXXXXXX</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en lo sucesivo se le denominará la parte</w:t>
      </w:r>
      <w:r w:rsidRPr="00887ACF">
        <w:rPr>
          <w:rFonts w:ascii="Palatino Linotype" w:eastAsia="Palatino Linotype" w:hAnsi="Palatino Linotype" w:cs="Palatino Linotype"/>
          <w:b/>
          <w:sz w:val="22"/>
          <w:szCs w:val="22"/>
        </w:rPr>
        <w:t xml:space="preserve"> RECURRENTE</w:t>
      </w:r>
      <w:r w:rsidRPr="00887ACF">
        <w:rPr>
          <w:rFonts w:ascii="Palatino Linotype" w:eastAsia="Palatino Linotype" w:hAnsi="Palatino Linotype" w:cs="Palatino Linotype"/>
          <w:sz w:val="22"/>
          <w:szCs w:val="22"/>
        </w:rPr>
        <w:t>, en contra de la respuesta a su solicitud de información con número de folio</w:t>
      </w:r>
      <w:r w:rsidRPr="00887ACF">
        <w:rPr>
          <w:rFonts w:ascii="Palatino Linotype" w:eastAsia="Palatino Linotype" w:hAnsi="Palatino Linotype" w:cs="Palatino Linotype"/>
          <w:b/>
          <w:sz w:val="22"/>
          <w:szCs w:val="22"/>
        </w:rPr>
        <w:t xml:space="preserve"> </w:t>
      </w:r>
      <w:r w:rsidR="003F7908" w:rsidRPr="00887ACF">
        <w:rPr>
          <w:rFonts w:ascii="Palatino Linotype" w:eastAsia="Palatino Linotype" w:hAnsi="Palatino Linotype" w:cs="Palatino Linotype"/>
          <w:b/>
          <w:sz w:val="22"/>
          <w:szCs w:val="22"/>
        </w:rPr>
        <w:t>00005/IMCUFIDEVACHASO/IP/2025</w:t>
      </w:r>
      <w:r w:rsidRPr="00887ACF">
        <w:rPr>
          <w:rFonts w:ascii="Palatino Linotype" w:eastAsia="Palatino Linotype" w:hAnsi="Palatino Linotype" w:cs="Palatino Linotype"/>
          <w:sz w:val="22"/>
          <w:szCs w:val="22"/>
        </w:rPr>
        <w:t xml:space="preserve">, por parte del </w:t>
      </w:r>
      <w:r w:rsidR="003F7908" w:rsidRPr="00887ACF">
        <w:rPr>
          <w:rFonts w:ascii="Palatino Linotype" w:eastAsia="Palatino Linotype" w:hAnsi="Palatino Linotype" w:cs="Palatino Linotype"/>
          <w:b/>
          <w:sz w:val="22"/>
          <w:szCs w:val="22"/>
        </w:rPr>
        <w:t>Instituto Municipal de Cultura Física y Deporte de Valle de Chalco Solidaridad</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en lo sucesivo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se procede a dictar la presente resolución, con base en los siguientes: </w:t>
      </w:r>
    </w:p>
    <w:p w14:paraId="3028FAF1" w14:textId="77777777" w:rsidR="00891457" w:rsidRPr="00887ACF" w:rsidRDefault="000F3214">
      <w:pPr>
        <w:numPr>
          <w:ilvl w:val="0"/>
          <w:numId w:val="1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87ACF">
        <w:rPr>
          <w:rFonts w:ascii="Palatino Linotype" w:eastAsia="Palatino Linotype" w:hAnsi="Palatino Linotype" w:cs="Palatino Linotype"/>
          <w:b/>
          <w:sz w:val="22"/>
          <w:szCs w:val="22"/>
        </w:rPr>
        <w:t>A N T E C E D E N T E S:</w:t>
      </w:r>
    </w:p>
    <w:p w14:paraId="2F2FBBE7" w14:textId="77777777" w:rsidR="00891457" w:rsidRPr="00887ACF" w:rsidRDefault="0089145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5486A47" w14:textId="4C047798" w:rsidR="00891457" w:rsidRPr="00887ACF" w:rsidRDefault="000F3214">
      <w:pPr>
        <w:numPr>
          <w:ilvl w:val="1"/>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887ACF">
        <w:rPr>
          <w:rFonts w:ascii="Palatino Linotype" w:eastAsia="Palatino Linotype" w:hAnsi="Palatino Linotype" w:cs="Palatino Linotype"/>
          <w:b/>
          <w:sz w:val="22"/>
          <w:szCs w:val="22"/>
        </w:rPr>
        <w:t xml:space="preserve">Solicitud de acceso a la información. </w:t>
      </w:r>
      <w:r w:rsidRPr="00887ACF">
        <w:rPr>
          <w:rFonts w:ascii="Palatino Linotype" w:eastAsia="Palatino Linotype" w:hAnsi="Palatino Linotype" w:cs="Palatino Linotype"/>
          <w:sz w:val="22"/>
          <w:szCs w:val="22"/>
        </w:rPr>
        <w:t xml:space="preserve">Con fecha </w:t>
      </w:r>
      <w:r w:rsidR="003F7908" w:rsidRPr="00887ACF">
        <w:rPr>
          <w:rFonts w:ascii="Palatino Linotype" w:eastAsia="Palatino Linotype" w:hAnsi="Palatino Linotype" w:cs="Palatino Linotype"/>
          <w:b/>
          <w:sz w:val="22"/>
          <w:szCs w:val="22"/>
        </w:rPr>
        <w:t>diez de marzo de dos mil veinticinco</w:t>
      </w:r>
      <w:r w:rsidRPr="00887ACF">
        <w:rPr>
          <w:rFonts w:ascii="Palatino Linotype" w:eastAsia="Palatino Linotype" w:hAnsi="Palatino Linotype" w:cs="Palatino Linotype"/>
          <w:sz w:val="22"/>
          <w:szCs w:val="22"/>
        </w:rPr>
        <w:t xml:space="preserve">,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formuló solicitud de acceso a información pública al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a través del Sistema de Acceso a la Información Mexiquense, en adelante </w:t>
      </w:r>
      <w:r w:rsidRPr="00887ACF">
        <w:rPr>
          <w:rFonts w:ascii="Palatino Linotype" w:eastAsia="Palatino Linotype" w:hAnsi="Palatino Linotype" w:cs="Palatino Linotype"/>
          <w:b/>
          <w:sz w:val="22"/>
          <w:szCs w:val="22"/>
        </w:rPr>
        <w:t>SAIMEX</w:t>
      </w:r>
      <w:r w:rsidRPr="00887ACF">
        <w:rPr>
          <w:rFonts w:ascii="Palatino Linotype" w:eastAsia="Palatino Linotype" w:hAnsi="Palatino Linotype" w:cs="Palatino Linotype"/>
          <w:sz w:val="22"/>
          <w:szCs w:val="22"/>
        </w:rPr>
        <w:t>, requiriéndole lo siguiente:</w:t>
      </w:r>
    </w:p>
    <w:p w14:paraId="56220C12" w14:textId="77777777" w:rsidR="00891457" w:rsidRPr="00887ACF" w:rsidRDefault="0089145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335E60D" w14:textId="6BF2460B" w:rsidR="00891457" w:rsidRPr="00887ACF" w:rsidRDefault="000F3214">
      <w:pPr>
        <w:spacing w:line="276" w:lineRule="auto"/>
        <w:ind w:left="709"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003F7908" w:rsidRPr="00887ACF">
        <w:rPr>
          <w:rFonts w:ascii="Palatino Linotype" w:eastAsia="Palatino Linotype" w:hAnsi="Palatino Linotype" w:cs="Palatino Linotype"/>
          <w:i/>
          <w:sz w:val="22"/>
          <w:szCs w:val="22"/>
        </w:rPr>
        <w:t xml:space="preserve">Altas y bajas de servidores públicos realizadas durante enero de 2025. Que contenga nombre, cargo, sueldo y mencionar si estaba en </w:t>
      </w:r>
      <w:proofErr w:type="spellStart"/>
      <w:r w:rsidR="003F7908" w:rsidRPr="00887ACF">
        <w:rPr>
          <w:rFonts w:ascii="Palatino Linotype" w:eastAsia="Palatino Linotype" w:hAnsi="Palatino Linotype" w:cs="Palatino Linotype"/>
          <w:i/>
          <w:sz w:val="22"/>
          <w:szCs w:val="22"/>
        </w:rPr>
        <w:t>nomina</w:t>
      </w:r>
      <w:proofErr w:type="spellEnd"/>
      <w:r w:rsidR="003F7908" w:rsidRPr="00887ACF">
        <w:rPr>
          <w:rFonts w:ascii="Palatino Linotype" w:eastAsia="Palatino Linotype" w:hAnsi="Palatino Linotype" w:cs="Palatino Linotype"/>
          <w:i/>
          <w:sz w:val="22"/>
          <w:szCs w:val="22"/>
        </w:rPr>
        <w:t xml:space="preserve"> u honorarios, además del monto de la liquidación en caso de las bajas, en caso de las altas nombre, cargo, sueldo neto, categoría, y experiencia administrativa</w:t>
      </w:r>
      <w:r w:rsidRPr="00887ACF">
        <w:rPr>
          <w:rFonts w:ascii="Palatino Linotype" w:eastAsia="Palatino Linotype" w:hAnsi="Palatino Linotype" w:cs="Palatino Linotype"/>
          <w:i/>
          <w:sz w:val="22"/>
          <w:szCs w:val="22"/>
        </w:rPr>
        <w:t>.”</w:t>
      </w:r>
    </w:p>
    <w:p w14:paraId="75C786EB" w14:textId="77777777" w:rsidR="00891457" w:rsidRPr="00887ACF" w:rsidRDefault="00891457">
      <w:pPr>
        <w:spacing w:line="360" w:lineRule="auto"/>
        <w:ind w:left="709" w:right="900"/>
        <w:jc w:val="both"/>
        <w:rPr>
          <w:rFonts w:ascii="Palatino Linotype" w:eastAsia="Palatino Linotype" w:hAnsi="Palatino Linotype" w:cs="Palatino Linotype"/>
          <w:b/>
          <w:i/>
          <w:sz w:val="22"/>
          <w:szCs w:val="22"/>
        </w:rPr>
      </w:pPr>
    </w:p>
    <w:p w14:paraId="028FCB81"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Modalidad elegida para la entrega de la información: </w:t>
      </w:r>
      <w:r w:rsidRPr="00887ACF">
        <w:rPr>
          <w:rFonts w:ascii="Palatino Linotype" w:eastAsia="Palatino Linotype" w:hAnsi="Palatino Linotype" w:cs="Palatino Linotype"/>
          <w:sz w:val="22"/>
          <w:szCs w:val="22"/>
        </w:rPr>
        <w:t xml:space="preserve">a través del Sistema de Acceso a la Información Mexiquense. </w:t>
      </w:r>
    </w:p>
    <w:p w14:paraId="617EB727"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5454237" w14:textId="0AAC81B0" w:rsidR="00891457" w:rsidRPr="00887ACF" w:rsidRDefault="000F321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lastRenderedPageBreak/>
        <w:t xml:space="preserve">Respuesta. </w:t>
      </w:r>
      <w:r w:rsidRPr="00887ACF">
        <w:rPr>
          <w:rFonts w:ascii="Palatino Linotype" w:eastAsia="Palatino Linotype" w:hAnsi="Palatino Linotype" w:cs="Palatino Linotype"/>
          <w:sz w:val="22"/>
          <w:szCs w:val="22"/>
        </w:rPr>
        <w:t xml:space="preserve">Con fecha </w:t>
      </w:r>
      <w:r w:rsidRPr="00887ACF">
        <w:rPr>
          <w:rFonts w:ascii="Palatino Linotype" w:eastAsia="Palatino Linotype" w:hAnsi="Palatino Linotype" w:cs="Palatino Linotype"/>
          <w:b/>
          <w:sz w:val="22"/>
          <w:szCs w:val="22"/>
        </w:rPr>
        <w:t>veinti</w:t>
      </w:r>
      <w:r w:rsidR="00C35374" w:rsidRPr="00887ACF">
        <w:rPr>
          <w:rFonts w:ascii="Palatino Linotype" w:eastAsia="Palatino Linotype" w:hAnsi="Palatino Linotype" w:cs="Palatino Linotype"/>
          <w:b/>
          <w:sz w:val="22"/>
          <w:szCs w:val="22"/>
        </w:rPr>
        <w:t xml:space="preserve">ocho </w:t>
      </w:r>
      <w:r w:rsidRPr="00887ACF">
        <w:rPr>
          <w:rFonts w:ascii="Palatino Linotype" w:eastAsia="Palatino Linotype" w:hAnsi="Palatino Linotype" w:cs="Palatino Linotype"/>
          <w:b/>
          <w:sz w:val="22"/>
          <w:szCs w:val="22"/>
        </w:rPr>
        <w:t xml:space="preserve">de </w:t>
      </w:r>
      <w:r w:rsidR="00C35374" w:rsidRPr="00887ACF">
        <w:rPr>
          <w:rFonts w:ascii="Palatino Linotype" w:eastAsia="Palatino Linotype" w:hAnsi="Palatino Linotype" w:cs="Palatino Linotype"/>
          <w:b/>
          <w:sz w:val="22"/>
          <w:szCs w:val="22"/>
        </w:rPr>
        <w:t xml:space="preserve">marzo </w:t>
      </w:r>
      <w:r w:rsidRPr="00887ACF">
        <w:rPr>
          <w:rFonts w:ascii="Palatino Linotype" w:eastAsia="Palatino Linotype" w:hAnsi="Palatino Linotype" w:cs="Palatino Linotype"/>
          <w:b/>
          <w:sz w:val="22"/>
          <w:szCs w:val="22"/>
        </w:rPr>
        <w:t>de dos mil veintic</w:t>
      </w:r>
      <w:r w:rsidR="00C35374" w:rsidRPr="00887ACF">
        <w:rPr>
          <w:rFonts w:ascii="Palatino Linotype" w:eastAsia="Palatino Linotype" w:hAnsi="Palatino Linotype" w:cs="Palatino Linotype"/>
          <w:b/>
          <w:sz w:val="22"/>
          <w:szCs w:val="22"/>
        </w:rPr>
        <w:t>inco</w:t>
      </w:r>
      <w:r w:rsidRPr="00887ACF">
        <w:rPr>
          <w:rFonts w:ascii="Palatino Linotype" w:eastAsia="Palatino Linotype" w:hAnsi="Palatino Linotype" w:cs="Palatino Linotype"/>
          <w:sz w:val="22"/>
          <w:szCs w:val="22"/>
        </w:rPr>
        <w:t xml:space="preserv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D0A09CD" w14:textId="77777777" w:rsidR="00891457" w:rsidRPr="00887ACF" w:rsidRDefault="00891457">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525E322D" w14:textId="77777777" w:rsidR="00C35374" w:rsidRPr="00887ACF" w:rsidRDefault="000F3214" w:rsidP="00C35374">
      <w:pPr>
        <w:tabs>
          <w:tab w:val="left" w:pos="737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00C35374" w:rsidRPr="00887AC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B7CCFB" w14:textId="77777777" w:rsidR="00C35374" w:rsidRPr="00887ACF" w:rsidRDefault="00C35374" w:rsidP="00C35374">
      <w:pPr>
        <w:tabs>
          <w:tab w:val="left" w:pos="737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Se envía altas de los servidores públicos que se realizaron en el mes de enero del presente año con la información solicitada.</w:t>
      </w:r>
    </w:p>
    <w:p w14:paraId="2C7C1F02" w14:textId="603F6A7C" w:rsidR="00891457" w:rsidRPr="00887ACF" w:rsidRDefault="00C35374" w:rsidP="00C35374">
      <w:pPr>
        <w:tabs>
          <w:tab w:val="left" w:pos="737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ATENTAMENTE</w:t>
      </w:r>
      <w:r w:rsidR="000F3214" w:rsidRPr="00887ACF">
        <w:rPr>
          <w:rFonts w:ascii="Palatino Linotype" w:eastAsia="Palatino Linotype" w:hAnsi="Palatino Linotype" w:cs="Palatino Linotype"/>
          <w:i/>
          <w:sz w:val="22"/>
          <w:szCs w:val="22"/>
        </w:rPr>
        <w:t>.”</w:t>
      </w:r>
    </w:p>
    <w:p w14:paraId="30BE54A9"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33CD18AA" w14:textId="41368BAE" w:rsidR="00F00E41" w:rsidRPr="00887ACF" w:rsidRDefault="000F3214">
      <w:pPr>
        <w:spacing w:line="360" w:lineRule="auto"/>
        <w:ind w:right="49"/>
        <w:jc w:val="both"/>
        <w:rPr>
          <w:rFonts w:ascii="Palatino Linotype" w:eastAsia="Palatino Linotype" w:hAnsi="Palatino Linotype" w:cs="Palatino Linotype"/>
          <w:sz w:val="22"/>
          <w:szCs w:val="22"/>
        </w:rPr>
      </w:pPr>
      <w:bookmarkStart w:id="1" w:name="_Hlk202303678"/>
      <w:r w:rsidRPr="00887ACF">
        <w:rPr>
          <w:rFonts w:ascii="Palatino Linotype" w:eastAsia="Palatino Linotype" w:hAnsi="Palatino Linotype" w:cs="Palatino Linotype"/>
          <w:sz w:val="22"/>
          <w:szCs w:val="22"/>
        </w:rPr>
        <w:t xml:space="preserve">Del mismo modo,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adjuntó a su respuesta el archivo electrónico denominado “</w:t>
      </w:r>
      <w:r w:rsidR="00F00E41" w:rsidRPr="00887ACF">
        <w:rPr>
          <w:rFonts w:ascii="Palatino Linotype" w:eastAsia="Palatino Linotype" w:hAnsi="Palatino Linotype" w:cs="Palatino Linotype"/>
          <w:b/>
          <w:i/>
          <w:sz w:val="22"/>
          <w:szCs w:val="22"/>
        </w:rPr>
        <w:t>ALTAS DE ENERO 2025.pdf</w:t>
      </w:r>
      <w:r w:rsidRPr="00887ACF">
        <w:rPr>
          <w:rFonts w:ascii="Palatino Linotype" w:eastAsia="Palatino Linotype" w:hAnsi="Palatino Linotype" w:cs="Palatino Linotype"/>
          <w:sz w:val="22"/>
          <w:szCs w:val="22"/>
        </w:rPr>
        <w:t xml:space="preserve">”, el cual contiene </w:t>
      </w:r>
      <w:r w:rsidR="00F00E41" w:rsidRPr="00887ACF">
        <w:rPr>
          <w:rFonts w:ascii="Palatino Linotype" w:eastAsia="Palatino Linotype" w:hAnsi="Palatino Linotype" w:cs="Palatino Linotype"/>
          <w:sz w:val="22"/>
          <w:szCs w:val="22"/>
        </w:rPr>
        <w:t xml:space="preserve">una relación de altas </w:t>
      </w:r>
      <w:r w:rsidR="009C050B" w:rsidRPr="00887ACF">
        <w:rPr>
          <w:rFonts w:ascii="Palatino Linotype" w:eastAsia="Palatino Linotype" w:hAnsi="Palatino Linotype" w:cs="Palatino Linotype"/>
          <w:sz w:val="22"/>
          <w:szCs w:val="22"/>
        </w:rPr>
        <w:t xml:space="preserve">del mes de enero con nombre, cargo, experiencia administrativa y sueldo neto. </w:t>
      </w:r>
    </w:p>
    <w:bookmarkEnd w:id="1"/>
    <w:p w14:paraId="42B62ADC"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61971D20" w14:textId="37CD2B1C" w:rsidR="00891457" w:rsidRPr="00887ACF" w:rsidRDefault="000F3214">
      <w:pPr>
        <w:numPr>
          <w:ilvl w:val="0"/>
          <w:numId w:val="10"/>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Interposición del recurso de revisión. </w:t>
      </w:r>
      <w:r w:rsidRPr="00887ACF">
        <w:rPr>
          <w:rFonts w:ascii="Palatino Linotype" w:eastAsia="Palatino Linotype" w:hAnsi="Palatino Linotype" w:cs="Palatino Linotype"/>
          <w:sz w:val="22"/>
          <w:szCs w:val="22"/>
        </w:rPr>
        <w:t xml:space="preserve">Inconforme con la respuesta del </w:t>
      </w:r>
      <w:r w:rsidRPr="00887ACF">
        <w:rPr>
          <w:rFonts w:ascii="Palatino Linotype" w:eastAsia="Palatino Linotype" w:hAnsi="Palatino Linotype" w:cs="Palatino Linotype"/>
          <w:b/>
          <w:sz w:val="22"/>
          <w:szCs w:val="22"/>
        </w:rPr>
        <w:t>SUJETO OBLIGADO la parte RECURRENTE</w:t>
      </w:r>
      <w:r w:rsidRPr="00887ACF">
        <w:rPr>
          <w:rFonts w:ascii="Palatino Linotype" w:eastAsia="Palatino Linotype" w:hAnsi="Palatino Linotype" w:cs="Palatino Linotype"/>
          <w:sz w:val="22"/>
          <w:szCs w:val="22"/>
        </w:rPr>
        <w:t xml:space="preserve"> interpuso recurso de revisión a través del SAIMEX en fecha </w:t>
      </w:r>
      <w:r w:rsidRPr="00887ACF">
        <w:rPr>
          <w:rFonts w:ascii="Palatino Linotype" w:eastAsia="Palatino Linotype" w:hAnsi="Palatino Linotype" w:cs="Palatino Linotype"/>
          <w:b/>
          <w:sz w:val="22"/>
          <w:szCs w:val="22"/>
        </w:rPr>
        <w:t xml:space="preserve">ocho de </w:t>
      </w:r>
      <w:r w:rsidR="009C050B" w:rsidRPr="00887ACF">
        <w:rPr>
          <w:rFonts w:ascii="Palatino Linotype" w:eastAsia="Palatino Linotype" w:hAnsi="Palatino Linotype" w:cs="Palatino Linotype"/>
          <w:b/>
          <w:sz w:val="22"/>
          <w:szCs w:val="22"/>
        </w:rPr>
        <w:t xml:space="preserve">abril </w:t>
      </w:r>
      <w:r w:rsidRPr="00887ACF">
        <w:rPr>
          <w:rFonts w:ascii="Palatino Linotype" w:eastAsia="Palatino Linotype" w:hAnsi="Palatino Linotype" w:cs="Palatino Linotype"/>
          <w:b/>
          <w:sz w:val="22"/>
          <w:szCs w:val="22"/>
        </w:rPr>
        <w:t>de dos mil veintic</w:t>
      </w:r>
      <w:r w:rsidR="009C050B" w:rsidRPr="00887ACF">
        <w:rPr>
          <w:rFonts w:ascii="Palatino Linotype" w:eastAsia="Palatino Linotype" w:hAnsi="Palatino Linotype" w:cs="Palatino Linotype"/>
          <w:b/>
          <w:sz w:val="22"/>
          <w:szCs w:val="22"/>
        </w:rPr>
        <w:t>inco</w:t>
      </w:r>
      <w:r w:rsidRPr="00887ACF">
        <w:rPr>
          <w:rFonts w:ascii="Palatino Linotype" w:eastAsia="Palatino Linotype" w:hAnsi="Palatino Linotype" w:cs="Palatino Linotype"/>
          <w:sz w:val="22"/>
          <w:szCs w:val="22"/>
        </w:rPr>
        <w:t>, a través del cual expresó lo siguiente:</w:t>
      </w:r>
    </w:p>
    <w:p w14:paraId="7D454158" w14:textId="77777777" w:rsidR="00891457" w:rsidRPr="00887ACF" w:rsidRDefault="0089145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4E8BC4F" w14:textId="41527469" w:rsidR="00891457" w:rsidRPr="00887ACF" w:rsidRDefault="000F3214" w:rsidP="001F6925">
      <w:pPr>
        <w:spacing w:line="360"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sz w:val="22"/>
          <w:szCs w:val="22"/>
        </w:rPr>
        <w:t xml:space="preserve">Acto impugnado. </w:t>
      </w:r>
      <w:r w:rsidRPr="00887ACF">
        <w:rPr>
          <w:rFonts w:ascii="Palatino Linotype" w:eastAsia="Palatino Linotype" w:hAnsi="Palatino Linotype" w:cs="Palatino Linotype"/>
          <w:i/>
          <w:sz w:val="22"/>
          <w:szCs w:val="22"/>
        </w:rPr>
        <w:t>“</w:t>
      </w:r>
      <w:r w:rsidR="009C050B" w:rsidRPr="00887ACF">
        <w:rPr>
          <w:rFonts w:ascii="Palatino Linotype" w:eastAsia="Palatino Linotype" w:hAnsi="Palatino Linotype" w:cs="Palatino Linotype"/>
          <w:i/>
          <w:sz w:val="22"/>
          <w:szCs w:val="22"/>
        </w:rPr>
        <w:t>Información Incompleta</w:t>
      </w:r>
      <w:r w:rsidRPr="00887ACF">
        <w:rPr>
          <w:rFonts w:ascii="Palatino Linotype" w:eastAsia="Palatino Linotype" w:hAnsi="Palatino Linotype" w:cs="Palatino Linotype"/>
          <w:i/>
          <w:sz w:val="22"/>
          <w:szCs w:val="22"/>
        </w:rPr>
        <w:t xml:space="preserve">” </w:t>
      </w:r>
    </w:p>
    <w:p w14:paraId="4F8D1FE7" w14:textId="77777777" w:rsidR="00891457" w:rsidRPr="00887ACF" w:rsidRDefault="00891457" w:rsidP="001F6925">
      <w:pPr>
        <w:spacing w:line="360" w:lineRule="auto"/>
        <w:ind w:left="851" w:right="616"/>
        <w:rPr>
          <w:rFonts w:ascii="Palatino Linotype" w:eastAsia="Palatino Linotype" w:hAnsi="Palatino Linotype" w:cs="Palatino Linotype"/>
          <w:sz w:val="22"/>
          <w:szCs w:val="22"/>
        </w:rPr>
      </w:pPr>
    </w:p>
    <w:p w14:paraId="740DCEC3" w14:textId="77E1FC91" w:rsidR="00891457" w:rsidRPr="00887ACF" w:rsidRDefault="000F3214" w:rsidP="001F6925">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887ACF">
        <w:rPr>
          <w:rFonts w:ascii="Palatino Linotype" w:eastAsia="Palatino Linotype" w:hAnsi="Palatino Linotype" w:cs="Palatino Linotype"/>
          <w:b/>
          <w:sz w:val="22"/>
          <w:szCs w:val="22"/>
        </w:rPr>
        <w:t xml:space="preserve">Motivos de inconformidad. </w:t>
      </w:r>
      <w:r w:rsidRPr="00887ACF">
        <w:rPr>
          <w:rFonts w:ascii="Palatino Linotype" w:eastAsia="Palatino Linotype" w:hAnsi="Palatino Linotype" w:cs="Palatino Linotype"/>
          <w:i/>
          <w:sz w:val="22"/>
          <w:szCs w:val="22"/>
        </w:rPr>
        <w:t>“</w:t>
      </w:r>
      <w:r w:rsidR="009C050B" w:rsidRPr="00887ACF">
        <w:rPr>
          <w:rFonts w:ascii="Palatino Linotype" w:eastAsia="Palatino Linotype" w:hAnsi="Palatino Linotype" w:cs="Palatino Linotype"/>
          <w:i/>
          <w:sz w:val="22"/>
          <w:szCs w:val="22"/>
        </w:rPr>
        <w:t xml:space="preserve">No remiten la información completa que se </w:t>
      </w:r>
      <w:proofErr w:type="spellStart"/>
      <w:r w:rsidR="009C050B" w:rsidRPr="00887ACF">
        <w:rPr>
          <w:rFonts w:ascii="Palatino Linotype" w:eastAsia="Palatino Linotype" w:hAnsi="Palatino Linotype" w:cs="Palatino Linotype"/>
          <w:i/>
          <w:sz w:val="22"/>
          <w:szCs w:val="22"/>
        </w:rPr>
        <w:t>solicito</w:t>
      </w:r>
      <w:proofErr w:type="spellEnd"/>
      <w:r w:rsidR="009C050B" w:rsidRPr="00887ACF">
        <w:rPr>
          <w:rFonts w:ascii="Palatino Linotype" w:eastAsia="Palatino Linotype" w:hAnsi="Palatino Linotype" w:cs="Palatino Linotype"/>
          <w:i/>
          <w:sz w:val="22"/>
          <w:szCs w:val="22"/>
        </w:rPr>
        <w:t>, solo mandan una tabla que no contiene las características solicitadas-</w:t>
      </w:r>
      <w:r w:rsidRPr="00887ACF">
        <w:rPr>
          <w:rFonts w:ascii="Palatino Linotype" w:eastAsia="Palatino Linotype" w:hAnsi="Palatino Linotype" w:cs="Palatino Linotype"/>
          <w:i/>
          <w:sz w:val="22"/>
          <w:szCs w:val="22"/>
        </w:rPr>
        <w:t>”</w:t>
      </w:r>
    </w:p>
    <w:p w14:paraId="50C1F39E" w14:textId="77777777" w:rsidR="00891457" w:rsidRPr="00887ACF" w:rsidRDefault="0089145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3BABDA14" w14:textId="580F2A99" w:rsidR="00891457" w:rsidRPr="00887ACF" w:rsidRDefault="000F3214">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lastRenderedPageBreak/>
        <w:t xml:space="preserve">Turno. </w:t>
      </w:r>
      <w:r w:rsidRPr="00887A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D42FEF" w:rsidRPr="00887ACF">
        <w:rPr>
          <w:rFonts w:ascii="Palatino Linotype" w:eastAsia="Palatino Linotype" w:hAnsi="Palatino Linotype" w:cs="Palatino Linotype"/>
          <w:b/>
          <w:sz w:val="22"/>
          <w:szCs w:val="22"/>
        </w:rPr>
        <w:t>04194/INFOEM/IP/RR/2025</w:t>
      </w:r>
      <w:r w:rsidRPr="00887AC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887ACF">
        <w:rPr>
          <w:rFonts w:ascii="Palatino Linotype" w:eastAsia="Palatino Linotype" w:hAnsi="Palatino Linotype" w:cs="Palatino Linotype"/>
          <w:b/>
          <w:sz w:val="22"/>
          <w:szCs w:val="22"/>
        </w:rPr>
        <w:t>Guadalupe Ramírez Peña</w:t>
      </w:r>
      <w:r w:rsidRPr="00887ACF">
        <w:rPr>
          <w:rFonts w:ascii="Palatino Linotype" w:eastAsia="Palatino Linotype" w:hAnsi="Palatino Linotype" w:cs="Palatino Linotype"/>
          <w:sz w:val="22"/>
          <w:szCs w:val="22"/>
        </w:rPr>
        <w:t>, para su análisis, estudio, elaboración del proyecto y presentación ante el Pleno de este Instituto.</w:t>
      </w:r>
    </w:p>
    <w:p w14:paraId="4AD9F766" w14:textId="77777777" w:rsidR="00891457" w:rsidRPr="00887ACF" w:rsidRDefault="008914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6F4DE7F" w14:textId="4A2BED77" w:rsidR="00891457" w:rsidRPr="00887ACF" w:rsidRDefault="000F3214">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887ACF">
        <w:rPr>
          <w:rFonts w:ascii="Palatino Linotype" w:eastAsia="Palatino Linotype" w:hAnsi="Palatino Linotype" w:cs="Palatino Linotype"/>
          <w:b/>
          <w:sz w:val="22"/>
          <w:szCs w:val="22"/>
        </w:rPr>
        <w:t xml:space="preserve">Admisión del recurso de revisión: </w:t>
      </w:r>
      <w:r w:rsidRPr="00887ACF">
        <w:rPr>
          <w:rFonts w:ascii="Palatino Linotype" w:eastAsia="Palatino Linotype" w:hAnsi="Palatino Linotype" w:cs="Palatino Linotype"/>
          <w:sz w:val="22"/>
          <w:szCs w:val="22"/>
        </w:rPr>
        <w:t xml:space="preserve">En fecha </w:t>
      </w:r>
      <w:r w:rsidR="00D42FEF" w:rsidRPr="00887ACF">
        <w:rPr>
          <w:rFonts w:ascii="Palatino Linotype" w:eastAsia="Palatino Linotype" w:hAnsi="Palatino Linotype" w:cs="Palatino Linotype"/>
          <w:b/>
          <w:sz w:val="22"/>
          <w:szCs w:val="22"/>
        </w:rPr>
        <w:t>once de abril de dos mil veinticinco</w:t>
      </w:r>
      <w:r w:rsidRPr="00887ACF">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presentara su informe justificado.</w:t>
      </w:r>
    </w:p>
    <w:p w14:paraId="1B086AD5" w14:textId="77777777" w:rsidR="00891457" w:rsidRPr="00887ACF" w:rsidRDefault="008914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CF725CD" w14:textId="77777777" w:rsidR="00891457" w:rsidRPr="00887ACF" w:rsidRDefault="000F3214">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Manifestaciones</w:t>
      </w:r>
      <w:r w:rsidRPr="00887ACF">
        <w:rPr>
          <w:rFonts w:ascii="Palatino Linotype" w:eastAsia="Palatino Linotype" w:hAnsi="Palatino Linotype" w:cs="Palatino Linotype"/>
          <w:sz w:val="22"/>
          <w:szCs w:val="22"/>
        </w:rPr>
        <w:t xml:space="preserve">: De las constancias que obran en el expediente electrónico del </w:t>
      </w:r>
      <w:r w:rsidRPr="00887ACF">
        <w:rPr>
          <w:rFonts w:ascii="Palatino Linotype" w:eastAsia="Palatino Linotype" w:hAnsi="Palatino Linotype" w:cs="Palatino Linotype"/>
          <w:b/>
          <w:sz w:val="22"/>
          <w:szCs w:val="22"/>
        </w:rPr>
        <w:t>SAIMEX</w:t>
      </w:r>
      <w:r w:rsidRPr="00887ACF">
        <w:rPr>
          <w:rFonts w:ascii="Palatino Linotype" w:eastAsia="Palatino Linotype" w:hAnsi="Palatino Linotype" w:cs="Palatino Linotype"/>
          <w:sz w:val="22"/>
          <w:szCs w:val="22"/>
        </w:rPr>
        <w:t xml:space="preserve"> se desprende que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no rindió su informe justificado, del mismo modo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omitió realizar manifestaciones, como se observa a continuación:</w:t>
      </w:r>
    </w:p>
    <w:p w14:paraId="2071FAB2" w14:textId="0F65D55B" w:rsidR="00891457" w:rsidRPr="00887ACF" w:rsidRDefault="00D42FE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noProof/>
          <w:sz w:val="22"/>
          <w:szCs w:val="22"/>
          <w:lang w:val="es-MX" w:eastAsia="es-MX"/>
        </w:rPr>
        <w:drawing>
          <wp:inline distT="0" distB="0" distL="0" distR="0" wp14:anchorId="50B6C88B" wp14:editId="77973D61">
            <wp:extent cx="5612130" cy="1221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21740"/>
                    </a:xfrm>
                    <a:prstGeom prst="rect">
                      <a:avLst/>
                    </a:prstGeom>
                  </pic:spPr>
                </pic:pic>
              </a:graphicData>
            </a:graphic>
          </wp:inline>
        </w:drawing>
      </w:r>
    </w:p>
    <w:p w14:paraId="4FAB549B" w14:textId="77777777" w:rsidR="00891457" w:rsidRPr="00887ACF" w:rsidRDefault="0089145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D264B0E" w14:textId="77777777" w:rsidR="007F08FA" w:rsidRPr="00887ACF" w:rsidRDefault="007F08FA" w:rsidP="007F08FA">
      <w:pPr>
        <w:numPr>
          <w:ilvl w:val="0"/>
          <w:numId w:val="1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Cierre de instrucción. </w:t>
      </w:r>
      <w:r w:rsidRPr="00887ACF">
        <w:rPr>
          <w:rFonts w:ascii="Palatino Linotype" w:eastAsia="Palatino Linotype" w:hAnsi="Palatino Linotype" w:cs="Palatino Linotype"/>
          <w:sz w:val="22"/>
          <w:szCs w:val="22"/>
        </w:rPr>
        <w:t xml:space="preserve">El </w:t>
      </w:r>
      <w:r w:rsidRPr="00887ACF">
        <w:rPr>
          <w:rFonts w:ascii="Palatino Linotype" w:eastAsia="Palatino Linotype" w:hAnsi="Palatino Linotype" w:cs="Palatino Linotype"/>
          <w:b/>
          <w:sz w:val="22"/>
          <w:szCs w:val="22"/>
        </w:rPr>
        <w:t>primero de julio de dos mil veinticinco</w:t>
      </w:r>
      <w:r w:rsidRPr="00887ACF">
        <w:rPr>
          <w:rFonts w:ascii="Palatino Linotype" w:eastAsia="Palatino Linotype" w:hAnsi="Palatino Linotype" w:cs="Palatino Linotype"/>
          <w:sz w:val="22"/>
          <w:szCs w:val="22"/>
        </w:rPr>
        <w:t xml:space="preserve">, la Comisionada Ponente determinó el cierre de instrucción en términos de la fracción VI del artículo 185 de </w:t>
      </w:r>
      <w:r w:rsidRPr="00887ACF">
        <w:rPr>
          <w:rFonts w:ascii="Palatino Linotype" w:eastAsia="Palatino Linotype" w:hAnsi="Palatino Linotype" w:cs="Palatino Linotype"/>
          <w:sz w:val="22"/>
          <w:szCs w:val="22"/>
        </w:rPr>
        <w:lastRenderedPageBreak/>
        <w:t>la Ley de Transparencia y Acceso a la Información Pública del Estado de México y Municipios.</w:t>
      </w:r>
    </w:p>
    <w:p w14:paraId="59E91061" w14:textId="77777777" w:rsidR="007F08FA" w:rsidRPr="00887ACF" w:rsidRDefault="007F08FA" w:rsidP="007F08F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AD9A542" w14:textId="5E68148B" w:rsidR="00891457" w:rsidRPr="00887ACF" w:rsidRDefault="000F3214">
      <w:pPr>
        <w:numPr>
          <w:ilvl w:val="0"/>
          <w:numId w:val="1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Ampliación del plazo.</w:t>
      </w:r>
      <w:r w:rsidRPr="00887ACF">
        <w:rPr>
          <w:rFonts w:ascii="Palatino Linotype" w:eastAsia="Palatino Linotype" w:hAnsi="Palatino Linotype" w:cs="Palatino Linotype"/>
          <w:sz w:val="22"/>
          <w:szCs w:val="22"/>
        </w:rPr>
        <w:t xml:space="preserve"> En fecha </w:t>
      </w:r>
      <w:r w:rsidR="00D42FEF" w:rsidRPr="00887ACF">
        <w:rPr>
          <w:rFonts w:ascii="Palatino Linotype" w:eastAsia="Palatino Linotype" w:hAnsi="Palatino Linotype" w:cs="Palatino Linotype"/>
          <w:b/>
          <w:sz w:val="22"/>
          <w:szCs w:val="22"/>
        </w:rPr>
        <w:t>primero de julio</w:t>
      </w:r>
      <w:r w:rsidRPr="00887ACF">
        <w:rPr>
          <w:rFonts w:ascii="Palatino Linotype" w:eastAsia="Palatino Linotype" w:hAnsi="Palatino Linotype" w:cs="Palatino Linotype"/>
          <w:b/>
          <w:sz w:val="22"/>
          <w:szCs w:val="22"/>
        </w:rPr>
        <w:t xml:space="preserve"> de dos mil veintic</w:t>
      </w:r>
      <w:r w:rsidR="00D42FEF" w:rsidRPr="00887ACF">
        <w:rPr>
          <w:rFonts w:ascii="Palatino Linotype" w:eastAsia="Palatino Linotype" w:hAnsi="Palatino Linotype" w:cs="Palatino Linotype"/>
          <w:b/>
          <w:sz w:val="22"/>
          <w:szCs w:val="22"/>
        </w:rPr>
        <w:t>inco</w:t>
      </w:r>
      <w:r w:rsidRPr="00887AC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0AA5C4D9" w14:textId="77777777" w:rsidR="00891457" w:rsidRPr="00887ACF" w:rsidRDefault="00891457">
      <w:pPr>
        <w:widowControl w:val="0"/>
        <w:spacing w:line="360" w:lineRule="auto"/>
        <w:jc w:val="both"/>
        <w:rPr>
          <w:rFonts w:ascii="Palatino Linotype" w:eastAsia="Palatino Linotype" w:hAnsi="Palatino Linotype" w:cs="Palatino Linotype"/>
          <w:sz w:val="22"/>
          <w:szCs w:val="22"/>
        </w:rPr>
      </w:pPr>
    </w:p>
    <w:p w14:paraId="147D73A7"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A97B3"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62A7330"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591C503"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43FF65A"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DADB0C"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6B123B0A"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6FED1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21E83C64" w14:textId="77777777" w:rsidR="00891457" w:rsidRPr="00887ACF" w:rsidRDefault="000F3214">
      <w:pPr>
        <w:spacing w:line="360" w:lineRule="auto"/>
        <w:jc w:val="both"/>
        <w:rPr>
          <w:rFonts w:ascii="Palatino Linotype" w:eastAsia="Palatino Linotype" w:hAnsi="Palatino Linotype" w:cs="Palatino Linotype"/>
          <w:strike/>
          <w:sz w:val="22"/>
          <w:szCs w:val="22"/>
        </w:rPr>
      </w:pPr>
      <w:r w:rsidRPr="00887AC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618D69"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6A7AE11D" w14:textId="77777777" w:rsidR="00891457" w:rsidRPr="00887ACF" w:rsidRDefault="000F3214">
      <w:pPr>
        <w:numPr>
          <w:ilvl w:val="0"/>
          <w:numId w:val="11"/>
        </w:num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Complejidad del Asunto:</w:t>
      </w:r>
      <w:r w:rsidRPr="00887AC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71B0BED" w14:textId="77777777" w:rsidR="00891457" w:rsidRPr="00887ACF" w:rsidRDefault="00891457">
      <w:pPr>
        <w:spacing w:line="360" w:lineRule="auto"/>
        <w:ind w:left="927"/>
        <w:jc w:val="both"/>
        <w:rPr>
          <w:rFonts w:ascii="Palatino Linotype" w:eastAsia="Palatino Linotype" w:hAnsi="Palatino Linotype" w:cs="Palatino Linotype"/>
          <w:sz w:val="22"/>
          <w:szCs w:val="22"/>
        </w:rPr>
      </w:pPr>
    </w:p>
    <w:p w14:paraId="33A53646" w14:textId="77777777" w:rsidR="00891457" w:rsidRPr="00887ACF" w:rsidRDefault="000F3214">
      <w:pPr>
        <w:numPr>
          <w:ilvl w:val="0"/>
          <w:numId w:val="11"/>
        </w:num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Actividad Procesal del interesado.</w:t>
      </w:r>
      <w:r w:rsidRPr="00887ACF">
        <w:rPr>
          <w:rFonts w:ascii="Palatino Linotype" w:eastAsia="Palatino Linotype" w:hAnsi="Palatino Linotype" w:cs="Palatino Linotype"/>
          <w:sz w:val="22"/>
          <w:szCs w:val="22"/>
        </w:rPr>
        <w:t xml:space="preserve"> Acciones u omisiones del interesado.</w:t>
      </w:r>
    </w:p>
    <w:p w14:paraId="641FF797" w14:textId="77777777" w:rsidR="00891457" w:rsidRPr="00887ACF" w:rsidRDefault="00891457">
      <w:pPr>
        <w:spacing w:line="360" w:lineRule="auto"/>
        <w:ind w:left="927"/>
        <w:jc w:val="both"/>
        <w:rPr>
          <w:rFonts w:ascii="Palatino Linotype" w:eastAsia="Palatino Linotype" w:hAnsi="Palatino Linotype" w:cs="Palatino Linotype"/>
          <w:sz w:val="22"/>
          <w:szCs w:val="22"/>
        </w:rPr>
      </w:pPr>
    </w:p>
    <w:p w14:paraId="396A45BB" w14:textId="77777777" w:rsidR="00891457" w:rsidRPr="00887ACF" w:rsidRDefault="000F3214">
      <w:pPr>
        <w:numPr>
          <w:ilvl w:val="0"/>
          <w:numId w:val="11"/>
        </w:num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Conducta de la Autoridad: </w:t>
      </w:r>
      <w:r w:rsidRPr="00887ACF">
        <w:rPr>
          <w:rFonts w:ascii="Palatino Linotype" w:eastAsia="Palatino Linotype" w:hAnsi="Palatino Linotype" w:cs="Palatino Linotype"/>
          <w:sz w:val="22"/>
          <w:szCs w:val="22"/>
        </w:rPr>
        <w:t>Las Acciones u omisiones realizadas en el procedimiento. Así como si la autoridad actuó con la debida diligencia.</w:t>
      </w:r>
    </w:p>
    <w:p w14:paraId="3D01E3A9" w14:textId="77777777" w:rsidR="00891457" w:rsidRPr="00887ACF" w:rsidRDefault="00891457">
      <w:pPr>
        <w:spacing w:line="360" w:lineRule="auto"/>
        <w:ind w:left="927"/>
        <w:jc w:val="both"/>
        <w:rPr>
          <w:rFonts w:ascii="Palatino Linotype" w:eastAsia="Palatino Linotype" w:hAnsi="Palatino Linotype" w:cs="Palatino Linotype"/>
          <w:sz w:val="22"/>
          <w:szCs w:val="22"/>
        </w:rPr>
      </w:pPr>
    </w:p>
    <w:p w14:paraId="0C87A43D" w14:textId="77777777" w:rsidR="00891457" w:rsidRPr="00887ACF" w:rsidRDefault="000F3214">
      <w:pPr>
        <w:numPr>
          <w:ilvl w:val="0"/>
          <w:numId w:val="11"/>
        </w:num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b/>
          <w:sz w:val="22"/>
          <w:szCs w:val="22"/>
        </w:rPr>
        <w:t>La afectación generada en la situación jurídica de la persona involucrada en el proceso:</w:t>
      </w:r>
      <w:r w:rsidRPr="00887ACF">
        <w:rPr>
          <w:rFonts w:ascii="Palatino Linotype" w:eastAsia="Palatino Linotype" w:hAnsi="Palatino Linotype" w:cs="Palatino Linotype"/>
          <w:sz w:val="22"/>
          <w:szCs w:val="22"/>
        </w:rPr>
        <w:t xml:space="preserve"> Violación a sus derechos humanos.</w:t>
      </w:r>
    </w:p>
    <w:p w14:paraId="4AB46378"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558CBFD"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9650C6"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3A587AF" w14:textId="77777777" w:rsidR="00891457" w:rsidRPr="00887ACF" w:rsidRDefault="000F3214">
      <w:pPr>
        <w:spacing w:line="360" w:lineRule="auto"/>
        <w:jc w:val="both"/>
        <w:rPr>
          <w:rFonts w:ascii="Palatino Linotype" w:eastAsia="Palatino Linotype" w:hAnsi="Palatino Linotype" w:cs="Palatino Linotype"/>
          <w:b/>
          <w:sz w:val="22"/>
          <w:szCs w:val="22"/>
        </w:rPr>
      </w:pPr>
      <w:r w:rsidRPr="00887AC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87AC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87ACF">
        <w:rPr>
          <w:rFonts w:ascii="Palatino Linotype" w:eastAsia="Palatino Linotype" w:hAnsi="Palatino Linotype" w:cs="Palatino Linotype"/>
          <w:sz w:val="22"/>
          <w:szCs w:val="22"/>
        </w:rPr>
        <w:t>, visible en la Gaceta del Seminario Judicial de la Federación con el registro digital 205635.</w:t>
      </w:r>
    </w:p>
    <w:p w14:paraId="7053108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DAED21B"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BF2A66"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ECA8E08"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BB78FD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2C16EBA6" w14:textId="77777777" w:rsidR="00891457" w:rsidRPr="00887ACF" w:rsidRDefault="000F3214" w:rsidP="001F6925">
      <w:pPr>
        <w:spacing w:line="360"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887ACF">
        <w:rPr>
          <w:rFonts w:ascii="Palatino Linotype" w:eastAsia="Palatino Linotype" w:hAnsi="Palatino Linotype" w:cs="Palatino Linotype"/>
          <w:b/>
          <w:i/>
          <w:sz w:val="22"/>
          <w:szCs w:val="22"/>
        </w:rPr>
        <w:lastRenderedPageBreak/>
        <w:t>TRABAJO.”</w:t>
      </w:r>
      <w:r w:rsidRPr="00887ACF">
        <w:rPr>
          <w:rFonts w:ascii="Palatino Linotype" w:eastAsia="Palatino Linotype" w:hAnsi="Palatino Linotype" w:cs="Palatino Linotype"/>
          <w:sz w:val="22"/>
          <w:szCs w:val="22"/>
        </w:rPr>
        <w:t xml:space="preserve"> consultable en el Seminario Judicial de la Federación y su gaceta, con el registro digital 2002351.</w:t>
      </w:r>
    </w:p>
    <w:p w14:paraId="065B1B65" w14:textId="77777777" w:rsidR="00891457" w:rsidRPr="00887ACF" w:rsidRDefault="00891457" w:rsidP="001F6925">
      <w:pPr>
        <w:spacing w:line="360" w:lineRule="auto"/>
        <w:ind w:left="851" w:right="616"/>
        <w:jc w:val="both"/>
        <w:rPr>
          <w:rFonts w:ascii="Palatino Linotype" w:eastAsia="Palatino Linotype" w:hAnsi="Palatino Linotype" w:cs="Palatino Linotype"/>
          <w:b/>
          <w:sz w:val="22"/>
          <w:szCs w:val="22"/>
        </w:rPr>
      </w:pPr>
    </w:p>
    <w:p w14:paraId="7036AE3B" w14:textId="77777777" w:rsidR="00891457" w:rsidRPr="00887ACF" w:rsidRDefault="000F3214" w:rsidP="001F6925">
      <w:pPr>
        <w:spacing w:line="360"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87ACF">
        <w:rPr>
          <w:rFonts w:ascii="Palatino Linotype" w:eastAsia="Palatino Linotype" w:hAnsi="Palatino Linotype" w:cs="Palatino Linotype"/>
          <w:sz w:val="22"/>
          <w:szCs w:val="22"/>
        </w:rPr>
        <w:t>, visible en el Seminario Judicial de la Federación y su gaceta, con el registro digital 2002350.</w:t>
      </w:r>
    </w:p>
    <w:p w14:paraId="7CC704A4" w14:textId="77777777" w:rsidR="00891457" w:rsidRPr="00887ACF" w:rsidRDefault="00891457">
      <w:pPr>
        <w:spacing w:line="360" w:lineRule="auto"/>
        <w:ind w:left="567" w:right="616"/>
        <w:jc w:val="both"/>
        <w:rPr>
          <w:rFonts w:ascii="Palatino Linotype" w:eastAsia="Palatino Linotype" w:hAnsi="Palatino Linotype" w:cs="Palatino Linotype"/>
          <w:sz w:val="22"/>
          <w:szCs w:val="22"/>
        </w:rPr>
      </w:pPr>
    </w:p>
    <w:p w14:paraId="7A0A077A"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9BE8E5B" w14:textId="77777777" w:rsidR="007F08FA" w:rsidRPr="00887ACF" w:rsidRDefault="007F08FA">
      <w:pPr>
        <w:spacing w:line="360" w:lineRule="auto"/>
        <w:jc w:val="both"/>
        <w:rPr>
          <w:rFonts w:ascii="Palatino Linotype" w:eastAsia="Palatino Linotype" w:hAnsi="Palatino Linotype" w:cs="Palatino Linotype"/>
          <w:sz w:val="22"/>
          <w:szCs w:val="22"/>
        </w:rPr>
      </w:pPr>
    </w:p>
    <w:p w14:paraId="3FB85D78" w14:textId="3B62009E"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EE68F00"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E08B4A4" w14:textId="77777777" w:rsidR="00891457" w:rsidRPr="00887ACF" w:rsidRDefault="000F3214">
      <w:pPr>
        <w:numPr>
          <w:ilvl w:val="0"/>
          <w:numId w:val="1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887ACF">
        <w:rPr>
          <w:rFonts w:ascii="Palatino Linotype" w:eastAsia="Palatino Linotype" w:hAnsi="Palatino Linotype" w:cs="Palatino Linotype"/>
          <w:b/>
          <w:sz w:val="22"/>
          <w:szCs w:val="22"/>
        </w:rPr>
        <w:t>C O N S I D E R A N D O:</w:t>
      </w:r>
    </w:p>
    <w:p w14:paraId="7F06AF8C" w14:textId="77777777" w:rsidR="00891457" w:rsidRPr="00887ACF" w:rsidRDefault="0089145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E898200" w14:textId="35F493B2"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Primero. Competencia. </w:t>
      </w:r>
      <w:r w:rsidRPr="00887ACF">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9B2DC3" w:rsidRPr="00887ACF">
        <w:rPr>
          <w:rFonts w:ascii="Palatino Linotype" w:eastAsia="Palatino Linotype" w:hAnsi="Palatino Linotype" w:cs="Palatino Linotype"/>
          <w:sz w:val="22"/>
          <w:szCs w:val="22"/>
        </w:rPr>
        <w:t xml:space="preserve"> noveno, cuadragésimo y cuadragésimo primero</w:t>
      </w:r>
      <w:r w:rsidRPr="00887ACF">
        <w:rPr>
          <w:rFonts w:ascii="Palatino Linotype" w:eastAsia="Palatino Linotype" w:hAnsi="Palatino Linotype" w:cs="Palatino Linotype"/>
          <w:sz w:val="22"/>
          <w:szCs w:val="22"/>
        </w:rPr>
        <w:t xml:space="preserve">, fracciones IV y V de la Constitución Política del Estado Libre y Soberano de México; 1, 2, fracción II; 13,  29, 36, fracciones I y II; 176, 178, 179, 181 párrafo tercero y 185 </w:t>
      </w:r>
      <w:r w:rsidRPr="00887ACF">
        <w:rPr>
          <w:rFonts w:ascii="Palatino Linotype" w:eastAsia="Palatino Linotype" w:hAnsi="Palatino Linotype" w:cs="Palatino Linotype"/>
          <w:sz w:val="22"/>
          <w:szCs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C4D0275" w14:textId="77777777" w:rsidR="00891457" w:rsidRPr="00887ACF" w:rsidRDefault="00891457">
      <w:pPr>
        <w:spacing w:line="360" w:lineRule="auto"/>
        <w:jc w:val="both"/>
        <w:rPr>
          <w:rFonts w:ascii="Palatino Linotype" w:eastAsia="Palatino Linotype" w:hAnsi="Palatino Linotype" w:cs="Palatino Linotype"/>
          <w:b/>
          <w:sz w:val="22"/>
          <w:szCs w:val="22"/>
        </w:rPr>
      </w:pPr>
    </w:p>
    <w:p w14:paraId="71640EC7"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Segundo. Oportunidad y Procedibilidad del Recurso de Revisión</w:t>
      </w:r>
      <w:r w:rsidRPr="00887A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97E50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2C3AE7D6" w14:textId="25A7B79B"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proporcionó su respuesta a la solicitud de información el </w:t>
      </w:r>
      <w:r w:rsidR="007F4D8E" w:rsidRPr="00887ACF">
        <w:rPr>
          <w:rFonts w:ascii="Palatino Linotype" w:eastAsia="Palatino Linotype" w:hAnsi="Palatino Linotype" w:cs="Palatino Linotype"/>
          <w:b/>
          <w:sz w:val="22"/>
          <w:szCs w:val="22"/>
        </w:rPr>
        <w:t xml:space="preserve">veintiocho de marzo </w:t>
      </w:r>
      <w:r w:rsidRPr="00887ACF">
        <w:rPr>
          <w:rFonts w:ascii="Palatino Linotype" w:eastAsia="Palatino Linotype" w:hAnsi="Palatino Linotype" w:cs="Palatino Linotype"/>
          <w:b/>
          <w:sz w:val="22"/>
          <w:szCs w:val="22"/>
        </w:rPr>
        <w:t>de dos mil veintic</w:t>
      </w:r>
      <w:r w:rsidR="007F4D8E" w:rsidRPr="00887ACF">
        <w:rPr>
          <w:rFonts w:ascii="Palatino Linotype" w:eastAsia="Palatino Linotype" w:hAnsi="Palatino Linotype" w:cs="Palatino Linotype"/>
          <w:b/>
          <w:sz w:val="22"/>
          <w:szCs w:val="22"/>
        </w:rPr>
        <w:t>inco</w:t>
      </w:r>
      <w:r w:rsidRPr="00887ACF">
        <w:rPr>
          <w:rFonts w:ascii="Palatino Linotype" w:eastAsia="Palatino Linotype" w:hAnsi="Palatino Linotype" w:cs="Palatino Linotype"/>
          <w:sz w:val="22"/>
          <w:szCs w:val="22"/>
        </w:rPr>
        <w:t xml:space="preserve">, y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presentó su recurso de revisión el </w:t>
      </w:r>
      <w:r w:rsidRPr="00887ACF">
        <w:rPr>
          <w:rFonts w:ascii="Palatino Linotype" w:eastAsia="Palatino Linotype" w:hAnsi="Palatino Linotype" w:cs="Palatino Linotype"/>
          <w:b/>
          <w:sz w:val="22"/>
          <w:szCs w:val="22"/>
        </w:rPr>
        <w:t xml:space="preserve">ocho de </w:t>
      </w:r>
      <w:r w:rsidR="007F4D8E" w:rsidRPr="00887ACF">
        <w:rPr>
          <w:rFonts w:ascii="Palatino Linotype" w:eastAsia="Palatino Linotype" w:hAnsi="Palatino Linotype" w:cs="Palatino Linotype"/>
          <w:b/>
          <w:sz w:val="22"/>
          <w:szCs w:val="22"/>
        </w:rPr>
        <w:t xml:space="preserve">abril </w:t>
      </w:r>
      <w:r w:rsidRPr="00887ACF">
        <w:rPr>
          <w:rFonts w:ascii="Palatino Linotype" w:eastAsia="Palatino Linotype" w:hAnsi="Palatino Linotype" w:cs="Palatino Linotype"/>
          <w:b/>
          <w:sz w:val="22"/>
          <w:szCs w:val="22"/>
        </w:rPr>
        <w:t>de dos mil veintic</w:t>
      </w:r>
      <w:r w:rsidR="007F4D8E" w:rsidRPr="00887ACF">
        <w:rPr>
          <w:rFonts w:ascii="Palatino Linotype" w:eastAsia="Palatino Linotype" w:hAnsi="Palatino Linotype" w:cs="Palatino Linotype"/>
          <w:b/>
          <w:sz w:val="22"/>
          <w:szCs w:val="22"/>
        </w:rPr>
        <w:t>inco</w:t>
      </w:r>
      <w:r w:rsidRPr="00887ACF">
        <w:rPr>
          <w:rFonts w:ascii="Palatino Linotype" w:eastAsia="Palatino Linotype" w:hAnsi="Palatino Linotype" w:cs="Palatino Linotype"/>
          <w:sz w:val="22"/>
          <w:szCs w:val="22"/>
        </w:rPr>
        <w:t>;</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esto es al </w:t>
      </w:r>
      <w:r w:rsidR="007F4D8E" w:rsidRPr="00887ACF">
        <w:rPr>
          <w:rFonts w:ascii="Palatino Linotype" w:eastAsia="Palatino Linotype" w:hAnsi="Palatino Linotype" w:cs="Palatino Linotype"/>
          <w:sz w:val="22"/>
          <w:szCs w:val="22"/>
        </w:rPr>
        <w:t xml:space="preserve">séptimo </w:t>
      </w:r>
      <w:r w:rsidRPr="00887ACF">
        <w:rPr>
          <w:rFonts w:ascii="Palatino Linotype" w:eastAsia="Palatino Linotype" w:hAnsi="Palatino Linotype" w:cs="Palatino Linotype"/>
          <w:sz w:val="22"/>
          <w:szCs w:val="22"/>
        </w:rPr>
        <w:t xml:space="preserve">día hábil siguiente en que tuvo conocimiento de la respuesta. </w:t>
      </w:r>
    </w:p>
    <w:p w14:paraId="6ADCB47D" w14:textId="77777777" w:rsidR="00891457" w:rsidRPr="00887ACF" w:rsidRDefault="00891457">
      <w:pPr>
        <w:spacing w:line="360" w:lineRule="auto"/>
        <w:ind w:right="843"/>
        <w:jc w:val="both"/>
        <w:rPr>
          <w:rFonts w:ascii="Palatino Linotype" w:eastAsia="Palatino Linotype" w:hAnsi="Palatino Linotype" w:cs="Palatino Linotype"/>
          <w:i/>
          <w:sz w:val="22"/>
          <w:szCs w:val="22"/>
        </w:rPr>
      </w:pPr>
    </w:p>
    <w:p w14:paraId="3004FEA5"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w:t>
      </w:r>
      <w:r w:rsidRPr="00887ACF">
        <w:rPr>
          <w:rFonts w:ascii="Palatino Linotype" w:eastAsia="Palatino Linotype" w:hAnsi="Palatino Linotype" w:cs="Palatino Linotype"/>
          <w:b/>
          <w:sz w:val="22"/>
          <w:szCs w:val="22"/>
        </w:rPr>
        <w:t>SAIMEX</w:t>
      </w:r>
      <w:r w:rsidRPr="00887ACF">
        <w:rPr>
          <w:rFonts w:ascii="Palatino Linotype" w:eastAsia="Palatino Linotype" w:hAnsi="Palatino Linotype" w:cs="Palatino Linotype"/>
          <w:sz w:val="22"/>
          <w:szCs w:val="22"/>
        </w:rPr>
        <w:t>.</w:t>
      </w:r>
    </w:p>
    <w:p w14:paraId="7051281F" w14:textId="240995CA" w:rsidR="00891457" w:rsidRPr="00887ACF" w:rsidRDefault="000F3214">
      <w:pP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887ACF">
        <w:rPr>
          <w:rFonts w:ascii="Palatino Linotype" w:eastAsia="Palatino Linotype" w:hAnsi="Palatino Linotype" w:cs="Palatino Linotype"/>
          <w:b/>
          <w:sz w:val="22"/>
          <w:szCs w:val="22"/>
        </w:rPr>
        <w:t>proporcionó un seudónimo</w:t>
      </w:r>
      <w:r w:rsidRPr="00887ACF">
        <w:rPr>
          <w:rFonts w:ascii="Palatino Linotype" w:eastAsia="Palatino Linotype" w:hAnsi="Palatino Linotype" w:cs="Palatino Linotype"/>
          <w:sz w:val="22"/>
          <w:szCs w:val="22"/>
        </w:rPr>
        <w:t xml:space="preserve"> para ser identificado, como se advierte en el detalle de seguimiento del SAIMEX, </w:t>
      </w:r>
      <w:r w:rsidR="00837EC5" w:rsidRPr="00887ACF">
        <w:rPr>
          <w:rFonts w:ascii="Palatino Linotype" w:eastAsia="Palatino Linotype" w:hAnsi="Palatino Linotype" w:cs="Palatino Linotype"/>
          <w:sz w:val="22"/>
          <w:szCs w:val="22"/>
        </w:rPr>
        <w:t>también lo es que</w:t>
      </w:r>
      <w:r w:rsidRPr="00887ACF">
        <w:rPr>
          <w:rFonts w:ascii="Palatino Linotype" w:eastAsia="Palatino Linotype" w:hAnsi="Palatino Linotype" w:cs="Palatino Linotype"/>
          <w:sz w:val="22"/>
          <w:szCs w:val="22"/>
        </w:rPr>
        <w:t xml:space="preserve">, el proporcionar un </w:t>
      </w:r>
      <w:r w:rsidR="00837EC5" w:rsidRPr="00887ACF">
        <w:rPr>
          <w:rFonts w:ascii="Palatino Linotype" w:eastAsia="Palatino Linotype" w:hAnsi="Palatino Linotype" w:cs="Palatino Linotype"/>
          <w:sz w:val="22"/>
          <w:szCs w:val="22"/>
        </w:rPr>
        <w:t xml:space="preserve">seudónimo </w:t>
      </w:r>
      <w:r w:rsidRPr="00887ACF">
        <w:rPr>
          <w:rFonts w:ascii="Palatino Linotype" w:eastAsia="Palatino Linotype" w:hAnsi="Palatino Linotype" w:cs="Palatino Linotype"/>
          <w:sz w:val="22"/>
          <w:szCs w:val="22"/>
        </w:rPr>
        <w:t xml:space="preserve">no es motivo </w:t>
      </w:r>
      <w:r w:rsidRPr="00887ACF">
        <w:rPr>
          <w:rFonts w:ascii="Palatino Linotype" w:eastAsia="Palatino Linotype" w:hAnsi="Palatino Linotype" w:cs="Palatino Linotype"/>
          <w:sz w:val="22"/>
          <w:szCs w:val="22"/>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7D1256" w14:textId="77777777" w:rsidR="00891457" w:rsidRPr="00887ACF" w:rsidRDefault="000F3214">
      <w:pPr>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Las solicitudes anónimas</w:t>
      </w:r>
      <w:r w:rsidRPr="00887ACF">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D356ECA"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5E83DD6" w14:textId="20BA5E75"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1F6925" w:rsidRPr="00887ACF">
        <w:rPr>
          <w:rFonts w:ascii="Palatino Linotype" w:eastAsia="Palatino Linotype" w:hAnsi="Palatino Linotype" w:cs="Palatino Linotype"/>
          <w:sz w:val="22"/>
          <w:szCs w:val="22"/>
        </w:rPr>
        <w:t>V</w:t>
      </w:r>
      <w:r w:rsidRPr="00887ACF">
        <w:rPr>
          <w:rFonts w:ascii="Palatino Linotype" w:eastAsia="Palatino Linotype" w:hAnsi="Palatino Linotype" w:cs="Palatino Linotype"/>
          <w:sz w:val="22"/>
          <w:szCs w:val="22"/>
        </w:rPr>
        <w:t xml:space="preserve"> de la ley de la materia, que a la letra dice:</w:t>
      </w:r>
    </w:p>
    <w:p w14:paraId="3998F75C"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C565C3D" w14:textId="77777777" w:rsidR="00891457" w:rsidRPr="00887ACF" w:rsidRDefault="000F3214">
      <w:pPr>
        <w:spacing w:line="276" w:lineRule="auto"/>
        <w:ind w:left="567"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 xml:space="preserve">Artículo 179. </w:t>
      </w:r>
      <w:r w:rsidRPr="00887AC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7E7D950" w14:textId="5335E6DA" w:rsidR="00837EC5" w:rsidRPr="00887ACF" w:rsidRDefault="00837EC5">
      <w:pPr>
        <w:spacing w:line="276" w:lineRule="auto"/>
        <w:ind w:left="567"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581D6581" w14:textId="55E61D86" w:rsidR="00891457" w:rsidRPr="00887ACF" w:rsidRDefault="00837EC5">
      <w:pPr>
        <w:spacing w:line="276" w:lineRule="auto"/>
        <w:ind w:left="567"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 La entrega de información incompleta</w:t>
      </w:r>
      <w:r w:rsidR="000F3214" w:rsidRPr="00887ACF">
        <w:rPr>
          <w:rFonts w:ascii="Palatino Linotype" w:eastAsia="Palatino Linotype" w:hAnsi="Palatino Linotype" w:cs="Palatino Linotype"/>
          <w:i/>
          <w:sz w:val="22"/>
          <w:szCs w:val="22"/>
        </w:rPr>
        <w:t>;</w:t>
      </w:r>
      <w:r w:rsidR="000F3214" w:rsidRPr="00887ACF">
        <w:rPr>
          <w:rFonts w:ascii="Palatino Linotype" w:eastAsia="Palatino Linotype" w:hAnsi="Palatino Linotype" w:cs="Palatino Linotype"/>
          <w:i/>
          <w:sz w:val="22"/>
          <w:szCs w:val="22"/>
        </w:rPr>
        <w:br/>
        <w:t xml:space="preserve">…” </w:t>
      </w:r>
    </w:p>
    <w:p w14:paraId="7ACBDB6E" w14:textId="77777777" w:rsidR="00891457" w:rsidRPr="00887ACF" w:rsidRDefault="00891457">
      <w:pPr>
        <w:spacing w:line="360" w:lineRule="auto"/>
        <w:ind w:left="567" w:right="616"/>
        <w:jc w:val="both"/>
        <w:rPr>
          <w:rFonts w:ascii="Palatino Linotype" w:eastAsia="Palatino Linotype" w:hAnsi="Palatino Linotype" w:cs="Palatino Linotype"/>
          <w:i/>
          <w:sz w:val="22"/>
          <w:szCs w:val="22"/>
        </w:rPr>
      </w:pPr>
    </w:p>
    <w:p w14:paraId="79ADF56E" w14:textId="751A69C4"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Tercero. Materia de Revisión</w:t>
      </w:r>
      <w:r w:rsidRPr="00887AC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CA27D2" w:rsidRPr="00887ACF">
        <w:rPr>
          <w:rFonts w:ascii="Palatino Linotype" w:eastAsia="Palatino Linotype" w:hAnsi="Palatino Linotype" w:cs="Palatino Linotype"/>
          <w:sz w:val="22"/>
          <w:szCs w:val="22"/>
        </w:rPr>
        <w:t>V</w:t>
      </w:r>
      <w:r w:rsidRPr="00887ACF">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21AD8183"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84E3E82"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 xml:space="preserve">Cuarto. Estudio de fondo del asunto. </w:t>
      </w:r>
      <w:r w:rsidRPr="00887ACF">
        <w:rPr>
          <w:rFonts w:ascii="Palatino Linotype" w:eastAsia="Palatino Linotype" w:hAnsi="Palatino Linotype" w:cs="Palatino Linotype"/>
          <w:sz w:val="22"/>
          <w:szCs w:val="22"/>
        </w:rPr>
        <w:t>Es conveniente analizar si la respuesta del Sujeto Obligado</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w:t>
      </w:r>
      <w:r w:rsidRPr="00887ACF">
        <w:rPr>
          <w:rFonts w:ascii="Palatino Linotype" w:eastAsia="Palatino Linotype" w:hAnsi="Palatino Linotype" w:cs="Palatino Linotype"/>
          <w:sz w:val="22"/>
          <w:szCs w:val="22"/>
        </w:rPr>
        <w:lastRenderedPageBreak/>
        <w:t>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CC0B262"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7881312" w14:textId="77777777" w:rsidR="00891457" w:rsidRPr="00887ACF" w:rsidRDefault="000F3214">
      <w:pPr>
        <w:tabs>
          <w:tab w:val="left" w:pos="85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4</w:t>
      </w:r>
      <w:r w:rsidRPr="00887AC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507F98" w14:textId="77777777" w:rsidR="00891457" w:rsidRPr="00887ACF" w:rsidRDefault="000F3214">
      <w:pPr>
        <w:tabs>
          <w:tab w:val="left" w:pos="85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87AC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3BACD5" w14:textId="77777777" w:rsidR="00891457" w:rsidRPr="00887ACF" w:rsidRDefault="000F3214">
      <w:pPr>
        <w:tabs>
          <w:tab w:val="left" w:pos="851"/>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87ACF">
        <w:rPr>
          <w:rFonts w:ascii="Palatino Linotype" w:eastAsia="Palatino Linotype" w:hAnsi="Palatino Linotype" w:cs="Palatino Linotype"/>
          <w:i/>
          <w:sz w:val="22"/>
          <w:szCs w:val="22"/>
        </w:rPr>
        <w:t>.”(Sic)</w:t>
      </w:r>
    </w:p>
    <w:p w14:paraId="15622D37"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26D558B"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887ACF">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6777A909" w14:textId="77777777" w:rsidR="00891457" w:rsidRPr="00887ACF" w:rsidRDefault="00891457">
      <w:pPr>
        <w:spacing w:line="276" w:lineRule="auto"/>
        <w:ind w:left="567" w:right="616"/>
        <w:jc w:val="both"/>
        <w:rPr>
          <w:rFonts w:ascii="Palatino Linotype" w:eastAsia="Palatino Linotype" w:hAnsi="Palatino Linotype" w:cs="Palatino Linotype"/>
          <w:sz w:val="22"/>
          <w:szCs w:val="22"/>
        </w:rPr>
      </w:pPr>
    </w:p>
    <w:p w14:paraId="749C9BB4"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12.-</w:t>
      </w:r>
      <w:r w:rsidRPr="00887A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70E35A3" w14:textId="77777777" w:rsidR="00891457" w:rsidRPr="00887ACF" w:rsidRDefault="00891457">
      <w:pPr>
        <w:spacing w:line="276" w:lineRule="auto"/>
        <w:ind w:left="851" w:right="616"/>
        <w:jc w:val="both"/>
        <w:rPr>
          <w:rFonts w:ascii="Palatino Linotype" w:eastAsia="Palatino Linotype" w:hAnsi="Palatino Linotype" w:cs="Palatino Linotype"/>
          <w:i/>
          <w:sz w:val="22"/>
          <w:szCs w:val="22"/>
        </w:rPr>
      </w:pPr>
    </w:p>
    <w:p w14:paraId="372C81C3"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887ACF">
        <w:rPr>
          <w:rFonts w:ascii="Palatino Linotype" w:eastAsia="Palatino Linotype" w:hAnsi="Palatino Linotype" w:cs="Palatino Linotype"/>
          <w:i/>
          <w:sz w:val="22"/>
          <w:szCs w:val="22"/>
        </w:rPr>
        <w:t xml:space="preserve">.” </w:t>
      </w:r>
    </w:p>
    <w:p w14:paraId="417ADD9F" w14:textId="77777777" w:rsidR="00891457" w:rsidRPr="00887ACF" w:rsidRDefault="00891457">
      <w:pPr>
        <w:spacing w:line="360" w:lineRule="auto"/>
        <w:ind w:right="-93"/>
        <w:jc w:val="both"/>
        <w:rPr>
          <w:rFonts w:ascii="Palatino Linotype" w:eastAsia="Palatino Linotype" w:hAnsi="Palatino Linotype" w:cs="Palatino Linotype"/>
          <w:sz w:val="22"/>
          <w:szCs w:val="22"/>
        </w:rPr>
      </w:pPr>
    </w:p>
    <w:p w14:paraId="2194F70D" w14:textId="77777777" w:rsidR="00891457" w:rsidRPr="00887ACF" w:rsidRDefault="000F3214">
      <w:pPr>
        <w:spacing w:line="360" w:lineRule="auto"/>
        <w:ind w:right="-93"/>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AD682D7" w14:textId="77777777" w:rsidR="00891457" w:rsidRPr="00887ACF" w:rsidRDefault="00891457">
      <w:pPr>
        <w:spacing w:line="360" w:lineRule="auto"/>
        <w:ind w:right="-93"/>
        <w:jc w:val="both"/>
        <w:rPr>
          <w:rFonts w:ascii="Palatino Linotype" w:eastAsia="Palatino Linotype" w:hAnsi="Palatino Linotype" w:cs="Palatino Linotype"/>
          <w:sz w:val="22"/>
          <w:szCs w:val="22"/>
        </w:rPr>
      </w:pPr>
    </w:p>
    <w:p w14:paraId="42665922" w14:textId="77777777" w:rsidR="00891457" w:rsidRPr="00887ACF" w:rsidRDefault="000F3214">
      <w:pPr>
        <w:spacing w:line="360" w:lineRule="auto"/>
        <w:jc w:val="both"/>
        <w:rPr>
          <w:rFonts w:ascii="Palatino Linotype" w:eastAsia="Palatino Linotype" w:hAnsi="Palatino Linotype" w:cs="Palatino Linotype"/>
          <w:b/>
          <w:sz w:val="22"/>
          <w:szCs w:val="22"/>
        </w:rPr>
      </w:pPr>
      <w:r w:rsidRPr="00887ACF">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887ACF">
        <w:rPr>
          <w:rFonts w:ascii="Palatino Linotype" w:eastAsia="Palatino Linotype" w:hAnsi="Palatino Linotype" w:cs="Palatino Linotype"/>
          <w:b/>
          <w:sz w:val="22"/>
          <w:szCs w:val="22"/>
        </w:rPr>
        <w:t xml:space="preserve"> </w:t>
      </w:r>
    </w:p>
    <w:p w14:paraId="6B763DE6" w14:textId="77777777" w:rsidR="00891457" w:rsidRPr="00887ACF" w:rsidRDefault="00891457">
      <w:pPr>
        <w:spacing w:line="276" w:lineRule="auto"/>
        <w:ind w:left="851" w:right="850"/>
        <w:jc w:val="both"/>
        <w:rPr>
          <w:rFonts w:ascii="Palatino Linotype" w:eastAsia="Palatino Linotype" w:hAnsi="Palatino Linotype" w:cs="Palatino Linotype"/>
          <w:sz w:val="22"/>
          <w:szCs w:val="22"/>
        </w:rPr>
      </w:pPr>
    </w:p>
    <w:p w14:paraId="32318483"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No existe obligación de elaborar documentos ad hoc para atender las solicitudes de acceso a la información.</w:t>
      </w:r>
      <w:r w:rsidRPr="00887AC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w:t>
      </w:r>
      <w:r w:rsidRPr="00887ACF">
        <w:rPr>
          <w:rFonts w:ascii="Palatino Linotype" w:eastAsia="Palatino Linotype" w:hAnsi="Palatino Linotype" w:cs="Palatino Linotype"/>
          <w:i/>
          <w:sz w:val="22"/>
          <w:szCs w:val="22"/>
        </w:rPr>
        <w:lastRenderedPageBreak/>
        <w:t xml:space="preserve">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0B5550E" w14:textId="77777777" w:rsidR="00891457" w:rsidRPr="00887ACF" w:rsidRDefault="00891457">
      <w:pPr>
        <w:spacing w:line="276" w:lineRule="auto"/>
        <w:ind w:left="567" w:right="616"/>
        <w:jc w:val="both"/>
        <w:rPr>
          <w:rFonts w:ascii="Palatino Linotype" w:eastAsia="Palatino Linotype" w:hAnsi="Palatino Linotype" w:cs="Palatino Linotype"/>
          <w:i/>
          <w:sz w:val="22"/>
          <w:szCs w:val="22"/>
        </w:rPr>
      </w:pPr>
    </w:p>
    <w:p w14:paraId="378CCE28"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CDA6BB"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F82115F"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E1679E"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150E6D9"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 xml:space="preserve">Artículo 3. </w:t>
      </w:r>
      <w:r w:rsidRPr="00887ACF">
        <w:rPr>
          <w:rFonts w:ascii="Palatino Linotype" w:eastAsia="Palatino Linotype" w:hAnsi="Palatino Linotype" w:cs="Palatino Linotype"/>
          <w:i/>
          <w:sz w:val="22"/>
          <w:szCs w:val="22"/>
        </w:rPr>
        <w:t>Para los efectos de la presente Ley se entenderá por:</w:t>
      </w:r>
    </w:p>
    <w:p w14:paraId="27B4F37E"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63EDE863"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lastRenderedPageBreak/>
        <w:t>XI. Documento:</w:t>
      </w:r>
      <w:r w:rsidRPr="00887ACF">
        <w:rPr>
          <w:rFonts w:ascii="Palatino Linotype" w:eastAsia="Palatino Linotype" w:hAnsi="Palatino Linotype" w:cs="Palatino Linotype"/>
          <w:i/>
          <w:sz w:val="22"/>
          <w:szCs w:val="22"/>
        </w:rPr>
        <w:t xml:space="preserve"> Los expedientes, reportes, estudios, actas</w:t>
      </w:r>
      <w:r w:rsidRPr="00887ACF">
        <w:rPr>
          <w:rFonts w:ascii="Palatino Linotype" w:eastAsia="Palatino Linotype" w:hAnsi="Palatino Linotype" w:cs="Palatino Linotype"/>
          <w:b/>
          <w:i/>
          <w:sz w:val="22"/>
          <w:szCs w:val="22"/>
        </w:rPr>
        <w:t>,</w:t>
      </w:r>
      <w:r w:rsidRPr="00887A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8F8FFF9" w14:textId="77777777" w:rsidR="00891457" w:rsidRPr="00887ACF" w:rsidRDefault="00891457">
      <w:pPr>
        <w:spacing w:line="360" w:lineRule="auto"/>
        <w:ind w:left="851" w:right="899"/>
        <w:jc w:val="both"/>
        <w:rPr>
          <w:rFonts w:ascii="Palatino Linotype" w:eastAsia="Palatino Linotype" w:hAnsi="Palatino Linotype" w:cs="Palatino Linotype"/>
          <w:sz w:val="22"/>
          <w:szCs w:val="22"/>
        </w:rPr>
      </w:pPr>
    </w:p>
    <w:p w14:paraId="4380BD69"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EF49B3" w14:textId="77777777" w:rsidR="00891457" w:rsidRPr="00887ACF" w:rsidRDefault="00891457">
      <w:pPr>
        <w:spacing w:line="360" w:lineRule="auto"/>
        <w:ind w:left="851" w:right="899"/>
        <w:jc w:val="both"/>
        <w:rPr>
          <w:rFonts w:ascii="Palatino Linotype" w:eastAsia="Palatino Linotype" w:hAnsi="Palatino Linotype" w:cs="Palatino Linotype"/>
          <w:sz w:val="22"/>
          <w:szCs w:val="22"/>
        </w:rPr>
      </w:pPr>
    </w:p>
    <w:p w14:paraId="42EB28BA" w14:textId="77777777" w:rsidR="00891457" w:rsidRPr="00887ACF" w:rsidRDefault="000F3214">
      <w:pPr>
        <w:spacing w:line="276" w:lineRule="auto"/>
        <w:ind w:left="851" w:right="899"/>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sz w:val="22"/>
          <w:szCs w:val="22"/>
        </w:rPr>
        <w:t>“</w:t>
      </w:r>
      <w:r w:rsidRPr="00887AC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87AC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863319" w14:textId="77777777" w:rsidR="00891457" w:rsidRPr="00887ACF" w:rsidRDefault="000F3214">
      <w:pPr>
        <w:spacing w:line="276" w:lineRule="auto"/>
        <w:ind w:left="851" w:right="899"/>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632386" w14:textId="77777777" w:rsidR="00891457" w:rsidRPr="00887ACF" w:rsidRDefault="000F3214">
      <w:pPr>
        <w:spacing w:line="276" w:lineRule="auto"/>
        <w:ind w:left="851" w:right="899"/>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566C33" w14:textId="77777777" w:rsidR="00891457" w:rsidRPr="00887ACF" w:rsidRDefault="000F3214">
      <w:pPr>
        <w:spacing w:line="276" w:lineRule="auto"/>
        <w:ind w:left="851" w:right="899"/>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581B3ED" w14:textId="77777777" w:rsidR="00891457" w:rsidRPr="00887ACF" w:rsidRDefault="000F3214">
      <w:pPr>
        <w:spacing w:line="276" w:lineRule="auto"/>
        <w:ind w:left="851" w:right="899"/>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14:paraId="4BE05068"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779804B" w14:textId="77777777"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B3BA746"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A8CDCCF"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8FFA366" w14:textId="77777777" w:rsidR="00891457" w:rsidRPr="00887ACF" w:rsidRDefault="000F3214">
      <w:pPr>
        <w:spacing w:before="240" w:after="240"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requirió al </w:t>
      </w:r>
      <w:r w:rsidRPr="00887ACF">
        <w:rPr>
          <w:rFonts w:ascii="Palatino Linotype" w:eastAsia="Palatino Linotype" w:hAnsi="Palatino Linotype" w:cs="Palatino Linotype"/>
          <w:b/>
          <w:sz w:val="22"/>
          <w:szCs w:val="22"/>
        </w:rPr>
        <w:t xml:space="preserve">Sujeto Obligado </w:t>
      </w:r>
      <w:r w:rsidRPr="00887ACF">
        <w:rPr>
          <w:rFonts w:ascii="Palatino Linotype" w:eastAsia="Palatino Linotype" w:hAnsi="Palatino Linotype" w:cs="Palatino Linotype"/>
          <w:sz w:val="22"/>
          <w:szCs w:val="22"/>
        </w:rPr>
        <w:t>le proporcione, información consistente en lo siguiente:</w:t>
      </w:r>
    </w:p>
    <w:p w14:paraId="41BB8EDE" w14:textId="58767349" w:rsidR="00C853D2" w:rsidRPr="00887ACF" w:rsidRDefault="00CA27D2" w:rsidP="00D64E0A">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4" w:name="_Hlk202303634"/>
      <w:r w:rsidRPr="00887ACF">
        <w:rPr>
          <w:rFonts w:ascii="Palatino Linotype" w:eastAsia="Palatino Linotype" w:hAnsi="Palatino Linotype" w:cs="Palatino Linotype"/>
          <w:sz w:val="22"/>
          <w:szCs w:val="22"/>
        </w:rPr>
        <w:t>Altas y bajas de servidores públicos</w:t>
      </w:r>
      <w:r w:rsidR="00D64E0A" w:rsidRPr="00887ACF">
        <w:rPr>
          <w:rFonts w:ascii="Palatino Linotype" w:eastAsia="Palatino Linotype" w:hAnsi="Palatino Linotype" w:cs="Palatino Linotype"/>
          <w:sz w:val="22"/>
          <w:szCs w:val="22"/>
        </w:rPr>
        <w:t xml:space="preserve"> de nómina u honorarios</w:t>
      </w:r>
      <w:r w:rsidRPr="00887ACF">
        <w:rPr>
          <w:rFonts w:ascii="Palatino Linotype" w:eastAsia="Palatino Linotype" w:hAnsi="Palatino Linotype" w:cs="Palatino Linotype"/>
          <w:sz w:val="22"/>
          <w:szCs w:val="22"/>
        </w:rPr>
        <w:t xml:space="preserve"> realizadas durante enero de 2025</w:t>
      </w:r>
      <w:r w:rsidR="00C853D2" w:rsidRPr="00887ACF">
        <w:rPr>
          <w:rFonts w:ascii="Palatino Linotype" w:eastAsia="Palatino Linotype" w:hAnsi="Palatino Linotype" w:cs="Palatino Linotype"/>
          <w:sz w:val="22"/>
          <w:szCs w:val="22"/>
        </w:rPr>
        <w:t>, q</w:t>
      </w:r>
      <w:r w:rsidRPr="00887ACF">
        <w:rPr>
          <w:rFonts w:ascii="Palatino Linotype" w:eastAsia="Palatino Linotype" w:hAnsi="Palatino Linotype" w:cs="Palatino Linotype"/>
          <w:sz w:val="22"/>
          <w:szCs w:val="22"/>
        </w:rPr>
        <w:t>ue contenga nombre, cargo</w:t>
      </w:r>
      <w:r w:rsidR="00D64E0A" w:rsidRPr="00887ACF">
        <w:rPr>
          <w:rFonts w:ascii="Palatino Linotype" w:eastAsia="Palatino Linotype" w:hAnsi="Palatino Linotype" w:cs="Palatino Linotype"/>
          <w:sz w:val="22"/>
          <w:szCs w:val="22"/>
        </w:rPr>
        <w:t xml:space="preserve"> y </w:t>
      </w:r>
      <w:r w:rsidRPr="00887ACF">
        <w:rPr>
          <w:rFonts w:ascii="Palatino Linotype" w:eastAsia="Palatino Linotype" w:hAnsi="Palatino Linotype" w:cs="Palatino Linotype"/>
          <w:sz w:val="22"/>
          <w:szCs w:val="22"/>
        </w:rPr>
        <w:t xml:space="preserve">sueldo, </w:t>
      </w:r>
    </w:p>
    <w:p w14:paraId="08BA5F8A" w14:textId="24F2C638" w:rsidR="00CA27D2" w:rsidRPr="00887ACF" w:rsidRDefault="00C853D2" w:rsidP="00CA27D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w:t>
      </w:r>
      <w:r w:rsidR="00CA27D2" w:rsidRPr="00887ACF">
        <w:rPr>
          <w:rFonts w:ascii="Palatino Linotype" w:eastAsia="Palatino Linotype" w:hAnsi="Palatino Linotype" w:cs="Palatino Linotype"/>
          <w:sz w:val="22"/>
          <w:szCs w:val="22"/>
        </w:rPr>
        <w:t xml:space="preserve">n </w:t>
      </w:r>
      <w:r w:rsidR="00006DE7" w:rsidRPr="00887ACF">
        <w:rPr>
          <w:rFonts w:ascii="Palatino Linotype" w:eastAsia="Palatino Linotype" w:hAnsi="Palatino Linotype" w:cs="Palatino Linotype"/>
          <w:sz w:val="22"/>
          <w:szCs w:val="22"/>
        </w:rPr>
        <w:t xml:space="preserve">el </w:t>
      </w:r>
      <w:r w:rsidR="00CA27D2" w:rsidRPr="00887ACF">
        <w:rPr>
          <w:rFonts w:ascii="Palatino Linotype" w:eastAsia="Palatino Linotype" w:hAnsi="Palatino Linotype" w:cs="Palatino Linotype"/>
          <w:sz w:val="22"/>
          <w:szCs w:val="22"/>
        </w:rPr>
        <w:t>caso de las altas</w:t>
      </w:r>
      <w:r w:rsidRPr="00887ACF">
        <w:rPr>
          <w:rFonts w:ascii="Palatino Linotype" w:eastAsia="Palatino Linotype" w:hAnsi="Palatino Linotype" w:cs="Palatino Linotype"/>
          <w:sz w:val="22"/>
          <w:szCs w:val="22"/>
        </w:rPr>
        <w:t xml:space="preserve">, </w:t>
      </w:r>
      <w:r w:rsidR="00CA27D2" w:rsidRPr="00887ACF">
        <w:rPr>
          <w:rFonts w:ascii="Palatino Linotype" w:eastAsia="Palatino Linotype" w:hAnsi="Palatino Linotype" w:cs="Palatino Linotype"/>
          <w:sz w:val="22"/>
          <w:szCs w:val="22"/>
        </w:rPr>
        <w:t>nombre, cargo, sueldo neto, categoría, y experiencia administrativa</w:t>
      </w:r>
      <w:r w:rsidR="00006DE7" w:rsidRPr="00887ACF">
        <w:rPr>
          <w:rFonts w:ascii="Palatino Linotype" w:eastAsia="Palatino Linotype" w:hAnsi="Palatino Linotype" w:cs="Palatino Linotype"/>
          <w:sz w:val="22"/>
          <w:szCs w:val="22"/>
        </w:rPr>
        <w:t>,</w:t>
      </w:r>
      <w:r w:rsidR="00924100" w:rsidRPr="00887ACF">
        <w:rPr>
          <w:rFonts w:ascii="Palatino Linotype" w:eastAsia="Palatino Linotype" w:hAnsi="Palatino Linotype" w:cs="Palatino Linotype"/>
          <w:sz w:val="22"/>
          <w:szCs w:val="22"/>
        </w:rPr>
        <w:t xml:space="preserve"> </w:t>
      </w:r>
    </w:p>
    <w:p w14:paraId="2D8FC5E8" w14:textId="77777777" w:rsidR="00006DE7" w:rsidRPr="00887ACF" w:rsidRDefault="00006DE7" w:rsidP="00006DE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En el caso de las bajas, monto de la liquidación.</w:t>
      </w:r>
    </w:p>
    <w:bookmarkEnd w:id="4"/>
    <w:p w14:paraId="2EBD0AAA"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47B2FA7C" w14:textId="1DC8A9D6" w:rsidR="00C853D2" w:rsidRPr="00887ACF" w:rsidRDefault="000F3214" w:rsidP="00C853D2">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tal sentido,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a través de</w:t>
      </w:r>
      <w:r w:rsidR="00C853D2" w:rsidRPr="00887ACF">
        <w:rPr>
          <w:rFonts w:ascii="Palatino Linotype" w:eastAsia="Palatino Linotype" w:hAnsi="Palatino Linotype" w:cs="Palatino Linotype"/>
          <w:sz w:val="22"/>
          <w:szCs w:val="22"/>
        </w:rPr>
        <w:t xml:space="preserve"> la Unidad de Transparencia informó la entrega de las altas de los servidores públicos que se realizaron en el mes de enero del presente año, del que se advierte nombre, cargo, experiencia administrativa y sueldo neto. </w:t>
      </w:r>
    </w:p>
    <w:p w14:paraId="3F91E4E0" w14:textId="77777777" w:rsidR="00C853D2" w:rsidRPr="00887ACF" w:rsidRDefault="00C853D2">
      <w:pPr>
        <w:spacing w:line="360" w:lineRule="auto"/>
        <w:ind w:right="49"/>
        <w:jc w:val="both"/>
        <w:rPr>
          <w:rFonts w:ascii="Palatino Linotype" w:eastAsia="Palatino Linotype" w:hAnsi="Palatino Linotype" w:cs="Palatino Linotype"/>
          <w:sz w:val="22"/>
          <w:szCs w:val="22"/>
        </w:rPr>
      </w:pPr>
    </w:p>
    <w:p w14:paraId="1674001E" w14:textId="674EF9E0" w:rsidR="00187A88"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Inconforme con la respuesta el hoy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interpuso el recurso de revisión que se analiza en el presente asunto, por medio del cual se inconformó en lo medular por</w:t>
      </w:r>
      <w:r w:rsidR="00187A88" w:rsidRPr="00887ACF">
        <w:rPr>
          <w:rFonts w:ascii="Palatino Linotype" w:eastAsia="Palatino Linotype" w:hAnsi="Palatino Linotype" w:cs="Palatino Linotype"/>
          <w:sz w:val="22"/>
          <w:szCs w:val="22"/>
        </w:rPr>
        <w:t xml:space="preserve"> la información incompleta, ya que a su consideración solo mandan una tabla que no contiene las características solicitadas. </w:t>
      </w:r>
    </w:p>
    <w:p w14:paraId="5204B808"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1A14DC81" w14:textId="77777777"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Es así como, el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no realizó manifestaciones, alegatos o pruebas que a su derecho convinieran y por su parte el </w:t>
      </w:r>
      <w:r w:rsidRPr="00887ACF">
        <w:rPr>
          <w:rFonts w:ascii="Palatino Linotype" w:eastAsia="Palatino Linotype" w:hAnsi="Palatino Linotype" w:cs="Palatino Linotype"/>
          <w:b/>
          <w:sz w:val="22"/>
          <w:szCs w:val="22"/>
        </w:rPr>
        <w:t xml:space="preserve">Sujeto Obligado </w:t>
      </w:r>
      <w:r w:rsidRPr="00887ACF">
        <w:rPr>
          <w:rFonts w:ascii="Palatino Linotype" w:eastAsia="Palatino Linotype" w:hAnsi="Palatino Linotype" w:cs="Palatino Linotype"/>
          <w:sz w:val="22"/>
          <w:szCs w:val="22"/>
        </w:rPr>
        <w:t>tampoco</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rindió su informe justificado. </w:t>
      </w:r>
    </w:p>
    <w:p w14:paraId="2D5C1349"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7664D2AB" w14:textId="5833F46E" w:rsidR="000D6AE1" w:rsidRPr="00887ACF" w:rsidRDefault="000F3214" w:rsidP="000D6AE1">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Una vez precisado lo anterior, conviene señalar que de conformidad con</w:t>
      </w:r>
      <w:r w:rsidR="000D6AE1" w:rsidRPr="00887ACF">
        <w:rPr>
          <w:rFonts w:ascii="Palatino Linotype" w:eastAsia="Palatino Linotype" w:hAnsi="Palatino Linotype" w:cs="Palatino Linotype"/>
          <w:sz w:val="22"/>
          <w:szCs w:val="22"/>
        </w:rPr>
        <w:t xml:space="preserve"> el artículo 15 de</w:t>
      </w:r>
      <w:r w:rsidR="006B5E2C" w:rsidRPr="00887ACF">
        <w:rPr>
          <w:rFonts w:ascii="Palatino Linotype" w:eastAsia="Palatino Linotype" w:hAnsi="Palatino Linotype" w:cs="Palatino Linotype"/>
          <w:sz w:val="22"/>
          <w:szCs w:val="22"/>
        </w:rPr>
        <w:t xml:space="preserve"> la Ley que crea el Organismo Público Descentralizado denominado Instituto Municipal de Cultura Física y Deporte de Valle de Chalco Solidaridad,</w:t>
      </w:r>
      <w:r w:rsidR="00F233BD" w:rsidRPr="00887ACF">
        <w:rPr>
          <w:rFonts w:ascii="Palatino Linotype" w:eastAsia="Palatino Linotype" w:hAnsi="Palatino Linotype" w:cs="Palatino Linotype"/>
          <w:sz w:val="22"/>
          <w:szCs w:val="22"/>
        </w:rPr>
        <w:t xml:space="preserve"> </w:t>
      </w:r>
      <w:r w:rsidR="000D6AE1" w:rsidRPr="00887ACF">
        <w:rPr>
          <w:rFonts w:ascii="Palatino Linotype" w:eastAsia="Palatino Linotype" w:hAnsi="Palatino Linotype" w:cs="Palatino Linotype"/>
          <w:sz w:val="22"/>
          <w:szCs w:val="22"/>
        </w:rPr>
        <w:t xml:space="preserve">el Instituto contara con un </w:t>
      </w:r>
      <w:r w:rsidR="000D6AE1" w:rsidRPr="00887ACF">
        <w:rPr>
          <w:rFonts w:ascii="Palatino Linotype" w:eastAsia="Palatino Linotype" w:hAnsi="Palatino Linotype" w:cs="Palatino Linotype"/>
          <w:sz w:val="22"/>
          <w:szCs w:val="22"/>
        </w:rPr>
        <w:lastRenderedPageBreak/>
        <w:t xml:space="preserve">programa de administración y finanzas, mismo que se encargara de vigilar el desarrollo de las actividades del personal adscrito; </w:t>
      </w:r>
      <w:r w:rsidR="000D6AE1" w:rsidRPr="00887ACF">
        <w:rPr>
          <w:rFonts w:ascii="Palatino Linotype" w:hAnsi="Palatino Linotype"/>
          <w:sz w:val="22"/>
          <w:szCs w:val="22"/>
        </w:rPr>
        <w:t xml:space="preserve">así como de controlar la justificación de sus erogaciones que serán emitidos a nombre del mismo organismo; </w:t>
      </w:r>
      <w:r w:rsidR="000D6AE1" w:rsidRPr="00887ACF">
        <w:rPr>
          <w:rFonts w:ascii="Palatino Linotype" w:eastAsia="Palatino Linotype" w:hAnsi="Palatino Linotype" w:cs="Palatino Linotype"/>
          <w:sz w:val="22"/>
          <w:szCs w:val="22"/>
        </w:rPr>
        <w:t xml:space="preserve">y contabilizar los ingresos que reciba el instituto. </w:t>
      </w:r>
    </w:p>
    <w:p w14:paraId="78480271" w14:textId="77777777" w:rsidR="000D6AE1" w:rsidRPr="00887ACF" w:rsidRDefault="000D6AE1" w:rsidP="000D6AE1">
      <w:pPr>
        <w:spacing w:line="360" w:lineRule="auto"/>
        <w:ind w:right="49"/>
        <w:jc w:val="both"/>
        <w:rPr>
          <w:rFonts w:ascii="Palatino Linotype" w:eastAsia="Palatino Linotype" w:hAnsi="Palatino Linotype" w:cs="Palatino Linotype"/>
          <w:sz w:val="22"/>
          <w:szCs w:val="22"/>
        </w:rPr>
      </w:pPr>
    </w:p>
    <w:p w14:paraId="567ECC2C" w14:textId="0CFE4856" w:rsidR="00891457" w:rsidRPr="00887ACF" w:rsidRDefault="000D6AE1">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ese mismo sentido, </w:t>
      </w:r>
      <w:r w:rsidR="00F233BD" w:rsidRPr="00887ACF">
        <w:rPr>
          <w:rFonts w:ascii="Palatino Linotype" w:eastAsia="Palatino Linotype" w:hAnsi="Palatino Linotype" w:cs="Palatino Linotype"/>
          <w:sz w:val="22"/>
          <w:szCs w:val="22"/>
        </w:rPr>
        <w:t xml:space="preserve">los </w:t>
      </w:r>
      <w:r w:rsidRPr="00887ACF">
        <w:rPr>
          <w:rFonts w:ascii="Palatino Linotype" w:eastAsia="Palatino Linotype" w:hAnsi="Palatino Linotype" w:cs="Palatino Linotype"/>
          <w:sz w:val="22"/>
          <w:szCs w:val="22"/>
        </w:rPr>
        <w:t>artículo</w:t>
      </w:r>
      <w:r w:rsidR="00F233BD" w:rsidRPr="00887ACF">
        <w:rPr>
          <w:rFonts w:ascii="Palatino Linotype" w:eastAsia="Palatino Linotype" w:hAnsi="Palatino Linotype" w:cs="Palatino Linotype"/>
          <w:sz w:val="22"/>
          <w:szCs w:val="22"/>
        </w:rPr>
        <w:t>s</w:t>
      </w:r>
      <w:r w:rsidRPr="00887ACF">
        <w:rPr>
          <w:rFonts w:ascii="Palatino Linotype" w:eastAsia="Palatino Linotype" w:hAnsi="Palatino Linotype" w:cs="Palatino Linotype"/>
          <w:sz w:val="22"/>
          <w:szCs w:val="22"/>
        </w:rPr>
        <w:t xml:space="preserve"> 24</w:t>
      </w:r>
      <w:r w:rsidR="00F233BD" w:rsidRPr="00887ACF">
        <w:rPr>
          <w:rFonts w:ascii="Palatino Linotype" w:eastAsia="Palatino Linotype" w:hAnsi="Palatino Linotype" w:cs="Palatino Linotype"/>
          <w:sz w:val="22"/>
          <w:szCs w:val="22"/>
        </w:rPr>
        <w:t>,</w:t>
      </w:r>
      <w:r w:rsidRPr="00887ACF">
        <w:rPr>
          <w:rFonts w:ascii="Palatino Linotype" w:eastAsia="Palatino Linotype" w:hAnsi="Palatino Linotype" w:cs="Palatino Linotype"/>
          <w:sz w:val="22"/>
          <w:szCs w:val="22"/>
        </w:rPr>
        <w:t xml:space="preserve"> fracción III</w:t>
      </w:r>
      <w:r w:rsidR="00F233BD" w:rsidRPr="00887ACF">
        <w:rPr>
          <w:rFonts w:ascii="Palatino Linotype" w:eastAsia="Palatino Linotype" w:hAnsi="Palatino Linotype" w:cs="Palatino Linotype"/>
          <w:sz w:val="22"/>
          <w:szCs w:val="22"/>
        </w:rPr>
        <w:t xml:space="preserve"> y 27</w:t>
      </w:r>
      <w:r w:rsidRPr="00887ACF">
        <w:rPr>
          <w:rFonts w:ascii="Palatino Linotype" w:eastAsia="Palatino Linotype" w:hAnsi="Palatino Linotype" w:cs="Palatino Linotype"/>
          <w:sz w:val="22"/>
          <w:szCs w:val="22"/>
        </w:rPr>
        <w:t xml:space="preserve"> de la referida normativa señala que la administración operativa del Instituto estará integrada por una subdirección de administración y finanzas; misma que se encarga de llevar el control exacto y preciso de los ingresos y egresos; remitir las comprobaciones que justifiquen su gasto y sus ingresos; y controlar el patrimonio que le fuera asignado; por lo que, </w:t>
      </w:r>
      <w:r w:rsidR="000F3214" w:rsidRPr="00887ACF">
        <w:rPr>
          <w:rFonts w:ascii="Palatino Linotype" w:eastAsia="Palatino Linotype" w:hAnsi="Palatino Linotype" w:cs="Palatino Linotype"/>
          <w:sz w:val="22"/>
          <w:szCs w:val="22"/>
        </w:rPr>
        <w:t xml:space="preserve">se advierte que el </w:t>
      </w:r>
      <w:r w:rsidR="000F3214" w:rsidRPr="00887ACF">
        <w:rPr>
          <w:rFonts w:ascii="Palatino Linotype" w:eastAsia="Palatino Linotype" w:hAnsi="Palatino Linotype" w:cs="Palatino Linotype"/>
          <w:b/>
          <w:sz w:val="22"/>
          <w:szCs w:val="22"/>
        </w:rPr>
        <w:t>Sujeto Obligado</w:t>
      </w:r>
      <w:r w:rsidR="000F3214" w:rsidRPr="00887ACF">
        <w:rPr>
          <w:rFonts w:ascii="Palatino Linotype" w:eastAsia="Palatino Linotype" w:hAnsi="Palatino Linotype" w:cs="Palatino Linotype"/>
          <w:sz w:val="22"/>
          <w:szCs w:val="22"/>
        </w:rPr>
        <w:t xml:space="preserve"> se integra de unidades administrativas que, de conformidad con sus atribuciones y funciones, generan y administran la información solicitada por el ahora </w:t>
      </w:r>
      <w:r w:rsidR="000F3214" w:rsidRPr="00887ACF">
        <w:rPr>
          <w:rFonts w:ascii="Palatino Linotype" w:eastAsia="Palatino Linotype" w:hAnsi="Palatino Linotype" w:cs="Palatino Linotype"/>
          <w:b/>
          <w:sz w:val="22"/>
          <w:szCs w:val="22"/>
        </w:rPr>
        <w:t>Recurrente</w:t>
      </w:r>
      <w:r w:rsidR="000F3214" w:rsidRPr="00887ACF">
        <w:rPr>
          <w:rFonts w:ascii="Palatino Linotype" w:eastAsia="Palatino Linotype" w:hAnsi="Palatino Linotype" w:cs="Palatino Linotype"/>
          <w:sz w:val="22"/>
          <w:szCs w:val="22"/>
        </w:rPr>
        <w:t>.</w:t>
      </w:r>
    </w:p>
    <w:p w14:paraId="596B8AAD"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5BE7D333" w14:textId="54FCEA62" w:rsidR="00F233BD" w:rsidRPr="00887ACF" w:rsidRDefault="00F233BD" w:rsidP="00F233BD">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 este modo se advierte que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no turnó la solicitud de información a la unidad administrativa competente,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79E3BFE" w14:textId="77777777" w:rsidR="00F233BD" w:rsidRPr="00887ACF" w:rsidRDefault="00F233BD" w:rsidP="00F233BD">
      <w:pPr>
        <w:spacing w:line="360" w:lineRule="auto"/>
        <w:ind w:right="49"/>
        <w:jc w:val="both"/>
        <w:rPr>
          <w:rFonts w:ascii="Palatino Linotype" w:eastAsia="Palatino Linotype" w:hAnsi="Palatino Linotype" w:cs="Palatino Linotype"/>
          <w:sz w:val="22"/>
          <w:szCs w:val="22"/>
        </w:rPr>
      </w:pPr>
    </w:p>
    <w:p w14:paraId="3C7071C4" w14:textId="77777777" w:rsidR="00F233BD" w:rsidRPr="00887ACF" w:rsidRDefault="00F233BD" w:rsidP="00F233BD">
      <w:pPr>
        <w:numPr>
          <w:ilvl w:val="0"/>
          <w:numId w:val="13"/>
        </w:num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0C934A9" w14:textId="77777777" w:rsidR="00F233BD" w:rsidRPr="00887ACF" w:rsidRDefault="00F233BD" w:rsidP="00F233BD">
      <w:pPr>
        <w:numPr>
          <w:ilvl w:val="0"/>
          <w:numId w:val="13"/>
        </w:num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01F603AD" w14:textId="77777777" w:rsidR="00F233BD" w:rsidRPr="00887ACF" w:rsidRDefault="00F233BD" w:rsidP="00F233BD">
      <w:pPr>
        <w:spacing w:line="360" w:lineRule="auto"/>
        <w:ind w:right="49"/>
        <w:jc w:val="both"/>
        <w:rPr>
          <w:rFonts w:ascii="Palatino Linotype" w:eastAsia="Palatino Linotype" w:hAnsi="Palatino Linotype" w:cs="Palatino Linotype"/>
          <w:sz w:val="22"/>
          <w:szCs w:val="22"/>
        </w:rPr>
      </w:pPr>
    </w:p>
    <w:p w14:paraId="55F7B3E0" w14:textId="171A6216" w:rsidR="00F233BD" w:rsidRPr="00887ACF" w:rsidRDefault="00F233BD" w:rsidP="00F233BD">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 tal circunstancia, se logra colegir que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no cumplió con el procedimiento de búsqueda establecido en el artículo 162 de la Ley de Transparencia y Acceso a la Información Pública del Estado de México y Municipios, toda vez que la unidad administrativa que emitió respuesta fue la propia Unidad de Transparencia por lo que no cumplió con el establecido en la Ley de la materia. </w:t>
      </w:r>
    </w:p>
    <w:p w14:paraId="1ABC82C7" w14:textId="77777777" w:rsidR="00F233BD" w:rsidRPr="00887ACF" w:rsidRDefault="00F233BD" w:rsidP="00F233BD">
      <w:pPr>
        <w:spacing w:line="360" w:lineRule="auto"/>
        <w:ind w:right="49"/>
        <w:jc w:val="both"/>
        <w:rPr>
          <w:rFonts w:ascii="Palatino Linotype" w:eastAsia="Palatino Linotype" w:hAnsi="Palatino Linotype" w:cs="Palatino Linotype"/>
          <w:sz w:val="22"/>
          <w:szCs w:val="22"/>
        </w:rPr>
      </w:pPr>
    </w:p>
    <w:p w14:paraId="4CF1D413" w14:textId="77777777" w:rsidR="00F233BD" w:rsidRPr="00887ACF" w:rsidRDefault="00F233BD" w:rsidP="00F233BD">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Expuesto lo anterior, se procede al análisis pormenorizado de los requerimientos de información, a efecto de determinar si con la respuesta del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se colmó el derecho a de acceso a la información de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o en su defecto ordenar su entrega. </w:t>
      </w:r>
    </w:p>
    <w:p w14:paraId="50549B09" w14:textId="77777777" w:rsidR="00F233BD" w:rsidRPr="00887ACF" w:rsidRDefault="00F233BD" w:rsidP="00F233BD">
      <w:pPr>
        <w:spacing w:line="360" w:lineRule="auto"/>
        <w:ind w:right="49"/>
        <w:jc w:val="both"/>
        <w:rPr>
          <w:rFonts w:ascii="Palatino Linotype" w:eastAsia="Palatino Linotype" w:hAnsi="Palatino Linotype" w:cs="Palatino Linotype"/>
          <w:sz w:val="22"/>
          <w:szCs w:val="22"/>
        </w:rPr>
      </w:pPr>
    </w:p>
    <w:p w14:paraId="4E4712A2" w14:textId="1182CA4B" w:rsidR="00F233BD" w:rsidRPr="00887ACF" w:rsidRDefault="00F233BD" w:rsidP="00D64E0A">
      <w:pPr>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887ACF">
        <w:rPr>
          <w:rFonts w:ascii="Palatino Linotype" w:eastAsia="Palatino Linotype" w:hAnsi="Palatino Linotype" w:cs="Palatino Linotype"/>
          <w:b/>
          <w:bCs/>
          <w:sz w:val="22"/>
          <w:szCs w:val="22"/>
        </w:rPr>
        <w:t xml:space="preserve">Altas y bajas de servidores públicos </w:t>
      </w:r>
      <w:r w:rsidR="00D64E0A" w:rsidRPr="00887ACF">
        <w:rPr>
          <w:rFonts w:ascii="Palatino Linotype" w:eastAsia="Palatino Linotype" w:hAnsi="Palatino Linotype" w:cs="Palatino Linotype"/>
          <w:b/>
          <w:bCs/>
          <w:sz w:val="22"/>
          <w:szCs w:val="22"/>
        </w:rPr>
        <w:t xml:space="preserve">de nómina u honorarios </w:t>
      </w:r>
      <w:r w:rsidRPr="00887ACF">
        <w:rPr>
          <w:rFonts w:ascii="Palatino Linotype" w:eastAsia="Palatino Linotype" w:hAnsi="Palatino Linotype" w:cs="Palatino Linotype"/>
          <w:b/>
          <w:bCs/>
          <w:sz w:val="22"/>
          <w:szCs w:val="22"/>
        </w:rPr>
        <w:t>realizadas durante enero de 2025, que contenga nombre, cargo</w:t>
      </w:r>
      <w:r w:rsidR="00D64E0A" w:rsidRPr="00887ACF">
        <w:rPr>
          <w:rFonts w:ascii="Palatino Linotype" w:eastAsia="Palatino Linotype" w:hAnsi="Palatino Linotype" w:cs="Palatino Linotype"/>
          <w:b/>
          <w:bCs/>
          <w:sz w:val="22"/>
          <w:szCs w:val="22"/>
        </w:rPr>
        <w:t xml:space="preserve"> y </w:t>
      </w:r>
      <w:r w:rsidRPr="00887ACF">
        <w:rPr>
          <w:rFonts w:ascii="Palatino Linotype" w:eastAsia="Palatino Linotype" w:hAnsi="Palatino Linotype" w:cs="Palatino Linotype"/>
          <w:b/>
          <w:bCs/>
          <w:sz w:val="22"/>
          <w:szCs w:val="22"/>
        </w:rPr>
        <w:t xml:space="preserve">sueldo, </w:t>
      </w:r>
    </w:p>
    <w:p w14:paraId="52DCEA95" w14:textId="4B1D3507" w:rsidR="00F233BD" w:rsidRPr="00887ACF" w:rsidRDefault="00F233BD" w:rsidP="001B076C">
      <w:pPr>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bCs/>
          <w:sz w:val="22"/>
          <w:szCs w:val="22"/>
        </w:rPr>
        <w:t xml:space="preserve">En </w:t>
      </w:r>
      <w:r w:rsidR="00006DE7" w:rsidRPr="00887ACF">
        <w:rPr>
          <w:rFonts w:ascii="Palatino Linotype" w:eastAsia="Palatino Linotype" w:hAnsi="Palatino Linotype" w:cs="Palatino Linotype"/>
          <w:b/>
          <w:bCs/>
          <w:sz w:val="22"/>
          <w:szCs w:val="22"/>
        </w:rPr>
        <w:t xml:space="preserve">el </w:t>
      </w:r>
      <w:r w:rsidRPr="00887ACF">
        <w:rPr>
          <w:rFonts w:ascii="Palatino Linotype" w:eastAsia="Palatino Linotype" w:hAnsi="Palatino Linotype" w:cs="Palatino Linotype"/>
          <w:b/>
          <w:bCs/>
          <w:sz w:val="22"/>
          <w:szCs w:val="22"/>
        </w:rPr>
        <w:t>caso de las altas, nombre, cargo, sueldo neto, categoría, y experiencia administrativa.</w:t>
      </w:r>
    </w:p>
    <w:p w14:paraId="3A8839E4" w14:textId="77777777" w:rsidR="00006DE7" w:rsidRPr="00887ACF" w:rsidRDefault="00006DE7">
      <w:pPr>
        <w:spacing w:line="360" w:lineRule="auto"/>
        <w:jc w:val="both"/>
        <w:rPr>
          <w:rFonts w:ascii="Palatino Linotype" w:eastAsia="Palatino Linotype" w:hAnsi="Palatino Linotype" w:cs="Palatino Linotype"/>
          <w:sz w:val="22"/>
          <w:szCs w:val="22"/>
        </w:rPr>
      </w:pPr>
    </w:p>
    <w:p w14:paraId="6FA81416" w14:textId="6F2F96FF" w:rsidR="00891457" w:rsidRPr="00887ACF" w:rsidRDefault="00F233BD">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Referente a dichos requerimientos</w:t>
      </w:r>
      <w:r w:rsidR="000F3214" w:rsidRPr="00887ACF">
        <w:rPr>
          <w:rFonts w:ascii="Palatino Linotype" w:eastAsia="Palatino Linotype" w:hAnsi="Palatino Linotype" w:cs="Palatino Linotype"/>
          <w:sz w:val="22"/>
          <w:szCs w:val="22"/>
        </w:rPr>
        <w:t>, la Ley del Trabajo de los Servidores Públicos del Estado y Municipios, establece en su artículo 5 que la relación de trabajo entre las instituciones públicas y sus servidores públicos se entiende establecida mediante</w:t>
      </w:r>
      <w:r w:rsidR="000F3214" w:rsidRPr="00887ACF">
        <w:rPr>
          <w:rFonts w:ascii="Palatino Linotype" w:eastAsia="Palatino Linotype" w:hAnsi="Palatino Linotype" w:cs="Palatino Linotype"/>
          <w:b/>
          <w:sz w:val="22"/>
          <w:szCs w:val="22"/>
          <w:u w:val="single"/>
        </w:rPr>
        <w:t xml:space="preserve"> nombramiento, formato único de movimiento de personal, contrato o por cualquier otro acto que tenga </w:t>
      </w:r>
      <w:r w:rsidR="000F3214" w:rsidRPr="00887ACF">
        <w:rPr>
          <w:rFonts w:ascii="Palatino Linotype" w:eastAsia="Palatino Linotype" w:hAnsi="Palatino Linotype" w:cs="Palatino Linotype"/>
          <w:b/>
          <w:sz w:val="22"/>
          <w:szCs w:val="22"/>
          <w:u w:val="single"/>
        </w:rPr>
        <w:lastRenderedPageBreak/>
        <w:t xml:space="preserve">como consecuencia la prestación personal subordinada del servicio y la percepción de un sueldo. </w:t>
      </w:r>
    </w:p>
    <w:p w14:paraId="1E1773E9"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4C680B3"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Del mismo modo, el artículo 45 de ley en comento, establece que los servidores públicos prestarán sus servicios mediante nombramiento, contrato o formato único de Movimientos de Personal expedidos por quien estuviere facultado legalmente para extenderlo.</w:t>
      </w:r>
    </w:p>
    <w:p w14:paraId="4E43F857"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209B0CFB"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otro lado, la Ley de Seguridad Social para los Servidores Públicos del Estado de México y Municipios, establece que:</w:t>
      </w:r>
    </w:p>
    <w:p w14:paraId="774DB7D2"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B91EDCB"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6.-</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i/>
          <w:sz w:val="22"/>
          <w:szCs w:val="22"/>
          <w:u w:val="single"/>
        </w:rPr>
        <w:t xml:space="preserve">Los derechos que otorga la presente ley a los servidores públicos se </w:t>
      </w:r>
      <w:r w:rsidRPr="00887ACF">
        <w:rPr>
          <w:rFonts w:ascii="Palatino Linotype" w:eastAsia="Palatino Linotype" w:hAnsi="Palatino Linotype" w:cs="Palatino Linotype"/>
          <w:b/>
          <w:i/>
          <w:sz w:val="22"/>
          <w:szCs w:val="22"/>
          <w:u w:val="single"/>
        </w:rPr>
        <w:t>generan a partir de su ingreso al servicio independientemente de la fecha en que el Instituto reciba las cuotas y aportaciones establecidas.</w:t>
      </w:r>
      <w:r w:rsidRPr="00887ACF">
        <w:rPr>
          <w:rFonts w:ascii="Palatino Linotype" w:eastAsia="Palatino Linotype" w:hAnsi="Palatino Linotype" w:cs="Palatino Linotype"/>
          <w:i/>
          <w:sz w:val="22"/>
          <w:szCs w:val="22"/>
        </w:rPr>
        <w:t xml:space="preserve"> Las instituciones públicas deberán remitir al Instituto, en un plazo no mayor de 10 días hábiles a partir del ingreso al servicio del servidor público, los datos necesarios para su registro y control.”</w:t>
      </w:r>
    </w:p>
    <w:p w14:paraId="285C845A"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004E3110"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Ahora bien, el artículo 49 de la Ley del Trabajo de los Servidores Públicos del Estado de México y Municipios determina los requisitos para tener por formalizada una relación de trabajo entre el servidor y las entidades públicas, los cuales se enlistan a continuación: </w:t>
      </w:r>
    </w:p>
    <w:p w14:paraId="52BCE769" w14:textId="77777777" w:rsidR="00891457" w:rsidRPr="00887ACF" w:rsidRDefault="00891457">
      <w:pPr>
        <w:spacing w:line="276" w:lineRule="auto"/>
        <w:ind w:left="567" w:right="567"/>
        <w:jc w:val="both"/>
        <w:rPr>
          <w:rFonts w:ascii="Palatino Linotype" w:eastAsia="Palatino Linotype" w:hAnsi="Palatino Linotype" w:cs="Palatino Linotype"/>
          <w:i/>
          <w:sz w:val="22"/>
          <w:szCs w:val="22"/>
        </w:rPr>
      </w:pPr>
    </w:p>
    <w:p w14:paraId="3406949E"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49.-</w:t>
      </w:r>
      <w:r w:rsidRPr="00887ACF">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7B8041B8" w14:textId="77777777" w:rsidR="00891457" w:rsidRPr="00887ACF" w:rsidRDefault="00891457">
      <w:pPr>
        <w:spacing w:line="276" w:lineRule="auto"/>
        <w:ind w:left="851" w:right="567"/>
        <w:jc w:val="both"/>
        <w:rPr>
          <w:rFonts w:ascii="Palatino Linotype" w:eastAsia="Palatino Linotype" w:hAnsi="Palatino Linotype" w:cs="Palatino Linotype"/>
          <w:i/>
          <w:sz w:val="22"/>
          <w:szCs w:val="22"/>
        </w:rPr>
      </w:pPr>
    </w:p>
    <w:p w14:paraId="02662543" w14:textId="77777777" w:rsidR="00891457" w:rsidRPr="00887ACF" w:rsidRDefault="000F3214">
      <w:pPr>
        <w:spacing w:line="276" w:lineRule="auto"/>
        <w:ind w:left="851" w:right="567"/>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 xml:space="preserve">I. Nombre completo del servidor público; </w:t>
      </w:r>
    </w:p>
    <w:p w14:paraId="23B020BB" w14:textId="77777777" w:rsidR="00891457" w:rsidRPr="00887ACF" w:rsidRDefault="000F3214">
      <w:pPr>
        <w:spacing w:line="276" w:lineRule="auto"/>
        <w:ind w:left="851" w:right="567"/>
        <w:jc w:val="both"/>
        <w:rPr>
          <w:rFonts w:ascii="Palatino Linotype" w:eastAsia="Palatino Linotype" w:hAnsi="Palatino Linotype" w:cs="Palatino Linotype"/>
          <w:b/>
          <w:bCs/>
          <w:i/>
          <w:sz w:val="22"/>
          <w:szCs w:val="22"/>
        </w:rPr>
      </w:pPr>
      <w:r w:rsidRPr="00887ACF">
        <w:rPr>
          <w:rFonts w:ascii="Palatino Linotype" w:eastAsia="Palatino Linotype" w:hAnsi="Palatino Linotype" w:cs="Palatino Linotype"/>
          <w:b/>
          <w:i/>
          <w:sz w:val="22"/>
          <w:szCs w:val="22"/>
        </w:rPr>
        <w:t>II. Cargo para el que es designado</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bCs/>
          <w:i/>
          <w:sz w:val="22"/>
          <w:szCs w:val="22"/>
        </w:rPr>
        <w:t xml:space="preserve">fecha de inicio de sus servicios y lugar de adscripción; </w:t>
      </w:r>
    </w:p>
    <w:p w14:paraId="36E471EA"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lastRenderedPageBreak/>
        <w:t xml:space="preserve">III. </w:t>
      </w:r>
      <w:r w:rsidRPr="00887ACF">
        <w:rPr>
          <w:rFonts w:ascii="Palatino Linotype" w:eastAsia="Palatino Linotype" w:hAnsi="Palatino Linotype" w:cs="Palatino Linotype"/>
          <w:b/>
          <w:bCs/>
          <w:i/>
          <w:sz w:val="22"/>
          <w:szCs w:val="22"/>
        </w:rPr>
        <w:t>Carácter del nombramiento, ya sea de servidores públicos generales o de confianza</w:t>
      </w:r>
      <w:r w:rsidRPr="00887ACF">
        <w:rPr>
          <w:rFonts w:ascii="Palatino Linotype" w:eastAsia="Palatino Linotype" w:hAnsi="Palatino Linotype" w:cs="Palatino Linotype"/>
          <w:i/>
          <w:sz w:val="22"/>
          <w:szCs w:val="22"/>
        </w:rPr>
        <w:t xml:space="preserve">, así como la temporalidad del mismo; </w:t>
      </w:r>
    </w:p>
    <w:p w14:paraId="74F2EF87"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IV.</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rPr>
        <w:t>Remuneración correspondiente al puesto</w:t>
      </w:r>
      <w:r w:rsidRPr="00887ACF">
        <w:rPr>
          <w:rFonts w:ascii="Palatino Linotype" w:eastAsia="Palatino Linotype" w:hAnsi="Palatino Linotype" w:cs="Palatino Linotype"/>
          <w:i/>
          <w:sz w:val="22"/>
          <w:szCs w:val="22"/>
        </w:rPr>
        <w:t xml:space="preserve">; </w:t>
      </w:r>
    </w:p>
    <w:p w14:paraId="26DBFFDC" w14:textId="77777777" w:rsidR="00891457" w:rsidRPr="00887ACF" w:rsidRDefault="000F3214">
      <w:pPr>
        <w:spacing w:line="276" w:lineRule="auto"/>
        <w:ind w:left="851" w:right="567"/>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 xml:space="preserve">V. Jornada de trabajo; </w:t>
      </w:r>
    </w:p>
    <w:p w14:paraId="60F37176"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VI. Derogada; </w:t>
      </w:r>
    </w:p>
    <w:p w14:paraId="7654B433"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2A91FDCB" w14:textId="77777777" w:rsidR="00891457" w:rsidRPr="00887ACF" w:rsidRDefault="000F3214">
      <w:pPr>
        <w:spacing w:line="276" w:lineRule="auto"/>
        <w:ind w:left="851" w:right="567"/>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(Énfasis Añadido)</w:t>
      </w:r>
    </w:p>
    <w:p w14:paraId="3DC21290"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94EF288" w14:textId="20D91736"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Como anteriormente se señaló, las relaciones laborales, se tendrán establecidas ya sea por nombramiento, formato único de movimiento de personal, contrato o por cualquier otro acto que tenga como consecuencia la prestación personal subordinada del servicio y la percepción de un sueldo, en el cual se deberá establecer como requisitos mínimos </w:t>
      </w:r>
      <w:r w:rsidRPr="00887ACF">
        <w:rPr>
          <w:rFonts w:ascii="Palatino Linotype" w:eastAsia="Palatino Linotype" w:hAnsi="Palatino Linotype" w:cs="Palatino Linotype"/>
          <w:b/>
          <w:sz w:val="22"/>
          <w:szCs w:val="22"/>
        </w:rPr>
        <w:t>el nombre, cargo,</w:t>
      </w:r>
      <w:r w:rsidR="00F233BD" w:rsidRPr="00887ACF">
        <w:rPr>
          <w:rFonts w:ascii="Palatino Linotype" w:eastAsia="Palatino Linotype" w:hAnsi="Palatino Linotype" w:cs="Palatino Linotype"/>
          <w:b/>
          <w:sz w:val="22"/>
          <w:szCs w:val="22"/>
        </w:rPr>
        <w:t xml:space="preserve"> fecha inicio,</w:t>
      </w:r>
      <w:r w:rsidRPr="00887ACF">
        <w:rPr>
          <w:rFonts w:ascii="Palatino Linotype" w:eastAsia="Palatino Linotype" w:hAnsi="Palatino Linotype" w:cs="Palatino Linotype"/>
          <w:b/>
          <w:sz w:val="22"/>
          <w:szCs w:val="22"/>
        </w:rPr>
        <w:t xml:space="preserve"> lugar de adscripción,</w:t>
      </w:r>
      <w:r w:rsidR="00F233BD" w:rsidRPr="00887ACF">
        <w:rPr>
          <w:rFonts w:ascii="Palatino Linotype" w:eastAsia="Palatino Linotype" w:hAnsi="Palatino Linotype" w:cs="Palatino Linotype"/>
          <w:b/>
          <w:sz w:val="22"/>
          <w:szCs w:val="22"/>
        </w:rPr>
        <w:t xml:space="preserve"> carácter del nombramiento,</w:t>
      </w:r>
      <w:r w:rsidRPr="00887ACF">
        <w:rPr>
          <w:rFonts w:ascii="Palatino Linotype" w:eastAsia="Palatino Linotype" w:hAnsi="Palatino Linotype" w:cs="Palatino Linotype"/>
          <w:b/>
          <w:sz w:val="22"/>
          <w:szCs w:val="22"/>
        </w:rPr>
        <w:t xml:space="preserve"> remuneración correspondiente al puesto y jornada de trabajo</w:t>
      </w:r>
      <w:r w:rsidRPr="00887ACF">
        <w:rPr>
          <w:rFonts w:ascii="Palatino Linotype" w:eastAsia="Palatino Linotype" w:hAnsi="Palatino Linotype" w:cs="Palatino Linotype"/>
          <w:sz w:val="22"/>
          <w:szCs w:val="22"/>
        </w:rPr>
        <w:t xml:space="preserve">, información que permite dar cuenta en efecto, del alta del servidor público dentro de la institución pública con motivo de la prestación de sus servicios. </w:t>
      </w:r>
    </w:p>
    <w:p w14:paraId="44BB2B8A"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B8228B2"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Por el contrario, cuando se actualiza algún supuesto previsto en los artículos 88 y 92 de la Ley de Trabajo que causen la terminación o rescisión de la relación laboral con las instituciones públicas, como: </w:t>
      </w:r>
    </w:p>
    <w:p w14:paraId="2B600D28"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EE57EDE"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89.</w:t>
      </w:r>
      <w:r w:rsidRPr="00887ACF">
        <w:rPr>
          <w:rFonts w:ascii="Palatino Linotype" w:eastAsia="Palatino Linotype" w:hAnsi="Palatino Linotype" w:cs="Palatino Linotype"/>
          <w:i/>
          <w:sz w:val="22"/>
          <w:szCs w:val="22"/>
        </w:rPr>
        <w:t xml:space="preserve"> Son </w:t>
      </w:r>
      <w:r w:rsidRPr="00887ACF">
        <w:rPr>
          <w:rFonts w:ascii="Palatino Linotype" w:eastAsia="Palatino Linotype" w:hAnsi="Palatino Linotype" w:cs="Palatino Linotype"/>
          <w:b/>
          <w:i/>
          <w:sz w:val="22"/>
          <w:szCs w:val="22"/>
        </w:rPr>
        <w:t>causas de terminación de la relación laboral</w:t>
      </w:r>
      <w:r w:rsidRPr="00887ACF">
        <w:rPr>
          <w:rFonts w:ascii="Palatino Linotype" w:eastAsia="Palatino Linotype" w:hAnsi="Palatino Linotype" w:cs="Palatino Linotype"/>
          <w:i/>
          <w:sz w:val="22"/>
          <w:szCs w:val="22"/>
        </w:rPr>
        <w:t xml:space="preserve"> sin responsabilidad para las instituciones públicas: </w:t>
      </w:r>
    </w:p>
    <w:p w14:paraId="6540BB20"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I. La renuncia del servidor público; </w:t>
      </w:r>
    </w:p>
    <w:p w14:paraId="7F57A877"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II. El mutuo consentimiento de las partes; </w:t>
      </w:r>
    </w:p>
    <w:p w14:paraId="60E6E85F"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lastRenderedPageBreak/>
        <w:t xml:space="preserve">III. El vencimiento del término o conclusión de la obra determinantes de la contratación; </w:t>
      </w:r>
    </w:p>
    <w:p w14:paraId="156D6A31"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IV. El término o conclusión de la administración en la cual fue contratado el servidor público a que se refiere el artículo 8 de ésta Ley; </w:t>
      </w:r>
    </w:p>
    <w:p w14:paraId="218F9FF0"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 La muerte del servidor público; y</w:t>
      </w:r>
    </w:p>
    <w:p w14:paraId="1DF76E44" w14:textId="77777777" w:rsidR="00891457" w:rsidRPr="00887ACF" w:rsidRDefault="000F3214">
      <w:pPr>
        <w:spacing w:line="276" w:lineRule="auto"/>
        <w:ind w:left="851" w:right="90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VI. La incapacidad permanente del servidor público que le impida el desempeño de sus labores.</w:t>
      </w:r>
    </w:p>
    <w:p w14:paraId="384DE365" w14:textId="77777777" w:rsidR="00891457" w:rsidRPr="00887ACF" w:rsidRDefault="00891457">
      <w:pPr>
        <w:spacing w:line="276" w:lineRule="auto"/>
        <w:ind w:left="851" w:right="901"/>
        <w:jc w:val="both"/>
        <w:rPr>
          <w:rFonts w:ascii="Palatino Linotype" w:eastAsia="Palatino Linotype" w:hAnsi="Palatino Linotype" w:cs="Palatino Linotype"/>
          <w:i/>
          <w:sz w:val="22"/>
          <w:szCs w:val="22"/>
        </w:rPr>
      </w:pPr>
    </w:p>
    <w:p w14:paraId="1F19787A" w14:textId="77777777" w:rsidR="00891457" w:rsidRPr="00887ACF" w:rsidRDefault="000F3214">
      <w:pPr>
        <w:spacing w:line="276" w:lineRule="auto"/>
        <w:ind w:left="851" w:right="901"/>
        <w:jc w:val="center"/>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CAPITULO IX</w:t>
      </w:r>
    </w:p>
    <w:p w14:paraId="2F2FB18B" w14:textId="77777777" w:rsidR="00891457" w:rsidRPr="00887ACF" w:rsidRDefault="000F3214">
      <w:pPr>
        <w:spacing w:line="276" w:lineRule="auto"/>
        <w:ind w:left="851" w:right="901"/>
        <w:jc w:val="center"/>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De la Rescisión de la Relación Laboral</w:t>
      </w:r>
    </w:p>
    <w:p w14:paraId="53BAF770" w14:textId="77777777" w:rsidR="00891457" w:rsidRPr="00887ACF" w:rsidRDefault="000F3214">
      <w:pPr>
        <w:spacing w:line="276" w:lineRule="auto"/>
        <w:ind w:left="851" w:right="901"/>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 xml:space="preserve">ARTÍCULO 92. </w:t>
      </w:r>
      <w:r w:rsidRPr="00887ACF">
        <w:rPr>
          <w:rFonts w:ascii="Palatino Linotype" w:eastAsia="Palatino Linotype" w:hAnsi="Palatino Linotype" w:cs="Palatino Linotype"/>
          <w:i/>
          <w:sz w:val="22"/>
          <w:szCs w:val="22"/>
        </w:rPr>
        <w:t xml:space="preserve">El servidor público o la institución pública podrán rescindir en cualquier tiempo, </w:t>
      </w:r>
      <w:r w:rsidRPr="00887ACF">
        <w:rPr>
          <w:rFonts w:ascii="Palatino Linotype" w:eastAsia="Palatino Linotype" w:hAnsi="Palatino Linotype" w:cs="Palatino Linotype"/>
          <w:b/>
          <w:i/>
          <w:sz w:val="22"/>
          <w:szCs w:val="22"/>
        </w:rPr>
        <w:t>por causa justificada, la relación laboral.</w:t>
      </w:r>
      <w:r w:rsidRPr="00887ACF">
        <w:rPr>
          <w:rFonts w:ascii="Palatino Linotype" w:eastAsia="Palatino Linotype" w:hAnsi="Palatino Linotype" w:cs="Palatino Linotype"/>
          <w:i/>
          <w:sz w:val="22"/>
          <w:szCs w:val="22"/>
        </w:rPr>
        <w:t>”</w:t>
      </w:r>
    </w:p>
    <w:p w14:paraId="46B36AA4"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6C0EDF15"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La institución pública debe dar aviso por escrito al servidor público las causas de la rescisión de la relación laboral, tal como lo refiere el artículo 94 de la multicitada Ley de Trabajo Local, el cual se inserta a continuación: </w:t>
      </w:r>
    </w:p>
    <w:p w14:paraId="119109BD" w14:textId="77777777" w:rsidR="00891457" w:rsidRPr="00887ACF" w:rsidRDefault="00891457">
      <w:pPr>
        <w:spacing w:line="360" w:lineRule="auto"/>
        <w:ind w:right="901"/>
        <w:jc w:val="both"/>
        <w:rPr>
          <w:rFonts w:ascii="Palatino Linotype" w:eastAsia="Palatino Linotype" w:hAnsi="Palatino Linotype" w:cs="Palatino Linotype"/>
          <w:b/>
          <w:i/>
          <w:sz w:val="22"/>
          <w:szCs w:val="22"/>
        </w:rPr>
      </w:pPr>
    </w:p>
    <w:p w14:paraId="042F5ABA" w14:textId="77777777" w:rsidR="00891457" w:rsidRPr="00887ACF" w:rsidRDefault="000F3214">
      <w:pPr>
        <w:spacing w:line="276" w:lineRule="auto"/>
        <w:ind w:left="851" w:right="901"/>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94.</w:t>
      </w:r>
      <w:r w:rsidRPr="00887ACF">
        <w:rPr>
          <w:rFonts w:ascii="Palatino Linotype" w:eastAsia="Palatino Linotype" w:hAnsi="Palatino Linotype" w:cs="Palatino Linotype"/>
          <w:i/>
          <w:sz w:val="22"/>
          <w:szCs w:val="22"/>
        </w:rPr>
        <w:t xml:space="preserve"> La institución pública deberá dar aviso por escrito al servidor público de manera personal, de la fecha y causa o causas de la rescisión de la relación laboral.” (Sic)</w:t>
      </w:r>
    </w:p>
    <w:p w14:paraId="27B8347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039D6C46" w14:textId="77777777" w:rsidR="00B22553" w:rsidRPr="00887ACF" w:rsidRDefault="000F3214" w:rsidP="00B22553">
      <w:pPr>
        <w:tabs>
          <w:tab w:val="left" w:pos="3390"/>
        </w:tabs>
        <w:spacing w:line="360" w:lineRule="auto"/>
        <w:jc w:val="both"/>
        <w:rPr>
          <w:rFonts w:ascii="Palatino Linotype" w:eastAsia="Palatino Linotype" w:hAnsi="Palatino Linotype" w:cs="Palatino Linotype"/>
          <w:b/>
          <w:sz w:val="22"/>
          <w:szCs w:val="22"/>
          <w:u w:val="single"/>
        </w:rPr>
      </w:pPr>
      <w:r w:rsidRPr="00887ACF">
        <w:rPr>
          <w:rFonts w:ascii="Palatino Linotype" w:eastAsia="Palatino Linotype" w:hAnsi="Palatino Linotype" w:cs="Palatino Linotype"/>
          <w:sz w:val="22"/>
          <w:szCs w:val="22"/>
        </w:rPr>
        <w:t xml:space="preserve">En ese sentido, se desprende que la relación de trabajo entre las instituciones públicas y sus servidores públicos se establece ya sea por nombramiento, contrato o formato único de movimientos de personal, y esta termina cuando se actualice alguna causal establecida en el ordenamiento en cita, es decir, en el caso que ahora nos ocupa, se </w:t>
      </w:r>
      <w:r w:rsidRPr="00887ACF">
        <w:rPr>
          <w:rFonts w:ascii="Palatino Linotype" w:eastAsia="Palatino Linotype" w:hAnsi="Palatino Linotype" w:cs="Palatino Linotype"/>
          <w:b/>
          <w:sz w:val="22"/>
          <w:szCs w:val="22"/>
          <w:u w:val="single"/>
        </w:rPr>
        <w:t xml:space="preserve">entiende como alta en el servicio público, a aquel acto administrativo que supone el inicio de una relación jurídica de trabajo, y por el contrario, se entiende como baja a aquel acto que da por terminada dicha relación. </w:t>
      </w:r>
    </w:p>
    <w:p w14:paraId="06EF5382" w14:textId="77777777" w:rsidR="00B22553" w:rsidRPr="00887ACF" w:rsidRDefault="00B22553" w:rsidP="00B22553">
      <w:pPr>
        <w:tabs>
          <w:tab w:val="left" w:pos="3390"/>
        </w:tabs>
        <w:spacing w:line="360" w:lineRule="auto"/>
        <w:jc w:val="both"/>
        <w:rPr>
          <w:rFonts w:ascii="Palatino Linotype" w:eastAsia="Palatino Linotype" w:hAnsi="Palatino Linotype" w:cs="Palatino Linotype"/>
          <w:b/>
          <w:sz w:val="22"/>
          <w:szCs w:val="22"/>
          <w:u w:val="single"/>
        </w:rPr>
      </w:pPr>
    </w:p>
    <w:p w14:paraId="362DEADB" w14:textId="63665924" w:rsidR="00B22553" w:rsidRPr="00887ACF" w:rsidRDefault="00B22553" w:rsidP="00B22553">
      <w:pPr>
        <w:tabs>
          <w:tab w:val="left" w:pos="3390"/>
        </w:tabs>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Una vez señalado lo anterior, en lo que respecta a las altas y bajas del personal de enero 2025,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remitió el listado que contiene las altas realizadas en el mes de enero del dos mil veinticinco, del que se advierte nombre completo, cargo, si cuenta con experiencia administrativa y sueldo neto, como se ilustra a continuación para mejor referencia:</w:t>
      </w:r>
    </w:p>
    <w:p w14:paraId="7234CEFF" w14:textId="01F51CAC" w:rsidR="00B22553" w:rsidRPr="00887ACF" w:rsidRDefault="00B22553" w:rsidP="00B22553">
      <w:pPr>
        <w:spacing w:line="360" w:lineRule="auto"/>
        <w:jc w:val="center"/>
        <w:rPr>
          <w:rFonts w:ascii="Palatino Linotype" w:eastAsia="Palatino Linotype" w:hAnsi="Palatino Linotype" w:cs="Palatino Linotype"/>
          <w:sz w:val="22"/>
          <w:szCs w:val="22"/>
        </w:rPr>
      </w:pPr>
      <w:r w:rsidRPr="00887ACF">
        <w:rPr>
          <w:rFonts w:ascii="Palatino Linotype" w:eastAsia="Palatino Linotype" w:hAnsi="Palatino Linotype" w:cs="Palatino Linotype"/>
          <w:noProof/>
          <w:sz w:val="22"/>
          <w:szCs w:val="22"/>
          <w:lang w:val="es-MX" w:eastAsia="es-MX"/>
        </w:rPr>
        <w:drawing>
          <wp:inline distT="0" distB="0" distL="0" distR="0" wp14:anchorId="3359A579" wp14:editId="4E7AFD53">
            <wp:extent cx="4695825" cy="3050852"/>
            <wp:effectExtent l="0" t="0" r="0" b="0"/>
            <wp:docPr id="98904354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43541" name="Imagen 1" descr="Tabla&#10;&#10;El contenido generado por IA puede ser incorrecto."/>
                    <pic:cNvPicPr/>
                  </pic:nvPicPr>
                  <pic:blipFill>
                    <a:blip r:embed="rId9"/>
                    <a:stretch>
                      <a:fillRect/>
                    </a:stretch>
                  </pic:blipFill>
                  <pic:spPr>
                    <a:xfrm>
                      <a:off x="0" y="0"/>
                      <a:ext cx="4719856" cy="3066465"/>
                    </a:xfrm>
                    <a:prstGeom prst="rect">
                      <a:avLst/>
                    </a:prstGeom>
                  </pic:spPr>
                </pic:pic>
              </a:graphicData>
            </a:graphic>
          </wp:inline>
        </w:drawing>
      </w:r>
    </w:p>
    <w:p w14:paraId="291DB851" w14:textId="1EE53053" w:rsidR="00012143" w:rsidRPr="00887ACF" w:rsidRDefault="00006DE7" w:rsidP="000121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 la imagen insertada s</w:t>
      </w:r>
      <w:r w:rsidR="00B22553" w:rsidRPr="00887ACF">
        <w:rPr>
          <w:rFonts w:ascii="Palatino Linotype" w:eastAsia="Palatino Linotype" w:hAnsi="Palatino Linotype" w:cs="Palatino Linotype"/>
          <w:sz w:val="22"/>
          <w:szCs w:val="22"/>
        </w:rPr>
        <w:t xml:space="preserve">e advierte </w:t>
      </w:r>
      <w:r w:rsidRPr="00887ACF">
        <w:rPr>
          <w:rFonts w:ascii="Palatino Linotype" w:eastAsia="Palatino Linotype" w:hAnsi="Palatino Linotype" w:cs="Palatino Linotype"/>
          <w:sz w:val="22"/>
          <w:szCs w:val="22"/>
        </w:rPr>
        <w:t xml:space="preserve">que </w:t>
      </w:r>
      <w:r w:rsidR="00B22553" w:rsidRPr="00887ACF">
        <w:rPr>
          <w:rFonts w:ascii="Palatino Linotype" w:eastAsia="Palatino Linotype" w:hAnsi="Palatino Linotype" w:cs="Palatino Linotype"/>
          <w:sz w:val="22"/>
          <w:szCs w:val="22"/>
        </w:rPr>
        <w:t xml:space="preserve">si bien es cierto </w:t>
      </w:r>
      <w:r w:rsidR="00B22553" w:rsidRPr="00887ACF">
        <w:rPr>
          <w:rFonts w:ascii="Palatino Linotype" w:eastAsia="Palatino Linotype" w:hAnsi="Palatino Linotype" w:cs="Palatino Linotype"/>
          <w:b/>
          <w:bCs/>
          <w:sz w:val="22"/>
          <w:szCs w:val="22"/>
        </w:rPr>
        <w:t>el Sujeto Obligado</w:t>
      </w:r>
      <w:r w:rsidR="00B22553" w:rsidRPr="00887ACF">
        <w:rPr>
          <w:rFonts w:ascii="Palatino Linotype" w:eastAsia="Palatino Linotype" w:hAnsi="Palatino Linotype" w:cs="Palatino Linotype"/>
          <w:sz w:val="22"/>
          <w:szCs w:val="22"/>
        </w:rPr>
        <w:t xml:space="preserve"> hizo entrega del listado del personal dado de alta en el Instituto en el mes de enero de dos mil veinticinco</w:t>
      </w:r>
      <w:r w:rsidR="002F526A" w:rsidRPr="00887ACF">
        <w:rPr>
          <w:rFonts w:ascii="Palatino Linotype" w:eastAsia="Palatino Linotype" w:hAnsi="Palatino Linotype" w:cs="Palatino Linotype"/>
          <w:sz w:val="22"/>
          <w:szCs w:val="22"/>
        </w:rPr>
        <w:t>, también lo es que fue omiso en informar el personal dado de baja durante dicha temporalidad</w:t>
      </w:r>
      <w:r w:rsidR="00FF4B59" w:rsidRPr="00887ACF">
        <w:rPr>
          <w:rFonts w:ascii="Palatino Linotype" w:eastAsia="Palatino Linotype" w:hAnsi="Palatino Linotype" w:cs="Palatino Linotype"/>
          <w:sz w:val="22"/>
          <w:szCs w:val="22"/>
        </w:rPr>
        <w:t>, no obstante</w:t>
      </w:r>
      <w:r w:rsidR="00012143" w:rsidRPr="00887ACF">
        <w:rPr>
          <w:rFonts w:ascii="Palatino Linotype" w:eastAsia="Palatino Linotype" w:hAnsi="Palatino Linotype" w:cs="Palatino Linotype"/>
          <w:sz w:val="22"/>
          <w:szCs w:val="22"/>
        </w:rPr>
        <w:t xml:space="preserve">; como ya se precisó en párrafos anteriores el Formato Único de Movimientos de Personal es el documento oficial en el que se formaliza la relación laboral entre el </w:t>
      </w:r>
      <w:r w:rsidR="00FF4B59" w:rsidRPr="00887ACF">
        <w:rPr>
          <w:rFonts w:ascii="Palatino Linotype" w:eastAsia="Palatino Linotype" w:hAnsi="Palatino Linotype" w:cs="Palatino Linotype"/>
          <w:sz w:val="22"/>
          <w:szCs w:val="22"/>
        </w:rPr>
        <w:t>Sujeto Obligado</w:t>
      </w:r>
      <w:r w:rsidR="00012143" w:rsidRPr="00887ACF">
        <w:rPr>
          <w:rFonts w:ascii="Palatino Linotype" w:eastAsia="Palatino Linotype" w:hAnsi="Palatino Linotype" w:cs="Palatino Linotype"/>
          <w:sz w:val="22"/>
          <w:szCs w:val="22"/>
        </w:rPr>
        <w:t xml:space="preserve"> y los servidores públicos; así como el término de la misma, por lo </w:t>
      </w:r>
      <w:r w:rsidR="00012143" w:rsidRPr="00887ACF">
        <w:rPr>
          <w:rFonts w:ascii="Palatino Linotype" w:eastAsia="Palatino Linotype" w:hAnsi="Palatino Linotype" w:cs="Palatino Linotype"/>
          <w:sz w:val="22"/>
          <w:szCs w:val="22"/>
        </w:rPr>
        <w:lastRenderedPageBreak/>
        <w:t>que</w:t>
      </w:r>
      <w:r w:rsidR="00FF4B59" w:rsidRPr="00887ACF">
        <w:rPr>
          <w:rFonts w:ascii="Palatino Linotype" w:eastAsia="Palatino Linotype" w:hAnsi="Palatino Linotype" w:cs="Palatino Linotype"/>
          <w:sz w:val="22"/>
          <w:szCs w:val="22"/>
        </w:rPr>
        <w:t xml:space="preserve"> es el documento que de manera enunciativa más no limitativa puede dar cuenta de las altas y bajas realizadas durante el mes de enero del presente año. </w:t>
      </w:r>
    </w:p>
    <w:p w14:paraId="7434BB56" w14:textId="3DC066C4" w:rsidR="00012143" w:rsidRPr="00887ACF" w:rsidRDefault="00006DE7" w:rsidP="000121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 modo que si bien existe</w:t>
      </w:r>
      <w:r w:rsidR="00012143" w:rsidRPr="00887ACF">
        <w:rPr>
          <w:rFonts w:ascii="Palatino Linotype" w:eastAsia="Palatino Linotype" w:hAnsi="Palatino Linotype" w:cs="Palatino Linotype"/>
          <w:sz w:val="22"/>
          <w:szCs w:val="22"/>
        </w:rPr>
        <w:t xml:space="preserve"> un pronunciamiento por parte de</w:t>
      </w:r>
      <w:r w:rsidR="00FF4B59" w:rsidRPr="00887ACF">
        <w:rPr>
          <w:rFonts w:ascii="Palatino Linotype" w:eastAsia="Palatino Linotype" w:hAnsi="Palatino Linotype" w:cs="Palatino Linotype"/>
          <w:sz w:val="22"/>
          <w:szCs w:val="22"/>
        </w:rPr>
        <w:t>l</w:t>
      </w:r>
      <w:r w:rsidR="00FF4B59" w:rsidRPr="00887ACF">
        <w:rPr>
          <w:rFonts w:ascii="Palatino Linotype" w:eastAsia="Palatino Linotype" w:hAnsi="Palatino Linotype" w:cs="Palatino Linotype"/>
          <w:b/>
          <w:sz w:val="22"/>
          <w:szCs w:val="22"/>
        </w:rPr>
        <w:t xml:space="preserve"> Sujeto Obligado</w:t>
      </w:r>
      <w:r w:rsidR="00FF4B59"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sz w:val="22"/>
          <w:szCs w:val="22"/>
        </w:rPr>
        <w:t>también lo es que, este</w:t>
      </w:r>
      <w:r w:rsidR="00012143" w:rsidRPr="00887ACF">
        <w:rPr>
          <w:rFonts w:ascii="Palatino Linotype" w:eastAsia="Palatino Linotype" w:hAnsi="Palatino Linotype" w:cs="Palatino Linotype"/>
          <w:sz w:val="22"/>
          <w:szCs w:val="22"/>
        </w:rPr>
        <w:t xml:space="preserve"> no atendió el principio de congruencia y exhaustividad, el cual de acuerdo con el Criterio orientador 02/2017 emitido por el entonces Instituto Nacional de Transparencia, Acceso a la Información y Protección de Datos Personales se establece que: </w:t>
      </w:r>
    </w:p>
    <w:p w14:paraId="7B541517" w14:textId="77777777" w:rsidR="00012143" w:rsidRPr="00887ACF" w:rsidRDefault="00012143" w:rsidP="00FF4B5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87ACF">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661B1B0" w14:textId="3D08BB41" w:rsidR="00012143" w:rsidRPr="00887ACF" w:rsidRDefault="00012143" w:rsidP="000121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887ACF">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887ACF">
        <w:rPr>
          <w:rFonts w:ascii="Palatino Linotype" w:eastAsia="Palatino Linotype" w:hAnsi="Palatino Linotype" w:cs="Palatino Linotype"/>
          <w:sz w:val="22"/>
          <w:szCs w:val="22"/>
        </w:rPr>
        <w:t xml:space="preserve">, mientras que la exhaustividad establece que el sujeto obligado </w:t>
      </w:r>
      <w:r w:rsidRPr="00887ACF">
        <w:rPr>
          <w:rFonts w:ascii="Palatino Linotype" w:eastAsia="Palatino Linotype" w:hAnsi="Palatino Linotype" w:cs="Palatino Linotype"/>
          <w:b/>
          <w:sz w:val="22"/>
          <w:szCs w:val="22"/>
        </w:rPr>
        <w:t>deberá atender de manera expresa cada uno de los puntos solicitados</w:t>
      </w:r>
      <w:r w:rsidRPr="00887ACF">
        <w:rPr>
          <w:rFonts w:ascii="Palatino Linotype" w:eastAsia="Palatino Linotype" w:hAnsi="Palatino Linotype" w:cs="Palatino Linotype"/>
          <w:sz w:val="22"/>
          <w:szCs w:val="22"/>
        </w:rPr>
        <w:t xml:space="preserve">, situación que en el presente caso </w:t>
      </w:r>
      <w:r w:rsidRPr="00887ACF">
        <w:rPr>
          <w:rFonts w:ascii="Palatino Linotype" w:eastAsia="Palatino Linotype" w:hAnsi="Palatino Linotype" w:cs="Palatino Linotype"/>
          <w:b/>
          <w:sz w:val="22"/>
          <w:szCs w:val="22"/>
          <w:u w:val="single"/>
        </w:rPr>
        <w:t>no aconteció</w:t>
      </w:r>
      <w:r w:rsidRPr="00887ACF">
        <w:rPr>
          <w:rFonts w:ascii="Palatino Linotype" w:eastAsia="Palatino Linotype" w:hAnsi="Palatino Linotype" w:cs="Palatino Linotype"/>
          <w:sz w:val="22"/>
          <w:szCs w:val="22"/>
        </w:rPr>
        <w:t xml:space="preserve">, pues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se limitó a señalar en respuesta </w:t>
      </w:r>
      <w:r w:rsidR="00FF4B59" w:rsidRPr="00887ACF">
        <w:rPr>
          <w:rFonts w:ascii="Palatino Linotype" w:eastAsia="Palatino Linotype" w:hAnsi="Palatino Linotype" w:cs="Palatino Linotype"/>
          <w:sz w:val="22"/>
          <w:szCs w:val="22"/>
        </w:rPr>
        <w:t>la entrega de</w:t>
      </w:r>
      <w:r w:rsidR="003E4308" w:rsidRPr="00887ACF">
        <w:rPr>
          <w:rFonts w:ascii="Palatino Linotype" w:eastAsia="Palatino Linotype" w:hAnsi="Palatino Linotype" w:cs="Palatino Linotype"/>
          <w:sz w:val="22"/>
          <w:szCs w:val="22"/>
        </w:rPr>
        <w:t xml:space="preserve"> la relación de altas del mes de enero </w:t>
      </w:r>
      <w:r w:rsidR="003E4308" w:rsidRPr="00887ACF">
        <w:rPr>
          <w:rFonts w:ascii="Palatino Linotype" w:eastAsia="Palatino Linotype" w:hAnsi="Palatino Linotype" w:cs="Palatino Linotype"/>
          <w:sz w:val="22"/>
          <w:szCs w:val="22"/>
        </w:rPr>
        <w:lastRenderedPageBreak/>
        <w:t xml:space="preserve">con nombre, cargo, experiencia administrativa y sueldo neto, sin que se advierta algún pronunciamiento, respecto a las bajas </w:t>
      </w:r>
      <w:r w:rsidR="00683B84" w:rsidRPr="00887ACF">
        <w:rPr>
          <w:rFonts w:ascii="Palatino Linotype" w:eastAsia="Palatino Linotype" w:hAnsi="Palatino Linotype" w:cs="Palatino Linotype"/>
          <w:sz w:val="22"/>
          <w:szCs w:val="22"/>
        </w:rPr>
        <w:t xml:space="preserve">de los servidores públicos de nómina u honorarios </w:t>
      </w:r>
      <w:r w:rsidR="003E4308" w:rsidRPr="00887ACF">
        <w:rPr>
          <w:rFonts w:ascii="Palatino Linotype" w:eastAsia="Palatino Linotype" w:hAnsi="Palatino Linotype" w:cs="Palatino Linotype"/>
          <w:sz w:val="22"/>
          <w:szCs w:val="22"/>
        </w:rPr>
        <w:t>realizadas durante dicha temporalidad</w:t>
      </w:r>
      <w:r w:rsidR="00C721EA" w:rsidRPr="00887ACF">
        <w:rPr>
          <w:rFonts w:ascii="Palatino Linotype" w:eastAsia="Palatino Linotype" w:hAnsi="Palatino Linotype" w:cs="Palatino Linotype"/>
          <w:sz w:val="22"/>
          <w:szCs w:val="22"/>
        </w:rPr>
        <w:t>, mismas de las que se advierta nombre, cargo</w:t>
      </w:r>
      <w:r w:rsidR="00683B84" w:rsidRPr="00887ACF">
        <w:rPr>
          <w:rFonts w:ascii="Palatino Linotype" w:eastAsia="Palatino Linotype" w:hAnsi="Palatino Linotype" w:cs="Palatino Linotype"/>
          <w:sz w:val="22"/>
          <w:szCs w:val="22"/>
        </w:rPr>
        <w:t xml:space="preserve"> y</w:t>
      </w:r>
      <w:r w:rsidR="00C721EA" w:rsidRPr="00887ACF">
        <w:rPr>
          <w:rFonts w:ascii="Palatino Linotype" w:eastAsia="Palatino Linotype" w:hAnsi="Palatino Linotype" w:cs="Palatino Linotype"/>
          <w:sz w:val="22"/>
          <w:szCs w:val="22"/>
        </w:rPr>
        <w:t xml:space="preserve"> sueldo</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por lo que, la unidad administrativa competente </w:t>
      </w:r>
      <w:r w:rsidR="003E4308" w:rsidRPr="00887ACF">
        <w:rPr>
          <w:rFonts w:ascii="Palatino Linotype" w:eastAsia="Palatino Linotype" w:hAnsi="Palatino Linotype" w:cs="Palatino Linotype"/>
          <w:sz w:val="22"/>
          <w:szCs w:val="22"/>
        </w:rPr>
        <w:t xml:space="preserve">deberá </w:t>
      </w:r>
      <w:r w:rsidRPr="00887ACF">
        <w:rPr>
          <w:rFonts w:ascii="Palatino Linotype" w:eastAsia="Palatino Linotype" w:hAnsi="Palatino Linotype" w:cs="Palatino Linotype"/>
          <w:sz w:val="22"/>
          <w:szCs w:val="22"/>
        </w:rPr>
        <w:t xml:space="preserve">realizar una búsqueda exhaustiva y razonable, con la finalidad de proporcionar cabalmente la información solicitada. </w:t>
      </w:r>
    </w:p>
    <w:p w14:paraId="6D3F730F" w14:textId="5F0864DD" w:rsidR="00B22553" w:rsidRPr="00887ACF" w:rsidRDefault="002F526A" w:rsidP="003E430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Ahora bien, respecto a las Altas referidas en respuesta se advierte únicamente que informó nombre, cargo y sueldo neto, omitiendo la categoría y experiencia administrativa</w:t>
      </w:r>
      <w:r w:rsidR="00006DE7" w:rsidRPr="00887ACF">
        <w:rPr>
          <w:rFonts w:ascii="Palatino Linotype" w:eastAsia="Palatino Linotype" w:hAnsi="Palatino Linotype" w:cs="Palatino Linotype"/>
          <w:sz w:val="22"/>
          <w:szCs w:val="22"/>
        </w:rPr>
        <w:t>.</w:t>
      </w:r>
      <w:r w:rsidR="003E4308" w:rsidRPr="00887ACF">
        <w:rPr>
          <w:rFonts w:ascii="Palatino Linotype" w:eastAsia="Palatino Linotype" w:hAnsi="Palatino Linotype" w:cs="Palatino Linotype"/>
          <w:sz w:val="22"/>
          <w:szCs w:val="22"/>
        </w:rPr>
        <w:t xml:space="preserve"> </w:t>
      </w:r>
    </w:p>
    <w:p w14:paraId="13F21C5C" w14:textId="3EF0A633" w:rsidR="003E4308" w:rsidRPr="00887ACF" w:rsidRDefault="003E4308" w:rsidP="003E4308">
      <w:pPr>
        <w:spacing w:line="360" w:lineRule="auto"/>
        <w:jc w:val="both"/>
        <w:rPr>
          <w:rFonts w:ascii="Palatino Linotype" w:eastAsia="Palatino Linotype" w:hAnsi="Palatino Linotype" w:cs="Palatino Linotype"/>
          <w:b/>
          <w:sz w:val="22"/>
          <w:szCs w:val="22"/>
        </w:rPr>
      </w:pPr>
      <w:r w:rsidRPr="00887ACF">
        <w:rPr>
          <w:rFonts w:ascii="Palatino Linotype" w:eastAsia="Palatino Linotype" w:hAnsi="Palatino Linotype" w:cs="Palatino Linotype"/>
          <w:sz w:val="22"/>
          <w:szCs w:val="22"/>
        </w:rPr>
        <w:t xml:space="preserve">Precisado lo anterior, </w:t>
      </w:r>
      <w:r w:rsidRPr="00887ACF">
        <w:rPr>
          <w:rFonts w:ascii="Palatino Linotype" w:eastAsia="Palatino Linotype" w:hAnsi="Palatino Linotype" w:cs="Palatino Linotype"/>
          <w:b/>
          <w:sz w:val="22"/>
          <w:szCs w:val="22"/>
        </w:rPr>
        <w:t>sobre la experiencia administrativa</w:t>
      </w:r>
      <w:r w:rsidRPr="00887ACF">
        <w:rPr>
          <w:rFonts w:ascii="Palatino Linotype" w:eastAsia="Palatino Linotype" w:hAnsi="Palatino Linotype" w:cs="Palatino Linotype"/>
          <w:sz w:val="22"/>
          <w:szCs w:val="22"/>
        </w:rPr>
        <w:t>, conviene mencionar que esta es la práctica adquirida con el ejercicio de cualquier empleo, ocupación, arte u oficio; en otras palabras, es el conjunto de aptitudes y conocimientos adquiridos por ocupar un puesto laboral, en el presente caso, en un cargo dentro de la administración pública o particular.</w:t>
      </w:r>
    </w:p>
    <w:p w14:paraId="4A36C465" w14:textId="77777777" w:rsidR="003E4308" w:rsidRPr="00887ACF" w:rsidRDefault="003E4308" w:rsidP="003E4308">
      <w:pPr>
        <w:spacing w:line="360" w:lineRule="auto"/>
        <w:jc w:val="both"/>
        <w:rPr>
          <w:rFonts w:ascii="Palatino Linotype" w:eastAsia="Palatino Linotype" w:hAnsi="Palatino Linotype" w:cs="Palatino Linotype"/>
          <w:b/>
          <w:sz w:val="22"/>
          <w:szCs w:val="22"/>
        </w:rPr>
      </w:pPr>
    </w:p>
    <w:p w14:paraId="321941C4" w14:textId="59D3BA7A" w:rsidR="003E4308" w:rsidRPr="00887ACF" w:rsidRDefault="003E4308" w:rsidP="003E4308">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este sentido, conforme a la respuesta emitida por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se advierte que pretendió atender este punto de la solicitud informando que los servidores públicos dados de alta si cuentan con experiencia; sin embargo, no </w:t>
      </w:r>
      <w:r w:rsidR="00342510" w:rsidRPr="00887ACF">
        <w:rPr>
          <w:rFonts w:ascii="Palatino Linotype" w:eastAsia="Palatino Linotype" w:hAnsi="Palatino Linotype" w:cs="Palatino Linotype"/>
          <w:sz w:val="22"/>
          <w:szCs w:val="22"/>
        </w:rPr>
        <w:t xml:space="preserve">especifica dicha experiencia ni hace entrega del documento que dé cuenta de la experiencia, por lo que resulta procedente referir que el </w:t>
      </w:r>
      <w:r w:rsidRPr="00887ACF">
        <w:rPr>
          <w:rFonts w:ascii="Palatino Linotype" w:eastAsia="Palatino Linotype" w:hAnsi="Palatino Linotype" w:cs="Palatino Linotype"/>
          <w:bCs/>
          <w:i/>
          <w:iCs/>
          <w:sz w:val="22"/>
          <w:szCs w:val="22"/>
        </w:rPr>
        <w:t>currículum vitae,</w:t>
      </w:r>
      <w:r w:rsidRPr="00887ACF">
        <w:rPr>
          <w:rFonts w:ascii="Palatino Linotype" w:eastAsia="Palatino Linotype" w:hAnsi="Palatino Linotype" w:cs="Palatino Linotype"/>
          <w:sz w:val="22"/>
          <w:szCs w:val="22"/>
        </w:rPr>
        <w:t xml:space="preserve"> </w:t>
      </w:r>
      <w:r w:rsidR="00961A0D" w:rsidRPr="00887ACF">
        <w:rPr>
          <w:rFonts w:ascii="Palatino Linotype" w:eastAsia="Palatino Linotype" w:hAnsi="Palatino Linotype" w:cs="Palatino Linotype"/>
          <w:sz w:val="22"/>
          <w:szCs w:val="22"/>
        </w:rPr>
        <w:t xml:space="preserve">es el </w:t>
      </w:r>
      <w:r w:rsidRPr="00887ACF">
        <w:rPr>
          <w:rFonts w:ascii="Palatino Linotype" w:eastAsia="Palatino Linotype" w:hAnsi="Palatino Linotype" w:cs="Palatino Linotype"/>
          <w:sz w:val="22"/>
          <w:szCs w:val="22"/>
        </w:rPr>
        <w:t xml:space="preserve">documento </w:t>
      </w:r>
      <w:r w:rsidR="00961A0D" w:rsidRPr="00887ACF">
        <w:rPr>
          <w:rFonts w:ascii="Palatino Linotype" w:eastAsia="Palatino Linotype" w:hAnsi="Palatino Linotype" w:cs="Palatino Linotype"/>
          <w:sz w:val="22"/>
          <w:szCs w:val="22"/>
        </w:rPr>
        <w:t xml:space="preserve">que </w:t>
      </w:r>
      <w:r w:rsidRPr="00887ACF">
        <w:rPr>
          <w:rFonts w:ascii="Palatino Linotype" w:eastAsia="Palatino Linotype" w:hAnsi="Palatino Linotype" w:cs="Palatino Linotype"/>
          <w:sz w:val="22"/>
          <w:szCs w:val="22"/>
        </w:rPr>
        <w:t>contiene la información relacionada con la trayectoria académica, profesional y laboral de un Servidor Público en el cual se detalla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0DFCC556" w14:textId="77777777" w:rsidR="003E4308" w:rsidRPr="00887ACF" w:rsidRDefault="003E4308" w:rsidP="003E4308">
      <w:pPr>
        <w:spacing w:before="240" w:after="240" w:line="360" w:lineRule="auto"/>
        <w:ind w:right="-234"/>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En ese orden de ideas, el documento en comento,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52B3282" w14:textId="19C2B8A7" w:rsidR="003E4308" w:rsidRPr="00887ACF" w:rsidRDefault="003E4308" w:rsidP="003E4308">
      <w:pPr>
        <w:spacing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Lo que se sustenta, con lo señal</w:t>
      </w:r>
      <w:r w:rsidR="00961A0D" w:rsidRPr="00887ACF">
        <w:rPr>
          <w:rFonts w:ascii="Palatino Linotype" w:eastAsia="Palatino Linotype" w:hAnsi="Palatino Linotype" w:cs="Palatino Linotype"/>
          <w:sz w:val="22"/>
          <w:szCs w:val="22"/>
        </w:rPr>
        <w:t>ad</w:t>
      </w:r>
      <w:r w:rsidRPr="00887ACF">
        <w:rPr>
          <w:rFonts w:ascii="Palatino Linotype" w:eastAsia="Palatino Linotype" w:hAnsi="Palatino Linotype" w:cs="Palatino Linotype"/>
          <w:sz w:val="22"/>
          <w:szCs w:val="22"/>
        </w:rPr>
        <w:t xml:space="preserve">o </w:t>
      </w:r>
      <w:r w:rsidR="00961A0D" w:rsidRPr="00887ACF">
        <w:rPr>
          <w:rFonts w:ascii="Palatino Linotype" w:eastAsia="Palatino Linotype" w:hAnsi="Palatino Linotype" w:cs="Palatino Linotype"/>
          <w:sz w:val="22"/>
          <w:szCs w:val="22"/>
        </w:rPr>
        <w:t xml:space="preserve">por el entonces </w:t>
      </w:r>
      <w:r w:rsidRPr="00887ACF">
        <w:rPr>
          <w:rFonts w:ascii="Palatino Linotype" w:eastAsia="Palatino Linotype" w:hAnsi="Palatino Linotype" w:cs="Palatino Linotype"/>
          <w:sz w:val="22"/>
          <w:szCs w:val="22"/>
        </w:rPr>
        <w:t xml:space="preserve">Instituto </w:t>
      </w:r>
      <w:r w:rsidR="00961A0D" w:rsidRPr="00887ACF">
        <w:rPr>
          <w:rFonts w:ascii="Palatino Linotype" w:eastAsia="Palatino Linotype" w:hAnsi="Palatino Linotype" w:cs="Palatino Linotype"/>
          <w:sz w:val="22"/>
          <w:szCs w:val="22"/>
        </w:rPr>
        <w:t xml:space="preserve">Nacional </w:t>
      </w:r>
      <w:r w:rsidRPr="00887ACF">
        <w:rPr>
          <w:rFonts w:ascii="Palatino Linotype" w:eastAsia="Palatino Linotype" w:hAnsi="Palatino Linotype" w:cs="Palatino Linotype"/>
          <w:sz w:val="22"/>
          <w:szCs w:val="22"/>
        </w:rPr>
        <w:t xml:space="preserve">de Transparencia Acceso a la Información y Protección de Datos Personales, en su criterio </w:t>
      </w:r>
      <w:r w:rsidR="00961A0D" w:rsidRPr="00887ACF">
        <w:rPr>
          <w:rFonts w:ascii="Palatino Linotype" w:eastAsia="Palatino Linotype" w:hAnsi="Palatino Linotype" w:cs="Palatino Linotype"/>
          <w:sz w:val="22"/>
          <w:szCs w:val="22"/>
        </w:rPr>
        <w:t xml:space="preserve">orientador </w:t>
      </w:r>
      <w:r w:rsidRPr="00887ACF">
        <w:rPr>
          <w:rFonts w:ascii="Palatino Linotype" w:eastAsia="Palatino Linotype" w:hAnsi="Palatino Linotype" w:cs="Palatino Linotype"/>
          <w:sz w:val="22"/>
          <w:szCs w:val="22"/>
        </w:rPr>
        <w:t>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53D7CE4" w14:textId="77777777" w:rsidR="003E4308" w:rsidRPr="00887ACF" w:rsidRDefault="003E4308" w:rsidP="00006DE7">
      <w:pPr>
        <w:spacing w:line="360" w:lineRule="auto"/>
        <w:ind w:left="851" w:right="616"/>
        <w:jc w:val="both"/>
        <w:rPr>
          <w:rFonts w:ascii="Palatino Linotype" w:eastAsia="Palatino Linotype" w:hAnsi="Palatino Linotype" w:cs="Palatino Linotype"/>
          <w:sz w:val="22"/>
          <w:szCs w:val="22"/>
        </w:rPr>
      </w:pPr>
    </w:p>
    <w:p w14:paraId="32ED2499" w14:textId="77777777" w:rsidR="003E4308" w:rsidRPr="00887ACF" w:rsidRDefault="003E4308" w:rsidP="00006DE7">
      <w:pPr>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roofErr w:type="spellStart"/>
      <w:r w:rsidRPr="00887ACF">
        <w:rPr>
          <w:rFonts w:ascii="Palatino Linotype" w:eastAsia="Palatino Linotype" w:hAnsi="Palatino Linotype" w:cs="Palatino Linotype"/>
          <w:b/>
          <w:i/>
          <w:sz w:val="22"/>
          <w:szCs w:val="22"/>
        </w:rPr>
        <w:t>Curriculum</w:t>
      </w:r>
      <w:proofErr w:type="spellEnd"/>
      <w:r w:rsidRPr="00887ACF">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887ACF">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87ACF">
        <w:rPr>
          <w:rFonts w:ascii="Palatino Linotype" w:eastAsia="Palatino Linotype" w:hAnsi="Palatino Linotype" w:cs="Palatino Linotype"/>
          <w:i/>
          <w:sz w:val="22"/>
          <w:szCs w:val="22"/>
        </w:rPr>
        <w:t>curriculum</w:t>
      </w:r>
      <w:proofErr w:type="spellEnd"/>
      <w:r w:rsidRPr="00887ACF">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w:t>
      </w:r>
      <w:r w:rsidRPr="00887ACF">
        <w:rPr>
          <w:rFonts w:ascii="Palatino Linotype" w:eastAsia="Palatino Linotype" w:hAnsi="Palatino Linotype" w:cs="Palatino Linotype"/>
          <w:i/>
          <w:sz w:val="22"/>
          <w:szCs w:val="22"/>
        </w:rPr>
        <w:lastRenderedPageBreak/>
        <w:t xml:space="preserve">esa tesitura, entre los datos personales del </w:t>
      </w:r>
      <w:proofErr w:type="spellStart"/>
      <w:r w:rsidRPr="00887ACF">
        <w:rPr>
          <w:rFonts w:ascii="Palatino Linotype" w:eastAsia="Palatino Linotype" w:hAnsi="Palatino Linotype" w:cs="Palatino Linotype"/>
          <w:i/>
          <w:sz w:val="22"/>
          <w:szCs w:val="22"/>
        </w:rPr>
        <w:t>curriculum</w:t>
      </w:r>
      <w:proofErr w:type="spellEnd"/>
      <w:r w:rsidRPr="00887ACF">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público.”(Sic)</w:t>
      </w:r>
    </w:p>
    <w:p w14:paraId="4EA1DF64" w14:textId="77777777" w:rsidR="003E4308" w:rsidRPr="00887ACF" w:rsidRDefault="003E4308" w:rsidP="003E4308">
      <w:pPr>
        <w:spacing w:line="360" w:lineRule="auto"/>
        <w:jc w:val="both"/>
        <w:rPr>
          <w:rFonts w:ascii="Palatino Linotype" w:eastAsia="Palatino Linotype" w:hAnsi="Palatino Linotype" w:cs="Palatino Linotype"/>
          <w:sz w:val="22"/>
          <w:szCs w:val="22"/>
        </w:rPr>
      </w:pPr>
    </w:p>
    <w:p w14:paraId="3303E90E" w14:textId="77777777" w:rsidR="003E4308" w:rsidRPr="00887ACF" w:rsidRDefault="003E4308" w:rsidP="003E4308">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38107CE0" w14:textId="77777777" w:rsidR="003E4308" w:rsidRPr="00887ACF" w:rsidRDefault="003E4308" w:rsidP="00490FC3">
      <w:pPr>
        <w:spacing w:before="240"/>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937F74" w14:textId="77777777" w:rsidR="003E4308" w:rsidRPr="00887ACF" w:rsidRDefault="003E4308" w:rsidP="00490FC3">
      <w:pPr>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148D7C6E" w14:textId="77777777" w:rsidR="003E4308" w:rsidRPr="00887ACF" w:rsidRDefault="003E4308" w:rsidP="00490FC3">
      <w:pPr>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887ACF">
        <w:rPr>
          <w:rFonts w:ascii="Palatino Linotype" w:eastAsia="Palatino Linotype" w:hAnsi="Palatino Linotype" w:cs="Palatino Linotype"/>
          <w:i/>
          <w:sz w:val="22"/>
          <w:szCs w:val="22"/>
        </w:rPr>
        <w:t>, así como, en su caso, las sanciones administrativas de que haya sido objeto” (Sic)</w:t>
      </w:r>
    </w:p>
    <w:p w14:paraId="12EB4209" w14:textId="77777777" w:rsidR="003E4308" w:rsidRPr="00887ACF" w:rsidRDefault="003E4308" w:rsidP="003E4308">
      <w:pPr>
        <w:ind w:left="567" w:right="902"/>
        <w:jc w:val="both"/>
        <w:rPr>
          <w:rFonts w:ascii="Palatino Linotype" w:eastAsia="Palatino Linotype" w:hAnsi="Palatino Linotype" w:cs="Palatino Linotype"/>
          <w:i/>
          <w:sz w:val="22"/>
          <w:szCs w:val="22"/>
        </w:rPr>
      </w:pPr>
    </w:p>
    <w:p w14:paraId="6650FDFA" w14:textId="77777777" w:rsidR="003E4308" w:rsidRPr="00887ACF" w:rsidRDefault="003E4308" w:rsidP="003E4308">
      <w:pPr>
        <w:spacing w:after="240"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40A35CE3"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t xml:space="preserve">“XVII. La información curricular desde el nivel de jefe de departamento o equivalente hasta el titular del sujeto obligado, así como, en su caso, las sanciones administrativas de que haya sido objeto. </w:t>
      </w:r>
    </w:p>
    <w:p w14:paraId="562F3639"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lastRenderedPageBreak/>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6C4006AA"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t xml:space="preserve">Por cada servidor(a) público(a) se deberá especificar si ha sido acreedor a sanciones administrativas definitivas y que hayan sido aplicadas por autoridad u organismo competente. </w:t>
      </w:r>
    </w:p>
    <w:p w14:paraId="6F4C9F6A"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t xml:space="preserve">Periodo de actualización: trimestral </w:t>
      </w:r>
    </w:p>
    <w:p w14:paraId="698CA8DB"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t>En su caso, 15 días hábiles después de alguna modificación a la información de los servidores públicos que integran el sujeto obligado, así como su información curricular.</w:t>
      </w:r>
    </w:p>
    <w:p w14:paraId="5436C36E" w14:textId="77777777" w:rsidR="00961A0D" w:rsidRPr="00887ACF" w:rsidRDefault="00961A0D" w:rsidP="00961A0D">
      <w:pPr>
        <w:spacing w:line="276" w:lineRule="auto"/>
        <w:ind w:left="851" w:right="616"/>
        <w:jc w:val="both"/>
        <w:rPr>
          <w:rFonts w:ascii="Palatino Linotype" w:eastAsia="Palatino Linotype" w:hAnsi="Palatino Linotype" w:cs="Palatino Linotype"/>
          <w:i/>
          <w:iCs/>
          <w:sz w:val="22"/>
          <w:szCs w:val="22"/>
        </w:rPr>
      </w:pPr>
      <w:r w:rsidRPr="00887ACF">
        <w:rPr>
          <w:rFonts w:ascii="Palatino Linotype" w:eastAsia="Palatino Linotype" w:hAnsi="Palatino Linotype" w:cs="Palatino Linotype"/>
          <w:i/>
          <w:iCs/>
          <w:sz w:val="22"/>
          <w:szCs w:val="22"/>
        </w:rPr>
        <w:t xml:space="preserve">Conservar en el sitio de Internet: información vigente </w:t>
      </w:r>
    </w:p>
    <w:p w14:paraId="69657BB4" w14:textId="53F4460D" w:rsidR="00961A0D" w:rsidRPr="00887ACF" w:rsidRDefault="00961A0D" w:rsidP="00961A0D">
      <w:pP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i/>
          <w:iCs/>
          <w:sz w:val="22"/>
          <w:szCs w:val="22"/>
        </w:rPr>
        <w:t xml:space="preserve">Aplica a: todos los sujetos </w:t>
      </w:r>
      <w:proofErr w:type="gramStart"/>
      <w:r w:rsidRPr="00887ACF">
        <w:rPr>
          <w:rFonts w:ascii="Palatino Linotype" w:eastAsia="Palatino Linotype" w:hAnsi="Palatino Linotype" w:cs="Palatino Linotype"/>
          <w:i/>
          <w:iCs/>
          <w:sz w:val="22"/>
          <w:szCs w:val="22"/>
        </w:rPr>
        <w:t>obligados”(</w:t>
      </w:r>
      <w:proofErr w:type="gramEnd"/>
      <w:r w:rsidRPr="00887ACF">
        <w:rPr>
          <w:rFonts w:ascii="Palatino Linotype" w:eastAsia="Palatino Linotype" w:hAnsi="Palatino Linotype" w:cs="Palatino Linotype"/>
          <w:i/>
          <w:iCs/>
          <w:sz w:val="22"/>
          <w:szCs w:val="22"/>
        </w:rPr>
        <w:t>Sic</w:t>
      </w:r>
      <w:r w:rsidRPr="00887ACF">
        <w:rPr>
          <w:rFonts w:ascii="Palatino Linotype" w:eastAsia="Palatino Linotype" w:hAnsi="Palatino Linotype" w:cs="Palatino Linotype"/>
          <w:sz w:val="22"/>
          <w:szCs w:val="22"/>
        </w:rPr>
        <w:t>)</w:t>
      </w:r>
    </w:p>
    <w:p w14:paraId="40F1AEBE" w14:textId="77777777" w:rsidR="00961A0D" w:rsidRPr="00887ACF" w:rsidRDefault="00961A0D" w:rsidP="00961A0D">
      <w:pPr>
        <w:spacing w:line="276" w:lineRule="auto"/>
        <w:ind w:right="616"/>
        <w:jc w:val="both"/>
        <w:rPr>
          <w:rFonts w:ascii="Palatino Linotype" w:eastAsia="Palatino Linotype" w:hAnsi="Palatino Linotype" w:cs="Palatino Linotype"/>
          <w:i/>
          <w:iCs/>
          <w:sz w:val="22"/>
          <w:szCs w:val="22"/>
        </w:rPr>
      </w:pPr>
    </w:p>
    <w:p w14:paraId="578903FC" w14:textId="3E6AB390" w:rsidR="00961A0D" w:rsidRPr="00887ACF" w:rsidRDefault="00961A0D" w:rsidP="00961A0D">
      <w:pPr>
        <w:spacing w:line="276" w:lineRule="auto"/>
        <w:ind w:right="616"/>
        <w:jc w:val="center"/>
        <w:rPr>
          <w:rFonts w:ascii="Palatino Linotype" w:eastAsia="Palatino Linotype" w:hAnsi="Palatino Linotype" w:cs="Palatino Linotype"/>
          <w:sz w:val="22"/>
          <w:szCs w:val="22"/>
        </w:rPr>
      </w:pPr>
      <w:r w:rsidRPr="00887ACF">
        <w:rPr>
          <w:rFonts w:ascii="Palatino Linotype" w:eastAsia="Palatino Linotype" w:hAnsi="Palatino Linotype" w:cs="Palatino Linotype"/>
          <w:noProof/>
          <w:sz w:val="22"/>
          <w:szCs w:val="22"/>
          <w:lang w:val="es-MX" w:eastAsia="es-MX"/>
        </w:rPr>
        <w:drawing>
          <wp:inline distT="0" distB="0" distL="0" distR="0" wp14:anchorId="1E776D10" wp14:editId="4D8FC1F4">
            <wp:extent cx="4381500" cy="3448050"/>
            <wp:effectExtent l="0" t="0" r="0" b="0"/>
            <wp:docPr id="23261336" name="image10.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 name="image10.png" descr="Texto&#10;&#10;El contenido generado por IA puede ser incorrecto."/>
                    <pic:cNvPicPr preferRelativeResize="0"/>
                  </pic:nvPicPr>
                  <pic:blipFill>
                    <a:blip r:embed="rId10"/>
                    <a:srcRect/>
                    <a:stretch>
                      <a:fillRect/>
                    </a:stretch>
                  </pic:blipFill>
                  <pic:spPr>
                    <a:xfrm>
                      <a:off x="0" y="0"/>
                      <a:ext cx="4381764" cy="3448258"/>
                    </a:xfrm>
                    <a:prstGeom prst="rect">
                      <a:avLst/>
                    </a:prstGeom>
                    <a:ln/>
                  </pic:spPr>
                </pic:pic>
              </a:graphicData>
            </a:graphic>
          </wp:inline>
        </w:drawing>
      </w:r>
    </w:p>
    <w:p w14:paraId="3CB37430" w14:textId="18A6C750" w:rsidR="003E4308" w:rsidRPr="00887ACF" w:rsidRDefault="00683B84" w:rsidP="00961A0D">
      <w:pPr>
        <w:spacing w:line="276" w:lineRule="auto"/>
        <w:ind w:right="902"/>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noProof/>
          <w:sz w:val="22"/>
          <w:szCs w:val="22"/>
          <w:lang w:val="es-MX" w:eastAsia="es-MX"/>
        </w:rPr>
        <w:lastRenderedPageBreak/>
        <mc:AlternateContent>
          <mc:Choice Requires="wps">
            <w:drawing>
              <wp:anchor distT="0" distB="0" distL="114300" distR="114300" simplePos="0" relativeHeight="251664384" behindDoc="0" locked="0" layoutInCell="1" allowOverlap="1" wp14:anchorId="51391384" wp14:editId="409F1D73">
                <wp:simplePos x="0" y="0"/>
                <wp:positionH relativeFrom="column">
                  <wp:posOffset>3339465</wp:posOffset>
                </wp:positionH>
                <wp:positionV relativeFrom="paragraph">
                  <wp:posOffset>1181100</wp:posOffset>
                </wp:positionV>
                <wp:extent cx="2114550" cy="2952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114550"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07454A1" id="Rectángulo 2" o:spid="_x0000_s1026" style="position:absolute;margin-left:262.95pt;margin-top:93pt;width:166.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" filled="f" strokecolor="red" strokeweight="1.5pt"/>
            </w:pict>
          </mc:Fallback>
        </mc:AlternateContent>
      </w:r>
      <w:r w:rsidR="00342510" w:rsidRPr="00887ACF">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63360" behindDoc="0" locked="0" layoutInCell="1" allowOverlap="1" wp14:anchorId="22501505" wp14:editId="0EB65513">
                <wp:simplePos x="0" y="0"/>
                <wp:positionH relativeFrom="column">
                  <wp:posOffset>1777365</wp:posOffset>
                </wp:positionH>
                <wp:positionV relativeFrom="paragraph">
                  <wp:posOffset>2466975</wp:posOffset>
                </wp:positionV>
                <wp:extent cx="3543300" cy="171450"/>
                <wp:effectExtent l="0" t="0" r="19050" b="19050"/>
                <wp:wrapNone/>
                <wp:docPr id="209575651" name="Rectángulo 6"/>
                <wp:cNvGraphicFramePr/>
                <a:graphic xmlns:a="http://schemas.openxmlformats.org/drawingml/2006/main">
                  <a:graphicData uri="http://schemas.microsoft.com/office/word/2010/wordprocessingShape">
                    <wps:wsp>
                      <wps:cNvSpPr/>
                      <wps:spPr>
                        <a:xfrm>
                          <a:off x="0" y="0"/>
                          <a:ext cx="3543300" cy="1714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69B466" id="Rectángulo 6" o:spid="_x0000_s1026" style="position:absolute;margin-left:139.95pt;margin-top:194.25pt;width:279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" filled="f" strokecolor="#e00" strokeweight="1.5pt"/>
            </w:pict>
          </mc:Fallback>
        </mc:AlternateContent>
      </w:r>
      <w:r w:rsidR="003E4308" w:rsidRPr="00887ACF">
        <w:rPr>
          <w:rFonts w:ascii="Palatino Linotype" w:eastAsia="Palatino Linotype" w:hAnsi="Palatino Linotype" w:cs="Palatino Linotype"/>
          <w:noProof/>
          <w:sz w:val="22"/>
          <w:szCs w:val="22"/>
          <w:lang w:val="es-MX" w:eastAsia="es-MX"/>
        </w:rPr>
        <w:drawing>
          <wp:inline distT="0" distB="0" distL="0" distR="0" wp14:anchorId="139A3FA2" wp14:editId="778F168E">
            <wp:extent cx="5610225" cy="4667250"/>
            <wp:effectExtent l="0" t="0" r="9525" b="0"/>
            <wp:docPr id="15" name="image9.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 name="image9.png" descr="Tabla&#10;&#10;El contenido generado por IA puede ser incorrecto."/>
                    <pic:cNvPicPr preferRelativeResize="0"/>
                  </pic:nvPicPr>
                  <pic:blipFill>
                    <a:blip r:embed="rId11"/>
                    <a:srcRect/>
                    <a:stretch>
                      <a:fillRect/>
                    </a:stretch>
                  </pic:blipFill>
                  <pic:spPr>
                    <a:xfrm>
                      <a:off x="0" y="0"/>
                      <a:ext cx="5610225" cy="4667250"/>
                    </a:xfrm>
                    <a:prstGeom prst="rect">
                      <a:avLst/>
                    </a:prstGeom>
                    <a:ln/>
                  </pic:spPr>
                </pic:pic>
              </a:graphicData>
            </a:graphic>
          </wp:inline>
        </w:drawing>
      </w:r>
    </w:p>
    <w:p w14:paraId="4B7D187F" w14:textId="0A5E5166" w:rsidR="003E4308" w:rsidRPr="00887ACF" w:rsidRDefault="003E4308" w:rsidP="003E4308">
      <w:pPr>
        <w:spacing w:before="240" w:after="240"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00006DE7"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como se apreció en la cita, debe precisarse que dicha circunstancia no es</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1921AFC8" w14:textId="77777777" w:rsidR="003E4308" w:rsidRPr="00887ACF" w:rsidRDefault="003E4308" w:rsidP="003E4308">
      <w:pPr>
        <w:spacing w:before="240" w:after="240" w:line="360" w:lineRule="auto"/>
        <w:ind w:right="-234"/>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 xml:space="preserve">De lo anterior, se desprende que una de las formas en que los ciudadanos pueden evaluar las aptitudes para desempeñar un cargo público determinado, es mediante la publicidad de ciertos datos contenidos en la ficha curricular, tales como: </w:t>
      </w:r>
      <w:r w:rsidRPr="00887ACF">
        <w:rPr>
          <w:rFonts w:ascii="Palatino Linotype" w:eastAsia="Palatino Linotype" w:hAnsi="Palatino Linotype" w:cs="Palatino Linotype"/>
          <w:b/>
          <w:sz w:val="22"/>
          <w:szCs w:val="22"/>
        </w:rPr>
        <w:t>la trayectoria</w:t>
      </w:r>
      <w:r w:rsidRPr="00887ACF">
        <w:rPr>
          <w:rFonts w:ascii="Palatino Linotype" w:eastAsia="Palatino Linotype" w:hAnsi="Palatino Linotype" w:cs="Palatino Linotype"/>
          <w:sz w:val="22"/>
          <w:szCs w:val="22"/>
        </w:rPr>
        <w:t xml:space="preserve"> académica, profesional, </w:t>
      </w:r>
      <w:r w:rsidRPr="00887ACF">
        <w:rPr>
          <w:rFonts w:ascii="Palatino Linotype" w:eastAsia="Palatino Linotype" w:hAnsi="Palatino Linotype" w:cs="Palatino Linotype"/>
          <w:b/>
          <w:sz w:val="22"/>
          <w:szCs w:val="22"/>
        </w:rPr>
        <w:t>laboral</w:t>
      </w:r>
      <w:r w:rsidRPr="00887ACF">
        <w:rPr>
          <w:rFonts w:ascii="Palatino Linotype" w:eastAsia="Palatino Linotype" w:hAnsi="Palatino Linotype" w:cs="Palatino Linotype"/>
          <w:sz w:val="22"/>
          <w:szCs w:val="22"/>
        </w:rPr>
        <w:t>,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3C6157DC" w14:textId="77777777" w:rsidR="003E4308" w:rsidRPr="00887ACF" w:rsidRDefault="003E4308" w:rsidP="003E4308">
      <w:pPr>
        <w:spacing w:before="240" w:after="240" w:line="360" w:lineRule="auto"/>
        <w:ind w:right="-234"/>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En ese contexto, según Islas, Jorge (2016), en la “Ley General de Transparencia y Acceso a la Información Pública Comentada” (p. 244), refirió que el currículum vitae de un servidor público, justifica que su formación académica resulta viable para el desempeño eficiente y correcto de su encargo; lo anterior, con el fin de acreditar que dichos trabajadores sean los más capacitados, acorde al área solicitada.</w:t>
      </w:r>
    </w:p>
    <w:p w14:paraId="5ECB6A40" w14:textId="0889AB85" w:rsidR="003E4308" w:rsidRPr="00887ACF" w:rsidRDefault="003E4308" w:rsidP="00C721EA">
      <w:pPr>
        <w:spacing w:before="240" w:after="240" w:line="360" w:lineRule="auto"/>
        <w:ind w:right="-234"/>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En este sentido</w:t>
      </w:r>
      <w:r w:rsidR="00C721EA" w:rsidRPr="00887ACF">
        <w:rPr>
          <w:rFonts w:ascii="Palatino Linotype" w:eastAsia="Palatino Linotype" w:hAnsi="Palatino Linotype" w:cs="Palatino Linotype"/>
          <w:sz w:val="22"/>
          <w:szCs w:val="22"/>
        </w:rPr>
        <w:t xml:space="preserve">, se advierte que </w:t>
      </w:r>
      <w:r w:rsidRPr="00887ACF">
        <w:rPr>
          <w:rFonts w:ascii="Palatino Linotype" w:eastAsia="Palatino Linotype" w:hAnsi="Palatino Linotype" w:cs="Palatino Linotype"/>
          <w:sz w:val="22"/>
          <w:szCs w:val="22"/>
        </w:rPr>
        <w:t>el curr</w:t>
      </w:r>
      <w:r w:rsidR="00C721EA" w:rsidRPr="00887ACF">
        <w:rPr>
          <w:rFonts w:ascii="Palatino Linotype" w:eastAsia="Palatino Linotype" w:hAnsi="Palatino Linotype" w:cs="Palatino Linotype"/>
          <w:sz w:val="22"/>
          <w:szCs w:val="22"/>
        </w:rPr>
        <w:t>í</w:t>
      </w:r>
      <w:r w:rsidRPr="00887ACF">
        <w:rPr>
          <w:rFonts w:ascii="Palatino Linotype" w:eastAsia="Palatino Linotype" w:hAnsi="Palatino Linotype" w:cs="Palatino Linotype"/>
          <w:sz w:val="22"/>
          <w:szCs w:val="22"/>
        </w:rPr>
        <w:t xml:space="preserve">culum vitae da cuenta de la trayectoria laboral, </w:t>
      </w:r>
      <w:r w:rsidR="00C721EA" w:rsidRPr="00887ACF">
        <w:rPr>
          <w:rFonts w:ascii="Palatino Linotype" w:eastAsia="Palatino Linotype" w:hAnsi="Palatino Linotype" w:cs="Palatino Linotype"/>
          <w:sz w:val="22"/>
          <w:szCs w:val="22"/>
        </w:rPr>
        <w:t xml:space="preserve">por lo que es el documento que de manera enunciativa más no limitativa puede dar cuenta de la </w:t>
      </w:r>
      <w:r w:rsidRPr="00887ACF">
        <w:rPr>
          <w:rFonts w:ascii="Palatino Linotype" w:eastAsia="Palatino Linotype" w:hAnsi="Palatino Linotype" w:cs="Palatino Linotype"/>
          <w:sz w:val="22"/>
          <w:szCs w:val="22"/>
        </w:rPr>
        <w:t xml:space="preserve">experiencia laboral </w:t>
      </w:r>
      <w:r w:rsidR="00C721EA" w:rsidRPr="00887ACF">
        <w:rPr>
          <w:rFonts w:ascii="Palatino Linotype" w:eastAsia="Palatino Linotype" w:hAnsi="Palatino Linotype" w:cs="Palatino Linotype"/>
          <w:sz w:val="22"/>
          <w:szCs w:val="22"/>
        </w:rPr>
        <w:t>con la que cuentan los servidores públicos del Instituto</w:t>
      </w:r>
      <w:r w:rsidRPr="00887ACF">
        <w:rPr>
          <w:rFonts w:ascii="Palatino Linotype" w:eastAsia="Palatino Linotype" w:hAnsi="Palatino Linotype" w:cs="Palatino Linotype"/>
          <w:sz w:val="22"/>
          <w:szCs w:val="22"/>
        </w:rPr>
        <w:t xml:space="preserve">; por lo que, lo procedente es ordenar la entrega de los documentos </w:t>
      </w:r>
      <w:r w:rsidR="00C721EA" w:rsidRPr="00887ACF">
        <w:rPr>
          <w:rFonts w:ascii="Palatino Linotype" w:eastAsia="Palatino Linotype" w:hAnsi="Palatino Linotype" w:cs="Palatino Linotype"/>
          <w:sz w:val="22"/>
          <w:szCs w:val="22"/>
        </w:rPr>
        <w:t>que den cuenta de la</w:t>
      </w:r>
      <w:r w:rsidR="009020AF" w:rsidRPr="00887ACF">
        <w:rPr>
          <w:rFonts w:ascii="Palatino Linotype" w:eastAsia="Palatino Linotype" w:hAnsi="Palatino Linotype" w:cs="Palatino Linotype"/>
          <w:sz w:val="22"/>
          <w:szCs w:val="22"/>
        </w:rPr>
        <w:t xml:space="preserve"> categoría y </w:t>
      </w:r>
      <w:r w:rsidR="00C721EA" w:rsidRPr="00887ACF">
        <w:rPr>
          <w:rFonts w:ascii="Palatino Linotype" w:eastAsia="Palatino Linotype" w:hAnsi="Palatino Linotype" w:cs="Palatino Linotype"/>
          <w:sz w:val="22"/>
          <w:szCs w:val="22"/>
        </w:rPr>
        <w:t xml:space="preserve">experiencia </w:t>
      </w:r>
      <w:r w:rsidRPr="00887ACF">
        <w:rPr>
          <w:rFonts w:ascii="Palatino Linotype" w:eastAsia="Palatino Linotype" w:hAnsi="Palatino Linotype" w:cs="Palatino Linotype"/>
          <w:sz w:val="22"/>
          <w:szCs w:val="22"/>
        </w:rPr>
        <w:t>laboral de los servidores públicos d</w:t>
      </w:r>
      <w:r w:rsidR="00C721EA" w:rsidRPr="00887ACF">
        <w:rPr>
          <w:rFonts w:ascii="Palatino Linotype" w:eastAsia="Palatino Linotype" w:hAnsi="Palatino Linotype" w:cs="Palatino Linotype"/>
          <w:sz w:val="22"/>
          <w:szCs w:val="22"/>
        </w:rPr>
        <w:t xml:space="preserve">ados de alta en el mes de enero de dos mil veinticinco, referidos en respuesta y </w:t>
      </w:r>
      <w:r w:rsidRPr="00887ACF">
        <w:rPr>
          <w:rFonts w:ascii="Palatino Linotype" w:eastAsia="Palatino Linotype" w:hAnsi="Palatino Linotype" w:cs="Palatino Linotype"/>
          <w:sz w:val="22"/>
          <w:szCs w:val="22"/>
        </w:rPr>
        <w:t xml:space="preserve">de ser procedente en versión pública conforme a lo señalado por el considerando quinto del presente fallo. </w:t>
      </w:r>
    </w:p>
    <w:p w14:paraId="3E12F1FF" w14:textId="221CE174" w:rsidR="003E4308" w:rsidRPr="00887ACF" w:rsidRDefault="00C721EA" w:rsidP="00382F40">
      <w:pPr>
        <w:pStyle w:val="Prrafodelista"/>
        <w:numPr>
          <w:ilvl w:val="0"/>
          <w:numId w:val="15"/>
        </w:numPr>
        <w:spacing w:line="360" w:lineRule="auto"/>
        <w:jc w:val="both"/>
        <w:rPr>
          <w:rFonts w:ascii="Palatino Linotype" w:eastAsia="Palatino Linotype" w:hAnsi="Palatino Linotype" w:cs="Palatino Linotype"/>
          <w:b/>
          <w:bCs/>
        </w:rPr>
      </w:pPr>
      <w:r w:rsidRPr="00887ACF">
        <w:rPr>
          <w:rFonts w:ascii="Palatino Linotype" w:eastAsia="Palatino Linotype" w:hAnsi="Palatino Linotype" w:cs="Palatino Linotype"/>
          <w:b/>
          <w:bCs/>
        </w:rPr>
        <w:t>En</w:t>
      </w:r>
      <w:r w:rsidR="00382F40" w:rsidRPr="00887ACF">
        <w:rPr>
          <w:rFonts w:ascii="Palatino Linotype" w:eastAsia="Palatino Linotype" w:hAnsi="Palatino Linotype" w:cs="Palatino Linotype"/>
          <w:b/>
          <w:bCs/>
        </w:rPr>
        <w:t xml:space="preserve"> el</w:t>
      </w:r>
      <w:r w:rsidRPr="00887ACF">
        <w:rPr>
          <w:rFonts w:ascii="Palatino Linotype" w:eastAsia="Palatino Linotype" w:hAnsi="Palatino Linotype" w:cs="Palatino Linotype"/>
          <w:b/>
          <w:bCs/>
        </w:rPr>
        <w:t xml:space="preserve"> caso de las bajas, monto de la liquidación.</w:t>
      </w:r>
    </w:p>
    <w:p w14:paraId="1F108323" w14:textId="77777777" w:rsidR="00490FC3" w:rsidRPr="00887ACF" w:rsidRDefault="00490FC3">
      <w:pPr>
        <w:spacing w:line="360" w:lineRule="auto"/>
        <w:jc w:val="both"/>
        <w:rPr>
          <w:rFonts w:ascii="Palatino Linotype" w:eastAsia="Palatino Linotype" w:hAnsi="Palatino Linotype" w:cs="Palatino Linotype"/>
          <w:sz w:val="22"/>
          <w:szCs w:val="22"/>
        </w:rPr>
      </w:pPr>
    </w:p>
    <w:p w14:paraId="1D719A07"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Finalmente, y por lo que respecta al </w:t>
      </w:r>
      <w:r w:rsidRPr="00887ACF">
        <w:rPr>
          <w:rFonts w:ascii="Palatino Linotype" w:eastAsia="Palatino Linotype" w:hAnsi="Palatino Linotype" w:cs="Palatino Linotype"/>
          <w:b/>
          <w:sz w:val="22"/>
          <w:szCs w:val="22"/>
        </w:rPr>
        <w:t>monto de la liquidación del personal que fue dado de baja</w:t>
      </w:r>
      <w:r w:rsidRPr="00887ACF">
        <w:rPr>
          <w:rFonts w:ascii="Palatino Linotype" w:eastAsia="Palatino Linotype" w:hAnsi="Palatino Linotype" w:cs="Palatino Linotype"/>
          <w:sz w:val="22"/>
          <w:szCs w:val="22"/>
        </w:rPr>
        <w:t xml:space="preserve">, el artículo 93 de la Ley del Trabajo de los Servidores Públicos del Estado y Municipios, </w:t>
      </w:r>
      <w:r w:rsidRPr="00887ACF">
        <w:rPr>
          <w:rFonts w:ascii="Palatino Linotype" w:eastAsia="Palatino Linotype" w:hAnsi="Palatino Linotype" w:cs="Palatino Linotype"/>
          <w:sz w:val="22"/>
          <w:szCs w:val="22"/>
        </w:rPr>
        <w:lastRenderedPageBreak/>
        <w:t>establece las condiciones de un despido justificado sin responsabilidad para las instituciones públicas, en ese caso no se está obligado al pago de una indemnización por el despido, sino al pago de finiquito.</w:t>
      </w:r>
    </w:p>
    <w:p w14:paraId="2A2EBD69"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E2527D4"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El finiquito ocurre cuando el trabajador y el patrón dan por terminada la relación laboral voluntariamente. Por otro lado, para que aplique una liquidación o indemnización, se actualiza una causa de recisión de la relación laboral, sin responsabilidad para el servidor público, que se encuentran contenidas en el artículo 95 de la Ley del Trabajo de los Servidores Públicos del Estado y Municipios.</w:t>
      </w:r>
    </w:p>
    <w:p w14:paraId="5275E32E" w14:textId="77777777" w:rsidR="00891457" w:rsidRPr="00887ACF" w:rsidRDefault="000F3214">
      <w:pP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ese contexto, por lo que hace a la materia de acceso a la información pública, resulta importante destacar que el artículo 23, penúltimo párrafo de la Ley de Transparencia y Acceso a la Información Pública del Estado de México y Municipios, precisa que los </w:t>
      </w:r>
      <w:r w:rsidRPr="00887ACF">
        <w:rPr>
          <w:rFonts w:ascii="Palatino Linotype" w:eastAsia="Palatino Linotype" w:hAnsi="Palatino Linotype" w:cs="Palatino Linotype"/>
          <w:b/>
          <w:sz w:val="22"/>
          <w:szCs w:val="22"/>
        </w:rPr>
        <w:t>Sujetos Obligados</w:t>
      </w:r>
      <w:r w:rsidRPr="00887ACF">
        <w:rPr>
          <w:rFonts w:ascii="Palatino Linotype" w:eastAsia="Palatino Linotype" w:hAnsi="Palatino Linotype" w:cs="Palatino Linotype"/>
          <w:sz w:val="22"/>
          <w:szCs w:val="22"/>
        </w:rPr>
        <w:t xml:space="preserve"> deberán hacer pública toda aquella información relativa a los montos y las personas a quienes entreguen recursos públicos, tal como se advierte a continuación:</w:t>
      </w:r>
    </w:p>
    <w:p w14:paraId="0F993C86" w14:textId="77777777" w:rsidR="00891457" w:rsidRPr="00887ACF" w:rsidRDefault="000F3214">
      <w:pPr>
        <w:spacing w:line="276" w:lineRule="auto"/>
        <w:ind w:left="851" w:right="758"/>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23.</w:t>
      </w:r>
      <w:r w:rsidRPr="00887ACF">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04B387DF" w14:textId="77777777" w:rsidR="00891457" w:rsidRPr="00887ACF" w:rsidRDefault="000F3214">
      <w:pPr>
        <w:spacing w:line="276" w:lineRule="auto"/>
        <w:ind w:left="851" w:right="758"/>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76702969" w14:textId="77777777" w:rsidR="00891457" w:rsidRPr="00887ACF" w:rsidRDefault="000F3214">
      <w:pPr>
        <w:spacing w:line="276" w:lineRule="auto"/>
        <w:ind w:left="851" w:right="758"/>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887ACF">
        <w:rPr>
          <w:rFonts w:ascii="Palatino Linotype" w:eastAsia="Palatino Linotype" w:hAnsi="Palatino Linotype" w:cs="Palatino Linotype"/>
          <w:i/>
          <w:sz w:val="22"/>
          <w:szCs w:val="22"/>
        </w:rPr>
        <w:t>.</w:t>
      </w:r>
    </w:p>
    <w:p w14:paraId="47F19236" w14:textId="77777777" w:rsidR="00891457" w:rsidRPr="00887ACF" w:rsidRDefault="000F3214">
      <w:pPr>
        <w:spacing w:line="276" w:lineRule="auto"/>
        <w:ind w:left="851" w:right="758"/>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1982FF35" w14:textId="77777777" w:rsidR="00891457" w:rsidRPr="00887ACF" w:rsidRDefault="00891457">
      <w:pPr>
        <w:spacing w:line="276" w:lineRule="auto"/>
        <w:ind w:left="851" w:right="758"/>
        <w:jc w:val="both"/>
        <w:rPr>
          <w:rFonts w:ascii="Palatino Linotype" w:eastAsia="Palatino Linotype" w:hAnsi="Palatino Linotype" w:cs="Palatino Linotype"/>
          <w:sz w:val="22"/>
          <w:szCs w:val="22"/>
        </w:rPr>
      </w:pPr>
    </w:p>
    <w:p w14:paraId="518542B5" w14:textId="77777777"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u w:val="single"/>
        </w:rPr>
        <w:t>Lo anterior, en virtud de que su acceso permite transparentar la aplicación de los recursos públicos que son otorgados para el cumplimiento de sus funciones</w:t>
      </w:r>
      <w:r w:rsidRPr="00887ACF">
        <w:rPr>
          <w:rFonts w:ascii="Palatino Linotype" w:eastAsia="Palatino Linotype" w:hAnsi="Palatino Linotype" w:cs="Palatino Linotype"/>
          <w:sz w:val="22"/>
          <w:szCs w:val="22"/>
        </w:rPr>
        <w:t>.</w:t>
      </w:r>
    </w:p>
    <w:p w14:paraId="005D0B46"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794E18D5" w14:textId="06CB64F0"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 xml:space="preserve">Luego entonces, </w:t>
      </w:r>
      <w:r w:rsidR="00180F90" w:rsidRPr="00887ACF">
        <w:rPr>
          <w:rFonts w:ascii="Palatino Linotype" w:eastAsia="Palatino Linotype" w:hAnsi="Palatino Linotype" w:cs="Palatino Linotype"/>
          <w:sz w:val="22"/>
          <w:szCs w:val="22"/>
        </w:rPr>
        <w:t>conviene recordar que la Ley que crea el Organismo Público Descentralizado denominado Instituto Municipal de Cultura Física y Deporte de Valle De Chalco Solidaridad</w:t>
      </w:r>
      <w:r w:rsidRPr="00887ACF">
        <w:rPr>
          <w:rFonts w:ascii="Palatino Linotype" w:eastAsia="Palatino Linotype" w:hAnsi="Palatino Linotype" w:cs="Palatino Linotype"/>
          <w:sz w:val="22"/>
          <w:szCs w:val="22"/>
        </w:rPr>
        <w:t xml:space="preserve">, precisa que la </w:t>
      </w:r>
      <w:r w:rsidR="00180F90" w:rsidRPr="00887ACF">
        <w:rPr>
          <w:rFonts w:ascii="Palatino Linotype" w:eastAsia="Palatino Linotype" w:hAnsi="Palatino Linotype" w:cs="Palatino Linotype"/>
          <w:sz w:val="22"/>
          <w:szCs w:val="22"/>
        </w:rPr>
        <w:t>Subdirección de Administración y Finanzas</w:t>
      </w:r>
      <w:r w:rsidRPr="00887ACF">
        <w:rPr>
          <w:rFonts w:ascii="Palatino Linotype" w:eastAsia="Palatino Linotype" w:hAnsi="Palatino Linotype" w:cs="Palatino Linotype"/>
          <w:sz w:val="22"/>
          <w:szCs w:val="22"/>
        </w:rPr>
        <w:t xml:space="preserve"> es el área encargada de</w:t>
      </w:r>
      <w:r w:rsidR="00180F90" w:rsidRPr="00887ACF">
        <w:rPr>
          <w:rFonts w:ascii="Palatino Linotype" w:eastAsia="Palatino Linotype" w:hAnsi="Palatino Linotype" w:cs="Palatino Linotype"/>
          <w:sz w:val="22"/>
          <w:szCs w:val="22"/>
        </w:rPr>
        <w:t xml:space="preserve"> llevar el control exacto y preciso de los ingresos y egresos del Instituto y remitir las comprobaciones que justifiquen su gasto y sus ingresos; p</w:t>
      </w:r>
      <w:r w:rsidRPr="00887ACF">
        <w:rPr>
          <w:rFonts w:ascii="Palatino Linotype" w:eastAsia="Palatino Linotype" w:hAnsi="Palatino Linotype" w:cs="Palatino Linotype"/>
          <w:sz w:val="22"/>
          <w:szCs w:val="22"/>
        </w:rPr>
        <w:t xml:space="preserve">or lo </w:t>
      </w:r>
      <w:r w:rsidR="00180F90" w:rsidRPr="00887ACF">
        <w:rPr>
          <w:rFonts w:ascii="Palatino Linotype" w:eastAsia="Palatino Linotype" w:hAnsi="Palatino Linotype" w:cs="Palatino Linotype"/>
          <w:sz w:val="22"/>
          <w:szCs w:val="22"/>
        </w:rPr>
        <w:t>que</w:t>
      </w:r>
      <w:r w:rsidRPr="00887ACF">
        <w:rPr>
          <w:rFonts w:ascii="Palatino Linotype" w:eastAsia="Palatino Linotype" w:hAnsi="Palatino Linotype" w:cs="Palatino Linotype"/>
          <w:sz w:val="22"/>
          <w:szCs w:val="22"/>
        </w:rPr>
        <w:t xml:space="preserv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cuenta con las facultades, atribuciones y competencia, para generar, administrar y poseer información relacionada con el pago realizado a los trabajadores, pues cuenta con</w:t>
      </w:r>
      <w:r w:rsidR="00180F90" w:rsidRPr="00887ACF">
        <w:rPr>
          <w:rFonts w:ascii="Palatino Linotype" w:eastAsia="Palatino Linotype" w:hAnsi="Palatino Linotype" w:cs="Palatino Linotype"/>
          <w:sz w:val="22"/>
          <w:szCs w:val="22"/>
        </w:rPr>
        <w:t xml:space="preserve"> la </w:t>
      </w:r>
      <w:r w:rsidRPr="00887ACF">
        <w:rPr>
          <w:rFonts w:ascii="Palatino Linotype" w:eastAsia="Palatino Linotype" w:hAnsi="Palatino Linotype" w:cs="Palatino Linotype"/>
          <w:sz w:val="22"/>
          <w:szCs w:val="22"/>
        </w:rPr>
        <w:t xml:space="preserve">unidad administrativa, cuyas funciones se relacionan con las obligaciones jurídico normativas que deriven de </w:t>
      </w:r>
      <w:r w:rsidR="00180F90" w:rsidRPr="00887ACF">
        <w:rPr>
          <w:rFonts w:ascii="Palatino Linotype" w:eastAsia="Palatino Linotype" w:hAnsi="Palatino Linotype" w:cs="Palatino Linotype"/>
          <w:sz w:val="22"/>
          <w:szCs w:val="22"/>
        </w:rPr>
        <w:t>sus</w:t>
      </w:r>
      <w:r w:rsidRPr="00887ACF">
        <w:rPr>
          <w:rFonts w:ascii="Palatino Linotype" w:eastAsia="Palatino Linotype" w:hAnsi="Palatino Linotype" w:cs="Palatino Linotype"/>
          <w:sz w:val="22"/>
          <w:szCs w:val="22"/>
        </w:rPr>
        <w:t xml:space="preserve"> actividades. </w:t>
      </w:r>
    </w:p>
    <w:p w14:paraId="50EE81E9" w14:textId="77777777" w:rsidR="00180F90" w:rsidRPr="00887ACF" w:rsidRDefault="00180F90">
      <w:pPr>
        <w:spacing w:line="360" w:lineRule="auto"/>
        <w:jc w:val="both"/>
        <w:rPr>
          <w:rFonts w:ascii="Palatino Linotype" w:eastAsia="Palatino Linotype" w:hAnsi="Palatino Linotype" w:cs="Palatino Linotype"/>
          <w:sz w:val="22"/>
          <w:szCs w:val="22"/>
        </w:rPr>
      </w:pPr>
    </w:p>
    <w:p w14:paraId="6BCB43F9" w14:textId="47AFC08C" w:rsidR="00891457" w:rsidRPr="00887ACF" w:rsidRDefault="000F3214" w:rsidP="001B076C">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Ahora bien, bajo esa misma tesitura, es oportuno traer a colación lo que establece los artículos 342, 343, 344 y 345 del Código Financiero del Estado de México y Municipios, </w:t>
      </w:r>
      <w:r w:rsidR="001B076C" w:rsidRPr="00887ACF">
        <w:rPr>
          <w:rFonts w:ascii="Palatino Linotype" w:eastAsia="Palatino Linotype" w:hAnsi="Palatino Linotype" w:cs="Palatino Linotype"/>
          <w:sz w:val="22"/>
          <w:szCs w:val="22"/>
        </w:rPr>
        <w:t xml:space="preserve">que </w:t>
      </w:r>
      <w:r w:rsidRPr="00887ACF">
        <w:rPr>
          <w:rFonts w:ascii="Palatino Linotype" w:eastAsia="Palatino Linotype" w:hAnsi="Palatino Linotype" w:cs="Palatino Linotype"/>
          <w:sz w:val="22"/>
          <w:szCs w:val="22"/>
        </w:rPr>
        <w:t>disponen el sistema y las políticas que deben seguirse para llevar el registro contable y presupuestal de las operaciones financieras, en los siguientes términos:</w:t>
      </w:r>
    </w:p>
    <w:p w14:paraId="6FFB8AE2"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342</w:t>
      </w:r>
      <w:r w:rsidRPr="00887ACF">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00C01CE" w14:textId="77777777" w:rsidR="00891457" w:rsidRPr="00887ACF" w:rsidRDefault="000F3214" w:rsidP="00490FC3">
      <w:pPr>
        <w:spacing w:before="120" w:after="120"/>
        <w:ind w:left="862"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En el caso de los municipios,</w:t>
      </w:r>
      <w:r w:rsidRPr="00887ACF">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887ACF">
        <w:rPr>
          <w:rFonts w:ascii="Palatino Linotype" w:eastAsia="Palatino Linotype" w:hAnsi="Palatino Linotype" w:cs="Palatino Linotype"/>
          <w:b/>
          <w:i/>
          <w:sz w:val="22"/>
          <w:szCs w:val="22"/>
        </w:rPr>
        <w:t>planeación, programación, presupuestación, evaluación y contabilidad gubernamental</w:t>
      </w:r>
      <w:r w:rsidRPr="00887ACF">
        <w:rPr>
          <w:rFonts w:ascii="Palatino Linotype" w:eastAsia="Palatino Linotype" w:hAnsi="Palatino Linotype" w:cs="Palatino Linotype"/>
          <w:i/>
          <w:sz w:val="22"/>
          <w:szCs w:val="22"/>
        </w:rPr>
        <w:t>, que se aprueben en el marco del Sistema de Coordinación Hacendaria del Estado de México</w:t>
      </w:r>
      <w:r w:rsidRPr="00887ACF">
        <w:rPr>
          <w:rFonts w:ascii="Palatino Linotype" w:eastAsia="Palatino Linotype" w:hAnsi="Palatino Linotype" w:cs="Palatino Linotype"/>
          <w:b/>
          <w:i/>
          <w:sz w:val="22"/>
          <w:szCs w:val="22"/>
        </w:rPr>
        <w:t xml:space="preserve"> </w:t>
      </w:r>
    </w:p>
    <w:p w14:paraId="07ADFF80"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Artículo 343.-</w:t>
      </w:r>
      <w:r w:rsidRPr="00887ACF">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92F85CD" w14:textId="77777777" w:rsidR="00891457" w:rsidRPr="00887ACF" w:rsidRDefault="000F3214" w:rsidP="00490FC3">
      <w:pPr>
        <w:spacing w:before="120" w:after="120"/>
        <w:ind w:left="862"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i/>
          <w:sz w:val="22"/>
          <w:szCs w:val="22"/>
        </w:rPr>
        <w:lastRenderedPageBreak/>
        <w:t>El sistema de contabilidad sobre base acumulativa total, se sustentará en las normas emitidas por el Consejo Nacional de Armonización Contable.</w:t>
      </w:r>
    </w:p>
    <w:p w14:paraId="6F2CDB11"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Artículo 344</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u w:val="single"/>
        </w:rPr>
        <w:t>Los Entes Públicos</w:t>
      </w:r>
      <w:r w:rsidRPr="00887ACF">
        <w:rPr>
          <w:rFonts w:ascii="Palatino Linotype" w:eastAsia="Palatino Linotype" w:hAnsi="Palatino Linotype" w:cs="Palatino Linotype"/>
          <w:i/>
          <w:sz w:val="22"/>
          <w:szCs w:val="22"/>
        </w:rPr>
        <w:t xml:space="preserve">, a través de cualquiera de sus unidades administrativas, de acuerdo con su naturaleza jurídica y según corresponda, </w:t>
      </w:r>
      <w:r w:rsidRPr="00887ACF">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p>
    <w:p w14:paraId="26DD13F6"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887ACF">
        <w:rPr>
          <w:rFonts w:ascii="Palatino Linotype" w:eastAsia="Palatino Linotype" w:hAnsi="Palatino Linotype" w:cs="Palatino Linotype"/>
          <w:i/>
          <w:sz w:val="22"/>
          <w:szCs w:val="22"/>
        </w:rPr>
        <w:t xml:space="preserve">, según corresponda, así como de los órganos internos de control, </w:t>
      </w:r>
      <w:r w:rsidRPr="00887ACF">
        <w:rPr>
          <w:rFonts w:ascii="Palatino Linotype" w:eastAsia="Palatino Linotype" w:hAnsi="Palatino Linotype" w:cs="Palatino Linotype"/>
          <w:b/>
          <w:i/>
          <w:sz w:val="22"/>
          <w:szCs w:val="22"/>
          <w:u w:val="single"/>
        </w:rPr>
        <w:t>por un término de cinco años,</w:t>
      </w:r>
      <w:r w:rsidRPr="00887ACF">
        <w:rPr>
          <w:rFonts w:ascii="Palatino Linotype" w:eastAsia="Palatino Linotype" w:hAnsi="Palatino Linotype" w:cs="Palatino Linotype"/>
          <w:i/>
          <w:sz w:val="22"/>
          <w:szCs w:val="22"/>
        </w:rPr>
        <w:t xml:space="preserve"> contados a partir del ejercicio presupuestal siguiente al que corresponda, </w:t>
      </w:r>
      <w:r w:rsidRPr="00887ACF">
        <w:rPr>
          <w:rFonts w:ascii="Palatino Linotype" w:eastAsia="Palatino Linotype" w:hAnsi="Palatino Linotype" w:cs="Palatino Linotype"/>
          <w:b/>
          <w:i/>
          <w:sz w:val="22"/>
          <w:szCs w:val="22"/>
        </w:rPr>
        <w:t>en el caso de los Municipios, dicha obligación corresponderá a la Tesorería</w:t>
      </w:r>
      <w:r w:rsidRPr="00887ACF">
        <w:rPr>
          <w:rFonts w:ascii="Palatino Linotype" w:eastAsia="Palatino Linotype" w:hAnsi="Palatino Linotype" w:cs="Palatino Linotype"/>
          <w:i/>
          <w:sz w:val="22"/>
          <w:szCs w:val="22"/>
        </w:rPr>
        <w:t xml:space="preserve">. </w:t>
      </w:r>
    </w:p>
    <w:p w14:paraId="0A5396B8"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Tratándose de documentos de carácter histórico, se estará a lo dispuesto por la legislación de la materia.</w:t>
      </w:r>
    </w:p>
    <w:p w14:paraId="43C9B5DC" w14:textId="77777777" w:rsidR="00891457" w:rsidRPr="00887ACF" w:rsidRDefault="000F3214" w:rsidP="00490FC3">
      <w:pPr>
        <w:spacing w:before="120" w:after="120"/>
        <w:ind w:left="862" w:right="616"/>
        <w:jc w:val="both"/>
        <w:rPr>
          <w:rFonts w:ascii="Palatino Linotype" w:eastAsia="Palatino Linotype" w:hAnsi="Palatino Linotype" w:cs="Palatino Linotype"/>
          <w:b/>
          <w:i/>
          <w:sz w:val="22"/>
          <w:szCs w:val="22"/>
          <w:u w:val="single"/>
        </w:rPr>
      </w:pPr>
      <w:r w:rsidRPr="00887ACF">
        <w:rPr>
          <w:rFonts w:ascii="Palatino Linotype" w:eastAsia="Palatino Linotype" w:hAnsi="Palatino Linotype" w:cs="Palatino Linotype"/>
          <w:b/>
          <w:i/>
          <w:sz w:val="22"/>
          <w:szCs w:val="22"/>
        </w:rPr>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887ACF">
        <w:rPr>
          <w:rFonts w:ascii="Palatino Linotype" w:eastAsia="Palatino Linotype" w:hAnsi="Palatino Linotype" w:cs="Palatino Linotype"/>
          <w:b/>
          <w:i/>
          <w:sz w:val="22"/>
          <w:szCs w:val="22"/>
          <w:u w:val="single"/>
        </w:rPr>
        <w:t xml:space="preserve">Tratándose de los comprobantes fiscales digitales, estos deberán estar agregados en forma electrónica a cada póliza de registro contable. </w:t>
      </w:r>
    </w:p>
    <w:p w14:paraId="2C52886C"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887ACF">
        <w:rPr>
          <w:rFonts w:ascii="Palatino Linotype" w:eastAsia="Palatino Linotype" w:hAnsi="Palatino Linotype" w:cs="Palatino Linotype"/>
          <w:b/>
          <w:i/>
          <w:sz w:val="22"/>
          <w:szCs w:val="22"/>
        </w:rPr>
        <w:t>deberán estar agregados en forma electrónica a cada póliza de registro contable</w:t>
      </w:r>
      <w:r w:rsidRPr="00887ACF">
        <w:rPr>
          <w:rFonts w:ascii="Palatino Linotype" w:eastAsia="Palatino Linotype" w:hAnsi="Palatino Linotype" w:cs="Palatino Linotype"/>
          <w:i/>
          <w:sz w:val="22"/>
          <w:szCs w:val="22"/>
        </w:rPr>
        <w:t xml:space="preserve">. </w:t>
      </w:r>
    </w:p>
    <w:p w14:paraId="7548665B" w14:textId="77777777" w:rsidR="00891457" w:rsidRPr="00887ACF" w:rsidRDefault="000F3214" w:rsidP="00490FC3">
      <w:pPr>
        <w:spacing w:before="120" w:after="120"/>
        <w:ind w:left="862"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758BAA11" w14:textId="68FAA53A" w:rsidR="00891457" w:rsidRPr="00887ACF" w:rsidRDefault="000F3214">
      <w:pPr>
        <w:tabs>
          <w:tab w:val="left" w:pos="426"/>
        </w:tabs>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lastRenderedPageBreak/>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 cuya información será generada y administrada por la Tesorería. </w:t>
      </w:r>
    </w:p>
    <w:p w14:paraId="0A083581" w14:textId="5D67C173" w:rsidR="00891457" w:rsidRPr="00887ACF" w:rsidRDefault="000F3214">
      <w:pP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Por lo anterior, derivado de que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no remitió la información solicitada por el particular y tampoco proporcionó los montos entregados por concepto de liquidación; este Organismo Garante determina que los agravios hechos valer por el Particular en su recurso de revisión devienen fundados</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y, por ende, resulta procedente </w:t>
      </w:r>
      <w:r w:rsidR="00180F90" w:rsidRPr="00887ACF">
        <w:rPr>
          <w:rFonts w:ascii="Palatino Linotype" w:eastAsia="Palatino Linotype" w:hAnsi="Palatino Linotype" w:cs="Palatino Linotype"/>
          <w:sz w:val="22"/>
          <w:szCs w:val="22"/>
        </w:rPr>
        <w:t>Modificar</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sz w:val="22"/>
          <w:szCs w:val="22"/>
        </w:rPr>
        <w:t xml:space="preserve">la respuesta del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y ordenar</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la entrega, previa búsqueda exhaustiva y razonable, vía Sistema de Acceso a la Información Mexiquense, de ser el caso, en versión pública, de la siguiente información: </w:t>
      </w:r>
    </w:p>
    <w:p w14:paraId="3F5A977D" w14:textId="77777777" w:rsidR="009515F3" w:rsidRPr="00887ACF" w:rsidRDefault="000F3214" w:rsidP="009515F3">
      <w:pPr>
        <w:pStyle w:val="Listaconvietas3"/>
        <w:numPr>
          <w:ilvl w:val="0"/>
          <w:numId w:val="17"/>
        </w:numPr>
        <w:spacing w:line="360" w:lineRule="auto"/>
        <w:jc w:val="both"/>
        <w:rPr>
          <w:rFonts w:ascii="Palatino Linotype" w:eastAsia="Palatino Linotype" w:hAnsi="Palatino Linotype" w:cs="Palatino Linotype"/>
          <w:sz w:val="22"/>
          <w:szCs w:val="22"/>
          <w:lang w:val="es-ES" w:eastAsia="es-ES"/>
        </w:rPr>
      </w:pPr>
      <w:r w:rsidRPr="00887ACF">
        <w:rPr>
          <w:rFonts w:ascii="Palatino Linotype" w:eastAsia="Palatino Linotype" w:hAnsi="Palatino Linotype" w:cs="Palatino Linotype"/>
          <w:sz w:val="22"/>
          <w:szCs w:val="22"/>
        </w:rPr>
        <w:t xml:space="preserve">El o los documentos </w:t>
      </w:r>
      <w:r w:rsidR="001B076C" w:rsidRPr="00887ACF">
        <w:rPr>
          <w:rFonts w:ascii="Palatino Linotype" w:eastAsia="Palatino Linotype" w:hAnsi="Palatino Linotype" w:cs="Palatino Linotype"/>
          <w:sz w:val="22"/>
          <w:szCs w:val="22"/>
          <w:lang w:val="es-ES" w:eastAsia="es-ES"/>
        </w:rPr>
        <w:t>que den cuenta de la categoría y experiencia laboral de los servidores públicos dados de alta en el mes de enero de dos mil veinticinco, referidos en respuesta.</w:t>
      </w:r>
    </w:p>
    <w:p w14:paraId="1E67EF59" w14:textId="4DF4F1E2" w:rsidR="001B076C" w:rsidRPr="00887ACF" w:rsidRDefault="00683B84" w:rsidP="009515F3">
      <w:pPr>
        <w:pStyle w:val="Listaconvietas3"/>
        <w:numPr>
          <w:ilvl w:val="0"/>
          <w:numId w:val="17"/>
        </w:num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Las bajas de los servidores públicos de nómina u honorarios </w:t>
      </w:r>
      <w:r w:rsidR="001B076C" w:rsidRPr="00887ACF">
        <w:rPr>
          <w:rFonts w:ascii="Palatino Linotype" w:eastAsia="Palatino Linotype" w:hAnsi="Palatino Linotype" w:cs="Palatino Linotype"/>
          <w:sz w:val="22"/>
          <w:szCs w:val="22"/>
        </w:rPr>
        <w:t>realizadas durante el mes de enero de dos mil veinticinco, mismas de las que se advierta nombre, cargo</w:t>
      </w:r>
      <w:r w:rsidR="009515F3" w:rsidRPr="00887ACF">
        <w:rPr>
          <w:rFonts w:ascii="Palatino Linotype" w:eastAsia="Palatino Linotype" w:hAnsi="Palatino Linotype" w:cs="Palatino Linotype"/>
          <w:sz w:val="22"/>
          <w:szCs w:val="22"/>
        </w:rPr>
        <w:t xml:space="preserve"> y</w:t>
      </w:r>
      <w:r w:rsidR="001B076C" w:rsidRPr="00887ACF">
        <w:rPr>
          <w:rFonts w:ascii="Palatino Linotype" w:eastAsia="Palatino Linotype" w:hAnsi="Palatino Linotype" w:cs="Palatino Linotype"/>
          <w:sz w:val="22"/>
          <w:szCs w:val="22"/>
        </w:rPr>
        <w:t xml:space="preserve"> sueldo. </w:t>
      </w:r>
    </w:p>
    <w:p w14:paraId="52D3F237" w14:textId="4040C921" w:rsidR="00891457" w:rsidRPr="00887ACF" w:rsidRDefault="000F3214" w:rsidP="009515F3">
      <w:pPr>
        <w:numPr>
          <w:ilvl w:val="0"/>
          <w:numId w:val="17"/>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El documento donde conste el monto por concepto de finiquito o liquidación de los servidores públicos dados de baja </w:t>
      </w:r>
      <w:r w:rsidR="001B076C" w:rsidRPr="00887ACF">
        <w:rPr>
          <w:rFonts w:ascii="Palatino Linotype" w:eastAsia="Palatino Linotype" w:hAnsi="Palatino Linotype" w:cs="Palatino Linotype"/>
          <w:sz w:val="22"/>
          <w:szCs w:val="22"/>
        </w:rPr>
        <w:t xml:space="preserve">durante el mes de </w:t>
      </w:r>
      <w:r w:rsidRPr="00887ACF">
        <w:rPr>
          <w:rFonts w:ascii="Palatino Linotype" w:eastAsia="Palatino Linotype" w:hAnsi="Palatino Linotype" w:cs="Palatino Linotype"/>
          <w:sz w:val="22"/>
          <w:szCs w:val="22"/>
        </w:rPr>
        <w:t>enero de dos mil veinti</w:t>
      </w:r>
      <w:r w:rsidR="001B076C" w:rsidRPr="00887ACF">
        <w:rPr>
          <w:rFonts w:ascii="Palatino Linotype" w:eastAsia="Palatino Linotype" w:hAnsi="Palatino Linotype" w:cs="Palatino Linotype"/>
          <w:sz w:val="22"/>
          <w:szCs w:val="22"/>
        </w:rPr>
        <w:t>cinco</w:t>
      </w:r>
      <w:r w:rsidRPr="00887ACF">
        <w:rPr>
          <w:rFonts w:ascii="Palatino Linotype" w:eastAsia="Palatino Linotype" w:hAnsi="Palatino Linotype" w:cs="Palatino Linotype"/>
          <w:sz w:val="22"/>
          <w:szCs w:val="22"/>
        </w:rPr>
        <w:t xml:space="preserve">. </w:t>
      </w:r>
    </w:p>
    <w:p w14:paraId="28001454" w14:textId="77777777" w:rsidR="00891457" w:rsidRPr="00887ACF" w:rsidRDefault="000F3214">
      <w:pPr>
        <w:tabs>
          <w:tab w:val="left" w:pos="709"/>
        </w:tabs>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lastRenderedPageBreak/>
        <w:t xml:space="preserve">Quinto. Versión Pública. </w:t>
      </w:r>
      <w:r w:rsidRPr="00887ACF">
        <w:rPr>
          <w:rFonts w:ascii="Palatino Linotype" w:eastAsia="Palatino Linotype" w:hAnsi="Palatino Linotype" w:cs="Palatino Linotype"/>
          <w:sz w:val="22"/>
          <w:szCs w:val="22"/>
        </w:rPr>
        <w:t>Como fue debidamente apuntado, el Sujeto Obligado debe satisfacer la solicitud de acceso a la información; sin embargo, en caso de que la misma contenga datos personales, deberá clasificarlos, observando las formalidades siguientes:</w:t>
      </w:r>
    </w:p>
    <w:p w14:paraId="2618A705"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ACC2FC1" w14:textId="77777777" w:rsidR="00891457" w:rsidRPr="00887ACF" w:rsidRDefault="000F3214">
      <w:pPr>
        <w:shd w:val="clear" w:color="auto" w:fill="FFFFFF"/>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06C29898" w14:textId="77777777" w:rsidR="00FC4D1B" w:rsidRPr="00887ACF" w:rsidRDefault="00FC4D1B">
      <w:pPr>
        <w:shd w:val="clear" w:color="auto" w:fill="FFFFFF"/>
        <w:spacing w:line="360" w:lineRule="auto"/>
        <w:ind w:right="49"/>
        <w:jc w:val="both"/>
        <w:rPr>
          <w:rFonts w:ascii="Palatino Linotype" w:eastAsia="Palatino Linotype" w:hAnsi="Palatino Linotype" w:cs="Palatino Linotype"/>
          <w:sz w:val="22"/>
          <w:szCs w:val="22"/>
        </w:rPr>
      </w:pPr>
    </w:p>
    <w:p w14:paraId="2650B6C9" w14:textId="77777777" w:rsidR="00891457" w:rsidRPr="00887ACF" w:rsidRDefault="000F3214">
      <w:pPr>
        <w:shd w:val="clear" w:color="auto" w:fill="FFFFFF"/>
        <w:spacing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81154A" w14:textId="77777777" w:rsidR="00891457" w:rsidRPr="00887ACF" w:rsidRDefault="00891457">
      <w:pPr>
        <w:shd w:val="clear" w:color="auto" w:fill="FFFFFF"/>
        <w:spacing w:line="360" w:lineRule="auto"/>
        <w:ind w:right="51"/>
        <w:jc w:val="both"/>
        <w:rPr>
          <w:rFonts w:ascii="Palatino Linotype" w:eastAsia="Palatino Linotype" w:hAnsi="Palatino Linotype" w:cs="Palatino Linotype"/>
          <w:sz w:val="22"/>
          <w:szCs w:val="22"/>
        </w:rPr>
      </w:pPr>
    </w:p>
    <w:p w14:paraId="501A6A4F" w14:textId="77777777" w:rsidR="00891457" w:rsidRPr="00887ACF" w:rsidRDefault="000F3214">
      <w:pPr>
        <w:shd w:val="clear" w:color="auto" w:fill="FFFFFF"/>
        <w:spacing w:line="360" w:lineRule="auto"/>
        <w:ind w:right="51"/>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206D3BE8" w14:textId="77777777" w:rsidR="00891457" w:rsidRPr="00887ACF" w:rsidRDefault="00891457">
      <w:pPr>
        <w:shd w:val="clear" w:color="auto" w:fill="FFFFFF"/>
        <w:spacing w:line="360" w:lineRule="auto"/>
        <w:ind w:right="51"/>
        <w:jc w:val="both"/>
        <w:rPr>
          <w:rFonts w:ascii="Palatino Linotype" w:eastAsia="Palatino Linotype" w:hAnsi="Palatino Linotype" w:cs="Palatino Linotype"/>
          <w:sz w:val="22"/>
          <w:szCs w:val="22"/>
        </w:rPr>
      </w:pPr>
    </w:p>
    <w:p w14:paraId="19A0051B"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3. Para los efectos de la presente Ley se entenderá por:</w:t>
      </w:r>
    </w:p>
    <w:p w14:paraId="2AF09DC6"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i/>
          <w:sz w:val="22"/>
          <w:szCs w:val="22"/>
        </w:rPr>
        <w:t>(…)</w:t>
      </w:r>
    </w:p>
    <w:p w14:paraId="6BE17AE9"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IX. Datos personales:</w:t>
      </w:r>
      <w:r w:rsidRPr="00887AC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4352F82"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476C7999"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lastRenderedPageBreak/>
        <w:t>XX. Información clasificada:</w:t>
      </w:r>
      <w:r w:rsidRPr="00887ACF">
        <w:rPr>
          <w:rFonts w:ascii="Palatino Linotype" w:eastAsia="Palatino Linotype" w:hAnsi="Palatino Linotype" w:cs="Palatino Linotype"/>
          <w:i/>
          <w:sz w:val="22"/>
          <w:szCs w:val="22"/>
        </w:rPr>
        <w:t> Aquella considerada por la presente Ley como reservada o confidencial;</w:t>
      </w:r>
    </w:p>
    <w:p w14:paraId="2781C796"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XXI. Información confidencial:</w:t>
      </w:r>
      <w:r w:rsidRPr="00887AC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D299A3"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025CDB62"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XXXII. Protección de Datos Personales:</w:t>
      </w:r>
      <w:r w:rsidRPr="00887AC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F58F7EC"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532BF0DA"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XLV. Versión pública</w:t>
      </w:r>
      <w:r w:rsidRPr="00887AC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7C3BD0D"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 Artículo 6.</w:t>
      </w:r>
      <w:r w:rsidRPr="00887AC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B387E1B"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w:t>
      </w:r>
      <w:r w:rsidRPr="00887ACF">
        <w:rPr>
          <w:rFonts w:ascii="Palatino Linotype" w:eastAsia="Palatino Linotype" w:hAnsi="Palatino Linotype" w:cs="Palatino Linotype"/>
          <w:b/>
          <w:i/>
          <w:sz w:val="22"/>
          <w:szCs w:val="22"/>
        </w:rPr>
        <w:t>Artículo 49.</w:t>
      </w:r>
      <w:r w:rsidRPr="00887ACF">
        <w:rPr>
          <w:rFonts w:ascii="Palatino Linotype" w:eastAsia="Palatino Linotype" w:hAnsi="Palatino Linotype" w:cs="Palatino Linotype"/>
          <w:i/>
          <w:sz w:val="22"/>
          <w:szCs w:val="22"/>
        </w:rPr>
        <w:t> Los Comités de Transparencia tendrán las siguientes atribuciones:</w:t>
      </w:r>
    </w:p>
    <w:p w14:paraId="114A983F"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75BF5278"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VIII</w:t>
      </w:r>
      <w:r w:rsidRPr="00887ACF">
        <w:rPr>
          <w:rFonts w:ascii="Palatino Linotype" w:eastAsia="Palatino Linotype" w:hAnsi="Palatino Linotype" w:cs="Palatino Linotype"/>
          <w:i/>
          <w:sz w:val="22"/>
          <w:szCs w:val="22"/>
        </w:rPr>
        <w:t>. Aprobar, modificar o revocar la clasificación de la información;</w:t>
      </w:r>
    </w:p>
    <w:p w14:paraId="47CBBE87"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6E592179"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 xml:space="preserve">Artículo 91. </w:t>
      </w:r>
      <w:r w:rsidRPr="00887AC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C661664"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p>
    <w:p w14:paraId="2375E8D9"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t>Artículo 137</w:t>
      </w:r>
      <w:r w:rsidRPr="00887ACF">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D72A3AC"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i/>
          <w:sz w:val="22"/>
          <w:szCs w:val="22"/>
        </w:rPr>
        <w:lastRenderedPageBreak/>
        <w:t>Artículo 143</w:t>
      </w:r>
      <w:r w:rsidRPr="00887AC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1FDEB55" w14:textId="77777777" w:rsidR="00891457" w:rsidRPr="00887ACF" w:rsidRDefault="000F3214" w:rsidP="00FC4D1B">
      <w:pPr>
        <w:shd w:val="clear" w:color="auto" w:fill="FFFFFF"/>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539DA71" w14:textId="77777777" w:rsidR="00891457" w:rsidRPr="00887ACF" w:rsidRDefault="00891457">
      <w:pPr>
        <w:shd w:val="clear" w:color="auto" w:fill="FFFFFF"/>
        <w:spacing w:line="360" w:lineRule="auto"/>
        <w:ind w:left="851" w:right="851"/>
        <w:jc w:val="both"/>
        <w:rPr>
          <w:rFonts w:ascii="Palatino Linotype" w:eastAsia="Palatino Linotype" w:hAnsi="Palatino Linotype" w:cs="Palatino Linotype"/>
          <w:sz w:val="22"/>
          <w:szCs w:val="22"/>
        </w:rPr>
      </w:pPr>
    </w:p>
    <w:p w14:paraId="477E1497" w14:textId="77777777" w:rsidR="00891457" w:rsidRPr="00887ACF" w:rsidRDefault="000F3214">
      <w:pPr>
        <w:spacing w:line="360" w:lineRule="auto"/>
        <w:ind w:right="5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AE8C24A" w14:textId="77777777" w:rsidR="00891457" w:rsidRPr="00887ACF" w:rsidRDefault="00891457">
      <w:pPr>
        <w:spacing w:line="360" w:lineRule="auto"/>
        <w:ind w:right="50"/>
        <w:jc w:val="both"/>
        <w:rPr>
          <w:rFonts w:ascii="Palatino Linotype" w:eastAsia="Palatino Linotype" w:hAnsi="Palatino Linotype" w:cs="Palatino Linotype"/>
          <w:sz w:val="22"/>
          <w:szCs w:val="22"/>
        </w:rPr>
      </w:pPr>
    </w:p>
    <w:p w14:paraId="5E727E20" w14:textId="77777777" w:rsidR="00891457" w:rsidRPr="00887ACF" w:rsidRDefault="000F3214">
      <w:pPr>
        <w:spacing w:line="360" w:lineRule="auto"/>
        <w:ind w:right="5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695D8B62" w14:textId="77777777" w:rsidR="00891457" w:rsidRPr="00887ACF" w:rsidRDefault="00891457">
      <w:pPr>
        <w:spacing w:line="360" w:lineRule="auto"/>
        <w:ind w:right="50"/>
        <w:jc w:val="both"/>
        <w:rPr>
          <w:rFonts w:ascii="Palatino Linotype" w:eastAsia="Palatino Linotype" w:hAnsi="Palatino Linotype" w:cs="Palatino Linotype"/>
          <w:sz w:val="22"/>
          <w:szCs w:val="22"/>
        </w:rPr>
      </w:pPr>
    </w:p>
    <w:p w14:paraId="44B90ECF" w14:textId="77777777" w:rsidR="00891457" w:rsidRPr="00887ACF" w:rsidRDefault="000F3214">
      <w:pPr>
        <w:spacing w:line="360" w:lineRule="auto"/>
        <w:ind w:right="50"/>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w:t>
      </w:r>
      <w:r w:rsidRPr="00887ACF">
        <w:rPr>
          <w:rFonts w:ascii="Palatino Linotype" w:eastAsia="Palatino Linotype" w:hAnsi="Palatino Linotype" w:cs="Palatino Linotype"/>
          <w:sz w:val="22"/>
          <w:szCs w:val="22"/>
        </w:rPr>
        <w:lastRenderedPageBreak/>
        <w:t>artículos 49 fracción VIII, 53, fracción X y 59, fracción V, de la Ley en consulta, cuyo sentido literal es el siguiente:</w:t>
      </w:r>
    </w:p>
    <w:p w14:paraId="41066B9C" w14:textId="77777777" w:rsidR="00490FC3" w:rsidRPr="00887ACF" w:rsidRDefault="00490FC3" w:rsidP="00FC4D1B">
      <w:pPr>
        <w:spacing w:line="276" w:lineRule="auto"/>
        <w:ind w:left="851" w:right="616"/>
        <w:jc w:val="both"/>
        <w:rPr>
          <w:rFonts w:ascii="Palatino Linotype" w:eastAsia="Palatino Linotype" w:hAnsi="Palatino Linotype" w:cs="Palatino Linotype"/>
          <w:b/>
          <w:i/>
          <w:sz w:val="22"/>
          <w:szCs w:val="22"/>
        </w:rPr>
      </w:pPr>
    </w:p>
    <w:p w14:paraId="0507C34F" w14:textId="77777777" w:rsidR="00891457" w:rsidRPr="00887ACF" w:rsidRDefault="000F3214" w:rsidP="00FC4D1B">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“Artículo 49.</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rPr>
        <w:t>Los Comités de Transparencia</w:t>
      </w:r>
      <w:r w:rsidRPr="00887ACF">
        <w:rPr>
          <w:rFonts w:ascii="Palatino Linotype" w:eastAsia="Palatino Linotype" w:hAnsi="Palatino Linotype" w:cs="Palatino Linotype"/>
          <w:i/>
          <w:sz w:val="22"/>
          <w:szCs w:val="22"/>
        </w:rPr>
        <w:t xml:space="preserve"> tendrán las siguientes atribuciones:</w:t>
      </w:r>
    </w:p>
    <w:p w14:paraId="15DC4F0C" w14:textId="77777777" w:rsidR="00891457" w:rsidRPr="00887ACF" w:rsidRDefault="000F3214" w:rsidP="00FC4D1B">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VIII. Aprobar, modificar o revocar la clasificación de la información</w:t>
      </w:r>
      <w:r w:rsidRPr="00887ACF">
        <w:rPr>
          <w:rFonts w:ascii="Palatino Linotype" w:eastAsia="Palatino Linotype" w:hAnsi="Palatino Linotype" w:cs="Palatino Linotype"/>
          <w:i/>
          <w:sz w:val="22"/>
          <w:szCs w:val="22"/>
        </w:rPr>
        <w:t>…”</w:t>
      </w:r>
    </w:p>
    <w:p w14:paraId="3FD12C51" w14:textId="77777777" w:rsidR="00891457" w:rsidRPr="00887ACF" w:rsidRDefault="000F3214" w:rsidP="00FC4D1B">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53.</w:t>
      </w:r>
      <w:r w:rsidRPr="00887ACF">
        <w:rPr>
          <w:rFonts w:ascii="Palatino Linotype" w:eastAsia="Palatino Linotype" w:hAnsi="Palatino Linotype" w:cs="Palatino Linotype"/>
          <w:i/>
          <w:sz w:val="22"/>
          <w:szCs w:val="22"/>
        </w:rPr>
        <w:t xml:space="preserve"> Las </w:t>
      </w:r>
      <w:r w:rsidRPr="00887ACF">
        <w:rPr>
          <w:rFonts w:ascii="Palatino Linotype" w:eastAsia="Palatino Linotype" w:hAnsi="Palatino Linotype" w:cs="Palatino Linotype"/>
          <w:b/>
          <w:i/>
          <w:sz w:val="22"/>
          <w:szCs w:val="22"/>
        </w:rPr>
        <w:t>Unidades de Transparencia</w:t>
      </w:r>
      <w:r w:rsidRPr="00887ACF">
        <w:rPr>
          <w:rFonts w:ascii="Palatino Linotype" w:eastAsia="Palatino Linotype" w:hAnsi="Palatino Linotype" w:cs="Palatino Linotype"/>
          <w:i/>
          <w:sz w:val="22"/>
          <w:szCs w:val="22"/>
        </w:rPr>
        <w:t xml:space="preserve"> tendrán las siguientes </w:t>
      </w:r>
      <w:r w:rsidRPr="00887ACF">
        <w:rPr>
          <w:rFonts w:ascii="Palatino Linotype" w:eastAsia="Palatino Linotype" w:hAnsi="Palatino Linotype" w:cs="Palatino Linotype"/>
          <w:b/>
          <w:i/>
          <w:sz w:val="22"/>
          <w:szCs w:val="22"/>
        </w:rPr>
        <w:t>funciones</w:t>
      </w:r>
      <w:r w:rsidRPr="00887ACF">
        <w:rPr>
          <w:rFonts w:ascii="Palatino Linotype" w:eastAsia="Palatino Linotype" w:hAnsi="Palatino Linotype" w:cs="Palatino Linotype"/>
          <w:i/>
          <w:sz w:val="22"/>
          <w:szCs w:val="22"/>
        </w:rPr>
        <w:t>:</w:t>
      </w:r>
    </w:p>
    <w:p w14:paraId="569DF8AA" w14:textId="77777777" w:rsidR="00891457" w:rsidRPr="00887ACF" w:rsidRDefault="000F3214" w:rsidP="00FC4D1B">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X. Presentar ante el Comité, el proyecto de clasificación de información</w:t>
      </w:r>
      <w:r w:rsidRPr="00887ACF">
        <w:rPr>
          <w:rFonts w:ascii="Palatino Linotype" w:eastAsia="Palatino Linotype" w:hAnsi="Palatino Linotype" w:cs="Palatino Linotype"/>
          <w:i/>
          <w:sz w:val="22"/>
          <w:szCs w:val="22"/>
        </w:rPr>
        <w:t xml:space="preserve">…” </w:t>
      </w:r>
    </w:p>
    <w:p w14:paraId="0559786A" w14:textId="77777777" w:rsidR="00891457" w:rsidRPr="00887ACF" w:rsidRDefault="000F3214" w:rsidP="00FC4D1B">
      <w:pPr>
        <w:spacing w:line="276" w:lineRule="auto"/>
        <w:ind w:left="851"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“Artículo 59.</w:t>
      </w:r>
      <w:r w:rsidRPr="00887ACF">
        <w:rPr>
          <w:rFonts w:ascii="Palatino Linotype" w:eastAsia="Palatino Linotype" w:hAnsi="Palatino Linotype" w:cs="Palatino Linotype"/>
          <w:i/>
          <w:sz w:val="22"/>
          <w:szCs w:val="22"/>
        </w:rPr>
        <w:t xml:space="preserve"> Los </w:t>
      </w:r>
      <w:r w:rsidRPr="00887ACF">
        <w:rPr>
          <w:rFonts w:ascii="Palatino Linotype" w:eastAsia="Palatino Linotype" w:hAnsi="Palatino Linotype" w:cs="Palatino Linotype"/>
          <w:b/>
          <w:i/>
          <w:sz w:val="22"/>
          <w:szCs w:val="22"/>
        </w:rPr>
        <w:t>servidores públicos habilitados</w:t>
      </w:r>
      <w:r w:rsidRPr="00887ACF">
        <w:rPr>
          <w:rFonts w:ascii="Palatino Linotype" w:eastAsia="Palatino Linotype" w:hAnsi="Palatino Linotype" w:cs="Palatino Linotype"/>
          <w:i/>
          <w:sz w:val="22"/>
          <w:szCs w:val="22"/>
        </w:rPr>
        <w:t xml:space="preserve"> tendrán las </w:t>
      </w:r>
      <w:r w:rsidRPr="00887ACF">
        <w:rPr>
          <w:rFonts w:ascii="Palatino Linotype" w:eastAsia="Palatino Linotype" w:hAnsi="Palatino Linotype" w:cs="Palatino Linotype"/>
          <w:b/>
          <w:i/>
          <w:sz w:val="22"/>
          <w:szCs w:val="22"/>
        </w:rPr>
        <w:t>funciones</w:t>
      </w:r>
      <w:r w:rsidRPr="00887ACF">
        <w:rPr>
          <w:rFonts w:ascii="Palatino Linotype" w:eastAsia="Palatino Linotype" w:hAnsi="Palatino Linotype" w:cs="Palatino Linotype"/>
          <w:i/>
          <w:sz w:val="22"/>
          <w:szCs w:val="22"/>
        </w:rPr>
        <w:t xml:space="preserve"> siguientes:</w:t>
      </w:r>
    </w:p>
    <w:p w14:paraId="546D2823" w14:textId="77777777" w:rsidR="00891457" w:rsidRPr="00887ACF" w:rsidRDefault="000F3214" w:rsidP="00FC4D1B">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87ACF">
        <w:rPr>
          <w:rFonts w:ascii="Palatino Linotype" w:eastAsia="Palatino Linotype" w:hAnsi="Palatino Linotype" w:cs="Palatino Linotype"/>
          <w:i/>
          <w:sz w:val="22"/>
          <w:szCs w:val="22"/>
        </w:rPr>
        <w:t>, la cual tendrá los fundamentos y argumentos en que se basa dicha propuesta…”</w:t>
      </w:r>
    </w:p>
    <w:p w14:paraId="7AA9B84E" w14:textId="77777777" w:rsidR="00891457" w:rsidRPr="00887ACF" w:rsidRDefault="00891457">
      <w:pPr>
        <w:spacing w:line="360" w:lineRule="auto"/>
        <w:ind w:left="851" w:right="851"/>
        <w:jc w:val="both"/>
        <w:rPr>
          <w:rFonts w:ascii="Palatino Linotype" w:eastAsia="Palatino Linotype" w:hAnsi="Palatino Linotype" w:cs="Palatino Linotype"/>
          <w:i/>
          <w:sz w:val="22"/>
          <w:szCs w:val="22"/>
        </w:rPr>
      </w:pPr>
    </w:p>
    <w:p w14:paraId="5C107043"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proofErr w:type="spellStart"/>
      <w:r w:rsidRPr="00887ACF">
        <w:rPr>
          <w:rFonts w:ascii="Palatino Linotype" w:eastAsia="Palatino Linotype" w:hAnsi="Palatino Linotype" w:cs="Palatino Linotype"/>
          <w:sz w:val="22"/>
          <w:szCs w:val="22"/>
        </w:rPr>
        <w:t>esta</w:t>
      </w:r>
      <w:proofErr w:type="spellEnd"/>
      <w:r w:rsidRPr="00887ACF">
        <w:rPr>
          <w:rFonts w:ascii="Palatino Linotype" w:eastAsia="Palatino Linotype" w:hAnsi="Palatino Linotype" w:cs="Palatino Linotype"/>
          <w:sz w:val="22"/>
          <w:szCs w:val="22"/>
        </w:rPr>
        <w:t xml:space="preserve"> presente ante al Comité de Transparencia de así resultar procedente el proyecto de clasificación de la información y finalmente sea éste último quien apruebe, modifique o revoque la clasificación de la información solicitada.</w:t>
      </w:r>
    </w:p>
    <w:p w14:paraId="7DAF91C7"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53787E85"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09A9EA4" w14:textId="77777777" w:rsidR="00891457" w:rsidRPr="00887ACF" w:rsidRDefault="000F3214">
      <w:pPr>
        <w:spacing w:line="276" w:lineRule="auto"/>
        <w:ind w:left="993" w:right="1041"/>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Artículo 149.</w:t>
      </w:r>
      <w:r w:rsidRPr="00887ACF">
        <w:rPr>
          <w:rFonts w:ascii="Palatino Linotype" w:eastAsia="Palatino Linotype" w:hAnsi="Palatino Linotype" w:cs="Palatino Linotype"/>
          <w:i/>
          <w:sz w:val="22"/>
          <w:szCs w:val="22"/>
        </w:rPr>
        <w:t xml:space="preserve"> El </w:t>
      </w:r>
      <w:r w:rsidRPr="00887ACF">
        <w:rPr>
          <w:rFonts w:ascii="Palatino Linotype" w:eastAsia="Palatino Linotype" w:hAnsi="Palatino Linotype" w:cs="Palatino Linotype"/>
          <w:b/>
          <w:i/>
          <w:sz w:val="22"/>
          <w:szCs w:val="22"/>
        </w:rPr>
        <w:t>acuerdo que clasifique la información como confidencial</w:t>
      </w:r>
      <w:r w:rsidRPr="00887ACF">
        <w:rPr>
          <w:rFonts w:ascii="Palatino Linotype" w:eastAsia="Palatino Linotype" w:hAnsi="Palatino Linotype" w:cs="Palatino Linotype"/>
          <w:i/>
          <w:sz w:val="22"/>
          <w:szCs w:val="22"/>
        </w:rPr>
        <w:t xml:space="preserve"> deberá contener un razonamiento lógico en el que demuestre que </w:t>
      </w:r>
      <w:r w:rsidRPr="00887ACF">
        <w:rPr>
          <w:rFonts w:ascii="Palatino Linotype" w:eastAsia="Palatino Linotype" w:hAnsi="Palatino Linotype" w:cs="Palatino Linotype"/>
          <w:i/>
          <w:sz w:val="22"/>
          <w:szCs w:val="22"/>
        </w:rPr>
        <w:lastRenderedPageBreak/>
        <w:t>la información se encuentra en alguna o algunas de las hipótesis previstas en la presente Ley.”</w:t>
      </w:r>
    </w:p>
    <w:p w14:paraId="56C4C9C0" w14:textId="77777777" w:rsidR="00891457" w:rsidRPr="00887ACF" w:rsidRDefault="00891457">
      <w:pPr>
        <w:spacing w:line="360" w:lineRule="auto"/>
        <w:ind w:left="993" w:right="1041"/>
        <w:jc w:val="both"/>
        <w:rPr>
          <w:rFonts w:ascii="Palatino Linotype" w:eastAsia="Palatino Linotype" w:hAnsi="Palatino Linotype" w:cs="Palatino Linotype"/>
          <w:i/>
          <w:sz w:val="22"/>
          <w:szCs w:val="22"/>
        </w:rPr>
      </w:pPr>
    </w:p>
    <w:p w14:paraId="567CB23A" w14:textId="77777777"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8CE2EFE"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68ED8A88"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887ACF">
        <w:rPr>
          <w:rFonts w:ascii="Palatino Linotype" w:eastAsia="Palatino Linotype" w:hAnsi="Palatino Linotype" w:cs="Palatino Linotype"/>
          <w:b/>
          <w:sz w:val="22"/>
          <w:szCs w:val="22"/>
        </w:rPr>
        <w:t>confidencial</w:t>
      </w:r>
      <w:r w:rsidRPr="00887ACF">
        <w:rPr>
          <w:rFonts w:ascii="Palatino Linotype" w:eastAsia="Palatino Linotype" w:hAnsi="Palatino Linotype" w:cs="Palatino Linotype"/>
          <w:sz w:val="22"/>
          <w:szCs w:val="22"/>
        </w:rPr>
        <w:t xml:space="preserve">. </w:t>
      </w:r>
    </w:p>
    <w:p w14:paraId="7BE86F73"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F088C22"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w:t>
      </w:r>
      <w:r w:rsidRPr="00887ACF">
        <w:rPr>
          <w:rFonts w:ascii="Palatino Linotype" w:eastAsia="Palatino Linotype" w:hAnsi="Palatino Linotype" w:cs="Palatino Linotype"/>
          <w:sz w:val="22"/>
          <w:szCs w:val="22"/>
        </w:rPr>
        <w:lastRenderedPageBreak/>
        <w:t>abril de 2016, mediante Acuerdo del Consejo Nacional del Sistema Nacional de Transparencia, Acceso a la Información Pública y Protección de Datos Personales.</w:t>
      </w:r>
    </w:p>
    <w:p w14:paraId="25F4C9D9"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AF046F9"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En ese sentido, cabe recalcar que el documento donde consten los ajustes presupuestarios, en el caso de que contengan diversos datos como Registro Federal de Contribuyentes (RFC), Clave única de Registro de Población (CURP), clave del Instituto de Seguridad Social del Estado de México y Municipios (ISSEMyM), </w:t>
      </w:r>
      <w:r w:rsidRPr="00887ACF">
        <w:rPr>
          <w:rFonts w:ascii="Palatino Linotype" w:eastAsia="Palatino Linotype" w:hAnsi="Palatino Linotype" w:cs="Palatino Linotype"/>
          <w:b/>
          <w:sz w:val="22"/>
          <w:szCs w:val="22"/>
        </w:rPr>
        <w:t>los descuentos que se realicen por pensión alimenticia o deducciones estrictamente personales o de cualquier índole siempre que, no se encuentren relacionados con los impuestos o las cuotas por seguridad social</w:t>
      </w:r>
      <w:r w:rsidRPr="00887ACF">
        <w:rPr>
          <w:rFonts w:ascii="Palatino Linotype" w:eastAsia="Palatino Linotype" w:hAnsi="Palatino Linotype" w:cs="Palatino Linotype"/>
          <w:sz w:val="22"/>
          <w:szCs w:val="22"/>
        </w:rPr>
        <w:t xml:space="preserve">, número de cuenta o cualquier otro dato que ponga en riesgo la vida, seguridad y salud de dichas personas, se deberán omitir, por actualizar la causal de clasificación prevista en la fracción I del artículo 143 de la Ley de Transparencia y Acceso a la Información del Estado de México y Municipios, en razón a lo siguiente: </w:t>
      </w:r>
    </w:p>
    <w:p w14:paraId="2EDFA0B0"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54245ECC"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87ACF">
        <w:rPr>
          <w:rFonts w:ascii="Palatino Linotype" w:eastAsia="Palatino Linotype" w:hAnsi="Palatino Linotype" w:cs="Palatino Linotype"/>
          <w:sz w:val="22"/>
          <w:szCs w:val="22"/>
        </w:rPr>
        <w:t>homoclave</w:t>
      </w:r>
      <w:proofErr w:type="spellEnd"/>
      <w:r w:rsidRPr="00887ACF">
        <w:rPr>
          <w:rFonts w:ascii="Palatino Linotype" w:eastAsia="Palatino Linotype" w:hAnsi="Palatino Linotype" w:cs="Palatino Linotype"/>
          <w:sz w:val="22"/>
          <w:szCs w:val="22"/>
        </w:rPr>
        <w:t>; la cual, para su obtención es necesario acreditar personalidad, fecha de nacimiento entre otros con documentos oficiales.</w:t>
      </w:r>
    </w:p>
    <w:p w14:paraId="1255904E"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78DABCB"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Al respecto, es aplicable el Criterio 19/17 de la Segunda Época, emitido por el INAI, que dice:</w:t>
      </w:r>
    </w:p>
    <w:p w14:paraId="729908F5" w14:textId="77777777" w:rsidR="00891457" w:rsidRPr="00887ACF" w:rsidRDefault="000F3214">
      <w:pPr>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lastRenderedPageBreak/>
        <w:t>“</w:t>
      </w:r>
      <w:r w:rsidRPr="00887ACF">
        <w:rPr>
          <w:rFonts w:ascii="Palatino Linotype" w:eastAsia="Palatino Linotype" w:hAnsi="Palatino Linotype" w:cs="Palatino Linotype"/>
          <w:b/>
          <w:i/>
          <w:sz w:val="22"/>
          <w:szCs w:val="22"/>
        </w:rPr>
        <w:t>Registro Federal de Contribuyentes (RFC) de personas físicas. El RFC es una clave</w:t>
      </w:r>
      <w:r w:rsidRPr="00887ACF">
        <w:rPr>
          <w:rFonts w:ascii="Palatino Linotype" w:eastAsia="Palatino Linotype" w:hAnsi="Palatino Linotype" w:cs="Palatino Linotype"/>
          <w:i/>
          <w:sz w:val="22"/>
          <w:szCs w:val="22"/>
        </w:rPr>
        <w:t xml:space="preserve"> de carácter fiscal, única e irrepetible, </w:t>
      </w:r>
      <w:r w:rsidRPr="00887ACF">
        <w:rPr>
          <w:rFonts w:ascii="Palatino Linotype" w:eastAsia="Palatino Linotype" w:hAnsi="Palatino Linotype" w:cs="Palatino Linotype"/>
          <w:b/>
          <w:i/>
          <w:sz w:val="22"/>
          <w:szCs w:val="22"/>
        </w:rPr>
        <w:t>que permite identificar al titular, su edad y fecha de nacimiento</w:t>
      </w:r>
      <w:r w:rsidRPr="00887ACF">
        <w:rPr>
          <w:rFonts w:ascii="Palatino Linotype" w:eastAsia="Palatino Linotype" w:hAnsi="Palatino Linotype" w:cs="Palatino Linotype"/>
          <w:i/>
          <w:sz w:val="22"/>
          <w:szCs w:val="22"/>
        </w:rPr>
        <w:t xml:space="preserve">, por lo que </w:t>
      </w:r>
      <w:r w:rsidRPr="00887ACF">
        <w:rPr>
          <w:rFonts w:ascii="Palatino Linotype" w:eastAsia="Palatino Linotype" w:hAnsi="Palatino Linotype" w:cs="Palatino Linotype"/>
          <w:b/>
          <w:i/>
          <w:sz w:val="22"/>
          <w:szCs w:val="22"/>
        </w:rPr>
        <w:t>es un dato personal de carácter confidencial</w:t>
      </w:r>
      <w:r w:rsidRPr="00887ACF">
        <w:rPr>
          <w:rFonts w:ascii="Palatino Linotype" w:eastAsia="Palatino Linotype" w:hAnsi="Palatino Linotype" w:cs="Palatino Linotype"/>
          <w:i/>
          <w:sz w:val="22"/>
          <w:szCs w:val="22"/>
        </w:rPr>
        <w:t>”</w:t>
      </w:r>
    </w:p>
    <w:p w14:paraId="73F998D6" w14:textId="77777777" w:rsidR="00891457" w:rsidRPr="00887ACF" w:rsidRDefault="000F3214">
      <w:pPr>
        <w:tabs>
          <w:tab w:val="left" w:pos="7655"/>
        </w:tabs>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(Énfasis añadido)</w:t>
      </w:r>
    </w:p>
    <w:p w14:paraId="49693111"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638C4598" w14:textId="3112EF10"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w:t>
      </w:r>
      <w:proofErr w:type="spellStart"/>
      <w:r w:rsidRPr="00887ACF">
        <w:rPr>
          <w:rFonts w:ascii="Palatino Linotype" w:eastAsia="Palatino Linotype" w:hAnsi="Palatino Linotype" w:cs="Palatino Linotype"/>
          <w:sz w:val="22"/>
          <w:szCs w:val="22"/>
        </w:rPr>
        <w:t>tér</w:t>
      </w:r>
      <w:proofErr w:type="spellEnd"/>
      <w:r w:rsidR="00454B92" w:rsidRPr="00887ACF">
        <w:rPr>
          <w:rFonts w:ascii="Palatino Linotype" w:eastAsia="Palatino Linotype" w:hAnsi="Palatino Linotype" w:cs="Palatino Linotype"/>
          <w:sz w:val="22"/>
          <w:szCs w:val="22"/>
        </w:rPr>
        <w:t xml:space="preserve">   </w:t>
      </w:r>
      <w:proofErr w:type="spellStart"/>
      <w:r w:rsidRPr="00887ACF">
        <w:rPr>
          <w:rFonts w:ascii="Palatino Linotype" w:eastAsia="Palatino Linotype" w:hAnsi="Palatino Linotype" w:cs="Palatino Linotype"/>
          <w:sz w:val="22"/>
          <w:szCs w:val="22"/>
        </w:rPr>
        <w:t>minos</w:t>
      </w:r>
      <w:proofErr w:type="spellEnd"/>
      <w:r w:rsidRPr="00887ACF">
        <w:rPr>
          <w:rFonts w:ascii="Palatino Linotype" w:eastAsia="Palatino Linotype" w:hAnsi="Palatino Linotype" w:cs="Palatino Linotype"/>
          <w:sz w:val="22"/>
          <w:szCs w:val="22"/>
        </w:rPr>
        <w:t xml:space="preserve">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756D20E"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8C523E5"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cuanto hace a la CURP</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FF0CF7"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CA13479"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Lo anterior, tiene sustento en los artículos 86 y 91 de la Ley General de Población, la cual señala lo siguiente:</w:t>
      </w:r>
    </w:p>
    <w:p w14:paraId="4F66F081"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B256A18"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 xml:space="preserve">Artículo 86. </w:t>
      </w:r>
      <w:r w:rsidRPr="00887ACF">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2563DD68"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Artículo 91. Al incorporar a una persona en el Registro Nacional de Población</w:t>
      </w:r>
      <w:r w:rsidRPr="00887ACF">
        <w:rPr>
          <w:rFonts w:ascii="Palatino Linotype" w:eastAsia="Palatino Linotype" w:hAnsi="Palatino Linotype" w:cs="Palatino Linotype"/>
          <w:i/>
          <w:sz w:val="22"/>
          <w:szCs w:val="22"/>
        </w:rPr>
        <w:t xml:space="preserve">, se le asignará una clave </w:t>
      </w:r>
      <w:r w:rsidRPr="00887ACF">
        <w:rPr>
          <w:rFonts w:ascii="Palatino Linotype" w:eastAsia="Palatino Linotype" w:hAnsi="Palatino Linotype" w:cs="Palatino Linotype"/>
          <w:b/>
          <w:i/>
          <w:sz w:val="22"/>
          <w:szCs w:val="22"/>
        </w:rPr>
        <w:t xml:space="preserve">que se denominará Clave Única de Registro </w:t>
      </w:r>
      <w:r w:rsidRPr="00887ACF">
        <w:rPr>
          <w:rFonts w:ascii="Palatino Linotype" w:eastAsia="Palatino Linotype" w:hAnsi="Palatino Linotype" w:cs="Palatino Linotype"/>
          <w:b/>
          <w:i/>
          <w:sz w:val="22"/>
          <w:szCs w:val="22"/>
        </w:rPr>
        <w:lastRenderedPageBreak/>
        <w:t>de Población</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rPr>
        <w:t>Esta servirá para</w:t>
      </w:r>
      <w:r w:rsidRPr="00887ACF">
        <w:rPr>
          <w:rFonts w:ascii="Palatino Linotype" w:eastAsia="Palatino Linotype" w:hAnsi="Palatino Linotype" w:cs="Palatino Linotype"/>
          <w:i/>
          <w:sz w:val="22"/>
          <w:szCs w:val="22"/>
        </w:rPr>
        <w:t xml:space="preserve"> registrarla e </w:t>
      </w:r>
      <w:r w:rsidRPr="00887ACF">
        <w:rPr>
          <w:rFonts w:ascii="Palatino Linotype" w:eastAsia="Palatino Linotype" w:hAnsi="Palatino Linotype" w:cs="Palatino Linotype"/>
          <w:b/>
          <w:i/>
          <w:sz w:val="22"/>
          <w:szCs w:val="22"/>
        </w:rPr>
        <w:t>identificarla en forma individual</w:t>
      </w:r>
      <w:r w:rsidRPr="00887ACF">
        <w:rPr>
          <w:rFonts w:ascii="Palatino Linotype" w:eastAsia="Palatino Linotype" w:hAnsi="Palatino Linotype" w:cs="Palatino Linotype"/>
          <w:i/>
          <w:sz w:val="22"/>
          <w:szCs w:val="22"/>
        </w:rPr>
        <w:t xml:space="preserve">.” </w:t>
      </w:r>
    </w:p>
    <w:p w14:paraId="0331AB96" w14:textId="77777777" w:rsidR="00891457" w:rsidRPr="00887ACF" w:rsidRDefault="000F3214">
      <w:pP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(Énfasis añadido)</w:t>
      </w:r>
    </w:p>
    <w:p w14:paraId="239053F0"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2F0EBBD"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1F90A26E"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Al respecto, el INAI, a través del Criterio 18/17 de la Segunda Época, señala literalmente lo siguiente:</w:t>
      </w:r>
    </w:p>
    <w:p w14:paraId="0AB417A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39FD06CA"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w:t>
      </w:r>
      <w:r w:rsidRPr="00887ACF">
        <w:rPr>
          <w:rFonts w:ascii="Palatino Linotype" w:eastAsia="Palatino Linotype" w:hAnsi="Palatino Linotype" w:cs="Palatino Linotype"/>
          <w:b/>
          <w:i/>
          <w:sz w:val="22"/>
          <w:szCs w:val="22"/>
        </w:rPr>
        <w:t>Clave Única de Registro de Población (CURP).</w:t>
      </w:r>
      <w:r w:rsidRPr="00887ACF">
        <w:rPr>
          <w:rFonts w:ascii="Palatino Linotype" w:eastAsia="Palatino Linotype" w:hAnsi="Palatino Linotype" w:cs="Palatino Linotype"/>
          <w:i/>
          <w:sz w:val="22"/>
          <w:szCs w:val="22"/>
        </w:rPr>
        <w:t xml:space="preserve"> </w:t>
      </w:r>
      <w:r w:rsidRPr="00887ACF">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887ACF">
        <w:rPr>
          <w:rFonts w:ascii="Palatino Linotype" w:eastAsia="Palatino Linotype" w:hAnsi="Palatino Linotype" w:cs="Palatino Linotype"/>
          <w:i/>
          <w:sz w:val="22"/>
          <w:szCs w:val="22"/>
        </w:rPr>
        <w:t xml:space="preserve"> de la misma, </w:t>
      </w:r>
      <w:r w:rsidRPr="00887ACF">
        <w:rPr>
          <w:rFonts w:ascii="Palatino Linotype" w:eastAsia="Palatino Linotype" w:hAnsi="Palatino Linotype" w:cs="Palatino Linotype"/>
          <w:b/>
          <w:i/>
          <w:sz w:val="22"/>
          <w:szCs w:val="22"/>
        </w:rPr>
        <w:t>como lo son su nombre, apellidos, fecha de nacimiento, lugar de nacimiento y sexo</w:t>
      </w:r>
      <w:r w:rsidRPr="00887ACF">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887ACF">
        <w:rPr>
          <w:rFonts w:ascii="Palatino Linotype" w:eastAsia="Palatino Linotype" w:hAnsi="Palatino Linotype" w:cs="Palatino Linotype"/>
          <w:b/>
          <w:i/>
          <w:sz w:val="22"/>
          <w:szCs w:val="22"/>
        </w:rPr>
        <w:t>por lo que la CURP está considerada como información confidencial</w:t>
      </w:r>
      <w:r w:rsidRPr="00887ACF">
        <w:rPr>
          <w:rFonts w:ascii="Palatino Linotype" w:eastAsia="Palatino Linotype" w:hAnsi="Palatino Linotype" w:cs="Palatino Linotype"/>
          <w:i/>
          <w:sz w:val="22"/>
          <w:szCs w:val="22"/>
        </w:rPr>
        <w:t>. (Sic)</w:t>
      </w:r>
    </w:p>
    <w:p w14:paraId="3AFA3D0A" w14:textId="77777777" w:rsidR="00891457" w:rsidRPr="00887ACF" w:rsidRDefault="000F3214">
      <w:pP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(Énfasis añadido)</w:t>
      </w:r>
    </w:p>
    <w:p w14:paraId="2D047151" w14:textId="77777777" w:rsidR="00891457" w:rsidRPr="00887ACF" w:rsidRDefault="00891457">
      <w:pPr>
        <w:spacing w:line="360" w:lineRule="auto"/>
        <w:ind w:left="851" w:right="902"/>
        <w:jc w:val="both"/>
        <w:rPr>
          <w:rFonts w:ascii="Palatino Linotype" w:eastAsia="Palatino Linotype" w:hAnsi="Palatino Linotype" w:cs="Palatino Linotype"/>
          <w:sz w:val="22"/>
          <w:szCs w:val="22"/>
        </w:rPr>
      </w:pPr>
    </w:p>
    <w:p w14:paraId="1E7BEB3F"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w:t>
      </w:r>
      <w:r w:rsidRPr="00887ACF">
        <w:rPr>
          <w:rFonts w:ascii="Palatino Linotype" w:eastAsia="Palatino Linotype" w:hAnsi="Palatino Linotype" w:cs="Palatino Linotype"/>
          <w:sz w:val="22"/>
          <w:szCs w:val="22"/>
        </w:rPr>
        <w:lastRenderedPageBreak/>
        <w:t>fracción II de la Ley de Transparencia y Acceso a la Información Pública del Estado de México y Municipios y 4, fracción XI de la Ley de Protección de Datos Personales en Posesión de Sujetos Obligados del Estado de México y Municipios.</w:t>
      </w:r>
    </w:p>
    <w:p w14:paraId="12FC99EB"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FA99187"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740DAFC"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E1DC198"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Respecto de los </w:t>
      </w:r>
      <w:r w:rsidRPr="00887ACF">
        <w:rPr>
          <w:rFonts w:ascii="Palatino Linotype" w:eastAsia="Palatino Linotype" w:hAnsi="Palatino Linotype" w:cs="Palatino Linotype"/>
          <w:b/>
          <w:sz w:val="22"/>
          <w:szCs w:val="22"/>
        </w:rPr>
        <w:t>préstamos o descuentos</w:t>
      </w:r>
      <w:r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b/>
          <w:sz w:val="22"/>
          <w:szCs w:val="22"/>
        </w:rPr>
        <w:t>de carácter personal</w:t>
      </w:r>
      <w:r w:rsidRPr="00887ACF">
        <w:rPr>
          <w:rFonts w:ascii="Palatino Linotype" w:eastAsia="Palatino Linotype" w:hAnsi="Palatino Linotype" w:cs="Palatino Linotype"/>
          <w:sz w:val="22"/>
          <w:szCs w:val="22"/>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698F26E"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44995CDF"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Por su parte, el artículo 84 de la Ley del Trabajo de los Servidores Públicos del Estado y Municipios, señala:</w:t>
      </w:r>
    </w:p>
    <w:p w14:paraId="4A8CBAF7"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3ED7B69" w14:textId="77777777" w:rsidR="00891457" w:rsidRPr="00887ACF" w:rsidRDefault="000F3214">
      <w:pPr>
        <w:spacing w:line="276" w:lineRule="auto"/>
        <w:ind w:left="851"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i/>
          <w:sz w:val="22"/>
          <w:szCs w:val="22"/>
        </w:rPr>
        <w:lastRenderedPageBreak/>
        <w:t>“</w:t>
      </w:r>
      <w:r w:rsidRPr="00887ACF">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18A43148"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I. Gravámenes fiscales relacionados con el sueldo;</w:t>
      </w:r>
    </w:p>
    <w:p w14:paraId="6E034B3B"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II. Deudas contraídas con las instituciones públicas o dependencias</w:t>
      </w:r>
      <w:r w:rsidRPr="00887ACF">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0F69F97E"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III. Cuotas sindicales</w:t>
      </w:r>
      <w:r w:rsidRPr="00887ACF">
        <w:rPr>
          <w:rFonts w:ascii="Palatino Linotype" w:eastAsia="Palatino Linotype" w:hAnsi="Palatino Linotype" w:cs="Palatino Linotype"/>
          <w:i/>
          <w:sz w:val="22"/>
          <w:szCs w:val="22"/>
        </w:rPr>
        <w:t>;</w:t>
      </w:r>
    </w:p>
    <w:p w14:paraId="6F950F57"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47A8221"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ADEF9D7" w14:textId="77777777" w:rsidR="00891457" w:rsidRPr="00887ACF" w:rsidRDefault="000F3214">
      <w:pPr>
        <w:spacing w:line="276" w:lineRule="auto"/>
        <w:ind w:left="851"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VI. Obligaciones a cargo del servidor público con las que haya consentido</w:t>
      </w:r>
      <w:r w:rsidRPr="00887ACF">
        <w:rPr>
          <w:rFonts w:ascii="Palatino Linotype" w:eastAsia="Palatino Linotype" w:hAnsi="Palatino Linotype" w:cs="Palatino Linotype"/>
          <w:i/>
          <w:sz w:val="22"/>
          <w:szCs w:val="22"/>
        </w:rPr>
        <w:t>, derivadas de la adquisición o del uso de habitaciones consideradas como de interés social;</w:t>
      </w:r>
    </w:p>
    <w:p w14:paraId="47237C61"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VII. Faltas de puntualidad o de asistencia injustificadas;</w:t>
      </w:r>
    </w:p>
    <w:p w14:paraId="376775D2" w14:textId="77777777" w:rsidR="00891457" w:rsidRPr="00887ACF" w:rsidRDefault="000F3214">
      <w:pP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b/>
          <w:i/>
          <w:sz w:val="22"/>
          <w:szCs w:val="22"/>
        </w:rPr>
        <w:t>VIII. Pensiones alimenticias ordenadas por la autoridad judicial;</w:t>
      </w:r>
      <w:r w:rsidRPr="00887ACF">
        <w:rPr>
          <w:rFonts w:ascii="Palatino Linotype" w:eastAsia="Palatino Linotype" w:hAnsi="Palatino Linotype" w:cs="Palatino Linotype"/>
          <w:i/>
          <w:sz w:val="22"/>
          <w:szCs w:val="22"/>
        </w:rPr>
        <w:t xml:space="preserve"> o</w:t>
      </w:r>
    </w:p>
    <w:p w14:paraId="171FD84D" w14:textId="77777777" w:rsidR="00891457" w:rsidRPr="00887ACF" w:rsidRDefault="000F3214">
      <w:pPr>
        <w:spacing w:line="276" w:lineRule="auto"/>
        <w:ind w:left="851" w:right="616"/>
        <w:jc w:val="both"/>
        <w:rPr>
          <w:rFonts w:ascii="Palatino Linotype" w:eastAsia="Palatino Linotype" w:hAnsi="Palatino Linotype" w:cs="Palatino Linotype"/>
          <w:b/>
          <w:i/>
          <w:sz w:val="22"/>
          <w:szCs w:val="22"/>
        </w:rPr>
      </w:pPr>
      <w:r w:rsidRPr="00887ACF">
        <w:rPr>
          <w:rFonts w:ascii="Palatino Linotype" w:eastAsia="Palatino Linotype" w:hAnsi="Palatino Linotype" w:cs="Palatino Linotype"/>
          <w:b/>
          <w:i/>
          <w:sz w:val="22"/>
          <w:szCs w:val="22"/>
        </w:rPr>
        <w:t>IX. Cualquier otro convenido con instituciones de servicios y aceptado por el servidor público.</w:t>
      </w:r>
    </w:p>
    <w:p w14:paraId="3BB9C1BD" w14:textId="77777777" w:rsidR="00891457" w:rsidRPr="00887ACF" w:rsidRDefault="000F3214">
      <w:pP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04A393D" w14:textId="77777777" w:rsidR="00891457" w:rsidRPr="00887ACF" w:rsidRDefault="000F3214">
      <w:pPr>
        <w:spacing w:line="276" w:lineRule="auto"/>
        <w:ind w:left="851" w:right="616"/>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(Énfasis añadido)</w:t>
      </w:r>
    </w:p>
    <w:p w14:paraId="1A82C13D"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253C001A" w14:textId="77777777"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Derivado de lo anterior, la ley establece claramente cuáles son esos descuentos o gravámenes que directamente se relacionan con las obligaciones adquiridas como </w:t>
      </w:r>
      <w:r w:rsidRPr="00887ACF">
        <w:rPr>
          <w:rFonts w:ascii="Palatino Linotype" w:eastAsia="Palatino Linotype" w:hAnsi="Palatino Linotype" w:cs="Palatino Linotype"/>
          <w:sz w:val="22"/>
          <w:szCs w:val="22"/>
        </w:rPr>
        <w:lastRenderedPageBreak/>
        <w:t xml:space="preserve">servidores públicos y aquéllos que </w:t>
      </w:r>
      <w:r w:rsidRPr="00887ACF">
        <w:rPr>
          <w:rFonts w:ascii="Palatino Linotype" w:eastAsia="Palatino Linotype" w:hAnsi="Palatino Linotype" w:cs="Palatino Linotype"/>
          <w:b/>
          <w:sz w:val="22"/>
          <w:szCs w:val="22"/>
        </w:rPr>
        <w:t>únicamente inciden en su vida privada</w:t>
      </w:r>
      <w:r w:rsidRPr="00887ACF">
        <w:rPr>
          <w:rFonts w:ascii="Palatino Linotype" w:eastAsia="Palatino Linotype" w:hAnsi="Palatino Linotype" w:cs="Palatino Linotype"/>
          <w:sz w:val="22"/>
          <w:szCs w:val="22"/>
        </w:rPr>
        <w:t>. De este modo, descuentos por pensiones alimenticias o créditos adquiridos con instituciones privadas o públicas pero que fueron contraídas en forma individual, son información que debe clasificarse como confidencial.</w:t>
      </w:r>
    </w:p>
    <w:p w14:paraId="09DCAF1A"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7236411F" w14:textId="6D3B6D18" w:rsidR="00891457" w:rsidRPr="00887ACF" w:rsidRDefault="000F3214">
      <w:pPr>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Por lo tanto, es importante insistir que </w:t>
      </w:r>
      <w:r w:rsidR="00490FC3" w:rsidRPr="00887ACF">
        <w:rPr>
          <w:rFonts w:ascii="Palatino Linotype" w:eastAsia="Palatino Linotype" w:hAnsi="Palatino Linotype" w:cs="Palatino Linotype"/>
          <w:sz w:val="22"/>
          <w:szCs w:val="22"/>
        </w:rPr>
        <w:t xml:space="preserve">el </w:t>
      </w:r>
      <w:r w:rsidR="00490FC3" w:rsidRPr="00887ACF">
        <w:rPr>
          <w:rFonts w:ascii="Palatino Linotype" w:eastAsia="Palatino Linotype" w:hAnsi="Palatino Linotype" w:cs="Palatino Linotype"/>
          <w:b/>
          <w:sz w:val="22"/>
          <w:szCs w:val="22"/>
        </w:rPr>
        <w:t>Sujeto Obligado</w:t>
      </w:r>
      <w:r w:rsidR="00490FC3"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sz w:val="22"/>
          <w:szCs w:val="22"/>
        </w:rPr>
        <w:t>deberá seguir el procedimiento legal establecido para su clasificación, esto es, que su Comité de Transparencia emita un Acuerdo de Clasificación que cumpla con las formalidades previstas, antes citadas</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72F4CC" w14:textId="77777777" w:rsidR="00891457" w:rsidRPr="00887ACF" w:rsidRDefault="00891457">
      <w:pPr>
        <w:spacing w:line="360" w:lineRule="auto"/>
        <w:jc w:val="both"/>
        <w:rPr>
          <w:rFonts w:ascii="Palatino Linotype" w:eastAsia="Palatino Linotype" w:hAnsi="Palatino Linotype" w:cs="Palatino Linotype"/>
          <w:sz w:val="22"/>
          <w:szCs w:val="22"/>
        </w:rPr>
      </w:pPr>
    </w:p>
    <w:p w14:paraId="112619D8" w14:textId="77777777" w:rsidR="00891457" w:rsidRPr="00887ACF" w:rsidRDefault="000F3214">
      <w:pPr>
        <w:shd w:val="clear" w:color="auto" w:fill="FFFFFF"/>
        <w:spacing w:line="360" w:lineRule="auto"/>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 xml:space="preserve">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razones, motivos o </w:t>
      </w:r>
      <w:r w:rsidRPr="00887ACF">
        <w:rPr>
          <w:rFonts w:ascii="Palatino Linotype" w:eastAsia="Palatino Linotype" w:hAnsi="Palatino Linotype" w:cs="Palatino Linotype"/>
          <w:sz w:val="22"/>
          <w:szCs w:val="22"/>
        </w:rPr>
        <w:lastRenderedPageBreak/>
        <w:t>circunstancias especiales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DBA1DF3" w14:textId="77777777" w:rsidR="00891457" w:rsidRPr="00887ACF" w:rsidRDefault="00891457">
      <w:pPr>
        <w:tabs>
          <w:tab w:val="left" w:pos="709"/>
        </w:tabs>
        <w:spacing w:line="360" w:lineRule="auto"/>
        <w:jc w:val="both"/>
        <w:rPr>
          <w:rFonts w:ascii="Palatino Linotype" w:eastAsia="Palatino Linotype" w:hAnsi="Palatino Linotype" w:cs="Palatino Linotype"/>
          <w:sz w:val="22"/>
          <w:szCs w:val="22"/>
        </w:rPr>
      </w:pPr>
    </w:p>
    <w:p w14:paraId="681BF31A" w14:textId="7FFDFB58"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sz w:val="22"/>
          <w:szCs w:val="22"/>
        </w:rPr>
        <w:t>Así, con fundamento en lo prescrito en los artículos 5 pár</w:t>
      </w:r>
      <w:r w:rsidR="00FC4D1B" w:rsidRPr="00887ACF">
        <w:rPr>
          <w:rFonts w:ascii="Palatino Linotype" w:eastAsia="Palatino Linotype" w:hAnsi="Palatino Linotype" w:cs="Palatino Linotype"/>
          <w:sz w:val="22"/>
          <w:szCs w:val="22"/>
        </w:rPr>
        <w:t>rafos trigésimo noveno</w:t>
      </w:r>
      <w:r w:rsidRPr="00887ACF">
        <w:rPr>
          <w:rFonts w:ascii="Palatino Linotype" w:eastAsia="Palatino Linotype" w:hAnsi="Palatino Linotype" w:cs="Palatino Linotype"/>
          <w:sz w:val="22"/>
          <w:szCs w:val="22"/>
        </w:rPr>
        <w:t xml:space="preserve">, </w:t>
      </w:r>
      <w:r w:rsidR="00FC4D1B" w:rsidRPr="00887ACF">
        <w:rPr>
          <w:rFonts w:ascii="Palatino Linotype" w:eastAsia="Palatino Linotype" w:hAnsi="Palatino Linotype" w:cs="Palatino Linotype"/>
          <w:sz w:val="22"/>
          <w:szCs w:val="22"/>
        </w:rPr>
        <w:t xml:space="preserve">cuadragésimo </w:t>
      </w:r>
      <w:r w:rsidRPr="00887ACF">
        <w:rPr>
          <w:rFonts w:ascii="Palatino Linotype" w:eastAsia="Palatino Linotype" w:hAnsi="Palatino Linotype" w:cs="Palatino Linotype"/>
          <w:sz w:val="22"/>
          <w:szCs w:val="22"/>
        </w:rPr>
        <w:t xml:space="preserve">y </w:t>
      </w:r>
      <w:r w:rsidR="00FC4D1B" w:rsidRPr="00887ACF">
        <w:rPr>
          <w:rFonts w:ascii="Palatino Linotype" w:eastAsia="Palatino Linotype" w:hAnsi="Palatino Linotype" w:cs="Palatino Linotype"/>
          <w:sz w:val="22"/>
          <w:szCs w:val="22"/>
        </w:rPr>
        <w:t>cuadragésimo primero</w:t>
      </w:r>
      <w:r w:rsidRPr="00887ACF">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34A2828" w14:textId="77777777" w:rsidR="00891457" w:rsidRPr="00887ACF" w:rsidRDefault="000F3214">
      <w:pPr>
        <w:spacing w:line="360" w:lineRule="auto"/>
        <w:ind w:left="567"/>
        <w:jc w:val="center"/>
        <w:rPr>
          <w:rFonts w:ascii="Palatino Linotype" w:eastAsia="Palatino Linotype" w:hAnsi="Palatino Linotype" w:cs="Palatino Linotype"/>
          <w:b/>
          <w:sz w:val="22"/>
          <w:szCs w:val="22"/>
        </w:rPr>
      </w:pPr>
      <w:r w:rsidRPr="00887ACF">
        <w:rPr>
          <w:rFonts w:ascii="Palatino Linotype" w:eastAsia="Palatino Linotype" w:hAnsi="Palatino Linotype" w:cs="Palatino Linotype"/>
          <w:b/>
          <w:sz w:val="22"/>
          <w:szCs w:val="22"/>
        </w:rPr>
        <w:t>R E S U E L V E</w:t>
      </w:r>
    </w:p>
    <w:p w14:paraId="1EF335BD" w14:textId="77777777" w:rsidR="00891457" w:rsidRPr="00887ACF" w:rsidRDefault="00891457">
      <w:pPr>
        <w:spacing w:line="360" w:lineRule="auto"/>
        <w:ind w:left="1080"/>
        <w:rPr>
          <w:rFonts w:ascii="Palatino Linotype" w:eastAsia="Palatino Linotype" w:hAnsi="Palatino Linotype" w:cs="Palatino Linotype"/>
          <w:b/>
          <w:sz w:val="22"/>
          <w:szCs w:val="22"/>
        </w:rPr>
      </w:pPr>
    </w:p>
    <w:p w14:paraId="736157C4" w14:textId="7156EAAA"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Primero.</w:t>
      </w:r>
      <w:r w:rsidRPr="00887ACF">
        <w:rPr>
          <w:rFonts w:ascii="Palatino Linotype" w:eastAsia="Palatino Linotype" w:hAnsi="Palatino Linotype" w:cs="Palatino Linotype"/>
          <w:sz w:val="22"/>
          <w:szCs w:val="22"/>
        </w:rPr>
        <w:t xml:space="preserve"> Resultan </w:t>
      </w:r>
      <w:r w:rsidRPr="00887ACF">
        <w:rPr>
          <w:rFonts w:ascii="Palatino Linotype" w:eastAsia="Palatino Linotype" w:hAnsi="Palatino Linotype" w:cs="Palatino Linotype"/>
          <w:b/>
          <w:sz w:val="22"/>
          <w:szCs w:val="22"/>
        </w:rPr>
        <w:t>fundados</w:t>
      </w:r>
      <w:r w:rsidRPr="00887ACF">
        <w:rPr>
          <w:rFonts w:ascii="Palatino Linotype" w:eastAsia="Palatino Linotype" w:hAnsi="Palatino Linotype" w:cs="Palatino Linotype"/>
          <w:sz w:val="22"/>
          <w:szCs w:val="22"/>
        </w:rPr>
        <w:t xml:space="preserve"> los motivos de inconformidad hechos valer por la parte </w:t>
      </w:r>
      <w:r w:rsidRPr="00887ACF">
        <w:rPr>
          <w:rFonts w:ascii="Palatino Linotype" w:eastAsia="Palatino Linotype" w:hAnsi="Palatino Linotype" w:cs="Palatino Linotype"/>
          <w:b/>
          <w:sz w:val="22"/>
          <w:szCs w:val="22"/>
        </w:rPr>
        <w:t>Recurrente</w:t>
      </w:r>
      <w:r w:rsidRPr="00887ACF">
        <w:rPr>
          <w:rFonts w:ascii="Palatino Linotype" w:eastAsia="Palatino Linotype" w:hAnsi="Palatino Linotype" w:cs="Palatino Linotype"/>
          <w:sz w:val="22"/>
          <w:szCs w:val="22"/>
        </w:rPr>
        <w:t xml:space="preserve"> en el Recurso de Revisión </w:t>
      </w:r>
      <w:r w:rsidR="00FC4D1B" w:rsidRPr="00887ACF">
        <w:rPr>
          <w:rFonts w:ascii="Palatino Linotype" w:eastAsia="Palatino Linotype" w:hAnsi="Palatino Linotype" w:cs="Palatino Linotype"/>
          <w:b/>
          <w:sz w:val="22"/>
          <w:szCs w:val="22"/>
        </w:rPr>
        <w:t>04194/INFOEM/IP/RR/2025</w:t>
      </w:r>
      <w:r w:rsidRPr="00887ACF">
        <w:rPr>
          <w:rFonts w:ascii="Palatino Linotype" w:eastAsia="Palatino Linotype" w:hAnsi="Palatino Linotype" w:cs="Palatino Linotype"/>
          <w:sz w:val="22"/>
          <w:szCs w:val="22"/>
        </w:rPr>
        <w:t xml:space="preserve">, por lo que, en términos del </w:t>
      </w:r>
      <w:r w:rsidRPr="00887ACF">
        <w:rPr>
          <w:rFonts w:ascii="Palatino Linotype" w:eastAsia="Palatino Linotype" w:hAnsi="Palatino Linotype" w:cs="Palatino Linotype"/>
          <w:b/>
          <w:sz w:val="22"/>
          <w:szCs w:val="22"/>
        </w:rPr>
        <w:t xml:space="preserve">Considerando Cuarto </w:t>
      </w:r>
      <w:r w:rsidRPr="00887ACF">
        <w:rPr>
          <w:rFonts w:ascii="Palatino Linotype" w:eastAsia="Palatino Linotype" w:hAnsi="Palatino Linotype" w:cs="Palatino Linotype"/>
          <w:sz w:val="22"/>
          <w:szCs w:val="22"/>
        </w:rPr>
        <w:t xml:space="preserve">de esta resolución, se </w:t>
      </w:r>
      <w:r w:rsidR="00FC4D1B" w:rsidRPr="00887ACF">
        <w:rPr>
          <w:rFonts w:ascii="Palatino Linotype" w:eastAsia="Palatino Linotype" w:hAnsi="Palatino Linotype" w:cs="Palatino Linotype"/>
          <w:b/>
          <w:sz w:val="22"/>
          <w:szCs w:val="22"/>
        </w:rPr>
        <w:t>Modifica</w:t>
      </w:r>
      <w:r w:rsidRPr="00887ACF">
        <w:rPr>
          <w:rFonts w:ascii="Palatino Linotype" w:eastAsia="Palatino Linotype" w:hAnsi="Palatino Linotype" w:cs="Palatino Linotype"/>
          <w:b/>
          <w:sz w:val="22"/>
          <w:szCs w:val="22"/>
        </w:rPr>
        <w:t xml:space="preserve"> </w:t>
      </w:r>
      <w:r w:rsidRPr="00887ACF">
        <w:rPr>
          <w:rFonts w:ascii="Palatino Linotype" w:eastAsia="Palatino Linotype" w:hAnsi="Palatino Linotype" w:cs="Palatino Linotype"/>
          <w:sz w:val="22"/>
          <w:szCs w:val="22"/>
        </w:rPr>
        <w:t xml:space="preserve">la respuesta emitida por el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w:t>
      </w:r>
    </w:p>
    <w:p w14:paraId="7870FEAC"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21E71215" w14:textId="2E16C6D8"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Segundo</w:t>
      </w:r>
      <w:r w:rsidRPr="00887ACF">
        <w:rPr>
          <w:rFonts w:ascii="Palatino Linotype" w:eastAsia="Palatino Linotype" w:hAnsi="Palatino Linotype" w:cs="Palatino Linotype"/>
          <w:sz w:val="22"/>
          <w:szCs w:val="22"/>
        </w:rPr>
        <w:t xml:space="preserve">. Se </w:t>
      </w:r>
      <w:r w:rsidRPr="00887ACF">
        <w:rPr>
          <w:rFonts w:ascii="Palatino Linotype" w:eastAsia="Palatino Linotype" w:hAnsi="Palatino Linotype" w:cs="Palatino Linotype"/>
          <w:b/>
          <w:sz w:val="22"/>
          <w:szCs w:val="22"/>
        </w:rPr>
        <w:t>ordena</w:t>
      </w:r>
      <w:r w:rsidRPr="00887ACF">
        <w:rPr>
          <w:rFonts w:ascii="Palatino Linotype" w:eastAsia="Palatino Linotype" w:hAnsi="Palatino Linotype" w:cs="Palatino Linotype"/>
          <w:sz w:val="22"/>
          <w:szCs w:val="22"/>
        </w:rPr>
        <w:t xml:space="preserve"> al </w:t>
      </w:r>
      <w:r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xml:space="preserve"> que, en términos del </w:t>
      </w:r>
      <w:r w:rsidRPr="00887ACF">
        <w:rPr>
          <w:rFonts w:ascii="Palatino Linotype" w:eastAsia="Palatino Linotype" w:hAnsi="Palatino Linotype" w:cs="Palatino Linotype"/>
          <w:b/>
          <w:sz w:val="22"/>
          <w:szCs w:val="22"/>
        </w:rPr>
        <w:t>Considerando Cuarto y Quinto</w:t>
      </w:r>
      <w:r w:rsidRPr="00887ACF">
        <w:rPr>
          <w:rFonts w:ascii="Palatino Linotype" w:eastAsia="Palatino Linotype" w:hAnsi="Palatino Linotype" w:cs="Palatino Linotype"/>
          <w:sz w:val="22"/>
          <w:szCs w:val="22"/>
        </w:rPr>
        <w:t xml:space="preserve">, haga entrega previa búsqueda exhaustiva y razonable, vía Sistema de Acceso a la </w:t>
      </w:r>
      <w:r w:rsidRPr="00887ACF">
        <w:rPr>
          <w:rFonts w:ascii="Palatino Linotype" w:eastAsia="Palatino Linotype" w:hAnsi="Palatino Linotype" w:cs="Palatino Linotype"/>
          <w:sz w:val="22"/>
          <w:szCs w:val="22"/>
        </w:rPr>
        <w:lastRenderedPageBreak/>
        <w:t xml:space="preserve">Información Mexiquense, </w:t>
      </w:r>
      <w:r w:rsidR="00FC4D1B" w:rsidRPr="00887ACF">
        <w:rPr>
          <w:rFonts w:ascii="Palatino Linotype" w:eastAsia="Palatino Linotype" w:hAnsi="Palatino Linotype" w:cs="Palatino Linotype"/>
          <w:sz w:val="22"/>
          <w:szCs w:val="22"/>
        </w:rPr>
        <w:t xml:space="preserve">de ser procedente </w:t>
      </w:r>
      <w:r w:rsidRPr="00887ACF">
        <w:rPr>
          <w:rFonts w:ascii="Palatino Linotype" w:eastAsia="Palatino Linotype" w:hAnsi="Palatino Linotype" w:cs="Palatino Linotype"/>
          <w:sz w:val="22"/>
          <w:szCs w:val="22"/>
        </w:rPr>
        <w:t xml:space="preserve">en versión pública, el o los documentos en donde conste lo siguiente: </w:t>
      </w:r>
    </w:p>
    <w:p w14:paraId="78F2D25E" w14:textId="5ACF82BF" w:rsidR="00D95F3B" w:rsidRPr="00887ACF" w:rsidRDefault="00D95F3B" w:rsidP="00A01B7C">
      <w:pPr>
        <w:pStyle w:val="Prrafodelista"/>
        <w:numPr>
          <w:ilvl w:val="0"/>
          <w:numId w:val="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rPr>
      </w:pPr>
      <w:r w:rsidRPr="00887ACF">
        <w:rPr>
          <w:rFonts w:ascii="Palatino Linotype" w:eastAsia="Palatino Linotype" w:hAnsi="Palatino Linotype" w:cs="Palatino Linotype"/>
          <w:i/>
        </w:rPr>
        <w:t>La categoría y experiencia laboral de los servidores públicos dados de alta en el mes de enero de dos mil veinticinco, referidos en respuesta.</w:t>
      </w:r>
    </w:p>
    <w:p w14:paraId="0708D5AA" w14:textId="1756F68B" w:rsidR="00454B92" w:rsidRPr="00887ACF" w:rsidRDefault="000F3214" w:rsidP="006A5FD7">
      <w:pPr>
        <w:pStyle w:val="Prrafodelista"/>
        <w:numPr>
          <w:ilvl w:val="0"/>
          <w:numId w:val="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rPr>
      </w:pPr>
      <w:r w:rsidRPr="00887ACF">
        <w:rPr>
          <w:rFonts w:ascii="Palatino Linotype" w:eastAsia="Palatino Linotype" w:hAnsi="Palatino Linotype" w:cs="Palatino Linotype"/>
          <w:i/>
        </w:rPr>
        <w:t>Las bajas de los servidores públicos</w:t>
      </w:r>
      <w:r w:rsidR="007F08FA" w:rsidRPr="00887ACF">
        <w:rPr>
          <w:rFonts w:ascii="Palatino Linotype" w:eastAsia="Palatino Linotype" w:hAnsi="Palatino Linotype" w:cs="Palatino Linotype"/>
          <w:i/>
        </w:rPr>
        <w:t xml:space="preserve"> de nómina u honorarios</w:t>
      </w:r>
      <w:r w:rsidRPr="00887ACF">
        <w:rPr>
          <w:rFonts w:ascii="Palatino Linotype" w:eastAsia="Palatino Linotype" w:hAnsi="Palatino Linotype" w:cs="Palatino Linotype"/>
          <w:i/>
        </w:rPr>
        <w:t xml:space="preserve"> </w:t>
      </w:r>
      <w:r w:rsidR="00D95F3B" w:rsidRPr="00887ACF">
        <w:rPr>
          <w:rFonts w:ascii="Palatino Linotype" w:eastAsia="Palatino Linotype" w:hAnsi="Palatino Linotype" w:cs="Palatino Linotype"/>
          <w:i/>
        </w:rPr>
        <w:t xml:space="preserve">realizadas en el mes de enero de dos mil veinticinco, </w:t>
      </w:r>
      <w:r w:rsidRPr="00887ACF">
        <w:rPr>
          <w:rFonts w:ascii="Palatino Linotype" w:eastAsia="Palatino Linotype" w:hAnsi="Palatino Linotype" w:cs="Palatino Linotype"/>
          <w:i/>
        </w:rPr>
        <w:t xml:space="preserve">en donde conste el </w:t>
      </w:r>
      <w:r w:rsidR="00490FC3" w:rsidRPr="00887ACF">
        <w:rPr>
          <w:rFonts w:ascii="Palatino Linotype" w:eastAsia="Palatino Linotype" w:hAnsi="Palatino Linotype" w:cs="Palatino Linotype"/>
          <w:i/>
        </w:rPr>
        <w:t xml:space="preserve">nombre, </w:t>
      </w:r>
      <w:r w:rsidR="00D95F3B" w:rsidRPr="00887ACF">
        <w:rPr>
          <w:rFonts w:ascii="Palatino Linotype" w:eastAsia="Palatino Linotype" w:hAnsi="Palatino Linotype" w:cs="Palatino Linotype"/>
          <w:i/>
          <w:lang w:eastAsia="es-ES"/>
        </w:rPr>
        <w:t>cargo</w:t>
      </w:r>
      <w:r w:rsidR="007F08FA" w:rsidRPr="00887ACF">
        <w:rPr>
          <w:rFonts w:ascii="Palatino Linotype" w:eastAsia="Palatino Linotype" w:hAnsi="Palatino Linotype" w:cs="Palatino Linotype"/>
          <w:i/>
          <w:lang w:eastAsia="es-ES"/>
        </w:rPr>
        <w:t xml:space="preserve"> y</w:t>
      </w:r>
      <w:r w:rsidR="00D95F3B" w:rsidRPr="00887ACF">
        <w:rPr>
          <w:rFonts w:ascii="Palatino Linotype" w:eastAsia="Palatino Linotype" w:hAnsi="Palatino Linotype" w:cs="Palatino Linotype"/>
          <w:i/>
          <w:lang w:eastAsia="es-ES"/>
        </w:rPr>
        <w:t xml:space="preserve"> sueldo</w:t>
      </w:r>
      <w:r w:rsidR="007F08FA" w:rsidRPr="00887ACF">
        <w:rPr>
          <w:rFonts w:ascii="Palatino Linotype" w:eastAsia="Palatino Linotype" w:hAnsi="Palatino Linotype" w:cs="Palatino Linotype"/>
          <w:i/>
          <w:lang w:eastAsia="es-ES"/>
        </w:rPr>
        <w:t xml:space="preserve">. </w:t>
      </w:r>
    </w:p>
    <w:p w14:paraId="12995D3C" w14:textId="78F98457" w:rsidR="00891457" w:rsidRPr="00887ACF" w:rsidRDefault="000F3214" w:rsidP="006A5FD7">
      <w:pPr>
        <w:pStyle w:val="Prrafodelista"/>
        <w:numPr>
          <w:ilvl w:val="0"/>
          <w:numId w:val="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rPr>
      </w:pPr>
      <w:r w:rsidRPr="00887ACF">
        <w:rPr>
          <w:rFonts w:ascii="Palatino Linotype" w:eastAsia="Palatino Linotype" w:hAnsi="Palatino Linotype" w:cs="Palatino Linotype"/>
          <w:i/>
        </w:rPr>
        <w:t xml:space="preserve">El monto por concepto de finiquito o liquidación de los servidores públicos dados de baja, </w:t>
      </w:r>
      <w:r w:rsidR="00D95F3B" w:rsidRPr="00887ACF">
        <w:rPr>
          <w:rFonts w:ascii="Palatino Linotype" w:eastAsia="Palatino Linotype" w:hAnsi="Palatino Linotype" w:cs="Palatino Linotype"/>
          <w:i/>
        </w:rPr>
        <w:t>durante el mes de enero de dos mil veinticinco</w:t>
      </w:r>
      <w:r w:rsidRPr="00887ACF">
        <w:rPr>
          <w:rFonts w:ascii="Palatino Linotype" w:eastAsia="Palatino Linotype" w:hAnsi="Palatino Linotype" w:cs="Palatino Linotype"/>
          <w:i/>
        </w:rPr>
        <w:t>.</w:t>
      </w:r>
    </w:p>
    <w:p w14:paraId="209A7C73" w14:textId="77777777" w:rsidR="00891457" w:rsidRPr="00887ACF" w:rsidRDefault="00891457" w:rsidP="00A01B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1A4FD59" w14:textId="1C13CB07" w:rsidR="00891457" w:rsidRPr="00887ACF" w:rsidRDefault="000F3214" w:rsidP="00A01B7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87ACF">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00532927" w:rsidRPr="00887ACF">
        <w:rPr>
          <w:rFonts w:ascii="Palatino Linotype" w:eastAsia="Palatino Linotype" w:hAnsi="Palatino Linotype" w:cs="Palatino Linotype"/>
          <w:b/>
          <w:i/>
          <w:sz w:val="22"/>
          <w:szCs w:val="22"/>
        </w:rPr>
        <w:t>Recurrente</w:t>
      </w:r>
      <w:r w:rsidRPr="00887ACF">
        <w:rPr>
          <w:rFonts w:ascii="Palatino Linotype" w:eastAsia="Palatino Linotype" w:hAnsi="Palatino Linotype" w:cs="Palatino Linotype"/>
          <w:i/>
          <w:sz w:val="22"/>
          <w:szCs w:val="22"/>
        </w:rPr>
        <w:t>, mismo que igualmente hará de su conocimiento.</w:t>
      </w:r>
    </w:p>
    <w:p w14:paraId="11983AAB" w14:textId="77777777" w:rsidR="00891457" w:rsidRPr="00887ACF" w:rsidRDefault="00891457" w:rsidP="00FF328F">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p>
    <w:p w14:paraId="13542419" w14:textId="0ECCAD63" w:rsidR="00891457" w:rsidRPr="00887ACF" w:rsidRDefault="000F3214">
      <w:pPr>
        <w:spacing w:line="360" w:lineRule="auto"/>
        <w:ind w:right="49"/>
        <w:jc w:val="both"/>
        <w:rPr>
          <w:rFonts w:ascii="Palatino Linotype" w:eastAsia="Palatino Linotype" w:hAnsi="Palatino Linotype" w:cs="Palatino Linotype"/>
          <w:b/>
          <w:sz w:val="22"/>
          <w:szCs w:val="22"/>
        </w:rPr>
      </w:pPr>
      <w:r w:rsidRPr="00887ACF">
        <w:rPr>
          <w:rFonts w:ascii="Palatino Linotype" w:eastAsia="Palatino Linotype" w:hAnsi="Palatino Linotype" w:cs="Palatino Linotype"/>
          <w:b/>
          <w:sz w:val="22"/>
          <w:szCs w:val="22"/>
        </w:rPr>
        <w:t>Tercero.</w:t>
      </w:r>
      <w:r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b/>
          <w:sz w:val="22"/>
          <w:szCs w:val="22"/>
        </w:rPr>
        <w:t xml:space="preserve">Notifíquese </w:t>
      </w:r>
      <w:r w:rsidRPr="00887ACF">
        <w:rPr>
          <w:rFonts w:ascii="Palatino Linotype" w:eastAsia="Palatino Linotype" w:hAnsi="Palatino Linotype" w:cs="Palatino Linotype"/>
          <w:sz w:val="22"/>
          <w:szCs w:val="22"/>
        </w:rPr>
        <w:t xml:space="preserve">la presente resolución </w:t>
      </w:r>
      <w:r w:rsidRPr="00887ACF">
        <w:rPr>
          <w:rFonts w:ascii="Palatino Linotype" w:eastAsia="Palatino Linotype" w:hAnsi="Palatino Linotype" w:cs="Palatino Linotype"/>
          <w:b/>
          <w:sz w:val="22"/>
          <w:szCs w:val="22"/>
        </w:rPr>
        <w:t xml:space="preserve">vía SAIMEX, </w:t>
      </w:r>
      <w:r w:rsidRPr="00887ACF">
        <w:rPr>
          <w:rFonts w:ascii="Palatino Linotype" w:eastAsia="Palatino Linotype" w:hAnsi="Palatino Linotype" w:cs="Palatino Linotype"/>
          <w:sz w:val="22"/>
          <w:szCs w:val="22"/>
        </w:rPr>
        <w:t>al T</w:t>
      </w:r>
      <w:r w:rsidRPr="00887ACF">
        <w:rPr>
          <w:rFonts w:ascii="Palatino Linotype" w:eastAsia="Palatino Linotype" w:hAnsi="Palatino Linotype" w:cs="Palatino Linotype"/>
          <w:b/>
          <w:sz w:val="22"/>
          <w:szCs w:val="22"/>
        </w:rPr>
        <w:t xml:space="preserve">itular de la Unidad de Transparencia </w:t>
      </w:r>
      <w:r w:rsidRPr="00887ACF">
        <w:rPr>
          <w:rFonts w:ascii="Palatino Linotype" w:eastAsia="Palatino Linotype" w:hAnsi="Palatino Linotype" w:cs="Palatino Linotype"/>
          <w:sz w:val="22"/>
          <w:szCs w:val="22"/>
        </w:rPr>
        <w:t xml:space="preserve">del </w:t>
      </w:r>
      <w:r w:rsidR="00E14F63" w:rsidRPr="00887ACF">
        <w:rPr>
          <w:rFonts w:ascii="Palatino Linotype" w:eastAsia="Palatino Linotype" w:hAnsi="Palatino Linotype" w:cs="Palatino Linotype"/>
          <w:b/>
          <w:sz w:val="22"/>
          <w:szCs w:val="22"/>
        </w:rPr>
        <w:t>Sujeto Obligado</w:t>
      </w:r>
      <w:r w:rsidRPr="00887AC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F99D90"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0C1E65EC" w14:textId="1883C199"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Cuarto.</w:t>
      </w:r>
      <w:r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b/>
          <w:sz w:val="22"/>
          <w:szCs w:val="22"/>
        </w:rPr>
        <w:t xml:space="preserve">Notifíquese vía SAIMEX </w:t>
      </w:r>
      <w:r w:rsidRPr="00887ACF">
        <w:rPr>
          <w:rFonts w:ascii="Palatino Linotype" w:eastAsia="Palatino Linotype" w:hAnsi="Palatino Linotype" w:cs="Palatino Linotype"/>
          <w:sz w:val="22"/>
          <w:szCs w:val="22"/>
        </w:rPr>
        <w:t xml:space="preserve">a la parte </w:t>
      </w:r>
      <w:r w:rsidR="00E14F63" w:rsidRPr="00887ACF">
        <w:rPr>
          <w:rFonts w:ascii="Palatino Linotype" w:eastAsia="Palatino Linotype" w:hAnsi="Palatino Linotype" w:cs="Palatino Linotype"/>
          <w:b/>
          <w:sz w:val="22"/>
          <w:szCs w:val="22"/>
        </w:rPr>
        <w:t xml:space="preserve">Recurrente </w:t>
      </w:r>
      <w:r w:rsidRPr="00887AC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w:t>
      </w:r>
      <w:r w:rsidRPr="00887ACF">
        <w:rPr>
          <w:rFonts w:ascii="Palatino Linotype" w:eastAsia="Palatino Linotype" w:hAnsi="Palatino Linotype" w:cs="Palatino Linotype"/>
          <w:sz w:val="22"/>
          <w:szCs w:val="22"/>
        </w:rPr>
        <w:lastRenderedPageBreak/>
        <w:t xml:space="preserve">Acceso a la Información Pública del Estado de México y Municipios, podrá impugnar la presente resolución vía Juicio de Amparo en los términos de las leyes aplicables. </w:t>
      </w:r>
    </w:p>
    <w:p w14:paraId="0538C297" w14:textId="77777777" w:rsidR="00891457" w:rsidRPr="00887ACF" w:rsidRDefault="00891457">
      <w:pPr>
        <w:spacing w:line="360" w:lineRule="auto"/>
        <w:ind w:right="49"/>
        <w:jc w:val="both"/>
        <w:rPr>
          <w:rFonts w:ascii="Palatino Linotype" w:eastAsia="Palatino Linotype" w:hAnsi="Palatino Linotype" w:cs="Palatino Linotype"/>
          <w:sz w:val="22"/>
          <w:szCs w:val="22"/>
        </w:rPr>
      </w:pPr>
    </w:p>
    <w:p w14:paraId="6D8DC2A4" w14:textId="4E83AC48" w:rsidR="00891457" w:rsidRPr="00887ACF" w:rsidRDefault="000F3214">
      <w:pPr>
        <w:spacing w:line="360" w:lineRule="auto"/>
        <w:ind w:right="49"/>
        <w:jc w:val="both"/>
        <w:rPr>
          <w:rFonts w:ascii="Palatino Linotype" w:eastAsia="Palatino Linotype" w:hAnsi="Palatino Linotype" w:cs="Palatino Linotype"/>
          <w:sz w:val="22"/>
          <w:szCs w:val="22"/>
        </w:rPr>
      </w:pPr>
      <w:r w:rsidRPr="00887ACF">
        <w:rPr>
          <w:rFonts w:ascii="Palatino Linotype" w:eastAsia="Palatino Linotype" w:hAnsi="Palatino Linotype" w:cs="Palatino Linotype"/>
          <w:b/>
          <w:sz w:val="22"/>
          <w:szCs w:val="22"/>
        </w:rPr>
        <w:t>Quinto.</w:t>
      </w:r>
      <w:r w:rsidRPr="00887ACF">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E14F63" w:rsidRPr="00887ACF">
        <w:rPr>
          <w:rFonts w:ascii="Palatino Linotype" w:eastAsia="Palatino Linotype" w:hAnsi="Palatino Linotype" w:cs="Palatino Linotype"/>
          <w:b/>
          <w:sz w:val="22"/>
          <w:szCs w:val="22"/>
        </w:rPr>
        <w:t>Sujeto Obligado</w:t>
      </w:r>
      <w:r w:rsidR="00E14F63"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0FACA488" w14:textId="77777777" w:rsidR="00FF328F" w:rsidRPr="00887ACF" w:rsidRDefault="00FF328F">
      <w:pPr>
        <w:spacing w:line="360" w:lineRule="auto"/>
        <w:jc w:val="both"/>
        <w:rPr>
          <w:rFonts w:ascii="Palatino Linotype" w:eastAsia="Palatino Linotype" w:hAnsi="Palatino Linotype" w:cs="Palatino Linotype"/>
          <w:sz w:val="22"/>
          <w:szCs w:val="22"/>
        </w:rPr>
      </w:pPr>
    </w:p>
    <w:p w14:paraId="7302C7D1" w14:textId="15AE3DED" w:rsidR="00891457" w:rsidRPr="00073665" w:rsidRDefault="000F3214">
      <w:pPr>
        <w:spacing w:line="360" w:lineRule="auto"/>
        <w:jc w:val="both"/>
        <w:rPr>
          <w:rFonts w:ascii="Palatino Linotype" w:eastAsia="Palatino Linotype" w:hAnsi="Palatino Linotype" w:cs="Palatino Linotype"/>
          <w:sz w:val="22"/>
          <w:szCs w:val="22"/>
        </w:rPr>
        <w:sectPr w:rsidR="00891457" w:rsidRPr="00073665">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887AC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73665" w:rsidRPr="00887ACF">
        <w:rPr>
          <w:rFonts w:ascii="Palatino Linotype" w:eastAsia="Palatino Linotype" w:hAnsi="Palatino Linotype" w:cs="Palatino Linotype"/>
          <w:sz w:val="22"/>
          <w:szCs w:val="22"/>
        </w:rPr>
        <w:t xml:space="preserve"> (AUSENCIA JUSTIFICADA)</w:t>
      </w:r>
      <w:r w:rsidRPr="00887ACF">
        <w:rPr>
          <w:rFonts w:ascii="Palatino Linotype" w:eastAsia="Palatino Linotype" w:hAnsi="Palatino Linotype" w:cs="Palatino Linotype"/>
          <w:sz w:val="22"/>
          <w:szCs w:val="22"/>
        </w:rPr>
        <w:t>, SHARON CRISTINA MORALES MARTÍNEZ, LUIS GUSTAVO PARRA NORIEGA</w:t>
      </w:r>
      <w:r w:rsidR="00487C10" w:rsidRPr="00887ACF">
        <w:rPr>
          <w:rFonts w:ascii="Palatino Linotype" w:eastAsia="Palatino Linotype" w:hAnsi="Palatino Linotype" w:cs="Palatino Linotype"/>
          <w:sz w:val="22"/>
          <w:szCs w:val="22"/>
        </w:rPr>
        <w:t xml:space="preserve"> </w:t>
      </w:r>
      <w:r w:rsidRPr="00887ACF">
        <w:rPr>
          <w:rFonts w:ascii="Palatino Linotype" w:eastAsia="Palatino Linotype" w:hAnsi="Palatino Linotype" w:cs="Palatino Linotype"/>
          <w:sz w:val="22"/>
          <w:szCs w:val="22"/>
        </w:rPr>
        <w:t xml:space="preserve">Y GUADALUPE RAMÍREZ PEÑA; EN LA VIGÉSIMA </w:t>
      </w:r>
      <w:r w:rsidR="00532927" w:rsidRPr="00887ACF">
        <w:rPr>
          <w:rFonts w:ascii="Palatino Linotype" w:eastAsia="Palatino Linotype" w:hAnsi="Palatino Linotype" w:cs="Palatino Linotype"/>
          <w:sz w:val="22"/>
          <w:szCs w:val="22"/>
        </w:rPr>
        <w:t xml:space="preserve">QUINTA </w:t>
      </w:r>
      <w:r w:rsidRPr="00887ACF">
        <w:rPr>
          <w:rFonts w:ascii="Palatino Linotype" w:eastAsia="Palatino Linotype" w:hAnsi="Palatino Linotype" w:cs="Palatino Linotype"/>
          <w:sz w:val="22"/>
          <w:szCs w:val="22"/>
        </w:rPr>
        <w:t xml:space="preserve">SESIÓN ORDINARIA CELEBRADA EL </w:t>
      </w:r>
      <w:r w:rsidR="00532927" w:rsidRPr="00887ACF">
        <w:rPr>
          <w:rFonts w:ascii="Palatino Linotype" w:eastAsia="Palatino Linotype" w:hAnsi="Palatino Linotype" w:cs="Palatino Linotype"/>
          <w:sz w:val="22"/>
          <w:szCs w:val="22"/>
        </w:rPr>
        <w:t xml:space="preserve">NUEVE DE JULIO </w:t>
      </w:r>
      <w:r w:rsidRPr="00887ACF">
        <w:rPr>
          <w:rFonts w:ascii="Palatino Linotype" w:eastAsia="Palatino Linotype" w:hAnsi="Palatino Linotype" w:cs="Palatino Linotype"/>
          <w:sz w:val="22"/>
          <w:szCs w:val="22"/>
        </w:rPr>
        <w:t>DE DOS MIL VEINTIC</w:t>
      </w:r>
      <w:r w:rsidR="00532927" w:rsidRPr="00887ACF">
        <w:rPr>
          <w:rFonts w:ascii="Palatino Linotype" w:eastAsia="Palatino Linotype" w:hAnsi="Palatino Linotype" w:cs="Palatino Linotype"/>
          <w:sz w:val="22"/>
          <w:szCs w:val="22"/>
        </w:rPr>
        <w:t>INCO</w:t>
      </w:r>
      <w:r w:rsidRPr="00887ACF">
        <w:rPr>
          <w:rFonts w:ascii="Palatino Linotype" w:eastAsia="Palatino Linotype" w:hAnsi="Palatino Linotype" w:cs="Palatino Linotype"/>
          <w:sz w:val="22"/>
          <w:szCs w:val="22"/>
        </w:rPr>
        <w:t>, ANTE EL SECRETARIO TÉCNICO DEL PLENO ALEXIS TAPIA RAMÍREZ.</w:t>
      </w:r>
      <w:r w:rsidRPr="00073665">
        <w:rPr>
          <w:rFonts w:ascii="Palatino Linotype" w:eastAsia="Palatino Linotype" w:hAnsi="Palatino Linotype" w:cs="Palatino Linotype"/>
          <w:sz w:val="22"/>
          <w:szCs w:val="22"/>
        </w:rPr>
        <w:t xml:space="preserve">                              </w:t>
      </w:r>
    </w:p>
    <w:p w14:paraId="4CB88B72" w14:textId="77777777" w:rsidR="00891457" w:rsidRPr="00073665" w:rsidRDefault="00891457">
      <w:pPr>
        <w:spacing w:line="360" w:lineRule="auto"/>
        <w:jc w:val="both"/>
        <w:rPr>
          <w:rFonts w:ascii="Palatino Linotype" w:eastAsia="Palatino Linotype" w:hAnsi="Palatino Linotype" w:cs="Palatino Linotype"/>
          <w:sz w:val="22"/>
          <w:szCs w:val="22"/>
        </w:rPr>
      </w:pPr>
    </w:p>
    <w:sectPr w:rsidR="00891457" w:rsidRPr="00073665">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4F50" w14:textId="77777777" w:rsidR="00222554" w:rsidRDefault="00222554">
      <w:r>
        <w:separator/>
      </w:r>
    </w:p>
  </w:endnote>
  <w:endnote w:type="continuationSeparator" w:id="0">
    <w:p w14:paraId="48C76F91" w14:textId="77777777" w:rsidR="00222554" w:rsidRDefault="0022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D8FA" w14:textId="77777777" w:rsidR="001B076C" w:rsidRDefault="001B076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7ACF">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7ACF">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5BC6ECA0" w14:textId="77777777" w:rsidR="001B076C" w:rsidRDefault="001B076C">
    <w:pPr>
      <w:pBdr>
        <w:top w:val="nil"/>
        <w:left w:val="nil"/>
        <w:bottom w:val="nil"/>
        <w:right w:val="nil"/>
        <w:between w:val="nil"/>
      </w:pBdr>
      <w:tabs>
        <w:tab w:val="center" w:pos="4252"/>
        <w:tab w:val="right" w:pos="8504"/>
      </w:tabs>
      <w:rPr>
        <w:color w:val="000000"/>
      </w:rPr>
    </w:pPr>
  </w:p>
  <w:p w14:paraId="79708F10" w14:textId="77777777" w:rsidR="001B076C" w:rsidRDefault="001B076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3C63" w14:textId="77777777" w:rsidR="001B076C" w:rsidRDefault="001B076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87ACF">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87ACF">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79C98E15" w14:textId="77777777" w:rsidR="001B076C" w:rsidRDefault="001B076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8994" w14:textId="77777777" w:rsidR="00222554" w:rsidRDefault="00222554">
      <w:r>
        <w:separator/>
      </w:r>
    </w:p>
  </w:footnote>
  <w:footnote w:type="continuationSeparator" w:id="0">
    <w:p w14:paraId="64DCD2EA" w14:textId="77777777" w:rsidR="00222554" w:rsidRDefault="0022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780D" w14:textId="77777777" w:rsidR="001B076C" w:rsidRDefault="001B076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DEBBF53" wp14:editId="3817BB9A">
          <wp:simplePos x="0" y="0"/>
          <wp:positionH relativeFrom="column">
            <wp:posOffset>-638174</wp:posOffset>
          </wp:positionH>
          <wp:positionV relativeFrom="paragraph">
            <wp:posOffset>-450214</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1B076C" w14:paraId="446F4C2A" w14:textId="77777777">
      <w:tc>
        <w:tcPr>
          <w:tcW w:w="2551" w:type="dxa"/>
          <w:vAlign w:val="center"/>
        </w:tcPr>
        <w:p w14:paraId="518056B3"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38AF1E9" w14:textId="36FA34E1" w:rsidR="001B076C" w:rsidRDefault="001B076C" w:rsidP="003F79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04194/INFOEM/IP/RR/2025</w:t>
          </w:r>
        </w:p>
      </w:tc>
    </w:tr>
    <w:tr w:rsidR="001B076C" w14:paraId="330C74C7" w14:textId="77777777">
      <w:trPr>
        <w:trHeight w:val="228"/>
      </w:trPr>
      <w:tc>
        <w:tcPr>
          <w:tcW w:w="2551" w:type="dxa"/>
          <w:vAlign w:val="center"/>
        </w:tcPr>
        <w:p w14:paraId="7CC9BCE6"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260B4FF" w14:textId="6DB4D904" w:rsidR="001B076C" w:rsidRDefault="001B076C">
          <w:pPr>
            <w:jc w:val="both"/>
            <w:rPr>
              <w:rFonts w:ascii="Palatino Linotype" w:eastAsia="Palatino Linotype" w:hAnsi="Palatino Linotype" w:cs="Palatino Linotype"/>
              <w:b/>
              <w:sz w:val="22"/>
              <w:szCs w:val="22"/>
            </w:rPr>
          </w:pPr>
          <w:r w:rsidRPr="003F7908">
            <w:rPr>
              <w:rFonts w:ascii="Palatino Linotype" w:eastAsia="Palatino Linotype" w:hAnsi="Palatino Linotype" w:cs="Palatino Linotype"/>
              <w:b/>
              <w:sz w:val="22"/>
              <w:szCs w:val="22"/>
            </w:rPr>
            <w:t>Instituto Municipal de Cultura Física y Deporte de Valle de Chalco Solidaridad</w:t>
          </w:r>
        </w:p>
      </w:tc>
    </w:tr>
    <w:tr w:rsidR="001B076C" w14:paraId="562A12DE" w14:textId="77777777">
      <w:tc>
        <w:tcPr>
          <w:tcW w:w="2551" w:type="dxa"/>
          <w:vAlign w:val="center"/>
        </w:tcPr>
        <w:p w14:paraId="7FE8BD79"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EB9BA3A" w14:textId="77777777" w:rsidR="001B076C" w:rsidRDefault="001B076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22B9A6" w14:textId="77777777" w:rsidR="001B076C" w:rsidRDefault="001B076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FA45" w14:textId="77777777" w:rsidR="001B076C" w:rsidRDefault="001B076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84E4BB" wp14:editId="62478EFB">
          <wp:simplePos x="0" y="0"/>
          <wp:positionH relativeFrom="column">
            <wp:posOffset>-798193</wp:posOffset>
          </wp:positionH>
          <wp:positionV relativeFrom="paragraph">
            <wp:posOffset>-399413</wp:posOffset>
          </wp:positionV>
          <wp:extent cx="7809876" cy="1016582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1B076C" w14:paraId="15408818" w14:textId="77777777">
      <w:tc>
        <w:tcPr>
          <w:tcW w:w="2551" w:type="dxa"/>
          <w:vAlign w:val="center"/>
        </w:tcPr>
        <w:p w14:paraId="3AE000CF"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E8BD393" w14:textId="2053B7EE" w:rsidR="001B076C" w:rsidRDefault="001B076C" w:rsidP="003F79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04194/INFOEM/IP/RR/2025</w:t>
          </w:r>
        </w:p>
      </w:tc>
    </w:tr>
    <w:tr w:rsidR="001B076C" w14:paraId="5761B468" w14:textId="77777777">
      <w:tc>
        <w:tcPr>
          <w:tcW w:w="2551" w:type="dxa"/>
          <w:vAlign w:val="center"/>
        </w:tcPr>
        <w:p w14:paraId="67B1C474" w14:textId="77777777" w:rsidR="001B076C" w:rsidRDefault="001B076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9CA77C6" w14:textId="5EFC8E9B" w:rsidR="001B076C" w:rsidRDefault="0050683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w:t>
          </w:r>
        </w:p>
      </w:tc>
    </w:tr>
    <w:tr w:rsidR="001B076C" w14:paraId="67DF35FD" w14:textId="77777777">
      <w:trPr>
        <w:trHeight w:val="228"/>
      </w:trPr>
      <w:tc>
        <w:tcPr>
          <w:tcW w:w="2551" w:type="dxa"/>
          <w:vAlign w:val="center"/>
        </w:tcPr>
        <w:p w14:paraId="5A52CC93"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57F1897" w14:textId="400B893D" w:rsidR="001B076C" w:rsidRDefault="001B076C">
          <w:pPr>
            <w:ind w:right="27"/>
            <w:jc w:val="both"/>
            <w:rPr>
              <w:rFonts w:ascii="Palatino Linotype" w:eastAsia="Palatino Linotype" w:hAnsi="Palatino Linotype" w:cs="Palatino Linotype"/>
              <w:b/>
              <w:sz w:val="22"/>
              <w:szCs w:val="22"/>
            </w:rPr>
          </w:pPr>
          <w:r w:rsidRPr="003F7908">
            <w:rPr>
              <w:rFonts w:ascii="Palatino Linotype" w:eastAsia="Palatino Linotype" w:hAnsi="Palatino Linotype" w:cs="Palatino Linotype"/>
              <w:b/>
              <w:sz w:val="22"/>
              <w:szCs w:val="22"/>
            </w:rPr>
            <w:t>Instituto Municipal de Cultura Física y Deporte de Valle de Chalco Solidaridad</w:t>
          </w:r>
        </w:p>
      </w:tc>
    </w:tr>
    <w:tr w:rsidR="001B076C" w14:paraId="6EF81212" w14:textId="77777777">
      <w:tc>
        <w:tcPr>
          <w:tcW w:w="2551" w:type="dxa"/>
          <w:vAlign w:val="center"/>
        </w:tcPr>
        <w:p w14:paraId="792722A4" w14:textId="77777777" w:rsidR="001B076C" w:rsidRDefault="001B07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D68F7D2" w14:textId="77777777" w:rsidR="001B076C" w:rsidRDefault="001B076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DA3433" w14:textId="77777777" w:rsidR="001B076C" w:rsidRDefault="001B076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A4E2" w14:textId="77777777" w:rsidR="001B076C" w:rsidRDefault="001B076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5A551DC" w14:textId="77777777" w:rsidR="001B076C" w:rsidRDefault="001B076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3A87D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B323D1D"/>
    <w:multiLevelType w:val="hybridMultilevel"/>
    <w:tmpl w:val="831C5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D5FDF"/>
    <w:multiLevelType w:val="multilevel"/>
    <w:tmpl w:val="53D80E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271BDF"/>
    <w:multiLevelType w:val="multilevel"/>
    <w:tmpl w:val="EA2082B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C1DB0"/>
    <w:multiLevelType w:val="multilevel"/>
    <w:tmpl w:val="211C8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0112B"/>
    <w:multiLevelType w:val="multilevel"/>
    <w:tmpl w:val="AD504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A088D"/>
    <w:multiLevelType w:val="multilevel"/>
    <w:tmpl w:val="54F49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DC4403"/>
    <w:multiLevelType w:val="multilevel"/>
    <w:tmpl w:val="254C5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D92AE4"/>
    <w:multiLevelType w:val="multilevel"/>
    <w:tmpl w:val="429A681E"/>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1304BA"/>
    <w:multiLevelType w:val="multilevel"/>
    <w:tmpl w:val="254C5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7173D9"/>
    <w:multiLevelType w:val="multilevel"/>
    <w:tmpl w:val="3EF21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F60DFE"/>
    <w:multiLevelType w:val="multilevel"/>
    <w:tmpl w:val="D50837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2093CE3"/>
    <w:multiLevelType w:val="hybridMultilevel"/>
    <w:tmpl w:val="35CA140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22168F9"/>
    <w:multiLevelType w:val="multilevel"/>
    <w:tmpl w:val="C3D44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A917C8A"/>
    <w:multiLevelType w:val="multilevel"/>
    <w:tmpl w:val="3A787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4A55B3"/>
    <w:multiLevelType w:val="multilevel"/>
    <w:tmpl w:val="055E292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6F513DB3"/>
    <w:multiLevelType w:val="multilevel"/>
    <w:tmpl w:val="7B2254C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5"/>
  </w:num>
  <w:num w:numId="2">
    <w:abstractNumId w:val="9"/>
  </w:num>
  <w:num w:numId="3">
    <w:abstractNumId w:val="13"/>
  </w:num>
  <w:num w:numId="4">
    <w:abstractNumId w:val="8"/>
  </w:num>
  <w:num w:numId="5">
    <w:abstractNumId w:val="14"/>
  </w:num>
  <w:num w:numId="6">
    <w:abstractNumId w:val="10"/>
  </w:num>
  <w:num w:numId="7">
    <w:abstractNumId w:val="4"/>
  </w:num>
  <w:num w:numId="8">
    <w:abstractNumId w:val="16"/>
  </w:num>
  <w:num w:numId="9">
    <w:abstractNumId w:val="6"/>
  </w:num>
  <w:num w:numId="10">
    <w:abstractNumId w:val="3"/>
  </w:num>
  <w:num w:numId="11">
    <w:abstractNumId w:val="11"/>
  </w:num>
  <w:num w:numId="12">
    <w:abstractNumId w:val="15"/>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57"/>
    <w:rsid w:val="00006DE7"/>
    <w:rsid w:val="00010D72"/>
    <w:rsid w:val="00012143"/>
    <w:rsid w:val="00073665"/>
    <w:rsid w:val="000D6AE1"/>
    <w:rsid w:val="000F3214"/>
    <w:rsid w:val="00180F90"/>
    <w:rsid w:val="00187A88"/>
    <w:rsid w:val="001B076C"/>
    <w:rsid w:val="001F6925"/>
    <w:rsid w:val="00222554"/>
    <w:rsid w:val="0029046D"/>
    <w:rsid w:val="002F526A"/>
    <w:rsid w:val="00342510"/>
    <w:rsid w:val="003511E2"/>
    <w:rsid w:val="00382F40"/>
    <w:rsid w:val="003903D6"/>
    <w:rsid w:val="003A72CD"/>
    <w:rsid w:val="003E4308"/>
    <w:rsid w:val="003F7908"/>
    <w:rsid w:val="00404290"/>
    <w:rsid w:val="0044013B"/>
    <w:rsid w:val="00454B92"/>
    <w:rsid w:val="004568BB"/>
    <w:rsid w:val="00487C10"/>
    <w:rsid w:val="00490FC3"/>
    <w:rsid w:val="004E1C09"/>
    <w:rsid w:val="00506831"/>
    <w:rsid w:val="00532927"/>
    <w:rsid w:val="006004D2"/>
    <w:rsid w:val="00683B84"/>
    <w:rsid w:val="0068695E"/>
    <w:rsid w:val="006A53B5"/>
    <w:rsid w:val="006A7BB7"/>
    <w:rsid w:val="006B5E2C"/>
    <w:rsid w:val="00732B70"/>
    <w:rsid w:val="0077704E"/>
    <w:rsid w:val="007B171F"/>
    <w:rsid w:val="007F08FA"/>
    <w:rsid w:val="007F4D8E"/>
    <w:rsid w:val="00837EC5"/>
    <w:rsid w:val="00887ACF"/>
    <w:rsid w:val="00891457"/>
    <w:rsid w:val="00896C5E"/>
    <w:rsid w:val="008A4348"/>
    <w:rsid w:val="009020AF"/>
    <w:rsid w:val="00924100"/>
    <w:rsid w:val="009515F3"/>
    <w:rsid w:val="00961A0D"/>
    <w:rsid w:val="009B2DC3"/>
    <w:rsid w:val="009C050B"/>
    <w:rsid w:val="009D4040"/>
    <w:rsid w:val="00A01B7C"/>
    <w:rsid w:val="00AA5CDF"/>
    <w:rsid w:val="00AD0F21"/>
    <w:rsid w:val="00B22553"/>
    <w:rsid w:val="00B95C2C"/>
    <w:rsid w:val="00BC0AA9"/>
    <w:rsid w:val="00C35374"/>
    <w:rsid w:val="00C721EA"/>
    <w:rsid w:val="00C853D2"/>
    <w:rsid w:val="00CA27D2"/>
    <w:rsid w:val="00D11695"/>
    <w:rsid w:val="00D42FEF"/>
    <w:rsid w:val="00D64E0A"/>
    <w:rsid w:val="00D95F3B"/>
    <w:rsid w:val="00DD65A4"/>
    <w:rsid w:val="00E10E2E"/>
    <w:rsid w:val="00E14F63"/>
    <w:rsid w:val="00F00E41"/>
    <w:rsid w:val="00F233BD"/>
    <w:rsid w:val="00F40E60"/>
    <w:rsid w:val="00FC4D1B"/>
    <w:rsid w:val="00FF328F"/>
    <w:rsid w:val="00FF4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041F1"/>
  <w15:docId w15:val="{6D5D85D1-302C-4D64-8AEA-BBC6824E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7652">
      <w:bodyDiv w:val="1"/>
      <w:marLeft w:val="0"/>
      <w:marRight w:val="0"/>
      <w:marTop w:val="0"/>
      <w:marBottom w:val="0"/>
      <w:divBdr>
        <w:top w:val="none" w:sz="0" w:space="0" w:color="auto"/>
        <w:left w:val="none" w:sz="0" w:space="0" w:color="auto"/>
        <w:bottom w:val="none" w:sz="0" w:space="0" w:color="auto"/>
        <w:right w:val="none" w:sz="0" w:space="0" w:color="auto"/>
      </w:divBdr>
    </w:div>
    <w:div w:id="1148592179">
      <w:bodyDiv w:val="1"/>
      <w:marLeft w:val="0"/>
      <w:marRight w:val="0"/>
      <w:marTop w:val="0"/>
      <w:marBottom w:val="0"/>
      <w:divBdr>
        <w:top w:val="none" w:sz="0" w:space="0" w:color="auto"/>
        <w:left w:val="none" w:sz="0" w:space="0" w:color="auto"/>
        <w:bottom w:val="none" w:sz="0" w:space="0" w:color="auto"/>
        <w:right w:val="none" w:sz="0" w:space="0" w:color="auto"/>
      </w:divBdr>
    </w:div>
    <w:div w:id="1461460428">
      <w:bodyDiv w:val="1"/>
      <w:marLeft w:val="0"/>
      <w:marRight w:val="0"/>
      <w:marTop w:val="0"/>
      <w:marBottom w:val="0"/>
      <w:divBdr>
        <w:top w:val="none" w:sz="0" w:space="0" w:color="auto"/>
        <w:left w:val="none" w:sz="0" w:space="0" w:color="auto"/>
        <w:bottom w:val="none" w:sz="0" w:space="0" w:color="auto"/>
        <w:right w:val="none" w:sz="0" w:space="0" w:color="auto"/>
      </w:divBdr>
    </w:div>
    <w:div w:id="1707217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tKqKragRCt9o89yCkkQSARWfQ==">CgMxLjAyCWguM3pueXNoNzIIaC5namRneHMyCWguMzBqMHpsbDIJaC4xZm9iOXRlOAByITE3N05MbEhKSkRRdEpzaDdXNWpFdGR3bFdjVEpUOFRzbQ==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11570</Words>
  <Characters>63640</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2025-07-11T18:31:00Z</cp:lastPrinted>
  <dcterms:created xsi:type="dcterms:W3CDTF">2025-08-07T16:56:00Z</dcterms:created>
  <dcterms:modified xsi:type="dcterms:W3CDTF">2025-08-07T16:56:00Z</dcterms:modified>
</cp:coreProperties>
</file>