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F8F5"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3B2F2C" w:rsidRPr="0068787C">
        <w:rPr>
          <w:rFonts w:ascii="Palatino Linotype" w:eastAsia="Palatino Linotype" w:hAnsi="Palatino Linotype" w:cs="Palatino Linotype"/>
          <w:b/>
          <w:sz w:val="22"/>
          <w:szCs w:val="22"/>
        </w:rPr>
        <w:t>seis de marzo</w:t>
      </w:r>
      <w:r w:rsidRPr="0068787C">
        <w:rPr>
          <w:rFonts w:ascii="Palatino Linotype" w:eastAsia="Palatino Linotype" w:hAnsi="Palatino Linotype" w:cs="Palatino Linotype"/>
          <w:b/>
          <w:sz w:val="22"/>
          <w:szCs w:val="22"/>
        </w:rPr>
        <w:t xml:space="preserve"> de dos mil veinticinco</w:t>
      </w:r>
      <w:r w:rsidRPr="0068787C">
        <w:rPr>
          <w:rFonts w:ascii="Palatino Linotype" w:eastAsia="Palatino Linotype" w:hAnsi="Palatino Linotype" w:cs="Palatino Linotype"/>
          <w:sz w:val="22"/>
          <w:szCs w:val="22"/>
        </w:rPr>
        <w:t xml:space="preserve">. </w:t>
      </w:r>
    </w:p>
    <w:p w14:paraId="26C573F2" w14:textId="47A3FDD6" w:rsidR="00021793" w:rsidRPr="0068787C" w:rsidRDefault="00122CAC">
      <w:pPr>
        <w:tabs>
          <w:tab w:val="left" w:pos="5812"/>
        </w:tabs>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Visto</w:t>
      </w:r>
      <w:r w:rsidRPr="0068787C">
        <w:rPr>
          <w:rFonts w:ascii="Palatino Linotype" w:eastAsia="Palatino Linotype" w:hAnsi="Palatino Linotype" w:cs="Palatino Linotype"/>
          <w:sz w:val="22"/>
          <w:szCs w:val="22"/>
        </w:rPr>
        <w:t xml:space="preserve"> el expediente formado con motivo del recurso de revisión </w:t>
      </w:r>
      <w:r w:rsidR="003B2F2C" w:rsidRPr="0068787C">
        <w:rPr>
          <w:rFonts w:ascii="Palatino Linotype" w:eastAsia="Palatino Linotype" w:hAnsi="Palatino Linotype" w:cs="Palatino Linotype"/>
          <w:b/>
          <w:sz w:val="22"/>
          <w:szCs w:val="22"/>
        </w:rPr>
        <w:t>00749/INFOEM/IP/RR/2025</w:t>
      </w:r>
      <w:r w:rsidRPr="0068787C">
        <w:rPr>
          <w:rFonts w:ascii="Palatino Linotype" w:eastAsia="Palatino Linotype" w:hAnsi="Palatino Linotype" w:cs="Palatino Linotype"/>
          <w:sz w:val="22"/>
          <w:szCs w:val="22"/>
        </w:rPr>
        <w:t>, interpuesto por</w:t>
      </w:r>
      <w:r w:rsidRPr="0068787C">
        <w:rPr>
          <w:rFonts w:ascii="Palatino Linotype" w:eastAsia="Palatino Linotype" w:hAnsi="Palatino Linotype" w:cs="Palatino Linotype"/>
          <w:b/>
          <w:sz w:val="22"/>
          <w:szCs w:val="22"/>
        </w:rPr>
        <w:t xml:space="preserve"> </w:t>
      </w:r>
      <w:r w:rsidR="00AB2568" w:rsidRPr="00AB2568">
        <w:rPr>
          <w:rFonts w:ascii="Palatino Linotype" w:eastAsia="Palatino Linotype" w:hAnsi="Palatino Linotype" w:cs="Palatino Linotype"/>
          <w:b/>
          <w:sz w:val="22"/>
          <w:szCs w:val="22"/>
        </w:rPr>
        <w:t xml:space="preserve">XXXXX XXXX XXXXXX </w:t>
      </w:r>
      <w:r w:rsidRPr="0068787C">
        <w:rPr>
          <w:rFonts w:ascii="Palatino Linotype" w:eastAsia="Palatino Linotype" w:hAnsi="Palatino Linotype" w:cs="Palatino Linotype"/>
          <w:sz w:val="22"/>
          <w:szCs w:val="22"/>
        </w:rPr>
        <w:t>en lo sucesivo,</w:t>
      </w:r>
      <w:r w:rsidRPr="0068787C">
        <w:rPr>
          <w:rFonts w:ascii="Palatino Linotype" w:eastAsia="Palatino Linotype" w:hAnsi="Palatino Linotype" w:cs="Palatino Linotype"/>
          <w:b/>
          <w:sz w:val="22"/>
          <w:szCs w:val="22"/>
        </w:rPr>
        <w:t xml:space="preserve"> 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en contra de la respuesta a la solicitud de información con número de folio</w:t>
      </w:r>
      <w:r w:rsidRPr="0068787C">
        <w:rPr>
          <w:rFonts w:ascii="Palatino Linotype" w:eastAsia="Palatino Linotype" w:hAnsi="Palatino Linotype" w:cs="Palatino Linotype"/>
          <w:b/>
          <w:sz w:val="22"/>
          <w:szCs w:val="22"/>
        </w:rPr>
        <w:t xml:space="preserve"> </w:t>
      </w:r>
      <w:r w:rsidR="003B2F2C" w:rsidRPr="0068787C">
        <w:rPr>
          <w:rFonts w:ascii="Palatino Linotype" w:eastAsia="Palatino Linotype" w:hAnsi="Palatino Linotype" w:cs="Palatino Linotype"/>
          <w:b/>
          <w:sz w:val="22"/>
          <w:szCs w:val="22"/>
        </w:rPr>
        <w:t>00864/METEPEC/IP/2024</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por parte del </w:t>
      </w:r>
      <w:r w:rsidR="003B2F2C" w:rsidRPr="0068787C">
        <w:rPr>
          <w:rFonts w:ascii="Palatino Linotype" w:eastAsia="Palatino Linotype" w:hAnsi="Palatino Linotype" w:cs="Palatino Linotype"/>
          <w:b/>
          <w:sz w:val="22"/>
          <w:szCs w:val="22"/>
        </w:rPr>
        <w:t>Ayuntamiento de Metepec</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en lo sucesivo el </w:t>
      </w:r>
      <w:r w:rsidRPr="0068787C">
        <w:rPr>
          <w:rFonts w:ascii="Palatino Linotype" w:eastAsia="Palatino Linotype" w:hAnsi="Palatino Linotype" w:cs="Palatino Linotype"/>
          <w:b/>
          <w:sz w:val="22"/>
          <w:szCs w:val="22"/>
        </w:rPr>
        <w:t xml:space="preserve">Sujeto Obligado, </w:t>
      </w:r>
      <w:r w:rsidRPr="0068787C">
        <w:rPr>
          <w:rFonts w:ascii="Palatino Linotype" w:eastAsia="Palatino Linotype" w:hAnsi="Palatino Linotype" w:cs="Palatino Linotype"/>
          <w:sz w:val="22"/>
          <w:szCs w:val="22"/>
        </w:rPr>
        <w:t xml:space="preserve">se procede a dictar la presente resolución con base en los siguientes: </w:t>
      </w:r>
    </w:p>
    <w:p w14:paraId="7FFDD371" w14:textId="77777777" w:rsidR="00021793" w:rsidRPr="0068787C" w:rsidRDefault="00122CAC">
      <w:pPr>
        <w:spacing w:before="240" w:after="240" w:line="360" w:lineRule="auto"/>
        <w:jc w:val="center"/>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t>I. A N T E C E D E N T E S</w:t>
      </w:r>
    </w:p>
    <w:p w14:paraId="47A58FA9"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68787C">
        <w:rPr>
          <w:rFonts w:ascii="Palatino Linotype" w:eastAsia="Palatino Linotype" w:hAnsi="Palatino Linotype" w:cs="Palatino Linotype"/>
          <w:b/>
          <w:sz w:val="22"/>
          <w:szCs w:val="22"/>
        </w:rPr>
        <w:t>1. Solicitud de acceso a la información.</w:t>
      </w:r>
      <w:r w:rsidRPr="0068787C">
        <w:rPr>
          <w:rFonts w:ascii="Palatino Linotype" w:eastAsia="Palatino Linotype" w:hAnsi="Palatino Linotype" w:cs="Palatino Linotype"/>
          <w:sz w:val="22"/>
          <w:szCs w:val="22"/>
        </w:rPr>
        <w:t xml:space="preserve"> El </w:t>
      </w:r>
      <w:r w:rsidR="003B2F2C" w:rsidRPr="0068787C">
        <w:rPr>
          <w:rFonts w:ascii="Palatino Linotype" w:eastAsia="Palatino Linotype" w:hAnsi="Palatino Linotype" w:cs="Palatino Linotype"/>
          <w:b/>
          <w:sz w:val="22"/>
          <w:szCs w:val="22"/>
        </w:rPr>
        <w:t>doce de dic</w:t>
      </w:r>
      <w:r w:rsidRPr="0068787C">
        <w:rPr>
          <w:rFonts w:ascii="Palatino Linotype" w:eastAsia="Palatino Linotype" w:hAnsi="Palatino Linotype" w:cs="Palatino Linotype"/>
          <w:b/>
          <w:sz w:val="22"/>
          <w:szCs w:val="22"/>
        </w:rPr>
        <w:t>iembre de dos mil veinticuatro,</w:t>
      </w:r>
      <w:r w:rsidRPr="0068787C">
        <w:rPr>
          <w:rFonts w:ascii="Palatino Linotype" w:eastAsia="Palatino Linotype" w:hAnsi="Palatino Linotype" w:cs="Palatino Linotype"/>
          <w:sz w:val="22"/>
          <w:szCs w:val="22"/>
        </w:rPr>
        <w:t xml:space="preserve"> la parte </w:t>
      </w:r>
      <w:r w:rsidRPr="0068787C">
        <w:rPr>
          <w:rFonts w:ascii="Palatino Linotype" w:eastAsia="Palatino Linotype" w:hAnsi="Palatino Linotype" w:cs="Palatino Linotype"/>
          <w:b/>
          <w:sz w:val="22"/>
          <w:szCs w:val="22"/>
        </w:rPr>
        <w:t xml:space="preserve">Recurrente </w:t>
      </w:r>
      <w:r w:rsidRPr="0068787C">
        <w:rPr>
          <w:rFonts w:ascii="Palatino Linotype" w:eastAsia="Palatino Linotype" w:hAnsi="Palatino Linotype" w:cs="Palatino Linotype"/>
          <w:sz w:val="22"/>
          <w:szCs w:val="22"/>
        </w:rPr>
        <w:t xml:space="preserve">presentó, a través del Sistema de Acceso a la Información Mexiquense, en lo subsecuente el </w:t>
      </w:r>
      <w:r w:rsidRPr="0068787C">
        <w:rPr>
          <w:rFonts w:ascii="Palatino Linotype" w:eastAsia="Palatino Linotype" w:hAnsi="Palatino Linotype" w:cs="Palatino Linotype"/>
          <w:b/>
          <w:sz w:val="22"/>
          <w:szCs w:val="22"/>
        </w:rPr>
        <w:t>SAIMEX,</w:t>
      </w:r>
      <w:r w:rsidRPr="0068787C">
        <w:rPr>
          <w:rFonts w:ascii="Palatino Linotype" w:eastAsia="Palatino Linotype" w:hAnsi="Palatino Linotype" w:cs="Palatino Linotype"/>
          <w:sz w:val="22"/>
          <w:szCs w:val="22"/>
        </w:rPr>
        <w:t xml:space="preserve"> ante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358518BE" w14:textId="77777777" w:rsidR="00021793" w:rsidRPr="0068787C" w:rsidRDefault="00122CAC">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68787C">
        <w:rPr>
          <w:rFonts w:ascii="Palatino Linotype" w:eastAsia="Palatino Linotype" w:hAnsi="Palatino Linotype" w:cs="Palatino Linotype"/>
          <w:i/>
          <w:sz w:val="22"/>
          <w:szCs w:val="22"/>
        </w:rPr>
        <w:t xml:space="preserve"> “</w:t>
      </w:r>
      <w:r w:rsidR="003B2F2C" w:rsidRPr="0068787C">
        <w:rPr>
          <w:rFonts w:ascii="Palatino Linotype" w:eastAsia="Palatino Linotype" w:hAnsi="Palatino Linotype" w:cs="Palatino Linotype"/>
          <w:i/>
          <w:sz w:val="22"/>
          <w:szCs w:val="22"/>
        </w:rPr>
        <w:t>Trámites que debe gestionar una plaza comercial para que sea considerada "</w:t>
      </w:r>
      <w:proofErr w:type="spellStart"/>
      <w:r w:rsidR="003B2F2C" w:rsidRPr="0068787C">
        <w:rPr>
          <w:rFonts w:ascii="Palatino Linotype" w:eastAsia="Palatino Linotype" w:hAnsi="Palatino Linotype" w:cs="Palatino Linotype"/>
          <w:i/>
          <w:sz w:val="22"/>
          <w:szCs w:val="22"/>
        </w:rPr>
        <w:t>pet</w:t>
      </w:r>
      <w:proofErr w:type="spellEnd"/>
      <w:r w:rsidR="003B2F2C" w:rsidRPr="0068787C">
        <w:rPr>
          <w:rFonts w:ascii="Palatino Linotype" w:eastAsia="Palatino Linotype" w:hAnsi="Palatino Linotype" w:cs="Palatino Linotype"/>
          <w:i/>
          <w:sz w:val="22"/>
          <w:szCs w:val="22"/>
        </w:rPr>
        <w:t xml:space="preserve"> </w:t>
      </w:r>
      <w:proofErr w:type="spellStart"/>
      <w:r w:rsidR="003B2F2C" w:rsidRPr="0068787C">
        <w:rPr>
          <w:rFonts w:ascii="Palatino Linotype" w:eastAsia="Palatino Linotype" w:hAnsi="Palatino Linotype" w:cs="Palatino Linotype"/>
          <w:i/>
          <w:sz w:val="22"/>
          <w:szCs w:val="22"/>
        </w:rPr>
        <w:t>friendly</w:t>
      </w:r>
      <w:proofErr w:type="spellEnd"/>
      <w:r w:rsidR="003B2F2C" w:rsidRPr="0068787C">
        <w:rPr>
          <w:rFonts w:ascii="Palatino Linotype" w:eastAsia="Palatino Linotype" w:hAnsi="Palatino Linotype" w:cs="Palatino Linotype"/>
          <w:i/>
          <w:sz w:val="22"/>
          <w:szCs w:val="22"/>
        </w:rPr>
        <w:t>". Sanciones o multas que impone la autoridad para las personas que hacen omisión al auxilio de un animal en situación de calle.</w:t>
      </w:r>
      <w:r w:rsidRPr="0068787C">
        <w:rPr>
          <w:rFonts w:ascii="Palatino Linotype" w:eastAsia="Palatino Linotype" w:hAnsi="Palatino Linotype" w:cs="Palatino Linotype"/>
          <w:i/>
          <w:sz w:val="22"/>
          <w:szCs w:val="22"/>
        </w:rPr>
        <w:t xml:space="preserve">” (sic) </w:t>
      </w:r>
    </w:p>
    <w:p w14:paraId="4E12FC67"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68787C">
        <w:rPr>
          <w:rFonts w:ascii="Palatino Linotype" w:eastAsia="Palatino Linotype" w:hAnsi="Palatino Linotype" w:cs="Palatino Linotype"/>
          <w:b/>
          <w:sz w:val="22"/>
          <w:szCs w:val="22"/>
        </w:rPr>
        <w:t xml:space="preserve">Modalidad de Entrega: </w:t>
      </w:r>
      <w:r w:rsidRPr="0068787C">
        <w:rPr>
          <w:rFonts w:ascii="Palatino Linotype" w:eastAsia="Palatino Linotype" w:hAnsi="Palatino Linotype" w:cs="Palatino Linotype"/>
          <w:sz w:val="22"/>
          <w:szCs w:val="22"/>
        </w:rPr>
        <w:t xml:space="preserve">A través del </w:t>
      </w:r>
      <w:r w:rsidRPr="0068787C">
        <w:rPr>
          <w:rFonts w:ascii="Palatino Linotype" w:eastAsia="Palatino Linotype" w:hAnsi="Palatino Linotype" w:cs="Palatino Linotype"/>
          <w:b/>
          <w:sz w:val="22"/>
          <w:szCs w:val="22"/>
        </w:rPr>
        <w:t>SAIMEX</w:t>
      </w:r>
      <w:r w:rsidRPr="0068787C">
        <w:rPr>
          <w:rFonts w:ascii="Palatino Linotype" w:eastAsia="Palatino Linotype" w:hAnsi="Palatino Linotype" w:cs="Palatino Linotype"/>
          <w:sz w:val="22"/>
          <w:szCs w:val="22"/>
        </w:rPr>
        <w:t>.</w:t>
      </w:r>
    </w:p>
    <w:p w14:paraId="4969CAEB" w14:textId="77777777" w:rsidR="00021793" w:rsidRPr="0068787C" w:rsidRDefault="00122CAC">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2. </w:t>
      </w:r>
      <w:r w:rsidR="003B2F2C" w:rsidRPr="0068787C">
        <w:rPr>
          <w:rFonts w:ascii="Palatino Linotype" w:eastAsia="Palatino Linotype" w:hAnsi="Palatino Linotype" w:cs="Palatino Linotype"/>
          <w:b/>
          <w:sz w:val="22"/>
          <w:szCs w:val="22"/>
        </w:rPr>
        <w:t>Prórroga</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El </w:t>
      </w:r>
      <w:r w:rsidR="003B2F2C" w:rsidRPr="0068787C">
        <w:rPr>
          <w:rFonts w:ascii="Palatino Linotype" w:eastAsia="Palatino Linotype" w:hAnsi="Palatino Linotype" w:cs="Palatino Linotype"/>
          <w:b/>
          <w:sz w:val="22"/>
          <w:szCs w:val="22"/>
        </w:rPr>
        <w:t>veintitrés de enero de dos mil veinticinc</w:t>
      </w:r>
      <w:r w:rsidRPr="0068787C">
        <w:rPr>
          <w:rFonts w:ascii="Palatino Linotype" w:eastAsia="Palatino Linotype" w:hAnsi="Palatino Linotype" w:cs="Palatino Linotype"/>
          <w:b/>
          <w:sz w:val="22"/>
          <w:szCs w:val="22"/>
        </w:rPr>
        <w:t>o,</w:t>
      </w:r>
      <w:r w:rsidRPr="0068787C">
        <w:rPr>
          <w:rFonts w:ascii="Palatino Linotype" w:eastAsia="Palatino Linotype" w:hAnsi="Palatino Linotype" w:cs="Palatino Linotype"/>
          <w:sz w:val="22"/>
          <w:szCs w:val="22"/>
        </w:rPr>
        <w:t xml:space="preserve"> el </w:t>
      </w:r>
      <w:r w:rsidRPr="0068787C">
        <w:rPr>
          <w:rFonts w:ascii="Palatino Linotype" w:eastAsia="Palatino Linotype" w:hAnsi="Palatino Linotype" w:cs="Palatino Linotype"/>
          <w:b/>
          <w:sz w:val="22"/>
          <w:szCs w:val="22"/>
        </w:rPr>
        <w:t xml:space="preserve">Sujeto Obligado </w:t>
      </w:r>
      <w:r w:rsidRPr="0068787C">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A9A687E" w14:textId="77777777" w:rsidR="003B2F2C" w:rsidRPr="0068787C" w:rsidRDefault="00122CAC" w:rsidP="003B2F2C">
      <w:pPr>
        <w:spacing w:before="240" w:after="240"/>
        <w:ind w:left="567" w:right="902"/>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w:t>
      </w:r>
      <w:r w:rsidR="003B2F2C" w:rsidRPr="0068787C">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0A7A2C9" w14:textId="7AC73874" w:rsidR="003B2F2C" w:rsidRPr="0068787C" w:rsidRDefault="003B2F2C" w:rsidP="003B2F2C">
      <w:pPr>
        <w:spacing w:before="240" w:after="240"/>
        <w:ind w:left="567" w:right="902"/>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lastRenderedPageBreak/>
        <w:t xml:space="preserve">METEPEC, ESTADO DE MÉXICO, ENERO DEL 2025 ASUNTO: EL QUE SE INDICA </w:t>
      </w:r>
      <w:r w:rsidR="00AB2568">
        <w:rPr>
          <w:rFonts w:ascii="Palatino Linotype" w:eastAsia="Palatino Linotype" w:hAnsi="Palatino Linotype" w:cs="Palatino Linotype"/>
          <w:i/>
          <w:sz w:val="22"/>
          <w:szCs w:val="22"/>
        </w:rPr>
        <w:t>X XXXXX XXXXXXXXXX</w:t>
      </w:r>
      <w:r w:rsidRPr="0068787C">
        <w:rPr>
          <w:rFonts w:ascii="Palatino Linotype" w:eastAsia="Palatino Linotype" w:hAnsi="Palatino Linotype" w:cs="Palatino Linotype"/>
          <w:i/>
          <w:sz w:val="22"/>
          <w:szCs w:val="22"/>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Vigésima Séptima Sesión Ordinaria. Sin más por el momento quedo a sus órdenes. ATENTAMENTE GERARDO ARTURO OZUNA MARTÍNEZ DIRECTOR DE TRANSPARENCIA Y GOBIERNO ABIERTO</w:t>
      </w:r>
    </w:p>
    <w:p w14:paraId="0A1CB9FC" w14:textId="77777777" w:rsidR="003B2F2C" w:rsidRPr="0068787C" w:rsidRDefault="003B2F2C" w:rsidP="003B2F2C">
      <w:pPr>
        <w:spacing w:before="240" w:after="240"/>
        <w:ind w:left="567" w:right="902"/>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Licenciado Gerardo Arturo Ozuna Martínez</w:t>
      </w:r>
    </w:p>
    <w:p w14:paraId="0B17BE89" w14:textId="77777777" w:rsidR="00021793" w:rsidRPr="0068787C" w:rsidRDefault="003B2F2C" w:rsidP="003B2F2C">
      <w:pPr>
        <w:spacing w:before="240" w:after="240"/>
        <w:ind w:left="567" w:right="902"/>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Responsable de la Unidad de Transparencia</w:t>
      </w:r>
      <w:r w:rsidR="00F83806" w:rsidRPr="0068787C">
        <w:rPr>
          <w:rFonts w:ascii="Palatino Linotype" w:eastAsia="Palatino Linotype" w:hAnsi="Palatino Linotype" w:cs="Palatino Linotype"/>
          <w:i/>
          <w:sz w:val="22"/>
          <w:szCs w:val="22"/>
        </w:rPr>
        <w:t>” (S</w:t>
      </w:r>
      <w:r w:rsidR="00122CAC" w:rsidRPr="0068787C">
        <w:rPr>
          <w:rFonts w:ascii="Palatino Linotype" w:eastAsia="Palatino Linotype" w:hAnsi="Palatino Linotype" w:cs="Palatino Linotype"/>
          <w:i/>
          <w:sz w:val="22"/>
          <w:szCs w:val="22"/>
        </w:rPr>
        <w:t>ic)</w:t>
      </w:r>
    </w:p>
    <w:p w14:paraId="28F533E9" w14:textId="77777777" w:rsidR="003B2F2C" w:rsidRPr="0068787C" w:rsidRDefault="003B2F2C" w:rsidP="003B2F2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Es de precisar que del análisis a esta ampliación de plazo, se tiene que </w:t>
      </w:r>
      <w:r w:rsidRPr="0068787C">
        <w:rPr>
          <w:rFonts w:ascii="Palatino Linotype" w:eastAsia="Palatino Linotype" w:hAnsi="Palatino Linotype" w:cs="Palatino Linotype"/>
          <w:b/>
          <w:sz w:val="22"/>
          <w:szCs w:val="22"/>
          <w:u w:val="single"/>
        </w:rPr>
        <w:t>no se efectuó dentro de los parámetros establecidos por el segundo párrafo del artículo 163 de la Ley de Transparencia Loca</w:t>
      </w:r>
      <w:r w:rsidRPr="0068787C">
        <w:rPr>
          <w:rFonts w:ascii="Palatino Linotype" w:eastAsia="Palatino Linotype" w:hAnsi="Palatino Linotype" w:cs="Palatino Linotype"/>
          <w:sz w:val="22"/>
          <w:szCs w:val="22"/>
        </w:rPr>
        <w:t xml:space="preserve">l, toda vez que no se adjuntó el acuerdo de comité que apruebe la prórroga para atender la solicitud de información, por lo que respetuosamente se exhorta al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a atender las formalidades contempladas en dicha normatividad al momento de solicitar una prórroga para la atención de las solicitudes de información.</w:t>
      </w:r>
    </w:p>
    <w:p w14:paraId="61D53694" w14:textId="77777777" w:rsidR="003B2F2C" w:rsidRPr="0068787C" w:rsidRDefault="003B2F2C" w:rsidP="003B2F2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3. Respuesta. </w:t>
      </w:r>
      <w:r w:rsidRPr="0068787C">
        <w:rPr>
          <w:rFonts w:ascii="Palatino Linotype" w:eastAsia="Palatino Linotype" w:hAnsi="Palatino Linotype" w:cs="Palatino Linotype"/>
          <w:sz w:val="22"/>
          <w:szCs w:val="22"/>
        </w:rPr>
        <w:t xml:space="preserve">El </w:t>
      </w:r>
      <w:r w:rsidRPr="0068787C">
        <w:rPr>
          <w:rFonts w:ascii="Palatino Linotype" w:eastAsia="Palatino Linotype" w:hAnsi="Palatino Linotype" w:cs="Palatino Linotype"/>
          <w:b/>
          <w:sz w:val="22"/>
          <w:szCs w:val="22"/>
        </w:rPr>
        <w:t>cuatro de febrero de dos mil veinticinco</w:t>
      </w:r>
      <w:r w:rsidRPr="0068787C">
        <w:rPr>
          <w:rFonts w:ascii="Palatino Linotype" w:eastAsia="Palatino Linotype" w:hAnsi="Palatino Linotype" w:cs="Palatino Linotype"/>
          <w:sz w:val="22"/>
          <w:szCs w:val="22"/>
        </w:rPr>
        <w:t>, el</w:t>
      </w:r>
      <w:r w:rsidRPr="0068787C">
        <w:rPr>
          <w:rFonts w:ascii="Palatino Linotype" w:eastAsia="Palatino Linotype" w:hAnsi="Palatino Linotype" w:cs="Palatino Linotype"/>
          <w:b/>
          <w:sz w:val="22"/>
          <w:szCs w:val="22"/>
        </w:rPr>
        <w:t xml:space="preserve"> Sujeto Obligado </w:t>
      </w:r>
      <w:r w:rsidRPr="0068787C">
        <w:rPr>
          <w:rFonts w:ascii="Palatino Linotype" w:eastAsia="Palatino Linotype" w:hAnsi="Palatino Linotype" w:cs="Palatino Linotype"/>
          <w:sz w:val="22"/>
          <w:szCs w:val="22"/>
        </w:rPr>
        <w:t>notificó a la persona solicitante, la respuesta a su solicitud de información en los términos siguientes:</w:t>
      </w:r>
    </w:p>
    <w:p w14:paraId="4B9BA9CD" w14:textId="77777777" w:rsidR="003B2F2C" w:rsidRPr="0068787C" w:rsidRDefault="003B2F2C" w:rsidP="003B2F2C">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CDF5BD" w14:textId="58A22298" w:rsidR="003B2F2C" w:rsidRPr="0068787C" w:rsidRDefault="003B2F2C" w:rsidP="003B2F2C">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 xml:space="preserve">C. </w:t>
      </w:r>
      <w:r w:rsidR="00AB2568">
        <w:rPr>
          <w:rFonts w:ascii="Palatino Linotype" w:eastAsia="Palatino Linotype" w:hAnsi="Palatino Linotype" w:cs="Palatino Linotype"/>
          <w:i/>
          <w:sz w:val="22"/>
          <w:szCs w:val="22"/>
        </w:rPr>
        <w:t xml:space="preserve">XXXXXXXXXXX </w:t>
      </w:r>
      <w:r w:rsidRPr="0068787C">
        <w:rPr>
          <w:rFonts w:ascii="Palatino Linotype" w:eastAsia="Palatino Linotype" w:hAnsi="Palatino Linotype" w:cs="Palatino Linotype"/>
          <w:i/>
          <w:sz w:val="22"/>
          <w:szCs w:val="22"/>
        </w:rPr>
        <w:t xml:space="preserve">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w:t>
      </w:r>
      <w:r w:rsidRPr="0068787C">
        <w:rPr>
          <w:rFonts w:ascii="Palatino Linotype" w:eastAsia="Palatino Linotype" w:hAnsi="Palatino Linotype" w:cs="Palatino Linotype"/>
          <w:i/>
          <w:sz w:val="22"/>
          <w:szCs w:val="22"/>
        </w:rPr>
        <w:lastRenderedPageBreak/>
        <w:t>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p>
    <w:p w14:paraId="51592C73" w14:textId="77777777" w:rsidR="003B2F2C" w:rsidRPr="0068787C" w:rsidRDefault="003B2F2C" w:rsidP="003B2F2C">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ATENTAMENTE</w:t>
      </w:r>
    </w:p>
    <w:p w14:paraId="650B1AFB" w14:textId="77777777" w:rsidR="003B2F2C" w:rsidRPr="0068787C" w:rsidRDefault="003B2F2C" w:rsidP="003B2F2C">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Licenciado Gerardo Arturo Ozuna Martínez”</w:t>
      </w:r>
    </w:p>
    <w:p w14:paraId="7616FBE7" w14:textId="77777777" w:rsidR="00021793" w:rsidRPr="0068787C" w:rsidRDefault="00122CAC">
      <w:pPr>
        <w:spacing w:before="240" w:after="240" w:line="360" w:lineRule="auto"/>
        <w:ind w:left="567" w:right="49"/>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t>Archivos adjuntos:</w:t>
      </w:r>
    </w:p>
    <w:p w14:paraId="6ACABC42" w14:textId="77777777" w:rsidR="003B2F2C" w:rsidRPr="0068787C" w:rsidRDefault="00122CAC" w:rsidP="003B2F2C">
      <w:pPr>
        <w:spacing w:before="240" w:after="240" w:line="360" w:lineRule="auto"/>
        <w:ind w:left="567" w:right="900"/>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i/>
          <w:sz w:val="22"/>
          <w:szCs w:val="22"/>
        </w:rPr>
        <w:t>“</w:t>
      </w:r>
      <w:r w:rsidR="003B2F2C" w:rsidRPr="0068787C">
        <w:rPr>
          <w:rFonts w:ascii="Palatino Linotype" w:eastAsia="Palatino Linotype" w:hAnsi="Palatino Linotype" w:cs="Palatino Linotype"/>
          <w:b/>
          <w:i/>
          <w:sz w:val="22"/>
          <w:szCs w:val="22"/>
        </w:rPr>
        <w:t>DDETYA 296 2025 .</w:t>
      </w:r>
      <w:proofErr w:type="spellStart"/>
      <w:r w:rsidR="003B2F2C" w:rsidRPr="0068787C">
        <w:rPr>
          <w:rFonts w:ascii="Palatino Linotype" w:eastAsia="Palatino Linotype" w:hAnsi="Palatino Linotype" w:cs="Palatino Linotype"/>
          <w:b/>
          <w:i/>
          <w:sz w:val="22"/>
          <w:szCs w:val="22"/>
        </w:rPr>
        <w:t>pdf</w:t>
      </w:r>
      <w:proofErr w:type="spellEnd"/>
      <w:r w:rsidRPr="0068787C">
        <w:rPr>
          <w:rFonts w:ascii="Palatino Linotype" w:eastAsia="Palatino Linotype" w:hAnsi="Palatino Linotype" w:cs="Palatino Linotype"/>
          <w:b/>
          <w:i/>
          <w:sz w:val="22"/>
          <w:szCs w:val="22"/>
        </w:rPr>
        <w:t xml:space="preserve">”: </w:t>
      </w:r>
      <w:r w:rsidR="003B2F2C" w:rsidRPr="0068787C">
        <w:rPr>
          <w:rFonts w:ascii="Palatino Linotype" w:eastAsia="Palatino Linotype" w:hAnsi="Palatino Linotype" w:cs="Palatino Linotype"/>
          <w:sz w:val="22"/>
          <w:szCs w:val="22"/>
        </w:rPr>
        <w:t xml:space="preserve">Oficio </w:t>
      </w:r>
      <w:proofErr w:type="spellStart"/>
      <w:r w:rsidR="003B2F2C" w:rsidRPr="0068787C">
        <w:rPr>
          <w:rFonts w:ascii="Palatino Linotype" w:eastAsia="Palatino Linotype" w:hAnsi="Palatino Linotype" w:cs="Palatino Linotype"/>
          <w:sz w:val="22"/>
          <w:szCs w:val="22"/>
        </w:rPr>
        <w:t>DDETyA</w:t>
      </w:r>
      <w:proofErr w:type="spellEnd"/>
      <w:r w:rsidR="003B2F2C" w:rsidRPr="0068787C">
        <w:rPr>
          <w:rFonts w:ascii="Palatino Linotype" w:eastAsia="Palatino Linotype" w:hAnsi="Palatino Linotype" w:cs="Palatino Linotype"/>
          <w:sz w:val="22"/>
          <w:szCs w:val="22"/>
        </w:rPr>
        <w:t>/296/2025, suscrito por la Directora de Desarrollo Económico, Turístico y Artesanal, por el cual refiere que después de una búsqueda exhaustiva y minuciosa en los archivos documentales que obran en las diferentes áreas de dicha Dirección y en los documentos digitales públicos, no se encontró documento alguno referente a Trámites que debe gestionar una plaza comercial para que sea considerada “</w:t>
      </w:r>
      <w:proofErr w:type="spellStart"/>
      <w:r w:rsidR="003B2F2C" w:rsidRPr="0068787C">
        <w:rPr>
          <w:rFonts w:ascii="Palatino Linotype" w:eastAsia="Palatino Linotype" w:hAnsi="Palatino Linotype" w:cs="Palatino Linotype"/>
          <w:sz w:val="22"/>
          <w:szCs w:val="22"/>
        </w:rPr>
        <w:t>pet</w:t>
      </w:r>
      <w:proofErr w:type="spellEnd"/>
      <w:r w:rsidR="003B2F2C" w:rsidRPr="0068787C">
        <w:rPr>
          <w:rFonts w:ascii="Palatino Linotype" w:eastAsia="Palatino Linotype" w:hAnsi="Palatino Linotype" w:cs="Palatino Linotype"/>
          <w:sz w:val="22"/>
          <w:szCs w:val="22"/>
        </w:rPr>
        <w:t xml:space="preserve"> </w:t>
      </w:r>
      <w:proofErr w:type="spellStart"/>
      <w:r w:rsidR="003B2F2C" w:rsidRPr="0068787C">
        <w:rPr>
          <w:rFonts w:ascii="Palatino Linotype" w:eastAsia="Palatino Linotype" w:hAnsi="Palatino Linotype" w:cs="Palatino Linotype"/>
          <w:sz w:val="22"/>
          <w:szCs w:val="22"/>
        </w:rPr>
        <w:t>friendly</w:t>
      </w:r>
      <w:proofErr w:type="spellEnd"/>
      <w:r w:rsidR="003B2F2C" w:rsidRPr="0068787C">
        <w:rPr>
          <w:rFonts w:ascii="Palatino Linotype" w:eastAsia="Palatino Linotype" w:hAnsi="Palatino Linotype" w:cs="Palatino Linotype"/>
          <w:sz w:val="22"/>
          <w:szCs w:val="22"/>
        </w:rPr>
        <w:t>”.</w:t>
      </w:r>
    </w:p>
    <w:p w14:paraId="7EA52D2E" w14:textId="77777777" w:rsidR="003B2F2C" w:rsidRPr="0068787C" w:rsidRDefault="003B2F2C" w:rsidP="003B2F2C">
      <w:pPr>
        <w:spacing w:before="240" w:after="240" w:line="360" w:lineRule="auto"/>
        <w:ind w:left="567" w:right="900"/>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Asimismo, manifiesta que dicha Dirección se encuentran en supuesto establecido en el artículo 12 párrafo segundo de la Ley de Transparencia.</w:t>
      </w:r>
    </w:p>
    <w:p w14:paraId="21C32BA2" w14:textId="77777777" w:rsidR="00021793" w:rsidRPr="0068787C" w:rsidRDefault="00122CAC">
      <w:pPr>
        <w:spacing w:before="240" w:after="240"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3. Interposición del recurso de revisión. </w:t>
      </w:r>
      <w:r w:rsidRPr="0068787C">
        <w:rPr>
          <w:rFonts w:ascii="Palatino Linotype" w:eastAsia="Palatino Linotype" w:hAnsi="Palatino Linotype" w:cs="Palatino Linotype"/>
          <w:sz w:val="22"/>
          <w:szCs w:val="22"/>
        </w:rPr>
        <w:t xml:space="preserve">Inconforme con los términos de la respuesta emitida por parte del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el </w:t>
      </w:r>
      <w:r w:rsidR="00731467" w:rsidRPr="0068787C">
        <w:rPr>
          <w:rFonts w:ascii="Palatino Linotype" w:eastAsia="Palatino Linotype" w:hAnsi="Palatino Linotype" w:cs="Palatino Linotype"/>
          <w:b/>
          <w:sz w:val="22"/>
          <w:szCs w:val="22"/>
        </w:rPr>
        <w:t>seis de febrero</w:t>
      </w:r>
      <w:r w:rsidRPr="0068787C">
        <w:rPr>
          <w:rFonts w:ascii="Palatino Linotype" w:eastAsia="Palatino Linotype" w:hAnsi="Palatino Linotype" w:cs="Palatino Linotype"/>
          <w:b/>
          <w:sz w:val="22"/>
          <w:szCs w:val="22"/>
        </w:rPr>
        <w:t xml:space="preserve"> de d</w:t>
      </w:r>
      <w:r w:rsidR="00731467" w:rsidRPr="0068787C">
        <w:rPr>
          <w:rFonts w:ascii="Palatino Linotype" w:eastAsia="Palatino Linotype" w:hAnsi="Palatino Linotype" w:cs="Palatino Linotype"/>
          <w:b/>
          <w:sz w:val="22"/>
          <w:szCs w:val="22"/>
        </w:rPr>
        <w:t>os mil veinticinc</w:t>
      </w:r>
      <w:r w:rsidRPr="0068787C">
        <w:rPr>
          <w:rFonts w:ascii="Palatino Linotype" w:eastAsia="Palatino Linotype" w:hAnsi="Palatino Linotype" w:cs="Palatino Linotype"/>
          <w:b/>
          <w:sz w:val="22"/>
          <w:szCs w:val="22"/>
        </w:rPr>
        <w:t xml:space="preserve">o, </w:t>
      </w:r>
      <w:r w:rsidRPr="0068787C">
        <w:rPr>
          <w:rFonts w:ascii="Palatino Linotype" w:eastAsia="Palatino Linotype" w:hAnsi="Palatino Linotype" w:cs="Palatino Linotype"/>
          <w:sz w:val="22"/>
          <w:szCs w:val="22"/>
        </w:rPr>
        <w:t xml:space="preserve">la parte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interpuso el recurso de revisión a través de </w:t>
      </w:r>
      <w:r w:rsidRPr="0068787C">
        <w:rPr>
          <w:rFonts w:ascii="Palatino Linotype" w:eastAsia="Palatino Linotype" w:hAnsi="Palatino Linotype" w:cs="Palatino Linotype"/>
          <w:b/>
          <w:sz w:val="22"/>
          <w:szCs w:val="22"/>
        </w:rPr>
        <w:t xml:space="preserve">SAIMEX, </w:t>
      </w:r>
      <w:r w:rsidRPr="0068787C">
        <w:rPr>
          <w:rFonts w:ascii="Palatino Linotype" w:eastAsia="Palatino Linotype" w:hAnsi="Palatino Linotype" w:cs="Palatino Linotype"/>
          <w:sz w:val="22"/>
          <w:szCs w:val="22"/>
        </w:rPr>
        <w:t>en donde se manifestó de la siguiente manera:</w:t>
      </w:r>
    </w:p>
    <w:p w14:paraId="576DAB4F" w14:textId="77777777" w:rsidR="00021793" w:rsidRPr="0068787C" w:rsidRDefault="00122CA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lastRenderedPageBreak/>
        <w:t xml:space="preserve">a) Acto impugnado: </w:t>
      </w:r>
      <w:r w:rsidRPr="0068787C">
        <w:rPr>
          <w:rFonts w:ascii="Palatino Linotype" w:eastAsia="Palatino Linotype" w:hAnsi="Palatino Linotype" w:cs="Palatino Linotype"/>
          <w:i/>
          <w:sz w:val="22"/>
          <w:szCs w:val="22"/>
        </w:rPr>
        <w:t>“</w:t>
      </w:r>
      <w:r w:rsidR="00731467" w:rsidRPr="0068787C">
        <w:rPr>
          <w:rFonts w:ascii="Palatino Linotype" w:eastAsia="Palatino Linotype" w:hAnsi="Palatino Linotype" w:cs="Palatino Linotype"/>
          <w:i/>
          <w:sz w:val="22"/>
          <w:szCs w:val="22"/>
        </w:rPr>
        <w:t>oficio de respuesta</w:t>
      </w:r>
      <w:r w:rsidRPr="0068787C">
        <w:rPr>
          <w:rFonts w:ascii="Palatino Linotype" w:eastAsia="Palatino Linotype" w:hAnsi="Palatino Linotype" w:cs="Palatino Linotype"/>
          <w:i/>
          <w:sz w:val="22"/>
          <w:szCs w:val="22"/>
        </w:rPr>
        <w:t>” (Sic)</w:t>
      </w:r>
    </w:p>
    <w:p w14:paraId="2551DE27" w14:textId="77777777" w:rsidR="00021793" w:rsidRPr="0068787C" w:rsidRDefault="00122CAC">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68787C">
        <w:rPr>
          <w:rFonts w:ascii="Palatino Linotype" w:eastAsia="Palatino Linotype" w:hAnsi="Palatino Linotype" w:cs="Palatino Linotype"/>
          <w:b/>
          <w:sz w:val="22"/>
          <w:szCs w:val="22"/>
        </w:rPr>
        <w:t>b) Razones o motivos de inconformidad</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i/>
          <w:sz w:val="22"/>
          <w:szCs w:val="22"/>
        </w:rPr>
        <w:t>“</w:t>
      </w:r>
      <w:r w:rsidR="00731467" w:rsidRPr="0068787C">
        <w:rPr>
          <w:rFonts w:ascii="Palatino Linotype" w:eastAsia="Palatino Linotype" w:hAnsi="Palatino Linotype" w:cs="Palatino Linotype"/>
          <w:i/>
          <w:sz w:val="22"/>
          <w:szCs w:val="22"/>
        </w:rPr>
        <w:t xml:space="preserve">Refieren que no cuentan con la información después de una "búsqueda exhaustiva y minuciosa", sin embargo, tampoco me orientan hacía que institución puedo solicitar la información. Asimismo, nunca anexaron el acta mediante el cual se autoriza la </w:t>
      </w:r>
      <w:proofErr w:type="spellStart"/>
      <w:r w:rsidR="00731467" w:rsidRPr="0068787C">
        <w:rPr>
          <w:rFonts w:ascii="Palatino Linotype" w:eastAsia="Palatino Linotype" w:hAnsi="Palatino Linotype" w:cs="Palatino Linotype"/>
          <w:i/>
          <w:sz w:val="22"/>
          <w:szCs w:val="22"/>
        </w:rPr>
        <w:t>prorroga</w:t>
      </w:r>
      <w:proofErr w:type="spellEnd"/>
      <w:r w:rsidR="00731467" w:rsidRPr="0068787C">
        <w:rPr>
          <w:rFonts w:ascii="Palatino Linotype" w:eastAsia="Palatino Linotype" w:hAnsi="Palatino Linotype" w:cs="Palatino Linotype"/>
          <w:i/>
          <w:sz w:val="22"/>
          <w:szCs w:val="22"/>
        </w:rPr>
        <w:t xml:space="preserve"> de entrega de información, porque como ciudadana es mi derecho conocer los motivos por los cuales la aprobaron, y más considerando la respuesta que otorgaron.</w:t>
      </w:r>
      <w:r w:rsidRPr="0068787C">
        <w:rPr>
          <w:rFonts w:ascii="Palatino Linotype" w:eastAsia="Palatino Linotype" w:hAnsi="Palatino Linotype" w:cs="Palatino Linotype"/>
          <w:i/>
          <w:sz w:val="22"/>
          <w:szCs w:val="22"/>
        </w:rPr>
        <w:t>” (Sic)</w:t>
      </w:r>
    </w:p>
    <w:p w14:paraId="50C43996" w14:textId="77777777" w:rsidR="00021793" w:rsidRPr="0068787C" w:rsidRDefault="00021793">
      <w:pPr>
        <w:spacing w:line="360" w:lineRule="auto"/>
        <w:jc w:val="both"/>
        <w:rPr>
          <w:rFonts w:ascii="Palatino Linotype" w:eastAsia="Palatino Linotype" w:hAnsi="Palatino Linotype" w:cs="Palatino Linotype"/>
          <w:b/>
        </w:rPr>
      </w:pPr>
    </w:p>
    <w:p w14:paraId="12E20AE8" w14:textId="77777777" w:rsidR="00021793" w:rsidRPr="0068787C" w:rsidRDefault="00122CAC">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4. Turno. </w:t>
      </w:r>
      <w:r w:rsidRPr="0068787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8787C">
        <w:rPr>
          <w:rFonts w:ascii="Palatino Linotype" w:eastAsia="Palatino Linotype" w:hAnsi="Palatino Linotype" w:cs="Palatino Linotype"/>
          <w:b/>
          <w:sz w:val="22"/>
          <w:szCs w:val="22"/>
        </w:rPr>
        <w:t xml:space="preserve">Guadalupe Ramírez Peña, </w:t>
      </w:r>
      <w:r w:rsidRPr="0068787C">
        <w:rPr>
          <w:rFonts w:ascii="Palatino Linotype" w:eastAsia="Palatino Linotype" w:hAnsi="Palatino Linotype" w:cs="Palatino Linotype"/>
          <w:sz w:val="22"/>
          <w:szCs w:val="22"/>
        </w:rPr>
        <w:t xml:space="preserve">a efecto de que analizara sobre su admisión o su </w:t>
      </w:r>
      <w:proofErr w:type="spellStart"/>
      <w:r w:rsidRPr="0068787C">
        <w:rPr>
          <w:rFonts w:ascii="Palatino Linotype" w:eastAsia="Palatino Linotype" w:hAnsi="Palatino Linotype" w:cs="Palatino Linotype"/>
          <w:sz w:val="22"/>
          <w:szCs w:val="22"/>
        </w:rPr>
        <w:t>desechamiento</w:t>
      </w:r>
      <w:proofErr w:type="spellEnd"/>
      <w:r w:rsidRPr="0068787C">
        <w:rPr>
          <w:rFonts w:ascii="Palatino Linotype" w:eastAsia="Palatino Linotype" w:hAnsi="Palatino Linotype" w:cs="Palatino Linotype"/>
          <w:sz w:val="22"/>
          <w:szCs w:val="22"/>
        </w:rPr>
        <w:t>.</w:t>
      </w:r>
    </w:p>
    <w:p w14:paraId="04C930D7"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68787C">
        <w:rPr>
          <w:rFonts w:ascii="Palatino Linotype" w:eastAsia="Palatino Linotype" w:hAnsi="Palatino Linotype" w:cs="Palatino Linotype"/>
          <w:b/>
          <w:sz w:val="22"/>
          <w:szCs w:val="22"/>
        </w:rPr>
        <w:t>5. Admisión del Recurso de revisión.</w:t>
      </w:r>
      <w:r w:rsidRPr="0068787C">
        <w:rPr>
          <w:rFonts w:ascii="Palatino Linotype" w:eastAsia="Palatino Linotype" w:hAnsi="Palatino Linotype" w:cs="Palatino Linotype"/>
          <w:sz w:val="22"/>
          <w:szCs w:val="22"/>
        </w:rPr>
        <w:t xml:space="preserve"> El</w:t>
      </w:r>
      <w:r w:rsidR="00731467" w:rsidRPr="0068787C">
        <w:rPr>
          <w:rFonts w:ascii="Palatino Linotype" w:eastAsia="Palatino Linotype" w:hAnsi="Palatino Linotype" w:cs="Palatino Linotype"/>
          <w:b/>
          <w:sz w:val="22"/>
          <w:szCs w:val="22"/>
        </w:rPr>
        <w:t xml:space="preserve"> once de febrero de dos mil veinticinc</w:t>
      </w:r>
      <w:r w:rsidRPr="0068787C">
        <w:rPr>
          <w:rFonts w:ascii="Palatino Linotype" w:eastAsia="Palatino Linotype" w:hAnsi="Palatino Linotype" w:cs="Palatino Linotype"/>
          <w:b/>
          <w:sz w:val="22"/>
          <w:szCs w:val="22"/>
        </w:rPr>
        <w:t xml:space="preserve">o, </w:t>
      </w:r>
      <w:r w:rsidRPr="0068787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8787C">
        <w:rPr>
          <w:rFonts w:ascii="Palatino Linotype" w:eastAsia="Palatino Linotype" w:hAnsi="Palatino Linotype" w:cs="Palatino Linotype"/>
          <w:b/>
          <w:sz w:val="22"/>
          <w:szCs w:val="22"/>
        </w:rPr>
        <w:t xml:space="preserve">Sujeto Obligado </w:t>
      </w:r>
      <w:r w:rsidRPr="0068787C">
        <w:rPr>
          <w:rFonts w:ascii="Palatino Linotype" w:eastAsia="Palatino Linotype" w:hAnsi="Palatino Linotype" w:cs="Palatino Linotype"/>
          <w:sz w:val="22"/>
          <w:szCs w:val="22"/>
        </w:rPr>
        <w:t>presentara su informe justificado.</w:t>
      </w:r>
    </w:p>
    <w:p w14:paraId="35635151" w14:textId="77777777" w:rsidR="00731467" w:rsidRPr="0068787C" w:rsidRDefault="00122CAC">
      <w:pPr>
        <w:widowControl w:val="0"/>
        <w:spacing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6. Manifestaciones e Informe Justificado. </w:t>
      </w:r>
      <w:r w:rsidRPr="0068787C">
        <w:rPr>
          <w:rFonts w:ascii="Palatino Linotype" w:eastAsia="Palatino Linotype" w:hAnsi="Palatino Linotype" w:cs="Palatino Linotype"/>
          <w:sz w:val="22"/>
          <w:szCs w:val="22"/>
        </w:rPr>
        <w:t xml:space="preserve">De constancias del expediente electrónico del SAIMEX, se observa que </w:t>
      </w:r>
      <w:r w:rsidR="00731467" w:rsidRPr="0068787C">
        <w:rPr>
          <w:rFonts w:ascii="Palatino Linotype" w:eastAsia="Palatino Linotype" w:hAnsi="Palatino Linotype" w:cs="Palatino Linotype"/>
          <w:sz w:val="22"/>
          <w:szCs w:val="22"/>
        </w:rPr>
        <w:t xml:space="preserve">los días </w:t>
      </w:r>
      <w:r w:rsidR="00731467" w:rsidRPr="0068787C">
        <w:rPr>
          <w:rFonts w:ascii="Palatino Linotype" w:eastAsia="Palatino Linotype" w:hAnsi="Palatino Linotype" w:cs="Palatino Linotype"/>
          <w:b/>
          <w:sz w:val="22"/>
          <w:szCs w:val="22"/>
        </w:rPr>
        <w:t>diecisiete y veinte de febrero de dos mil veinticinco</w:t>
      </w:r>
      <w:r w:rsidR="00731467" w:rsidRPr="0068787C">
        <w:rPr>
          <w:rFonts w:ascii="Palatino Linotype" w:eastAsia="Palatino Linotype" w:hAnsi="Palatino Linotype" w:cs="Palatino Linotype"/>
          <w:sz w:val="22"/>
          <w:szCs w:val="22"/>
        </w:rPr>
        <w:t xml:space="preserve">, el </w:t>
      </w:r>
      <w:r w:rsidR="00731467" w:rsidRPr="0068787C">
        <w:rPr>
          <w:rFonts w:ascii="Palatino Linotype" w:eastAsia="Palatino Linotype" w:hAnsi="Palatino Linotype" w:cs="Palatino Linotype"/>
          <w:b/>
          <w:sz w:val="22"/>
          <w:szCs w:val="22"/>
        </w:rPr>
        <w:t>Sujeto Obligado</w:t>
      </w:r>
      <w:r w:rsidR="00731467" w:rsidRPr="0068787C">
        <w:rPr>
          <w:rFonts w:ascii="Palatino Linotype" w:eastAsia="Palatino Linotype" w:hAnsi="Palatino Linotype" w:cs="Palatino Linotype"/>
          <w:sz w:val="22"/>
          <w:szCs w:val="22"/>
        </w:rPr>
        <w:t xml:space="preserve"> remitió su informe justificado mediante los siguientes archivos electrónicos:</w:t>
      </w:r>
    </w:p>
    <w:p w14:paraId="3E336685" w14:textId="77777777" w:rsidR="00731467" w:rsidRPr="0068787C" w:rsidRDefault="00731467" w:rsidP="00731467">
      <w:pPr>
        <w:widowControl w:val="0"/>
        <w:spacing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ab/>
      </w:r>
    </w:p>
    <w:p w14:paraId="54F0CAD7" w14:textId="77777777" w:rsidR="00731467" w:rsidRPr="0068787C" w:rsidRDefault="00731467" w:rsidP="00731467">
      <w:pPr>
        <w:widowControl w:val="0"/>
        <w:spacing w:line="360" w:lineRule="auto"/>
        <w:ind w:left="567" w:right="900"/>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i/>
          <w:sz w:val="22"/>
          <w:szCs w:val="22"/>
        </w:rPr>
        <w:t xml:space="preserve">“00864-DESARROLLO ECONOMICO.pdf”: </w:t>
      </w:r>
      <w:r w:rsidRPr="0068787C">
        <w:rPr>
          <w:rFonts w:ascii="Palatino Linotype" w:eastAsia="Palatino Linotype" w:hAnsi="Palatino Linotype" w:cs="Palatino Linotype"/>
          <w:sz w:val="22"/>
          <w:szCs w:val="22"/>
        </w:rPr>
        <w:t xml:space="preserve">Oficio DTYGA/MET/0163/2025, suscrito por el Director de Transparencia y </w:t>
      </w:r>
      <w:r w:rsidRPr="0068787C">
        <w:rPr>
          <w:rFonts w:ascii="Palatino Linotype" w:eastAsia="Palatino Linotype" w:hAnsi="Palatino Linotype" w:cs="Palatino Linotype"/>
          <w:sz w:val="22"/>
          <w:szCs w:val="22"/>
        </w:rPr>
        <w:lastRenderedPageBreak/>
        <w:t>Gobierno Abierto, por el cual hace del conocimiento de la Directora de Desarrollo Económico, Turístico y Artesanal, que se interpuso el recurso de revisión citado al rubro para efecto de que presente las manifestaciones que a su derecho convengan en un plazo no mayor a tres días hábiles.</w:t>
      </w:r>
    </w:p>
    <w:p w14:paraId="34A281BB" w14:textId="77777777" w:rsidR="00731467" w:rsidRPr="0068787C" w:rsidRDefault="00731467" w:rsidP="00731467">
      <w:pPr>
        <w:widowControl w:val="0"/>
        <w:spacing w:line="360" w:lineRule="auto"/>
        <w:ind w:left="567" w:right="49"/>
        <w:jc w:val="both"/>
        <w:rPr>
          <w:rFonts w:ascii="Palatino Linotype" w:eastAsia="Palatino Linotype" w:hAnsi="Palatino Linotype" w:cs="Palatino Linotype"/>
          <w:b/>
          <w:i/>
          <w:sz w:val="22"/>
          <w:szCs w:val="22"/>
        </w:rPr>
      </w:pPr>
      <w:r w:rsidRPr="0068787C">
        <w:rPr>
          <w:rFonts w:ascii="Palatino Linotype" w:eastAsia="Palatino Linotype" w:hAnsi="Palatino Linotype" w:cs="Palatino Linotype"/>
          <w:b/>
          <w:i/>
          <w:sz w:val="22"/>
          <w:szCs w:val="22"/>
        </w:rPr>
        <w:tab/>
      </w:r>
    </w:p>
    <w:p w14:paraId="5957C4CA" w14:textId="77777777" w:rsidR="00731467" w:rsidRPr="0068787C" w:rsidRDefault="00731467" w:rsidP="00B655C2">
      <w:pPr>
        <w:widowControl w:val="0"/>
        <w:spacing w:line="360" w:lineRule="auto"/>
        <w:ind w:left="567" w:right="900"/>
        <w:jc w:val="both"/>
        <w:rPr>
          <w:rFonts w:ascii="Palatino Linotype" w:eastAsia="Palatino Linotype" w:hAnsi="Palatino Linotype" w:cs="Palatino Linotype"/>
          <w:b/>
          <w:i/>
          <w:sz w:val="22"/>
          <w:szCs w:val="22"/>
          <w:u w:val="single"/>
        </w:rPr>
      </w:pPr>
      <w:r w:rsidRPr="0068787C">
        <w:rPr>
          <w:rFonts w:ascii="Palatino Linotype" w:eastAsia="Palatino Linotype" w:hAnsi="Palatino Linotype" w:cs="Palatino Linotype"/>
          <w:b/>
          <w:i/>
          <w:sz w:val="22"/>
          <w:szCs w:val="22"/>
        </w:rPr>
        <w:t>“RR 749 SOLIC 864 MANIFESTACIONES DES ECO (1).</w:t>
      </w:r>
      <w:proofErr w:type="spellStart"/>
      <w:r w:rsidRPr="0068787C">
        <w:rPr>
          <w:rFonts w:ascii="Palatino Linotype" w:eastAsia="Palatino Linotype" w:hAnsi="Palatino Linotype" w:cs="Palatino Linotype"/>
          <w:b/>
          <w:i/>
          <w:sz w:val="22"/>
          <w:szCs w:val="22"/>
        </w:rPr>
        <w:t>pdf</w:t>
      </w:r>
      <w:proofErr w:type="spellEnd"/>
      <w:r w:rsidRPr="0068787C">
        <w:rPr>
          <w:rFonts w:ascii="Palatino Linotype" w:eastAsia="Palatino Linotype" w:hAnsi="Palatino Linotype" w:cs="Palatino Linotype"/>
          <w:b/>
          <w:i/>
          <w:sz w:val="22"/>
          <w:szCs w:val="22"/>
        </w:rPr>
        <w:t xml:space="preserve">”: </w:t>
      </w:r>
      <w:r w:rsidRPr="0068787C">
        <w:rPr>
          <w:rFonts w:ascii="Palatino Linotype" w:eastAsia="Palatino Linotype" w:hAnsi="Palatino Linotype" w:cs="Palatino Linotype"/>
          <w:sz w:val="22"/>
          <w:szCs w:val="22"/>
        </w:rPr>
        <w:t xml:space="preserve">Oficio </w:t>
      </w:r>
      <w:proofErr w:type="spellStart"/>
      <w:r w:rsidRPr="0068787C">
        <w:rPr>
          <w:rFonts w:ascii="Palatino Linotype" w:eastAsia="Palatino Linotype" w:hAnsi="Palatino Linotype" w:cs="Palatino Linotype"/>
          <w:sz w:val="22"/>
          <w:szCs w:val="22"/>
        </w:rPr>
        <w:t>DDETyA</w:t>
      </w:r>
      <w:proofErr w:type="spellEnd"/>
      <w:r w:rsidRPr="0068787C">
        <w:rPr>
          <w:rFonts w:ascii="Palatino Linotype" w:eastAsia="Palatino Linotype" w:hAnsi="Palatino Linotype" w:cs="Palatino Linotype"/>
          <w:sz w:val="22"/>
          <w:szCs w:val="22"/>
        </w:rPr>
        <w:t xml:space="preserve">/415/2025, signado por la Directora de Desarrollo Económico, Turístico y Artesanal, mediante el cual refiere que respecto a la solicitud de mérito, es dable informar que </w:t>
      </w:r>
      <w:r w:rsidRPr="0068787C">
        <w:rPr>
          <w:rFonts w:ascii="Palatino Linotype" w:eastAsia="Palatino Linotype" w:hAnsi="Palatino Linotype" w:cs="Palatino Linotype"/>
          <w:b/>
          <w:sz w:val="22"/>
          <w:szCs w:val="22"/>
          <w:u w:val="single"/>
        </w:rPr>
        <w:t xml:space="preserve">dicha Dirección no extiende licencias y/o permisos a plazas comerciales para </w:t>
      </w:r>
      <w:proofErr w:type="spellStart"/>
      <w:r w:rsidRPr="0068787C">
        <w:rPr>
          <w:rFonts w:ascii="Palatino Linotype" w:eastAsia="Palatino Linotype" w:hAnsi="Palatino Linotype" w:cs="Palatino Linotype"/>
          <w:b/>
          <w:sz w:val="22"/>
          <w:szCs w:val="22"/>
          <w:u w:val="single"/>
        </w:rPr>
        <w:t>pet</w:t>
      </w:r>
      <w:proofErr w:type="spellEnd"/>
      <w:r w:rsidRPr="0068787C">
        <w:rPr>
          <w:rFonts w:ascii="Palatino Linotype" w:eastAsia="Palatino Linotype" w:hAnsi="Palatino Linotype" w:cs="Palatino Linotype"/>
          <w:b/>
          <w:sz w:val="22"/>
          <w:szCs w:val="22"/>
          <w:u w:val="single"/>
        </w:rPr>
        <w:t xml:space="preserve"> </w:t>
      </w:r>
      <w:proofErr w:type="spellStart"/>
      <w:r w:rsidRPr="0068787C">
        <w:rPr>
          <w:rFonts w:ascii="Palatino Linotype" w:eastAsia="Palatino Linotype" w:hAnsi="Palatino Linotype" w:cs="Palatino Linotype"/>
          <w:b/>
          <w:sz w:val="22"/>
          <w:szCs w:val="22"/>
          <w:u w:val="single"/>
        </w:rPr>
        <w:t>friendly</w:t>
      </w:r>
      <w:proofErr w:type="spellEnd"/>
      <w:r w:rsidRPr="0068787C">
        <w:rPr>
          <w:rFonts w:ascii="Palatino Linotype" w:eastAsia="Palatino Linotype" w:hAnsi="Palatino Linotype" w:cs="Palatino Linotype"/>
          <w:b/>
          <w:sz w:val="22"/>
          <w:szCs w:val="22"/>
          <w:u w:val="single"/>
        </w:rPr>
        <w:t xml:space="preserve">, por ende, no solicitan documentos para un trámite </w:t>
      </w:r>
      <w:r w:rsidR="00B655C2" w:rsidRPr="0068787C">
        <w:rPr>
          <w:rFonts w:ascii="Palatino Linotype" w:eastAsia="Palatino Linotype" w:hAnsi="Palatino Linotype" w:cs="Palatino Linotype"/>
          <w:b/>
          <w:sz w:val="22"/>
          <w:szCs w:val="22"/>
          <w:u w:val="single"/>
        </w:rPr>
        <w:t>que no corresponde a la Dirección, asimismo refiere que tampoco les compete sancionar o multar a personas que hacen omisión al auxilio de animales en situación de calle.</w:t>
      </w:r>
      <w:r w:rsidR="00B655C2"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b/>
          <w:i/>
          <w:sz w:val="22"/>
          <w:szCs w:val="22"/>
        </w:rPr>
        <w:tab/>
      </w:r>
    </w:p>
    <w:p w14:paraId="17255BC4" w14:textId="77777777" w:rsidR="00731467" w:rsidRPr="0068787C" w:rsidRDefault="00731467">
      <w:pPr>
        <w:widowControl w:val="0"/>
        <w:spacing w:line="360" w:lineRule="auto"/>
        <w:ind w:right="49"/>
        <w:jc w:val="both"/>
        <w:rPr>
          <w:rFonts w:ascii="Palatino Linotype" w:eastAsia="Palatino Linotype" w:hAnsi="Palatino Linotype" w:cs="Palatino Linotype"/>
          <w:sz w:val="22"/>
          <w:szCs w:val="22"/>
        </w:rPr>
      </w:pPr>
    </w:p>
    <w:p w14:paraId="0F3E34A4" w14:textId="77777777" w:rsidR="00F83806" w:rsidRPr="0068787C" w:rsidRDefault="00B655C2">
      <w:pPr>
        <w:widowControl w:val="0"/>
        <w:spacing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Es de precisar que una vez analizada esta documentación, se determinó ponerla a la vista de </w:t>
      </w:r>
      <w:r w:rsidRPr="0068787C">
        <w:rPr>
          <w:rFonts w:ascii="Palatino Linotype" w:eastAsia="Palatino Linotype" w:hAnsi="Palatino Linotype" w:cs="Palatino Linotype"/>
          <w:b/>
          <w:sz w:val="22"/>
          <w:szCs w:val="22"/>
        </w:rPr>
        <w:t>la parte Recurrente</w:t>
      </w:r>
      <w:r w:rsidRPr="0068787C">
        <w:rPr>
          <w:rFonts w:ascii="Palatino Linotype" w:eastAsia="Palatino Linotype" w:hAnsi="Palatino Linotype" w:cs="Palatino Linotype"/>
          <w:sz w:val="22"/>
          <w:szCs w:val="22"/>
        </w:rPr>
        <w:t xml:space="preserve"> mediante acuerdos suscritos por la Comisionada Ponente, los días </w:t>
      </w:r>
      <w:r w:rsidRPr="0068787C">
        <w:rPr>
          <w:rFonts w:ascii="Palatino Linotype" w:eastAsia="Palatino Linotype" w:hAnsi="Palatino Linotype" w:cs="Palatino Linotype"/>
          <w:b/>
          <w:sz w:val="22"/>
          <w:szCs w:val="22"/>
        </w:rPr>
        <w:t>dieciocho y veinticinco de febrero de dos mil veinticinco</w:t>
      </w:r>
      <w:r w:rsidR="00F83806" w:rsidRPr="0068787C">
        <w:rPr>
          <w:rFonts w:ascii="Palatino Linotype" w:eastAsia="Palatino Linotype" w:hAnsi="Palatino Linotype" w:cs="Palatino Linotype"/>
          <w:sz w:val="22"/>
          <w:szCs w:val="22"/>
        </w:rPr>
        <w:t xml:space="preserve">, teniendo constancia de que </w:t>
      </w:r>
      <w:r w:rsidR="00F83806" w:rsidRPr="0068787C">
        <w:rPr>
          <w:rFonts w:ascii="Palatino Linotype" w:eastAsia="Palatino Linotype" w:hAnsi="Palatino Linotype" w:cs="Palatino Linotype"/>
          <w:b/>
          <w:sz w:val="22"/>
          <w:szCs w:val="22"/>
        </w:rPr>
        <w:t>la parte Recurrente</w:t>
      </w:r>
      <w:r w:rsidR="00F83806" w:rsidRPr="0068787C">
        <w:rPr>
          <w:rFonts w:ascii="Palatino Linotype" w:eastAsia="Palatino Linotype" w:hAnsi="Palatino Linotype" w:cs="Palatino Linotype"/>
          <w:sz w:val="22"/>
          <w:szCs w:val="22"/>
        </w:rPr>
        <w:t xml:space="preserve"> fue omisa en </w:t>
      </w:r>
      <w:r w:rsidR="00122CAC" w:rsidRPr="0068787C">
        <w:rPr>
          <w:rFonts w:ascii="Palatino Linotype" w:eastAsia="Palatino Linotype" w:hAnsi="Palatino Linotype" w:cs="Palatino Linotype"/>
          <w:sz w:val="22"/>
          <w:szCs w:val="22"/>
        </w:rPr>
        <w:t xml:space="preserve">rendir sus manifestaciones e informe justificado, por lo que se tiene por precluido su derecho para tal efecto. </w:t>
      </w:r>
    </w:p>
    <w:p w14:paraId="60762129" w14:textId="77777777" w:rsidR="00021793" w:rsidRPr="0068787C" w:rsidRDefault="00F83806" w:rsidP="00F83806">
      <w:pPr>
        <w:widowControl w:val="0"/>
        <w:spacing w:line="360" w:lineRule="auto"/>
        <w:ind w:right="49"/>
        <w:jc w:val="center"/>
        <w:rPr>
          <w:rFonts w:ascii="Palatino Linotype" w:eastAsia="Palatino Linotype" w:hAnsi="Palatino Linotype" w:cs="Palatino Linotype"/>
          <w:sz w:val="22"/>
          <w:szCs w:val="22"/>
        </w:rPr>
      </w:pPr>
      <w:r w:rsidRPr="0068787C">
        <w:rPr>
          <w:rFonts w:ascii="Palatino Linotype" w:eastAsia="Palatino Linotype" w:hAnsi="Palatino Linotype" w:cs="Palatino Linotype"/>
          <w:noProof/>
          <w:sz w:val="22"/>
          <w:szCs w:val="22"/>
        </w:rPr>
        <w:drawing>
          <wp:inline distT="0" distB="0" distL="0" distR="0" wp14:anchorId="30A230DE" wp14:editId="59398319">
            <wp:extent cx="5189928" cy="2162175"/>
            <wp:effectExtent l="19050" t="19050" r="1079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9469" cy="2191146"/>
                    </a:xfrm>
                    <a:prstGeom prst="rect">
                      <a:avLst/>
                    </a:prstGeom>
                    <a:ln>
                      <a:solidFill>
                        <a:schemeClr val="tx1"/>
                      </a:solidFill>
                    </a:ln>
                  </pic:spPr>
                </pic:pic>
              </a:graphicData>
            </a:graphic>
          </wp:inline>
        </w:drawing>
      </w:r>
    </w:p>
    <w:p w14:paraId="2EE31AD5" w14:textId="77777777" w:rsidR="00021793" w:rsidRPr="0068787C" w:rsidRDefault="00122CAC">
      <w:pPr>
        <w:spacing w:after="240" w:line="360" w:lineRule="auto"/>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lastRenderedPageBreak/>
        <w:t xml:space="preserve">7. Cierre de instrucción. </w:t>
      </w:r>
      <w:r w:rsidRPr="0068787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83806" w:rsidRPr="0068787C">
        <w:rPr>
          <w:rFonts w:ascii="Palatino Linotype" w:eastAsia="Palatino Linotype" w:hAnsi="Palatino Linotype" w:cs="Palatino Linotype"/>
          <w:b/>
          <w:sz w:val="22"/>
          <w:szCs w:val="22"/>
        </w:rPr>
        <w:t>cuatro de marzo</w:t>
      </w:r>
      <w:r w:rsidRPr="0068787C">
        <w:rPr>
          <w:rFonts w:ascii="Palatino Linotype" w:eastAsia="Palatino Linotype" w:hAnsi="Palatino Linotype" w:cs="Palatino Linotype"/>
          <w:b/>
          <w:sz w:val="22"/>
          <w:szCs w:val="22"/>
        </w:rPr>
        <w:t xml:space="preserve"> de dos mil veinticinco,</w:t>
      </w:r>
      <w:r w:rsidRPr="0068787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989174C"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B4FA81B" w14:textId="77777777" w:rsidR="00021793" w:rsidRPr="0068787C" w:rsidRDefault="00122CAC">
      <w:pPr>
        <w:widowControl w:val="0"/>
        <w:spacing w:before="240" w:after="240" w:line="360" w:lineRule="auto"/>
        <w:jc w:val="center"/>
        <w:rPr>
          <w:rFonts w:ascii="Palatino Linotype" w:eastAsia="Palatino Linotype" w:hAnsi="Palatino Linotype" w:cs="Palatino Linotype"/>
          <w:b/>
        </w:rPr>
      </w:pPr>
      <w:r w:rsidRPr="0068787C">
        <w:rPr>
          <w:rFonts w:ascii="Palatino Linotype" w:eastAsia="Palatino Linotype" w:hAnsi="Palatino Linotype" w:cs="Palatino Linotype"/>
          <w:b/>
        </w:rPr>
        <w:t>II. C O N S I D E R A N D O S</w:t>
      </w:r>
    </w:p>
    <w:p w14:paraId="39F10A6C"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Primero. Competencia.</w:t>
      </w:r>
      <w:r w:rsidRPr="0068787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299963"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68787C">
        <w:rPr>
          <w:rFonts w:ascii="Palatino Linotype" w:eastAsia="Palatino Linotype" w:hAnsi="Palatino Linotype" w:cs="Palatino Linotype"/>
          <w:b/>
          <w:sz w:val="22"/>
          <w:szCs w:val="22"/>
        </w:rPr>
        <w:t>Segundo. Oportunidad y Procedibilidad del Recurso de Revisión</w:t>
      </w:r>
      <w:r w:rsidRPr="0068787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9EE6819"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68787C">
        <w:rPr>
          <w:rFonts w:ascii="Palatino Linotype" w:eastAsia="Palatino Linotype" w:hAnsi="Palatino Linotype" w:cs="Palatino Linotype"/>
          <w:sz w:val="22"/>
          <w:szCs w:val="22"/>
        </w:rPr>
        <w:lastRenderedPageBreak/>
        <w:t xml:space="preserve">México y Municipios, toda vez que el </w:t>
      </w:r>
      <w:r w:rsidRPr="0068787C">
        <w:rPr>
          <w:rFonts w:ascii="Palatino Linotype" w:eastAsia="Palatino Linotype" w:hAnsi="Palatino Linotype" w:cs="Palatino Linotype"/>
          <w:b/>
          <w:sz w:val="22"/>
          <w:szCs w:val="22"/>
        </w:rPr>
        <w:t xml:space="preserve">Sujeto Obligado </w:t>
      </w:r>
      <w:r w:rsidRPr="0068787C">
        <w:rPr>
          <w:rFonts w:ascii="Palatino Linotype" w:eastAsia="Palatino Linotype" w:hAnsi="Palatino Linotype" w:cs="Palatino Linotype"/>
          <w:sz w:val="22"/>
          <w:szCs w:val="22"/>
        </w:rPr>
        <w:t xml:space="preserve">remitió la respuesta a la solicitud de información el </w:t>
      </w:r>
      <w:r w:rsidR="00F83806" w:rsidRPr="0068787C">
        <w:rPr>
          <w:rFonts w:ascii="Palatino Linotype" w:eastAsia="Palatino Linotype" w:hAnsi="Palatino Linotype" w:cs="Palatino Linotype"/>
          <w:b/>
          <w:sz w:val="22"/>
          <w:szCs w:val="22"/>
        </w:rPr>
        <w:t>cuatro</w:t>
      </w:r>
      <w:r w:rsidRPr="0068787C">
        <w:rPr>
          <w:rFonts w:ascii="Palatino Linotype" w:eastAsia="Palatino Linotype" w:hAnsi="Palatino Linotype" w:cs="Palatino Linotype"/>
          <w:b/>
          <w:sz w:val="22"/>
          <w:szCs w:val="22"/>
        </w:rPr>
        <w:t xml:space="preserve"> de </w:t>
      </w:r>
      <w:r w:rsidR="00F83806" w:rsidRPr="0068787C">
        <w:rPr>
          <w:rFonts w:ascii="Palatino Linotype" w:eastAsia="Palatino Linotype" w:hAnsi="Palatino Linotype" w:cs="Palatino Linotype"/>
          <w:b/>
          <w:sz w:val="22"/>
          <w:szCs w:val="22"/>
        </w:rPr>
        <w:t>febrero</w:t>
      </w:r>
      <w:r w:rsidRPr="0068787C">
        <w:rPr>
          <w:rFonts w:ascii="Palatino Linotype" w:eastAsia="Palatino Linotype" w:hAnsi="Palatino Linotype" w:cs="Palatino Linotype"/>
          <w:sz w:val="22"/>
          <w:szCs w:val="22"/>
        </w:rPr>
        <w:t xml:space="preserve"> </w:t>
      </w:r>
      <w:r w:rsidR="00F83806" w:rsidRPr="0068787C">
        <w:rPr>
          <w:rFonts w:ascii="Palatino Linotype" w:eastAsia="Palatino Linotype" w:hAnsi="Palatino Linotype" w:cs="Palatino Linotype"/>
          <w:b/>
          <w:sz w:val="22"/>
          <w:szCs w:val="22"/>
        </w:rPr>
        <w:t>de dos mil veinticinc</w:t>
      </w:r>
      <w:r w:rsidRPr="0068787C">
        <w:rPr>
          <w:rFonts w:ascii="Palatino Linotype" w:eastAsia="Palatino Linotype" w:hAnsi="Palatino Linotype" w:cs="Palatino Linotype"/>
          <w:b/>
          <w:sz w:val="22"/>
          <w:szCs w:val="22"/>
        </w:rPr>
        <w:t xml:space="preserve">o, </w:t>
      </w:r>
      <w:r w:rsidRPr="0068787C">
        <w:rPr>
          <w:rFonts w:ascii="Palatino Linotype" w:eastAsia="Palatino Linotype" w:hAnsi="Palatino Linotype" w:cs="Palatino Linotype"/>
          <w:sz w:val="22"/>
          <w:szCs w:val="22"/>
        </w:rPr>
        <w:t xml:space="preserve">mientras que el recurso de revisión interpuesto por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se tuvo por presentado el día </w:t>
      </w:r>
      <w:r w:rsidR="00F83806" w:rsidRPr="0068787C">
        <w:rPr>
          <w:rFonts w:ascii="Palatino Linotype" w:eastAsia="Palatino Linotype" w:hAnsi="Palatino Linotype" w:cs="Palatino Linotype"/>
          <w:b/>
          <w:sz w:val="22"/>
          <w:szCs w:val="22"/>
        </w:rPr>
        <w:t>seis</w:t>
      </w:r>
      <w:r w:rsidRPr="0068787C">
        <w:rPr>
          <w:rFonts w:ascii="Palatino Linotype" w:eastAsia="Palatino Linotype" w:hAnsi="Palatino Linotype" w:cs="Palatino Linotype"/>
          <w:b/>
          <w:sz w:val="22"/>
          <w:szCs w:val="22"/>
        </w:rPr>
        <w:t xml:space="preserve"> de </w:t>
      </w:r>
      <w:r w:rsidR="00F83806" w:rsidRPr="0068787C">
        <w:rPr>
          <w:rFonts w:ascii="Palatino Linotype" w:eastAsia="Palatino Linotype" w:hAnsi="Palatino Linotype" w:cs="Palatino Linotype"/>
          <w:b/>
          <w:sz w:val="22"/>
          <w:szCs w:val="22"/>
        </w:rPr>
        <w:t>febrero</w:t>
      </w:r>
      <w:r w:rsidRPr="0068787C">
        <w:rPr>
          <w:rFonts w:ascii="Palatino Linotype" w:eastAsia="Palatino Linotype" w:hAnsi="Palatino Linotype" w:cs="Palatino Linotype"/>
          <w:b/>
          <w:sz w:val="22"/>
          <w:szCs w:val="22"/>
        </w:rPr>
        <w:t xml:space="preserve"> </w:t>
      </w:r>
      <w:r w:rsidR="00F83806" w:rsidRPr="0068787C">
        <w:rPr>
          <w:rFonts w:ascii="Palatino Linotype" w:eastAsia="Palatino Linotype" w:hAnsi="Palatino Linotype" w:cs="Palatino Linotype"/>
          <w:b/>
          <w:sz w:val="22"/>
          <w:szCs w:val="22"/>
        </w:rPr>
        <w:t>de dos mil veinticinco</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esto es, el </w:t>
      </w:r>
      <w:r w:rsidR="00F83806" w:rsidRPr="0068787C">
        <w:rPr>
          <w:rFonts w:ascii="Palatino Linotype" w:eastAsia="Palatino Linotype" w:hAnsi="Palatino Linotype" w:cs="Palatino Linotype"/>
          <w:b/>
          <w:sz w:val="22"/>
          <w:szCs w:val="22"/>
        </w:rPr>
        <w:t>segundo</w:t>
      </w:r>
      <w:r w:rsidRPr="0068787C">
        <w:rPr>
          <w:rFonts w:ascii="Palatino Linotype" w:eastAsia="Palatino Linotype" w:hAnsi="Palatino Linotype" w:cs="Palatino Linotype"/>
          <w:b/>
          <w:sz w:val="22"/>
          <w:szCs w:val="22"/>
        </w:rPr>
        <w:t xml:space="preserve"> día hábil en el que tuvo conocimiento de la respuesta impugnada.</w:t>
      </w:r>
      <w:r w:rsidRPr="0068787C">
        <w:rPr>
          <w:rFonts w:ascii="Palatino Linotype" w:eastAsia="Palatino Linotype" w:hAnsi="Palatino Linotype" w:cs="Palatino Linotype"/>
          <w:sz w:val="22"/>
          <w:szCs w:val="22"/>
        </w:rPr>
        <w:t xml:space="preserve"> </w:t>
      </w:r>
    </w:p>
    <w:p w14:paraId="3A1C47BF"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9F93ADC" w14:textId="77777777" w:rsidR="00021793" w:rsidRPr="0068787C" w:rsidRDefault="00122CAC">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68787C">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953E6E9"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en sus motivos de inconformidad, de acuerdo </w:t>
      </w:r>
      <w:r w:rsidR="00F83806" w:rsidRPr="0068787C">
        <w:rPr>
          <w:rFonts w:ascii="Palatino Linotype" w:eastAsia="Palatino Linotype" w:hAnsi="Palatino Linotype" w:cs="Palatino Linotype"/>
          <w:sz w:val="22"/>
          <w:szCs w:val="22"/>
        </w:rPr>
        <w:t>al artículo 179, fracción I</w:t>
      </w:r>
      <w:r w:rsidRPr="0068787C">
        <w:rPr>
          <w:rFonts w:ascii="Palatino Linotype" w:eastAsia="Palatino Linotype" w:hAnsi="Palatino Linotype" w:cs="Palatino Linotype"/>
          <w:sz w:val="22"/>
          <w:szCs w:val="22"/>
        </w:rPr>
        <w:t xml:space="preserve"> del ordenamiento legal citado, que a la letra dice: </w:t>
      </w:r>
    </w:p>
    <w:p w14:paraId="42CE3C15" w14:textId="77777777" w:rsidR="00021793" w:rsidRPr="0068787C" w:rsidRDefault="00122CAC">
      <w:pPr>
        <w:spacing w:before="120" w:after="120"/>
        <w:ind w:left="567" w:right="902"/>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w:t>
      </w:r>
      <w:r w:rsidRPr="0068787C">
        <w:rPr>
          <w:rFonts w:ascii="Palatino Linotype" w:eastAsia="Palatino Linotype" w:hAnsi="Palatino Linotype" w:cs="Palatino Linotype"/>
          <w:b/>
          <w:i/>
          <w:sz w:val="22"/>
          <w:szCs w:val="22"/>
        </w:rPr>
        <w:t>Artículo 179.</w:t>
      </w:r>
      <w:r w:rsidRPr="0068787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CE3B762" w14:textId="77777777" w:rsidR="00021793" w:rsidRPr="0068787C" w:rsidRDefault="00F83806" w:rsidP="00F83806">
      <w:pPr>
        <w:spacing w:before="120" w:after="120"/>
        <w:ind w:left="567" w:right="902"/>
        <w:jc w:val="both"/>
        <w:rPr>
          <w:rFonts w:ascii="Palatino Linotype" w:eastAsia="Palatino Linotype" w:hAnsi="Palatino Linotype" w:cs="Palatino Linotype"/>
          <w:b/>
          <w:i/>
          <w:sz w:val="22"/>
          <w:szCs w:val="22"/>
        </w:rPr>
      </w:pPr>
      <w:r w:rsidRPr="0068787C">
        <w:rPr>
          <w:rFonts w:ascii="Palatino Linotype" w:eastAsia="Palatino Linotype" w:hAnsi="Palatino Linotype" w:cs="Palatino Linotype"/>
          <w:b/>
          <w:i/>
          <w:sz w:val="22"/>
          <w:szCs w:val="22"/>
        </w:rPr>
        <w:t>I. La negativa a la información solicitada</w:t>
      </w:r>
      <w:r w:rsidRPr="0068787C">
        <w:rPr>
          <w:rFonts w:ascii="Palatino Linotype" w:eastAsia="Palatino Linotype" w:hAnsi="Palatino Linotype" w:cs="Palatino Linotype"/>
          <w:i/>
          <w:sz w:val="22"/>
          <w:szCs w:val="22"/>
        </w:rPr>
        <w:t>;</w:t>
      </w:r>
      <w:r w:rsidR="00122CAC" w:rsidRPr="0068787C">
        <w:rPr>
          <w:rFonts w:ascii="Palatino Linotype" w:eastAsia="Palatino Linotype" w:hAnsi="Palatino Linotype" w:cs="Palatino Linotype"/>
          <w:b/>
          <w:i/>
          <w:sz w:val="22"/>
          <w:szCs w:val="22"/>
        </w:rPr>
        <w:t xml:space="preserve">” </w:t>
      </w:r>
      <w:r w:rsidR="00122CAC" w:rsidRPr="0068787C">
        <w:rPr>
          <w:rFonts w:ascii="Palatino Linotype" w:eastAsia="Palatino Linotype" w:hAnsi="Palatino Linotype" w:cs="Palatino Linotype"/>
          <w:i/>
          <w:sz w:val="22"/>
          <w:szCs w:val="22"/>
        </w:rPr>
        <w:t>(Énfasis añadido)</w:t>
      </w:r>
    </w:p>
    <w:p w14:paraId="46FF2EED" w14:textId="77777777" w:rsidR="00021793" w:rsidRPr="0068787C" w:rsidRDefault="00122CAC">
      <w:pPr>
        <w:spacing w:before="240" w:after="240" w:line="360" w:lineRule="auto"/>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t xml:space="preserve">Tercero. Materia de la revisión. </w:t>
      </w:r>
      <w:r w:rsidRPr="0068787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68787C">
        <w:rPr>
          <w:rFonts w:ascii="Palatino Linotype" w:eastAsia="Palatino Linotype" w:hAnsi="Palatino Linotype" w:cs="Palatino Linotype"/>
          <w:b/>
          <w:sz w:val="22"/>
          <w:szCs w:val="22"/>
        </w:rPr>
        <w:t>verificar si la respuesta</w:t>
      </w:r>
      <w:r w:rsidR="00F83806" w:rsidRPr="0068787C">
        <w:rPr>
          <w:rFonts w:ascii="Palatino Linotype" w:eastAsia="Palatino Linotype" w:hAnsi="Palatino Linotype" w:cs="Palatino Linotype"/>
          <w:b/>
          <w:sz w:val="22"/>
          <w:szCs w:val="22"/>
        </w:rPr>
        <w:t xml:space="preserve"> e informe justificado otorgados por el Sujeto Obligado son adecuados</w:t>
      </w:r>
      <w:r w:rsidRPr="0068787C">
        <w:rPr>
          <w:rFonts w:ascii="Palatino Linotype" w:eastAsia="Palatino Linotype" w:hAnsi="Palatino Linotype" w:cs="Palatino Linotype"/>
          <w:b/>
          <w:sz w:val="22"/>
          <w:szCs w:val="22"/>
        </w:rPr>
        <w:t xml:space="preserve"> y suficiente</w:t>
      </w:r>
      <w:r w:rsidR="00F83806" w:rsidRPr="0068787C">
        <w:rPr>
          <w:rFonts w:ascii="Palatino Linotype" w:eastAsia="Palatino Linotype" w:hAnsi="Palatino Linotype" w:cs="Palatino Linotype"/>
          <w:b/>
          <w:sz w:val="22"/>
          <w:szCs w:val="22"/>
        </w:rPr>
        <w:t>s</w:t>
      </w:r>
      <w:r w:rsidRPr="0068787C">
        <w:rPr>
          <w:rFonts w:ascii="Palatino Linotype" w:eastAsia="Palatino Linotype" w:hAnsi="Palatino Linotype" w:cs="Palatino Linotype"/>
          <w:b/>
          <w:sz w:val="22"/>
          <w:szCs w:val="22"/>
        </w:rPr>
        <w:t xml:space="preserve"> para satisfacer el derecho de acceso a la información pública </w:t>
      </w:r>
      <w:r w:rsidRPr="0068787C">
        <w:rPr>
          <w:rFonts w:ascii="Palatino Linotype" w:eastAsia="Palatino Linotype" w:hAnsi="Palatino Linotype" w:cs="Palatino Linotype"/>
          <w:sz w:val="22"/>
          <w:szCs w:val="22"/>
        </w:rPr>
        <w:t xml:space="preserve">de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o en su defecto, en caso de ser procedente, ordenar la entrega de información.</w:t>
      </w:r>
    </w:p>
    <w:p w14:paraId="46B80B8B" w14:textId="77777777" w:rsidR="00021793" w:rsidRPr="0068787C" w:rsidRDefault="00122CAC">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68787C">
        <w:rPr>
          <w:rFonts w:ascii="Palatino Linotype" w:eastAsia="Palatino Linotype" w:hAnsi="Palatino Linotype" w:cs="Palatino Linotype"/>
          <w:b/>
          <w:sz w:val="22"/>
          <w:szCs w:val="22"/>
        </w:rPr>
        <w:lastRenderedPageBreak/>
        <w:t xml:space="preserve">Cuarto. Estudio del asunto </w:t>
      </w:r>
      <w:r w:rsidRPr="0068787C">
        <w:rPr>
          <w:rFonts w:ascii="Palatino Linotype" w:eastAsia="Palatino Linotype" w:hAnsi="Palatino Linotype" w:cs="Palatino Linotype"/>
          <w:sz w:val="22"/>
          <w:szCs w:val="22"/>
        </w:rPr>
        <w:t xml:space="preserve">Antes de entrar al análisis de los pronunciamientos del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9FBE59" w14:textId="77777777" w:rsidR="00021793" w:rsidRPr="0068787C" w:rsidRDefault="00122CAC">
      <w:pPr>
        <w:pBdr>
          <w:top w:val="nil"/>
          <w:left w:val="nil"/>
          <w:bottom w:val="nil"/>
          <w:right w:val="nil"/>
          <w:between w:val="nil"/>
        </w:pBdr>
        <w:spacing w:before="240" w:after="240"/>
        <w:ind w:left="851" w:right="850"/>
        <w:jc w:val="both"/>
      </w:pPr>
      <w:r w:rsidRPr="0068787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8787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456108F" w14:textId="77777777" w:rsidR="00021793" w:rsidRPr="0068787C" w:rsidRDefault="00122CAC">
      <w:pPr>
        <w:pBdr>
          <w:top w:val="nil"/>
          <w:left w:val="nil"/>
          <w:bottom w:val="nil"/>
          <w:right w:val="nil"/>
          <w:between w:val="nil"/>
        </w:pBdr>
        <w:spacing w:before="240" w:after="240"/>
        <w:ind w:left="851" w:right="850"/>
        <w:jc w:val="both"/>
      </w:pPr>
      <w:r w:rsidRPr="0068787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4C60894" w14:textId="77777777" w:rsidR="00021793" w:rsidRPr="0068787C" w:rsidRDefault="00122CAC">
      <w:pPr>
        <w:pBdr>
          <w:top w:val="nil"/>
          <w:left w:val="nil"/>
          <w:bottom w:val="nil"/>
          <w:right w:val="nil"/>
          <w:between w:val="nil"/>
        </w:pBdr>
        <w:spacing w:before="240" w:after="240"/>
        <w:ind w:left="851" w:right="850"/>
        <w:jc w:val="both"/>
      </w:pPr>
      <w:r w:rsidRPr="0068787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8787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C43EC4E" w14:textId="77777777" w:rsidR="00021793" w:rsidRPr="0068787C" w:rsidRDefault="00122CAC">
      <w:pPr>
        <w:pBdr>
          <w:top w:val="nil"/>
          <w:left w:val="nil"/>
          <w:bottom w:val="nil"/>
          <w:right w:val="nil"/>
          <w:between w:val="nil"/>
        </w:pBdr>
        <w:spacing w:before="240" w:after="240"/>
        <w:ind w:left="851" w:right="850"/>
        <w:jc w:val="both"/>
      </w:pPr>
      <w:r w:rsidRPr="0068787C">
        <w:rPr>
          <w:rFonts w:ascii="Palatino Linotype" w:eastAsia="Palatino Linotype" w:hAnsi="Palatino Linotype" w:cs="Palatino Linotype"/>
          <w:i/>
          <w:sz w:val="22"/>
          <w:szCs w:val="22"/>
        </w:rPr>
        <w:t>[…]</w:t>
      </w:r>
    </w:p>
    <w:p w14:paraId="54CD64AB" w14:textId="77777777" w:rsidR="00021793" w:rsidRPr="0068787C" w:rsidRDefault="00122CAC">
      <w:pPr>
        <w:pBdr>
          <w:top w:val="nil"/>
          <w:left w:val="nil"/>
          <w:bottom w:val="nil"/>
          <w:right w:val="nil"/>
          <w:between w:val="nil"/>
        </w:pBdr>
        <w:spacing w:before="240" w:after="240"/>
        <w:ind w:left="851" w:right="901"/>
        <w:jc w:val="both"/>
      </w:pPr>
      <w:r w:rsidRPr="0068787C">
        <w:rPr>
          <w:rFonts w:ascii="Palatino Linotype" w:eastAsia="Palatino Linotype" w:hAnsi="Palatino Linotype" w:cs="Palatino Linotype"/>
          <w:b/>
          <w:i/>
          <w:sz w:val="22"/>
          <w:szCs w:val="22"/>
        </w:rPr>
        <w:t>“Artículo 6o.</w:t>
      </w:r>
    </w:p>
    <w:p w14:paraId="669BE988" w14:textId="77777777" w:rsidR="00021793" w:rsidRPr="0068787C" w:rsidRDefault="00122CAC">
      <w:pPr>
        <w:pBdr>
          <w:top w:val="nil"/>
          <w:left w:val="nil"/>
          <w:bottom w:val="nil"/>
          <w:right w:val="nil"/>
          <w:between w:val="nil"/>
        </w:pBdr>
        <w:spacing w:before="240" w:after="240"/>
        <w:ind w:left="851" w:right="901"/>
        <w:jc w:val="both"/>
      </w:pPr>
      <w:r w:rsidRPr="0068787C">
        <w:rPr>
          <w:rFonts w:ascii="Palatino Linotype" w:eastAsia="Palatino Linotype" w:hAnsi="Palatino Linotype" w:cs="Palatino Linotype"/>
          <w:i/>
          <w:sz w:val="22"/>
          <w:szCs w:val="22"/>
        </w:rPr>
        <w:t>[...]</w:t>
      </w:r>
    </w:p>
    <w:p w14:paraId="065AF873" w14:textId="77777777" w:rsidR="00021793" w:rsidRPr="0068787C"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b/>
          <w:i/>
          <w:sz w:val="22"/>
          <w:szCs w:val="22"/>
        </w:rPr>
        <w:t xml:space="preserve">A. Para el ejercicio del derecho de acceso a la información, la Federación y </w:t>
      </w:r>
      <w:r w:rsidRPr="0068787C">
        <w:rPr>
          <w:rFonts w:ascii="Palatino Linotype" w:eastAsia="Palatino Linotype" w:hAnsi="Palatino Linotype" w:cs="Palatino Linotype"/>
          <w:b/>
          <w:i/>
          <w:sz w:val="22"/>
          <w:szCs w:val="22"/>
          <w:u w:val="single"/>
        </w:rPr>
        <w:t>las entidades federativas</w:t>
      </w:r>
      <w:r w:rsidRPr="0068787C">
        <w:rPr>
          <w:rFonts w:ascii="Palatino Linotype" w:eastAsia="Palatino Linotype" w:hAnsi="Palatino Linotype" w:cs="Palatino Linotype"/>
          <w:b/>
          <w:i/>
          <w:sz w:val="22"/>
          <w:szCs w:val="22"/>
        </w:rPr>
        <w:t>,</w:t>
      </w:r>
      <w:r w:rsidRPr="0068787C">
        <w:rPr>
          <w:rFonts w:ascii="Palatino Linotype" w:eastAsia="Palatino Linotype" w:hAnsi="Palatino Linotype" w:cs="Palatino Linotype"/>
          <w:i/>
          <w:sz w:val="22"/>
          <w:szCs w:val="22"/>
        </w:rPr>
        <w:t xml:space="preserve"> en el ámbito de sus respectivas competencias, se regirán por los siguientes principios y bases:</w:t>
      </w:r>
    </w:p>
    <w:p w14:paraId="6AFA18C9" w14:textId="77777777" w:rsidR="00021793" w:rsidRPr="0068787C"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lastRenderedPageBreak/>
        <w:t> </w:t>
      </w:r>
      <w:r w:rsidRPr="0068787C">
        <w:rPr>
          <w:rFonts w:ascii="Palatino Linotype" w:eastAsia="Palatino Linotype" w:hAnsi="Palatino Linotype" w:cs="Palatino Linotype"/>
          <w:b/>
          <w:i/>
          <w:sz w:val="22"/>
          <w:szCs w:val="22"/>
        </w:rPr>
        <w:t xml:space="preserve">I. </w:t>
      </w:r>
      <w:r w:rsidRPr="0068787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8787C">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68787C">
        <w:rPr>
          <w:rFonts w:ascii="Palatino Linotype" w:eastAsia="Palatino Linotype" w:hAnsi="Palatino Linotype" w:cs="Palatino Linotype"/>
          <w:b/>
          <w:i/>
          <w:sz w:val="22"/>
          <w:szCs w:val="22"/>
        </w:rPr>
        <w:t>es pública y sólo podrá ser reservada temporalmente por razones de interés público y seguridad nacional,</w:t>
      </w:r>
      <w:r w:rsidRPr="0068787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795BC07" w14:textId="77777777" w:rsidR="00021793" w:rsidRPr="0068787C"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68787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65B0652" w14:textId="77777777" w:rsidR="00021793" w:rsidRPr="0068787C"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 </w:t>
      </w:r>
      <w:r w:rsidRPr="0068787C">
        <w:rPr>
          <w:rFonts w:ascii="Palatino Linotype" w:eastAsia="Palatino Linotype" w:hAnsi="Palatino Linotype" w:cs="Palatino Linotype"/>
          <w:b/>
          <w:i/>
          <w:sz w:val="22"/>
          <w:szCs w:val="22"/>
        </w:rPr>
        <w:t xml:space="preserve">III. </w:t>
      </w:r>
      <w:r w:rsidRPr="0068787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8787C">
        <w:rPr>
          <w:rFonts w:ascii="Palatino Linotype" w:eastAsia="Palatino Linotype" w:hAnsi="Palatino Linotype" w:cs="Palatino Linotype"/>
          <w:i/>
          <w:sz w:val="22"/>
          <w:szCs w:val="22"/>
        </w:rPr>
        <w:t xml:space="preserve"> a sus datos personales o a la rectificación de éstos.</w:t>
      </w:r>
    </w:p>
    <w:p w14:paraId="4D0E7751" w14:textId="77777777" w:rsidR="00021793" w:rsidRPr="0068787C" w:rsidRDefault="00122CAC">
      <w:pPr>
        <w:pBdr>
          <w:top w:val="nil"/>
          <w:left w:val="nil"/>
          <w:bottom w:val="nil"/>
          <w:right w:val="nil"/>
          <w:between w:val="nil"/>
        </w:pBdr>
        <w:spacing w:before="240" w:after="240"/>
        <w:ind w:left="851" w:right="851"/>
        <w:jc w:val="both"/>
      </w:pPr>
      <w:r w:rsidRPr="0068787C">
        <w:rPr>
          <w:rFonts w:ascii="Palatino Linotype" w:eastAsia="Palatino Linotype" w:hAnsi="Palatino Linotype" w:cs="Palatino Linotype"/>
          <w:b/>
          <w:i/>
          <w:sz w:val="22"/>
          <w:szCs w:val="22"/>
        </w:rPr>
        <w:t>…</w:t>
      </w:r>
    </w:p>
    <w:p w14:paraId="3F043E1C" w14:textId="77777777" w:rsidR="00021793" w:rsidRPr="0068787C"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b/>
          <w:i/>
          <w:sz w:val="22"/>
          <w:szCs w:val="22"/>
        </w:rPr>
        <w:t>IV.</w:t>
      </w:r>
      <w:r w:rsidRPr="0068787C">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0CF904A" w14:textId="77777777" w:rsidR="00021793" w:rsidRPr="0068787C" w:rsidRDefault="00122CAC">
      <w:pPr>
        <w:pBdr>
          <w:top w:val="nil"/>
          <w:left w:val="nil"/>
          <w:bottom w:val="nil"/>
          <w:right w:val="nil"/>
          <w:between w:val="nil"/>
        </w:pBdr>
        <w:spacing w:before="240" w:after="240"/>
        <w:ind w:left="851" w:right="851"/>
        <w:jc w:val="both"/>
      </w:pPr>
      <w:r w:rsidRPr="0068787C">
        <w:rPr>
          <w:rFonts w:ascii="Palatino Linotype" w:eastAsia="Palatino Linotype" w:hAnsi="Palatino Linotype" w:cs="Palatino Linotype"/>
          <w:b/>
          <w:i/>
          <w:sz w:val="22"/>
          <w:szCs w:val="22"/>
        </w:rPr>
        <w:t xml:space="preserve">V. </w:t>
      </w:r>
      <w:r w:rsidRPr="0068787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5DF31BC" w14:textId="77777777" w:rsidR="00021793" w:rsidRPr="0068787C" w:rsidRDefault="00122CAC">
      <w:pPr>
        <w:pBdr>
          <w:top w:val="nil"/>
          <w:left w:val="nil"/>
          <w:bottom w:val="nil"/>
          <w:right w:val="nil"/>
          <w:between w:val="nil"/>
        </w:pBdr>
        <w:spacing w:before="240" w:after="240"/>
        <w:ind w:left="851" w:right="851"/>
        <w:jc w:val="both"/>
      </w:pPr>
      <w:r w:rsidRPr="0068787C">
        <w:rPr>
          <w:rFonts w:ascii="Palatino Linotype" w:eastAsia="Palatino Linotype" w:hAnsi="Palatino Linotype" w:cs="Palatino Linotype"/>
          <w:i/>
          <w:sz w:val="22"/>
          <w:szCs w:val="22"/>
        </w:rPr>
        <w:t> </w:t>
      </w:r>
      <w:r w:rsidRPr="0068787C">
        <w:rPr>
          <w:rFonts w:ascii="Palatino Linotype" w:eastAsia="Palatino Linotype" w:hAnsi="Palatino Linotype" w:cs="Palatino Linotype"/>
          <w:b/>
          <w:i/>
          <w:sz w:val="22"/>
          <w:szCs w:val="22"/>
        </w:rPr>
        <w:t xml:space="preserve">VI. </w:t>
      </w:r>
      <w:r w:rsidRPr="0068787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E83E4BE" w14:textId="77777777" w:rsidR="00021793" w:rsidRPr="0068787C" w:rsidRDefault="00122CAC">
      <w:pPr>
        <w:pBdr>
          <w:top w:val="nil"/>
          <w:left w:val="nil"/>
          <w:bottom w:val="nil"/>
          <w:right w:val="nil"/>
          <w:between w:val="nil"/>
        </w:pBdr>
        <w:spacing w:before="240" w:after="240"/>
        <w:ind w:left="851" w:right="851"/>
        <w:jc w:val="both"/>
      </w:pPr>
      <w:r w:rsidRPr="0068787C">
        <w:rPr>
          <w:rFonts w:ascii="Palatino Linotype" w:eastAsia="Palatino Linotype" w:hAnsi="Palatino Linotype" w:cs="Palatino Linotype"/>
          <w:i/>
          <w:sz w:val="22"/>
          <w:szCs w:val="22"/>
        </w:rPr>
        <w:t> </w:t>
      </w:r>
      <w:r w:rsidRPr="0068787C">
        <w:rPr>
          <w:rFonts w:ascii="Palatino Linotype" w:eastAsia="Palatino Linotype" w:hAnsi="Palatino Linotype" w:cs="Palatino Linotype"/>
          <w:b/>
          <w:i/>
          <w:sz w:val="22"/>
          <w:szCs w:val="22"/>
        </w:rPr>
        <w:t xml:space="preserve">VII. </w:t>
      </w:r>
      <w:r w:rsidRPr="0068787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4EB38FF"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EF65EBC" w14:textId="77777777" w:rsidR="00021793" w:rsidRPr="0068787C" w:rsidRDefault="00122CAC">
      <w:pPr>
        <w:pBdr>
          <w:top w:val="nil"/>
          <w:left w:val="nil"/>
          <w:bottom w:val="nil"/>
          <w:right w:val="nil"/>
          <w:between w:val="nil"/>
        </w:pBdr>
        <w:spacing w:before="240" w:after="240"/>
        <w:ind w:left="709" w:right="760"/>
        <w:jc w:val="both"/>
      </w:pPr>
      <w:r w:rsidRPr="0068787C">
        <w:rPr>
          <w:rFonts w:ascii="Palatino Linotype" w:eastAsia="Palatino Linotype" w:hAnsi="Palatino Linotype" w:cs="Palatino Linotype"/>
          <w:i/>
          <w:sz w:val="22"/>
          <w:szCs w:val="22"/>
        </w:rPr>
        <w:t>“</w:t>
      </w:r>
      <w:r w:rsidRPr="0068787C">
        <w:rPr>
          <w:rFonts w:ascii="Palatino Linotype" w:eastAsia="Palatino Linotype" w:hAnsi="Palatino Linotype" w:cs="Palatino Linotype"/>
          <w:b/>
          <w:i/>
          <w:sz w:val="22"/>
          <w:szCs w:val="22"/>
        </w:rPr>
        <w:t>Artículo 4</w:t>
      </w:r>
      <w:r w:rsidRPr="0068787C">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C9D32CE" w14:textId="77777777" w:rsidR="00021793" w:rsidRPr="0068787C" w:rsidRDefault="00122CAC">
      <w:pPr>
        <w:pBdr>
          <w:top w:val="nil"/>
          <w:left w:val="nil"/>
          <w:bottom w:val="nil"/>
          <w:right w:val="nil"/>
          <w:between w:val="nil"/>
        </w:pBdr>
        <w:spacing w:before="240" w:after="240"/>
        <w:ind w:left="709" w:right="760"/>
        <w:jc w:val="both"/>
      </w:pPr>
      <w:r w:rsidRPr="0068787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B2E0E1" w14:textId="77777777" w:rsidR="00021793" w:rsidRPr="0068787C" w:rsidRDefault="00122CAC">
      <w:pPr>
        <w:pBdr>
          <w:top w:val="nil"/>
          <w:left w:val="nil"/>
          <w:bottom w:val="nil"/>
          <w:right w:val="nil"/>
          <w:between w:val="nil"/>
        </w:pBdr>
        <w:spacing w:before="240" w:after="240"/>
        <w:ind w:left="709" w:right="760"/>
        <w:jc w:val="both"/>
      </w:pPr>
      <w:r w:rsidRPr="0068787C">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A69DB9F"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68787C">
        <w:rPr>
          <w:rFonts w:ascii="Palatino Linotype" w:eastAsia="Palatino Linotype" w:hAnsi="Palatino Linotype" w:cs="Palatino Linotype"/>
          <w:sz w:val="22"/>
          <w:szCs w:val="22"/>
        </w:rPr>
        <w:lastRenderedPageBreak/>
        <w:t>establece el artículo 12 de la Ley de Transparencia y Acceso a la Información Pública del Estado de México y Municipios, el cual a la letra dice:</w:t>
      </w:r>
    </w:p>
    <w:p w14:paraId="2A1B5255" w14:textId="77777777" w:rsidR="00021793" w:rsidRPr="0068787C" w:rsidRDefault="00122CAC">
      <w:pPr>
        <w:pBdr>
          <w:top w:val="nil"/>
          <w:left w:val="nil"/>
          <w:bottom w:val="nil"/>
          <w:right w:val="nil"/>
          <w:between w:val="nil"/>
        </w:pBdr>
        <w:spacing w:before="240" w:after="240"/>
        <w:ind w:left="567" w:right="758"/>
        <w:jc w:val="both"/>
        <w:rPr>
          <w:sz w:val="22"/>
          <w:szCs w:val="22"/>
        </w:rPr>
      </w:pPr>
      <w:r w:rsidRPr="0068787C">
        <w:rPr>
          <w:rFonts w:ascii="Palatino Linotype" w:eastAsia="Palatino Linotype" w:hAnsi="Palatino Linotype" w:cs="Palatino Linotype"/>
          <w:i/>
          <w:sz w:val="22"/>
          <w:szCs w:val="22"/>
        </w:rPr>
        <w:t>“</w:t>
      </w:r>
      <w:r w:rsidRPr="0068787C">
        <w:rPr>
          <w:rFonts w:ascii="Palatino Linotype" w:eastAsia="Palatino Linotype" w:hAnsi="Palatino Linotype" w:cs="Palatino Linotype"/>
          <w:b/>
          <w:i/>
          <w:sz w:val="22"/>
          <w:szCs w:val="22"/>
        </w:rPr>
        <w:t>Artículo 12</w:t>
      </w:r>
      <w:r w:rsidRPr="0068787C">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5324C1C" w14:textId="77777777" w:rsidR="00021793" w:rsidRPr="0068787C" w:rsidRDefault="00122CAC">
      <w:pPr>
        <w:pBdr>
          <w:top w:val="nil"/>
          <w:left w:val="nil"/>
          <w:bottom w:val="nil"/>
          <w:right w:val="nil"/>
          <w:between w:val="nil"/>
        </w:pBdr>
        <w:spacing w:before="240" w:after="240"/>
        <w:ind w:left="567" w:right="758"/>
        <w:jc w:val="both"/>
        <w:rPr>
          <w:sz w:val="22"/>
          <w:szCs w:val="22"/>
        </w:rPr>
      </w:pPr>
      <w:r w:rsidRPr="0068787C">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59EC815"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68787C">
        <w:rPr>
          <w:rFonts w:ascii="Palatino Linotype" w:eastAsia="Palatino Linotype" w:hAnsi="Palatino Linotype" w:cs="Palatino Linotype"/>
          <w:i/>
          <w:sz w:val="22"/>
          <w:szCs w:val="22"/>
        </w:rPr>
        <w:t>ad hoc</w:t>
      </w:r>
      <w:r w:rsidRPr="0068787C">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76E957C" w14:textId="77777777" w:rsidR="00021793" w:rsidRPr="0068787C" w:rsidRDefault="00122CAC">
      <w:pPr>
        <w:pBdr>
          <w:top w:val="nil"/>
          <w:left w:val="nil"/>
          <w:bottom w:val="nil"/>
          <w:right w:val="nil"/>
          <w:between w:val="nil"/>
        </w:pBdr>
        <w:spacing w:before="240" w:after="240"/>
        <w:ind w:left="567" w:right="900"/>
        <w:jc w:val="both"/>
        <w:rPr>
          <w:sz w:val="22"/>
          <w:szCs w:val="22"/>
        </w:rPr>
      </w:pPr>
      <w:r w:rsidRPr="0068787C">
        <w:rPr>
          <w:rFonts w:ascii="Palatino Linotype" w:eastAsia="Palatino Linotype" w:hAnsi="Palatino Linotype" w:cs="Palatino Linotype"/>
          <w:b/>
          <w:i/>
          <w:sz w:val="22"/>
          <w:szCs w:val="22"/>
        </w:rPr>
        <w:t>03/17</w:t>
      </w:r>
    </w:p>
    <w:p w14:paraId="4869974E" w14:textId="77777777" w:rsidR="00021793" w:rsidRPr="0068787C" w:rsidRDefault="00122CAC">
      <w:pPr>
        <w:pBdr>
          <w:top w:val="nil"/>
          <w:left w:val="nil"/>
          <w:bottom w:val="nil"/>
          <w:right w:val="nil"/>
          <w:between w:val="nil"/>
        </w:pBdr>
        <w:spacing w:before="240" w:after="240"/>
        <w:ind w:left="567" w:right="900"/>
        <w:jc w:val="both"/>
        <w:rPr>
          <w:sz w:val="22"/>
          <w:szCs w:val="22"/>
        </w:rPr>
      </w:pPr>
      <w:r w:rsidRPr="0068787C">
        <w:rPr>
          <w:rFonts w:ascii="Palatino Linotype" w:eastAsia="Palatino Linotype" w:hAnsi="Palatino Linotype" w:cs="Palatino Linotype"/>
          <w:b/>
          <w:i/>
          <w:sz w:val="22"/>
          <w:szCs w:val="22"/>
        </w:rPr>
        <w:t>“NO EXISTE OBLIGACIÓN DE ELABORAR DOCUMENTOS AD HOC PARA ATENDER LAS SOLICITUDES DE ACCESO A LA INFORMACIÓN.</w:t>
      </w:r>
    </w:p>
    <w:p w14:paraId="15DE5C56" w14:textId="77777777" w:rsidR="00021793" w:rsidRPr="0068787C" w:rsidRDefault="00122CAC">
      <w:pPr>
        <w:pBdr>
          <w:top w:val="nil"/>
          <w:left w:val="nil"/>
          <w:bottom w:val="nil"/>
          <w:right w:val="nil"/>
          <w:between w:val="nil"/>
        </w:pBdr>
        <w:spacing w:before="240" w:after="240"/>
        <w:ind w:left="567" w:right="900"/>
        <w:jc w:val="both"/>
        <w:rPr>
          <w:sz w:val="22"/>
          <w:szCs w:val="22"/>
        </w:rPr>
      </w:pPr>
      <w:r w:rsidRPr="0068787C">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E891049"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B42671C" w14:textId="77777777" w:rsidR="00021793" w:rsidRPr="0068787C" w:rsidRDefault="00122CAC">
      <w:pPr>
        <w:pBdr>
          <w:top w:val="nil"/>
          <w:left w:val="nil"/>
          <w:bottom w:val="nil"/>
          <w:right w:val="nil"/>
          <w:between w:val="nil"/>
        </w:pBdr>
        <w:spacing w:before="240" w:after="240" w:line="360" w:lineRule="auto"/>
        <w:ind w:right="49"/>
        <w:jc w:val="both"/>
        <w:rPr>
          <w:sz w:val="22"/>
          <w:szCs w:val="22"/>
        </w:rPr>
      </w:pPr>
      <w:r w:rsidRPr="0068787C">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D7A658D"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96BDE5"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i/>
          <w:sz w:val="22"/>
          <w:szCs w:val="22"/>
        </w:rPr>
        <w:t>“</w:t>
      </w:r>
      <w:r w:rsidRPr="0068787C">
        <w:rPr>
          <w:rFonts w:ascii="Palatino Linotype" w:eastAsia="Palatino Linotype" w:hAnsi="Palatino Linotype" w:cs="Palatino Linotype"/>
          <w:b/>
          <w:i/>
          <w:sz w:val="22"/>
          <w:szCs w:val="22"/>
        </w:rPr>
        <w:t xml:space="preserve">Artículo 3. </w:t>
      </w:r>
      <w:r w:rsidRPr="0068787C">
        <w:rPr>
          <w:rFonts w:ascii="Palatino Linotype" w:eastAsia="Palatino Linotype" w:hAnsi="Palatino Linotype" w:cs="Palatino Linotype"/>
          <w:i/>
          <w:sz w:val="22"/>
          <w:szCs w:val="22"/>
        </w:rPr>
        <w:t>Para los efectos de la presente Ley se entenderá por:</w:t>
      </w:r>
    </w:p>
    <w:p w14:paraId="40FFD4C8"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i/>
          <w:sz w:val="22"/>
          <w:szCs w:val="22"/>
        </w:rPr>
        <w:t>…</w:t>
      </w:r>
    </w:p>
    <w:p w14:paraId="3192C749"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b/>
          <w:i/>
          <w:sz w:val="22"/>
          <w:szCs w:val="22"/>
        </w:rPr>
        <w:t>XI. Documento:</w:t>
      </w:r>
      <w:r w:rsidRPr="0068787C">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68787C">
        <w:rPr>
          <w:rFonts w:ascii="Palatino Linotype" w:eastAsia="Palatino Linotype" w:hAnsi="Palatino Linotype" w:cs="Palatino Linotype"/>
          <w:i/>
          <w:sz w:val="22"/>
          <w:szCs w:val="22"/>
        </w:rPr>
        <w:lastRenderedPageBreak/>
        <w:t>elaboración. Los documentos podrán estar en cualquier medio, sea escrito, impreso, sonoro, visual, electrónico, informático u holográfico</w:t>
      </w:r>
      <w:r w:rsidRPr="0068787C">
        <w:rPr>
          <w:rFonts w:ascii="Palatino Linotype" w:eastAsia="Palatino Linotype" w:hAnsi="Palatino Linotype" w:cs="Palatino Linotype"/>
          <w:b/>
          <w:i/>
          <w:sz w:val="22"/>
          <w:szCs w:val="22"/>
        </w:rPr>
        <w:t>…</w:t>
      </w:r>
      <w:r w:rsidRPr="0068787C">
        <w:rPr>
          <w:rFonts w:ascii="Palatino Linotype" w:eastAsia="Palatino Linotype" w:hAnsi="Palatino Linotype" w:cs="Palatino Linotype"/>
          <w:i/>
          <w:sz w:val="22"/>
          <w:szCs w:val="22"/>
        </w:rPr>
        <w:t>”</w:t>
      </w:r>
    </w:p>
    <w:p w14:paraId="66F4120F" w14:textId="77777777" w:rsidR="00021793" w:rsidRPr="0068787C" w:rsidRDefault="00122CAC">
      <w:pPr>
        <w:pBdr>
          <w:top w:val="nil"/>
          <w:left w:val="nil"/>
          <w:bottom w:val="nil"/>
          <w:right w:val="nil"/>
          <w:between w:val="nil"/>
        </w:pBdr>
        <w:spacing w:before="240" w:after="240" w:line="360" w:lineRule="auto"/>
        <w:jc w:val="both"/>
        <w:rPr>
          <w:sz w:val="22"/>
          <w:szCs w:val="22"/>
        </w:rPr>
      </w:pPr>
      <w:r w:rsidRPr="0068787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65C1C9"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b/>
          <w:sz w:val="22"/>
          <w:szCs w:val="22"/>
        </w:rPr>
        <w:t>“</w:t>
      </w:r>
      <w:r w:rsidRPr="0068787C">
        <w:rPr>
          <w:rFonts w:ascii="Palatino Linotype" w:eastAsia="Palatino Linotype" w:hAnsi="Palatino Linotype" w:cs="Palatino Linotype"/>
          <w:b/>
          <w:i/>
          <w:sz w:val="22"/>
          <w:szCs w:val="22"/>
        </w:rPr>
        <w:t>CRITERIO 0002-11</w:t>
      </w:r>
    </w:p>
    <w:p w14:paraId="26C80AEC"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8787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357BD79" w14:textId="77777777" w:rsidR="00021793" w:rsidRPr="0068787C" w:rsidRDefault="00122CAC">
      <w:pPr>
        <w:pBdr>
          <w:top w:val="nil"/>
          <w:left w:val="nil"/>
          <w:bottom w:val="nil"/>
          <w:right w:val="nil"/>
          <w:between w:val="nil"/>
        </w:pBdr>
        <w:spacing w:before="240" w:after="240"/>
        <w:ind w:left="567" w:right="567"/>
        <w:jc w:val="both"/>
        <w:rPr>
          <w:sz w:val="22"/>
          <w:szCs w:val="22"/>
        </w:rPr>
      </w:pPr>
      <w:r w:rsidRPr="0068787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80CBE92" w14:textId="77777777" w:rsidR="00021793" w:rsidRPr="0068787C" w:rsidRDefault="00122CAC">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BF7CB4B" w14:textId="77777777" w:rsidR="00021793" w:rsidRPr="0068787C" w:rsidRDefault="00122CAC">
      <w:pPr>
        <w:numPr>
          <w:ilvl w:val="0"/>
          <w:numId w:val="6"/>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C3ED76F" w14:textId="77777777" w:rsidR="00021793" w:rsidRPr="0068787C" w:rsidRDefault="00122CAC">
      <w:pPr>
        <w:pBdr>
          <w:top w:val="nil"/>
          <w:left w:val="nil"/>
          <w:bottom w:val="nil"/>
          <w:right w:val="nil"/>
          <w:between w:val="nil"/>
        </w:pBdr>
        <w:spacing w:before="240" w:after="240"/>
        <w:ind w:left="567" w:right="567" w:hanging="284"/>
        <w:jc w:val="both"/>
        <w:rPr>
          <w:sz w:val="22"/>
          <w:szCs w:val="22"/>
        </w:rPr>
      </w:pPr>
      <w:r w:rsidRPr="0068787C">
        <w:rPr>
          <w:rFonts w:ascii="Palatino Linotype" w:eastAsia="Palatino Linotype" w:hAnsi="Palatino Linotype" w:cs="Palatino Linotype"/>
          <w:i/>
          <w:sz w:val="22"/>
          <w:szCs w:val="22"/>
        </w:rPr>
        <w:t xml:space="preserve">3. </w:t>
      </w:r>
      <w:r w:rsidRPr="0068787C">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68787C">
        <w:rPr>
          <w:rFonts w:ascii="Palatino Linotype" w:eastAsia="Palatino Linotype" w:hAnsi="Palatino Linotype" w:cs="Palatino Linotype"/>
          <w:i/>
          <w:sz w:val="22"/>
          <w:szCs w:val="22"/>
        </w:rPr>
        <w:t>(Énfasis añadido)</w:t>
      </w:r>
    </w:p>
    <w:p w14:paraId="21DB9957" w14:textId="77777777" w:rsidR="00021793" w:rsidRPr="0068787C"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De ahí que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w:t>
      </w:r>
      <w:r w:rsidRPr="0068787C">
        <w:rPr>
          <w:rFonts w:ascii="Palatino Linotype" w:eastAsia="Palatino Linotype" w:hAnsi="Palatino Linotype" w:cs="Palatino Linotype"/>
          <w:sz w:val="22"/>
          <w:szCs w:val="22"/>
        </w:rPr>
        <w:lastRenderedPageBreak/>
        <w:t>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096542F" w14:textId="77777777" w:rsidR="00021793" w:rsidRPr="0068787C"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le proporcionara lo siguiente:</w:t>
      </w:r>
    </w:p>
    <w:p w14:paraId="22283DAF" w14:textId="77777777" w:rsidR="00F83806" w:rsidRPr="0068787C" w:rsidRDefault="00F83806" w:rsidP="00F83806">
      <w:pPr>
        <w:pStyle w:val="Prrafodelista"/>
        <w:numPr>
          <w:ilvl w:val="0"/>
          <w:numId w:val="8"/>
        </w:numPr>
        <w:pBdr>
          <w:top w:val="nil"/>
          <w:left w:val="nil"/>
          <w:bottom w:val="nil"/>
          <w:right w:val="nil"/>
          <w:between w:val="nil"/>
        </w:pBdr>
        <w:spacing w:before="240" w:after="240" w:line="360" w:lineRule="auto"/>
        <w:ind w:left="567" w:right="900" w:hanging="207"/>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t>Trámites que debe gestionar una plaza comercial para que sea considerada "</w:t>
      </w:r>
      <w:proofErr w:type="spellStart"/>
      <w:r w:rsidRPr="0068787C">
        <w:rPr>
          <w:rFonts w:ascii="Palatino Linotype" w:eastAsia="Palatino Linotype" w:hAnsi="Palatino Linotype" w:cs="Palatino Linotype"/>
          <w:b/>
          <w:sz w:val="22"/>
          <w:szCs w:val="22"/>
        </w:rPr>
        <w:t>pet</w:t>
      </w:r>
      <w:proofErr w:type="spellEnd"/>
      <w:r w:rsidRPr="0068787C">
        <w:rPr>
          <w:rFonts w:ascii="Palatino Linotype" w:eastAsia="Palatino Linotype" w:hAnsi="Palatino Linotype" w:cs="Palatino Linotype"/>
          <w:b/>
          <w:sz w:val="22"/>
          <w:szCs w:val="22"/>
        </w:rPr>
        <w:t xml:space="preserve"> </w:t>
      </w:r>
      <w:proofErr w:type="spellStart"/>
      <w:r w:rsidRPr="0068787C">
        <w:rPr>
          <w:rFonts w:ascii="Palatino Linotype" w:eastAsia="Palatino Linotype" w:hAnsi="Palatino Linotype" w:cs="Palatino Linotype"/>
          <w:b/>
          <w:sz w:val="22"/>
          <w:szCs w:val="22"/>
        </w:rPr>
        <w:t>friendly</w:t>
      </w:r>
      <w:proofErr w:type="spellEnd"/>
      <w:r w:rsidRPr="0068787C">
        <w:rPr>
          <w:rFonts w:ascii="Palatino Linotype" w:eastAsia="Palatino Linotype" w:hAnsi="Palatino Linotype" w:cs="Palatino Linotype"/>
          <w:b/>
          <w:sz w:val="22"/>
          <w:szCs w:val="22"/>
        </w:rPr>
        <w:t xml:space="preserve">". </w:t>
      </w:r>
    </w:p>
    <w:p w14:paraId="7CD3154C" w14:textId="77777777" w:rsidR="00F83806" w:rsidRPr="0068787C" w:rsidRDefault="00F83806" w:rsidP="00F83806">
      <w:pPr>
        <w:pStyle w:val="Prrafodelista"/>
        <w:numPr>
          <w:ilvl w:val="0"/>
          <w:numId w:val="8"/>
        </w:numPr>
        <w:pBdr>
          <w:top w:val="nil"/>
          <w:left w:val="nil"/>
          <w:bottom w:val="nil"/>
          <w:right w:val="nil"/>
          <w:between w:val="nil"/>
        </w:pBdr>
        <w:spacing w:before="240" w:after="240" w:line="360" w:lineRule="auto"/>
        <w:ind w:left="567" w:right="900" w:hanging="207"/>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b/>
          <w:sz w:val="22"/>
          <w:szCs w:val="22"/>
        </w:rPr>
        <w:t>Sanciones o multas que impone la autoridad para las personas que hacen omisión al auxilio de un animal en situación de calle.</w:t>
      </w:r>
    </w:p>
    <w:p w14:paraId="48E50F30" w14:textId="77777777" w:rsidR="00F83806" w:rsidRPr="0068787C" w:rsidRDefault="00122CAC" w:rsidP="00F83806">
      <w:pPr>
        <w:spacing w:before="240" w:after="240" w:line="360" w:lineRule="auto"/>
        <w:ind w:right="49"/>
        <w:jc w:val="both"/>
        <w:rPr>
          <w:rFonts w:ascii="Palatino Linotype" w:eastAsia="Palatino Linotype" w:hAnsi="Palatino Linotype" w:cs="Palatino Linotype"/>
          <w:b/>
          <w:sz w:val="22"/>
          <w:szCs w:val="22"/>
          <w:u w:val="single"/>
        </w:rPr>
      </w:pPr>
      <w:r w:rsidRPr="0068787C">
        <w:rPr>
          <w:rFonts w:ascii="Palatino Linotype" w:eastAsia="Palatino Linotype" w:hAnsi="Palatino Linotype" w:cs="Palatino Linotype"/>
          <w:sz w:val="22"/>
          <w:szCs w:val="22"/>
        </w:rPr>
        <w:t xml:space="preserve">En respuesta, el </w:t>
      </w:r>
      <w:r w:rsidRPr="0068787C">
        <w:rPr>
          <w:rFonts w:ascii="Palatino Linotype" w:eastAsia="Palatino Linotype" w:hAnsi="Palatino Linotype" w:cs="Palatino Linotype"/>
          <w:b/>
          <w:sz w:val="22"/>
          <w:szCs w:val="22"/>
        </w:rPr>
        <w:t>Sujeto Obligado</w:t>
      </w:r>
      <w:r w:rsidR="00F83806" w:rsidRPr="0068787C">
        <w:rPr>
          <w:rFonts w:ascii="Palatino Linotype" w:eastAsia="Palatino Linotype" w:hAnsi="Palatino Linotype" w:cs="Palatino Linotype"/>
          <w:b/>
          <w:sz w:val="22"/>
          <w:szCs w:val="22"/>
        </w:rPr>
        <w:t xml:space="preserve"> </w:t>
      </w:r>
      <w:r w:rsidR="00F83806" w:rsidRPr="0068787C">
        <w:rPr>
          <w:rFonts w:ascii="Palatino Linotype" w:eastAsia="Palatino Linotype" w:hAnsi="Palatino Linotype" w:cs="Palatino Linotype"/>
          <w:sz w:val="22"/>
          <w:szCs w:val="22"/>
        </w:rPr>
        <w:t>se pronunció por conducto de</w:t>
      </w:r>
      <w:r w:rsidRPr="0068787C">
        <w:rPr>
          <w:rFonts w:ascii="Palatino Linotype" w:eastAsia="Palatino Linotype" w:hAnsi="Palatino Linotype" w:cs="Palatino Linotype"/>
          <w:sz w:val="22"/>
          <w:szCs w:val="22"/>
        </w:rPr>
        <w:t xml:space="preserve"> </w:t>
      </w:r>
      <w:r w:rsidR="00F83806" w:rsidRPr="0068787C">
        <w:rPr>
          <w:rFonts w:ascii="Palatino Linotype" w:eastAsia="Palatino Linotype" w:hAnsi="Palatino Linotype" w:cs="Palatino Linotype"/>
          <w:sz w:val="22"/>
          <w:szCs w:val="22"/>
        </w:rPr>
        <w:t xml:space="preserve">la Directora de Desarrollo Económico, Turístico y Artesanal, quien refirió que después de una búsqueda exhaustiva y minuciosa en los archivos documentales que obran en las diferentes áreas de dicha Dirección y en los documentos digitales públicos, </w:t>
      </w:r>
      <w:r w:rsidR="00F83806" w:rsidRPr="0068787C">
        <w:rPr>
          <w:rFonts w:ascii="Palatino Linotype" w:eastAsia="Palatino Linotype" w:hAnsi="Palatino Linotype" w:cs="Palatino Linotype"/>
          <w:b/>
          <w:sz w:val="22"/>
          <w:szCs w:val="22"/>
          <w:u w:val="single"/>
        </w:rPr>
        <w:t>no se encontró documento alguno referente a Trámites que debe gestionar una plaza comercial para que sea considerada “</w:t>
      </w:r>
      <w:proofErr w:type="spellStart"/>
      <w:r w:rsidR="00F83806" w:rsidRPr="0068787C">
        <w:rPr>
          <w:rFonts w:ascii="Palatino Linotype" w:eastAsia="Palatino Linotype" w:hAnsi="Palatino Linotype" w:cs="Palatino Linotype"/>
          <w:b/>
          <w:sz w:val="22"/>
          <w:szCs w:val="22"/>
          <w:u w:val="single"/>
        </w:rPr>
        <w:t>pet</w:t>
      </w:r>
      <w:proofErr w:type="spellEnd"/>
      <w:r w:rsidR="00F83806" w:rsidRPr="0068787C">
        <w:rPr>
          <w:rFonts w:ascii="Palatino Linotype" w:eastAsia="Palatino Linotype" w:hAnsi="Palatino Linotype" w:cs="Palatino Linotype"/>
          <w:b/>
          <w:sz w:val="22"/>
          <w:szCs w:val="22"/>
          <w:u w:val="single"/>
        </w:rPr>
        <w:t xml:space="preserve"> </w:t>
      </w:r>
      <w:proofErr w:type="spellStart"/>
      <w:r w:rsidR="00F83806" w:rsidRPr="0068787C">
        <w:rPr>
          <w:rFonts w:ascii="Palatino Linotype" w:eastAsia="Palatino Linotype" w:hAnsi="Palatino Linotype" w:cs="Palatino Linotype"/>
          <w:b/>
          <w:sz w:val="22"/>
          <w:szCs w:val="22"/>
          <w:u w:val="single"/>
        </w:rPr>
        <w:t>friendly</w:t>
      </w:r>
      <w:proofErr w:type="spellEnd"/>
      <w:r w:rsidR="00F83806" w:rsidRPr="0068787C">
        <w:rPr>
          <w:rFonts w:ascii="Palatino Linotype" w:eastAsia="Palatino Linotype" w:hAnsi="Palatino Linotype" w:cs="Palatino Linotype"/>
          <w:b/>
          <w:sz w:val="22"/>
          <w:szCs w:val="22"/>
          <w:u w:val="single"/>
        </w:rPr>
        <w:t>”.</w:t>
      </w:r>
    </w:p>
    <w:p w14:paraId="16848F5D" w14:textId="77777777" w:rsidR="00F83806" w:rsidRPr="0068787C" w:rsidRDefault="00F83806" w:rsidP="00F83806">
      <w:pPr>
        <w:spacing w:before="240" w:after="240"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Asimismo, manifiesta que dicha Dirección se encuentran en supuesto establecido en el artículo 12 párrafo segundo de la Ley de Transparencia.</w:t>
      </w:r>
    </w:p>
    <w:p w14:paraId="767C9DFA" w14:textId="77777777" w:rsidR="00F83806"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En esta tesitura, una vez conocida la respuesta emitida por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la parte Recurrente</w:t>
      </w:r>
      <w:r w:rsidRPr="0068787C">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w:t>
      </w:r>
      <w:r w:rsidR="00F83806" w:rsidRPr="0068787C">
        <w:rPr>
          <w:rFonts w:ascii="Palatino Linotype" w:eastAsia="Palatino Linotype" w:hAnsi="Palatino Linotype" w:cs="Palatino Linotype"/>
          <w:sz w:val="22"/>
          <w:szCs w:val="22"/>
        </w:rPr>
        <w:t>negativa a entregar la información solicitada y también refiere que no le adjuntaron el acuerdo de comité por el que se aprueba la prórroga para atender la solicitud de información.</w:t>
      </w:r>
    </w:p>
    <w:p w14:paraId="25C56CB1" w14:textId="77777777" w:rsidR="00021793" w:rsidRPr="0068787C" w:rsidRDefault="00122CAC">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lastRenderedPageBreak/>
        <w:t xml:space="preserve">Así las cosas, durante la etapa de manifestaciones e informe justificado, se tiene que </w:t>
      </w:r>
      <w:r w:rsidR="00F83806" w:rsidRPr="0068787C">
        <w:rPr>
          <w:rFonts w:ascii="Palatino Linotype" w:eastAsia="Palatino Linotype" w:hAnsi="Palatino Linotype" w:cs="Palatino Linotype"/>
          <w:sz w:val="22"/>
          <w:szCs w:val="22"/>
        </w:rPr>
        <w:t xml:space="preserve">el </w:t>
      </w:r>
      <w:r w:rsidR="00F83806" w:rsidRPr="0068787C">
        <w:rPr>
          <w:rFonts w:ascii="Palatino Linotype" w:eastAsia="Palatino Linotype" w:hAnsi="Palatino Linotype" w:cs="Palatino Linotype"/>
          <w:b/>
          <w:sz w:val="22"/>
          <w:szCs w:val="22"/>
        </w:rPr>
        <w:t xml:space="preserve">Sujeto Obligado </w:t>
      </w:r>
      <w:r w:rsidR="00F83806" w:rsidRPr="0068787C">
        <w:rPr>
          <w:rFonts w:ascii="Palatino Linotype" w:eastAsia="Palatino Linotype" w:hAnsi="Palatino Linotype" w:cs="Palatino Linotype"/>
          <w:sz w:val="22"/>
          <w:szCs w:val="22"/>
        </w:rPr>
        <w:t>nuevamente se pronunció por conducto de la</w:t>
      </w:r>
      <w:r w:rsidR="00F83806" w:rsidRPr="0068787C">
        <w:rPr>
          <w:rFonts w:ascii="Palatino Linotype" w:eastAsia="Palatino Linotype" w:hAnsi="Palatino Linotype" w:cs="Palatino Linotype"/>
          <w:b/>
          <w:sz w:val="22"/>
          <w:szCs w:val="22"/>
        </w:rPr>
        <w:t xml:space="preserve"> </w:t>
      </w:r>
      <w:r w:rsidR="00F83806" w:rsidRPr="0068787C">
        <w:rPr>
          <w:rFonts w:ascii="Palatino Linotype" w:eastAsia="Palatino Linotype" w:hAnsi="Palatino Linotype" w:cs="Palatino Linotype"/>
          <w:sz w:val="22"/>
          <w:szCs w:val="22"/>
        </w:rPr>
        <w:t xml:space="preserve">Directora de Desarrollo Económico, Turístico y Artesanal, quien manifestó que respecto a la solicitud de mérito, es dable informar que </w:t>
      </w:r>
      <w:r w:rsidR="00F83806" w:rsidRPr="0068787C">
        <w:rPr>
          <w:rFonts w:ascii="Palatino Linotype" w:eastAsia="Palatino Linotype" w:hAnsi="Palatino Linotype" w:cs="Palatino Linotype"/>
          <w:b/>
          <w:sz w:val="22"/>
          <w:szCs w:val="22"/>
          <w:u w:val="single"/>
        </w:rPr>
        <w:t xml:space="preserve">dicha Dirección no extiende licencias y/o permisos a plazas comerciales para </w:t>
      </w:r>
      <w:proofErr w:type="spellStart"/>
      <w:r w:rsidR="00F83806" w:rsidRPr="0068787C">
        <w:rPr>
          <w:rFonts w:ascii="Palatino Linotype" w:eastAsia="Palatino Linotype" w:hAnsi="Palatino Linotype" w:cs="Palatino Linotype"/>
          <w:b/>
          <w:sz w:val="22"/>
          <w:szCs w:val="22"/>
          <w:u w:val="single"/>
        </w:rPr>
        <w:t>pet</w:t>
      </w:r>
      <w:proofErr w:type="spellEnd"/>
      <w:r w:rsidR="00F83806" w:rsidRPr="0068787C">
        <w:rPr>
          <w:rFonts w:ascii="Palatino Linotype" w:eastAsia="Palatino Linotype" w:hAnsi="Palatino Linotype" w:cs="Palatino Linotype"/>
          <w:b/>
          <w:sz w:val="22"/>
          <w:szCs w:val="22"/>
          <w:u w:val="single"/>
        </w:rPr>
        <w:t xml:space="preserve"> </w:t>
      </w:r>
      <w:proofErr w:type="spellStart"/>
      <w:r w:rsidR="00F83806" w:rsidRPr="0068787C">
        <w:rPr>
          <w:rFonts w:ascii="Palatino Linotype" w:eastAsia="Palatino Linotype" w:hAnsi="Palatino Linotype" w:cs="Palatino Linotype"/>
          <w:b/>
          <w:sz w:val="22"/>
          <w:szCs w:val="22"/>
          <w:u w:val="single"/>
        </w:rPr>
        <w:t>friendly</w:t>
      </w:r>
      <w:proofErr w:type="spellEnd"/>
      <w:r w:rsidR="00F83806" w:rsidRPr="0068787C">
        <w:rPr>
          <w:rFonts w:ascii="Palatino Linotype" w:eastAsia="Palatino Linotype" w:hAnsi="Palatino Linotype" w:cs="Palatino Linotype"/>
          <w:b/>
          <w:sz w:val="22"/>
          <w:szCs w:val="22"/>
          <w:u w:val="single"/>
        </w:rPr>
        <w:t xml:space="preserve">, por ende, no solicitan documentos para un trámite que no corresponde a la Dirección, asimismo refiere que tampoco les compete sancionar o multar a personas que hacen omisión al auxilio de animales en situación de calle, </w:t>
      </w:r>
      <w:r w:rsidR="00F83806" w:rsidRPr="0068787C">
        <w:rPr>
          <w:rFonts w:ascii="Palatino Linotype" w:eastAsia="Palatino Linotype" w:hAnsi="Palatino Linotype" w:cs="Palatino Linotype"/>
          <w:sz w:val="22"/>
          <w:szCs w:val="22"/>
        </w:rPr>
        <w:t>mientras que</w:t>
      </w:r>
      <w:r w:rsidR="00F83806" w:rsidRPr="0068787C">
        <w:rPr>
          <w:rFonts w:ascii="Palatino Linotype" w:eastAsia="Palatino Linotype" w:hAnsi="Palatino Linotype" w:cs="Palatino Linotype"/>
          <w:b/>
          <w:sz w:val="22"/>
          <w:szCs w:val="22"/>
          <w:u w:val="single"/>
        </w:rPr>
        <w:t xml:space="preserve"> la parte Recurrente </w:t>
      </w:r>
      <w:r w:rsidR="00F83806" w:rsidRPr="0068787C">
        <w:rPr>
          <w:rFonts w:ascii="Palatino Linotype" w:eastAsia="Palatino Linotype" w:hAnsi="Palatino Linotype" w:cs="Palatino Linotype"/>
          <w:sz w:val="22"/>
          <w:szCs w:val="22"/>
        </w:rPr>
        <w:t xml:space="preserve">fue omisa en </w:t>
      </w:r>
      <w:r w:rsidRPr="0068787C">
        <w:rPr>
          <w:rFonts w:ascii="Palatino Linotype" w:eastAsia="Palatino Linotype" w:hAnsi="Palatino Linotype" w:cs="Palatino Linotype"/>
          <w:sz w:val="22"/>
          <w:szCs w:val="22"/>
        </w:rPr>
        <w:t xml:space="preserve">pronunciarse en esta etapa, por lo que se tuvo por precluido el plazo para tal efecto y se procede a emitir la resolución que conforme a derecho corresponda. </w:t>
      </w:r>
    </w:p>
    <w:p w14:paraId="3CD0067C" w14:textId="222C9373" w:rsidR="008E6644" w:rsidRPr="0068787C" w:rsidRDefault="00122CAC" w:rsidP="008E6644">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Una vez expuestas las posturas de las partes, </w:t>
      </w:r>
      <w:r w:rsidR="002A718F" w:rsidRPr="0068787C">
        <w:rPr>
          <w:rFonts w:ascii="Palatino Linotype" w:eastAsia="Palatino Linotype" w:hAnsi="Palatino Linotype" w:cs="Palatino Linotype"/>
          <w:sz w:val="22"/>
          <w:szCs w:val="22"/>
        </w:rPr>
        <w:t xml:space="preserve">resulta pertinente </w:t>
      </w:r>
      <w:r w:rsidR="00360848" w:rsidRPr="0068787C">
        <w:rPr>
          <w:rFonts w:ascii="Palatino Linotype" w:eastAsia="Palatino Linotype" w:hAnsi="Palatino Linotype" w:cs="Palatino Linotype"/>
          <w:sz w:val="22"/>
          <w:szCs w:val="22"/>
        </w:rPr>
        <w:t xml:space="preserve">señalar que de una interpretación a los motivos de inconformidad de </w:t>
      </w:r>
      <w:r w:rsidR="00360848" w:rsidRPr="0068787C">
        <w:rPr>
          <w:rFonts w:ascii="Palatino Linotype" w:eastAsia="Palatino Linotype" w:hAnsi="Palatino Linotype"/>
          <w:b/>
          <w:sz w:val="22"/>
          <w:szCs w:val="22"/>
        </w:rPr>
        <w:t>la parte Recurrente</w:t>
      </w:r>
      <w:r w:rsidR="00360848" w:rsidRPr="0068787C">
        <w:rPr>
          <w:rFonts w:ascii="Palatino Linotype" w:eastAsia="Palatino Linotype" w:hAnsi="Palatino Linotype"/>
          <w:sz w:val="22"/>
          <w:szCs w:val="22"/>
        </w:rPr>
        <w:t xml:space="preserve">, se advierte que únicamente impugna lo manifestado en el oficio de respuesta, es decir, el pronunciamiento </w:t>
      </w:r>
      <w:r w:rsidR="008E6644" w:rsidRPr="0068787C">
        <w:rPr>
          <w:rFonts w:ascii="Palatino Linotype" w:eastAsia="Palatino Linotype" w:hAnsi="Palatino Linotype"/>
          <w:sz w:val="22"/>
          <w:szCs w:val="22"/>
        </w:rPr>
        <w:t>relativo a que después de una búsqueda exhaustiva y minuciosa en los archivos documentales que obran en las diferentes áreas de dicha Dirección y en los documentos digitales públicos, no se encontró documento alguno referente a Trámites que debe gestionar una plaza comercial para que sea considerada “</w:t>
      </w:r>
      <w:proofErr w:type="spellStart"/>
      <w:r w:rsidR="008E6644" w:rsidRPr="0068787C">
        <w:rPr>
          <w:rFonts w:ascii="Palatino Linotype" w:eastAsia="Palatino Linotype" w:hAnsi="Palatino Linotype"/>
          <w:sz w:val="22"/>
          <w:szCs w:val="22"/>
        </w:rPr>
        <w:t>pet</w:t>
      </w:r>
      <w:proofErr w:type="spellEnd"/>
      <w:r w:rsidR="008E6644" w:rsidRPr="0068787C">
        <w:rPr>
          <w:rFonts w:ascii="Palatino Linotype" w:eastAsia="Palatino Linotype" w:hAnsi="Palatino Linotype"/>
          <w:sz w:val="22"/>
          <w:szCs w:val="22"/>
        </w:rPr>
        <w:t xml:space="preserve"> </w:t>
      </w:r>
      <w:proofErr w:type="spellStart"/>
      <w:r w:rsidR="008E6644" w:rsidRPr="0068787C">
        <w:rPr>
          <w:rFonts w:ascii="Palatino Linotype" w:eastAsia="Palatino Linotype" w:hAnsi="Palatino Linotype"/>
          <w:sz w:val="22"/>
          <w:szCs w:val="22"/>
        </w:rPr>
        <w:t>friendly</w:t>
      </w:r>
      <w:proofErr w:type="spellEnd"/>
      <w:r w:rsidR="008E6644" w:rsidRPr="0068787C">
        <w:rPr>
          <w:rFonts w:ascii="Palatino Linotype" w:eastAsia="Palatino Linotype" w:hAnsi="Palatino Linotype"/>
          <w:sz w:val="22"/>
          <w:szCs w:val="22"/>
        </w:rPr>
        <w:t xml:space="preserve">”, </w:t>
      </w:r>
      <w:r w:rsidR="008E6644" w:rsidRPr="0068787C">
        <w:rPr>
          <w:rFonts w:ascii="Palatino Linotype" w:eastAsia="Palatino Linotype" w:hAnsi="Palatino Linotype" w:cs="Palatino Linotype"/>
          <w:sz w:val="22"/>
          <w:szCs w:val="22"/>
        </w:rPr>
        <w:t xml:space="preserve">por otro lado el punto concerniente a </w:t>
      </w:r>
      <w:r w:rsidR="008E6644" w:rsidRPr="0068787C">
        <w:rPr>
          <w:rFonts w:ascii="Palatino Linotype" w:eastAsia="Palatino Linotype" w:hAnsi="Palatino Linotype" w:cs="Palatino Linotype"/>
          <w:b/>
          <w:sz w:val="22"/>
          <w:szCs w:val="22"/>
        </w:rPr>
        <w:t>sanciones o multas que impone la autoridad para las personas que hacen omisión al auxilio de un animal en situación de calle</w:t>
      </w:r>
      <w:r w:rsidR="008E6644" w:rsidRPr="0068787C">
        <w:rPr>
          <w:rFonts w:ascii="Palatino Linotype" w:eastAsia="Palatino Linotype" w:hAnsi="Palatino Linotype" w:cs="Palatino Linotype"/>
          <w:sz w:val="22"/>
          <w:szCs w:val="22"/>
        </w:rPr>
        <w:t xml:space="preserve">, </w:t>
      </w:r>
      <w:r w:rsidR="008E6644" w:rsidRPr="0068787C">
        <w:rPr>
          <w:rFonts w:ascii="Palatino Linotype" w:eastAsia="Palatino Linotype" w:hAnsi="Palatino Linotype" w:cs="Palatino Linotype"/>
          <w:b/>
          <w:sz w:val="22"/>
          <w:szCs w:val="22"/>
          <w:u w:val="single"/>
        </w:rPr>
        <w:t>no fue materia de la impugnación del particular</w:t>
      </w:r>
      <w:r w:rsidR="008E6644" w:rsidRPr="0068787C">
        <w:rPr>
          <w:rFonts w:ascii="Palatino Linotype" w:eastAsia="Palatino Linotype" w:hAnsi="Palatino Linotype" w:cs="Palatino Linotype"/>
          <w:sz w:val="22"/>
          <w:szCs w:val="22"/>
        </w:rPr>
        <w:t xml:space="preserve">, por lo tanto, dicho punto se considera consentido por </w:t>
      </w:r>
      <w:r w:rsidR="008E6644" w:rsidRPr="0068787C">
        <w:rPr>
          <w:rFonts w:ascii="Palatino Linotype" w:eastAsia="Palatino Linotype" w:hAnsi="Palatino Linotype" w:cs="Palatino Linotype"/>
          <w:b/>
          <w:sz w:val="22"/>
          <w:szCs w:val="22"/>
        </w:rPr>
        <w:t>la parte Recurrente</w:t>
      </w:r>
      <w:r w:rsidR="008E6644" w:rsidRPr="0068787C">
        <w:rPr>
          <w:rFonts w:ascii="Palatino Linotype" w:eastAsia="Palatino Linotype" w:hAnsi="Palatino Linotype" w:cs="Palatino Linotype"/>
          <w:sz w:val="22"/>
          <w:szCs w:val="22"/>
        </w:rPr>
        <w:t xml:space="preserve"> y no será materia del presente análisis. </w:t>
      </w:r>
    </w:p>
    <w:p w14:paraId="23215FB2" w14:textId="77777777" w:rsidR="008E6644" w:rsidRPr="0068787C" w:rsidRDefault="008E6644" w:rsidP="00277790">
      <w:pPr>
        <w:spacing w:line="360" w:lineRule="auto"/>
        <w:jc w:val="both"/>
        <w:rPr>
          <w:rFonts w:ascii="Palatino Linotype" w:eastAsia="Palatino Linotype" w:hAnsi="Palatino Linotype"/>
          <w:sz w:val="22"/>
          <w:szCs w:val="22"/>
        </w:rPr>
      </w:pPr>
    </w:p>
    <w:p w14:paraId="7BD4FBE6"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Lo anterior se afirma así,</w:t>
      </w:r>
      <w:r w:rsidRPr="0068787C">
        <w:rPr>
          <w:rFonts w:ascii="Palatino Linotype" w:eastAsia="Palatino Linotype" w:hAnsi="Palatino Linotype" w:cs="Palatino Linotype"/>
          <w:b/>
          <w:sz w:val="22"/>
          <w:szCs w:val="22"/>
        </w:rPr>
        <w:t xml:space="preserve"> </w:t>
      </w:r>
      <w:r w:rsidRPr="0068787C">
        <w:rPr>
          <w:rFonts w:ascii="Palatino Linotype" w:eastAsia="Palatino Linotype" w:hAnsi="Palatino Linotype" w:cs="Palatino Linotype"/>
          <w:sz w:val="22"/>
          <w:szCs w:val="22"/>
        </w:rPr>
        <w:t xml:space="preserve">toda vez que, al no haber realizado manifestaciones de inconformidad al respecto, no pueden producirse efectos jurídicos tendentes a revocar, confirmar o modificar el acto reclamado, ya que, en el caso concreto se infiere que la </w:t>
      </w:r>
      <w:r w:rsidRPr="0068787C">
        <w:rPr>
          <w:rFonts w:ascii="Palatino Linotype" w:eastAsia="Palatino Linotype" w:hAnsi="Palatino Linotype" w:cs="Palatino Linotype"/>
          <w:sz w:val="22"/>
          <w:szCs w:val="22"/>
        </w:rPr>
        <w:lastRenderedPageBreak/>
        <w:t xml:space="preserve">información proporcionada por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satisface parte de la solicitud presentada.</w:t>
      </w:r>
    </w:p>
    <w:p w14:paraId="5260FCFD" w14:textId="77777777" w:rsidR="008E6644" w:rsidRPr="0068787C" w:rsidRDefault="008E6644" w:rsidP="00277790">
      <w:pPr>
        <w:spacing w:line="360" w:lineRule="auto"/>
        <w:jc w:val="both"/>
        <w:rPr>
          <w:rFonts w:ascii="Palatino Linotype" w:eastAsia="Palatino Linotype" w:hAnsi="Palatino Linotype" w:cs="Palatino Linotype"/>
          <w:sz w:val="22"/>
          <w:szCs w:val="22"/>
        </w:rPr>
      </w:pPr>
    </w:p>
    <w:p w14:paraId="34D09C7E"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Lo anterior es así, debido a que cuando un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impugna la información entregada por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68787C">
        <w:rPr>
          <w:rFonts w:ascii="Palatino Linotype" w:eastAsia="Palatino Linotype" w:hAnsi="Palatino Linotype" w:cs="Palatino Linotype"/>
          <w:b/>
          <w:sz w:val="22"/>
          <w:szCs w:val="22"/>
        </w:rPr>
        <w:t>la parte Recurrente</w:t>
      </w:r>
      <w:r w:rsidRPr="0068787C">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2106404"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p>
    <w:p w14:paraId="09D9C9EB" w14:textId="77777777" w:rsidR="00277790" w:rsidRPr="0068787C" w:rsidRDefault="00277790" w:rsidP="00277790">
      <w:pPr>
        <w:spacing w:after="160" w:line="259"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b/>
          <w:i/>
          <w:sz w:val="22"/>
          <w:szCs w:val="22"/>
        </w:rPr>
        <w:t xml:space="preserve">“REVISIÓN EN AMPARO. LOS RESOLUTIVOS NO COMBATIDOS DEBEN DECLARARSE FIRMES. </w:t>
      </w:r>
      <w:r w:rsidRPr="0068787C">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323F565" w14:textId="77777777" w:rsidR="00277790" w:rsidRPr="0068787C" w:rsidRDefault="00277790" w:rsidP="00277790">
      <w:pPr>
        <w:spacing w:after="160" w:line="276" w:lineRule="auto"/>
        <w:ind w:left="851" w:right="900"/>
        <w:jc w:val="both"/>
        <w:rPr>
          <w:rFonts w:ascii="Palatino Linotype" w:eastAsia="Palatino Linotype" w:hAnsi="Palatino Linotype" w:cs="Palatino Linotype"/>
          <w:i/>
          <w:sz w:val="10"/>
          <w:szCs w:val="10"/>
        </w:rPr>
      </w:pPr>
    </w:p>
    <w:p w14:paraId="1589DFF0"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68787C">
        <w:rPr>
          <w:rFonts w:ascii="Palatino Linotype" w:eastAsia="Palatino Linotype" w:hAnsi="Palatino Linotype" w:cs="Palatino Linotype"/>
          <w:b/>
          <w:sz w:val="22"/>
          <w:szCs w:val="22"/>
        </w:rPr>
        <w:t>la parte Recurrente</w:t>
      </w:r>
      <w:r w:rsidRPr="0068787C">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68787C">
        <w:rPr>
          <w:rFonts w:ascii="Palatino Linotype" w:eastAsia="Palatino Linotype" w:hAnsi="Palatino Linotype" w:cs="Palatino Linotype"/>
          <w:b/>
          <w:sz w:val="22"/>
          <w:szCs w:val="22"/>
        </w:rPr>
        <w:t>la parte Recurrente</w:t>
      </w:r>
      <w:r w:rsidRPr="0068787C">
        <w:rPr>
          <w:rFonts w:ascii="Palatino Linotype" w:eastAsia="Palatino Linotype" w:hAnsi="Palatino Linotype" w:cs="Palatino Linotype"/>
          <w:sz w:val="22"/>
          <w:szCs w:val="22"/>
        </w:rPr>
        <w:t xml:space="preserve"> ante la falta de impugnación eficaz. </w:t>
      </w:r>
    </w:p>
    <w:p w14:paraId="6560AF2A"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p>
    <w:p w14:paraId="492CB8D9"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53BC2776" w14:textId="77777777" w:rsidR="00277790" w:rsidRPr="0068787C" w:rsidRDefault="00277790" w:rsidP="00277790">
      <w:pPr>
        <w:spacing w:line="360" w:lineRule="auto"/>
        <w:jc w:val="both"/>
        <w:rPr>
          <w:rFonts w:ascii="Palatino Linotype" w:eastAsia="Palatino Linotype" w:hAnsi="Palatino Linotype" w:cs="Palatino Linotype"/>
          <w:sz w:val="22"/>
          <w:szCs w:val="22"/>
        </w:rPr>
      </w:pPr>
    </w:p>
    <w:p w14:paraId="7442B068" w14:textId="77777777" w:rsidR="00277790" w:rsidRPr="0068787C" w:rsidRDefault="00277790" w:rsidP="00277790">
      <w:pPr>
        <w:spacing w:after="160" w:line="259"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b/>
          <w:i/>
          <w:smallCaps/>
          <w:sz w:val="22"/>
          <w:szCs w:val="22"/>
        </w:rPr>
        <w:t xml:space="preserve">“ACTOS CONSENTIDOS. SON LOS QUE NO SE IMPUGNAN MEDIANTE EL RECURSO IDÓNEO. </w:t>
      </w:r>
      <w:r w:rsidRPr="0068787C">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D767E1E" w14:textId="4BCE5824" w:rsidR="00277790" w:rsidRPr="0068787C" w:rsidRDefault="00277790" w:rsidP="00277790">
      <w:pPr>
        <w:spacing w:before="240" w:after="240" w:line="360" w:lineRule="auto"/>
        <w:ind w:right="49"/>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resulta conveniente señalar que </w:t>
      </w:r>
      <w:r w:rsidRPr="0068787C">
        <w:rPr>
          <w:rFonts w:ascii="Palatino Linotype" w:eastAsia="Palatino Linotype" w:hAnsi="Palatino Linotype" w:cs="Palatino Linotype"/>
          <w:b/>
          <w:sz w:val="22"/>
          <w:szCs w:val="22"/>
        </w:rPr>
        <w:t>el presente análisis versará r</w:t>
      </w:r>
      <w:r w:rsidR="00EF7C21" w:rsidRPr="0068787C">
        <w:rPr>
          <w:rFonts w:ascii="Palatino Linotype" w:eastAsia="Palatino Linotype" w:hAnsi="Palatino Linotype" w:cs="Palatino Linotype"/>
          <w:b/>
          <w:sz w:val="22"/>
          <w:szCs w:val="22"/>
        </w:rPr>
        <w:t>especto al siguiente punto: Trámites que debe gestionar una plaza comercial para que sea considerada "</w:t>
      </w:r>
      <w:proofErr w:type="spellStart"/>
      <w:r w:rsidR="00EF7C21" w:rsidRPr="0068787C">
        <w:rPr>
          <w:rFonts w:ascii="Palatino Linotype" w:eastAsia="Palatino Linotype" w:hAnsi="Palatino Linotype" w:cs="Palatino Linotype"/>
          <w:b/>
          <w:sz w:val="22"/>
          <w:szCs w:val="22"/>
        </w:rPr>
        <w:t>pet</w:t>
      </w:r>
      <w:proofErr w:type="spellEnd"/>
      <w:r w:rsidR="00EF7C21" w:rsidRPr="0068787C">
        <w:rPr>
          <w:rFonts w:ascii="Palatino Linotype" w:eastAsia="Palatino Linotype" w:hAnsi="Palatino Linotype" w:cs="Palatino Linotype"/>
          <w:b/>
          <w:sz w:val="22"/>
          <w:szCs w:val="22"/>
        </w:rPr>
        <w:t xml:space="preserve"> </w:t>
      </w:r>
      <w:proofErr w:type="spellStart"/>
      <w:r w:rsidR="00EF7C21" w:rsidRPr="0068787C">
        <w:rPr>
          <w:rFonts w:ascii="Palatino Linotype" w:eastAsia="Palatino Linotype" w:hAnsi="Palatino Linotype" w:cs="Palatino Linotype"/>
          <w:b/>
          <w:sz w:val="22"/>
          <w:szCs w:val="22"/>
        </w:rPr>
        <w:t>friendly</w:t>
      </w:r>
      <w:proofErr w:type="spellEnd"/>
      <w:r w:rsidR="00EF7C21" w:rsidRPr="0068787C">
        <w:rPr>
          <w:rFonts w:ascii="Palatino Linotype" w:eastAsia="Palatino Linotype" w:hAnsi="Palatino Linotype" w:cs="Palatino Linotype"/>
          <w:b/>
          <w:sz w:val="22"/>
          <w:szCs w:val="22"/>
        </w:rPr>
        <w:t>".</w:t>
      </w:r>
    </w:p>
    <w:p w14:paraId="78DD4C10" w14:textId="77777777" w:rsidR="00F83806" w:rsidRPr="0068787C" w:rsidRDefault="00890EAF">
      <w:pPr>
        <w:spacing w:before="240" w:after="240" w:line="360" w:lineRule="auto"/>
        <w:jc w:val="both"/>
        <w:rPr>
          <w:rFonts w:ascii="Palatino Linotype" w:eastAsia="Palatino Linotype" w:hAnsi="Palatino Linotype" w:cs="Palatino Linotype"/>
          <w:b/>
          <w:sz w:val="22"/>
          <w:szCs w:val="22"/>
        </w:rPr>
      </w:pPr>
      <w:r w:rsidRPr="0068787C">
        <w:rPr>
          <w:rFonts w:ascii="Palatino Linotype" w:eastAsia="Palatino Linotype" w:hAnsi="Palatino Linotype" w:cs="Palatino Linotype"/>
          <w:sz w:val="22"/>
          <w:szCs w:val="22"/>
        </w:rPr>
        <w:t xml:space="preserve">En lo tocante a este punto, debemos recordar que desde la respuesta inicial obra el pronunciamiento de la </w:t>
      </w:r>
      <w:r w:rsidRPr="0068787C">
        <w:rPr>
          <w:rFonts w:ascii="Palatino Linotype" w:eastAsia="Palatino Linotype" w:hAnsi="Palatino Linotype" w:cs="Palatino Linotype"/>
          <w:b/>
          <w:sz w:val="22"/>
          <w:szCs w:val="22"/>
        </w:rPr>
        <w:t>Directora de Desarrollo Económico, Turístico y Artesanal</w:t>
      </w:r>
      <w:r w:rsidRPr="0068787C">
        <w:rPr>
          <w:rFonts w:ascii="Palatino Linotype" w:eastAsia="Palatino Linotype" w:hAnsi="Palatino Linotype" w:cs="Palatino Linotype"/>
          <w:sz w:val="22"/>
          <w:szCs w:val="22"/>
        </w:rPr>
        <w:t xml:space="preserve">, quien refirió que después de una búsqueda exhaustiva y minuciosa en los archivos documentales que obran en las diferentes áreas de dicha Dirección y en los documentos digitales públicos, </w:t>
      </w:r>
      <w:r w:rsidRPr="0068787C">
        <w:rPr>
          <w:rFonts w:ascii="Palatino Linotype" w:eastAsia="Palatino Linotype" w:hAnsi="Palatino Linotype" w:cs="Palatino Linotype"/>
          <w:b/>
          <w:sz w:val="22"/>
          <w:szCs w:val="22"/>
        </w:rPr>
        <w:t>no se encontró documento alguno referente a Trámites que debe gestionar una plaza comercial para que sea considerada “</w:t>
      </w:r>
      <w:proofErr w:type="spellStart"/>
      <w:r w:rsidRPr="0068787C">
        <w:rPr>
          <w:rFonts w:ascii="Palatino Linotype" w:eastAsia="Palatino Linotype" w:hAnsi="Palatino Linotype" w:cs="Palatino Linotype"/>
          <w:b/>
          <w:sz w:val="22"/>
          <w:szCs w:val="22"/>
        </w:rPr>
        <w:t>pet</w:t>
      </w:r>
      <w:proofErr w:type="spellEnd"/>
      <w:r w:rsidRPr="0068787C">
        <w:rPr>
          <w:rFonts w:ascii="Palatino Linotype" w:eastAsia="Palatino Linotype" w:hAnsi="Palatino Linotype" w:cs="Palatino Linotype"/>
          <w:b/>
          <w:sz w:val="22"/>
          <w:szCs w:val="22"/>
        </w:rPr>
        <w:t xml:space="preserve"> </w:t>
      </w:r>
      <w:proofErr w:type="spellStart"/>
      <w:r w:rsidRPr="0068787C">
        <w:rPr>
          <w:rFonts w:ascii="Palatino Linotype" w:eastAsia="Palatino Linotype" w:hAnsi="Palatino Linotype" w:cs="Palatino Linotype"/>
          <w:b/>
          <w:sz w:val="22"/>
          <w:szCs w:val="22"/>
        </w:rPr>
        <w:t>friendly</w:t>
      </w:r>
      <w:proofErr w:type="spellEnd"/>
      <w:r w:rsidRPr="0068787C">
        <w:rPr>
          <w:rFonts w:ascii="Palatino Linotype" w:eastAsia="Palatino Linotype" w:hAnsi="Palatino Linotype" w:cs="Palatino Linotype"/>
          <w:b/>
          <w:sz w:val="22"/>
          <w:szCs w:val="22"/>
        </w:rPr>
        <w:t>”.</w:t>
      </w:r>
    </w:p>
    <w:p w14:paraId="5CBC03E3" w14:textId="77777777" w:rsidR="00AF7D17" w:rsidRPr="0068787C" w:rsidRDefault="00AF7D17">
      <w:pPr>
        <w:spacing w:before="240" w:after="240" w:line="360" w:lineRule="auto"/>
        <w:jc w:val="both"/>
        <w:rPr>
          <w:rFonts w:ascii="Palatino Linotype" w:eastAsia="Palatino Linotype" w:hAnsi="Palatino Linotype" w:cs="Palatino Linotype"/>
          <w:b/>
          <w:sz w:val="22"/>
          <w:szCs w:val="22"/>
          <w:u w:val="single"/>
        </w:rPr>
      </w:pPr>
      <w:r w:rsidRPr="0068787C">
        <w:rPr>
          <w:rFonts w:ascii="Palatino Linotype" w:eastAsia="Palatino Linotype" w:hAnsi="Palatino Linotype" w:cs="Palatino Linotype"/>
          <w:sz w:val="22"/>
          <w:szCs w:val="22"/>
        </w:rPr>
        <w:t xml:space="preserve">Posteriormente en informe justificado, puntualizó que </w:t>
      </w:r>
      <w:r w:rsidRPr="0068787C">
        <w:rPr>
          <w:rFonts w:ascii="Palatino Linotype" w:eastAsia="Palatino Linotype" w:hAnsi="Palatino Linotype" w:cs="Palatino Linotype"/>
          <w:b/>
          <w:sz w:val="22"/>
          <w:szCs w:val="22"/>
          <w:u w:val="single"/>
        </w:rPr>
        <w:t xml:space="preserve">dicha Dirección no extiende licencias y/o permisos a plazas comerciales para </w:t>
      </w:r>
      <w:proofErr w:type="spellStart"/>
      <w:r w:rsidRPr="0068787C">
        <w:rPr>
          <w:rFonts w:ascii="Palatino Linotype" w:eastAsia="Palatino Linotype" w:hAnsi="Palatino Linotype" w:cs="Palatino Linotype"/>
          <w:b/>
          <w:sz w:val="22"/>
          <w:szCs w:val="22"/>
          <w:u w:val="single"/>
        </w:rPr>
        <w:t>pet</w:t>
      </w:r>
      <w:proofErr w:type="spellEnd"/>
      <w:r w:rsidRPr="0068787C">
        <w:rPr>
          <w:rFonts w:ascii="Palatino Linotype" w:eastAsia="Palatino Linotype" w:hAnsi="Palatino Linotype" w:cs="Palatino Linotype"/>
          <w:b/>
          <w:sz w:val="22"/>
          <w:szCs w:val="22"/>
          <w:u w:val="single"/>
        </w:rPr>
        <w:t xml:space="preserve"> </w:t>
      </w:r>
      <w:proofErr w:type="spellStart"/>
      <w:r w:rsidRPr="0068787C">
        <w:rPr>
          <w:rFonts w:ascii="Palatino Linotype" w:eastAsia="Palatino Linotype" w:hAnsi="Palatino Linotype" w:cs="Palatino Linotype"/>
          <w:b/>
          <w:sz w:val="22"/>
          <w:szCs w:val="22"/>
          <w:u w:val="single"/>
        </w:rPr>
        <w:t>friendly</w:t>
      </w:r>
      <w:proofErr w:type="spellEnd"/>
      <w:r w:rsidRPr="0068787C">
        <w:rPr>
          <w:rFonts w:ascii="Palatino Linotype" w:eastAsia="Palatino Linotype" w:hAnsi="Palatino Linotype" w:cs="Palatino Linotype"/>
          <w:b/>
          <w:sz w:val="22"/>
          <w:szCs w:val="22"/>
          <w:u w:val="single"/>
        </w:rPr>
        <w:t>, por ende, no solicitan documentos para un trámite que no corresponde a la Dirección</w:t>
      </w:r>
      <w:r w:rsidR="00CD5D71" w:rsidRPr="0068787C">
        <w:rPr>
          <w:rFonts w:ascii="Palatino Linotype" w:eastAsia="Palatino Linotype" w:hAnsi="Palatino Linotype" w:cs="Palatino Linotype"/>
          <w:b/>
          <w:sz w:val="22"/>
          <w:szCs w:val="22"/>
          <w:u w:val="single"/>
        </w:rPr>
        <w:t>.</w:t>
      </w:r>
    </w:p>
    <w:p w14:paraId="33EE01E5" w14:textId="77777777" w:rsidR="00EB525E" w:rsidRPr="0068787C" w:rsidRDefault="00EB525E">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En tal tesitura, </w:t>
      </w:r>
      <w:r w:rsidRPr="0068787C">
        <w:rPr>
          <w:rFonts w:ascii="Palatino Linotype" w:eastAsia="Palatino Linotype" w:hAnsi="Palatino Linotype" w:cs="Palatino Linotype"/>
          <w:b/>
          <w:sz w:val="22"/>
          <w:szCs w:val="22"/>
          <w:u w:val="single"/>
        </w:rPr>
        <w:t xml:space="preserve">de la revisión a la normativa aplicable, así como al portal de Trámites y Servicios del Ayuntamiento de Metepec, no se advirtió disposición alguna que mandate a </w:t>
      </w:r>
      <w:r w:rsidR="00B10C8D" w:rsidRPr="0068787C">
        <w:rPr>
          <w:rFonts w:ascii="Palatino Linotype" w:eastAsia="Palatino Linotype" w:hAnsi="Palatino Linotype" w:cs="Palatino Linotype"/>
          <w:b/>
          <w:sz w:val="22"/>
          <w:szCs w:val="22"/>
          <w:u w:val="single"/>
        </w:rPr>
        <w:t xml:space="preserve">las plazas comerciales a realizar un trámite para adquirir la calidad de </w:t>
      </w:r>
      <w:proofErr w:type="spellStart"/>
      <w:r w:rsidR="00B10C8D" w:rsidRPr="0068787C">
        <w:rPr>
          <w:rFonts w:ascii="Palatino Linotype" w:eastAsia="Palatino Linotype" w:hAnsi="Palatino Linotype" w:cs="Palatino Linotype"/>
          <w:b/>
          <w:sz w:val="22"/>
          <w:szCs w:val="22"/>
          <w:u w:val="single"/>
        </w:rPr>
        <w:t>pet</w:t>
      </w:r>
      <w:proofErr w:type="spellEnd"/>
      <w:r w:rsidR="00B10C8D" w:rsidRPr="0068787C">
        <w:rPr>
          <w:rFonts w:ascii="Palatino Linotype" w:eastAsia="Palatino Linotype" w:hAnsi="Palatino Linotype" w:cs="Palatino Linotype"/>
          <w:b/>
          <w:sz w:val="22"/>
          <w:szCs w:val="22"/>
          <w:u w:val="single"/>
        </w:rPr>
        <w:t xml:space="preserve"> </w:t>
      </w:r>
      <w:proofErr w:type="spellStart"/>
      <w:r w:rsidR="00B10C8D" w:rsidRPr="0068787C">
        <w:rPr>
          <w:rFonts w:ascii="Palatino Linotype" w:eastAsia="Palatino Linotype" w:hAnsi="Palatino Linotype" w:cs="Palatino Linotype"/>
          <w:b/>
          <w:sz w:val="22"/>
          <w:szCs w:val="22"/>
          <w:u w:val="single"/>
        </w:rPr>
        <w:t>friendly</w:t>
      </w:r>
      <w:proofErr w:type="spellEnd"/>
      <w:r w:rsidR="00B10C8D" w:rsidRPr="0068787C">
        <w:rPr>
          <w:rFonts w:ascii="Palatino Linotype" w:eastAsia="Palatino Linotype" w:hAnsi="Palatino Linotype" w:cs="Palatino Linotype"/>
          <w:b/>
          <w:sz w:val="22"/>
          <w:szCs w:val="22"/>
          <w:u w:val="single"/>
        </w:rPr>
        <w:t xml:space="preserve">, por </w:t>
      </w:r>
      <w:r w:rsidR="00B10C8D" w:rsidRPr="0068787C">
        <w:rPr>
          <w:rFonts w:ascii="Palatino Linotype" w:eastAsia="Palatino Linotype" w:hAnsi="Palatino Linotype" w:cs="Palatino Linotype"/>
          <w:b/>
          <w:sz w:val="22"/>
          <w:szCs w:val="22"/>
          <w:u w:val="single"/>
        </w:rPr>
        <w:lastRenderedPageBreak/>
        <w:t xml:space="preserve">lo tanto, se afirma que no obra fuente obligacional para </w:t>
      </w:r>
      <w:r w:rsidR="00FD5A73" w:rsidRPr="0068787C">
        <w:rPr>
          <w:rFonts w:ascii="Palatino Linotype" w:eastAsia="Palatino Linotype" w:hAnsi="Palatino Linotype" w:cs="Palatino Linotype"/>
          <w:b/>
          <w:sz w:val="22"/>
          <w:szCs w:val="22"/>
          <w:u w:val="single"/>
        </w:rPr>
        <w:t>que el Sujeto Obligado cuente con información relativo al trámite solicitado</w:t>
      </w:r>
      <w:r w:rsidR="00B10C8D" w:rsidRPr="0068787C">
        <w:rPr>
          <w:rFonts w:ascii="Palatino Linotype" w:eastAsia="Palatino Linotype" w:hAnsi="Palatino Linotype" w:cs="Palatino Linotype"/>
          <w:sz w:val="22"/>
          <w:szCs w:val="22"/>
        </w:rPr>
        <w:t>.</w:t>
      </w:r>
    </w:p>
    <w:p w14:paraId="4CCB6D48" w14:textId="77777777" w:rsidR="00F83806" w:rsidRPr="0068787C" w:rsidRDefault="00AF7D17">
      <w:pP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Establecido lo anterior, resulta pertinente traer a colación, las atribuciones de la Dirección de Desarrollo Económico, Turístico y Artesanal, las cuales se encuentran establecidas en el Código Reglamentario del Ayuntamiento de Metepec:</w:t>
      </w:r>
    </w:p>
    <w:p w14:paraId="332C3AC0" w14:textId="77777777" w:rsidR="00AF7D17" w:rsidRPr="0068787C" w:rsidRDefault="00AF7D17" w:rsidP="00AF7D17">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w:t>
      </w:r>
      <w:r w:rsidRPr="0068787C">
        <w:rPr>
          <w:rFonts w:ascii="Palatino Linotype" w:eastAsia="Palatino Linotype" w:hAnsi="Palatino Linotype" w:cs="Palatino Linotype"/>
          <w:b/>
          <w:i/>
          <w:sz w:val="22"/>
          <w:szCs w:val="22"/>
        </w:rPr>
        <w:t>Artículo 3.129. La Dirección de Desarrollo Económico, Turístico y Artesanal, tiene por objeto desarrollar y ejecutar las políticas públicas y los programas orientados a generar una derrama económica, a través de una regulación de la actividad industrial, comercial y de servicios clara, eficiente y ordenada</w:t>
      </w:r>
      <w:r w:rsidRPr="0068787C">
        <w:rPr>
          <w:rFonts w:ascii="Palatino Linotype" w:eastAsia="Palatino Linotype" w:hAnsi="Palatino Linotype" w:cs="Palatino Linotype"/>
          <w:i/>
          <w:sz w:val="22"/>
          <w:szCs w:val="22"/>
        </w:rPr>
        <w:t>, así como fomentar la vinculación de la oferta con la demanda de mano de obra en las empresas privadas, promover técnicas de producción, preservación y sustentabilidad de las actividades agropecuarias, así como a incentivar las acciones orientadas a potenciar la actividad artesanal, el atractivo turístico del Municipio y del Pueblo Mágico, a través de un proceso de concertación y coordinación de acciones entre las instancias gubernamentales, la sociedad civil y el sector privado.</w:t>
      </w:r>
    </w:p>
    <w:p w14:paraId="42D69830" w14:textId="77777777" w:rsidR="00AF7D17" w:rsidRPr="0068787C" w:rsidRDefault="00AF7D17" w:rsidP="00AF7D17">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Artículo 3.130. La Dirección de Desarrollo Económico, Turístico y Artesanal tendrá a cargo las atribuciones siguientes:</w:t>
      </w:r>
    </w:p>
    <w:p w14:paraId="3D994B5F" w14:textId="77777777" w:rsidR="00AF7D17" w:rsidRPr="0068787C" w:rsidRDefault="00AF7D17" w:rsidP="00AF7D17">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w:t>
      </w:r>
    </w:p>
    <w:p w14:paraId="3CED3E80" w14:textId="77777777" w:rsidR="00AF7D17" w:rsidRPr="0068787C" w:rsidRDefault="00AF7D17" w:rsidP="00AF7D17">
      <w:pPr>
        <w:spacing w:before="240" w:after="240" w:line="276" w:lineRule="auto"/>
        <w:ind w:left="567" w:right="900"/>
        <w:jc w:val="both"/>
        <w:rPr>
          <w:rFonts w:ascii="Palatino Linotype" w:eastAsia="Palatino Linotype" w:hAnsi="Palatino Linotype" w:cs="Palatino Linotype"/>
          <w:i/>
          <w:sz w:val="22"/>
          <w:szCs w:val="22"/>
        </w:rPr>
      </w:pPr>
      <w:r w:rsidRPr="0068787C">
        <w:rPr>
          <w:rFonts w:ascii="Palatino Linotype" w:eastAsia="Palatino Linotype" w:hAnsi="Palatino Linotype" w:cs="Palatino Linotype"/>
          <w:i/>
          <w:sz w:val="22"/>
          <w:szCs w:val="22"/>
        </w:rPr>
        <w:t xml:space="preserve">I. </w:t>
      </w:r>
      <w:r w:rsidRPr="0068787C">
        <w:rPr>
          <w:rFonts w:ascii="Palatino Linotype" w:eastAsia="Palatino Linotype" w:hAnsi="Palatino Linotype" w:cs="Palatino Linotype"/>
          <w:b/>
          <w:i/>
          <w:sz w:val="22"/>
          <w:szCs w:val="22"/>
          <w:u w:val="single"/>
        </w:rPr>
        <w:t>Autorizar el otorgamiento de permisos, refrendos y licencias de funcionamiento, que se relacionen con actividades comerciales</w:t>
      </w:r>
      <w:r w:rsidRPr="0068787C">
        <w:rPr>
          <w:rFonts w:ascii="Palatino Linotype" w:eastAsia="Palatino Linotype" w:hAnsi="Palatino Linotype" w:cs="Palatino Linotype"/>
          <w:i/>
          <w:sz w:val="22"/>
          <w:szCs w:val="22"/>
        </w:rPr>
        <w:t>, de espectáculos, turísticas, artesanales, industriales y de prestación de servicios, conforme a las normas jurídicas respectivas;</w:t>
      </w:r>
      <w:r w:rsidR="00CD5D71" w:rsidRPr="0068787C">
        <w:rPr>
          <w:rFonts w:ascii="Palatino Linotype" w:eastAsia="Palatino Linotype" w:hAnsi="Palatino Linotype" w:cs="Palatino Linotype"/>
          <w:i/>
          <w:sz w:val="22"/>
          <w:szCs w:val="22"/>
        </w:rPr>
        <w:t>” (Énfasis añadido)</w:t>
      </w:r>
    </w:p>
    <w:p w14:paraId="748376CF" w14:textId="77777777" w:rsidR="00CD5D71" w:rsidRPr="0068787C" w:rsidRDefault="00CD5D71" w:rsidP="00FD5A73">
      <w:pPr>
        <w:spacing w:before="240" w:after="240" w:line="360" w:lineRule="auto"/>
        <w:ind w:right="49"/>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 xml:space="preserve">De los preceptos previamente citados, se advierte que la Dirección de Desarrollo Económico, Turístico y Artesanal es la unidad administrativa encargada de regular la actividad comercial, para ello otorgará permisos, refrendos y licencias de funcionamiento relacionados con actividades comerciales, por consiguiente se determina que si se turnó el requerimiento de información a la unidad administrativa competente y esta se pronunció </w:t>
      </w:r>
      <w:r w:rsidRPr="0068787C">
        <w:rPr>
          <w:rFonts w:ascii="Palatino Linotype" w:eastAsia="Palatino Linotype" w:hAnsi="Palatino Linotype" w:cs="Palatino Linotype"/>
          <w:sz w:val="22"/>
          <w:szCs w:val="22"/>
        </w:rPr>
        <w:lastRenderedPageBreak/>
        <w:t xml:space="preserve">desde la respuesta, es dable afirmar que en el presente asunto obra un pronunciamiento de la unidad administrativa competente, por lo que se determina que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271D9E2" w14:textId="77777777" w:rsidR="00CD5D71" w:rsidRPr="0068787C" w:rsidRDefault="00CD5D71" w:rsidP="00CD5D71">
      <w:pPr>
        <w:pBdr>
          <w:top w:val="nil"/>
          <w:left w:val="nil"/>
          <w:bottom w:val="nil"/>
          <w:right w:val="nil"/>
          <w:between w:val="nil"/>
        </w:pBdr>
        <w:ind w:left="864" w:right="864"/>
        <w:jc w:val="both"/>
      </w:pPr>
      <w:r w:rsidRPr="0068787C">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4C0A884" w14:textId="77777777" w:rsidR="00CD5D71" w:rsidRPr="0068787C" w:rsidRDefault="00CD5D71" w:rsidP="00CD5D71"/>
    <w:p w14:paraId="3E0D9BB5" w14:textId="77777777" w:rsidR="00CD5D71" w:rsidRPr="0068787C" w:rsidRDefault="00CD5D71" w:rsidP="00CD5D71">
      <w:pPr>
        <w:pBdr>
          <w:top w:val="nil"/>
          <w:left w:val="nil"/>
          <w:bottom w:val="nil"/>
          <w:right w:val="nil"/>
          <w:between w:val="nil"/>
        </w:pBdr>
        <w:shd w:val="clear" w:color="auto" w:fill="FFFFFF"/>
        <w:spacing w:line="360" w:lineRule="auto"/>
        <w:jc w:val="both"/>
        <w:rPr>
          <w:sz w:val="22"/>
          <w:szCs w:val="22"/>
        </w:rPr>
      </w:pPr>
      <w:r w:rsidRPr="0068787C">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B1B3ABC" w14:textId="77777777" w:rsidR="00CD5D71" w:rsidRPr="0068787C" w:rsidRDefault="00CD5D71" w:rsidP="00CD5D71"/>
    <w:p w14:paraId="4EA8F8D1" w14:textId="77777777" w:rsidR="00CD5D71" w:rsidRPr="0068787C" w:rsidRDefault="00CD5D71" w:rsidP="00CD5D71">
      <w:pPr>
        <w:pBdr>
          <w:top w:val="nil"/>
          <w:left w:val="nil"/>
          <w:bottom w:val="nil"/>
          <w:right w:val="nil"/>
          <w:between w:val="nil"/>
        </w:pBdr>
        <w:ind w:left="864" w:right="864"/>
        <w:jc w:val="both"/>
      </w:pPr>
      <w:r w:rsidRPr="0068787C">
        <w:rPr>
          <w:rFonts w:ascii="Palatino Linotype" w:eastAsia="Palatino Linotype" w:hAnsi="Palatino Linotype" w:cs="Palatino Linotype"/>
          <w:i/>
          <w:sz w:val="22"/>
          <w:szCs w:val="22"/>
        </w:rPr>
        <w:t xml:space="preserve">“Artículo 162. Las unidades de transparencia deberán garantizar que las solicitudes </w:t>
      </w:r>
      <w:r w:rsidRPr="0068787C">
        <w:rPr>
          <w:rFonts w:ascii="Palatino Linotype" w:eastAsia="Palatino Linotype" w:hAnsi="Palatino Linotype" w:cs="Palatino Linotype"/>
          <w:b/>
          <w:i/>
          <w:sz w:val="22"/>
          <w:szCs w:val="22"/>
        </w:rPr>
        <w:t xml:space="preserve">se turnen a todas las Áreas competentes </w:t>
      </w:r>
      <w:r w:rsidRPr="0068787C">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35E3E72" w14:textId="77777777" w:rsidR="00FD5A73" w:rsidRPr="0068787C" w:rsidRDefault="00FD5A73" w:rsidP="00FD5A73">
      <w:pPr>
        <w:pStyle w:val="NormalWeb"/>
        <w:spacing w:before="240" w:beforeAutospacing="0" w:after="240" w:afterAutospacing="0" w:line="360" w:lineRule="auto"/>
        <w:jc w:val="both"/>
      </w:pPr>
      <w:r w:rsidRPr="0068787C">
        <w:rPr>
          <w:rFonts w:ascii="Palatino Linotype" w:eastAsia="Palatino Linotype" w:hAnsi="Palatino Linotype" w:cs="Palatino Linotype"/>
          <w:sz w:val="22"/>
          <w:szCs w:val="22"/>
        </w:rPr>
        <w:t xml:space="preserve">Por todo lo expuesto en este punto, se determina que si este Organismo Garante no localizó fuente obligacional que indique que 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xml:space="preserve"> desahoga dicho trámite y que obra un pronunciamiento en sentido negativo, de parte de la Dirección de Desarrollo Económico, Turístico y Artesanal, que es la unidad administrativa encargada de regular la actividad comercial dentro de la demarcación municipal, en lo concerniente a este punto nos encontramos ante </w:t>
      </w:r>
      <w:r w:rsidRPr="0068787C">
        <w:rPr>
          <w:rFonts w:ascii="Palatino Linotype" w:hAnsi="Palatino Linotype"/>
          <w:sz w:val="22"/>
          <w:szCs w:val="22"/>
        </w:rPr>
        <w:t xml:space="preserve">un hecho negativo; entonces, si se considera el hecho negativo, es obvio que éste no puede fácticamente obrar en los archivos del </w:t>
      </w:r>
      <w:r w:rsidRPr="0068787C">
        <w:rPr>
          <w:rFonts w:ascii="Palatino Linotype" w:hAnsi="Palatino Linotype"/>
          <w:b/>
          <w:bCs/>
          <w:sz w:val="22"/>
          <w:szCs w:val="22"/>
        </w:rPr>
        <w:t>Sujeto Obligado</w:t>
      </w:r>
      <w:r w:rsidRPr="0068787C">
        <w:rPr>
          <w:rFonts w:ascii="Palatino Linotype" w:hAnsi="Palatino Linotype"/>
          <w:sz w:val="22"/>
          <w:szCs w:val="22"/>
        </w:rPr>
        <w:t>, ya que no puede probarse por ser lógica y materialmente imposible.</w:t>
      </w:r>
    </w:p>
    <w:p w14:paraId="118E710F" w14:textId="77777777" w:rsidR="00FD5A73" w:rsidRPr="0068787C" w:rsidRDefault="00FD5A73" w:rsidP="00FD5A73">
      <w:pPr>
        <w:pStyle w:val="NormalWeb"/>
        <w:spacing w:before="240" w:beforeAutospacing="0" w:after="240" w:afterAutospacing="0" w:line="360" w:lineRule="auto"/>
        <w:jc w:val="both"/>
      </w:pPr>
      <w:r w:rsidRPr="0068787C">
        <w:rPr>
          <w:rFonts w:ascii="Palatino Linotype" w:hAnsi="Palatino Linotype"/>
          <w:sz w:val="22"/>
          <w:szCs w:val="22"/>
        </w:rPr>
        <w:lastRenderedPageBreak/>
        <w:t>Asimismo, no se trata de un caso por el cual la negación del hecho implique la afirmación del mismo, simplemente se está ante una notoria y evidente inexistencia fáctica de la información solicitada.</w:t>
      </w:r>
    </w:p>
    <w:p w14:paraId="20941788" w14:textId="77777777" w:rsidR="00FD5A73" w:rsidRPr="0068787C" w:rsidRDefault="00FD5A73" w:rsidP="00FD5A73">
      <w:pPr>
        <w:pStyle w:val="NormalWeb"/>
        <w:spacing w:before="240" w:beforeAutospacing="0" w:after="240" w:afterAutospacing="0" w:line="360" w:lineRule="auto"/>
        <w:jc w:val="both"/>
      </w:pPr>
      <w:r w:rsidRPr="0068787C">
        <w:rPr>
          <w:rFonts w:ascii="Palatino Linotype" w:hAnsi="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C577008" w14:textId="77777777" w:rsidR="00FD5A73" w:rsidRPr="0068787C" w:rsidRDefault="00DF1EC8" w:rsidP="00FD5A73">
      <w:pPr>
        <w:pStyle w:val="NormalWeb"/>
        <w:spacing w:before="0" w:beforeAutospacing="0" w:after="0" w:afterAutospacing="0"/>
        <w:ind w:left="860" w:right="560"/>
        <w:jc w:val="both"/>
      </w:pPr>
      <w:r w:rsidRPr="0068787C">
        <w:rPr>
          <w:rFonts w:ascii="Palatino Linotype" w:hAnsi="Palatino Linotype"/>
          <w:b/>
          <w:bCs/>
          <w:i/>
          <w:iCs/>
          <w:sz w:val="22"/>
          <w:szCs w:val="22"/>
        </w:rPr>
        <w:t>“</w:t>
      </w:r>
      <w:r w:rsidR="00FD5A73" w:rsidRPr="0068787C">
        <w:rPr>
          <w:rFonts w:ascii="Palatino Linotype" w:hAnsi="Palatino Linotype"/>
          <w:b/>
          <w:bCs/>
          <w:i/>
          <w:iCs/>
          <w:sz w:val="22"/>
          <w:szCs w:val="22"/>
        </w:rPr>
        <w:t>HECHOS NEGATIVOS, NO SON SUSCEPTIBLES DE DEMOSTRACIÓN.</w:t>
      </w:r>
    </w:p>
    <w:p w14:paraId="7171C283" w14:textId="77777777" w:rsidR="00FD5A73" w:rsidRPr="0068787C" w:rsidRDefault="00FD5A73" w:rsidP="00FD5A73">
      <w:pPr>
        <w:pStyle w:val="NormalWeb"/>
        <w:spacing w:before="0" w:beforeAutospacing="0" w:after="0" w:afterAutospacing="0"/>
        <w:ind w:left="860" w:right="560"/>
        <w:jc w:val="both"/>
      </w:pPr>
      <w:r w:rsidRPr="0068787C">
        <w:rPr>
          <w:rFonts w:ascii="Palatino Linotype" w:hAnsi="Palatino Linotype"/>
          <w:i/>
          <w:iCs/>
          <w:sz w:val="22"/>
          <w:szCs w:val="22"/>
        </w:rPr>
        <w:t xml:space="preserve">Tratándose de un hecho negativo, el Juez no tiene </w:t>
      </w:r>
      <w:proofErr w:type="spellStart"/>
      <w:r w:rsidRPr="0068787C">
        <w:rPr>
          <w:rFonts w:ascii="Palatino Linotype" w:hAnsi="Palatino Linotype"/>
          <w:i/>
          <w:iCs/>
          <w:sz w:val="22"/>
          <w:szCs w:val="22"/>
        </w:rPr>
        <w:t>por que</w:t>
      </w:r>
      <w:proofErr w:type="spellEnd"/>
      <w:r w:rsidRPr="0068787C">
        <w:rPr>
          <w:rFonts w:ascii="Palatino Linotype" w:hAnsi="Palatino Linotype"/>
          <w:i/>
          <w:iCs/>
          <w:sz w:val="22"/>
          <w:szCs w:val="22"/>
        </w:rPr>
        <w:t xml:space="preserve"> invocar prueba alguna de la que se desprenda, ya que es bien sabido que esta clase de hechos no son susceptibles de demostración.</w:t>
      </w:r>
    </w:p>
    <w:p w14:paraId="3440131A" w14:textId="77777777" w:rsidR="00FD5A73" w:rsidRPr="0068787C" w:rsidRDefault="00FD5A73" w:rsidP="00FD5A73">
      <w:pPr>
        <w:pStyle w:val="NormalWeb"/>
        <w:spacing w:before="0" w:beforeAutospacing="0" w:after="0" w:afterAutospacing="0"/>
        <w:ind w:left="860" w:right="560"/>
        <w:jc w:val="both"/>
      </w:pPr>
      <w:r w:rsidRPr="0068787C">
        <w:rPr>
          <w:rFonts w:ascii="Palatino Linotype" w:hAnsi="Palatino Linotype"/>
          <w:i/>
          <w:iCs/>
          <w:sz w:val="22"/>
          <w:szCs w:val="22"/>
        </w:rPr>
        <w:t>Amparo en revisión 2022/61. José García Florín (Menor). 9 de octubre de 1961. Cinco votos. Ponente: José Rivera Pérez Campos.”</w:t>
      </w:r>
    </w:p>
    <w:p w14:paraId="2C8A760A" w14:textId="74D9CB4E" w:rsidR="00EF7C21" w:rsidRPr="0068787C" w:rsidRDefault="00FD5A73" w:rsidP="00EF7C21">
      <w:pPr>
        <w:pStyle w:val="NormalWeb"/>
        <w:spacing w:before="240" w:beforeAutospacing="0" w:after="240" w:afterAutospacing="0" w:line="360" w:lineRule="auto"/>
        <w:jc w:val="both"/>
        <w:rPr>
          <w:rFonts w:ascii="Palatino Linotype" w:hAnsi="Palatino Linotype"/>
          <w:sz w:val="22"/>
          <w:szCs w:val="22"/>
        </w:rPr>
      </w:pPr>
      <w:r w:rsidRPr="0068787C">
        <w:rPr>
          <w:rFonts w:ascii="Palatino Linotype" w:hAnsi="Palatino Linotype"/>
          <w:sz w:val="22"/>
          <w:szCs w:val="22"/>
        </w:rPr>
        <w:t xml:space="preserve">Además, y de conformidad con lo establecido en el artículo 12 de la Ley de Transparencia y Acceso a la Información Pública del Estado de México y Municipios, anteriormente invocado el </w:t>
      </w:r>
      <w:r w:rsidRPr="0068787C">
        <w:rPr>
          <w:rFonts w:ascii="Palatino Linotype" w:hAnsi="Palatino Linotype"/>
          <w:b/>
          <w:bCs/>
          <w:sz w:val="22"/>
          <w:szCs w:val="22"/>
        </w:rPr>
        <w:t>Sujeto Obligado</w:t>
      </w:r>
      <w:r w:rsidRPr="0068787C">
        <w:rPr>
          <w:rFonts w:ascii="Palatino Linotype" w:hAnsi="Palatino Linotype"/>
          <w:sz w:val="22"/>
          <w:szCs w:val="22"/>
        </w:rPr>
        <w:t xml:space="preserve"> sólo proporcionará la información que obra en sus archivos, lo que a</w:t>
      </w:r>
      <w:r w:rsidRPr="0068787C">
        <w:rPr>
          <w:rFonts w:ascii="Palatino Linotype" w:hAnsi="Palatino Linotype"/>
          <w:i/>
          <w:iCs/>
          <w:sz w:val="22"/>
          <w:szCs w:val="22"/>
        </w:rPr>
        <w:t xml:space="preserve"> contrario sensu</w:t>
      </w:r>
      <w:r w:rsidRPr="0068787C">
        <w:rPr>
          <w:rFonts w:ascii="Palatino Linotype" w:hAnsi="Palatino Linotype"/>
          <w:sz w:val="22"/>
          <w:szCs w:val="22"/>
        </w:rPr>
        <w:t xml:space="preserve"> significa que no se está obligado a proporcionar lo que no obre en sus archivos; por ende, </w:t>
      </w:r>
      <w:r w:rsidR="00DF1EC8" w:rsidRPr="0068787C">
        <w:rPr>
          <w:rFonts w:ascii="Palatino Linotype" w:hAnsi="Palatino Linotype"/>
          <w:sz w:val="22"/>
          <w:szCs w:val="22"/>
        </w:rPr>
        <w:t>este punto de la solicitud no es posible atende</w:t>
      </w:r>
      <w:bookmarkStart w:id="8" w:name="_heading=h.ijv98pntcd5s" w:colFirst="0" w:colLast="0"/>
      <w:bookmarkEnd w:id="8"/>
      <w:r w:rsidR="00EF7C21" w:rsidRPr="0068787C">
        <w:rPr>
          <w:rFonts w:ascii="Palatino Linotype" w:hAnsi="Palatino Linotype"/>
          <w:sz w:val="22"/>
          <w:szCs w:val="22"/>
        </w:rPr>
        <w:t>rlo y las razones o motivos de inconformidad al respecto devienen infundados.</w:t>
      </w:r>
    </w:p>
    <w:p w14:paraId="5A64CB71" w14:textId="77777777" w:rsidR="00021793" w:rsidRPr="0068787C"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2597754" w14:textId="77777777" w:rsidR="00EF7C21" w:rsidRPr="0068787C" w:rsidRDefault="00EF7C2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67DD90E1" w14:textId="77777777" w:rsidR="00021793" w:rsidRPr="0068787C" w:rsidRDefault="00122CAC">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68787C">
        <w:rPr>
          <w:rFonts w:ascii="Palatino Linotype" w:eastAsia="Palatino Linotype" w:hAnsi="Palatino Linotype" w:cs="Palatino Linotype"/>
          <w:b/>
        </w:rPr>
        <w:lastRenderedPageBreak/>
        <w:t>III. R E S U E L V E</w:t>
      </w:r>
    </w:p>
    <w:p w14:paraId="1E245037" w14:textId="74037667" w:rsidR="00EF7C21" w:rsidRPr="0068787C" w:rsidRDefault="00EF7C21" w:rsidP="00EF7C21">
      <w:pPr>
        <w:spacing w:line="360" w:lineRule="auto"/>
        <w:jc w:val="both"/>
        <w:rPr>
          <w:sz w:val="22"/>
          <w:szCs w:val="22"/>
        </w:rPr>
      </w:pPr>
      <w:bookmarkStart w:id="9" w:name="_heading=h.26in1rg" w:colFirst="0" w:colLast="0"/>
      <w:bookmarkEnd w:id="9"/>
      <w:r w:rsidRPr="0068787C">
        <w:rPr>
          <w:rFonts w:ascii="Palatino Linotype" w:eastAsia="Palatino Linotype" w:hAnsi="Palatino Linotype" w:cs="Palatino Linotype"/>
          <w:b/>
          <w:sz w:val="22"/>
          <w:szCs w:val="22"/>
        </w:rPr>
        <w:t>Primero.</w:t>
      </w:r>
      <w:r w:rsidRPr="0068787C">
        <w:rPr>
          <w:rFonts w:ascii="Palatino Linotype" w:eastAsia="Palatino Linotype" w:hAnsi="Palatino Linotype" w:cs="Palatino Linotype"/>
          <w:sz w:val="22"/>
          <w:szCs w:val="22"/>
        </w:rPr>
        <w:t xml:space="preserve"> Resultan </w:t>
      </w:r>
      <w:r w:rsidRPr="0068787C">
        <w:rPr>
          <w:rFonts w:ascii="Palatino Linotype" w:eastAsia="Palatino Linotype" w:hAnsi="Palatino Linotype" w:cs="Palatino Linotype"/>
          <w:b/>
          <w:sz w:val="22"/>
          <w:szCs w:val="22"/>
        </w:rPr>
        <w:t>infundados</w:t>
      </w:r>
      <w:r w:rsidRPr="0068787C">
        <w:rPr>
          <w:rFonts w:ascii="Palatino Linotype" w:eastAsia="Palatino Linotype" w:hAnsi="Palatino Linotype" w:cs="Palatino Linotype"/>
          <w:sz w:val="22"/>
          <w:szCs w:val="22"/>
        </w:rPr>
        <w:t xml:space="preserve"> los motivos de inconformidad aducidos por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en el recurso de revisión </w:t>
      </w:r>
      <w:r w:rsidRPr="0068787C">
        <w:rPr>
          <w:rFonts w:ascii="Palatino Linotype" w:eastAsia="Palatino Linotype" w:hAnsi="Palatino Linotype" w:cs="Palatino Linotype"/>
          <w:b/>
          <w:sz w:val="22"/>
          <w:szCs w:val="22"/>
        </w:rPr>
        <w:t>00749/INFOEM/IP/RR/2025</w:t>
      </w:r>
      <w:r w:rsidRPr="0068787C">
        <w:rPr>
          <w:rFonts w:ascii="Palatino Linotype" w:eastAsia="Palatino Linotype" w:hAnsi="Palatino Linotype" w:cs="Palatino Linotype"/>
          <w:sz w:val="22"/>
          <w:szCs w:val="22"/>
        </w:rPr>
        <w:t xml:space="preserve">; por lo que, en términos de los argumentos señalados en el </w:t>
      </w:r>
      <w:r w:rsidRPr="0068787C">
        <w:rPr>
          <w:rFonts w:ascii="Palatino Linotype" w:eastAsia="Palatino Linotype" w:hAnsi="Palatino Linotype" w:cs="Palatino Linotype"/>
          <w:b/>
          <w:sz w:val="22"/>
          <w:szCs w:val="22"/>
        </w:rPr>
        <w:t>Considerando Cuarto</w:t>
      </w:r>
      <w:r w:rsidRPr="0068787C">
        <w:rPr>
          <w:rFonts w:ascii="Palatino Linotype" w:eastAsia="Palatino Linotype" w:hAnsi="Palatino Linotype" w:cs="Palatino Linotype"/>
          <w:sz w:val="22"/>
          <w:szCs w:val="22"/>
        </w:rPr>
        <w:t xml:space="preserve">, se </w:t>
      </w:r>
      <w:r w:rsidRPr="0068787C">
        <w:rPr>
          <w:rFonts w:ascii="Palatino Linotype" w:eastAsia="Palatino Linotype" w:hAnsi="Palatino Linotype" w:cs="Palatino Linotype"/>
          <w:b/>
          <w:sz w:val="22"/>
          <w:szCs w:val="22"/>
        </w:rPr>
        <w:t>CONFIRMA</w:t>
      </w:r>
      <w:r w:rsidRPr="0068787C">
        <w:rPr>
          <w:rFonts w:ascii="Palatino Linotype" w:eastAsia="Palatino Linotype" w:hAnsi="Palatino Linotype" w:cs="Palatino Linotype"/>
          <w:sz w:val="22"/>
          <w:szCs w:val="22"/>
        </w:rPr>
        <w:t xml:space="preserve"> la respuesta emitida por el </w:t>
      </w:r>
      <w:r w:rsidRPr="0068787C">
        <w:rPr>
          <w:rFonts w:ascii="Palatino Linotype" w:eastAsia="Palatino Linotype" w:hAnsi="Palatino Linotype" w:cs="Palatino Linotype"/>
          <w:b/>
          <w:sz w:val="22"/>
          <w:szCs w:val="22"/>
        </w:rPr>
        <w:t>Sujeto Obligado.</w:t>
      </w:r>
    </w:p>
    <w:p w14:paraId="72261B27" w14:textId="77777777" w:rsidR="00EF7C21" w:rsidRPr="0068787C" w:rsidRDefault="00EF7C21" w:rsidP="00EF7C21">
      <w:pPr>
        <w:spacing w:line="360" w:lineRule="auto"/>
        <w:rPr>
          <w:sz w:val="22"/>
          <w:szCs w:val="22"/>
        </w:rPr>
      </w:pPr>
    </w:p>
    <w:p w14:paraId="3AECAAD1" w14:textId="77777777" w:rsidR="00EF7C21" w:rsidRPr="0068787C" w:rsidRDefault="00EF7C21" w:rsidP="00EF7C21">
      <w:pPr>
        <w:spacing w:line="360" w:lineRule="auto"/>
        <w:jc w:val="both"/>
        <w:rPr>
          <w:sz w:val="22"/>
          <w:szCs w:val="22"/>
        </w:rPr>
      </w:pPr>
      <w:r w:rsidRPr="0068787C">
        <w:rPr>
          <w:rFonts w:ascii="Palatino Linotype" w:eastAsia="Palatino Linotype" w:hAnsi="Palatino Linotype" w:cs="Palatino Linotype"/>
          <w:b/>
          <w:sz w:val="22"/>
          <w:szCs w:val="22"/>
        </w:rPr>
        <w:t>Segundo</w:t>
      </w:r>
      <w:r w:rsidRPr="0068787C">
        <w:rPr>
          <w:rFonts w:ascii="Palatino Linotype" w:eastAsia="Palatino Linotype" w:hAnsi="Palatino Linotype" w:cs="Palatino Linotype"/>
          <w:sz w:val="22"/>
          <w:szCs w:val="22"/>
        </w:rPr>
        <w:t xml:space="preserve">. Notifíquese, vía </w:t>
      </w:r>
      <w:r w:rsidRPr="0068787C">
        <w:rPr>
          <w:rFonts w:ascii="Palatino Linotype" w:eastAsia="Palatino Linotype" w:hAnsi="Palatino Linotype" w:cs="Palatino Linotype"/>
          <w:b/>
          <w:sz w:val="22"/>
          <w:szCs w:val="22"/>
        </w:rPr>
        <w:t>SAIMEX</w:t>
      </w:r>
      <w:r w:rsidRPr="0068787C">
        <w:rPr>
          <w:rFonts w:ascii="Palatino Linotype" w:eastAsia="Palatino Linotype" w:hAnsi="Palatino Linotype" w:cs="Palatino Linotype"/>
          <w:sz w:val="22"/>
          <w:szCs w:val="22"/>
        </w:rPr>
        <w:t xml:space="preserve">, </w:t>
      </w:r>
      <w:proofErr w:type="gramStart"/>
      <w:r w:rsidRPr="0068787C">
        <w:rPr>
          <w:rFonts w:ascii="Palatino Linotype" w:eastAsia="Palatino Linotype" w:hAnsi="Palatino Linotype" w:cs="Palatino Linotype"/>
          <w:sz w:val="22"/>
          <w:szCs w:val="22"/>
        </w:rPr>
        <w:t>al  Titular</w:t>
      </w:r>
      <w:proofErr w:type="gramEnd"/>
      <w:r w:rsidRPr="0068787C">
        <w:rPr>
          <w:rFonts w:ascii="Palatino Linotype" w:eastAsia="Palatino Linotype" w:hAnsi="Palatino Linotype" w:cs="Palatino Linotype"/>
          <w:sz w:val="22"/>
          <w:szCs w:val="22"/>
        </w:rPr>
        <w:t xml:space="preserve">  de la Unidad de Transparencia del </w:t>
      </w:r>
      <w:r w:rsidRPr="0068787C">
        <w:rPr>
          <w:rFonts w:ascii="Palatino Linotype" w:eastAsia="Palatino Linotype" w:hAnsi="Palatino Linotype" w:cs="Palatino Linotype"/>
          <w:b/>
          <w:sz w:val="22"/>
          <w:szCs w:val="22"/>
        </w:rPr>
        <w:t>Sujeto Obligado</w:t>
      </w:r>
      <w:r w:rsidRPr="0068787C">
        <w:rPr>
          <w:rFonts w:ascii="Palatino Linotype" w:eastAsia="Palatino Linotype" w:hAnsi="Palatino Linotype" w:cs="Palatino Linotype"/>
          <w:sz w:val="22"/>
          <w:szCs w:val="22"/>
        </w:rPr>
        <w:t>, la presente resolución para su conocimiento.</w:t>
      </w:r>
    </w:p>
    <w:p w14:paraId="2461F350" w14:textId="77777777" w:rsidR="00EF7C21" w:rsidRPr="0068787C" w:rsidRDefault="00EF7C21" w:rsidP="00EF7C21">
      <w:pPr>
        <w:spacing w:line="360" w:lineRule="auto"/>
        <w:rPr>
          <w:sz w:val="22"/>
          <w:szCs w:val="22"/>
        </w:rPr>
      </w:pPr>
    </w:p>
    <w:p w14:paraId="5CC0004E" w14:textId="77777777" w:rsidR="00EF7C21" w:rsidRPr="0068787C" w:rsidRDefault="00EF7C21" w:rsidP="00EF7C21">
      <w:pPr>
        <w:spacing w:line="360" w:lineRule="auto"/>
        <w:jc w:val="both"/>
        <w:rPr>
          <w:rFonts w:ascii="Palatino Linotype" w:eastAsia="Palatino Linotype" w:hAnsi="Palatino Linotype" w:cs="Palatino Linotype"/>
          <w:sz w:val="22"/>
          <w:szCs w:val="22"/>
        </w:rPr>
      </w:pPr>
      <w:r w:rsidRPr="0068787C">
        <w:rPr>
          <w:rFonts w:ascii="Palatino Linotype" w:eastAsia="Palatino Linotype" w:hAnsi="Palatino Linotype" w:cs="Palatino Linotype"/>
          <w:b/>
          <w:sz w:val="22"/>
          <w:szCs w:val="22"/>
        </w:rPr>
        <w:t xml:space="preserve">Tercero.  Notifíquese, </w:t>
      </w:r>
      <w:r w:rsidRPr="0068787C">
        <w:rPr>
          <w:rFonts w:ascii="Palatino Linotype" w:eastAsia="Palatino Linotype" w:hAnsi="Palatino Linotype" w:cs="Palatino Linotype"/>
          <w:sz w:val="22"/>
          <w:szCs w:val="22"/>
        </w:rPr>
        <w:t xml:space="preserve">a </w:t>
      </w:r>
      <w:r w:rsidRPr="0068787C">
        <w:rPr>
          <w:rFonts w:ascii="Palatino Linotype" w:eastAsia="Palatino Linotype" w:hAnsi="Palatino Linotype" w:cs="Palatino Linotype"/>
          <w:b/>
          <w:sz w:val="22"/>
          <w:szCs w:val="22"/>
        </w:rPr>
        <w:t>la parte</w:t>
      </w:r>
      <w:r w:rsidRPr="0068787C">
        <w:rPr>
          <w:rFonts w:ascii="Palatino Linotype" w:eastAsia="Palatino Linotype" w:hAnsi="Palatino Linotype" w:cs="Palatino Linotype"/>
          <w:sz w:val="22"/>
          <w:szCs w:val="22"/>
        </w:rPr>
        <w:t xml:space="preserve"> </w:t>
      </w:r>
      <w:r w:rsidRPr="0068787C">
        <w:rPr>
          <w:rFonts w:ascii="Palatino Linotype" w:eastAsia="Palatino Linotype" w:hAnsi="Palatino Linotype" w:cs="Palatino Linotype"/>
          <w:b/>
          <w:sz w:val="22"/>
          <w:szCs w:val="22"/>
        </w:rPr>
        <w:t>Recurrente</w:t>
      </w:r>
      <w:r w:rsidRPr="0068787C">
        <w:rPr>
          <w:rFonts w:ascii="Palatino Linotype" w:eastAsia="Palatino Linotype" w:hAnsi="Palatino Linotype" w:cs="Palatino Linotype"/>
          <w:sz w:val="22"/>
          <w:szCs w:val="22"/>
        </w:rPr>
        <w:t xml:space="preserve"> la presente resolución vía </w:t>
      </w:r>
      <w:r w:rsidRPr="0068787C">
        <w:rPr>
          <w:rFonts w:ascii="Palatino Linotype" w:eastAsia="Palatino Linotype" w:hAnsi="Palatino Linotype" w:cs="Palatino Linotype"/>
          <w:b/>
          <w:sz w:val="22"/>
          <w:szCs w:val="22"/>
        </w:rPr>
        <w:t>SAIMEX</w:t>
      </w:r>
      <w:r w:rsidRPr="0068787C">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616A7D9F" w14:textId="2990D58B" w:rsidR="00021793" w:rsidRPr="001F24D0" w:rsidRDefault="00122CAC">
      <w:pPr>
        <w:spacing w:before="240" w:after="240" w:line="360" w:lineRule="auto"/>
        <w:jc w:val="both"/>
        <w:rPr>
          <w:rFonts w:ascii="Palatino Linotype" w:eastAsia="Palatino Linotype" w:hAnsi="Palatino Linotype" w:cs="Palatino Linotype"/>
        </w:rPr>
      </w:pPr>
      <w:r w:rsidRPr="0068787C">
        <w:rPr>
          <w:rFonts w:ascii="Palatino Linotype" w:eastAsia="Palatino Linotype" w:hAnsi="Palatino Linotype" w:cs="Palatino Linotype"/>
        </w:rPr>
        <w:t xml:space="preserve">ASÍ LO </w:t>
      </w:r>
      <w:r w:rsidR="001F24D0" w:rsidRPr="0068787C">
        <w:rPr>
          <w:rFonts w:ascii="Palatino Linotype" w:eastAsia="Palatino Linotype" w:hAnsi="Palatino Linotype" w:cs="Palatino Linotype"/>
        </w:rPr>
        <w:t>RESUELVE</w:t>
      </w:r>
      <w:r w:rsidRPr="0068787C">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073BA" w:rsidRPr="0068787C">
        <w:rPr>
          <w:rFonts w:ascii="Palatino Linotype" w:eastAsia="Palatino Linotype" w:hAnsi="Palatino Linotype" w:cs="Palatino Linotype"/>
        </w:rPr>
        <w:t>OCTAVA</w:t>
      </w:r>
      <w:r w:rsidRPr="0068787C">
        <w:rPr>
          <w:rFonts w:ascii="Palatino Linotype" w:eastAsia="Palatino Linotype" w:hAnsi="Palatino Linotype" w:cs="Palatino Linotype"/>
        </w:rPr>
        <w:t xml:space="preserve"> SESIÓN ORDINARIA CELEBRADA EL </w:t>
      </w:r>
      <w:r w:rsidR="008073BA" w:rsidRPr="0068787C">
        <w:rPr>
          <w:rFonts w:ascii="Palatino Linotype" w:eastAsia="Palatino Linotype" w:hAnsi="Palatino Linotype" w:cs="Palatino Linotype"/>
        </w:rPr>
        <w:t>SEIS DE MARZ</w:t>
      </w:r>
      <w:r w:rsidRPr="0068787C">
        <w:rPr>
          <w:rFonts w:ascii="Palatino Linotype" w:eastAsia="Palatino Linotype" w:hAnsi="Palatino Linotype" w:cs="Palatino Linotype"/>
        </w:rPr>
        <w:t>O DE DOS MIL VEINTICINCO, ANTE EL SECRETARIO TÉCNICO DEL PLENO ALEXIS TAPIA RAMÍREZ.</w:t>
      </w:r>
    </w:p>
    <w:p w14:paraId="4D622656" w14:textId="77777777" w:rsidR="00021793" w:rsidRPr="001F24D0" w:rsidRDefault="00021793">
      <w:pPr>
        <w:spacing w:line="360" w:lineRule="auto"/>
        <w:ind w:right="141"/>
        <w:jc w:val="both"/>
        <w:rPr>
          <w:rFonts w:ascii="Palatino Linotype" w:eastAsia="Palatino Linotype" w:hAnsi="Palatino Linotype" w:cs="Palatino Linotype"/>
          <w:sz w:val="22"/>
          <w:szCs w:val="22"/>
        </w:rPr>
      </w:pPr>
    </w:p>
    <w:p w14:paraId="49658875" w14:textId="77777777" w:rsidR="00021793" w:rsidRPr="001F24D0" w:rsidRDefault="00021793">
      <w:pPr>
        <w:spacing w:line="360" w:lineRule="auto"/>
        <w:ind w:right="141"/>
        <w:jc w:val="both"/>
        <w:rPr>
          <w:rFonts w:ascii="Palatino Linotype" w:eastAsia="Palatino Linotype" w:hAnsi="Palatino Linotype" w:cs="Palatino Linotype"/>
          <w:sz w:val="22"/>
          <w:szCs w:val="22"/>
        </w:rPr>
      </w:pPr>
    </w:p>
    <w:p w14:paraId="5730DAD3" w14:textId="77777777" w:rsidR="00021793" w:rsidRPr="001F24D0" w:rsidRDefault="00021793">
      <w:pPr>
        <w:spacing w:line="360" w:lineRule="auto"/>
        <w:ind w:right="141"/>
        <w:jc w:val="both"/>
        <w:rPr>
          <w:rFonts w:ascii="Palatino Linotype" w:eastAsia="Palatino Linotype" w:hAnsi="Palatino Linotype" w:cs="Palatino Linotype"/>
          <w:sz w:val="22"/>
          <w:szCs w:val="22"/>
        </w:rPr>
      </w:pPr>
    </w:p>
    <w:p w14:paraId="0847C731" w14:textId="77777777" w:rsidR="00021793" w:rsidRPr="001F24D0"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44B163EA" w14:textId="77777777" w:rsidR="00021793" w:rsidRPr="001F24D0"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6452DBED" w14:textId="77777777" w:rsidR="00021793" w:rsidRPr="001F24D0" w:rsidRDefault="00021793">
      <w:pPr>
        <w:spacing w:before="240" w:after="240" w:line="360" w:lineRule="auto"/>
        <w:jc w:val="both"/>
        <w:rPr>
          <w:rFonts w:ascii="Palatino Linotype" w:eastAsia="Palatino Linotype" w:hAnsi="Palatino Linotype" w:cs="Palatino Linotype"/>
          <w:sz w:val="22"/>
          <w:szCs w:val="22"/>
        </w:rPr>
      </w:pPr>
    </w:p>
    <w:p w14:paraId="59CBFDB8" w14:textId="77777777" w:rsidR="00021793" w:rsidRPr="001F24D0" w:rsidRDefault="00021793">
      <w:pPr>
        <w:spacing w:before="240" w:after="240" w:line="360" w:lineRule="auto"/>
        <w:jc w:val="both"/>
        <w:rPr>
          <w:rFonts w:ascii="Palatino Linotype" w:eastAsia="Palatino Linotype" w:hAnsi="Palatino Linotype" w:cs="Palatino Linotype"/>
          <w:b/>
        </w:rPr>
      </w:pPr>
    </w:p>
    <w:p w14:paraId="01D167E5" w14:textId="77777777" w:rsidR="00021793" w:rsidRPr="001F24D0" w:rsidRDefault="00021793">
      <w:pPr>
        <w:spacing w:before="240" w:after="240" w:line="360" w:lineRule="auto"/>
        <w:jc w:val="both"/>
        <w:rPr>
          <w:rFonts w:ascii="Palatino Linotype" w:eastAsia="Palatino Linotype" w:hAnsi="Palatino Linotype" w:cs="Palatino Linotype"/>
          <w:b/>
        </w:rPr>
      </w:pPr>
    </w:p>
    <w:p w14:paraId="598B6CD2" w14:textId="77777777" w:rsidR="00021793" w:rsidRPr="001F24D0" w:rsidRDefault="00021793">
      <w:pPr>
        <w:spacing w:before="240" w:after="240" w:line="360" w:lineRule="auto"/>
        <w:jc w:val="both"/>
        <w:rPr>
          <w:rFonts w:ascii="Palatino Linotype" w:eastAsia="Palatino Linotype" w:hAnsi="Palatino Linotype" w:cs="Palatino Linotype"/>
          <w:b/>
        </w:rPr>
      </w:pPr>
    </w:p>
    <w:p w14:paraId="54DA89B5" w14:textId="77777777" w:rsidR="00021793" w:rsidRPr="001F24D0" w:rsidRDefault="00021793">
      <w:pPr>
        <w:spacing w:line="360" w:lineRule="auto"/>
        <w:jc w:val="both"/>
        <w:rPr>
          <w:rFonts w:ascii="Palatino Linotype" w:eastAsia="Palatino Linotype" w:hAnsi="Palatino Linotype" w:cs="Palatino Linotype"/>
        </w:rPr>
      </w:pPr>
    </w:p>
    <w:p w14:paraId="5EE1D84B" w14:textId="77777777" w:rsidR="00021793" w:rsidRPr="001F24D0" w:rsidRDefault="00021793">
      <w:pPr>
        <w:spacing w:line="360" w:lineRule="auto"/>
        <w:jc w:val="both"/>
        <w:rPr>
          <w:rFonts w:ascii="Palatino Linotype" w:eastAsia="Palatino Linotype" w:hAnsi="Palatino Linotype" w:cs="Palatino Linotype"/>
        </w:rPr>
      </w:pPr>
    </w:p>
    <w:p w14:paraId="19339289" w14:textId="77777777" w:rsidR="00021793" w:rsidRPr="001F24D0" w:rsidRDefault="00021793">
      <w:pPr>
        <w:spacing w:line="360" w:lineRule="auto"/>
        <w:jc w:val="both"/>
        <w:rPr>
          <w:rFonts w:ascii="Palatino Linotype" w:eastAsia="Palatino Linotype" w:hAnsi="Palatino Linotype" w:cs="Palatino Linotype"/>
        </w:rPr>
      </w:pPr>
    </w:p>
    <w:p w14:paraId="6A894AB6" w14:textId="77777777" w:rsidR="00021793" w:rsidRPr="001F24D0" w:rsidRDefault="00021793">
      <w:pPr>
        <w:spacing w:line="360" w:lineRule="auto"/>
        <w:jc w:val="both"/>
        <w:rPr>
          <w:rFonts w:ascii="Palatino Linotype" w:eastAsia="Palatino Linotype" w:hAnsi="Palatino Linotype" w:cs="Palatino Linotype"/>
        </w:rPr>
      </w:pPr>
    </w:p>
    <w:p w14:paraId="30042A1E" w14:textId="77777777" w:rsidR="00021793" w:rsidRPr="001F24D0" w:rsidRDefault="00021793">
      <w:pPr>
        <w:spacing w:line="360" w:lineRule="auto"/>
        <w:jc w:val="both"/>
        <w:rPr>
          <w:rFonts w:ascii="Palatino Linotype" w:eastAsia="Palatino Linotype" w:hAnsi="Palatino Linotype" w:cs="Palatino Linotype"/>
        </w:rPr>
      </w:pPr>
    </w:p>
    <w:p w14:paraId="2AD0A05C" w14:textId="77777777" w:rsidR="00021793" w:rsidRPr="001F24D0" w:rsidRDefault="00021793">
      <w:pPr>
        <w:spacing w:line="360" w:lineRule="auto"/>
        <w:jc w:val="both"/>
        <w:rPr>
          <w:rFonts w:ascii="Palatino Linotype" w:eastAsia="Palatino Linotype" w:hAnsi="Palatino Linotype" w:cs="Palatino Linotype"/>
        </w:rPr>
      </w:pPr>
    </w:p>
    <w:p w14:paraId="20A4ACA3" w14:textId="77777777" w:rsidR="00021793" w:rsidRPr="001F24D0" w:rsidRDefault="00021793">
      <w:pPr>
        <w:spacing w:line="360" w:lineRule="auto"/>
        <w:jc w:val="both"/>
        <w:rPr>
          <w:rFonts w:ascii="Palatino Linotype" w:eastAsia="Palatino Linotype" w:hAnsi="Palatino Linotype" w:cs="Palatino Linotype"/>
        </w:rPr>
      </w:pPr>
    </w:p>
    <w:p w14:paraId="687F9A11" w14:textId="77777777" w:rsidR="00021793" w:rsidRPr="001F24D0" w:rsidRDefault="00021793">
      <w:pPr>
        <w:spacing w:line="360" w:lineRule="auto"/>
        <w:jc w:val="both"/>
        <w:rPr>
          <w:rFonts w:ascii="Palatino Linotype" w:eastAsia="Palatino Linotype" w:hAnsi="Palatino Linotype" w:cs="Palatino Linotype"/>
        </w:rPr>
      </w:pPr>
    </w:p>
    <w:p w14:paraId="02466881" w14:textId="77777777" w:rsidR="00021793" w:rsidRPr="001F24D0" w:rsidRDefault="00021793">
      <w:pPr>
        <w:spacing w:line="360" w:lineRule="auto"/>
        <w:jc w:val="both"/>
        <w:rPr>
          <w:rFonts w:ascii="Palatino Linotype" w:eastAsia="Palatino Linotype" w:hAnsi="Palatino Linotype" w:cs="Palatino Linotype"/>
        </w:rPr>
      </w:pPr>
    </w:p>
    <w:p w14:paraId="6223C6AC" w14:textId="77777777" w:rsidR="00021793" w:rsidRPr="001F24D0" w:rsidRDefault="00021793">
      <w:pPr>
        <w:spacing w:line="360" w:lineRule="auto"/>
        <w:jc w:val="both"/>
        <w:rPr>
          <w:rFonts w:ascii="Palatino Linotype" w:eastAsia="Palatino Linotype" w:hAnsi="Palatino Linotype" w:cs="Palatino Linotype"/>
        </w:rPr>
      </w:pPr>
    </w:p>
    <w:p w14:paraId="11899BF7" w14:textId="77777777" w:rsidR="00021793" w:rsidRPr="001F24D0" w:rsidRDefault="00021793">
      <w:pPr>
        <w:spacing w:line="360" w:lineRule="auto"/>
        <w:jc w:val="both"/>
        <w:rPr>
          <w:rFonts w:ascii="Palatino Linotype" w:eastAsia="Palatino Linotype" w:hAnsi="Palatino Linotype" w:cs="Palatino Linotype"/>
        </w:rPr>
      </w:pPr>
    </w:p>
    <w:p w14:paraId="6731174A" w14:textId="77777777" w:rsidR="00021793" w:rsidRPr="001F24D0" w:rsidRDefault="00021793">
      <w:pPr>
        <w:spacing w:line="360" w:lineRule="auto"/>
        <w:jc w:val="both"/>
        <w:rPr>
          <w:rFonts w:ascii="Palatino Linotype" w:eastAsia="Palatino Linotype" w:hAnsi="Palatino Linotype" w:cs="Palatino Linotype"/>
        </w:rPr>
      </w:pPr>
    </w:p>
    <w:p w14:paraId="61575370" w14:textId="77777777" w:rsidR="00021793" w:rsidRPr="001F24D0" w:rsidRDefault="00021793">
      <w:pPr>
        <w:spacing w:line="360" w:lineRule="auto"/>
        <w:jc w:val="both"/>
        <w:rPr>
          <w:rFonts w:ascii="Palatino Linotype" w:eastAsia="Palatino Linotype" w:hAnsi="Palatino Linotype" w:cs="Palatino Linotype"/>
        </w:rPr>
      </w:pPr>
    </w:p>
    <w:p w14:paraId="6E28DC8E" w14:textId="77777777" w:rsidR="00021793" w:rsidRPr="001F24D0" w:rsidRDefault="00021793">
      <w:pPr>
        <w:spacing w:line="360" w:lineRule="auto"/>
        <w:jc w:val="both"/>
        <w:rPr>
          <w:rFonts w:ascii="Palatino Linotype" w:eastAsia="Palatino Linotype" w:hAnsi="Palatino Linotype" w:cs="Palatino Linotype"/>
        </w:rPr>
      </w:pPr>
    </w:p>
    <w:sectPr w:rsidR="00021793" w:rsidRPr="001F24D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E503" w14:textId="77777777" w:rsidR="003C1DC9" w:rsidRDefault="003C1DC9">
      <w:r>
        <w:separator/>
      </w:r>
    </w:p>
  </w:endnote>
  <w:endnote w:type="continuationSeparator" w:id="0">
    <w:p w14:paraId="416782CF" w14:textId="77777777" w:rsidR="003C1DC9" w:rsidRDefault="003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5DFD" w14:textId="77777777" w:rsidR="00B82E64" w:rsidRDefault="00B82E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787C">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787C">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51B7A480" w14:textId="77777777" w:rsidR="00B82E64" w:rsidRDefault="00B82E6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C7A" w14:textId="77777777" w:rsidR="00B82E64" w:rsidRDefault="00B82E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787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787C">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37F366BD" w14:textId="77777777" w:rsidR="00B82E64" w:rsidRDefault="00B82E6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8154" w14:textId="77777777" w:rsidR="003C1DC9" w:rsidRDefault="003C1DC9">
      <w:r>
        <w:separator/>
      </w:r>
    </w:p>
  </w:footnote>
  <w:footnote w:type="continuationSeparator" w:id="0">
    <w:p w14:paraId="4F848FFC" w14:textId="77777777" w:rsidR="003C1DC9" w:rsidRDefault="003C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57DA" w14:textId="77777777" w:rsidR="00B82E64" w:rsidRDefault="00B82E64">
    <w:pPr>
      <w:rPr>
        <w:rFonts w:ascii="Cambria" w:eastAsia="Cambria" w:hAnsi="Cambria" w:cs="Cambria"/>
        <w:color w:val="000000"/>
      </w:rPr>
    </w:pPr>
    <w:r>
      <w:rPr>
        <w:noProof/>
      </w:rPr>
      <w:drawing>
        <wp:anchor distT="0" distB="0" distL="0" distR="0" simplePos="0" relativeHeight="251658240" behindDoc="1" locked="0" layoutInCell="1" hidden="0" allowOverlap="1" wp14:anchorId="02D5F6CE" wp14:editId="6569DE67">
          <wp:simplePos x="0" y="0"/>
          <wp:positionH relativeFrom="column">
            <wp:posOffset>-1080134</wp:posOffset>
          </wp:positionH>
          <wp:positionV relativeFrom="paragraph">
            <wp:posOffset>-488276</wp:posOffset>
          </wp:positionV>
          <wp:extent cx="7809865" cy="10165715"/>
          <wp:effectExtent l="0" t="0" r="0" b="0"/>
          <wp:wrapNone/>
          <wp:docPr id="2083296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B82E64" w14:paraId="1CFB8C83" w14:textId="77777777">
      <w:tc>
        <w:tcPr>
          <w:tcW w:w="2489" w:type="dxa"/>
          <w:shd w:val="clear" w:color="auto" w:fill="auto"/>
        </w:tcPr>
        <w:p w14:paraId="537C38E9" w14:textId="77777777" w:rsidR="00B82E64" w:rsidRDefault="00B82E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5FA02014" w14:textId="77777777" w:rsidR="00B82E64" w:rsidRDefault="00B82E64">
          <w:pPr>
            <w:ind w:left="-53" w:right="175"/>
            <w:jc w:val="both"/>
            <w:rPr>
              <w:rFonts w:ascii="Palatino Linotype" w:eastAsia="Palatino Linotype" w:hAnsi="Palatino Linotype" w:cs="Palatino Linotype"/>
              <w:b/>
              <w:sz w:val="22"/>
              <w:szCs w:val="22"/>
            </w:rPr>
          </w:pPr>
          <w:r w:rsidRPr="003B2F2C">
            <w:rPr>
              <w:rFonts w:ascii="Palatino Linotype" w:eastAsia="Palatino Linotype" w:hAnsi="Palatino Linotype" w:cs="Palatino Linotype"/>
              <w:b/>
              <w:sz w:val="22"/>
              <w:szCs w:val="22"/>
            </w:rPr>
            <w:t>00749/INFOEM/IP/RR/2025</w:t>
          </w:r>
        </w:p>
      </w:tc>
    </w:tr>
    <w:tr w:rsidR="00B82E64" w14:paraId="4929D5A5" w14:textId="77777777">
      <w:trPr>
        <w:trHeight w:val="228"/>
      </w:trPr>
      <w:tc>
        <w:tcPr>
          <w:tcW w:w="2489" w:type="dxa"/>
          <w:shd w:val="clear" w:color="auto" w:fill="auto"/>
          <w:vAlign w:val="center"/>
        </w:tcPr>
        <w:p w14:paraId="794A50FB" w14:textId="77777777" w:rsidR="00B82E64" w:rsidRDefault="00B82E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3311B3C2" w14:textId="77777777" w:rsidR="00B82E64" w:rsidRDefault="00B82E64">
          <w:pPr>
            <w:ind w:left="-45" w:right="452"/>
            <w:jc w:val="both"/>
            <w:rPr>
              <w:rFonts w:ascii="Palatino Linotype" w:eastAsia="Palatino Linotype" w:hAnsi="Palatino Linotype" w:cs="Palatino Linotype"/>
              <w:b/>
              <w:sz w:val="22"/>
              <w:szCs w:val="22"/>
            </w:rPr>
          </w:pPr>
          <w:r w:rsidRPr="003B2F2C">
            <w:rPr>
              <w:rFonts w:ascii="Palatino Linotype" w:eastAsia="Palatino Linotype" w:hAnsi="Palatino Linotype" w:cs="Palatino Linotype"/>
              <w:b/>
              <w:sz w:val="22"/>
              <w:szCs w:val="22"/>
            </w:rPr>
            <w:t>Ayuntamiento de Metepec</w:t>
          </w:r>
        </w:p>
      </w:tc>
    </w:tr>
    <w:tr w:rsidR="00B82E64" w14:paraId="47CD33E3" w14:textId="77777777">
      <w:tc>
        <w:tcPr>
          <w:tcW w:w="2489" w:type="dxa"/>
          <w:shd w:val="clear" w:color="auto" w:fill="auto"/>
          <w:vAlign w:val="center"/>
        </w:tcPr>
        <w:p w14:paraId="64F5EF4F" w14:textId="77777777" w:rsidR="00B82E64" w:rsidRDefault="00B82E6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49EA97C5" w14:textId="77777777" w:rsidR="00B82E64" w:rsidRDefault="00B82E6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4C64B5" w14:textId="77777777" w:rsidR="00B82E64" w:rsidRDefault="00B82E6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EF7" w14:textId="77777777" w:rsidR="00B82E64" w:rsidRDefault="00B82E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85FDA6" wp14:editId="146086D3">
          <wp:simplePos x="0" y="0"/>
          <wp:positionH relativeFrom="column">
            <wp:posOffset>-1080128</wp:posOffset>
          </wp:positionH>
          <wp:positionV relativeFrom="paragraph">
            <wp:posOffset>-369904</wp:posOffset>
          </wp:positionV>
          <wp:extent cx="7809865" cy="10165715"/>
          <wp:effectExtent l="0" t="0" r="0" b="0"/>
          <wp:wrapNone/>
          <wp:docPr id="2083296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B82E64" w14:paraId="60C71C18" w14:textId="77777777">
      <w:tc>
        <w:tcPr>
          <w:tcW w:w="2489" w:type="dxa"/>
          <w:shd w:val="clear" w:color="auto" w:fill="auto"/>
        </w:tcPr>
        <w:p w14:paraId="6C784BA0" w14:textId="77777777" w:rsidR="00B82E64" w:rsidRDefault="00B82E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5DFA276B" w14:textId="77777777" w:rsidR="00B82E64" w:rsidRDefault="00B82E64">
          <w:pPr>
            <w:ind w:right="175"/>
            <w:jc w:val="both"/>
            <w:rPr>
              <w:rFonts w:ascii="Palatino Linotype" w:eastAsia="Palatino Linotype" w:hAnsi="Palatino Linotype" w:cs="Palatino Linotype"/>
              <w:b/>
              <w:sz w:val="22"/>
              <w:szCs w:val="22"/>
            </w:rPr>
          </w:pPr>
          <w:r w:rsidRPr="003B2F2C">
            <w:rPr>
              <w:rFonts w:ascii="Palatino Linotype" w:eastAsia="Palatino Linotype" w:hAnsi="Palatino Linotype" w:cs="Palatino Linotype"/>
              <w:b/>
              <w:sz w:val="22"/>
              <w:szCs w:val="22"/>
            </w:rPr>
            <w:t>00749/INFOEM/IP/RR/2025</w:t>
          </w:r>
        </w:p>
      </w:tc>
    </w:tr>
    <w:tr w:rsidR="00B82E64" w14:paraId="0B04D717" w14:textId="77777777">
      <w:tc>
        <w:tcPr>
          <w:tcW w:w="2489" w:type="dxa"/>
          <w:shd w:val="clear" w:color="auto" w:fill="auto"/>
        </w:tcPr>
        <w:p w14:paraId="518DB7F5" w14:textId="77777777" w:rsidR="00B82E64" w:rsidRDefault="00B82E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44D719C8" w14:textId="2D42F369" w:rsidR="00B82E64" w:rsidRDefault="00AB256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XXXXXX </w:t>
          </w:r>
        </w:p>
      </w:tc>
    </w:tr>
    <w:tr w:rsidR="00B82E64" w14:paraId="51855CAD" w14:textId="77777777">
      <w:trPr>
        <w:trHeight w:val="228"/>
      </w:trPr>
      <w:tc>
        <w:tcPr>
          <w:tcW w:w="2489" w:type="dxa"/>
          <w:shd w:val="clear" w:color="auto" w:fill="auto"/>
          <w:vAlign w:val="center"/>
        </w:tcPr>
        <w:p w14:paraId="53BC4121" w14:textId="77777777" w:rsidR="00B82E64" w:rsidRDefault="00B82E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781B7C88" w14:textId="77777777" w:rsidR="00B82E64" w:rsidRDefault="00B82E64">
          <w:pPr>
            <w:ind w:right="594"/>
            <w:jc w:val="both"/>
            <w:rPr>
              <w:rFonts w:ascii="Palatino Linotype" w:eastAsia="Palatino Linotype" w:hAnsi="Palatino Linotype" w:cs="Palatino Linotype"/>
              <w:b/>
              <w:sz w:val="22"/>
              <w:szCs w:val="22"/>
            </w:rPr>
          </w:pPr>
          <w:r w:rsidRPr="003B2F2C">
            <w:rPr>
              <w:rFonts w:ascii="Palatino Linotype" w:eastAsia="Palatino Linotype" w:hAnsi="Palatino Linotype" w:cs="Palatino Linotype"/>
              <w:b/>
              <w:sz w:val="22"/>
              <w:szCs w:val="22"/>
            </w:rPr>
            <w:t>Ayuntamiento de Metepec</w:t>
          </w:r>
        </w:p>
      </w:tc>
    </w:tr>
    <w:tr w:rsidR="00B82E64" w14:paraId="57E5DBB6" w14:textId="77777777">
      <w:tc>
        <w:tcPr>
          <w:tcW w:w="2489" w:type="dxa"/>
          <w:shd w:val="clear" w:color="auto" w:fill="auto"/>
          <w:vAlign w:val="center"/>
        </w:tcPr>
        <w:p w14:paraId="044128A6" w14:textId="77777777" w:rsidR="00B82E64" w:rsidRDefault="00B82E6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52C12CF0" w14:textId="77777777" w:rsidR="00B82E64" w:rsidRDefault="00B82E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2ABDDE" w14:textId="77777777" w:rsidR="00B82E64" w:rsidRDefault="00B82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513B"/>
    <w:multiLevelType w:val="multilevel"/>
    <w:tmpl w:val="195EB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116A7"/>
    <w:multiLevelType w:val="multilevel"/>
    <w:tmpl w:val="574A436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975F31"/>
    <w:multiLevelType w:val="hybridMultilevel"/>
    <w:tmpl w:val="2FFEA6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16775B"/>
    <w:multiLevelType w:val="hybridMultilevel"/>
    <w:tmpl w:val="3A8EC3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21929"/>
    <w:multiLevelType w:val="multilevel"/>
    <w:tmpl w:val="ECECB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34273"/>
    <w:multiLevelType w:val="multilevel"/>
    <w:tmpl w:val="EFDA2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71124D"/>
    <w:multiLevelType w:val="multilevel"/>
    <w:tmpl w:val="767CF8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1065033"/>
    <w:multiLevelType w:val="multilevel"/>
    <w:tmpl w:val="F196A35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DB6A99"/>
    <w:multiLevelType w:val="multilevel"/>
    <w:tmpl w:val="68EA5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0"/>
  </w:num>
  <w:num w:numId="4">
    <w:abstractNumId w:val="5"/>
  </w:num>
  <w:num w:numId="5">
    <w:abstractNumId w:val="6"/>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93"/>
    <w:rsid w:val="00021793"/>
    <w:rsid w:val="000A1AF2"/>
    <w:rsid w:val="00117CDF"/>
    <w:rsid w:val="00122CAC"/>
    <w:rsid w:val="00130099"/>
    <w:rsid w:val="001F24D0"/>
    <w:rsid w:val="00277790"/>
    <w:rsid w:val="0028137F"/>
    <w:rsid w:val="002A718F"/>
    <w:rsid w:val="002F43A4"/>
    <w:rsid w:val="00360848"/>
    <w:rsid w:val="003B2F2C"/>
    <w:rsid w:val="003C1DC9"/>
    <w:rsid w:val="003F1947"/>
    <w:rsid w:val="0044423C"/>
    <w:rsid w:val="00600F27"/>
    <w:rsid w:val="00611A6B"/>
    <w:rsid w:val="0068787C"/>
    <w:rsid w:val="006A6C98"/>
    <w:rsid w:val="00731467"/>
    <w:rsid w:val="007851E0"/>
    <w:rsid w:val="007D2A66"/>
    <w:rsid w:val="007D3453"/>
    <w:rsid w:val="008073BA"/>
    <w:rsid w:val="00890EAF"/>
    <w:rsid w:val="008C6887"/>
    <w:rsid w:val="008E5FE2"/>
    <w:rsid w:val="008E6644"/>
    <w:rsid w:val="00AB2568"/>
    <w:rsid w:val="00AF7D17"/>
    <w:rsid w:val="00B10C8D"/>
    <w:rsid w:val="00B655C2"/>
    <w:rsid w:val="00B82E64"/>
    <w:rsid w:val="00C07507"/>
    <w:rsid w:val="00CD5D71"/>
    <w:rsid w:val="00DF1EC8"/>
    <w:rsid w:val="00EB525E"/>
    <w:rsid w:val="00EF7C21"/>
    <w:rsid w:val="00F56AF9"/>
    <w:rsid w:val="00F83806"/>
    <w:rsid w:val="00FD5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9B41"/>
  <w15:docId w15:val="{62001988-4B3F-4587-9B70-53947CD1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7"/>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7708">
      <w:bodyDiv w:val="1"/>
      <w:marLeft w:val="0"/>
      <w:marRight w:val="0"/>
      <w:marTop w:val="0"/>
      <w:marBottom w:val="0"/>
      <w:divBdr>
        <w:top w:val="none" w:sz="0" w:space="0" w:color="auto"/>
        <w:left w:val="none" w:sz="0" w:space="0" w:color="auto"/>
        <w:bottom w:val="none" w:sz="0" w:space="0" w:color="auto"/>
        <w:right w:val="none" w:sz="0" w:space="0" w:color="auto"/>
      </w:divBdr>
    </w:div>
    <w:div w:id="78985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353beiXDemMmGf2+VmiF13/Q==">CgMxLjAyCWguNGQzNG9nODIIaC5namRneHMyCWguM2R5NnZrbTIJaC4zMGowemxsMgloLjJzOGV5bzEyCGgudHlqY3d0MgloLjN6bnlzaDcyCWguMmV0OTJwMDIIaC5sbnhiejkyDmguaWp2OThwbnRjZDVzMgloLjI2aW4xcmc4AHIhMTlBODRYTHdyMk1BbFZLTTR2a1RqazI1aFIxc0QtWF9K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6193</Words>
  <Characters>34066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2025-03-07T21:17:00Z</cp:lastPrinted>
  <dcterms:created xsi:type="dcterms:W3CDTF">2025-03-31T19:42:00Z</dcterms:created>
  <dcterms:modified xsi:type="dcterms:W3CDTF">2025-03-31T19:42:00Z</dcterms:modified>
</cp:coreProperties>
</file>