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31738F" w:rsidRDefault="009B26BC" w:rsidP="00641744">
      <w:pPr>
        <w:pStyle w:val="TtulodeTDC"/>
        <w:spacing w:line="360" w:lineRule="auto"/>
        <w:jc w:val="both"/>
        <w:rPr>
          <w:rFonts w:eastAsia="Times New Roman" w:cs="Times New Roman"/>
          <w:b w:val="0"/>
          <w:color w:val="FF0000"/>
          <w:szCs w:val="22"/>
          <w:lang w:val="es-ES" w:eastAsia="es-ES"/>
        </w:rPr>
      </w:pPr>
      <w:bookmarkStart w:id="0" w:name="_GoBack"/>
      <w:bookmarkEnd w:id="0"/>
    </w:p>
    <w:sdt>
      <w:sdtPr>
        <w:rPr>
          <w:rFonts w:ascii="Times New Roman" w:eastAsia="Times New Roman" w:hAnsi="Times New Roman" w:cs="Times New Roman"/>
          <w:b w:val="0"/>
          <w:color w:val="FF0000"/>
          <w:sz w:val="20"/>
          <w:szCs w:val="22"/>
          <w:lang w:val="es-ES" w:eastAsia="es-ES"/>
        </w:rPr>
        <w:id w:val="309064069"/>
        <w:docPartObj>
          <w:docPartGallery w:val="Table of Contents"/>
          <w:docPartUnique/>
        </w:docPartObj>
      </w:sdtPr>
      <w:sdtEndPr>
        <w:rPr>
          <w:bCs/>
          <w:szCs w:val="20"/>
        </w:rPr>
      </w:sdtEndPr>
      <w:sdtContent>
        <w:p w14:paraId="0859B224" w14:textId="31D9764D" w:rsidR="004C586D" w:rsidRPr="004B415C" w:rsidRDefault="007935E5" w:rsidP="00641744">
          <w:pPr>
            <w:pStyle w:val="TtulodeTDC"/>
            <w:spacing w:line="360" w:lineRule="auto"/>
            <w:rPr>
              <w:rFonts w:eastAsia="Calibri" w:cs="Tahoma"/>
              <w:b w:val="0"/>
              <w:bCs/>
              <w:color w:val="auto"/>
              <w:szCs w:val="22"/>
              <w:lang w:eastAsia="en-US"/>
            </w:rPr>
          </w:pPr>
          <w:r w:rsidRPr="004B415C">
            <w:rPr>
              <w:b w:val="0"/>
              <w:bCs/>
              <w:color w:val="auto"/>
              <w:szCs w:val="22"/>
              <w:lang w:val="es-ES"/>
            </w:rPr>
            <w:t xml:space="preserve">RESOLUCIÓN DEL RECURSO DE REVISIÓN </w:t>
          </w:r>
          <w:r w:rsidR="003A616A" w:rsidRPr="004B415C">
            <w:rPr>
              <w:rFonts w:eastAsia="Calibri" w:cs="Tahoma"/>
              <w:b w:val="0"/>
              <w:bCs/>
              <w:color w:val="auto"/>
              <w:szCs w:val="22"/>
              <w:lang w:eastAsia="en-US"/>
            </w:rPr>
            <w:t>0</w:t>
          </w:r>
          <w:r w:rsidR="0031738F" w:rsidRPr="004B415C">
            <w:rPr>
              <w:rFonts w:eastAsia="Calibri" w:cs="Tahoma"/>
              <w:b w:val="0"/>
              <w:bCs/>
              <w:color w:val="auto"/>
              <w:szCs w:val="22"/>
              <w:lang w:eastAsia="en-US"/>
            </w:rPr>
            <w:t>1646</w:t>
          </w:r>
          <w:r w:rsidR="004C586D" w:rsidRPr="004B415C">
            <w:rPr>
              <w:rFonts w:eastAsia="Calibri" w:cs="Tahoma"/>
              <w:b w:val="0"/>
              <w:bCs/>
              <w:color w:val="auto"/>
              <w:szCs w:val="22"/>
              <w:lang w:eastAsia="en-US"/>
            </w:rPr>
            <w:t>/INFOEM/IP/RR/2025</w:t>
          </w:r>
        </w:p>
        <w:p w14:paraId="202EF6DE" w14:textId="77777777" w:rsidR="00CA64F6" w:rsidRPr="004B415C" w:rsidRDefault="007935E5">
          <w:pPr>
            <w:pStyle w:val="TDC1"/>
            <w:rPr>
              <w:rFonts w:ascii="Palatino Linotype" w:eastAsiaTheme="minorEastAsia" w:hAnsi="Palatino Linotype" w:cstheme="minorBidi"/>
              <w:noProof/>
              <w:sz w:val="22"/>
              <w:szCs w:val="22"/>
              <w:lang w:eastAsia="es-MX"/>
            </w:rPr>
          </w:pPr>
          <w:r w:rsidRPr="004B415C">
            <w:rPr>
              <w:rFonts w:ascii="Palatino Linotype" w:eastAsiaTheme="majorEastAsia" w:hAnsi="Palatino Linotype" w:cstheme="majorBidi"/>
              <w:b/>
              <w:bCs/>
              <w:color w:val="FF0000"/>
              <w:sz w:val="22"/>
              <w:szCs w:val="22"/>
              <w:lang w:eastAsia="es-MX"/>
            </w:rPr>
            <w:fldChar w:fldCharType="begin"/>
          </w:r>
          <w:r w:rsidRPr="004B415C">
            <w:rPr>
              <w:rFonts w:ascii="Palatino Linotype" w:hAnsi="Palatino Linotype"/>
              <w:bCs/>
              <w:color w:val="FF0000"/>
              <w:sz w:val="22"/>
              <w:szCs w:val="22"/>
            </w:rPr>
            <w:instrText xml:space="preserve"> TOC \o "1-3" \h \z \u </w:instrText>
          </w:r>
          <w:r w:rsidRPr="004B415C">
            <w:rPr>
              <w:rFonts w:ascii="Palatino Linotype" w:eastAsiaTheme="majorEastAsia" w:hAnsi="Palatino Linotype" w:cstheme="majorBidi"/>
              <w:b/>
              <w:bCs/>
              <w:color w:val="FF0000"/>
              <w:sz w:val="22"/>
              <w:szCs w:val="22"/>
              <w:lang w:eastAsia="es-MX"/>
            </w:rPr>
            <w:fldChar w:fldCharType="separate"/>
          </w:r>
          <w:hyperlink w:anchor="_Toc193381454" w:history="1">
            <w:r w:rsidR="00CA64F6" w:rsidRPr="004B415C">
              <w:rPr>
                <w:rStyle w:val="Hipervnculo"/>
                <w:rFonts w:ascii="Palatino Linotype" w:hAnsi="Palatino Linotype"/>
                <w:noProof/>
                <w:sz w:val="22"/>
                <w:szCs w:val="22"/>
              </w:rPr>
              <w:t>A N T E C E D E N T E S</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_Toc193381454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2</w:t>
            </w:r>
            <w:r w:rsidR="00CA64F6" w:rsidRPr="004B415C">
              <w:rPr>
                <w:rFonts w:ascii="Palatino Linotype" w:hAnsi="Palatino Linotype"/>
                <w:noProof/>
                <w:webHidden/>
                <w:sz w:val="22"/>
                <w:szCs w:val="22"/>
              </w:rPr>
              <w:fldChar w:fldCharType="end"/>
            </w:r>
          </w:hyperlink>
        </w:p>
        <w:p w14:paraId="44C17512"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55" w:history="1">
            <w:r w:rsidR="00CA64F6" w:rsidRPr="004B415C">
              <w:rPr>
                <w:rStyle w:val="Hipervnculo"/>
                <w:rFonts w:ascii="Palatino Linotype" w:hAnsi="Palatino Linotype"/>
                <w:noProof/>
                <w:sz w:val="22"/>
                <w:szCs w:val="22"/>
              </w:rPr>
              <w:t>I. Presentación de la solicitud de información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_Toc193381455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2</w:t>
            </w:r>
            <w:r w:rsidR="00CA64F6" w:rsidRPr="004B415C">
              <w:rPr>
                <w:rFonts w:ascii="Palatino Linotype" w:hAnsi="Palatino Linotype"/>
                <w:noProof/>
                <w:webHidden/>
                <w:sz w:val="22"/>
                <w:szCs w:val="22"/>
              </w:rPr>
              <w:fldChar w:fldCharType="end"/>
            </w:r>
          </w:hyperlink>
        </w:p>
        <w:p w14:paraId="4CB505E3"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56" w:history="1">
            <w:r w:rsidR="00CA64F6" w:rsidRPr="004B415C">
              <w:rPr>
                <w:rStyle w:val="Hipervnculo"/>
                <w:rFonts w:ascii="Palatino Linotype" w:hAnsi="Palatino Linotype"/>
                <w:noProof/>
                <w:sz w:val="22"/>
                <w:szCs w:val="22"/>
              </w:rPr>
              <w:t>II. Respuesta del Sujeto Obligado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_Toc193381456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3</w:t>
            </w:r>
            <w:r w:rsidR="00CA64F6" w:rsidRPr="004B415C">
              <w:rPr>
                <w:rFonts w:ascii="Palatino Linotype" w:hAnsi="Palatino Linotype"/>
                <w:noProof/>
                <w:webHidden/>
                <w:sz w:val="22"/>
                <w:szCs w:val="22"/>
              </w:rPr>
              <w:fldChar w:fldCharType="end"/>
            </w:r>
          </w:hyperlink>
        </w:p>
        <w:p w14:paraId="57AFA0D7"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57" w:history="1">
            <w:r w:rsidR="00CA64F6" w:rsidRPr="004B415C">
              <w:rPr>
                <w:rStyle w:val="Hipervnculo"/>
                <w:rFonts w:ascii="Palatino Linotype" w:hAnsi="Palatino Linotype"/>
                <w:noProof/>
                <w:sz w:val="22"/>
                <w:szCs w:val="22"/>
                <w:lang w:eastAsia="en-US"/>
              </w:rPr>
              <w:t>III. Interposición del Recurso de Revisión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_Toc193381457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3</w:t>
            </w:r>
            <w:r w:rsidR="00CA64F6" w:rsidRPr="004B415C">
              <w:rPr>
                <w:rFonts w:ascii="Palatino Linotype" w:hAnsi="Palatino Linotype"/>
                <w:noProof/>
                <w:webHidden/>
                <w:sz w:val="22"/>
                <w:szCs w:val="22"/>
              </w:rPr>
              <w:fldChar w:fldCharType="end"/>
            </w:r>
          </w:hyperlink>
        </w:p>
        <w:p w14:paraId="07BA4DF9"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58" w:history="1">
            <w:r w:rsidR="00CA64F6" w:rsidRPr="004B415C">
              <w:rPr>
                <w:rStyle w:val="Hipervnculo"/>
                <w:rFonts w:ascii="Palatino Linotype" w:hAnsi="Palatino Linotype"/>
                <w:noProof/>
                <w:sz w:val="22"/>
                <w:szCs w:val="22"/>
                <w:lang w:eastAsia="en-US"/>
              </w:rPr>
              <w:t>IV. Trámite del Recurso de Revisión ante el Instituto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_Toc193381458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4</w:t>
            </w:r>
            <w:r w:rsidR="00CA64F6" w:rsidRPr="004B415C">
              <w:rPr>
                <w:rFonts w:ascii="Palatino Linotype" w:hAnsi="Palatino Linotype"/>
                <w:noProof/>
                <w:webHidden/>
                <w:sz w:val="22"/>
                <w:szCs w:val="22"/>
              </w:rPr>
              <w:fldChar w:fldCharType="end"/>
            </w:r>
          </w:hyperlink>
        </w:p>
        <w:p w14:paraId="114DF239"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59" w:history="1">
            <w:r w:rsidR="00CA64F6" w:rsidRPr="004B415C">
              <w:rPr>
                <w:rStyle w:val="Hipervnculo"/>
                <w:rFonts w:ascii="Palatino Linotype" w:hAnsi="Palatino Linotype"/>
                <w:noProof/>
                <w:sz w:val="22"/>
                <w:szCs w:val="22"/>
              </w:rPr>
              <w:t>a) Turno del Recurso de Revisión.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_Toc193381459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4</w:t>
            </w:r>
            <w:r w:rsidR="00CA64F6" w:rsidRPr="004B415C">
              <w:rPr>
                <w:rFonts w:ascii="Palatino Linotype" w:hAnsi="Palatino Linotype"/>
                <w:noProof/>
                <w:webHidden/>
                <w:sz w:val="22"/>
                <w:szCs w:val="22"/>
              </w:rPr>
              <w:fldChar w:fldCharType="end"/>
            </w:r>
          </w:hyperlink>
        </w:p>
        <w:p w14:paraId="765220FD"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0" w:history="1">
            <w:r w:rsidR="00CA64F6" w:rsidRPr="004B415C">
              <w:rPr>
                <w:rStyle w:val="Hipervnculo"/>
                <w:rFonts w:ascii="Palatino Linotype" w:hAnsi="Palatino Linotype"/>
                <w:noProof/>
                <w:sz w:val="22"/>
                <w:szCs w:val="22"/>
              </w:rPr>
              <w:t>b) Admisión del Recurso de Revisión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_Toc193381460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4</w:t>
            </w:r>
            <w:r w:rsidR="00CA64F6" w:rsidRPr="004B415C">
              <w:rPr>
                <w:rFonts w:ascii="Palatino Linotype" w:hAnsi="Palatino Linotype"/>
                <w:noProof/>
                <w:webHidden/>
                <w:sz w:val="22"/>
                <w:szCs w:val="22"/>
              </w:rPr>
              <w:fldChar w:fldCharType="end"/>
            </w:r>
          </w:hyperlink>
        </w:p>
        <w:p w14:paraId="47C87129"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1" w:history="1">
            <w:r w:rsidR="00CA64F6" w:rsidRPr="004B415C">
              <w:rPr>
                <w:rStyle w:val="Hipervnculo"/>
                <w:rFonts w:ascii="Palatino Linotype" w:hAnsi="Palatino Linotype"/>
                <w:noProof/>
                <w:sz w:val="22"/>
                <w:szCs w:val="22"/>
              </w:rPr>
              <w:t>c) Informe Justificado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_Toc193381461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4</w:t>
            </w:r>
            <w:r w:rsidR="00CA64F6" w:rsidRPr="004B415C">
              <w:rPr>
                <w:rFonts w:ascii="Palatino Linotype" w:hAnsi="Palatino Linotype"/>
                <w:noProof/>
                <w:webHidden/>
                <w:sz w:val="22"/>
                <w:szCs w:val="22"/>
              </w:rPr>
              <w:fldChar w:fldCharType="end"/>
            </w:r>
          </w:hyperlink>
        </w:p>
        <w:p w14:paraId="6FAA176B"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2" w:history="1">
            <w:r w:rsidR="00CA64F6" w:rsidRPr="004B415C">
              <w:rPr>
                <w:rStyle w:val="Hipervnculo"/>
                <w:rFonts w:ascii="Palatino Linotype" w:hAnsi="Palatino Linotype"/>
                <w:noProof/>
                <w:sz w:val="22"/>
                <w:szCs w:val="22"/>
              </w:rPr>
              <w:t>d) Vista al Informe Justificado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_Toc193381462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5</w:t>
            </w:r>
            <w:r w:rsidR="00CA64F6" w:rsidRPr="004B415C">
              <w:rPr>
                <w:rFonts w:ascii="Palatino Linotype" w:hAnsi="Palatino Linotype"/>
                <w:noProof/>
                <w:webHidden/>
                <w:sz w:val="22"/>
                <w:szCs w:val="22"/>
              </w:rPr>
              <w:fldChar w:fldCharType="end"/>
            </w:r>
          </w:hyperlink>
        </w:p>
        <w:p w14:paraId="6B5168CB"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3" w:history="1">
            <w:r w:rsidR="00CA64F6" w:rsidRPr="004B415C">
              <w:rPr>
                <w:rStyle w:val="Hipervnculo"/>
                <w:rFonts w:ascii="Palatino Linotype" w:hAnsi="Palatino Linotype"/>
                <w:noProof/>
                <w:sz w:val="22"/>
                <w:szCs w:val="22"/>
              </w:rPr>
              <w:t>e) Cierre de instrucción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_Toc193381463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5</w:t>
            </w:r>
            <w:r w:rsidR="00CA64F6" w:rsidRPr="004B415C">
              <w:rPr>
                <w:rFonts w:ascii="Palatino Linotype" w:hAnsi="Palatino Linotype"/>
                <w:noProof/>
                <w:webHidden/>
                <w:sz w:val="22"/>
                <w:szCs w:val="22"/>
              </w:rPr>
              <w:fldChar w:fldCharType="end"/>
            </w:r>
          </w:hyperlink>
        </w:p>
        <w:p w14:paraId="2D2E1694"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64" w:history="1">
            <w:r w:rsidR="00CA64F6" w:rsidRPr="004B415C">
              <w:rPr>
                <w:rStyle w:val="Hipervnculo"/>
                <w:rFonts w:ascii="Palatino Linotype" w:hAnsi="Palatino Linotype"/>
                <w:noProof/>
                <w:sz w:val="22"/>
                <w:szCs w:val="22"/>
                <w:lang w:val="es-ES"/>
              </w:rPr>
              <w:t>C O N S I D E R A N D O S</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_Toc193381464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6</w:t>
            </w:r>
            <w:r w:rsidR="00CA64F6" w:rsidRPr="004B415C">
              <w:rPr>
                <w:rFonts w:ascii="Palatino Linotype" w:hAnsi="Palatino Linotype"/>
                <w:noProof/>
                <w:webHidden/>
                <w:sz w:val="22"/>
                <w:szCs w:val="22"/>
              </w:rPr>
              <w:fldChar w:fldCharType="end"/>
            </w:r>
          </w:hyperlink>
        </w:p>
        <w:p w14:paraId="5C24F5B8"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5" w:history="1">
            <w:r w:rsidR="00CA64F6" w:rsidRPr="004B415C">
              <w:rPr>
                <w:rStyle w:val="Hipervnculo"/>
                <w:rFonts w:ascii="Palatino Linotype" w:eastAsia="Calibri" w:hAnsi="Palatino Linotype"/>
                <w:noProof/>
                <w:sz w:val="22"/>
                <w:szCs w:val="22"/>
                <w:lang w:val="es-ES" w:eastAsia="es-MX"/>
              </w:rPr>
              <w:t xml:space="preserve">PRIMERO. </w:t>
            </w:r>
            <w:r w:rsidR="00CA64F6" w:rsidRPr="004B415C">
              <w:rPr>
                <w:rStyle w:val="Hipervnculo"/>
                <w:rFonts w:ascii="Palatino Linotype" w:hAnsi="Palatino Linotype"/>
                <w:noProof/>
                <w:sz w:val="22"/>
                <w:szCs w:val="22"/>
                <w:lang w:val="es-ES"/>
              </w:rPr>
              <w:t>Competencia</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_Toc193381465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6</w:t>
            </w:r>
            <w:r w:rsidR="00CA64F6" w:rsidRPr="004B415C">
              <w:rPr>
                <w:rFonts w:ascii="Palatino Linotype" w:hAnsi="Palatino Linotype"/>
                <w:noProof/>
                <w:webHidden/>
                <w:sz w:val="22"/>
                <w:szCs w:val="22"/>
              </w:rPr>
              <w:fldChar w:fldCharType="end"/>
            </w:r>
          </w:hyperlink>
        </w:p>
        <w:p w14:paraId="10F37867" w14:textId="77777777" w:rsidR="00CA64F6" w:rsidRPr="004B415C" w:rsidRDefault="00110BC7">
          <w:pPr>
            <w:pStyle w:val="TDC2"/>
            <w:tabs>
              <w:tab w:val="right" w:leader="dot" w:pos="9034"/>
            </w:tabs>
            <w:rPr>
              <w:rFonts w:ascii="Palatino Linotype" w:eastAsiaTheme="minorEastAsia" w:hAnsi="Palatino Linotype" w:cstheme="minorBidi"/>
              <w:noProof/>
              <w:sz w:val="22"/>
              <w:szCs w:val="22"/>
              <w:lang w:eastAsia="es-MX"/>
            </w:rPr>
          </w:pPr>
          <w:hyperlink w:anchor="_Toc193381466" w:history="1">
            <w:r w:rsidR="00CA64F6" w:rsidRPr="004B415C">
              <w:rPr>
                <w:rStyle w:val="Hipervnculo"/>
                <w:rFonts w:ascii="Palatino Linotype" w:eastAsia="Calibri" w:hAnsi="Palatino Linotype"/>
                <w:noProof/>
                <w:sz w:val="22"/>
                <w:szCs w:val="22"/>
                <w:lang w:val="es-ES" w:eastAsia="es-MX"/>
              </w:rPr>
              <w:t xml:space="preserve">SEGUNDO. </w:t>
            </w:r>
            <w:r w:rsidR="00CA64F6" w:rsidRPr="004B415C">
              <w:rPr>
                <w:rStyle w:val="Hipervnculo"/>
                <w:rFonts w:ascii="Palatino Linotype" w:hAnsi="Palatino Linotype"/>
                <w:noProof/>
                <w:sz w:val="22"/>
                <w:szCs w:val="22"/>
                <w:lang w:val="es-ES"/>
              </w:rPr>
              <w:t>Causales de improcedencia y Sobreseimiento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_Toc193381466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6</w:t>
            </w:r>
            <w:r w:rsidR="00CA64F6" w:rsidRPr="004B415C">
              <w:rPr>
                <w:rFonts w:ascii="Palatino Linotype" w:hAnsi="Palatino Linotype"/>
                <w:noProof/>
                <w:webHidden/>
                <w:sz w:val="22"/>
                <w:szCs w:val="22"/>
              </w:rPr>
              <w:fldChar w:fldCharType="end"/>
            </w:r>
          </w:hyperlink>
        </w:p>
        <w:p w14:paraId="675EB1C0"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67" w:history="1">
            <w:r w:rsidR="00CA64F6" w:rsidRPr="004B415C">
              <w:rPr>
                <w:rStyle w:val="Hipervnculo"/>
                <w:rFonts w:ascii="Palatino Linotype" w:hAnsi="Palatino Linotype"/>
                <w:noProof/>
                <w:sz w:val="22"/>
                <w:szCs w:val="22"/>
              </w:rPr>
              <w:t xml:space="preserve">TERCERO. </w:t>
            </w:r>
            <w:r w:rsidR="00CA64F6" w:rsidRPr="004B415C">
              <w:rPr>
                <w:rStyle w:val="Hipervnculo"/>
                <w:rFonts w:ascii="Palatino Linotype" w:eastAsia="Palatino Linotype" w:hAnsi="Palatino Linotype" w:cs="Palatino Linotype"/>
                <w:noProof/>
                <w:sz w:val="22"/>
                <w:szCs w:val="22"/>
              </w:rPr>
              <w:t>Determinación de la Controversia</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_Toc193381467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8</w:t>
            </w:r>
            <w:r w:rsidR="00CA64F6" w:rsidRPr="004B415C">
              <w:rPr>
                <w:rFonts w:ascii="Palatino Linotype" w:hAnsi="Palatino Linotype"/>
                <w:noProof/>
                <w:webHidden/>
                <w:sz w:val="22"/>
                <w:szCs w:val="22"/>
              </w:rPr>
              <w:fldChar w:fldCharType="end"/>
            </w:r>
          </w:hyperlink>
        </w:p>
        <w:p w14:paraId="36D604A4"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68" w:history="1">
            <w:r w:rsidR="00CA64F6" w:rsidRPr="004B415C">
              <w:rPr>
                <w:rStyle w:val="Hipervnculo"/>
                <w:rFonts w:ascii="Palatino Linotype" w:hAnsi="Palatino Linotype" w:cstheme="majorBidi"/>
                <w:bCs/>
                <w:noProof/>
                <w:sz w:val="22"/>
                <w:szCs w:val="22"/>
                <w:lang w:val="es-ES"/>
              </w:rPr>
              <w:t xml:space="preserve">CUARTO. </w:t>
            </w:r>
            <w:r w:rsidR="00CA64F6" w:rsidRPr="004B415C">
              <w:rPr>
                <w:rStyle w:val="Hipervnculo"/>
                <w:rFonts w:ascii="Palatino Linotype" w:hAnsi="Palatino Linotype" w:cstheme="majorBidi"/>
                <w:bCs/>
                <w:noProof/>
                <w:sz w:val="22"/>
                <w:szCs w:val="22"/>
              </w:rPr>
              <w:t>Marco normativo aplicable en materia de transparencia y acceso a la información pública</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_Toc193381468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9</w:t>
            </w:r>
            <w:r w:rsidR="00CA64F6" w:rsidRPr="004B415C">
              <w:rPr>
                <w:rFonts w:ascii="Palatino Linotype" w:hAnsi="Palatino Linotype"/>
                <w:noProof/>
                <w:webHidden/>
                <w:sz w:val="22"/>
                <w:szCs w:val="22"/>
              </w:rPr>
              <w:fldChar w:fldCharType="end"/>
            </w:r>
          </w:hyperlink>
        </w:p>
        <w:p w14:paraId="4B7CE503"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69" w:history="1">
            <w:r w:rsidR="00CA64F6" w:rsidRPr="004B415C">
              <w:rPr>
                <w:rStyle w:val="Hipervnculo"/>
                <w:rFonts w:ascii="Palatino Linotype" w:hAnsi="Palatino Linotype" w:cstheme="majorBidi"/>
                <w:bCs/>
                <w:noProof/>
                <w:sz w:val="22"/>
                <w:szCs w:val="22"/>
                <w:lang w:val="es-ES"/>
              </w:rPr>
              <w:t>QUINTO. Estudio de Fondo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_Toc193381469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10</w:t>
            </w:r>
            <w:r w:rsidR="00CA64F6" w:rsidRPr="004B415C">
              <w:rPr>
                <w:rFonts w:ascii="Palatino Linotype" w:hAnsi="Palatino Linotype"/>
                <w:noProof/>
                <w:webHidden/>
                <w:sz w:val="22"/>
                <w:szCs w:val="22"/>
              </w:rPr>
              <w:fldChar w:fldCharType="end"/>
            </w:r>
          </w:hyperlink>
        </w:p>
        <w:p w14:paraId="116A9157"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70" w:history="1">
            <w:r w:rsidR="00CA64F6" w:rsidRPr="004B415C">
              <w:rPr>
                <w:rStyle w:val="Hipervnculo"/>
                <w:rFonts w:ascii="Palatino Linotype" w:hAnsi="Palatino Linotype"/>
                <w:noProof/>
                <w:sz w:val="22"/>
                <w:szCs w:val="22"/>
                <w:lang w:eastAsia="en-US"/>
              </w:rPr>
              <w:t>SEXTO. Decisión</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_Toc193381470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29</w:t>
            </w:r>
            <w:r w:rsidR="00CA64F6" w:rsidRPr="004B415C">
              <w:rPr>
                <w:rFonts w:ascii="Palatino Linotype" w:hAnsi="Palatino Linotype"/>
                <w:noProof/>
                <w:webHidden/>
                <w:sz w:val="22"/>
                <w:szCs w:val="22"/>
              </w:rPr>
              <w:fldChar w:fldCharType="end"/>
            </w:r>
          </w:hyperlink>
        </w:p>
        <w:p w14:paraId="405663A3"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71" w:history="1">
            <w:r w:rsidR="00CA64F6" w:rsidRPr="004B415C">
              <w:rPr>
                <w:rStyle w:val="Hipervnculo"/>
                <w:rFonts w:ascii="Palatino Linotype" w:hAnsi="Palatino Linotype" w:cstheme="majorBidi"/>
                <w:bCs/>
                <w:noProof/>
                <w:sz w:val="22"/>
                <w:szCs w:val="22"/>
              </w:rPr>
              <w:t>SÉPTIMO. Vista a la Secretaría Técnica del Pleno</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_Toc193381471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29</w:t>
            </w:r>
            <w:r w:rsidR="00CA64F6" w:rsidRPr="004B415C">
              <w:rPr>
                <w:rFonts w:ascii="Palatino Linotype" w:hAnsi="Palatino Linotype"/>
                <w:noProof/>
                <w:webHidden/>
                <w:sz w:val="22"/>
                <w:szCs w:val="22"/>
              </w:rPr>
              <w:fldChar w:fldCharType="end"/>
            </w:r>
          </w:hyperlink>
        </w:p>
        <w:p w14:paraId="4D39446C" w14:textId="77777777" w:rsidR="00CA64F6" w:rsidRPr="004B415C" w:rsidRDefault="00110BC7">
          <w:pPr>
            <w:pStyle w:val="TDC1"/>
            <w:rPr>
              <w:rFonts w:ascii="Palatino Linotype" w:eastAsiaTheme="minorEastAsia" w:hAnsi="Palatino Linotype" w:cstheme="minorBidi"/>
              <w:noProof/>
              <w:sz w:val="22"/>
              <w:szCs w:val="22"/>
              <w:lang w:eastAsia="es-MX"/>
            </w:rPr>
          </w:pPr>
          <w:hyperlink w:anchor="_Toc193381472" w:history="1">
            <w:r w:rsidR="00CA64F6" w:rsidRPr="004B415C">
              <w:rPr>
                <w:rStyle w:val="Hipervnculo"/>
                <w:rFonts w:ascii="Palatino Linotype" w:hAnsi="Palatino Linotype"/>
                <w:noProof/>
                <w:sz w:val="22"/>
                <w:szCs w:val="22"/>
              </w:rPr>
              <w:t>R E S U E L V E</w:t>
            </w:r>
            <w:r w:rsidR="00CA64F6" w:rsidRPr="004B415C">
              <w:rPr>
                <w:rFonts w:ascii="Palatino Linotype" w:hAnsi="Palatino Linotype"/>
                <w:noProof/>
                <w:webHidden/>
                <w:sz w:val="22"/>
                <w:szCs w:val="22"/>
              </w:rPr>
              <w:tab/>
            </w:r>
            <w:r w:rsidR="00CA64F6" w:rsidRPr="004B415C">
              <w:rPr>
                <w:rFonts w:ascii="Palatino Linotype" w:hAnsi="Palatino Linotype"/>
                <w:noProof/>
                <w:webHidden/>
                <w:sz w:val="22"/>
                <w:szCs w:val="22"/>
              </w:rPr>
              <w:fldChar w:fldCharType="begin"/>
            </w:r>
            <w:r w:rsidR="00CA64F6" w:rsidRPr="004B415C">
              <w:rPr>
                <w:rFonts w:ascii="Palatino Linotype" w:hAnsi="Palatino Linotype"/>
                <w:noProof/>
                <w:webHidden/>
                <w:sz w:val="22"/>
                <w:szCs w:val="22"/>
              </w:rPr>
              <w:instrText xml:space="preserve"> PAGEREF _Toc193381472 \h </w:instrText>
            </w:r>
            <w:r w:rsidR="00CA64F6" w:rsidRPr="004B415C">
              <w:rPr>
                <w:rFonts w:ascii="Palatino Linotype" w:hAnsi="Palatino Linotype"/>
                <w:noProof/>
                <w:webHidden/>
                <w:sz w:val="22"/>
                <w:szCs w:val="22"/>
              </w:rPr>
            </w:r>
            <w:r w:rsidR="00CA64F6" w:rsidRPr="004B415C">
              <w:rPr>
                <w:rFonts w:ascii="Palatino Linotype" w:hAnsi="Palatino Linotype"/>
                <w:noProof/>
                <w:webHidden/>
                <w:sz w:val="22"/>
                <w:szCs w:val="22"/>
              </w:rPr>
              <w:fldChar w:fldCharType="separate"/>
            </w:r>
            <w:r w:rsidR="00456AFC">
              <w:rPr>
                <w:rFonts w:ascii="Palatino Linotype" w:hAnsi="Palatino Linotype"/>
                <w:noProof/>
                <w:webHidden/>
                <w:sz w:val="22"/>
                <w:szCs w:val="22"/>
              </w:rPr>
              <w:t>31</w:t>
            </w:r>
            <w:r w:rsidR="00CA64F6" w:rsidRPr="004B415C">
              <w:rPr>
                <w:rFonts w:ascii="Palatino Linotype" w:hAnsi="Palatino Linotype"/>
                <w:noProof/>
                <w:webHidden/>
                <w:sz w:val="22"/>
                <w:szCs w:val="22"/>
              </w:rPr>
              <w:fldChar w:fldCharType="end"/>
            </w:r>
          </w:hyperlink>
        </w:p>
        <w:p w14:paraId="03C9AFF7" w14:textId="7A75F492" w:rsidR="007935E5" w:rsidRPr="003932DF" w:rsidRDefault="007935E5" w:rsidP="00641744">
          <w:pPr>
            <w:spacing w:line="360" w:lineRule="auto"/>
            <w:jc w:val="both"/>
            <w:rPr>
              <w:color w:val="FF0000"/>
            </w:rPr>
          </w:pPr>
          <w:r w:rsidRPr="004B415C">
            <w:rPr>
              <w:rFonts w:ascii="Palatino Linotype" w:hAnsi="Palatino Linotype"/>
              <w:bCs/>
              <w:color w:val="FF0000"/>
              <w:sz w:val="22"/>
              <w:szCs w:val="22"/>
              <w:lang w:val="es-ES"/>
            </w:rPr>
            <w:fldChar w:fldCharType="end"/>
          </w:r>
        </w:p>
      </w:sdtContent>
    </w:sdt>
    <w:p w14:paraId="0ED4147D" w14:textId="681D8C1A" w:rsidR="00F82637" w:rsidRPr="003932DF" w:rsidRDefault="007935E5" w:rsidP="00641744">
      <w:pPr>
        <w:spacing w:line="360" w:lineRule="auto"/>
        <w:jc w:val="both"/>
        <w:rPr>
          <w:rFonts w:ascii="Palatino Linotype" w:eastAsiaTheme="minorHAnsi" w:hAnsi="Palatino Linotype" w:cs="Tahoma"/>
          <w:bCs/>
          <w:color w:val="FF0000"/>
          <w:sz w:val="22"/>
          <w:szCs w:val="22"/>
          <w:lang w:eastAsia="en-US"/>
        </w:rPr>
      </w:pPr>
      <w:r w:rsidRPr="003932DF">
        <w:rPr>
          <w:rFonts w:ascii="Palatino Linotype" w:eastAsiaTheme="minorHAnsi" w:hAnsi="Palatino Linotype" w:cs="Tahoma"/>
          <w:bCs/>
          <w:color w:val="FF0000"/>
          <w:sz w:val="22"/>
          <w:szCs w:val="22"/>
          <w:lang w:eastAsia="en-US"/>
        </w:rPr>
        <w:br w:type="column"/>
      </w:r>
      <w:r w:rsidR="00F82637" w:rsidRPr="003932DF">
        <w:rPr>
          <w:rFonts w:ascii="Palatino Linotype" w:eastAsiaTheme="minorHAnsi" w:hAnsi="Palatino Linotype" w:cs="Tahoma"/>
          <w:bCs/>
          <w:sz w:val="22"/>
          <w:szCs w:val="22"/>
          <w:lang w:eastAsia="en-US"/>
        </w:rPr>
        <w:lastRenderedPageBreak/>
        <w:t xml:space="preserve">Resolución del Pleno del Instituto de Transparencia, Acceso a la Información Pública y </w:t>
      </w:r>
      <w:r w:rsidR="00F82637" w:rsidRPr="003932DF">
        <w:rPr>
          <w:rFonts w:ascii="Palatino Linotype" w:hAnsi="Palatino Linotype" w:cs="Tahoma"/>
          <w:bCs/>
          <w:sz w:val="22"/>
          <w:szCs w:val="22"/>
        </w:rPr>
        <w:t>Protección de Datos Personales del Estado de México y Municipios, con domicilio en Metepec, Estado de México, de fecha</w:t>
      </w:r>
      <w:r w:rsidR="00F33150" w:rsidRPr="003932DF">
        <w:rPr>
          <w:rFonts w:ascii="Palatino Linotype" w:hAnsi="Palatino Linotype" w:cs="Tahoma"/>
          <w:bCs/>
          <w:sz w:val="22"/>
          <w:szCs w:val="22"/>
        </w:rPr>
        <w:t xml:space="preserve"> </w:t>
      </w:r>
      <w:r w:rsidR="0031738F" w:rsidRPr="003932DF">
        <w:rPr>
          <w:rFonts w:ascii="Palatino Linotype" w:hAnsi="Palatino Linotype" w:cs="Tahoma"/>
          <w:bCs/>
          <w:sz w:val="22"/>
          <w:szCs w:val="22"/>
        </w:rPr>
        <w:t>veinte de marzo de dos mil veintic</w:t>
      </w:r>
      <w:r w:rsidR="00CA1990" w:rsidRPr="003932DF">
        <w:rPr>
          <w:rFonts w:ascii="Palatino Linotype" w:hAnsi="Palatino Linotype" w:cs="Tahoma"/>
          <w:bCs/>
          <w:sz w:val="22"/>
          <w:szCs w:val="22"/>
        </w:rPr>
        <w:t>inco.</w:t>
      </w:r>
    </w:p>
    <w:p w14:paraId="7922BAAD" w14:textId="77777777" w:rsidR="00F82637" w:rsidRPr="003932DF" w:rsidRDefault="00F82637" w:rsidP="00641744">
      <w:pPr>
        <w:spacing w:line="360" w:lineRule="auto"/>
        <w:jc w:val="both"/>
        <w:rPr>
          <w:rFonts w:ascii="Palatino Linotype" w:eastAsiaTheme="minorHAnsi" w:hAnsi="Palatino Linotype" w:cstheme="minorBidi"/>
          <w:sz w:val="22"/>
          <w:szCs w:val="22"/>
          <w:lang w:eastAsia="en-US"/>
        </w:rPr>
      </w:pPr>
    </w:p>
    <w:p w14:paraId="446072B0" w14:textId="0547757F" w:rsidR="00F82637" w:rsidRPr="003932DF" w:rsidRDefault="00F82637" w:rsidP="00641744">
      <w:pPr>
        <w:spacing w:line="360" w:lineRule="auto"/>
        <w:jc w:val="both"/>
        <w:rPr>
          <w:rFonts w:ascii="Palatino Linotype" w:eastAsiaTheme="minorHAnsi" w:hAnsi="Palatino Linotype" w:cstheme="minorBidi"/>
          <w:sz w:val="22"/>
          <w:szCs w:val="22"/>
          <w:lang w:eastAsia="en-US"/>
        </w:rPr>
      </w:pPr>
      <w:r w:rsidRPr="003932DF">
        <w:rPr>
          <w:rFonts w:ascii="Palatino Linotype" w:eastAsiaTheme="minorHAnsi" w:hAnsi="Palatino Linotype" w:cstheme="minorBidi"/>
          <w:b/>
          <w:bCs/>
          <w:sz w:val="22"/>
          <w:szCs w:val="22"/>
          <w:lang w:eastAsia="en-US"/>
        </w:rPr>
        <w:t xml:space="preserve">VISTO </w:t>
      </w:r>
      <w:r w:rsidRPr="003932DF">
        <w:rPr>
          <w:rFonts w:ascii="Palatino Linotype" w:eastAsiaTheme="minorHAnsi" w:hAnsi="Palatino Linotype" w:cstheme="minorBidi"/>
          <w:bCs/>
          <w:sz w:val="22"/>
          <w:szCs w:val="22"/>
          <w:lang w:eastAsia="en-US"/>
        </w:rPr>
        <w:t xml:space="preserve">el expediente conformado con motivo del Recurso de Revisión </w:t>
      </w:r>
      <w:r w:rsidR="00B64111" w:rsidRPr="004B415C">
        <w:rPr>
          <w:rFonts w:ascii="Palatino Linotype" w:eastAsiaTheme="minorHAnsi" w:hAnsi="Palatino Linotype" w:cstheme="minorBidi"/>
          <w:b/>
          <w:sz w:val="22"/>
          <w:szCs w:val="22"/>
          <w:lang w:eastAsia="en-US"/>
        </w:rPr>
        <w:t>0</w:t>
      </w:r>
      <w:r w:rsidR="0031738F" w:rsidRPr="004B415C">
        <w:rPr>
          <w:rFonts w:ascii="Palatino Linotype" w:eastAsiaTheme="minorHAnsi" w:hAnsi="Palatino Linotype" w:cstheme="minorBidi"/>
          <w:b/>
          <w:sz w:val="22"/>
          <w:szCs w:val="22"/>
          <w:lang w:eastAsia="en-US"/>
        </w:rPr>
        <w:t>1646</w:t>
      </w:r>
      <w:r w:rsidR="004C586D" w:rsidRPr="004B415C">
        <w:rPr>
          <w:rFonts w:ascii="Palatino Linotype" w:eastAsiaTheme="minorHAnsi" w:hAnsi="Palatino Linotype" w:cstheme="minorBidi"/>
          <w:b/>
          <w:sz w:val="22"/>
          <w:szCs w:val="22"/>
          <w:lang w:eastAsia="en-US"/>
        </w:rPr>
        <w:t>/INFOEM/IP/RR/2025</w:t>
      </w:r>
      <w:r w:rsidRPr="003932DF">
        <w:rPr>
          <w:rFonts w:ascii="Palatino Linotype" w:eastAsiaTheme="minorHAnsi" w:hAnsi="Palatino Linotype" w:cstheme="minorBidi"/>
          <w:sz w:val="22"/>
          <w:szCs w:val="22"/>
          <w:lang w:eastAsia="en-US"/>
        </w:rPr>
        <w:t>, inter</w:t>
      </w:r>
      <w:r w:rsidR="001723FE" w:rsidRPr="003932DF">
        <w:rPr>
          <w:rFonts w:ascii="Palatino Linotype" w:eastAsiaTheme="minorHAnsi" w:hAnsi="Palatino Linotype" w:cstheme="minorBidi"/>
          <w:sz w:val="22"/>
          <w:szCs w:val="22"/>
          <w:lang w:eastAsia="en-US"/>
        </w:rPr>
        <w:t xml:space="preserve">puesto </w:t>
      </w:r>
      <w:r w:rsidR="007F28D2" w:rsidRPr="003932DF">
        <w:rPr>
          <w:rFonts w:ascii="Palatino Linotype" w:eastAsiaTheme="minorHAnsi" w:hAnsi="Palatino Linotype" w:cstheme="minorBidi"/>
          <w:sz w:val="22"/>
          <w:szCs w:val="22"/>
          <w:lang w:eastAsia="en-US"/>
        </w:rPr>
        <w:t>por</w:t>
      </w:r>
      <w:r w:rsidR="00985347" w:rsidRPr="003932DF">
        <w:rPr>
          <w:rFonts w:ascii="Palatino Linotype" w:eastAsia="Calibri" w:hAnsi="Palatino Linotype" w:cs="Tahoma"/>
          <w:sz w:val="22"/>
          <w:szCs w:val="22"/>
          <w:lang w:eastAsia="en-US"/>
        </w:rPr>
        <w:t xml:space="preserve"> </w:t>
      </w:r>
      <w:r w:rsidR="00702F9A" w:rsidRPr="003932DF">
        <w:rPr>
          <w:rFonts w:ascii="Palatino Linotype" w:eastAsia="Calibri" w:hAnsi="Palatino Linotype" w:cs="Tahoma"/>
          <w:sz w:val="22"/>
          <w:szCs w:val="22"/>
          <w:lang w:eastAsia="en-US"/>
        </w:rPr>
        <w:t xml:space="preserve">la persona </w:t>
      </w:r>
      <w:r w:rsidR="002B3B70" w:rsidRPr="003932DF">
        <w:rPr>
          <w:rFonts w:ascii="Palatino Linotype" w:eastAsia="Calibri" w:hAnsi="Palatino Linotype" w:cs="Tahoma"/>
          <w:sz w:val="22"/>
          <w:szCs w:val="22"/>
          <w:lang w:eastAsia="en-US"/>
        </w:rPr>
        <w:t>Recurrente o Particular</w:t>
      </w:r>
      <w:r w:rsidR="002B3B70" w:rsidRPr="003932DF">
        <w:rPr>
          <w:rFonts w:ascii="Palatino Linotype" w:eastAsiaTheme="minorHAnsi" w:hAnsi="Palatino Linotype" w:cstheme="minorBidi"/>
          <w:sz w:val="22"/>
          <w:szCs w:val="22"/>
          <w:lang w:eastAsia="en-US"/>
        </w:rPr>
        <w:t>, en lo sucesivo</w:t>
      </w:r>
      <w:r w:rsidRPr="003932DF">
        <w:rPr>
          <w:rFonts w:ascii="Palatino Linotype" w:eastAsiaTheme="minorHAnsi" w:hAnsi="Palatino Linotype" w:cstheme="minorBidi"/>
          <w:sz w:val="22"/>
          <w:szCs w:val="22"/>
          <w:lang w:eastAsia="en-US"/>
        </w:rPr>
        <w:t xml:space="preserve">, en contra de la </w:t>
      </w:r>
      <w:r w:rsidR="003B4F63" w:rsidRPr="003932DF">
        <w:rPr>
          <w:rFonts w:ascii="Palatino Linotype" w:eastAsiaTheme="minorHAnsi" w:hAnsi="Palatino Linotype" w:cstheme="minorBidi"/>
          <w:sz w:val="22"/>
          <w:szCs w:val="22"/>
          <w:lang w:eastAsia="en-US"/>
        </w:rPr>
        <w:t xml:space="preserve">falta de </w:t>
      </w:r>
      <w:r w:rsidRPr="003932DF">
        <w:rPr>
          <w:rFonts w:ascii="Palatino Linotype" w:eastAsiaTheme="minorHAnsi" w:hAnsi="Palatino Linotype" w:cstheme="minorBidi"/>
          <w:sz w:val="22"/>
          <w:szCs w:val="22"/>
          <w:lang w:eastAsia="en-US"/>
        </w:rPr>
        <w:t xml:space="preserve">respuesta del Sujeto Obligado, </w:t>
      </w:r>
      <w:r w:rsidR="002B3B70" w:rsidRPr="004B415C">
        <w:rPr>
          <w:rFonts w:ascii="Palatino Linotype" w:eastAsia="Calibri" w:hAnsi="Palatino Linotype" w:cs="Tahoma"/>
          <w:b/>
          <w:bCs/>
          <w:sz w:val="22"/>
          <w:szCs w:val="22"/>
          <w:lang w:eastAsia="en-US"/>
        </w:rPr>
        <w:t>Ayuntamiento de</w:t>
      </w:r>
      <w:r w:rsidR="00D96A32" w:rsidRPr="004B415C">
        <w:rPr>
          <w:rFonts w:ascii="Palatino Linotype" w:eastAsia="Calibri" w:hAnsi="Palatino Linotype" w:cs="Tahoma"/>
          <w:b/>
          <w:bCs/>
          <w:sz w:val="22"/>
          <w:szCs w:val="22"/>
          <w:lang w:eastAsia="en-US"/>
        </w:rPr>
        <w:t xml:space="preserve"> </w:t>
      </w:r>
      <w:r w:rsidR="0031738F" w:rsidRPr="004B415C">
        <w:rPr>
          <w:rFonts w:ascii="Palatino Linotype" w:eastAsia="Calibri" w:hAnsi="Palatino Linotype" w:cs="Tahoma"/>
          <w:b/>
          <w:bCs/>
          <w:sz w:val="22"/>
          <w:szCs w:val="22"/>
          <w:lang w:eastAsia="en-US"/>
        </w:rPr>
        <w:t>Ixtapaluca</w:t>
      </w:r>
      <w:r w:rsidRPr="004B415C">
        <w:rPr>
          <w:rFonts w:ascii="Palatino Linotype" w:eastAsiaTheme="minorHAnsi" w:hAnsi="Palatino Linotype" w:cstheme="minorBidi"/>
          <w:b/>
          <w:sz w:val="22"/>
          <w:szCs w:val="22"/>
          <w:lang w:eastAsia="en-US"/>
        </w:rPr>
        <w:t>,</w:t>
      </w:r>
      <w:r w:rsidRPr="003932DF">
        <w:rPr>
          <w:rFonts w:ascii="Palatino Linotype" w:eastAsiaTheme="minorHAnsi" w:hAnsi="Palatino Linotype" w:cstheme="minorBidi"/>
          <w:sz w:val="22"/>
          <w:szCs w:val="22"/>
          <w:lang w:eastAsia="en-US"/>
        </w:rPr>
        <w:t xml:space="preserve"> a la solicitud de acceso a la información pública </w:t>
      </w:r>
      <w:r w:rsidR="0031738F" w:rsidRPr="003932DF">
        <w:rPr>
          <w:rFonts w:ascii="Palatino Linotype" w:eastAsia="Calibri" w:hAnsi="Palatino Linotype" w:cs="Tahoma"/>
          <w:bCs/>
          <w:sz w:val="22"/>
          <w:szCs w:val="22"/>
          <w:lang w:eastAsia="en-US"/>
        </w:rPr>
        <w:t>00002/IXTAPALU/IP/2025</w:t>
      </w:r>
      <w:r w:rsidRPr="003932DF">
        <w:rPr>
          <w:rFonts w:ascii="Palatino Linotype" w:eastAsia="Calibri" w:hAnsi="Palatino Linotype" w:cs="Tahoma"/>
          <w:bCs/>
          <w:sz w:val="22"/>
          <w:szCs w:val="22"/>
          <w:lang w:eastAsia="en-US"/>
        </w:rPr>
        <w:t>,</w:t>
      </w:r>
      <w:r w:rsidRPr="003932DF">
        <w:rPr>
          <w:rFonts w:ascii="Palatino Linotype" w:eastAsiaTheme="minorHAnsi" w:hAnsi="Palatino Linotype" w:cstheme="minorBidi"/>
          <w:sz w:val="22"/>
          <w:szCs w:val="22"/>
          <w:lang w:eastAsia="en-US"/>
        </w:rPr>
        <w:t xml:space="preserve"> se emite la presente Resolución, con base en los Antecedentes y Considerandos que a continuación</w:t>
      </w:r>
      <w:r w:rsidRPr="003932DF">
        <w:rPr>
          <w:rFonts w:ascii="Palatino Linotype" w:eastAsiaTheme="minorHAnsi" w:hAnsi="Palatino Linotype" w:cstheme="minorBidi"/>
          <w:bCs/>
          <w:sz w:val="22"/>
          <w:szCs w:val="22"/>
          <w:lang w:eastAsia="en-US"/>
        </w:rPr>
        <w:t xml:space="preserve"> se exponen:</w:t>
      </w:r>
    </w:p>
    <w:p w14:paraId="38162D29" w14:textId="77777777" w:rsidR="008F4B45" w:rsidRPr="003932DF" w:rsidRDefault="008F4B45" w:rsidP="00641744">
      <w:pPr>
        <w:pStyle w:val="Subttulo"/>
        <w:spacing w:after="0" w:line="360" w:lineRule="auto"/>
        <w:rPr>
          <w:color w:val="auto"/>
        </w:rPr>
      </w:pPr>
    </w:p>
    <w:p w14:paraId="45CF508A" w14:textId="26E68249" w:rsidR="008F4B45" w:rsidRPr="003932DF" w:rsidRDefault="003F5E0D" w:rsidP="00641744">
      <w:pPr>
        <w:pStyle w:val="Ttulo1"/>
        <w:rPr>
          <w:color w:val="auto"/>
        </w:rPr>
      </w:pPr>
      <w:bookmarkStart w:id="1" w:name="_Toc193381454"/>
      <w:r w:rsidRPr="003932DF">
        <w:rPr>
          <w:color w:val="auto"/>
        </w:rPr>
        <w:t>A N T E C E D E N T E S</w:t>
      </w:r>
      <w:bookmarkEnd w:id="1"/>
    </w:p>
    <w:p w14:paraId="3D51A562" w14:textId="77777777" w:rsidR="008F4B45" w:rsidRPr="003932DF" w:rsidRDefault="008F4B45" w:rsidP="00641744">
      <w:pPr>
        <w:pStyle w:val="ResolucinV"/>
        <w:rPr>
          <w:color w:val="auto"/>
        </w:rPr>
      </w:pPr>
    </w:p>
    <w:p w14:paraId="07539392" w14:textId="0FBD8EBF" w:rsidR="00F469B3" w:rsidRPr="003932DF" w:rsidRDefault="00F469B3" w:rsidP="00641744">
      <w:pPr>
        <w:pStyle w:val="Ttulo2"/>
        <w:rPr>
          <w:color w:val="auto"/>
        </w:rPr>
      </w:pPr>
      <w:bookmarkStart w:id="2" w:name="_Toc193381455"/>
      <w:r w:rsidRPr="003932DF">
        <w:rPr>
          <w:color w:val="auto"/>
        </w:rPr>
        <w:t>I. Presentación de la solicitud de información</w:t>
      </w:r>
      <w:bookmarkEnd w:id="2"/>
    </w:p>
    <w:p w14:paraId="2C510854" w14:textId="77777777" w:rsidR="00F469B3" w:rsidRPr="003932DF" w:rsidRDefault="00F469B3" w:rsidP="00641744">
      <w:pPr>
        <w:tabs>
          <w:tab w:val="left" w:pos="567"/>
        </w:tabs>
        <w:spacing w:line="360" w:lineRule="auto"/>
        <w:jc w:val="both"/>
        <w:rPr>
          <w:rFonts w:ascii="Palatino Linotype" w:hAnsi="Palatino Linotype" w:cs="Tahoma"/>
          <w:sz w:val="22"/>
          <w:szCs w:val="22"/>
        </w:rPr>
      </w:pPr>
    </w:p>
    <w:p w14:paraId="0F999651" w14:textId="121FB2EF" w:rsidR="00253EAE" w:rsidRPr="003932DF" w:rsidRDefault="00542F88" w:rsidP="00641744">
      <w:pPr>
        <w:autoSpaceDE w:val="0"/>
        <w:autoSpaceDN w:val="0"/>
        <w:adjustRightInd w:val="0"/>
        <w:spacing w:line="360" w:lineRule="auto"/>
        <w:jc w:val="both"/>
        <w:rPr>
          <w:rFonts w:ascii="Palatino Linotype" w:eastAsiaTheme="minorHAnsi" w:hAnsi="Palatino Linotype" w:cs="Tahoma"/>
          <w:sz w:val="22"/>
          <w:szCs w:val="22"/>
          <w:lang w:eastAsia="en-US"/>
        </w:rPr>
      </w:pPr>
      <w:r w:rsidRPr="003932DF">
        <w:rPr>
          <w:rFonts w:ascii="Palatino Linotype" w:eastAsiaTheme="minorHAnsi" w:hAnsi="Palatino Linotype" w:cs="Tahoma"/>
          <w:sz w:val="22"/>
          <w:szCs w:val="22"/>
          <w:lang w:eastAsia="en-US"/>
        </w:rPr>
        <w:t xml:space="preserve">El </w:t>
      </w:r>
      <w:r w:rsidR="0031738F" w:rsidRPr="003932DF">
        <w:rPr>
          <w:rFonts w:ascii="Palatino Linotype" w:eastAsiaTheme="minorHAnsi" w:hAnsi="Palatino Linotype" w:cs="Tahoma"/>
          <w:sz w:val="22"/>
          <w:szCs w:val="22"/>
          <w:lang w:eastAsia="en-US"/>
        </w:rPr>
        <w:t xml:space="preserve">trece de enero de dos mil veinticinco, </w:t>
      </w:r>
      <w:r w:rsidR="00253EAE" w:rsidRPr="003932DF">
        <w:rPr>
          <w:rFonts w:ascii="Palatino Linotype" w:hAnsi="Palatino Linotype" w:cs="Tahoma"/>
          <w:sz w:val="22"/>
          <w:szCs w:val="22"/>
        </w:rPr>
        <w:t xml:space="preserve">el Particular presentó una solicitud de acceso a la información pública, a través del Sistema de Acceso a la Información Mexiquense (SAIMEX), </w:t>
      </w:r>
      <w:r w:rsidR="0031738F" w:rsidRPr="003932DF">
        <w:rPr>
          <w:rFonts w:ascii="Palatino Linotype" w:eastAsiaTheme="minorHAnsi" w:hAnsi="Palatino Linotype" w:cs="Tahoma"/>
          <w:sz w:val="22"/>
          <w:szCs w:val="22"/>
          <w:lang w:eastAsia="en-US"/>
        </w:rPr>
        <w:t>(ya que, si bien se registró el veintiséis de diciembre de dos mil veinticuatro, este fue inhábil, por lo que se tuvo por</w:t>
      </w:r>
      <w:r w:rsidR="0031738F" w:rsidRPr="003932DF">
        <w:rPr>
          <w:rFonts w:ascii="Palatino Linotype" w:eastAsiaTheme="minorHAnsi" w:hAnsi="Palatino Linotype" w:cs="Tahoma"/>
          <w:sz w:val="22"/>
          <w:szCs w:val="22"/>
          <w:lang w:eastAsia="en-US"/>
        </w:rPr>
        <w:br/>
        <w:t xml:space="preserve">presentado el día hábil siguiente), </w:t>
      </w:r>
      <w:r w:rsidR="00253EAE" w:rsidRPr="003932DF">
        <w:rPr>
          <w:rFonts w:ascii="Palatino Linotype" w:hAnsi="Palatino Linotype" w:cs="Tahoma"/>
          <w:sz w:val="22"/>
          <w:szCs w:val="22"/>
        </w:rPr>
        <w:t>ante el</w:t>
      </w:r>
      <w:r w:rsidR="003E16CF" w:rsidRPr="003932DF">
        <w:rPr>
          <w:rFonts w:ascii="Palatino Linotype" w:eastAsia="Calibri" w:hAnsi="Palatino Linotype" w:cs="Tahoma"/>
          <w:sz w:val="22"/>
          <w:szCs w:val="22"/>
          <w:lang w:eastAsia="en-US"/>
        </w:rPr>
        <w:t xml:space="preserve"> </w:t>
      </w:r>
      <w:r w:rsidR="00D96A32" w:rsidRPr="003932DF">
        <w:rPr>
          <w:rFonts w:ascii="Palatino Linotype" w:eastAsia="Calibri" w:hAnsi="Palatino Linotype" w:cs="Tahoma"/>
          <w:bCs/>
          <w:sz w:val="22"/>
          <w:szCs w:val="22"/>
          <w:lang w:eastAsia="en-US"/>
        </w:rPr>
        <w:t xml:space="preserve">Ayuntamiento de </w:t>
      </w:r>
      <w:r w:rsidR="0031738F" w:rsidRPr="003932DF">
        <w:rPr>
          <w:rFonts w:ascii="Palatino Linotype" w:eastAsia="Calibri" w:hAnsi="Palatino Linotype" w:cs="Tahoma"/>
          <w:bCs/>
          <w:sz w:val="22"/>
          <w:szCs w:val="22"/>
          <w:lang w:eastAsia="en-US"/>
        </w:rPr>
        <w:t>Ixtapaluca</w:t>
      </w:r>
      <w:r w:rsidR="00253EAE" w:rsidRPr="003932DF">
        <w:rPr>
          <w:rFonts w:ascii="Palatino Linotype" w:hAnsi="Palatino Linotype"/>
          <w:bCs/>
          <w:sz w:val="22"/>
          <w:szCs w:val="22"/>
        </w:rPr>
        <w:t>,</w:t>
      </w:r>
      <w:r w:rsidR="00253EAE" w:rsidRPr="003932DF">
        <w:rPr>
          <w:rFonts w:ascii="Palatino Linotype" w:hAnsi="Palatino Linotype" w:cs="Tahoma"/>
          <w:bCs/>
          <w:sz w:val="22"/>
          <w:szCs w:val="22"/>
        </w:rPr>
        <w:t xml:space="preserve"> en los siguientes términos:</w:t>
      </w:r>
    </w:p>
    <w:p w14:paraId="122865B0" w14:textId="77777777" w:rsidR="00253EAE" w:rsidRPr="003932DF" w:rsidRDefault="00253EAE" w:rsidP="00641744">
      <w:pPr>
        <w:autoSpaceDE w:val="0"/>
        <w:autoSpaceDN w:val="0"/>
        <w:adjustRightInd w:val="0"/>
        <w:spacing w:line="360" w:lineRule="auto"/>
        <w:jc w:val="both"/>
        <w:rPr>
          <w:rFonts w:ascii="Palatino Linotype" w:hAnsi="Palatino Linotype" w:cs="Tahoma"/>
          <w:bCs/>
          <w:color w:val="FF0000"/>
          <w:sz w:val="22"/>
          <w:szCs w:val="22"/>
        </w:rPr>
      </w:pPr>
    </w:p>
    <w:p w14:paraId="32D1D69F" w14:textId="752B2ACF" w:rsidR="00253EAE" w:rsidRPr="003932DF" w:rsidRDefault="003A796B" w:rsidP="00641744">
      <w:pPr>
        <w:tabs>
          <w:tab w:val="left" w:pos="4667"/>
        </w:tabs>
        <w:spacing w:line="360" w:lineRule="auto"/>
        <w:ind w:left="567" w:right="567"/>
        <w:jc w:val="both"/>
        <w:rPr>
          <w:rFonts w:ascii="Palatino Linotype" w:hAnsi="Palatino Linotype" w:cs="Tahoma"/>
          <w:b/>
          <w:bCs/>
          <w:i/>
        </w:rPr>
      </w:pPr>
      <w:r w:rsidRPr="003932DF">
        <w:rPr>
          <w:rFonts w:ascii="Palatino Linotype" w:hAnsi="Palatino Linotype" w:cs="Tahoma"/>
          <w:b/>
          <w:bCs/>
          <w:i/>
        </w:rPr>
        <w:t>“</w:t>
      </w:r>
      <w:r w:rsidR="00253EAE" w:rsidRPr="003932DF">
        <w:rPr>
          <w:rFonts w:ascii="Palatino Linotype" w:hAnsi="Palatino Linotype" w:cs="Tahoma"/>
          <w:b/>
          <w:bCs/>
          <w:i/>
        </w:rPr>
        <w:t>DESCRIPCIÓN CLARA Y PRECISA DE LA INFORMACIÓN SOLICITADA</w:t>
      </w:r>
    </w:p>
    <w:p w14:paraId="372368C1" w14:textId="3C27E6C8" w:rsidR="00253EAE" w:rsidRPr="003932DF" w:rsidRDefault="0031738F" w:rsidP="00641744">
      <w:pPr>
        <w:spacing w:line="360" w:lineRule="auto"/>
        <w:ind w:left="567" w:right="567"/>
        <w:jc w:val="both"/>
        <w:rPr>
          <w:rFonts w:ascii="Palatino Linotype" w:hAnsi="Palatino Linotype" w:cs="Arial"/>
          <w:bCs/>
          <w:i/>
          <w:iCs/>
        </w:rPr>
      </w:pPr>
      <w:r w:rsidRPr="003932DF">
        <w:rPr>
          <w:rFonts w:ascii="Palatino Linotype" w:hAnsi="Palatino Linotype" w:cs="Arial"/>
          <w:bCs/>
          <w:i/>
          <w:iCs/>
        </w:rPr>
        <w:t>Información que haya sobre el programa social del transporte universitario de Ixtapaluca (TUI</w:t>
      </w:r>
      <w:r w:rsidR="002B1F4F" w:rsidRPr="003932DF">
        <w:rPr>
          <w:rFonts w:ascii="Palatino Linotype" w:hAnsi="Palatino Linotype" w:cs="Arial"/>
          <w:bCs/>
          <w:i/>
          <w:iCs/>
        </w:rPr>
        <w:t>)</w:t>
      </w:r>
      <w:r w:rsidR="00641744" w:rsidRPr="003932DF">
        <w:rPr>
          <w:rFonts w:ascii="Palatino Linotype" w:hAnsi="Palatino Linotype" w:cs="Arial"/>
          <w:bCs/>
          <w:i/>
          <w:iCs/>
        </w:rPr>
        <w:t xml:space="preserve">” </w:t>
      </w:r>
      <w:r w:rsidR="00764C67" w:rsidRPr="003932DF">
        <w:rPr>
          <w:rFonts w:ascii="Palatino Linotype" w:hAnsi="Palatino Linotype" w:cs="Arial"/>
          <w:bCs/>
          <w:i/>
          <w:iCs/>
        </w:rPr>
        <w:t>(Sic)</w:t>
      </w:r>
    </w:p>
    <w:p w14:paraId="1DBA1A78" w14:textId="77777777" w:rsidR="00A90989" w:rsidRPr="003932DF" w:rsidRDefault="00A90989" w:rsidP="00641744">
      <w:pPr>
        <w:tabs>
          <w:tab w:val="left" w:pos="4667"/>
        </w:tabs>
        <w:spacing w:line="360" w:lineRule="auto"/>
        <w:ind w:right="567"/>
        <w:jc w:val="both"/>
        <w:rPr>
          <w:rFonts w:ascii="Palatino Linotype" w:hAnsi="Palatino Linotype" w:cs="Tahoma"/>
          <w:bCs/>
          <w:i/>
          <w:color w:val="FF0000"/>
        </w:rPr>
      </w:pPr>
    </w:p>
    <w:p w14:paraId="328702F2" w14:textId="318B7756" w:rsidR="00253EAE" w:rsidRPr="003932DF" w:rsidRDefault="003A796B" w:rsidP="00641744">
      <w:pPr>
        <w:tabs>
          <w:tab w:val="left" w:pos="4667"/>
        </w:tabs>
        <w:spacing w:line="360" w:lineRule="auto"/>
        <w:ind w:left="567" w:right="567"/>
        <w:jc w:val="both"/>
        <w:rPr>
          <w:rFonts w:ascii="Palatino Linotype" w:hAnsi="Palatino Linotype" w:cs="Tahoma"/>
          <w:b/>
          <w:bCs/>
          <w:i/>
          <w:iCs/>
        </w:rPr>
      </w:pPr>
      <w:r w:rsidRPr="003932DF">
        <w:rPr>
          <w:rFonts w:ascii="Palatino Linotype" w:hAnsi="Palatino Linotype" w:cs="Tahoma"/>
          <w:b/>
          <w:bCs/>
          <w:i/>
          <w:iCs/>
        </w:rPr>
        <w:t>“</w:t>
      </w:r>
      <w:r w:rsidR="00253EAE" w:rsidRPr="003932DF">
        <w:rPr>
          <w:rFonts w:ascii="Palatino Linotype" w:hAnsi="Palatino Linotype" w:cs="Tahoma"/>
          <w:b/>
          <w:bCs/>
          <w:i/>
          <w:iCs/>
        </w:rPr>
        <w:t>MODALIDAD DE ENTREGA</w:t>
      </w:r>
    </w:p>
    <w:p w14:paraId="1A6019ED" w14:textId="23685A48" w:rsidR="004805C1" w:rsidRPr="003932DF" w:rsidRDefault="00253EAE" w:rsidP="00641744">
      <w:pPr>
        <w:spacing w:line="360" w:lineRule="auto"/>
        <w:ind w:left="567" w:right="567"/>
        <w:jc w:val="both"/>
        <w:rPr>
          <w:rFonts w:ascii="Palatino Linotype" w:hAnsi="Palatino Linotype" w:cs="Arial"/>
          <w:bCs/>
          <w:i/>
          <w:iCs/>
        </w:rPr>
      </w:pPr>
      <w:r w:rsidRPr="003932DF">
        <w:rPr>
          <w:rFonts w:ascii="Palatino Linotype" w:hAnsi="Palatino Linotype" w:cs="Arial"/>
          <w:bCs/>
          <w:i/>
          <w:iCs/>
        </w:rPr>
        <w:lastRenderedPageBreak/>
        <w:t xml:space="preserve">A través del SAIMEX” </w:t>
      </w:r>
    </w:p>
    <w:p w14:paraId="7119F7CA" w14:textId="77777777" w:rsidR="00A7673D" w:rsidRPr="003932DF" w:rsidRDefault="00A7673D" w:rsidP="00641744">
      <w:pPr>
        <w:spacing w:line="360" w:lineRule="auto"/>
        <w:ind w:left="567" w:right="567"/>
        <w:jc w:val="both"/>
        <w:rPr>
          <w:rFonts w:ascii="Palatino Linotype" w:hAnsi="Palatino Linotype" w:cs="Arial"/>
          <w:bCs/>
          <w:i/>
          <w:iCs/>
          <w:sz w:val="22"/>
          <w:szCs w:val="22"/>
        </w:rPr>
      </w:pPr>
    </w:p>
    <w:p w14:paraId="4A453407" w14:textId="6D784427" w:rsidR="00F469B3" w:rsidRPr="003932DF" w:rsidRDefault="00F469B3" w:rsidP="00641744">
      <w:pPr>
        <w:pStyle w:val="Ttulo2"/>
        <w:rPr>
          <w:color w:val="auto"/>
        </w:rPr>
      </w:pPr>
      <w:bookmarkStart w:id="3" w:name="_Toc193381456"/>
      <w:r w:rsidRPr="003932DF">
        <w:rPr>
          <w:color w:val="auto"/>
        </w:rPr>
        <w:t>I</w:t>
      </w:r>
      <w:r w:rsidR="004805C1" w:rsidRPr="003932DF">
        <w:rPr>
          <w:color w:val="auto"/>
        </w:rPr>
        <w:t>I</w:t>
      </w:r>
      <w:r w:rsidRPr="003932DF">
        <w:rPr>
          <w:color w:val="auto"/>
        </w:rPr>
        <w:t>. Respuesta del Sujeto Obligado</w:t>
      </w:r>
      <w:bookmarkEnd w:id="3"/>
    </w:p>
    <w:p w14:paraId="4ED48BC3" w14:textId="77777777" w:rsidR="0053216F" w:rsidRPr="003932DF" w:rsidRDefault="0053216F" w:rsidP="00641744">
      <w:pPr>
        <w:spacing w:line="360" w:lineRule="auto"/>
        <w:jc w:val="both"/>
        <w:rPr>
          <w:rFonts w:ascii="Palatino Linotype" w:eastAsiaTheme="minorHAnsi" w:hAnsi="Palatino Linotype" w:cstheme="minorBidi"/>
          <w:color w:val="FF0000"/>
          <w:sz w:val="22"/>
          <w:szCs w:val="22"/>
          <w:lang w:eastAsia="en-US"/>
        </w:rPr>
      </w:pPr>
    </w:p>
    <w:p w14:paraId="0B1EC5E0" w14:textId="2E709947" w:rsidR="003942CB" w:rsidRPr="003932DF" w:rsidRDefault="003942CB" w:rsidP="00641744">
      <w:pPr>
        <w:spacing w:line="360" w:lineRule="auto"/>
        <w:jc w:val="both"/>
        <w:rPr>
          <w:rFonts w:ascii="Palatino Linotype" w:eastAsiaTheme="minorHAnsi" w:hAnsi="Palatino Linotype" w:cstheme="minorBidi"/>
          <w:sz w:val="22"/>
          <w:szCs w:val="22"/>
          <w:lang w:eastAsia="en-US"/>
        </w:rPr>
      </w:pPr>
      <w:r w:rsidRPr="003932DF">
        <w:rPr>
          <w:rFonts w:ascii="Palatino Linotype" w:eastAsiaTheme="minorHAnsi" w:hAnsi="Palatino Linotype" w:cstheme="minorBidi"/>
          <w:sz w:val="22"/>
          <w:szCs w:val="22"/>
          <w:lang w:eastAsia="en-US"/>
        </w:rPr>
        <w:t>De</w:t>
      </w:r>
      <w:r w:rsidR="003932DF" w:rsidRPr="003932DF">
        <w:rPr>
          <w:rFonts w:ascii="Palatino Linotype" w:eastAsiaTheme="minorHAnsi" w:hAnsi="Palatino Linotype" w:cstheme="minorBidi"/>
          <w:sz w:val="22"/>
          <w:szCs w:val="22"/>
          <w:lang w:eastAsia="en-US"/>
        </w:rPr>
        <w:t xml:space="preserve"> conformidad con el artículo 163</w:t>
      </w:r>
      <w:r w:rsidRPr="003932DF">
        <w:rPr>
          <w:rFonts w:ascii="Palatino Linotype" w:eastAsiaTheme="minorHAnsi" w:hAnsi="Palatino Linotype" w:cstheme="minorBidi"/>
          <w:sz w:val="22"/>
          <w:szCs w:val="22"/>
          <w:lang w:eastAsia="en-US"/>
        </w:rPr>
        <w:t>, párrafo primero de la Ley de Transparencia y Acceso a</w:t>
      </w:r>
    </w:p>
    <w:p w14:paraId="72793F33" w14:textId="77B251AF" w:rsidR="003942CB" w:rsidRPr="003932DF" w:rsidRDefault="003942CB" w:rsidP="00641744">
      <w:pPr>
        <w:spacing w:line="360" w:lineRule="auto"/>
        <w:jc w:val="both"/>
        <w:rPr>
          <w:rFonts w:ascii="Palatino Linotype" w:eastAsiaTheme="minorHAnsi" w:hAnsi="Palatino Linotype" w:cstheme="minorBidi"/>
          <w:sz w:val="22"/>
          <w:szCs w:val="22"/>
          <w:lang w:eastAsia="en-US"/>
        </w:rPr>
      </w:pPr>
      <w:r w:rsidRPr="003932DF">
        <w:rPr>
          <w:rFonts w:ascii="Palatino Linotype" w:eastAsiaTheme="minorHAnsi" w:hAnsi="Palatino Linotype" w:cstheme="minorBidi"/>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3932DF">
        <w:rPr>
          <w:rFonts w:ascii="Palatino Linotype" w:eastAsia="Calibri" w:hAnsi="Palatino Linotype" w:cs="Tahoma"/>
          <w:b/>
          <w:bCs/>
          <w:sz w:val="22"/>
          <w:szCs w:val="22"/>
          <w:lang w:eastAsia="en-US"/>
        </w:rPr>
        <w:t xml:space="preserve"> </w:t>
      </w:r>
      <w:r w:rsidR="00D96A32" w:rsidRPr="003932DF">
        <w:rPr>
          <w:rFonts w:ascii="Palatino Linotype" w:eastAsia="Calibri" w:hAnsi="Palatino Linotype" w:cs="Tahoma"/>
          <w:b/>
          <w:bCs/>
          <w:sz w:val="22"/>
          <w:szCs w:val="22"/>
          <w:lang w:eastAsia="en-US"/>
        </w:rPr>
        <w:t xml:space="preserve">Ayuntamiento de </w:t>
      </w:r>
      <w:r w:rsidR="000149DF" w:rsidRPr="003932DF">
        <w:rPr>
          <w:rFonts w:ascii="Palatino Linotype" w:eastAsia="Calibri" w:hAnsi="Palatino Linotype" w:cs="Tahoma"/>
          <w:b/>
          <w:bCs/>
          <w:sz w:val="22"/>
          <w:szCs w:val="22"/>
          <w:lang w:eastAsia="en-US"/>
        </w:rPr>
        <w:t>Ixtapaluca</w:t>
      </w:r>
      <w:r w:rsidRPr="003932DF">
        <w:rPr>
          <w:rFonts w:ascii="Palatino Linotype" w:eastAsiaTheme="minorHAnsi" w:hAnsi="Palatino Linotype" w:cstheme="minorBidi"/>
          <w:sz w:val="22"/>
          <w:szCs w:val="22"/>
          <w:lang w:eastAsia="en-US"/>
        </w:rPr>
        <w:t xml:space="preserve">, omitió dar respuesta a la solicitud de información, por lo que se </w:t>
      </w:r>
      <w:r w:rsidRPr="003932DF">
        <w:rPr>
          <w:rFonts w:ascii="Palatino Linotype" w:eastAsiaTheme="minorHAnsi" w:hAnsi="Palatino Linotype" w:cstheme="minorBidi"/>
          <w:b/>
          <w:sz w:val="22"/>
          <w:szCs w:val="22"/>
          <w:lang w:eastAsia="en-US"/>
        </w:rPr>
        <w:t>configura la negativa ficta</w:t>
      </w:r>
      <w:r w:rsidRPr="003932DF">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3932DF" w:rsidRDefault="003942CB" w:rsidP="00641744">
      <w:pPr>
        <w:spacing w:line="360" w:lineRule="auto"/>
        <w:jc w:val="both"/>
        <w:rPr>
          <w:rFonts w:ascii="Palatino Linotype" w:hAnsi="Palatino Linotype" w:cs="Tahoma"/>
          <w:bCs/>
          <w:iCs/>
          <w:color w:val="FF0000"/>
          <w:sz w:val="22"/>
          <w:szCs w:val="22"/>
        </w:rPr>
      </w:pPr>
    </w:p>
    <w:p w14:paraId="6E7C6651" w14:textId="4925B6E3" w:rsidR="00F469B3" w:rsidRPr="003932DF" w:rsidRDefault="00F469B3" w:rsidP="00641744">
      <w:pPr>
        <w:pStyle w:val="Ttulo2"/>
        <w:rPr>
          <w:color w:val="auto"/>
          <w:lang w:eastAsia="en-US"/>
        </w:rPr>
      </w:pPr>
      <w:bookmarkStart w:id="4" w:name="_Toc193381457"/>
      <w:r w:rsidRPr="003932DF">
        <w:rPr>
          <w:color w:val="auto"/>
          <w:lang w:eastAsia="en-US"/>
        </w:rPr>
        <w:t>I</w:t>
      </w:r>
      <w:r w:rsidR="00D2369D" w:rsidRPr="003932DF">
        <w:rPr>
          <w:color w:val="auto"/>
          <w:lang w:eastAsia="en-US"/>
        </w:rPr>
        <w:t>II</w:t>
      </w:r>
      <w:r w:rsidRPr="003932DF">
        <w:rPr>
          <w:color w:val="auto"/>
          <w:lang w:eastAsia="en-US"/>
        </w:rPr>
        <w:t>. Interposición del Recurso de Revisión</w:t>
      </w:r>
      <w:bookmarkEnd w:id="4"/>
    </w:p>
    <w:p w14:paraId="356E2604" w14:textId="77777777" w:rsidR="00F469B3" w:rsidRPr="003932DF" w:rsidRDefault="00F469B3" w:rsidP="00641744">
      <w:pPr>
        <w:spacing w:line="360" w:lineRule="auto"/>
        <w:jc w:val="both"/>
        <w:rPr>
          <w:rFonts w:ascii="Palatino Linotype" w:eastAsiaTheme="minorHAnsi" w:hAnsi="Palatino Linotype" w:cstheme="minorBidi"/>
          <w:b/>
          <w:bCs/>
          <w:color w:val="FF0000"/>
          <w:sz w:val="22"/>
          <w:szCs w:val="22"/>
          <w:lang w:eastAsia="en-US"/>
        </w:rPr>
      </w:pPr>
    </w:p>
    <w:p w14:paraId="5DB53334" w14:textId="72ADBF38" w:rsidR="00F469B3" w:rsidRPr="003932DF" w:rsidRDefault="00B4118B" w:rsidP="00641744">
      <w:pPr>
        <w:spacing w:line="360" w:lineRule="auto"/>
        <w:jc w:val="both"/>
        <w:rPr>
          <w:rFonts w:ascii="Palatino Linotype" w:eastAsiaTheme="minorHAnsi" w:hAnsi="Palatino Linotype" w:cs="Tahoma"/>
          <w:sz w:val="22"/>
          <w:szCs w:val="22"/>
          <w:lang w:eastAsia="en-US"/>
        </w:rPr>
      </w:pPr>
      <w:r w:rsidRPr="003932DF">
        <w:rPr>
          <w:rFonts w:ascii="Palatino Linotype" w:eastAsiaTheme="minorHAnsi" w:hAnsi="Palatino Linotype" w:cs="Tahoma"/>
          <w:sz w:val="22"/>
          <w:szCs w:val="22"/>
          <w:lang w:eastAsia="en-US"/>
        </w:rPr>
        <w:t>El</w:t>
      </w:r>
      <w:r w:rsidR="00D96A32" w:rsidRPr="003932DF">
        <w:rPr>
          <w:rFonts w:ascii="Palatino Linotype" w:eastAsiaTheme="minorHAnsi" w:hAnsi="Palatino Linotype" w:cs="Tahoma"/>
          <w:sz w:val="22"/>
          <w:szCs w:val="22"/>
          <w:lang w:eastAsia="en-US"/>
        </w:rPr>
        <w:t xml:space="preserve"> </w:t>
      </w:r>
      <w:r w:rsidR="00412DE9" w:rsidRPr="003932DF">
        <w:rPr>
          <w:rFonts w:ascii="Palatino Linotype" w:eastAsiaTheme="minorHAnsi" w:hAnsi="Palatino Linotype" w:cs="Tahoma"/>
          <w:sz w:val="22"/>
          <w:szCs w:val="22"/>
          <w:lang w:eastAsia="en-US"/>
        </w:rPr>
        <w:t>diecinueve</w:t>
      </w:r>
      <w:r w:rsidR="00AD54D1" w:rsidRPr="003932DF">
        <w:rPr>
          <w:rFonts w:ascii="Palatino Linotype" w:eastAsiaTheme="minorHAnsi" w:hAnsi="Palatino Linotype" w:cs="Tahoma"/>
          <w:sz w:val="22"/>
          <w:szCs w:val="22"/>
          <w:lang w:eastAsia="en-US"/>
        </w:rPr>
        <w:t xml:space="preserve"> </w:t>
      </w:r>
      <w:r w:rsidR="00AD54D1" w:rsidRPr="003932DF">
        <w:rPr>
          <w:rFonts w:ascii="Palatino Linotype" w:hAnsi="Palatino Linotype" w:cs="Tahoma"/>
          <w:bCs/>
          <w:iCs/>
          <w:sz w:val="22"/>
          <w:szCs w:val="22"/>
        </w:rPr>
        <w:t>de</w:t>
      </w:r>
      <w:r w:rsidR="003E16CF" w:rsidRPr="003932DF">
        <w:rPr>
          <w:rFonts w:ascii="Palatino Linotype" w:hAnsi="Palatino Linotype" w:cs="Tahoma"/>
          <w:bCs/>
          <w:iCs/>
          <w:sz w:val="22"/>
          <w:szCs w:val="22"/>
        </w:rPr>
        <w:t xml:space="preserve"> </w:t>
      </w:r>
      <w:r w:rsidR="002B3B70" w:rsidRPr="003932DF">
        <w:rPr>
          <w:rFonts w:ascii="Palatino Linotype" w:hAnsi="Palatino Linotype" w:cs="Tahoma"/>
          <w:bCs/>
          <w:iCs/>
          <w:sz w:val="22"/>
          <w:szCs w:val="22"/>
        </w:rPr>
        <w:t>febrero</w:t>
      </w:r>
      <w:r w:rsidR="00CF2FD4" w:rsidRPr="003932DF">
        <w:rPr>
          <w:rFonts w:ascii="Palatino Linotype" w:hAnsi="Palatino Linotype" w:cs="Tahoma"/>
          <w:bCs/>
          <w:iCs/>
          <w:sz w:val="22"/>
          <w:szCs w:val="22"/>
        </w:rPr>
        <w:t xml:space="preserve"> de dos mil veintic</w:t>
      </w:r>
      <w:r w:rsidR="003E16CF" w:rsidRPr="003932DF">
        <w:rPr>
          <w:rFonts w:ascii="Palatino Linotype" w:hAnsi="Palatino Linotype" w:cs="Tahoma"/>
          <w:bCs/>
          <w:iCs/>
          <w:sz w:val="22"/>
          <w:szCs w:val="22"/>
        </w:rPr>
        <w:t>inco</w:t>
      </w:r>
      <w:r w:rsidR="00F469B3" w:rsidRPr="003932DF">
        <w:rPr>
          <w:rFonts w:ascii="Palatino Linotype" w:eastAsiaTheme="minorHAnsi" w:hAnsi="Palatino Linotype" w:cs="Tahoma"/>
          <w:sz w:val="22"/>
          <w:szCs w:val="22"/>
          <w:lang w:eastAsia="en-US"/>
        </w:rPr>
        <w:t xml:space="preserve">, </w:t>
      </w:r>
      <w:r w:rsidR="00F469B3" w:rsidRPr="003932DF">
        <w:rPr>
          <w:rFonts w:ascii="Palatino Linotype" w:eastAsiaTheme="minorHAnsi" w:hAnsi="Palatino Linotype" w:cs="Tahoma"/>
          <w:sz w:val="22"/>
          <w:szCs w:val="22"/>
          <w:lang w:val="es-ES" w:eastAsia="en-US"/>
        </w:rPr>
        <w:t xml:space="preserve">el Particular interpuso un Recurso de Revisión ante este Instituto, a través del Sistema de Acceso a la Información Mexiquense (SAIMEX), en contra de la </w:t>
      </w:r>
      <w:r w:rsidR="00542F88" w:rsidRPr="003932DF">
        <w:rPr>
          <w:rFonts w:ascii="Palatino Linotype" w:eastAsiaTheme="minorHAnsi" w:hAnsi="Palatino Linotype" w:cs="Tahoma"/>
          <w:sz w:val="22"/>
          <w:szCs w:val="22"/>
          <w:lang w:val="es-ES" w:eastAsia="en-US"/>
        </w:rPr>
        <w:t xml:space="preserve">falta de </w:t>
      </w:r>
      <w:r w:rsidR="00F469B3" w:rsidRPr="003932DF">
        <w:rPr>
          <w:rFonts w:ascii="Palatino Linotype" w:eastAsiaTheme="minorHAnsi" w:hAnsi="Palatino Linotype" w:cs="Tahoma"/>
          <w:sz w:val="22"/>
          <w:szCs w:val="22"/>
          <w:lang w:val="es-ES" w:eastAsia="en-US"/>
        </w:rPr>
        <w:t>respuesta por el</w:t>
      </w:r>
      <w:r w:rsidR="00542F88" w:rsidRPr="003932DF">
        <w:rPr>
          <w:rFonts w:ascii="Palatino Linotype" w:eastAsia="Calibri" w:hAnsi="Palatino Linotype" w:cs="Tahoma"/>
          <w:sz w:val="22"/>
          <w:szCs w:val="22"/>
          <w:lang w:eastAsia="en-US"/>
        </w:rPr>
        <w:t xml:space="preserve"> Sujeto Obligado</w:t>
      </w:r>
      <w:r w:rsidR="00F469B3" w:rsidRPr="003932DF">
        <w:rPr>
          <w:rFonts w:ascii="Palatino Linotype" w:eastAsiaTheme="minorHAnsi" w:hAnsi="Palatino Linotype" w:cs="Tahoma"/>
          <w:sz w:val="22"/>
          <w:szCs w:val="22"/>
          <w:lang w:val="es-ES" w:eastAsia="en-US"/>
        </w:rPr>
        <w:t>,</w:t>
      </w:r>
      <w:r w:rsidR="00764C67" w:rsidRPr="003932DF">
        <w:rPr>
          <w:rFonts w:ascii="Palatino Linotype" w:eastAsiaTheme="minorHAnsi" w:hAnsi="Palatino Linotype" w:cs="Tahoma"/>
          <w:sz w:val="22"/>
          <w:szCs w:val="22"/>
          <w:lang w:val="es-ES" w:eastAsia="en-US"/>
        </w:rPr>
        <w:t xml:space="preserve"> </w:t>
      </w:r>
      <w:r w:rsidR="00F469B3" w:rsidRPr="003932DF">
        <w:rPr>
          <w:rFonts w:ascii="Palatino Linotype" w:eastAsiaTheme="minorHAnsi" w:hAnsi="Palatino Linotype" w:cs="Tahoma"/>
          <w:sz w:val="22"/>
          <w:szCs w:val="22"/>
          <w:lang w:val="es-ES" w:eastAsia="en-US"/>
        </w:rPr>
        <w:t>a la solicitud de información</w:t>
      </w:r>
      <w:r w:rsidR="00EB0141" w:rsidRPr="003932DF">
        <w:rPr>
          <w:rFonts w:ascii="Palatino Linotype" w:eastAsiaTheme="minorHAnsi" w:hAnsi="Palatino Linotype" w:cs="Tahoma"/>
          <w:sz w:val="22"/>
          <w:szCs w:val="22"/>
          <w:lang w:val="es-ES" w:eastAsia="en-US"/>
        </w:rPr>
        <w:t>,</w:t>
      </w:r>
      <w:r w:rsidR="00F469B3" w:rsidRPr="003932DF">
        <w:rPr>
          <w:rFonts w:ascii="Palatino Linotype" w:eastAsiaTheme="minorHAnsi" w:hAnsi="Palatino Linotype" w:cs="Tahoma"/>
          <w:sz w:val="22"/>
          <w:szCs w:val="22"/>
          <w:lang w:val="es-ES" w:eastAsia="en-US"/>
        </w:rPr>
        <w:t xml:space="preserve"> en los siguientes términos: </w:t>
      </w:r>
    </w:p>
    <w:p w14:paraId="0B7A443C" w14:textId="77777777" w:rsidR="00F469B3" w:rsidRPr="003932DF" w:rsidRDefault="00F469B3" w:rsidP="00641744">
      <w:pPr>
        <w:autoSpaceDE w:val="0"/>
        <w:autoSpaceDN w:val="0"/>
        <w:adjustRightInd w:val="0"/>
        <w:spacing w:line="360" w:lineRule="auto"/>
        <w:jc w:val="both"/>
        <w:rPr>
          <w:rFonts w:ascii="Palatino Linotype" w:eastAsiaTheme="minorHAnsi" w:hAnsi="Palatino Linotype" w:cs="Tahoma"/>
          <w:color w:val="FF0000"/>
          <w:sz w:val="22"/>
          <w:szCs w:val="22"/>
          <w:lang w:eastAsia="en-US"/>
        </w:rPr>
      </w:pPr>
    </w:p>
    <w:p w14:paraId="6C986C50" w14:textId="562B1865" w:rsidR="00F469B3" w:rsidRPr="003932DF" w:rsidRDefault="00A90989" w:rsidP="00641744">
      <w:pPr>
        <w:spacing w:line="360" w:lineRule="auto"/>
        <w:ind w:left="567" w:right="567"/>
        <w:jc w:val="both"/>
        <w:rPr>
          <w:rFonts w:ascii="Palatino Linotype" w:eastAsiaTheme="minorHAnsi" w:hAnsi="Palatino Linotype" w:cstheme="minorBidi"/>
          <w:bCs/>
          <w:i/>
          <w:lang w:eastAsia="en-US"/>
        </w:rPr>
      </w:pPr>
      <w:r w:rsidRPr="003932DF">
        <w:rPr>
          <w:rFonts w:ascii="Palatino Linotype" w:eastAsiaTheme="minorHAnsi" w:hAnsi="Palatino Linotype" w:cstheme="minorBidi"/>
          <w:b/>
          <w:bCs/>
          <w:i/>
          <w:lang w:eastAsia="en-US"/>
        </w:rPr>
        <w:t>“</w:t>
      </w:r>
      <w:r w:rsidR="00F469B3" w:rsidRPr="003932DF">
        <w:rPr>
          <w:rFonts w:ascii="Palatino Linotype" w:eastAsiaTheme="minorHAnsi" w:hAnsi="Palatino Linotype" w:cstheme="minorBidi"/>
          <w:b/>
          <w:bCs/>
          <w:i/>
          <w:lang w:eastAsia="en-US"/>
        </w:rPr>
        <w:t>ACTO IMPUGNADO</w:t>
      </w:r>
    </w:p>
    <w:p w14:paraId="2E8033F2" w14:textId="636CCDCC" w:rsidR="00F469B3" w:rsidRPr="003932DF" w:rsidRDefault="00412DE9" w:rsidP="00641744">
      <w:pPr>
        <w:spacing w:line="360" w:lineRule="auto"/>
        <w:ind w:left="567" w:right="567"/>
        <w:jc w:val="both"/>
        <w:rPr>
          <w:rFonts w:ascii="Palatino Linotype" w:eastAsiaTheme="minorHAnsi" w:hAnsi="Palatino Linotype" w:cstheme="minorBidi"/>
          <w:i/>
          <w:lang w:eastAsia="en-US"/>
        </w:rPr>
      </w:pPr>
      <w:r w:rsidRPr="003932DF">
        <w:rPr>
          <w:rFonts w:ascii="Palatino Linotype" w:eastAsiaTheme="minorHAnsi" w:hAnsi="Palatino Linotype" w:cstheme="minorBidi"/>
          <w:i/>
          <w:lang w:eastAsia="en-US"/>
        </w:rPr>
        <w:t>Me negaron la información</w:t>
      </w:r>
      <w:r w:rsidR="00764C67" w:rsidRPr="003932DF">
        <w:rPr>
          <w:rFonts w:ascii="Palatino Linotype" w:eastAsiaTheme="minorHAnsi" w:hAnsi="Palatino Linotype" w:cstheme="minorBidi"/>
          <w:i/>
          <w:lang w:eastAsia="en-US"/>
        </w:rPr>
        <w:t>”</w:t>
      </w:r>
      <w:r w:rsidR="00D96A32" w:rsidRPr="003932DF">
        <w:rPr>
          <w:rFonts w:ascii="Palatino Linotype" w:eastAsiaTheme="minorHAnsi" w:hAnsi="Palatino Linotype" w:cstheme="minorBidi"/>
          <w:i/>
          <w:lang w:eastAsia="en-US"/>
        </w:rPr>
        <w:t xml:space="preserve"> </w:t>
      </w:r>
    </w:p>
    <w:p w14:paraId="72CEB310" w14:textId="77777777" w:rsidR="00764C67" w:rsidRPr="003932DF" w:rsidRDefault="00764C67" w:rsidP="00641744">
      <w:pPr>
        <w:spacing w:line="360" w:lineRule="auto"/>
        <w:ind w:left="567" w:right="567"/>
        <w:jc w:val="both"/>
        <w:rPr>
          <w:rFonts w:ascii="Palatino Linotype" w:eastAsiaTheme="minorHAnsi" w:hAnsi="Palatino Linotype" w:cstheme="minorBidi"/>
          <w:i/>
          <w:lang w:eastAsia="en-US"/>
        </w:rPr>
      </w:pPr>
    </w:p>
    <w:p w14:paraId="20859BF5" w14:textId="7947B27B" w:rsidR="00EB0141" w:rsidRPr="003932DF" w:rsidRDefault="00A90989" w:rsidP="00641744">
      <w:pPr>
        <w:spacing w:line="360" w:lineRule="auto"/>
        <w:ind w:left="567" w:right="567"/>
        <w:rPr>
          <w:rFonts w:ascii="Palatino Linotype" w:hAnsi="Palatino Linotype" w:cs="Tahoma"/>
          <w:b/>
          <w:bCs/>
          <w:i/>
        </w:rPr>
      </w:pPr>
      <w:r w:rsidRPr="003932DF">
        <w:rPr>
          <w:rFonts w:ascii="Palatino Linotype" w:hAnsi="Palatino Linotype" w:cs="Tahoma"/>
          <w:b/>
          <w:bCs/>
          <w:i/>
        </w:rPr>
        <w:t>“</w:t>
      </w:r>
      <w:r w:rsidR="00EB0141" w:rsidRPr="003932DF">
        <w:rPr>
          <w:rFonts w:ascii="Palatino Linotype" w:hAnsi="Palatino Linotype" w:cs="Tahoma"/>
          <w:b/>
          <w:bCs/>
          <w:i/>
        </w:rPr>
        <w:t>RAZONES O MOTIVOS DE LA INCONFORMIDAD</w:t>
      </w:r>
    </w:p>
    <w:p w14:paraId="1FCD9373" w14:textId="3FF2CAD8" w:rsidR="00EB0141" w:rsidRPr="003932DF" w:rsidRDefault="00412DE9" w:rsidP="00641744">
      <w:pPr>
        <w:spacing w:line="360" w:lineRule="auto"/>
        <w:ind w:left="567" w:right="567"/>
        <w:jc w:val="both"/>
        <w:rPr>
          <w:rFonts w:ascii="Palatino Linotype" w:eastAsiaTheme="minorHAnsi" w:hAnsi="Palatino Linotype" w:cstheme="minorBidi"/>
          <w:i/>
          <w:lang w:eastAsia="en-US"/>
        </w:rPr>
      </w:pPr>
      <w:r w:rsidRPr="003932DF">
        <w:rPr>
          <w:rFonts w:ascii="Palatino Linotype" w:eastAsiaTheme="minorHAnsi" w:hAnsi="Palatino Linotype" w:cstheme="minorBidi"/>
          <w:i/>
          <w:lang w:eastAsia="en-US"/>
        </w:rPr>
        <w:t>Es una información solicitada para la realización de una tesina, sin uso o interés de hacer algo malo</w:t>
      </w:r>
      <w:r w:rsidR="00EB0141" w:rsidRPr="003932DF">
        <w:rPr>
          <w:rFonts w:ascii="Palatino Linotype" w:eastAsiaTheme="minorHAnsi" w:hAnsi="Palatino Linotype" w:cstheme="minorBidi"/>
          <w:i/>
          <w:lang w:eastAsia="en-US"/>
        </w:rPr>
        <w:t>”</w:t>
      </w:r>
      <w:r w:rsidR="00985347" w:rsidRPr="003932DF">
        <w:rPr>
          <w:rFonts w:ascii="Palatino Linotype" w:eastAsiaTheme="minorHAnsi" w:hAnsi="Palatino Linotype" w:cstheme="minorBidi"/>
          <w:i/>
          <w:lang w:eastAsia="en-US"/>
        </w:rPr>
        <w:t xml:space="preserve"> </w:t>
      </w:r>
    </w:p>
    <w:p w14:paraId="01F1B018" w14:textId="77777777" w:rsidR="00F469B3" w:rsidRPr="003932DF" w:rsidRDefault="00F469B3" w:rsidP="00641744">
      <w:pPr>
        <w:spacing w:line="360" w:lineRule="auto"/>
        <w:jc w:val="both"/>
        <w:rPr>
          <w:rFonts w:ascii="Palatino Linotype" w:eastAsiaTheme="minorHAnsi" w:hAnsi="Palatino Linotype" w:cstheme="minorBidi"/>
          <w:color w:val="FF0000"/>
          <w:sz w:val="22"/>
          <w:szCs w:val="22"/>
          <w:lang w:eastAsia="en-US"/>
        </w:rPr>
      </w:pPr>
    </w:p>
    <w:p w14:paraId="2FFD3A79" w14:textId="4ACC3653" w:rsidR="00F469B3" w:rsidRPr="003932DF" w:rsidRDefault="00D2369D" w:rsidP="00641744">
      <w:pPr>
        <w:pStyle w:val="Ttulo2"/>
        <w:rPr>
          <w:color w:val="auto"/>
          <w:lang w:eastAsia="en-US"/>
        </w:rPr>
      </w:pPr>
      <w:bookmarkStart w:id="5" w:name="_Toc193381458"/>
      <w:r w:rsidRPr="003932DF">
        <w:rPr>
          <w:color w:val="auto"/>
          <w:lang w:eastAsia="en-US"/>
        </w:rPr>
        <w:lastRenderedPageBreak/>
        <w:t>I</w:t>
      </w:r>
      <w:r w:rsidR="00F469B3" w:rsidRPr="003932DF">
        <w:rPr>
          <w:color w:val="auto"/>
          <w:lang w:eastAsia="en-US"/>
        </w:rPr>
        <w:t>V. Trámite del Recurso de Revisión ante el Instituto</w:t>
      </w:r>
      <w:bookmarkEnd w:id="5"/>
    </w:p>
    <w:p w14:paraId="7F62FC39" w14:textId="77777777" w:rsidR="00320CBA" w:rsidRPr="003932DF" w:rsidRDefault="00320CBA" w:rsidP="00641744">
      <w:pPr>
        <w:spacing w:line="360" w:lineRule="auto"/>
        <w:jc w:val="both"/>
        <w:rPr>
          <w:rFonts w:ascii="Palatino Linotype" w:eastAsiaTheme="minorHAnsi" w:hAnsi="Palatino Linotype" w:cstheme="minorBidi"/>
          <w:b/>
          <w:bCs/>
          <w:color w:val="FF0000"/>
          <w:sz w:val="22"/>
          <w:szCs w:val="22"/>
          <w:lang w:eastAsia="en-US"/>
        </w:rPr>
      </w:pPr>
    </w:p>
    <w:p w14:paraId="74144DA6" w14:textId="6719AF37" w:rsidR="00F469B3" w:rsidRPr="003932DF" w:rsidRDefault="00F469B3" w:rsidP="00641744">
      <w:pPr>
        <w:spacing w:line="360" w:lineRule="auto"/>
        <w:jc w:val="both"/>
        <w:rPr>
          <w:rFonts w:ascii="Palatino Linotype" w:eastAsiaTheme="minorHAnsi" w:hAnsi="Palatino Linotype" w:cstheme="minorBidi"/>
          <w:sz w:val="22"/>
          <w:szCs w:val="22"/>
          <w:lang w:eastAsia="en-US"/>
        </w:rPr>
      </w:pPr>
      <w:bookmarkStart w:id="6" w:name="_Toc193381459"/>
      <w:r w:rsidRPr="003932DF">
        <w:rPr>
          <w:rStyle w:val="Ttulo2Car"/>
          <w:sz w:val="22"/>
          <w:szCs w:val="22"/>
        </w:rPr>
        <w:t>a) Turno del Recurso de Revisión.</w:t>
      </w:r>
      <w:bookmarkEnd w:id="6"/>
      <w:r w:rsidRPr="003932DF">
        <w:rPr>
          <w:rFonts w:ascii="Palatino Linotype" w:eastAsiaTheme="minorHAnsi" w:hAnsi="Palatino Linotype" w:cstheme="minorBidi"/>
          <w:b/>
          <w:bCs/>
          <w:sz w:val="22"/>
          <w:szCs w:val="22"/>
          <w:lang w:eastAsia="en-US"/>
        </w:rPr>
        <w:t xml:space="preserve"> </w:t>
      </w:r>
      <w:r w:rsidRPr="003932DF">
        <w:rPr>
          <w:rFonts w:ascii="Palatino Linotype" w:eastAsiaTheme="minorHAnsi" w:hAnsi="Palatino Linotype" w:cstheme="minorBidi"/>
          <w:sz w:val="22"/>
          <w:szCs w:val="22"/>
          <w:lang w:eastAsia="en-US"/>
        </w:rPr>
        <w:t xml:space="preserve">El </w:t>
      </w:r>
      <w:r w:rsidR="00412DE9" w:rsidRPr="003932DF">
        <w:rPr>
          <w:rFonts w:ascii="Palatino Linotype" w:eastAsiaTheme="minorHAnsi" w:hAnsi="Palatino Linotype" w:cstheme="minorBidi"/>
          <w:sz w:val="22"/>
          <w:szCs w:val="22"/>
          <w:lang w:eastAsia="en-US"/>
        </w:rPr>
        <w:t>diecinueve</w:t>
      </w:r>
      <w:r w:rsidR="00D96A32" w:rsidRPr="003932DF">
        <w:rPr>
          <w:rFonts w:ascii="Palatino Linotype" w:eastAsiaTheme="minorHAnsi" w:hAnsi="Palatino Linotype" w:cstheme="minorBidi"/>
          <w:sz w:val="22"/>
          <w:szCs w:val="22"/>
          <w:lang w:eastAsia="en-US"/>
        </w:rPr>
        <w:t xml:space="preserve"> </w:t>
      </w:r>
      <w:r w:rsidR="003E16CF" w:rsidRPr="003932DF">
        <w:rPr>
          <w:rFonts w:ascii="Palatino Linotype" w:hAnsi="Palatino Linotype" w:cs="Tahoma"/>
          <w:bCs/>
          <w:iCs/>
          <w:sz w:val="22"/>
          <w:szCs w:val="22"/>
        </w:rPr>
        <w:t xml:space="preserve">de </w:t>
      </w:r>
      <w:r w:rsidR="00E53593" w:rsidRPr="003932DF">
        <w:rPr>
          <w:rFonts w:ascii="Palatino Linotype" w:hAnsi="Palatino Linotype" w:cs="Tahoma"/>
          <w:bCs/>
          <w:iCs/>
          <w:sz w:val="22"/>
          <w:szCs w:val="22"/>
        </w:rPr>
        <w:t>febrero</w:t>
      </w:r>
      <w:r w:rsidR="00CF2FD4" w:rsidRPr="003932DF">
        <w:rPr>
          <w:rFonts w:ascii="Palatino Linotype" w:hAnsi="Palatino Linotype" w:cs="Tahoma"/>
          <w:bCs/>
          <w:iCs/>
          <w:sz w:val="22"/>
          <w:szCs w:val="22"/>
        </w:rPr>
        <w:t xml:space="preserve"> de dos mil veintic</w:t>
      </w:r>
      <w:r w:rsidR="003E16CF" w:rsidRPr="003932DF">
        <w:rPr>
          <w:rFonts w:ascii="Palatino Linotype" w:hAnsi="Palatino Linotype" w:cs="Tahoma"/>
          <w:bCs/>
          <w:iCs/>
          <w:sz w:val="22"/>
          <w:szCs w:val="22"/>
        </w:rPr>
        <w:t>inco</w:t>
      </w:r>
      <w:r w:rsidRPr="003932DF">
        <w:rPr>
          <w:rFonts w:ascii="Palatino Linotype" w:eastAsia="Batang" w:hAnsi="Palatino Linotype" w:cs="Tahoma"/>
          <w:bCs/>
          <w:sz w:val="22"/>
          <w:szCs w:val="22"/>
        </w:rPr>
        <w:t xml:space="preserve">, el </w:t>
      </w:r>
      <w:r w:rsidRPr="003932DF">
        <w:rPr>
          <w:rFonts w:ascii="Palatino Linotype" w:hAnsi="Palatino Linotype" w:cs="Tahoma"/>
          <w:sz w:val="22"/>
          <w:szCs w:val="22"/>
          <w:lang w:val="es-ES"/>
        </w:rPr>
        <w:t>Sistema de Acceso a la Información Mexiquense (SAIMEX),</w:t>
      </w:r>
      <w:r w:rsidRPr="003932DF">
        <w:rPr>
          <w:rFonts w:ascii="Palatino Linotype" w:eastAsia="Batang" w:hAnsi="Palatino Linotype" w:cs="Tahoma"/>
          <w:bCs/>
          <w:sz w:val="22"/>
          <w:szCs w:val="22"/>
        </w:rPr>
        <w:t xml:space="preserve"> asignó el número de expediente </w:t>
      </w:r>
      <w:r w:rsidR="00D96A32" w:rsidRPr="003932DF">
        <w:rPr>
          <w:rFonts w:ascii="Palatino Linotype" w:eastAsia="Batang" w:hAnsi="Palatino Linotype" w:cs="Tahoma"/>
          <w:b/>
          <w:bCs/>
          <w:sz w:val="22"/>
          <w:szCs w:val="22"/>
        </w:rPr>
        <w:t>0</w:t>
      </w:r>
      <w:r w:rsidR="00412DE9" w:rsidRPr="003932DF">
        <w:rPr>
          <w:rFonts w:ascii="Palatino Linotype" w:eastAsia="Batang" w:hAnsi="Palatino Linotype" w:cs="Tahoma"/>
          <w:b/>
          <w:bCs/>
          <w:sz w:val="22"/>
          <w:szCs w:val="22"/>
        </w:rPr>
        <w:t>1646</w:t>
      </w:r>
      <w:r w:rsidR="004C586D" w:rsidRPr="003932DF">
        <w:rPr>
          <w:rFonts w:ascii="Palatino Linotype" w:eastAsia="Batang" w:hAnsi="Palatino Linotype" w:cs="Tahoma"/>
          <w:b/>
          <w:bCs/>
          <w:sz w:val="22"/>
          <w:szCs w:val="22"/>
        </w:rPr>
        <w:t>/INFOEM/IP/RR/2025</w:t>
      </w:r>
      <w:r w:rsidRPr="003932DF">
        <w:rPr>
          <w:rFonts w:ascii="Palatino Linotype" w:eastAsia="Batang" w:hAnsi="Palatino Linotype" w:cs="Tahoma"/>
          <w:bCs/>
          <w:sz w:val="22"/>
          <w:szCs w:val="22"/>
        </w:rPr>
        <w:t xml:space="preserve">, al medio de impugnación que nos ocupa, con base en el sistema aprobado por el Pleno de este </w:t>
      </w:r>
      <w:r w:rsidR="00A31139" w:rsidRPr="003932DF">
        <w:rPr>
          <w:rFonts w:ascii="Palatino Linotype" w:eastAsia="Batang" w:hAnsi="Palatino Linotype" w:cs="Tahoma"/>
          <w:bCs/>
          <w:sz w:val="22"/>
          <w:szCs w:val="22"/>
        </w:rPr>
        <w:t>Organismo</w:t>
      </w:r>
      <w:r w:rsidRPr="003932DF">
        <w:rPr>
          <w:rFonts w:ascii="Palatino Linotype" w:eastAsia="Batang" w:hAnsi="Palatino Linotype" w:cs="Tahoma"/>
          <w:bCs/>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3932DF" w:rsidRDefault="00E06C17" w:rsidP="00641744">
      <w:pPr>
        <w:spacing w:line="360" w:lineRule="auto"/>
        <w:jc w:val="both"/>
        <w:rPr>
          <w:rFonts w:ascii="Palatino Linotype" w:eastAsia="Batang" w:hAnsi="Palatino Linotype" w:cs="Tahoma"/>
          <w:b/>
          <w:bCs/>
          <w:color w:val="FF0000"/>
          <w:sz w:val="22"/>
          <w:szCs w:val="22"/>
        </w:rPr>
      </w:pPr>
    </w:p>
    <w:p w14:paraId="26883477" w14:textId="715E86C5" w:rsidR="00F469B3" w:rsidRPr="003932DF" w:rsidRDefault="006C349C" w:rsidP="00641744">
      <w:pPr>
        <w:spacing w:line="360" w:lineRule="auto"/>
        <w:jc w:val="both"/>
        <w:rPr>
          <w:rFonts w:ascii="Palatino Linotype" w:eastAsia="Batang" w:hAnsi="Palatino Linotype" w:cs="Tahoma"/>
          <w:bCs/>
          <w:sz w:val="22"/>
          <w:szCs w:val="22"/>
        </w:rPr>
      </w:pPr>
      <w:bookmarkStart w:id="7" w:name="_Toc193381460"/>
      <w:r w:rsidRPr="003932DF">
        <w:rPr>
          <w:rStyle w:val="Ttulo2Car"/>
          <w:sz w:val="22"/>
          <w:szCs w:val="22"/>
        </w:rPr>
        <w:t>b</w:t>
      </w:r>
      <w:r w:rsidR="00F469B3" w:rsidRPr="003932DF">
        <w:rPr>
          <w:rStyle w:val="Ttulo2Car"/>
          <w:sz w:val="22"/>
          <w:szCs w:val="22"/>
        </w:rPr>
        <w:t>) Admisión del Recurso de Revisión</w:t>
      </w:r>
      <w:bookmarkEnd w:id="7"/>
      <w:r w:rsidR="00F469B3" w:rsidRPr="003932DF">
        <w:rPr>
          <w:rFonts w:ascii="Palatino Linotype" w:eastAsia="Batang" w:hAnsi="Palatino Linotype" w:cs="Tahoma"/>
          <w:b/>
          <w:bCs/>
          <w:sz w:val="22"/>
          <w:szCs w:val="22"/>
          <w:lang w:val="es-ES_tradnl"/>
        </w:rPr>
        <w:t xml:space="preserve">. </w:t>
      </w:r>
      <w:r w:rsidR="006213D7" w:rsidRPr="003932DF">
        <w:rPr>
          <w:rFonts w:ascii="Palatino Linotype" w:eastAsia="Batang" w:hAnsi="Palatino Linotype" w:cs="Tahoma"/>
          <w:bCs/>
          <w:sz w:val="22"/>
          <w:szCs w:val="22"/>
        </w:rPr>
        <w:t xml:space="preserve">El </w:t>
      </w:r>
      <w:r w:rsidR="00317C62" w:rsidRPr="003932DF">
        <w:rPr>
          <w:rFonts w:ascii="Palatino Linotype" w:eastAsia="Batang" w:hAnsi="Palatino Linotype" w:cs="Tahoma"/>
          <w:bCs/>
          <w:sz w:val="22"/>
          <w:szCs w:val="22"/>
        </w:rPr>
        <w:t>veinticuatro</w:t>
      </w:r>
      <w:r w:rsidR="00D96A32" w:rsidRPr="003932DF">
        <w:rPr>
          <w:rFonts w:ascii="Palatino Linotype" w:eastAsia="Batang" w:hAnsi="Palatino Linotype" w:cs="Tahoma"/>
          <w:bCs/>
          <w:sz w:val="22"/>
          <w:szCs w:val="22"/>
        </w:rPr>
        <w:t xml:space="preserve"> </w:t>
      </w:r>
      <w:r w:rsidR="003E16CF" w:rsidRPr="003932DF">
        <w:rPr>
          <w:rFonts w:ascii="Palatino Linotype" w:hAnsi="Palatino Linotype" w:cs="Tahoma"/>
          <w:bCs/>
          <w:iCs/>
          <w:sz w:val="22"/>
          <w:szCs w:val="22"/>
        </w:rPr>
        <w:t xml:space="preserve">de </w:t>
      </w:r>
      <w:r w:rsidR="00E53593" w:rsidRPr="003932DF">
        <w:rPr>
          <w:rFonts w:ascii="Palatino Linotype" w:hAnsi="Palatino Linotype" w:cs="Tahoma"/>
          <w:bCs/>
          <w:iCs/>
          <w:sz w:val="22"/>
          <w:szCs w:val="22"/>
        </w:rPr>
        <w:t>febrero</w:t>
      </w:r>
      <w:r w:rsidR="006213D7" w:rsidRPr="003932DF">
        <w:rPr>
          <w:rFonts w:ascii="Palatino Linotype" w:hAnsi="Palatino Linotype" w:cs="Tahoma"/>
          <w:bCs/>
          <w:iCs/>
          <w:sz w:val="22"/>
          <w:szCs w:val="22"/>
        </w:rPr>
        <w:t xml:space="preserve"> de dos mil veintic</w:t>
      </w:r>
      <w:r w:rsidR="003E16CF" w:rsidRPr="003932DF">
        <w:rPr>
          <w:rFonts w:ascii="Palatino Linotype" w:hAnsi="Palatino Linotype" w:cs="Tahoma"/>
          <w:bCs/>
          <w:iCs/>
          <w:sz w:val="22"/>
          <w:szCs w:val="22"/>
        </w:rPr>
        <w:t>inco</w:t>
      </w:r>
      <w:r w:rsidR="00F469B3" w:rsidRPr="003932DF">
        <w:rPr>
          <w:rFonts w:ascii="Palatino Linotype" w:eastAsia="Batang" w:hAnsi="Palatino Linotype" w:cs="Tahoma"/>
          <w:bCs/>
          <w:sz w:val="22"/>
          <w:szCs w:val="22"/>
          <w:lang w:val="es-ES_tradnl"/>
        </w:rPr>
        <w:t xml:space="preserve">, se acordó la admisión del Recurso de Revisión interpuesto por </w:t>
      </w:r>
      <w:r w:rsidR="00393C64" w:rsidRPr="003932DF">
        <w:rPr>
          <w:rFonts w:ascii="Palatino Linotype" w:eastAsia="Batang" w:hAnsi="Palatino Linotype" w:cs="Tahoma"/>
          <w:bCs/>
          <w:sz w:val="22"/>
          <w:szCs w:val="22"/>
          <w:lang w:val="es-ES_tradnl"/>
        </w:rPr>
        <w:t>la persona</w:t>
      </w:r>
      <w:r w:rsidR="00F469B3" w:rsidRPr="003932DF">
        <w:rPr>
          <w:rFonts w:ascii="Palatino Linotype" w:eastAsia="Batang" w:hAnsi="Palatino Linotype" w:cs="Tahoma"/>
          <w:bCs/>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3932DF">
        <w:rPr>
          <w:rFonts w:ascii="Palatino Linotype" w:eastAsia="Batang" w:hAnsi="Palatino Linotype" w:cs="Tahoma"/>
          <w:bCs/>
          <w:sz w:val="22"/>
          <w:szCs w:val="22"/>
          <w:lang w:val="es-ES_tradnl"/>
        </w:rPr>
        <w:t xml:space="preserve"> </w:t>
      </w:r>
      <w:r w:rsidR="00D96A32" w:rsidRPr="003932DF">
        <w:rPr>
          <w:rFonts w:ascii="Palatino Linotype" w:eastAsia="Batang" w:hAnsi="Palatino Linotype" w:cs="Tahoma"/>
          <w:bCs/>
          <w:sz w:val="22"/>
          <w:szCs w:val="22"/>
          <w:lang w:val="es-ES_tradnl"/>
        </w:rPr>
        <w:t xml:space="preserve">mismo día, </w:t>
      </w:r>
      <w:r w:rsidR="00F469B3" w:rsidRPr="003932DF">
        <w:rPr>
          <w:rFonts w:ascii="Palatino Linotype" w:eastAsia="Batang" w:hAnsi="Palatino Linotype" w:cs="Tahoma"/>
          <w:bCs/>
          <w:sz w:val="22"/>
          <w:szCs w:val="22"/>
          <w:lang w:val="es-ES_tradnl"/>
        </w:rPr>
        <w:t>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3932DF" w:rsidRDefault="00F469B3" w:rsidP="00641744">
      <w:pPr>
        <w:spacing w:line="360" w:lineRule="auto"/>
        <w:jc w:val="both"/>
        <w:rPr>
          <w:rFonts w:ascii="Palatino Linotype" w:eastAsia="Batang" w:hAnsi="Palatino Linotype" w:cs="Tahoma"/>
          <w:bCs/>
          <w:color w:val="FF0000"/>
          <w:sz w:val="22"/>
          <w:szCs w:val="22"/>
          <w:lang w:val="es-ES_tradnl"/>
        </w:rPr>
      </w:pPr>
    </w:p>
    <w:p w14:paraId="115EAFCB" w14:textId="713D590C" w:rsidR="00CF452B" w:rsidRPr="003932DF" w:rsidRDefault="00CF452B" w:rsidP="00641744">
      <w:pPr>
        <w:spacing w:line="360" w:lineRule="auto"/>
        <w:jc w:val="both"/>
        <w:rPr>
          <w:rFonts w:ascii="Palatino Linotype" w:eastAsiaTheme="minorHAnsi" w:hAnsi="Palatino Linotype" w:cs="Tahoma"/>
          <w:sz w:val="22"/>
          <w:szCs w:val="22"/>
          <w:lang w:val="es-ES_tradnl" w:eastAsia="en-US"/>
        </w:rPr>
      </w:pPr>
      <w:bookmarkStart w:id="8" w:name="_Toc193381461"/>
      <w:r w:rsidRPr="003932DF">
        <w:rPr>
          <w:rStyle w:val="Ttulo2Car"/>
          <w:sz w:val="22"/>
          <w:szCs w:val="22"/>
        </w:rPr>
        <w:t>c) Informe Justificado</w:t>
      </w:r>
      <w:bookmarkEnd w:id="8"/>
      <w:r w:rsidRPr="003932DF">
        <w:rPr>
          <w:rFonts w:ascii="Palatino Linotype" w:eastAsiaTheme="majorEastAsia" w:hAnsi="Palatino Linotype" w:cstheme="majorBidi"/>
          <w:b/>
          <w:bCs/>
          <w:sz w:val="22"/>
          <w:szCs w:val="22"/>
          <w:lang w:eastAsia="en-US"/>
        </w:rPr>
        <w:t>.</w:t>
      </w:r>
      <w:r w:rsidRPr="003932DF">
        <w:rPr>
          <w:rFonts w:ascii="Palatino Linotype" w:eastAsiaTheme="minorHAnsi" w:hAnsi="Palatino Linotype" w:cs="Tahoma"/>
          <w:b/>
          <w:lang w:val="es-ES_tradnl" w:eastAsia="en-US"/>
        </w:rPr>
        <w:t xml:space="preserve"> </w:t>
      </w:r>
      <w:r w:rsidRPr="003932DF">
        <w:rPr>
          <w:rFonts w:ascii="Palatino Linotype" w:eastAsiaTheme="minorHAnsi" w:hAnsi="Palatino Linotype" w:cs="Tahoma"/>
          <w:sz w:val="22"/>
          <w:szCs w:val="22"/>
          <w:lang w:val="es-ES_tradnl" w:eastAsia="en-US"/>
        </w:rPr>
        <w:t xml:space="preserve">El </w:t>
      </w:r>
      <w:r w:rsidR="00317C62" w:rsidRPr="003932DF">
        <w:rPr>
          <w:rFonts w:ascii="Palatino Linotype" w:eastAsiaTheme="minorHAnsi" w:hAnsi="Palatino Linotype" w:cs="Tahoma"/>
          <w:sz w:val="22"/>
          <w:szCs w:val="22"/>
          <w:lang w:val="es-ES_tradnl" w:eastAsia="en-US"/>
        </w:rPr>
        <w:t xml:space="preserve">cuatro de marzo </w:t>
      </w:r>
      <w:r w:rsidRPr="003932DF">
        <w:rPr>
          <w:rFonts w:ascii="Palatino Linotype" w:eastAsiaTheme="minorHAnsi" w:hAnsi="Palatino Linotype" w:cs="Tahoma"/>
          <w:sz w:val="22"/>
          <w:szCs w:val="22"/>
          <w:lang w:val="es-ES_tradnl" w:eastAsia="en-US"/>
        </w:rPr>
        <w:t>de dos mil veinticinco, se recibió, a través del Sistema de Acceso a la Información Mexiquense (SAIMEX), el Informe Justificado del Sujeto Obligado, por medio de la digitalización de los siguientes documentos:</w:t>
      </w:r>
    </w:p>
    <w:p w14:paraId="53573E4B" w14:textId="77777777" w:rsidR="00CF452B" w:rsidRPr="003932DF" w:rsidRDefault="00CF452B" w:rsidP="00641744">
      <w:pPr>
        <w:spacing w:line="360" w:lineRule="auto"/>
        <w:jc w:val="both"/>
        <w:rPr>
          <w:rFonts w:ascii="Palatino Linotype" w:eastAsiaTheme="minorHAnsi" w:hAnsi="Palatino Linotype" w:cs="Tahoma"/>
          <w:color w:val="FF0000"/>
          <w:sz w:val="22"/>
          <w:szCs w:val="22"/>
          <w:lang w:val="es-ES_tradnl" w:eastAsia="en-US"/>
        </w:rPr>
      </w:pPr>
    </w:p>
    <w:p w14:paraId="11F98E90" w14:textId="3E695003" w:rsidR="00CF452B" w:rsidRPr="003932DF" w:rsidRDefault="001861BC" w:rsidP="00641744">
      <w:pPr>
        <w:spacing w:line="360" w:lineRule="auto"/>
        <w:jc w:val="both"/>
        <w:rPr>
          <w:rFonts w:ascii="Palatino Linotype" w:eastAsiaTheme="minorHAnsi" w:hAnsi="Palatino Linotype" w:cs="Tahoma"/>
          <w:sz w:val="22"/>
          <w:szCs w:val="24"/>
          <w:lang w:val="es-ES_tradnl" w:eastAsia="en-US"/>
        </w:rPr>
      </w:pPr>
      <w:r w:rsidRPr="003932DF">
        <w:rPr>
          <w:rFonts w:ascii="Palatino Linotype" w:eastAsiaTheme="minorHAnsi" w:hAnsi="Palatino Linotype" w:cs="Tahoma"/>
          <w:sz w:val="22"/>
          <w:szCs w:val="24"/>
          <w:lang w:val="es-ES_tradnl" w:eastAsia="en-US"/>
        </w:rPr>
        <w:t xml:space="preserve">i) </w:t>
      </w:r>
      <w:r w:rsidR="00317C62" w:rsidRPr="003932DF">
        <w:rPr>
          <w:rFonts w:ascii="Palatino Linotype" w:eastAsiaTheme="minorHAnsi" w:hAnsi="Palatino Linotype" w:cs="Tahoma"/>
          <w:sz w:val="22"/>
          <w:szCs w:val="24"/>
          <w:lang w:val="es-ES_tradnl" w:eastAsia="en-US"/>
        </w:rPr>
        <w:t xml:space="preserve">Oficio IXTA/DBIS/127/25 del veintisiete de febrero de dos mil veinticinco, suscrito por el Director de Bienestar e Inclusión Social, dirigido a la Titular de la Unidad de Transparencia, por medio del cual se menciona lo siguiente: </w:t>
      </w:r>
    </w:p>
    <w:p w14:paraId="70F5AD2C" w14:textId="77777777" w:rsidR="00CF452B" w:rsidRPr="003932DF" w:rsidRDefault="00CF452B" w:rsidP="00641744">
      <w:pPr>
        <w:pStyle w:val="Prrafodelista"/>
        <w:spacing w:line="360" w:lineRule="auto"/>
        <w:jc w:val="both"/>
        <w:rPr>
          <w:rFonts w:ascii="Palatino Linotype" w:eastAsiaTheme="minorHAnsi" w:hAnsi="Palatino Linotype" w:cs="Tahoma"/>
          <w:color w:val="FF0000"/>
          <w:szCs w:val="22"/>
          <w:lang w:val="es-ES_tradnl" w:eastAsia="en-US"/>
        </w:rPr>
      </w:pPr>
    </w:p>
    <w:p w14:paraId="2209F4F3" w14:textId="3CADFC01" w:rsidR="00CF452B" w:rsidRPr="003932DF" w:rsidRDefault="00CF452B" w:rsidP="00641744">
      <w:pPr>
        <w:spacing w:line="360" w:lineRule="auto"/>
        <w:ind w:left="567" w:right="567"/>
        <w:jc w:val="both"/>
        <w:rPr>
          <w:rFonts w:ascii="Palatino Linotype" w:eastAsiaTheme="minorHAnsi" w:hAnsi="Palatino Linotype" w:cs="Tahoma"/>
          <w:i/>
          <w:iCs/>
          <w:lang w:val="es-ES_tradnl" w:eastAsia="en-US"/>
        </w:rPr>
      </w:pPr>
      <w:r w:rsidRPr="003932DF">
        <w:rPr>
          <w:rFonts w:ascii="Palatino Linotype" w:eastAsiaTheme="minorHAnsi" w:hAnsi="Palatino Linotype" w:cs="Tahoma"/>
          <w:i/>
          <w:iCs/>
          <w:lang w:val="es-ES_tradnl" w:eastAsia="en-US"/>
        </w:rPr>
        <w:t>“…</w:t>
      </w:r>
      <w:r w:rsidR="00317C62" w:rsidRPr="003932DF">
        <w:rPr>
          <w:rFonts w:ascii="Palatino Linotype" w:eastAsiaTheme="minorHAnsi" w:hAnsi="Palatino Linotype" w:cs="Tahoma"/>
          <w:i/>
          <w:iCs/>
          <w:lang w:val="es-ES_tradnl" w:eastAsia="en-US"/>
        </w:rPr>
        <w:t xml:space="preserve">Por lo que informo a usted que el total de usuarios después de la primer convocatoria de este año 2025 es de </w:t>
      </w:r>
      <w:r w:rsidR="00317C62" w:rsidRPr="003932DF">
        <w:rPr>
          <w:rFonts w:ascii="Palatino Linotype" w:eastAsiaTheme="minorHAnsi" w:hAnsi="Palatino Linotype" w:cs="Tahoma"/>
          <w:b/>
          <w:bCs/>
          <w:i/>
          <w:iCs/>
          <w:lang w:val="es-ES_tradnl" w:eastAsia="en-US"/>
        </w:rPr>
        <w:t xml:space="preserve">938 estudiantes; </w:t>
      </w:r>
      <w:r w:rsidR="00317C62" w:rsidRPr="003932DF">
        <w:rPr>
          <w:rFonts w:ascii="Palatino Linotype" w:eastAsiaTheme="minorHAnsi" w:hAnsi="Palatino Linotype" w:cs="Tahoma"/>
          <w:i/>
          <w:iCs/>
          <w:lang w:val="es-ES_tradnl" w:eastAsia="en-US"/>
        </w:rPr>
        <w:t xml:space="preserve">IPN 295, UNAM 350, UAM 196, TESI 97. Se anexan convocatoria </w:t>
      </w:r>
      <w:r w:rsidR="00317C62" w:rsidRPr="003932DF">
        <w:rPr>
          <w:rFonts w:ascii="Palatino Linotype" w:eastAsiaTheme="minorHAnsi" w:hAnsi="Palatino Linotype" w:cs="Tahoma"/>
          <w:i/>
          <w:iCs/>
          <w:lang w:val="es-ES_tradnl" w:eastAsia="en-US"/>
        </w:rPr>
        <w:lastRenderedPageBreak/>
        <w:t xml:space="preserve">y Reglas de Operación “Apoyo de Transporte a Estudiantes Ixtapaluquenses de Nivel Superior”. Siendo está la única información que bajo esquema normativo actual se encuentra en </w:t>
      </w:r>
      <w:r w:rsidR="00B01C81" w:rsidRPr="003932DF">
        <w:rPr>
          <w:rFonts w:ascii="Palatino Linotype" w:eastAsiaTheme="minorHAnsi" w:hAnsi="Palatino Linotype" w:cs="Tahoma"/>
          <w:i/>
          <w:iCs/>
          <w:lang w:val="es-ES_tradnl" w:eastAsia="en-US"/>
        </w:rPr>
        <w:t>posesión de esta Dirección para los fines que se manifiesta en la solicitud…” (Sic)</w:t>
      </w:r>
    </w:p>
    <w:p w14:paraId="5128CBD6" w14:textId="77777777" w:rsidR="009C074A" w:rsidRPr="003932DF" w:rsidRDefault="009C074A" w:rsidP="00641744">
      <w:pPr>
        <w:spacing w:line="360" w:lineRule="auto"/>
        <w:ind w:left="708"/>
        <w:jc w:val="both"/>
        <w:rPr>
          <w:rFonts w:ascii="Palatino Linotype" w:eastAsiaTheme="minorHAnsi" w:hAnsi="Palatino Linotype" w:cs="Tahoma"/>
          <w:i/>
          <w:iCs/>
          <w:color w:val="FF0000"/>
          <w:lang w:val="es-ES_tradnl" w:eastAsia="en-US"/>
        </w:rPr>
      </w:pPr>
    </w:p>
    <w:p w14:paraId="0BB47E08" w14:textId="42F2AA2E" w:rsidR="00947608" w:rsidRPr="003932DF" w:rsidRDefault="001861BC" w:rsidP="00641744">
      <w:pPr>
        <w:spacing w:line="360" w:lineRule="auto"/>
        <w:jc w:val="both"/>
        <w:rPr>
          <w:rFonts w:ascii="Palatino Linotype" w:eastAsiaTheme="minorHAnsi" w:hAnsi="Palatino Linotype" w:cs="Tahoma"/>
          <w:sz w:val="22"/>
          <w:szCs w:val="24"/>
          <w:lang w:val="es-ES_tradnl" w:eastAsia="en-US"/>
        </w:rPr>
      </w:pPr>
      <w:r w:rsidRPr="003932DF">
        <w:rPr>
          <w:rFonts w:ascii="Palatino Linotype" w:eastAsiaTheme="minorHAnsi" w:hAnsi="Palatino Linotype" w:cs="Tahoma"/>
          <w:sz w:val="22"/>
          <w:szCs w:val="24"/>
          <w:lang w:val="es-ES_tradnl" w:eastAsia="en-US"/>
        </w:rPr>
        <w:t xml:space="preserve">ii) </w:t>
      </w:r>
      <w:r w:rsidR="00FB41DD" w:rsidRPr="003932DF">
        <w:rPr>
          <w:rFonts w:ascii="Palatino Linotype" w:eastAsiaTheme="minorHAnsi" w:hAnsi="Palatino Linotype" w:cs="Tahoma"/>
          <w:sz w:val="22"/>
          <w:szCs w:val="24"/>
          <w:lang w:val="es-ES_tradnl" w:eastAsia="en-US"/>
        </w:rPr>
        <w:t>Convocatoria para la postulación para el programa “Apoyo de Transporte a Estudiantes Ixtapaluquenses a Nivel Superior, TUI”, dos mil veinticinco.</w:t>
      </w:r>
    </w:p>
    <w:p w14:paraId="76F660C7" w14:textId="77777777" w:rsidR="007F16CA" w:rsidRPr="003932DF" w:rsidRDefault="007F16CA" w:rsidP="00641744">
      <w:pPr>
        <w:spacing w:line="360" w:lineRule="auto"/>
        <w:jc w:val="both"/>
        <w:rPr>
          <w:rFonts w:ascii="Palatino Linotype" w:eastAsiaTheme="minorHAnsi" w:hAnsi="Palatino Linotype" w:cs="Tahoma"/>
          <w:sz w:val="22"/>
          <w:szCs w:val="24"/>
          <w:lang w:val="es-ES_tradnl" w:eastAsia="en-US"/>
        </w:rPr>
      </w:pPr>
    </w:p>
    <w:p w14:paraId="3E8AE225" w14:textId="11381986" w:rsidR="007F16CA" w:rsidRPr="003932DF" w:rsidRDefault="007F16CA" w:rsidP="00641744">
      <w:pPr>
        <w:spacing w:line="360" w:lineRule="auto"/>
        <w:jc w:val="both"/>
        <w:rPr>
          <w:rFonts w:ascii="Palatino Linotype" w:eastAsiaTheme="minorHAnsi" w:hAnsi="Palatino Linotype" w:cs="Tahoma"/>
          <w:sz w:val="22"/>
          <w:szCs w:val="24"/>
          <w:lang w:val="es-ES_tradnl" w:eastAsia="en-US"/>
        </w:rPr>
      </w:pPr>
      <w:r w:rsidRPr="003932DF">
        <w:rPr>
          <w:rFonts w:ascii="Palatino Linotype" w:eastAsiaTheme="minorHAnsi" w:hAnsi="Palatino Linotype" w:cs="Tahoma"/>
          <w:sz w:val="22"/>
          <w:szCs w:val="24"/>
          <w:lang w:val="es-ES_tradnl" w:eastAsia="en-US"/>
        </w:rPr>
        <w:t>iii) Reglas de Operación del programa Apoyo de Transporte a Estudiantes Ixtapaluquenses a Nivel Superior”, acciones fuertes dos mil veinticinco, dos mil veintisiete.</w:t>
      </w:r>
    </w:p>
    <w:p w14:paraId="3FBE79E8" w14:textId="77777777" w:rsidR="00FB41DD" w:rsidRPr="003932DF" w:rsidRDefault="00FB41DD" w:rsidP="00641744">
      <w:pPr>
        <w:spacing w:line="360" w:lineRule="auto"/>
        <w:jc w:val="both"/>
        <w:rPr>
          <w:rFonts w:ascii="Palatino Linotype" w:hAnsi="Palatino Linotype" w:cs="Tahoma"/>
          <w:b/>
          <w:bCs/>
          <w:i/>
          <w:color w:val="FF0000"/>
          <w:sz w:val="22"/>
          <w:szCs w:val="22"/>
          <w:lang w:val="es-ES"/>
        </w:rPr>
      </w:pPr>
    </w:p>
    <w:p w14:paraId="0ABD6C53" w14:textId="38CBAEC0" w:rsidR="002A59EE" w:rsidRPr="003932DF" w:rsidRDefault="002A59EE" w:rsidP="00641744">
      <w:pPr>
        <w:spacing w:line="360" w:lineRule="auto"/>
        <w:jc w:val="both"/>
        <w:rPr>
          <w:rFonts w:ascii="Palatino Linotype" w:hAnsi="Palatino Linotype"/>
          <w:sz w:val="22"/>
          <w:szCs w:val="22"/>
        </w:rPr>
      </w:pPr>
      <w:bookmarkStart w:id="9" w:name="_Toc193381462"/>
      <w:r w:rsidRPr="003932DF">
        <w:rPr>
          <w:rStyle w:val="Ttulo2Car"/>
          <w:sz w:val="22"/>
          <w:szCs w:val="22"/>
        </w:rPr>
        <w:t>d) Vista al Informe Justificado</w:t>
      </w:r>
      <w:bookmarkEnd w:id="9"/>
      <w:r w:rsidRPr="003932DF">
        <w:rPr>
          <w:rFonts w:ascii="Palatino Linotype" w:hAnsi="Palatino Linotype"/>
          <w:b/>
          <w:sz w:val="22"/>
          <w:szCs w:val="22"/>
        </w:rPr>
        <w:t>.</w:t>
      </w:r>
      <w:r w:rsidR="000553B4" w:rsidRPr="003932DF">
        <w:rPr>
          <w:rFonts w:ascii="Palatino Linotype" w:hAnsi="Palatino Linotype"/>
          <w:sz w:val="22"/>
          <w:szCs w:val="22"/>
        </w:rPr>
        <w:t xml:space="preserve"> </w:t>
      </w:r>
      <w:r w:rsidRPr="003932DF">
        <w:rPr>
          <w:rFonts w:ascii="Palatino Linotype" w:hAnsi="Palatino Linotype"/>
          <w:sz w:val="22"/>
          <w:szCs w:val="22"/>
        </w:rPr>
        <w:t xml:space="preserve">El </w:t>
      </w:r>
      <w:r w:rsidR="007E0674" w:rsidRPr="003932DF">
        <w:rPr>
          <w:rFonts w:ascii="Palatino Linotype" w:hAnsi="Palatino Linotype"/>
          <w:sz w:val="22"/>
          <w:szCs w:val="22"/>
        </w:rPr>
        <w:t xml:space="preserve">doce de marzo de </w:t>
      </w:r>
      <w:r w:rsidRPr="003932DF">
        <w:rPr>
          <w:rFonts w:ascii="Palatino Linotype" w:hAnsi="Palatino Linotype"/>
          <w:sz w:val="22"/>
          <w:szCs w:val="22"/>
        </w:rPr>
        <w:t xml:space="preserve">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4577857D" w14:textId="77777777" w:rsidR="002A59EE" w:rsidRPr="003932DF" w:rsidRDefault="002A59EE" w:rsidP="00641744">
      <w:pPr>
        <w:spacing w:line="360" w:lineRule="auto"/>
        <w:jc w:val="both"/>
        <w:rPr>
          <w:rFonts w:ascii="Palatino Linotype" w:hAnsi="Palatino Linotype"/>
          <w:b/>
          <w:color w:val="FF0000"/>
          <w:sz w:val="22"/>
          <w:szCs w:val="22"/>
        </w:rPr>
      </w:pPr>
    </w:p>
    <w:p w14:paraId="155868CD" w14:textId="7D947FDB" w:rsidR="008F4B45" w:rsidRPr="003932DF" w:rsidRDefault="002A59EE" w:rsidP="00641744">
      <w:pPr>
        <w:spacing w:line="360" w:lineRule="auto"/>
        <w:jc w:val="both"/>
        <w:rPr>
          <w:rFonts w:ascii="Palatino Linotype" w:hAnsi="Palatino Linotype"/>
          <w:sz w:val="22"/>
          <w:szCs w:val="22"/>
        </w:rPr>
      </w:pPr>
      <w:bookmarkStart w:id="10" w:name="_Toc193381463"/>
      <w:r w:rsidRPr="003932DF">
        <w:rPr>
          <w:rStyle w:val="Ttulo2Car"/>
          <w:sz w:val="22"/>
          <w:szCs w:val="22"/>
        </w:rPr>
        <w:t xml:space="preserve">e) </w:t>
      </w:r>
      <w:r w:rsidR="0063734D" w:rsidRPr="003932DF">
        <w:rPr>
          <w:rStyle w:val="Ttulo2Car"/>
          <w:sz w:val="22"/>
          <w:szCs w:val="22"/>
        </w:rPr>
        <w:t>Cierre de instrucción</w:t>
      </w:r>
      <w:bookmarkEnd w:id="10"/>
      <w:r w:rsidR="0063734D" w:rsidRPr="003932DF">
        <w:rPr>
          <w:rFonts w:ascii="Palatino Linotype" w:hAnsi="Palatino Linotype"/>
          <w:b/>
          <w:sz w:val="22"/>
          <w:szCs w:val="22"/>
        </w:rPr>
        <w:t>.</w:t>
      </w:r>
      <w:r w:rsidR="00763D85" w:rsidRPr="003932DF">
        <w:rPr>
          <w:rFonts w:ascii="Palatino Linotype" w:hAnsi="Palatino Linotype"/>
          <w:b/>
          <w:sz w:val="22"/>
          <w:szCs w:val="22"/>
        </w:rPr>
        <w:t xml:space="preserve"> </w:t>
      </w:r>
      <w:r w:rsidR="008F4B45" w:rsidRPr="003932DF">
        <w:rPr>
          <w:rFonts w:ascii="Palatino Linotype" w:hAnsi="Palatino Linotype"/>
          <w:sz w:val="22"/>
          <w:szCs w:val="22"/>
        </w:rPr>
        <w:t>El</w:t>
      </w:r>
      <w:r w:rsidR="003E16CF" w:rsidRPr="003932DF">
        <w:rPr>
          <w:rFonts w:ascii="Palatino Linotype" w:hAnsi="Palatino Linotype"/>
          <w:sz w:val="22"/>
          <w:szCs w:val="22"/>
        </w:rPr>
        <w:t xml:space="preserve"> </w:t>
      </w:r>
      <w:r w:rsidR="007E0674" w:rsidRPr="003932DF">
        <w:rPr>
          <w:rFonts w:ascii="Palatino Linotype" w:hAnsi="Palatino Linotype"/>
          <w:sz w:val="22"/>
          <w:szCs w:val="22"/>
        </w:rPr>
        <w:t xml:space="preserve">diecinueve de marzo de dos mil veinticinco, </w:t>
      </w:r>
      <w:r w:rsidR="008F4B45" w:rsidRPr="003932DF">
        <w:rPr>
          <w:rFonts w:ascii="Palatino Linotype" w:hAnsi="Palatino Linotype"/>
          <w:sz w:val="22"/>
          <w:szCs w:val="22"/>
        </w:rPr>
        <w:t xml:space="preserve">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64404A1E" w14:textId="77777777" w:rsidR="00A7673D" w:rsidRPr="003932DF" w:rsidRDefault="00A7673D" w:rsidP="00641744">
      <w:pPr>
        <w:spacing w:line="360" w:lineRule="auto"/>
        <w:contextualSpacing/>
        <w:jc w:val="both"/>
        <w:rPr>
          <w:rFonts w:ascii="Palatino Linotype" w:hAnsi="Palatino Linotype" w:cs="Tahoma"/>
          <w:b/>
          <w:sz w:val="18"/>
          <w:szCs w:val="22"/>
        </w:rPr>
      </w:pPr>
    </w:p>
    <w:p w14:paraId="353F8859" w14:textId="0D17D196" w:rsidR="004F3A02" w:rsidRPr="003932DF" w:rsidRDefault="008F4B45" w:rsidP="00641744">
      <w:pPr>
        <w:spacing w:line="360" w:lineRule="auto"/>
        <w:contextualSpacing/>
        <w:jc w:val="both"/>
        <w:rPr>
          <w:rFonts w:ascii="Palatino Linotype" w:hAnsi="Palatino Linotype" w:cs="Tahoma"/>
          <w:sz w:val="22"/>
          <w:szCs w:val="22"/>
        </w:rPr>
      </w:pPr>
      <w:r w:rsidRPr="003932DF">
        <w:rPr>
          <w:rFonts w:ascii="Palatino Linotype" w:hAnsi="Palatino Linotype" w:cs="Tahoma"/>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3932DF" w:rsidRDefault="00E155C6" w:rsidP="00641744">
      <w:pPr>
        <w:spacing w:line="360" w:lineRule="auto"/>
        <w:contextualSpacing/>
        <w:jc w:val="both"/>
        <w:rPr>
          <w:rFonts w:ascii="Palatino Linotype" w:hAnsi="Palatino Linotype" w:cs="Tahoma"/>
          <w:sz w:val="22"/>
          <w:szCs w:val="22"/>
        </w:rPr>
      </w:pPr>
    </w:p>
    <w:p w14:paraId="615EA163" w14:textId="3E4D9E99" w:rsidR="004F3A02" w:rsidRPr="003932DF" w:rsidRDefault="004F3A02" w:rsidP="00641744">
      <w:pPr>
        <w:pStyle w:val="Ttulo1"/>
        <w:rPr>
          <w:color w:val="auto"/>
          <w:lang w:val="es-ES"/>
        </w:rPr>
      </w:pPr>
      <w:bookmarkStart w:id="11" w:name="_Toc193381464"/>
      <w:r w:rsidRPr="003932DF">
        <w:rPr>
          <w:color w:val="auto"/>
          <w:lang w:val="es-ES"/>
        </w:rPr>
        <w:lastRenderedPageBreak/>
        <w:t>C O N S I D E R A N D O S</w:t>
      </w:r>
      <w:bookmarkEnd w:id="11"/>
    </w:p>
    <w:p w14:paraId="066231C1" w14:textId="77777777" w:rsidR="004F3A02" w:rsidRPr="003932DF" w:rsidRDefault="004F3A02" w:rsidP="00641744">
      <w:pPr>
        <w:spacing w:line="360" w:lineRule="auto"/>
        <w:jc w:val="both"/>
        <w:rPr>
          <w:rFonts w:ascii="Palatino Linotype" w:hAnsi="Palatino Linotype" w:cs="Tahoma"/>
          <w:b/>
          <w:color w:val="FF0000"/>
          <w:sz w:val="22"/>
          <w:lang w:val="es-ES"/>
        </w:rPr>
      </w:pPr>
    </w:p>
    <w:p w14:paraId="001B63FA" w14:textId="3E1F09FE" w:rsidR="004F3A02" w:rsidRPr="003932DF" w:rsidRDefault="004F3A02" w:rsidP="00641744">
      <w:pPr>
        <w:pStyle w:val="Ttulo2"/>
        <w:rPr>
          <w:color w:val="auto"/>
          <w:lang w:val="es-ES"/>
        </w:rPr>
      </w:pPr>
      <w:bookmarkStart w:id="12" w:name="_Toc193381465"/>
      <w:r w:rsidRPr="003932DF">
        <w:rPr>
          <w:rFonts w:eastAsia="Calibri"/>
          <w:color w:val="auto"/>
          <w:lang w:val="es-ES" w:eastAsia="es-MX"/>
        </w:rPr>
        <w:t xml:space="preserve">PRIMERO. </w:t>
      </w:r>
      <w:r w:rsidRPr="003932DF">
        <w:rPr>
          <w:color w:val="auto"/>
          <w:lang w:val="es-ES"/>
        </w:rPr>
        <w:t>Competencia</w:t>
      </w:r>
      <w:bookmarkEnd w:id="12"/>
    </w:p>
    <w:p w14:paraId="35D71D67" w14:textId="77777777" w:rsidR="004F3A02" w:rsidRPr="003932DF" w:rsidRDefault="004F3A02" w:rsidP="00641744">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3932DF" w:rsidRDefault="001A301B" w:rsidP="00641744">
      <w:pPr>
        <w:spacing w:line="360" w:lineRule="auto"/>
        <w:jc w:val="both"/>
        <w:rPr>
          <w:rFonts w:ascii="Palatino Linotype" w:eastAsia="Palatino Linotype" w:hAnsi="Palatino Linotype" w:cs="Palatino Linotype"/>
          <w:sz w:val="22"/>
          <w:szCs w:val="22"/>
          <w:lang w:eastAsia="es-MX"/>
        </w:rPr>
      </w:pPr>
      <w:r w:rsidRPr="003932DF">
        <w:rPr>
          <w:rFonts w:ascii="Palatino Linotype" w:eastAsia="Palatino Linotype" w:hAnsi="Palatino Linotype" w:cs="Palatino Linotype"/>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3932DF">
        <w:rPr>
          <w:rFonts w:ascii="Palatino Linotype" w:eastAsia="Palatino Linotype" w:hAnsi="Palatino Linotype" w:cs="Palatino Linotype"/>
          <w:sz w:val="22"/>
          <w:szCs w:val="22"/>
          <w:lang w:eastAsia="es-MX"/>
        </w:rPr>
        <w:t>los</w:t>
      </w:r>
      <w:r w:rsidRPr="003932DF">
        <w:rPr>
          <w:rFonts w:ascii="Palatino Linotype" w:eastAsia="Palatino Linotype" w:hAnsi="Palatino Linotype" w:cs="Palatino Linotype"/>
          <w:sz w:val="22"/>
          <w:szCs w:val="22"/>
          <w:lang w:eastAsia="es-MX"/>
        </w:rPr>
        <w:t xml:space="preserve"> artículo</w:t>
      </w:r>
      <w:r w:rsidR="00BA5927" w:rsidRPr="003932DF">
        <w:rPr>
          <w:rFonts w:ascii="Palatino Linotype" w:eastAsia="Palatino Linotype" w:hAnsi="Palatino Linotype" w:cs="Palatino Linotype"/>
          <w:sz w:val="22"/>
          <w:szCs w:val="22"/>
          <w:lang w:eastAsia="es-MX"/>
        </w:rPr>
        <w:t>s</w:t>
      </w:r>
      <w:r w:rsidRPr="003932DF">
        <w:rPr>
          <w:rFonts w:ascii="Palatino Linotype" w:eastAsia="Palatino Linotype" w:hAnsi="Palatino Linotype" w:cs="Palatino Linotype"/>
          <w:sz w:val="22"/>
          <w:szCs w:val="22"/>
          <w:lang w:eastAsia="es-MX"/>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3932DF" w:rsidRDefault="00BA5927" w:rsidP="00641744">
      <w:pPr>
        <w:spacing w:line="360" w:lineRule="auto"/>
        <w:jc w:val="both"/>
        <w:rPr>
          <w:rFonts w:ascii="Palatino Linotype" w:eastAsia="Palatino Linotype" w:hAnsi="Palatino Linotype" w:cs="Palatino Linotype"/>
          <w:color w:val="FF0000"/>
          <w:sz w:val="22"/>
          <w:szCs w:val="22"/>
          <w:lang w:eastAsia="es-MX"/>
        </w:rPr>
      </w:pPr>
    </w:p>
    <w:p w14:paraId="33C93B21" w14:textId="7E9E9B54" w:rsidR="00DA08C5" w:rsidRPr="003932DF" w:rsidRDefault="00DA08C5" w:rsidP="00641744">
      <w:pPr>
        <w:pStyle w:val="Ttulo2"/>
        <w:rPr>
          <w:color w:val="auto"/>
          <w:lang w:val="es-ES"/>
        </w:rPr>
      </w:pPr>
      <w:bookmarkStart w:id="13" w:name="_Toc193381466"/>
      <w:r w:rsidRPr="003932DF">
        <w:rPr>
          <w:rFonts w:eastAsia="Calibri"/>
          <w:color w:val="auto"/>
          <w:lang w:val="es-ES" w:eastAsia="es-MX"/>
        </w:rPr>
        <w:t xml:space="preserve">SEGUNDO. </w:t>
      </w:r>
      <w:r w:rsidRPr="003932DF">
        <w:rPr>
          <w:color w:val="auto"/>
          <w:lang w:val="es-ES"/>
        </w:rPr>
        <w:t xml:space="preserve">Causales de improcedencia </w:t>
      </w:r>
      <w:r w:rsidR="00F93859" w:rsidRPr="003932DF">
        <w:rPr>
          <w:color w:val="auto"/>
          <w:lang w:val="es-ES"/>
        </w:rPr>
        <w:t>y Sobreseimiento</w:t>
      </w:r>
      <w:bookmarkEnd w:id="13"/>
    </w:p>
    <w:p w14:paraId="39E19200" w14:textId="77777777" w:rsidR="00BA5927" w:rsidRPr="003932DF" w:rsidRDefault="00BA5927" w:rsidP="00641744">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3932DF" w:rsidRDefault="00DA08C5" w:rsidP="00641744">
      <w:pPr>
        <w:autoSpaceDE w:val="0"/>
        <w:autoSpaceDN w:val="0"/>
        <w:adjustRightInd w:val="0"/>
        <w:spacing w:line="360" w:lineRule="auto"/>
        <w:contextualSpacing/>
        <w:jc w:val="both"/>
        <w:rPr>
          <w:rFonts w:ascii="Palatino Linotype" w:hAnsi="Palatino Linotype" w:cs="Tahoma"/>
          <w:sz w:val="22"/>
          <w:szCs w:val="22"/>
          <w:lang w:val="es-ES"/>
        </w:rPr>
      </w:pPr>
      <w:r w:rsidRPr="003932DF">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932DF">
        <w:rPr>
          <w:rFonts w:ascii="Palatino Linotype" w:hAnsi="Palatino Linotype" w:cs="Tahoma"/>
          <w:i/>
          <w:sz w:val="22"/>
          <w:szCs w:val="22"/>
          <w:lang w:val="es-ES"/>
        </w:rPr>
        <w:t>litis</w:t>
      </w:r>
      <w:r w:rsidRPr="003932DF">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3932DF" w:rsidRDefault="00DA08C5" w:rsidP="00641744">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3932DF" w:rsidRDefault="00DA08C5" w:rsidP="00641744">
      <w:pPr>
        <w:spacing w:line="360" w:lineRule="auto"/>
        <w:contextualSpacing/>
        <w:jc w:val="both"/>
        <w:rPr>
          <w:rFonts w:ascii="Palatino Linotype" w:hAnsi="Palatino Linotype"/>
          <w:b/>
          <w:sz w:val="22"/>
          <w:szCs w:val="22"/>
          <w:lang w:val="es-ES"/>
        </w:rPr>
      </w:pPr>
      <w:r w:rsidRPr="003932DF">
        <w:rPr>
          <w:rFonts w:ascii="Palatino Linotype" w:hAnsi="Palatino Linotype"/>
          <w:b/>
          <w:sz w:val="22"/>
          <w:szCs w:val="22"/>
          <w:lang w:val="es-ES"/>
        </w:rPr>
        <w:t>Causales de improcedencia</w:t>
      </w:r>
    </w:p>
    <w:p w14:paraId="7ABB438E" w14:textId="77777777" w:rsidR="00DA08C5" w:rsidRPr="003932DF" w:rsidRDefault="00DA08C5" w:rsidP="00641744">
      <w:pPr>
        <w:spacing w:line="360" w:lineRule="auto"/>
        <w:contextualSpacing/>
        <w:jc w:val="both"/>
        <w:rPr>
          <w:rFonts w:ascii="Palatino Linotype" w:hAnsi="Palatino Linotype"/>
          <w:color w:val="FF0000"/>
          <w:sz w:val="22"/>
          <w:szCs w:val="22"/>
        </w:rPr>
      </w:pPr>
    </w:p>
    <w:p w14:paraId="7D1BAA53" w14:textId="77777777" w:rsidR="00DA08C5" w:rsidRPr="003932DF" w:rsidRDefault="00DA08C5" w:rsidP="00641744">
      <w:pPr>
        <w:spacing w:line="360" w:lineRule="auto"/>
        <w:contextualSpacing/>
        <w:jc w:val="both"/>
        <w:rPr>
          <w:rFonts w:ascii="Palatino Linotype" w:hAnsi="Palatino Linotype" w:cs="Tahoma"/>
          <w:sz w:val="22"/>
          <w:szCs w:val="22"/>
        </w:rPr>
      </w:pPr>
      <w:r w:rsidRPr="003932DF">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3932DF">
        <w:rPr>
          <w:rFonts w:ascii="Palatino Linotype" w:hAnsi="Palatino Linotype" w:cs="Tahoma"/>
          <w:sz w:val="22"/>
          <w:szCs w:val="22"/>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3932DF" w:rsidRDefault="00DA08C5" w:rsidP="00641744">
      <w:pPr>
        <w:spacing w:line="360" w:lineRule="auto"/>
        <w:contextualSpacing/>
        <w:jc w:val="both"/>
        <w:rPr>
          <w:rFonts w:ascii="Palatino Linotype" w:hAnsi="Palatino Linotype" w:cs="Tahoma"/>
          <w:sz w:val="22"/>
          <w:szCs w:val="22"/>
        </w:rPr>
      </w:pPr>
    </w:p>
    <w:p w14:paraId="35D3EE96" w14:textId="17683495" w:rsidR="00DA08C5" w:rsidRPr="003932DF" w:rsidRDefault="00DA08C5" w:rsidP="00641744">
      <w:pPr>
        <w:spacing w:line="360" w:lineRule="auto"/>
        <w:contextualSpacing/>
        <w:jc w:val="both"/>
        <w:rPr>
          <w:rFonts w:ascii="Palatino Linotype" w:hAnsi="Palatino Linotype" w:cs="Tahoma"/>
          <w:sz w:val="22"/>
          <w:szCs w:val="22"/>
        </w:rPr>
      </w:pPr>
      <w:r w:rsidRPr="003932DF">
        <w:rPr>
          <w:rFonts w:ascii="Palatino Linotype" w:hAnsi="Palatino Linotype" w:cs="Tahoma"/>
          <w:sz w:val="22"/>
          <w:szCs w:val="22"/>
        </w:rPr>
        <w:t>En el presente caso, </w:t>
      </w:r>
      <w:r w:rsidRPr="003932DF">
        <w:rPr>
          <w:rFonts w:ascii="Palatino Linotype" w:hAnsi="Palatino Linotype" w:cs="Tahoma"/>
          <w:b/>
          <w:bCs/>
          <w:sz w:val="22"/>
          <w:szCs w:val="22"/>
        </w:rPr>
        <w:t>no se actualiza ninguna de las causales de improcedencia</w:t>
      </w:r>
      <w:r w:rsidRPr="003932DF">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3932DF">
        <w:rPr>
          <w:rFonts w:ascii="Palatino Linotype" w:hAnsi="Palatino Linotype" w:cs="Tahoma"/>
          <w:sz w:val="22"/>
          <w:szCs w:val="22"/>
        </w:rPr>
        <w:t>ersona</w:t>
      </w:r>
      <w:r w:rsidRPr="003932DF">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3932DF" w:rsidRDefault="00BA5927" w:rsidP="00641744">
      <w:pPr>
        <w:spacing w:line="360" w:lineRule="auto"/>
        <w:contextualSpacing/>
        <w:jc w:val="both"/>
        <w:rPr>
          <w:rFonts w:ascii="Palatino Linotype" w:hAnsi="Palatino Linotype" w:cs="Tahoma"/>
          <w:sz w:val="22"/>
          <w:szCs w:val="22"/>
          <w:lang w:val="es-ES"/>
        </w:rPr>
      </w:pPr>
    </w:p>
    <w:p w14:paraId="4747B52D" w14:textId="2DA81BDF" w:rsidR="00DA08C5" w:rsidRPr="003932DF" w:rsidRDefault="00DA08C5" w:rsidP="00641744">
      <w:pPr>
        <w:spacing w:line="360" w:lineRule="auto"/>
        <w:contextualSpacing/>
        <w:jc w:val="both"/>
        <w:rPr>
          <w:rFonts w:ascii="Palatino Linotype" w:hAnsi="Palatino Linotype" w:cs="Tahoma"/>
          <w:sz w:val="22"/>
          <w:szCs w:val="22"/>
          <w:lang w:val="es-ES"/>
        </w:rPr>
      </w:pPr>
      <w:r w:rsidRPr="003932DF">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3932DF">
        <w:rPr>
          <w:rFonts w:ascii="Palatino Linotype" w:hAnsi="Palatino Linotype" w:cs="Tahoma"/>
          <w:b/>
          <w:sz w:val="22"/>
          <w:szCs w:val="22"/>
          <w:lang w:val="es-ES"/>
        </w:rPr>
        <w:t>negativa ficta</w:t>
      </w:r>
      <w:r w:rsidRPr="003932DF">
        <w:rPr>
          <w:rFonts w:ascii="Palatino Linotype" w:hAnsi="Palatino Linotype" w:cs="Tahoma"/>
          <w:sz w:val="22"/>
          <w:szCs w:val="22"/>
          <w:lang w:val="es-ES"/>
        </w:rPr>
        <w:t xml:space="preserve">, que genera la posibilidad de los particulares de interponer un recurso de revisión ante tal omisión, </w:t>
      </w:r>
      <w:r w:rsidRPr="003932DF">
        <w:rPr>
          <w:rFonts w:ascii="Palatino Linotype" w:hAnsi="Palatino Linotype" w:cs="Tahoma"/>
          <w:sz w:val="22"/>
          <w:szCs w:val="22"/>
          <w:u w:val="single"/>
          <w:lang w:val="es-ES"/>
        </w:rPr>
        <w:t>en cualquier momento</w:t>
      </w:r>
      <w:r w:rsidRPr="003932DF">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3932DF" w:rsidRDefault="009A3007" w:rsidP="00641744">
      <w:pPr>
        <w:spacing w:line="360" w:lineRule="auto"/>
        <w:contextualSpacing/>
        <w:jc w:val="both"/>
        <w:rPr>
          <w:rFonts w:ascii="Palatino Linotype" w:hAnsi="Palatino Linotype" w:cs="Tahoma"/>
          <w:sz w:val="22"/>
          <w:szCs w:val="22"/>
          <w:lang w:val="es-ES"/>
        </w:rPr>
      </w:pPr>
    </w:p>
    <w:p w14:paraId="24FE5C30" w14:textId="77777777" w:rsidR="00DA08C5" w:rsidRPr="003932DF" w:rsidRDefault="00DA08C5" w:rsidP="00641744">
      <w:pPr>
        <w:spacing w:line="360" w:lineRule="auto"/>
        <w:contextualSpacing/>
        <w:jc w:val="both"/>
        <w:rPr>
          <w:rFonts w:ascii="Palatino Linotype" w:hAnsi="Palatino Linotype" w:cs="Tahoma"/>
          <w:bCs/>
          <w:sz w:val="22"/>
          <w:szCs w:val="22"/>
          <w:lang w:val="es-ES"/>
        </w:rPr>
      </w:pPr>
      <w:r w:rsidRPr="003932DF">
        <w:rPr>
          <w:rFonts w:ascii="Palatino Linotype" w:hAnsi="Palatino Linotype" w:cs="Tahoma"/>
          <w:sz w:val="22"/>
          <w:szCs w:val="22"/>
          <w:lang w:val="es-ES"/>
        </w:rPr>
        <w:t>Conforme a lo anterior, se actualiza la causal de procedencia señalada en el artículo 179, fracción VII, de la Ley de la materia</w:t>
      </w:r>
      <w:r w:rsidRPr="003932DF">
        <w:rPr>
          <w:rFonts w:ascii="Palatino Linotype" w:hAnsi="Palatino Linotype" w:cs="Tahoma"/>
          <w:bCs/>
          <w:sz w:val="22"/>
          <w:szCs w:val="22"/>
          <w:lang w:val="es-ES"/>
        </w:rPr>
        <w:t>, toda vez que el Solicitante se inconformó con la falta de respuesta a su solicitud de acceso a información pública.</w:t>
      </w:r>
    </w:p>
    <w:p w14:paraId="737DC3B4" w14:textId="77777777" w:rsidR="00591B3C" w:rsidRPr="003932DF" w:rsidRDefault="00591B3C" w:rsidP="00641744">
      <w:pPr>
        <w:spacing w:line="360" w:lineRule="auto"/>
        <w:contextualSpacing/>
        <w:jc w:val="both"/>
        <w:rPr>
          <w:rFonts w:ascii="Palatino Linotype" w:hAnsi="Palatino Linotype" w:cs="Tahoma"/>
          <w:bCs/>
          <w:sz w:val="22"/>
          <w:szCs w:val="22"/>
          <w:lang w:val="es-ES"/>
        </w:rPr>
      </w:pPr>
    </w:p>
    <w:p w14:paraId="4A746CD4" w14:textId="77777777" w:rsidR="00591B3C" w:rsidRPr="003932DF" w:rsidRDefault="00591B3C" w:rsidP="00641744">
      <w:pPr>
        <w:spacing w:line="360" w:lineRule="auto"/>
        <w:jc w:val="both"/>
        <w:rPr>
          <w:rFonts w:ascii="Palatino Linotype" w:eastAsia="Palatino Linotype" w:hAnsi="Palatino Linotype" w:cs="Palatino Linotype"/>
          <w:color w:val="0D0D0D"/>
          <w:sz w:val="22"/>
          <w:szCs w:val="22"/>
        </w:rPr>
      </w:pPr>
      <w:r w:rsidRPr="003932DF">
        <w:rPr>
          <w:rFonts w:ascii="Palatino Linotype" w:eastAsia="Palatino Linotype" w:hAnsi="Palatino Linotype" w:cs="Palatino Linotype"/>
          <w:b/>
          <w:color w:val="0D0D0D"/>
          <w:sz w:val="22"/>
          <w:szCs w:val="22"/>
        </w:rPr>
        <w:t>Causales de sobreseimiento</w:t>
      </w:r>
    </w:p>
    <w:p w14:paraId="6F7FDB3A" w14:textId="77777777" w:rsidR="00591B3C" w:rsidRPr="003932DF" w:rsidRDefault="00591B3C" w:rsidP="00641744">
      <w:pPr>
        <w:spacing w:line="360" w:lineRule="auto"/>
        <w:jc w:val="both"/>
        <w:rPr>
          <w:rFonts w:ascii="Palatino Linotype" w:eastAsia="Palatino Linotype" w:hAnsi="Palatino Linotype" w:cs="Palatino Linotype"/>
          <w:color w:val="0D0D0D"/>
          <w:sz w:val="22"/>
          <w:szCs w:val="22"/>
        </w:rPr>
      </w:pPr>
    </w:p>
    <w:p w14:paraId="170A3496" w14:textId="77777777" w:rsidR="00591B3C" w:rsidRPr="003932DF" w:rsidRDefault="00591B3C" w:rsidP="00641744">
      <w:pPr>
        <w:spacing w:line="360" w:lineRule="auto"/>
        <w:jc w:val="both"/>
        <w:rPr>
          <w:rFonts w:ascii="Palatino Linotype" w:eastAsia="Palatino Linotype" w:hAnsi="Palatino Linotype" w:cs="Palatino Linotype"/>
          <w:sz w:val="22"/>
          <w:szCs w:val="22"/>
        </w:rPr>
      </w:pPr>
      <w:r w:rsidRPr="003932DF">
        <w:rPr>
          <w:rFonts w:ascii="Palatino Linotype" w:eastAsia="Palatino Linotype" w:hAnsi="Palatino Linotype" w:cs="Palatino Linotype"/>
          <w:sz w:val="22"/>
          <w:szCs w:val="22"/>
        </w:rPr>
        <w:lastRenderedPageBreak/>
        <w:t>Por ser de previo y especial pronunciamiento, este Instituto analiza si se actualiza alguna causal de sobreseimiento.</w:t>
      </w:r>
    </w:p>
    <w:p w14:paraId="7D902359" w14:textId="77777777" w:rsidR="00591B3C" w:rsidRPr="003932DF" w:rsidRDefault="00591B3C" w:rsidP="00641744">
      <w:pPr>
        <w:spacing w:line="360" w:lineRule="auto"/>
        <w:jc w:val="both"/>
        <w:rPr>
          <w:rFonts w:ascii="Palatino Linotype" w:eastAsia="Palatino Linotype" w:hAnsi="Palatino Linotype" w:cs="Palatino Linotype"/>
          <w:sz w:val="22"/>
          <w:szCs w:val="22"/>
        </w:rPr>
      </w:pPr>
    </w:p>
    <w:p w14:paraId="1DA90AC4" w14:textId="77777777" w:rsidR="00591B3C" w:rsidRPr="003932DF" w:rsidRDefault="00591B3C" w:rsidP="00641744">
      <w:pPr>
        <w:spacing w:line="360" w:lineRule="auto"/>
        <w:jc w:val="both"/>
        <w:rPr>
          <w:rFonts w:ascii="Palatino Linotype" w:eastAsia="Palatino Linotype" w:hAnsi="Palatino Linotype" w:cs="Palatino Linotype"/>
          <w:sz w:val="22"/>
          <w:szCs w:val="22"/>
        </w:rPr>
      </w:pPr>
      <w:r w:rsidRPr="003932DF">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90EB760" w14:textId="77777777" w:rsidR="00591B3C" w:rsidRPr="003932DF" w:rsidRDefault="00591B3C" w:rsidP="00641744">
      <w:pPr>
        <w:spacing w:line="360" w:lineRule="auto"/>
        <w:jc w:val="both"/>
        <w:rPr>
          <w:rFonts w:ascii="Palatino Linotype" w:eastAsia="Palatino Linotype" w:hAnsi="Palatino Linotype" w:cs="Palatino Linotype"/>
          <w:sz w:val="22"/>
          <w:szCs w:val="22"/>
        </w:rPr>
      </w:pPr>
    </w:p>
    <w:p w14:paraId="449DC43A" w14:textId="77777777" w:rsidR="00591B3C" w:rsidRPr="003932DF" w:rsidRDefault="00591B3C" w:rsidP="00641744">
      <w:pPr>
        <w:tabs>
          <w:tab w:val="left" w:pos="4962"/>
        </w:tabs>
        <w:spacing w:line="360" w:lineRule="auto"/>
        <w:jc w:val="both"/>
        <w:rPr>
          <w:rFonts w:ascii="Palatino Linotype" w:eastAsia="Palatino Linotype" w:hAnsi="Palatino Linotype" w:cs="Palatino Linotype"/>
          <w:sz w:val="22"/>
          <w:szCs w:val="22"/>
        </w:rPr>
      </w:pPr>
      <w:r w:rsidRPr="003932DF">
        <w:rPr>
          <w:rFonts w:ascii="Palatino Linotype" w:eastAsia="Palatino Linotype" w:hAnsi="Palatino Linotype" w:cs="Palatino Linotype"/>
          <w:sz w:val="22"/>
          <w:szCs w:val="22"/>
        </w:rPr>
        <w:t xml:space="preserve">Por tales motivos, se considera procedente entrar al fondo del presente asunto. </w:t>
      </w:r>
    </w:p>
    <w:p w14:paraId="1AD964AC" w14:textId="77777777" w:rsidR="00505111" w:rsidRPr="003932DF" w:rsidRDefault="00505111" w:rsidP="00641744">
      <w:pPr>
        <w:spacing w:line="360" w:lineRule="auto"/>
        <w:contextualSpacing/>
        <w:jc w:val="both"/>
        <w:rPr>
          <w:rFonts w:ascii="Palatino Linotype" w:hAnsi="Palatino Linotype" w:cs="Tahoma"/>
          <w:bCs/>
          <w:sz w:val="22"/>
          <w:szCs w:val="22"/>
          <w:lang w:val="es-ES"/>
        </w:rPr>
      </w:pPr>
    </w:p>
    <w:p w14:paraId="356E4588" w14:textId="4BB9957E" w:rsidR="003503C6" w:rsidRPr="003932DF" w:rsidRDefault="007E0674" w:rsidP="00641744">
      <w:pPr>
        <w:pStyle w:val="Ttulo1"/>
        <w:jc w:val="left"/>
        <w:rPr>
          <w:rFonts w:eastAsia="Palatino Linotype" w:cs="Palatino Linotype"/>
          <w:color w:val="auto"/>
          <w:szCs w:val="22"/>
        </w:rPr>
      </w:pPr>
      <w:bookmarkStart w:id="14" w:name="_Toc193381467"/>
      <w:r w:rsidRPr="003932DF">
        <w:t xml:space="preserve">TERCERO. </w:t>
      </w:r>
      <w:r w:rsidR="00591B3C" w:rsidRPr="003932DF">
        <w:rPr>
          <w:rFonts w:eastAsia="Palatino Linotype" w:cs="Palatino Linotype"/>
          <w:color w:val="auto"/>
          <w:szCs w:val="22"/>
        </w:rPr>
        <w:t>Determinación de la Controversia</w:t>
      </w:r>
      <w:bookmarkEnd w:id="14"/>
    </w:p>
    <w:p w14:paraId="29A8E84E" w14:textId="77777777" w:rsidR="00591B3C" w:rsidRPr="003932DF" w:rsidRDefault="00591B3C" w:rsidP="00641744">
      <w:pPr>
        <w:spacing w:line="360" w:lineRule="auto"/>
      </w:pPr>
    </w:p>
    <w:p w14:paraId="4FE4B088" w14:textId="77777777" w:rsidR="00591B3C" w:rsidRPr="003932DF" w:rsidRDefault="00591B3C" w:rsidP="00641744">
      <w:pPr>
        <w:spacing w:line="360" w:lineRule="auto"/>
      </w:pPr>
    </w:p>
    <w:p w14:paraId="302F9552" w14:textId="20F0442F" w:rsidR="00591B3C" w:rsidRPr="003932DF" w:rsidRDefault="00591B3C"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Theme="minorHAnsi" w:hAnsi="Palatino Linotype" w:cs="Tahoma"/>
          <w:color w:val="000000" w:themeColor="text1"/>
          <w:sz w:val="22"/>
          <w:szCs w:val="24"/>
          <w:lang w:val="es-ES" w:eastAsia="en-US"/>
        </w:rPr>
        <w:t>Una vez realizado el estudio de las constancias que integran el expediente en que se actúa, se desprende que el Particular requirió, la información que se tuviera sobre e</w:t>
      </w:r>
      <w:r w:rsidRPr="003932DF">
        <w:rPr>
          <w:rFonts w:ascii="Palatino Linotype" w:eastAsia="Calibri" w:hAnsi="Palatino Linotype" w:cs="Tahoma"/>
          <w:iCs/>
          <w:color w:val="000000" w:themeColor="text1"/>
          <w:sz w:val="22"/>
          <w:szCs w:val="22"/>
          <w:lang w:val="es-ES" w:eastAsia="es-ES_tradnl"/>
        </w:rPr>
        <w:t xml:space="preserve"> el programa social del transporte universitario de Ixtapaluca TUI.</w:t>
      </w:r>
    </w:p>
    <w:p w14:paraId="5E7585A5" w14:textId="77777777" w:rsidR="00641744" w:rsidRPr="003932DF" w:rsidRDefault="00641744"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p>
    <w:p w14:paraId="52C67255" w14:textId="38E9051A" w:rsidR="00591B3C" w:rsidRPr="003932DF" w:rsidRDefault="001E242F"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t xml:space="preserve">Ante la falta de respuesta del Ente Recurrido, el Particular, justamente se inconformó de dicha circunstancia, lo cual actualiza el supuesto previsto en el artículo 179, fracción VII, de la Ley de Transparencia y Acceso a la Información Pública del Estado de México y Municipios. Así las cosas, una vez admitido y notificado el Recurso de Revisión a las partes, el Sujeto Obligado, </w:t>
      </w:r>
      <w:r w:rsidR="00591B3C" w:rsidRPr="003932DF">
        <w:rPr>
          <w:rFonts w:ascii="Palatino Linotype" w:eastAsia="Calibri" w:hAnsi="Palatino Linotype" w:cs="Tahoma"/>
          <w:iCs/>
          <w:color w:val="000000" w:themeColor="text1"/>
          <w:sz w:val="22"/>
          <w:szCs w:val="22"/>
          <w:lang w:val="es-ES" w:eastAsia="es-ES_tradnl"/>
        </w:rPr>
        <w:t xml:space="preserve">a través de la Directora de Bienestar e Inclusión Social señaló que el total de usuarios después de la primera convocatoria de dos mil veinticinco es de novecientos treinta y ocho estudiantes, doscientos noventa y cinco del Instituto Politécnico Nacional,   trescientos cincuenta de la </w:t>
      </w:r>
      <w:r w:rsidR="00591B3C" w:rsidRPr="003932DF">
        <w:rPr>
          <w:rFonts w:ascii="Palatino Linotype" w:eastAsia="Calibri" w:hAnsi="Palatino Linotype" w:cs="Tahoma"/>
          <w:iCs/>
          <w:color w:val="000000" w:themeColor="text1"/>
          <w:sz w:val="22"/>
          <w:szCs w:val="22"/>
          <w:lang w:val="es-ES" w:eastAsia="es-ES_tradnl"/>
        </w:rPr>
        <w:lastRenderedPageBreak/>
        <w:t>Universidad Autónoma de México, ciento noventa y seis de la Universidad Autónoma Metropolitana y noventa y siete del Tecnológico de Estudios Superiores de Ixtapaluca, así mismo anexo la Convocatoria para la postulación para el programa “Apoyo de Transporte a</w:t>
      </w:r>
    </w:p>
    <w:p w14:paraId="2B3A235D" w14:textId="1B286D88" w:rsidR="001E242F" w:rsidRPr="003932DF" w:rsidRDefault="00591B3C"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t xml:space="preserve">Estudiantes Ixtapaluquenses a Nivel Superior, TUI”, dos mil veinticinco y las Reglas de Operación del programa Apoyo de Transporte a Estudiantes Ixtapaluquenses a Nivel Superior”, acciones fuertes dos mil veinticinco, dos mil veintisiete, manifestando que era la única información que bajo el esquema normativo actual se encuentra en posesión de la </w:t>
      </w:r>
      <w:r w:rsidR="006374B5" w:rsidRPr="003932DF">
        <w:rPr>
          <w:rFonts w:ascii="Palatino Linotype" w:eastAsia="Calibri" w:hAnsi="Palatino Linotype" w:cs="Tahoma"/>
          <w:iCs/>
          <w:color w:val="000000" w:themeColor="text1"/>
          <w:sz w:val="22"/>
          <w:szCs w:val="22"/>
          <w:lang w:val="es-ES" w:eastAsia="es-ES_tradnl"/>
        </w:rPr>
        <w:t>Dirección de Bienestar e Inclusión Social.</w:t>
      </w:r>
    </w:p>
    <w:p w14:paraId="706B7E26" w14:textId="77777777" w:rsidR="001E242F" w:rsidRPr="003932DF" w:rsidRDefault="001E242F"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t xml:space="preserve"> </w:t>
      </w:r>
    </w:p>
    <w:p w14:paraId="66D37010" w14:textId="77777777" w:rsidR="001E242F" w:rsidRPr="003932DF" w:rsidRDefault="001E242F" w:rsidP="00641744">
      <w:pPr>
        <w:tabs>
          <w:tab w:val="left" w:pos="4962"/>
        </w:tabs>
        <w:spacing w:line="360" w:lineRule="auto"/>
        <w:contextualSpacing/>
        <w:jc w:val="both"/>
        <w:rPr>
          <w:rFonts w:ascii="Palatino Linotype" w:eastAsia="Calibri" w:hAnsi="Palatino Linotype" w:cs="Tahoma"/>
          <w:bCs/>
          <w:color w:val="000000" w:themeColor="text1"/>
          <w:sz w:val="22"/>
          <w:szCs w:val="22"/>
          <w:lang w:eastAsia="en-US"/>
        </w:rPr>
      </w:pPr>
      <w:r w:rsidRPr="003932DF">
        <w:rPr>
          <w:rFonts w:ascii="Palatino Linotype" w:eastAsia="Calibri" w:hAnsi="Palatino Linotype" w:cs="Tahoma"/>
          <w:iCs/>
          <w:color w:val="000000" w:themeColor="text1"/>
          <w:sz w:val="22"/>
          <w:szCs w:val="22"/>
          <w:lang w:val="es-ES" w:eastAsia="es-ES_tradnl"/>
        </w:rPr>
        <w:t>Lo anterior, se desprende de las documentales que obran en el expediente de referencia, materia de la presente resolución, consistentes en: la solicitud de acceso a la información,</w:t>
      </w:r>
      <w:r w:rsidRPr="003932DF">
        <w:rPr>
          <w:rFonts w:ascii="Palatino Linotype" w:eastAsia="Calibri" w:hAnsi="Palatino Linotype" w:cs="Tahoma"/>
          <w:iCs/>
          <w:color w:val="000000" w:themeColor="text1"/>
          <w:sz w:val="22"/>
          <w:szCs w:val="22"/>
          <w:lang w:eastAsia="es-ES_tradnl"/>
        </w:rPr>
        <w:t xml:space="preserve"> el escrito recursal y el Informe Justificado; </w:t>
      </w:r>
      <w:r w:rsidRPr="003932DF">
        <w:rPr>
          <w:rFonts w:ascii="Palatino Linotype" w:eastAsia="Calibri" w:hAnsi="Palatino Linotype" w:cs="Tahoma"/>
          <w:bCs/>
          <w:color w:val="000000" w:themeColor="text1"/>
          <w:sz w:val="22"/>
          <w:szCs w:val="22"/>
          <w:lang w:eastAsia="en-US"/>
        </w:rPr>
        <w:t>instrumentales que se toman en cuenta a efecto de resolver el presente medio de impugnación, conforme a lo dispuesto por el artículo 185, fracción IV, de la Ley de Transparencia y Acceso a la Información Pública del Estado de México y Municipios.</w:t>
      </w:r>
    </w:p>
    <w:p w14:paraId="587F042E" w14:textId="77777777" w:rsidR="001E242F" w:rsidRPr="003932DF" w:rsidRDefault="001E242F" w:rsidP="00641744">
      <w:pPr>
        <w:spacing w:line="360" w:lineRule="auto"/>
        <w:contextualSpacing/>
        <w:jc w:val="both"/>
        <w:rPr>
          <w:rFonts w:ascii="Palatino Linotype" w:eastAsia="Calibri" w:hAnsi="Palatino Linotype" w:cs="Tahoma"/>
          <w:sz w:val="22"/>
          <w:szCs w:val="22"/>
          <w:lang w:eastAsia="es-ES_tradnl"/>
        </w:rPr>
      </w:pPr>
    </w:p>
    <w:p w14:paraId="1A6D016E" w14:textId="77777777" w:rsidR="006374B5" w:rsidRPr="003932DF" w:rsidRDefault="006374B5" w:rsidP="00641744">
      <w:pPr>
        <w:keepNext/>
        <w:keepLines/>
        <w:spacing w:line="360" w:lineRule="auto"/>
        <w:jc w:val="both"/>
        <w:outlineLvl w:val="0"/>
        <w:rPr>
          <w:rFonts w:ascii="Palatino Linotype" w:hAnsi="Palatino Linotype" w:cstheme="majorBidi"/>
          <w:b/>
          <w:bCs/>
          <w:sz w:val="22"/>
          <w:szCs w:val="22"/>
        </w:rPr>
      </w:pPr>
      <w:bookmarkStart w:id="15" w:name="_Toc192778070"/>
      <w:bookmarkStart w:id="16" w:name="_Toc193381468"/>
      <w:r w:rsidRPr="003932DF">
        <w:rPr>
          <w:rFonts w:ascii="Palatino Linotype" w:hAnsi="Palatino Linotype" w:cstheme="majorBidi"/>
          <w:b/>
          <w:bCs/>
          <w:sz w:val="22"/>
          <w:szCs w:val="22"/>
          <w:lang w:val="es-ES"/>
        </w:rPr>
        <w:t xml:space="preserve">CUARTO. </w:t>
      </w:r>
      <w:r w:rsidRPr="003932DF">
        <w:rPr>
          <w:rFonts w:ascii="Palatino Linotype" w:hAnsi="Palatino Linotype" w:cstheme="majorBidi"/>
          <w:b/>
          <w:bCs/>
          <w:sz w:val="22"/>
          <w:szCs w:val="22"/>
        </w:rPr>
        <w:t>Marco normativo aplicable en materia de transparencia y acceso a la información pública</w:t>
      </w:r>
      <w:bookmarkEnd w:id="15"/>
      <w:bookmarkEnd w:id="16"/>
    </w:p>
    <w:p w14:paraId="62DC9C8B" w14:textId="77777777" w:rsidR="006374B5" w:rsidRPr="003932DF" w:rsidRDefault="006374B5" w:rsidP="00641744">
      <w:pPr>
        <w:autoSpaceDE w:val="0"/>
        <w:autoSpaceDN w:val="0"/>
        <w:adjustRightInd w:val="0"/>
        <w:spacing w:line="360" w:lineRule="auto"/>
        <w:jc w:val="both"/>
        <w:rPr>
          <w:rFonts w:ascii="Palatino Linotype" w:hAnsi="Palatino Linotype" w:cs="Tahoma"/>
          <w:bCs/>
          <w:iCs/>
          <w:sz w:val="22"/>
          <w:szCs w:val="22"/>
          <w:lang w:val="es-ES"/>
        </w:rPr>
      </w:pPr>
    </w:p>
    <w:p w14:paraId="446E7A8E"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D606F4D" w14:textId="77777777" w:rsidR="006374B5" w:rsidRPr="003932DF" w:rsidRDefault="006374B5" w:rsidP="00641744">
      <w:pPr>
        <w:spacing w:line="360" w:lineRule="auto"/>
        <w:jc w:val="both"/>
        <w:rPr>
          <w:rFonts w:ascii="Palatino Linotype" w:hAnsi="Palatino Linotype" w:cs="Tahoma"/>
          <w:bCs/>
          <w:iCs/>
          <w:sz w:val="22"/>
          <w:szCs w:val="22"/>
        </w:rPr>
      </w:pPr>
    </w:p>
    <w:p w14:paraId="579AD562"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9F8E678" w14:textId="77777777" w:rsidR="006374B5" w:rsidRPr="003932DF" w:rsidRDefault="006374B5" w:rsidP="00641744">
      <w:pPr>
        <w:spacing w:line="360" w:lineRule="auto"/>
        <w:jc w:val="both"/>
        <w:rPr>
          <w:rFonts w:ascii="Palatino Linotype" w:hAnsi="Palatino Linotype" w:cs="Tahoma"/>
          <w:bCs/>
          <w:iCs/>
          <w:sz w:val="22"/>
          <w:szCs w:val="22"/>
        </w:rPr>
      </w:pPr>
    </w:p>
    <w:p w14:paraId="0CAE6995"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152065" w14:textId="77777777" w:rsidR="006374B5" w:rsidRPr="003932DF" w:rsidRDefault="006374B5" w:rsidP="00641744">
      <w:pPr>
        <w:spacing w:line="360" w:lineRule="auto"/>
        <w:jc w:val="both"/>
        <w:rPr>
          <w:rFonts w:ascii="Palatino Linotype" w:hAnsi="Palatino Linotype" w:cs="Tahoma"/>
          <w:bCs/>
          <w:iCs/>
          <w:sz w:val="22"/>
          <w:szCs w:val="22"/>
        </w:rPr>
      </w:pPr>
    </w:p>
    <w:p w14:paraId="37887D10"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0A329566" w14:textId="77777777" w:rsidR="006374B5" w:rsidRPr="003932DF" w:rsidRDefault="006374B5" w:rsidP="00641744">
      <w:pPr>
        <w:spacing w:line="360" w:lineRule="auto"/>
        <w:jc w:val="both"/>
        <w:rPr>
          <w:rFonts w:ascii="Palatino Linotype" w:hAnsi="Palatino Linotype" w:cs="Tahoma"/>
          <w:bCs/>
          <w:iCs/>
          <w:sz w:val="22"/>
          <w:szCs w:val="22"/>
        </w:rPr>
      </w:pPr>
    </w:p>
    <w:p w14:paraId="519A2193"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2106F519" w14:textId="77777777" w:rsidR="006374B5" w:rsidRPr="003932DF" w:rsidRDefault="006374B5" w:rsidP="00641744">
      <w:pPr>
        <w:spacing w:line="360" w:lineRule="auto"/>
        <w:jc w:val="both"/>
        <w:rPr>
          <w:rFonts w:ascii="Palatino Linotype" w:hAnsi="Palatino Linotype" w:cs="Tahoma"/>
          <w:bCs/>
          <w:iCs/>
          <w:sz w:val="22"/>
          <w:szCs w:val="22"/>
        </w:rPr>
      </w:pPr>
    </w:p>
    <w:p w14:paraId="22F57AC1" w14:textId="77777777" w:rsidR="006374B5" w:rsidRPr="003932DF" w:rsidRDefault="006374B5" w:rsidP="00641744">
      <w:pPr>
        <w:widowControl w:val="0"/>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E72FA35" w14:textId="77777777" w:rsidR="006374B5" w:rsidRPr="003932DF" w:rsidRDefault="006374B5" w:rsidP="00641744">
      <w:pPr>
        <w:widowControl w:val="0"/>
        <w:spacing w:line="360" w:lineRule="auto"/>
        <w:jc w:val="both"/>
        <w:rPr>
          <w:rFonts w:ascii="Palatino Linotype" w:hAnsi="Palatino Linotype" w:cs="Tahoma"/>
          <w:bCs/>
          <w:iCs/>
          <w:sz w:val="22"/>
          <w:szCs w:val="22"/>
        </w:rPr>
      </w:pPr>
    </w:p>
    <w:p w14:paraId="5BF590A7" w14:textId="77777777" w:rsidR="006374B5" w:rsidRPr="003932DF" w:rsidRDefault="006374B5" w:rsidP="00641744">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6BB48DB" w14:textId="77777777" w:rsidR="006374B5" w:rsidRPr="003932DF" w:rsidRDefault="006374B5" w:rsidP="00641744">
      <w:pPr>
        <w:spacing w:line="360" w:lineRule="auto"/>
        <w:jc w:val="both"/>
        <w:rPr>
          <w:rFonts w:ascii="Palatino Linotype" w:hAnsi="Palatino Linotype" w:cs="Tahoma"/>
          <w:bCs/>
          <w:iCs/>
          <w:sz w:val="22"/>
          <w:szCs w:val="22"/>
        </w:rPr>
      </w:pPr>
    </w:p>
    <w:p w14:paraId="09E6F2DF" w14:textId="77777777" w:rsidR="006374B5" w:rsidRPr="003932DF" w:rsidRDefault="006374B5" w:rsidP="00641744">
      <w:pPr>
        <w:keepNext/>
        <w:keepLines/>
        <w:spacing w:line="360" w:lineRule="auto"/>
        <w:jc w:val="both"/>
        <w:outlineLvl w:val="0"/>
        <w:rPr>
          <w:rFonts w:ascii="Palatino Linotype" w:hAnsi="Palatino Linotype" w:cstheme="majorBidi"/>
          <w:b/>
          <w:bCs/>
          <w:sz w:val="22"/>
          <w:szCs w:val="22"/>
          <w:lang w:val="es-ES"/>
        </w:rPr>
      </w:pPr>
      <w:bookmarkStart w:id="17" w:name="_Toc192778071"/>
      <w:bookmarkStart w:id="18" w:name="_Toc193381469"/>
      <w:r w:rsidRPr="003932DF">
        <w:rPr>
          <w:rFonts w:ascii="Palatino Linotype" w:hAnsi="Palatino Linotype" w:cstheme="majorBidi"/>
          <w:b/>
          <w:bCs/>
          <w:sz w:val="22"/>
          <w:szCs w:val="22"/>
          <w:lang w:val="es-ES"/>
        </w:rPr>
        <w:t>QUINTO. Estudio de Fondo</w:t>
      </w:r>
      <w:bookmarkEnd w:id="17"/>
      <w:bookmarkEnd w:id="18"/>
    </w:p>
    <w:p w14:paraId="78FEC2DC" w14:textId="77777777" w:rsidR="006374B5" w:rsidRPr="003932DF" w:rsidRDefault="006374B5" w:rsidP="00641744">
      <w:pPr>
        <w:spacing w:line="360" w:lineRule="auto"/>
        <w:contextualSpacing/>
        <w:jc w:val="both"/>
        <w:rPr>
          <w:rFonts w:ascii="Palatino Linotype" w:eastAsia="Calibri" w:hAnsi="Palatino Linotype" w:cs="Tahoma"/>
          <w:sz w:val="22"/>
          <w:szCs w:val="22"/>
          <w:lang w:eastAsia="es-ES_tradnl"/>
        </w:rPr>
      </w:pPr>
    </w:p>
    <w:p w14:paraId="1BD047E8" w14:textId="77777777" w:rsidR="001E242F" w:rsidRPr="003932DF" w:rsidRDefault="001E242F" w:rsidP="00641744">
      <w:p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 xml:space="preserve">Expuestas las posturas de las partes, se procede al análisis del agravio hecho valer por el ahora Recurrente, concerniente a la falta de respuesta del </w:t>
      </w:r>
      <w:r w:rsidRPr="003932DF">
        <w:rPr>
          <w:rFonts w:ascii="Palatino Linotype" w:eastAsiaTheme="minorHAnsi" w:hAnsi="Palatino Linotype" w:cstheme="minorBidi"/>
          <w:b/>
          <w:bCs/>
          <w:color w:val="000000"/>
          <w:sz w:val="22"/>
          <w:szCs w:val="22"/>
          <w:lang w:eastAsia="en-US"/>
        </w:rPr>
        <w:t>Ayuntamiento de Ixtapaluca</w:t>
      </w:r>
      <w:r w:rsidRPr="003932DF">
        <w:rPr>
          <w:rFonts w:ascii="Palatino Linotype" w:hAnsi="Palatino Linotype" w:cs="Tahoma"/>
          <w:iCs/>
          <w:sz w:val="22"/>
          <w:szCs w:val="22"/>
        </w:rPr>
        <w:t>, a</w:t>
      </w:r>
      <w:r w:rsidRPr="003932DF">
        <w:rPr>
          <w:rFonts w:ascii="Palatino Linotype" w:hAnsi="Palatino Linotype" w:cs="Tahoma"/>
          <w:bCs/>
          <w:iCs/>
          <w:sz w:val="22"/>
          <w:szCs w:val="22"/>
        </w:rPr>
        <w:t xml:space="preserve"> la solicitud de información presentada. </w:t>
      </w:r>
    </w:p>
    <w:p w14:paraId="2063580A"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1E35396C" w14:textId="77777777" w:rsidR="001E242F" w:rsidRPr="003932DF" w:rsidRDefault="001E242F" w:rsidP="00641744">
      <w:p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7AE8AA24"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4AD412F9" w14:textId="77777777" w:rsidR="001E242F" w:rsidRPr="003932DF" w:rsidRDefault="001E242F" w:rsidP="00641744">
      <w:pPr>
        <w:numPr>
          <w:ilvl w:val="0"/>
          <w:numId w:val="2"/>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Proveer lo necesario para garantizar a toda persona el derecho de acceso a la información pública, a través de procedimientos sencillos, expeditos, oportunos y gratuitos;</w:t>
      </w:r>
    </w:p>
    <w:p w14:paraId="44E8C9E0" w14:textId="77777777" w:rsidR="001E242F" w:rsidRPr="003932DF" w:rsidRDefault="001E242F" w:rsidP="00641744">
      <w:pPr>
        <w:spacing w:line="360" w:lineRule="auto"/>
        <w:ind w:left="720"/>
        <w:contextualSpacing/>
        <w:jc w:val="both"/>
        <w:rPr>
          <w:rFonts w:ascii="Palatino Linotype" w:hAnsi="Palatino Linotype" w:cs="Tahoma"/>
          <w:bCs/>
          <w:iCs/>
          <w:sz w:val="22"/>
          <w:szCs w:val="22"/>
        </w:rPr>
      </w:pPr>
    </w:p>
    <w:p w14:paraId="31957409" w14:textId="77777777" w:rsidR="001E242F" w:rsidRPr="003932DF" w:rsidRDefault="001E242F" w:rsidP="00641744">
      <w:pPr>
        <w:numPr>
          <w:ilvl w:val="0"/>
          <w:numId w:val="2"/>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Transparentar la gestión pública, mediante la difusión de la información generada por los Sujetos Obligados, y</w:t>
      </w:r>
    </w:p>
    <w:p w14:paraId="4D91590E" w14:textId="77777777" w:rsidR="001E242F" w:rsidRPr="003932DF" w:rsidRDefault="001E242F" w:rsidP="00641744">
      <w:pPr>
        <w:spacing w:line="360" w:lineRule="auto"/>
        <w:ind w:left="720"/>
        <w:contextualSpacing/>
        <w:jc w:val="both"/>
        <w:rPr>
          <w:rFonts w:ascii="Palatino Linotype" w:hAnsi="Palatino Linotype" w:cs="Tahoma"/>
          <w:bCs/>
          <w:iCs/>
          <w:sz w:val="22"/>
          <w:szCs w:val="22"/>
        </w:rPr>
      </w:pPr>
    </w:p>
    <w:p w14:paraId="5C125B7B" w14:textId="77777777" w:rsidR="001E242F" w:rsidRPr="003932DF" w:rsidRDefault="001E242F" w:rsidP="00641744">
      <w:pPr>
        <w:numPr>
          <w:ilvl w:val="0"/>
          <w:numId w:val="2"/>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Promover, fomentar y difundir la cultura de la transparencia en el ejercicio de la función pública, el acceso a la información y la participación ciudadana, así como, la rendición de cuentas.</w:t>
      </w:r>
    </w:p>
    <w:p w14:paraId="474C5F04"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57E5F46B" w14:textId="77777777" w:rsidR="001E242F" w:rsidRPr="003932DF" w:rsidRDefault="001E242F" w:rsidP="00641744">
      <w:p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 xml:space="preserve">Conforme a lo anterior, se deprende que </w:t>
      </w:r>
      <w:r w:rsidRPr="003932DF">
        <w:rPr>
          <w:rFonts w:ascii="Palatino Linotype" w:hAnsi="Palatino Linotype" w:cs="Tahoma"/>
          <w:b/>
          <w:bCs/>
          <w:iCs/>
          <w:sz w:val="22"/>
          <w:szCs w:val="22"/>
        </w:rPr>
        <w:t>los objetivos de la Ley de la materia,</w:t>
      </w:r>
      <w:r w:rsidRPr="003932DF">
        <w:rPr>
          <w:rFonts w:ascii="Palatino Linotype" w:hAnsi="Palatino Linotype" w:cs="Tahoma"/>
          <w:bCs/>
          <w:iCs/>
          <w:sz w:val="22"/>
          <w:szCs w:val="22"/>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BDE9027"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144CF57F" w14:textId="77777777" w:rsidR="001E242F" w:rsidRPr="003932DF" w:rsidRDefault="001E242F" w:rsidP="00641744">
      <w:p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 xml:space="preserve">En ese orden de ideas, para la atención de las solicitudes de acceso a la información, debe privilegiarse el </w:t>
      </w:r>
      <w:r w:rsidRPr="003932DF">
        <w:rPr>
          <w:rFonts w:ascii="Palatino Linotype" w:hAnsi="Palatino Linotype" w:cs="Tahoma"/>
          <w:b/>
          <w:bCs/>
          <w:iCs/>
          <w:sz w:val="22"/>
          <w:szCs w:val="22"/>
        </w:rPr>
        <w:t>principio de máxima publicidad</w:t>
      </w:r>
      <w:r w:rsidRPr="003932DF">
        <w:rPr>
          <w:rFonts w:ascii="Palatino Linotype" w:hAnsi="Palatino Linotype" w:cs="Tahoma"/>
          <w:bCs/>
          <w:iCs/>
          <w:sz w:val="22"/>
          <w:szCs w:val="22"/>
        </w:rPr>
        <w:t xml:space="preserve"> el cual dispone que toda la información en posesión de los sujetos obligados será pública, completa, oportuna y accesible, sujeta a un </w:t>
      </w:r>
      <w:r w:rsidRPr="003932DF">
        <w:rPr>
          <w:rFonts w:ascii="Palatino Linotype" w:hAnsi="Palatino Linotype" w:cs="Tahoma"/>
          <w:bCs/>
          <w:iCs/>
          <w:sz w:val="22"/>
          <w:szCs w:val="22"/>
        </w:rPr>
        <w:lastRenderedPageBreak/>
        <w:t>claro régimen de excepciones que deberán estar definidas y ser legítimas y estrictamente necesarias en una sociedad democrática.</w:t>
      </w:r>
    </w:p>
    <w:p w14:paraId="6772CDFE"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3A5586B4" w14:textId="77777777" w:rsidR="001E242F" w:rsidRPr="003932DF" w:rsidRDefault="001E242F" w:rsidP="00641744">
      <w:p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E1D83C6"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4D5541B5" w14:textId="77777777" w:rsidR="001E242F" w:rsidRPr="003932DF" w:rsidRDefault="001E242F" w:rsidP="00641744">
      <w:pPr>
        <w:numPr>
          <w:ilvl w:val="0"/>
          <w:numId w:val="3"/>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AC6A37B"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117A80A6" w14:textId="77777777" w:rsidR="001E242F" w:rsidRPr="003932DF" w:rsidRDefault="001E242F" w:rsidP="00641744">
      <w:pPr>
        <w:numPr>
          <w:ilvl w:val="0"/>
          <w:numId w:val="3"/>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3A6276A" w14:textId="77777777" w:rsidR="001E242F" w:rsidRPr="003932DF" w:rsidRDefault="001E242F" w:rsidP="00641744">
      <w:pPr>
        <w:spacing w:line="360" w:lineRule="auto"/>
        <w:ind w:left="720"/>
        <w:contextualSpacing/>
        <w:jc w:val="both"/>
        <w:rPr>
          <w:rFonts w:ascii="Palatino Linotype" w:hAnsi="Palatino Linotype" w:cs="Tahoma"/>
          <w:bCs/>
          <w:iCs/>
          <w:sz w:val="22"/>
          <w:szCs w:val="22"/>
        </w:rPr>
      </w:pPr>
    </w:p>
    <w:p w14:paraId="3842CF72" w14:textId="77777777" w:rsidR="001E242F" w:rsidRPr="003932DF" w:rsidRDefault="001E242F" w:rsidP="00641744">
      <w:pPr>
        <w:numPr>
          <w:ilvl w:val="0"/>
          <w:numId w:val="3"/>
        </w:numPr>
        <w:spacing w:line="360" w:lineRule="auto"/>
        <w:contextualSpacing/>
        <w:jc w:val="both"/>
        <w:rPr>
          <w:rFonts w:ascii="Palatino Linotype" w:hAnsi="Palatino Linotype" w:cs="Tahoma"/>
          <w:bCs/>
          <w:iCs/>
          <w:sz w:val="22"/>
          <w:szCs w:val="22"/>
        </w:rPr>
      </w:pPr>
      <w:r w:rsidRPr="003932DF">
        <w:rPr>
          <w:rFonts w:ascii="Palatino Linotype" w:hAnsi="Palatino Linotype" w:cs="Tahoma"/>
          <w:bCs/>
          <w:iCs/>
          <w:sz w:val="22"/>
          <w:szCs w:val="22"/>
        </w:rPr>
        <w:t xml:space="preserve">Las respuestas a los requerimientos informativos deberán notificarse al interesado en el menor tiempo posible, que no podrá exceder </w:t>
      </w:r>
      <w:r w:rsidRPr="003932DF">
        <w:rPr>
          <w:rFonts w:ascii="Palatino Linotype" w:hAnsi="Palatino Linotype" w:cs="Tahoma"/>
          <w:b/>
          <w:bCs/>
          <w:iCs/>
          <w:sz w:val="22"/>
          <w:szCs w:val="22"/>
        </w:rPr>
        <w:t>quince días, contados a partir del día siguiente a la presentación de ésta.</w:t>
      </w:r>
      <w:r w:rsidRPr="003932DF">
        <w:rPr>
          <w:rFonts w:ascii="Palatino Linotype" w:hAnsi="Palatino Linotype" w:cs="Tahoma"/>
          <w:bCs/>
          <w:iCs/>
          <w:sz w:val="22"/>
          <w:szCs w:val="22"/>
        </w:rPr>
        <w:t xml:space="preserve"> Excepcionalmente, el plazo referido podrá ampliarse por siete días hábiles más, cuando existan razones fundadas y motivadas, a través del Comité de Transparencia;</w:t>
      </w:r>
    </w:p>
    <w:p w14:paraId="761D1C41" w14:textId="77777777" w:rsidR="001E242F" w:rsidRPr="003932DF" w:rsidRDefault="001E242F" w:rsidP="00641744">
      <w:pPr>
        <w:spacing w:line="360" w:lineRule="auto"/>
        <w:contextualSpacing/>
        <w:jc w:val="both"/>
        <w:rPr>
          <w:rFonts w:ascii="Palatino Linotype" w:hAnsi="Palatino Linotype" w:cs="Tahoma"/>
          <w:bCs/>
          <w:iCs/>
          <w:sz w:val="22"/>
          <w:szCs w:val="22"/>
        </w:rPr>
      </w:pPr>
    </w:p>
    <w:p w14:paraId="55D1F3A1" w14:textId="77777777" w:rsidR="001E242F" w:rsidRPr="003932DF" w:rsidRDefault="001E242F" w:rsidP="00641744">
      <w:pPr>
        <w:numPr>
          <w:ilvl w:val="0"/>
          <w:numId w:val="3"/>
        </w:numPr>
        <w:spacing w:line="360" w:lineRule="auto"/>
        <w:contextualSpacing/>
        <w:jc w:val="both"/>
        <w:rPr>
          <w:rFonts w:ascii="Palatino Linotype" w:hAnsi="Palatino Linotype" w:cs="Tahoma"/>
          <w:b/>
          <w:bCs/>
          <w:iCs/>
          <w:sz w:val="22"/>
          <w:szCs w:val="22"/>
        </w:rPr>
      </w:pPr>
      <w:r w:rsidRPr="003932DF">
        <w:rPr>
          <w:rFonts w:ascii="Palatino Linotype" w:hAnsi="Palatino Linotype" w:cs="Tahoma"/>
          <w:bCs/>
          <w:iCs/>
          <w:sz w:val="22"/>
          <w:szCs w:val="22"/>
        </w:rPr>
        <w:lastRenderedPageBreak/>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3932DF">
        <w:rPr>
          <w:rFonts w:ascii="Palatino Linotype" w:hAnsi="Palatino Linotype" w:cs="Tahoma"/>
          <w:b/>
          <w:bCs/>
          <w:iCs/>
          <w:sz w:val="22"/>
          <w:szCs w:val="22"/>
        </w:rPr>
        <w:t>que se encuentren en sus archivos o que estén constreñidos a elaborar;</w:t>
      </w:r>
    </w:p>
    <w:p w14:paraId="727C57CE" w14:textId="77777777" w:rsidR="001E242F" w:rsidRPr="003932DF" w:rsidRDefault="001E242F" w:rsidP="00641744">
      <w:pPr>
        <w:spacing w:line="360" w:lineRule="auto"/>
        <w:contextualSpacing/>
        <w:jc w:val="both"/>
        <w:rPr>
          <w:rFonts w:ascii="Palatino Linotype" w:hAnsi="Palatino Linotype" w:cs="Tahoma"/>
          <w:b/>
          <w:bCs/>
          <w:iCs/>
          <w:sz w:val="22"/>
          <w:szCs w:val="22"/>
        </w:rPr>
      </w:pPr>
    </w:p>
    <w:p w14:paraId="27415E64" w14:textId="77777777" w:rsidR="001E242F" w:rsidRPr="003932DF" w:rsidRDefault="001E242F" w:rsidP="00641744">
      <w:pPr>
        <w:numPr>
          <w:ilvl w:val="0"/>
          <w:numId w:val="3"/>
        </w:numPr>
        <w:spacing w:line="360" w:lineRule="auto"/>
        <w:contextualSpacing/>
        <w:jc w:val="both"/>
        <w:rPr>
          <w:rFonts w:ascii="Palatino Linotype" w:hAnsi="Palatino Linotype" w:cs="Tahoma"/>
          <w:b/>
          <w:bCs/>
          <w:iCs/>
          <w:sz w:val="22"/>
          <w:szCs w:val="22"/>
        </w:rPr>
      </w:pPr>
      <w:r w:rsidRPr="003932DF">
        <w:rPr>
          <w:rFonts w:ascii="Palatino Linotype" w:hAnsi="Palatino Linotype" w:cs="Tahoma"/>
          <w:bCs/>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1CEF32E" w14:textId="77777777" w:rsidR="001E242F" w:rsidRPr="003932DF" w:rsidRDefault="001E242F" w:rsidP="00641744">
      <w:pPr>
        <w:spacing w:line="360" w:lineRule="auto"/>
        <w:contextualSpacing/>
        <w:jc w:val="both"/>
        <w:rPr>
          <w:rFonts w:ascii="Palatino Linotype" w:hAnsi="Palatino Linotype" w:cs="Tahoma"/>
          <w:b/>
          <w:bCs/>
          <w:iCs/>
          <w:sz w:val="22"/>
          <w:szCs w:val="22"/>
        </w:rPr>
      </w:pPr>
    </w:p>
    <w:p w14:paraId="4B53DED0" w14:textId="77777777" w:rsidR="001E242F" w:rsidRPr="003932DF" w:rsidRDefault="001E242F" w:rsidP="00641744">
      <w:pPr>
        <w:numPr>
          <w:ilvl w:val="0"/>
          <w:numId w:val="3"/>
        </w:numPr>
        <w:spacing w:line="360" w:lineRule="auto"/>
        <w:contextualSpacing/>
        <w:jc w:val="both"/>
        <w:rPr>
          <w:rFonts w:ascii="Palatino Linotype" w:hAnsi="Palatino Linotype" w:cs="Tahoma"/>
          <w:b/>
          <w:bCs/>
          <w:iCs/>
          <w:sz w:val="22"/>
          <w:szCs w:val="22"/>
        </w:rPr>
      </w:pPr>
      <w:r w:rsidRPr="003932DF">
        <w:rPr>
          <w:rFonts w:ascii="Palatino Linotype" w:hAnsi="Palatino Linotype" w:cs="Tahoma"/>
          <w:bCs/>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B97A6C1" w14:textId="77777777" w:rsidR="001E242F" w:rsidRPr="003932DF" w:rsidRDefault="001E242F" w:rsidP="00641744">
      <w:pPr>
        <w:spacing w:line="360" w:lineRule="auto"/>
        <w:contextualSpacing/>
        <w:jc w:val="both"/>
        <w:rPr>
          <w:rFonts w:ascii="Palatino Linotype" w:eastAsia="Calibri" w:hAnsi="Palatino Linotype" w:cs="Tahoma"/>
          <w:color w:val="000000" w:themeColor="text1"/>
          <w:sz w:val="22"/>
          <w:szCs w:val="22"/>
          <w:lang w:eastAsia="en-US"/>
        </w:rPr>
      </w:pPr>
    </w:p>
    <w:p w14:paraId="33E5281C" w14:textId="0C627F0C" w:rsidR="001E242F" w:rsidRPr="003932DF" w:rsidRDefault="001E242F" w:rsidP="00641744">
      <w:pPr>
        <w:spacing w:line="360" w:lineRule="auto"/>
        <w:contextualSpacing/>
        <w:jc w:val="both"/>
        <w:rPr>
          <w:rFonts w:ascii="Palatino Linotype" w:eastAsia="Calibri" w:hAnsi="Palatino Linotype" w:cs="Tahoma"/>
          <w:color w:val="000000" w:themeColor="text1"/>
          <w:sz w:val="22"/>
          <w:szCs w:val="22"/>
          <w:lang w:eastAsia="en-US"/>
        </w:rPr>
      </w:pPr>
      <w:r w:rsidRPr="003932DF">
        <w:rPr>
          <w:rFonts w:ascii="Palatino Linotype" w:eastAsia="Calibri" w:hAnsi="Palatino Linotype" w:cs="Tahoma"/>
          <w:color w:val="000000" w:themeColor="text1"/>
          <w:sz w:val="22"/>
          <w:szCs w:val="22"/>
          <w:lang w:eastAsia="en-US"/>
        </w:rPr>
        <w:t xml:space="preserve">Una vez establecido lo anterior, es de indicar que el agravio del Particular consistió en que, a la fecha de interposición del Recurso de Revisión, </w:t>
      </w:r>
      <w:r w:rsidRPr="003932DF">
        <w:rPr>
          <w:rFonts w:ascii="Palatino Linotype" w:eastAsia="Calibri" w:hAnsi="Palatino Linotype" w:cs="Tahoma"/>
          <w:bCs/>
          <w:color w:val="000000" w:themeColor="text1"/>
          <w:sz w:val="22"/>
          <w:szCs w:val="22"/>
          <w:lang w:eastAsia="en-US"/>
        </w:rPr>
        <w:t xml:space="preserve">el </w:t>
      </w:r>
      <w:r w:rsidRPr="003932DF">
        <w:rPr>
          <w:rFonts w:ascii="Palatino Linotype" w:eastAsiaTheme="minorHAnsi" w:hAnsi="Palatino Linotype" w:cstheme="minorBidi"/>
          <w:b/>
          <w:color w:val="000000"/>
          <w:sz w:val="22"/>
          <w:szCs w:val="22"/>
          <w:lang w:eastAsia="en-US"/>
        </w:rPr>
        <w:t>Ayuntamiento de Ixtapaluca</w:t>
      </w:r>
      <w:r w:rsidRPr="003932DF">
        <w:rPr>
          <w:rFonts w:ascii="Palatino Linotype" w:eastAsia="Calibri" w:hAnsi="Palatino Linotype" w:cs="Tahoma"/>
          <w:bCs/>
          <w:color w:val="000000" w:themeColor="text1"/>
          <w:sz w:val="22"/>
          <w:szCs w:val="22"/>
          <w:lang w:eastAsia="en-US"/>
        </w:rPr>
        <w:t>, no había registrado respuesta al requerimiento</w:t>
      </w:r>
      <w:r w:rsidRPr="003932DF">
        <w:rPr>
          <w:rFonts w:ascii="Palatino Linotype" w:eastAsia="Calibri" w:hAnsi="Palatino Linotype" w:cs="Tahoma"/>
          <w:color w:val="000000" w:themeColor="text1"/>
          <w:sz w:val="22"/>
          <w:szCs w:val="22"/>
          <w:lang w:eastAsia="en-US"/>
        </w:rPr>
        <w:t xml:space="preserve"> de acceso a la información, el cual se </w:t>
      </w:r>
      <w:r w:rsidR="00FA1902" w:rsidRPr="003932DF">
        <w:rPr>
          <w:rFonts w:ascii="Palatino Linotype" w:eastAsia="Calibri" w:hAnsi="Palatino Linotype" w:cs="Tahoma"/>
          <w:color w:val="000000" w:themeColor="text1"/>
          <w:sz w:val="22"/>
          <w:szCs w:val="22"/>
          <w:lang w:eastAsia="en-US"/>
        </w:rPr>
        <w:t>tuvo por presentado</w:t>
      </w:r>
      <w:r w:rsidRPr="003932DF">
        <w:rPr>
          <w:rFonts w:ascii="Palatino Linotype" w:eastAsia="Calibri" w:hAnsi="Palatino Linotype" w:cs="Tahoma"/>
          <w:color w:val="000000" w:themeColor="text1"/>
          <w:sz w:val="22"/>
          <w:szCs w:val="22"/>
          <w:lang w:eastAsia="en-US"/>
        </w:rPr>
        <w:t>, el trece de enero de dos mil veinticuatro.</w:t>
      </w:r>
    </w:p>
    <w:p w14:paraId="3856ADC3" w14:textId="77777777" w:rsidR="003503C6" w:rsidRPr="003932DF" w:rsidRDefault="003503C6"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p>
    <w:p w14:paraId="407437F9" w14:textId="7DB525C0" w:rsidR="00674503" w:rsidRPr="003932DF" w:rsidRDefault="00674503" w:rsidP="00641744">
      <w:pPr>
        <w:spacing w:line="360" w:lineRule="auto"/>
        <w:jc w:val="both"/>
        <w:rPr>
          <w:rFonts w:ascii="Palatino Linotype" w:eastAsia="Calibri" w:hAnsi="Palatino Linotype" w:cs="Tahoma"/>
          <w:b/>
          <w:bCs/>
          <w:color w:val="000000"/>
          <w:sz w:val="22"/>
          <w:szCs w:val="22"/>
          <w:lang w:eastAsia="en-US"/>
        </w:rPr>
      </w:pPr>
      <w:r w:rsidRPr="003932DF">
        <w:rPr>
          <w:rFonts w:ascii="Palatino Linotype" w:eastAsia="Calibri" w:hAnsi="Palatino Linotype" w:cs="Tahoma"/>
          <w:bCs/>
          <w:color w:val="000000"/>
          <w:sz w:val="22"/>
          <w:szCs w:val="22"/>
          <w:lang w:eastAsia="en-US"/>
        </w:rPr>
        <w:t xml:space="preserve">En ese orden de ideas, el plazo con el que contaba el Sujeto Obligado para emitir contestación al requerimiento informativo, </w:t>
      </w:r>
      <w:r w:rsidRPr="003932DF">
        <w:rPr>
          <w:rFonts w:ascii="Palatino Linotype" w:eastAsia="Calibri" w:hAnsi="Palatino Linotype" w:cs="Tahoma"/>
          <w:b/>
          <w:bCs/>
          <w:color w:val="000000"/>
          <w:sz w:val="22"/>
          <w:szCs w:val="22"/>
          <w:lang w:eastAsia="en-US"/>
        </w:rPr>
        <w:t xml:space="preserve">comenzó a correr el </w:t>
      </w:r>
      <w:r w:rsidR="003901E4" w:rsidRPr="003932DF">
        <w:rPr>
          <w:rFonts w:ascii="Palatino Linotype" w:eastAsia="Calibri" w:hAnsi="Palatino Linotype" w:cs="Tahoma"/>
          <w:b/>
          <w:bCs/>
          <w:color w:val="000000"/>
          <w:sz w:val="22"/>
          <w:szCs w:val="22"/>
          <w:lang w:eastAsia="en-US"/>
        </w:rPr>
        <w:t>catorce de enero y feneció el  cuatro de febrero de dos mil veinticinco</w:t>
      </w:r>
      <w:r w:rsidRPr="003932DF">
        <w:rPr>
          <w:rFonts w:ascii="Palatino Linotype" w:eastAsia="Calibri" w:hAnsi="Palatino Linotype" w:cs="Tahoma"/>
          <w:color w:val="000000"/>
          <w:sz w:val="22"/>
          <w:szCs w:val="22"/>
          <w:lang w:eastAsia="en-US"/>
        </w:rPr>
        <w:t xml:space="preserve">; lo anterior, sin contar los días, diez, once, diecisiete, dieciocho, </w:t>
      </w:r>
      <w:r w:rsidRPr="003932DF">
        <w:rPr>
          <w:rFonts w:ascii="Palatino Linotype" w:eastAsia="Calibri" w:hAnsi="Palatino Linotype" w:cs="Tahoma"/>
          <w:color w:val="000000"/>
          <w:sz w:val="22"/>
          <w:szCs w:val="22"/>
          <w:lang w:eastAsia="en-US"/>
        </w:rPr>
        <w:lastRenderedPageBreak/>
        <w:t xml:space="preserve">veinticuatro y veinticinco de junio dicho año, al ser inhábiles, </w:t>
      </w:r>
      <w:r w:rsidRPr="003932DF">
        <w:rPr>
          <w:rFonts w:ascii="Palatino Linotype" w:eastAsia="Batang" w:hAnsi="Palatino Linotype" w:cs="Tahoma"/>
          <w:bCs/>
          <w:color w:val="000000" w:themeColor="text1"/>
          <w:sz w:val="22"/>
          <w:szCs w:val="22"/>
          <w:lang w:eastAsia="en-US"/>
        </w:rPr>
        <w:t xml:space="preserve">de conformidad con el artículo 3°, fracción X, de la Ley de Transparencia y Acceso a la Información Pública del Estado de México y Municipios, el </w:t>
      </w:r>
      <w:r w:rsidRPr="003932DF">
        <w:rPr>
          <w:rFonts w:ascii="Palatino Linotype" w:eastAsia="Batang" w:hAnsi="Palatino Linotype" w:cs="Tahoma"/>
          <w:color w:val="000000" w:themeColor="text1"/>
          <w:sz w:val="22"/>
          <w:szCs w:val="22"/>
          <w:lang w:val="es-ES" w:eastAsia="en-US"/>
        </w:rPr>
        <w:t>Calendario Oficial en Materia de Transparencia, Acceso a la Información Pública y Protección de Datos Personales del Estado de México y Municipios, para el año dos mil veinti</w:t>
      </w:r>
      <w:r w:rsidR="003901E4" w:rsidRPr="003932DF">
        <w:rPr>
          <w:rFonts w:ascii="Palatino Linotype" w:eastAsia="Batang" w:hAnsi="Palatino Linotype" w:cs="Tahoma"/>
          <w:color w:val="000000" w:themeColor="text1"/>
          <w:sz w:val="22"/>
          <w:szCs w:val="22"/>
          <w:lang w:val="es-ES" w:eastAsia="en-US"/>
        </w:rPr>
        <w:t>cinco</w:t>
      </w:r>
      <w:r w:rsidRPr="003932DF">
        <w:rPr>
          <w:rFonts w:ascii="Palatino Linotype" w:eastAsia="Batang" w:hAnsi="Palatino Linotype" w:cs="Tahoma"/>
          <w:color w:val="000000" w:themeColor="text1"/>
          <w:sz w:val="22"/>
          <w:szCs w:val="22"/>
          <w:lang w:val="es-ES" w:eastAsia="en-US"/>
        </w:rPr>
        <w:t xml:space="preserve"> y enero dos mil veinti</w:t>
      </w:r>
      <w:r w:rsidR="003901E4" w:rsidRPr="003932DF">
        <w:rPr>
          <w:rFonts w:ascii="Palatino Linotype" w:eastAsia="Batang" w:hAnsi="Palatino Linotype" w:cs="Tahoma"/>
          <w:color w:val="000000" w:themeColor="text1"/>
          <w:sz w:val="22"/>
          <w:szCs w:val="22"/>
          <w:lang w:val="es-ES" w:eastAsia="en-US"/>
        </w:rPr>
        <w:t>séis.</w:t>
      </w:r>
    </w:p>
    <w:p w14:paraId="0D86474C" w14:textId="77777777" w:rsidR="00BA6070" w:rsidRPr="003932DF" w:rsidRDefault="00BA6070" w:rsidP="00641744">
      <w:pPr>
        <w:spacing w:line="360" w:lineRule="auto"/>
        <w:contextualSpacing/>
        <w:jc w:val="both"/>
        <w:rPr>
          <w:rFonts w:ascii="Palatino Linotype" w:eastAsia="Calibri" w:hAnsi="Palatino Linotype" w:cs="Tahoma"/>
          <w:color w:val="000000" w:themeColor="text1"/>
          <w:sz w:val="22"/>
          <w:szCs w:val="22"/>
          <w:lang w:eastAsia="en-US"/>
        </w:rPr>
      </w:pPr>
    </w:p>
    <w:p w14:paraId="24AA75AB" w14:textId="145B4C2E" w:rsidR="00BA6070" w:rsidRPr="003932DF" w:rsidRDefault="00BA6070" w:rsidP="00641744">
      <w:pPr>
        <w:spacing w:line="360" w:lineRule="auto"/>
        <w:contextualSpacing/>
        <w:jc w:val="both"/>
        <w:rPr>
          <w:rFonts w:ascii="Palatino Linotype" w:eastAsia="Calibri" w:hAnsi="Palatino Linotype" w:cs="Tahoma"/>
          <w:color w:val="000000" w:themeColor="text1"/>
          <w:sz w:val="22"/>
          <w:szCs w:val="22"/>
          <w:lang w:val="es-ES" w:eastAsia="en-US"/>
        </w:rPr>
      </w:pPr>
      <w:r w:rsidRPr="003932DF">
        <w:rPr>
          <w:rFonts w:ascii="Palatino Linotype" w:eastAsia="Calibri" w:hAnsi="Palatino Linotype" w:cs="Tahoma"/>
          <w:color w:val="000000" w:themeColor="text1"/>
          <w:sz w:val="22"/>
          <w:szCs w:val="22"/>
          <w:lang w:eastAsia="en-US"/>
        </w:rPr>
        <w:t xml:space="preserve">Conforme a lo anterior, este Instituto verificó que, en efecto, no se registró una respuesta a la solicitud del ahora Recurrente, en el </w:t>
      </w:r>
      <w:r w:rsidRPr="003932DF">
        <w:rPr>
          <w:rFonts w:ascii="Palatino Linotype" w:eastAsia="Calibri" w:hAnsi="Palatino Linotype" w:cs="Tahoma"/>
          <w:color w:val="000000" w:themeColor="text1"/>
          <w:sz w:val="22"/>
          <w:szCs w:val="22"/>
          <w:lang w:val="es-ES" w:eastAsia="en-US"/>
        </w:rPr>
        <w:t>Sistema de Acceso a la Información Mexiquense (SAIMEX), sistema utilizado para presentar el requerimiento informativo, tal como se observa a continuación:</w:t>
      </w:r>
    </w:p>
    <w:p w14:paraId="6A067EB3" w14:textId="77777777" w:rsidR="00BA6070" w:rsidRPr="003932DF" w:rsidRDefault="00BA6070" w:rsidP="00641744">
      <w:pPr>
        <w:spacing w:line="360" w:lineRule="auto"/>
        <w:contextualSpacing/>
        <w:jc w:val="both"/>
        <w:rPr>
          <w:rFonts w:ascii="Palatino Linotype" w:eastAsia="Calibri" w:hAnsi="Palatino Linotype" w:cs="Tahoma"/>
          <w:color w:val="000000" w:themeColor="text1"/>
          <w:sz w:val="22"/>
          <w:szCs w:val="22"/>
          <w:lang w:val="es-ES" w:eastAsia="en-US"/>
        </w:rPr>
      </w:pPr>
    </w:p>
    <w:p w14:paraId="3D5DAEE4" w14:textId="58EF8E1E" w:rsidR="00086CC7" w:rsidRPr="003932DF" w:rsidRDefault="00BA6070" w:rsidP="00641744">
      <w:pPr>
        <w:spacing w:line="360" w:lineRule="auto"/>
        <w:jc w:val="center"/>
        <w:rPr>
          <w:rFonts w:ascii="Palatino Linotype" w:hAnsi="Palatino Linotype" w:cs="Tahoma"/>
          <w:color w:val="FF0000"/>
          <w:sz w:val="22"/>
          <w:szCs w:val="28"/>
        </w:rPr>
      </w:pPr>
      <w:r w:rsidRPr="003932DF">
        <w:rPr>
          <w:rFonts w:ascii="Palatino Linotype" w:hAnsi="Palatino Linotype" w:cs="Tahoma"/>
          <w:noProof/>
          <w:color w:val="FF0000"/>
          <w:sz w:val="22"/>
          <w:szCs w:val="28"/>
          <w:lang w:eastAsia="es-MX"/>
        </w:rPr>
        <w:drawing>
          <wp:inline distT="0" distB="0" distL="0" distR="0" wp14:anchorId="6B4B9D89" wp14:editId="4EE78BF3">
            <wp:extent cx="3505689" cy="1933845"/>
            <wp:effectExtent l="0" t="0" r="0" b="9525"/>
            <wp:docPr id="1989216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16328" name=""/>
                    <pic:cNvPicPr/>
                  </pic:nvPicPr>
                  <pic:blipFill>
                    <a:blip r:embed="rId8"/>
                    <a:stretch>
                      <a:fillRect/>
                    </a:stretch>
                  </pic:blipFill>
                  <pic:spPr>
                    <a:xfrm>
                      <a:off x="0" y="0"/>
                      <a:ext cx="3505689" cy="1933845"/>
                    </a:xfrm>
                    <a:prstGeom prst="rect">
                      <a:avLst/>
                    </a:prstGeom>
                  </pic:spPr>
                </pic:pic>
              </a:graphicData>
            </a:graphic>
          </wp:inline>
        </w:drawing>
      </w:r>
    </w:p>
    <w:p w14:paraId="3410FEB8" w14:textId="77777777" w:rsidR="00641744" w:rsidRPr="003932DF" w:rsidRDefault="00641744" w:rsidP="00641744">
      <w:pPr>
        <w:spacing w:line="360" w:lineRule="auto"/>
        <w:contextualSpacing/>
        <w:jc w:val="both"/>
        <w:rPr>
          <w:rFonts w:ascii="Palatino Linotype" w:eastAsia="Calibri" w:hAnsi="Palatino Linotype" w:cs="Tahoma"/>
          <w:bCs/>
          <w:color w:val="000000" w:themeColor="text1"/>
          <w:sz w:val="22"/>
          <w:szCs w:val="22"/>
          <w:lang w:eastAsia="en-US"/>
        </w:rPr>
      </w:pPr>
    </w:p>
    <w:p w14:paraId="7C000B7B" w14:textId="5D94E48E" w:rsidR="006374B5" w:rsidRPr="003932DF" w:rsidRDefault="00EE5AFF" w:rsidP="00641744">
      <w:pPr>
        <w:spacing w:line="360" w:lineRule="auto"/>
        <w:contextualSpacing/>
        <w:jc w:val="both"/>
        <w:rPr>
          <w:rFonts w:ascii="Palatino Linotype" w:eastAsia="Calibri" w:hAnsi="Palatino Linotype" w:cs="Tahoma"/>
          <w:b/>
          <w:bCs/>
          <w:color w:val="000000" w:themeColor="text1"/>
          <w:sz w:val="22"/>
          <w:szCs w:val="22"/>
          <w:lang w:eastAsia="en-US"/>
        </w:rPr>
      </w:pPr>
      <w:r w:rsidRPr="003932DF">
        <w:rPr>
          <w:rFonts w:ascii="Palatino Linotype" w:eastAsia="Calibri" w:hAnsi="Palatino Linotype" w:cs="Tahoma"/>
          <w:bCs/>
          <w:color w:val="000000" w:themeColor="text1"/>
          <w:sz w:val="22"/>
          <w:szCs w:val="22"/>
          <w:lang w:eastAsia="en-US"/>
        </w:rPr>
        <w:t xml:space="preserve">Así, se colige que, tal como lo precisó el Particular, </w:t>
      </w:r>
      <w:r w:rsidRPr="003932DF">
        <w:rPr>
          <w:rFonts w:ascii="Palatino Linotype" w:eastAsia="Calibri" w:hAnsi="Palatino Linotype" w:cs="Tahoma"/>
          <w:b/>
          <w:bCs/>
          <w:color w:val="000000" w:themeColor="text1"/>
          <w:sz w:val="22"/>
          <w:szCs w:val="22"/>
          <w:lang w:eastAsia="en-US"/>
        </w:rPr>
        <w:t xml:space="preserve">el </w:t>
      </w:r>
      <w:r w:rsidRPr="003932DF">
        <w:rPr>
          <w:rFonts w:ascii="Palatino Linotype" w:eastAsiaTheme="minorHAnsi" w:hAnsi="Palatino Linotype" w:cstheme="minorBidi"/>
          <w:b/>
          <w:bCs/>
          <w:color w:val="000000"/>
          <w:sz w:val="22"/>
          <w:szCs w:val="22"/>
          <w:lang w:eastAsia="en-US"/>
        </w:rPr>
        <w:t>Ayuntamiento de Ixtapaluca</w:t>
      </w:r>
      <w:r w:rsidRPr="003932DF">
        <w:rPr>
          <w:rFonts w:ascii="Palatino Linotype" w:eastAsia="Calibri" w:hAnsi="Palatino Linotype" w:cs="Tahoma"/>
          <w:color w:val="000000" w:themeColor="text1"/>
          <w:sz w:val="22"/>
          <w:szCs w:val="22"/>
          <w:lang w:eastAsia="en-US"/>
        </w:rPr>
        <w:t xml:space="preserve">, no emitió respuesta para dar contestación a la solicitud de información, dentro de los plazos establecidos en el artículo 163, de la Ley de la materia, </w:t>
      </w:r>
      <w:r w:rsidRPr="003932DF">
        <w:rPr>
          <w:rFonts w:ascii="Palatino Linotype" w:eastAsia="Calibri" w:hAnsi="Palatino Linotype" w:cs="Tahoma"/>
          <w:b/>
          <w:color w:val="000000" w:themeColor="text1"/>
          <w:sz w:val="22"/>
          <w:szCs w:val="22"/>
          <w:lang w:eastAsia="en-US"/>
        </w:rPr>
        <w:t>pues tenía hasta el cuatro de febrero de dos mil veinticinco</w:t>
      </w:r>
      <w:r w:rsidR="006374B5" w:rsidRPr="003932DF">
        <w:rPr>
          <w:rFonts w:ascii="Palatino Linotype" w:eastAsia="Calibri" w:hAnsi="Palatino Linotype" w:cs="Tahoma"/>
          <w:b/>
          <w:color w:val="000000" w:themeColor="text1"/>
          <w:sz w:val="22"/>
          <w:szCs w:val="22"/>
          <w:lang w:eastAsia="en-US"/>
        </w:rPr>
        <w:t>,</w:t>
      </w:r>
      <w:r w:rsidR="006374B5" w:rsidRPr="003932DF">
        <w:rPr>
          <w:rFonts w:ascii="Palatino Linotype" w:eastAsia="Calibri" w:hAnsi="Palatino Linotype" w:cs="Tahoma"/>
          <w:color w:val="000000" w:themeColor="text1"/>
          <w:sz w:val="22"/>
          <w:szCs w:val="22"/>
          <w:lang w:eastAsia="en-US"/>
        </w:rPr>
        <w:t xml:space="preserve"> para realizar dicha situación, por lo que es evidente que el agravio es </w:t>
      </w:r>
      <w:r w:rsidR="006374B5" w:rsidRPr="003932DF">
        <w:rPr>
          <w:rFonts w:ascii="Palatino Linotype" w:eastAsia="Calibri" w:hAnsi="Palatino Linotype" w:cs="Tahoma"/>
          <w:b/>
          <w:color w:val="000000" w:themeColor="text1"/>
          <w:sz w:val="22"/>
          <w:szCs w:val="22"/>
          <w:lang w:eastAsia="en-US"/>
        </w:rPr>
        <w:t>FUNDADO.</w:t>
      </w:r>
    </w:p>
    <w:p w14:paraId="39630BCC" w14:textId="77777777" w:rsidR="006374B5" w:rsidRPr="003932DF" w:rsidRDefault="006374B5" w:rsidP="00641744">
      <w:pPr>
        <w:spacing w:line="360" w:lineRule="auto"/>
        <w:contextualSpacing/>
        <w:jc w:val="both"/>
        <w:rPr>
          <w:rFonts w:ascii="Palatino Linotype" w:eastAsia="Calibri" w:hAnsi="Palatino Linotype" w:cs="Tahoma"/>
          <w:b/>
          <w:bCs/>
          <w:color w:val="000000" w:themeColor="text1"/>
          <w:sz w:val="22"/>
          <w:szCs w:val="22"/>
          <w:lang w:eastAsia="en-US"/>
        </w:rPr>
      </w:pPr>
    </w:p>
    <w:p w14:paraId="4E845593" w14:textId="28C56FE9" w:rsidR="00EE5AFF" w:rsidRPr="003932DF" w:rsidRDefault="00EE5AFF" w:rsidP="00641744">
      <w:pPr>
        <w:spacing w:line="360" w:lineRule="auto"/>
        <w:contextualSpacing/>
        <w:jc w:val="both"/>
        <w:rPr>
          <w:rFonts w:ascii="Palatino Linotype" w:eastAsiaTheme="minorHAnsi" w:hAnsi="Palatino Linotype" w:cs="Tahoma"/>
          <w:bCs/>
          <w:color w:val="000000" w:themeColor="text1"/>
          <w:sz w:val="22"/>
          <w:szCs w:val="22"/>
          <w:lang w:eastAsia="en-US"/>
        </w:rPr>
      </w:pPr>
      <w:r w:rsidRPr="003932DF">
        <w:rPr>
          <w:rFonts w:ascii="Palatino Linotype" w:eastAsiaTheme="minorHAnsi" w:hAnsi="Palatino Linotype" w:cstheme="minorBidi"/>
          <w:color w:val="000000" w:themeColor="text1"/>
          <w:sz w:val="22"/>
          <w:szCs w:val="22"/>
          <w:lang w:eastAsia="en-US"/>
        </w:rPr>
        <w:lastRenderedPageBreak/>
        <w:t xml:space="preserve">No obstante, durante la sustanciación del Medio de Impugnación, el Sujeto Obligado dio respuesta a la solicitud de información, por lo que, </w:t>
      </w:r>
      <w:r w:rsidRPr="003932DF">
        <w:rPr>
          <w:rFonts w:ascii="Palatino Linotype" w:eastAsiaTheme="minorHAnsi" w:hAnsi="Palatino Linotype" w:cs="Tahoma"/>
          <w:bCs/>
          <w:color w:val="000000" w:themeColor="text1"/>
          <w:sz w:val="22"/>
          <w:szCs w:val="22"/>
          <w:lang w:eastAsia="en-US"/>
        </w:rPr>
        <w:t>resulta necesario contextualizar la solicitud de información.</w:t>
      </w:r>
    </w:p>
    <w:p w14:paraId="008BD2A1" w14:textId="77777777" w:rsidR="007E2284" w:rsidRPr="003932DF" w:rsidRDefault="007E2284" w:rsidP="00641744">
      <w:pPr>
        <w:spacing w:line="360" w:lineRule="auto"/>
        <w:contextualSpacing/>
        <w:jc w:val="both"/>
        <w:rPr>
          <w:rFonts w:ascii="Palatino Linotype" w:eastAsiaTheme="minorHAnsi" w:hAnsi="Palatino Linotype" w:cs="Tahoma"/>
          <w:bCs/>
          <w:color w:val="000000" w:themeColor="text1"/>
          <w:sz w:val="22"/>
          <w:szCs w:val="22"/>
          <w:lang w:eastAsia="en-US"/>
        </w:rPr>
      </w:pPr>
    </w:p>
    <w:p w14:paraId="44C1DDE3" w14:textId="152582A1" w:rsidR="007E2284" w:rsidRPr="003932DF" w:rsidRDefault="007E2284" w:rsidP="00641744">
      <w:pPr>
        <w:spacing w:line="360" w:lineRule="auto"/>
        <w:jc w:val="both"/>
        <w:rPr>
          <w:rFonts w:ascii="Palatino Linotype" w:eastAsia="Calibri" w:hAnsi="Palatino Linotype" w:cs="Tahoma"/>
          <w:bCs/>
          <w:color w:val="000000" w:themeColor="text1"/>
          <w:sz w:val="22"/>
          <w:szCs w:val="22"/>
          <w:lang w:val="es-ES" w:eastAsia="en-US"/>
        </w:rPr>
      </w:pPr>
      <w:r w:rsidRPr="003932DF">
        <w:rPr>
          <w:rFonts w:ascii="Palatino Linotype" w:eastAsia="Calibri" w:hAnsi="Palatino Linotype" w:cs="Tahoma"/>
          <w:bCs/>
          <w:color w:val="000000" w:themeColor="text1"/>
          <w:sz w:val="22"/>
          <w:szCs w:val="22"/>
          <w:lang w:val="es-ES" w:eastAsia="en-US"/>
        </w:rPr>
        <w:t xml:space="preserve">Sobre el tema, cabe precisar que el artículo 70 del Bando Municipal de Ixtapaluca dos mil veinticinco, el cual señala que, para el despacho de los asuntos de la Administración Pública Municipal, el Presidente Municipal, se auxiliará de las dependencias de la administración pública municipal centralizada, dentro de las cuales se encuentra la Dirección de </w:t>
      </w:r>
      <w:bookmarkStart w:id="19" w:name="_Hlk192674813"/>
      <w:r w:rsidRPr="003932DF">
        <w:rPr>
          <w:rFonts w:ascii="Palatino Linotype" w:eastAsia="Calibri" w:hAnsi="Palatino Linotype" w:cs="Tahoma"/>
          <w:bCs/>
          <w:color w:val="000000" w:themeColor="text1"/>
          <w:sz w:val="22"/>
          <w:szCs w:val="22"/>
          <w:lang w:val="es-ES" w:eastAsia="en-US"/>
        </w:rPr>
        <w:t>Bienestar e Inclusión Social</w:t>
      </w:r>
      <w:bookmarkEnd w:id="19"/>
      <w:r w:rsidR="005732D4" w:rsidRPr="003932DF">
        <w:rPr>
          <w:rFonts w:ascii="Palatino Linotype" w:eastAsia="Calibri" w:hAnsi="Palatino Linotype" w:cs="Tahoma"/>
          <w:bCs/>
          <w:color w:val="000000" w:themeColor="text1"/>
          <w:sz w:val="22"/>
          <w:szCs w:val="22"/>
          <w:lang w:val="es-ES" w:eastAsia="en-US"/>
        </w:rPr>
        <w:t>.</w:t>
      </w:r>
    </w:p>
    <w:p w14:paraId="3C763EAE" w14:textId="77777777" w:rsidR="005732D4" w:rsidRPr="003932DF" w:rsidRDefault="005732D4" w:rsidP="00641744">
      <w:pPr>
        <w:spacing w:line="360" w:lineRule="auto"/>
        <w:jc w:val="both"/>
        <w:rPr>
          <w:rFonts w:ascii="Palatino Linotype" w:eastAsiaTheme="minorHAnsi" w:hAnsi="Palatino Linotype" w:cs="Tahoma"/>
          <w:b/>
          <w:color w:val="000000" w:themeColor="text1"/>
          <w:sz w:val="22"/>
          <w:szCs w:val="22"/>
          <w:lang w:eastAsia="en-US"/>
        </w:rPr>
      </w:pPr>
    </w:p>
    <w:p w14:paraId="4800143F" w14:textId="4E69575B" w:rsidR="005732D4" w:rsidRPr="003932DF" w:rsidRDefault="005732D4" w:rsidP="00641744">
      <w:pPr>
        <w:spacing w:line="360" w:lineRule="auto"/>
        <w:jc w:val="both"/>
        <w:rPr>
          <w:rFonts w:ascii="Palatino Linotype" w:eastAsia="Calibri" w:hAnsi="Palatino Linotype" w:cs="Tahoma"/>
          <w:bCs/>
          <w:color w:val="000000" w:themeColor="text1"/>
          <w:sz w:val="22"/>
          <w:szCs w:val="22"/>
          <w:lang w:val="es-ES" w:eastAsia="en-US"/>
        </w:rPr>
      </w:pPr>
      <w:r w:rsidRPr="003932DF">
        <w:rPr>
          <w:rFonts w:ascii="Palatino Linotype" w:eastAsiaTheme="minorHAnsi" w:hAnsi="Palatino Linotype" w:cs="Tahoma"/>
          <w:bCs/>
          <w:color w:val="000000" w:themeColor="text1"/>
          <w:sz w:val="22"/>
          <w:szCs w:val="22"/>
          <w:lang w:eastAsia="en-US"/>
        </w:rPr>
        <w:t xml:space="preserve">En esa misma consecución de ideas, el Manual de Organización de la Dirección de </w:t>
      </w:r>
      <w:r w:rsidRPr="003932DF">
        <w:rPr>
          <w:rFonts w:ascii="Palatino Linotype" w:eastAsia="Calibri" w:hAnsi="Palatino Linotype" w:cs="Tahoma"/>
          <w:bCs/>
          <w:color w:val="000000" w:themeColor="text1"/>
          <w:sz w:val="22"/>
          <w:szCs w:val="22"/>
          <w:lang w:val="es-ES" w:eastAsia="en-US"/>
        </w:rPr>
        <w:t xml:space="preserve">Bienestar e Inclusión Social, aplicable señala que dicha dirección tiene como objetivo planear, ejecutar, dirigir y al final evaluar lo relacionado a agenda pública de desarrollo social y bienestar, lo anterior se realizará mediante el correcto uso presupuestario </w:t>
      </w:r>
      <w:r w:rsidRPr="003932DF">
        <w:rPr>
          <w:rFonts w:ascii="Palatino Linotype" w:eastAsia="Calibri" w:hAnsi="Palatino Linotype" w:cs="Tahoma"/>
          <w:b/>
          <w:color w:val="000000" w:themeColor="text1"/>
          <w:sz w:val="22"/>
          <w:szCs w:val="22"/>
          <w:lang w:val="es-ES" w:eastAsia="en-US"/>
        </w:rPr>
        <w:t xml:space="preserve">y la materialización de programas sociales </w:t>
      </w:r>
      <w:r w:rsidRPr="003932DF">
        <w:rPr>
          <w:rFonts w:ascii="Palatino Linotype" w:eastAsia="Calibri" w:hAnsi="Palatino Linotype" w:cs="Tahoma"/>
          <w:bCs/>
          <w:color w:val="000000" w:themeColor="text1"/>
          <w:sz w:val="22"/>
          <w:szCs w:val="22"/>
          <w:lang w:val="es-ES" w:eastAsia="en-US"/>
        </w:rPr>
        <w:t>que disminuyan las brechas de desigualdad y rezago.</w:t>
      </w:r>
    </w:p>
    <w:p w14:paraId="23122E1D" w14:textId="77777777" w:rsidR="005732D4" w:rsidRPr="003932DF" w:rsidRDefault="005732D4" w:rsidP="00641744">
      <w:pPr>
        <w:spacing w:line="360" w:lineRule="auto"/>
        <w:jc w:val="both"/>
        <w:rPr>
          <w:rFonts w:ascii="Palatino Linotype" w:eastAsia="Calibri" w:hAnsi="Palatino Linotype" w:cs="Tahoma"/>
          <w:bCs/>
          <w:color w:val="000000" w:themeColor="text1"/>
          <w:sz w:val="22"/>
          <w:szCs w:val="22"/>
          <w:lang w:val="es-ES" w:eastAsia="en-US"/>
        </w:rPr>
      </w:pPr>
    </w:p>
    <w:p w14:paraId="42D1F5C4" w14:textId="4664D51F" w:rsidR="005732D4" w:rsidRPr="003932DF" w:rsidRDefault="005732D4" w:rsidP="00641744">
      <w:pPr>
        <w:spacing w:line="360" w:lineRule="auto"/>
        <w:jc w:val="both"/>
        <w:rPr>
          <w:rFonts w:ascii="Palatino Linotype" w:eastAsiaTheme="minorHAnsi" w:hAnsi="Palatino Linotype" w:cs="Tahoma"/>
          <w:b/>
          <w:color w:val="000000" w:themeColor="text1"/>
          <w:sz w:val="22"/>
          <w:szCs w:val="22"/>
          <w:lang w:eastAsia="en-US"/>
        </w:rPr>
      </w:pPr>
      <w:r w:rsidRPr="003932DF">
        <w:rPr>
          <w:rFonts w:ascii="Palatino Linotype" w:eastAsia="Calibri" w:hAnsi="Palatino Linotype" w:cs="Tahoma"/>
          <w:bCs/>
          <w:color w:val="000000" w:themeColor="text1"/>
          <w:sz w:val="22"/>
          <w:szCs w:val="22"/>
          <w:lang w:val="es-ES" w:eastAsia="en-US"/>
        </w:rPr>
        <w:t xml:space="preserve">Misma que dentro de sus funciones se encara entre otras cosas de </w:t>
      </w:r>
      <w:r w:rsidRPr="003932DF">
        <w:rPr>
          <w:rFonts w:ascii="Palatino Linotype" w:eastAsia="Calibri" w:hAnsi="Palatino Linotype" w:cs="Tahoma"/>
          <w:b/>
          <w:color w:val="000000" w:themeColor="text1"/>
          <w:sz w:val="22"/>
          <w:szCs w:val="22"/>
          <w:lang w:val="es-ES" w:eastAsia="en-US"/>
        </w:rPr>
        <w:t>ejecutar los programas, proyectos y acciones municipales en materia de desarrollo social, de manera coordinada con las instancias correspondientes.</w:t>
      </w:r>
    </w:p>
    <w:p w14:paraId="7922F0F8" w14:textId="77777777" w:rsidR="00EE5AFF" w:rsidRPr="003932DF" w:rsidRDefault="00EE5AFF" w:rsidP="00641744">
      <w:pPr>
        <w:spacing w:line="360" w:lineRule="auto"/>
        <w:rPr>
          <w:rFonts w:ascii="Palatino Linotype" w:hAnsi="Palatino Linotype" w:cs="Tahoma"/>
          <w:color w:val="FF0000"/>
          <w:sz w:val="22"/>
          <w:szCs w:val="28"/>
        </w:rPr>
      </w:pPr>
    </w:p>
    <w:p w14:paraId="6C667DFD" w14:textId="180D07E0" w:rsidR="005732D4" w:rsidRPr="003932DF" w:rsidRDefault="005732D4" w:rsidP="00641744">
      <w:pPr>
        <w:spacing w:line="360" w:lineRule="auto"/>
        <w:jc w:val="both"/>
        <w:rPr>
          <w:rFonts w:ascii="Palatino Linotype" w:eastAsia="Calibri" w:hAnsi="Palatino Linotype" w:cs="Tahoma"/>
          <w:bCs/>
          <w:color w:val="000000" w:themeColor="text1"/>
          <w:sz w:val="22"/>
          <w:szCs w:val="22"/>
          <w:lang w:val="es-ES" w:eastAsia="en-US"/>
        </w:rPr>
      </w:pPr>
      <w:r w:rsidRPr="003932DF">
        <w:rPr>
          <w:rFonts w:ascii="Palatino Linotype" w:eastAsia="Calibri" w:hAnsi="Palatino Linotype" w:cs="Tahoma"/>
          <w:bCs/>
          <w:color w:val="000000" w:themeColor="text1"/>
          <w:sz w:val="22"/>
          <w:szCs w:val="22"/>
          <w:lang w:val="es-ES" w:eastAsia="en-US"/>
        </w:rPr>
        <w:t>Ahora bien, en relación con la información solicitada este Instituto localiz</w:t>
      </w:r>
      <w:r w:rsidR="00641744" w:rsidRPr="003932DF">
        <w:rPr>
          <w:rFonts w:ascii="Palatino Linotype" w:eastAsia="Calibri" w:hAnsi="Palatino Linotype" w:cs="Tahoma"/>
          <w:bCs/>
          <w:color w:val="000000" w:themeColor="text1"/>
          <w:sz w:val="22"/>
          <w:szCs w:val="22"/>
          <w:lang w:val="es-ES" w:eastAsia="en-US"/>
        </w:rPr>
        <w:t>ó</w:t>
      </w:r>
      <w:r w:rsidRPr="003932DF">
        <w:rPr>
          <w:rFonts w:ascii="Palatino Linotype" w:eastAsia="Calibri" w:hAnsi="Palatino Linotype" w:cs="Tahoma"/>
          <w:bCs/>
          <w:color w:val="000000" w:themeColor="text1"/>
          <w:sz w:val="22"/>
          <w:szCs w:val="22"/>
          <w:lang w:val="es-ES" w:eastAsia="en-US"/>
        </w:rPr>
        <w:t xml:space="preserve"> en la página oficial del Sujeto Obligado, </w:t>
      </w:r>
      <w:hyperlink r:id="rId9" w:history="1"/>
      <w:r w:rsidR="009F0C63" w:rsidRPr="003932DF">
        <w:rPr>
          <w:rFonts w:ascii="Palatino Linotype" w:eastAsia="Calibri" w:hAnsi="Palatino Linotype" w:cs="Tahoma"/>
          <w:bCs/>
          <w:color w:val="000000" w:themeColor="text1"/>
          <w:sz w:val="22"/>
          <w:szCs w:val="22"/>
          <w:lang w:val="es-ES" w:eastAsia="en-US"/>
        </w:rPr>
        <w:t xml:space="preserve"> </w:t>
      </w:r>
      <w:hyperlink r:id="rId10" w:history="1">
        <w:r w:rsidR="009F0C63" w:rsidRPr="003932DF">
          <w:rPr>
            <w:rStyle w:val="Hipervnculo"/>
            <w:rFonts w:ascii="Palatino Linotype" w:eastAsia="Calibri" w:hAnsi="Palatino Linotype" w:cs="Tahoma"/>
            <w:bCs/>
            <w:sz w:val="22"/>
            <w:szCs w:val="22"/>
            <w:lang w:val="es-ES" w:eastAsia="en-US"/>
          </w:rPr>
          <w:t>https://www.ixtapaluca.gob.mx/remtys2024</w:t>
        </w:r>
      </w:hyperlink>
      <w:r w:rsidR="009F0C63" w:rsidRPr="003932DF">
        <w:rPr>
          <w:rFonts w:ascii="Palatino Linotype" w:eastAsia="Calibri" w:hAnsi="Palatino Linotype" w:cs="Tahoma"/>
          <w:bCs/>
          <w:color w:val="000000" w:themeColor="text1"/>
          <w:sz w:val="22"/>
          <w:szCs w:val="22"/>
          <w:lang w:val="es-ES" w:eastAsia="en-US"/>
        </w:rPr>
        <w:t xml:space="preserve"> </w:t>
      </w:r>
      <w:r w:rsidRPr="003932DF">
        <w:rPr>
          <w:rFonts w:ascii="Palatino Linotype" w:eastAsia="Calibri" w:hAnsi="Palatino Linotype" w:cs="Tahoma"/>
          <w:bCs/>
          <w:color w:val="000000" w:themeColor="text1"/>
          <w:sz w:val="22"/>
          <w:szCs w:val="22"/>
          <w:lang w:val="es-ES" w:eastAsia="en-US"/>
        </w:rPr>
        <w:t xml:space="preserve"> (consultada el doce de marzo de dos mil veinticinco) en el apartado de Trámites y Servicios (</w:t>
      </w:r>
      <w:proofErr w:type="spellStart"/>
      <w:r w:rsidRPr="003932DF">
        <w:rPr>
          <w:rFonts w:ascii="Palatino Linotype" w:eastAsia="Calibri" w:hAnsi="Palatino Linotype" w:cs="Tahoma"/>
          <w:bCs/>
          <w:color w:val="000000" w:themeColor="text1"/>
          <w:sz w:val="22"/>
          <w:szCs w:val="22"/>
          <w:lang w:val="es-ES" w:eastAsia="en-US"/>
        </w:rPr>
        <w:t>REMTyS</w:t>
      </w:r>
      <w:proofErr w:type="spellEnd"/>
      <w:r w:rsidRPr="003932DF">
        <w:rPr>
          <w:rFonts w:ascii="Palatino Linotype" w:eastAsia="Calibri" w:hAnsi="Palatino Linotype" w:cs="Tahoma"/>
          <w:bCs/>
          <w:color w:val="000000" w:themeColor="text1"/>
          <w:sz w:val="22"/>
          <w:szCs w:val="22"/>
          <w:lang w:val="es-ES" w:eastAsia="en-US"/>
        </w:rPr>
        <w:t>)</w:t>
      </w:r>
      <w:r w:rsidR="009F0C63" w:rsidRPr="003932DF">
        <w:rPr>
          <w:rFonts w:ascii="Palatino Linotype" w:eastAsia="Calibri" w:hAnsi="Palatino Linotype" w:cs="Tahoma"/>
          <w:bCs/>
          <w:color w:val="000000" w:themeColor="text1"/>
          <w:sz w:val="22"/>
          <w:szCs w:val="22"/>
          <w:lang w:val="es-ES" w:eastAsia="en-US"/>
        </w:rPr>
        <w:t>, que el Sujeto Obligado</w:t>
      </w:r>
      <w:r w:rsidR="00641744" w:rsidRPr="003932DF">
        <w:rPr>
          <w:rFonts w:ascii="Palatino Linotype" w:eastAsia="Calibri" w:hAnsi="Palatino Linotype" w:cs="Tahoma"/>
          <w:bCs/>
          <w:color w:val="000000" w:themeColor="text1"/>
          <w:sz w:val="22"/>
          <w:szCs w:val="22"/>
          <w:lang w:val="es-ES" w:eastAsia="en-US"/>
        </w:rPr>
        <w:t>,</w:t>
      </w:r>
      <w:r w:rsidR="009F0C63" w:rsidRPr="003932DF">
        <w:rPr>
          <w:rFonts w:ascii="Palatino Linotype" w:eastAsia="Calibri" w:hAnsi="Palatino Linotype" w:cs="Tahoma"/>
          <w:bCs/>
          <w:color w:val="000000" w:themeColor="text1"/>
          <w:sz w:val="22"/>
          <w:szCs w:val="22"/>
          <w:lang w:val="es-ES" w:eastAsia="en-US"/>
        </w:rPr>
        <w:t xml:space="preserve"> a través de la Dirección de Bienestar e Inclusión Social, ofrece el Apoyo a transporte a estudiantes </w:t>
      </w:r>
      <w:proofErr w:type="spellStart"/>
      <w:r w:rsidR="009F0C63" w:rsidRPr="003932DF">
        <w:rPr>
          <w:rFonts w:ascii="Palatino Linotype" w:eastAsia="Calibri" w:hAnsi="Palatino Linotype" w:cs="Tahoma"/>
          <w:bCs/>
          <w:color w:val="000000" w:themeColor="text1"/>
          <w:sz w:val="22"/>
          <w:szCs w:val="22"/>
          <w:lang w:val="es-ES" w:eastAsia="en-US"/>
        </w:rPr>
        <w:t>ixtapaluquenses</w:t>
      </w:r>
      <w:proofErr w:type="spellEnd"/>
      <w:r w:rsidR="009F0C63" w:rsidRPr="003932DF">
        <w:rPr>
          <w:rFonts w:ascii="Palatino Linotype" w:eastAsia="Calibri" w:hAnsi="Palatino Linotype" w:cs="Tahoma"/>
          <w:bCs/>
          <w:color w:val="000000" w:themeColor="text1"/>
          <w:sz w:val="22"/>
          <w:szCs w:val="22"/>
          <w:lang w:val="es-ES" w:eastAsia="en-US"/>
        </w:rPr>
        <w:t xml:space="preserve"> de nivel superior TUI, tal como se desprende de la siguiente captura de pantalla:</w:t>
      </w:r>
    </w:p>
    <w:p w14:paraId="2DCBD1FA" w14:textId="77777777" w:rsidR="009F0C63" w:rsidRPr="003932DF" w:rsidRDefault="009F0C63" w:rsidP="00641744">
      <w:pPr>
        <w:spacing w:line="360" w:lineRule="auto"/>
        <w:jc w:val="both"/>
        <w:rPr>
          <w:rFonts w:ascii="Palatino Linotype" w:eastAsia="Calibri" w:hAnsi="Palatino Linotype" w:cs="Tahoma"/>
          <w:bCs/>
          <w:color w:val="000000" w:themeColor="text1"/>
          <w:sz w:val="22"/>
          <w:szCs w:val="22"/>
          <w:lang w:val="es-ES" w:eastAsia="en-US"/>
        </w:rPr>
      </w:pPr>
    </w:p>
    <w:p w14:paraId="253FA33A" w14:textId="7857596F" w:rsidR="005732D4" w:rsidRPr="003932DF" w:rsidRDefault="009F0C63" w:rsidP="00641744">
      <w:pPr>
        <w:spacing w:line="360" w:lineRule="auto"/>
        <w:jc w:val="center"/>
        <w:rPr>
          <w:rFonts w:ascii="Palatino Linotype" w:hAnsi="Palatino Linotype" w:cs="Tahoma"/>
          <w:color w:val="FF0000"/>
          <w:sz w:val="22"/>
          <w:szCs w:val="28"/>
        </w:rPr>
      </w:pPr>
      <w:r w:rsidRPr="003932DF">
        <w:rPr>
          <w:rFonts w:ascii="Palatino Linotype" w:hAnsi="Palatino Linotype" w:cs="Tahoma"/>
          <w:noProof/>
          <w:color w:val="FF0000"/>
          <w:sz w:val="22"/>
          <w:szCs w:val="28"/>
          <w:lang w:eastAsia="es-MX"/>
        </w:rPr>
        <w:lastRenderedPageBreak/>
        <w:drawing>
          <wp:inline distT="0" distB="0" distL="0" distR="0" wp14:anchorId="5F03433F" wp14:editId="5DEC737F">
            <wp:extent cx="5742940" cy="826770"/>
            <wp:effectExtent l="0" t="0" r="0" b="0"/>
            <wp:docPr id="126593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38731" name=""/>
                    <pic:cNvPicPr/>
                  </pic:nvPicPr>
                  <pic:blipFill>
                    <a:blip r:embed="rId11"/>
                    <a:stretch>
                      <a:fillRect/>
                    </a:stretch>
                  </pic:blipFill>
                  <pic:spPr>
                    <a:xfrm>
                      <a:off x="0" y="0"/>
                      <a:ext cx="5742940" cy="826770"/>
                    </a:xfrm>
                    <a:prstGeom prst="rect">
                      <a:avLst/>
                    </a:prstGeom>
                  </pic:spPr>
                </pic:pic>
              </a:graphicData>
            </a:graphic>
          </wp:inline>
        </w:drawing>
      </w:r>
    </w:p>
    <w:p w14:paraId="4A0A3948" w14:textId="77777777" w:rsidR="006374B5" w:rsidRPr="003932DF" w:rsidRDefault="006374B5" w:rsidP="00641744">
      <w:pPr>
        <w:spacing w:line="360" w:lineRule="auto"/>
        <w:rPr>
          <w:rFonts w:ascii="Palatino Linotype" w:hAnsi="Palatino Linotype" w:cs="Tahoma"/>
          <w:sz w:val="22"/>
          <w:szCs w:val="28"/>
        </w:rPr>
      </w:pPr>
    </w:p>
    <w:p w14:paraId="05446EBA" w14:textId="6B406C0C" w:rsidR="006374B5" w:rsidRPr="003932DF" w:rsidRDefault="006374B5" w:rsidP="00641744">
      <w:pPr>
        <w:spacing w:line="360" w:lineRule="auto"/>
        <w:jc w:val="both"/>
        <w:rPr>
          <w:rFonts w:ascii="Palatino Linotype" w:hAnsi="Palatino Linotype" w:cs="Tahoma"/>
          <w:sz w:val="22"/>
          <w:szCs w:val="28"/>
        </w:rPr>
      </w:pPr>
      <w:r w:rsidRPr="003932DF">
        <w:rPr>
          <w:rFonts w:ascii="Palatino Linotype" w:hAnsi="Palatino Linotype" w:cs="Tahoma"/>
          <w:sz w:val="22"/>
          <w:szCs w:val="28"/>
        </w:rPr>
        <w:t xml:space="preserve">En esa misma consecución de ideas, las Reglas de Operación del Programa “Apoyo de Transporte a Estudiantes Ixtapaluquenses de Nivel Superior” “Acciones Fuertes </w:t>
      </w:r>
      <w:r w:rsidR="00641744" w:rsidRPr="003932DF">
        <w:rPr>
          <w:rFonts w:ascii="Palatino Linotype" w:hAnsi="Palatino Linotype" w:cs="Tahoma"/>
          <w:sz w:val="22"/>
          <w:szCs w:val="28"/>
        </w:rPr>
        <w:t>2025-2027</w:t>
      </w:r>
      <w:r w:rsidRPr="003932DF">
        <w:rPr>
          <w:rFonts w:ascii="Palatino Linotype" w:hAnsi="Palatino Linotype" w:cs="Tahoma"/>
          <w:sz w:val="22"/>
          <w:szCs w:val="28"/>
        </w:rPr>
        <w:t xml:space="preserve">, refiere que dicho programa de apoyo fue </w:t>
      </w:r>
      <w:r w:rsidR="00641744" w:rsidRPr="003932DF">
        <w:rPr>
          <w:rFonts w:ascii="Palatino Linotype" w:hAnsi="Palatino Linotype" w:cs="Tahoma"/>
          <w:sz w:val="22"/>
          <w:szCs w:val="28"/>
        </w:rPr>
        <w:t>implementado</w:t>
      </w:r>
      <w:r w:rsidRPr="003932DF">
        <w:rPr>
          <w:rFonts w:ascii="Palatino Linotype" w:hAnsi="Palatino Linotype" w:cs="Tahoma"/>
          <w:sz w:val="22"/>
          <w:szCs w:val="28"/>
        </w:rPr>
        <w:t xml:space="preserve"> </w:t>
      </w:r>
      <w:r w:rsidR="00641744" w:rsidRPr="003932DF">
        <w:rPr>
          <w:rFonts w:ascii="Palatino Linotype" w:hAnsi="Palatino Linotype" w:cs="Tahoma"/>
          <w:sz w:val="22"/>
          <w:szCs w:val="28"/>
        </w:rPr>
        <w:t>desde la administración 2002-2024</w:t>
      </w:r>
      <w:r w:rsidRPr="003932DF">
        <w:rPr>
          <w:rFonts w:ascii="Palatino Linotype" w:hAnsi="Palatino Linotype" w:cs="Tahoma"/>
          <w:sz w:val="22"/>
          <w:szCs w:val="28"/>
        </w:rPr>
        <w:t>, con la finalidad de apoyar a los estudiantes Ixtapaluquenses</w:t>
      </w:r>
      <w:r w:rsidR="00DF1883" w:rsidRPr="003932DF">
        <w:rPr>
          <w:rFonts w:ascii="Palatino Linotype" w:hAnsi="Palatino Linotype" w:cs="Tahoma"/>
          <w:sz w:val="22"/>
          <w:szCs w:val="28"/>
        </w:rPr>
        <w:t>.</w:t>
      </w:r>
    </w:p>
    <w:p w14:paraId="0E0D5E19" w14:textId="77777777" w:rsidR="00DF1883" w:rsidRPr="003932DF" w:rsidRDefault="00DF1883" w:rsidP="00641744">
      <w:pPr>
        <w:spacing w:line="360" w:lineRule="auto"/>
        <w:jc w:val="both"/>
        <w:rPr>
          <w:rFonts w:ascii="Palatino Linotype" w:hAnsi="Palatino Linotype" w:cs="Tahoma"/>
          <w:sz w:val="22"/>
          <w:szCs w:val="28"/>
        </w:rPr>
      </w:pPr>
    </w:p>
    <w:p w14:paraId="31DFA7FF" w14:textId="781BD083" w:rsidR="00DF1883" w:rsidRPr="003932DF" w:rsidRDefault="00DF1883" w:rsidP="00641744">
      <w:pPr>
        <w:spacing w:line="360" w:lineRule="auto"/>
        <w:jc w:val="both"/>
        <w:rPr>
          <w:rFonts w:ascii="Palatino Linotype" w:hAnsi="Palatino Linotype" w:cs="Tahoma"/>
          <w:sz w:val="22"/>
          <w:szCs w:val="28"/>
        </w:rPr>
      </w:pPr>
      <w:r w:rsidRPr="003932DF">
        <w:rPr>
          <w:rFonts w:ascii="Palatino Linotype" w:hAnsi="Palatino Linotype" w:cs="Tahoma"/>
          <w:sz w:val="22"/>
          <w:szCs w:val="28"/>
        </w:rPr>
        <w:t xml:space="preserve">En esa tesitura, las Reglas de Operación en comento establecen que en dicho programa participan la Presidencia </w:t>
      </w:r>
      <w:r w:rsidR="00641744" w:rsidRPr="003932DF">
        <w:rPr>
          <w:rFonts w:ascii="Palatino Linotype" w:hAnsi="Palatino Linotype" w:cs="Tahoma"/>
          <w:sz w:val="22"/>
          <w:szCs w:val="28"/>
        </w:rPr>
        <w:t>M</w:t>
      </w:r>
      <w:r w:rsidRPr="003932DF">
        <w:rPr>
          <w:rFonts w:ascii="Palatino Linotype" w:hAnsi="Palatino Linotype" w:cs="Tahoma"/>
          <w:sz w:val="22"/>
          <w:szCs w:val="28"/>
        </w:rPr>
        <w:t>unicipal, la Secretaría del Ayuntamiento, Dirección de Bienestar Social e Inclusión Social, Consejo Municipal de Bienestar, Coordinación de Programas Municipales y la Coordinación de Programas de Transporte Universitario; siendo la instancia ejecutora la Dirección de Bienestar Social e Inclusión Social.</w:t>
      </w:r>
    </w:p>
    <w:p w14:paraId="56660522" w14:textId="77777777" w:rsidR="00DF1883" w:rsidRPr="003932DF" w:rsidRDefault="00DF1883" w:rsidP="00641744">
      <w:pPr>
        <w:spacing w:line="360" w:lineRule="auto"/>
        <w:jc w:val="both"/>
        <w:rPr>
          <w:rFonts w:ascii="Palatino Linotype" w:hAnsi="Palatino Linotype" w:cs="Tahoma"/>
          <w:sz w:val="22"/>
          <w:szCs w:val="28"/>
        </w:rPr>
      </w:pPr>
    </w:p>
    <w:p w14:paraId="22DFCCB5" w14:textId="6B035B83" w:rsidR="00DF1883" w:rsidRPr="003932DF" w:rsidRDefault="00641744" w:rsidP="00641744">
      <w:pPr>
        <w:spacing w:line="360" w:lineRule="auto"/>
        <w:jc w:val="both"/>
        <w:rPr>
          <w:rFonts w:ascii="Palatino Linotype" w:hAnsi="Palatino Linotype" w:cs="Tahoma"/>
          <w:b/>
          <w:sz w:val="22"/>
          <w:szCs w:val="28"/>
        </w:rPr>
      </w:pPr>
      <w:r w:rsidRPr="003932DF">
        <w:rPr>
          <w:rFonts w:ascii="Palatino Linotype" w:hAnsi="Palatino Linotype" w:cs="Tahoma"/>
          <w:sz w:val="22"/>
          <w:szCs w:val="28"/>
        </w:rPr>
        <w:t>Además</w:t>
      </w:r>
      <w:r w:rsidR="00DF1883" w:rsidRPr="003932DF">
        <w:rPr>
          <w:rFonts w:ascii="Palatino Linotype" w:hAnsi="Palatino Linotype" w:cs="Tahoma"/>
          <w:sz w:val="22"/>
          <w:szCs w:val="28"/>
        </w:rPr>
        <w:t xml:space="preserve">, las Reglas de Operación también establecen que dentro de los documentos que se generan con motivo del programa está el </w:t>
      </w:r>
      <w:r w:rsidR="00DF1883" w:rsidRPr="003932DF">
        <w:rPr>
          <w:rFonts w:ascii="Palatino Linotype" w:hAnsi="Palatino Linotype" w:cs="Tahoma"/>
          <w:b/>
          <w:sz w:val="22"/>
          <w:szCs w:val="28"/>
        </w:rPr>
        <w:t xml:space="preserve">padrón de beneficiarios, </w:t>
      </w:r>
      <w:r w:rsidR="00DF1883" w:rsidRPr="003932DF">
        <w:rPr>
          <w:rFonts w:ascii="Palatino Linotype" w:hAnsi="Palatino Linotype" w:cs="Tahoma"/>
          <w:sz w:val="22"/>
          <w:szCs w:val="28"/>
        </w:rPr>
        <w:t xml:space="preserve">mismo que está integrado por el registro y presupuesto designado para la operatividad del programa, </w:t>
      </w:r>
      <w:r w:rsidR="00DF1883" w:rsidRPr="003932DF">
        <w:rPr>
          <w:rFonts w:ascii="Palatino Linotype" w:hAnsi="Palatino Linotype" w:cs="Tahoma"/>
          <w:b/>
          <w:sz w:val="22"/>
          <w:szCs w:val="28"/>
        </w:rPr>
        <w:t>cancelación, baja o sustitución</w:t>
      </w:r>
      <w:r w:rsidR="00DF1883" w:rsidRPr="003932DF">
        <w:rPr>
          <w:rFonts w:ascii="Palatino Linotype" w:hAnsi="Palatino Linotype" w:cs="Tahoma"/>
          <w:sz w:val="22"/>
          <w:szCs w:val="28"/>
        </w:rPr>
        <w:t xml:space="preserve"> del beneficiario,  </w:t>
      </w:r>
      <w:r w:rsidR="00DF1883" w:rsidRPr="003932DF">
        <w:rPr>
          <w:rFonts w:ascii="Palatino Linotype" w:hAnsi="Palatino Linotype" w:cs="Tahoma"/>
          <w:b/>
          <w:sz w:val="22"/>
          <w:szCs w:val="28"/>
        </w:rPr>
        <w:t>convocatoria,  así como los indicadores cuantitativos del programa</w:t>
      </w:r>
      <w:r w:rsidR="00DF1883" w:rsidRPr="003932DF">
        <w:rPr>
          <w:rFonts w:ascii="Palatino Linotype" w:hAnsi="Palatino Linotype" w:cs="Tahoma"/>
          <w:sz w:val="22"/>
          <w:szCs w:val="28"/>
        </w:rPr>
        <w:t xml:space="preserve"> los cuales están conformados por  </w:t>
      </w:r>
      <w:r w:rsidR="00F6623B" w:rsidRPr="003932DF">
        <w:rPr>
          <w:rFonts w:ascii="Palatino Linotype" w:hAnsi="Palatino Linotype" w:cs="Tahoma"/>
          <w:sz w:val="22"/>
          <w:szCs w:val="28"/>
        </w:rPr>
        <w:t>el número total de estudiantes beneficiados, cantidad de autobuses para el apoyo, planteles educativos cubiertos por el programa y número de estudiantes que concluyen su calendario escolar sin deserción, así como como lo</w:t>
      </w:r>
      <w:r w:rsidRPr="003932DF">
        <w:rPr>
          <w:rFonts w:ascii="Palatino Linotype" w:hAnsi="Palatino Linotype" w:cs="Tahoma"/>
          <w:sz w:val="22"/>
          <w:szCs w:val="28"/>
        </w:rPr>
        <w:t>s</w:t>
      </w:r>
      <w:r w:rsidR="00F6623B" w:rsidRPr="003932DF">
        <w:rPr>
          <w:rFonts w:ascii="Palatino Linotype" w:hAnsi="Palatino Linotype" w:cs="Tahoma"/>
          <w:sz w:val="22"/>
          <w:szCs w:val="28"/>
        </w:rPr>
        <w:t xml:space="preserve"> </w:t>
      </w:r>
      <w:r w:rsidR="00F6623B" w:rsidRPr="003932DF">
        <w:rPr>
          <w:rFonts w:ascii="Palatino Linotype" w:hAnsi="Palatino Linotype" w:cs="Tahoma"/>
          <w:b/>
          <w:sz w:val="22"/>
          <w:szCs w:val="28"/>
        </w:rPr>
        <w:t xml:space="preserve">mecanismos de </w:t>
      </w:r>
      <w:r w:rsidR="00B47B87" w:rsidRPr="003932DF">
        <w:rPr>
          <w:rFonts w:ascii="Palatino Linotype" w:hAnsi="Palatino Linotype" w:cs="Tahoma"/>
          <w:b/>
          <w:sz w:val="22"/>
          <w:szCs w:val="28"/>
        </w:rPr>
        <w:t>evaluación</w:t>
      </w:r>
      <w:r w:rsidR="00F6623B" w:rsidRPr="003932DF">
        <w:rPr>
          <w:rFonts w:ascii="Palatino Linotype" w:hAnsi="Palatino Linotype" w:cs="Tahoma"/>
          <w:b/>
          <w:sz w:val="22"/>
          <w:szCs w:val="28"/>
        </w:rPr>
        <w:t xml:space="preserve">. </w:t>
      </w:r>
    </w:p>
    <w:p w14:paraId="2D589ACE" w14:textId="77777777" w:rsidR="006374B5" w:rsidRPr="003932DF" w:rsidRDefault="006374B5" w:rsidP="00641744">
      <w:pPr>
        <w:spacing w:line="360" w:lineRule="auto"/>
        <w:rPr>
          <w:rFonts w:ascii="Palatino Linotype" w:hAnsi="Palatino Linotype" w:cs="Tahoma"/>
          <w:color w:val="FF0000"/>
          <w:sz w:val="22"/>
          <w:szCs w:val="28"/>
        </w:rPr>
      </w:pPr>
    </w:p>
    <w:p w14:paraId="3B37A462" w14:textId="77777777" w:rsidR="006374B5" w:rsidRPr="003932DF" w:rsidRDefault="006374B5" w:rsidP="00641744">
      <w:pPr>
        <w:spacing w:line="360" w:lineRule="auto"/>
        <w:rPr>
          <w:rFonts w:ascii="Palatino Linotype" w:hAnsi="Palatino Linotype" w:cs="Tahoma"/>
          <w:color w:val="FF0000"/>
          <w:sz w:val="22"/>
          <w:szCs w:val="28"/>
        </w:rPr>
      </w:pPr>
    </w:p>
    <w:p w14:paraId="60AA0B62" w14:textId="77777777" w:rsidR="006374B5" w:rsidRPr="003932DF" w:rsidRDefault="006374B5" w:rsidP="00641744">
      <w:pPr>
        <w:spacing w:line="360" w:lineRule="auto"/>
        <w:rPr>
          <w:rFonts w:ascii="Palatino Linotype" w:hAnsi="Palatino Linotype" w:cs="Tahoma"/>
          <w:color w:val="FF0000"/>
          <w:sz w:val="22"/>
          <w:szCs w:val="28"/>
        </w:rPr>
      </w:pPr>
    </w:p>
    <w:p w14:paraId="768388E3" w14:textId="77777777" w:rsidR="006374B5" w:rsidRPr="003932DF" w:rsidRDefault="006374B5" w:rsidP="00641744">
      <w:pPr>
        <w:spacing w:line="360" w:lineRule="auto"/>
        <w:rPr>
          <w:rFonts w:ascii="Palatino Linotype" w:hAnsi="Palatino Linotype" w:cs="Tahoma"/>
          <w:color w:val="FF0000"/>
          <w:sz w:val="22"/>
          <w:szCs w:val="28"/>
        </w:rPr>
      </w:pPr>
    </w:p>
    <w:p w14:paraId="62737E73" w14:textId="7ADA92BE" w:rsidR="00816E90" w:rsidRPr="003932DF" w:rsidRDefault="00C1595F" w:rsidP="00641744">
      <w:pPr>
        <w:spacing w:line="360" w:lineRule="auto"/>
        <w:jc w:val="both"/>
        <w:rPr>
          <w:rFonts w:ascii="Palatino Linotype" w:hAnsi="Palatino Linotype" w:cs="Tahoma"/>
          <w:sz w:val="22"/>
          <w:szCs w:val="28"/>
        </w:rPr>
      </w:pPr>
      <w:r w:rsidRPr="003932DF">
        <w:rPr>
          <w:rFonts w:ascii="Palatino Linotype" w:hAnsi="Palatino Linotype" w:cs="Tahoma"/>
          <w:sz w:val="22"/>
          <w:szCs w:val="28"/>
        </w:rPr>
        <w:t>Finalmente, cabe precisar que el Particular no señaló el periodo del cual solicitó la información por lo que se estará a lo establecido en el Criterio de Interpretación, con clave de control SO/003/2019, de la Segunda Época, emitido por el Instituto Nacional de Tran</w:t>
      </w:r>
      <w:r w:rsidR="00D80E5D" w:rsidRPr="003932DF">
        <w:rPr>
          <w:rFonts w:ascii="Palatino Linotype" w:hAnsi="Palatino Linotype" w:cs="Tahoma"/>
          <w:sz w:val="22"/>
          <w:szCs w:val="28"/>
        </w:rPr>
        <w:t>sparencia, Acceso a la Información</w:t>
      </w:r>
      <w:r w:rsidR="00DF1883" w:rsidRPr="003932DF">
        <w:rPr>
          <w:rFonts w:ascii="Palatino Linotype" w:hAnsi="Palatino Linotype" w:cs="Tahoma"/>
          <w:sz w:val="22"/>
          <w:szCs w:val="28"/>
        </w:rPr>
        <w:t xml:space="preserve"> </w:t>
      </w:r>
      <w:r w:rsidR="00A20452" w:rsidRPr="003932DF">
        <w:rPr>
          <w:rFonts w:ascii="Palatino Linotype" w:hAnsi="Palatino Linotype" w:cs="Tahoma"/>
          <w:sz w:val="22"/>
          <w:szCs w:val="28"/>
        </w:rPr>
        <w:t xml:space="preserve"> </w:t>
      </w:r>
      <w:r w:rsidRPr="003932DF">
        <w:rPr>
          <w:rFonts w:ascii="Palatino Linotype" w:hAnsi="Palatino Linotype" w:cs="Tahoma"/>
          <w:sz w:val="22"/>
          <w:szCs w:val="28"/>
        </w:rPr>
        <w:t>y Protección de Datos Personales, que señala lo siguiente:</w:t>
      </w:r>
    </w:p>
    <w:p w14:paraId="169D2BB9" w14:textId="77777777" w:rsidR="008D0D64" w:rsidRPr="003932DF" w:rsidRDefault="008D0D64" w:rsidP="00641744">
      <w:pPr>
        <w:spacing w:line="360" w:lineRule="auto"/>
        <w:rPr>
          <w:rFonts w:eastAsia="Calibri" w:cs="Tahoma"/>
          <w:bCs/>
        </w:rPr>
      </w:pPr>
    </w:p>
    <w:p w14:paraId="6656CA55" w14:textId="3BEC0781" w:rsidR="0060514F" w:rsidRPr="003932DF" w:rsidRDefault="0060514F" w:rsidP="00641744">
      <w:pPr>
        <w:spacing w:line="360" w:lineRule="auto"/>
        <w:ind w:left="567" w:right="567"/>
        <w:jc w:val="both"/>
        <w:rPr>
          <w:rFonts w:ascii="Palatino Linotype" w:hAnsi="Palatino Linotype" w:cs="Arial"/>
          <w:bCs/>
          <w:i/>
          <w:iCs/>
        </w:rPr>
      </w:pPr>
      <w:r w:rsidRPr="003932DF">
        <w:rPr>
          <w:rFonts w:ascii="Palatino Linotype" w:hAnsi="Palatino Linotype" w:cs="Arial"/>
          <w:b/>
          <w:i/>
          <w:iCs/>
        </w:rPr>
        <w:t>“Periodo de búsqueda de la información.</w:t>
      </w:r>
      <w:r w:rsidRPr="003932DF">
        <w:rPr>
          <w:rFonts w:ascii="Palatino Linotype" w:hAnsi="Palatino Linotype" w:cs="Arial"/>
          <w:bCs/>
          <w:i/>
          <w:iC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51D298F" w14:textId="77777777" w:rsidR="0060514F" w:rsidRPr="003932DF" w:rsidRDefault="0060514F" w:rsidP="00641744">
      <w:pPr>
        <w:spacing w:line="360" w:lineRule="auto"/>
        <w:ind w:left="567" w:right="567"/>
        <w:jc w:val="both"/>
        <w:rPr>
          <w:rFonts w:ascii="Palatino Linotype" w:hAnsi="Palatino Linotype" w:cs="Arial"/>
          <w:bCs/>
          <w:i/>
          <w:iCs/>
        </w:rPr>
      </w:pPr>
    </w:p>
    <w:p w14:paraId="6E39430A" w14:textId="105A2889" w:rsidR="008D0D64" w:rsidRPr="003932DF" w:rsidRDefault="008D0D64"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bCs/>
          <w:color w:val="000000" w:themeColor="text1"/>
          <w:sz w:val="22"/>
          <w:szCs w:val="22"/>
          <w:lang w:val="es-ES" w:eastAsia="en-US"/>
        </w:rPr>
        <w:t>Conforme a lo anterior, se logra vislumbrar que la pretensión del ahora Recurrente, es obtener los documentos</w:t>
      </w:r>
      <w:r w:rsidRPr="003932DF">
        <w:rPr>
          <w:rFonts w:ascii="Palatino Linotype" w:eastAsiaTheme="minorHAnsi" w:hAnsi="Palatino Linotype" w:cs="Tahoma"/>
          <w:color w:val="000000" w:themeColor="text1"/>
          <w:sz w:val="22"/>
          <w:szCs w:val="24"/>
          <w:lang w:val="es-ES" w:eastAsia="en-US"/>
        </w:rPr>
        <w:t xml:space="preserve"> donde conste información que se tuviera sobre e</w:t>
      </w:r>
      <w:r w:rsidRPr="003932DF">
        <w:rPr>
          <w:rFonts w:ascii="Palatino Linotype" w:eastAsia="Calibri" w:hAnsi="Palatino Linotype" w:cs="Tahoma"/>
          <w:iCs/>
          <w:color w:val="000000" w:themeColor="text1"/>
          <w:sz w:val="22"/>
          <w:szCs w:val="22"/>
          <w:lang w:val="es-ES" w:eastAsia="es-ES_tradnl"/>
        </w:rPr>
        <w:t xml:space="preserve"> el programa social del transporte universitario de Ixtapaluca TUI, </w:t>
      </w:r>
      <w:r w:rsidR="00816E90" w:rsidRPr="003932DF">
        <w:rPr>
          <w:rFonts w:ascii="Palatino Linotype" w:eastAsia="Calibri" w:hAnsi="Palatino Linotype" w:cs="Tahoma"/>
          <w:iCs/>
          <w:color w:val="000000" w:themeColor="text1"/>
          <w:sz w:val="22"/>
          <w:szCs w:val="22"/>
          <w:lang w:val="es-ES" w:eastAsia="es-ES_tradnl"/>
        </w:rPr>
        <w:t>del periodo que comprend</w:t>
      </w:r>
      <w:r w:rsidR="00816E90" w:rsidRPr="003932DF">
        <w:rPr>
          <w:rFonts w:ascii="Palatino Linotype" w:eastAsia="Calibri" w:hAnsi="Palatino Linotype" w:cs="Tahoma"/>
          <w:b/>
          <w:iCs/>
          <w:color w:val="000000" w:themeColor="text1"/>
          <w:sz w:val="22"/>
          <w:szCs w:val="22"/>
          <w:lang w:val="es-ES" w:eastAsia="es-ES_tradnl"/>
        </w:rPr>
        <w:t xml:space="preserve">e del trece de enero de dos mil veinticuatro al trece de enero de dos mil veinticinco. </w:t>
      </w:r>
    </w:p>
    <w:p w14:paraId="4DAED102" w14:textId="25CDD03E" w:rsidR="009F0C63" w:rsidRPr="003932DF" w:rsidRDefault="009F0C63" w:rsidP="00641744">
      <w:pPr>
        <w:spacing w:line="360" w:lineRule="auto"/>
        <w:jc w:val="both"/>
        <w:rPr>
          <w:rFonts w:ascii="Palatino Linotype" w:eastAsia="Calibri" w:hAnsi="Palatino Linotype" w:cs="Tahoma"/>
          <w:bCs/>
          <w:color w:val="000000" w:themeColor="text1"/>
          <w:sz w:val="22"/>
          <w:szCs w:val="22"/>
          <w:lang w:val="es-ES" w:eastAsia="en-US"/>
        </w:rPr>
      </w:pPr>
    </w:p>
    <w:p w14:paraId="7362CC97" w14:textId="595118EC" w:rsidR="006D5AB6" w:rsidRPr="003932DF" w:rsidRDefault="006D5AB6"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t xml:space="preserve">Establecida dicha circunstancia, es necesario precisar que de las constancias que obran en el expediente se logra vislumbrar que el Sujeto Obligado turno la solicitud de información a la Dirección de Bienestar e Inclusión Social, por lo que, es necesario hacer referencia al </w:t>
      </w:r>
      <w:r w:rsidRPr="003932DF">
        <w:rPr>
          <w:rFonts w:ascii="Palatino Linotype" w:eastAsia="Calibri" w:hAnsi="Palatino Linotype" w:cs="Tahoma"/>
          <w:b/>
          <w:bCs/>
          <w:iCs/>
          <w:color w:val="000000" w:themeColor="text1"/>
          <w:sz w:val="22"/>
          <w:szCs w:val="22"/>
          <w:lang w:val="es-ES" w:eastAsia="es-ES_tradnl"/>
        </w:rPr>
        <w:t>procedimiento de búsqueda que deben de seguir los Sujetos Obligados para localizar la información,</w:t>
      </w:r>
      <w:r w:rsidRPr="003932DF">
        <w:rPr>
          <w:rFonts w:ascii="Palatino Linotype" w:eastAsia="Calibri" w:hAnsi="Palatino Linotype" w:cs="Tahoma"/>
          <w:iCs/>
          <w:color w:val="000000" w:themeColor="text1"/>
          <w:sz w:val="22"/>
          <w:szCs w:val="22"/>
          <w:lang w:val="es-ES" w:eastAsia="es-ES_tradnl"/>
        </w:rPr>
        <w:t xml:space="preserve"> el cual se encuentra previsto en el artículo 162 de la Ley de Transparencia y Acceso a la Información</w:t>
      </w:r>
      <w:r w:rsidR="009576FB" w:rsidRPr="003932DF">
        <w:t xml:space="preserve"> </w:t>
      </w:r>
      <w:r w:rsidR="009576FB" w:rsidRPr="003932DF">
        <w:rPr>
          <w:rFonts w:ascii="Palatino Linotype" w:eastAsia="Calibri" w:hAnsi="Palatino Linotype" w:cs="Tahoma"/>
          <w:iCs/>
          <w:color w:val="000000" w:themeColor="text1"/>
          <w:sz w:val="22"/>
          <w:szCs w:val="22"/>
          <w:lang w:val="es-ES" w:eastAsia="es-ES_tradnl"/>
        </w:rPr>
        <w:t>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5AC184DD" w14:textId="353F0B0F" w:rsidR="009576FB" w:rsidRPr="003932DF" w:rsidRDefault="009576FB"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lastRenderedPageBreak/>
        <w:t>De lo anterior, y como se precisó en párrafos anteriores, se advierte que el Sujeto Obligado, cumplió con el procedimiento de búsqueda previsto en el artículo 162 de la Ley de Transparencia y Acceso a la Información Pública del Estado de México y Municipios,</w:t>
      </w:r>
      <w:r w:rsidR="003018D5" w:rsidRPr="003932DF">
        <w:rPr>
          <w:rFonts w:ascii="Palatino Linotype" w:eastAsia="Calibri" w:hAnsi="Palatino Linotype" w:cs="Tahoma"/>
          <w:iCs/>
          <w:color w:val="000000" w:themeColor="text1"/>
          <w:sz w:val="22"/>
          <w:szCs w:val="22"/>
          <w:lang w:val="es-ES" w:eastAsia="es-ES_tradnl"/>
        </w:rPr>
        <w:t xml:space="preserve"> </w:t>
      </w:r>
      <w:r w:rsidRPr="003932DF">
        <w:rPr>
          <w:rFonts w:ascii="Palatino Linotype" w:eastAsia="Calibri" w:hAnsi="Palatino Linotype" w:cs="Tahoma"/>
          <w:iCs/>
          <w:color w:val="000000" w:themeColor="text1"/>
          <w:sz w:val="22"/>
          <w:szCs w:val="22"/>
          <w:lang w:val="es-ES" w:eastAsia="es-ES_tradnl"/>
        </w:rPr>
        <w:t xml:space="preserve">toda vez que turnó la solicitud de información al área competente para </w:t>
      </w:r>
      <w:r w:rsidR="007C1BDB" w:rsidRPr="003932DF">
        <w:rPr>
          <w:rFonts w:ascii="Palatino Linotype" w:eastAsia="Calibri" w:hAnsi="Palatino Linotype" w:cs="Tahoma"/>
          <w:iCs/>
          <w:color w:val="000000" w:themeColor="text1"/>
          <w:sz w:val="22"/>
          <w:szCs w:val="22"/>
          <w:lang w:val="es-ES" w:eastAsia="es-ES_tradnl"/>
        </w:rPr>
        <w:t>conocer de</w:t>
      </w:r>
      <w:r w:rsidRPr="003932DF">
        <w:rPr>
          <w:rFonts w:ascii="Palatino Linotype" w:eastAsia="Calibri" w:hAnsi="Palatino Linotype" w:cs="Tahoma"/>
          <w:iCs/>
          <w:color w:val="000000" w:themeColor="text1"/>
          <w:sz w:val="22"/>
          <w:szCs w:val="22"/>
          <w:lang w:val="es-ES" w:eastAsia="es-ES_tradnl"/>
        </w:rPr>
        <w:t xml:space="preserve"> los programas sociales que ofrece el Ayuntamiento de Ixtapaluca.</w:t>
      </w:r>
    </w:p>
    <w:p w14:paraId="7BB38CCE" w14:textId="704488A0" w:rsidR="009576FB" w:rsidRPr="003932DF" w:rsidRDefault="009576FB"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p>
    <w:p w14:paraId="3D647DDD" w14:textId="208D32DE" w:rsidR="00621282" w:rsidRPr="003932DF" w:rsidRDefault="00621282" w:rsidP="00641744">
      <w:pPr>
        <w:tabs>
          <w:tab w:val="left" w:pos="4962"/>
        </w:tabs>
        <w:spacing w:line="360" w:lineRule="auto"/>
        <w:contextualSpacing/>
        <w:jc w:val="both"/>
        <w:rPr>
          <w:rFonts w:ascii="Palatino Linotype" w:eastAsia="Calibri" w:hAnsi="Palatino Linotype" w:cs="Tahoma"/>
          <w:bCs/>
          <w:color w:val="000000" w:themeColor="text1"/>
          <w:sz w:val="22"/>
          <w:szCs w:val="22"/>
          <w:lang w:val="es-ES" w:eastAsia="en-US"/>
        </w:rPr>
      </w:pPr>
      <w:r w:rsidRPr="003932DF">
        <w:rPr>
          <w:rFonts w:ascii="Palatino Linotype" w:eastAsia="Calibri" w:hAnsi="Palatino Linotype" w:cs="Tahoma"/>
          <w:iCs/>
          <w:color w:val="000000" w:themeColor="text1"/>
          <w:sz w:val="22"/>
          <w:szCs w:val="22"/>
          <w:lang w:val="es-ES" w:eastAsia="es-ES_tradnl"/>
        </w:rPr>
        <w:t xml:space="preserve">Ahora bien, dicha área, precisó que, el total de usuarios después de la primera convocatoria de dos mil veinticinco es de novecientos treinta y ocho estudiantes, los cuales doscientos noventa y cinco son del Instituto Politécnico  Nacional, trescientos cincuenta de la Universidad Autónoma de México, ciento noventa y seis de la Universidad Autónoma Metropolitana y noventa y siete del Tecnológico de Estudios Superiores de Ixtapaluca, así mismo anexo la </w:t>
      </w:r>
      <w:r w:rsidRPr="003932DF">
        <w:rPr>
          <w:rFonts w:ascii="Palatino Linotype" w:eastAsiaTheme="minorHAnsi" w:hAnsi="Palatino Linotype" w:cs="Tahoma"/>
          <w:sz w:val="22"/>
          <w:szCs w:val="24"/>
          <w:lang w:val="es-ES_tradnl" w:eastAsia="en-US"/>
        </w:rPr>
        <w:t>Convocatoria para la postulación para el programa “Apoyo de Transporte a Estudiantes Ixtapaluquenses a Nivel Superior, TUI”, dos mil veinticinco y las Reglas de Operación del programa Apoyo de Transporte a Estudiantes Ixtapaluquenses a Nivel Superior”, acciones fuertes dos mil veinticinco, dos mil veintisiete</w:t>
      </w:r>
      <w:r w:rsidR="00765432" w:rsidRPr="003932DF">
        <w:rPr>
          <w:rFonts w:ascii="Palatino Linotype" w:eastAsiaTheme="minorHAnsi" w:hAnsi="Palatino Linotype" w:cs="Tahoma"/>
          <w:sz w:val="22"/>
          <w:szCs w:val="24"/>
          <w:lang w:val="es-ES_tradnl" w:eastAsia="en-US"/>
        </w:rPr>
        <w:t xml:space="preserve">, manifestando que era la única información que bajo el esquema normativo actual se encuentra en posesión de la Dirección de </w:t>
      </w:r>
      <w:r w:rsidR="00765432" w:rsidRPr="003932DF">
        <w:rPr>
          <w:rFonts w:ascii="Palatino Linotype" w:eastAsia="Calibri" w:hAnsi="Palatino Linotype" w:cs="Tahoma"/>
          <w:bCs/>
          <w:color w:val="000000" w:themeColor="text1"/>
          <w:sz w:val="22"/>
          <w:szCs w:val="22"/>
          <w:lang w:val="es-ES" w:eastAsia="en-US"/>
        </w:rPr>
        <w:t>de Bienestar e Inclusión Social.</w:t>
      </w:r>
    </w:p>
    <w:p w14:paraId="17BE3174" w14:textId="77777777" w:rsidR="00F23882" w:rsidRPr="003932DF" w:rsidRDefault="00F23882"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p>
    <w:p w14:paraId="08FB0E98" w14:textId="605FE1A8" w:rsidR="004370F1" w:rsidRPr="003932DF" w:rsidRDefault="00641744" w:rsidP="004370F1">
      <w:pPr>
        <w:spacing w:line="360" w:lineRule="auto"/>
        <w:jc w:val="both"/>
        <w:rPr>
          <w:rFonts w:ascii="Palatino Linotype" w:eastAsia="Calibri" w:hAnsi="Palatino Linotype" w:cs="Tahoma"/>
          <w:iCs/>
          <w:color w:val="000000" w:themeColor="text1"/>
          <w:sz w:val="22"/>
          <w:szCs w:val="22"/>
          <w:lang w:val="es-ES" w:eastAsia="es-ES_tradnl"/>
        </w:rPr>
      </w:pPr>
      <w:r w:rsidRPr="003932DF">
        <w:rPr>
          <w:rFonts w:ascii="Palatino Linotype" w:hAnsi="Palatino Linotype" w:cs="Tahoma"/>
          <w:sz w:val="22"/>
          <w:szCs w:val="24"/>
          <w:lang w:val="es-ES_tradnl" w:eastAsia="en-US"/>
        </w:rPr>
        <w:t>Ahora bien, de la revisión del documento entregado, se logra vislumbrar que contiene la información requerida por el particular</w:t>
      </w:r>
      <w:r w:rsidR="004370F1" w:rsidRPr="003932DF">
        <w:rPr>
          <w:rFonts w:ascii="Palatino Linotype" w:hAnsi="Palatino Linotype" w:cs="Tahoma"/>
          <w:sz w:val="22"/>
          <w:szCs w:val="24"/>
          <w:lang w:val="es-ES_tradnl" w:eastAsia="en-US"/>
        </w:rPr>
        <w:t>, por lo que hace al dos mil veinticinco</w:t>
      </w:r>
      <w:r w:rsidRPr="003932DF">
        <w:rPr>
          <w:rFonts w:ascii="Palatino Linotype" w:hAnsi="Palatino Linotype" w:cs="Tahoma"/>
          <w:sz w:val="22"/>
          <w:szCs w:val="24"/>
          <w:lang w:val="es-ES_tradnl" w:eastAsia="en-US"/>
        </w:rPr>
        <w:t>, pues contienen la convocatoria del programa del año dos mil veinticinco, sus reglas de operación y además de señaló el número de beneficiarios del año en curso, por lo que, proporcionó los documentos que daba cuenta de lo peticionado, tal y como obraban en sus archivos</w:t>
      </w:r>
      <w:r w:rsidR="004370F1" w:rsidRPr="003932DF">
        <w:rPr>
          <w:rFonts w:ascii="Palatino Linotype" w:hAnsi="Palatino Linotype" w:cs="Tahoma"/>
          <w:sz w:val="22"/>
          <w:szCs w:val="24"/>
          <w:lang w:val="es-ES_tradnl" w:eastAsia="en-US"/>
        </w:rPr>
        <w:t>; d</w:t>
      </w:r>
      <w:r w:rsidR="004370F1" w:rsidRPr="003932DF">
        <w:rPr>
          <w:rFonts w:ascii="Palatino Linotype" w:eastAsia="Calibri" w:hAnsi="Palatino Linotype" w:cs="Tahoma"/>
          <w:iCs/>
          <w:color w:val="000000" w:themeColor="text1"/>
          <w:sz w:val="22"/>
          <w:szCs w:val="22"/>
          <w:lang w:val="es-ES" w:eastAsia="es-ES_tradnl"/>
        </w:rPr>
        <w:t xml:space="preserve">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w:t>
      </w:r>
      <w:r w:rsidR="004370F1" w:rsidRPr="003932DF">
        <w:rPr>
          <w:rFonts w:ascii="Palatino Linotype" w:eastAsia="Calibri" w:hAnsi="Palatino Linotype" w:cs="Tahoma"/>
          <w:iCs/>
          <w:color w:val="000000" w:themeColor="text1"/>
          <w:sz w:val="22"/>
          <w:szCs w:val="22"/>
          <w:lang w:val="es-ES" w:eastAsia="es-ES_tradnl"/>
        </w:rPr>
        <w:lastRenderedPageBreak/>
        <w:t>que esta se encuentre; por lo que, la entrega no comprende el procesamiento de la misma, ni presentarla conforme al interés del Solicitante.</w:t>
      </w:r>
    </w:p>
    <w:p w14:paraId="226B7FEA" w14:textId="77777777" w:rsidR="004370F1" w:rsidRPr="003932DF" w:rsidRDefault="004370F1" w:rsidP="004370F1">
      <w:pPr>
        <w:spacing w:line="360" w:lineRule="auto"/>
        <w:jc w:val="both"/>
        <w:rPr>
          <w:rFonts w:ascii="Palatino Linotype" w:eastAsia="Calibri" w:hAnsi="Palatino Linotype" w:cs="Tahoma"/>
          <w:iCs/>
          <w:color w:val="000000" w:themeColor="text1"/>
          <w:sz w:val="22"/>
          <w:szCs w:val="22"/>
          <w:lang w:val="es-ES" w:eastAsia="es-ES_tradnl"/>
        </w:rPr>
      </w:pPr>
    </w:p>
    <w:p w14:paraId="1116EB4F" w14:textId="77777777" w:rsidR="004370F1" w:rsidRPr="003932DF" w:rsidRDefault="004370F1" w:rsidP="004370F1">
      <w:pPr>
        <w:spacing w:line="360" w:lineRule="auto"/>
        <w:jc w:val="both"/>
        <w:rPr>
          <w:rFonts w:ascii="Palatino Linotype" w:eastAsia="Calibri" w:hAnsi="Palatino Linotype" w:cs="Tahoma"/>
          <w:iCs/>
          <w:color w:val="000000" w:themeColor="text1"/>
          <w:sz w:val="22"/>
          <w:szCs w:val="22"/>
          <w:lang w:val="es-ES" w:eastAsia="es-ES_tradnl"/>
        </w:rPr>
      </w:pPr>
      <w:r w:rsidRPr="003932DF">
        <w:rPr>
          <w:rFonts w:ascii="Palatino Linotype" w:eastAsia="Calibri" w:hAnsi="Palatino Linotype" w:cs="Tahoma"/>
          <w:iCs/>
          <w:color w:val="000000" w:themeColor="text1"/>
          <w:sz w:val="22"/>
          <w:szCs w:val="22"/>
          <w:lang w:val="es-ES" w:eastAsia="es-ES_tradnl"/>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374DEB20" w14:textId="77777777" w:rsidR="004370F1" w:rsidRPr="003932DF" w:rsidRDefault="004370F1" w:rsidP="004370F1">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6FDCB877" w14:textId="738BB3CC" w:rsidR="004370F1" w:rsidRPr="003932DF" w:rsidRDefault="004370F1" w:rsidP="004370F1">
      <w:pPr>
        <w:tabs>
          <w:tab w:val="left" w:pos="4962"/>
        </w:tabs>
        <w:spacing w:line="360" w:lineRule="auto"/>
        <w:contextualSpacing/>
        <w:jc w:val="both"/>
        <w:rPr>
          <w:rFonts w:ascii="Palatino Linotype" w:eastAsiaTheme="minorHAnsi" w:hAnsi="Palatino Linotype" w:cs="Tahoma"/>
          <w:sz w:val="22"/>
          <w:szCs w:val="24"/>
          <w:lang w:val="es-ES_tradnl" w:eastAsia="en-US"/>
        </w:rPr>
      </w:pPr>
      <w:r w:rsidRPr="003932DF">
        <w:rPr>
          <w:rFonts w:ascii="Palatino Linotype" w:eastAsiaTheme="minorHAnsi" w:hAnsi="Palatino Linotype" w:cs="Tahoma"/>
          <w:sz w:val="22"/>
          <w:szCs w:val="24"/>
          <w:lang w:val="es-ES_tradnl" w:eastAsia="en-U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los documentos generados durante le dos mil veinticinco.</w:t>
      </w:r>
    </w:p>
    <w:p w14:paraId="4BD21E5D" w14:textId="77777777" w:rsidR="004370F1" w:rsidRPr="003932DF" w:rsidRDefault="004370F1" w:rsidP="004370F1">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66A40B40" w14:textId="63953633" w:rsidR="00895F9E" w:rsidRPr="003932DF" w:rsidRDefault="00641744" w:rsidP="00895F9E">
      <w:pPr>
        <w:spacing w:line="360" w:lineRule="auto"/>
        <w:jc w:val="both"/>
        <w:rPr>
          <w:rFonts w:ascii="Palatino Linotype" w:eastAsia="Calibri" w:hAnsi="Palatino Linotype" w:cs="Tahoma"/>
          <w:color w:val="000000"/>
          <w:sz w:val="22"/>
          <w:szCs w:val="24"/>
          <w:lang w:val="es-ES" w:eastAsia="es-MX"/>
        </w:rPr>
      </w:pPr>
      <w:r w:rsidRPr="003932DF">
        <w:rPr>
          <w:rFonts w:ascii="Palatino Linotype" w:eastAsia="Calibri" w:hAnsi="Palatino Linotype" w:cs="Tahoma"/>
          <w:iCs/>
          <w:color w:val="000000" w:themeColor="text1"/>
          <w:sz w:val="22"/>
          <w:szCs w:val="22"/>
          <w:lang w:val="es-ES" w:eastAsia="es-ES_tradnl"/>
        </w:rPr>
        <w:t>No obstante,</w:t>
      </w:r>
      <w:r w:rsidR="004370F1" w:rsidRPr="003932DF">
        <w:rPr>
          <w:rFonts w:ascii="Palatino Linotype" w:eastAsia="Calibri" w:hAnsi="Palatino Linotype" w:cs="Tahoma"/>
          <w:iCs/>
          <w:color w:val="000000" w:themeColor="text1"/>
          <w:sz w:val="22"/>
          <w:szCs w:val="22"/>
          <w:lang w:val="es-ES" w:eastAsia="es-ES_tradnl"/>
        </w:rPr>
        <w:t xml:space="preserve"> omitió pronunciarse del programa ejecutado del trece de enero al treinta y uno de diciembre de dos mil veinticuatro, es decir, no realizó un pronunciamiento expreso sobre dicha temporalidad</w:t>
      </w:r>
      <w:r w:rsidR="00895F9E" w:rsidRPr="003932DF">
        <w:rPr>
          <w:rFonts w:ascii="Palatino Linotype" w:eastAsia="Calibri" w:hAnsi="Palatino Linotype" w:cs="Tahoma"/>
          <w:iCs/>
          <w:color w:val="000000" w:themeColor="text1"/>
          <w:sz w:val="22"/>
          <w:szCs w:val="22"/>
          <w:lang w:val="es-ES" w:eastAsia="es-ES_tradnl"/>
        </w:rPr>
        <w:t xml:space="preserve">; </w:t>
      </w:r>
      <w:r w:rsidR="00895F9E" w:rsidRPr="003932DF">
        <w:rPr>
          <w:rFonts w:ascii="Palatino Linotype" w:eastAsia="Calibri" w:hAnsi="Palatino Linotype"/>
          <w:sz w:val="22"/>
          <w:szCs w:val="22"/>
          <w:lang w:eastAsia="en-US"/>
        </w:rPr>
        <w:t>sobre el tema, el artículo 1.8, fracción XIII, del Código Administrativo del Estado de México, establece que para que tenga validez, todo acto administrativo deberá resolver todos los puntos propuestos por los interesados.</w:t>
      </w:r>
    </w:p>
    <w:p w14:paraId="3E50933B" w14:textId="77777777" w:rsidR="00895F9E" w:rsidRPr="003932DF" w:rsidRDefault="00895F9E" w:rsidP="00895F9E">
      <w:pPr>
        <w:spacing w:line="360" w:lineRule="auto"/>
        <w:ind w:right="-93"/>
        <w:jc w:val="both"/>
        <w:rPr>
          <w:rFonts w:ascii="Palatino Linotype" w:eastAsia="Calibri" w:hAnsi="Palatino Linotype"/>
          <w:sz w:val="22"/>
          <w:szCs w:val="22"/>
          <w:lang w:eastAsia="en-US"/>
        </w:rPr>
      </w:pPr>
    </w:p>
    <w:p w14:paraId="342D1760" w14:textId="77777777" w:rsidR="00895F9E" w:rsidRPr="003932DF" w:rsidRDefault="00895F9E" w:rsidP="00895F9E">
      <w:pPr>
        <w:spacing w:line="360" w:lineRule="auto"/>
        <w:ind w:right="-93"/>
        <w:jc w:val="both"/>
        <w:rPr>
          <w:rFonts w:ascii="Palatino Linotype" w:eastAsia="Calibri" w:hAnsi="Palatino Linotype"/>
          <w:sz w:val="22"/>
          <w:szCs w:val="22"/>
          <w:lang w:eastAsia="en-US"/>
        </w:rPr>
      </w:pPr>
      <w:r w:rsidRPr="003932DF">
        <w:rPr>
          <w:rFonts w:ascii="Palatino Linotype" w:eastAsia="Calibri" w:hAnsi="Palatino Linotype"/>
          <w:sz w:val="22"/>
          <w:szCs w:val="22"/>
          <w:lang w:eastAsia="en-US"/>
        </w:rP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sidRPr="003932DF">
        <w:rPr>
          <w:rFonts w:ascii="Palatino Linotype" w:eastAsia="Calibri" w:hAnsi="Palatino Linotype"/>
          <w:b/>
          <w:bCs/>
          <w:sz w:val="22"/>
          <w:szCs w:val="22"/>
          <w:lang w:eastAsia="en-US"/>
        </w:rPr>
        <w:t>principio de exhaustividad,</w:t>
      </w:r>
      <w:r w:rsidRPr="003932DF">
        <w:rPr>
          <w:rFonts w:ascii="Palatino Linotype" w:eastAsia="Calibri" w:hAnsi="Palatino Linotype"/>
          <w:sz w:val="22"/>
          <w:szCs w:val="22"/>
          <w:lang w:eastAsia="en-US"/>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w:t>
      </w:r>
      <w:r w:rsidRPr="003932DF">
        <w:rPr>
          <w:rFonts w:ascii="Palatino Linotype" w:eastAsia="Calibri" w:hAnsi="Palatino Linotype"/>
          <w:sz w:val="22"/>
          <w:szCs w:val="22"/>
          <w:lang w:eastAsia="en-US"/>
        </w:rPr>
        <w:lastRenderedPageBreak/>
        <w:t>lógica con lo solicitado, analizando y decidiendo –de marea íntegra- sobre todos los puntos requeridos, a fin de satisfacer la solicitud correspondiente.</w:t>
      </w:r>
    </w:p>
    <w:p w14:paraId="40E688A7" w14:textId="77777777" w:rsidR="00895F9E" w:rsidRPr="003932DF" w:rsidRDefault="00895F9E" w:rsidP="00895F9E">
      <w:pPr>
        <w:spacing w:line="360" w:lineRule="auto"/>
        <w:ind w:right="-93"/>
        <w:jc w:val="both"/>
        <w:rPr>
          <w:rFonts w:ascii="Palatino Linotype" w:eastAsia="Calibri" w:hAnsi="Palatino Linotype"/>
          <w:sz w:val="22"/>
          <w:szCs w:val="22"/>
          <w:lang w:eastAsia="en-US"/>
        </w:rPr>
      </w:pPr>
    </w:p>
    <w:p w14:paraId="4E450130" w14:textId="1AEA7206" w:rsidR="00241E6E" w:rsidRPr="003932DF" w:rsidRDefault="00895F9E" w:rsidP="00895F9E">
      <w:pPr>
        <w:spacing w:line="360" w:lineRule="auto"/>
        <w:ind w:right="-93"/>
        <w:jc w:val="both"/>
        <w:rPr>
          <w:rFonts w:ascii="Palatino Linotype" w:eastAsiaTheme="minorHAnsi" w:hAnsi="Palatino Linotype" w:cs="Tahoma"/>
          <w:sz w:val="22"/>
          <w:szCs w:val="24"/>
          <w:lang w:val="es-ES_tradnl" w:eastAsia="en-US"/>
        </w:rPr>
      </w:pPr>
      <w:r w:rsidRPr="003932DF">
        <w:rPr>
          <w:rFonts w:ascii="Palatino Linotype" w:eastAsia="Calibri" w:hAnsi="Palatino Linotype"/>
          <w:sz w:val="22"/>
          <w:szCs w:val="22"/>
          <w:lang w:eastAsia="en-US"/>
        </w:rPr>
        <w:t>En esa tesitura, se concluye que el Sujeto Obligado no satisfizo el derecho de acceso a la información del Solicitante, al no pronunciarse respecto a todo el periodo solicitado; p</w:t>
      </w:r>
      <w:proofErr w:type="spellStart"/>
      <w:r w:rsidR="00241E6E" w:rsidRPr="003932DF">
        <w:rPr>
          <w:rFonts w:ascii="Palatino Linotype" w:eastAsiaTheme="minorHAnsi" w:hAnsi="Palatino Linotype" w:cs="Tahoma"/>
          <w:sz w:val="22"/>
          <w:szCs w:val="24"/>
          <w:lang w:val="es-ES_tradnl" w:eastAsia="en-US"/>
        </w:rPr>
        <w:t>or</w:t>
      </w:r>
      <w:proofErr w:type="spellEnd"/>
      <w:r w:rsidR="00241E6E" w:rsidRPr="003932DF">
        <w:rPr>
          <w:rFonts w:ascii="Palatino Linotype" w:eastAsiaTheme="minorHAnsi" w:hAnsi="Palatino Linotype" w:cs="Tahoma"/>
          <w:sz w:val="22"/>
          <w:szCs w:val="24"/>
          <w:lang w:val="es-ES_tradnl" w:eastAsia="en-US"/>
        </w:rPr>
        <w:t xml:space="preserve"> lo que, en el presente caso el Ayuntamiento de Ixtapaluca, deberá de realizar la búsqueda exhaustiva y razonable, dentro de los archivos de las áreas competentes dentro de las que no podrá omitir a la Dirección de Bienestar e Inclusión Social, a efecto de que proporcione los documentos generados en relación con el Programa </w:t>
      </w:r>
      <w:r w:rsidR="00241E6E" w:rsidRPr="003932DF">
        <w:rPr>
          <w:rFonts w:ascii="Palatino Linotype" w:eastAsia="Calibri" w:hAnsi="Palatino Linotype" w:cs="Tahoma"/>
          <w:iCs/>
          <w:color w:val="000000" w:themeColor="text1"/>
          <w:sz w:val="22"/>
          <w:szCs w:val="22"/>
          <w:lang w:val="es-ES" w:eastAsia="es-ES_tradnl"/>
        </w:rPr>
        <w:t>“Apoyo de Transporte a Estudiantes Ixtapaluquenses a Nivel Superior, TUI”, del periodo que corresponde del trece de enero de al treinta y uno de diciembre dos mil veinticuatro.</w:t>
      </w:r>
    </w:p>
    <w:p w14:paraId="70815DE3" w14:textId="3CFA483E" w:rsidR="00D80E5D" w:rsidRPr="003932DF" w:rsidRDefault="00D80E5D" w:rsidP="00641744">
      <w:pPr>
        <w:tabs>
          <w:tab w:val="left" w:pos="4962"/>
        </w:tabs>
        <w:spacing w:line="360" w:lineRule="auto"/>
        <w:contextualSpacing/>
        <w:jc w:val="both"/>
        <w:rPr>
          <w:rFonts w:ascii="Palatino Linotype" w:eastAsia="Calibri" w:hAnsi="Palatino Linotype" w:cs="Tahoma"/>
          <w:iCs/>
          <w:color w:val="000000" w:themeColor="text1"/>
          <w:sz w:val="22"/>
          <w:szCs w:val="22"/>
          <w:lang w:val="es-ES" w:eastAsia="es-ES_tradnl"/>
        </w:rPr>
      </w:pPr>
    </w:p>
    <w:p w14:paraId="784052E9" w14:textId="4DAC6B9D" w:rsidR="00895F9E" w:rsidRPr="003932DF" w:rsidRDefault="00895F9E" w:rsidP="00895F9E">
      <w:pPr>
        <w:spacing w:line="360" w:lineRule="auto"/>
        <w:ind w:right="-28"/>
        <w:contextualSpacing/>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 xml:space="preserve">Ahora bien, y sin menoscabar lo anteriormente expuesto, no pasa desapercibido para este Instituto que los documentos pudiesen contener información susceptible de ser clasificada, se procede a su análisis conforme lo siguiente. </w:t>
      </w:r>
    </w:p>
    <w:p w14:paraId="56B9B9A4" w14:textId="77777777" w:rsidR="00895F9E" w:rsidRPr="003932DF" w:rsidRDefault="00895F9E" w:rsidP="00895F9E">
      <w:pPr>
        <w:spacing w:line="360" w:lineRule="auto"/>
        <w:jc w:val="both"/>
        <w:rPr>
          <w:rFonts w:ascii="Palatino Linotype" w:hAnsi="Palatino Linotype"/>
          <w:color w:val="000000" w:themeColor="text1"/>
          <w:sz w:val="22"/>
          <w:szCs w:val="22"/>
          <w:lang w:eastAsia="en-US"/>
        </w:rPr>
      </w:pPr>
    </w:p>
    <w:p w14:paraId="2E13B24E"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sz w:val="22"/>
          <w:szCs w:val="22"/>
          <w:lang w:eastAsia="es-MX"/>
        </w:rPr>
        <w:t>Sobre dicha situación</w:t>
      </w:r>
      <w:r w:rsidRPr="003932DF">
        <w:rPr>
          <w:rFonts w:ascii="Palatino Linotype" w:hAnsi="Palatino Linotype" w:cs="Tahoma"/>
          <w:bCs/>
          <w:sz w:val="22"/>
          <w:szCs w:val="22"/>
          <w:lang w:eastAsia="en-US"/>
        </w:rPr>
        <w:t>,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4AC1920"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194CC2B5"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30D66AAD"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2CC74F48"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5394E3A"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327AF571"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226B8F5"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12925EBB"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1448E99A"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4C367F3A"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1BBBC72"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7A393C39" w14:textId="77777777"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En términos de lo expuesto, la documentación y aquellos datos que se consideren confidenciales, serán una limitante del derecho de acceso a la información, siempre y cuando:</w:t>
      </w:r>
    </w:p>
    <w:p w14:paraId="00C85C9C"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21957091" w14:textId="77777777" w:rsidR="00895F9E" w:rsidRPr="003932DF" w:rsidRDefault="00895F9E" w:rsidP="00895F9E">
      <w:pPr>
        <w:numPr>
          <w:ilvl w:val="0"/>
          <w:numId w:val="33"/>
        </w:numPr>
        <w:spacing w:line="360" w:lineRule="auto"/>
        <w:contextualSpacing/>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 xml:space="preserve">Se trate de datos personales o información privada; esto es, información concerniente a una persona física o jurídico colectiva y que esta sea identificada o identificable. </w:t>
      </w:r>
    </w:p>
    <w:p w14:paraId="7D0C1E60" w14:textId="77777777" w:rsidR="00895F9E" w:rsidRPr="003932DF" w:rsidRDefault="00895F9E" w:rsidP="00895F9E">
      <w:pPr>
        <w:numPr>
          <w:ilvl w:val="0"/>
          <w:numId w:val="33"/>
        </w:numPr>
        <w:spacing w:line="360" w:lineRule="auto"/>
        <w:contextualSpacing/>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 xml:space="preserve">Para la difusión de los datos, se requiera el consentimiento del titular. </w:t>
      </w:r>
    </w:p>
    <w:p w14:paraId="54F63AF4" w14:textId="77777777" w:rsidR="00895F9E" w:rsidRPr="003932DF" w:rsidRDefault="00895F9E" w:rsidP="00895F9E">
      <w:pPr>
        <w:spacing w:line="360" w:lineRule="auto"/>
        <w:jc w:val="both"/>
        <w:rPr>
          <w:rFonts w:ascii="Palatino Linotype" w:hAnsi="Palatino Linotype" w:cs="Tahoma"/>
          <w:bCs/>
          <w:sz w:val="22"/>
          <w:szCs w:val="22"/>
          <w:lang w:eastAsia="en-US"/>
        </w:rPr>
      </w:pPr>
    </w:p>
    <w:p w14:paraId="0998E90D" w14:textId="7B1B5E30" w:rsidR="00895F9E" w:rsidRPr="003932DF" w:rsidRDefault="00895F9E" w:rsidP="00895F9E">
      <w:pPr>
        <w:spacing w:line="360" w:lineRule="auto"/>
        <w:jc w:val="both"/>
        <w:rPr>
          <w:rFonts w:ascii="Palatino Linotype" w:hAnsi="Palatino Linotype" w:cs="Tahoma"/>
          <w:bCs/>
          <w:sz w:val="22"/>
          <w:szCs w:val="22"/>
          <w:lang w:eastAsia="en-US"/>
        </w:rPr>
      </w:pPr>
      <w:r w:rsidRPr="003932DF">
        <w:rPr>
          <w:rFonts w:ascii="Palatino Linotype" w:hAnsi="Palatino Linotype" w:cs="Tahoma"/>
          <w:bCs/>
          <w:sz w:val="22"/>
          <w:szCs w:val="22"/>
          <w:lang w:eastAsia="en-US"/>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procede analizar si los datos que conforman el padrón son confidenciales o públicos.</w:t>
      </w:r>
    </w:p>
    <w:p w14:paraId="4A315AEF" w14:textId="77777777" w:rsidR="00895F9E" w:rsidRPr="003932DF" w:rsidRDefault="00895F9E" w:rsidP="00895F9E">
      <w:pPr>
        <w:spacing w:line="360" w:lineRule="auto"/>
        <w:jc w:val="both"/>
        <w:rPr>
          <w:rFonts w:ascii="Palatino Linotype" w:hAnsi="Palatino Linotype" w:cs="Tahoma"/>
          <w:bCs/>
          <w:iCs/>
          <w:sz w:val="22"/>
          <w:szCs w:val="22"/>
        </w:rPr>
      </w:pPr>
    </w:p>
    <w:p w14:paraId="627A5A0A" w14:textId="77777777" w:rsidR="00895F9E" w:rsidRPr="003932DF" w:rsidRDefault="00895F9E" w:rsidP="00895F9E">
      <w:pPr>
        <w:numPr>
          <w:ilvl w:val="0"/>
          <w:numId w:val="34"/>
        </w:numPr>
        <w:spacing w:line="360" w:lineRule="auto"/>
        <w:jc w:val="both"/>
        <w:rPr>
          <w:rFonts w:ascii="Palatino Linotype" w:hAnsi="Palatino Linotype" w:cs="Tahoma"/>
          <w:b/>
          <w:bCs/>
          <w:iCs/>
          <w:sz w:val="22"/>
          <w:szCs w:val="22"/>
        </w:rPr>
      </w:pPr>
      <w:r w:rsidRPr="003932DF">
        <w:rPr>
          <w:rFonts w:ascii="Palatino Linotype" w:hAnsi="Palatino Linotype" w:cs="Tahoma"/>
          <w:b/>
          <w:bCs/>
          <w:iCs/>
          <w:sz w:val="22"/>
          <w:szCs w:val="22"/>
        </w:rPr>
        <w:t xml:space="preserve">Nombre de una persona beneficiada por un programa social </w:t>
      </w:r>
    </w:p>
    <w:p w14:paraId="0ADD1BF6" w14:textId="77777777" w:rsidR="00895F9E" w:rsidRPr="003932DF" w:rsidRDefault="00895F9E" w:rsidP="00895F9E">
      <w:pPr>
        <w:spacing w:line="360" w:lineRule="auto"/>
        <w:jc w:val="both"/>
        <w:rPr>
          <w:rFonts w:ascii="Palatino Linotype" w:hAnsi="Palatino Linotype" w:cs="Tahoma"/>
          <w:bCs/>
          <w:iCs/>
          <w:sz w:val="22"/>
          <w:szCs w:val="22"/>
        </w:rPr>
      </w:pPr>
    </w:p>
    <w:p w14:paraId="5F86562D"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rPr>
        <w:t xml:space="preserve">Al respecto, cabe precisar que el nombre se integra </w:t>
      </w:r>
      <w:r w:rsidRPr="003932DF">
        <w:rPr>
          <w:rFonts w:ascii="Palatino Linotype" w:hAnsi="Palatino Linotype" w:cs="Tahoma"/>
          <w:bCs/>
          <w:iCs/>
          <w:sz w:val="22"/>
          <w:szCs w:val="22"/>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3932DF">
        <w:rPr>
          <w:rFonts w:ascii="Palatino Linotype" w:hAnsi="Palatino Linotype" w:cs="Tahoma"/>
          <w:bCs/>
          <w:i/>
          <w:iCs/>
          <w:sz w:val="22"/>
          <w:szCs w:val="22"/>
          <w:lang w:val="es-ES_tradnl"/>
        </w:rPr>
        <w:t>per se</w:t>
      </w:r>
      <w:r w:rsidRPr="003932DF">
        <w:rPr>
          <w:rFonts w:ascii="Palatino Linotype" w:hAnsi="Palatino Linotype" w:cs="Tahoma"/>
          <w:bCs/>
          <w:iCs/>
          <w:sz w:val="22"/>
          <w:szCs w:val="22"/>
          <w:lang w:val="es-ES_tradnl"/>
        </w:rPr>
        <w:t xml:space="preserve"> es un elemento que hace a una persona física identificada o identificable.</w:t>
      </w:r>
    </w:p>
    <w:p w14:paraId="3FA4E3D3" w14:textId="77777777" w:rsidR="00895F9E" w:rsidRPr="003932DF" w:rsidRDefault="00895F9E" w:rsidP="00895F9E">
      <w:pPr>
        <w:spacing w:line="360" w:lineRule="auto"/>
        <w:jc w:val="both"/>
        <w:rPr>
          <w:rFonts w:ascii="Palatino Linotype" w:hAnsi="Palatino Linotype" w:cs="Tahoma"/>
          <w:b/>
          <w:bCs/>
          <w:iCs/>
          <w:sz w:val="22"/>
          <w:szCs w:val="22"/>
          <w:lang w:val="es-ES"/>
        </w:rPr>
      </w:pPr>
    </w:p>
    <w:p w14:paraId="33C4E993"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lang w:val="es-ES_tradnl"/>
        </w:rPr>
        <w:lastRenderedPageBreak/>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3932DF">
        <w:rPr>
          <w:rFonts w:ascii="Palatino Linotype" w:hAnsi="Palatino Linotype" w:cs="Tahoma"/>
          <w:b/>
          <w:bCs/>
          <w:iCs/>
          <w:sz w:val="22"/>
          <w:szCs w:val="22"/>
          <w:lang w:val="es-ES_tradnl"/>
        </w:rPr>
        <w:t>los nombres</w:t>
      </w:r>
      <w:r w:rsidRPr="003932DF">
        <w:rPr>
          <w:rFonts w:ascii="Palatino Linotype" w:hAnsi="Palatino Linotype" w:cs="Tahoma"/>
          <w:bCs/>
          <w:iCs/>
          <w:sz w:val="22"/>
          <w:szCs w:val="22"/>
          <w:lang w:val="es-ES_tradnl"/>
        </w:rPr>
        <w:t xml:space="preserve"> </w:t>
      </w:r>
      <w:r w:rsidRPr="003932DF">
        <w:rPr>
          <w:rFonts w:ascii="Palatino Linotype" w:hAnsi="Palatino Linotype" w:cs="Tahoma"/>
          <w:b/>
          <w:bCs/>
          <w:iCs/>
          <w:sz w:val="22"/>
          <w:szCs w:val="22"/>
          <w:lang w:val="es-ES_tradnl"/>
        </w:rPr>
        <w:t>de aquellas personas que son beneficiadas por un programa social,</w:t>
      </w:r>
      <w:r w:rsidRPr="003932DF">
        <w:rPr>
          <w:rFonts w:ascii="Palatino Linotype" w:hAnsi="Palatino Linotype" w:cs="Tahoma"/>
          <w:bCs/>
          <w:iCs/>
          <w:sz w:val="22"/>
          <w:szCs w:val="22"/>
          <w:lang w:val="es-ES_tradnl"/>
        </w:rPr>
        <w:t xml:space="preserve"> ya que la difusión de dicho dato constituye una obligación de transparencia por parte de los sujetos obligados.</w:t>
      </w:r>
    </w:p>
    <w:p w14:paraId="244170AA" w14:textId="77777777" w:rsidR="00895F9E" w:rsidRPr="003932DF" w:rsidRDefault="00895F9E" w:rsidP="00895F9E">
      <w:pPr>
        <w:spacing w:line="360" w:lineRule="auto"/>
        <w:jc w:val="both"/>
        <w:rPr>
          <w:rFonts w:ascii="Palatino Linotype" w:hAnsi="Palatino Linotype" w:cs="Tahoma"/>
          <w:bCs/>
          <w:iCs/>
          <w:sz w:val="22"/>
          <w:szCs w:val="22"/>
        </w:rPr>
      </w:pPr>
    </w:p>
    <w:p w14:paraId="7D8BEF70" w14:textId="77777777" w:rsidR="00895F9E" w:rsidRPr="003932DF" w:rsidRDefault="00895F9E" w:rsidP="00895F9E">
      <w:pPr>
        <w:spacing w:line="360" w:lineRule="auto"/>
        <w:jc w:val="both"/>
        <w:rPr>
          <w:rFonts w:ascii="Palatino Linotype" w:hAnsi="Palatino Linotype" w:cs="Tahoma"/>
          <w:b/>
          <w:bCs/>
          <w:iCs/>
          <w:sz w:val="22"/>
          <w:szCs w:val="22"/>
          <w:lang w:val="es-ES_tradnl"/>
        </w:rPr>
      </w:pPr>
      <w:r w:rsidRPr="003932DF">
        <w:rPr>
          <w:rFonts w:ascii="Palatino Linotype" w:hAnsi="Palatino Linotype" w:cs="Tahoma"/>
          <w:bCs/>
          <w:iCs/>
          <w:sz w:val="22"/>
          <w:szCs w:val="22"/>
          <w:lang w:val="es-ES_tradnl"/>
        </w:rPr>
        <w:t>Toma sustento con el artículo 92, fracción XIV, inciso p), de la Ley de la materia, previamente referidos, el cual establece que los sujetos obligados tienen la obligación de poner a disposición del público y mantener actualizada de acuerdo con sus facultades, atribuciones y funciones, el padrón de beneficiarios de programas de subsidios, estímulos y apoyos, el cual deberá contener entre otros datos el nombre de la persona beneficiada</w:t>
      </w:r>
      <w:r w:rsidRPr="003932DF">
        <w:rPr>
          <w:rFonts w:ascii="Palatino Linotype" w:hAnsi="Palatino Linotype" w:cs="Tahoma"/>
          <w:b/>
          <w:bCs/>
          <w:iCs/>
          <w:sz w:val="22"/>
          <w:szCs w:val="22"/>
          <w:lang w:val="es-ES_tradnl"/>
        </w:rPr>
        <w:t>.</w:t>
      </w:r>
    </w:p>
    <w:p w14:paraId="7C6D990A" w14:textId="77777777" w:rsidR="00895F9E" w:rsidRPr="003932DF" w:rsidRDefault="00895F9E" w:rsidP="00895F9E">
      <w:pPr>
        <w:spacing w:line="360" w:lineRule="auto"/>
        <w:jc w:val="both"/>
        <w:rPr>
          <w:rFonts w:ascii="Palatino Linotype" w:hAnsi="Palatino Linotype" w:cs="Tahoma"/>
          <w:b/>
          <w:bCs/>
          <w:iCs/>
          <w:sz w:val="22"/>
          <w:szCs w:val="22"/>
          <w:lang w:val="es-ES_tradnl"/>
        </w:rPr>
      </w:pPr>
    </w:p>
    <w:p w14:paraId="1395107E"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rPr>
        <w:t xml:space="preserve">Asimismo, los </w:t>
      </w:r>
      <w:r w:rsidRPr="003932DF">
        <w:rPr>
          <w:rFonts w:ascii="Palatino Linotype" w:hAnsi="Palatino Linotype" w:cs="Tahoma"/>
          <w:bCs/>
          <w:iCs/>
          <w:sz w:val="22"/>
          <w:szCs w:val="22"/>
          <w:lang w:val="es-ES_tradnl"/>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 que el nombre referido, tiene la característica de público, como se observa a continuación: </w:t>
      </w:r>
    </w:p>
    <w:p w14:paraId="58A66EFD" w14:textId="77777777" w:rsidR="00895F9E" w:rsidRPr="003932DF" w:rsidRDefault="00895F9E" w:rsidP="00895F9E">
      <w:pPr>
        <w:spacing w:line="360" w:lineRule="auto"/>
        <w:jc w:val="both"/>
        <w:rPr>
          <w:rFonts w:ascii="Palatino Linotype" w:hAnsi="Palatino Linotype" w:cs="Tahoma"/>
          <w:bCs/>
          <w:iCs/>
          <w:sz w:val="22"/>
          <w:szCs w:val="22"/>
          <w:lang w:val="es-ES_tradnl"/>
        </w:rPr>
      </w:pPr>
    </w:p>
    <w:p w14:paraId="03FCC91D" w14:textId="708B93D9"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noProof/>
          <w:sz w:val="24"/>
          <w:szCs w:val="24"/>
          <w:lang w:eastAsia="es-MX"/>
        </w:rPr>
        <mc:AlternateContent>
          <mc:Choice Requires="wps">
            <w:drawing>
              <wp:anchor distT="0" distB="0" distL="114300" distR="114300" simplePos="0" relativeHeight="251659264" behindDoc="0" locked="0" layoutInCell="1" allowOverlap="1" wp14:anchorId="5FAFD6DF" wp14:editId="3F7E6F96">
                <wp:simplePos x="0" y="0"/>
                <wp:positionH relativeFrom="column">
                  <wp:posOffset>3300730</wp:posOffset>
                </wp:positionH>
                <wp:positionV relativeFrom="paragraph">
                  <wp:posOffset>404495</wp:posOffset>
                </wp:positionV>
                <wp:extent cx="1625600" cy="676275"/>
                <wp:effectExtent l="19050" t="19050" r="12700" b="28575"/>
                <wp:wrapNone/>
                <wp:docPr id="54043071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676275"/>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F8EDAB3" id="Rectángulo 4" o:spid="_x0000_s1026" style="position:absolute;margin-left:259.9pt;margin-top:31.85pt;width:12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" filled="f" strokecolor="windowText" strokeweight="2.25pt">
                <v:path arrowok="t"/>
              </v:rect>
            </w:pict>
          </mc:Fallback>
        </mc:AlternateContent>
      </w:r>
      <w:r w:rsidRPr="003932DF">
        <w:rPr>
          <w:rFonts w:ascii="Palatino Linotype" w:hAnsi="Palatino Linotype" w:cs="Tahoma"/>
          <w:noProof/>
          <w:sz w:val="22"/>
          <w:szCs w:val="22"/>
          <w:lang w:eastAsia="es-MX"/>
        </w:rPr>
        <w:drawing>
          <wp:inline distT="0" distB="0" distL="0" distR="0" wp14:anchorId="77D317AD" wp14:editId="3141E1AB">
            <wp:extent cx="5610225" cy="1114425"/>
            <wp:effectExtent l="0" t="0" r="9525" b="9525"/>
            <wp:docPr id="199962520" name="Imagen 3"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Tabla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114425"/>
                    </a:xfrm>
                    <a:prstGeom prst="rect">
                      <a:avLst/>
                    </a:prstGeom>
                    <a:noFill/>
                    <a:ln>
                      <a:noFill/>
                    </a:ln>
                  </pic:spPr>
                </pic:pic>
              </a:graphicData>
            </a:graphic>
          </wp:inline>
        </w:drawing>
      </w:r>
    </w:p>
    <w:p w14:paraId="13BC11EA" w14:textId="77777777" w:rsidR="00895F9E" w:rsidRPr="003932DF" w:rsidRDefault="00895F9E" w:rsidP="00895F9E">
      <w:pPr>
        <w:spacing w:line="360" w:lineRule="auto"/>
        <w:jc w:val="both"/>
        <w:rPr>
          <w:rFonts w:ascii="Palatino Linotype" w:hAnsi="Palatino Linotype" w:cs="Tahoma"/>
          <w:bCs/>
          <w:iCs/>
          <w:sz w:val="22"/>
          <w:szCs w:val="22"/>
        </w:rPr>
      </w:pPr>
    </w:p>
    <w:p w14:paraId="3107F036" w14:textId="77777777" w:rsidR="00895F9E" w:rsidRPr="003932DF" w:rsidRDefault="00895F9E" w:rsidP="00895F9E">
      <w:pPr>
        <w:spacing w:line="360" w:lineRule="auto"/>
        <w:jc w:val="both"/>
        <w:rPr>
          <w:rFonts w:ascii="Palatino Linotype" w:hAnsi="Palatino Linotype" w:cs="Tahoma"/>
          <w:b/>
          <w:bCs/>
          <w:iCs/>
          <w:sz w:val="22"/>
          <w:szCs w:val="22"/>
          <w:lang w:val="es-ES_tradnl"/>
        </w:rPr>
      </w:pPr>
      <w:r w:rsidRPr="003932DF">
        <w:rPr>
          <w:rFonts w:ascii="Palatino Linotype" w:hAnsi="Palatino Linotype" w:cs="Tahoma"/>
          <w:bCs/>
          <w:iCs/>
          <w:sz w:val="22"/>
          <w:szCs w:val="22"/>
        </w:rPr>
        <w:lastRenderedPageBreak/>
        <w:t xml:space="preserve">Conforme a lo anterior, la Ley </w:t>
      </w:r>
      <w:r w:rsidRPr="003932DF">
        <w:rPr>
          <w:rFonts w:ascii="Palatino Linotype" w:hAnsi="Palatino Linotype" w:cs="Tahoma"/>
          <w:bCs/>
          <w:iCs/>
          <w:sz w:val="22"/>
          <w:szCs w:val="22"/>
          <w:lang w:val="es-ES_tradnl"/>
        </w:rPr>
        <w:t xml:space="preserve">de Transparencia y Acceso a la Información Pública del Estado de México y Municipios, considera que el nombre de los beneficiarios, </w:t>
      </w:r>
      <w:r w:rsidRPr="003932DF">
        <w:rPr>
          <w:rFonts w:ascii="Palatino Linotype" w:hAnsi="Palatino Linotype" w:cs="Tahoma"/>
          <w:b/>
          <w:bCs/>
          <w:iCs/>
          <w:sz w:val="22"/>
          <w:szCs w:val="22"/>
          <w:lang w:val="es-ES_tradnl"/>
        </w:rPr>
        <w:t xml:space="preserve">por regla general, </w:t>
      </w:r>
      <w:r w:rsidRPr="003932DF">
        <w:rPr>
          <w:rFonts w:ascii="Palatino Linotype" w:hAnsi="Palatino Linotype" w:cs="Tahoma"/>
          <w:bCs/>
          <w:iCs/>
          <w:sz w:val="22"/>
          <w:szCs w:val="22"/>
          <w:lang w:val="es-ES_tradnl"/>
        </w:rPr>
        <w:t xml:space="preserve">son de naturaleza pública, ya que su publicidad orienta a cumplir los objetivos que persigue el ordenamiento normativo; toda vez, </w:t>
      </w:r>
      <w:r w:rsidRPr="003932DF">
        <w:rPr>
          <w:rFonts w:ascii="Palatino Linotype" w:hAnsi="Palatino Linotype" w:cs="Tahoma"/>
          <w:b/>
          <w:bCs/>
          <w:iCs/>
          <w:sz w:val="22"/>
          <w:szCs w:val="22"/>
          <w:lang w:val="es-ES_tradnl"/>
        </w:rPr>
        <w:t>que ayuda a transparentar a quienes se les han otorgado recursos públicos, en dinero o en especie, así como, porque razones se les otorgaron.</w:t>
      </w:r>
    </w:p>
    <w:p w14:paraId="189715EC" w14:textId="77777777" w:rsidR="00895F9E" w:rsidRPr="003932DF" w:rsidRDefault="00895F9E" w:rsidP="00895F9E">
      <w:pPr>
        <w:spacing w:line="360" w:lineRule="auto"/>
        <w:jc w:val="both"/>
        <w:rPr>
          <w:rFonts w:ascii="Palatino Linotype" w:hAnsi="Palatino Linotype" w:cs="Tahoma"/>
          <w:b/>
          <w:bCs/>
          <w:iCs/>
          <w:sz w:val="22"/>
          <w:szCs w:val="22"/>
          <w:lang w:val="es-ES_tradnl"/>
        </w:rPr>
      </w:pPr>
    </w:p>
    <w:p w14:paraId="7730AB17"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lang w:val="es-ES_tradnl"/>
        </w:rPr>
        <w:t>Situación que se robustece, con el artículo 23, penúltimo párrafo, de la Ley referida, que establece que los sujetos obligados, deberán hacer pública toda aquella información relativa a los montos y las personas a quienes se le entreguen, por cualquier motivo, recursos públicos.</w:t>
      </w:r>
    </w:p>
    <w:p w14:paraId="21207F94" w14:textId="77777777" w:rsidR="00895F9E" w:rsidRPr="003932DF" w:rsidRDefault="00895F9E" w:rsidP="00895F9E">
      <w:pPr>
        <w:spacing w:line="360" w:lineRule="auto"/>
        <w:jc w:val="both"/>
        <w:rPr>
          <w:rFonts w:ascii="Palatino Linotype" w:hAnsi="Palatino Linotype" w:cs="Tahoma"/>
          <w:bCs/>
          <w:iCs/>
          <w:sz w:val="22"/>
          <w:szCs w:val="22"/>
          <w:lang w:val="es-ES_tradnl"/>
        </w:rPr>
      </w:pPr>
    </w:p>
    <w:p w14:paraId="76CB0BBB"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lang w:val="es-ES_tradnl"/>
        </w:rPr>
        <w:t>Por tales circunstancias, en primera instancia, se considera que el nombre de los beneficiarios, guarda la naturaleza pública, pues ayuda a rendir cuentas, sobre aquellas personas que recibieron algún recurso público, en dinero o especie, al formar parte de un programa social, del cual, se necesitan cumplir requisitos específicos para formar parte del mismo.</w:t>
      </w:r>
    </w:p>
    <w:p w14:paraId="668E0343" w14:textId="77777777" w:rsidR="00895F9E" w:rsidRPr="003932DF" w:rsidRDefault="00895F9E" w:rsidP="00895F9E">
      <w:pPr>
        <w:spacing w:line="360" w:lineRule="auto"/>
        <w:jc w:val="both"/>
        <w:rPr>
          <w:rFonts w:ascii="Palatino Linotype" w:hAnsi="Palatino Linotype" w:cs="Tahoma"/>
          <w:bCs/>
          <w:iCs/>
          <w:sz w:val="22"/>
          <w:szCs w:val="22"/>
          <w:lang w:val="es-ES_tradnl"/>
        </w:rPr>
      </w:pPr>
    </w:p>
    <w:p w14:paraId="712004C4" w14:textId="77777777" w:rsidR="00895F9E" w:rsidRPr="003932DF" w:rsidRDefault="00895F9E" w:rsidP="00895F9E">
      <w:pPr>
        <w:spacing w:line="360" w:lineRule="auto"/>
        <w:jc w:val="both"/>
        <w:rPr>
          <w:rFonts w:ascii="Palatino Linotype" w:hAnsi="Palatino Linotype" w:cs="Tahoma"/>
          <w:bCs/>
          <w:iCs/>
          <w:sz w:val="22"/>
          <w:szCs w:val="22"/>
          <w:lang w:val="es-ES_tradnl"/>
        </w:rPr>
      </w:pPr>
      <w:r w:rsidRPr="003932DF">
        <w:rPr>
          <w:rFonts w:ascii="Palatino Linotype" w:hAnsi="Palatino Linotype" w:cs="Tahoma"/>
          <w:bCs/>
          <w:iCs/>
          <w:sz w:val="22"/>
          <w:szCs w:val="22"/>
          <w:lang w:val="es-ES_tradnl"/>
        </w:rPr>
        <w:t xml:space="preserve">Sin embargo, este Instituto ha establecido las excepciones a la publicación del nombre de los beneficiarios, de padrones de beneficiarios, a través del Criterio reiterado 04/19, publicado en el Periódico Oficial del Gobierno del Estado Libre y Soberano de México </w:t>
      </w:r>
      <w:r w:rsidRPr="003932DF">
        <w:rPr>
          <w:rFonts w:ascii="Palatino Linotype" w:hAnsi="Palatino Linotype" w:cs="Tahoma"/>
          <w:bCs/>
          <w:i/>
          <w:iCs/>
          <w:sz w:val="22"/>
          <w:szCs w:val="22"/>
          <w:lang w:val="es-ES_tradnl"/>
        </w:rPr>
        <w:t>“Gaceta de Gobierno”</w:t>
      </w:r>
      <w:r w:rsidRPr="003932DF">
        <w:rPr>
          <w:rFonts w:ascii="Palatino Linotype" w:hAnsi="Palatino Linotype" w:cs="Tahoma"/>
          <w:bCs/>
          <w:iCs/>
          <w:sz w:val="22"/>
          <w:szCs w:val="22"/>
          <w:lang w:val="es-ES_tradnl"/>
        </w:rPr>
        <w:t>, el dieciocho de diciembre de dos mil diecinueve, que establece lo siguiente:</w:t>
      </w:r>
    </w:p>
    <w:p w14:paraId="7463D4D4" w14:textId="77777777" w:rsidR="00895F9E" w:rsidRPr="003932DF" w:rsidRDefault="00895F9E" w:rsidP="00895F9E">
      <w:pPr>
        <w:spacing w:line="360" w:lineRule="auto"/>
        <w:jc w:val="both"/>
        <w:rPr>
          <w:rFonts w:ascii="Palatino Linotype" w:hAnsi="Palatino Linotype" w:cs="Tahoma"/>
          <w:bCs/>
          <w:iCs/>
          <w:sz w:val="22"/>
          <w:szCs w:val="22"/>
          <w:lang w:val="es-ES_tradnl"/>
        </w:rPr>
      </w:pPr>
    </w:p>
    <w:p w14:paraId="34E8AC26" w14:textId="77777777" w:rsidR="00895F9E" w:rsidRPr="003932DF" w:rsidRDefault="00895F9E" w:rsidP="00895F9E">
      <w:pPr>
        <w:spacing w:line="360" w:lineRule="auto"/>
        <w:ind w:left="567" w:right="567"/>
        <w:jc w:val="both"/>
        <w:rPr>
          <w:rFonts w:ascii="Palatino Linotype" w:hAnsi="Palatino Linotype" w:cs="Tahoma"/>
          <w:bCs/>
          <w:i/>
          <w:iCs/>
          <w:lang w:val="es-ES_tradnl"/>
        </w:rPr>
      </w:pPr>
      <w:r w:rsidRPr="003932DF">
        <w:rPr>
          <w:rFonts w:ascii="Palatino Linotype" w:hAnsi="Palatino Linotype" w:cs="Tahoma"/>
          <w:b/>
          <w:bCs/>
          <w:i/>
          <w:iCs/>
        </w:rPr>
        <w:t>“PADRÓN DE BENEFICIARIOS EN POSESIÓN DE SUJETOS OBLIGADOS. EXCEPCIONES PARA LA PUBLICACIÓN DE DATOS PERSONALES CONTENIDOS EN AQUÉL.</w:t>
      </w:r>
      <w:r w:rsidRPr="003932DF">
        <w:rPr>
          <w:rFonts w:ascii="Palatino Linotype" w:hAnsi="Palatino Linotype" w:cs="Tahoma"/>
          <w:bCs/>
          <w:i/>
          <w:iCs/>
        </w:rPr>
        <w:t xml:space="preserve"> 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w:t>
      </w:r>
      <w:r w:rsidRPr="003932DF">
        <w:rPr>
          <w:rFonts w:ascii="Palatino Linotype" w:hAnsi="Palatino Linotype" w:cs="Tahoma"/>
          <w:bCs/>
          <w:i/>
          <w:iCs/>
        </w:rPr>
        <w:lastRenderedPageBreak/>
        <w:t xml:space="preserve">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3932DF">
        <w:rPr>
          <w:rFonts w:ascii="Palatino Linotype" w:hAnsi="Palatino Linotype" w:cs="Tahoma"/>
          <w:b/>
          <w:bCs/>
          <w:i/>
          <w:iCs/>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3932DF">
        <w:rPr>
          <w:rFonts w:ascii="Palatino Linotype" w:hAnsi="Palatino Linotype" w:cs="Tahoma"/>
          <w:bCs/>
          <w:i/>
          <w:iCs/>
          <w:u w:val="single"/>
        </w:rPr>
        <w:t>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w:t>
      </w:r>
      <w:r w:rsidRPr="003932DF">
        <w:rPr>
          <w:rFonts w:ascii="Palatino Linotype" w:hAnsi="Palatino Linotype" w:cs="Tahoma"/>
          <w:bCs/>
          <w:i/>
          <w:iCs/>
        </w:rPr>
        <w:t xml:space="preserve">,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w:t>
      </w:r>
      <w:r w:rsidRPr="003932DF">
        <w:rPr>
          <w:rFonts w:ascii="Palatino Linotype" w:hAnsi="Palatino Linotype" w:cs="Tahoma"/>
          <w:bCs/>
          <w:i/>
          <w:iCs/>
        </w:rPr>
        <w:lastRenderedPageBreak/>
        <w:t>de México y Municipios así como 4, fracciones XI y XII; 6; 7; 8 y 10, de la Ley de Protección de Datos Personales en Posesión de Sujetos Obligados del Estado de México y Municipios.”</w:t>
      </w:r>
    </w:p>
    <w:p w14:paraId="5D20ED44" w14:textId="77777777" w:rsidR="00895F9E" w:rsidRPr="003932DF" w:rsidRDefault="00895F9E" w:rsidP="00895F9E">
      <w:pPr>
        <w:spacing w:line="360" w:lineRule="auto"/>
        <w:jc w:val="both"/>
        <w:rPr>
          <w:rFonts w:ascii="Palatino Linotype" w:hAnsi="Palatino Linotype" w:cs="Tahoma"/>
          <w:bCs/>
          <w:iCs/>
          <w:sz w:val="22"/>
          <w:szCs w:val="22"/>
        </w:rPr>
      </w:pPr>
    </w:p>
    <w:p w14:paraId="533B4423"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 xml:space="preserve">Del citado criterio, </w:t>
      </w:r>
      <w:r w:rsidRPr="003932DF">
        <w:rPr>
          <w:rFonts w:ascii="Palatino Linotype" w:hAnsi="Palatino Linotype" w:cs="Tahoma"/>
          <w:b/>
          <w:bCs/>
          <w:iCs/>
          <w:sz w:val="22"/>
          <w:szCs w:val="22"/>
        </w:rPr>
        <w:t>se advierte que el nombre de las personas menores de edad y las de capacidades diferentes, son datos confidenciales</w:t>
      </w:r>
      <w:r w:rsidRPr="003932DF">
        <w:rPr>
          <w:rFonts w:ascii="Palatino Linotype" w:hAnsi="Palatino Linotype" w:cs="Tahoma"/>
          <w:bCs/>
          <w:iCs/>
          <w:sz w:val="22"/>
          <w:szCs w:val="22"/>
        </w:rPr>
        <w:t>, pues su publicación revelaría las condiciones sociales, culturales y plena identidad; además, que corresponden a grupos vulnerables y sociales, en condiciones de desventaja, por lo cual, es necesario su protección.</w:t>
      </w:r>
    </w:p>
    <w:p w14:paraId="23B1C4EA" w14:textId="77777777" w:rsidR="00895F9E" w:rsidRPr="003932DF" w:rsidRDefault="00895F9E" w:rsidP="00895F9E">
      <w:pPr>
        <w:spacing w:line="360" w:lineRule="auto"/>
        <w:jc w:val="both"/>
        <w:rPr>
          <w:rFonts w:ascii="Palatino Linotype" w:hAnsi="Palatino Linotype" w:cs="Tahoma"/>
          <w:bCs/>
          <w:iCs/>
          <w:sz w:val="22"/>
          <w:szCs w:val="22"/>
        </w:rPr>
      </w:pPr>
    </w:p>
    <w:p w14:paraId="75DC0272"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 xml:space="preserve">Por tal circunstancia, se considera que el Sujeto Obligado </w:t>
      </w:r>
      <w:r w:rsidRPr="003932DF">
        <w:rPr>
          <w:rFonts w:ascii="Palatino Linotype" w:hAnsi="Palatino Linotype" w:cs="Tahoma"/>
          <w:b/>
          <w:bCs/>
          <w:iCs/>
          <w:sz w:val="22"/>
          <w:szCs w:val="22"/>
        </w:rPr>
        <w:t>únicamente podrá clasificar el nombre de aquellos beneficiarios, que sean menores de edad o de capacidades diferentes</w:t>
      </w:r>
      <w:r w:rsidRPr="003932DF">
        <w:rPr>
          <w:rFonts w:ascii="Palatino Linotype" w:hAnsi="Palatino Linotype" w:cs="Tahoma"/>
          <w:bCs/>
          <w:iCs/>
          <w:sz w:val="22"/>
          <w:szCs w:val="22"/>
        </w:rPr>
        <w:t>, en términos del artículo 143, fracción I de la Ley de Transparencia y Acceso a la Información Pública del Estado de México y Municipios, pues la publicación de la información, podría generarles discriminación.</w:t>
      </w:r>
    </w:p>
    <w:p w14:paraId="1456CD85" w14:textId="77777777" w:rsidR="00895F9E" w:rsidRPr="003932DF" w:rsidRDefault="00895F9E" w:rsidP="00895F9E">
      <w:pPr>
        <w:spacing w:line="360" w:lineRule="auto"/>
        <w:jc w:val="both"/>
        <w:rPr>
          <w:rFonts w:ascii="Palatino Linotype" w:hAnsi="Palatino Linotype" w:cs="Tahoma"/>
          <w:bCs/>
          <w:iCs/>
          <w:sz w:val="22"/>
          <w:szCs w:val="22"/>
        </w:rPr>
      </w:pPr>
    </w:p>
    <w:p w14:paraId="611735C4" w14:textId="77777777" w:rsidR="00895F9E" w:rsidRPr="003932DF" w:rsidRDefault="00895F9E" w:rsidP="00895F9E">
      <w:pPr>
        <w:numPr>
          <w:ilvl w:val="0"/>
          <w:numId w:val="34"/>
        </w:numPr>
        <w:spacing w:line="360" w:lineRule="auto"/>
        <w:jc w:val="both"/>
        <w:rPr>
          <w:rFonts w:ascii="Palatino Linotype" w:hAnsi="Palatino Linotype" w:cs="Tahoma"/>
          <w:b/>
          <w:bCs/>
          <w:iCs/>
          <w:sz w:val="22"/>
          <w:szCs w:val="22"/>
          <w:lang w:val="es-ES_tradnl"/>
        </w:rPr>
      </w:pPr>
      <w:r w:rsidRPr="003932DF">
        <w:rPr>
          <w:rFonts w:ascii="Palatino Linotype" w:hAnsi="Palatino Linotype" w:cs="Tahoma"/>
          <w:b/>
          <w:bCs/>
          <w:iCs/>
          <w:sz w:val="22"/>
          <w:szCs w:val="22"/>
        </w:rPr>
        <w:t>C</w:t>
      </w:r>
      <w:r w:rsidRPr="003932DF">
        <w:rPr>
          <w:rFonts w:ascii="Palatino Linotype" w:hAnsi="Palatino Linotype" w:cs="Tahoma"/>
          <w:b/>
          <w:bCs/>
          <w:iCs/>
          <w:sz w:val="22"/>
          <w:szCs w:val="22"/>
          <w:lang w:val="es-ES_tradnl"/>
        </w:rPr>
        <w:t>lave Única de Registro de Población (CURP)</w:t>
      </w:r>
    </w:p>
    <w:p w14:paraId="527680DC" w14:textId="77777777" w:rsidR="00895F9E" w:rsidRPr="003932DF" w:rsidRDefault="00895F9E" w:rsidP="00895F9E">
      <w:pPr>
        <w:spacing w:line="360" w:lineRule="auto"/>
        <w:jc w:val="both"/>
        <w:rPr>
          <w:rFonts w:ascii="Palatino Linotype" w:hAnsi="Palatino Linotype" w:cs="Tahoma"/>
          <w:b/>
          <w:bCs/>
          <w:iCs/>
          <w:sz w:val="22"/>
          <w:szCs w:val="22"/>
          <w:lang w:val="es-ES_tradnl"/>
        </w:rPr>
      </w:pPr>
    </w:p>
    <w:p w14:paraId="273A5DE7"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5312291" w14:textId="77777777" w:rsidR="00895F9E" w:rsidRPr="003932DF" w:rsidRDefault="00895F9E" w:rsidP="00895F9E">
      <w:pPr>
        <w:spacing w:line="360" w:lineRule="auto"/>
        <w:jc w:val="both"/>
        <w:rPr>
          <w:rFonts w:ascii="Palatino Linotype" w:hAnsi="Palatino Linotype" w:cs="Tahoma"/>
          <w:bCs/>
          <w:iCs/>
          <w:sz w:val="22"/>
          <w:szCs w:val="22"/>
        </w:rPr>
      </w:pPr>
    </w:p>
    <w:p w14:paraId="4907B844"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834ED42" w14:textId="77777777" w:rsidR="00895F9E" w:rsidRPr="003932DF" w:rsidRDefault="00895F9E" w:rsidP="00895F9E">
      <w:pPr>
        <w:spacing w:line="360" w:lineRule="auto"/>
        <w:jc w:val="both"/>
        <w:rPr>
          <w:rFonts w:ascii="Palatino Linotype" w:hAnsi="Palatino Linotype" w:cs="Tahoma"/>
          <w:bCs/>
          <w:iCs/>
          <w:sz w:val="22"/>
          <w:szCs w:val="22"/>
        </w:rPr>
      </w:pPr>
    </w:p>
    <w:p w14:paraId="317ECDAD"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 xml:space="preserve">En ese orden de ideas, la Secretaría de Gobernación en las direcciones </w:t>
      </w:r>
      <w:hyperlink r:id="rId13" w:history="1">
        <w:r w:rsidRPr="003932DF">
          <w:rPr>
            <w:rFonts w:ascii="Palatino Linotype" w:hAnsi="Palatino Linotype" w:cs="Tahoma"/>
            <w:bCs/>
            <w:iCs/>
            <w:color w:val="0563C1" w:themeColor="hyperlink"/>
            <w:sz w:val="22"/>
            <w:szCs w:val="22"/>
            <w:u w:val="single"/>
          </w:rPr>
          <w:t>https://consultas.curp.gob.mx/CurpSP/html/informacionecurpPS.html</w:t>
        </w:r>
      </w:hyperlink>
      <w:r w:rsidRPr="003932DF">
        <w:rPr>
          <w:rFonts w:ascii="Palatino Linotype" w:hAnsi="Palatino Linotype" w:cs="Tahoma"/>
          <w:bCs/>
          <w:iCs/>
          <w:sz w:val="22"/>
          <w:szCs w:val="22"/>
        </w:rPr>
        <w:t xml:space="preserve"> y </w:t>
      </w:r>
      <w:hyperlink r:id="rId14" w:history="1">
        <w:r w:rsidRPr="003932DF">
          <w:rPr>
            <w:rFonts w:ascii="Palatino Linotype" w:hAnsi="Palatino Linotype" w:cs="Tahoma"/>
            <w:bCs/>
            <w:iCs/>
            <w:color w:val="0563C1" w:themeColor="hyperlink"/>
            <w:sz w:val="22"/>
            <w:szCs w:val="22"/>
            <w:u w:val="single"/>
          </w:rPr>
          <w:t>https://www.gob.mx/segob/renapo/acciones-y-programas/clave-unica-de-registro-de-poblacion-curp-142226</w:t>
        </w:r>
      </w:hyperlink>
      <w:r w:rsidRPr="003932DF">
        <w:rPr>
          <w:rFonts w:ascii="Palatino Linotype" w:hAnsi="Palatino Linotype" w:cs="Tahoma"/>
          <w:bCs/>
          <w:iCs/>
          <w:sz w:val="22"/>
          <w:szCs w:val="22"/>
        </w:rPr>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3932DF">
        <w:rPr>
          <w:rFonts w:ascii="Palatino Linotype" w:hAnsi="Palatino Linotype" w:cs="Tahoma"/>
          <w:b/>
          <w:bCs/>
          <w:iCs/>
          <w:sz w:val="22"/>
          <w:szCs w:val="22"/>
        </w:rPr>
        <w:t>se generan a partir de los datos contenidos en el documento probatorio de la identidad</w:t>
      </w:r>
      <w:r w:rsidRPr="003932DF">
        <w:rPr>
          <w:rFonts w:ascii="Palatino Linotype" w:hAnsi="Palatino Linotype" w:cs="Tahoma"/>
          <w:bCs/>
          <w:iCs/>
          <w:sz w:val="22"/>
          <w:szCs w:val="22"/>
        </w:rPr>
        <w:t xml:space="preserve"> </w:t>
      </w:r>
      <w:r w:rsidRPr="003932DF">
        <w:rPr>
          <w:rFonts w:ascii="Palatino Linotype" w:hAnsi="Palatino Linotype" w:cs="Tahoma"/>
          <w:b/>
          <w:bCs/>
          <w:iCs/>
          <w:sz w:val="22"/>
          <w:szCs w:val="22"/>
        </w:rPr>
        <w:t xml:space="preserve">del interesado </w:t>
      </w:r>
      <w:r w:rsidRPr="003932DF">
        <w:rPr>
          <w:rFonts w:ascii="Palatino Linotype" w:hAnsi="Palatino Linotype" w:cs="Tahoma"/>
          <w:bCs/>
          <w:iCs/>
          <w:sz w:val="22"/>
          <w:szCs w:val="22"/>
        </w:rPr>
        <w:t>(acta de nacimiento, carta de naturalización o documento migratorio) de la siguiente forma:</w:t>
      </w:r>
    </w:p>
    <w:p w14:paraId="68A53160" w14:textId="77777777" w:rsidR="00895F9E" w:rsidRPr="003932DF" w:rsidRDefault="00895F9E" w:rsidP="00895F9E">
      <w:pPr>
        <w:spacing w:line="360" w:lineRule="auto"/>
        <w:jc w:val="both"/>
        <w:rPr>
          <w:rFonts w:ascii="Palatino Linotype" w:hAnsi="Palatino Linotype" w:cs="Tahoma"/>
          <w:bCs/>
          <w:iCs/>
          <w:sz w:val="22"/>
          <w:szCs w:val="22"/>
        </w:rPr>
      </w:pPr>
    </w:p>
    <w:p w14:paraId="24640D50" w14:textId="77777777" w:rsidR="00895F9E" w:rsidRPr="003932DF" w:rsidRDefault="00895F9E" w:rsidP="00895F9E">
      <w:pPr>
        <w:numPr>
          <w:ilvl w:val="0"/>
          <w:numId w:val="26"/>
        </w:num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primero y segundo apellidos, así como al nombre de pila;</w:t>
      </w:r>
    </w:p>
    <w:p w14:paraId="2D5F7CF2" w14:textId="77777777" w:rsidR="00895F9E" w:rsidRPr="003932DF" w:rsidRDefault="00895F9E" w:rsidP="00895F9E">
      <w:pPr>
        <w:numPr>
          <w:ilvl w:val="0"/>
          <w:numId w:val="26"/>
        </w:num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La fecha de nacimiento;</w:t>
      </w:r>
    </w:p>
    <w:p w14:paraId="4349234F" w14:textId="77777777" w:rsidR="00895F9E" w:rsidRPr="003932DF" w:rsidRDefault="00895F9E" w:rsidP="00895F9E">
      <w:pPr>
        <w:numPr>
          <w:ilvl w:val="0"/>
          <w:numId w:val="26"/>
        </w:num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El sexo, y</w:t>
      </w:r>
    </w:p>
    <w:p w14:paraId="67DC6DE8" w14:textId="77777777" w:rsidR="00895F9E" w:rsidRPr="003932DF" w:rsidRDefault="00895F9E" w:rsidP="00895F9E">
      <w:pPr>
        <w:numPr>
          <w:ilvl w:val="0"/>
          <w:numId w:val="26"/>
        </w:num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La entidad federativa de nacimiento.</w:t>
      </w:r>
    </w:p>
    <w:p w14:paraId="0E713FD1" w14:textId="77777777" w:rsidR="00895F9E" w:rsidRPr="003932DF" w:rsidRDefault="00895F9E" w:rsidP="00895F9E">
      <w:pPr>
        <w:spacing w:line="360" w:lineRule="auto"/>
        <w:jc w:val="both"/>
        <w:rPr>
          <w:rFonts w:ascii="Palatino Linotype" w:hAnsi="Palatino Linotype" w:cs="Tahoma"/>
          <w:bCs/>
          <w:iCs/>
          <w:sz w:val="22"/>
          <w:szCs w:val="22"/>
        </w:rPr>
      </w:pPr>
    </w:p>
    <w:p w14:paraId="29A9E2EF"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Los dos últimos elementos de la Clave Única de Registro de Población evitan la duplicidad de la Clave y garantizan su correcta integración.</w:t>
      </w:r>
    </w:p>
    <w:p w14:paraId="7573B287" w14:textId="77777777" w:rsidR="00895F9E" w:rsidRPr="003932DF" w:rsidRDefault="00895F9E" w:rsidP="00895F9E">
      <w:pPr>
        <w:spacing w:line="360" w:lineRule="auto"/>
        <w:jc w:val="both"/>
        <w:rPr>
          <w:rFonts w:ascii="Palatino Linotype" w:hAnsi="Palatino Linotype" w:cs="Tahoma"/>
          <w:bCs/>
          <w:iCs/>
          <w:sz w:val="22"/>
          <w:szCs w:val="22"/>
        </w:rPr>
      </w:pPr>
    </w:p>
    <w:p w14:paraId="7294DEB9"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4315ECF" w14:textId="77777777" w:rsidR="00895F9E" w:rsidRPr="003932DF" w:rsidRDefault="00895F9E" w:rsidP="00895F9E">
      <w:pPr>
        <w:spacing w:line="360" w:lineRule="auto"/>
        <w:jc w:val="both"/>
        <w:rPr>
          <w:rFonts w:ascii="Palatino Linotype" w:hAnsi="Palatino Linotype" w:cs="Tahoma"/>
          <w:bCs/>
          <w:iCs/>
          <w:sz w:val="22"/>
          <w:szCs w:val="22"/>
        </w:rPr>
      </w:pPr>
    </w:p>
    <w:p w14:paraId="050F11EE" w14:textId="4BEAD27C"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lastRenderedPageBreak/>
        <w:t>Situación que se robustece, con el Criterio de interpretación, con clave de control SO/018/2017, emitido por el Instituto Nacional de Transparencia, Acceso a la Información y Protección de Datos Personales, que establece lo siguiente:</w:t>
      </w:r>
    </w:p>
    <w:p w14:paraId="2E2F8C10" w14:textId="77777777" w:rsidR="00895F9E" w:rsidRPr="003932DF" w:rsidRDefault="00895F9E" w:rsidP="00895F9E">
      <w:pPr>
        <w:spacing w:line="360" w:lineRule="auto"/>
        <w:jc w:val="both"/>
        <w:rPr>
          <w:rFonts w:ascii="Palatino Linotype" w:hAnsi="Palatino Linotype" w:cs="Tahoma"/>
          <w:bCs/>
          <w:iCs/>
          <w:sz w:val="22"/>
          <w:szCs w:val="22"/>
        </w:rPr>
      </w:pPr>
    </w:p>
    <w:p w14:paraId="711D08EB" w14:textId="77777777" w:rsidR="00895F9E" w:rsidRPr="003932DF" w:rsidRDefault="00895F9E" w:rsidP="00895F9E">
      <w:pPr>
        <w:spacing w:line="360" w:lineRule="auto"/>
        <w:ind w:left="567" w:right="567"/>
        <w:jc w:val="both"/>
        <w:rPr>
          <w:rFonts w:ascii="Palatino Linotype" w:hAnsi="Palatino Linotype" w:cs="Tahoma"/>
          <w:bCs/>
          <w:i/>
          <w:iCs/>
        </w:rPr>
      </w:pPr>
      <w:r w:rsidRPr="003932DF">
        <w:rPr>
          <w:rFonts w:ascii="Palatino Linotype" w:hAnsi="Palatino Linotype" w:cs="Tahoma"/>
          <w:b/>
          <w:bCs/>
          <w:i/>
          <w:iCs/>
        </w:rPr>
        <w:t xml:space="preserve">“Clave Única de Registro de Población (CURP). </w:t>
      </w:r>
      <w:r w:rsidRPr="003932DF">
        <w:rPr>
          <w:rFonts w:ascii="Palatino Linotype" w:hAnsi="Palatino Linotype" w:cs="Tahoma"/>
          <w:bCs/>
          <w:i/>
          <w:iC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1EC07AD" w14:textId="77777777" w:rsidR="00895F9E" w:rsidRPr="003932DF" w:rsidRDefault="00895F9E" w:rsidP="00895F9E">
      <w:pPr>
        <w:spacing w:line="360" w:lineRule="auto"/>
        <w:jc w:val="both"/>
        <w:rPr>
          <w:rFonts w:ascii="Palatino Linotype" w:hAnsi="Palatino Linotype" w:cs="Tahoma"/>
          <w:bCs/>
          <w:i/>
          <w:iCs/>
          <w:sz w:val="22"/>
          <w:szCs w:val="22"/>
        </w:rPr>
      </w:pPr>
    </w:p>
    <w:p w14:paraId="56EF2554"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2F77EB2D" w14:textId="77777777" w:rsidR="00895F9E" w:rsidRPr="003932DF" w:rsidRDefault="00895F9E" w:rsidP="00895F9E">
      <w:pPr>
        <w:spacing w:line="360" w:lineRule="auto"/>
        <w:jc w:val="both"/>
        <w:rPr>
          <w:rFonts w:ascii="Palatino Linotype" w:hAnsi="Palatino Linotype" w:cs="Tahoma"/>
          <w:bCs/>
          <w:iCs/>
          <w:sz w:val="22"/>
          <w:szCs w:val="22"/>
        </w:rPr>
      </w:pPr>
    </w:p>
    <w:p w14:paraId="78B65E6C" w14:textId="0DC3DCD3"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En razón de lo anterior, se considera que el Sujeto Obligado se encuentra constreñido a proporcionar los documentos, en versión pública, para el caso de que contengan información confidencial; respecto a lo anterior, el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DBBA4EF" w14:textId="77777777" w:rsidR="00895F9E" w:rsidRPr="003932DF" w:rsidRDefault="00895F9E" w:rsidP="00895F9E">
      <w:pPr>
        <w:spacing w:line="360" w:lineRule="auto"/>
        <w:jc w:val="both"/>
        <w:rPr>
          <w:rFonts w:ascii="Palatino Linotype" w:hAnsi="Palatino Linotype" w:cs="Tahoma"/>
          <w:bCs/>
          <w:iCs/>
          <w:sz w:val="22"/>
          <w:szCs w:val="22"/>
        </w:rPr>
      </w:pPr>
    </w:p>
    <w:p w14:paraId="54CEEC4D" w14:textId="77777777" w:rsidR="00895F9E" w:rsidRPr="003932DF" w:rsidRDefault="00895F9E" w:rsidP="00895F9E">
      <w:pPr>
        <w:spacing w:line="360" w:lineRule="auto"/>
        <w:jc w:val="both"/>
        <w:rPr>
          <w:rFonts w:ascii="Palatino Linotype" w:hAnsi="Palatino Linotype" w:cs="Tahoma"/>
          <w:bCs/>
          <w:iCs/>
          <w:sz w:val="22"/>
          <w:szCs w:val="22"/>
        </w:rPr>
      </w:pPr>
      <w:r w:rsidRPr="003932DF">
        <w:rPr>
          <w:rFonts w:ascii="Palatino Linotype" w:hAnsi="Palatino Linotype" w:cs="Tahoma"/>
          <w:bCs/>
          <w:iCs/>
          <w:sz w:val="22"/>
          <w:szCs w:val="22"/>
        </w:rPr>
        <w:t xml:space="preserve">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w:t>
      </w:r>
      <w:r w:rsidRPr="003932DF">
        <w:rPr>
          <w:rFonts w:ascii="Palatino Linotype" w:hAnsi="Palatino Linotype" w:cs="Tahoma"/>
          <w:bCs/>
          <w:iCs/>
          <w:sz w:val="22"/>
          <w:szCs w:val="22"/>
        </w:rPr>
        <w:lastRenderedPageBreak/>
        <w:t>parte del Comité de Transparencia, donde confirme la clasificación de los datos previamente señalados, fundando y motivando la clasificación, con su respectiva prueba de daño y en términos de los Lineamientos Generales.</w:t>
      </w:r>
    </w:p>
    <w:p w14:paraId="196DB160" w14:textId="77777777" w:rsidR="00895F9E" w:rsidRPr="003932DF" w:rsidRDefault="00895F9E" w:rsidP="00641744">
      <w:pPr>
        <w:tabs>
          <w:tab w:val="left" w:pos="4962"/>
        </w:tabs>
        <w:spacing w:line="360" w:lineRule="auto"/>
        <w:contextualSpacing/>
        <w:jc w:val="both"/>
        <w:rPr>
          <w:rFonts w:ascii="Palatino Linotype" w:eastAsia="Calibri" w:hAnsi="Palatino Linotype" w:cs="Tahoma"/>
          <w:iCs/>
          <w:color w:val="000000" w:themeColor="text1"/>
          <w:sz w:val="22"/>
          <w:szCs w:val="22"/>
          <w:lang w:eastAsia="es-ES_tradnl"/>
        </w:rPr>
      </w:pPr>
    </w:p>
    <w:p w14:paraId="628322F1" w14:textId="34E2B52A" w:rsidR="000E62A5" w:rsidRPr="003932DF" w:rsidRDefault="00895F9E" w:rsidP="00641744">
      <w:pPr>
        <w:pStyle w:val="Ttulo1"/>
        <w:jc w:val="left"/>
        <w:rPr>
          <w:lang w:eastAsia="en-US"/>
        </w:rPr>
      </w:pPr>
      <w:bookmarkStart w:id="20" w:name="_Toc193381470"/>
      <w:r w:rsidRPr="003932DF">
        <w:rPr>
          <w:lang w:eastAsia="en-US"/>
        </w:rPr>
        <w:t>SEXTO</w:t>
      </w:r>
      <w:r w:rsidR="000E62A5" w:rsidRPr="003932DF">
        <w:rPr>
          <w:lang w:eastAsia="en-US"/>
        </w:rPr>
        <w:t>. Decisión</w:t>
      </w:r>
      <w:bookmarkEnd w:id="20"/>
    </w:p>
    <w:p w14:paraId="32DBF456" w14:textId="77777777" w:rsidR="007C5E55" w:rsidRPr="003932DF" w:rsidRDefault="007C5E55" w:rsidP="00641744">
      <w:pPr>
        <w:tabs>
          <w:tab w:val="left" w:pos="8931"/>
        </w:tabs>
        <w:spacing w:line="360" w:lineRule="auto"/>
        <w:jc w:val="both"/>
        <w:rPr>
          <w:rFonts w:ascii="Palatino Linotype" w:hAnsi="Palatino Linotype" w:cs="Tahoma"/>
          <w:sz w:val="22"/>
          <w:szCs w:val="22"/>
        </w:rPr>
      </w:pPr>
    </w:p>
    <w:p w14:paraId="02D4A574" w14:textId="6EF5B517" w:rsidR="007C5E55" w:rsidRPr="003932DF" w:rsidRDefault="007C5E55" w:rsidP="00641744">
      <w:pPr>
        <w:tabs>
          <w:tab w:val="left" w:pos="8931"/>
        </w:tabs>
        <w:spacing w:line="360" w:lineRule="auto"/>
        <w:jc w:val="both"/>
        <w:rPr>
          <w:rFonts w:ascii="Palatino Linotype" w:eastAsia="Calibri" w:hAnsi="Palatino Linotype" w:cs="Tahoma"/>
          <w:bCs/>
          <w:iCs/>
          <w:color w:val="FF0000"/>
          <w:sz w:val="22"/>
          <w:szCs w:val="22"/>
          <w:lang w:eastAsia="es-ES_tradnl"/>
        </w:rPr>
      </w:pPr>
      <w:r w:rsidRPr="003932DF">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3932DF">
        <w:rPr>
          <w:rFonts w:ascii="Palatino Linotype" w:hAnsi="Palatino Linotype" w:cs="Tahoma"/>
          <w:b/>
          <w:bCs/>
          <w:sz w:val="22"/>
          <w:szCs w:val="22"/>
        </w:rPr>
        <w:t>ORDENAR</w:t>
      </w:r>
      <w:r w:rsidRPr="003932DF">
        <w:rPr>
          <w:rFonts w:ascii="Palatino Linotype" w:hAnsi="Palatino Linotype" w:cs="Tahoma"/>
          <w:sz w:val="22"/>
          <w:szCs w:val="22"/>
        </w:rPr>
        <w:t xml:space="preserve"> al Sujeto Obligado,</w:t>
      </w:r>
      <w:r w:rsidRPr="003932DF">
        <w:rPr>
          <w:rFonts w:ascii="Palatino Linotype" w:eastAsia="Calibri" w:hAnsi="Palatino Linotype" w:cs="Tahoma"/>
          <w:sz w:val="22"/>
          <w:szCs w:val="22"/>
          <w:lang w:eastAsia="en-US"/>
        </w:rPr>
        <w:t xml:space="preserve"> a efecto de que </w:t>
      </w:r>
      <w:r w:rsidRPr="003932DF">
        <w:rPr>
          <w:rFonts w:ascii="Palatino Linotype" w:eastAsiaTheme="minorHAnsi" w:hAnsi="Palatino Linotype" w:cstheme="minorBidi"/>
          <w:sz w:val="22"/>
          <w:szCs w:val="22"/>
          <w:lang w:eastAsia="en-US"/>
        </w:rPr>
        <w:t xml:space="preserve">entregue los documentos que den cuenta de la </w:t>
      </w:r>
      <w:r w:rsidR="00F31BDB" w:rsidRPr="003932DF">
        <w:rPr>
          <w:rFonts w:ascii="Palatino Linotype" w:eastAsiaTheme="minorHAnsi" w:hAnsi="Palatino Linotype" w:cstheme="minorBidi"/>
          <w:sz w:val="22"/>
          <w:szCs w:val="22"/>
          <w:lang w:eastAsia="en-US"/>
        </w:rPr>
        <w:t>información</w:t>
      </w:r>
      <w:r w:rsidRPr="003932DF">
        <w:rPr>
          <w:rFonts w:ascii="Palatino Linotype" w:eastAsiaTheme="minorHAnsi" w:hAnsi="Palatino Linotype" w:cstheme="minorBidi"/>
          <w:sz w:val="22"/>
          <w:szCs w:val="22"/>
          <w:lang w:eastAsia="en-US"/>
        </w:rPr>
        <w:t xml:space="preserve"> faltante.</w:t>
      </w:r>
    </w:p>
    <w:p w14:paraId="5BE07235" w14:textId="77777777" w:rsidR="000E62A5" w:rsidRPr="003932DF" w:rsidRDefault="000E62A5" w:rsidP="00641744">
      <w:pPr>
        <w:spacing w:line="360" w:lineRule="auto"/>
        <w:contextualSpacing/>
        <w:jc w:val="both"/>
        <w:rPr>
          <w:rFonts w:ascii="Palatino Linotype" w:hAnsi="Palatino Linotype" w:cs="Tahoma"/>
          <w:sz w:val="22"/>
          <w:szCs w:val="22"/>
        </w:rPr>
      </w:pPr>
    </w:p>
    <w:p w14:paraId="26632A55" w14:textId="77777777" w:rsidR="00F31BDB" w:rsidRPr="003932DF" w:rsidRDefault="00F31BDB" w:rsidP="00641744">
      <w:pPr>
        <w:keepNext/>
        <w:keepLines/>
        <w:spacing w:line="360" w:lineRule="auto"/>
        <w:jc w:val="both"/>
        <w:outlineLvl w:val="0"/>
        <w:rPr>
          <w:rFonts w:ascii="Palatino Linotype" w:hAnsi="Palatino Linotype" w:cstheme="majorBidi"/>
          <w:b/>
          <w:bCs/>
          <w:sz w:val="22"/>
          <w:szCs w:val="22"/>
        </w:rPr>
      </w:pPr>
      <w:bookmarkStart w:id="21" w:name="_Toc192778073"/>
      <w:bookmarkStart w:id="22" w:name="_Toc193381471"/>
      <w:r w:rsidRPr="003932DF">
        <w:rPr>
          <w:rFonts w:ascii="Palatino Linotype" w:hAnsi="Palatino Linotype" w:cstheme="majorBidi"/>
          <w:b/>
          <w:bCs/>
          <w:sz w:val="22"/>
          <w:szCs w:val="22"/>
        </w:rPr>
        <w:t>SÉPTIMO. Vista a la Secretaría Técnica del Pleno</w:t>
      </w:r>
      <w:bookmarkEnd w:id="21"/>
      <w:bookmarkEnd w:id="22"/>
    </w:p>
    <w:p w14:paraId="4673F62C" w14:textId="77777777" w:rsidR="00F31BDB" w:rsidRPr="003932DF" w:rsidRDefault="00F31BDB" w:rsidP="00641744">
      <w:pPr>
        <w:spacing w:line="360" w:lineRule="auto"/>
        <w:jc w:val="both"/>
        <w:rPr>
          <w:rFonts w:ascii="Palatino Linotype" w:hAnsi="Palatino Linotype" w:cs="Tahoma"/>
          <w:bCs/>
          <w:color w:val="FF0000"/>
          <w:sz w:val="22"/>
          <w:szCs w:val="22"/>
        </w:rPr>
      </w:pPr>
    </w:p>
    <w:p w14:paraId="69B7C422" w14:textId="30464916" w:rsidR="00F31BDB" w:rsidRPr="003932DF" w:rsidRDefault="00F31BDB" w:rsidP="00641744">
      <w:pPr>
        <w:spacing w:line="360" w:lineRule="auto"/>
        <w:jc w:val="both"/>
        <w:rPr>
          <w:rFonts w:ascii="Palatino Linotype" w:hAnsi="Palatino Linotype" w:cs="Tahoma"/>
          <w:bCs/>
          <w:sz w:val="22"/>
          <w:szCs w:val="22"/>
        </w:rPr>
      </w:pPr>
      <w:r w:rsidRPr="003932DF">
        <w:rPr>
          <w:rFonts w:ascii="Palatino Linotype" w:hAnsi="Palatino Linotype" w:cs="Tahoma"/>
          <w:bCs/>
          <w:sz w:val="22"/>
          <w:szCs w:val="22"/>
        </w:rPr>
        <w:t xml:space="preserve">En el caso en estudio, ha quedado acreditado que el </w:t>
      </w:r>
      <w:r w:rsidRPr="003932DF">
        <w:rPr>
          <w:rFonts w:ascii="Palatino Linotype" w:eastAsia="Calibri" w:hAnsi="Palatino Linotype" w:cs="Tahoma"/>
          <w:sz w:val="22"/>
          <w:szCs w:val="22"/>
          <w:lang w:eastAsia="en-US"/>
        </w:rPr>
        <w:t xml:space="preserve">Ayuntamiento de Ixtapaluca </w:t>
      </w:r>
      <w:r w:rsidRPr="003932DF">
        <w:rPr>
          <w:rFonts w:ascii="Palatino Linotype" w:hAnsi="Palatino Linotype" w:cs="Tahoma"/>
          <w:bCs/>
          <w:sz w:val="22"/>
          <w:szCs w:val="22"/>
        </w:rPr>
        <w:t xml:space="preserve">omitió dar respuesta en el plazo señalado en el artículo 163 de la Ley de Transparencia y Acceso a la Información Pública del Estado de México y Municipios. </w:t>
      </w:r>
    </w:p>
    <w:p w14:paraId="49EC3780" w14:textId="77777777" w:rsidR="00F31BDB" w:rsidRPr="003932DF" w:rsidRDefault="00F31BDB" w:rsidP="00641744">
      <w:pPr>
        <w:spacing w:line="360" w:lineRule="auto"/>
        <w:jc w:val="both"/>
        <w:rPr>
          <w:rFonts w:ascii="Palatino Linotype" w:hAnsi="Palatino Linotype" w:cs="Tahoma"/>
          <w:bCs/>
          <w:sz w:val="22"/>
          <w:szCs w:val="22"/>
        </w:rPr>
      </w:pPr>
    </w:p>
    <w:p w14:paraId="0619F99A" w14:textId="77777777" w:rsidR="00F31BDB" w:rsidRPr="003932DF" w:rsidRDefault="00F31BDB" w:rsidP="00641744">
      <w:pPr>
        <w:spacing w:line="360" w:lineRule="auto"/>
        <w:jc w:val="both"/>
        <w:rPr>
          <w:rFonts w:ascii="Palatino Linotype" w:hAnsi="Palatino Linotype" w:cs="Tahoma"/>
          <w:bCs/>
          <w:sz w:val="22"/>
          <w:szCs w:val="22"/>
        </w:rPr>
      </w:pPr>
      <w:r w:rsidRPr="003932DF">
        <w:rPr>
          <w:rFonts w:ascii="Palatino Linotype" w:hAnsi="Palatino Linotype" w:cs="Tahoma"/>
          <w:sz w:val="22"/>
          <w:szCs w:val="22"/>
        </w:rPr>
        <w:t>Al respecto, el artículo 36, fracción X, del ordenamiento jurídico en cita, establece que es atribución de este Instituto hacer del conocimiento al Área competente de cada Sujeto Obligado las infracciones a esta Ley.</w:t>
      </w:r>
      <w:r w:rsidRPr="003932DF">
        <w:rPr>
          <w:rFonts w:ascii="Palatino Linotype" w:eastAsia="Calibri" w:hAnsi="Palatino Linotype" w:cs="Tahoma"/>
          <w:bCs/>
          <w:sz w:val="22"/>
          <w:szCs w:val="22"/>
          <w:lang w:eastAsia="en-US"/>
        </w:rPr>
        <w:t xml:space="preserve"> </w:t>
      </w:r>
    </w:p>
    <w:p w14:paraId="2D894317" w14:textId="77777777" w:rsidR="00F31BDB" w:rsidRPr="003932DF" w:rsidRDefault="00F31BDB" w:rsidP="00641744">
      <w:pPr>
        <w:spacing w:line="360" w:lineRule="auto"/>
        <w:ind w:right="-93"/>
        <w:jc w:val="both"/>
        <w:rPr>
          <w:rFonts w:ascii="Palatino Linotype" w:eastAsia="Calibri" w:hAnsi="Palatino Linotype" w:cs="Tahoma"/>
          <w:bCs/>
          <w:color w:val="FF0000"/>
          <w:sz w:val="22"/>
          <w:szCs w:val="22"/>
          <w:lang w:eastAsia="en-US"/>
        </w:rPr>
      </w:pPr>
    </w:p>
    <w:p w14:paraId="05DFA166"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r w:rsidRPr="003932DF">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w:t>
      </w:r>
      <w:r w:rsidRPr="003932DF">
        <w:rPr>
          <w:rFonts w:ascii="Palatino Linotype" w:eastAsia="Calibri" w:hAnsi="Palatino Linotype" w:cs="Tahoma"/>
          <w:bCs/>
          <w:sz w:val="22"/>
          <w:szCs w:val="22"/>
          <w:lang w:eastAsia="en-US"/>
        </w:rPr>
        <w:lastRenderedPageBreak/>
        <w:t xml:space="preserve">este Instituto deberá dar vista al Área competente, con el fin de que determine el grado de responsabilidad de los servidores públicos que incumplan con las obligaciones establecidas en la Ley. </w:t>
      </w:r>
    </w:p>
    <w:p w14:paraId="6F3F89F0"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p>
    <w:p w14:paraId="739BABC1"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r w:rsidRPr="003932DF">
        <w:rPr>
          <w:rFonts w:ascii="Palatino Linotype" w:eastAsia="Calibri" w:hAnsi="Palatino Linotype" w:cs="Tahoma"/>
          <w:bCs/>
          <w:sz w:val="22"/>
          <w:szCs w:val="22"/>
          <w:lang w:eastAsia="en-US"/>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3618F6C9"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p>
    <w:p w14:paraId="76C0579B"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r w:rsidRPr="003932DF">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3932DF">
        <w:rPr>
          <w:rFonts w:ascii="Palatino Linotype" w:eastAsia="Calibri" w:hAnsi="Palatino Linotype" w:cs="Tahoma"/>
          <w:bCs/>
          <w:sz w:val="22"/>
          <w:szCs w:val="22"/>
          <w:lang w:val="es-ES_tradnl" w:eastAsia="en-US"/>
        </w:rPr>
        <w:t>a la Secretaría Técnica de este Instituto</w:t>
      </w:r>
      <w:r w:rsidRPr="003932DF">
        <w:rPr>
          <w:rFonts w:ascii="Palatino Linotype" w:eastAsia="Calibri" w:hAnsi="Palatino Linotype" w:cs="Tahoma"/>
          <w:bCs/>
          <w:sz w:val="22"/>
          <w:szCs w:val="22"/>
          <w:lang w:eastAsia="en-US"/>
        </w:rPr>
        <w:t>, para que realice lo conducente.</w:t>
      </w:r>
    </w:p>
    <w:p w14:paraId="4BEDC64D" w14:textId="77777777" w:rsidR="00F31BDB" w:rsidRPr="003932DF" w:rsidRDefault="00F31BDB" w:rsidP="00641744">
      <w:pPr>
        <w:spacing w:line="360" w:lineRule="auto"/>
        <w:ind w:right="-93"/>
        <w:jc w:val="both"/>
        <w:rPr>
          <w:rFonts w:ascii="Palatino Linotype" w:eastAsia="Calibri" w:hAnsi="Palatino Linotype" w:cs="Tahoma"/>
          <w:bCs/>
          <w:sz w:val="22"/>
          <w:szCs w:val="22"/>
          <w:lang w:eastAsia="en-US"/>
        </w:rPr>
      </w:pPr>
    </w:p>
    <w:p w14:paraId="7BDD4E83" w14:textId="77777777" w:rsidR="00F31BDB" w:rsidRPr="003932DF" w:rsidRDefault="00F31BDB" w:rsidP="00641744">
      <w:pPr>
        <w:autoSpaceDE w:val="0"/>
        <w:autoSpaceDN w:val="0"/>
        <w:adjustRightInd w:val="0"/>
        <w:spacing w:line="360" w:lineRule="auto"/>
        <w:jc w:val="both"/>
        <w:rPr>
          <w:rFonts w:ascii="Palatino Linotype" w:eastAsia="Calibri" w:hAnsi="Palatino Linotype" w:cs="Tahoma"/>
          <w:b/>
          <w:bCs/>
          <w:iCs/>
          <w:sz w:val="22"/>
          <w:szCs w:val="22"/>
          <w:lang w:val="es-ES" w:eastAsia="en-US"/>
        </w:rPr>
      </w:pPr>
      <w:r w:rsidRPr="003932DF">
        <w:rPr>
          <w:rFonts w:ascii="Palatino Linotype" w:eastAsia="Calibri" w:hAnsi="Palatino Linotype" w:cs="Tahoma"/>
          <w:b/>
          <w:bCs/>
          <w:iCs/>
          <w:sz w:val="22"/>
          <w:szCs w:val="22"/>
          <w:lang w:val="es-ES" w:eastAsia="en-US"/>
        </w:rPr>
        <w:t>Términos de la Resolución para conocimiento del Particular</w:t>
      </w:r>
    </w:p>
    <w:p w14:paraId="3F1BB53E" w14:textId="77777777" w:rsidR="007C5E55" w:rsidRPr="003932DF" w:rsidRDefault="007C5E55" w:rsidP="00641744">
      <w:pPr>
        <w:spacing w:line="360" w:lineRule="auto"/>
        <w:contextualSpacing/>
        <w:jc w:val="both"/>
        <w:rPr>
          <w:rFonts w:ascii="Palatino Linotype" w:hAnsi="Palatino Linotype" w:cs="Tahoma"/>
          <w:bCs/>
          <w:iCs/>
          <w:sz w:val="22"/>
          <w:szCs w:val="22"/>
        </w:rPr>
      </w:pPr>
    </w:p>
    <w:p w14:paraId="617FBAF1" w14:textId="78C9766D" w:rsidR="00F31BDB" w:rsidRPr="003932DF" w:rsidRDefault="00F31BDB" w:rsidP="00641744">
      <w:pPr>
        <w:autoSpaceDE w:val="0"/>
        <w:autoSpaceDN w:val="0"/>
        <w:adjustRightInd w:val="0"/>
        <w:spacing w:line="360" w:lineRule="auto"/>
        <w:jc w:val="both"/>
        <w:rPr>
          <w:rFonts w:ascii="Palatino Linotype" w:eastAsia="Calibri" w:hAnsi="Palatino Linotype" w:cs="Tahoma"/>
          <w:bCs/>
          <w:iCs/>
          <w:sz w:val="22"/>
          <w:szCs w:val="22"/>
          <w:lang w:val="es-ES_tradnl" w:eastAsia="en-US"/>
        </w:rPr>
      </w:pPr>
      <w:r w:rsidRPr="003932DF">
        <w:rPr>
          <w:rFonts w:ascii="Palatino Linotype" w:eastAsia="Calibri" w:hAnsi="Palatino Linotype" w:cs="Tahoma"/>
          <w:bCs/>
          <w:iCs/>
          <w:sz w:val="22"/>
          <w:szCs w:val="22"/>
          <w:lang w:val="es-ES" w:eastAsia="en-US"/>
        </w:rPr>
        <w:t xml:space="preserve">Se </w:t>
      </w:r>
      <w:r w:rsidRPr="003932DF">
        <w:rPr>
          <w:rFonts w:ascii="Palatino Linotype" w:eastAsia="Calibri" w:hAnsi="Palatino Linotype" w:cs="Tahoma"/>
          <w:bCs/>
          <w:sz w:val="22"/>
          <w:szCs w:val="22"/>
          <w:lang w:eastAsia="en-US"/>
        </w:rPr>
        <w:t xml:space="preserve">le hace del conocimiento al ahora Recurrente, que, en el presente caso, se le concede la razón, pues si bien el Sujeto Obligado </w:t>
      </w:r>
      <w:r w:rsidRPr="003932DF">
        <w:rPr>
          <w:rFonts w:ascii="Palatino Linotype" w:eastAsia="Calibri" w:hAnsi="Palatino Linotype" w:cs="Tahoma"/>
          <w:bCs/>
          <w:iCs/>
          <w:sz w:val="22"/>
          <w:szCs w:val="22"/>
          <w:lang w:val="es-ES" w:eastAsia="en-US"/>
        </w:rPr>
        <w:t>no emitió contestación alguna en tiempo y si bien durante la sustanciación emitió contestación, entrego la información de manera incompleta</w:t>
      </w:r>
      <w:r w:rsidRPr="003932DF">
        <w:rPr>
          <w:rFonts w:ascii="Palatino Linotype" w:eastAsia="Calibri" w:hAnsi="Palatino Linotype" w:cs="Tahoma"/>
          <w:bCs/>
          <w:sz w:val="22"/>
          <w:szCs w:val="22"/>
          <w:lang w:eastAsia="en-US"/>
        </w:rPr>
        <w:t xml:space="preserve">, </w:t>
      </w:r>
      <w:r w:rsidRPr="003932DF">
        <w:rPr>
          <w:rFonts w:ascii="Palatino Linotype" w:eastAsia="Calibri" w:hAnsi="Palatino Linotype" w:cs="Tahoma"/>
          <w:bCs/>
          <w:iCs/>
          <w:sz w:val="22"/>
          <w:szCs w:val="22"/>
          <w:lang w:val="es-ES" w:eastAsia="en-US"/>
        </w:rPr>
        <w:t>por lo que, en el presente caso, deberá proporcionarle la información solicitada.</w:t>
      </w:r>
      <w:r w:rsidRPr="003932DF">
        <w:rPr>
          <w:rFonts w:ascii="Palatino Linotype" w:eastAsia="Calibri" w:hAnsi="Palatino Linotype" w:cs="Tahoma"/>
          <w:bCs/>
          <w:sz w:val="22"/>
          <w:szCs w:val="22"/>
          <w:lang w:eastAsia="en-US"/>
        </w:rPr>
        <w:t xml:space="preserve"> </w:t>
      </w:r>
      <w:r w:rsidRPr="003932DF">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r w:rsidRPr="003932DF">
        <w:rPr>
          <w:rFonts w:ascii="Palatino Linotype" w:eastAsia="Calibri" w:hAnsi="Palatino Linotype" w:cs="Tahoma"/>
          <w:bCs/>
          <w:iCs/>
          <w:sz w:val="22"/>
          <w:szCs w:val="22"/>
          <w:lang w:val="es-ES_tradnl" w:eastAsia="en-US"/>
        </w:rPr>
        <w:t xml:space="preserve">Finalmente, se le informa que la labor del Instituto de Transparencia, Acceso a la Información Pública y Protección de Datos </w:t>
      </w:r>
      <w:r w:rsidRPr="003932DF">
        <w:rPr>
          <w:rFonts w:ascii="Palatino Linotype" w:eastAsia="Calibri" w:hAnsi="Palatino Linotype" w:cs="Tahoma"/>
          <w:bCs/>
          <w:iCs/>
          <w:sz w:val="22"/>
          <w:szCs w:val="22"/>
          <w:lang w:val="es-ES_tradnl" w:eastAsia="en-US"/>
        </w:rPr>
        <w:lastRenderedPageBreak/>
        <w:t>Personales del Estado de México y Municipios, es apoyar a la población a acceder a la información pública y garantizar la protección de los datos personales.</w:t>
      </w:r>
    </w:p>
    <w:p w14:paraId="7B4E0248" w14:textId="2FA92299" w:rsidR="000E62A5" w:rsidRPr="003932DF" w:rsidRDefault="000E62A5" w:rsidP="00641744">
      <w:pPr>
        <w:spacing w:line="360" w:lineRule="auto"/>
        <w:ind w:right="-28"/>
        <w:contextualSpacing/>
        <w:jc w:val="both"/>
        <w:rPr>
          <w:rFonts w:ascii="Palatino Linotype" w:eastAsia="Calibri" w:hAnsi="Palatino Linotype" w:cs="Tahoma"/>
          <w:bCs/>
          <w:iCs/>
          <w:sz w:val="22"/>
          <w:szCs w:val="22"/>
          <w:lang w:eastAsia="en-US"/>
        </w:rPr>
      </w:pPr>
    </w:p>
    <w:p w14:paraId="7ABA70F3" w14:textId="77777777" w:rsidR="000E62A5" w:rsidRPr="003932DF" w:rsidRDefault="000E62A5" w:rsidP="00641744">
      <w:pPr>
        <w:spacing w:line="360" w:lineRule="auto"/>
        <w:contextualSpacing/>
        <w:jc w:val="both"/>
        <w:rPr>
          <w:rFonts w:ascii="Palatino Linotype" w:hAnsi="Palatino Linotype" w:cs="Tahoma"/>
          <w:bCs/>
          <w:sz w:val="22"/>
          <w:szCs w:val="22"/>
        </w:rPr>
      </w:pPr>
      <w:r w:rsidRPr="003932DF">
        <w:rPr>
          <w:rFonts w:ascii="Palatino Linotype" w:hAnsi="Palatino Linotype" w:cs="Tahoma"/>
          <w:bCs/>
          <w:sz w:val="22"/>
          <w:szCs w:val="22"/>
        </w:rPr>
        <w:t>Por lo expuesto y fundado, este Pleno:</w:t>
      </w:r>
    </w:p>
    <w:p w14:paraId="5D8C1096" w14:textId="77777777" w:rsidR="000E62A5" w:rsidRPr="003932DF" w:rsidRDefault="000E62A5" w:rsidP="00641744">
      <w:pPr>
        <w:spacing w:line="360" w:lineRule="auto"/>
        <w:contextualSpacing/>
        <w:jc w:val="both"/>
        <w:rPr>
          <w:rFonts w:ascii="Palatino Linotype" w:hAnsi="Palatino Linotype" w:cs="Tahoma"/>
          <w:bCs/>
          <w:sz w:val="22"/>
          <w:szCs w:val="22"/>
          <w:u w:val="single"/>
        </w:rPr>
      </w:pPr>
    </w:p>
    <w:p w14:paraId="61654380" w14:textId="5F951C05" w:rsidR="000E62A5" w:rsidRPr="003932DF" w:rsidRDefault="000E62A5" w:rsidP="00641744">
      <w:pPr>
        <w:pStyle w:val="Ttulo1"/>
      </w:pPr>
      <w:bookmarkStart w:id="23" w:name="_Toc193381472"/>
      <w:r w:rsidRPr="003932DF">
        <w:t>R E S U E L V E</w:t>
      </w:r>
      <w:bookmarkEnd w:id="23"/>
    </w:p>
    <w:p w14:paraId="04DB6CC1" w14:textId="77777777" w:rsidR="000E62A5" w:rsidRPr="003932DF" w:rsidRDefault="000E62A5" w:rsidP="00641744">
      <w:pPr>
        <w:spacing w:line="360" w:lineRule="auto"/>
        <w:ind w:right="113"/>
        <w:contextualSpacing/>
        <w:jc w:val="both"/>
        <w:rPr>
          <w:rFonts w:ascii="Palatino Linotype" w:hAnsi="Palatino Linotype" w:cs="Arial"/>
          <w:b/>
          <w:sz w:val="22"/>
          <w:szCs w:val="22"/>
        </w:rPr>
      </w:pPr>
    </w:p>
    <w:p w14:paraId="6A43AA32" w14:textId="742A445E" w:rsidR="007C5E55" w:rsidRPr="003932DF" w:rsidRDefault="000E62A5" w:rsidP="00641744">
      <w:pPr>
        <w:widowControl w:val="0"/>
        <w:spacing w:line="360" w:lineRule="auto"/>
        <w:jc w:val="both"/>
        <w:rPr>
          <w:rFonts w:ascii="Palatino Linotype" w:eastAsia="Calibri" w:hAnsi="Palatino Linotype" w:cs="Tahoma"/>
          <w:bCs/>
          <w:sz w:val="22"/>
          <w:szCs w:val="22"/>
          <w:lang w:eastAsia="en-US"/>
        </w:rPr>
      </w:pPr>
      <w:r w:rsidRPr="003932DF">
        <w:rPr>
          <w:rFonts w:ascii="Palatino Linotype" w:eastAsiaTheme="minorHAnsi" w:hAnsi="Palatino Linotype" w:cs="Tahoma"/>
          <w:b/>
          <w:bCs/>
          <w:color w:val="000000" w:themeColor="text1"/>
          <w:sz w:val="22"/>
          <w:szCs w:val="22"/>
          <w:lang w:eastAsia="en-US"/>
        </w:rPr>
        <w:t xml:space="preserve">PRIMERO. </w:t>
      </w:r>
      <w:r w:rsidR="007C5E55" w:rsidRPr="003932DF">
        <w:rPr>
          <w:rFonts w:ascii="Palatino Linotype" w:eastAsia="Calibri" w:hAnsi="Palatino Linotype" w:cs="Tahoma"/>
          <w:bCs/>
          <w:sz w:val="22"/>
          <w:szCs w:val="22"/>
          <w:lang w:eastAsia="en-US"/>
        </w:rPr>
        <w:t xml:space="preserve">Resultan </w:t>
      </w:r>
      <w:r w:rsidR="007C5E55" w:rsidRPr="003932DF">
        <w:rPr>
          <w:rFonts w:ascii="Palatino Linotype" w:eastAsia="Calibri" w:hAnsi="Palatino Linotype" w:cs="Tahoma"/>
          <w:b/>
          <w:bCs/>
          <w:sz w:val="22"/>
          <w:szCs w:val="22"/>
          <w:lang w:eastAsia="en-US"/>
        </w:rPr>
        <w:t>FUNDADAS</w:t>
      </w:r>
      <w:r w:rsidR="007C5E55" w:rsidRPr="003932DF">
        <w:rPr>
          <w:rFonts w:ascii="Palatino Linotype" w:eastAsia="Calibri" w:hAnsi="Palatino Linotype" w:cs="Tahoma"/>
          <w:bCs/>
          <w:sz w:val="22"/>
          <w:szCs w:val="22"/>
          <w:lang w:eastAsia="en-US"/>
        </w:rPr>
        <w:t xml:space="preserve"> las razones o motivos de inconformidad hechos valer por el Particular en el Recurso de Revisión </w:t>
      </w:r>
      <w:r w:rsidR="007C5E55" w:rsidRPr="003932DF">
        <w:rPr>
          <w:rFonts w:ascii="Palatino Linotype" w:eastAsia="Calibri" w:hAnsi="Palatino Linotype" w:cs="Tahoma"/>
          <w:sz w:val="22"/>
          <w:szCs w:val="22"/>
          <w:lang w:eastAsia="en-US"/>
        </w:rPr>
        <w:t>01646/INFOEM/IP/RR/2025</w:t>
      </w:r>
      <w:r w:rsidR="007C5E55" w:rsidRPr="003932DF">
        <w:rPr>
          <w:rFonts w:ascii="Palatino Linotype" w:hAnsi="Palatino Linotype" w:cs="Tahoma"/>
          <w:bCs/>
          <w:sz w:val="22"/>
          <w:szCs w:val="22"/>
        </w:rPr>
        <w:t>,</w:t>
      </w:r>
      <w:r w:rsidR="007C5E55" w:rsidRPr="003932DF">
        <w:rPr>
          <w:rFonts w:ascii="Palatino Linotype" w:hAnsi="Palatino Linotype" w:cs="Tahoma"/>
          <w:b/>
          <w:sz w:val="22"/>
          <w:szCs w:val="22"/>
        </w:rPr>
        <w:t xml:space="preserve"> </w:t>
      </w:r>
      <w:r w:rsidR="007C5E55" w:rsidRPr="003932DF">
        <w:rPr>
          <w:rFonts w:ascii="Palatino Linotype" w:eastAsia="Calibri" w:hAnsi="Palatino Linotype" w:cs="Tahoma"/>
          <w:bCs/>
          <w:sz w:val="22"/>
          <w:szCs w:val="22"/>
          <w:lang w:eastAsia="en-US"/>
        </w:rPr>
        <w:t>en términos de los</w:t>
      </w:r>
      <w:r w:rsidR="00F31BDB" w:rsidRPr="003932DF">
        <w:rPr>
          <w:rFonts w:ascii="Palatino Linotype" w:eastAsia="Calibri" w:hAnsi="Palatino Linotype" w:cs="Tahoma"/>
          <w:bCs/>
          <w:sz w:val="22"/>
          <w:szCs w:val="22"/>
          <w:lang w:eastAsia="en-US"/>
        </w:rPr>
        <w:t xml:space="preserve"> </w:t>
      </w:r>
      <w:r w:rsidR="007C5E55" w:rsidRPr="003932DF">
        <w:rPr>
          <w:rFonts w:ascii="Palatino Linotype" w:eastAsia="Calibri" w:hAnsi="Palatino Linotype" w:cs="Tahoma"/>
          <w:bCs/>
          <w:sz w:val="22"/>
          <w:szCs w:val="22"/>
          <w:lang w:eastAsia="en-US"/>
        </w:rPr>
        <w:t xml:space="preserve">considerandos QUINTO </w:t>
      </w:r>
      <w:r w:rsidR="007C5E55" w:rsidRPr="003932DF">
        <w:rPr>
          <w:rFonts w:ascii="Palatino Linotype" w:eastAsia="Calibri" w:hAnsi="Palatino Linotype" w:cs="Tahoma"/>
          <w:sz w:val="22"/>
          <w:szCs w:val="22"/>
          <w:lang w:eastAsia="en-US"/>
        </w:rPr>
        <w:t>y</w:t>
      </w:r>
      <w:r w:rsidR="007C5E55" w:rsidRPr="003932DF">
        <w:rPr>
          <w:rFonts w:ascii="Palatino Linotype" w:eastAsia="Calibri" w:hAnsi="Palatino Linotype" w:cs="Tahoma"/>
          <w:bCs/>
          <w:sz w:val="22"/>
          <w:szCs w:val="22"/>
          <w:lang w:eastAsia="en-US"/>
        </w:rPr>
        <w:t xml:space="preserve"> SEXTO</w:t>
      </w:r>
      <w:r w:rsidR="007C5E55" w:rsidRPr="003932DF">
        <w:rPr>
          <w:rFonts w:ascii="Palatino Linotype" w:eastAsia="Calibri" w:hAnsi="Palatino Linotype" w:cs="Tahoma"/>
          <w:b/>
          <w:bCs/>
          <w:sz w:val="22"/>
          <w:szCs w:val="22"/>
          <w:lang w:eastAsia="en-US"/>
        </w:rPr>
        <w:t xml:space="preserve"> </w:t>
      </w:r>
      <w:r w:rsidR="007C5E55" w:rsidRPr="003932DF">
        <w:rPr>
          <w:rFonts w:ascii="Palatino Linotype" w:eastAsia="Calibri" w:hAnsi="Palatino Linotype" w:cs="Tahoma"/>
          <w:bCs/>
          <w:sz w:val="22"/>
          <w:szCs w:val="22"/>
          <w:lang w:eastAsia="en-US"/>
        </w:rPr>
        <w:t>de la presente Resolución.</w:t>
      </w:r>
    </w:p>
    <w:p w14:paraId="40E53C65" w14:textId="77777777" w:rsidR="007C5E55" w:rsidRPr="003932DF" w:rsidRDefault="007C5E55" w:rsidP="00641744">
      <w:pPr>
        <w:spacing w:line="360" w:lineRule="auto"/>
        <w:jc w:val="both"/>
        <w:rPr>
          <w:rFonts w:ascii="Palatino Linotype" w:hAnsi="Palatino Linotype" w:cs="Tahoma"/>
          <w:b/>
          <w:bCs/>
          <w:color w:val="FF0000"/>
          <w:sz w:val="22"/>
          <w:szCs w:val="22"/>
        </w:rPr>
      </w:pPr>
    </w:p>
    <w:p w14:paraId="354ACEAD" w14:textId="339645C9" w:rsidR="007C5E55" w:rsidRPr="003932DF" w:rsidRDefault="007C5E55" w:rsidP="00641744">
      <w:pPr>
        <w:tabs>
          <w:tab w:val="left" w:pos="8931"/>
        </w:tabs>
        <w:spacing w:line="360" w:lineRule="auto"/>
        <w:jc w:val="both"/>
        <w:rPr>
          <w:rFonts w:ascii="Palatino Linotype" w:eastAsia="Calibri" w:hAnsi="Palatino Linotype" w:cs="Tahoma"/>
          <w:sz w:val="22"/>
          <w:szCs w:val="24"/>
          <w:lang w:val="x-none" w:eastAsia="es-MX"/>
        </w:rPr>
      </w:pPr>
      <w:r w:rsidRPr="003932DF">
        <w:rPr>
          <w:rFonts w:ascii="Palatino Linotype" w:eastAsia="Calibri" w:hAnsi="Palatino Linotype" w:cs="Tahoma"/>
          <w:b/>
          <w:bCs/>
          <w:sz w:val="22"/>
          <w:szCs w:val="22"/>
          <w:lang w:eastAsia="en-US"/>
        </w:rPr>
        <w:t>SEGUNDO.</w:t>
      </w:r>
      <w:r w:rsidRPr="003932DF">
        <w:rPr>
          <w:rFonts w:ascii="Palatino Linotype" w:eastAsia="Calibri" w:hAnsi="Palatino Linotype" w:cs="Tahoma"/>
          <w:sz w:val="22"/>
          <w:szCs w:val="22"/>
          <w:lang w:eastAsia="es-MX"/>
        </w:rPr>
        <w:t xml:space="preserve"> Se </w:t>
      </w:r>
      <w:r w:rsidRPr="003932DF">
        <w:rPr>
          <w:rFonts w:ascii="Palatino Linotype" w:eastAsia="Calibri" w:hAnsi="Palatino Linotype" w:cs="Tahoma"/>
          <w:b/>
          <w:sz w:val="22"/>
          <w:szCs w:val="22"/>
          <w:lang w:eastAsia="es-MX"/>
        </w:rPr>
        <w:t xml:space="preserve">ORDENA </w:t>
      </w:r>
      <w:r w:rsidRPr="003932DF">
        <w:rPr>
          <w:rFonts w:ascii="Palatino Linotype" w:eastAsia="Calibri" w:hAnsi="Palatino Linotype" w:cs="Tahoma"/>
          <w:sz w:val="22"/>
          <w:szCs w:val="22"/>
          <w:lang w:eastAsia="es-MX"/>
        </w:rPr>
        <w:t xml:space="preserve">al Sujeto Obligado, </w:t>
      </w:r>
      <w:r w:rsidRPr="003932DF">
        <w:rPr>
          <w:rFonts w:ascii="Palatino Linotype" w:eastAsia="Calibri" w:hAnsi="Palatino Linotype" w:cs="Tahoma"/>
          <w:bCs/>
          <w:sz w:val="22"/>
          <w:szCs w:val="22"/>
          <w:lang w:eastAsia="en-US"/>
        </w:rPr>
        <w:t>a efecto de que</w:t>
      </w:r>
      <w:r w:rsidRPr="003932DF">
        <w:rPr>
          <w:rFonts w:ascii="Palatino Linotype" w:hAnsi="Palatino Linotype" w:cs="Tahoma"/>
          <w:sz w:val="22"/>
        </w:rPr>
        <w:t xml:space="preserve"> entregue, a través del </w:t>
      </w:r>
      <w:r w:rsidRPr="003932DF">
        <w:rPr>
          <w:rFonts w:ascii="Palatino Linotype" w:hAnsi="Palatino Linotype" w:cs="Tahoma"/>
          <w:sz w:val="22"/>
          <w:lang w:val="es-ES"/>
        </w:rPr>
        <w:t xml:space="preserve">Sistema de Acceso a la Información Mexiquense (SAIMEX), </w:t>
      </w:r>
      <w:r w:rsidRPr="003932DF">
        <w:rPr>
          <w:rFonts w:ascii="Palatino Linotype" w:eastAsiaTheme="minorHAnsi" w:hAnsi="Palatino Linotype" w:cstheme="minorBidi"/>
          <w:sz w:val="22"/>
          <w:szCs w:val="22"/>
          <w:lang w:eastAsia="en-US"/>
        </w:rPr>
        <w:t>en</w:t>
      </w:r>
      <w:r w:rsidR="00895F9E" w:rsidRPr="003932DF">
        <w:rPr>
          <w:rFonts w:ascii="Palatino Linotype" w:eastAsiaTheme="minorHAnsi" w:hAnsi="Palatino Linotype" w:cstheme="minorBidi"/>
          <w:sz w:val="22"/>
          <w:szCs w:val="22"/>
          <w:lang w:eastAsia="en-US"/>
        </w:rPr>
        <w:t xml:space="preserve"> su caso, en</w:t>
      </w:r>
      <w:r w:rsidRPr="003932DF">
        <w:rPr>
          <w:rFonts w:ascii="Palatino Linotype" w:eastAsiaTheme="minorHAnsi" w:hAnsi="Palatino Linotype" w:cstheme="minorBidi"/>
          <w:sz w:val="22"/>
          <w:szCs w:val="22"/>
          <w:lang w:eastAsia="en-US"/>
        </w:rPr>
        <w:t xml:space="preserve"> versión pública, </w:t>
      </w:r>
      <w:r w:rsidRPr="003932DF">
        <w:rPr>
          <w:rFonts w:ascii="Palatino Linotype" w:eastAsia="Calibri" w:hAnsi="Palatino Linotype" w:cs="Tahoma"/>
          <w:sz w:val="22"/>
          <w:szCs w:val="24"/>
          <w:lang w:val="x-none" w:eastAsia="es-MX"/>
        </w:rPr>
        <w:t>lo siguiente:</w:t>
      </w:r>
    </w:p>
    <w:p w14:paraId="11E7907A" w14:textId="77777777" w:rsidR="007C5E55" w:rsidRPr="003932DF" w:rsidRDefault="007C5E55" w:rsidP="00641744">
      <w:pPr>
        <w:tabs>
          <w:tab w:val="left" w:pos="8931"/>
        </w:tabs>
        <w:spacing w:line="360" w:lineRule="auto"/>
        <w:jc w:val="both"/>
        <w:rPr>
          <w:rFonts w:ascii="Palatino Linotype" w:eastAsia="Calibri" w:hAnsi="Palatino Linotype" w:cs="Tahoma"/>
          <w:sz w:val="22"/>
          <w:szCs w:val="24"/>
          <w:lang w:val="x-none" w:eastAsia="es-MX"/>
        </w:rPr>
      </w:pPr>
    </w:p>
    <w:p w14:paraId="28698C4B" w14:textId="60B34317" w:rsidR="00F31BDB" w:rsidRPr="003932DF" w:rsidRDefault="007C5E55" w:rsidP="00641744">
      <w:pPr>
        <w:pStyle w:val="Prrafodelista"/>
        <w:numPr>
          <w:ilvl w:val="0"/>
          <w:numId w:val="32"/>
        </w:numPr>
        <w:spacing w:line="360" w:lineRule="auto"/>
        <w:jc w:val="both"/>
        <w:rPr>
          <w:rFonts w:ascii="Palatino Linotype" w:eastAsiaTheme="minorHAnsi" w:hAnsi="Palatino Linotype" w:cs="Tahoma"/>
          <w:lang w:val="es-ES_tradnl" w:eastAsia="en-US"/>
        </w:rPr>
      </w:pPr>
      <w:r w:rsidRPr="003932DF">
        <w:rPr>
          <w:rFonts w:ascii="Palatino Linotype" w:eastAsia="Calibri" w:hAnsi="Palatino Linotype" w:cs="Tahoma"/>
          <w:lang w:val="es-ES" w:eastAsia="es-MX"/>
        </w:rPr>
        <w:t>Los</w:t>
      </w:r>
      <w:r w:rsidR="00F31BDB" w:rsidRPr="003932DF">
        <w:rPr>
          <w:rFonts w:ascii="Palatino Linotype" w:eastAsia="Calibri" w:hAnsi="Palatino Linotype" w:cs="Tahoma"/>
          <w:lang w:val="es-ES" w:eastAsia="es-MX"/>
        </w:rPr>
        <w:t xml:space="preserve"> documentos</w:t>
      </w:r>
      <w:r w:rsidR="00895F9E" w:rsidRPr="003932DF">
        <w:rPr>
          <w:rFonts w:ascii="Palatino Linotype" w:eastAsia="Calibri" w:hAnsi="Palatino Linotype" w:cs="Tahoma"/>
          <w:lang w:val="es-ES" w:eastAsia="es-MX"/>
        </w:rPr>
        <w:t xml:space="preserve"> relacionados</w:t>
      </w:r>
      <w:r w:rsidR="00F31BDB" w:rsidRPr="003932DF">
        <w:rPr>
          <w:rFonts w:ascii="Palatino Linotype" w:eastAsiaTheme="minorHAnsi" w:hAnsi="Palatino Linotype" w:cs="Tahoma"/>
          <w:lang w:val="es-ES_tradnl" w:eastAsia="en-US"/>
        </w:rPr>
        <w:t xml:space="preserve"> con el Programa </w:t>
      </w:r>
      <w:r w:rsidR="00F31BDB" w:rsidRPr="003932DF">
        <w:rPr>
          <w:rFonts w:ascii="Palatino Linotype" w:eastAsia="Calibri" w:hAnsi="Palatino Linotype" w:cs="Tahoma"/>
          <w:iCs/>
          <w:color w:val="000000" w:themeColor="text1"/>
          <w:szCs w:val="22"/>
          <w:lang w:val="es-ES" w:eastAsia="es-ES_tradnl"/>
        </w:rPr>
        <w:t>“Apoyo de Transporte a Estudiantes Ixtapaluquenses a Nivel Superior, TUI”, del trece de enero de al treinta y uno de diciembre dos mil veinticuatro.</w:t>
      </w:r>
    </w:p>
    <w:p w14:paraId="03D716E3" w14:textId="77777777" w:rsidR="007C5E55" w:rsidRPr="003932DF" w:rsidRDefault="007C5E55" w:rsidP="00641744">
      <w:pPr>
        <w:widowControl w:val="0"/>
        <w:autoSpaceDE w:val="0"/>
        <w:autoSpaceDN w:val="0"/>
        <w:adjustRightInd w:val="0"/>
        <w:spacing w:line="360" w:lineRule="auto"/>
        <w:contextualSpacing/>
        <w:jc w:val="both"/>
        <w:rPr>
          <w:rFonts w:ascii="Palatino Linotype" w:eastAsia="Calibri" w:hAnsi="Palatino Linotype" w:cs="Tahoma"/>
          <w:sz w:val="22"/>
          <w:szCs w:val="24"/>
          <w:lang w:val="es-ES" w:eastAsia="es-MX"/>
        </w:rPr>
      </w:pPr>
    </w:p>
    <w:p w14:paraId="2412A8FB" w14:textId="2A274EAA" w:rsidR="007C5E55" w:rsidRPr="003932DF" w:rsidRDefault="00F31BDB" w:rsidP="00641744">
      <w:pPr>
        <w:spacing w:line="360" w:lineRule="auto"/>
        <w:jc w:val="both"/>
        <w:rPr>
          <w:rFonts w:ascii="Palatino Linotype" w:eastAsia="Calibri" w:hAnsi="Palatino Linotype" w:cs="Tahoma"/>
          <w:bCs/>
          <w:iCs/>
          <w:sz w:val="22"/>
          <w:szCs w:val="22"/>
          <w:lang w:val="es-ES_tradnl"/>
        </w:rPr>
      </w:pPr>
      <w:r w:rsidRPr="003932DF">
        <w:rPr>
          <w:rFonts w:ascii="Palatino Linotype" w:eastAsia="Calibri" w:hAnsi="Palatino Linotype" w:cs="Tahoma"/>
          <w:bCs/>
          <w:iCs/>
          <w:sz w:val="22"/>
          <w:szCs w:val="22"/>
          <w:lang w:val="es-ES_tradnl"/>
        </w:rPr>
        <w:t>Además,</w:t>
      </w:r>
      <w:r w:rsidR="00895F9E" w:rsidRPr="003932DF">
        <w:rPr>
          <w:rFonts w:ascii="Palatino Linotype" w:eastAsia="Calibri" w:hAnsi="Palatino Linotype" w:cs="Tahoma"/>
          <w:bCs/>
          <w:iCs/>
          <w:sz w:val="22"/>
          <w:szCs w:val="22"/>
          <w:lang w:val="es-ES_tradnl"/>
        </w:rPr>
        <w:t xml:space="preserve"> de ser necesario,</w:t>
      </w:r>
      <w:r w:rsidRPr="003932DF">
        <w:rPr>
          <w:rFonts w:ascii="Palatino Linotype" w:eastAsia="Calibri" w:hAnsi="Palatino Linotype" w:cs="Tahoma"/>
          <w:bCs/>
          <w:iCs/>
          <w:sz w:val="22"/>
          <w:szCs w:val="22"/>
          <w:lang w:val="es-ES_tradnl"/>
        </w:rPr>
        <w:t xml:space="preserve">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p>
    <w:p w14:paraId="31F9319B" w14:textId="77777777" w:rsidR="00F31BDB" w:rsidRPr="003932DF" w:rsidRDefault="00F31BDB" w:rsidP="00641744">
      <w:pPr>
        <w:spacing w:line="360" w:lineRule="auto"/>
        <w:ind w:right="-93"/>
        <w:jc w:val="both"/>
        <w:rPr>
          <w:rFonts w:ascii="Palatino Linotype" w:eastAsia="Calibri" w:hAnsi="Palatino Linotype" w:cs="Tahoma"/>
          <w:b/>
          <w:bCs/>
          <w:iCs/>
          <w:color w:val="FF0000"/>
          <w:sz w:val="22"/>
          <w:szCs w:val="22"/>
          <w:lang w:val="es-ES"/>
        </w:rPr>
      </w:pPr>
    </w:p>
    <w:p w14:paraId="7AE97E1F" w14:textId="77777777" w:rsidR="007C5E55" w:rsidRPr="003932DF" w:rsidRDefault="007C5E55" w:rsidP="00641744">
      <w:pPr>
        <w:spacing w:line="360" w:lineRule="auto"/>
        <w:jc w:val="both"/>
        <w:rPr>
          <w:rFonts w:ascii="Palatino Linotype" w:eastAsia="Calibri" w:hAnsi="Palatino Linotype" w:cs="Tahoma"/>
          <w:bCs/>
          <w:iCs/>
          <w:sz w:val="22"/>
          <w:szCs w:val="22"/>
          <w:lang w:val="es-ES_tradnl"/>
        </w:rPr>
      </w:pPr>
      <w:r w:rsidRPr="003932DF">
        <w:rPr>
          <w:rFonts w:ascii="Palatino Linotype" w:eastAsia="Calibri" w:hAnsi="Palatino Linotype" w:cs="Tahoma"/>
          <w:b/>
          <w:bCs/>
          <w:iCs/>
          <w:sz w:val="22"/>
          <w:szCs w:val="22"/>
          <w:lang w:val="es-ES"/>
        </w:rPr>
        <w:t>TERCERO</w:t>
      </w:r>
      <w:r w:rsidRPr="003932DF">
        <w:rPr>
          <w:rFonts w:ascii="Palatino Linotype" w:eastAsia="Calibri" w:hAnsi="Palatino Linotype" w:cs="Tahoma"/>
          <w:b/>
          <w:bCs/>
          <w:sz w:val="22"/>
          <w:szCs w:val="22"/>
          <w:lang w:eastAsia="en-US"/>
        </w:rPr>
        <w:t xml:space="preserve">. </w:t>
      </w:r>
      <w:r w:rsidRPr="003932DF">
        <w:rPr>
          <w:rFonts w:ascii="Palatino Linotype" w:eastAsia="Calibri"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del Recurrente que tiene derecho a interponer nuevamente Recurso de Revisión </w:t>
      </w:r>
      <w:r w:rsidRPr="003932DF">
        <w:rPr>
          <w:rFonts w:ascii="Palatino Linotype" w:eastAsia="Calibri" w:hAnsi="Palatino Linotype" w:cs="Tahoma"/>
          <w:bCs/>
          <w:iCs/>
          <w:sz w:val="22"/>
          <w:szCs w:val="22"/>
          <w:lang w:val="es-ES_tradnl"/>
        </w:rPr>
        <w:lastRenderedPageBreak/>
        <w:t xml:space="preserve">ante este Instituto, por la respuesta que dé el Sujeto Obligado, en cumplimiento a esta Resolución.  </w:t>
      </w:r>
    </w:p>
    <w:p w14:paraId="6A985C67" w14:textId="77777777" w:rsidR="007C5E55" w:rsidRPr="003932DF" w:rsidRDefault="007C5E55" w:rsidP="00641744">
      <w:pPr>
        <w:spacing w:line="360" w:lineRule="auto"/>
        <w:jc w:val="both"/>
        <w:rPr>
          <w:rFonts w:ascii="Palatino Linotype" w:eastAsia="Calibri" w:hAnsi="Palatino Linotype" w:cs="Tahoma"/>
          <w:bCs/>
          <w:iCs/>
          <w:sz w:val="22"/>
          <w:szCs w:val="22"/>
        </w:rPr>
      </w:pPr>
    </w:p>
    <w:p w14:paraId="721DC00B" w14:textId="77777777" w:rsidR="007C5E55" w:rsidRPr="003932DF" w:rsidRDefault="007C5E55" w:rsidP="00641744">
      <w:pPr>
        <w:spacing w:line="360" w:lineRule="auto"/>
        <w:jc w:val="both"/>
        <w:rPr>
          <w:rFonts w:ascii="Palatino Linotype" w:hAnsi="Palatino Linotype" w:cs="Tahoma"/>
          <w:b/>
          <w:sz w:val="22"/>
          <w:szCs w:val="22"/>
        </w:rPr>
      </w:pPr>
      <w:r w:rsidRPr="003932DF">
        <w:rPr>
          <w:rFonts w:ascii="Palatino Linotype" w:eastAsia="Calibri" w:hAnsi="Palatino Linotype" w:cs="Tahoma"/>
          <w:b/>
          <w:sz w:val="22"/>
          <w:szCs w:val="22"/>
          <w:lang w:eastAsia="es-MX"/>
        </w:rPr>
        <w:t>CUARTO</w:t>
      </w:r>
      <w:r w:rsidRPr="003932DF">
        <w:rPr>
          <w:rFonts w:ascii="Palatino Linotype" w:eastAsia="Calibri" w:hAnsi="Palatino Linotype" w:cs="Tahoma"/>
          <w:b/>
          <w:bCs/>
          <w:sz w:val="22"/>
          <w:szCs w:val="22"/>
          <w:lang w:eastAsia="en-US"/>
        </w:rPr>
        <w:t xml:space="preserve">. </w:t>
      </w:r>
      <w:r w:rsidRPr="003932DF">
        <w:rPr>
          <w:rFonts w:ascii="Palatino Linotype" w:hAnsi="Palatino Linotype" w:cs="Tahoma"/>
          <w:b/>
          <w:sz w:val="22"/>
          <w:szCs w:val="22"/>
        </w:rPr>
        <w:t xml:space="preserve">NOTIFÍQUESE POR SAIMEX </w:t>
      </w:r>
      <w:r w:rsidRPr="003932DF">
        <w:rPr>
          <w:rFonts w:ascii="Palatino Linotype" w:hAnsi="Palatino Linotype" w:cs="Tahoma"/>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A5D6406" w14:textId="77777777" w:rsidR="007C5E55" w:rsidRPr="003932DF" w:rsidRDefault="007C5E55" w:rsidP="00641744">
      <w:pPr>
        <w:spacing w:line="360" w:lineRule="auto"/>
        <w:jc w:val="both"/>
        <w:rPr>
          <w:rFonts w:ascii="Palatino Linotype" w:hAnsi="Palatino Linotype" w:cs="Tahoma"/>
          <w:sz w:val="22"/>
          <w:szCs w:val="22"/>
        </w:rPr>
      </w:pPr>
    </w:p>
    <w:p w14:paraId="6BD32819" w14:textId="77777777" w:rsidR="007C5E55" w:rsidRPr="003932DF" w:rsidRDefault="007C5E55" w:rsidP="00641744">
      <w:pPr>
        <w:spacing w:line="360" w:lineRule="auto"/>
        <w:contextualSpacing/>
        <w:jc w:val="both"/>
        <w:rPr>
          <w:rFonts w:ascii="Palatino Linotype" w:eastAsiaTheme="minorHAnsi" w:hAnsi="Palatino Linotype" w:cs="Tahoma"/>
          <w:sz w:val="22"/>
          <w:szCs w:val="22"/>
          <w:lang w:eastAsia="en-US"/>
        </w:rPr>
      </w:pPr>
      <w:r w:rsidRPr="003932DF">
        <w:rPr>
          <w:rFonts w:ascii="Palatino Linotype" w:eastAsiaTheme="minorHAnsi" w:hAnsi="Palatino Linotype" w:cstheme="minorBidi"/>
          <w:b/>
          <w:bCs/>
          <w:sz w:val="22"/>
          <w:szCs w:val="22"/>
          <w:lang w:eastAsia="en-US"/>
        </w:rPr>
        <w:t>QUINTO.</w:t>
      </w:r>
      <w:r w:rsidRPr="003932DF">
        <w:rPr>
          <w:rFonts w:ascii="Palatino Linotype" w:eastAsiaTheme="minorHAnsi" w:hAnsi="Palatino Linotype" w:cstheme="minorBidi"/>
          <w:sz w:val="22"/>
          <w:szCs w:val="22"/>
          <w:lang w:eastAsia="en-US"/>
        </w:rPr>
        <w:t xml:space="preserve"> </w:t>
      </w:r>
      <w:r w:rsidRPr="003932DF">
        <w:rPr>
          <w:rFonts w:ascii="Palatino Linotype" w:eastAsiaTheme="minorHAnsi" w:hAnsi="Palatino Linotype" w:cs="Tahoma"/>
          <w:b/>
          <w:sz w:val="22"/>
          <w:szCs w:val="22"/>
          <w:lang w:eastAsia="en-US"/>
        </w:rPr>
        <w:t>NOTIFÍQUESE POR SAIMEX</w:t>
      </w:r>
      <w:r w:rsidRPr="003932DF">
        <w:rPr>
          <w:rFonts w:ascii="Palatino Linotype" w:eastAsiaTheme="minorHAnsi" w:hAnsi="Palatino Linotype" w:cs="Tahoma"/>
          <w:sz w:val="22"/>
          <w:szCs w:val="22"/>
          <w:lang w:eastAsia="en-US"/>
        </w:rPr>
        <w:t xml:space="preserve"> al Recurrente la presente,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EB632E8" w14:textId="77777777" w:rsidR="007C5E55" w:rsidRPr="003932DF" w:rsidRDefault="007C5E55" w:rsidP="00641744">
      <w:pPr>
        <w:spacing w:line="360" w:lineRule="auto"/>
        <w:ind w:right="-93"/>
        <w:jc w:val="both"/>
        <w:rPr>
          <w:rFonts w:ascii="Palatino Linotype" w:hAnsi="Palatino Linotype"/>
          <w:color w:val="FF0000"/>
          <w:sz w:val="22"/>
          <w:szCs w:val="22"/>
          <w:shd w:val="clear" w:color="auto" w:fill="FFFFFF"/>
        </w:rPr>
      </w:pPr>
    </w:p>
    <w:p w14:paraId="4ECBB071" w14:textId="77777777" w:rsidR="007C5E55" w:rsidRPr="003932DF" w:rsidRDefault="007C5E55" w:rsidP="00641744">
      <w:pPr>
        <w:spacing w:line="360" w:lineRule="auto"/>
        <w:ind w:right="-93"/>
        <w:jc w:val="both"/>
        <w:rPr>
          <w:rFonts w:ascii="Palatino Linotype" w:eastAsia="Calibri" w:hAnsi="Palatino Linotype" w:cs="Tahoma"/>
          <w:bCs/>
          <w:sz w:val="22"/>
          <w:szCs w:val="22"/>
          <w:lang w:eastAsia="en-US"/>
        </w:rPr>
      </w:pPr>
      <w:r w:rsidRPr="003932DF">
        <w:rPr>
          <w:rFonts w:ascii="Palatino Linotype" w:hAnsi="Palatino Linotype" w:cs="Tahoma"/>
          <w:b/>
          <w:sz w:val="22"/>
          <w:szCs w:val="22"/>
        </w:rPr>
        <w:t xml:space="preserve">SEXTO. </w:t>
      </w:r>
      <w:r w:rsidRPr="003932DF">
        <w:rPr>
          <w:rFonts w:ascii="Palatino Linotype" w:eastAsia="Calibri" w:hAnsi="Palatino Linotype" w:cs="Tahoma"/>
          <w:bCs/>
          <w:sz w:val="22"/>
          <w:szCs w:val="22"/>
          <w:lang w:eastAsia="en-US"/>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773CC7CC" w14:textId="77777777" w:rsidR="007C5E55" w:rsidRPr="003932DF" w:rsidRDefault="007C5E55" w:rsidP="00641744">
      <w:pPr>
        <w:spacing w:line="360" w:lineRule="auto"/>
        <w:ind w:right="-93"/>
        <w:jc w:val="both"/>
        <w:rPr>
          <w:rFonts w:ascii="Palatino Linotype" w:eastAsia="Calibri" w:hAnsi="Palatino Linotype" w:cs="Tahoma"/>
          <w:bCs/>
          <w:color w:val="FF0000"/>
          <w:sz w:val="22"/>
          <w:szCs w:val="22"/>
          <w:lang w:eastAsia="en-US"/>
        </w:rPr>
      </w:pPr>
    </w:p>
    <w:p w14:paraId="71C9DAC3" w14:textId="574DEA86" w:rsidR="007C5E55" w:rsidRPr="007C5E55" w:rsidRDefault="007C5E55" w:rsidP="00641744">
      <w:pPr>
        <w:spacing w:line="360" w:lineRule="auto"/>
        <w:jc w:val="both"/>
        <w:rPr>
          <w:rFonts w:ascii="Palatino Linotype" w:eastAsia="Calibri" w:hAnsi="Palatino Linotype" w:cs="Tahoma"/>
          <w:sz w:val="22"/>
          <w:szCs w:val="22"/>
          <w:lang w:val="es-ES" w:eastAsia="es-ES_tradnl"/>
        </w:rPr>
      </w:pPr>
      <w:r w:rsidRPr="003932DF">
        <w:rPr>
          <w:rFonts w:ascii="Palatino Linotype" w:eastAsia="Calibri" w:hAnsi="Palatino Linotype" w:cs="Tahoma"/>
          <w:sz w:val="22"/>
          <w:szCs w:val="22"/>
          <w:lang w:val="es-ES" w:eastAsia="es-ES_tradnl"/>
        </w:rPr>
        <w:t xml:space="preserve">ASÍ LO RESUELVE, POR </w:t>
      </w:r>
      <w:r w:rsidRPr="003932DF">
        <w:rPr>
          <w:rFonts w:ascii="Palatino Linotype" w:eastAsia="Calibri" w:hAnsi="Palatino Linotype" w:cs="Tahoma"/>
          <w:b/>
          <w:sz w:val="22"/>
          <w:szCs w:val="22"/>
          <w:lang w:val="es-ES" w:eastAsia="es-ES_tradnl"/>
        </w:rPr>
        <w:t>UNANIMIDAD</w:t>
      </w:r>
      <w:r w:rsidRPr="003932DF">
        <w:rPr>
          <w:rFonts w:ascii="Palatino Linotype" w:eastAsia="Calibri" w:hAnsi="Palatino Linotype" w:cs="Tahoma"/>
          <w:sz w:val="22"/>
          <w:szCs w:val="22"/>
          <w:lang w:val="es-ES" w:eastAsia="es-ES_tradnl"/>
        </w:rPr>
        <w:t xml:space="preserve"> DE VOTOS EL PLENO DEL INSTITUTO DE TRANSPARENCIA, ACCESO A LA INFORMACIÓN PÚBLICA Y PROTECCIÓN DE DATOS PERSONALES DEL ESTADO DE MÉXICO Y MUNICIPIOS, CONFORMADO POR </w:t>
      </w:r>
      <w:r w:rsidRPr="003932DF">
        <w:rPr>
          <w:rFonts w:ascii="Palatino Linotype" w:eastAsia="Calibri" w:hAnsi="Palatino Linotype" w:cs="Tahoma"/>
          <w:sz w:val="22"/>
          <w:szCs w:val="22"/>
          <w:lang w:val="es-ES" w:eastAsia="es-ES_tradnl"/>
        </w:rPr>
        <w:lastRenderedPageBreak/>
        <w:t xml:space="preserve">LOS COMISIONADOS JOSÉ MARTÍNEZ VILCHIS, MARÍA DEL ROSARIO MEJÍA AYALA, SHARON CRISTINA MORALES MARTÍNEZ, LUIS GUSTAVO PARRA NORIEGA Y GUADALUPE RAMÍREZ PEÑA, EN LA </w:t>
      </w:r>
      <w:r w:rsidR="00F31BDB" w:rsidRPr="003932DF">
        <w:rPr>
          <w:rFonts w:ascii="Palatino Linotype" w:eastAsia="Calibri" w:hAnsi="Palatino Linotype" w:cs="Tahoma"/>
          <w:sz w:val="22"/>
          <w:szCs w:val="22"/>
          <w:lang w:val="es-ES" w:eastAsia="es-ES_tradnl"/>
        </w:rPr>
        <w:t xml:space="preserve">DÉCIMA </w:t>
      </w:r>
      <w:r w:rsidRPr="003932DF">
        <w:rPr>
          <w:rFonts w:ascii="Palatino Linotype" w:eastAsia="Calibri" w:hAnsi="Palatino Linotype" w:cs="Tahoma"/>
          <w:sz w:val="22"/>
          <w:szCs w:val="22"/>
          <w:lang w:val="es-ES" w:eastAsia="es-ES_tradnl"/>
        </w:rPr>
        <w:t xml:space="preserve">SESIÓN ORDINARIA, CELEBRADA EL </w:t>
      </w:r>
      <w:r w:rsidR="00F31BDB" w:rsidRPr="003932DF">
        <w:rPr>
          <w:rFonts w:ascii="Palatino Linotype" w:eastAsia="Calibri" w:hAnsi="Palatino Linotype" w:cs="Tahoma"/>
          <w:sz w:val="22"/>
          <w:szCs w:val="22"/>
          <w:lang w:val="es-ES" w:eastAsia="es-ES_tradnl"/>
        </w:rPr>
        <w:t xml:space="preserve">VEINTE DE </w:t>
      </w:r>
      <w:r w:rsidRPr="003932DF">
        <w:rPr>
          <w:rFonts w:ascii="Palatino Linotype" w:eastAsia="Calibri" w:hAnsi="Palatino Linotype" w:cs="Tahoma"/>
          <w:sz w:val="22"/>
          <w:szCs w:val="22"/>
          <w:lang w:val="es-ES" w:eastAsia="es-ES_tradnl"/>
        </w:rPr>
        <w:t>MARZO DE DOS MIL VEINTICINCO, ANTE EL SECRETARIO TÉCNICO DEL PLENO, ALEXIS TAPIA RAMÍREZ.</w:t>
      </w:r>
    </w:p>
    <w:p w14:paraId="67DA5C34" w14:textId="77777777" w:rsidR="007C5E55" w:rsidRPr="007C5E55" w:rsidRDefault="007C5E55" w:rsidP="00641744">
      <w:pPr>
        <w:spacing w:line="360" w:lineRule="auto"/>
        <w:jc w:val="both"/>
        <w:rPr>
          <w:rFonts w:ascii="Palatino Linotype" w:eastAsia="Calibri" w:hAnsi="Palatino Linotype" w:cs="Tahoma"/>
          <w:color w:val="FF0000"/>
          <w:sz w:val="22"/>
          <w:szCs w:val="22"/>
          <w:lang w:val="es-ES" w:eastAsia="es-ES_tradnl"/>
        </w:rPr>
      </w:pPr>
    </w:p>
    <w:p w14:paraId="60FB9651" w14:textId="26C3D98A" w:rsidR="004D5701" w:rsidRDefault="004D5701" w:rsidP="00641744">
      <w:pPr>
        <w:spacing w:line="360" w:lineRule="auto"/>
        <w:contextualSpacing/>
        <w:jc w:val="both"/>
        <w:rPr>
          <w:rFonts w:ascii="Palatino Linotype" w:eastAsiaTheme="minorHAnsi" w:hAnsi="Palatino Linotype" w:cs="Tahoma"/>
          <w:sz w:val="22"/>
          <w:szCs w:val="24"/>
          <w:lang w:val="es-ES_tradnl" w:eastAsia="en-US"/>
        </w:rPr>
      </w:pPr>
    </w:p>
    <w:p w14:paraId="7A695E8C" w14:textId="77777777" w:rsidR="004D5701" w:rsidRDefault="004D5701"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632AF191" w14:textId="77777777" w:rsidR="00F31BDB" w:rsidRDefault="00F31BDB"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01822E2F" w14:textId="77777777" w:rsidR="00F31BDB" w:rsidRDefault="00F31BDB"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7A3260C4" w14:textId="77777777" w:rsidR="00F31BDB" w:rsidRDefault="00F31BDB"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30B4FC01"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2A348995"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3C8EDD17"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4FC48B87"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4229A185"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52263F3C"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2054CB6C"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700CB3EA"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325F155D"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04C36648"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5737954C"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0A6766D8"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3BE124F7"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4753EFEC"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7A28028E"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6BF6E8E9" w14:textId="77777777" w:rsidR="003932DF"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p w14:paraId="7A521F10" w14:textId="77777777" w:rsidR="003932DF" w:rsidRPr="00F23882" w:rsidRDefault="003932DF" w:rsidP="00641744">
      <w:pPr>
        <w:tabs>
          <w:tab w:val="left" w:pos="4962"/>
        </w:tabs>
        <w:spacing w:line="360" w:lineRule="auto"/>
        <w:contextualSpacing/>
        <w:jc w:val="both"/>
        <w:rPr>
          <w:rFonts w:ascii="Palatino Linotype" w:eastAsiaTheme="minorHAnsi" w:hAnsi="Palatino Linotype" w:cs="Tahoma"/>
          <w:sz w:val="22"/>
          <w:szCs w:val="24"/>
          <w:lang w:val="es-ES_tradnl" w:eastAsia="en-US"/>
        </w:rPr>
      </w:pPr>
    </w:p>
    <w:sectPr w:rsidR="003932DF" w:rsidRPr="00F23882" w:rsidSect="00DB7E5F">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C72B5" w14:textId="77777777" w:rsidR="00110BC7" w:rsidRDefault="00110BC7" w:rsidP="00B31222">
      <w:r>
        <w:separator/>
      </w:r>
    </w:p>
  </w:endnote>
  <w:endnote w:type="continuationSeparator" w:id="0">
    <w:p w14:paraId="2A248FF3" w14:textId="77777777" w:rsidR="00110BC7" w:rsidRDefault="00110BC7"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300C1A" w:rsidRPr="00C13895" w:rsidRDefault="00300C1A">
            <w:pPr>
              <w:pStyle w:val="Piedepgina"/>
              <w:jc w:val="right"/>
              <w:rPr>
                <w:sz w:val="26"/>
                <w:szCs w:val="26"/>
              </w:rPr>
            </w:pPr>
          </w:p>
          <w:p w14:paraId="4EA60772" w14:textId="77777777" w:rsidR="00300C1A" w:rsidRDefault="00300C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F057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F0576">
              <w:rPr>
                <w:b/>
                <w:bCs/>
                <w:noProof/>
              </w:rPr>
              <w:t>34</w:t>
            </w:r>
            <w:r>
              <w:rPr>
                <w:b/>
                <w:bCs/>
                <w:sz w:val="24"/>
                <w:szCs w:val="24"/>
              </w:rPr>
              <w:fldChar w:fldCharType="end"/>
            </w:r>
          </w:p>
        </w:sdtContent>
      </w:sdt>
    </w:sdtContent>
  </w:sdt>
  <w:p w14:paraId="52786F2A" w14:textId="77777777" w:rsidR="00300C1A" w:rsidRDefault="00300C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300C1A" w:rsidRDefault="00300C1A">
            <w:pPr>
              <w:pStyle w:val="Piedepgina"/>
              <w:jc w:val="right"/>
            </w:pPr>
          </w:p>
          <w:p w14:paraId="2D2F5338" w14:textId="77777777" w:rsidR="00300C1A" w:rsidRDefault="00300C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F057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F0576">
              <w:rPr>
                <w:b/>
                <w:bCs/>
                <w:noProof/>
              </w:rPr>
              <w:t>34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452E4" w14:textId="77777777" w:rsidR="00110BC7" w:rsidRDefault="00110BC7" w:rsidP="00B31222">
      <w:r>
        <w:separator/>
      </w:r>
    </w:p>
  </w:footnote>
  <w:footnote w:type="continuationSeparator" w:id="0">
    <w:p w14:paraId="72122157" w14:textId="77777777" w:rsidR="00110BC7" w:rsidRDefault="00110BC7"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300C1A" w:rsidRPr="005C106F" w14:paraId="50E888ED" w14:textId="77777777" w:rsidTr="00895942">
      <w:trPr>
        <w:trHeight w:val="1412"/>
      </w:trPr>
      <w:tc>
        <w:tcPr>
          <w:tcW w:w="8222" w:type="dxa"/>
          <w:shd w:val="clear" w:color="auto" w:fill="auto"/>
        </w:tcPr>
        <w:p w14:paraId="25AE65CF" w14:textId="77777777" w:rsidR="00300C1A" w:rsidRDefault="00300C1A"/>
        <w:tbl>
          <w:tblPr>
            <w:tblStyle w:val="Tablaconcuadrcula"/>
            <w:tblW w:w="6701"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300C1A" w14:paraId="401FF1E4" w14:textId="77777777" w:rsidTr="00AD54D1">
            <w:trPr>
              <w:trHeight w:val="144"/>
            </w:trPr>
            <w:tc>
              <w:tcPr>
                <w:tcW w:w="2552" w:type="dxa"/>
              </w:tcPr>
              <w:p w14:paraId="2FAA5A5D" w14:textId="77777777" w:rsidR="00300C1A" w:rsidRPr="00026EBB" w:rsidRDefault="00300C1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004A6126" w:rsidR="00300C1A" w:rsidRPr="009C44AA" w:rsidRDefault="00300C1A"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B64111">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1646</w:t>
                </w:r>
                <w:r w:rsidRPr="00B64111">
                  <w:rPr>
                    <w:rFonts w:ascii="Palatino Linotype" w:eastAsia="Calibri" w:hAnsi="Palatino Linotype" w:cs="Tahoma"/>
                    <w:sz w:val="22"/>
                    <w:szCs w:val="22"/>
                    <w:lang w:val="es-MX" w:eastAsia="en-US"/>
                  </w:rPr>
                  <w:t>/INFOEM/IP/RR/2025</w:t>
                </w:r>
              </w:p>
            </w:tc>
          </w:tr>
          <w:tr w:rsidR="00300C1A" w14:paraId="6B793921" w14:textId="77777777" w:rsidTr="00AD54D1">
            <w:trPr>
              <w:trHeight w:val="144"/>
            </w:trPr>
            <w:tc>
              <w:tcPr>
                <w:tcW w:w="2552" w:type="dxa"/>
              </w:tcPr>
              <w:p w14:paraId="248F8814" w14:textId="77777777" w:rsidR="00300C1A" w:rsidRPr="00026EBB" w:rsidRDefault="00300C1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455FA37C" w:rsidR="00300C1A" w:rsidRPr="009C44AA" w:rsidRDefault="00300C1A" w:rsidP="00B64111">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2B3B70">
                  <w:rPr>
                    <w:rFonts w:ascii="Palatino Linotype" w:eastAsia="Calibri" w:hAnsi="Palatino Linotype" w:cs="Tahoma"/>
                    <w:bCs/>
                    <w:sz w:val="22"/>
                    <w:szCs w:val="22"/>
                    <w:lang w:val="es-MX" w:eastAsia="en-US"/>
                  </w:rPr>
                  <w:t>Ayuntamiento</w:t>
                </w:r>
                <w:r>
                  <w:rPr>
                    <w:rFonts w:ascii="Palatino Linotype" w:eastAsia="Calibri" w:hAnsi="Palatino Linotype" w:cs="Tahoma"/>
                    <w:bCs/>
                    <w:sz w:val="22"/>
                    <w:szCs w:val="22"/>
                    <w:lang w:val="es-MX" w:eastAsia="en-US"/>
                  </w:rPr>
                  <w:t xml:space="preserve"> de Ixtapaluca</w:t>
                </w:r>
              </w:p>
            </w:tc>
          </w:tr>
          <w:tr w:rsidR="00300C1A" w14:paraId="5F57F04A" w14:textId="77777777" w:rsidTr="00AD54D1">
            <w:trPr>
              <w:trHeight w:val="138"/>
            </w:trPr>
            <w:tc>
              <w:tcPr>
                <w:tcW w:w="2552" w:type="dxa"/>
              </w:tcPr>
              <w:p w14:paraId="249191FD" w14:textId="77777777" w:rsidR="00300C1A" w:rsidRPr="00026EBB" w:rsidRDefault="00300C1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300C1A" w:rsidRPr="009C44AA" w:rsidRDefault="00300C1A"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300C1A" w:rsidRPr="005C106F" w:rsidRDefault="00300C1A" w:rsidP="005743D2">
          <w:pPr>
            <w:tabs>
              <w:tab w:val="right" w:pos="8838"/>
            </w:tabs>
            <w:ind w:left="-28"/>
            <w:jc w:val="both"/>
            <w:rPr>
              <w:rFonts w:ascii="Arial" w:eastAsia="Calibri" w:hAnsi="Arial" w:cs="Arial"/>
              <w:b/>
              <w:sz w:val="22"/>
              <w:szCs w:val="22"/>
              <w:lang w:eastAsia="en-US"/>
            </w:rPr>
          </w:pPr>
        </w:p>
      </w:tc>
    </w:tr>
  </w:tbl>
  <w:p w14:paraId="03D9BF59" w14:textId="4D62241B" w:rsidR="00300C1A" w:rsidRDefault="00110BC7"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7.15pt;margin-top:-128.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300C1A" w:rsidRDefault="00110BC7">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300C1A" w:rsidRPr="00264223" w14:paraId="47FE01F0" w14:textId="77777777" w:rsidTr="00765288">
      <w:trPr>
        <w:trHeight w:val="466"/>
      </w:trPr>
      <w:tc>
        <w:tcPr>
          <w:tcW w:w="2694" w:type="dxa"/>
          <w:vAlign w:val="bottom"/>
        </w:tcPr>
        <w:p w14:paraId="797F08EF" w14:textId="77777777" w:rsidR="00300C1A" w:rsidRPr="00026EBB" w:rsidRDefault="00300C1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300C1A" w:rsidRPr="0091633A" w:rsidRDefault="00300C1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106D7057" w:rsidR="00300C1A" w:rsidRPr="00B64111" w:rsidRDefault="00300C1A"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B64111">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1646</w:t>
          </w:r>
          <w:r w:rsidRPr="00B64111">
            <w:rPr>
              <w:rFonts w:ascii="Palatino Linotype" w:eastAsia="Calibri" w:hAnsi="Palatino Linotype" w:cs="Tahoma"/>
              <w:sz w:val="22"/>
              <w:szCs w:val="22"/>
              <w:lang w:val="es-MX" w:eastAsia="en-US"/>
            </w:rPr>
            <w:t>/INFOEM/IP/RR/2025</w:t>
          </w:r>
        </w:p>
      </w:tc>
    </w:tr>
    <w:tr w:rsidR="00300C1A" w:rsidRPr="00264223" w14:paraId="3B115A83" w14:textId="77777777" w:rsidTr="00765288">
      <w:trPr>
        <w:trHeight w:val="119"/>
      </w:trPr>
      <w:tc>
        <w:tcPr>
          <w:tcW w:w="2694" w:type="dxa"/>
        </w:tcPr>
        <w:p w14:paraId="769D227C" w14:textId="77777777" w:rsidR="00300C1A" w:rsidRPr="00026EBB" w:rsidRDefault="00300C1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300C1A" w:rsidRPr="00026EBB" w:rsidRDefault="00300C1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1D4A786B" w:rsidR="00300C1A" w:rsidRPr="00B64111" w:rsidRDefault="009026C0"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9026C0">
            <w:rPr>
              <w:rFonts w:ascii="Palatino Linotype" w:eastAsia="Calibri" w:hAnsi="Palatino Linotype" w:cs="Tahoma"/>
              <w:sz w:val="22"/>
              <w:szCs w:val="22"/>
              <w:highlight w:val="black"/>
              <w:lang w:val="es-MX" w:eastAsia="en-US"/>
            </w:rPr>
            <w:t>XXXXXXXXXXXXXX</w:t>
          </w:r>
        </w:p>
      </w:tc>
    </w:tr>
    <w:tr w:rsidR="00300C1A" w:rsidRPr="00264223" w14:paraId="111B16D3" w14:textId="77777777" w:rsidTr="00765288">
      <w:trPr>
        <w:trHeight w:val="234"/>
      </w:trPr>
      <w:tc>
        <w:tcPr>
          <w:tcW w:w="2694" w:type="dxa"/>
        </w:tcPr>
        <w:p w14:paraId="23CA2497" w14:textId="2D869CFF" w:rsidR="00300C1A" w:rsidRPr="00026EBB" w:rsidRDefault="00300C1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300C1A" w:rsidRPr="00026EBB" w:rsidRDefault="00300C1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2D0BF92B" w:rsidR="00300C1A" w:rsidRPr="00E07AF1" w:rsidRDefault="00300C1A" w:rsidP="00B64111">
          <w:pPr>
            <w:tabs>
              <w:tab w:val="right" w:pos="8838"/>
            </w:tabs>
            <w:spacing w:line="276" w:lineRule="auto"/>
            <w:ind w:right="-108"/>
            <w:jc w:val="both"/>
            <w:rPr>
              <w:rFonts w:ascii="Palatino Linotype" w:eastAsia="Calibri" w:hAnsi="Palatino Linotype" w:cs="Tahoma"/>
              <w:sz w:val="22"/>
              <w:szCs w:val="22"/>
              <w:lang w:eastAsia="en-US"/>
            </w:rPr>
          </w:pPr>
          <w:r w:rsidRPr="002B3B70">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Ixtapaluca</w:t>
          </w:r>
        </w:p>
      </w:tc>
    </w:tr>
    <w:tr w:rsidR="00300C1A" w:rsidRPr="00264223" w14:paraId="69512480" w14:textId="77777777" w:rsidTr="00765288">
      <w:trPr>
        <w:trHeight w:val="234"/>
      </w:trPr>
      <w:tc>
        <w:tcPr>
          <w:tcW w:w="2694" w:type="dxa"/>
        </w:tcPr>
        <w:p w14:paraId="574761F6" w14:textId="77777777" w:rsidR="00300C1A" w:rsidRPr="00026EBB" w:rsidRDefault="00300C1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300C1A" w:rsidRPr="00026EBB" w:rsidRDefault="00300C1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300C1A" w:rsidRDefault="00300C1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300C1A" w:rsidRPr="00E67009" w:rsidRDefault="00300C1A"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3319D"/>
    <w:multiLevelType w:val="hybridMultilevel"/>
    <w:tmpl w:val="3620D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445985"/>
    <w:multiLevelType w:val="hybridMultilevel"/>
    <w:tmpl w:val="17580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2D0CBB"/>
    <w:multiLevelType w:val="hybridMultilevel"/>
    <w:tmpl w:val="FFFFFFFF"/>
    <w:lvl w:ilvl="0" w:tplc="080A0015">
      <w:start w:val="1"/>
      <w:numFmt w:val="upp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5"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5D0BCB"/>
    <w:multiLevelType w:val="hybridMultilevel"/>
    <w:tmpl w:val="FFFFFFFF"/>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7837CD"/>
    <w:multiLevelType w:val="hybridMultilevel"/>
    <w:tmpl w:val="C68C9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3" w15:restartNumberingAfterBreak="0">
    <w:nsid w:val="556418AD"/>
    <w:multiLevelType w:val="hybridMultilevel"/>
    <w:tmpl w:val="B28416B8"/>
    <w:lvl w:ilvl="0" w:tplc="080A0017">
      <w:start w:val="1"/>
      <w:numFmt w:val="lowerLetter"/>
      <w:lvlText w:val="%1)"/>
      <w:lvlJc w:val="left"/>
      <w:pPr>
        <w:ind w:left="1545" w:hanging="360"/>
      </w:pPr>
    </w:lvl>
    <w:lvl w:ilvl="1" w:tplc="080A0019">
      <w:start w:val="1"/>
      <w:numFmt w:val="lowerLetter"/>
      <w:lvlText w:val="%2."/>
      <w:lvlJc w:val="left"/>
      <w:pPr>
        <w:ind w:left="2265" w:hanging="360"/>
      </w:pPr>
    </w:lvl>
    <w:lvl w:ilvl="2" w:tplc="080A001B">
      <w:start w:val="1"/>
      <w:numFmt w:val="lowerRoman"/>
      <w:lvlText w:val="%3."/>
      <w:lvlJc w:val="right"/>
      <w:pPr>
        <w:ind w:left="2985" w:hanging="180"/>
      </w:pPr>
    </w:lvl>
    <w:lvl w:ilvl="3" w:tplc="080A000F">
      <w:start w:val="1"/>
      <w:numFmt w:val="decimal"/>
      <w:lvlText w:val="%4."/>
      <w:lvlJc w:val="left"/>
      <w:pPr>
        <w:ind w:left="3705" w:hanging="360"/>
      </w:pPr>
    </w:lvl>
    <w:lvl w:ilvl="4" w:tplc="080A0019">
      <w:start w:val="1"/>
      <w:numFmt w:val="lowerLetter"/>
      <w:lvlText w:val="%5."/>
      <w:lvlJc w:val="left"/>
      <w:pPr>
        <w:ind w:left="4425" w:hanging="360"/>
      </w:pPr>
    </w:lvl>
    <w:lvl w:ilvl="5" w:tplc="080A001B">
      <w:start w:val="1"/>
      <w:numFmt w:val="lowerRoman"/>
      <w:lvlText w:val="%6."/>
      <w:lvlJc w:val="right"/>
      <w:pPr>
        <w:ind w:left="5145" w:hanging="180"/>
      </w:pPr>
    </w:lvl>
    <w:lvl w:ilvl="6" w:tplc="080A000F">
      <w:start w:val="1"/>
      <w:numFmt w:val="decimal"/>
      <w:lvlText w:val="%7."/>
      <w:lvlJc w:val="left"/>
      <w:pPr>
        <w:ind w:left="5865" w:hanging="360"/>
      </w:pPr>
    </w:lvl>
    <w:lvl w:ilvl="7" w:tplc="080A0019">
      <w:start w:val="1"/>
      <w:numFmt w:val="lowerLetter"/>
      <w:lvlText w:val="%8."/>
      <w:lvlJc w:val="left"/>
      <w:pPr>
        <w:ind w:left="6585" w:hanging="360"/>
      </w:pPr>
    </w:lvl>
    <w:lvl w:ilvl="8" w:tplc="080A001B">
      <w:start w:val="1"/>
      <w:numFmt w:val="lowerRoman"/>
      <w:lvlText w:val="%9."/>
      <w:lvlJc w:val="right"/>
      <w:pPr>
        <w:ind w:left="7305" w:hanging="180"/>
      </w:pPr>
    </w:lvl>
  </w:abstractNum>
  <w:abstractNum w:abstractNumId="24"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97014E"/>
    <w:multiLevelType w:val="hybridMultilevel"/>
    <w:tmpl w:val="FFFFFFFF"/>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15:restartNumberingAfterBreak="0">
    <w:nsid w:val="64B537A3"/>
    <w:multiLevelType w:val="hybridMultilevel"/>
    <w:tmpl w:val="6A022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CC7057"/>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A347E13"/>
    <w:multiLevelType w:val="hybridMultilevel"/>
    <w:tmpl w:val="E2C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8"/>
  </w:num>
  <w:num w:numId="4">
    <w:abstractNumId w:val="21"/>
  </w:num>
  <w:num w:numId="5">
    <w:abstractNumId w:val="30"/>
  </w:num>
  <w:num w:numId="6">
    <w:abstractNumId w:val="26"/>
  </w:num>
  <w:num w:numId="7">
    <w:abstractNumId w:val="1"/>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8"/>
  </w:num>
  <w:num w:numId="13">
    <w:abstractNumId w:val="5"/>
  </w:num>
  <w:num w:numId="14">
    <w:abstractNumId w:val="32"/>
  </w:num>
  <w:num w:numId="15">
    <w:abstractNumId w:val="6"/>
  </w:num>
  <w:num w:numId="16">
    <w:abstractNumId w:val="19"/>
  </w:num>
  <w:num w:numId="17">
    <w:abstractNumId w:val="15"/>
  </w:num>
  <w:num w:numId="18">
    <w:abstractNumId w:val="20"/>
  </w:num>
  <w:num w:numId="19">
    <w:abstractNumId w:val="4"/>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num>
  <w:num w:numId="24">
    <w:abstractNumId w:val="27"/>
  </w:num>
  <w:num w:numId="25">
    <w:abstractNumId w:val="13"/>
  </w:num>
  <w:num w:numId="26">
    <w:abstractNumId w:val="2"/>
  </w:num>
  <w:num w:numId="27">
    <w:abstractNumId w:val="3"/>
  </w:num>
  <w:num w:numId="28">
    <w:abstractNumId w:val="11"/>
  </w:num>
  <w:num w:numId="29">
    <w:abstractNumId w:val="31"/>
  </w:num>
  <w:num w:numId="30">
    <w:abstractNumId w:val="12"/>
  </w:num>
  <w:num w:numId="31">
    <w:abstractNumId w:val="23"/>
  </w:num>
  <w:num w:numId="32">
    <w:abstractNumId w:val="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49DF"/>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462D"/>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04D6"/>
    <w:rsid w:val="0007284D"/>
    <w:rsid w:val="00072929"/>
    <w:rsid w:val="00073274"/>
    <w:rsid w:val="0007424C"/>
    <w:rsid w:val="00076A8D"/>
    <w:rsid w:val="000813B0"/>
    <w:rsid w:val="0008148B"/>
    <w:rsid w:val="0008165E"/>
    <w:rsid w:val="00081C8C"/>
    <w:rsid w:val="00082F59"/>
    <w:rsid w:val="00086CC7"/>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204"/>
    <w:rsid w:val="000B5711"/>
    <w:rsid w:val="000B6020"/>
    <w:rsid w:val="000B691A"/>
    <w:rsid w:val="000C2283"/>
    <w:rsid w:val="000C27CA"/>
    <w:rsid w:val="000C46DF"/>
    <w:rsid w:val="000C5940"/>
    <w:rsid w:val="000C59CB"/>
    <w:rsid w:val="000C6D13"/>
    <w:rsid w:val="000C710E"/>
    <w:rsid w:val="000C758C"/>
    <w:rsid w:val="000D0B08"/>
    <w:rsid w:val="000D0B09"/>
    <w:rsid w:val="000D0CE1"/>
    <w:rsid w:val="000D199C"/>
    <w:rsid w:val="000D3700"/>
    <w:rsid w:val="000D514C"/>
    <w:rsid w:val="000D6664"/>
    <w:rsid w:val="000D71F7"/>
    <w:rsid w:val="000E087D"/>
    <w:rsid w:val="000E0BB0"/>
    <w:rsid w:val="000E0BEA"/>
    <w:rsid w:val="000E4C0C"/>
    <w:rsid w:val="000E62A5"/>
    <w:rsid w:val="000E67E4"/>
    <w:rsid w:val="000E73CC"/>
    <w:rsid w:val="000F24C8"/>
    <w:rsid w:val="000F3DA0"/>
    <w:rsid w:val="000F4876"/>
    <w:rsid w:val="000F555D"/>
    <w:rsid w:val="000F57B1"/>
    <w:rsid w:val="000F6B9F"/>
    <w:rsid w:val="000F7975"/>
    <w:rsid w:val="000F7A45"/>
    <w:rsid w:val="000F7FD8"/>
    <w:rsid w:val="00100BAC"/>
    <w:rsid w:val="001017B7"/>
    <w:rsid w:val="001034C6"/>
    <w:rsid w:val="00103D64"/>
    <w:rsid w:val="001040E4"/>
    <w:rsid w:val="001049B0"/>
    <w:rsid w:val="00104ADB"/>
    <w:rsid w:val="00105532"/>
    <w:rsid w:val="001057BC"/>
    <w:rsid w:val="00105B76"/>
    <w:rsid w:val="00106127"/>
    <w:rsid w:val="00107D2F"/>
    <w:rsid w:val="00110BC7"/>
    <w:rsid w:val="001133D5"/>
    <w:rsid w:val="00114068"/>
    <w:rsid w:val="001150E9"/>
    <w:rsid w:val="00121CED"/>
    <w:rsid w:val="001224BA"/>
    <w:rsid w:val="001234E7"/>
    <w:rsid w:val="001239BF"/>
    <w:rsid w:val="0012520C"/>
    <w:rsid w:val="00127757"/>
    <w:rsid w:val="00127E51"/>
    <w:rsid w:val="00130F33"/>
    <w:rsid w:val="00132A80"/>
    <w:rsid w:val="00132F95"/>
    <w:rsid w:val="00134ADC"/>
    <w:rsid w:val="00135F5A"/>
    <w:rsid w:val="00136382"/>
    <w:rsid w:val="00136CBF"/>
    <w:rsid w:val="00136EC9"/>
    <w:rsid w:val="001373A9"/>
    <w:rsid w:val="0013794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590"/>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4C5B"/>
    <w:rsid w:val="001851A6"/>
    <w:rsid w:val="001861BC"/>
    <w:rsid w:val="001875A7"/>
    <w:rsid w:val="001879E1"/>
    <w:rsid w:val="001923B6"/>
    <w:rsid w:val="0019389B"/>
    <w:rsid w:val="00194314"/>
    <w:rsid w:val="00194582"/>
    <w:rsid w:val="0019576A"/>
    <w:rsid w:val="001A060A"/>
    <w:rsid w:val="001A1B88"/>
    <w:rsid w:val="001A1B94"/>
    <w:rsid w:val="001A22F5"/>
    <w:rsid w:val="001A2C3C"/>
    <w:rsid w:val="001A301B"/>
    <w:rsid w:val="001A4FA4"/>
    <w:rsid w:val="001A5B3D"/>
    <w:rsid w:val="001A7D1C"/>
    <w:rsid w:val="001A7DDE"/>
    <w:rsid w:val="001A7FD2"/>
    <w:rsid w:val="001B107D"/>
    <w:rsid w:val="001B2C57"/>
    <w:rsid w:val="001B2CD9"/>
    <w:rsid w:val="001B2E84"/>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42F"/>
    <w:rsid w:val="001E2A4D"/>
    <w:rsid w:val="001E4BFA"/>
    <w:rsid w:val="001E53C2"/>
    <w:rsid w:val="001E551B"/>
    <w:rsid w:val="001F0E9C"/>
    <w:rsid w:val="001F10AD"/>
    <w:rsid w:val="001F1540"/>
    <w:rsid w:val="001F3905"/>
    <w:rsid w:val="001F4726"/>
    <w:rsid w:val="001F577D"/>
    <w:rsid w:val="001F652C"/>
    <w:rsid w:val="001F739F"/>
    <w:rsid w:val="001F78D9"/>
    <w:rsid w:val="00202DB8"/>
    <w:rsid w:val="00203D3E"/>
    <w:rsid w:val="00205449"/>
    <w:rsid w:val="00205B1E"/>
    <w:rsid w:val="00205EEB"/>
    <w:rsid w:val="00207736"/>
    <w:rsid w:val="00207E0E"/>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CA8"/>
    <w:rsid w:val="00230E81"/>
    <w:rsid w:val="00232673"/>
    <w:rsid w:val="002326D1"/>
    <w:rsid w:val="00236863"/>
    <w:rsid w:val="002375B6"/>
    <w:rsid w:val="00237C1F"/>
    <w:rsid w:val="00237D0D"/>
    <w:rsid w:val="0024089F"/>
    <w:rsid w:val="00241E6E"/>
    <w:rsid w:val="002433A4"/>
    <w:rsid w:val="002435DC"/>
    <w:rsid w:val="002445CE"/>
    <w:rsid w:val="00244C0C"/>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C1F"/>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59EE"/>
    <w:rsid w:val="002A6193"/>
    <w:rsid w:val="002A79CB"/>
    <w:rsid w:val="002A7BD4"/>
    <w:rsid w:val="002A7F32"/>
    <w:rsid w:val="002B1F4F"/>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0EAA"/>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0C1A"/>
    <w:rsid w:val="003018D5"/>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1738F"/>
    <w:rsid w:val="00317C62"/>
    <w:rsid w:val="003201BA"/>
    <w:rsid w:val="00320CBA"/>
    <w:rsid w:val="0032170B"/>
    <w:rsid w:val="00323325"/>
    <w:rsid w:val="00323EF4"/>
    <w:rsid w:val="003243B0"/>
    <w:rsid w:val="00325EC0"/>
    <w:rsid w:val="00326030"/>
    <w:rsid w:val="00327B27"/>
    <w:rsid w:val="003312A0"/>
    <w:rsid w:val="00331450"/>
    <w:rsid w:val="00331748"/>
    <w:rsid w:val="003340EC"/>
    <w:rsid w:val="003350FF"/>
    <w:rsid w:val="003367F9"/>
    <w:rsid w:val="0034057C"/>
    <w:rsid w:val="00343E36"/>
    <w:rsid w:val="00350142"/>
    <w:rsid w:val="003503C6"/>
    <w:rsid w:val="00351628"/>
    <w:rsid w:val="00351F58"/>
    <w:rsid w:val="00351FE4"/>
    <w:rsid w:val="003526FB"/>
    <w:rsid w:val="00353B6D"/>
    <w:rsid w:val="00354920"/>
    <w:rsid w:val="00355AA1"/>
    <w:rsid w:val="00355DC6"/>
    <w:rsid w:val="00357A1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1E4"/>
    <w:rsid w:val="00390249"/>
    <w:rsid w:val="00390BF8"/>
    <w:rsid w:val="00391A95"/>
    <w:rsid w:val="00392877"/>
    <w:rsid w:val="00392E12"/>
    <w:rsid w:val="003932DF"/>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16A"/>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51A"/>
    <w:rsid w:val="003C7827"/>
    <w:rsid w:val="003C7FD0"/>
    <w:rsid w:val="003D0268"/>
    <w:rsid w:val="003D0323"/>
    <w:rsid w:val="003D1A43"/>
    <w:rsid w:val="003D1A64"/>
    <w:rsid w:val="003D306C"/>
    <w:rsid w:val="003D3501"/>
    <w:rsid w:val="003D3757"/>
    <w:rsid w:val="003D37E4"/>
    <w:rsid w:val="003D3A9C"/>
    <w:rsid w:val="003D463A"/>
    <w:rsid w:val="003D6B3D"/>
    <w:rsid w:val="003D7582"/>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2DE9"/>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370F1"/>
    <w:rsid w:val="004406CF"/>
    <w:rsid w:val="00441804"/>
    <w:rsid w:val="0044293C"/>
    <w:rsid w:val="004435B4"/>
    <w:rsid w:val="00444335"/>
    <w:rsid w:val="0044446C"/>
    <w:rsid w:val="00444AC3"/>
    <w:rsid w:val="004471B4"/>
    <w:rsid w:val="00450248"/>
    <w:rsid w:val="004517E5"/>
    <w:rsid w:val="004520DF"/>
    <w:rsid w:val="00456AFC"/>
    <w:rsid w:val="0046048A"/>
    <w:rsid w:val="00460606"/>
    <w:rsid w:val="00461690"/>
    <w:rsid w:val="00462ED7"/>
    <w:rsid w:val="00464C62"/>
    <w:rsid w:val="00465846"/>
    <w:rsid w:val="00466346"/>
    <w:rsid w:val="00466662"/>
    <w:rsid w:val="004711A3"/>
    <w:rsid w:val="00472D49"/>
    <w:rsid w:val="00473F17"/>
    <w:rsid w:val="00474EE0"/>
    <w:rsid w:val="004751D6"/>
    <w:rsid w:val="00475973"/>
    <w:rsid w:val="00476345"/>
    <w:rsid w:val="00477DBA"/>
    <w:rsid w:val="00477E20"/>
    <w:rsid w:val="004805C1"/>
    <w:rsid w:val="00480BB8"/>
    <w:rsid w:val="00481674"/>
    <w:rsid w:val="00481D51"/>
    <w:rsid w:val="00483F12"/>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0F88"/>
    <w:rsid w:val="004B134D"/>
    <w:rsid w:val="004B1796"/>
    <w:rsid w:val="004B2BA1"/>
    <w:rsid w:val="004B2C95"/>
    <w:rsid w:val="004B361A"/>
    <w:rsid w:val="004B3AFE"/>
    <w:rsid w:val="004B415C"/>
    <w:rsid w:val="004B591D"/>
    <w:rsid w:val="004B7542"/>
    <w:rsid w:val="004C37AA"/>
    <w:rsid w:val="004C434E"/>
    <w:rsid w:val="004C4ACC"/>
    <w:rsid w:val="004C586D"/>
    <w:rsid w:val="004C6AC1"/>
    <w:rsid w:val="004C7E83"/>
    <w:rsid w:val="004D07D4"/>
    <w:rsid w:val="004D088D"/>
    <w:rsid w:val="004D2A6A"/>
    <w:rsid w:val="004D366A"/>
    <w:rsid w:val="004D5701"/>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05B7"/>
    <w:rsid w:val="005124DC"/>
    <w:rsid w:val="00512F7F"/>
    <w:rsid w:val="0051401F"/>
    <w:rsid w:val="00515991"/>
    <w:rsid w:val="00520DD5"/>
    <w:rsid w:val="005214F8"/>
    <w:rsid w:val="005220BE"/>
    <w:rsid w:val="00523FC5"/>
    <w:rsid w:val="00525BFE"/>
    <w:rsid w:val="00526667"/>
    <w:rsid w:val="005279AB"/>
    <w:rsid w:val="0053216F"/>
    <w:rsid w:val="005349F9"/>
    <w:rsid w:val="00536196"/>
    <w:rsid w:val="00540DFD"/>
    <w:rsid w:val="00541D46"/>
    <w:rsid w:val="00541D8F"/>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2D0"/>
    <w:rsid w:val="005643DB"/>
    <w:rsid w:val="0056521E"/>
    <w:rsid w:val="00566528"/>
    <w:rsid w:val="005732D4"/>
    <w:rsid w:val="0057338D"/>
    <w:rsid w:val="00573AC5"/>
    <w:rsid w:val="005740F6"/>
    <w:rsid w:val="005743D2"/>
    <w:rsid w:val="005749CA"/>
    <w:rsid w:val="00575CB8"/>
    <w:rsid w:val="00575DE3"/>
    <w:rsid w:val="00576F74"/>
    <w:rsid w:val="005802BD"/>
    <w:rsid w:val="00583392"/>
    <w:rsid w:val="00586FA8"/>
    <w:rsid w:val="00587F23"/>
    <w:rsid w:val="00591B3C"/>
    <w:rsid w:val="00591E3A"/>
    <w:rsid w:val="00593CB4"/>
    <w:rsid w:val="00597A04"/>
    <w:rsid w:val="005A1156"/>
    <w:rsid w:val="005A1803"/>
    <w:rsid w:val="005A1E4C"/>
    <w:rsid w:val="005A3131"/>
    <w:rsid w:val="005A4096"/>
    <w:rsid w:val="005A6369"/>
    <w:rsid w:val="005A6A4B"/>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44D"/>
    <w:rsid w:val="005D0D06"/>
    <w:rsid w:val="005D13C2"/>
    <w:rsid w:val="005D1427"/>
    <w:rsid w:val="005D2B62"/>
    <w:rsid w:val="005D3B24"/>
    <w:rsid w:val="005D49C8"/>
    <w:rsid w:val="005D4C33"/>
    <w:rsid w:val="005D5607"/>
    <w:rsid w:val="005D573F"/>
    <w:rsid w:val="005D6569"/>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14F"/>
    <w:rsid w:val="0060578B"/>
    <w:rsid w:val="00611A49"/>
    <w:rsid w:val="00612181"/>
    <w:rsid w:val="00613017"/>
    <w:rsid w:val="00613A54"/>
    <w:rsid w:val="00616189"/>
    <w:rsid w:val="006166F0"/>
    <w:rsid w:val="00616C2B"/>
    <w:rsid w:val="00620343"/>
    <w:rsid w:val="00620EE6"/>
    <w:rsid w:val="00621282"/>
    <w:rsid w:val="006213D7"/>
    <w:rsid w:val="00621760"/>
    <w:rsid w:val="006217BB"/>
    <w:rsid w:val="00621B0D"/>
    <w:rsid w:val="00621BF7"/>
    <w:rsid w:val="00624B08"/>
    <w:rsid w:val="00624BB7"/>
    <w:rsid w:val="00624BE1"/>
    <w:rsid w:val="00625B0A"/>
    <w:rsid w:val="00625BD5"/>
    <w:rsid w:val="00625DFB"/>
    <w:rsid w:val="0062725F"/>
    <w:rsid w:val="006323E3"/>
    <w:rsid w:val="00634CEB"/>
    <w:rsid w:val="00636E0D"/>
    <w:rsid w:val="00637179"/>
    <w:rsid w:val="0063734D"/>
    <w:rsid w:val="006374B5"/>
    <w:rsid w:val="00641744"/>
    <w:rsid w:val="00642A63"/>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503"/>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1AF"/>
    <w:rsid w:val="006B3232"/>
    <w:rsid w:val="006B3C5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5AB6"/>
    <w:rsid w:val="006D6DCE"/>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2B60"/>
    <w:rsid w:val="00735915"/>
    <w:rsid w:val="00735C21"/>
    <w:rsid w:val="0073614A"/>
    <w:rsid w:val="00736FF2"/>
    <w:rsid w:val="00740C8C"/>
    <w:rsid w:val="00741AC4"/>
    <w:rsid w:val="0074285B"/>
    <w:rsid w:val="007430C0"/>
    <w:rsid w:val="00745A4A"/>
    <w:rsid w:val="00745AEC"/>
    <w:rsid w:val="00745CF2"/>
    <w:rsid w:val="007463E3"/>
    <w:rsid w:val="00746791"/>
    <w:rsid w:val="00747F75"/>
    <w:rsid w:val="00747F8C"/>
    <w:rsid w:val="007515BC"/>
    <w:rsid w:val="00751F63"/>
    <w:rsid w:val="00752399"/>
    <w:rsid w:val="00752D53"/>
    <w:rsid w:val="007573B2"/>
    <w:rsid w:val="007574BB"/>
    <w:rsid w:val="007575E2"/>
    <w:rsid w:val="0075764C"/>
    <w:rsid w:val="0076089D"/>
    <w:rsid w:val="00761D32"/>
    <w:rsid w:val="00762198"/>
    <w:rsid w:val="007635A7"/>
    <w:rsid w:val="00763800"/>
    <w:rsid w:val="00763CE8"/>
    <w:rsid w:val="00763D85"/>
    <w:rsid w:val="00764C67"/>
    <w:rsid w:val="00764E7C"/>
    <w:rsid w:val="00765288"/>
    <w:rsid w:val="00765432"/>
    <w:rsid w:val="00765844"/>
    <w:rsid w:val="00766785"/>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19D"/>
    <w:rsid w:val="007C05C4"/>
    <w:rsid w:val="007C18A8"/>
    <w:rsid w:val="007C1BDB"/>
    <w:rsid w:val="007C45E9"/>
    <w:rsid w:val="007C5E55"/>
    <w:rsid w:val="007C5EDF"/>
    <w:rsid w:val="007C6E6C"/>
    <w:rsid w:val="007C7EB6"/>
    <w:rsid w:val="007D037A"/>
    <w:rsid w:val="007D1103"/>
    <w:rsid w:val="007D240B"/>
    <w:rsid w:val="007D2E6B"/>
    <w:rsid w:val="007D2F75"/>
    <w:rsid w:val="007D3C0E"/>
    <w:rsid w:val="007D7FE7"/>
    <w:rsid w:val="007E0674"/>
    <w:rsid w:val="007E2284"/>
    <w:rsid w:val="007E22E7"/>
    <w:rsid w:val="007E41BC"/>
    <w:rsid w:val="007E4232"/>
    <w:rsid w:val="007E44BF"/>
    <w:rsid w:val="007E5ADC"/>
    <w:rsid w:val="007E61C9"/>
    <w:rsid w:val="007E69BB"/>
    <w:rsid w:val="007E6AB8"/>
    <w:rsid w:val="007E6EB1"/>
    <w:rsid w:val="007E73A4"/>
    <w:rsid w:val="007F16CA"/>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16E90"/>
    <w:rsid w:val="008202EB"/>
    <w:rsid w:val="0082180A"/>
    <w:rsid w:val="00822223"/>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408C"/>
    <w:rsid w:val="0087655E"/>
    <w:rsid w:val="00876F54"/>
    <w:rsid w:val="00877292"/>
    <w:rsid w:val="0087754A"/>
    <w:rsid w:val="0087766C"/>
    <w:rsid w:val="00880552"/>
    <w:rsid w:val="00880F7C"/>
    <w:rsid w:val="00881C2B"/>
    <w:rsid w:val="008839DA"/>
    <w:rsid w:val="00884A79"/>
    <w:rsid w:val="00884EE8"/>
    <w:rsid w:val="00885168"/>
    <w:rsid w:val="00885230"/>
    <w:rsid w:val="00886861"/>
    <w:rsid w:val="0089173B"/>
    <w:rsid w:val="00891E76"/>
    <w:rsid w:val="0089220F"/>
    <w:rsid w:val="008935AA"/>
    <w:rsid w:val="00895421"/>
    <w:rsid w:val="00895942"/>
    <w:rsid w:val="00895F9E"/>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0D64"/>
    <w:rsid w:val="008D2C4C"/>
    <w:rsid w:val="008D39B7"/>
    <w:rsid w:val="008D6263"/>
    <w:rsid w:val="008D6344"/>
    <w:rsid w:val="008D6C32"/>
    <w:rsid w:val="008D7E0D"/>
    <w:rsid w:val="008D7EDB"/>
    <w:rsid w:val="008E1829"/>
    <w:rsid w:val="008E1B13"/>
    <w:rsid w:val="008E2327"/>
    <w:rsid w:val="008E3CEE"/>
    <w:rsid w:val="008E5077"/>
    <w:rsid w:val="008E64F0"/>
    <w:rsid w:val="008E6FF3"/>
    <w:rsid w:val="008E7B05"/>
    <w:rsid w:val="008F05F9"/>
    <w:rsid w:val="008F0D89"/>
    <w:rsid w:val="008F18ED"/>
    <w:rsid w:val="008F359B"/>
    <w:rsid w:val="008F3EA1"/>
    <w:rsid w:val="008F46C2"/>
    <w:rsid w:val="008F4B45"/>
    <w:rsid w:val="008F5097"/>
    <w:rsid w:val="009001FC"/>
    <w:rsid w:val="00901F26"/>
    <w:rsid w:val="009020A8"/>
    <w:rsid w:val="009026C0"/>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28E5"/>
    <w:rsid w:val="00943BCE"/>
    <w:rsid w:val="00947608"/>
    <w:rsid w:val="009519A6"/>
    <w:rsid w:val="00953133"/>
    <w:rsid w:val="009542DA"/>
    <w:rsid w:val="00954D17"/>
    <w:rsid w:val="00957104"/>
    <w:rsid w:val="009576FB"/>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2D1"/>
    <w:rsid w:val="00985347"/>
    <w:rsid w:val="00986DB7"/>
    <w:rsid w:val="00986FAE"/>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074A"/>
    <w:rsid w:val="009C155B"/>
    <w:rsid w:val="009C1AFE"/>
    <w:rsid w:val="009C3FA3"/>
    <w:rsid w:val="009C4081"/>
    <w:rsid w:val="009C44AA"/>
    <w:rsid w:val="009C5531"/>
    <w:rsid w:val="009C5F24"/>
    <w:rsid w:val="009C7247"/>
    <w:rsid w:val="009D048B"/>
    <w:rsid w:val="009D1FDE"/>
    <w:rsid w:val="009D3174"/>
    <w:rsid w:val="009D3DB3"/>
    <w:rsid w:val="009D5C3E"/>
    <w:rsid w:val="009D69C6"/>
    <w:rsid w:val="009D7EDD"/>
    <w:rsid w:val="009E27C4"/>
    <w:rsid w:val="009E3A34"/>
    <w:rsid w:val="009E4A3E"/>
    <w:rsid w:val="009E5419"/>
    <w:rsid w:val="009E5A6E"/>
    <w:rsid w:val="009F0C63"/>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3EF8"/>
    <w:rsid w:val="00A14169"/>
    <w:rsid w:val="00A14880"/>
    <w:rsid w:val="00A1620A"/>
    <w:rsid w:val="00A1620D"/>
    <w:rsid w:val="00A16AC0"/>
    <w:rsid w:val="00A17E23"/>
    <w:rsid w:val="00A20452"/>
    <w:rsid w:val="00A20877"/>
    <w:rsid w:val="00A21847"/>
    <w:rsid w:val="00A22EAF"/>
    <w:rsid w:val="00A23D31"/>
    <w:rsid w:val="00A24198"/>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2CC0"/>
    <w:rsid w:val="00A43CDA"/>
    <w:rsid w:val="00A44B26"/>
    <w:rsid w:val="00A47916"/>
    <w:rsid w:val="00A506B3"/>
    <w:rsid w:val="00A50746"/>
    <w:rsid w:val="00A509EC"/>
    <w:rsid w:val="00A52B9B"/>
    <w:rsid w:val="00A52F57"/>
    <w:rsid w:val="00A536DA"/>
    <w:rsid w:val="00A53D89"/>
    <w:rsid w:val="00A571CD"/>
    <w:rsid w:val="00A57C3D"/>
    <w:rsid w:val="00A600DB"/>
    <w:rsid w:val="00A615DC"/>
    <w:rsid w:val="00A61839"/>
    <w:rsid w:val="00A61E0F"/>
    <w:rsid w:val="00A61F25"/>
    <w:rsid w:val="00A63630"/>
    <w:rsid w:val="00A6494A"/>
    <w:rsid w:val="00A64F83"/>
    <w:rsid w:val="00A65CD8"/>
    <w:rsid w:val="00A668B7"/>
    <w:rsid w:val="00A6697B"/>
    <w:rsid w:val="00A71133"/>
    <w:rsid w:val="00A719E2"/>
    <w:rsid w:val="00A71EFF"/>
    <w:rsid w:val="00A731B6"/>
    <w:rsid w:val="00A74C2D"/>
    <w:rsid w:val="00A75570"/>
    <w:rsid w:val="00A7649A"/>
    <w:rsid w:val="00A7673D"/>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6E8"/>
    <w:rsid w:val="00AA70FB"/>
    <w:rsid w:val="00AB010D"/>
    <w:rsid w:val="00AB0749"/>
    <w:rsid w:val="00AB1209"/>
    <w:rsid w:val="00AB5709"/>
    <w:rsid w:val="00AB76D8"/>
    <w:rsid w:val="00AB7E6A"/>
    <w:rsid w:val="00AC1B61"/>
    <w:rsid w:val="00AC1EAA"/>
    <w:rsid w:val="00AC2417"/>
    <w:rsid w:val="00AC2C6E"/>
    <w:rsid w:val="00AC5EE6"/>
    <w:rsid w:val="00AC63CF"/>
    <w:rsid w:val="00AC641F"/>
    <w:rsid w:val="00AD0D24"/>
    <w:rsid w:val="00AD0FA2"/>
    <w:rsid w:val="00AD1923"/>
    <w:rsid w:val="00AD2611"/>
    <w:rsid w:val="00AD3AC5"/>
    <w:rsid w:val="00AD3D57"/>
    <w:rsid w:val="00AD477B"/>
    <w:rsid w:val="00AD4882"/>
    <w:rsid w:val="00AD54D1"/>
    <w:rsid w:val="00AE1BA2"/>
    <w:rsid w:val="00AE33C9"/>
    <w:rsid w:val="00AE4507"/>
    <w:rsid w:val="00AE47BF"/>
    <w:rsid w:val="00AE5024"/>
    <w:rsid w:val="00AF0576"/>
    <w:rsid w:val="00AF0F98"/>
    <w:rsid w:val="00AF36A2"/>
    <w:rsid w:val="00AF6432"/>
    <w:rsid w:val="00AF673B"/>
    <w:rsid w:val="00AF6B9D"/>
    <w:rsid w:val="00AF75BE"/>
    <w:rsid w:val="00AF79BD"/>
    <w:rsid w:val="00B01C81"/>
    <w:rsid w:val="00B07F12"/>
    <w:rsid w:val="00B110AF"/>
    <w:rsid w:val="00B11EBD"/>
    <w:rsid w:val="00B12AF0"/>
    <w:rsid w:val="00B1415B"/>
    <w:rsid w:val="00B14E01"/>
    <w:rsid w:val="00B15278"/>
    <w:rsid w:val="00B15EFC"/>
    <w:rsid w:val="00B21671"/>
    <w:rsid w:val="00B217E2"/>
    <w:rsid w:val="00B234EC"/>
    <w:rsid w:val="00B24BE9"/>
    <w:rsid w:val="00B26473"/>
    <w:rsid w:val="00B2732B"/>
    <w:rsid w:val="00B274AE"/>
    <w:rsid w:val="00B274BF"/>
    <w:rsid w:val="00B31222"/>
    <w:rsid w:val="00B32215"/>
    <w:rsid w:val="00B3261D"/>
    <w:rsid w:val="00B32BAB"/>
    <w:rsid w:val="00B32C53"/>
    <w:rsid w:val="00B33AEB"/>
    <w:rsid w:val="00B4118B"/>
    <w:rsid w:val="00B41F43"/>
    <w:rsid w:val="00B41FDD"/>
    <w:rsid w:val="00B42E16"/>
    <w:rsid w:val="00B42E81"/>
    <w:rsid w:val="00B4329D"/>
    <w:rsid w:val="00B434FC"/>
    <w:rsid w:val="00B443F5"/>
    <w:rsid w:val="00B44750"/>
    <w:rsid w:val="00B44D40"/>
    <w:rsid w:val="00B46640"/>
    <w:rsid w:val="00B47B87"/>
    <w:rsid w:val="00B50FB3"/>
    <w:rsid w:val="00B520F9"/>
    <w:rsid w:val="00B525DB"/>
    <w:rsid w:val="00B52812"/>
    <w:rsid w:val="00B53EBD"/>
    <w:rsid w:val="00B5495A"/>
    <w:rsid w:val="00B54E2E"/>
    <w:rsid w:val="00B577A3"/>
    <w:rsid w:val="00B6087A"/>
    <w:rsid w:val="00B6258B"/>
    <w:rsid w:val="00B64111"/>
    <w:rsid w:val="00B645F2"/>
    <w:rsid w:val="00B64641"/>
    <w:rsid w:val="00B64BCD"/>
    <w:rsid w:val="00B655A0"/>
    <w:rsid w:val="00B66601"/>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0E79"/>
    <w:rsid w:val="00B92EDF"/>
    <w:rsid w:val="00B93510"/>
    <w:rsid w:val="00B93E33"/>
    <w:rsid w:val="00B9412E"/>
    <w:rsid w:val="00B94324"/>
    <w:rsid w:val="00B94F72"/>
    <w:rsid w:val="00B954F3"/>
    <w:rsid w:val="00B95BCD"/>
    <w:rsid w:val="00B95CDC"/>
    <w:rsid w:val="00B95CE5"/>
    <w:rsid w:val="00BA0D0B"/>
    <w:rsid w:val="00BA0ED5"/>
    <w:rsid w:val="00BA35F1"/>
    <w:rsid w:val="00BA37A8"/>
    <w:rsid w:val="00BA3B4C"/>
    <w:rsid w:val="00BA3DF4"/>
    <w:rsid w:val="00BA3EA8"/>
    <w:rsid w:val="00BA5927"/>
    <w:rsid w:val="00BA6070"/>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38E"/>
    <w:rsid w:val="00C05514"/>
    <w:rsid w:val="00C05543"/>
    <w:rsid w:val="00C07B7E"/>
    <w:rsid w:val="00C105B6"/>
    <w:rsid w:val="00C10FCF"/>
    <w:rsid w:val="00C1291A"/>
    <w:rsid w:val="00C13895"/>
    <w:rsid w:val="00C143EE"/>
    <w:rsid w:val="00C14A17"/>
    <w:rsid w:val="00C15282"/>
    <w:rsid w:val="00C1566D"/>
    <w:rsid w:val="00C1575E"/>
    <w:rsid w:val="00C1595F"/>
    <w:rsid w:val="00C16B4B"/>
    <w:rsid w:val="00C17427"/>
    <w:rsid w:val="00C17ECF"/>
    <w:rsid w:val="00C204E7"/>
    <w:rsid w:val="00C20C00"/>
    <w:rsid w:val="00C210FD"/>
    <w:rsid w:val="00C21EB2"/>
    <w:rsid w:val="00C22901"/>
    <w:rsid w:val="00C22F6B"/>
    <w:rsid w:val="00C239A7"/>
    <w:rsid w:val="00C2521B"/>
    <w:rsid w:val="00C25238"/>
    <w:rsid w:val="00C305C8"/>
    <w:rsid w:val="00C305F2"/>
    <w:rsid w:val="00C307AF"/>
    <w:rsid w:val="00C3345C"/>
    <w:rsid w:val="00C33C9A"/>
    <w:rsid w:val="00C3487E"/>
    <w:rsid w:val="00C36D9D"/>
    <w:rsid w:val="00C3773E"/>
    <w:rsid w:val="00C407E5"/>
    <w:rsid w:val="00C41DAA"/>
    <w:rsid w:val="00C41EB5"/>
    <w:rsid w:val="00C42C95"/>
    <w:rsid w:val="00C42DAC"/>
    <w:rsid w:val="00C4342B"/>
    <w:rsid w:val="00C436FC"/>
    <w:rsid w:val="00C459A9"/>
    <w:rsid w:val="00C46615"/>
    <w:rsid w:val="00C502A5"/>
    <w:rsid w:val="00C5150D"/>
    <w:rsid w:val="00C521F7"/>
    <w:rsid w:val="00C53008"/>
    <w:rsid w:val="00C55151"/>
    <w:rsid w:val="00C558FF"/>
    <w:rsid w:val="00C560FA"/>
    <w:rsid w:val="00C570C5"/>
    <w:rsid w:val="00C57FF9"/>
    <w:rsid w:val="00C61260"/>
    <w:rsid w:val="00C6305F"/>
    <w:rsid w:val="00C64434"/>
    <w:rsid w:val="00C659E5"/>
    <w:rsid w:val="00C67625"/>
    <w:rsid w:val="00C677C9"/>
    <w:rsid w:val="00C7063C"/>
    <w:rsid w:val="00C739FA"/>
    <w:rsid w:val="00C73C57"/>
    <w:rsid w:val="00C74101"/>
    <w:rsid w:val="00C74D43"/>
    <w:rsid w:val="00C75CA7"/>
    <w:rsid w:val="00C766D6"/>
    <w:rsid w:val="00C76989"/>
    <w:rsid w:val="00C8079B"/>
    <w:rsid w:val="00C81390"/>
    <w:rsid w:val="00C81C46"/>
    <w:rsid w:val="00C83873"/>
    <w:rsid w:val="00C85675"/>
    <w:rsid w:val="00C901BB"/>
    <w:rsid w:val="00C90CD3"/>
    <w:rsid w:val="00C92552"/>
    <w:rsid w:val="00C9325D"/>
    <w:rsid w:val="00C93621"/>
    <w:rsid w:val="00C93F1B"/>
    <w:rsid w:val="00C96D01"/>
    <w:rsid w:val="00C976D1"/>
    <w:rsid w:val="00CA0E6B"/>
    <w:rsid w:val="00CA1990"/>
    <w:rsid w:val="00CA1FCA"/>
    <w:rsid w:val="00CA440C"/>
    <w:rsid w:val="00CA64F6"/>
    <w:rsid w:val="00CA6770"/>
    <w:rsid w:val="00CA71D4"/>
    <w:rsid w:val="00CB1F3C"/>
    <w:rsid w:val="00CB4FC8"/>
    <w:rsid w:val="00CB5D29"/>
    <w:rsid w:val="00CB61CB"/>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6F31"/>
    <w:rsid w:val="00CE76FF"/>
    <w:rsid w:val="00CE778C"/>
    <w:rsid w:val="00CF1C93"/>
    <w:rsid w:val="00CF20BC"/>
    <w:rsid w:val="00CF2FD4"/>
    <w:rsid w:val="00CF4012"/>
    <w:rsid w:val="00CF452B"/>
    <w:rsid w:val="00CF5001"/>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4F43"/>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31D0"/>
    <w:rsid w:val="00D65317"/>
    <w:rsid w:val="00D70C91"/>
    <w:rsid w:val="00D717D8"/>
    <w:rsid w:val="00D71CF9"/>
    <w:rsid w:val="00D735AE"/>
    <w:rsid w:val="00D75FF9"/>
    <w:rsid w:val="00D77FCD"/>
    <w:rsid w:val="00D80A43"/>
    <w:rsid w:val="00D80E5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A32"/>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3B18"/>
    <w:rsid w:val="00DE4107"/>
    <w:rsid w:val="00DE436F"/>
    <w:rsid w:val="00DE5124"/>
    <w:rsid w:val="00DF0B5E"/>
    <w:rsid w:val="00DF0ED5"/>
    <w:rsid w:val="00DF0F64"/>
    <w:rsid w:val="00DF1186"/>
    <w:rsid w:val="00DF1883"/>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00F"/>
    <w:rsid w:val="00E17ABD"/>
    <w:rsid w:val="00E200BA"/>
    <w:rsid w:val="00E2346B"/>
    <w:rsid w:val="00E24C70"/>
    <w:rsid w:val="00E26B53"/>
    <w:rsid w:val="00E27DDF"/>
    <w:rsid w:val="00E27E01"/>
    <w:rsid w:val="00E27E4C"/>
    <w:rsid w:val="00E30A90"/>
    <w:rsid w:val="00E32DBA"/>
    <w:rsid w:val="00E34154"/>
    <w:rsid w:val="00E350F4"/>
    <w:rsid w:val="00E36B3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62D"/>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21"/>
    <w:rsid w:val="00E8155D"/>
    <w:rsid w:val="00E829A2"/>
    <w:rsid w:val="00E86361"/>
    <w:rsid w:val="00E90C37"/>
    <w:rsid w:val="00E90EB9"/>
    <w:rsid w:val="00E91F1D"/>
    <w:rsid w:val="00E932E9"/>
    <w:rsid w:val="00E9358F"/>
    <w:rsid w:val="00E968A9"/>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B3F45"/>
    <w:rsid w:val="00EC0153"/>
    <w:rsid w:val="00EC3B8F"/>
    <w:rsid w:val="00EC5CA0"/>
    <w:rsid w:val="00EC5D05"/>
    <w:rsid w:val="00EC7372"/>
    <w:rsid w:val="00EC763F"/>
    <w:rsid w:val="00EC7DE6"/>
    <w:rsid w:val="00EC7FB1"/>
    <w:rsid w:val="00ED1995"/>
    <w:rsid w:val="00ED1BD8"/>
    <w:rsid w:val="00ED2E56"/>
    <w:rsid w:val="00ED30E8"/>
    <w:rsid w:val="00ED3B69"/>
    <w:rsid w:val="00ED48BE"/>
    <w:rsid w:val="00ED6CD1"/>
    <w:rsid w:val="00EE3548"/>
    <w:rsid w:val="00EE59CE"/>
    <w:rsid w:val="00EE5AFF"/>
    <w:rsid w:val="00EE5F2E"/>
    <w:rsid w:val="00EE693B"/>
    <w:rsid w:val="00EE6B2A"/>
    <w:rsid w:val="00EE783F"/>
    <w:rsid w:val="00EE7920"/>
    <w:rsid w:val="00EE7C15"/>
    <w:rsid w:val="00EF045F"/>
    <w:rsid w:val="00EF11F5"/>
    <w:rsid w:val="00EF46F9"/>
    <w:rsid w:val="00EF4863"/>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882"/>
    <w:rsid w:val="00F23DB4"/>
    <w:rsid w:val="00F23E81"/>
    <w:rsid w:val="00F24A46"/>
    <w:rsid w:val="00F254BE"/>
    <w:rsid w:val="00F25CFE"/>
    <w:rsid w:val="00F3060F"/>
    <w:rsid w:val="00F30D3F"/>
    <w:rsid w:val="00F31BDB"/>
    <w:rsid w:val="00F3246E"/>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623B"/>
    <w:rsid w:val="00F677E2"/>
    <w:rsid w:val="00F67C16"/>
    <w:rsid w:val="00F7233D"/>
    <w:rsid w:val="00F723F2"/>
    <w:rsid w:val="00F73751"/>
    <w:rsid w:val="00F75EAD"/>
    <w:rsid w:val="00F76A7B"/>
    <w:rsid w:val="00F77154"/>
    <w:rsid w:val="00F80F33"/>
    <w:rsid w:val="00F82637"/>
    <w:rsid w:val="00F846D6"/>
    <w:rsid w:val="00F86A84"/>
    <w:rsid w:val="00F86EC2"/>
    <w:rsid w:val="00F906D2"/>
    <w:rsid w:val="00F90CB9"/>
    <w:rsid w:val="00F9173A"/>
    <w:rsid w:val="00F91800"/>
    <w:rsid w:val="00F92882"/>
    <w:rsid w:val="00F93859"/>
    <w:rsid w:val="00F94E99"/>
    <w:rsid w:val="00F9650A"/>
    <w:rsid w:val="00F965BB"/>
    <w:rsid w:val="00F967C7"/>
    <w:rsid w:val="00F96908"/>
    <w:rsid w:val="00F978CA"/>
    <w:rsid w:val="00FA0437"/>
    <w:rsid w:val="00FA16EC"/>
    <w:rsid w:val="00FA1902"/>
    <w:rsid w:val="00FA233F"/>
    <w:rsid w:val="00FA2E05"/>
    <w:rsid w:val="00FA2E5F"/>
    <w:rsid w:val="00FA3E48"/>
    <w:rsid w:val="00FA7D57"/>
    <w:rsid w:val="00FB0008"/>
    <w:rsid w:val="00FB071C"/>
    <w:rsid w:val="00FB3EA0"/>
    <w:rsid w:val="00FB4127"/>
    <w:rsid w:val="00FB41DD"/>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00"/>
    <w:rsid w:val="00FD5166"/>
    <w:rsid w:val="00FD614D"/>
    <w:rsid w:val="00FD72CC"/>
    <w:rsid w:val="00FE3348"/>
    <w:rsid w:val="00FE46AD"/>
    <w:rsid w:val="00FE53DA"/>
    <w:rsid w:val="00FE5410"/>
    <w:rsid w:val="00FE57F3"/>
    <w:rsid w:val="00FF2D44"/>
    <w:rsid w:val="00FF456A"/>
    <w:rsid w:val="00FF6204"/>
    <w:rsid w:val="00FF62CB"/>
    <w:rsid w:val="00FF634D"/>
    <w:rsid w:val="00FF6599"/>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137949"/>
    <w:rPr>
      <w:color w:val="605E5C"/>
      <w:shd w:val="clear" w:color="auto" w:fill="E1DFDD"/>
    </w:rPr>
  </w:style>
  <w:style w:type="character" w:customStyle="1" w:styleId="Mencinsinresolver3">
    <w:name w:val="Mención sin resolver3"/>
    <w:basedOn w:val="Fuentedeprrafopredeter"/>
    <w:uiPriority w:val="99"/>
    <w:semiHidden/>
    <w:unhideWhenUsed/>
    <w:rsid w:val="0057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17777200">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8641772">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28649559">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5664747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xtapaluca.gob.mx/remtys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xtapaluca.gob.mx/remtys2024" TargetMode="External"/><Relationship Id="rId14" Type="http://schemas.openxmlformats.org/officeDocument/2006/relationships/hyperlink" Target="https://www.gob.mx/segob/renapo/acciones-y-programas/clave-unica-de-registro-de-poblacion-curp-14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A6BD-963B-4C73-A693-308FD71D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8631</Words>
  <Characters>47471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USUARIO</cp:lastModifiedBy>
  <cp:revision>2</cp:revision>
  <cp:lastPrinted>2025-03-21T20:38:00Z</cp:lastPrinted>
  <dcterms:created xsi:type="dcterms:W3CDTF">2025-04-03T20:16:00Z</dcterms:created>
  <dcterms:modified xsi:type="dcterms:W3CDTF">2025-04-03T20:16:00Z</dcterms:modified>
</cp:coreProperties>
</file>