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48B" w:rsidRPr="00BB207E" w:rsidRDefault="00A077F4" w:rsidP="00426F75">
      <w:pPr>
        <w:tabs>
          <w:tab w:val="left" w:pos="3465"/>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Resolución del Pleno del Instituto de Transparencia, Acceso a la Información Pública y Protección de Datos Personales del Estado de México y Municipios, con domicilio en M</w:t>
      </w:r>
      <w:bookmarkStart w:id="0" w:name="_GoBack"/>
      <w:bookmarkEnd w:id="0"/>
      <w:r w:rsidRPr="00BB207E">
        <w:rPr>
          <w:rFonts w:ascii="Palatino Linotype" w:eastAsia="Palatino Linotype" w:hAnsi="Palatino Linotype" w:cs="Palatino Linotype"/>
          <w:color w:val="000000" w:themeColor="text1"/>
        </w:rPr>
        <w:t xml:space="preserve">etepec, Estado de México; </w:t>
      </w:r>
      <w:r w:rsidRPr="00BB207E">
        <w:rPr>
          <w:rFonts w:ascii="Palatino Linotype" w:eastAsia="Palatino Linotype" w:hAnsi="Palatino Linotype" w:cs="Palatino Linotype"/>
          <w:b/>
          <w:color w:val="000000" w:themeColor="text1"/>
        </w:rPr>
        <w:t xml:space="preserve">de fecha </w:t>
      </w:r>
      <w:r w:rsidR="00A93E2E" w:rsidRPr="00BB207E">
        <w:rPr>
          <w:rFonts w:ascii="Palatino Linotype" w:eastAsia="Palatino Linotype" w:hAnsi="Palatino Linotype" w:cs="Palatino Linotype"/>
          <w:b/>
          <w:color w:val="000000" w:themeColor="text1"/>
        </w:rPr>
        <w:t>trece (13) de agosto</w:t>
      </w:r>
      <w:r w:rsidRPr="00BB207E">
        <w:rPr>
          <w:rFonts w:ascii="Palatino Linotype" w:eastAsia="Palatino Linotype" w:hAnsi="Palatino Linotype" w:cs="Palatino Linotype"/>
          <w:b/>
          <w:color w:val="000000" w:themeColor="text1"/>
        </w:rPr>
        <w:t xml:space="preserve"> de dos mil veinticin</w:t>
      </w:r>
      <w:r w:rsidRPr="00BB207E">
        <w:rPr>
          <w:rFonts w:ascii="Palatino Linotype" w:eastAsia="Palatino Linotype" w:hAnsi="Palatino Linotype" w:cs="Palatino Linotype"/>
          <w:color w:val="000000" w:themeColor="text1"/>
        </w:rPr>
        <w:t>co.</w:t>
      </w:r>
    </w:p>
    <w:p w:rsidR="0072148B" w:rsidRPr="00BB207E" w:rsidRDefault="0072148B" w:rsidP="00426F75">
      <w:pPr>
        <w:tabs>
          <w:tab w:val="left" w:pos="3465"/>
        </w:tabs>
        <w:spacing w:line="360" w:lineRule="auto"/>
        <w:jc w:val="both"/>
        <w:rPr>
          <w:rFonts w:ascii="Palatino Linotype" w:eastAsia="Palatino Linotype" w:hAnsi="Palatino Linotype" w:cs="Palatino Linotype"/>
          <w:color w:val="000000" w:themeColor="text1"/>
        </w:rPr>
      </w:pPr>
    </w:p>
    <w:p w:rsidR="0072148B" w:rsidRPr="00BB207E" w:rsidRDefault="00A077F4" w:rsidP="00426F75">
      <w:pPr>
        <w:spacing w:line="360" w:lineRule="auto"/>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 xml:space="preserve">VISTAS </w:t>
      </w:r>
      <w:r w:rsidRPr="00BB207E">
        <w:rPr>
          <w:rFonts w:ascii="Palatino Linotype" w:eastAsia="Palatino Linotype" w:hAnsi="Palatino Linotype" w:cs="Palatino Linotype"/>
          <w:color w:val="000000" w:themeColor="text1"/>
        </w:rPr>
        <w:t xml:space="preserve">las constancias para resolver </w:t>
      </w:r>
      <w:r w:rsidR="00892CE6" w:rsidRPr="00BB207E">
        <w:rPr>
          <w:rFonts w:ascii="Palatino Linotype" w:eastAsia="Palatino Linotype" w:hAnsi="Palatino Linotype" w:cs="Palatino Linotype"/>
          <w:color w:val="000000" w:themeColor="text1"/>
        </w:rPr>
        <w:t>el Recurso</w:t>
      </w:r>
      <w:r w:rsidRPr="00BB207E">
        <w:rPr>
          <w:rFonts w:ascii="Palatino Linotype" w:eastAsia="Palatino Linotype" w:hAnsi="Palatino Linotype" w:cs="Palatino Linotype"/>
          <w:color w:val="000000" w:themeColor="text1"/>
        </w:rPr>
        <w:t xml:space="preserve"> de Revisión </w:t>
      </w:r>
      <w:r w:rsidR="004D262B" w:rsidRPr="00BB207E">
        <w:rPr>
          <w:rFonts w:ascii="Palatino Linotype" w:eastAsia="Palatino Linotype" w:hAnsi="Palatino Linotype" w:cs="Palatino Linotype"/>
          <w:b/>
          <w:color w:val="000000" w:themeColor="text1"/>
        </w:rPr>
        <w:t>03308</w:t>
      </w:r>
      <w:r w:rsidR="00892CE6" w:rsidRPr="00BB207E">
        <w:rPr>
          <w:rFonts w:ascii="Palatino Linotype" w:eastAsia="Palatino Linotype" w:hAnsi="Palatino Linotype" w:cs="Palatino Linotype"/>
          <w:b/>
          <w:color w:val="000000" w:themeColor="text1"/>
        </w:rPr>
        <w:t>/INFOEM/IP/RR/2025</w:t>
      </w:r>
      <w:r w:rsidR="00892CE6" w:rsidRPr="00BB207E">
        <w:rPr>
          <w:rFonts w:ascii="Palatino Linotype" w:eastAsia="Palatino Linotype" w:hAnsi="Palatino Linotype" w:cs="Palatino Linotype"/>
          <w:color w:val="000000" w:themeColor="text1"/>
        </w:rPr>
        <w:t>, promovido</w:t>
      </w:r>
      <w:r w:rsidRPr="00BB207E">
        <w:rPr>
          <w:rFonts w:ascii="Palatino Linotype" w:eastAsia="Palatino Linotype" w:hAnsi="Palatino Linotype" w:cs="Palatino Linotype"/>
          <w:color w:val="000000" w:themeColor="text1"/>
        </w:rPr>
        <w:t xml:space="preserve"> por </w:t>
      </w:r>
      <w:r w:rsidR="009A3600" w:rsidRPr="00BB207E">
        <w:rPr>
          <w:rFonts w:ascii="Palatino Linotype" w:eastAsia="Palatino Linotype" w:hAnsi="Palatino Linotype" w:cs="Palatino Linotype"/>
          <w:color w:val="000000" w:themeColor="text1"/>
        </w:rPr>
        <w:t>una persona que no registró nombre</w:t>
      </w:r>
      <w:r w:rsidRPr="00BB207E">
        <w:rPr>
          <w:rFonts w:ascii="Palatino Linotype" w:eastAsia="Palatino Linotype" w:hAnsi="Palatino Linotype" w:cs="Palatino Linotype"/>
          <w:color w:val="000000" w:themeColor="text1"/>
        </w:rPr>
        <w:t xml:space="preserve">, en lo sucesivo </w:t>
      </w:r>
      <w:r w:rsidRPr="00BB207E">
        <w:rPr>
          <w:rFonts w:ascii="Palatino Linotype" w:eastAsia="Palatino Linotype" w:hAnsi="Palatino Linotype" w:cs="Palatino Linotype"/>
          <w:b/>
          <w:color w:val="000000" w:themeColor="text1"/>
        </w:rPr>
        <w:t>EL RECURRENTE</w:t>
      </w:r>
      <w:r w:rsidRPr="00BB207E">
        <w:rPr>
          <w:rFonts w:ascii="Palatino Linotype" w:eastAsia="Palatino Linotype" w:hAnsi="Palatino Linotype" w:cs="Palatino Linotype"/>
          <w:color w:val="000000" w:themeColor="text1"/>
        </w:rPr>
        <w:t xml:space="preserve">, en contra de la respuesta otorgada a </w:t>
      </w:r>
      <w:r w:rsidR="006B5B63" w:rsidRPr="00BB207E">
        <w:rPr>
          <w:rFonts w:ascii="Palatino Linotype" w:eastAsia="Palatino Linotype" w:hAnsi="Palatino Linotype" w:cs="Palatino Linotype"/>
          <w:color w:val="000000" w:themeColor="text1"/>
        </w:rPr>
        <w:t>la solicitud de</w:t>
      </w:r>
      <w:r w:rsidRPr="00BB207E">
        <w:rPr>
          <w:rFonts w:ascii="Palatino Linotype" w:eastAsia="Palatino Linotype" w:hAnsi="Palatino Linotype" w:cs="Palatino Linotype"/>
          <w:color w:val="000000" w:themeColor="text1"/>
        </w:rPr>
        <w:t xml:space="preserve"> información </w:t>
      </w:r>
      <w:r w:rsidR="004D262B" w:rsidRPr="00BB207E">
        <w:rPr>
          <w:rFonts w:ascii="Palatino Linotype" w:eastAsia="Palatino Linotype" w:hAnsi="Palatino Linotype" w:cs="Palatino Linotype"/>
          <w:b/>
          <w:color w:val="000000" w:themeColor="text1"/>
        </w:rPr>
        <w:t>01108</w:t>
      </w:r>
      <w:r w:rsidR="008721B7" w:rsidRPr="00BB207E">
        <w:rPr>
          <w:rFonts w:ascii="Palatino Linotype" w:eastAsia="Palatino Linotype" w:hAnsi="Palatino Linotype" w:cs="Palatino Linotype"/>
          <w:b/>
          <w:color w:val="000000" w:themeColor="text1"/>
        </w:rPr>
        <w:t>/TOLUCA/IP/2025</w:t>
      </w:r>
      <w:r w:rsidRPr="00BB207E">
        <w:rPr>
          <w:rFonts w:ascii="Palatino Linotype" w:eastAsia="Palatino Linotype" w:hAnsi="Palatino Linotype" w:cs="Palatino Linotype"/>
          <w:color w:val="000000" w:themeColor="text1"/>
        </w:rPr>
        <w:t xml:space="preserve">, por parte </w:t>
      </w:r>
      <w:r w:rsidR="008721B7" w:rsidRPr="00BB207E">
        <w:rPr>
          <w:rFonts w:ascii="Palatino Linotype" w:eastAsia="Palatino Linotype" w:hAnsi="Palatino Linotype" w:cs="Palatino Linotype"/>
          <w:color w:val="000000" w:themeColor="text1"/>
        </w:rPr>
        <w:t>del</w:t>
      </w:r>
      <w:r w:rsidRPr="00BB207E">
        <w:rPr>
          <w:rFonts w:ascii="Palatino Linotype" w:eastAsia="Palatino Linotype" w:hAnsi="Palatino Linotype" w:cs="Palatino Linotype"/>
          <w:color w:val="000000" w:themeColor="text1"/>
        </w:rPr>
        <w:t xml:space="preserve"> </w:t>
      </w:r>
      <w:r w:rsidR="008721B7" w:rsidRPr="00BB207E">
        <w:rPr>
          <w:rFonts w:ascii="Palatino Linotype" w:eastAsia="Palatino Linotype" w:hAnsi="Palatino Linotype" w:cs="Palatino Linotype"/>
          <w:b/>
          <w:bCs/>
          <w:color w:val="000000" w:themeColor="text1"/>
        </w:rPr>
        <w:t>Ayuntamiento de Toluca</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color w:val="000000" w:themeColor="text1"/>
        </w:rPr>
        <w:t xml:space="preserve">en adelante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se emite la presente resolución con base en los siguientes:</w:t>
      </w:r>
      <w:r w:rsidR="008721B7" w:rsidRPr="00BB207E">
        <w:rPr>
          <w:rFonts w:ascii="Palatino Linotype" w:eastAsia="Palatino Linotype" w:hAnsi="Palatino Linotype" w:cs="Palatino Linotype"/>
          <w:color w:val="000000" w:themeColor="text1"/>
        </w:rPr>
        <w:t xml:space="preserve"> </w:t>
      </w:r>
    </w:p>
    <w:p w:rsidR="0072148B" w:rsidRPr="00BB207E" w:rsidRDefault="0072148B" w:rsidP="00426F75">
      <w:pPr>
        <w:jc w:val="both"/>
        <w:rPr>
          <w:rFonts w:ascii="Palatino Linotype" w:eastAsia="Palatino Linotype" w:hAnsi="Palatino Linotype" w:cs="Palatino Linotype"/>
          <w:color w:val="000000" w:themeColor="text1"/>
        </w:rPr>
      </w:pPr>
    </w:p>
    <w:p w:rsidR="0072148B" w:rsidRPr="00BB207E" w:rsidRDefault="00A077F4" w:rsidP="00426F75">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BB207E">
        <w:rPr>
          <w:rFonts w:ascii="Palatino Linotype" w:eastAsia="Palatino Linotype" w:hAnsi="Palatino Linotype" w:cs="Palatino Linotype"/>
          <w:b/>
          <w:color w:val="000000" w:themeColor="text1"/>
          <w:sz w:val="24"/>
          <w:szCs w:val="24"/>
        </w:rPr>
        <w:t>A N T E C E D E N T E S</w:t>
      </w:r>
    </w:p>
    <w:p w:rsidR="0072148B" w:rsidRPr="00BB207E" w:rsidRDefault="0072148B" w:rsidP="00426F75">
      <w:pPr>
        <w:pBdr>
          <w:top w:val="nil"/>
          <w:left w:val="nil"/>
          <w:bottom w:val="nil"/>
          <w:right w:val="nil"/>
          <w:between w:val="nil"/>
        </w:pBdr>
        <w:jc w:val="both"/>
        <w:rPr>
          <w:rFonts w:ascii="Palatino Linotype" w:eastAsia="Palatino Linotype" w:hAnsi="Palatino Linotype" w:cs="Palatino Linotype"/>
          <w:b/>
          <w:color w:val="000000" w:themeColor="text1"/>
          <w:u w:val="single"/>
        </w:rPr>
      </w:pPr>
    </w:p>
    <w:p w:rsidR="0072148B" w:rsidRPr="00BB207E" w:rsidRDefault="00A077F4" w:rsidP="00426F75">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El </w:t>
      </w:r>
      <w:r w:rsidR="008621A1" w:rsidRPr="00BB207E">
        <w:rPr>
          <w:rFonts w:ascii="Palatino Linotype" w:eastAsia="Palatino Linotype" w:hAnsi="Palatino Linotype" w:cs="Palatino Linotype"/>
          <w:b/>
          <w:color w:val="000000" w:themeColor="text1"/>
        </w:rPr>
        <w:t>veinticuatro de febrero</w:t>
      </w:r>
      <w:r w:rsidR="008721B7" w:rsidRPr="00BB207E">
        <w:rPr>
          <w:rFonts w:ascii="Palatino Linotype" w:eastAsia="Palatino Linotype" w:hAnsi="Palatino Linotype" w:cs="Palatino Linotype"/>
          <w:b/>
          <w:color w:val="000000" w:themeColor="text1"/>
        </w:rPr>
        <w:t xml:space="preserve"> de dos mil veinticinco</w:t>
      </w:r>
      <w:r w:rsidRPr="00BB207E">
        <w:rPr>
          <w:rFonts w:ascii="Palatino Linotype" w:eastAsia="Palatino Linotype" w:hAnsi="Palatino Linotype" w:cs="Palatino Linotype"/>
          <w:color w:val="000000" w:themeColor="text1"/>
        </w:rPr>
        <w:t>,</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color w:val="000000" w:themeColor="text1"/>
        </w:rPr>
        <w:t>se presentó ante el Sujeto Obligado vía Sistema de Acceso a la Información Mex</w:t>
      </w:r>
      <w:r w:rsidR="006B5B63" w:rsidRPr="00BB207E">
        <w:rPr>
          <w:rFonts w:ascii="Palatino Linotype" w:eastAsia="Palatino Linotype" w:hAnsi="Palatino Linotype" w:cs="Palatino Linotype"/>
          <w:color w:val="000000" w:themeColor="text1"/>
        </w:rPr>
        <w:t xml:space="preserve">iquense, en adelante SAIMEX, la siguiente </w:t>
      </w:r>
      <w:r w:rsidR="006B5B63" w:rsidRPr="00BB207E">
        <w:rPr>
          <w:rFonts w:ascii="Palatino Linotype" w:eastAsia="Palatino Linotype" w:hAnsi="Palatino Linotype" w:cs="Palatino Linotype"/>
          <w:b/>
          <w:color w:val="000000" w:themeColor="text1"/>
        </w:rPr>
        <w:t>solicitud</w:t>
      </w:r>
      <w:r w:rsidRPr="00BB207E">
        <w:rPr>
          <w:rFonts w:ascii="Palatino Linotype" w:eastAsia="Palatino Linotype" w:hAnsi="Palatino Linotype" w:cs="Palatino Linotype"/>
          <w:b/>
          <w:color w:val="000000" w:themeColor="text1"/>
        </w:rPr>
        <w:t xml:space="preserve"> de información</w:t>
      </w:r>
      <w:r w:rsidRPr="00BB207E">
        <w:rPr>
          <w:rFonts w:ascii="Palatino Linotype" w:eastAsia="Palatino Linotype" w:hAnsi="Palatino Linotype" w:cs="Palatino Linotype"/>
          <w:color w:val="000000" w:themeColor="text1"/>
        </w:rPr>
        <w:t xml:space="preserve"> pública:</w:t>
      </w:r>
    </w:p>
    <w:p w:rsidR="0072148B" w:rsidRPr="00BB207E" w:rsidRDefault="0072148B" w:rsidP="00426F75">
      <w:pPr>
        <w:pBdr>
          <w:top w:val="nil"/>
          <w:left w:val="nil"/>
          <w:bottom w:val="nil"/>
          <w:right w:val="nil"/>
          <w:between w:val="nil"/>
        </w:pBdr>
        <w:jc w:val="both"/>
        <w:rPr>
          <w:rFonts w:ascii="Palatino Linotype" w:eastAsia="Palatino Linotype" w:hAnsi="Palatino Linotype" w:cs="Palatino Linotype"/>
          <w:color w:val="000000" w:themeColor="text1"/>
        </w:rPr>
      </w:pPr>
    </w:p>
    <w:p w:rsidR="0072148B" w:rsidRPr="00BB207E" w:rsidRDefault="006B5B63" w:rsidP="00426F75">
      <w:pPr>
        <w:pBdr>
          <w:top w:val="nil"/>
          <w:left w:val="nil"/>
          <w:bottom w:val="nil"/>
          <w:right w:val="nil"/>
          <w:between w:val="nil"/>
        </w:pBd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 </w:t>
      </w:r>
      <w:r w:rsidR="00A077F4" w:rsidRPr="00BB207E">
        <w:rPr>
          <w:rFonts w:ascii="Palatino Linotype" w:eastAsia="Palatino Linotype" w:hAnsi="Palatino Linotype" w:cs="Palatino Linotype"/>
          <w:i/>
          <w:color w:val="000000" w:themeColor="text1"/>
        </w:rPr>
        <w:t>“</w:t>
      </w:r>
      <w:r w:rsidR="008621A1" w:rsidRPr="00BB207E">
        <w:rPr>
          <w:rFonts w:ascii="Palatino Linotype" w:eastAsia="Palatino Linotype" w:hAnsi="Palatino Linotype" w:cs="Palatino Linotype"/>
          <w:i/>
          <w:color w:val="000000" w:themeColor="text1"/>
        </w:rPr>
        <w:t>El registro de audiencias ciudadanos con nombre, colonia, teléfono y asuntos atendidas por el 8 Regidor en 2025.</w:t>
      </w:r>
      <w:r w:rsidRPr="00BB207E">
        <w:rPr>
          <w:rFonts w:ascii="Palatino Linotype" w:eastAsia="Palatino Linotype" w:hAnsi="Palatino Linotype" w:cs="Palatino Linotype"/>
          <w:i/>
          <w:color w:val="000000" w:themeColor="text1"/>
        </w:rPr>
        <w:t>”</w:t>
      </w:r>
      <w:r w:rsidR="00A077F4" w:rsidRPr="00BB207E">
        <w:rPr>
          <w:rFonts w:ascii="Palatino Linotype" w:eastAsia="Palatino Linotype" w:hAnsi="Palatino Linotype" w:cs="Palatino Linotype"/>
          <w:i/>
          <w:color w:val="000000" w:themeColor="text1"/>
        </w:rPr>
        <w:t xml:space="preserve"> (Sic)</w:t>
      </w:r>
    </w:p>
    <w:p w:rsidR="0072148B" w:rsidRDefault="0072148B" w:rsidP="00426F75">
      <w:pPr>
        <w:pBdr>
          <w:top w:val="nil"/>
          <w:left w:val="nil"/>
          <w:bottom w:val="nil"/>
          <w:right w:val="nil"/>
          <w:between w:val="nil"/>
        </w:pBdr>
        <w:jc w:val="both"/>
        <w:rPr>
          <w:rFonts w:ascii="Palatino Linotype" w:eastAsia="Palatino Linotype" w:hAnsi="Palatino Linotype" w:cs="Palatino Linotype"/>
          <w:color w:val="000000" w:themeColor="text1"/>
        </w:rPr>
      </w:pPr>
    </w:p>
    <w:p w:rsidR="00FF01EC" w:rsidRPr="00BB207E" w:rsidRDefault="00FF01EC" w:rsidP="00426F75">
      <w:pPr>
        <w:pBdr>
          <w:top w:val="nil"/>
          <w:left w:val="nil"/>
          <w:bottom w:val="nil"/>
          <w:right w:val="nil"/>
          <w:between w:val="nil"/>
        </w:pBdr>
        <w:jc w:val="both"/>
        <w:rPr>
          <w:rFonts w:ascii="Palatino Linotype" w:eastAsia="Palatino Linotype" w:hAnsi="Palatino Linotype" w:cs="Palatino Linotype"/>
          <w:color w:val="000000" w:themeColor="text1"/>
        </w:rPr>
      </w:pPr>
    </w:p>
    <w:p w:rsidR="0072148B" w:rsidRPr="00BB207E" w:rsidRDefault="00A077F4" w:rsidP="00426F75">
      <w:pPr>
        <w:numPr>
          <w:ilvl w:val="0"/>
          <w:numId w:val="1"/>
        </w:numPr>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Se eligió como modalidad de entrega de la información: A través del </w:t>
      </w:r>
      <w:r w:rsidRPr="00BB207E">
        <w:rPr>
          <w:rFonts w:ascii="Palatino Linotype" w:eastAsia="Palatino Linotype" w:hAnsi="Palatino Linotype" w:cs="Palatino Linotype"/>
          <w:b/>
          <w:color w:val="000000" w:themeColor="text1"/>
        </w:rPr>
        <w:t>SAIMEX.</w:t>
      </w:r>
    </w:p>
    <w:p w:rsidR="00723384" w:rsidRPr="00BB207E" w:rsidRDefault="00723384" w:rsidP="00426F7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A3600" w:rsidRPr="00BB207E" w:rsidRDefault="008721B7" w:rsidP="00426F75">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w:t>
      </w:r>
      <w:r w:rsidRPr="00BB207E">
        <w:rPr>
          <w:rFonts w:ascii="Palatino Linotype" w:eastAsia="Palatino Linotype" w:hAnsi="Palatino Linotype" w:cs="Palatino Linotype"/>
          <w:b/>
          <w:color w:val="000000" w:themeColor="text1"/>
        </w:rPr>
        <w:t>no proporcionó respuesta</w:t>
      </w:r>
      <w:r w:rsidRPr="00BB207E">
        <w:rPr>
          <w:rFonts w:ascii="Palatino Linotype" w:eastAsia="Palatino Linotype" w:hAnsi="Palatino Linotype" w:cs="Palatino Linotype"/>
          <w:color w:val="000000" w:themeColor="text1"/>
        </w:rPr>
        <w:t xml:space="preserve"> a la solicitud de información dentro del plazo de quince días establecido en el artículo 163 de la Ley de Transparencia y Acceso a la Información Pública del Estado de México y Municipios.</w:t>
      </w:r>
    </w:p>
    <w:p w:rsidR="00B16349" w:rsidRPr="00BB207E" w:rsidRDefault="00B16349" w:rsidP="00426F75">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p>
    <w:p w:rsidR="00D80BFC" w:rsidRPr="00BB207E" w:rsidRDefault="00A077F4" w:rsidP="00426F75">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lastRenderedPageBreak/>
        <w:t>El</w:t>
      </w:r>
      <w:r w:rsidRPr="00BB207E">
        <w:rPr>
          <w:rFonts w:ascii="Palatino Linotype" w:eastAsia="Palatino Linotype" w:hAnsi="Palatino Linotype" w:cs="Palatino Linotype"/>
          <w:b/>
          <w:color w:val="000000" w:themeColor="text1"/>
        </w:rPr>
        <w:t xml:space="preserve"> </w:t>
      </w:r>
      <w:r w:rsidR="00143D20" w:rsidRPr="00BB207E">
        <w:rPr>
          <w:rFonts w:ascii="Palatino Linotype" w:eastAsia="Palatino Linotype" w:hAnsi="Palatino Linotype" w:cs="Palatino Linotype"/>
          <w:b/>
          <w:color w:val="000000" w:themeColor="text1"/>
        </w:rPr>
        <w:t>veinte de marzo</w:t>
      </w:r>
      <w:r w:rsidRPr="00BB207E">
        <w:rPr>
          <w:rFonts w:ascii="Palatino Linotype" w:eastAsia="Palatino Linotype" w:hAnsi="Palatino Linotype" w:cs="Palatino Linotype"/>
          <w:b/>
          <w:color w:val="000000" w:themeColor="text1"/>
        </w:rPr>
        <w:t xml:space="preserve"> de dos mil veinticinco</w:t>
      </w:r>
      <w:r w:rsidRPr="00BB207E">
        <w:rPr>
          <w:rFonts w:ascii="Palatino Linotype" w:eastAsia="Palatino Linotype" w:hAnsi="Palatino Linotype" w:cs="Palatino Linotype"/>
          <w:color w:val="000000" w:themeColor="text1"/>
        </w:rPr>
        <w:t xml:space="preserve">, el particular interpuso </w:t>
      </w:r>
      <w:r w:rsidR="00C72A3B" w:rsidRPr="00BB207E">
        <w:rPr>
          <w:rFonts w:ascii="Palatino Linotype" w:eastAsia="Palatino Linotype" w:hAnsi="Palatino Linotype" w:cs="Palatino Linotype"/>
          <w:color w:val="000000" w:themeColor="text1"/>
        </w:rPr>
        <w:t>recurso</w:t>
      </w:r>
      <w:r w:rsidRPr="00BB207E">
        <w:rPr>
          <w:rFonts w:ascii="Palatino Linotype" w:eastAsia="Palatino Linotype" w:hAnsi="Palatino Linotype" w:cs="Palatino Linotype"/>
          <w:color w:val="000000" w:themeColor="text1"/>
        </w:rPr>
        <w:t xml:space="preserve"> de revisión a</w:t>
      </w:r>
      <w:r w:rsidR="00C72A3B" w:rsidRPr="00BB207E">
        <w:rPr>
          <w:rFonts w:ascii="Palatino Linotype" w:eastAsia="Palatino Linotype" w:hAnsi="Palatino Linotype" w:cs="Palatino Linotype"/>
          <w:color w:val="000000" w:themeColor="text1"/>
        </w:rPr>
        <w:t>l</w:t>
      </w:r>
      <w:r w:rsidRPr="00BB207E">
        <w:rPr>
          <w:rFonts w:ascii="Palatino Linotype" w:eastAsia="Palatino Linotype" w:hAnsi="Palatino Linotype" w:cs="Palatino Linotype"/>
          <w:color w:val="000000" w:themeColor="text1"/>
        </w:rPr>
        <w:t xml:space="preserve"> </w:t>
      </w:r>
      <w:r w:rsidR="00C72A3B" w:rsidRPr="00BB207E">
        <w:rPr>
          <w:rFonts w:ascii="Palatino Linotype" w:eastAsia="Palatino Linotype" w:hAnsi="Palatino Linotype" w:cs="Palatino Linotype"/>
          <w:color w:val="000000" w:themeColor="text1"/>
        </w:rPr>
        <w:t>que se le</w:t>
      </w:r>
      <w:r w:rsidRPr="00BB207E">
        <w:rPr>
          <w:rFonts w:ascii="Palatino Linotype" w:eastAsia="Palatino Linotype" w:hAnsi="Palatino Linotype" w:cs="Palatino Linotype"/>
          <w:color w:val="000000" w:themeColor="text1"/>
        </w:rPr>
        <w:t xml:space="preserve"> </w:t>
      </w:r>
      <w:r w:rsidR="00C72A3B" w:rsidRPr="00BB207E">
        <w:rPr>
          <w:rFonts w:ascii="Palatino Linotype" w:eastAsia="Palatino Linotype" w:hAnsi="Palatino Linotype" w:cs="Palatino Linotype"/>
          <w:color w:val="000000" w:themeColor="text1"/>
        </w:rPr>
        <w:t>asignó el folio</w:t>
      </w:r>
      <w:r w:rsidRPr="00BB207E">
        <w:rPr>
          <w:rFonts w:ascii="Palatino Linotype" w:eastAsia="Palatino Linotype" w:hAnsi="Palatino Linotype" w:cs="Palatino Linotype"/>
          <w:color w:val="000000" w:themeColor="text1"/>
        </w:rPr>
        <w:t xml:space="preserve"> </w:t>
      </w:r>
      <w:r w:rsidR="00143D20" w:rsidRPr="00BB207E">
        <w:rPr>
          <w:rFonts w:ascii="Palatino Linotype" w:eastAsia="Palatino Linotype" w:hAnsi="Palatino Linotype" w:cs="Palatino Linotype"/>
          <w:b/>
          <w:color w:val="000000" w:themeColor="text1"/>
        </w:rPr>
        <w:t>01108</w:t>
      </w:r>
      <w:r w:rsidR="00C72A3B" w:rsidRPr="00BB207E">
        <w:rPr>
          <w:rFonts w:ascii="Palatino Linotype" w:eastAsia="Palatino Linotype" w:hAnsi="Palatino Linotype" w:cs="Palatino Linotype"/>
          <w:b/>
          <w:color w:val="000000" w:themeColor="text1"/>
        </w:rPr>
        <w:t xml:space="preserve">/INFOEM/IP/RR/2025, </w:t>
      </w:r>
      <w:r w:rsidR="00C72A3B" w:rsidRPr="00BB207E">
        <w:rPr>
          <w:rFonts w:ascii="Palatino Linotype" w:eastAsia="Palatino Linotype" w:hAnsi="Palatino Linotype" w:cs="Palatino Linotype"/>
          <w:color w:val="000000" w:themeColor="text1"/>
        </w:rPr>
        <w:t>en contra de la</w:t>
      </w:r>
      <w:r w:rsidR="00143D20" w:rsidRPr="00BB207E">
        <w:rPr>
          <w:rFonts w:ascii="Palatino Linotype" w:eastAsia="Palatino Linotype" w:hAnsi="Palatino Linotype" w:cs="Palatino Linotype"/>
          <w:color w:val="000000" w:themeColor="text1"/>
        </w:rPr>
        <w:t xml:space="preserve"> falta de</w:t>
      </w:r>
      <w:r w:rsidR="00C72A3B" w:rsidRPr="00BB207E">
        <w:rPr>
          <w:rFonts w:ascii="Palatino Linotype" w:eastAsia="Palatino Linotype" w:hAnsi="Palatino Linotype" w:cs="Palatino Linotype"/>
          <w:color w:val="000000" w:themeColor="text1"/>
        </w:rPr>
        <w:t xml:space="preserve"> respuesta </w:t>
      </w:r>
      <w:r w:rsidRPr="00BB207E">
        <w:rPr>
          <w:rFonts w:ascii="Palatino Linotype" w:eastAsia="Palatino Linotype" w:hAnsi="Palatino Linotype" w:cs="Palatino Linotype"/>
          <w:color w:val="000000" w:themeColor="text1"/>
        </w:rPr>
        <w:t>por el sujeto obligado, realizando las siguientes manifestaciones como acto impugnado y razones o motivos de inconformidad:</w:t>
      </w:r>
    </w:p>
    <w:p w:rsidR="008721B7" w:rsidRPr="00BB207E" w:rsidRDefault="008721B7" w:rsidP="00426F75">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143D20" w:rsidRPr="00FF01EC" w:rsidRDefault="00A077F4" w:rsidP="00FF01EC">
      <w:pPr>
        <w:pStyle w:val="Prrafodelista"/>
        <w:numPr>
          <w:ilvl w:val="0"/>
          <w:numId w:val="32"/>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2" w:name="_heading=h.30j0zll" w:colFirst="0" w:colLast="0"/>
      <w:bookmarkEnd w:id="2"/>
      <w:r w:rsidRPr="00FF01EC">
        <w:rPr>
          <w:rFonts w:ascii="Palatino Linotype" w:eastAsia="Palatino Linotype" w:hAnsi="Palatino Linotype" w:cs="Palatino Linotype"/>
          <w:b/>
          <w:color w:val="000000" w:themeColor="text1"/>
        </w:rPr>
        <w:t>Acto impugnado</w:t>
      </w:r>
      <w:r w:rsidR="00143D20" w:rsidRPr="00FF01EC">
        <w:rPr>
          <w:rFonts w:ascii="Palatino Linotype" w:eastAsia="Palatino Linotype" w:hAnsi="Palatino Linotype" w:cs="Palatino Linotype"/>
          <w:b/>
          <w:color w:val="000000" w:themeColor="text1"/>
        </w:rPr>
        <w:t>:</w:t>
      </w:r>
      <w:r w:rsidR="00143D20" w:rsidRPr="00FF01EC">
        <w:rPr>
          <w:rFonts w:ascii="Palatino Linotype" w:eastAsia="Palatino Linotype" w:hAnsi="Palatino Linotype" w:cs="Palatino Linotype"/>
          <w:i/>
          <w:color w:val="000000" w:themeColor="text1"/>
        </w:rPr>
        <w:t xml:space="preserve"> “No dan respuesta” (Sic)</w:t>
      </w:r>
      <w:bookmarkStart w:id="3" w:name="_heading=h.1fob9te" w:colFirst="0" w:colLast="0"/>
      <w:bookmarkEnd w:id="3"/>
    </w:p>
    <w:p w:rsidR="00143D20" w:rsidRPr="00BB207E" w:rsidRDefault="00143D20" w:rsidP="00426F75">
      <w:pPr>
        <w:pBdr>
          <w:top w:val="nil"/>
          <w:left w:val="nil"/>
          <w:bottom w:val="nil"/>
          <w:right w:val="nil"/>
          <w:between w:val="nil"/>
        </w:pBdr>
        <w:jc w:val="both"/>
        <w:rPr>
          <w:rFonts w:ascii="Palatino Linotype" w:eastAsia="Palatino Linotype" w:hAnsi="Palatino Linotype" w:cs="Palatino Linotype"/>
          <w:b/>
          <w:color w:val="000000" w:themeColor="text1"/>
        </w:rPr>
      </w:pPr>
    </w:p>
    <w:p w:rsidR="00143D20" w:rsidRPr="00BB207E" w:rsidRDefault="00143D20" w:rsidP="00426F75">
      <w:pPr>
        <w:pBdr>
          <w:top w:val="nil"/>
          <w:left w:val="nil"/>
          <w:bottom w:val="nil"/>
          <w:right w:val="nil"/>
          <w:between w:val="nil"/>
        </w:pBdr>
        <w:jc w:val="both"/>
        <w:rPr>
          <w:rFonts w:ascii="Palatino Linotype" w:eastAsia="Palatino Linotype" w:hAnsi="Palatino Linotype" w:cs="Palatino Linotype"/>
          <w:b/>
          <w:color w:val="000000" w:themeColor="text1"/>
        </w:rPr>
      </w:pPr>
    </w:p>
    <w:p w:rsidR="00386CEB" w:rsidRPr="00FF01EC" w:rsidRDefault="007A4327" w:rsidP="00FF01EC">
      <w:pPr>
        <w:pStyle w:val="Prrafodelista"/>
        <w:numPr>
          <w:ilvl w:val="0"/>
          <w:numId w:val="32"/>
        </w:numPr>
        <w:pBdr>
          <w:top w:val="nil"/>
          <w:left w:val="nil"/>
          <w:bottom w:val="nil"/>
          <w:right w:val="nil"/>
          <w:between w:val="nil"/>
        </w:pBdr>
        <w:jc w:val="both"/>
        <w:rPr>
          <w:rFonts w:ascii="Palatino Linotype" w:eastAsia="Palatino Linotype" w:hAnsi="Palatino Linotype" w:cs="Palatino Linotype"/>
          <w:b/>
          <w:color w:val="000000" w:themeColor="text1"/>
        </w:rPr>
      </w:pPr>
      <w:r w:rsidRPr="00FF01EC">
        <w:rPr>
          <w:rFonts w:ascii="Palatino Linotype" w:eastAsia="Palatino Linotype" w:hAnsi="Palatino Linotype" w:cs="Palatino Linotype"/>
          <w:b/>
          <w:color w:val="000000" w:themeColor="text1"/>
        </w:rPr>
        <w:t xml:space="preserve">Razones o Motivos de </w:t>
      </w:r>
      <w:r w:rsidR="00386CEB" w:rsidRPr="00FF01EC">
        <w:rPr>
          <w:rFonts w:ascii="Palatino Linotype" w:eastAsia="Palatino Linotype" w:hAnsi="Palatino Linotype" w:cs="Palatino Linotype"/>
          <w:b/>
          <w:color w:val="000000" w:themeColor="text1"/>
        </w:rPr>
        <w:t>inconformidad:</w:t>
      </w:r>
      <w:r w:rsidR="00A077F4" w:rsidRPr="00FF01EC">
        <w:rPr>
          <w:rFonts w:ascii="Palatino Linotype" w:eastAsia="Palatino Linotype" w:hAnsi="Palatino Linotype" w:cs="Palatino Linotype"/>
          <w:b/>
          <w:color w:val="000000" w:themeColor="text1"/>
        </w:rPr>
        <w:t xml:space="preserve"> </w:t>
      </w:r>
      <w:r w:rsidR="00143D20" w:rsidRPr="00FF01EC">
        <w:rPr>
          <w:rFonts w:ascii="Palatino Linotype" w:eastAsia="Palatino Linotype" w:hAnsi="Palatino Linotype" w:cs="Palatino Linotype"/>
          <w:i/>
          <w:color w:val="000000" w:themeColor="text1"/>
        </w:rPr>
        <w:t>“Falta de respuesta” (Sic)</w:t>
      </w:r>
    </w:p>
    <w:p w:rsidR="00386CEB" w:rsidRPr="00BB207E" w:rsidRDefault="00386CEB" w:rsidP="00426F75">
      <w:pPr>
        <w:pBdr>
          <w:top w:val="nil"/>
          <w:left w:val="nil"/>
          <w:bottom w:val="nil"/>
          <w:right w:val="nil"/>
          <w:between w:val="nil"/>
        </w:pBdr>
        <w:jc w:val="both"/>
        <w:rPr>
          <w:rFonts w:ascii="Palatino Linotype" w:eastAsia="Palatino Linotype" w:hAnsi="Palatino Linotype" w:cs="Palatino Linotype"/>
          <w:b/>
          <w:color w:val="000000" w:themeColor="text1"/>
        </w:rPr>
      </w:pPr>
    </w:p>
    <w:p w:rsidR="0072148B" w:rsidRPr="00BB207E" w:rsidRDefault="0072148B" w:rsidP="00426F75">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u w:val="single"/>
        </w:rPr>
      </w:pPr>
    </w:p>
    <w:p w:rsidR="005845B2" w:rsidRPr="00BB207E" w:rsidRDefault="005845B2" w:rsidP="00426F75">
      <w:pPr>
        <w:numPr>
          <w:ilvl w:val="0"/>
          <w:numId w:val="6"/>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BB207E">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w:t>
      </w:r>
      <w:r w:rsidRPr="00BB207E">
        <w:rPr>
          <w:rFonts w:ascii="Palatino Linotype" w:eastAsia="Palatino Linotype" w:hAnsi="Palatino Linotype" w:cs="Palatino Linotype"/>
          <w:b/>
          <w:color w:val="000000" w:themeColor="text1"/>
        </w:rPr>
        <w:t xml:space="preserve">acuerdo de admisión </w:t>
      </w:r>
      <w:r w:rsidRPr="00BB207E">
        <w:rPr>
          <w:rFonts w:ascii="Palatino Linotype" w:eastAsia="Palatino Linotype" w:hAnsi="Palatino Linotype" w:cs="Palatino Linotype"/>
          <w:color w:val="000000" w:themeColor="text1"/>
        </w:rPr>
        <w:t xml:space="preserve">de fecha </w:t>
      </w:r>
      <w:r w:rsidR="0080628A" w:rsidRPr="00BB207E">
        <w:rPr>
          <w:rFonts w:ascii="Palatino Linotype" w:eastAsia="Palatino Linotype" w:hAnsi="Palatino Linotype" w:cs="Palatino Linotype"/>
          <w:b/>
          <w:color w:val="000000" w:themeColor="text1"/>
        </w:rPr>
        <w:t>veinticuatro de marzo</w:t>
      </w:r>
      <w:r w:rsidR="00DC7B42" w:rsidRPr="00BB207E">
        <w:rPr>
          <w:rFonts w:ascii="Palatino Linotype" w:eastAsia="Palatino Linotype" w:hAnsi="Palatino Linotype" w:cs="Palatino Linotype"/>
          <w:b/>
          <w:color w:val="000000" w:themeColor="text1"/>
        </w:rPr>
        <w:t xml:space="preserve"> de</w:t>
      </w:r>
      <w:r w:rsidRPr="00BB207E">
        <w:rPr>
          <w:rFonts w:ascii="Palatino Linotype" w:eastAsia="Palatino Linotype" w:hAnsi="Palatino Linotype" w:cs="Palatino Linotype"/>
          <w:b/>
          <w:color w:val="000000" w:themeColor="text1"/>
        </w:rPr>
        <w:t xml:space="preserve"> dos mil veinticinco, </w:t>
      </w:r>
      <w:r w:rsidRPr="00BB207E">
        <w:rPr>
          <w:rFonts w:ascii="Palatino Linotype" w:eastAsia="Palatino Linotype" w:hAnsi="Palatino Linotype" w:cs="Palatino Linotype"/>
          <w:color w:val="000000" w:themeColor="text1"/>
        </w:rPr>
        <w:t xml:space="preserve">puso a disposición de las partes el expediente electrónico vía SAIMEX a efecto de que en un plazo máximo de siete días manifestara lo que a su derecho conviniera, ofreciera pruebas y alegatos según corresponda al caso concreto, de esta forma para que el </w:t>
      </w:r>
      <w:r w:rsidRPr="00BB207E">
        <w:rPr>
          <w:rFonts w:ascii="Palatino Linotype" w:eastAsia="Palatino Linotype" w:hAnsi="Palatino Linotype" w:cs="Palatino Linotype"/>
          <w:b/>
          <w:color w:val="000000" w:themeColor="text1"/>
        </w:rPr>
        <w:t xml:space="preserve">SUJETO OBLIGADO </w:t>
      </w:r>
      <w:r w:rsidRPr="00BB207E">
        <w:rPr>
          <w:rFonts w:ascii="Palatino Linotype" w:eastAsia="Palatino Linotype" w:hAnsi="Palatino Linotype" w:cs="Palatino Linotype"/>
          <w:color w:val="000000" w:themeColor="text1"/>
        </w:rPr>
        <w:t>presentará el Informe Justificado procedente.</w:t>
      </w:r>
    </w:p>
    <w:p w:rsidR="005845B2" w:rsidRPr="00BB207E" w:rsidRDefault="005845B2" w:rsidP="00426F7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u w:val="single"/>
        </w:rPr>
      </w:pPr>
    </w:p>
    <w:p w:rsidR="005845B2" w:rsidRPr="00BB207E" w:rsidRDefault="005845B2" w:rsidP="00426F75">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color w:val="000000" w:themeColor="text1"/>
        </w:rPr>
        <w:t>El Recurrente</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color w:val="000000" w:themeColor="text1"/>
        </w:rPr>
        <w:t xml:space="preserve">dejó de realizar manifestaciones que a su derecho conviniera y asistiera. </w:t>
      </w:r>
      <w:r w:rsidR="00A8169A" w:rsidRPr="00BB207E">
        <w:rPr>
          <w:rFonts w:ascii="Palatino Linotype" w:eastAsia="Palatino Linotype" w:hAnsi="Palatino Linotype" w:cs="Palatino Linotype"/>
          <w:color w:val="000000" w:themeColor="text1"/>
        </w:rPr>
        <w:t xml:space="preserve">Por su parte, el Sujeto Obligado rindió el </w:t>
      </w:r>
      <w:r w:rsidR="00A8169A" w:rsidRPr="00BB207E">
        <w:rPr>
          <w:rFonts w:ascii="Palatino Linotype" w:eastAsia="Palatino Linotype" w:hAnsi="Palatino Linotype" w:cs="Palatino Linotype"/>
          <w:b/>
          <w:color w:val="000000" w:themeColor="text1"/>
        </w:rPr>
        <w:t>Informe Justificado</w:t>
      </w:r>
      <w:r w:rsidR="00A8169A" w:rsidRPr="00BB207E">
        <w:rPr>
          <w:rFonts w:ascii="Palatino Linotype" w:eastAsia="Palatino Linotype" w:hAnsi="Palatino Linotype" w:cs="Palatino Linotype"/>
          <w:color w:val="000000" w:themeColor="text1"/>
        </w:rPr>
        <w:t xml:space="preserve"> el </w:t>
      </w:r>
      <w:r w:rsidR="00C2791B" w:rsidRPr="00BB207E">
        <w:rPr>
          <w:rFonts w:ascii="Palatino Linotype" w:eastAsia="Palatino Linotype" w:hAnsi="Palatino Linotype" w:cs="Palatino Linotype"/>
          <w:b/>
          <w:color w:val="000000" w:themeColor="text1"/>
        </w:rPr>
        <w:t>dos de abril</w:t>
      </w:r>
      <w:r w:rsidR="00A8169A" w:rsidRPr="00BB207E">
        <w:rPr>
          <w:rFonts w:ascii="Palatino Linotype" w:eastAsia="Palatino Linotype" w:hAnsi="Palatino Linotype" w:cs="Palatino Linotype"/>
          <w:b/>
          <w:color w:val="000000" w:themeColor="text1"/>
        </w:rPr>
        <w:t xml:space="preserve"> de dos mil veinticinco</w:t>
      </w:r>
      <w:r w:rsidR="00A8169A" w:rsidRPr="00BB207E">
        <w:rPr>
          <w:rFonts w:ascii="Palatino Linotype" w:eastAsia="Palatino Linotype" w:hAnsi="Palatino Linotype" w:cs="Palatino Linotype"/>
          <w:color w:val="000000" w:themeColor="text1"/>
        </w:rPr>
        <w:t>, adjuntando archivos electrónicos</w:t>
      </w:r>
      <w:r w:rsidR="00BD5B95" w:rsidRPr="00BB207E">
        <w:rPr>
          <w:rFonts w:ascii="Palatino Linotype" w:eastAsia="Palatino Linotype" w:hAnsi="Palatino Linotype" w:cs="Palatino Linotype"/>
          <w:color w:val="000000" w:themeColor="text1"/>
        </w:rPr>
        <w:t xml:space="preserve"> que</w:t>
      </w:r>
      <w:r w:rsidR="00A8169A" w:rsidRPr="00BB207E">
        <w:rPr>
          <w:rFonts w:ascii="Palatino Linotype" w:eastAsia="Palatino Linotype" w:hAnsi="Palatino Linotype" w:cs="Palatino Linotype"/>
          <w:color w:val="000000" w:themeColor="text1"/>
        </w:rPr>
        <w:t xml:space="preserve"> se describen a continuación</w:t>
      </w:r>
      <w:r w:rsidR="006C7CBE" w:rsidRPr="00BB207E">
        <w:rPr>
          <w:rFonts w:ascii="Palatino Linotype" w:eastAsia="Palatino Linotype" w:hAnsi="Palatino Linotype" w:cs="Palatino Linotype"/>
          <w:color w:val="000000" w:themeColor="text1"/>
        </w:rPr>
        <w:t>:</w:t>
      </w:r>
    </w:p>
    <w:p w:rsidR="00BD5B95" w:rsidRPr="00BB207E" w:rsidRDefault="00BD5B95" w:rsidP="00426F75">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p>
    <w:p w:rsidR="00C2791B" w:rsidRPr="00BB207E" w:rsidRDefault="00C2791B" w:rsidP="00426F75">
      <w:pPr>
        <w:pBdr>
          <w:top w:val="nil"/>
          <w:left w:val="nil"/>
          <w:bottom w:val="nil"/>
          <w:right w:val="nil"/>
          <w:between w:val="nil"/>
        </w:pBdr>
        <w:jc w:val="both"/>
        <w:rPr>
          <w:rFonts w:ascii="Palatino Linotype" w:eastAsia="Palatino Linotype" w:hAnsi="Palatino Linotype" w:cs="Palatino Linotype"/>
          <w:b/>
          <w:i/>
          <w:color w:val="000000" w:themeColor="text1"/>
        </w:rPr>
      </w:pPr>
      <w:r w:rsidRPr="00BB207E">
        <w:rPr>
          <w:rFonts w:ascii="Palatino Linotype" w:eastAsia="Palatino Linotype" w:hAnsi="Palatino Linotype" w:cs="Palatino Linotype"/>
          <w:b/>
          <w:i/>
          <w:color w:val="000000" w:themeColor="text1"/>
        </w:rPr>
        <w:t>3308.pdf</w:t>
      </w:r>
    </w:p>
    <w:p w:rsidR="00C2791B" w:rsidRPr="00BB207E" w:rsidRDefault="00C2791B" w:rsidP="00426F75">
      <w:pPr>
        <w:pBdr>
          <w:top w:val="nil"/>
          <w:left w:val="nil"/>
          <w:bottom w:val="nil"/>
          <w:right w:val="nil"/>
          <w:between w:val="nil"/>
        </w:pBdr>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Escrito del Titular de la Unidad de Transparencia de fecha 02 de abril de 2025, a través del cual </w:t>
      </w:r>
      <w:r w:rsidRPr="00BB207E">
        <w:rPr>
          <w:rFonts w:ascii="Palatino Linotype" w:eastAsia="Palatino Linotype" w:hAnsi="Palatino Linotype" w:cs="Palatino Linotype"/>
          <w:b/>
          <w:color w:val="000000" w:themeColor="text1"/>
        </w:rPr>
        <w:t>informa que el Servidor Público Habilitado no rindió respuesta e informe justificado</w:t>
      </w:r>
      <w:r w:rsidRPr="00BB207E">
        <w:rPr>
          <w:rFonts w:ascii="Palatino Linotype" w:eastAsia="Palatino Linotype" w:hAnsi="Palatino Linotype" w:cs="Palatino Linotype"/>
          <w:color w:val="000000" w:themeColor="text1"/>
        </w:rPr>
        <w:t xml:space="preserve"> de la solicitud de mérito.</w:t>
      </w:r>
    </w:p>
    <w:p w:rsidR="00C2791B" w:rsidRDefault="00C2791B" w:rsidP="00426F75">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FF01EC" w:rsidRDefault="00FF01EC" w:rsidP="00426F75">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FF01EC" w:rsidRPr="00BB207E" w:rsidRDefault="00FF01EC" w:rsidP="00426F75">
      <w:pPr>
        <w:pBdr>
          <w:top w:val="nil"/>
          <w:left w:val="nil"/>
          <w:bottom w:val="nil"/>
          <w:right w:val="nil"/>
          <w:between w:val="nil"/>
        </w:pBdr>
        <w:jc w:val="both"/>
        <w:rPr>
          <w:rFonts w:ascii="Palatino Linotype" w:eastAsia="Palatino Linotype" w:hAnsi="Palatino Linotype" w:cs="Palatino Linotype"/>
          <w:b/>
          <w:i/>
          <w:color w:val="000000" w:themeColor="text1"/>
        </w:rPr>
      </w:pPr>
    </w:p>
    <w:p w:rsidR="00C2791B" w:rsidRPr="00BB207E" w:rsidRDefault="00C2791B" w:rsidP="00426F75">
      <w:pPr>
        <w:pBdr>
          <w:top w:val="nil"/>
          <w:left w:val="nil"/>
          <w:bottom w:val="nil"/>
          <w:right w:val="nil"/>
          <w:between w:val="nil"/>
        </w:pBdr>
        <w:jc w:val="both"/>
        <w:rPr>
          <w:rFonts w:ascii="Palatino Linotype" w:eastAsia="Palatino Linotype" w:hAnsi="Palatino Linotype" w:cs="Palatino Linotype"/>
          <w:b/>
          <w:i/>
          <w:color w:val="000000" w:themeColor="text1"/>
        </w:rPr>
      </w:pPr>
      <w:r w:rsidRPr="00BB207E">
        <w:rPr>
          <w:rFonts w:ascii="Palatino Linotype" w:eastAsia="Palatino Linotype" w:hAnsi="Palatino Linotype" w:cs="Palatino Linotype"/>
          <w:b/>
          <w:i/>
          <w:color w:val="000000" w:themeColor="text1"/>
        </w:rPr>
        <w:lastRenderedPageBreak/>
        <w:t>3308.pdf</w:t>
      </w:r>
    </w:p>
    <w:p w:rsidR="00C2791B" w:rsidRPr="00BB207E" w:rsidRDefault="00C2791B" w:rsidP="00426F75">
      <w:pPr>
        <w:pBdr>
          <w:top w:val="nil"/>
          <w:left w:val="nil"/>
          <w:bottom w:val="nil"/>
          <w:right w:val="nil"/>
          <w:between w:val="nil"/>
        </w:pBdr>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Oficio: 2010A4000/UT/894/2025 de fecha 26 de marzo de 2025, firmado por el Titular de la Unidad de Transparencia, dirigido a la Octava Regidora y </w:t>
      </w:r>
      <w:r w:rsidR="00C8530E" w:rsidRPr="00BB207E">
        <w:rPr>
          <w:rFonts w:ascii="Palatino Linotype" w:eastAsia="Palatino Linotype" w:hAnsi="Palatino Linotype" w:cs="Palatino Linotype"/>
          <w:color w:val="000000" w:themeColor="text1"/>
        </w:rPr>
        <w:t>Servidora</w:t>
      </w:r>
      <w:r w:rsidRPr="00BB207E">
        <w:rPr>
          <w:rFonts w:ascii="Palatino Linotype" w:eastAsia="Palatino Linotype" w:hAnsi="Palatino Linotype" w:cs="Palatino Linotype"/>
          <w:color w:val="000000" w:themeColor="text1"/>
        </w:rPr>
        <w:t xml:space="preserve"> Pública Habilitada</w:t>
      </w:r>
      <w:r w:rsidR="00C8530E" w:rsidRPr="00BB207E">
        <w:rPr>
          <w:rFonts w:ascii="Palatino Linotype" w:eastAsia="Palatino Linotype" w:hAnsi="Palatino Linotype" w:cs="Palatino Linotype"/>
          <w:color w:val="000000" w:themeColor="text1"/>
        </w:rPr>
        <w:t>, solicitando rinda informe justificado derivado de la interposición del presente medio de impugnación.</w:t>
      </w:r>
    </w:p>
    <w:p w:rsidR="00F817B8" w:rsidRPr="00BB207E" w:rsidRDefault="00F817B8" w:rsidP="00426F75">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p>
    <w:p w:rsidR="005845B2" w:rsidRPr="00BB207E" w:rsidRDefault="002F58AF" w:rsidP="00426F75">
      <w:pPr>
        <w:numPr>
          <w:ilvl w:val="0"/>
          <w:numId w:val="6"/>
        </w:numPr>
        <w:pBdr>
          <w:top w:val="nil"/>
          <w:left w:val="nil"/>
          <w:bottom w:val="nil"/>
          <w:right w:val="nil"/>
          <w:between w:val="nil"/>
        </w:pBdr>
        <w:tabs>
          <w:tab w:val="left" w:pos="0"/>
        </w:tabs>
        <w:spacing w:line="360" w:lineRule="auto"/>
        <w:ind w:left="0" w:firstLine="0"/>
        <w:jc w:val="both"/>
        <w:rPr>
          <w:rFonts w:ascii="Palatino Linotype" w:hAnsi="Palatino Linotype"/>
          <w:color w:val="000000" w:themeColor="text1"/>
        </w:rPr>
      </w:pPr>
      <w:r w:rsidRPr="00BB207E">
        <w:rPr>
          <w:rFonts w:ascii="Palatino Linotype" w:eastAsia="Palatino Linotype" w:hAnsi="Palatino Linotype" w:cs="Palatino Linotype"/>
          <w:color w:val="000000" w:themeColor="text1"/>
        </w:rPr>
        <w:t>El</w:t>
      </w:r>
      <w:r w:rsidRPr="00BB207E">
        <w:rPr>
          <w:rFonts w:ascii="Palatino Linotype" w:eastAsia="Palatino Linotype" w:hAnsi="Palatino Linotype" w:cs="Palatino Linotype"/>
          <w:b/>
          <w:color w:val="000000" w:themeColor="text1"/>
        </w:rPr>
        <w:t xml:space="preserve"> </w:t>
      </w:r>
      <w:r w:rsidR="006C580F" w:rsidRPr="00BB207E">
        <w:rPr>
          <w:rFonts w:ascii="Palatino Linotype" w:eastAsia="Palatino Linotype" w:hAnsi="Palatino Linotype" w:cs="Palatino Linotype"/>
          <w:b/>
          <w:color w:val="000000" w:themeColor="text1"/>
        </w:rPr>
        <w:t>diecinueve de mayo</w:t>
      </w:r>
      <w:r w:rsidR="005845B2" w:rsidRPr="00BB207E">
        <w:rPr>
          <w:rFonts w:ascii="Palatino Linotype" w:eastAsia="Palatino Linotype" w:hAnsi="Palatino Linotype" w:cs="Palatino Linotype"/>
          <w:b/>
          <w:color w:val="000000" w:themeColor="text1"/>
        </w:rPr>
        <w:t xml:space="preserve"> de dos mil veinticinco</w:t>
      </w:r>
      <w:r w:rsidR="005845B2" w:rsidRPr="00BB207E">
        <w:rPr>
          <w:rFonts w:ascii="Palatino Linotype" w:eastAsia="Palatino Linotype" w:hAnsi="Palatino Linotype" w:cs="Palatino Linotype"/>
          <w:color w:val="000000" w:themeColor="text1"/>
        </w:rPr>
        <w:t xml:space="preserve"> se acordó </w:t>
      </w:r>
      <w:r w:rsidR="005845B2" w:rsidRPr="00BB207E">
        <w:rPr>
          <w:rFonts w:ascii="Palatino Linotype" w:eastAsia="Palatino Linotype" w:hAnsi="Palatino Linotype" w:cs="Palatino Linotype"/>
          <w:b/>
          <w:color w:val="000000" w:themeColor="text1"/>
        </w:rPr>
        <w:t>ampliar el término para resolver</w:t>
      </w:r>
      <w:r w:rsidR="005845B2" w:rsidRPr="00BB207E">
        <w:rPr>
          <w:rFonts w:ascii="Palatino Linotype" w:eastAsia="Palatino Linotype" w:hAnsi="Palatino Linotype" w:cs="Palatino Linotype"/>
          <w:color w:val="000000" w:themeColor="text1"/>
        </w:rPr>
        <w:t xml:space="preserve"> el presente asunto.</w:t>
      </w:r>
    </w:p>
    <w:p w:rsidR="005845B2" w:rsidRPr="00BB207E" w:rsidRDefault="005845B2" w:rsidP="00426F75">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5845B2" w:rsidRPr="00BB207E" w:rsidRDefault="005845B2" w:rsidP="00426F75">
      <w:pPr>
        <w:numPr>
          <w:ilvl w:val="0"/>
          <w:numId w:val="6"/>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themeColor="text1"/>
        </w:rPr>
      </w:pPr>
      <w:bookmarkStart w:id="4" w:name="_heading=h.3znysh7" w:colFirst="0" w:colLast="0"/>
      <w:bookmarkEnd w:id="4"/>
      <w:r w:rsidRPr="00BB207E">
        <w:rPr>
          <w:rFonts w:ascii="Palatino Linotype" w:eastAsia="Palatino Linotype" w:hAnsi="Palatino Linotype" w:cs="Palatino Linotype"/>
          <w:color w:val="000000" w:themeColor="text1"/>
        </w:rPr>
        <w:t xml:space="preserve">Seguidamente, en fecha </w:t>
      </w:r>
      <w:r w:rsidR="00784475" w:rsidRPr="00BB207E">
        <w:rPr>
          <w:rFonts w:ascii="Palatino Linotype" w:eastAsia="Palatino Linotype" w:hAnsi="Palatino Linotype" w:cs="Palatino Linotype"/>
          <w:b/>
          <w:color w:val="000000" w:themeColor="text1"/>
        </w:rPr>
        <w:t>doce de agosto</w:t>
      </w:r>
      <w:r w:rsidRPr="00BB207E">
        <w:rPr>
          <w:rFonts w:ascii="Palatino Linotype" w:eastAsia="Palatino Linotype" w:hAnsi="Palatino Linotype" w:cs="Palatino Linotype"/>
          <w:b/>
          <w:color w:val="000000" w:themeColor="text1"/>
        </w:rPr>
        <w:t xml:space="preserve"> de dos mil veinticinco</w:t>
      </w:r>
      <w:r w:rsidRPr="00BB207E">
        <w:rPr>
          <w:rFonts w:ascii="Palatino Linotype" w:eastAsia="Palatino Linotype" w:hAnsi="Palatino Linotype" w:cs="Palatino Linotype"/>
          <w:color w:val="000000" w:themeColor="text1"/>
        </w:rPr>
        <w:t xml:space="preserve">, la Comisionada Ponente dictó el </w:t>
      </w:r>
      <w:r w:rsidRPr="00BB207E">
        <w:rPr>
          <w:rFonts w:ascii="Palatino Linotype" w:eastAsia="Palatino Linotype" w:hAnsi="Palatino Linotype" w:cs="Palatino Linotype"/>
          <w:b/>
          <w:color w:val="000000" w:themeColor="text1"/>
        </w:rPr>
        <w:t>cierre del periodo de instrucción</w:t>
      </w:r>
      <w:r w:rsidRPr="00BB207E">
        <w:rPr>
          <w:rFonts w:ascii="Palatino Linotype" w:eastAsia="Palatino Linotype" w:hAnsi="Palatino Linotype" w:cs="Palatino Linotype"/>
          <w:color w:val="000000" w:themeColor="text1"/>
        </w:rPr>
        <w:t xml:space="preserve"> y, ordenó la resolución que conforme a Derecho proceda</w:t>
      </w:r>
      <w:r w:rsidR="005C7812" w:rsidRPr="00BB207E">
        <w:rPr>
          <w:rFonts w:ascii="Palatino Linotype" w:eastAsia="Palatino Linotype" w:hAnsi="Palatino Linotype" w:cs="Palatino Linotype"/>
          <w:color w:val="000000" w:themeColor="text1"/>
        </w:rPr>
        <w:t>.</w:t>
      </w:r>
    </w:p>
    <w:p w:rsidR="0072148B" w:rsidRPr="00BB207E" w:rsidRDefault="0072148B" w:rsidP="00426F75">
      <w:pPr>
        <w:pBdr>
          <w:top w:val="nil"/>
          <w:left w:val="nil"/>
          <w:bottom w:val="nil"/>
          <w:right w:val="nil"/>
          <w:between w:val="nil"/>
        </w:pBdr>
        <w:jc w:val="both"/>
        <w:rPr>
          <w:rFonts w:ascii="Palatino Linotype" w:eastAsia="Palatino Linotype" w:hAnsi="Palatino Linotype" w:cs="Palatino Linotype"/>
          <w:b/>
          <w:color w:val="000000" w:themeColor="text1"/>
        </w:rPr>
      </w:pPr>
    </w:p>
    <w:p w:rsidR="005C7812" w:rsidRPr="00BB207E" w:rsidRDefault="005C7812" w:rsidP="00426F75">
      <w:pPr>
        <w:keepNext/>
        <w:keepLines/>
        <w:spacing w:line="360" w:lineRule="auto"/>
        <w:jc w:val="center"/>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 xml:space="preserve">C O N S I D E R A N D O </w:t>
      </w:r>
    </w:p>
    <w:p w:rsidR="005C7812" w:rsidRPr="00BB207E" w:rsidRDefault="005C7812" w:rsidP="00426F75">
      <w:pPr>
        <w:keepNext/>
        <w:keepLines/>
        <w:spacing w:line="360" w:lineRule="auto"/>
        <w:jc w:val="center"/>
        <w:rPr>
          <w:rFonts w:ascii="Palatino Linotype" w:eastAsia="Palatino Linotype" w:hAnsi="Palatino Linotype" w:cs="Palatino Linotype"/>
          <w:b/>
          <w:color w:val="000000" w:themeColor="text1"/>
        </w:rPr>
      </w:pPr>
    </w:p>
    <w:p w:rsidR="005C7812" w:rsidRPr="00BB207E" w:rsidRDefault="005C7812" w:rsidP="00426F75">
      <w:pPr>
        <w:keepNext/>
        <w:keepLines/>
        <w:spacing w:line="360" w:lineRule="auto"/>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PRIMERO. De la competencia</w:t>
      </w:r>
    </w:p>
    <w:p w:rsidR="005C7812" w:rsidRPr="00BB207E" w:rsidRDefault="005C7812" w:rsidP="00426F75">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w:t>
      </w:r>
      <w:r w:rsidRPr="00BB207E">
        <w:rPr>
          <w:rFonts w:ascii="Palatino Linotype" w:eastAsia="Palatino Linotype" w:hAnsi="Palatino Linotype" w:cs="Palatino Linotype"/>
          <w:color w:val="000000" w:themeColor="text1"/>
          <w:lang w:val="es-MX"/>
        </w:rPr>
        <w:t>párrafos trigésimo séptimo, trigésimo octavo y trigésimo noveno fracciones IV y V</w:t>
      </w:r>
      <w:r w:rsidRPr="00BB207E">
        <w:rPr>
          <w:rFonts w:ascii="Palatino Linotype" w:eastAsia="Palatino Linotype" w:hAnsi="Palatino Linotype" w:cs="Palatino Linotype"/>
          <w:color w:val="000000" w:themeColor="text1"/>
        </w:rPr>
        <w:t>,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B93BA1" w:rsidRPr="00BB207E" w:rsidRDefault="005F6407" w:rsidP="00426F75">
      <w:pPr>
        <w:spacing w:line="360" w:lineRule="auto"/>
        <w:jc w:val="both"/>
        <w:rPr>
          <w:rFonts w:ascii="Palatino Linotype" w:eastAsia="Palatino Linotype" w:hAnsi="Palatino Linotype" w:cs="Palatino Linotype"/>
          <w:color w:val="000000" w:themeColor="text1"/>
        </w:rPr>
      </w:pPr>
      <w:bookmarkStart w:id="5" w:name="_heading=h.tyjcwt" w:colFirst="0" w:colLast="0"/>
      <w:bookmarkEnd w:id="5"/>
      <w:r w:rsidRPr="00BB207E">
        <w:rPr>
          <w:rFonts w:ascii="Palatino Linotype" w:eastAsia="Palatino Linotype" w:hAnsi="Palatino Linotype" w:cs="Palatino Linotype"/>
          <w:b/>
          <w:color w:val="000000" w:themeColor="text1"/>
        </w:rPr>
        <w:lastRenderedPageBreak/>
        <w:t>S</w:t>
      </w:r>
      <w:r w:rsidR="00A0473C" w:rsidRPr="00BB207E">
        <w:rPr>
          <w:rFonts w:ascii="Palatino Linotype" w:eastAsia="Palatino Linotype" w:hAnsi="Palatino Linotype" w:cs="Palatino Linotype"/>
          <w:b/>
          <w:color w:val="000000" w:themeColor="text1"/>
        </w:rPr>
        <w:t>EGUNDO</w:t>
      </w:r>
      <w:r w:rsidR="00B93BA1" w:rsidRPr="00BB207E">
        <w:rPr>
          <w:rFonts w:ascii="Palatino Linotype" w:eastAsia="Palatino Linotype" w:hAnsi="Palatino Linotype" w:cs="Palatino Linotype"/>
          <w:b/>
          <w:color w:val="000000" w:themeColor="text1"/>
        </w:rPr>
        <w:t xml:space="preserve">. De la </w:t>
      </w:r>
      <w:r w:rsidR="00A0473C" w:rsidRPr="00BB207E">
        <w:rPr>
          <w:rFonts w:ascii="Palatino Linotype" w:eastAsia="Palatino Linotype" w:hAnsi="Palatino Linotype" w:cs="Palatino Linotype"/>
          <w:b/>
          <w:color w:val="000000" w:themeColor="text1"/>
        </w:rPr>
        <w:t xml:space="preserve">oportunidad </w:t>
      </w:r>
      <w:r w:rsidR="00B93BA1" w:rsidRPr="00BB207E">
        <w:rPr>
          <w:rFonts w:ascii="Palatino Linotype" w:eastAsia="Palatino Linotype" w:hAnsi="Palatino Linotype" w:cs="Palatino Linotype"/>
          <w:b/>
          <w:color w:val="000000" w:themeColor="text1"/>
        </w:rPr>
        <w:t xml:space="preserve">y </w:t>
      </w:r>
      <w:r w:rsidR="00A0473C" w:rsidRPr="00BB207E">
        <w:rPr>
          <w:rFonts w:ascii="Palatino Linotype" w:eastAsia="Palatino Linotype" w:hAnsi="Palatino Linotype" w:cs="Palatino Linotype"/>
          <w:b/>
          <w:color w:val="000000" w:themeColor="text1"/>
        </w:rPr>
        <w:t>procedencia</w:t>
      </w:r>
    </w:p>
    <w:p w:rsidR="00B93BA1" w:rsidRPr="00BB207E" w:rsidRDefault="00B93BA1" w:rsidP="00426F75">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color w:val="000000" w:themeColor="text1"/>
        </w:rPr>
        <w:t>El artículo 178 de la Ley de Transparencia y Acceso a la Información Pública del Estado de México y Municipios establece que el solicitante podrá interponer, por sí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y que ante la falta de respuesta del sujeto obligado, dentro de los plazos establecidos en la Ley de Transparencia Local, a una solicitud de acceso a la información pública, el recurso podrá ser interpuesto en cualquier momento, por lo que la interposición del presente recurso de revisión resulta oportuna.</w:t>
      </w:r>
    </w:p>
    <w:p w:rsidR="00B93BA1" w:rsidRPr="00BB207E" w:rsidRDefault="00B93BA1" w:rsidP="00426F7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B93BA1" w:rsidRPr="00BB207E" w:rsidRDefault="00B93BA1" w:rsidP="00426F75">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Por ende, se constituye la figura jurídica de la </w:t>
      </w:r>
      <w:r w:rsidRPr="00BB207E">
        <w:rPr>
          <w:rFonts w:ascii="Palatino Linotype" w:eastAsia="Palatino Linotype" w:hAnsi="Palatino Linotype" w:cs="Palatino Linotype"/>
          <w:b/>
          <w:i/>
          <w:color w:val="000000" w:themeColor="text1"/>
        </w:rPr>
        <w:t>negativa ficta</w:t>
      </w:r>
      <w:r w:rsidRPr="00BB207E">
        <w:rPr>
          <w:rFonts w:ascii="Palatino Linotype" w:eastAsia="Palatino Linotype" w:hAnsi="Palatino Linotype" w:cs="Palatino Linotype"/>
          <w:color w:val="000000" w:themeColor="text1"/>
        </w:rPr>
        <w:t xml:space="preserve">, cuya esencia es atribuir un efecto negativo al silencio de la autoridad administrativa frente a las instancias y solicitudes que hagan los particulares, lo cual encuentra sustento en lo que establece el artículo </w:t>
      </w:r>
      <w:r w:rsidRPr="00BB207E">
        <w:rPr>
          <w:rFonts w:ascii="Palatino Linotype" w:eastAsia="Palatino Linotype" w:hAnsi="Palatino Linotype" w:cs="Palatino Linotype"/>
          <w:b/>
          <w:color w:val="000000" w:themeColor="text1"/>
        </w:rPr>
        <w:t>178, segundo párrafo, de Ley de Transparencia y Acceso a la Información Pública del Estado de México y Municipios</w:t>
      </w:r>
      <w:r w:rsidRPr="00BB207E">
        <w:rPr>
          <w:rFonts w:ascii="Palatino Linotype" w:eastAsia="Palatino Linotype" w:hAnsi="Palatino Linotype" w:cs="Palatino Linotype"/>
          <w:color w:val="000000" w:themeColor="text1"/>
        </w:rPr>
        <w:t xml:space="preserve">, que dispone; </w:t>
      </w:r>
      <w:r w:rsidRPr="00BB207E">
        <w:rPr>
          <w:rFonts w:ascii="Palatino Linotype" w:eastAsia="Palatino Linotype" w:hAnsi="Palatino Linotype" w:cs="Palatino Linotype"/>
          <w:b/>
          <w:color w:val="000000" w:themeColor="text1"/>
        </w:rPr>
        <w:t>ante la falta de respuesta</w:t>
      </w:r>
      <w:r w:rsidRPr="00BB207E">
        <w:rPr>
          <w:rFonts w:ascii="Palatino Linotype" w:eastAsia="Palatino Linotype" w:hAnsi="Palatino Linotype" w:cs="Palatino Linotype"/>
          <w:color w:val="000000" w:themeColor="text1"/>
        </w:rPr>
        <w:t xml:space="preserve"> del SUJETO OBLIGADO, dentro de los plazos establecidos en esta Ley, a una solicitud de acceso a la información pública, </w:t>
      </w:r>
      <w:r w:rsidRPr="00BB207E">
        <w:rPr>
          <w:rFonts w:ascii="Palatino Linotype" w:eastAsia="Palatino Linotype" w:hAnsi="Palatino Linotype" w:cs="Palatino Linotype"/>
          <w:b/>
          <w:color w:val="000000" w:themeColor="text1"/>
        </w:rPr>
        <w:t>el recurso podrá ser interpuesto en cualquier momento</w:t>
      </w:r>
      <w:r w:rsidRPr="00BB207E">
        <w:rPr>
          <w:rFonts w:ascii="Palatino Linotype" w:eastAsia="Palatino Linotype" w:hAnsi="Palatino Linotype" w:cs="Palatino Linotype"/>
          <w:color w:val="000000" w:themeColor="text1"/>
        </w:rPr>
        <w:t xml:space="preserve">. </w:t>
      </w:r>
    </w:p>
    <w:p w:rsidR="00B93BA1" w:rsidRPr="00BB207E" w:rsidRDefault="00B93BA1" w:rsidP="00426F75">
      <w:pPr>
        <w:tabs>
          <w:tab w:val="left" w:pos="284"/>
        </w:tabs>
        <w:spacing w:line="360" w:lineRule="auto"/>
        <w:jc w:val="both"/>
        <w:rPr>
          <w:rFonts w:ascii="Palatino Linotype" w:eastAsia="Palatino Linotype" w:hAnsi="Palatino Linotype" w:cs="Palatino Linotype"/>
          <w:color w:val="000000" w:themeColor="text1"/>
        </w:rPr>
      </w:pPr>
    </w:p>
    <w:p w:rsidR="00B93BA1" w:rsidRPr="00BB207E" w:rsidRDefault="00B93BA1" w:rsidP="00426F75">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Por lo que, tratándose de la </w:t>
      </w:r>
      <w:r w:rsidRPr="00BB207E">
        <w:rPr>
          <w:rFonts w:ascii="Palatino Linotype" w:eastAsia="Palatino Linotype" w:hAnsi="Palatino Linotype" w:cs="Palatino Linotype"/>
          <w:b/>
          <w:i/>
          <w:color w:val="000000" w:themeColor="text1"/>
        </w:rPr>
        <w:t>negativa ficta</w:t>
      </w:r>
      <w:r w:rsidRPr="00BB207E">
        <w:rPr>
          <w:rFonts w:ascii="Palatino Linotype" w:eastAsia="Palatino Linotype" w:hAnsi="Palatino Linotype" w:cs="Palatino Linotype"/>
          <w:color w:val="000000" w:themeColor="text1"/>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w:t>
      </w:r>
      <w:r w:rsidRPr="00BB207E">
        <w:rPr>
          <w:rFonts w:ascii="Palatino Linotype" w:eastAsia="Palatino Linotype" w:hAnsi="Palatino Linotype" w:cs="Palatino Linotype"/>
          <w:color w:val="000000" w:themeColor="text1"/>
        </w:rPr>
        <w:lastRenderedPageBreak/>
        <w:t xml:space="preserve">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BB207E">
        <w:rPr>
          <w:rFonts w:ascii="Palatino Linotype" w:eastAsia="Palatino Linotype" w:hAnsi="Palatino Linotype" w:cs="Palatino Linotype"/>
          <w:b/>
          <w:i/>
          <w:color w:val="000000" w:themeColor="text1"/>
        </w:rPr>
        <w:t>negativa ficta</w:t>
      </w:r>
      <w:r w:rsidRPr="00BB207E">
        <w:rPr>
          <w:rFonts w:ascii="Palatino Linotype" w:eastAsia="Palatino Linotype" w:hAnsi="Palatino Linotype" w:cs="Palatino Linotype"/>
          <w:color w:val="000000" w:themeColor="text1"/>
        </w:rPr>
        <w:t>, que señala:</w:t>
      </w:r>
    </w:p>
    <w:p w:rsidR="00B93BA1" w:rsidRPr="00BB207E" w:rsidRDefault="00B93BA1" w:rsidP="00426F75">
      <w:pPr>
        <w:tabs>
          <w:tab w:val="left" w:pos="284"/>
          <w:tab w:val="left" w:pos="7655"/>
        </w:tabs>
        <w:spacing w:after="240"/>
        <w:jc w:val="center"/>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Criterio 0001-15</w:t>
      </w:r>
    </w:p>
    <w:p w:rsidR="00B93BA1" w:rsidRPr="00BB207E" w:rsidRDefault="00B93BA1" w:rsidP="00426F75">
      <w:pPr>
        <w:tabs>
          <w:tab w:val="left" w:pos="284"/>
          <w:tab w:val="left" w:pos="7655"/>
        </w:tabs>
        <w:spacing w:before="240" w:after="240"/>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b/>
          <w:i/>
          <w:color w:val="000000" w:themeColor="text1"/>
        </w:rPr>
        <w:t>NEGATIVA FICTA. PLAZO PARA INTERPONER EL RECURSO DE REVISIÓN TRATÁNDOSE DE.</w:t>
      </w:r>
      <w:r w:rsidRPr="00BB207E">
        <w:rPr>
          <w:rFonts w:ascii="Palatino Linotype" w:eastAsia="Palatino Linotype" w:hAnsi="Palatino Linotype" w:cs="Palatino Linotype"/>
          <w:i/>
          <w:color w:val="000000" w:themeColor="text1"/>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93BA1" w:rsidRPr="00BB207E" w:rsidRDefault="00B93BA1" w:rsidP="00426F75">
      <w:pPr>
        <w:tabs>
          <w:tab w:val="left" w:pos="284"/>
          <w:tab w:val="left" w:pos="7655"/>
          <w:tab w:val="left" w:pos="7938"/>
        </w:tabs>
        <w:jc w:val="both"/>
        <w:rPr>
          <w:rFonts w:ascii="Palatino Linotype" w:eastAsia="Palatino Linotype" w:hAnsi="Palatino Linotype" w:cs="Palatino Linotype"/>
          <w:i/>
          <w:color w:val="000000" w:themeColor="text1"/>
        </w:rPr>
      </w:pPr>
    </w:p>
    <w:p w:rsidR="00B93BA1" w:rsidRPr="00BB207E" w:rsidRDefault="00B93BA1" w:rsidP="00426F75">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Lo anterior, se explica porque la </w:t>
      </w:r>
      <w:r w:rsidRPr="00BB207E">
        <w:rPr>
          <w:rFonts w:ascii="Palatino Linotype" w:eastAsia="Palatino Linotype" w:hAnsi="Palatino Linotype" w:cs="Palatino Linotype"/>
          <w:b/>
          <w:color w:val="000000" w:themeColor="text1"/>
          <w:u w:val="single"/>
        </w:rPr>
        <w:t>posible ausencia</w:t>
      </w:r>
      <w:r w:rsidRPr="00BB207E">
        <w:rPr>
          <w:rFonts w:ascii="Palatino Linotype" w:eastAsia="Palatino Linotype" w:hAnsi="Palatino Linotype" w:cs="Palatino Linotype"/>
          <w:color w:val="000000" w:themeColor="text1"/>
        </w:rPr>
        <w:t xml:space="preserve"> de una respuesta en la solicitud constituye un acto que vulnera el derecho de manera continua y actualizable cada día en tanto, no se emita la respuesta a la que esté impuesto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w:t>
      </w:r>
    </w:p>
    <w:p w:rsidR="00B93BA1" w:rsidRPr="00BB207E" w:rsidRDefault="00B93BA1" w:rsidP="00426F75">
      <w:pPr>
        <w:spacing w:line="360" w:lineRule="auto"/>
        <w:jc w:val="both"/>
        <w:rPr>
          <w:rFonts w:ascii="Palatino Linotype" w:eastAsia="Palatino Linotype" w:hAnsi="Palatino Linotype" w:cs="Palatino Linotype"/>
          <w:color w:val="000000" w:themeColor="text1"/>
        </w:rPr>
      </w:pPr>
    </w:p>
    <w:p w:rsidR="00B93BA1" w:rsidRPr="00BB207E" w:rsidRDefault="00B93BA1" w:rsidP="00426F75">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El artículo 180 de la Ley de Transparencia y Acceso a la Información Pública del Estado de México y Municipios, señala los requisitos que deberán contener los recursos de revisión, como lo es, el nombre del solicitante que recurre; sin embargo, en su último párrafo establece que cuando el recurso se interponga de manera electrónica, no será indispensable que contenga determinados requisitos, entre ellos, el nombre de la parte </w:t>
      </w:r>
      <w:r w:rsidRPr="00BB207E">
        <w:rPr>
          <w:rFonts w:ascii="Palatino Linotype" w:eastAsia="Palatino Linotype" w:hAnsi="Palatino Linotype" w:cs="Palatino Linotype"/>
          <w:b/>
          <w:color w:val="000000" w:themeColor="text1"/>
        </w:rPr>
        <w:t>Recurrente</w:t>
      </w:r>
      <w:r w:rsidRPr="00BB207E">
        <w:rPr>
          <w:rFonts w:ascii="Palatino Linotype" w:eastAsia="Palatino Linotype" w:hAnsi="Palatino Linotype" w:cs="Palatino Linotype"/>
          <w:color w:val="000000" w:themeColor="text1"/>
        </w:rPr>
        <w:t xml:space="preserve">, por lo que, </w:t>
      </w:r>
      <w:r w:rsidRPr="00BB207E">
        <w:rPr>
          <w:rFonts w:ascii="Palatino Linotype" w:eastAsia="Palatino Linotype" w:hAnsi="Palatino Linotype" w:cs="Palatino Linotype"/>
          <w:color w:val="000000" w:themeColor="text1"/>
        </w:rPr>
        <w:lastRenderedPageBreak/>
        <w:t xml:space="preserve">en el presente caso, al haber sido presentado el recurso de revisión vía </w:t>
      </w:r>
      <w:r w:rsidRPr="00BB207E">
        <w:rPr>
          <w:rFonts w:ascii="Palatino Linotype" w:eastAsia="Palatino Linotype" w:hAnsi="Palatino Linotype" w:cs="Palatino Linotype"/>
          <w:b/>
          <w:color w:val="000000" w:themeColor="text1"/>
        </w:rPr>
        <w:t>SAIMEX</w:t>
      </w:r>
      <w:r w:rsidRPr="00BB207E">
        <w:rPr>
          <w:rFonts w:ascii="Palatino Linotype" w:eastAsia="Palatino Linotype" w:hAnsi="Palatino Linotype" w:cs="Palatino Linotype"/>
          <w:color w:val="000000" w:themeColor="text1"/>
        </w:rPr>
        <w:t>, dicho requisito resulta innecesario.</w:t>
      </w:r>
    </w:p>
    <w:p w:rsidR="00B93BA1" w:rsidRPr="00BB207E" w:rsidRDefault="00B93BA1" w:rsidP="00426F75">
      <w:pPr>
        <w:spacing w:line="360" w:lineRule="auto"/>
        <w:jc w:val="both"/>
        <w:rPr>
          <w:rFonts w:ascii="Palatino Linotype" w:eastAsia="Palatino Linotype" w:hAnsi="Palatino Linotype" w:cs="Palatino Linotype"/>
          <w:color w:val="000000" w:themeColor="text1"/>
        </w:rPr>
      </w:pPr>
    </w:p>
    <w:p w:rsidR="00B93BA1" w:rsidRPr="00BB207E" w:rsidRDefault="00B93BA1" w:rsidP="00426F75">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color w:val="000000" w:themeColor="text1"/>
        </w:rPr>
        <w:t xml:space="preserve">El artículo 179, fracción VII, de la Ley de Transparencia y Acceso a la Información Pública del Estado de México y Municipios, establece como supuesto de procedencia del recurso de revisión, la falta de respuesta a una solicitud de información por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hipótesis jurídica que se actualiza en este caso, aunado a que la parte </w:t>
      </w:r>
      <w:r w:rsidRPr="00BB207E">
        <w:rPr>
          <w:rFonts w:ascii="Palatino Linotype" w:eastAsia="Palatino Linotype" w:hAnsi="Palatino Linotype" w:cs="Palatino Linotype"/>
          <w:b/>
          <w:color w:val="000000" w:themeColor="text1"/>
        </w:rPr>
        <w:t>Recurrente</w:t>
      </w:r>
      <w:r w:rsidRPr="00BB207E">
        <w:rPr>
          <w:rFonts w:ascii="Palatino Linotype" w:eastAsia="Palatino Linotype" w:hAnsi="Palatino Linotype" w:cs="Palatino Linotype"/>
          <w:color w:val="000000" w:themeColor="text1"/>
        </w:rPr>
        <w:t xml:space="preserve"> combate la falta de respuesta por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w:t>
      </w:r>
    </w:p>
    <w:p w:rsidR="00B93BA1" w:rsidRPr="00BB207E" w:rsidRDefault="00B93BA1" w:rsidP="00426F75">
      <w:pPr>
        <w:spacing w:line="360" w:lineRule="auto"/>
        <w:jc w:val="both"/>
        <w:rPr>
          <w:rFonts w:ascii="Palatino Linotype" w:eastAsia="Palatino Linotype" w:hAnsi="Palatino Linotype" w:cs="Palatino Linotype"/>
          <w:color w:val="000000" w:themeColor="text1"/>
        </w:rPr>
      </w:pPr>
    </w:p>
    <w:p w:rsidR="00B93BA1" w:rsidRPr="00BB207E" w:rsidRDefault="00B93BA1" w:rsidP="00426F75">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Asimismo,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procedimentales para atender el fondo del asunto, en los términos del considerando posterior.</w:t>
      </w:r>
    </w:p>
    <w:p w:rsidR="0072148B" w:rsidRPr="00BB207E" w:rsidRDefault="0072148B" w:rsidP="00426F75">
      <w:pPr>
        <w:pStyle w:val="Ttulo2"/>
        <w:spacing w:before="0" w:line="360" w:lineRule="auto"/>
        <w:rPr>
          <w:rFonts w:ascii="Palatino Linotype" w:eastAsia="Palatino Linotype" w:hAnsi="Palatino Linotype" w:cs="Palatino Linotype"/>
          <w:color w:val="000000" w:themeColor="text1"/>
          <w:sz w:val="24"/>
          <w:szCs w:val="24"/>
        </w:rPr>
      </w:pPr>
    </w:p>
    <w:p w:rsidR="001061C4" w:rsidRPr="00BB207E" w:rsidRDefault="00A16F82" w:rsidP="00426F75">
      <w:pPr>
        <w:pStyle w:val="Ttulo2"/>
        <w:rPr>
          <w:rFonts w:ascii="Palatino Linotype" w:eastAsia="Palatino Linotype" w:hAnsi="Palatino Linotype" w:cs="Palatino Linotype"/>
          <w:b/>
          <w:i/>
          <w:color w:val="000000" w:themeColor="text1"/>
          <w:sz w:val="24"/>
          <w:szCs w:val="24"/>
        </w:rPr>
      </w:pPr>
      <w:bookmarkStart w:id="6" w:name="_heading=h.3dy6vkm" w:colFirst="0" w:colLast="0"/>
      <w:bookmarkEnd w:id="6"/>
      <w:r w:rsidRPr="00BB207E">
        <w:rPr>
          <w:rFonts w:ascii="Palatino Linotype" w:eastAsia="Palatino Linotype" w:hAnsi="Palatino Linotype" w:cs="Palatino Linotype"/>
          <w:b/>
          <w:color w:val="000000" w:themeColor="text1"/>
          <w:sz w:val="24"/>
          <w:szCs w:val="24"/>
        </w:rPr>
        <w:t xml:space="preserve">TERCERO. Del planteamiento de la </w:t>
      </w:r>
      <w:r w:rsidRPr="00BB207E">
        <w:rPr>
          <w:rFonts w:ascii="Palatino Linotype" w:eastAsia="Palatino Linotype" w:hAnsi="Palatino Linotype" w:cs="Palatino Linotype"/>
          <w:b/>
          <w:i/>
          <w:color w:val="000000" w:themeColor="text1"/>
          <w:sz w:val="24"/>
          <w:szCs w:val="24"/>
        </w:rPr>
        <w:t>Litis.</w:t>
      </w:r>
    </w:p>
    <w:p w:rsidR="0072148B" w:rsidRPr="00BB207E" w:rsidRDefault="00A077F4" w:rsidP="00426F75">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Se solicitó tener acceso, a la información que a continuación se simplifica:</w:t>
      </w:r>
    </w:p>
    <w:p w:rsidR="0093720C" w:rsidRPr="00BB207E" w:rsidRDefault="0093720C" w:rsidP="00426F75">
      <w:pPr>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El registro de audiencias ciudadanas atendidas por el Octavo Regidor del 01 de enero al 24 de febrero de 2025, con nomb</w:t>
      </w:r>
      <w:r w:rsidR="002F3DF1" w:rsidRPr="00BB207E">
        <w:rPr>
          <w:rFonts w:ascii="Palatino Linotype" w:eastAsia="Palatino Linotype" w:hAnsi="Palatino Linotype" w:cs="Palatino Linotype"/>
          <w:i/>
          <w:color w:val="000000" w:themeColor="text1"/>
        </w:rPr>
        <w:t>re, colonia, teléfono y asunto.</w:t>
      </w:r>
    </w:p>
    <w:p w:rsidR="0093720C" w:rsidRPr="00BB207E" w:rsidRDefault="0093720C" w:rsidP="00426F75">
      <w:pPr>
        <w:rPr>
          <w:rFonts w:ascii="Palatino Linotype" w:eastAsia="Palatino Linotype" w:hAnsi="Palatino Linotype" w:cs="Palatino Linotype"/>
          <w:i/>
          <w:color w:val="000000" w:themeColor="text1"/>
        </w:rPr>
      </w:pPr>
    </w:p>
    <w:p w:rsidR="0072148B" w:rsidRPr="00BB207E" w:rsidRDefault="002F3DF1" w:rsidP="00426F75">
      <w:pPr>
        <w:numPr>
          <w:ilvl w:val="0"/>
          <w:numId w:val="6"/>
        </w:numPr>
        <w:spacing w:line="360" w:lineRule="auto"/>
        <w:ind w:left="0" w:firstLine="0"/>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color w:val="000000" w:themeColor="text1"/>
        </w:rPr>
        <w:t>El</w:t>
      </w:r>
      <w:r w:rsidRPr="00BB207E">
        <w:rPr>
          <w:rFonts w:ascii="Palatino Linotype" w:eastAsia="Palatino Linotype" w:hAnsi="Palatino Linotype" w:cs="Palatino Linotype"/>
          <w:b/>
          <w:color w:val="000000" w:themeColor="text1"/>
        </w:rPr>
        <w:t xml:space="preserve"> </w:t>
      </w:r>
      <w:r w:rsidR="001C50E4" w:rsidRPr="00BB207E">
        <w:rPr>
          <w:rFonts w:ascii="Palatino Linotype" w:eastAsia="Palatino Linotype" w:hAnsi="Palatino Linotype" w:cs="Palatino Linotype"/>
          <w:b/>
          <w:color w:val="000000" w:themeColor="text1"/>
        </w:rPr>
        <w:t>SUJETO OBLIGADO</w:t>
      </w:r>
      <w:r w:rsidR="001C50E4" w:rsidRPr="00BB207E">
        <w:rPr>
          <w:rFonts w:ascii="Palatino Linotype" w:eastAsia="Palatino Linotype" w:hAnsi="Palatino Linotype" w:cs="Palatino Linotype"/>
          <w:color w:val="000000" w:themeColor="text1"/>
        </w:rPr>
        <w:t xml:space="preserve"> no emitió respuesta, el particular se dolió por la falta de la misma.</w:t>
      </w:r>
    </w:p>
    <w:p w:rsidR="0072148B" w:rsidRPr="00BB207E" w:rsidRDefault="0072148B" w:rsidP="00426F75">
      <w:pPr>
        <w:spacing w:line="360" w:lineRule="auto"/>
        <w:jc w:val="both"/>
        <w:rPr>
          <w:rFonts w:ascii="Palatino Linotype" w:eastAsia="Palatino Linotype" w:hAnsi="Palatino Linotype" w:cs="Palatino Linotype"/>
          <w:i/>
          <w:color w:val="000000" w:themeColor="text1"/>
        </w:rPr>
      </w:pPr>
    </w:p>
    <w:p w:rsidR="0072148B" w:rsidRPr="00BB207E" w:rsidRDefault="00A077F4"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En dichas condiciones, la controversia a resolver en el presente proveído, corresponde a determinar si se actualiza la causal de procedencia prevista en el artículo </w:t>
      </w:r>
      <w:r w:rsidRPr="00BB207E">
        <w:rPr>
          <w:rFonts w:ascii="Palatino Linotype" w:eastAsia="Palatino Linotype" w:hAnsi="Palatino Linotype" w:cs="Palatino Linotype"/>
          <w:b/>
          <w:color w:val="000000" w:themeColor="text1"/>
        </w:rPr>
        <w:t xml:space="preserve">179, fracción </w:t>
      </w:r>
      <w:r w:rsidR="00824237" w:rsidRPr="00BB207E">
        <w:rPr>
          <w:rFonts w:ascii="Palatino Linotype" w:eastAsia="Palatino Linotype" w:hAnsi="Palatino Linotype" w:cs="Palatino Linotype"/>
          <w:b/>
          <w:color w:val="000000" w:themeColor="text1"/>
        </w:rPr>
        <w:t>VII</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b/>
          <w:color w:val="000000" w:themeColor="text1"/>
        </w:rPr>
        <w:lastRenderedPageBreak/>
        <w:t>de la Ley de Transparencia y Acceso a la Información Pública del Estado de México y Municipios</w:t>
      </w:r>
      <w:r w:rsidRPr="00BB207E">
        <w:rPr>
          <w:rFonts w:ascii="Palatino Linotype" w:eastAsia="Palatino Linotype" w:hAnsi="Palatino Linotype" w:cs="Palatino Linotype"/>
          <w:color w:val="000000" w:themeColor="text1"/>
        </w:rPr>
        <w:t xml:space="preserve">; fracción que determina la hipótesis relativa a </w:t>
      </w:r>
      <w:r w:rsidR="00824237" w:rsidRPr="00BB207E">
        <w:rPr>
          <w:rFonts w:ascii="Palatino Linotype" w:eastAsia="Palatino Linotype" w:hAnsi="Palatino Linotype" w:cs="Palatino Linotype"/>
          <w:color w:val="000000" w:themeColor="text1"/>
        </w:rPr>
        <w:t xml:space="preserve">la </w:t>
      </w:r>
      <w:r w:rsidR="00824237" w:rsidRPr="00BB207E">
        <w:rPr>
          <w:rFonts w:ascii="Palatino Linotype" w:eastAsia="Palatino Linotype" w:hAnsi="Palatino Linotype" w:cs="Palatino Linotype"/>
          <w:b/>
          <w:color w:val="000000" w:themeColor="text1"/>
        </w:rPr>
        <w:t>falta de respuesta a una solicitud d</w:t>
      </w:r>
      <w:r w:rsidR="00103707" w:rsidRPr="00BB207E">
        <w:rPr>
          <w:rFonts w:ascii="Palatino Linotype" w:eastAsia="Palatino Linotype" w:hAnsi="Palatino Linotype" w:cs="Palatino Linotype"/>
          <w:b/>
          <w:color w:val="000000" w:themeColor="text1"/>
        </w:rPr>
        <w:t>e</w:t>
      </w:r>
      <w:r w:rsidR="00824237" w:rsidRPr="00BB207E">
        <w:rPr>
          <w:rFonts w:ascii="Palatino Linotype" w:eastAsia="Palatino Linotype" w:hAnsi="Palatino Linotype" w:cs="Palatino Linotype"/>
          <w:b/>
          <w:color w:val="000000" w:themeColor="text1"/>
        </w:rPr>
        <w:t xml:space="preserve"> acceso a la información</w:t>
      </w:r>
      <w:r w:rsidRPr="00BB207E">
        <w:rPr>
          <w:rFonts w:ascii="Palatino Linotype" w:eastAsia="Palatino Linotype" w:hAnsi="Palatino Linotype" w:cs="Palatino Linotype"/>
          <w:color w:val="000000" w:themeColor="text1"/>
        </w:rPr>
        <w:t>; contexto del cual se dolió el Recurrente al momento de interponer su inconformidad. De modo tal que el presente recurso de revisión se abocará en determinar si el Sujeto Obligado con su respuesta ciertamente actualiza la causal de procedencia</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color w:val="000000" w:themeColor="text1"/>
        </w:rPr>
        <w:t xml:space="preserve">señalada. </w:t>
      </w:r>
    </w:p>
    <w:p w:rsidR="0072148B" w:rsidRPr="00BB207E" w:rsidRDefault="0072148B" w:rsidP="00426F75">
      <w:pPr>
        <w:spacing w:line="360" w:lineRule="auto"/>
        <w:rPr>
          <w:rFonts w:ascii="Palatino Linotype" w:eastAsia="Palatino Linotype" w:hAnsi="Palatino Linotype" w:cs="Palatino Linotype"/>
          <w:color w:val="000000" w:themeColor="text1"/>
        </w:rPr>
      </w:pPr>
    </w:p>
    <w:p w:rsidR="00206AA8" w:rsidRPr="00BB207E" w:rsidRDefault="00A16F82" w:rsidP="00426F75">
      <w:pPr>
        <w:pStyle w:val="Ttulo2"/>
        <w:rPr>
          <w:rFonts w:ascii="Palatino Linotype" w:eastAsia="Palatino Linotype" w:hAnsi="Palatino Linotype" w:cs="Palatino Linotype"/>
          <w:b/>
          <w:color w:val="000000" w:themeColor="text1"/>
          <w:sz w:val="24"/>
          <w:szCs w:val="24"/>
        </w:rPr>
      </w:pPr>
      <w:bookmarkStart w:id="7" w:name="_heading=h.1t3h5sf" w:colFirst="0" w:colLast="0"/>
      <w:bookmarkEnd w:id="7"/>
      <w:r w:rsidRPr="00BB207E">
        <w:rPr>
          <w:rFonts w:ascii="Palatino Linotype" w:eastAsia="Palatino Linotype" w:hAnsi="Palatino Linotype" w:cs="Palatino Linotype"/>
          <w:b/>
          <w:color w:val="000000" w:themeColor="text1"/>
          <w:sz w:val="24"/>
          <w:szCs w:val="24"/>
        </w:rPr>
        <w:t>CUARTO. Del estudio y resolución del asunto.</w:t>
      </w:r>
    </w:p>
    <w:p w:rsidR="007E0E86" w:rsidRPr="00BB207E" w:rsidRDefault="007E0E8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En cumplimiento a las obligaciones que establece nuestra Carta Magna, la Constitución Estatal y la Ley de la materia le imponen,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fue omiso en dar respuesta a la solicitud de información dentro de los plazos establecidos en la Ley de Transparencia Loca.</w:t>
      </w:r>
    </w:p>
    <w:p w:rsidR="007E0E86" w:rsidRPr="00BB207E" w:rsidRDefault="007E0E86" w:rsidP="00426F75">
      <w:pPr>
        <w:spacing w:line="360" w:lineRule="auto"/>
        <w:jc w:val="both"/>
        <w:rPr>
          <w:rFonts w:ascii="Palatino Linotype" w:eastAsia="Palatino Linotype" w:hAnsi="Palatino Linotype" w:cs="Palatino Linotype"/>
          <w:color w:val="000000" w:themeColor="text1"/>
        </w:rPr>
      </w:pPr>
    </w:p>
    <w:p w:rsidR="007E0E86" w:rsidRPr="00BB207E" w:rsidRDefault="007E0E8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Asimismo, los motivos o razones de inconformidad expuestos por la parte Recurrente se adolece de la falta de respuesta a la solicitud de acceso a la información formulada, por lo que se actualiza la causal de procedencia establecida en la fracción VII del artículo 179 de la Ley de Transparencia y Acceso a la Información Pública del Estado de México y Municipios,</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color w:val="000000" w:themeColor="text1"/>
        </w:rPr>
        <w:t>y</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color w:val="000000" w:themeColor="text1"/>
        </w:rPr>
        <w:t>por tanto, es procedente la interposición del recurso de revisión.</w:t>
      </w:r>
    </w:p>
    <w:p w:rsidR="007E0E86" w:rsidRPr="00BB207E" w:rsidRDefault="007E0E86" w:rsidP="00426F75">
      <w:pPr>
        <w:spacing w:line="360" w:lineRule="auto"/>
        <w:jc w:val="both"/>
        <w:rPr>
          <w:rFonts w:ascii="Palatino Linotype" w:eastAsia="Palatino Linotype" w:hAnsi="Palatino Linotype" w:cs="Palatino Linotype"/>
          <w:color w:val="000000" w:themeColor="text1"/>
        </w:rPr>
      </w:pPr>
    </w:p>
    <w:p w:rsidR="007E0E86" w:rsidRPr="00BB207E" w:rsidRDefault="007E0E8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Ahora bien de conformidad con lo establecido en los artículos 50 y 51 de la Ley de Transparencia y Acceso a la Información Pública del Estado de México y Municipios, los </w:t>
      </w:r>
      <w:r w:rsidRPr="00BB207E">
        <w:rPr>
          <w:rFonts w:ascii="Palatino Linotype" w:eastAsia="Palatino Linotype" w:hAnsi="Palatino Linotype" w:cs="Palatino Linotype"/>
          <w:color w:val="000000" w:themeColor="text1"/>
        </w:rPr>
        <w:lastRenderedPageBreak/>
        <w:t xml:space="preserve">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Además, se establece que la Unidad de Transparencia es la encargada de tramitar internamente las solicitudes de información y tiene la responsabilidad de verificar, en cada caso, que la información no tenga el carácter de confidencial o reservada. </w:t>
      </w:r>
    </w:p>
    <w:p w:rsidR="007E0E86" w:rsidRPr="00BB207E" w:rsidRDefault="007E0E86" w:rsidP="00426F75">
      <w:pPr>
        <w:pBdr>
          <w:top w:val="nil"/>
          <w:left w:val="nil"/>
          <w:bottom w:val="nil"/>
          <w:right w:val="nil"/>
          <w:between w:val="nil"/>
        </w:pBdr>
        <w:tabs>
          <w:tab w:val="left" w:pos="0"/>
          <w:tab w:val="left" w:pos="2850"/>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ab/>
      </w:r>
    </w:p>
    <w:p w:rsidR="007E0E86" w:rsidRPr="00BB207E" w:rsidRDefault="007E0E8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Por su parte, el artículo 53, fracciones II, IV y V de la Ley de Transparencia Local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7E0E86" w:rsidRPr="00BB207E" w:rsidRDefault="007E0E86" w:rsidP="00426F75">
      <w:pPr>
        <w:widowControl w:val="0"/>
        <w:tabs>
          <w:tab w:val="left" w:pos="1276"/>
        </w:tabs>
        <w:spacing w:line="360" w:lineRule="auto"/>
        <w:jc w:val="both"/>
        <w:rPr>
          <w:rFonts w:ascii="Palatino Linotype" w:eastAsia="Palatino Linotype" w:hAnsi="Palatino Linotype" w:cs="Palatino Linotype"/>
          <w:color w:val="000000" w:themeColor="text1"/>
        </w:rPr>
      </w:pPr>
    </w:p>
    <w:p w:rsidR="007E0E86" w:rsidRPr="00BB207E" w:rsidRDefault="007E0E8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El artículo 163 de la mencionada Ley, señala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lo cual no aconteció en el presente asunto. De tal manera que la omisión del Titular de la Unidad de Transparencia, como primer responsable de atender la solicitud de información, se traduce en una conducta que ha vulnerado el derecho de acceso a la información consignado a favor del particular.</w:t>
      </w:r>
    </w:p>
    <w:p w:rsidR="007E0E86" w:rsidRPr="00BB207E" w:rsidRDefault="007E0E86" w:rsidP="00426F75">
      <w:pPr>
        <w:spacing w:line="360" w:lineRule="auto"/>
        <w:jc w:val="both"/>
        <w:rPr>
          <w:rFonts w:ascii="Palatino Linotype" w:eastAsia="Palatino Linotype" w:hAnsi="Palatino Linotype" w:cs="Palatino Linotype"/>
          <w:color w:val="000000" w:themeColor="text1"/>
        </w:rPr>
      </w:pPr>
    </w:p>
    <w:p w:rsidR="007E0E86" w:rsidRPr="00BB207E" w:rsidRDefault="007E0E86" w:rsidP="00426F75">
      <w:pPr>
        <w:numPr>
          <w:ilvl w:val="0"/>
          <w:numId w:val="6"/>
        </w:numPr>
        <w:spacing w:line="360" w:lineRule="auto"/>
        <w:ind w:left="0" w:firstLine="0"/>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color w:val="000000" w:themeColor="text1"/>
        </w:rPr>
        <w:lastRenderedPageBreak/>
        <w:t xml:space="preserve">En consecuencia, según lo dispuesto por el artículo 150 de la Ley de Transparencia y Acceso a la Información Pública del Estado de México y Municipios, el </w:t>
      </w:r>
      <w:r w:rsidRPr="00BB207E">
        <w:rPr>
          <w:rFonts w:ascii="Palatino Linotype" w:eastAsia="Palatino Linotype" w:hAnsi="Palatino Linotype" w:cs="Palatino Linotype"/>
          <w:i/>
          <w:color w:val="000000" w:themeColor="text1"/>
        </w:rPr>
        <w:t xml:space="preserve">procedimiento de acceso a la información es la garantía primaria del derecho en cuestión, </w:t>
      </w:r>
      <w:r w:rsidRPr="00BB207E">
        <w:rPr>
          <w:rFonts w:ascii="Palatino Linotype" w:eastAsia="Palatino Linotype" w:hAnsi="Palatino Linotype" w:cs="Palatino Linotype"/>
          <w:color w:val="000000" w:themeColor="text1"/>
        </w:rPr>
        <w:t xml:space="preserve">por lo tanto, la falta de respuesta a una solicitud de acceso a la información constituye un incumplimiento del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a su deber de garantizar el derecho, lo que constituye una vulneración al mismo.</w:t>
      </w:r>
    </w:p>
    <w:p w:rsidR="007E0E86" w:rsidRPr="00BB207E" w:rsidRDefault="007E0E86" w:rsidP="00426F75">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rsidR="007E0E86" w:rsidRPr="00BB207E" w:rsidRDefault="007E0E86" w:rsidP="00426F75">
      <w:pPr>
        <w:numPr>
          <w:ilvl w:val="0"/>
          <w:numId w:val="6"/>
        </w:numPr>
        <w:spacing w:line="360" w:lineRule="auto"/>
        <w:ind w:left="0" w:firstLine="0"/>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color w:val="000000" w:themeColor="text1"/>
        </w:rPr>
        <w:t xml:space="preserve">Sin embargo, una vez admitido el Recurso de Revisión el </w:t>
      </w:r>
      <w:r w:rsidRPr="00BB207E">
        <w:rPr>
          <w:rFonts w:ascii="Palatino Linotype" w:eastAsia="Palatino Linotype" w:hAnsi="Palatino Linotype" w:cs="Palatino Linotype"/>
          <w:b/>
          <w:color w:val="000000" w:themeColor="text1"/>
        </w:rPr>
        <w:t>Sujeto Obligado</w:t>
      </w:r>
      <w:r w:rsidR="0021698D" w:rsidRPr="00BB207E">
        <w:rPr>
          <w:rFonts w:ascii="Palatino Linotype" w:eastAsia="Palatino Linotype" w:hAnsi="Palatino Linotype" w:cs="Palatino Linotype"/>
          <w:color w:val="000000" w:themeColor="text1"/>
        </w:rPr>
        <w:t xml:space="preserve"> </w:t>
      </w:r>
      <w:r w:rsidRPr="00BB207E">
        <w:rPr>
          <w:rFonts w:ascii="Palatino Linotype" w:eastAsia="Palatino Linotype" w:hAnsi="Palatino Linotype" w:cs="Palatino Linotype"/>
          <w:color w:val="000000" w:themeColor="text1"/>
        </w:rPr>
        <w:t xml:space="preserve">realizó las manifestaciones correspondientes respecto de la solicitud de información, </w:t>
      </w:r>
      <w:r w:rsidR="0021698D" w:rsidRPr="00BB207E">
        <w:rPr>
          <w:rFonts w:ascii="Palatino Linotype" w:eastAsia="Palatino Linotype" w:hAnsi="Palatino Linotype" w:cs="Palatino Linotype"/>
          <w:color w:val="000000" w:themeColor="text1"/>
        </w:rPr>
        <w:t xml:space="preserve">informando el Titular de la Unidad de Transparencia que </w:t>
      </w:r>
      <w:r w:rsidR="0021698D" w:rsidRPr="00BB207E">
        <w:rPr>
          <w:rFonts w:ascii="Palatino Linotype" w:eastAsia="Palatino Linotype" w:hAnsi="Palatino Linotype" w:cs="Palatino Linotype"/>
          <w:b/>
          <w:color w:val="000000" w:themeColor="text1"/>
        </w:rPr>
        <w:t>el Servidor Público Habilitado no rindió respuesta e informe justificado.</w:t>
      </w:r>
    </w:p>
    <w:p w:rsidR="007E0E86" w:rsidRPr="00BB207E" w:rsidRDefault="007E0E86" w:rsidP="00426F75">
      <w:pPr>
        <w:spacing w:line="360" w:lineRule="auto"/>
        <w:jc w:val="both"/>
        <w:rPr>
          <w:rFonts w:ascii="Palatino Linotype" w:eastAsia="Palatino Linotype" w:hAnsi="Palatino Linotype" w:cs="Palatino Linotype"/>
          <w:color w:val="000000" w:themeColor="text1"/>
        </w:rPr>
      </w:pPr>
    </w:p>
    <w:p w:rsidR="0021698D" w:rsidRPr="00BB207E" w:rsidRDefault="0021698D"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En este sentido es de referir que l</w:t>
      </w:r>
      <w:r w:rsidR="007E0E86" w:rsidRPr="00BB207E">
        <w:rPr>
          <w:rFonts w:ascii="Palatino Linotype" w:eastAsia="Palatino Linotype" w:hAnsi="Palatino Linotype" w:cs="Palatino Linotype"/>
          <w:color w:val="000000" w:themeColor="text1"/>
        </w:rPr>
        <w:t>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r w:rsidR="00A077F4" w:rsidRPr="00BB207E">
        <w:rPr>
          <w:rFonts w:ascii="Palatino Linotype" w:eastAsia="Palatino Linotype" w:hAnsi="Palatino Linotype" w:cs="Palatino Linotype"/>
          <w:color w:val="000000" w:themeColor="text1"/>
        </w:rPr>
        <w:t xml:space="preserve">, el cual establece que quienes generen, recopilen, administren, manejen, procesen, archiven o conserven información pública </w:t>
      </w:r>
      <w:r w:rsidRPr="00BB207E">
        <w:rPr>
          <w:rFonts w:ascii="Palatino Linotype" w:eastAsia="Palatino Linotype" w:hAnsi="Palatino Linotype" w:cs="Palatino Linotype"/>
          <w:color w:val="000000" w:themeColor="text1"/>
        </w:rPr>
        <w:t>serán responsables de la misma.</w:t>
      </w:r>
    </w:p>
    <w:p w:rsidR="0021698D" w:rsidRPr="00BB207E" w:rsidRDefault="0021698D" w:rsidP="00426F75">
      <w:pPr>
        <w:spacing w:line="360" w:lineRule="auto"/>
        <w:jc w:val="both"/>
        <w:rPr>
          <w:rFonts w:ascii="Palatino Linotype" w:eastAsia="Palatino Linotype" w:hAnsi="Palatino Linotype" w:cs="Palatino Linotype"/>
          <w:color w:val="000000" w:themeColor="text1"/>
        </w:rPr>
      </w:pPr>
    </w:p>
    <w:p w:rsidR="0072148B" w:rsidRPr="00BB207E" w:rsidRDefault="0021698D"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Del </w:t>
      </w:r>
      <w:r w:rsidR="00A077F4" w:rsidRPr="00BB207E">
        <w:rPr>
          <w:rFonts w:ascii="Palatino Linotype" w:eastAsia="Palatino Linotype" w:hAnsi="Palatino Linotype" w:cs="Palatino Linotype"/>
          <w:color w:val="000000" w:themeColor="text1"/>
        </w:rPr>
        <w:t>mismo modo, el artículo 18, establece que los Sujetos Obligados deberán documentar todo acto que derive del ejercicio de sus facultades, competencias o funciones desde su origen la eventual publicidad y reutilización de la información que generen.</w:t>
      </w:r>
    </w:p>
    <w:p w:rsidR="0072148B" w:rsidRPr="00BB207E" w:rsidRDefault="0072148B" w:rsidP="00426F75">
      <w:pPr>
        <w:spacing w:line="360" w:lineRule="auto"/>
        <w:jc w:val="both"/>
        <w:rPr>
          <w:rFonts w:ascii="Palatino Linotype" w:eastAsia="Palatino Linotype" w:hAnsi="Palatino Linotype" w:cs="Palatino Linotype"/>
          <w:color w:val="000000" w:themeColor="text1"/>
        </w:rPr>
      </w:pPr>
    </w:p>
    <w:p w:rsidR="0072148B" w:rsidRPr="00BB207E" w:rsidRDefault="00A077F4"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lastRenderedPageBreak/>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2148B" w:rsidRPr="00BB207E" w:rsidRDefault="0072148B" w:rsidP="00426F75">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2148B" w:rsidRPr="00BB207E" w:rsidRDefault="00A077F4"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7E0E86" w:rsidRPr="00BB207E" w:rsidRDefault="007E0E86" w:rsidP="00426F75">
      <w:pPr>
        <w:spacing w:line="360" w:lineRule="auto"/>
        <w:jc w:val="both"/>
        <w:rPr>
          <w:rFonts w:ascii="Palatino Linotype" w:eastAsia="Palatino Linotype" w:hAnsi="Palatino Linotype" w:cs="Palatino Linotype"/>
          <w:color w:val="000000" w:themeColor="text1"/>
        </w:rPr>
      </w:pPr>
    </w:p>
    <w:p w:rsidR="007E0E86" w:rsidRPr="00BB207E" w:rsidRDefault="0021698D" w:rsidP="00426F75">
      <w:pPr>
        <w:numPr>
          <w:ilvl w:val="0"/>
          <w:numId w:val="6"/>
        </w:numPr>
        <w:spacing w:line="360" w:lineRule="auto"/>
        <w:ind w:left="0" w:firstLine="0"/>
        <w:jc w:val="both"/>
        <w:rPr>
          <w:rFonts w:ascii="Palatino Linotype" w:hAnsi="Palatino Linotype"/>
          <w:color w:val="000000" w:themeColor="text1"/>
        </w:rPr>
      </w:pPr>
      <w:r w:rsidRPr="00BB207E">
        <w:rPr>
          <w:rFonts w:ascii="Palatino Linotype" w:eastAsia="Palatino Linotype" w:hAnsi="Palatino Linotype" w:cs="Palatino Linotype"/>
          <w:color w:val="000000" w:themeColor="text1"/>
        </w:rPr>
        <w:t>Por lo anterior, e</w:t>
      </w:r>
      <w:r w:rsidR="007E0E86" w:rsidRPr="00BB207E">
        <w:rPr>
          <w:rFonts w:ascii="Palatino Linotype" w:eastAsia="Palatino Linotype" w:hAnsi="Palatino Linotype" w:cs="Palatino Linotype"/>
          <w:color w:val="000000" w:themeColor="text1"/>
        </w:rPr>
        <w:t xml:space="preserv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w:t>
      </w:r>
      <w:r w:rsidR="007E0E86" w:rsidRPr="00BB207E">
        <w:rPr>
          <w:rFonts w:ascii="Palatino Linotype" w:eastAsia="Palatino Linotype" w:hAnsi="Palatino Linotype" w:cs="Palatino Linotype"/>
          <w:color w:val="000000" w:themeColor="text1"/>
        </w:rPr>
        <w:lastRenderedPageBreak/>
        <w:t xml:space="preserve">u holográfico, de conformidad con el artículo 3, fracción XI, de la Ley de la materia, el cual dispone lo siguiente: </w:t>
      </w:r>
    </w:p>
    <w:p w:rsidR="007E0E86" w:rsidRPr="00BB207E" w:rsidRDefault="007E0E86"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w:t>
      </w:r>
      <w:r w:rsidRPr="00BB207E">
        <w:rPr>
          <w:rFonts w:ascii="Palatino Linotype" w:eastAsia="Palatino Linotype" w:hAnsi="Palatino Linotype" w:cs="Palatino Linotype"/>
          <w:b/>
          <w:i/>
          <w:color w:val="000000" w:themeColor="text1"/>
        </w:rPr>
        <w:t xml:space="preserve">Artículo 3. </w:t>
      </w:r>
      <w:r w:rsidRPr="00BB207E">
        <w:rPr>
          <w:rFonts w:ascii="Palatino Linotype" w:eastAsia="Palatino Linotype" w:hAnsi="Palatino Linotype" w:cs="Palatino Linotype"/>
          <w:i/>
          <w:color w:val="000000" w:themeColor="text1"/>
        </w:rPr>
        <w:t>Para los efectos de la presente Ley se entenderá por:</w:t>
      </w:r>
    </w:p>
    <w:p w:rsidR="007E0E86" w:rsidRPr="00BB207E" w:rsidRDefault="007E0E86"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w:t>
      </w:r>
    </w:p>
    <w:p w:rsidR="007E0E86" w:rsidRPr="00BB207E" w:rsidRDefault="007E0E86"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b/>
          <w:i/>
          <w:color w:val="000000" w:themeColor="text1"/>
        </w:rPr>
        <w:t>XI. Documento:</w:t>
      </w:r>
      <w:r w:rsidRPr="00BB207E">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0E86" w:rsidRPr="00BB207E" w:rsidRDefault="007E0E86" w:rsidP="00426F75">
      <w:pPr>
        <w:spacing w:line="360" w:lineRule="auto"/>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w:t>
      </w:r>
    </w:p>
    <w:p w:rsidR="007E0E86" w:rsidRPr="00BB207E" w:rsidRDefault="007E0E86" w:rsidP="00426F75">
      <w:pPr>
        <w:jc w:val="both"/>
        <w:rPr>
          <w:rFonts w:ascii="Palatino Linotype" w:eastAsia="Palatino Linotype" w:hAnsi="Palatino Linotype" w:cs="Palatino Linotype"/>
          <w:color w:val="000000" w:themeColor="text1"/>
        </w:rPr>
      </w:pPr>
    </w:p>
    <w:p w:rsidR="007E0E86" w:rsidRPr="00BB207E" w:rsidRDefault="007E0E86" w:rsidP="00426F75">
      <w:pPr>
        <w:numPr>
          <w:ilvl w:val="0"/>
          <w:numId w:val="6"/>
        </w:numPr>
        <w:spacing w:line="360" w:lineRule="auto"/>
        <w:ind w:left="0" w:firstLine="0"/>
        <w:jc w:val="both"/>
        <w:rPr>
          <w:rFonts w:ascii="Palatino Linotype" w:hAnsi="Palatino Linotype"/>
          <w:color w:val="000000" w:themeColor="text1"/>
        </w:rPr>
      </w:pPr>
      <w:r w:rsidRPr="00BB207E">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7E0E86" w:rsidRPr="00BB207E" w:rsidRDefault="007E0E86" w:rsidP="00426F75">
      <w:pPr>
        <w:jc w:val="both"/>
        <w:rPr>
          <w:rFonts w:ascii="Palatino Linotype" w:eastAsia="Palatino Linotype" w:hAnsi="Palatino Linotype" w:cs="Palatino Linotype"/>
          <w:b/>
          <w:i/>
          <w:color w:val="000000" w:themeColor="text1"/>
        </w:rPr>
      </w:pPr>
      <w:r w:rsidRPr="00BB207E">
        <w:rPr>
          <w:rFonts w:ascii="Palatino Linotype" w:eastAsia="Palatino Linotype" w:hAnsi="Palatino Linotype" w:cs="Palatino Linotype"/>
          <w:b/>
          <w:color w:val="000000" w:themeColor="text1"/>
        </w:rPr>
        <w:t>“</w:t>
      </w:r>
      <w:r w:rsidRPr="00BB207E">
        <w:rPr>
          <w:rFonts w:ascii="Palatino Linotype" w:eastAsia="Palatino Linotype" w:hAnsi="Palatino Linotype" w:cs="Palatino Linotype"/>
          <w:b/>
          <w:i/>
          <w:color w:val="000000" w:themeColor="text1"/>
        </w:rPr>
        <w:t>CRITERIO 0002-11</w:t>
      </w:r>
    </w:p>
    <w:p w:rsidR="007E0E86" w:rsidRPr="00BB207E" w:rsidRDefault="007E0E86"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BB207E">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E0E86" w:rsidRPr="00BB207E" w:rsidRDefault="007E0E86"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7E0E86" w:rsidRPr="00BB207E" w:rsidRDefault="007E0E86" w:rsidP="00426F75">
      <w:pPr>
        <w:jc w:val="both"/>
        <w:rPr>
          <w:rFonts w:ascii="Palatino Linotype" w:eastAsia="Palatino Linotype" w:hAnsi="Palatino Linotype" w:cs="Palatino Linotype"/>
          <w:b/>
          <w:i/>
          <w:color w:val="000000" w:themeColor="text1"/>
        </w:rPr>
      </w:pPr>
      <w:r w:rsidRPr="00BB207E">
        <w:rPr>
          <w:rFonts w:ascii="Palatino Linotype" w:eastAsia="Palatino Linotype" w:hAnsi="Palatino Linotype" w:cs="Palatino Linotype"/>
          <w:b/>
          <w:i/>
          <w:color w:val="000000" w:themeColor="text1"/>
        </w:rPr>
        <w:t xml:space="preserve">1) </w:t>
      </w:r>
      <w:r w:rsidRPr="00BB207E">
        <w:rPr>
          <w:rFonts w:ascii="Palatino Linotype" w:eastAsia="Palatino Linotype" w:hAnsi="Palatino Linotype" w:cs="Palatino Linotype"/>
          <w:b/>
          <w:i/>
          <w:color w:val="000000" w:themeColor="text1"/>
          <w:u w:val="single"/>
        </w:rPr>
        <w:t>Que se trate de información registrada en cualquier soporte documental, que en ejercicio de las atribuciones conferidas, sea generada por los Sujetos Obligados;</w:t>
      </w:r>
    </w:p>
    <w:p w:rsidR="007E0E86" w:rsidRPr="00BB207E" w:rsidRDefault="007E0E86"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2) Que se trate de información registrada en cualquier soporte documental, que en ejercicio de las atribuciones conferidas, sea administrada por los Sujetos Obligados, y</w:t>
      </w:r>
    </w:p>
    <w:p w:rsidR="007E0E86" w:rsidRPr="00BB207E" w:rsidRDefault="007E0E86"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lastRenderedPageBreak/>
        <w:t>3) Que se trate de información registrada en cualquier soporte documental, que en ejercicio de las atribuciones conferidas, se encuentre en posesión de los Sujetos Obligados.”</w:t>
      </w:r>
    </w:p>
    <w:p w:rsidR="007E0E86" w:rsidRPr="00BB207E" w:rsidRDefault="007E0E86" w:rsidP="00426F75">
      <w:pPr>
        <w:tabs>
          <w:tab w:val="left" w:pos="851"/>
        </w:tabs>
        <w:spacing w:line="360" w:lineRule="auto"/>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(Énfasis Añadido)</w:t>
      </w:r>
    </w:p>
    <w:p w:rsidR="007E0E86" w:rsidRPr="00BB207E" w:rsidRDefault="007E0E86" w:rsidP="00426F75">
      <w:pPr>
        <w:pBdr>
          <w:top w:val="nil"/>
          <w:left w:val="nil"/>
          <w:bottom w:val="nil"/>
          <w:right w:val="nil"/>
          <w:between w:val="nil"/>
        </w:pBdr>
        <w:jc w:val="both"/>
        <w:rPr>
          <w:rFonts w:ascii="Palatino Linotype" w:eastAsia="Palatino Linotype" w:hAnsi="Palatino Linotype" w:cs="Palatino Linotype"/>
          <w:color w:val="000000" w:themeColor="text1"/>
        </w:rPr>
      </w:pPr>
    </w:p>
    <w:p w:rsidR="007E0E86" w:rsidRPr="00BB207E" w:rsidRDefault="007E0E86" w:rsidP="00426F75">
      <w:pPr>
        <w:numPr>
          <w:ilvl w:val="0"/>
          <w:numId w:val="6"/>
        </w:numPr>
        <w:spacing w:line="360" w:lineRule="auto"/>
        <w:ind w:left="0" w:firstLine="0"/>
        <w:jc w:val="both"/>
        <w:rPr>
          <w:rFonts w:ascii="Palatino Linotype" w:hAnsi="Palatino Linotype"/>
          <w:color w:val="000000" w:themeColor="text1"/>
        </w:rPr>
      </w:pPr>
      <w:r w:rsidRPr="00BB207E">
        <w:rPr>
          <w:rFonts w:ascii="Palatino Linotype" w:eastAsia="Palatino Linotype" w:hAnsi="Palatino Linotype" w:cs="Palatino Linotype"/>
          <w:color w:val="000000" w:themeColor="text1"/>
        </w:rPr>
        <w:t>Por su parte los artículos 160 y 166, de la Ley local en la materia, que se reproduce de la siguiente forma:</w:t>
      </w:r>
    </w:p>
    <w:p w:rsidR="007E0E86" w:rsidRPr="00BB207E" w:rsidRDefault="007E0E86"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w:t>
      </w:r>
      <w:r w:rsidRPr="00BB207E">
        <w:rPr>
          <w:rFonts w:ascii="Palatino Linotype" w:eastAsia="Palatino Linotype" w:hAnsi="Palatino Linotype" w:cs="Palatino Linotype"/>
          <w:b/>
          <w:i/>
          <w:color w:val="000000" w:themeColor="text1"/>
        </w:rPr>
        <w:t>Artículo 160.</w:t>
      </w:r>
      <w:r w:rsidRPr="00BB207E">
        <w:rPr>
          <w:rFonts w:ascii="Palatino Linotype" w:eastAsia="Palatino Linotype" w:hAnsi="Palatino Linotype" w:cs="Palatino Linotype"/>
          <w:i/>
          <w:color w:val="000000" w:themeColor="text1"/>
        </w:rPr>
        <w:t xml:space="preserve"> </w:t>
      </w:r>
      <w:r w:rsidRPr="00BB207E">
        <w:rPr>
          <w:rFonts w:ascii="Palatino Linotype" w:eastAsia="Palatino Linotype" w:hAnsi="Palatino Linotype" w:cs="Palatino Linotype"/>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BB207E">
        <w:rPr>
          <w:rFonts w:ascii="Palatino Linotype" w:eastAsia="Palatino Linotype" w:hAnsi="Palatino Linotype" w:cs="Palatino Linotype"/>
          <w:i/>
          <w:color w:val="000000" w:themeColor="text1"/>
        </w:rPr>
        <w:t>.</w:t>
      </w:r>
    </w:p>
    <w:p w:rsidR="007E0E86" w:rsidRPr="00BB207E" w:rsidRDefault="007E0E86" w:rsidP="00426F75">
      <w:pPr>
        <w:jc w:val="both"/>
        <w:rPr>
          <w:rFonts w:ascii="Palatino Linotype" w:eastAsia="Palatino Linotype" w:hAnsi="Palatino Linotype" w:cs="Palatino Linotype"/>
          <w:i/>
          <w:color w:val="000000" w:themeColor="text1"/>
        </w:rPr>
      </w:pPr>
    </w:p>
    <w:p w:rsidR="007E0E86" w:rsidRPr="00BB207E" w:rsidRDefault="007E0E86"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En caso que la información solicitada consista en bases de datos se deberá privilegiar la entrega de la misma en formatos abiertos.</w:t>
      </w:r>
    </w:p>
    <w:p w:rsidR="007E0E86" w:rsidRPr="00BB207E" w:rsidRDefault="007E0E86" w:rsidP="00426F75">
      <w:pPr>
        <w:jc w:val="both"/>
        <w:rPr>
          <w:rFonts w:ascii="Palatino Linotype" w:eastAsia="Palatino Linotype" w:hAnsi="Palatino Linotype" w:cs="Palatino Linotype"/>
          <w:i/>
          <w:color w:val="000000" w:themeColor="text1"/>
          <w:u w:val="single"/>
        </w:rPr>
      </w:pPr>
      <w:r w:rsidRPr="00BB207E">
        <w:rPr>
          <w:rFonts w:ascii="Palatino Linotype" w:eastAsia="Palatino Linotype" w:hAnsi="Palatino Linotype" w:cs="Palatino Linotype"/>
          <w:b/>
          <w:i/>
          <w:color w:val="000000" w:themeColor="text1"/>
        </w:rPr>
        <w:t>Artículo 166.</w:t>
      </w:r>
      <w:r w:rsidRPr="00BB207E">
        <w:rPr>
          <w:rFonts w:ascii="Palatino Linotype" w:eastAsia="Palatino Linotype" w:hAnsi="Palatino Linotype" w:cs="Palatino Linotype"/>
          <w:i/>
          <w:color w:val="000000" w:themeColor="text1"/>
        </w:rPr>
        <w:t xml:space="preserve"> </w:t>
      </w:r>
      <w:r w:rsidRPr="00BB207E">
        <w:rPr>
          <w:rFonts w:ascii="Palatino Linotype" w:eastAsia="Palatino Linotype" w:hAnsi="Palatino Linotype" w:cs="Palatino Linotype"/>
          <w:i/>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rsidR="007E0E86" w:rsidRPr="00BB207E" w:rsidRDefault="007E0E86" w:rsidP="00426F75">
      <w:pPr>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(Énfasis añadido)</w:t>
      </w:r>
    </w:p>
    <w:p w:rsidR="007E0E86" w:rsidRPr="00BB207E" w:rsidRDefault="007E0E86" w:rsidP="00426F75">
      <w:pPr>
        <w:jc w:val="both"/>
        <w:rPr>
          <w:rFonts w:ascii="Palatino Linotype" w:eastAsia="Palatino Linotype" w:hAnsi="Palatino Linotype" w:cs="Palatino Linotype"/>
          <w:color w:val="000000" w:themeColor="text1"/>
        </w:rPr>
      </w:pPr>
    </w:p>
    <w:p w:rsidR="007E0E86" w:rsidRPr="00BB207E" w:rsidRDefault="007E0E86" w:rsidP="00426F75">
      <w:pPr>
        <w:numPr>
          <w:ilvl w:val="0"/>
          <w:numId w:val="6"/>
        </w:numPr>
        <w:spacing w:line="360" w:lineRule="auto"/>
        <w:ind w:left="0" w:firstLine="0"/>
        <w:jc w:val="both"/>
        <w:rPr>
          <w:rFonts w:ascii="Palatino Linotype" w:hAnsi="Palatino Linotype"/>
          <w:color w:val="000000" w:themeColor="text1"/>
        </w:rPr>
      </w:pPr>
      <w:r w:rsidRPr="00BB207E">
        <w:rPr>
          <w:rFonts w:ascii="Palatino Linotype" w:eastAsia="Palatino Linotype" w:hAnsi="Palatino Linotype" w:cs="Palatino Linotype"/>
          <w:color w:val="000000" w:themeColor="text1"/>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7E0E86" w:rsidRPr="00BB207E" w:rsidRDefault="007E0E86" w:rsidP="00426F75">
      <w:pPr>
        <w:spacing w:line="360" w:lineRule="auto"/>
        <w:jc w:val="both"/>
        <w:rPr>
          <w:rFonts w:ascii="Palatino Linotype" w:eastAsia="Palatino Linotype" w:hAnsi="Palatino Linotype" w:cs="Palatino Linotype"/>
          <w:color w:val="000000" w:themeColor="text1"/>
        </w:rPr>
      </w:pPr>
    </w:p>
    <w:p w:rsidR="007E0E86" w:rsidRPr="00BB207E" w:rsidRDefault="007E0E86" w:rsidP="00426F75">
      <w:pPr>
        <w:numPr>
          <w:ilvl w:val="0"/>
          <w:numId w:val="6"/>
        </w:numPr>
        <w:spacing w:line="360" w:lineRule="auto"/>
        <w:ind w:left="0" w:firstLine="0"/>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color w:val="000000" w:themeColor="text1"/>
        </w:rPr>
        <w:t xml:space="preserve">Con base en lo anterior, se considera que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se encontraba compelido a atender la solicitud de acceso a la información realizada por </w:t>
      </w:r>
      <w:r w:rsidRPr="00BB207E">
        <w:rPr>
          <w:rFonts w:ascii="Palatino Linotype" w:eastAsia="Palatino Linotype" w:hAnsi="Palatino Linotype" w:cs="Palatino Linotype"/>
          <w:b/>
          <w:color w:val="000000" w:themeColor="text1"/>
        </w:rPr>
        <w:t>EL RECURRENTE.</w:t>
      </w:r>
    </w:p>
    <w:p w:rsidR="007E0E86" w:rsidRPr="00BB207E" w:rsidRDefault="007E0E86" w:rsidP="00426F75">
      <w:pPr>
        <w:pBdr>
          <w:top w:val="nil"/>
          <w:left w:val="nil"/>
          <w:bottom w:val="nil"/>
          <w:right w:val="nil"/>
          <w:between w:val="nil"/>
        </w:pBdr>
        <w:tabs>
          <w:tab w:val="left" w:pos="0"/>
        </w:tabs>
        <w:jc w:val="both"/>
        <w:rPr>
          <w:rFonts w:ascii="Palatino Linotype" w:eastAsia="Palatino Linotype" w:hAnsi="Palatino Linotype" w:cs="Palatino Linotype"/>
          <w:b/>
          <w:color w:val="000000" w:themeColor="text1"/>
        </w:rPr>
      </w:pPr>
    </w:p>
    <w:p w:rsidR="0041215C" w:rsidRPr="00BB207E" w:rsidRDefault="0041215C"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Es de recordar</w:t>
      </w:r>
      <w:r w:rsidR="007E0E86" w:rsidRPr="00BB207E">
        <w:rPr>
          <w:rFonts w:ascii="Palatino Linotype" w:eastAsia="Palatino Linotype" w:hAnsi="Palatino Linotype" w:cs="Palatino Linotype"/>
          <w:color w:val="000000" w:themeColor="text1"/>
        </w:rPr>
        <w:t xml:space="preserve"> que </w:t>
      </w:r>
      <w:r w:rsidR="007E0E86" w:rsidRPr="00BB207E">
        <w:rPr>
          <w:rFonts w:ascii="Palatino Linotype" w:eastAsia="Palatino Linotype" w:hAnsi="Palatino Linotype" w:cs="Palatino Linotype"/>
          <w:b/>
          <w:color w:val="000000" w:themeColor="text1"/>
        </w:rPr>
        <w:t>LA PARTE RECURRENTE</w:t>
      </w:r>
      <w:r w:rsidRPr="00BB207E">
        <w:rPr>
          <w:rFonts w:ascii="Palatino Linotype" w:eastAsia="Palatino Linotype" w:hAnsi="Palatino Linotype" w:cs="Palatino Linotype"/>
          <w:color w:val="000000" w:themeColor="text1"/>
        </w:rPr>
        <w:t xml:space="preserve"> solicitó </w:t>
      </w:r>
      <w:r w:rsidRPr="00BB207E">
        <w:rPr>
          <w:rFonts w:ascii="Palatino Linotype" w:eastAsia="Palatino Linotype" w:hAnsi="Palatino Linotype" w:cs="Palatino Linotype"/>
          <w:i/>
          <w:color w:val="000000" w:themeColor="text1"/>
          <w:u w:val="single"/>
        </w:rPr>
        <w:t>El registro de audiencias ciudadanas atendidas por el Octavo Regidor del 01 de enero al 24 de febrero de 2025, con nombre, colonia, teléfono y asunto</w:t>
      </w:r>
      <w:r w:rsidRPr="00BB207E">
        <w:rPr>
          <w:rFonts w:ascii="Palatino Linotype" w:eastAsia="Palatino Linotype" w:hAnsi="Palatino Linotype" w:cs="Palatino Linotype"/>
          <w:b/>
          <w:color w:val="000000" w:themeColor="text1"/>
          <w:u w:val="single"/>
        </w:rPr>
        <w:t>,</w:t>
      </w:r>
      <w:r w:rsidRPr="00BB207E">
        <w:rPr>
          <w:rFonts w:ascii="Palatino Linotype" w:eastAsia="Palatino Linotype" w:hAnsi="Palatino Linotype" w:cs="Palatino Linotype"/>
          <w:color w:val="000000" w:themeColor="text1"/>
        </w:rPr>
        <w:t xml:space="preserve"> derivado de la falta de respuesta se interpuso el presente medio de </w:t>
      </w:r>
      <w:r w:rsidRPr="00BB207E">
        <w:rPr>
          <w:rFonts w:ascii="Palatino Linotype" w:eastAsia="Palatino Linotype" w:hAnsi="Palatino Linotype" w:cs="Palatino Linotype"/>
          <w:color w:val="000000" w:themeColor="text1"/>
        </w:rPr>
        <w:lastRenderedPageBreak/>
        <w:t xml:space="preserve">impugnación, y en informe justificado el Sujeto Obligado refirió a través de la Unidad de Transparencia que </w:t>
      </w:r>
      <w:r w:rsidRPr="00BB207E">
        <w:rPr>
          <w:rFonts w:ascii="Palatino Linotype" w:eastAsia="Palatino Linotype" w:hAnsi="Palatino Linotype" w:cs="Palatino Linotype"/>
          <w:b/>
          <w:color w:val="000000" w:themeColor="text1"/>
        </w:rPr>
        <w:t>el Servidor Público Habilitado no rindió respuesta e informe justificado</w:t>
      </w:r>
      <w:r w:rsidR="00A4527F" w:rsidRPr="00BB207E">
        <w:rPr>
          <w:rFonts w:ascii="Palatino Linotype" w:eastAsia="Palatino Linotype" w:hAnsi="Palatino Linotype" w:cs="Palatino Linotype"/>
          <w:b/>
          <w:color w:val="000000" w:themeColor="text1"/>
        </w:rPr>
        <w:t>.</w:t>
      </w:r>
    </w:p>
    <w:p w:rsidR="0072148B" w:rsidRPr="00BB207E" w:rsidRDefault="0072148B" w:rsidP="00426F75">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72148B" w:rsidRPr="00BB207E" w:rsidRDefault="007E0E86" w:rsidP="00FF01EC">
      <w:pPr>
        <w:numPr>
          <w:ilvl w:val="0"/>
          <w:numId w:val="9"/>
        </w:numPr>
        <w:pBdr>
          <w:top w:val="nil"/>
          <w:left w:val="nil"/>
          <w:bottom w:val="nil"/>
          <w:right w:val="nil"/>
          <w:between w:val="nil"/>
        </w:pBdr>
        <w:spacing w:line="360" w:lineRule="auto"/>
        <w:ind w:left="0" w:firstLine="0"/>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Del Sujeto Obligado y la naturaleza de la información solicitada</w:t>
      </w:r>
    </w:p>
    <w:p w:rsidR="0091746F" w:rsidRPr="00BB207E" w:rsidRDefault="00933EEA" w:rsidP="00426F75">
      <w:pPr>
        <w:numPr>
          <w:ilvl w:val="0"/>
          <w:numId w:val="6"/>
        </w:numPr>
        <w:spacing w:line="360" w:lineRule="auto"/>
        <w:ind w:left="0" w:firstLine="0"/>
        <w:jc w:val="both"/>
        <w:rPr>
          <w:rFonts w:ascii="Palatino Linotype" w:hAnsi="Palatino Linotype"/>
          <w:color w:val="000000" w:themeColor="text1"/>
        </w:rPr>
      </w:pPr>
      <w:r w:rsidRPr="00BB207E">
        <w:rPr>
          <w:rFonts w:ascii="Palatino Linotype" w:eastAsia="Palatino Linotype" w:hAnsi="Palatino Linotype" w:cs="Palatino Linotype"/>
          <w:color w:val="000000" w:themeColor="text1"/>
        </w:rPr>
        <w:t xml:space="preserve">Cada municipio será gobernado por un ayuntamiento de elección popular directa y no habrá ninguna autoridad intermedia entre éste y el Gobierno del Estado, los ayuntamientos se integrarán por un presidente, un síndico y cierto número de </w:t>
      </w:r>
      <w:r w:rsidRPr="00BB207E">
        <w:rPr>
          <w:rFonts w:ascii="Palatino Linotype" w:eastAsia="Palatino Linotype" w:hAnsi="Palatino Linotype" w:cs="Palatino Linotype"/>
          <w:b/>
          <w:color w:val="000000" w:themeColor="text1"/>
        </w:rPr>
        <w:t>regidores</w:t>
      </w:r>
      <w:r w:rsidRPr="00BB207E">
        <w:rPr>
          <w:rFonts w:ascii="Palatino Linotype" w:eastAsia="Palatino Linotype" w:hAnsi="Palatino Linotype" w:cs="Palatino Linotype"/>
          <w:color w:val="000000" w:themeColor="text1"/>
        </w:rPr>
        <w:t xml:space="preserve"> de acuerdo al número de población, de conformidad con la Ley Orgánica Municipal del Estado de México, artículos 15 y 16.</w:t>
      </w:r>
    </w:p>
    <w:p w:rsidR="00933EEA" w:rsidRPr="00BB207E" w:rsidRDefault="00933EEA" w:rsidP="00426F75">
      <w:pPr>
        <w:spacing w:line="360" w:lineRule="auto"/>
        <w:jc w:val="both"/>
        <w:rPr>
          <w:rFonts w:ascii="Palatino Linotype" w:hAnsi="Palatino Linotype"/>
          <w:color w:val="000000" w:themeColor="text1"/>
        </w:rPr>
      </w:pPr>
    </w:p>
    <w:p w:rsidR="00933EEA" w:rsidRPr="00BB207E" w:rsidRDefault="00933EEA"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De conformidad con el Código Reglamentario Municipal de Toluca, el Ayuntamiento está integrado de la siguiente manera:</w:t>
      </w:r>
    </w:p>
    <w:p w:rsidR="006D3B66" w:rsidRPr="00BB207E" w:rsidRDefault="00933EEA" w:rsidP="00426F75">
      <w:pPr>
        <w:jc w:val="center"/>
        <w:rPr>
          <w:rFonts w:ascii="Palatino Linotype" w:eastAsia="Palatino Linotype" w:hAnsi="Palatino Linotype" w:cs="Palatino Linotype"/>
          <w:b/>
          <w:i/>
          <w:color w:val="000000" w:themeColor="text1"/>
        </w:rPr>
      </w:pPr>
      <w:r w:rsidRPr="00BB207E">
        <w:rPr>
          <w:rFonts w:ascii="Palatino Linotype" w:eastAsia="Palatino Linotype" w:hAnsi="Palatino Linotype" w:cs="Palatino Linotype"/>
          <w:b/>
          <w:i/>
          <w:color w:val="000000" w:themeColor="text1"/>
        </w:rPr>
        <w:t>Código Reglamentario Municipal de Toluca</w:t>
      </w:r>
    </w:p>
    <w:p w:rsidR="00933EEA" w:rsidRPr="00BB207E" w:rsidRDefault="00933EEA" w:rsidP="00426F75">
      <w:pPr>
        <w:jc w:val="center"/>
        <w:rPr>
          <w:rFonts w:ascii="Palatino Linotype" w:eastAsia="Palatino Linotype" w:hAnsi="Palatino Linotype" w:cs="Palatino Linotype"/>
          <w:b/>
          <w:i/>
          <w:color w:val="000000" w:themeColor="text1"/>
        </w:rPr>
      </w:pPr>
    </w:p>
    <w:p w:rsidR="00933EEA" w:rsidRPr="00BB207E" w:rsidRDefault="00933EEA" w:rsidP="00426F75">
      <w:pPr>
        <w:jc w:val="both"/>
        <w:rPr>
          <w:rFonts w:ascii="Palatino Linotype" w:eastAsia="Palatino Linotype" w:hAnsi="Palatino Linotype" w:cs="Palatino Linotype"/>
          <w:b/>
          <w:i/>
          <w:color w:val="000000" w:themeColor="text1"/>
        </w:rPr>
      </w:pPr>
      <w:r w:rsidRPr="00BB207E">
        <w:rPr>
          <w:rFonts w:ascii="Palatino Linotype" w:eastAsia="Palatino Linotype" w:hAnsi="Palatino Linotype" w:cs="Palatino Linotype"/>
          <w:b/>
          <w:i/>
          <w:color w:val="000000" w:themeColor="text1"/>
        </w:rPr>
        <w:t xml:space="preserve">DE LA INTEGRACIÓN Y ORGANIZACIÓN DEL AYUNTAMIENTO </w:t>
      </w:r>
    </w:p>
    <w:p w:rsidR="00933EEA" w:rsidRPr="00BB207E" w:rsidRDefault="00933EEA" w:rsidP="00426F75">
      <w:pPr>
        <w:jc w:val="both"/>
        <w:rPr>
          <w:rFonts w:ascii="Palatino Linotype" w:eastAsia="Palatino Linotype" w:hAnsi="Palatino Linotype" w:cs="Palatino Linotype"/>
          <w:b/>
          <w:i/>
          <w:color w:val="000000" w:themeColor="text1"/>
        </w:rPr>
      </w:pPr>
    </w:p>
    <w:p w:rsidR="00E62804" w:rsidRPr="00BB207E" w:rsidRDefault="00933EEA"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b/>
          <w:i/>
          <w:color w:val="000000" w:themeColor="text1"/>
        </w:rPr>
        <w:t xml:space="preserve">Artículo 2.3. </w:t>
      </w:r>
      <w:r w:rsidRPr="00BB207E">
        <w:rPr>
          <w:rFonts w:ascii="Palatino Linotype" w:eastAsia="Palatino Linotype" w:hAnsi="Palatino Linotype" w:cs="Palatino Linotype"/>
          <w:i/>
          <w:color w:val="000000" w:themeColor="text1"/>
        </w:rPr>
        <w:t>Conforme a las disposiciones legales, el Ayuntamiento de Toluca se integra por:</w:t>
      </w:r>
    </w:p>
    <w:p w:rsidR="00E62804" w:rsidRPr="00BB207E" w:rsidRDefault="00933EEA"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 I. El presidente municipal; </w:t>
      </w:r>
    </w:p>
    <w:p w:rsidR="00E62804" w:rsidRPr="00BB207E" w:rsidRDefault="00933EEA"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II. Tres síndicos, dos de mayoría relativa y uno de representación proporcional; y </w:t>
      </w:r>
    </w:p>
    <w:p w:rsidR="00044620" w:rsidRPr="00BB207E" w:rsidRDefault="00933EEA"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III. </w:t>
      </w:r>
      <w:r w:rsidRPr="00BB207E">
        <w:rPr>
          <w:rFonts w:ascii="Palatino Linotype" w:eastAsia="Palatino Linotype" w:hAnsi="Palatino Linotype" w:cs="Palatino Linotype"/>
          <w:b/>
          <w:i/>
          <w:color w:val="000000" w:themeColor="text1"/>
        </w:rPr>
        <w:t>Dieciséis regidoras o regidores</w:t>
      </w:r>
      <w:r w:rsidRPr="00BB207E">
        <w:rPr>
          <w:rFonts w:ascii="Palatino Linotype" w:eastAsia="Palatino Linotype" w:hAnsi="Palatino Linotype" w:cs="Palatino Linotype"/>
          <w:i/>
          <w:color w:val="000000" w:themeColor="text1"/>
        </w:rPr>
        <w:t>, nueve de mayoría relativa y siete de representación proporcional.</w:t>
      </w:r>
    </w:p>
    <w:p w:rsidR="00044620" w:rsidRDefault="00044620" w:rsidP="00426F75">
      <w:pPr>
        <w:jc w:val="both"/>
        <w:rPr>
          <w:rFonts w:ascii="Palatino Linotype" w:eastAsia="Palatino Linotype" w:hAnsi="Palatino Linotype" w:cs="Palatino Linotype"/>
          <w:b/>
          <w:i/>
          <w:color w:val="000000" w:themeColor="text1"/>
        </w:rPr>
      </w:pPr>
    </w:p>
    <w:p w:rsidR="00FF01EC" w:rsidRPr="00BB207E" w:rsidRDefault="00FF01EC" w:rsidP="00426F75">
      <w:pPr>
        <w:jc w:val="both"/>
        <w:rPr>
          <w:rFonts w:ascii="Palatino Linotype" w:eastAsia="Palatino Linotype" w:hAnsi="Palatino Linotype" w:cs="Palatino Linotype"/>
          <w:b/>
          <w:i/>
          <w:color w:val="000000" w:themeColor="text1"/>
        </w:rPr>
      </w:pPr>
    </w:p>
    <w:p w:rsidR="005B551C" w:rsidRPr="00BB207E" w:rsidRDefault="00A4527F"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La atribuciones de los regidores se encuentra contempladas en la Ley Orgánica Municipal del Estado de México en su artículo 55</w:t>
      </w:r>
      <w:r w:rsidR="008054EC" w:rsidRPr="00BB207E">
        <w:rPr>
          <w:rFonts w:ascii="Palatino Linotype" w:eastAsia="Palatino Linotype" w:hAnsi="Palatino Linotype" w:cs="Palatino Linotype"/>
          <w:color w:val="000000" w:themeColor="text1"/>
        </w:rPr>
        <w:t>, y en el Código Reglamentario Municipal de Toluca, artículo 2.5</w:t>
      </w:r>
      <w:r w:rsidRPr="00BB207E">
        <w:rPr>
          <w:rFonts w:ascii="Palatino Linotype" w:eastAsia="Palatino Linotype" w:hAnsi="Palatino Linotype" w:cs="Palatino Linotype"/>
          <w:color w:val="000000" w:themeColor="text1"/>
        </w:rPr>
        <w:t>:</w:t>
      </w:r>
    </w:p>
    <w:p w:rsidR="00A4527F" w:rsidRDefault="00A4527F" w:rsidP="00426F75">
      <w:pPr>
        <w:spacing w:line="360" w:lineRule="auto"/>
        <w:jc w:val="both"/>
        <w:rPr>
          <w:rFonts w:ascii="Palatino Linotype" w:eastAsia="Palatino Linotype" w:hAnsi="Palatino Linotype" w:cs="Palatino Linotype"/>
          <w:color w:val="000000" w:themeColor="text1"/>
        </w:rPr>
      </w:pPr>
    </w:p>
    <w:p w:rsidR="00FF01EC" w:rsidRPr="00BB207E" w:rsidRDefault="00FF01EC" w:rsidP="00426F75">
      <w:pPr>
        <w:spacing w:line="360" w:lineRule="auto"/>
        <w:jc w:val="both"/>
        <w:rPr>
          <w:rFonts w:ascii="Palatino Linotype" w:eastAsia="Palatino Linotype" w:hAnsi="Palatino Linotype" w:cs="Palatino Linotype"/>
          <w:color w:val="000000" w:themeColor="text1"/>
        </w:rPr>
      </w:pPr>
    </w:p>
    <w:p w:rsidR="00A4527F" w:rsidRPr="00BB207E" w:rsidRDefault="00A4527F" w:rsidP="00426F75">
      <w:pPr>
        <w:jc w:val="center"/>
        <w:rPr>
          <w:rFonts w:ascii="Palatino Linotype" w:eastAsia="Palatino Linotype" w:hAnsi="Palatino Linotype" w:cs="Palatino Linotype"/>
          <w:b/>
          <w:i/>
          <w:color w:val="000000" w:themeColor="text1"/>
        </w:rPr>
      </w:pPr>
      <w:r w:rsidRPr="00BB207E">
        <w:rPr>
          <w:rFonts w:ascii="Palatino Linotype" w:eastAsia="Palatino Linotype" w:hAnsi="Palatino Linotype" w:cs="Palatino Linotype"/>
          <w:b/>
          <w:i/>
          <w:color w:val="000000" w:themeColor="text1"/>
        </w:rPr>
        <w:lastRenderedPageBreak/>
        <w:t>Ley Orgánica Municipal del Estado de México</w:t>
      </w:r>
    </w:p>
    <w:p w:rsidR="00A4527F" w:rsidRPr="00BB207E" w:rsidRDefault="00A4527F" w:rsidP="00426F75">
      <w:pPr>
        <w:jc w:val="center"/>
        <w:rPr>
          <w:rFonts w:ascii="Palatino Linotype" w:eastAsia="Palatino Linotype" w:hAnsi="Palatino Linotype" w:cs="Palatino Linotype"/>
          <w:b/>
          <w:i/>
          <w:color w:val="000000" w:themeColor="text1"/>
        </w:rPr>
      </w:pPr>
    </w:p>
    <w:p w:rsidR="00A4527F" w:rsidRPr="00BB207E" w:rsidRDefault="00A4527F" w:rsidP="00426F75">
      <w:pPr>
        <w:jc w:val="center"/>
        <w:rPr>
          <w:rFonts w:ascii="Palatino Linotype" w:eastAsia="Palatino Linotype" w:hAnsi="Palatino Linotype" w:cs="Palatino Linotype"/>
          <w:b/>
          <w:i/>
          <w:color w:val="000000" w:themeColor="text1"/>
        </w:rPr>
      </w:pPr>
      <w:r w:rsidRPr="00BB207E">
        <w:rPr>
          <w:rFonts w:ascii="Palatino Linotype" w:eastAsia="Palatino Linotype" w:hAnsi="Palatino Linotype" w:cs="Palatino Linotype"/>
          <w:b/>
          <w:i/>
          <w:color w:val="000000" w:themeColor="text1"/>
        </w:rPr>
        <w:t>CAPITULO TERCERO</w:t>
      </w:r>
    </w:p>
    <w:p w:rsidR="00A4527F" w:rsidRPr="00BB207E" w:rsidRDefault="00A4527F" w:rsidP="00426F75">
      <w:pPr>
        <w:jc w:val="center"/>
        <w:rPr>
          <w:rFonts w:ascii="Palatino Linotype" w:eastAsia="Palatino Linotype" w:hAnsi="Palatino Linotype" w:cs="Palatino Linotype"/>
          <w:b/>
          <w:i/>
          <w:color w:val="000000" w:themeColor="text1"/>
        </w:rPr>
      </w:pPr>
      <w:r w:rsidRPr="00BB207E">
        <w:rPr>
          <w:rFonts w:ascii="Palatino Linotype" w:eastAsia="Palatino Linotype" w:hAnsi="Palatino Linotype" w:cs="Palatino Linotype"/>
          <w:b/>
          <w:i/>
          <w:color w:val="000000" w:themeColor="text1"/>
        </w:rPr>
        <w:t>De los Regidores</w:t>
      </w:r>
    </w:p>
    <w:p w:rsidR="00A4527F" w:rsidRPr="00BB207E" w:rsidRDefault="00A4527F" w:rsidP="00426F75">
      <w:pPr>
        <w:jc w:val="both"/>
        <w:rPr>
          <w:rFonts w:ascii="Palatino Linotype" w:eastAsia="Palatino Linotype" w:hAnsi="Palatino Linotype" w:cs="Palatino Linotype"/>
          <w:i/>
          <w:color w:val="000000" w:themeColor="text1"/>
        </w:rPr>
      </w:pPr>
    </w:p>
    <w:p w:rsidR="008054EC" w:rsidRPr="00BB207E" w:rsidRDefault="00A4527F"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b/>
          <w:i/>
          <w:color w:val="000000" w:themeColor="text1"/>
        </w:rPr>
        <w:t>Artículo 55.- Son atribuciones de los regidores</w:t>
      </w:r>
      <w:r w:rsidRPr="00BB207E">
        <w:rPr>
          <w:rFonts w:ascii="Palatino Linotype" w:eastAsia="Palatino Linotype" w:hAnsi="Palatino Linotype" w:cs="Palatino Linotype"/>
          <w:i/>
          <w:color w:val="000000" w:themeColor="text1"/>
        </w:rPr>
        <w:t xml:space="preserve">, las siguientes: </w:t>
      </w:r>
    </w:p>
    <w:p w:rsidR="008054EC" w:rsidRPr="00BB207E" w:rsidRDefault="008054EC" w:rsidP="00426F75">
      <w:pPr>
        <w:jc w:val="both"/>
        <w:rPr>
          <w:rFonts w:ascii="Palatino Linotype" w:eastAsia="Palatino Linotype" w:hAnsi="Palatino Linotype" w:cs="Palatino Linotype"/>
          <w:i/>
          <w:color w:val="000000" w:themeColor="text1"/>
        </w:rPr>
      </w:pPr>
    </w:p>
    <w:p w:rsidR="008054EC" w:rsidRPr="00BB207E" w:rsidRDefault="00A4527F"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I. Asistir puntualmente a las sesiones que celebre el ayuntamiento; </w:t>
      </w:r>
    </w:p>
    <w:p w:rsidR="008054EC" w:rsidRPr="00BB207E" w:rsidRDefault="00A4527F"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II. Suplir al presidente municipal en sus faltas temporales, en los términos establecidos por este ordenamiento; </w:t>
      </w:r>
    </w:p>
    <w:p w:rsidR="008054EC" w:rsidRPr="00BB207E" w:rsidRDefault="00A4527F"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III. Vigilar y atender el sector de la administración municipal que les sea encomendado por el ayuntamiento; </w:t>
      </w:r>
    </w:p>
    <w:p w:rsidR="00A4527F" w:rsidRPr="00BB207E" w:rsidRDefault="00A4527F"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IV. Participar responsablemente en las comisiones conferidas por el ayuntamiento y aquéllas que le designe en forma concreta el presidente municipal;</w:t>
      </w:r>
    </w:p>
    <w:p w:rsidR="008054EC" w:rsidRPr="00BB207E" w:rsidRDefault="008054E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V. Proponer al ayuntamiento, alternativas de solución para la debida atención de los diferentes sectores de la administración municipal; </w:t>
      </w:r>
    </w:p>
    <w:p w:rsidR="008054EC" w:rsidRPr="00BB207E" w:rsidRDefault="008054E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VI. Promover la participación ciudadana en apoyo a los programas que formule y apruebe el ayuntamiento; </w:t>
      </w:r>
    </w:p>
    <w:p w:rsidR="008054EC" w:rsidRPr="00BB207E" w:rsidRDefault="008054E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VII. Firmar las Actas de Cabildo, y </w:t>
      </w:r>
    </w:p>
    <w:p w:rsidR="008054EC" w:rsidRPr="00BB207E" w:rsidRDefault="008054E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VIII. Las demás que les otorgue esta Ley y otras disposiciones aplicables.</w:t>
      </w:r>
    </w:p>
    <w:p w:rsidR="008054EC" w:rsidRPr="00BB207E" w:rsidRDefault="008054EC" w:rsidP="00426F75">
      <w:pPr>
        <w:jc w:val="both"/>
        <w:rPr>
          <w:rFonts w:ascii="Palatino Linotype" w:eastAsia="Palatino Linotype" w:hAnsi="Palatino Linotype" w:cs="Palatino Linotype"/>
          <w:i/>
          <w:color w:val="000000" w:themeColor="text1"/>
        </w:rPr>
      </w:pPr>
    </w:p>
    <w:p w:rsidR="008054EC" w:rsidRPr="00BB207E" w:rsidRDefault="008054EC" w:rsidP="00426F75">
      <w:pPr>
        <w:jc w:val="center"/>
        <w:rPr>
          <w:rFonts w:ascii="Palatino Linotype" w:eastAsia="Palatino Linotype" w:hAnsi="Palatino Linotype" w:cs="Palatino Linotype"/>
          <w:b/>
          <w:i/>
          <w:color w:val="000000" w:themeColor="text1"/>
        </w:rPr>
      </w:pPr>
      <w:r w:rsidRPr="00BB207E">
        <w:rPr>
          <w:rFonts w:ascii="Palatino Linotype" w:eastAsia="Palatino Linotype" w:hAnsi="Palatino Linotype" w:cs="Palatino Linotype"/>
          <w:b/>
          <w:i/>
          <w:color w:val="000000" w:themeColor="text1"/>
        </w:rPr>
        <w:t>Código Reglamentario Municipal de Toluca</w:t>
      </w:r>
    </w:p>
    <w:p w:rsidR="008054EC" w:rsidRPr="00BB207E" w:rsidRDefault="008054EC" w:rsidP="00426F75">
      <w:pPr>
        <w:jc w:val="center"/>
        <w:rPr>
          <w:rFonts w:ascii="Palatino Linotype" w:eastAsia="Palatino Linotype" w:hAnsi="Palatino Linotype" w:cs="Palatino Linotype"/>
          <w:b/>
          <w:i/>
          <w:color w:val="000000" w:themeColor="text1"/>
        </w:rPr>
      </w:pPr>
    </w:p>
    <w:p w:rsidR="008054EC" w:rsidRPr="00BB207E" w:rsidRDefault="008054E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b/>
          <w:i/>
          <w:color w:val="000000" w:themeColor="text1"/>
        </w:rPr>
        <w:t>Artículo 2.5.</w:t>
      </w:r>
      <w:r w:rsidRPr="00BB207E">
        <w:rPr>
          <w:rFonts w:ascii="Palatino Linotype" w:eastAsia="Palatino Linotype" w:hAnsi="Palatino Linotype" w:cs="Palatino Linotype"/>
          <w:i/>
          <w:color w:val="000000" w:themeColor="text1"/>
        </w:rPr>
        <w:t xml:space="preserve"> Las y los síndicos y regidores, además de las atribuciones que les confiere la Ley Orgánica Municipal, tendrán las siguientes: </w:t>
      </w:r>
    </w:p>
    <w:p w:rsidR="008054EC" w:rsidRPr="00BB207E" w:rsidRDefault="008054EC" w:rsidP="00426F75">
      <w:pPr>
        <w:jc w:val="both"/>
        <w:rPr>
          <w:rFonts w:ascii="Palatino Linotype" w:eastAsia="Palatino Linotype" w:hAnsi="Palatino Linotype" w:cs="Palatino Linotype"/>
          <w:i/>
          <w:color w:val="000000" w:themeColor="text1"/>
        </w:rPr>
      </w:pPr>
    </w:p>
    <w:p w:rsidR="008054EC" w:rsidRPr="00BB207E" w:rsidRDefault="008054E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I. Formular, en las sesiones de Cabildo, las propuestas que juzguen pertinentes; </w:t>
      </w:r>
    </w:p>
    <w:p w:rsidR="008054EC" w:rsidRPr="00BB207E" w:rsidRDefault="008054E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II. Cumplir oportunamente con las obligaciones y comisiones que les hayan sido encomendadas; </w:t>
      </w:r>
    </w:p>
    <w:p w:rsidR="008054EC" w:rsidRPr="00BB207E" w:rsidRDefault="008054E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III. Rendir informes por escrito de las actividades realizadas, cuando sean requeridos por el Ayuntamiento o por el presidente municipal; </w:t>
      </w:r>
    </w:p>
    <w:p w:rsidR="008054EC" w:rsidRPr="00BB207E" w:rsidRDefault="008054E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IV. Fomentar la participación ciudadana en apoyo a los programas que implemente el ayuntamiento; y </w:t>
      </w:r>
    </w:p>
    <w:p w:rsidR="008054EC" w:rsidRPr="00BB207E" w:rsidRDefault="008054E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V. Las demás que resulten procedentes, conforme a los ordenamientos jurídicos y acuerdos del Ayuntamiento.</w:t>
      </w:r>
    </w:p>
    <w:p w:rsidR="008054EC" w:rsidRPr="00BB207E" w:rsidRDefault="008054EC" w:rsidP="00426F75">
      <w:pPr>
        <w:jc w:val="both"/>
        <w:rPr>
          <w:rFonts w:ascii="Palatino Linotype" w:eastAsia="Palatino Linotype" w:hAnsi="Palatino Linotype" w:cs="Palatino Linotype"/>
          <w:i/>
          <w:color w:val="000000" w:themeColor="text1"/>
        </w:rPr>
      </w:pPr>
    </w:p>
    <w:p w:rsidR="0072148B" w:rsidRPr="00BB207E" w:rsidRDefault="0072148B" w:rsidP="00426F75">
      <w:pPr>
        <w:spacing w:line="360" w:lineRule="auto"/>
        <w:jc w:val="both"/>
        <w:rPr>
          <w:rFonts w:ascii="Palatino Linotype" w:eastAsia="Palatino Linotype" w:hAnsi="Palatino Linotype" w:cs="Palatino Linotype"/>
          <w:color w:val="000000" w:themeColor="text1"/>
        </w:rPr>
      </w:pPr>
    </w:p>
    <w:p w:rsidR="00B06265" w:rsidRDefault="00D70113"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lastRenderedPageBreak/>
        <w:t>De lo anterior se logra vislumbrar que los regidores tienen dentro de sus atribuciones las de atender el sector de la administración municipal que les sea encomendado, participar responsablemente en las comisiones conferidas por el ayuntamiento y aquéllas que le designe en forma concreta el presidente municipal; promover y fomentar la participación ciudadana en apoyo a los programas que formule y apruebe el ayuntamiento; rendir informes por escrito de las actividades realizadas, y las demás que resulten procedentes.</w:t>
      </w:r>
    </w:p>
    <w:p w:rsidR="00FF01EC" w:rsidRPr="00BB207E" w:rsidRDefault="00FF01EC" w:rsidP="00FF01EC">
      <w:pPr>
        <w:spacing w:line="360" w:lineRule="auto"/>
        <w:jc w:val="both"/>
        <w:rPr>
          <w:rFonts w:ascii="Palatino Linotype" w:eastAsia="Palatino Linotype" w:hAnsi="Palatino Linotype" w:cs="Palatino Linotype"/>
          <w:color w:val="000000" w:themeColor="text1"/>
        </w:rPr>
      </w:pPr>
    </w:p>
    <w:p w:rsidR="00D70113" w:rsidRPr="00BB207E" w:rsidRDefault="00D70113"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De lo anterior se puede colegir que </w:t>
      </w:r>
      <w:r w:rsidRPr="00BB207E">
        <w:rPr>
          <w:rFonts w:ascii="Palatino Linotype" w:eastAsia="Palatino Linotype" w:hAnsi="Palatino Linotype" w:cs="Palatino Linotype"/>
          <w:b/>
          <w:color w:val="000000" w:themeColor="text1"/>
        </w:rPr>
        <w:t>no existe una obligación normativa</w:t>
      </w:r>
      <w:r w:rsidRPr="00BB207E">
        <w:rPr>
          <w:rFonts w:ascii="Palatino Linotype" w:eastAsia="Palatino Linotype" w:hAnsi="Palatino Linotype" w:cs="Palatino Linotype"/>
          <w:color w:val="000000" w:themeColor="text1"/>
        </w:rPr>
        <w:t xml:space="preserve"> que en su literalidad le otorgue la facultad u obligación a los titulares de las regidurías </w:t>
      </w:r>
      <w:r w:rsidRPr="00BB207E">
        <w:rPr>
          <w:rFonts w:ascii="Palatino Linotype" w:eastAsia="Palatino Linotype" w:hAnsi="Palatino Linotype" w:cs="Palatino Linotype"/>
          <w:b/>
          <w:color w:val="000000" w:themeColor="text1"/>
        </w:rPr>
        <w:t xml:space="preserve">para realizar </w:t>
      </w:r>
      <w:r w:rsidRPr="00BB207E">
        <w:rPr>
          <w:rFonts w:ascii="Palatino Linotype" w:eastAsia="Palatino Linotype" w:hAnsi="Palatino Linotype" w:cs="Palatino Linotype"/>
          <w:b/>
          <w:i/>
          <w:color w:val="000000" w:themeColor="text1"/>
        </w:rPr>
        <w:t>audiencias ciudadanas</w:t>
      </w:r>
      <w:r w:rsidRPr="00BB207E">
        <w:rPr>
          <w:rFonts w:ascii="Palatino Linotype" w:eastAsia="Palatino Linotype" w:hAnsi="Palatino Linotype" w:cs="Palatino Linotype"/>
          <w:color w:val="000000" w:themeColor="text1"/>
        </w:rPr>
        <w:t xml:space="preserve">; no obstante, podemos entender por audiencia ciudadana un espacio de comunicación entre los </w:t>
      </w:r>
      <w:r w:rsidR="002C2FF1" w:rsidRPr="00BB207E">
        <w:rPr>
          <w:rFonts w:ascii="Palatino Linotype" w:eastAsia="Palatino Linotype" w:hAnsi="Palatino Linotype" w:cs="Palatino Linotype"/>
          <w:color w:val="000000" w:themeColor="text1"/>
        </w:rPr>
        <w:t>gobernados</w:t>
      </w:r>
      <w:r w:rsidRPr="00BB207E">
        <w:rPr>
          <w:rFonts w:ascii="Palatino Linotype" w:eastAsia="Palatino Linotype" w:hAnsi="Palatino Linotype" w:cs="Palatino Linotype"/>
          <w:color w:val="000000" w:themeColor="text1"/>
        </w:rPr>
        <w:t xml:space="preserve"> y autoridades </w:t>
      </w:r>
      <w:r w:rsidR="002C2FF1" w:rsidRPr="00BB207E">
        <w:rPr>
          <w:rFonts w:ascii="Palatino Linotype" w:eastAsia="Palatino Linotype" w:hAnsi="Palatino Linotype" w:cs="Palatino Linotype"/>
          <w:color w:val="000000" w:themeColor="text1"/>
        </w:rPr>
        <w:t>en donde los primeros a través del diálogo y la comunicación pueden exponer opiniones, inquietudes, propuestas, tratar temas generales o específicos de necesidades sociales globales o individuales, con el objetivo de ser escuchados y sus necesidades atendidas por sus representantes populares.</w:t>
      </w:r>
    </w:p>
    <w:p w:rsidR="002C2FF1" w:rsidRPr="00BB207E" w:rsidRDefault="002C2FF1" w:rsidP="00426F75">
      <w:pPr>
        <w:spacing w:line="360" w:lineRule="auto"/>
        <w:jc w:val="both"/>
        <w:rPr>
          <w:rFonts w:ascii="Palatino Linotype" w:eastAsia="Palatino Linotype" w:hAnsi="Palatino Linotype" w:cs="Palatino Linotype"/>
          <w:color w:val="000000" w:themeColor="text1"/>
        </w:rPr>
      </w:pPr>
    </w:p>
    <w:p w:rsidR="002C2FF1" w:rsidRPr="00BB207E" w:rsidRDefault="002C2FF1"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En este sentido, la página web oficial del Sujeto Obligado, y en la Gaceta Municipal volumen uno, año uno, de fecha 06 de enero de 2025,  de puede advertir la persona titular de la Octava Regiduría, tal como se muestra en las siguientes imágenes:</w:t>
      </w:r>
    </w:p>
    <w:p w:rsidR="002C2FF1" w:rsidRPr="00BB207E" w:rsidRDefault="002C2FF1" w:rsidP="00426F75">
      <w:pPr>
        <w:spacing w:line="360" w:lineRule="auto"/>
        <w:jc w:val="both"/>
        <w:rPr>
          <w:rFonts w:ascii="Palatino Linotype" w:eastAsia="Palatino Linotype" w:hAnsi="Palatino Linotype" w:cs="Palatino Linotype"/>
          <w:color w:val="000000" w:themeColor="text1"/>
        </w:rPr>
      </w:pPr>
    </w:p>
    <w:p w:rsidR="002C2FF1" w:rsidRPr="00BB207E" w:rsidRDefault="00C739CD" w:rsidP="00426F75">
      <w:pPr>
        <w:spacing w:line="360" w:lineRule="auto"/>
        <w:jc w:val="center"/>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noProof/>
          <w:color w:val="000000" w:themeColor="text1"/>
          <w:lang w:val="es-MX" w:eastAsia="es-MX"/>
        </w:rPr>
        <w:lastRenderedPageBreak/>
        <w:drawing>
          <wp:inline distT="0" distB="0" distL="0" distR="0" wp14:anchorId="668EA78D" wp14:editId="74FAC2B1">
            <wp:extent cx="4295774" cy="2034429"/>
            <wp:effectExtent l="152400" t="152400" r="353060" b="3663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6772" cy="2044374"/>
                    </a:xfrm>
                    <a:prstGeom prst="rect">
                      <a:avLst/>
                    </a:prstGeom>
                    <a:ln>
                      <a:noFill/>
                    </a:ln>
                    <a:effectLst>
                      <a:outerShdw blurRad="292100" dist="139700" dir="2700000" algn="tl" rotWithShape="0">
                        <a:srgbClr val="333333">
                          <a:alpha val="65000"/>
                        </a:srgbClr>
                      </a:outerShdw>
                    </a:effectLst>
                  </pic:spPr>
                </pic:pic>
              </a:graphicData>
            </a:graphic>
          </wp:inline>
        </w:drawing>
      </w:r>
    </w:p>
    <w:p w:rsidR="005F6407" w:rsidRPr="00BB207E" w:rsidRDefault="00C739CD" w:rsidP="00426F75">
      <w:pPr>
        <w:numPr>
          <w:ilvl w:val="0"/>
          <w:numId w:val="6"/>
        </w:numPr>
        <w:spacing w:line="360" w:lineRule="auto"/>
        <w:ind w:left="0" w:firstLine="0"/>
        <w:jc w:val="both"/>
        <w:rPr>
          <w:rFonts w:ascii="Palatino Linotype" w:hAnsi="Palatino Linotype"/>
          <w:color w:val="000000" w:themeColor="text1"/>
        </w:rPr>
      </w:pPr>
      <w:r w:rsidRPr="00BB207E">
        <w:rPr>
          <w:rFonts w:ascii="Palatino Linotype" w:hAnsi="Palatino Linotype"/>
          <w:color w:val="000000" w:themeColor="text1"/>
        </w:rPr>
        <w:t xml:space="preserve">Es así que se procedió a realizar una búsqueda a través de las tecnologías de la información y comunicación encontrando </w:t>
      </w:r>
      <w:r w:rsidR="0008059E" w:rsidRPr="00BB207E">
        <w:rPr>
          <w:rFonts w:ascii="Palatino Linotype" w:hAnsi="Palatino Linotype"/>
          <w:color w:val="000000" w:themeColor="text1"/>
        </w:rPr>
        <w:t>diversas</w:t>
      </w:r>
      <w:r w:rsidRPr="00BB207E">
        <w:rPr>
          <w:rFonts w:ascii="Palatino Linotype" w:hAnsi="Palatino Linotype"/>
          <w:color w:val="000000" w:themeColor="text1"/>
        </w:rPr>
        <w:t xml:space="preserve"> </w:t>
      </w:r>
      <w:r w:rsidR="0008059E" w:rsidRPr="00BB207E">
        <w:rPr>
          <w:rFonts w:ascii="Palatino Linotype" w:hAnsi="Palatino Linotype"/>
          <w:color w:val="000000" w:themeColor="text1"/>
        </w:rPr>
        <w:t>publicaciones en la red social Facebook de la Octava Regidora, en el que promueve la realización de audiencias ciudadanas, tal como se muestra en las siguientes imágenes:</w:t>
      </w:r>
    </w:p>
    <w:p w:rsidR="0008059E" w:rsidRPr="00BB207E" w:rsidRDefault="00EF5A3C" w:rsidP="00426F75">
      <w:pPr>
        <w:spacing w:line="360" w:lineRule="auto"/>
        <w:jc w:val="both"/>
        <w:rPr>
          <w:rFonts w:ascii="Palatino Linotype" w:hAnsi="Palatino Linotype"/>
          <w:color w:val="000000" w:themeColor="text1"/>
        </w:rPr>
      </w:pPr>
      <w:r w:rsidRPr="00BB207E">
        <w:rPr>
          <w:rFonts w:ascii="Palatino Linotype" w:hAnsi="Palatino Linotype"/>
          <w:noProof/>
          <w:color w:val="000000" w:themeColor="text1"/>
          <w:lang w:val="es-MX" w:eastAsia="es-MX"/>
        </w:rPr>
        <w:lastRenderedPageBreak/>
        <w:drawing>
          <wp:inline distT="0" distB="0" distL="0" distR="0" wp14:anchorId="174783D1" wp14:editId="53364745">
            <wp:extent cx="5468113" cy="68399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8113" cy="6839905"/>
                    </a:xfrm>
                    <a:prstGeom prst="rect">
                      <a:avLst/>
                    </a:prstGeom>
                  </pic:spPr>
                </pic:pic>
              </a:graphicData>
            </a:graphic>
          </wp:inline>
        </w:drawing>
      </w:r>
    </w:p>
    <w:p w:rsidR="00EF5A3C" w:rsidRPr="00BB207E" w:rsidRDefault="00EF5A3C" w:rsidP="00426F75">
      <w:pPr>
        <w:spacing w:line="360" w:lineRule="auto"/>
        <w:jc w:val="both"/>
        <w:rPr>
          <w:rFonts w:ascii="Palatino Linotype" w:hAnsi="Palatino Linotype"/>
          <w:color w:val="000000" w:themeColor="text1"/>
        </w:rPr>
      </w:pPr>
    </w:p>
    <w:p w:rsidR="00EF5A3C" w:rsidRPr="00BB207E" w:rsidRDefault="00EF5A3C" w:rsidP="00426F75">
      <w:pPr>
        <w:spacing w:line="360" w:lineRule="auto"/>
        <w:jc w:val="both"/>
        <w:rPr>
          <w:rFonts w:ascii="Palatino Linotype" w:hAnsi="Palatino Linotype"/>
          <w:color w:val="000000" w:themeColor="text1"/>
        </w:rPr>
      </w:pPr>
      <w:r w:rsidRPr="00BB207E">
        <w:rPr>
          <w:rFonts w:ascii="Palatino Linotype" w:eastAsia="Palatino Linotype" w:hAnsi="Palatino Linotype" w:cs="Palatino Linotype"/>
          <w:b/>
          <w:noProof/>
          <w:color w:val="000000" w:themeColor="text1"/>
          <w:lang w:val="es-MX" w:eastAsia="es-MX"/>
        </w:rPr>
        <w:lastRenderedPageBreak/>
        <w:drawing>
          <wp:anchor distT="0" distB="0" distL="114300" distR="114300" simplePos="0" relativeHeight="251658240" behindDoc="0" locked="0" layoutInCell="1" allowOverlap="1">
            <wp:simplePos x="0" y="0"/>
            <wp:positionH relativeFrom="column">
              <wp:posOffset>3376930</wp:posOffset>
            </wp:positionH>
            <wp:positionV relativeFrom="paragraph">
              <wp:posOffset>93345</wp:posOffset>
            </wp:positionV>
            <wp:extent cx="1838325" cy="2734945"/>
            <wp:effectExtent l="0" t="0" r="9525" b="825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8325" cy="2734945"/>
                    </a:xfrm>
                    <a:prstGeom prst="rect">
                      <a:avLst/>
                    </a:prstGeom>
                  </pic:spPr>
                </pic:pic>
              </a:graphicData>
            </a:graphic>
            <wp14:sizeRelH relativeFrom="margin">
              <wp14:pctWidth>0</wp14:pctWidth>
            </wp14:sizeRelH>
            <wp14:sizeRelV relativeFrom="margin">
              <wp14:pctHeight>0</wp14:pctHeight>
            </wp14:sizeRelV>
          </wp:anchor>
        </w:drawing>
      </w:r>
      <w:r w:rsidRPr="00BB207E">
        <w:rPr>
          <w:rFonts w:ascii="Palatino Linotype" w:hAnsi="Palatino Linotype"/>
          <w:noProof/>
          <w:color w:val="000000" w:themeColor="text1"/>
          <w:lang w:val="es-MX" w:eastAsia="es-MX"/>
        </w:rPr>
        <w:drawing>
          <wp:inline distT="0" distB="0" distL="0" distR="0" wp14:anchorId="557C2726" wp14:editId="001F6E1C">
            <wp:extent cx="2879459" cy="288867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7399" cy="2906669"/>
                    </a:xfrm>
                    <a:prstGeom prst="rect">
                      <a:avLst/>
                    </a:prstGeom>
                  </pic:spPr>
                </pic:pic>
              </a:graphicData>
            </a:graphic>
          </wp:inline>
        </w:drawing>
      </w:r>
    </w:p>
    <w:p w:rsidR="00EF5A3C" w:rsidRPr="00BB207E" w:rsidRDefault="00EF5A3C" w:rsidP="00426F7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EF5A3C" w:rsidRPr="00BB207E" w:rsidRDefault="00EF5A3C" w:rsidP="00426F75">
      <w:pPr>
        <w:numPr>
          <w:ilvl w:val="0"/>
          <w:numId w:val="6"/>
        </w:numPr>
        <w:spacing w:line="360" w:lineRule="auto"/>
        <w:ind w:left="0" w:firstLine="0"/>
        <w:jc w:val="both"/>
        <w:rPr>
          <w:rFonts w:ascii="Palatino Linotype" w:hAnsi="Palatino Linotype"/>
          <w:color w:val="000000" w:themeColor="text1"/>
        </w:rPr>
      </w:pPr>
      <w:r w:rsidRPr="00BB207E">
        <w:rPr>
          <w:rFonts w:ascii="Palatino Linotype" w:hAnsi="Palatino Linotype"/>
          <w:color w:val="000000" w:themeColor="text1"/>
        </w:rPr>
        <w:t>Como</w:t>
      </w:r>
      <w:r w:rsidRPr="00BB207E">
        <w:rPr>
          <w:rFonts w:ascii="Palatino Linotype" w:eastAsia="Palatino Linotype" w:hAnsi="Palatino Linotype" w:cs="Palatino Linotype"/>
          <w:color w:val="000000" w:themeColor="text1"/>
        </w:rPr>
        <w:t xml:space="preserve"> se advierte de dichas publicaciones encontradas por la ponencia, arrojan indicios sobre los hechos a que se refieren. Sirve de apoyo a lo anterior, la</w:t>
      </w:r>
      <w:r w:rsidR="00CB3B23" w:rsidRPr="00BB207E">
        <w:rPr>
          <w:rFonts w:ascii="Palatino Linotype" w:eastAsia="Palatino Linotype" w:hAnsi="Palatino Linotype" w:cs="Palatino Linotype"/>
          <w:color w:val="000000" w:themeColor="text1"/>
        </w:rPr>
        <w:t xml:space="preserve"> Jurisprudencia y Tesis Aislada</w:t>
      </w:r>
      <w:r w:rsidRPr="00BB207E">
        <w:rPr>
          <w:rFonts w:ascii="Palatino Linotype" w:eastAsia="Palatino Linotype" w:hAnsi="Palatino Linotype" w:cs="Palatino Linotype"/>
          <w:color w:val="000000" w:themeColor="text1"/>
        </w:rPr>
        <w:t xml:space="preserve"> que enseguida se reproducen: </w:t>
      </w:r>
    </w:p>
    <w:p w:rsidR="00EF5A3C" w:rsidRPr="00BB207E" w:rsidRDefault="00EF5A3C" w:rsidP="00426F75">
      <w:pPr>
        <w:spacing w:line="360" w:lineRule="auto"/>
        <w:jc w:val="both"/>
        <w:rPr>
          <w:rFonts w:ascii="Palatino Linotype" w:eastAsia="Palatino Linotype" w:hAnsi="Palatino Linotype" w:cs="Palatino Linotype"/>
          <w:i/>
          <w:color w:val="000000" w:themeColor="text1"/>
        </w:rPr>
      </w:pPr>
    </w:p>
    <w:p w:rsidR="00EF5A3C" w:rsidRPr="00BB207E" w:rsidRDefault="00EF5A3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b/>
          <w:i/>
          <w:color w:val="000000" w:themeColor="text1"/>
        </w:rPr>
        <w:t xml:space="preserve">INDICIO. CONCEPTO DE. </w:t>
      </w:r>
      <w:r w:rsidRPr="00BB207E">
        <w:rPr>
          <w:rFonts w:ascii="Palatino Linotype" w:eastAsia="Palatino Linotype" w:hAnsi="Palatino Linotype" w:cs="Palatino Linotype"/>
          <w:i/>
          <w:color w:val="000000" w:themeColor="text1"/>
        </w:rPr>
        <w:t xml:space="preserve">El "indicio" es una circunstancia cierta de la que se puede sacar, por inducción lógica, una conclusión acerca de la existencia (o inexistencia) de un hecho a probar;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indiciante, o sea, que el indicio presupone necesariamente la demostración de circunstancias indispensables por las que se arguye indirecta pero lógicamente el hecho que hay que probar mediante un proceso deductivo, con la misma certeza que da la prueba directa. </w:t>
      </w:r>
    </w:p>
    <w:p w:rsidR="00EF5A3C" w:rsidRDefault="00EF5A3C" w:rsidP="00426F75">
      <w:pPr>
        <w:spacing w:line="360" w:lineRule="auto"/>
        <w:jc w:val="both"/>
        <w:rPr>
          <w:rFonts w:ascii="Palatino Linotype" w:eastAsia="Palatino Linotype" w:hAnsi="Palatino Linotype" w:cs="Palatino Linotype"/>
          <w:i/>
          <w:color w:val="000000" w:themeColor="text1"/>
        </w:rPr>
      </w:pPr>
    </w:p>
    <w:p w:rsidR="00210E9E" w:rsidRPr="00BB207E" w:rsidRDefault="00210E9E" w:rsidP="00426F75">
      <w:pPr>
        <w:spacing w:line="360" w:lineRule="auto"/>
        <w:jc w:val="both"/>
        <w:rPr>
          <w:rFonts w:ascii="Palatino Linotype" w:eastAsia="Palatino Linotype" w:hAnsi="Palatino Linotype" w:cs="Palatino Linotype"/>
          <w:i/>
          <w:color w:val="000000" w:themeColor="text1"/>
        </w:rPr>
      </w:pPr>
    </w:p>
    <w:p w:rsidR="00EF5A3C" w:rsidRPr="00BB207E" w:rsidRDefault="00EF5A3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lastRenderedPageBreak/>
        <w:t xml:space="preserve">SEGUNDO TRIBUNAL COLEGIADO DEL SEXTO CIRCUITO. </w:t>
      </w:r>
    </w:p>
    <w:p w:rsidR="00EF5A3C" w:rsidRPr="00BB207E" w:rsidRDefault="00EF5A3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Amparo directo 317/87. Juan Antonio Ibarra Chaire y coags. 12 de julio de 1988. Unanimidad de votos. Ponente: José Galván Rojas. Secretario: Vicente Martínez Sánchez.</w:t>
      </w:r>
    </w:p>
    <w:p w:rsidR="00EF5A3C" w:rsidRPr="00BB207E" w:rsidRDefault="00EF5A3C" w:rsidP="00426F75">
      <w:pPr>
        <w:jc w:val="both"/>
        <w:rPr>
          <w:rFonts w:ascii="Palatino Linotype" w:eastAsia="Palatino Linotype" w:hAnsi="Palatino Linotype" w:cs="Palatino Linotype"/>
          <w:i/>
          <w:color w:val="000000" w:themeColor="text1"/>
        </w:rPr>
      </w:pPr>
    </w:p>
    <w:p w:rsidR="00EF5A3C" w:rsidRPr="00BB207E" w:rsidRDefault="00EF5A3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b/>
          <w:i/>
          <w:color w:val="000000" w:themeColor="text1"/>
        </w:rPr>
        <w:t xml:space="preserve">INDICIOS. REQUISITOS PARA QUE GENEREN PRESUNCIÓN DE CERTEZA. </w:t>
      </w:r>
      <w:r w:rsidRPr="00BB207E">
        <w:rPr>
          <w:rFonts w:ascii="Palatino Linotype" w:eastAsia="Palatino Linotype" w:hAnsi="Palatino Linotype" w:cs="Palatino Linotype"/>
          <w:i/>
          <w:color w:val="000000" w:themeColor="text1"/>
        </w:rPr>
        <w:t xml:space="preserve">Nada impide que para acreditar la veracidad de un hecho, el juzgador se valga de una presunción que se derive de varios indicios. En esta hipótesis deben cumplirse los principios de la lógica inferencial de probabilidad, a saber: 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cuando concurren esas exigencias, y se da un muy alto grado de probabilidad de que los hechos acaecieron en la forma narrada por una de las partes, son aptos para generar la presunción de certeza. </w:t>
      </w:r>
    </w:p>
    <w:p w:rsidR="00EF5A3C" w:rsidRPr="00BB207E" w:rsidRDefault="00EF5A3C" w:rsidP="00426F75">
      <w:pPr>
        <w:spacing w:line="360" w:lineRule="auto"/>
        <w:jc w:val="both"/>
        <w:rPr>
          <w:rFonts w:ascii="Palatino Linotype" w:hAnsi="Palatino Linotype"/>
          <w:color w:val="000000" w:themeColor="text1"/>
        </w:rPr>
      </w:pPr>
    </w:p>
    <w:p w:rsidR="00EF5A3C" w:rsidRPr="00BB207E" w:rsidRDefault="00EF5A3C"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De lo anterior, se presume la existencia de documentación relacionada con la información requerida, toda vez que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se encuentra constreñido a documentar todo acto de autoridad que éste realice derivado de sus funciones, atribuciones y competencias. </w:t>
      </w:r>
    </w:p>
    <w:p w:rsidR="00EF5A3C" w:rsidRPr="00BB207E" w:rsidRDefault="00EF5A3C" w:rsidP="00426F75">
      <w:pPr>
        <w:spacing w:line="360" w:lineRule="auto"/>
        <w:jc w:val="both"/>
        <w:rPr>
          <w:rFonts w:ascii="Palatino Linotype" w:eastAsia="Palatino Linotype" w:hAnsi="Palatino Linotype" w:cs="Palatino Linotype"/>
          <w:color w:val="000000" w:themeColor="text1"/>
        </w:rPr>
      </w:pPr>
    </w:p>
    <w:p w:rsidR="00EF5A3C" w:rsidRPr="00BB207E" w:rsidRDefault="00EF5A3C"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En ese tenor, si bien es cierto que las páginas de internet no son un medio oficial, también lo es que se trata de indicios que demuestran las tareas o labores que llegan a realizar en este caso los servidores públicos en ejercicio de sus facultades, competencias y/o funciones. </w:t>
      </w:r>
    </w:p>
    <w:p w:rsidR="00EF5A3C" w:rsidRPr="00BB207E" w:rsidRDefault="00EF5A3C" w:rsidP="00426F75">
      <w:pPr>
        <w:spacing w:line="360" w:lineRule="auto"/>
        <w:jc w:val="both"/>
        <w:rPr>
          <w:rFonts w:ascii="Palatino Linotype" w:eastAsia="Palatino Linotype" w:hAnsi="Palatino Linotype" w:cs="Palatino Linotype"/>
          <w:color w:val="000000" w:themeColor="text1"/>
        </w:rPr>
      </w:pPr>
    </w:p>
    <w:p w:rsidR="00EF5A3C" w:rsidRPr="00BB207E" w:rsidRDefault="00EF5A3C"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En tal virtud, al obrar indicios de la información en páginas de internet, como lo son las publicaciones </w:t>
      </w:r>
      <w:r w:rsidR="00CB3B23" w:rsidRPr="00BB207E">
        <w:rPr>
          <w:rFonts w:ascii="Palatino Linotype" w:eastAsia="Palatino Linotype" w:hAnsi="Palatino Linotype" w:cs="Palatino Linotype"/>
          <w:color w:val="000000" w:themeColor="text1"/>
        </w:rPr>
        <w:t>de servidores públicos en sus redes sociales</w:t>
      </w:r>
      <w:r w:rsidRPr="00BB207E">
        <w:rPr>
          <w:rFonts w:ascii="Palatino Linotype" w:eastAsia="Palatino Linotype" w:hAnsi="Palatino Linotype" w:cs="Palatino Linotype"/>
          <w:color w:val="000000" w:themeColor="text1"/>
        </w:rPr>
        <w:t xml:space="preserve">, como fue el caso, demuestran </w:t>
      </w:r>
      <w:r w:rsidRPr="00BB207E">
        <w:rPr>
          <w:rFonts w:ascii="Palatino Linotype" w:eastAsia="Palatino Linotype" w:hAnsi="Palatino Linotype" w:cs="Palatino Linotype"/>
          <w:color w:val="000000" w:themeColor="text1"/>
        </w:rPr>
        <w:lastRenderedPageBreak/>
        <w:t xml:space="preserve">que cuenta con la información en </w:t>
      </w:r>
      <w:r w:rsidR="00CB3B23" w:rsidRPr="00BB207E">
        <w:rPr>
          <w:rFonts w:ascii="Palatino Linotype" w:eastAsia="Palatino Linotype" w:hAnsi="Palatino Linotype" w:cs="Palatino Linotype"/>
          <w:color w:val="000000" w:themeColor="text1"/>
        </w:rPr>
        <w:t>el</w:t>
      </w:r>
      <w:r w:rsidRPr="00BB207E">
        <w:rPr>
          <w:rFonts w:ascii="Palatino Linotype" w:eastAsia="Palatino Linotype" w:hAnsi="Palatino Linotype" w:cs="Palatino Linotype"/>
          <w:color w:val="000000" w:themeColor="text1"/>
        </w:rPr>
        <w:t xml:space="preserve"> áreas </w:t>
      </w:r>
      <w:r w:rsidR="00CB3B23" w:rsidRPr="00BB207E">
        <w:rPr>
          <w:rFonts w:ascii="Palatino Linotype" w:eastAsia="Palatino Linotype" w:hAnsi="Palatino Linotype" w:cs="Palatino Linotype"/>
          <w:color w:val="000000" w:themeColor="text1"/>
        </w:rPr>
        <w:t>competente</w:t>
      </w:r>
      <w:r w:rsidRPr="00BB207E">
        <w:rPr>
          <w:rFonts w:ascii="Palatino Linotype" w:eastAsia="Palatino Linotype" w:hAnsi="Palatino Linotype" w:cs="Palatino Linotype"/>
          <w:color w:val="000000" w:themeColor="text1"/>
        </w:rPr>
        <w:t xml:space="preserve">, este tipo de información es susceptible de considerarse como un hecho notorio el cual puede ser valorado, por formar parte del conocimiento público, lo cual se robustece con la siguiente tesis aislada emitida por los Tribunales Colegiados de Circuito y publicada en el Semanario Judicial de la Federación: </w:t>
      </w:r>
    </w:p>
    <w:p w:rsidR="00EF5A3C" w:rsidRPr="00BB207E" w:rsidRDefault="00EF5A3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b/>
          <w:i/>
          <w:color w:val="000000" w:themeColor="text1"/>
        </w:rPr>
        <w:t xml:space="preserve">“PÁGINAS WEB O ELECTRÓNICAS. SU CONTENIDO ES UN HECHO NOTORIO Y SUSCEPTIBLE DE SER VALORADO EN UNA DECISIÓN JUDICIAL. </w:t>
      </w:r>
      <w:r w:rsidRPr="00BB207E">
        <w:rPr>
          <w:rFonts w:ascii="Palatino Linotype" w:eastAsia="Palatino Linotype" w:hAnsi="Palatino Linotype" w:cs="Palatino Linotype"/>
          <w:i/>
          <w:color w:val="000000" w:themeColor="text1"/>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1 2004949. I.3o.C.35 K (10a.). Tribunales Colegiados de Circuito. Décima Época. Semanario Judicial de la Federación y su Gaceta. Libro XXVI, Noviembre de 2013, Pág. 1373. Recurso de Revisión: 03023/INFOEM/IP/RR/2021 Sujeto Obligado: Ayuntamiento de Coacalco de Berriozábal Comisionado por returno: Luis Gustavo Parra Noriega Página 21 de 28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EF5A3C" w:rsidRPr="00BB207E" w:rsidRDefault="00EF5A3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 TERCER TRIBUNAL COLEGIADO EN MATERIA CIVIL DEL PRIMER CIRCUITO. </w:t>
      </w:r>
    </w:p>
    <w:p w:rsidR="00EF5A3C" w:rsidRPr="00BB207E" w:rsidRDefault="00EF5A3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Amparo en revisión 365/2012. Mardygras, S.A. de C.V. 7 de diciembre de 2012. Unanimidad de votos. Ponente: Neófito López Ramos. Secretaria: Ana Lilia Osorno Arroyo.” </w:t>
      </w:r>
    </w:p>
    <w:p w:rsidR="00EF5A3C" w:rsidRPr="00BB207E" w:rsidRDefault="00EF5A3C" w:rsidP="00426F75">
      <w:pP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(Énfasis añadido) </w:t>
      </w:r>
    </w:p>
    <w:p w:rsidR="00EF5A3C" w:rsidRPr="00BB207E" w:rsidRDefault="00EF5A3C" w:rsidP="00426F75">
      <w:pPr>
        <w:spacing w:line="360" w:lineRule="auto"/>
        <w:jc w:val="both"/>
        <w:rPr>
          <w:rFonts w:ascii="Palatino Linotype" w:eastAsia="Palatino Linotype" w:hAnsi="Palatino Linotype" w:cs="Palatino Linotype"/>
          <w:i/>
          <w:color w:val="000000" w:themeColor="text1"/>
        </w:rPr>
      </w:pPr>
    </w:p>
    <w:p w:rsidR="00EF5A3C" w:rsidRPr="00BB207E" w:rsidRDefault="00EF5A3C"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Es así que, aún y cuando la información proviene de una publicación en </w:t>
      </w:r>
      <w:r w:rsidR="00CB3B23" w:rsidRPr="00BB207E">
        <w:rPr>
          <w:rFonts w:ascii="Palatino Linotype" w:eastAsia="Palatino Linotype" w:hAnsi="Palatino Linotype" w:cs="Palatino Linotype"/>
          <w:color w:val="000000" w:themeColor="text1"/>
        </w:rPr>
        <w:t>la</w:t>
      </w:r>
      <w:r w:rsidRPr="00BB207E">
        <w:rPr>
          <w:rFonts w:ascii="Palatino Linotype" w:eastAsia="Palatino Linotype" w:hAnsi="Palatino Linotype" w:cs="Palatino Linotype"/>
          <w:color w:val="000000" w:themeColor="text1"/>
        </w:rPr>
        <w:t xml:space="preserve"> red social </w:t>
      </w:r>
      <w:r w:rsidR="00CB3B23" w:rsidRPr="00BB207E">
        <w:rPr>
          <w:rFonts w:ascii="Palatino Linotype" w:eastAsia="Palatino Linotype" w:hAnsi="Palatino Linotype" w:cs="Palatino Linotype"/>
          <w:color w:val="000000" w:themeColor="text1"/>
        </w:rPr>
        <w:t>del servidor público del cual se requiere la información</w:t>
      </w:r>
      <w:r w:rsidRPr="00BB207E">
        <w:rPr>
          <w:rFonts w:ascii="Palatino Linotype" w:eastAsia="Palatino Linotype" w:hAnsi="Palatino Linotype" w:cs="Palatino Linotype"/>
          <w:color w:val="000000" w:themeColor="text1"/>
        </w:rPr>
        <w:t>, muestra elementos que permiten presumir la existencia del hecho.</w:t>
      </w:r>
    </w:p>
    <w:p w:rsidR="00157E50" w:rsidRPr="00BB207E" w:rsidRDefault="00EF5A3C"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MS Mincho" w:hAnsi="Palatino Linotype" w:cstheme="majorBidi"/>
          <w:color w:val="000000" w:themeColor="text1"/>
        </w:rPr>
        <w:lastRenderedPageBreak/>
        <w:t>Bajo</w:t>
      </w:r>
      <w:r w:rsidRPr="00BB207E">
        <w:rPr>
          <w:rFonts w:ascii="Palatino Linotype" w:eastAsia="Palatino Linotype" w:hAnsi="Palatino Linotype" w:cs="Palatino Linotype"/>
          <w:color w:val="000000" w:themeColor="text1"/>
        </w:rPr>
        <w:t xml:space="preserve"> ese contexto, se considera que de manera enunciativa más no limitativa, el Sujeto Obligado deberá hacer una </w:t>
      </w:r>
      <w:r w:rsidRPr="00BB207E">
        <w:rPr>
          <w:rFonts w:ascii="Palatino Linotype" w:eastAsia="Palatino Linotype" w:hAnsi="Palatino Linotype" w:cs="Palatino Linotype"/>
          <w:b/>
          <w:color w:val="000000" w:themeColor="text1"/>
        </w:rPr>
        <w:t>búsqueda exhaustiva</w:t>
      </w:r>
      <w:r w:rsidRPr="00BB207E">
        <w:rPr>
          <w:rFonts w:ascii="Palatino Linotype" w:eastAsia="Palatino Linotype" w:hAnsi="Palatino Linotype" w:cs="Palatino Linotype"/>
          <w:color w:val="000000" w:themeColor="text1"/>
        </w:rPr>
        <w:t xml:space="preserve"> de la información por el servidor público habilitado de la </w:t>
      </w:r>
      <w:r w:rsidR="00157E50" w:rsidRPr="00BB207E">
        <w:rPr>
          <w:rFonts w:ascii="Palatino Linotype" w:eastAsia="Palatino Linotype" w:hAnsi="Palatino Linotype" w:cs="Palatino Linotype"/>
          <w:b/>
          <w:color w:val="000000" w:themeColor="text1"/>
        </w:rPr>
        <w:t>Octava Regiduría</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color w:val="000000" w:themeColor="text1"/>
        </w:rPr>
        <w:t xml:space="preserve">pues de la </w:t>
      </w:r>
      <w:r w:rsidR="00157E50" w:rsidRPr="00BB207E">
        <w:rPr>
          <w:rFonts w:ascii="Palatino Linotype" w:eastAsia="Palatino Linotype" w:hAnsi="Palatino Linotype" w:cs="Palatino Linotype"/>
          <w:color w:val="000000" w:themeColor="text1"/>
        </w:rPr>
        <w:t>falta de respuesta</w:t>
      </w:r>
      <w:r w:rsidRPr="00BB207E">
        <w:rPr>
          <w:rFonts w:ascii="Palatino Linotype" w:eastAsia="Palatino Linotype" w:hAnsi="Palatino Linotype" w:cs="Palatino Linotype"/>
          <w:color w:val="000000" w:themeColor="text1"/>
        </w:rPr>
        <w:t xml:space="preserve">, </w:t>
      </w:r>
      <w:r w:rsidR="00157E50" w:rsidRPr="00BB207E">
        <w:rPr>
          <w:rFonts w:ascii="Palatino Linotype" w:eastAsia="Palatino Linotype" w:hAnsi="Palatino Linotype" w:cs="Palatino Linotype"/>
          <w:color w:val="000000" w:themeColor="text1"/>
        </w:rPr>
        <w:t xml:space="preserve">misma que fue </w:t>
      </w:r>
      <w:r w:rsidRPr="00BB207E">
        <w:rPr>
          <w:rFonts w:ascii="Palatino Linotype" w:eastAsia="Palatino Linotype" w:hAnsi="Palatino Linotype" w:cs="Palatino Linotype"/>
          <w:color w:val="000000" w:themeColor="text1"/>
        </w:rPr>
        <w:t xml:space="preserve">ratificada en </w:t>
      </w:r>
      <w:r w:rsidR="00157E50" w:rsidRPr="00BB207E">
        <w:rPr>
          <w:rFonts w:ascii="Palatino Linotype" w:eastAsia="Palatino Linotype" w:hAnsi="Palatino Linotype" w:cs="Palatino Linotype"/>
          <w:color w:val="000000" w:themeColor="text1"/>
        </w:rPr>
        <w:t>etapa de manifestaciones, al señalar la Unidad de Transparencia que el Servidor Público Habilitado competente no rindió respuesta ni informe justificado</w:t>
      </w:r>
      <w:r w:rsidRPr="00BB207E">
        <w:rPr>
          <w:rFonts w:ascii="Palatino Linotype" w:eastAsia="Palatino Linotype" w:hAnsi="Palatino Linotype" w:cs="Palatino Linotype"/>
          <w:color w:val="000000" w:themeColor="text1"/>
        </w:rPr>
        <w:t xml:space="preserve">, </w:t>
      </w:r>
      <w:r w:rsidRPr="00BB207E">
        <w:rPr>
          <w:rFonts w:ascii="Palatino Linotype" w:eastAsia="Palatino Linotype" w:hAnsi="Palatino Linotype" w:cs="Palatino Linotype"/>
          <w:b/>
          <w:color w:val="000000" w:themeColor="text1"/>
        </w:rPr>
        <w:t>EL SUJETO OBLIGADO deberá realizar una búsqueda con la finalidad de entregar la información que resulta de interés para</w:t>
      </w:r>
      <w:r w:rsidRPr="00BB207E">
        <w:rPr>
          <w:rFonts w:ascii="Palatino Linotype" w:eastAsia="Palatino Linotype" w:hAnsi="Palatino Linotype" w:cs="Palatino Linotype"/>
          <w:color w:val="000000" w:themeColor="text1"/>
        </w:rPr>
        <w:t xml:space="preserve"> </w:t>
      </w:r>
      <w:r w:rsidRPr="00BB207E">
        <w:rPr>
          <w:rFonts w:ascii="Palatino Linotype" w:eastAsia="Palatino Linotype" w:hAnsi="Palatino Linotype" w:cs="Palatino Linotype"/>
          <w:b/>
          <w:color w:val="000000" w:themeColor="text1"/>
        </w:rPr>
        <w:t>EL RECURRENTE</w:t>
      </w:r>
      <w:r w:rsidRPr="00BB207E">
        <w:rPr>
          <w:rFonts w:ascii="Palatino Linotype" w:eastAsia="Palatino Linotype" w:hAnsi="Palatino Linotype" w:cs="Palatino Linotype"/>
          <w:color w:val="000000" w:themeColor="text1"/>
        </w:rPr>
        <w:t>, con la finalidad de dar certeza a la particular de que se realizó una correcta búsqueda de la información requerida.</w:t>
      </w:r>
    </w:p>
    <w:p w:rsidR="00EF5A3C" w:rsidRPr="00BB207E" w:rsidRDefault="00EF5A3C" w:rsidP="00426F75">
      <w:pPr>
        <w:spacing w:line="360" w:lineRule="auto"/>
        <w:jc w:val="both"/>
        <w:rPr>
          <w:rFonts w:ascii="Palatino Linotype" w:eastAsia="Palatino Linotype" w:hAnsi="Palatino Linotype" w:cs="Palatino Linotype"/>
          <w:color w:val="000000" w:themeColor="text1"/>
        </w:rPr>
      </w:pPr>
    </w:p>
    <w:p w:rsidR="00EF5A3C" w:rsidRPr="00BB207E" w:rsidRDefault="00EF5A3C"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Resultando aplicable el Criterio orientador 02/17 emitido por el Pleno del Instituto Nacional de Transparencia y Acceso a la Información y Protección de Datos Personales, de título y texto siguientes:</w:t>
      </w:r>
    </w:p>
    <w:p w:rsidR="00EF5A3C" w:rsidRPr="00BB207E" w:rsidRDefault="00EF5A3C" w:rsidP="00426F75">
      <w:pPr>
        <w:pBdr>
          <w:top w:val="nil"/>
          <w:left w:val="nil"/>
          <w:bottom w:val="nil"/>
          <w:right w:val="nil"/>
          <w:between w:val="nil"/>
        </w:pBdr>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b/>
          <w:i/>
          <w:color w:val="000000" w:themeColor="text1"/>
        </w:rPr>
        <w:t xml:space="preserve"> “Congruencia y exhaustividad. Sus alcances para garantizar el derecho de acceso a la información. </w:t>
      </w:r>
      <w:r w:rsidRPr="00BB207E">
        <w:rPr>
          <w:rFonts w:ascii="Palatino Linotype" w:eastAsia="Palatino Linotype" w:hAnsi="Palatino Linotype" w:cs="Palatino Linotype"/>
          <w:i/>
          <w:color w:val="000000" w:themeColor="text1"/>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BB207E">
        <w:rPr>
          <w:rFonts w:ascii="Palatino Linotype" w:eastAsia="Palatino Linotype" w:hAnsi="Palatino Linotype" w:cs="Palatino Linotype"/>
          <w:b/>
          <w:i/>
          <w:color w:val="000000" w:themeColor="text1"/>
        </w:rPr>
        <w:t>la congruencia implica que exista concordancia entre el requerimiento formulado por el particular y la respuesta proporcionada por el sujeto obligado</w:t>
      </w:r>
      <w:r w:rsidRPr="00BB207E">
        <w:rPr>
          <w:rFonts w:ascii="Palatino Linotype" w:eastAsia="Palatino Linotype" w:hAnsi="Palatino Linotype" w:cs="Palatino Linotype"/>
          <w:i/>
          <w:color w:val="000000" w:themeColor="text1"/>
        </w:rPr>
        <w:t xml:space="preserve">; mientras que </w:t>
      </w:r>
      <w:r w:rsidRPr="00BB207E">
        <w:rPr>
          <w:rFonts w:ascii="Palatino Linotype" w:eastAsia="Palatino Linotype" w:hAnsi="Palatino Linotype" w:cs="Palatino Linotype"/>
          <w:b/>
          <w:i/>
          <w:color w:val="000000" w:themeColor="text1"/>
        </w:rPr>
        <w:t>la exhaustividad significa que dicha respuesta se refiera expresamente a cada uno de los puntos solicitados</w:t>
      </w:r>
      <w:r w:rsidRPr="00BB207E">
        <w:rPr>
          <w:rFonts w:ascii="Palatino Linotype" w:eastAsia="Palatino Linotype" w:hAnsi="Palatino Linotype" w:cs="Palatino Linotype"/>
          <w:i/>
          <w:color w:val="000000" w:themeColor="text1"/>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EF5A3C" w:rsidRPr="00BB207E" w:rsidRDefault="00EF5A3C" w:rsidP="00426F75">
      <w:pPr>
        <w:pBdr>
          <w:top w:val="nil"/>
          <w:left w:val="nil"/>
          <w:bottom w:val="nil"/>
          <w:right w:val="nil"/>
          <w:between w:val="nil"/>
        </w:pBdr>
        <w:jc w:val="both"/>
        <w:rPr>
          <w:rFonts w:ascii="Palatino Linotype" w:eastAsia="Palatino Linotype" w:hAnsi="Palatino Linotype" w:cs="Palatino Linotype"/>
          <w:i/>
          <w:color w:val="000000" w:themeColor="text1"/>
        </w:rPr>
      </w:pPr>
    </w:p>
    <w:p w:rsidR="00EF5A3C" w:rsidRPr="00BB207E" w:rsidRDefault="00EF5A3C" w:rsidP="00426F75">
      <w:pPr>
        <w:pBdr>
          <w:top w:val="nil"/>
          <w:left w:val="nil"/>
          <w:bottom w:val="nil"/>
          <w:right w:val="nil"/>
          <w:between w:val="nil"/>
        </w:pBdr>
        <w:jc w:val="both"/>
        <w:rPr>
          <w:rFonts w:ascii="Palatino Linotype" w:eastAsia="Palatino Linotype" w:hAnsi="Palatino Linotype" w:cs="Palatino Linotype"/>
          <w:i/>
          <w:color w:val="000000" w:themeColor="text1"/>
        </w:rPr>
      </w:pPr>
    </w:p>
    <w:p w:rsidR="00EF5A3C" w:rsidRPr="00BB207E" w:rsidRDefault="00EF5A3C"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Por lo anterior, este Organismo Garante, con la finalidad de garantizar el derecho humano de acceso a la información de la parte </w:t>
      </w:r>
      <w:r w:rsidRPr="00BB207E">
        <w:rPr>
          <w:rFonts w:ascii="Palatino Linotype" w:eastAsia="Palatino Linotype" w:hAnsi="Palatino Linotype" w:cs="Palatino Linotype"/>
          <w:b/>
          <w:color w:val="000000" w:themeColor="text1"/>
        </w:rPr>
        <w:t>Recurrente,</w:t>
      </w:r>
      <w:r w:rsidRPr="00BB207E">
        <w:rPr>
          <w:rFonts w:ascii="Palatino Linotype" w:eastAsia="Palatino Linotype" w:hAnsi="Palatino Linotype" w:cs="Palatino Linotype"/>
          <w:color w:val="000000" w:themeColor="text1"/>
        </w:rPr>
        <w:t xml:space="preserve"> y a fin de reparar el agravio causado ante la omisión en que incurriera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w:t>
      </w:r>
      <w:r w:rsidRPr="00BB207E">
        <w:rPr>
          <w:rFonts w:ascii="Palatino Linotype" w:eastAsia="Palatino Linotype" w:hAnsi="Palatino Linotype" w:cs="Palatino Linotype"/>
          <w:b/>
          <w:color w:val="000000" w:themeColor="text1"/>
        </w:rPr>
        <w:t xml:space="preserve">se estima procedente ordenar que, previa búsqueda exhaustiva y razonable, en </w:t>
      </w:r>
      <w:r w:rsidR="00157E50" w:rsidRPr="00BB207E">
        <w:rPr>
          <w:rFonts w:ascii="Palatino Linotype" w:eastAsia="Palatino Linotype" w:hAnsi="Palatino Linotype" w:cs="Palatino Linotype"/>
          <w:b/>
          <w:color w:val="000000" w:themeColor="text1"/>
        </w:rPr>
        <w:t>la unidad</w:t>
      </w:r>
      <w:r w:rsidRPr="00BB207E">
        <w:rPr>
          <w:rFonts w:ascii="Palatino Linotype" w:eastAsia="Palatino Linotype" w:hAnsi="Palatino Linotype" w:cs="Palatino Linotype"/>
          <w:b/>
          <w:color w:val="000000" w:themeColor="text1"/>
        </w:rPr>
        <w:t xml:space="preserve"> admini</w:t>
      </w:r>
      <w:r w:rsidR="00157E50" w:rsidRPr="00BB207E">
        <w:rPr>
          <w:rFonts w:ascii="Palatino Linotype" w:eastAsia="Palatino Linotype" w:hAnsi="Palatino Linotype" w:cs="Palatino Linotype"/>
          <w:b/>
          <w:color w:val="000000" w:themeColor="text1"/>
        </w:rPr>
        <w:t>strativa competente</w:t>
      </w:r>
      <w:r w:rsidRPr="00BB207E">
        <w:rPr>
          <w:rFonts w:ascii="Palatino Linotype" w:eastAsia="Palatino Linotype" w:hAnsi="Palatino Linotype" w:cs="Palatino Linotype"/>
          <w:b/>
          <w:color w:val="000000" w:themeColor="text1"/>
        </w:rPr>
        <w:t xml:space="preserve">, se </w:t>
      </w:r>
      <w:r w:rsidRPr="00BB207E">
        <w:rPr>
          <w:rFonts w:ascii="Palatino Linotype" w:eastAsia="Palatino Linotype" w:hAnsi="Palatino Linotype" w:cs="Palatino Linotype"/>
          <w:b/>
          <w:color w:val="000000" w:themeColor="text1"/>
        </w:rPr>
        <w:lastRenderedPageBreak/>
        <w:t>haga entrega del soporte documental en el que conste la información que es del interés del particular.</w:t>
      </w:r>
    </w:p>
    <w:p w:rsidR="00816872" w:rsidRPr="00BB207E" w:rsidRDefault="00816872" w:rsidP="00426F75">
      <w:pPr>
        <w:spacing w:line="360" w:lineRule="auto"/>
        <w:jc w:val="both"/>
        <w:rPr>
          <w:rFonts w:ascii="Palatino Linotype" w:eastAsia="Palatino Linotype" w:hAnsi="Palatino Linotype" w:cs="Palatino Linotype"/>
          <w:color w:val="000000" w:themeColor="text1"/>
        </w:rPr>
      </w:pPr>
    </w:p>
    <w:p w:rsidR="00816872" w:rsidRPr="00BB207E" w:rsidRDefault="00157E50"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Cabe señalar que de las publicaciones localizadas, </w:t>
      </w:r>
      <w:r w:rsidR="00CE5003" w:rsidRPr="00BB207E">
        <w:rPr>
          <w:rFonts w:ascii="Palatino Linotype" w:eastAsia="Palatino Linotype" w:hAnsi="Palatino Linotype" w:cs="Palatino Linotype"/>
          <w:color w:val="000000" w:themeColor="text1"/>
        </w:rPr>
        <w:t>en la</w:t>
      </w:r>
      <w:r w:rsidRPr="00BB207E">
        <w:rPr>
          <w:rFonts w:ascii="Palatino Linotype" w:eastAsia="Palatino Linotype" w:hAnsi="Palatino Linotype" w:cs="Palatino Linotype"/>
          <w:color w:val="000000" w:themeColor="text1"/>
        </w:rPr>
        <w:t xml:space="preserve"> de fecha 27 de marzo de 2025, señala que </w:t>
      </w:r>
      <w:r w:rsidRPr="00BB207E">
        <w:rPr>
          <w:rFonts w:ascii="Palatino Linotype" w:eastAsia="Palatino Linotype" w:hAnsi="Palatino Linotype" w:cs="Palatino Linotype"/>
          <w:i/>
          <w:color w:val="000000" w:themeColor="text1"/>
        </w:rPr>
        <w:t>"</w:t>
      </w:r>
      <w:r w:rsidR="00816872" w:rsidRPr="00BB207E">
        <w:rPr>
          <w:rFonts w:ascii="Palatino Linotype" w:eastAsia="Palatino Linotype" w:hAnsi="Palatino Linotype" w:cs="Palatino Linotype"/>
          <w:i/>
          <w:color w:val="000000" w:themeColor="text1"/>
        </w:rPr>
        <w:t>a partir</w:t>
      </w:r>
      <w:r w:rsidRPr="00BB207E">
        <w:rPr>
          <w:rFonts w:ascii="Palatino Linotype" w:eastAsia="Palatino Linotype" w:hAnsi="Palatino Linotype" w:cs="Palatino Linotype"/>
          <w:i/>
          <w:color w:val="000000" w:themeColor="text1"/>
        </w:rPr>
        <w:t xml:space="preserve"> del 2 de abril, todos los miércoles te espero</w:t>
      </w:r>
      <w:r w:rsidR="00816872" w:rsidRPr="00BB207E">
        <w:rPr>
          <w:rFonts w:ascii="Palatino Linotype" w:eastAsia="Palatino Linotype" w:hAnsi="Palatino Linotype" w:cs="Palatino Linotype"/>
          <w:i/>
          <w:color w:val="000000" w:themeColor="text1"/>
        </w:rPr>
        <w:t xml:space="preserve"> en las Audiencias Ciudadanas…” (Sic)</w:t>
      </w:r>
      <w:r w:rsidR="00816872" w:rsidRPr="00BB207E">
        <w:rPr>
          <w:rFonts w:ascii="Palatino Linotype" w:eastAsia="Palatino Linotype" w:hAnsi="Palatino Linotype" w:cs="Palatino Linotype"/>
          <w:color w:val="000000" w:themeColor="text1"/>
        </w:rPr>
        <w:t xml:space="preserve">¸razón por la que no es posible tener la certeza que para la temporalidad de la información solicitada se cuente con la información, misma que se requirió del 01 de enero al 24 de febrero de 2025, no obstante, al no existir pronunciamiento por la unidad administrativa competente es dale ordenar la información requerida. Sin embargo, para el caso que el </w:t>
      </w:r>
      <w:r w:rsidR="00816872" w:rsidRPr="00BB207E">
        <w:rPr>
          <w:rFonts w:ascii="Palatino Linotype" w:eastAsia="Palatino Linotype" w:hAnsi="Palatino Linotype" w:cs="Palatino Linotype"/>
          <w:b/>
          <w:color w:val="000000" w:themeColor="text1"/>
        </w:rPr>
        <w:t>SUJETO OBLIGADO</w:t>
      </w:r>
      <w:r w:rsidR="00816872" w:rsidRPr="00BB207E">
        <w:rPr>
          <w:rFonts w:ascii="Palatino Linotype" w:eastAsia="Palatino Linotype" w:hAnsi="Palatino Linotype" w:cs="Palatino Linotype"/>
          <w:color w:val="000000" w:themeColor="text1"/>
        </w:rPr>
        <w:t xml:space="preserve">, luego de la búsqueda exhaustiva y razonable no cuente con </w:t>
      </w:r>
      <w:r w:rsidR="00DA4D76" w:rsidRPr="00BB207E">
        <w:rPr>
          <w:rFonts w:ascii="Palatino Linotype" w:eastAsia="Palatino Linotype" w:hAnsi="Palatino Linotype" w:cs="Palatino Linotype"/>
          <w:color w:val="000000" w:themeColor="text1"/>
        </w:rPr>
        <w:t>la información que se ordena</w:t>
      </w:r>
      <w:r w:rsidR="00816872" w:rsidRPr="00BB207E">
        <w:rPr>
          <w:rFonts w:ascii="Palatino Linotype" w:eastAsia="Palatino Linotype" w:hAnsi="Palatino Linotype" w:cs="Palatino Linotype"/>
          <w:color w:val="000000" w:themeColor="text1"/>
        </w:rPr>
        <w:t xml:space="preserve">, por no haberse </w:t>
      </w:r>
      <w:r w:rsidR="00816872" w:rsidRPr="00BB207E">
        <w:rPr>
          <w:rFonts w:ascii="Palatino Linotype" w:eastAsia="Calibri" w:hAnsi="Palatino Linotype" w:cs="Arial"/>
          <w:color w:val="000000" w:themeColor="text1"/>
        </w:rPr>
        <w:t>generado</w:t>
      </w:r>
      <w:r w:rsidR="00DA4D76" w:rsidRPr="00BB207E">
        <w:rPr>
          <w:rFonts w:ascii="Palatino Linotype" w:eastAsia="Calibri" w:hAnsi="Palatino Linotype" w:cs="Arial"/>
          <w:color w:val="000000" w:themeColor="text1"/>
        </w:rPr>
        <w:t xml:space="preserve"> a la fecha de la solicitud</w:t>
      </w:r>
      <w:r w:rsidR="00816872" w:rsidRPr="00BB207E">
        <w:rPr>
          <w:rFonts w:ascii="Palatino Linotype" w:eastAsia="Calibri" w:hAnsi="Palatino Linotype" w:cs="Arial"/>
          <w:color w:val="000000" w:themeColor="text1"/>
        </w:rPr>
        <w:t>,</w:t>
      </w:r>
      <w:r w:rsidR="00816872" w:rsidRPr="00BB207E">
        <w:rPr>
          <w:rFonts w:ascii="Palatino Linotype" w:eastAsia="Palatino Linotype" w:hAnsi="Palatino Linotype" w:cs="Palatino Linotype"/>
          <w:color w:val="000000" w:themeColor="text1"/>
        </w:rPr>
        <w:t xml:space="preserve"> bastará que lo haga del conocimiento del RECURRENTE al momento de dar cumplimiento a la presente Resolución, en términos del artículo 19, párrafo segundo, de la Ley de Transparencia y Acceso a la Información Pública del Estado de México y Municipios.</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color w:val="000000" w:themeColor="text1"/>
        </w:rPr>
        <w:t xml:space="preserve">En este orden de ideas, es de recordar que la solicitud de información requirió </w:t>
      </w:r>
      <w:r w:rsidRPr="00BB207E">
        <w:rPr>
          <w:rFonts w:ascii="Palatino Linotype" w:eastAsia="Palatino Linotype" w:hAnsi="Palatino Linotype" w:cs="Palatino Linotype"/>
          <w:i/>
          <w:color w:val="000000" w:themeColor="text1"/>
        </w:rPr>
        <w:t xml:space="preserve">El registro de audiencias ciudadanas atendidas por el Octavo Regidor del 01 de enero al 24 de febrero de 2025, con nombre, colonia, teléfono y asunto, </w:t>
      </w:r>
      <w:r w:rsidRPr="00BB207E">
        <w:rPr>
          <w:rFonts w:ascii="Palatino Linotype" w:eastAsia="Palatino Linotype" w:hAnsi="Palatino Linotype" w:cs="Palatino Linotype"/>
          <w:color w:val="000000" w:themeColor="text1"/>
        </w:rPr>
        <w:t>por lo que se debe referir lo siguiente respecto de los elementos que se solicitan.</w:t>
      </w:r>
    </w:p>
    <w:p w:rsidR="005F2426" w:rsidRPr="00BB207E" w:rsidRDefault="005F2426" w:rsidP="00426F75">
      <w:pPr>
        <w:spacing w:line="360" w:lineRule="auto"/>
        <w:jc w:val="both"/>
        <w:rPr>
          <w:rFonts w:ascii="Palatino Linotype" w:eastAsia="Palatino Linotype" w:hAnsi="Palatino Linotype" w:cs="Palatino Linotype"/>
          <w:i/>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w:t>
      </w:r>
      <w:r w:rsidRPr="00BB207E">
        <w:rPr>
          <w:rFonts w:ascii="Palatino Linotype" w:eastAsia="Palatino Linotype" w:hAnsi="Palatino Linotype" w:cs="Palatino Linotype"/>
          <w:color w:val="000000" w:themeColor="text1"/>
        </w:rPr>
        <w:lastRenderedPageBreak/>
        <w:t xml:space="preserve">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Acorde con lo anterior, la Ley General de Transparencia y Acceso a la Información Pública, vigente a la fecha de la solicitud,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 </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En concordancia con lo previo, el artículo 143, fracción I, de la Ley previamente citada, establece que la información privada y los datos personales, concernientes a una persona física o jurídica colectiva identificada o identificable son confidenciales. </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lastRenderedPageBreak/>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 </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En términos de lo expuesto, la documentación y aquellos datos que se consideren confidenciales, serán una limitante del derecho de acceso a la información, siempre y cuando: </w:t>
      </w:r>
    </w:p>
    <w:p w:rsidR="005F2426" w:rsidRPr="00BB207E" w:rsidRDefault="005F2426" w:rsidP="00426F75">
      <w:pPr>
        <w:spacing w:line="360" w:lineRule="auto"/>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 xml:space="preserve">A. Se trate de datos personales o información privada; esto es, información concerniente a una persona física o jurídico colectiva y que esta sea identificada o identificable. </w:t>
      </w:r>
    </w:p>
    <w:p w:rsidR="005F2426" w:rsidRPr="00BB207E" w:rsidRDefault="005F2426" w:rsidP="00426F75">
      <w:pPr>
        <w:spacing w:line="360" w:lineRule="auto"/>
        <w:jc w:val="both"/>
        <w:rPr>
          <w:rFonts w:ascii="Palatino Linotype" w:eastAsia="Palatino Linotype" w:hAnsi="Palatino Linotype" w:cs="Palatino Linotype"/>
          <w:i/>
          <w:color w:val="000000" w:themeColor="text1"/>
        </w:rPr>
      </w:pPr>
      <w:r w:rsidRPr="00BB207E">
        <w:rPr>
          <w:rFonts w:ascii="Palatino Linotype" w:eastAsia="Palatino Linotype" w:hAnsi="Palatino Linotype" w:cs="Palatino Linotype"/>
          <w:i/>
          <w:color w:val="000000" w:themeColor="text1"/>
        </w:rPr>
        <w:t>B. Para la difusión de los datos, se requiera el consentimiento del titular.</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lastRenderedPageBreak/>
        <w:t xml:space="preserve"> Además, en el artículo 5 de dicho ordenamiento jurídico, establece que es la Ley aplicable para todo tratamiento de datos personales.</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 En ese </w:t>
      </w:r>
      <w:r w:rsidR="00BB17C6" w:rsidRPr="00BB207E">
        <w:rPr>
          <w:rFonts w:ascii="Palatino Linotype" w:eastAsia="Palatino Linotype" w:hAnsi="Palatino Linotype" w:cs="Palatino Linotype"/>
          <w:color w:val="000000" w:themeColor="text1"/>
        </w:rPr>
        <w:t>orden de ideas, los artículos 6, 7, 8</w:t>
      </w:r>
      <w:r w:rsidRPr="00BB207E">
        <w:rPr>
          <w:rFonts w:ascii="Palatino Linotype" w:eastAsia="Palatino Linotype" w:hAnsi="Palatino Linotype" w:cs="Palatino Linotype"/>
          <w:color w:val="000000" w:themeColor="text1"/>
        </w:rPr>
        <w:t xml:space="preserve">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 </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w:t>
      </w:r>
      <w:r w:rsidRPr="00BB207E">
        <w:rPr>
          <w:rFonts w:ascii="Palatino Linotype" w:eastAsia="Palatino Linotype" w:hAnsi="Palatino Linotype" w:cs="Palatino Linotype"/>
          <w:color w:val="000000" w:themeColor="text1"/>
        </w:rPr>
        <w:lastRenderedPageBreak/>
        <w:t xml:space="preserve">publicidad de su información. De tal suerte, las instituciones públicas tienen la doble responsabilidad, por un lado, de proteger los datos personales y por otro, darles publicidad cuando la relevancia de esos datos sea de interés público. </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BB17C6" w:rsidRPr="00BB207E" w:rsidRDefault="00BB17C6" w:rsidP="00426F75">
      <w:pPr>
        <w:spacing w:line="360" w:lineRule="auto"/>
        <w:jc w:val="both"/>
        <w:rPr>
          <w:rFonts w:ascii="Palatino Linotype" w:eastAsia="Palatino Linotype" w:hAnsi="Palatino Linotype" w:cs="Palatino Linotype"/>
          <w:color w:val="000000" w:themeColor="text1"/>
        </w:rPr>
      </w:pPr>
    </w:p>
    <w:p w:rsidR="00535921" w:rsidRPr="00BB207E" w:rsidRDefault="00BB17C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Lo anterior</w:t>
      </w:r>
      <w:r w:rsidR="005F2426" w:rsidRPr="00BB207E">
        <w:rPr>
          <w:rFonts w:ascii="Palatino Linotype" w:eastAsia="Palatino Linotype" w:hAnsi="Palatino Linotype" w:cs="Palatino Linotype"/>
          <w:color w:val="000000" w:themeColor="text1"/>
        </w:rPr>
        <w:t xml:space="preserve"> obliga a un ejercicio de ponderación en donde únicamente se privilegie la publicidad de los datos esenciales para la transparencia y rendición de cuentas, sin afectar la vida privada de las personas. </w:t>
      </w:r>
    </w:p>
    <w:p w:rsidR="00535921" w:rsidRPr="00BB207E" w:rsidRDefault="00535921" w:rsidP="00426F75">
      <w:pPr>
        <w:spacing w:line="360" w:lineRule="auto"/>
        <w:jc w:val="both"/>
        <w:rPr>
          <w:rFonts w:ascii="Palatino Linotype" w:eastAsia="Palatino Linotype" w:hAnsi="Palatino Linotype" w:cs="Palatino Linotype"/>
          <w:color w:val="000000" w:themeColor="text1"/>
        </w:rPr>
      </w:pPr>
    </w:p>
    <w:p w:rsidR="00535921" w:rsidRPr="00BB207E" w:rsidRDefault="00535921" w:rsidP="00426F75">
      <w:pPr>
        <w:numPr>
          <w:ilvl w:val="0"/>
          <w:numId w:val="6"/>
        </w:numPr>
        <w:spacing w:line="360" w:lineRule="auto"/>
        <w:ind w:left="0" w:firstLine="0"/>
        <w:jc w:val="both"/>
        <w:rPr>
          <w:rFonts w:ascii="Palatino Linotype" w:hAnsi="Palatino Linotype"/>
          <w:color w:val="000000" w:themeColor="text1"/>
        </w:rPr>
      </w:pPr>
      <w:r w:rsidRPr="00BB207E">
        <w:rPr>
          <w:rFonts w:ascii="Palatino Linotype" w:hAnsi="Palatino Linotype" w:cs="Tahoma"/>
          <w:bCs/>
          <w:iCs/>
          <w:color w:val="000000" w:themeColor="text1"/>
        </w:rPr>
        <w:t xml:space="preserve">El lineamiento trigésimo octavo de los </w:t>
      </w:r>
      <w:r w:rsidRPr="00BB207E">
        <w:rPr>
          <w:rFonts w:ascii="Palatino Linotype" w:hAnsi="Palatino Linotype"/>
          <w:color w:val="000000" w:themeColor="text1"/>
        </w:rPr>
        <w:t>Lineamientos Generales en Materia de Clasificación y Desclasificación de la Información, así como para la Elaboración de Versiones Públicas</w:t>
      </w:r>
      <w:r w:rsidRPr="00BB207E">
        <w:rPr>
          <w:rFonts w:ascii="Palatino Linotype" w:hAnsi="Palatino Linotype" w:cs="Tahoma"/>
          <w:bCs/>
          <w:iCs/>
          <w:color w:val="000000" w:themeColor="text1"/>
        </w:rPr>
        <w:t xml:space="preserve">, reconocen justamente a los </w:t>
      </w:r>
      <w:r w:rsidRPr="00BB207E">
        <w:rPr>
          <w:rFonts w:ascii="Palatino Linotype" w:hAnsi="Palatino Linotype" w:cs="Tahoma"/>
          <w:b/>
          <w:bCs/>
          <w:iCs/>
          <w:color w:val="000000" w:themeColor="text1"/>
        </w:rPr>
        <w:t>datos personales</w:t>
      </w:r>
      <w:r w:rsidRPr="00BB207E">
        <w:rPr>
          <w:rFonts w:ascii="Palatino Linotype" w:hAnsi="Palatino Linotype" w:cs="Tahoma"/>
          <w:bCs/>
          <w:iCs/>
          <w:color w:val="000000" w:themeColor="text1"/>
        </w:rPr>
        <w:t xml:space="preserve">, entendidos como cualquier información concerniente a una </w:t>
      </w:r>
      <w:r w:rsidRPr="00BB207E">
        <w:rPr>
          <w:rFonts w:ascii="Palatino Linotype" w:hAnsi="Palatino Linotype" w:cs="Tahoma"/>
          <w:b/>
          <w:bCs/>
          <w:iCs/>
          <w:color w:val="000000" w:themeColor="text1"/>
        </w:rPr>
        <w:t>persona física identificada o identificable</w:t>
      </w:r>
      <w:r w:rsidRPr="00BB207E">
        <w:rPr>
          <w:rFonts w:ascii="Palatino Linotype" w:hAnsi="Palatino Linotype" w:cs="Tahoma"/>
          <w:bCs/>
          <w:iCs/>
          <w:color w:val="000000" w:themeColor="text1"/>
        </w:rPr>
        <w:t xml:space="preserve">, en términos de </w:t>
      </w:r>
      <w:r w:rsidRPr="00BB207E">
        <w:rPr>
          <w:rFonts w:ascii="Palatino Linotype" w:hAnsi="Palatino Linotype" w:cs="Tahoma"/>
          <w:bCs/>
          <w:iCs/>
          <w:color w:val="000000" w:themeColor="text1"/>
        </w:rPr>
        <w:lastRenderedPageBreak/>
        <w:t>la norma aplicable que, de manera enunciativa más no limitativa, se pueden identificar de acuerdo a las siguientes categorías:</w:t>
      </w:r>
    </w:p>
    <w:p w:rsidR="00535921" w:rsidRPr="00BB207E" w:rsidRDefault="00535921" w:rsidP="00210E9E">
      <w:pPr>
        <w:pStyle w:val="Prrafodelista"/>
        <w:numPr>
          <w:ilvl w:val="1"/>
          <w:numId w:val="29"/>
        </w:numPr>
        <w:tabs>
          <w:tab w:val="left" w:pos="426"/>
        </w:tabs>
        <w:spacing w:before="240" w:after="240" w:line="360" w:lineRule="auto"/>
        <w:ind w:left="0" w:firstLine="0"/>
        <w:jc w:val="both"/>
        <w:rPr>
          <w:rFonts w:ascii="Palatino Linotype" w:hAnsi="Palatino Linotype"/>
          <w:color w:val="000000" w:themeColor="text1"/>
        </w:rPr>
      </w:pPr>
      <w:r w:rsidRPr="00BB207E">
        <w:rPr>
          <w:rFonts w:ascii="Palatino Linotype" w:hAnsi="Palatino Linotype" w:cs="Tahoma"/>
          <w:b/>
          <w:bCs/>
          <w:iCs/>
          <w:color w:val="000000" w:themeColor="text1"/>
        </w:rPr>
        <w:t>Datos identificativos:</w:t>
      </w:r>
      <w:r w:rsidRPr="00BB207E">
        <w:rPr>
          <w:rFonts w:ascii="Palatino Linotype" w:hAnsi="Palatino Linotype" w:cs="Tahoma"/>
          <w:bCs/>
          <w:iCs/>
          <w:color w:val="000000" w:themeColor="text1"/>
        </w:rPr>
        <w:t xml:space="preserve">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 </w:t>
      </w:r>
    </w:p>
    <w:p w:rsidR="00535921" w:rsidRPr="00BB207E" w:rsidRDefault="00535921" w:rsidP="00210E9E">
      <w:pPr>
        <w:pStyle w:val="Prrafodelista"/>
        <w:numPr>
          <w:ilvl w:val="1"/>
          <w:numId w:val="29"/>
        </w:numPr>
        <w:tabs>
          <w:tab w:val="left" w:pos="426"/>
        </w:tabs>
        <w:spacing w:before="240" w:after="240" w:line="360" w:lineRule="auto"/>
        <w:ind w:left="0" w:firstLine="0"/>
        <w:jc w:val="both"/>
        <w:rPr>
          <w:rFonts w:ascii="Palatino Linotype" w:hAnsi="Palatino Linotype"/>
          <w:color w:val="000000" w:themeColor="text1"/>
        </w:rPr>
      </w:pPr>
      <w:r w:rsidRPr="00BB207E">
        <w:rPr>
          <w:rFonts w:ascii="Palatino Linotype" w:hAnsi="Palatino Linotype" w:cs="Tahoma"/>
          <w:b/>
          <w:bCs/>
          <w:iCs/>
          <w:color w:val="000000" w:themeColor="text1"/>
        </w:rPr>
        <w:t>Datos de origen:</w:t>
      </w:r>
      <w:r w:rsidRPr="00BB207E">
        <w:rPr>
          <w:rFonts w:ascii="Palatino Linotype" w:hAnsi="Palatino Linotype" w:cs="Tahoma"/>
          <w:bCs/>
          <w:iCs/>
          <w:color w:val="000000" w:themeColor="text1"/>
        </w:rPr>
        <w:t xml:space="preserve"> Origen, etnia, raza, color de piel, color de ojos, color y tipo de cabello, estatura, complexión, y análogos. </w:t>
      </w:r>
    </w:p>
    <w:p w:rsidR="00535921" w:rsidRPr="00BB207E" w:rsidRDefault="00535921" w:rsidP="00210E9E">
      <w:pPr>
        <w:pStyle w:val="Prrafodelista"/>
        <w:numPr>
          <w:ilvl w:val="1"/>
          <w:numId w:val="29"/>
        </w:numPr>
        <w:tabs>
          <w:tab w:val="left" w:pos="426"/>
        </w:tabs>
        <w:spacing w:before="240" w:after="240" w:line="360" w:lineRule="auto"/>
        <w:ind w:left="0" w:firstLine="0"/>
        <w:jc w:val="both"/>
        <w:rPr>
          <w:rFonts w:ascii="Palatino Linotype" w:hAnsi="Palatino Linotype"/>
          <w:color w:val="000000" w:themeColor="text1"/>
        </w:rPr>
      </w:pPr>
      <w:r w:rsidRPr="00BB207E">
        <w:rPr>
          <w:rFonts w:ascii="Palatino Linotype" w:hAnsi="Palatino Linotype" w:cs="Tahoma"/>
          <w:b/>
          <w:bCs/>
          <w:iCs/>
          <w:color w:val="000000" w:themeColor="text1"/>
        </w:rPr>
        <w:t xml:space="preserve">Datos ideológicos: </w:t>
      </w:r>
      <w:r w:rsidRPr="00BB207E">
        <w:rPr>
          <w:rFonts w:ascii="Palatino Linotype" w:hAnsi="Palatino Linotype" w:cs="Tahoma"/>
          <w:bCs/>
          <w:iCs/>
          <w:color w:val="000000" w:themeColor="text1"/>
        </w:rPr>
        <w:t xml:space="preserve">Ideologías, creencias, opinión política, afiliación política, opinión pública, afiliación sindical, religión, convicción filosófica y análoga. </w:t>
      </w:r>
    </w:p>
    <w:p w:rsidR="00535921" w:rsidRPr="00BB207E" w:rsidRDefault="00535921" w:rsidP="00210E9E">
      <w:pPr>
        <w:pStyle w:val="Prrafodelista"/>
        <w:numPr>
          <w:ilvl w:val="1"/>
          <w:numId w:val="29"/>
        </w:numPr>
        <w:tabs>
          <w:tab w:val="left" w:pos="426"/>
        </w:tabs>
        <w:spacing w:before="240" w:after="240" w:line="360" w:lineRule="auto"/>
        <w:ind w:left="0" w:firstLine="0"/>
        <w:jc w:val="both"/>
        <w:rPr>
          <w:rFonts w:ascii="Palatino Linotype" w:hAnsi="Palatino Linotype"/>
          <w:color w:val="000000" w:themeColor="text1"/>
        </w:rPr>
      </w:pPr>
      <w:r w:rsidRPr="00BB207E">
        <w:rPr>
          <w:rFonts w:ascii="Palatino Linotype" w:hAnsi="Palatino Linotype" w:cs="Tahoma"/>
          <w:b/>
          <w:bCs/>
          <w:iCs/>
          <w:color w:val="000000" w:themeColor="text1"/>
        </w:rPr>
        <w:t>Datos sobre la salud:</w:t>
      </w:r>
      <w:r w:rsidRPr="00BB207E">
        <w:rPr>
          <w:rFonts w:ascii="Palatino Linotype" w:hAnsi="Palatino Linotype" w:cs="Tahoma"/>
          <w:bCs/>
          <w:iCs/>
          <w:color w:val="000000" w:themeColor="text1"/>
        </w:rPr>
        <w:t xml:space="preserve"> 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 </w:t>
      </w:r>
    </w:p>
    <w:p w:rsidR="00535921" w:rsidRPr="00BB207E" w:rsidRDefault="00535921" w:rsidP="00210E9E">
      <w:pPr>
        <w:pStyle w:val="Prrafodelista"/>
        <w:numPr>
          <w:ilvl w:val="1"/>
          <w:numId w:val="29"/>
        </w:numPr>
        <w:tabs>
          <w:tab w:val="left" w:pos="426"/>
        </w:tabs>
        <w:spacing w:before="240" w:after="240" w:line="360" w:lineRule="auto"/>
        <w:ind w:left="0" w:firstLine="0"/>
        <w:jc w:val="both"/>
        <w:rPr>
          <w:rFonts w:ascii="Palatino Linotype" w:hAnsi="Palatino Linotype"/>
          <w:color w:val="000000" w:themeColor="text1"/>
        </w:rPr>
      </w:pPr>
      <w:r w:rsidRPr="00BB207E">
        <w:rPr>
          <w:rFonts w:ascii="Palatino Linotype" w:hAnsi="Palatino Linotype" w:cs="Tahoma"/>
          <w:b/>
          <w:bCs/>
          <w:iCs/>
          <w:color w:val="000000" w:themeColor="text1"/>
        </w:rPr>
        <w:t>Datos Laborales:</w:t>
      </w:r>
      <w:r w:rsidRPr="00BB207E">
        <w:rPr>
          <w:rFonts w:ascii="Palatino Linotype" w:hAnsi="Palatino Linotype" w:cs="Tahoma"/>
          <w:bCs/>
          <w:iCs/>
          <w:color w:val="000000" w:themeColor="text1"/>
        </w:rPr>
        <w:t xml:space="preserve"> Número de seguridad social, documentos de reclutamiento o selección, nombramientos, incidencia, capacitación, actividades extracurriculares, referencias laborales, referencias personales, solicitud de empleo, hoja de servicio, y análogos. </w:t>
      </w:r>
    </w:p>
    <w:p w:rsidR="00535921" w:rsidRPr="00BB207E" w:rsidRDefault="00535921" w:rsidP="00210E9E">
      <w:pPr>
        <w:pStyle w:val="Prrafodelista"/>
        <w:numPr>
          <w:ilvl w:val="1"/>
          <w:numId w:val="29"/>
        </w:numPr>
        <w:tabs>
          <w:tab w:val="left" w:pos="426"/>
        </w:tabs>
        <w:spacing w:before="240" w:after="240" w:line="360" w:lineRule="auto"/>
        <w:ind w:left="0" w:firstLine="0"/>
        <w:jc w:val="both"/>
        <w:rPr>
          <w:rFonts w:ascii="Palatino Linotype" w:hAnsi="Palatino Linotype"/>
          <w:color w:val="000000" w:themeColor="text1"/>
        </w:rPr>
      </w:pPr>
      <w:r w:rsidRPr="00BB207E">
        <w:rPr>
          <w:rFonts w:ascii="Palatino Linotype" w:hAnsi="Palatino Linotype" w:cs="Tahoma"/>
          <w:b/>
          <w:bCs/>
          <w:iCs/>
          <w:color w:val="000000" w:themeColor="text1"/>
        </w:rPr>
        <w:t>Datos patrimoniales:</w:t>
      </w:r>
      <w:r w:rsidRPr="00BB207E">
        <w:rPr>
          <w:rFonts w:ascii="Palatino Linotype" w:hAnsi="Palatino Linotype" w:cs="Tahoma"/>
          <w:bCs/>
          <w:iCs/>
          <w:color w:val="000000" w:themeColor="text1"/>
        </w:rPr>
        <w:t xml:space="preserve">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 </w:t>
      </w:r>
    </w:p>
    <w:p w:rsidR="00535921" w:rsidRPr="00BB207E" w:rsidRDefault="00535921" w:rsidP="00210E9E">
      <w:pPr>
        <w:pStyle w:val="Prrafodelista"/>
        <w:numPr>
          <w:ilvl w:val="1"/>
          <w:numId w:val="29"/>
        </w:numPr>
        <w:tabs>
          <w:tab w:val="left" w:pos="426"/>
        </w:tabs>
        <w:spacing w:before="240" w:after="240" w:line="360" w:lineRule="auto"/>
        <w:ind w:left="0" w:firstLine="0"/>
        <w:jc w:val="both"/>
        <w:rPr>
          <w:rFonts w:ascii="Palatino Linotype" w:hAnsi="Palatino Linotype"/>
          <w:color w:val="000000" w:themeColor="text1"/>
        </w:rPr>
      </w:pPr>
      <w:r w:rsidRPr="00BB207E">
        <w:rPr>
          <w:rFonts w:ascii="Palatino Linotype" w:hAnsi="Palatino Linotype" w:cs="Tahoma"/>
          <w:b/>
          <w:bCs/>
          <w:iCs/>
          <w:color w:val="000000" w:themeColor="text1"/>
        </w:rPr>
        <w:lastRenderedPageBreak/>
        <w:t>Datos sobre situación jurídica o legal:</w:t>
      </w:r>
      <w:r w:rsidRPr="00BB207E">
        <w:rPr>
          <w:rFonts w:ascii="Palatino Linotype" w:hAnsi="Palatino Linotype" w:cs="Tahoma"/>
          <w:bCs/>
          <w:iCs/>
          <w:color w:val="000000" w:themeColor="text1"/>
        </w:rPr>
        <w:t xml:space="preserve"> La información relativa a una persona que se encuentre o haya sido sujeta a un procedimiento administrativo seguido en forma de juicio o jurisdiccional en materia laboral, civil, penal, fiscal, administrativa o de cualquier otra rama del Derecho, y análogos. </w:t>
      </w:r>
    </w:p>
    <w:p w:rsidR="00535921" w:rsidRPr="00BB207E" w:rsidRDefault="00535921" w:rsidP="00210E9E">
      <w:pPr>
        <w:pStyle w:val="Prrafodelista"/>
        <w:numPr>
          <w:ilvl w:val="1"/>
          <w:numId w:val="29"/>
        </w:numPr>
        <w:tabs>
          <w:tab w:val="left" w:pos="426"/>
        </w:tabs>
        <w:spacing w:before="240" w:after="240" w:line="360" w:lineRule="auto"/>
        <w:ind w:left="0" w:firstLine="0"/>
        <w:jc w:val="both"/>
        <w:rPr>
          <w:rFonts w:ascii="Palatino Linotype" w:hAnsi="Palatino Linotype"/>
          <w:color w:val="000000" w:themeColor="text1"/>
        </w:rPr>
      </w:pPr>
      <w:r w:rsidRPr="00BB207E">
        <w:rPr>
          <w:rFonts w:ascii="Palatino Linotype" w:hAnsi="Palatino Linotype" w:cs="Tahoma"/>
          <w:b/>
          <w:bCs/>
          <w:iCs/>
          <w:color w:val="000000" w:themeColor="text1"/>
        </w:rPr>
        <w:t>Datos académicos:</w:t>
      </w:r>
      <w:r w:rsidRPr="00BB207E">
        <w:rPr>
          <w:rFonts w:ascii="Palatino Linotype" w:hAnsi="Palatino Linotype" w:cs="Tahoma"/>
          <w:bCs/>
          <w:iCs/>
          <w:color w:val="000000" w:themeColor="text1"/>
        </w:rPr>
        <w:t xml:space="preserve"> Trayectoria educativa, avances de créditos, tipos de exámenes, promedio, calificaciones, títulos, cédula profesional, certificados, reconocimientos y análogos. </w:t>
      </w:r>
    </w:p>
    <w:p w:rsidR="00535921" w:rsidRPr="00BB207E" w:rsidRDefault="00535921" w:rsidP="00210E9E">
      <w:pPr>
        <w:pStyle w:val="Prrafodelista"/>
        <w:numPr>
          <w:ilvl w:val="1"/>
          <w:numId w:val="29"/>
        </w:numPr>
        <w:tabs>
          <w:tab w:val="left" w:pos="426"/>
        </w:tabs>
        <w:spacing w:before="240" w:after="240" w:line="360" w:lineRule="auto"/>
        <w:ind w:left="0" w:firstLine="0"/>
        <w:jc w:val="both"/>
        <w:rPr>
          <w:rFonts w:ascii="Palatino Linotype" w:hAnsi="Palatino Linotype"/>
          <w:color w:val="000000" w:themeColor="text1"/>
        </w:rPr>
      </w:pPr>
      <w:r w:rsidRPr="00BB207E">
        <w:rPr>
          <w:rFonts w:ascii="Palatino Linotype" w:hAnsi="Palatino Linotype" w:cs="Tahoma"/>
          <w:b/>
          <w:bCs/>
          <w:iCs/>
          <w:color w:val="000000" w:themeColor="text1"/>
        </w:rPr>
        <w:t>Datos de tránsito y movimientos migratorios:</w:t>
      </w:r>
      <w:r w:rsidRPr="00BB207E">
        <w:rPr>
          <w:rFonts w:ascii="Palatino Linotype" w:hAnsi="Palatino Linotype" w:cs="Tahoma"/>
          <w:bCs/>
          <w:iCs/>
          <w:color w:val="000000" w:themeColor="text1"/>
        </w:rPr>
        <w:t xml:space="preserve"> Información relativa al tránsito de las personas dentro y fuera del país, así como información migratoria, cédula migratoria, visa, pasaporte. </w:t>
      </w:r>
    </w:p>
    <w:p w:rsidR="00535921" w:rsidRPr="00BB207E" w:rsidRDefault="00535921" w:rsidP="00210E9E">
      <w:pPr>
        <w:pStyle w:val="Prrafodelista"/>
        <w:numPr>
          <w:ilvl w:val="1"/>
          <w:numId w:val="29"/>
        </w:numPr>
        <w:tabs>
          <w:tab w:val="left" w:pos="426"/>
        </w:tabs>
        <w:spacing w:before="240" w:after="240" w:line="360" w:lineRule="auto"/>
        <w:ind w:left="0" w:firstLine="0"/>
        <w:jc w:val="both"/>
        <w:rPr>
          <w:rFonts w:ascii="Palatino Linotype" w:hAnsi="Palatino Linotype"/>
          <w:color w:val="000000" w:themeColor="text1"/>
        </w:rPr>
      </w:pPr>
      <w:r w:rsidRPr="00BB207E">
        <w:rPr>
          <w:rFonts w:ascii="Palatino Linotype" w:hAnsi="Palatino Linotype" w:cs="Tahoma"/>
          <w:b/>
          <w:bCs/>
          <w:iCs/>
          <w:color w:val="000000" w:themeColor="text1"/>
        </w:rPr>
        <w:t>Datos electrónicos:</w:t>
      </w:r>
      <w:r w:rsidRPr="00BB207E">
        <w:rPr>
          <w:rFonts w:ascii="Palatino Linotype" w:hAnsi="Palatino Linotype" w:cs="Tahoma"/>
          <w:bCs/>
          <w:iCs/>
          <w:color w:val="000000" w:themeColor="text1"/>
        </w:rPr>
        <w:t xml:space="preserve"> Firma electrónica, dirección de correo electrónico, código QR; y</w:t>
      </w:r>
    </w:p>
    <w:p w:rsidR="00535921" w:rsidRPr="00BB207E" w:rsidRDefault="00535921" w:rsidP="00210E9E">
      <w:pPr>
        <w:pStyle w:val="Prrafodelista"/>
        <w:numPr>
          <w:ilvl w:val="1"/>
          <w:numId w:val="29"/>
        </w:numPr>
        <w:tabs>
          <w:tab w:val="left" w:pos="426"/>
        </w:tabs>
        <w:spacing w:before="240" w:after="240" w:line="360" w:lineRule="auto"/>
        <w:ind w:left="0" w:firstLine="0"/>
        <w:jc w:val="both"/>
        <w:rPr>
          <w:rFonts w:ascii="Palatino Linotype" w:hAnsi="Palatino Linotype"/>
          <w:color w:val="000000" w:themeColor="text1"/>
        </w:rPr>
      </w:pPr>
      <w:r w:rsidRPr="00BB207E">
        <w:rPr>
          <w:rFonts w:ascii="Palatino Linotype" w:hAnsi="Palatino Linotype" w:cs="Tahoma"/>
          <w:b/>
          <w:bCs/>
          <w:iCs/>
          <w:color w:val="000000" w:themeColor="text1"/>
        </w:rPr>
        <w:t>Datos biométricos:</w:t>
      </w:r>
      <w:r w:rsidRPr="00BB207E">
        <w:rPr>
          <w:rFonts w:ascii="Palatino Linotype" w:hAnsi="Palatino Linotype" w:cs="Tahoma"/>
          <w:bCs/>
          <w:iCs/>
          <w:color w:val="000000" w:themeColor="text1"/>
        </w:rPr>
        <w:t xml:space="preserve"> Huella dactilar, reconocimiento facial, reconocimiento de iris, reconocimiento de la geometría de la mano, reconocimiento vascular, reconocimiento de escritura, reconocimiento de voz, reconocimiento de escritura de teclado y análogos.</w:t>
      </w: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Bajo ese contexto, se analizarán </w:t>
      </w:r>
      <w:r w:rsidR="00BB17C6" w:rsidRPr="00BB207E">
        <w:rPr>
          <w:rFonts w:ascii="Palatino Linotype" w:eastAsia="Palatino Linotype" w:hAnsi="Palatino Linotype" w:cs="Palatino Linotype"/>
          <w:color w:val="000000" w:themeColor="text1"/>
        </w:rPr>
        <w:t>los datos personales siguientes:</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b/>
          <w:color w:val="000000" w:themeColor="text1"/>
        </w:rPr>
        <w:t>Nombre de particulares</w:t>
      </w:r>
      <w:r w:rsidRPr="00BB207E">
        <w:rPr>
          <w:rFonts w:ascii="Palatino Linotype" w:eastAsia="Palatino Linotype" w:hAnsi="Palatino Linotype" w:cs="Palatino Linotype"/>
          <w:color w:val="000000" w:themeColor="text1"/>
        </w:rPr>
        <w:t xml:space="preserve"> </w:t>
      </w: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Por lo que el nombre de personas físicas que no tienen nada que ver con el servicio público y que </w:t>
      </w:r>
      <w:r w:rsidRPr="00BB207E">
        <w:rPr>
          <w:rFonts w:ascii="Palatino Linotype" w:eastAsia="Palatino Linotype" w:hAnsi="Palatino Linotype" w:cs="Palatino Linotype"/>
          <w:color w:val="000000" w:themeColor="text1"/>
        </w:rPr>
        <w:lastRenderedPageBreak/>
        <w:t xml:space="preserve">no realizan actos de autoridad o reciben recursos públicos, </w:t>
      </w:r>
      <w:r w:rsidRPr="00BB207E">
        <w:rPr>
          <w:rFonts w:ascii="Palatino Linotype" w:eastAsia="Palatino Linotype" w:hAnsi="Palatino Linotype" w:cs="Palatino Linotype"/>
          <w:b/>
          <w:color w:val="000000" w:themeColor="text1"/>
        </w:rPr>
        <w:t>es un dato confidencial</w:t>
      </w:r>
      <w:r w:rsidRPr="00BB207E">
        <w:rPr>
          <w:rFonts w:ascii="Palatino Linotype" w:eastAsia="Palatino Linotype" w:hAnsi="Palatino Linotype" w:cs="Palatino Linotype"/>
          <w:color w:val="000000" w:themeColor="text1"/>
        </w:rPr>
        <w:t xml:space="preserve">, en términos del artículo 143, fracción I de la Ley de Transparencia y Acceso a la Información. </w:t>
      </w:r>
    </w:p>
    <w:p w:rsidR="00BB17C6" w:rsidRPr="00BB207E" w:rsidRDefault="00BB17C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b/>
          <w:color w:val="000000" w:themeColor="text1"/>
        </w:rPr>
        <w:t>Domicilio</w:t>
      </w:r>
      <w:r w:rsidRPr="00BB207E">
        <w:rPr>
          <w:rFonts w:ascii="Palatino Linotype" w:eastAsia="Palatino Linotype" w:hAnsi="Palatino Linotype" w:cs="Palatino Linotype"/>
          <w:color w:val="000000" w:themeColor="text1"/>
        </w:rPr>
        <w:t xml:space="preserve"> </w:t>
      </w:r>
      <w:r w:rsidRPr="00BB207E">
        <w:rPr>
          <w:rFonts w:ascii="Palatino Linotype" w:eastAsia="Palatino Linotype" w:hAnsi="Palatino Linotype" w:cs="Palatino Linotype"/>
          <w:b/>
          <w:color w:val="000000" w:themeColor="text1"/>
        </w:rPr>
        <w:t>particular</w:t>
      </w: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De la misma manera, lo establece el artículo 29 del Código Civil Federal, al precisar que el domicilio de personas físicas, es el lugar donde residen habitualmente, el lugar del centro principal de sus negocios, donde residan o el lugar donde se encuentren. </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w:t>
      </w:r>
      <w:r w:rsidRPr="00BB207E">
        <w:rPr>
          <w:rFonts w:ascii="Palatino Linotype" w:eastAsia="Palatino Linotype" w:hAnsi="Palatino Linotype" w:cs="Palatino Linotype"/>
          <w:b/>
          <w:color w:val="000000" w:themeColor="text1"/>
        </w:rPr>
        <w:t>se actualiza la clasificación</w:t>
      </w:r>
      <w:r w:rsidRPr="00BB207E">
        <w:rPr>
          <w:rFonts w:ascii="Palatino Linotype" w:eastAsia="Palatino Linotype" w:hAnsi="Palatino Linotype" w:cs="Palatino Linotype"/>
          <w:color w:val="000000" w:themeColor="text1"/>
        </w:rPr>
        <w:t>, de conformidad con la fracción I, del artículo 143 de la Ley de Transparencia y Acceso a la Información Pública del Estado de México y Municipios.</w:t>
      </w:r>
    </w:p>
    <w:p w:rsidR="005F2426" w:rsidRDefault="005F2426" w:rsidP="00426F75">
      <w:pPr>
        <w:spacing w:line="360" w:lineRule="auto"/>
        <w:jc w:val="both"/>
        <w:rPr>
          <w:rFonts w:ascii="Palatino Linotype" w:eastAsia="Palatino Linotype" w:hAnsi="Palatino Linotype" w:cs="Palatino Linotype"/>
          <w:color w:val="000000" w:themeColor="text1"/>
        </w:rPr>
      </w:pPr>
    </w:p>
    <w:p w:rsidR="00210E9E" w:rsidRPr="00BB207E" w:rsidRDefault="00210E9E" w:rsidP="00426F75">
      <w:pPr>
        <w:spacing w:line="360" w:lineRule="auto"/>
        <w:jc w:val="both"/>
        <w:rPr>
          <w:rFonts w:ascii="Palatino Linotype" w:eastAsia="Palatino Linotype" w:hAnsi="Palatino Linotype" w:cs="Palatino Linotype"/>
          <w:color w:val="000000" w:themeColor="text1"/>
        </w:rPr>
      </w:pPr>
    </w:p>
    <w:p w:rsidR="005F2426" w:rsidRPr="00BB207E" w:rsidRDefault="005F2426" w:rsidP="00426F75">
      <w:pPr>
        <w:spacing w:line="360" w:lineRule="auto"/>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lastRenderedPageBreak/>
        <w:t>Números telefónicos y correo electrónico particulares</w:t>
      </w:r>
    </w:p>
    <w:p w:rsidR="005F2426" w:rsidRPr="00BB207E" w:rsidRDefault="005F242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Al igual que el correo electrónico, el número asignado a un teléfono particular o celular permite localizar a una persona física identificada o identificable, ya sea a través </w:t>
      </w:r>
      <w:r w:rsidRPr="00BB207E">
        <w:rPr>
          <w:rFonts w:ascii="Palatino Linotype" w:eastAsia="Palatino Linotype" w:hAnsi="Palatino Linotype" w:cs="Palatino Linotype"/>
          <w:b/>
          <w:color w:val="000000" w:themeColor="text1"/>
        </w:rPr>
        <w:t>de</w:t>
      </w:r>
      <w:r w:rsidRPr="00BB207E">
        <w:rPr>
          <w:rFonts w:ascii="Palatino Linotype" w:eastAsia="Palatino Linotype" w:hAnsi="Palatino Linotype" w:cs="Palatino Linotype"/>
          <w:color w:val="000000" w:themeColor="text1"/>
        </w:rPr>
        <w:t xml:space="preserve"> un dispositivo móvil o bien, en un lugar como el domicilio; por lo que, la titularidad del mismo, al igual que el correo electrónico, corresponde a la persona física en su calidad de particular. En tales consideraciones, dicho </w:t>
      </w:r>
      <w:r w:rsidRPr="00BB207E">
        <w:rPr>
          <w:rFonts w:ascii="Palatino Linotype" w:eastAsia="Palatino Linotype" w:hAnsi="Palatino Linotype" w:cs="Palatino Linotype"/>
          <w:b/>
          <w:color w:val="000000" w:themeColor="text1"/>
        </w:rPr>
        <w:t>dato personal es susceptible de ser clasificado como confidencial</w:t>
      </w:r>
      <w:r w:rsidRPr="00BB207E">
        <w:rPr>
          <w:rFonts w:ascii="Palatino Linotype" w:eastAsia="Palatino Linotype" w:hAnsi="Palatino Linotype" w:cs="Palatino Linotype"/>
          <w:color w:val="000000" w:themeColor="text1"/>
        </w:rPr>
        <w:t>, con fundamento en el artículo 143, fracción I de la Ley de Transparencia y Acceso a la Información Pública.</w:t>
      </w:r>
    </w:p>
    <w:p w:rsidR="005F2426" w:rsidRPr="00BB207E" w:rsidRDefault="005F2426" w:rsidP="00426F75">
      <w:pPr>
        <w:spacing w:line="360" w:lineRule="auto"/>
        <w:jc w:val="both"/>
        <w:rPr>
          <w:rFonts w:ascii="Palatino Linotype" w:eastAsia="Palatino Linotype" w:hAnsi="Palatino Linotype" w:cs="Palatino Linotype"/>
          <w:color w:val="000000" w:themeColor="text1"/>
        </w:rPr>
      </w:pPr>
    </w:p>
    <w:p w:rsidR="00BB17C6" w:rsidRPr="00BB207E" w:rsidRDefault="00BB17C6" w:rsidP="00426F75">
      <w:pPr>
        <w:spacing w:line="360" w:lineRule="auto"/>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Asunto tratado en audiencia ciudadana</w:t>
      </w:r>
    </w:p>
    <w:p w:rsidR="00535921" w:rsidRPr="00BB207E" w:rsidRDefault="00535921"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El Sujeto Obligado deberá realizar la ponderación en donde únicamente se privilegie la publicidad de los datos esenciales para la transparencia y rendición de cuentas; ya que su los asuntos tratados por un particular contienen datos identificativos, de origen, ideológicos, sobre la salud, laborales, patrimoniales, sobre situación jurídica o legal, académicos, de tránsito y movimientos migratorios electrónicos y todas aquellos que correspondan a la esfera de la intimidad y la vida privada de los individuos, son </w:t>
      </w:r>
      <w:r w:rsidRPr="00BB207E">
        <w:rPr>
          <w:rFonts w:ascii="Palatino Linotype" w:eastAsia="Palatino Linotype" w:hAnsi="Palatino Linotype" w:cs="Palatino Linotype"/>
          <w:b/>
          <w:color w:val="000000" w:themeColor="text1"/>
        </w:rPr>
        <w:t>datos personales susceptibles de ser clasificados como confidenciales</w:t>
      </w:r>
      <w:r w:rsidRPr="00BB207E">
        <w:rPr>
          <w:rFonts w:ascii="Palatino Linotype" w:eastAsia="Palatino Linotype" w:hAnsi="Palatino Linotype" w:cs="Palatino Linotype"/>
          <w:color w:val="000000" w:themeColor="text1"/>
        </w:rPr>
        <w:t>, con fundamento en el artículo 143, fracción I de la Ley de Transparencia y Acceso a la Información Pública.</w:t>
      </w:r>
    </w:p>
    <w:p w:rsidR="00BB17C6" w:rsidRPr="00BB207E" w:rsidRDefault="00BB17C6" w:rsidP="00426F75">
      <w:pPr>
        <w:spacing w:line="360" w:lineRule="auto"/>
        <w:jc w:val="both"/>
        <w:rPr>
          <w:rFonts w:ascii="Palatino Linotype" w:hAnsi="Palatino Linotype"/>
          <w:color w:val="000000" w:themeColor="text1"/>
        </w:rPr>
      </w:pPr>
    </w:p>
    <w:p w:rsidR="00260636" w:rsidRPr="00BB207E" w:rsidRDefault="003568B4" w:rsidP="00426F75">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BB207E">
        <w:rPr>
          <w:rFonts w:ascii="Palatino Linotype" w:hAnsi="Palatino Linotype"/>
          <w:color w:val="000000" w:themeColor="text1"/>
        </w:rPr>
        <w:t>En</w:t>
      </w:r>
      <w:r w:rsidRPr="00BB207E">
        <w:rPr>
          <w:rFonts w:ascii="Palatino Linotype" w:hAnsi="Palatino Linotype" w:cs="Arial"/>
          <w:color w:val="000000" w:themeColor="text1"/>
        </w:rPr>
        <w:t xml:space="preserve"> consecuencia a lo expuesto y con fundamento en la fracción IV del artículo 186, de la Ley de Transparencia y Acceso a la Información Pública del Estado de México y Municipios, se </w:t>
      </w:r>
      <w:r w:rsidRPr="00BB207E">
        <w:rPr>
          <w:rFonts w:ascii="Palatino Linotype" w:hAnsi="Palatino Linotype" w:cs="Arial"/>
          <w:b/>
          <w:color w:val="000000" w:themeColor="text1"/>
        </w:rPr>
        <w:t>ORDENA</w:t>
      </w:r>
      <w:r w:rsidRPr="00BB207E">
        <w:rPr>
          <w:rFonts w:ascii="Palatino Linotype" w:hAnsi="Palatino Linotype" w:cs="Arial"/>
          <w:color w:val="000000" w:themeColor="text1"/>
        </w:rPr>
        <w:t xml:space="preserve"> al </w:t>
      </w:r>
      <w:r w:rsidRPr="00BB207E">
        <w:rPr>
          <w:rFonts w:ascii="Palatino Linotype" w:hAnsi="Palatino Linotype" w:cs="Arial"/>
          <w:b/>
          <w:color w:val="000000" w:themeColor="text1"/>
        </w:rPr>
        <w:t>Sujeto Obligado</w:t>
      </w:r>
      <w:r w:rsidRPr="00BB207E">
        <w:rPr>
          <w:rFonts w:ascii="Palatino Linotype" w:hAnsi="Palatino Linotype" w:cs="Arial"/>
          <w:color w:val="000000" w:themeColor="text1"/>
        </w:rPr>
        <w:t xml:space="preserve">, entregar </w:t>
      </w:r>
      <w:r w:rsidRPr="00BB207E">
        <w:rPr>
          <w:rFonts w:ascii="Palatino Linotype" w:hAnsi="Palatino Linotype" w:cs="Arial"/>
          <w:bCs/>
          <w:color w:val="000000" w:themeColor="text1"/>
        </w:rPr>
        <w:t xml:space="preserve">previa búsqueda exhaustiva y razonable, </w:t>
      </w:r>
      <w:r w:rsidR="006673E8" w:rsidRPr="00BB207E">
        <w:rPr>
          <w:rFonts w:ascii="Palatino Linotype" w:hAnsi="Palatino Linotype" w:cs="Arial"/>
          <w:bCs/>
          <w:color w:val="000000" w:themeColor="text1"/>
        </w:rPr>
        <w:t xml:space="preserve">de ser el caso </w:t>
      </w:r>
      <w:r w:rsidRPr="00BB207E">
        <w:rPr>
          <w:rFonts w:ascii="Palatino Linotype" w:hAnsi="Palatino Linotype" w:cs="Arial"/>
          <w:bCs/>
          <w:color w:val="000000" w:themeColor="text1"/>
        </w:rPr>
        <w:t>en versión pública</w:t>
      </w:r>
      <w:r w:rsidR="00260636" w:rsidRPr="00BB207E">
        <w:rPr>
          <w:rFonts w:ascii="Palatino Linotype" w:eastAsia="Palatino Linotype" w:hAnsi="Palatino Linotype" w:cs="Palatino Linotype"/>
          <w:color w:val="000000" w:themeColor="text1"/>
        </w:rPr>
        <w:t xml:space="preserve">, </w:t>
      </w:r>
      <w:r w:rsidRPr="00BB207E">
        <w:rPr>
          <w:rFonts w:ascii="Palatino Linotype" w:eastAsia="Palatino Linotype" w:hAnsi="Palatino Linotype" w:cs="Palatino Linotype"/>
          <w:b/>
          <w:color w:val="000000" w:themeColor="text1"/>
        </w:rPr>
        <w:t>e</w:t>
      </w:r>
      <w:r w:rsidR="00035D25" w:rsidRPr="00BB207E">
        <w:rPr>
          <w:rFonts w:ascii="Palatino Linotype" w:eastAsia="Palatino Linotype" w:hAnsi="Palatino Linotype" w:cs="Palatino Linotype"/>
          <w:b/>
          <w:color w:val="000000" w:themeColor="text1"/>
        </w:rPr>
        <w:t xml:space="preserve">l registro de audiencias ciudadanas atendidas </w:t>
      </w:r>
      <w:r w:rsidR="00035D25" w:rsidRPr="00BB207E">
        <w:rPr>
          <w:rFonts w:ascii="Palatino Linotype" w:eastAsia="Palatino Linotype" w:hAnsi="Palatino Linotype" w:cs="Palatino Linotype"/>
          <w:b/>
          <w:color w:val="000000" w:themeColor="text1"/>
        </w:rPr>
        <w:lastRenderedPageBreak/>
        <w:t xml:space="preserve">por </w:t>
      </w:r>
      <w:r w:rsidRPr="00BB207E">
        <w:rPr>
          <w:rFonts w:ascii="Palatino Linotype" w:eastAsia="Palatino Linotype" w:hAnsi="Palatino Linotype" w:cs="Palatino Linotype"/>
          <w:b/>
          <w:color w:val="000000" w:themeColor="text1"/>
        </w:rPr>
        <w:t>la</w:t>
      </w:r>
      <w:r w:rsidR="00035D25"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b/>
          <w:color w:val="000000" w:themeColor="text1"/>
        </w:rPr>
        <w:t>Octava</w:t>
      </w:r>
      <w:r w:rsidR="00035D25" w:rsidRPr="00BB207E">
        <w:rPr>
          <w:rFonts w:ascii="Palatino Linotype" w:eastAsia="Palatino Linotype" w:hAnsi="Palatino Linotype" w:cs="Palatino Linotype"/>
          <w:b/>
          <w:color w:val="000000" w:themeColor="text1"/>
        </w:rPr>
        <w:t xml:space="preserve"> Regidor</w:t>
      </w:r>
      <w:r w:rsidRPr="00BB207E">
        <w:rPr>
          <w:rFonts w:ascii="Palatino Linotype" w:eastAsia="Palatino Linotype" w:hAnsi="Palatino Linotype" w:cs="Palatino Linotype"/>
          <w:b/>
          <w:color w:val="000000" w:themeColor="text1"/>
        </w:rPr>
        <w:t>a</w:t>
      </w:r>
      <w:r w:rsidR="00517573" w:rsidRPr="00BB207E">
        <w:rPr>
          <w:rFonts w:ascii="Palatino Linotype" w:eastAsia="Palatino Linotype" w:hAnsi="Palatino Linotype" w:cs="Palatino Linotype"/>
          <w:b/>
          <w:color w:val="000000" w:themeColor="text1"/>
        </w:rPr>
        <w:t>,</w:t>
      </w:r>
      <w:r w:rsidR="00035D25" w:rsidRPr="00BB207E">
        <w:rPr>
          <w:rFonts w:ascii="Palatino Linotype" w:eastAsia="Palatino Linotype" w:hAnsi="Palatino Linotype" w:cs="Palatino Linotype"/>
          <w:b/>
          <w:color w:val="000000" w:themeColor="text1"/>
        </w:rPr>
        <w:t xml:space="preserve"> del 01 de enero al 24 de febrero de 2025, </w:t>
      </w:r>
      <w:r w:rsidR="00517573" w:rsidRPr="00BB207E">
        <w:rPr>
          <w:rFonts w:ascii="Palatino Linotype" w:eastAsia="Palatino Linotype" w:hAnsi="Palatino Linotype" w:cs="Palatino Linotype"/>
          <w:b/>
          <w:color w:val="000000" w:themeColor="text1"/>
        </w:rPr>
        <w:t>que contenga</w:t>
      </w:r>
      <w:r w:rsidRPr="00BB207E">
        <w:rPr>
          <w:rFonts w:ascii="Palatino Linotype" w:eastAsia="Palatino Linotype" w:hAnsi="Palatino Linotype" w:cs="Palatino Linotype"/>
          <w:b/>
          <w:color w:val="000000" w:themeColor="text1"/>
        </w:rPr>
        <w:t xml:space="preserve"> </w:t>
      </w:r>
      <w:r w:rsidR="00C40AD9" w:rsidRPr="00BB207E">
        <w:rPr>
          <w:rFonts w:ascii="Palatino Linotype" w:eastAsia="Palatino Linotype" w:hAnsi="Palatino Linotype" w:cs="Palatino Linotype"/>
          <w:b/>
          <w:color w:val="000000" w:themeColor="text1"/>
        </w:rPr>
        <w:t xml:space="preserve">el </w:t>
      </w:r>
      <w:r w:rsidRPr="00BB207E">
        <w:rPr>
          <w:rFonts w:ascii="Palatino Linotype" w:eastAsia="Palatino Linotype" w:hAnsi="Palatino Linotype" w:cs="Palatino Linotype"/>
          <w:b/>
          <w:color w:val="000000" w:themeColor="text1"/>
        </w:rPr>
        <w:t>asunto tratado.</w:t>
      </w:r>
    </w:p>
    <w:p w:rsidR="00260636" w:rsidRPr="00BB207E" w:rsidRDefault="00260636" w:rsidP="00426F7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260636" w:rsidRPr="00BB207E" w:rsidRDefault="004000D2" w:rsidP="00426F75">
      <w:pPr>
        <w:keepNext/>
        <w:keepLines/>
        <w:spacing w:after="160" w:line="360" w:lineRule="auto"/>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QUINTO</w:t>
      </w:r>
      <w:r w:rsidR="00260636" w:rsidRPr="00BB207E">
        <w:rPr>
          <w:rFonts w:ascii="Palatino Linotype" w:eastAsia="Palatino Linotype" w:hAnsi="Palatino Linotype" w:cs="Palatino Linotype"/>
          <w:b/>
          <w:color w:val="000000" w:themeColor="text1"/>
        </w:rPr>
        <w:t>. De la versión pública.</w:t>
      </w:r>
    </w:p>
    <w:p w:rsidR="00260636" w:rsidRPr="00BB207E" w:rsidRDefault="00260636" w:rsidP="00210E9E">
      <w:pPr>
        <w:keepNext/>
        <w:keepLines/>
        <w:numPr>
          <w:ilvl w:val="0"/>
          <w:numId w:val="30"/>
        </w:numPr>
        <w:tabs>
          <w:tab w:val="left" w:pos="284"/>
        </w:tabs>
        <w:spacing w:after="160" w:line="360" w:lineRule="auto"/>
        <w:ind w:left="0" w:firstLine="0"/>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 xml:space="preserve">Nociones generales. </w:t>
      </w:r>
    </w:p>
    <w:p w:rsidR="00260636" w:rsidRPr="00BB207E" w:rsidRDefault="0026063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Debido a la información solicitada por el </w:t>
      </w:r>
      <w:r w:rsidRPr="00BB207E">
        <w:rPr>
          <w:rFonts w:ascii="Palatino Linotype" w:eastAsia="Palatino Linotype" w:hAnsi="Palatino Linotype" w:cs="Palatino Linotype"/>
          <w:b/>
          <w:color w:val="000000" w:themeColor="text1"/>
        </w:rPr>
        <w:t>RECURRENTE</w:t>
      </w:r>
      <w:r w:rsidRPr="00BB207E">
        <w:rPr>
          <w:rFonts w:ascii="Palatino Linotype" w:eastAsia="Palatino Linotype" w:hAnsi="Palatino Linotype" w:cs="Palatino Linotype"/>
          <w:color w:val="000000" w:themeColor="text1"/>
        </w:rPr>
        <w:t xml:space="preserve">, en el caso de obrar datos personales susceptibles de protegerse, así como información susceptible de clasificarse como confidencial, el </w:t>
      </w:r>
      <w:r w:rsidRPr="00BB207E">
        <w:rPr>
          <w:rFonts w:ascii="Palatino Linotype" w:eastAsia="Palatino Linotype" w:hAnsi="Palatino Linotype" w:cs="Palatino Linotype"/>
          <w:b/>
          <w:color w:val="000000" w:themeColor="text1"/>
        </w:rPr>
        <w:t xml:space="preserve">SUJETO OBLIGADO </w:t>
      </w:r>
      <w:r w:rsidRPr="00BB207E">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260636" w:rsidRPr="00BB207E" w:rsidRDefault="00260636" w:rsidP="00426F75">
      <w:pPr>
        <w:tabs>
          <w:tab w:val="left" w:pos="0"/>
          <w:tab w:val="left" w:pos="284"/>
        </w:tabs>
        <w:spacing w:line="360" w:lineRule="auto"/>
        <w:jc w:val="both"/>
        <w:rPr>
          <w:rFonts w:ascii="Palatino Linotype" w:eastAsia="Palatino Linotype" w:hAnsi="Palatino Linotype" w:cs="Palatino Linotype"/>
          <w:color w:val="000000" w:themeColor="text1"/>
        </w:rPr>
      </w:pPr>
    </w:p>
    <w:p w:rsidR="00260636" w:rsidRPr="00BB207E" w:rsidRDefault="0026063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No pasa desapercibido para este Órgano Garante que los sujetos obligados</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60636" w:rsidRPr="00BB207E" w:rsidRDefault="00260636" w:rsidP="00426F75">
      <w:pPr>
        <w:tabs>
          <w:tab w:val="left" w:pos="284"/>
        </w:tabs>
        <w:spacing w:after="160" w:line="360" w:lineRule="auto"/>
        <w:jc w:val="both"/>
        <w:rPr>
          <w:rFonts w:ascii="Palatino Linotype" w:eastAsia="Palatino Linotype" w:hAnsi="Palatino Linotype" w:cs="Palatino Linotype"/>
          <w:color w:val="000000" w:themeColor="text1"/>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426F75" w:rsidRPr="00BB207E" w:rsidTr="00210E9E">
        <w:tc>
          <w:tcPr>
            <w:tcW w:w="2689" w:type="dxa"/>
          </w:tcPr>
          <w:p w:rsidR="00260636" w:rsidRPr="00BB207E" w:rsidRDefault="00260636" w:rsidP="00426F75">
            <w:pPr>
              <w:tabs>
                <w:tab w:val="left" w:pos="284"/>
              </w:tabs>
              <w:spacing w:line="360" w:lineRule="auto"/>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a) Requisitos previos.</w:t>
            </w:r>
          </w:p>
        </w:tc>
        <w:tc>
          <w:tcPr>
            <w:tcW w:w="7087" w:type="dxa"/>
          </w:tcPr>
          <w:p w:rsidR="00260636" w:rsidRPr="00BB207E" w:rsidRDefault="00260636" w:rsidP="00426F75">
            <w:pPr>
              <w:tabs>
                <w:tab w:val="left" w:pos="284"/>
              </w:tabs>
              <w:spacing w:line="360" w:lineRule="auto"/>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260636" w:rsidRPr="00BB207E" w:rsidRDefault="00260636" w:rsidP="00426F75">
            <w:pPr>
              <w:tabs>
                <w:tab w:val="left" w:pos="284"/>
              </w:tabs>
              <w:spacing w:line="360" w:lineRule="auto"/>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lastRenderedPageBreak/>
              <w:t>Al hacerlo tienen que precisar de qué información se trata, señalando el supuesto de clasificación (confidencialidad o reserva).</w:t>
            </w:r>
          </w:p>
          <w:p w:rsidR="00260636" w:rsidRPr="00BB207E" w:rsidRDefault="00260636" w:rsidP="00426F75">
            <w:pPr>
              <w:tabs>
                <w:tab w:val="left" w:pos="284"/>
              </w:tabs>
              <w:spacing w:line="360" w:lineRule="auto"/>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Además, se debe señalar el procedimiento, de los tres que establecen los artículos 132 y 106 de la Ley Estatal y General, respectivamente.</w:t>
            </w:r>
          </w:p>
          <w:p w:rsidR="00260636" w:rsidRPr="00BB207E" w:rsidRDefault="00260636" w:rsidP="00426F75">
            <w:pPr>
              <w:tabs>
                <w:tab w:val="left" w:pos="284"/>
              </w:tabs>
              <w:spacing w:line="360" w:lineRule="auto"/>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 xml:space="preserve">El último de estos requisitos previos consiste en que no se pueden emitir acuerdos de carácter general ni particular, esto es, </w:t>
            </w:r>
            <w:r w:rsidRPr="00BB207E">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BB207E">
              <w:rPr>
                <w:rFonts w:ascii="Palatino Linotype" w:eastAsia="Palatino Linotype" w:hAnsi="Palatino Linotype" w:cs="Palatino Linotype"/>
                <w:b/>
                <w:color w:val="000000" w:themeColor="text1"/>
              </w:rPr>
              <w:t xml:space="preserve"> individualizar su análisis y tampoco se puede hacer un acuerdo por cada dato que se vaya a clasificar dentro de un documento con diez datos, por ejemplo, susceptibles de ser clasificados.</w:t>
            </w:r>
          </w:p>
        </w:tc>
      </w:tr>
      <w:tr w:rsidR="00426F75" w:rsidRPr="00BB207E" w:rsidTr="00210E9E">
        <w:tc>
          <w:tcPr>
            <w:tcW w:w="2689" w:type="dxa"/>
          </w:tcPr>
          <w:p w:rsidR="00260636" w:rsidRPr="00BB207E" w:rsidRDefault="00260636" w:rsidP="00426F75">
            <w:pPr>
              <w:tabs>
                <w:tab w:val="left" w:pos="284"/>
              </w:tabs>
              <w:spacing w:line="360" w:lineRule="auto"/>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lastRenderedPageBreak/>
              <w:t>b) Supuestos de clasificación.</w:t>
            </w:r>
          </w:p>
        </w:tc>
        <w:tc>
          <w:tcPr>
            <w:tcW w:w="7087" w:type="dxa"/>
          </w:tcPr>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w:t>
            </w:r>
            <w:r w:rsidRPr="00BB207E">
              <w:rPr>
                <w:rFonts w:ascii="Palatino Linotype" w:eastAsia="Palatino Linotype" w:hAnsi="Palatino Linotype" w:cs="Palatino Linotype"/>
                <w:color w:val="000000" w:themeColor="text1"/>
              </w:rPr>
              <w:lastRenderedPageBreak/>
              <w:t>con esta condición y no se pueden ampliar las excepciones o supuestos de clasificación aduciendo analogía o mayoría de razón.</w:t>
            </w:r>
          </w:p>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26F75" w:rsidRPr="00BB207E" w:rsidTr="00210E9E">
        <w:tc>
          <w:tcPr>
            <w:tcW w:w="2689" w:type="dxa"/>
          </w:tcPr>
          <w:p w:rsidR="00260636" w:rsidRPr="00BB207E" w:rsidRDefault="00260636" w:rsidP="00426F75">
            <w:pPr>
              <w:tabs>
                <w:tab w:val="left" w:pos="284"/>
              </w:tabs>
              <w:spacing w:line="360" w:lineRule="auto"/>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lastRenderedPageBreak/>
              <w:t>c) Formalidades para emitir el acuerdo de clasificación.</w:t>
            </w:r>
          </w:p>
        </w:tc>
        <w:tc>
          <w:tcPr>
            <w:tcW w:w="7087" w:type="dxa"/>
          </w:tcPr>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Es necesario que </w:t>
            </w:r>
            <w:r w:rsidRPr="00BB207E">
              <w:rPr>
                <w:rFonts w:ascii="Palatino Linotype" w:eastAsia="Palatino Linotype" w:hAnsi="Palatino Linotype" w:cs="Palatino Linotype"/>
                <w:b/>
                <w:color w:val="000000" w:themeColor="text1"/>
                <w:u w:val="single"/>
              </w:rPr>
              <w:t>el acto reúna con los requisitos elementales</w:t>
            </w:r>
            <w:r w:rsidRPr="00BB207E">
              <w:rPr>
                <w:rFonts w:ascii="Palatino Linotype" w:eastAsia="Palatino Linotype" w:hAnsi="Palatino Linotype" w:cs="Palatino Linotype"/>
                <w:color w:val="000000" w:themeColor="text1"/>
              </w:rPr>
              <w:t>, entre ellos, que la autoridad que va a emitir el acto de autoridad sea la legalmente facultada para ello.</w:t>
            </w:r>
          </w:p>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26F75" w:rsidRPr="00BB207E" w:rsidTr="00210E9E">
        <w:tc>
          <w:tcPr>
            <w:tcW w:w="2689" w:type="dxa"/>
          </w:tcPr>
          <w:p w:rsidR="00260636" w:rsidRPr="00BB207E" w:rsidRDefault="00260636" w:rsidP="00426F75">
            <w:pPr>
              <w:tabs>
                <w:tab w:val="left" w:pos="284"/>
              </w:tabs>
              <w:spacing w:line="360" w:lineRule="auto"/>
              <w:rPr>
                <w:rFonts w:ascii="Palatino Linotype" w:eastAsia="Palatino Linotype" w:hAnsi="Palatino Linotype" w:cs="Palatino Linotype"/>
                <w:b/>
                <w:color w:val="000000" w:themeColor="text1"/>
              </w:rPr>
            </w:pPr>
          </w:p>
          <w:p w:rsidR="00260636" w:rsidRPr="00BB207E" w:rsidRDefault="00260636" w:rsidP="00426F75">
            <w:pPr>
              <w:tabs>
                <w:tab w:val="left" w:pos="284"/>
              </w:tabs>
              <w:spacing w:line="360" w:lineRule="auto"/>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 xml:space="preserve">d) Requisitos de fondo del acuerdo de clasificación. </w:t>
            </w:r>
          </w:p>
        </w:tc>
        <w:tc>
          <w:tcPr>
            <w:tcW w:w="7087" w:type="dxa"/>
          </w:tcPr>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B207E">
              <w:rPr>
                <w:rFonts w:ascii="Palatino Linotype" w:eastAsia="Palatino Linotype" w:hAnsi="Palatino Linotype" w:cs="Palatino Linotype"/>
                <w:b/>
                <w:color w:val="000000" w:themeColor="text1"/>
              </w:rPr>
              <w:t>Sujetos Obligados</w:t>
            </w:r>
            <w:r w:rsidRPr="00BB207E">
              <w:rPr>
                <w:rFonts w:ascii="Palatino Linotype" w:eastAsia="Palatino Linotype" w:hAnsi="Palatino Linotype" w:cs="Palatino Linotype"/>
                <w:color w:val="000000" w:themeColor="text1"/>
              </w:rPr>
              <w:t xml:space="preserve">, por lo que deberán fundar y motivar debidamente la clasificación. </w:t>
            </w:r>
          </w:p>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De lo anterior, se desprende que para una correcta </w:t>
            </w:r>
            <w:r w:rsidRPr="00BB207E">
              <w:rPr>
                <w:rFonts w:ascii="Palatino Linotype" w:eastAsia="Palatino Linotype" w:hAnsi="Palatino Linotype" w:cs="Palatino Linotype"/>
                <w:b/>
                <w:color w:val="000000" w:themeColor="text1"/>
              </w:rPr>
              <w:t>clasificación total o parcial</w:t>
            </w:r>
            <w:r w:rsidRPr="00BB207E">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En ese mismo sentido, el numeral trigésimo tercero fracción V de los Lineamientos Generales, precisa que para motivar la </w:t>
            </w:r>
            <w:r w:rsidRPr="00BB207E">
              <w:rPr>
                <w:rFonts w:ascii="Palatino Linotype" w:eastAsia="Palatino Linotype" w:hAnsi="Palatino Linotype" w:cs="Palatino Linotype"/>
                <w:color w:val="000000" w:themeColor="text1"/>
              </w:rPr>
              <w:lastRenderedPageBreak/>
              <w:t>clasificación se deben acreditar las circunstancias de tiempo, modo y lugar.</w:t>
            </w:r>
          </w:p>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Ahora bien, </w:t>
            </w:r>
            <w:r w:rsidRPr="00BB207E">
              <w:rPr>
                <w:rFonts w:ascii="Palatino Linotype" w:eastAsia="Palatino Linotype" w:hAnsi="Palatino Linotype" w:cs="Palatino Linotype"/>
                <w:b/>
                <w:color w:val="000000" w:themeColor="text1"/>
                <w:u w:val="single"/>
              </w:rPr>
              <w:t>para cada caso además de fundar y motivar</w:t>
            </w:r>
            <w:r w:rsidRPr="00BB207E">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60636" w:rsidRPr="00BB207E" w:rsidTr="00210E9E">
        <w:tc>
          <w:tcPr>
            <w:tcW w:w="2689" w:type="dxa"/>
          </w:tcPr>
          <w:p w:rsidR="00260636" w:rsidRPr="00BB207E" w:rsidRDefault="00260636" w:rsidP="00426F75">
            <w:pPr>
              <w:tabs>
                <w:tab w:val="left" w:pos="284"/>
              </w:tabs>
              <w:spacing w:line="360" w:lineRule="auto"/>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7087" w:type="dxa"/>
          </w:tcPr>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60636" w:rsidRPr="00BB207E" w:rsidRDefault="00260636" w:rsidP="00426F75">
            <w:pPr>
              <w:tabs>
                <w:tab w:val="left" w:pos="284"/>
              </w:tabs>
              <w:spacing w:line="360" w:lineRule="auto"/>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60636" w:rsidRPr="00BB207E" w:rsidRDefault="0026063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lastRenderedPageBreak/>
        <w:t xml:space="preserve">En ese sentido,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deberá de emitir el Acuerdo del Comité de Transparencia, </w:t>
      </w:r>
      <w:r w:rsidRPr="00BB207E">
        <w:rPr>
          <w:rFonts w:ascii="Palatino Linotype" w:hAnsi="Palatino Linotype"/>
          <w:color w:val="000000" w:themeColor="text1"/>
        </w:rPr>
        <w:t>mediante</w:t>
      </w:r>
      <w:r w:rsidRPr="00BB207E">
        <w:rPr>
          <w:rFonts w:ascii="Palatino Linotype" w:eastAsia="Palatino Linotype" w:hAnsi="Palatino Linotype" w:cs="Palatino Linotype"/>
          <w:color w:val="000000" w:themeColor="text1"/>
        </w:rPr>
        <w:t xml:space="preserv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60636" w:rsidRPr="00BB207E" w:rsidRDefault="00260636" w:rsidP="00426F75">
      <w:pPr>
        <w:tabs>
          <w:tab w:val="left" w:pos="284"/>
        </w:tabs>
        <w:spacing w:line="360" w:lineRule="auto"/>
        <w:jc w:val="both"/>
        <w:rPr>
          <w:rFonts w:ascii="Palatino Linotype" w:eastAsia="Palatino Linotype" w:hAnsi="Palatino Linotype" w:cs="Palatino Linotype"/>
          <w:color w:val="000000" w:themeColor="text1"/>
        </w:rPr>
      </w:pPr>
    </w:p>
    <w:p w:rsidR="00EF5A3C" w:rsidRPr="00BB207E" w:rsidRDefault="00260636"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Derivado de lo establecido en párrafos anteriores, si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4000D2" w:rsidRPr="00BB207E" w:rsidRDefault="004000D2" w:rsidP="00426F75">
      <w:pPr>
        <w:spacing w:line="360" w:lineRule="auto"/>
        <w:jc w:val="both"/>
        <w:rPr>
          <w:rFonts w:ascii="Palatino Linotype" w:eastAsia="Palatino Linotype" w:hAnsi="Palatino Linotype" w:cs="Palatino Linotype"/>
          <w:color w:val="000000" w:themeColor="text1"/>
        </w:rPr>
      </w:pPr>
    </w:p>
    <w:p w:rsidR="005F6407" w:rsidRPr="00BB207E" w:rsidRDefault="004000D2" w:rsidP="00426F7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SEXTO</w:t>
      </w:r>
      <w:r w:rsidR="005F6407" w:rsidRPr="00BB207E">
        <w:rPr>
          <w:rFonts w:ascii="Palatino Linotype" w:eastAsia="Palatino Linotype" w:hAnsi="Palatino Linotype" w:cs="Palatino Linotype"/>
          <w:color w:val="000000" w:themeColor="text1"/>
        </w:rPr>
        <w:t xml:space="preserve">. </w:t>
      </w:r>
      <w:r w:rsidR="005F6407" w:rsidRPr="00BB207E">
        <w:rPr>
          <w:rFonts w:ascii="Palatino Linotype" w:eastAsia="Palatino Linotype" w:hAnsi="Palatino Linotype" w:cs="Palatino Linotype"/>
          <w:b/>
          <w:color w:val="000000" w:themeColor="text1"/>
        </w:rPr>
        <w:t>Vista a la Secretaría Técnica del Pleno</w:t>
      </w:r>
    </w:p>
    <w:p w:rsidR="005F6407" w:rsidRPr="00BB207E" w:rsidRDefault="005F6407"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En el caso en estudio, ha quedado acreditado que el </w:t>
      </w:r>
      <w:r w:rsidRPr="00BB207E">
        <w:rPr>
          <w:rFonts w:ascii="Palatino Linotype" w:eastAsia="Palatino Linotype" w:hAnsi="Palatino Linotype" w:cs="Palatino Linotype"/>
          <w:b/>
          <w:color w:val="000000" w:themeColor="text1"/>
        </w:rPr>
        <w:t xml:space="preserve">Ayuntamiento de </w:t>
      </w:r>
      <w:r w:rsidR="00431896" w:rsidRPr="00BB207E">
        <w:rPr>
          <w:rFonts w:ascii="Palatino Linotype" w:eastAsia="Palatino Linotype" w:hAnsi="Palatino Linotype" w:cs="Palatino Linotype"/>
          <w:b/>
          <w:color w:val="000000" w:themeColor="text1"/>
        </w:rPr>
        <w:t>Toluca</w:t>
      </w:r>
      <w:r w:rsidRPr="00BB207E">
        <w:rPr>
          <w:rFonts w:ascii="Palatino Linotype" w:eastAsia="Palatino Linotype" w:hAnsi="Palatino Linotype" w:cs="Palatino Linotype"/>
          <w:b/>
          <w:color w:val="000000" w:themeColor="text1"/>
        </w:rPr>
        <w:t>, omitió dar respuesta</w:t>
      </w:r>
      <w:r w:rsidRPr="00BB207E">
        <w:rPr>
          <w:rFonts w:ascii="Palatino Linotype" w:eastAsia="Palatino Linotype" w:hAnsi="Palatino Linotype" w:cs="Palatino Linotype"/>
          <w:color w:val="000000" w:themeColor="text1"/>
        </w:rPr>
        <w:t xml:space="preserve"> en el plazo señalado en el artículo 163 de la Ley de Transparencia y Acceso a la Información Pública del Estado de México y Municipios. </w:t>
      </w:r>
    </w:p>
    <w:p w:rsidR="005F6407" w:rsidRPr="00BB207E" w:rsidRDefault="005F6407" w:rsidP="00426F75">
      <w:pPr>
        <w:spacing w:line="360" w:lineRule="auto"/>
        <w:rPr>
          <w:rFonts w:ascii="Palatino Linotype" w:hAnsi="Palatino Linotype"/>
          <w:color w:val="000000" w:themeColor="text1"/>
        </w:rPr>
      </w:pPr>
    </w:p>
    <w:p w:rsidR="005F6407" w:rsidRPr="00BB207E" w:rsidRDefault="005F6407"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Al respecto, el artículo 36, fracción X, del ordenamiento jurídico en cita, establece que es atribución de este Instituto hacer del conocimiento al Área competente de cada Sujeto Obligado las infracciones a esta Ley. </w:t>
      </w:r>
    </w:p>
    <w:p w:rsidR="005F6407" w:rsidRPr="00BB207E" w:rsidRDefault="005F6407" w:rsidP="00426F75">
      <w:pPr>
        <w:spacing w:line="360" w:lineRule="auto"/>
        <w:rPr>
          <w:rFonts w:ascii="Palatino Linotype" w:hAnsi="Palatino Linotype"/>
          <w:color w:val="000000" w:themeColor="text1"/>
        </w:rPr>
      </w:pPr>
    </w:p>
    <w:p w:rsidR="005F6407" w:rsidRPr="00BB207E" w:rsidRDefault="005F6407"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lastRenderedPageBreak/>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rsidR="005F6407" w:rsidRPr="00BB207E" w:rsidRDefault="005F6407" w:rsidP="00426F75">
      <w:pPr>
        <w:spacing w:line="360" w:lineRule="auto"/>
        <w:rPr>
          <w:rFonts w:ascii="Palatino Linotype" w:hAnsi="Palatino Linotype"/>
          <w:color w:val="000000" w:themeColor="text1"/>
        </w:rPr>
      </w:pPr>
    </w:p>
    <w:p w:rsidR="005F6407" w:rsidRPr="00BB207E" w:rsidRDefault="005F6407"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rsidR="005F6407" w:rsidRPr="00BB207E" w:rsidRDefault="005F6407" w:rsidP="00426F75">
      <w:pPr>
        <w:spacing w:line="360" w:lineRule="auto"/>
        <w:rPr>
          <w:rFonts w:ascii="Palatino Linotype" w:hAnsi="Palatino Linotype"/>
          <w:color w:val="000000" w:themeColor="text1"/>
        </w:rPr>
      </w:pPr>
    </w:p>
    <w:p w:rsidR="005F6407" w:rsidRPr="00BB207E" w:rsidRDefault="005F6407"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w:t>
      </w:r>
    </w:p>
    <w:p w:rsidR="005F6407" w:rsidRPr="00BB207E" w:rsidRDefault="005F6407" w:rsidP="00426F75">
      <w:pPr>
        <w:spacing w:line="360" w:lineRule="auto"/>
        <w:rPr>
          <w:rFonts w:ascii="Palatino Linotype" w:hAnsi="Palatino Linotype"/>
          <w:color w:val="000000" w:themeColor="text1"/>
        </w:rPr>
      </w:pPr>
    </w:p>
    <w:p w:rsidR="005F6407" w:rsidRPr="00BB207E" w:rsidRDefault="005F6407"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rsidR="00EA1EE1" w:rsidRPr="00BB207E" w:rsidRDefault="00EA1EE1" w:rsidP="00426F75">
      <w:pPr>
        <w:spacing w:line="360" w:lineRule="auto"/>
        <w:jc w:val="both"/>
        <w:rPr>
          <w:rFonts w:ascii="Palatino Linotype" w:hAnsi="Palatino Linotype"/>
          <w:color w:val="000000" w:themeColor="text1"/>
        </w:rPr>
      </w:pPr>
    </w:p>
    <w:p w:rsidR="0072148B" w:rsidRPr="00BB207E" w:rsidRDefault="004000D2" w:rsidP="00426F75">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lastRenderedPageBreak/>
        <w:t>Por todo lo expuesto, c</w:t>
      </w:r>
      <w:r w:rsidR="00A077F4" w:rsidRPr="00BB207E">
        <w:rPr>
          <w:rFonts w:ascii="Palatino Linotype" w:eastAsia="Palatino Linotype" w:hAnsi="Palatino Linotype" w:cs="Palatino Linotype"/>
          <w:color w:val="000000" w:themeColor="text1"/>
        </w:rPr>
        <w:t xml:space="preserve">on fundamento en lo prescrito en los artículos 5, </w:t>
      </w:r>
      <w:r w:rsidRPr="00BB207E">
        <w:rPr>
          <w:rFonts w:ascii="Palatino Linotype" w:eastAsia="Palatino Linotype" w:hAnsi="Palatino Linotype" w:cs="Palatino Linotype"/>
          <w:color w:val="000000" w:themeColor="text1"/>
          <w:lang w:val="es-MX"/>
        </w:rPr>
        <w:t>párrafos trigésimo séptimo, trigésimo octavo y trigésimo noveno fracciones IV y V,</w:t>
      </w:r>
      <w:r w:rsidR="00A077F4" w:rsidRPr="00BB207E">
        <w:rPr>
          <w:rFonts w:ascii="Palatino Linotype" w:eastAsia="Palatino Linotype" w:hAnsi="Palatino Linotype" w:cs="Palatino Linotype"/>
          <w:color w:val="000000" w:themeColor="text1"/>
        </w:rPr>
        <w:t xml:space="preserve"> de la Constitución Política del Estado Libre y Soberano de México; 2, fracción II; 29, 36 fracciones I y II; 176, 178, 179, 181 y 185 de la Ley de Transparencia y Acceso a la Información Pública del Estado de México y Municipios, este Pleno:</w:t>
      </w:r>
      <w:r w:rsidR="00210E9E">
        <w:rPr>
          <w:rFonts w:ascii="Palatino Linotype" w:eastAsia="Palatino Linotype" w:hAnsi="Palatino Linotype" w:cs="Palatino Linotype"/>
          <w:color w:val="000000" w:themeColor="text1"/>
        </w:rPr>
        <w:t xml:space="preserve"> ------------------------------------------------------------------------------</w:t>
      </w:r>
    </w:p>
    <w:p w:rsidR="0072148B" w:rsidRPr="00BB207E" w:rsidRDefault="0072148B" w:rsidP="00426F75">
      <w:pPr>
        <w:rPr>
          <w:rFonts w:ascii="Palatino Linotype" w:eastAsia="Palatino Linotype" w:hAnsi="Palatino Linotype" w:cs="Palatino Linotype"/>
          <w:color w:val="000000" w:themeColor="text1"/>
        </w:rPr>
      </w:pPr>
    </w:p>
    <w:p w:rsidR="00426F75" w:rsidRPr="00BB207E" w:rsidRDefault="00426F75" w:rsidP="00426F75">
      <w:pPr>
        <w:rPr>
          <w:rFonts w:ascii="Palatino Linotype" w:eastAsia="Palatino Linotype" w:hAnsi="Palatino Linotype" w:cs="Palatino Linotype"/>
          <w:color w:val="000000" w:themeColor="text1"/>
        </w:rPr>
      </w:pPr>
    </w:p>
    <w:p w:rsidR="0072148B" w:rsidRPr="00BB207E" w:rsidRDefault="00A077F4" w:rsidP="00426F75">
      <w:pPr>
        <w:spacing w:line="360" w:lineRule="auto"/>
        <w:jc w:val="center"/>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R E S U E L V E</w:t>
      </w:r>
    </w:p>
    <w:p w:rsidR="0072148B" w:rsidRPr="00BB207E" w:rsidRDefault="0072148B" w:rsidP="00426F75">
      <w:pPr>
        <w:spacing w:line="360" w:lineRule="auto"/>
        <w:rPr>
          <w:rFonts w:ascii="Palatino Linotype" w:eastAsia="Palatino Linotype" w:hAnsi="Palatino Linotype" w:cs="Palatino Linotype"/>
          <w:b/>
          <w:color w:val="000000" w:themeColor="text1"/>
        </w:rPr>
      </w:pPr>
    </w:p>
    <w:p w:rsidR="005417D6" w:rsidRPr="00BB207E" w:rsidRDefault="005417D6" w:rsidP="00426F75">
      <w:pPr>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b/>
          <w:color w:val="000000" w:themeColor="text1"/>
        </w:rPr>
        <w:t xml:space="preserve">PRIMERO. </w:t>
      </w:r>
      <w:r w:rsidRPr="00BB207E">
        <w:rPr>
          <w:rFonts w:ascii="Palatino Linotype" w:eastAsia="Palatino Linotype" w:hAnsi="Palatino Linotype" w:cs="Palatino Linotype"/>
          <w:color w:val="000000" w:themeColor="text1"/>
        </w:rPr>
        <w:t xml:space="preserve">Resultan </w:t>
      </w:r>
      <w:r w:rsidR="003030E0" w:rsidRPr="00BB207E">
        <w:rPr>
          <w:rFonts w:ascii="Palatino Linotype" w:eastAsia="Palatino Linotype" w:hAnsi="Palatino Linotype" w:cs="Palatino Linotype"/>
          <w:b/>
          <w:color w:val="000000" w:themeColor="text1"/>
        </w:rPr>
        <w:t>FUNDADAS</w:t>
      </w:r>
      <w:r w:rsidR="003030E0" w:rsidRPr="00BB207E">
        <w:rPr>
          <w:rFonts w:ascii="Palatino Linotype" w:eastAsia="Palatino Linotype" w:hAnsi="Palatino Linotype" w:cs="Palatino Linotype"/>
          <w:color w:val="000000" w:themeColor="text1"/>
        </w:rPr>
        <w:t xml:space="preserve"> </w:t>
      </w:r>
      <w:r w:rsidRPr="00BB207E">
        <w:rPr>
          <w:rFonts w:ascii="Palatino Linotype" w:eastAsia="Palatino Linotype" w:hAnsi="Palatino Linotype" w:cs="Palatino Linotype"/>
          <w:color w:val="000000" w:themeColor="text1"/>
        </w:rPr>
        <w:t>las</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color w:val="000000" w:themeColor="text1"/>
        </w:rPr>
        <w:t xml:space="preserve">razones o motivos de inconformidad hechos valer en </w:t>
      </w:r>
      <w:r w:rsidR="00832E00" w:rsidRPr="00BB207E">
        <w:rPr>
          <w:rFonts w:ascii="Palatino Linotype" w:eastAsia="Palatino Linotype" w:hAnsi="Palatino Linotype" w:cs="Palatino Linotype"/>
          <w:color w:val="000000" w:themeColor="text1"/>
        </w:rPr>
        <w:t>el</w:t>
      </w:r>
      <w:r w:rsidRPr="00BB207E">
        <w:rPr>
          <w:rFonts w:ascii="Palatino Linotype" w:eastAsia="Palatino Linotype" w:hAnsi="Palatino Linotype" w:cs="Palatino Linotype"/>
          <w:color w:val="000000" w:themeColor="text1"/>
        </w:rPr>
        <w:t xml:space="preserve"> </w:t>
      </w:r>
      <w:r w:rsidR="00832E00" w:rsidRPr="00BB207E">
        <w:rPr>
          <w:rFonts w:ascii="Palatino Linotype" w:eastAsia="Palatino Linotype" w:hAnsi="Palatino Linotype" w:cs="Palatino Linotype"/>
          <w:color w:val="000000" w:themeColor="text1"/>
        </w:rPr>
        <w:t xml:space="preserve">Recurso </w:t>
      </w:r>
      <w:r w:rsidRPr="00BB207E">
        <w:rPr>
          <w:rFonts w:ascii="Palatino Linotype" w:eastAsia="Palatino Linotype" w:hAnsi="Palatino Linotype" w:cs="Palatino Linotype"/>
          <w:color w:val="000000" w:themeColor="text1"/>
        </w:rPr>
        <w:t xml:space="preserve">de </w:t>
      </w:r>
      <w:r w:rsidR="00832E00" w:rsidRPr="00BB207E">
        <w:rPr>
          <w:rFonts w:ascii="Palatino Linotype" w:eastAsia="Palatino Linotype" w:hAnsi="Palatino Linotype" w:cs="Palatino Linotype"/>
          <w:color w:val="000000" w:themeColor="text1"/>
        </w:rPr>
        <w:t>Revisión</w:t>
      </w:r>
      <w:r w:rsidR="00832E00" w:rsidRPr="00BB207E">
        <w:rPr>
          <w:rFonts w:ascii="Palatino Linotype" w:eastAsia="Palatino Linotype" w:hAnsi="Palatino Linotype" w:cs="Palatino Linotype"/>
          <w:b/>
          <w:color w:val="000000" w:themeColor="text1"/>
        </w:rPr>
        <w:t> </w:t>
      </w:r>
      <w:r w:rsidR="00DF29DA" w:rsidRPr="00BB207E">
        <w:rPr>
          <w:rFonts w:ascii="Palatino Linotype" w:eastAsia="Palatino Linotype" w:hAnsi="Palatino Linotype" w:cs="Palatino Linotype"/>
          <w:b/>
          <w:color w:val="000000" w:themeColor="text1"/>
        </w:rPr>
        <w:t xml:space="preserve">03308/INFOEM/IP/RR/2025 </w:t>
      </w:r>
      <w:r w:rsidRPr="00BB207E">
        <w:rPr>
          <w:rFonts w:ascii="Palatino Linotype" w:eastAsia="Palatino Linotype" w:hAnsi="Palatino Linotype" w:cs="Palatino Linotype"/>
          <w:color w:val="000000" w:themeColor="text1"/>
        </w:rPr>
        <w:t xml:space="preserve">en términos del </w:t>
      </w:r>
      <w:r w:rsidRPr="00BB207E">
        <w:rPr>
          <w:rFonts w:ascii="Palatino Linotype" w:eastAsia="Palatino Linotype" w:hAnsi="Palatino Linotype" w:cs="Palatino Linotype"/>
          <w:b/>
          <w:color w:val="000000" w:themeColor="text1"/>
        </w:rPr>
        <w:t xml:space="preserve">Considerando </w:t>
      </w:r>
      <w:r w:rsidR="00832E00" w:rsidRPr="00BB207E">
        <w:rPr>
          <w:rFonts w:ascii="Palatino Linotype" w:eastAsia="Palatino Linotype" w:hAnsi="Palatino Linotype" w:cs="Palatino Linotype"/>
          <w:b/>
          <w:color w:val="000000" w:themeColor="text1"/>
        </w:rPr>
        <w:t>CUARTO</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color w:val="000000" w:themeColor="text1"/>
        </w:rPr>
        <w:t>de la presente resolución.</w:t>
      </w:r>
    </w:p>
    <w:p w:rsidR="005417D6" w:rsidRPr="00BB207E" w:rsidRDefault="005417D6" w:rsidP="00426F75">
      <w:pPr>
        <w:spacing w:line="360" w:lineRule="auto"/>
        <w:jc w:val="both"/>
        <w:rPr>
          <w:rFonts w:ascii="Palatino Linotype" w:eastAsia="Palatino Linotype" w:hAnsi="Palatino Linotype" w:cs="Palatino Linotype"/>
          <w:b/>
          <w:color w:val="000000" w:themeColor="text1"/>
        </w:rPr>
      </w:pPr>
    </w:p>
    <w:p w:rsidR="00832E00" w:rsidRPr="00BB207E" w:rsidRDefault="005417D6" w:rsidP="00426F75">
      <w:pPr>
        <w:spacing w:line="360" w:lineRule="auto"/>
        <w:jc w:val="both"/>
        <w:rPr>
          <w:rFonts w:ascii="Palatino Linotype" w:eastAsia="Palatino Linotype" w:hAnsi="Palatino Linotype" w:cs="Palatino Linotype"/>
          <w:color w:val="000000" w:themeColor="text1"/>
        </w:rPr>
      </w:pPr>
      <w:bookmarkStart w:id="8" w:name="_heading=h.17dp8vu" w:colFirst="0" w:colLast="0"/>
      <w:bookmarkEnd w:id="8"/>
      <w:r w:rsidRPr="00BB207E">
        <w:rPr>
          <w:rFonts w:ascii="Palatino Linotype" w:eastAsia="Palatino Linotype" w:hAnsi="Palatino Linotype" w:cs="Palatino Linotype"/>
          <w:b/>
          <w:color w:val="000000" w:themeColor="text1"/>
        </w:rPr>
        <w:t>SEGUNDO.</w:t>
      </w:r>
      <w:r w:rsidRPr="00BB207E">
        <w:rPr>
          <w:rFonts w:ascii="Palatino Linotype" w:eastAsia="Palatino Linotype" w:hAnsi="Palatino Linotype" w:cs="Palatino Linotype"/>
          <w:color w:val="000000" w:themeColor="text1"/>
        </w:rPr>
        <w:t xml:space="preserve"> Se</w:t>
      </w:r>
      <w:r w:rsidRPr="00BB207E">
        <w:rPr>
          <w:rFonts w:ascii="Palatino Linotype" w:eastAsia="Palatino Linotype" w:hAnsi="Palatino Linotype" w:cs="Palatino Linotype"/>
          <w:b/>
          <w:color w:val="000000" w:themeColor="text1"/>
        </w:rPr>
        <w:t xml:space="preserve"> ORDENA </w:t>
      </w:r>
      <w:r w:rsidRPr="00BB207E">
        <w:rPr>
          <w:rFonts w:ascii="Palatino Linotype" w:eastAsia="Palatino Linotype" w:hAnsi="Palatino Linotype" w:cs="Palatino Linotype"/>
          <w:color w:val="000000" w:themeColor="text1"/>
        </w:rPr>
        <w:t xml:space="preserve">al </w:t>
      </w:r>
      <w:r w:rsidRPr="00BB207E">
        <w:rPr>
          <w:rFonts w:ascii="Palatino Linotype" w:eastAsia="Palatino Linotype" w:hAnsi="Palatino Linotype" w:cs="Palatino Linotype"/>
          <w:b/>
          <w:color w:val="000000" w:themeColor="text1"/>
        </w:rPr>
        <w:t xml:space="preserve">Sujeto Obligado </w:t>
      </w:r>
      <w:r w:rsidRPr="00BB207E">
        <w:rPr>
          <w:rFonts w:ascii="Palatino Linotype" w:eastAsia="Palatino Linotype" w:hAnsi="Palatino Linotype" w:cs="Palatino Linotype"/>
          <w:color w:val="000000" w:themeColor="text1"/>
        </w:rPr>
        <w:t xml:space="preserve">respecto de la solicitud de información </w:t>
      </w:r>
      <w:r w:rsidR="00DF29DA" w:rsidRPr="00BB207E">
        <w:rPr>
          <w:rFonts w:ascii="Palatino Linotype" w:eastAsia="Palatino Linotype" w:hAnsi="Palatino Linotype" w:cs="Palatino Linotype"/>
          <w:b/>
          <w:color w:val="000000" w:themeColor="text1"/>
        </w:rPr>
        <w:t>01108/TOLUCA/IP/2025</w:t>
      </w:r>
      <w:r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color w:val="000000" w:themeColor="text1"/>
        </w:rPr>
        <w:t xml:space="preserve">entregar vía Sistema de Acceso a la Información Mexiquense </w:t>
      </w:r>
      <w:r w:rsidRPr="00BB207E">
        <w:rPr>
          <w:rFonts w:ascii="Palatino Linotype" w:eastAsia="Palatino Linotype" w:hAnsi="Palatino Linotype" w:cs="Palatino Linotype"/>
          <w:b/>
          <w:color w:val="000000" w:themeColor="text1"/>
        </w:rPr>
        <w:t>(SAIMEX)</w:t>
      </w:r>
      <w:r w:rsidRPr="00BB207E">
        <w:rPr>
          <w:rFonts w:ascii="Palatino Linotype" w:hAnsi="Palatino Linotype" w:cs="Arial"/>
          <w:bCs/>
          <w:color w:val="000000" w:themeColor="text1"/>
        </w:rPr>
        <w:t>,</w:t>
      </w:r>
      <w:r w:rsidRPr="00BB207E">
        <w:rPr>
          <w:rFonts w:ascii="Palatino Linotype" w:eastAsia="Palatino Linotype" w:hAnsi="Palatino Linotype" w:cs="Palatino Linotype"/>
          <w:color w:val="000000" w:themeColor="text1"/>
        </w:rPr>
        <w:t xml:space="preserve"> </w:t>
      </w:r>
      <w:r w:rsidR="00DF29DA" w:rsidRPr="00BB207E">
        <w:rPr>
          <w:rFonts w:ascii="Palatino Linotype" w:eastAsia="Palatino Linotype" w:hAnsi="Palatino Linotype" w:cs="Palatino Linotype"/>
          <w:color w:val="000000" w:themeColor="text1"/>
        </w:rPr>
        <w:t>previa búsqueda exhaustiva y razonable, de ser el caso en versión pública, la siguiente información:</w:t>
      </w:r>
    </w:p>
    <w:p w:rsidR="00DF29DA" w:rsidRPr="00BB207E" w:rsidRDefault="00DF29DA" w:rsidP="00426F75">
      <w:pPr>
        <w:spacing w:line="360" w:lineRule="auto"/>
        <w:jc w:val="both"/>
        <w:rPr>
          <w:rFonts w:ascii="Palatino Linotype" w:eastAsia="Palatino Linotype" w:hAnsi="Palatino Linotype" w:cs="Palatino Linotype"/>
          <w:color w:val="000000" w:themeColor="text1"/>
        </w:rPr>
      </w:pPr>
    </w:p>
    <w:p w:rsidR="006105CE" w:rsidRPr="00BB207E" w:rsidRDefault="00DF29DA" w:rsidP="00210E9E">
      <w:pPr>
        <w:pStyle w:val="Prrafodelista"/>
        <w:numPr>
          <w:ilvl w:val="0"/>
          <w:numId w:val="31"/>
        </w:numPr>
        <w:spacing w:line="360" w:lineRule="auto"/>
        <w:ind w:left="0" w:firstLine="0"/>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Registro de audiencias ciudadanas atendidas por la Octava Regidora, del 01 de enero al 24 de febrero de 2025, que contenga el asunto tratado.</w:t>
      </w:r>
    </w:p>
    <w:p w:rsidR="00DF29DA" w:rsidRPr="00BB207E" w:rsidRDefault="00DF29DA" w:rsidP="00426F75">
      <w:pPr>
        <w:pStyle w:val="Prrafodelista"/>
        <w:spacing w:line="360" w:lineRule="auto"/>
        <w:ind w:left="0"/>
        <w:jc w:val="both"/>
        <w:rPr>
          <w:rFonts w:ascii="Palatino Linotype" w:eastAsia="Palatino Linotype" w:hAnsi="Palatino Linotype" w:cs="Palatino Linotype"/>
          <w:b/>
          <w:color w:val="000000" w:themeColor="text1"/>
        </w:rPr>
      </w:pPr>
    </w:p>
    <w:p w:rsidR="00DF29DA" w:rsidRPr="00BB207E" w:rsidRDefault="00DF29DA" w:rsidP="00426F75">
      <w:pPr>
        <w:pStyle w:val="Prrafodelista"/>
        <w:tabs>
          <w:tab w:val="left" w:pos="8080"/>
        </w:tabs>
        <w:spacing w:line="360" w:lineRule="auto"/>
        <w:ind w:left="0"/>
        <w:jc w:val="both"/>
        <w:rPr>
          <w:rFonts w:ascii="Palatino Linotype" w:eastAsia="Calibri" w:hAnsi="Palatino Linotype" w:cs="Arial"/>
          <w:b/>
          <w:color w:val="000000" w:themeColor="text1"/>
        </w:rPr>
      </w:pPr>
      <w:r w:rsidRPr="00BB207E">
        <w:rPr>
          <w:rFonts w:ascii="Palatino Linotype" w:eastAsia="Calibri" w:hAnsi="Palatino Linotype" w:cs="Arial"/>
          <w:color w:val="000000" w:themeColor="text1"/>
        </w:rPr>
        <w:t xml:space="preserve">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BB207E">
        <w:rPr>
          <w:rFonts w:ascii="Palatino Linotype" w:eastAsia="Calibri" w:hAnsi="Palatino Linotype" w:cs="Arial"/>
          <w:color w:val="000000" w:themeColor="text1"/>
        </w:rPr>
        <w:lastRenderedPageBreak/>
        <w:t xml:space="preserve">documental respectivo objeto de las versiones públicas que se formulen y se pongan a disposición del </w:t>
      </w:r>
      <w:r w:rsidRPr="00BB207E">
        <w:rPr>
          <w:rFonts w:ascii="Palatino Linotype" w:eastAsia="Calibri" w:hAnsi="Palatino Linotype" w:cs="Arial"/>
          <w:b/>
          <w:color w:val="000000" w:themeColor="text1"/>
        </w:rPr>
        <w:t>RECURRENTE.</w:t>
      </w:r>
    </w:p>
    <w:p w:rsidR="00DF29DA" w:rsidRPr="00BB207E" w:rsidRDefault="00DF29DA" w:rsidP="00426F75">
      <w:pPr>
        <w:tabs>
          <w:tab w:val="left" w:pos="8080"/>
        </w:tabs>
        <w:spacing w:line="360" w:lineRule="auto"/>
        <w:jc w:val="both"/>
        <w:rPr>
          <w:rFonts w:ascii="Palatino Linotype" w:eastAsia="Calibri" w:hAnsi="Palatino Linotype" w:cs="Arial"/>
          <w:b/>
          <w:color w:val="000000" w:themeColor="text1"/>
        </w:rPr>
      </w:pPr>
    </w:p>
    <w:p w:rsidR="00DF29DA" w:rsidRPr="00BB207E" w:rsidRDefault="00DF29DA" w:rsidP="00426F75">
      <w:pPr>
        <w:tabs>
          <w:tab w:val="left" w:pos="8080"/>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color w:val="000000" w:themeColor="text1"/>
        </w:rPr>
        <w:t xml:space="preserve">Para el caso que el </w:t>
      </w:r>
      <w:r w:rsidRPr="00BB207E">
        <w:rPr>
          <w:rFonts w:ascii="Palatino Linotype" w:eastAsia="Palatino Linotype" w:hAnsi="Palatino Linotype" w:cs="Palatino Linotype"/>
          <w:b/>
          <w:color w:val="000000" w:themeColor="text1"/>
        </w:rPr>
        <w:t>SUJETO OBLIGADO</w:t>
      </w:r>
      <w:r w:rsidRPr="00BB207E">
        <w:rPr>
          <w:rFonts w:ascii="Palatino Linotype" w:eastAsia="Palatino Linotype" w:hAnsi="Palatino Linotype" w:cs="Palatino Linotype"/>
          <w:color w:val="000000" w:themeColor="text1"/>
        </w:rPr>
        <w:t xml:space="preserve">, luego de la búsqueda exhaustiva y razonable no cuente con la información que se ordena su entrega, por no haberse </w:t>
      </w:r>
      <w:r w:rsidRPr="00BB207E">
        <w:rPr>
          <w:rFonts w:ascii="Palatino Linotype" w:eastAsia="Calibri" w:hAnsi="Palatino Linotype" w:cs="Arial"/>
          <w:color w:val="000000" w:themeColor="text1"/>
        </w:rPr>
        <w:t>generado a la fecha de la solicitud,</w:t>
      </w:r>
      <w:r w:rsidRPr="00BB207E">
        <w:rPr>
          <w:rFonts w:ascii="Palatino Linotype" w:eastAsia="Palatino Linotype" w:hAnsi="Palatino Linotype" w:cs="Palatino Linotype"/>
          <w:color w:val="000000" w:themeColor="text1"/>
        </w:rPr>
        <w:t xml:space="preserve"> bastará que lo haga del conocimiento del RECURRENTE al momento de dar cumplimiento a la presente Resolución, en términos del artículo 19, párrafo segundo, de la Ley de Transparencia y Acceso a la Información Pública del Estado de México y Municipios.</w:t>
      </w:r>
    </w:p>
    <w:p w:rsidR="00DF29DA" w:rsidRPr="00BB207E" w:rsidRDefault="00DF29DA" w:rsidP="00426F75">
      <w:pPr>
        <w:pStyle w:val="Prrafodelista"/>
        <w:spacing w:line="360" w:lineRule="auto"/>
        <w:ind w:left="0"/>
        <w:jc w:val="both"/>
        <w:rPr>
          <w:rFonts w:ascii="Palatino Linotype" w:eastAsia="Palatino Linotype" w:hAnsi="Palatino Linotype" w:cs="Palatino Linotype"/>
          <w:b/>
          <w:color w:val="000000" w:themeColor="text1"/>
        </w:rPr>
      </w:pPr>
    </w:p>
    <w:p w:rsidR="005417D6" w:rsidRPr="00BB207E" w:rsidRDefault="005417D6" w:rsidP="00426F75">
      <w:pPr>
        <w:tabs>
          <w:tab w:val="left" w:pos="8080"/>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b/>
          <w:color w:val="000000" w:themeColor="text1"/>
        </w:rPr>
        <w:t xml:space="preserve">TERCERO. Notifíquese </w:t>
      </w:r>
      <w:r w:rsidRPr="00BB207E">
        <w:rPr>
          <w:rFonts w:ascii="Palatino Linotype" w:eastAsia="Palatino Linotype" w:hAnsi="Palatino Linotype" w:cs="Palatino Linotype"/>
          <w:color w:val="000000" w:themeColor="text1"/>
        </w:rPr>
        <w:t xml:space="preserve">vía </w:t>
      </w:r>
      <w:r w:rsidRPr="00BB207E">
        <w:rPr>
          <w:rFonts w:ascii="Palatino Linotype" w:eastAsia="Palatino Linotype" w:hAnsi="Palatino Linotype" w:cs="Palatino Linotype"/>
          <w:b/>
          <w:color w:val="000000" w:themeColor="text1"/>
        </w:rPr>
        <w:t xml:space="preserve">SAIMEX </w:t>
      </w:r>
      <w:r w:rsidRPr="00BB207E">
        <w:rPr>
          <w:rFonts w:ascii="Palatino Linotype" w:eastAsia="Palatino Linotype" w:hAnsi="Palatino Linotype" w:cs="Palatino Linotype"/>
          <w:color w:val="000000" w:themeColor="text1"/>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BB207E">
        <w:rPr>
          <w:rFonts w:ascii="Palatino Linotype" w:eastAsia="Palatino Linotype" w:hAnsi="Palatino Linotype" w:cs="Palatino Linotype"/>
          <w:b/>
          <w:color w:val="000000" w:themeColor="text1"/>
        </w:rPr>
        <w:t>dé cumplimiento a lo ordenado dentro del plazo de diez días hábiles</w:t>
      </w:r>
      <w:r w:rsidRPr="00BB207E">
        <w:rPr>
          <w:rFonts w:ascii="Palatino Linotype" w:eastAsia="Palatino Linotype" w:hAnsi="Palatino Linotype" w:cs="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417D6" w:rsidRPr="00BB207E" w:rsidRDefault="005417D6" w:rsidP="00426F75">
      <w:pPr>
        <w:tabs>
          <w:tab w:val="left" w:pos="8080"/>
        </w:tabs>
        <w:spacing w:line="360" w:lineRule="auto"/>
        <w:jc w:val="both"/>
        <w:rPr>
          <w:rFonts w:ascii="Palatino Linotype" w:eastAsia="Palatino Linotype" w:hAnsi="Palatino Linotype" w:cs="Palatino Linotype"/>
          <w:color w:val="000000" w:themeColor="text1"/>
        </w:rPr>
      </w:pPr>
    </w:p>
    <w:p w:rsidR="005417D6" w:rsidRPr="00BB207E" w:rsidRDefault="005417D6" w:rsidP="00426F75">
      <w:pPr>
        <w:tabs>
          <w:tab w:val="left" w:pos="8080"/>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b/>
          <w:color w:val="000000" w:themeColor="text1"/>
        </w:rPr>
        <w:t>CUARTO. Notifíquese al RECURRENTE</w:t>
      </w:r>
      <w:r w:rsidRPr="00BB207E">
        <w:rPr>
          <w:rFonts w:ascii="Palatino Linotype" w:eastAsia="Palatino Linotype" w:hAnsi="Palatino Linotype" w:cs="Palatino Linotype"/>
          <w:color w:val="000000" w:themeColor="text1"/>
        </w:rPr>
        <w:t xml:space="preserve"> la </w:t>
      </w:r>
      <w:r w:rsidR="00426F75" w:rsidRPr="00BB207E">
        <w:rPr>
          <w:rFonts w:ascii="Palatino Linotype" w:eastAsia="Palatino Linotype" w:hAnsi="Palatino Linotype" w:cs="Palatino Linotype"/>
          <w:color w:val="000000" w:themeColor="text1"/>
        </w:rPr>
        <w:t>presente resolución vía SAIMEX.</w:t>
      </w:r>
    </w:p>
    <w:p w:rsidR="00426F75" w:rsidRPr="00BB207E" w:rsidRDefault="00426F75" w:rsidP="00426F75">
      <w:pPr>
        <w:tabs>
          <w:tab w:val="left" w:pos="8080"/>
        </w:tabs>
        <w:spacing w:line="360" w:lineRule="auto"/>
        <w:jc w:val="both"/>
        <w:rPr>
          <w:rFonts w:ascii="Palatino Linotype" w:eastAsia="Palatino Linotype" w:hAnsi="Palatino Linotype" w:cs="Palatino Linotype"/>
          <w:color w:val="000000" w:themeColor="text1"/>
        </w:rPr>
      </w:pPr>
    </w:p>
    <w:p w:rsidR="00426F75" w:rsidRPr="00BB207E" w:rsidRDefault="00426F75" w:rsidP="00426F75">
      <w:pPr>
        <w:tabs>
          <w:tab w:val="left" w:pos="8080"/>
        </w:tabs>
        <w:spacing w:line="360" w:lineRule="auto"/>
        <w:jc w:val="both"/>
        <w:rPr>
          <w:rFonts w:ascii="Palatino Linotype" w:hAnsi="Palatino Linotype"/>
          <w:lang w:val="es-ES" w:eastAsia="es-MX"/>
        </w:rPr>
      </w:pPr>
      <w:r w:rsidRPr="00BB207E">
        <w:rPr>
          <w:rFonts w:ascii="Palatino Linotype" w:hAnsi="Palatino Linotype"/>
          <w:b/>
          <w:lang w:eastAsia="en-US"/>
        </w:rPr>
        <w:t xml:space="preserve">QUINTO. </w:t>
      </w:r>
      <w:r w:rsidRPr="00BB207E">
        <w:rPr>
          <w:rFonts w:ascii="Palatino Linotype" w:hAnsi="Palatino Linotype"/>
          <w:lang w:eastAsia="en-US"/>
        </w:rPr>
        <w:t>Se hace del conocimiento del</w:t>
      </w:r>
      <w:r w:rsidRPr="00BB207E">
        <w:rPr>
          <w:rFonts w:ascii="Palatino Linotype" w:hAnsi="Palatino Linotype"/>
          <w:b/>
          <w:lang w:eastAsia="en-US"/>
        </w:rPr>
        <w:t xml:space="preserve"> RECURRENTE </w:t>
      </w:r>
      <w:r w:rsidRPr="00BB207E">
        <w:rPr>
          <w:rFonts w:ascii="Palatino Linotype" w:hAnsi="Palatino Linotype"/>
          <w:lang w:eastAsia="en-US"/>
        </w:rPr>
        <w:t xml:space="preserve">que, de conformidad con lo establecido en el artículo 196 de la Ley de Transparencia y Acceso a la Información Pública </w:t>
      </w:r>
      <w:r w:rsidRPr="00BB207E">
        <w:rPr>
          <w:rFonts w:ascii="Palatino Linotype" w:hAnsi="Palatino Linotype"/>
          <w:lang w:eastAsia="en-US"/>
        </w:rPr>
        <w:lastRenderedPageBreak/>
        <w:t>del Estado de México y Municipios, en caso de que considere que la Resolución le cause algún perjuicio podrá impugnarla vía juicio de amparo en los términos de las leyes aplicables.</w:t>
      </w:r>
    </w:p>
    <w:p w:rsidR="00426F75" w:rsidRPr="00BB207E" w:rsidRDefault="00426F75" w:rsidP="00426F75">
      <w:pPr>
        <w:tabs>
          <w:tab w:val="left" w:pos="8080"/>
        </w:tabs>
        <w:spacing w:line="360" w:lineRule="auto"/>
        <w:jc w:val="both"/>
        <w:rPr>
          <w:rFonts w:ascii="Palatino Linotype" w:eastAsia="Palatino Linotype" w:hAnsi="Palatino Linotype" w:cs="Palatino Linotype"/>
          <w:color w:val="000000" w:themeColor="text1"/>
        </w:rPr>
      </w:pPr>
    </w:p>
    <w:p w:rsidR="003930C3" w:rsidRPr="00BB207E" w:rsidRDefault="00426F75" w:rsidP="00426F75">
      <w:pPr>
        <w:tabs>
          <w:tab w:val="left" w:pos="8080"/>
        </w:tabs>
        <w:spacing w:line="360" w:lineRule="auto"/>
        <w:jc w:val="both"/>
        <w:rPr>
          <w:rFonts w:ascii="Palatino Linotype" w:eastAsia="Palatino Linotype" w:hAnsi="Palatino Linotype" w:cs="Palatino Linotype"/>
          <w:color w:val="000000" w:themeColor="text1"/>
        </w:rPr>
      </w:pPr>
      <w:r w:rsidRPr="00BB207E">
        <w:rPr>
          <w:rFonts w:ascii="Palatino Linotype" w:eastAsia="Palatino Linotype" w:hAnsi="Palatino Linotype" w:cs="Palatino Linotype"/>
          <w:b/>
          <w:color w:val="000000" w:themeColor="text1"/>
        </w:rPr>
        <w:t>SEXTO</w:t>
      </w:r>
      <w:r w:rsidR="003930C3" w:rsidRPr="00BB207E">
        <w:rPr>
          <w:rFonts w:ascii="Palatino Linotype" w:eastAsia="Palatino Linotype" w:hAnsi="Palatino Linotype" w:cs="Palatino Linotype"/>
          <w:b/>
          <w:color w:val="000000" w:themeColor="text1"/>
        </w:rPr>
        <w:t xml:space="preserve">. </w:t>
      </w:r>
      <w:r w:rsidR="003930C3" w:rsidRPr="00BB207E">
        <w:rPr>
          <w:rFonts w:ascii="Palatino Linotype" w:hAnsi="Palatino Linotype"/>
          <w:b/>
          <w:color w:val="000000" w:themeColor="text1"/>
          <w:lang w:eastAsia="es-ES_tradnl"/>
        </w:rPr>
        <w:t>Se hace del conocimiento</w:t>
      </w:r>
      <w:r w:rsidR="003930C3" w:rsidRPr="00BB207E">
        <w:rPr>
          <w:rFonts w:ascii="Palatino Linotype" w:hAnsi="Palatino Linotype"/>
          <w:color w:val="000000" w:themeColor="text1"/>
          <w:lang w:eastAsia="es-ES_tradnl"/>
        </w:rPr>
        <w:t xml:space="preserve"> del </w:t>
      </w:r>
      <w:r w:rsidR="003930C3" w:rsidRPr="00BB207E">
        <w:rPr>
          <w:rFonts w:ascii="Palatino Linotype" w:hAnsi="Palatino Linotype"/>
          <w:b/>
          <w:color w:val="000000" w:themeColor="text1"/>
          <w:lang w:eastAsia="es-ES_tradnl"/>
        </w:rPr>
        <w:t>Recurrente</w:t>
      </w:r>
      <w:r w:rsidR="003930C3" w:rsidRPr="00BB207E">
        <w:rPr>
          <w:rFonts w:ascii="Palatino Linotype" w:hAnsi="Palatino Linotype"/>
          <w:color w:val="000000" w:themeColor="text1"/>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rsidR="003930C3" w:rsidRPr="00BB207E" w:rsidRDefault="003930C3" w:rsidP="00426F75">
      <w:pPr>
        <w:spacing w:line="360" w:lineRule="auto"/>
        <w:jc w:val="both"/>
        <w:rPr>
          <w:rFonts w:ascii="Palatino Linotype" w:eastAsia="Palatino Linotype" w:hAnsi="Palatino Linotype" w:cs="Palatino Linotype"/>
          <w:color w:val="000000" w:themeColor="text1"/>
        </w:rPr>
      </w:pPr>
    </w:p>
    <w:p w:rsidR="003930C3" w:rsidRPr="00BB207E" w:rsidRDefault="009D23EE" w:rsidP="00426F75">
      <w:pPr>
        <w:shd w:val="clear" w:color="auto" w:fill="FFFFFF"/>
        <w:spacing w:line="360" w:lineRule="auto"/>
        <w:jc w:val="both"/>
        <w:rPr>
          <w:rFonts w:ascii="Palatino Linotype" w:eastAsia="Palatino Linotype" w:hAnsi="Palatino Linotype" w:cs="Palatino Linotype"/>
          <w:b/>
          <w:color w:val="000000" w:themeColor="text1"/>
        </w:rPr>
      </w:pPr>
      <w:r w:rsidRPr="00BB207E">
        <w:rPr>
          <w:rFonts w:ascii="Palatino Linotype" w:eastAsia="Palatino Linotype" w:hAnsi="Palatino Linotype" w:cs="Palatino Linotype"/>
          <w:b/>
          <w:color w:val="000000" w:themeColor="text1"/>
        </w:rPr>
        <w:t>S</w:t>
      </w:r>
      <w:r w:rsidR="00426F75" w:rsidRPr="00BB207E">
        <w:rPr>
          <w:rFonts w:ascii="Palatino Linotype" w:eastAsia="Palatino Linotype" w:hAnsi="Palatino Linotype" w:cs="Palatino Linotype"/>
          <w:b/>
          <w:color w:val="000000" w:themeColor="text1"/>
        </w:rPr>
        <w:t>ÉPTIMO.</w:t>
      </w:r>
      <w:r w:rsidR="003930C3" w:rsidRPr="00BB207E">
        <w:rPr>
          <w:rFonts w:ascii="Palatino Linotype" w:eastAsia="Palatino Linotype" w:hAnsi="Palatino Linotype" w:cs="Palatino Linotype"/>
          <w:color w:val="000000" w:themeColor="text1"/>
        </w:rPr>
        <w:t xml:space="preserve"> </w:t>
      </w:r>
      <w:r w:rsidR="003930C3" w:rsidRPr="00BB207E">
        <w:rPr>
          <w:rFonts w:ascii="Palatino Linotype" w:eastAsia="Palatino Linotype" w:hAnsi="Palatino Linotype" w:cs="Palatino Linotype"/>
          <w:b/>
          <w:color w:val="000000" w:themeColor="text1"/>
        </w:rPr>
        <w:t>GÍRESE</w:t>
      </w:r>
      <w:r w:rsidR="003930C3" w:rsidRPr="00BB207E">
        <w:rPr>
          <w:rFonts w:ascii="Palatino Linotype" w:eastAsia="Palatino Linotype" w:hAnsi="Palatino Linotype" w:cs="Palatino Linotype"/>
          <w:color w:val="000000" w:themeColor="text1"/>
        </w:rPr>
        <w:t xml:space="preserve"> oficio a la </w:t>
      </w:r>
      <w:r w:rsidR="003930C3" w:rsidRPr="00BB207E">
        <w:rPr>
          <w:rFonts w:ascii="Palatino Linotype" w:eastAsia="Palatino Linotype" w:hAnsi="Palatino Linotype" w:cs="Palatino Linotype"/>
          <w:b/>
          <w:color w:val="000000" w:themeColor="text1"/>
        </w:rPr>
        <w:t xml:space="preserve">Secretaría </w:t>
      </w:r>
      <w:r w:rsidR="003930C3" w:rsidRPr="00BB207E">
        <w:rPr>
          <w:rFonts w:ascii="Palatino Linotype" w:hAnsi="Palatino Linotype"/>
          <w:b/>
          <w:color w:val="000000" w:themeColor="text1"/>
          <w:lang w:eastAsia="es-ES_tradnl"/>
        </w:rPr>
        <w:t>Técnica del Pleno</w:t>
      </w:r>
      <w:r w:rsidR="003930C3" w:rsidRPr="00BB207E">
        <w:rPr>
          <w:rFonts w:ascii="Palatino Linotype" w:hAnsi="Palatino Linotype"/>
          <w:color w:val="000000" w:themeColor="text1"/>
          <w:lang w:eastAsia="es-ES_tradnl"/>
        </w:rPr>
        <w:t xml:space="preserve"> de este Instituto para hacer del conocimiento del Órgano Interno de Control</w:t>
      </w:r>
      <w:r w:rsidR="003930C3" w:rsidRPr="00BB207E">
        <w:rPr>
          <w:rFonts w:ascii="Palatino Linotype" w:eastAsia="Palatino Linotype" w:hAnsi="Palatino Linotype" w:cs="Palatino Linotype"/>
          <w:color w:val="000000" w:themeColor="text1"/>
        </w:rPr>
        <w:t xml:space="preserve"> competente la presente resolución, a fin de que de conformidad con el artículo 190, de la Ley de Transparencia y Acceso a la Información Pública del Estado de México y Municipios, determine lo conducente, en términos de lo señalado en </w:t>
      </w:r>
      <w:r w:rsidRPr="00BB207E">
        <w:rPr>
          <w:rFonts w:ascii="Palatino Linotype" w:eastAsia="Palatino Linotype" w:hAnsi="Palatino Linotype" w:cs="Palatino Linotype"/>
          <w:color w:val="000000" w:themeColor="text1"/>
        </w:rPr>
        <w:t>los</w:t>
      </w:r>
      <w:r w:rsidR="003930C3" w:rsidRPr="00BB207E">
        <w:rPr>
          <w:rFonts w:ascii="Palatino Linotype" w:eastAsia="Palatino Linotype" w:hAnsi="Palatino Linotype" w:cs="Palatino Linotype"/>
          <w:color w:val="000000" w:themeColor="text1"/>
        </w:rPr>
        <w:t xml:space="preserve"> </w:t>
      </w:r>
      <w:r w:rsidR="003930C3" w:rsidRPr="00BB207E">
        <w:rPr>
          <w:rFonts w:ascii="Palatino Linotype" w:eastAsia="Palatino Linotype" w:hAnsi="Palatino Linotype" w:cs="Palatino Linotype"/>
          <w:b/>
          <w:color w:val="000000" w:themeColor="text1"/>
        </w:rPr>
        <w:t>Considerando</w:t>
      </w:r>
      <w:r w:rsidRPr="00BB207E">
        <w:rPr>
          <w:rFonts w:ascii="Palatino Linotype" w:eastAsia="Palatino Linotype" w:hAnsi="Palatino Linotype" w:cs="Palatino Linotype"/>
          <w:b/>
          <w:color w:val="000000" w:themeColor="text1"/>
        </w:rPr>
        <w:t>s</w:t>
      </w:r>
      <w:r w:rsidR="003930C3" w:rsidRPr="00BB207E">
        <w:rPr>
          <w:rFonts w:ascii="Palatino Linotype" w:eastAsia="Palatino Linotype" w:hAnsi="Palatino Linotype" w:cs="Palatino Linotype"/>
          <w:b/>
          <w:color w:val="000000" w:themeColor="text1"/>
        </w:rPr>
        <w:t xml:space="preserve"> </w:t>
      </w:r>
      <w:r w:rsidRPr="00BB207E">
        <w:rPr>
          <w:rFonts w:ascii="Palatino Linotype" w:eastAsia="Palatino Linotype" w:hAnsi="Palatino Linotype" w:cs="Palatino Linotype"/>
          <w:b/>
          <w:color w:val="000000" w:themeColor="text1"/>
        </w:rPr>
        <w:t>SEGUNDO Y SEXTO</w:t>
      </w:r>
      <w:r w:rsidR="003930C3" w:rsidRPr="00BB207E">
        <w:rPr>
          <w:rFonts w:ascii="Palatino Linotype" w:eastAsia="Palatino Linotype" w:hAnsi="Palatino Linotype" w:cs="Palatino Linotype"/>
          <w:color w:val="000000" w:themeColor="text1"/>
        </w:rPr>
        <w:t xml:space="preserve"> de la presente Resolución</w:t>
      </w:r>
      <w:r w:rsidR="003930C3" w:rsidRPr="00BB207E">
        <w:rPr>
          <w:rFonts w:ascii="Palatino Linotype" w:eastAsia="Palatino Linotype" w:hAnsi="Palatino Linotype" w:cs="Palatino Linotype"/>
          <w:b/>
          <w:color w:val="000000" w:themeColor="text1"/>
        </w:rPr>
        <w:t>.</w:t>
      </w:r>
    </w:p>
    <w:p w:rsidR="00431896" w:rsidRPr="00BB207E" w:rsidRDefault="00431896" w:rsidP="00426F75">
      <w:pPr>
        <w:spacing w:line="360" w:lineRule="auto"/>
        <w:jc w:val="both"/>
        <w:rPr>
          <w:rFonts w:ascii="Palatino Linotype" w:eastAsia="Palatino Linotype" w:hAnsi="Palatino Linotype" w:cs="Palatino Linotype"/>
          <w:color w:val="000000" w:themeColor="text1"/>
        </w:rPr>
      </w:pPr>
    </w:p>
    <w:p w:rsidR="00426F75" w:rsidRPr="009B0452" w:rsidRDefault="00BB207E" w:rsidP="00426F75">
      <w:pPr>
        <w:spacing w:line="360" w:lineRule="auto"/>
        <w:ind w:right="49"/>
        <w:jc w:val="both"/>
        <w:rPr>
          <w:rFonts w:ascii="Palatino Linotype" w:eastAsia="Palatino Linotype" w:hAnsi="Palatino Linotype" w:cs="Palatino Linotype"/>
        </w:rPr>
      </w:pPr>
      <w:r w:rsidRPr="00BB207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(13) DE AGOSTO DE DOS MIL VEINTICINCO, ANTE EL SECRETARIO TÉCNICO DEL PLENO ALEXIS TAPIA RAMÍREZ</w:t>
      </w:r>
      <w:r w:rsidR="00426F75" w:rsidRPr="00BB207E">
        <w:rPr>
          <w:rFonts w:ascii="Palatino Linotype" w:eastAsia="Palatino Linotype" w:hAnsi="Palatino Linotype" w:cs="Palatino Linotype"/>
        </w:rPr>
        <w:t>.</w:t>
      </w: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jc w:val="both"/>
        <w:rPr>
          <w:rFonts w:ascii="Palatino Linotype" w:eastAsia="Palatino Linotype" w:hAnsi="Palatino Linotype" w:cs="Palatino Linotype"/>
          <w:color w:val="000000" w:themeColor="text1"/>
        </w:rPr>
      </w:pPr>
    </w:p>
    <w:p w:rsidR="0072148B" w:rsidRPr="00426F75" w:rsidRDefault="0072148B" w:rsidP="00426F75">
      <w:pPr>
        <w:spacing w:line="360" w:lineRule="auto"/>
        <w:rPr>
          <w:rFonts w:ascii="Palatino Linotype" w:eastAsia="Palatino Linotype" w:hAnsi="Palatino Linotype" w:cs="Palatino Linotype"/>
          <w:color w:val="000000" w:themeColor="text1"/>
        </w:rPr>
      </w:pPr>
    </w:p>
    <w:p w:rsidR="0072148B" w:rsidRPr="00426F75" w:rsidRDefault="0072148B" w:rsidP="00426F75">
      <w:pPr>
        <w:tabs>
          <w:tab w:val="left" w:pos="3374"/>
        </w:tabs>
        <w:spacing w:line="360" w:lineRule="auto"/>
        <w:rPr>
          <w:rFonts w:ascii="Palatino Linotype" w:eastAsia="Palatino Linotype" w:hAnsi="Palatino Linotype" w:cs="Palatino Linotype"/>
          <w:color w:val="000000" w:themeColor="text1"/>
        </w:rPr>
      </w:pPr>
      <w:bookmarkStart w:id="9" w:name="_heading=h.lnxbz9" w:colFirst="0" w:colLast="0"/>
      <w:bookmarkEnd w:id="9"/>
    </w:p>
    <w:sectPr w:rsidR="0072148B" w:rsidRPr="00426F75" w:rsidSect="00FF01EC">
      <w:headerReference w:type="even" r:id="rId12"/>
      <w:headerReference w:type="default" r:id="rId13"/>
      <w:footerReference w:type="default" r:id="rId14"/>
      <w:headerReference w:type="first" r:id="rId15"/>
      <w:footerReference w:type="first" r:id="rId16"/>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FFE" w:rsidRDefault="009A4FFE">
      <w:r>
        <w:separator/>
      </w:r>
    </w:p>
  </w:endnote>
  <w:endnote w:type="continuationSeparator" w:id="0">
    <w:p w:rsidR="009A4FFE" w:rsidRDefault="009A4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872" w:rsidRDefault="0081687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10E9E">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10E9E">
      <w:rPr>
        <w:rFonts w:ascii="Palatino Linotype" w:eastAsia="Palatino Linotype" w:hAnsi="Palatino Linotype" w:cs="Palatino Linotype"/>
        <w:noProof/>
        <w:color w:val="000000"/>
        <w:sz w:val="20"/>
        <w:szCs w:val="20"/>
      </w:rPr>
      <w:t>41</w:t>
    </w:r>
    <w:r>
      <w:rPr>
        <w:rFonts w:ascii="Palatino Linotype" w:eastAsia="Palatino Linotype" w:hAnsi="Palatino Linotype" w:cs="Palatino Linotype"/>
        <w:color w:val="000000"/>
        <w:sz w:val="20"/>
        <w:szCs w:val="20"/>
      </w:rPr>
      <w:fldChar w:fldCharType="end"/>
    </w:r>
  </w:p>
  <w:p w:rsidR="00816872" w:rsidRDefault="0081687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872" w:rsidRDefault="0081687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10E9E">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10E9E">
      <w:rPr>
        <w:rFonts w:ascii="Palatino Linotype" w:eastAsia="Palatino Linotype" w:hAnsi="Palatino Linotype" w:cs="Palatino Linotype"/>
        <w:noProof/>
        <w:color w:val="000000"/>
        <w:sz w:val="20"/>
        <w:szCs w:val="20"/>
      </w:rPr>
      <w:t>41</w:t>
    </w:r>
    <w:r>
      <w:rPr>
        <w:rFonts w:ascii="Palatino Linotype" w:eastAsia="Palatino Linotype" w:hAnsi="Palatino Linotype" w:cs="Palatino Linotype"/>
        <w:color w:val="000000"/>
        <w:sz w:val="20"/>
        <w:szCs w:val="20"/>
      </w:rPr>
      <w:fldChar w:fldCharType="end"/>
    </w:r>
  </w:p>
  <w:p w:rsidR="00816872" w:rsidRDefault="0081687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FFE" w:rsidRDefault="009A4FFE">
      <w:r>
        <w:separator/>
      </w:r>
    </w:p>
  </w:footnote>
  <w:footnote w:type="continuationSeparator" w:id="0">
    <w:p w:rsidR="009A4FFE" w:rsidRDefault="009A4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872" w:rsidRDefault="009A4FF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6945" w:type="dxa"/>
      <w:tblInd w:w="3686" w:type="dxa"/>
      <w:tblLayout w:type="fixed"/>
      <w:tblLook w:val="0400" w:firstRow="0" w:lastRow="0" w:firstColumn="0" w:lastColumn="0" w:noHBand="0" w:noVBand="1"/>
    </w:tblPr>
    <w:tblGrid>
      <w:gridCol w:w="2693"/>
      <w:gridCol w:w="4252"/>
    </w:tblGrid>
    <w:tr w:rsidR="00816872" w:rsidTr="00FF01EC">
      <w:trPr>
        <w:trHeight w:val="227"/>
      </w:trPr>
      <w:tc>
        <w:tcPr>
          <w:tcW w:w="2693" w:type="dxa"/>
        </w:tcPr>
        <w:p w:rsidR="00816872" w:rsidRPr="00426F75" w:rsidRDefault="00816872" w:rsidP="00426F75">
          <w:pPr>
            <w:jc w:val="right"/>
            <w:rPr>
              <w:rFonts w:ascii="Palatino Linotype" w:eastAsia="Palatino Linotype" w:hAnsi="Palatino Linotype" w:cs="Palatino Linotype"/>
              <w:b/>
            </w:rPr>
          </w:pPr>
          <w:r w:rsidRPr="00426F75">
            <w:rPr>
              <w:rFonts w:ascii="Palatino Linotype" w:eastAsia="Palatino Linotype" w:hAnsi="Palatino Linotype" w:cs="Palatino Linotype"/>
              <w:b/>
            </w:rPr>
            <w:t>Recurso de Revisión:</w:t>
          </w:r>
        </w:p>
      </w:tc>
      <w:tc>
        <w:tcPr>
          <w:tcW w:w="4252" w:type="dxa"/>
        </w:tcPr>
        <w:p w:rsidR="00816872" w:rsidRPr="00426F75" w:rsidRDefault="00816872" w:rsidP="00426F75">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sidRPr="00426F75">
            <w:rPr>
              <w:rFonts w:ascii="Palatino Linotype" w:eastAsia="Palatino Linotype" w:hAnsi="Palatino Linotype" w:cs="Palatino Linotype"/>
              <w:color w:val="000000"/>
            </w:rPr>
            <w:t>03308/INFOEM/IP/RR/2025</w:t>
          </w:r>
        </w:p>
      </w:tc>
    </w:tr>
    <w:tr w:rsidR="00816872" w:rsidTr="00FF01EC">
      <w:trPr>
        <w:trHeight w:val="342"/>
      </w:trPr>
      <w:tc>
        <w:tcPr>
          <w:tcW w:w="2693" w:type="dxa"/>
        </w:tcPr>
        <w:p w:rsidR="00816872" w:rsidRPr="00426F75" w:rsidRDefault="00816872" w:rsidP="00426F75">
          <w:pPr>
            <w:jc w:val="right"/>
            <w:rPr>
              <w:rFonts w:ascii="Palatino Linotype" w:eastAsia="Palatino Linotype" w:hAnsi="Palatino Linotype" w:cs="Palatino Linotype"/>
              <w:b/>
            </w:rPr>
          </w:pPr>
          <w:r w:rsidRPr="00426F75">
            <w:rPr>
              <w:rFonts w:ascii="Palatino Linotype" w:eastAsia="Palatino Linotype" w:hAnsi="Palatino Linotype" w:cs="Palatino Linotype"/>
              <w:b/>
            </w:rPr>
            <w:t>Sujeto Obligado:</w:t>
          </w:r>
        </w:p>
      </w:tc>
      <w:tc>
        <w:tcPr>
          <w:tcW w:w="4252" w:type="dxa"/>
        </w:tcPr>
        <w:p w:rsidR="00816872" w:rsidRPr="00426F75" w:rsidRDefault="00816872" w:rsidP="00426F75">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426F75">
            <w:rPr>
              <w:rFonts w:ascii="Palatino Linotype" w:eastAsia="Palatino Linotype" w:hAnsi="Palatino Linotype" w:cs="Palatino Linotype"/>
              <w:color w:val="000000"/>
            </w:rPr>
            <w:t>Ayuntamiento de Toluca</w:t>
          </w:r>
        </w:p>
      </w:tc>
    </w:tr>
    <w:tr w:rsidR="00816872" w:rsidTr="00FF01EC">
      <w:trPr>
        <w:trHeight w:val="342"/>
      </w:trPr>
      <w:tc>
        <w:tcPr>
          <w:tcW w:w="2693" w:type="dxa"/>
        </w:tcPr>
        <w:p w:rsidR="00816872" w:rsidRPr="00426F75" w:rsidRDefault="00816872" w:rsidP="00426F75">
          <w:pPr>
            <w:jc w:val="right"/>
            <w:rPr>
              <w:rFonts w:ascii="Palatino Linotype" w:eastAsia="Palatino Linotype" w:hAnsi="Palatino Linotype" w:cs="Palatino Linotype"/>
              <w:b/>
            </w:rPr>
          </w:pPr>
          <w:r w:rsidRPr="00426F75">
            <w:rPr>
              <w:rFonts w:ascii="Palatino Linotype" w:eastAsia="Palatino Linotype" w:hAnsi="Palatino Linotype" w:cs="Palatino Linotype"/>
              <w:b/>
            </w:rPr>
            <w:t>Comisionada Ponente:</w:t>
          </w:r>
        </w:p>
      </w:tc>
      <w:tc>
        <w:tcPr>
          <w:tcW w:w="4252" w:type="dxa"/>
        </w:tcPr>
        <w:p w:rsidR="00816872" w:rsidRPr="00426F75" w:rsidRDefault="00816872" w:rsidP="00426F75">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sidRPr="00426F75">
            <w:rPr>
              <w:rFonts w:ascii="Palatino Linotype" w:eastAsia="Palatino Linotype" w:hAnsi="Palatino Linotype" w:cs="Palatino Linotype"/>
              <w:color w:val="000000"/>
            </w:rPr>
            <w:t>María del Rosario Mejía Ayala</w:t>
          </w:r>
        </w:p>
      </w:tc>
    </w:tr>
  </w:tbl>
  <w:p w:rsidR="00816872" w:rsidRDefault="009A4FFE">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9.4pt;margin-top:-118.2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6945" w:type="dxa"/>
      <w:tblInd w:w="3686" w:type="dxa"/>
      <w:tblLayout w:type="fixed"/>
      <w:tblLook w:val="0400" w:firstRow="0" w:lastRow="0" w:firstColumn="0" w:lastColumn="0" w:noHBand="0" w:noVBand="1"/>
    </w:tblPr>
    <w:tblGrid>
      <w:gridCol w:w="2693"/>
      <w:gridCol w:w="4252"/>
    </w:tblGrid>
    <w:tr w:rsidR="00816872" w:rsidTr="00FF01EC">
      <w:trPr>
        <w:trHeight w:val="227"/>
      </w:trPr>
      <w:tc>
        <w:tcPr>
          <w:tcW w:w="2693" w:type="dxa"/>
        </w:tcPr>
        <w:p w:rsidR="00816872" w:rsidRPr="00426F75" w:rsidRDefault="00816872" w:rsidP="00426F75">
          <w:pPr>
            <w:jc w:val="right"/>
            <w:rPr>
              <w:rFonts w:ascii="Palatino Linotype" w:eastAsia="Palatino Linotype" w:hAnsi="Palatino Linotype" w:cs="Palatino Linotype"/>
              <w:b/>
            </w:rPr>
          </w:pPr>
          <w:r w:rsidRPr="00426F75">
            <w:rPr>
              <w:rFonts w:ascii="Palatino Linotype" w:eastAsia="Palatino Linotype" w:hAnsi="Palatino Linotype" w:cs="Palatino Linotype"/>
              <w:b/>
            </w:rPr>
            <w:t>Recurso de Revisión:</w:t>
          </w:r>
        </w:p>
      </w:tc>
      <w:tc>
        <w:tcPr>
          <w:tcW w:w="4252" w:type="dxa"/>
        </w:tcPr>
        <w:p w:rsidR="00816872" w:rsidRPr="00426F75" w:rsidRDefault="00816872" w:rsidP="00426F75">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sidRPr="00426F75">
            <w:rPr>
              <w:rFonts w:ascii="Palatino Linotype" w:eastAsia="Palatino Linotype" w:hAnsi="Palatino Linotype" w:cs="Palatino Linotype"/>
              <w:color w:val="000000"/>
            </w:rPr>
            <w:t>03308/INFOEM/IP/RR/2025</w:t>
          </w:r>
        </w:p>
      </w:tc>
    </w:tr>
    <w:tr w:rsidR="00816872" w:rsidTr="00FF01EC">
      <w:trPr>
        <w:trHeight w:val="242"/>
      </w:trPr>
      <w:tc>
        <w:tcPr>
          <w:tcW w:w="2693" w:type="dxa"/>
        </w:tcPr>
        <w:p w:rsidR="00816872" w:rsidRPr="00426F75" w:rsidRDefault="00816872" w:rsidP="00426F75">
          <w:pPr>
            <w:jc w:val="right"/>
            <w:rPr>
              <w:rFonts w:ascii="Palatino Linotype" w:eastAsia="Palatino Linotype" w:hAnsi="Palatino Linotype" w:cs="Palatino Linotype"/>
              <w:b/>
            </w:rPr>
          </w:pPr>
          <w:r w:rsidRPr="00426F75">
            <w:rPr>
              <w:rFonts w:ascii="Palatino Linotype" w:eastAsia="Palatino Linotype" w:hAnsi="Palatino Linotype" w:cs="Palatino Linotype"/>
              <w:b/>
            </w:rPr>
            <w:t>Recurrente:</w:t>
          </w:r>
        </w:p>
      </w:tc>
      <w:tc>
        <w:tcPr>
          <w:tcW w:w="4252" w:type="dxa"/>
        </w:tcPr>
        <w:p w:rsidR="00816872" w:rsidRPr="00426F75" w:rsidRDefault="00816872" w:rsidP="00426F75">
          <w:pPr>
            <w:pBdr>
              <w:top w:val="nil"/>
              <w:left w:val="nil"/>
              <w:bottom w:val="nil"/>
              <w:right w:val="nil"/>
              <w:between w:val="nil"/>
            </w:pBdr>
            <w:tabs>
              <w:tab w:val="right" w:pos="8838"/>
              <w:tab w:val="left" w:pos="521"/>
            </w:tabs>
            <w:rPr>
              <w:rFonts w:ascii="Palatino Linotype" w:eastAsia="Palatino Linotype" w:hAnsi="Palatino Linotype" w:cs="Palatino Linotype"/>
              <w:color w:val="000000"/>
              <w:highlight w:val="green"/>
            </w:rPr>
          </w:pPr>
        </w:p>
      </w:tc>
    </w:tr>
    <w:tr w:rsidR="00816872" w:rsidTr="00FF01EC">
      <w:trPr>
        <w:trHeight w:val="342"/>
      </w:trPr>
      <w:tc>
        <w:tcPr>
          <w:tcW w:w="2693" w:type="dxa"/>
        </w:tcPr>
        <w:p w:rsidR="00816872" w:rsidRPr="00426F75" w:rsidRDefault="00816872" w:rsidP="00426F75">
          <w:pPr>
            <w:jc w:val="right"/>
            <w:rPr>
              <w:rFonts w:ascii="Palatino Linotype" w:eastAsia="Palatino Linotype" w:hAnsi="Palatino Linotype" w:cs="Palatino Linotype"/>
              <w:b/>
            </w:rPr>
          </w:pPr>
          <w:r w:rsidRPr="00426F75">
            <w:rPr>
              <w:rFonts w:ascii="Palatino Linotype" w:eastAsia="Palatino Linotype" w:hAnsi="Palatino Linotype" w:cs="Palatino Linotype"/>
              <w:b/>
            </w:rPr>
            <w:t>Sujeto Obligado:</w:t>
          </w:r>
        </w:p>
      </w:tc>
      <w:tc>
        <w:tcPr>
          <w:tcW w:w="4252" w:type="dxa"/>
        </w:tcPr>
        <w:p w:rsidR="00816872" w:rsidRPr="00426F75" w:rsidRDefault="00816872" w:rsidP="00426F75">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426F75">
            <w:rPr>
              <w:rFonts w:ascii="Palatino Linotype" w:eastAsia="Palatino Linotype" w:hAnsi="Palatino Linotype" w:cs="Palatino Linotype"/>
              <w:color w:val="000000"/>
            </w:rPr>
            <w:t>Ayuntamiento de Toluca</w:t>
          </w:r>
        </w:p>
      </w:tc>
    </w:tr>
    <w:tr w:rsidR="00816872" w:rsidTr="00FF01EC">
      <w:trPr>
        <w:trHeight w:val="342"/>
      </w:trPr>
      <w:tc>
        <w:tcPr>
          <w:tcW w:w="2693" w:type="dxa"/>
        </w:tcPr>
        <w:p w:rsidR="00816872" w:rsidRPr="00426F75" w:rsidRDefault="00816872" w:rsidP="00426F75">
          <w:pPr>
            <w:jc w:val="right"/>
            <w:rPr>
              <w:rFonts w:ascii="Palatino Linotype" w:eastAsia="Palatino Linotype" w:hAnsi="Palatino Linotype" w:cs="Palatino Linotype"/>
              <w:b/>
            </w:rPr>
          </w:pPr>
          <w:r w:rsidRPr="00426F75">
            <w:rPr>
              <w:rFonts w:ascii="Palatino Linotype" w:eastAsia="Palatino Linotype" w:hAnsi="Palatino Linotype" w:cs="Palatino Linotype"/>
              <w:b/>
            </w:rPr>
            <w:t>Comisionada Ponente:</w:t>
          </w:r>
        </w:p>
      </w:tc>
      <w:tc>
        <w:tcPr>
          <w:tcW w:w="4252" w:type="dxa"/>
        </w:tcPr>
        <w:p w:rsidR="00816872" w:rsidRPr="00426F75" w:rsidRDefault="00816872" w:rsidP="00426F75">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sidRPr="00426F75">
            <w:rPr>
              <w:rFonts w:ascii="Palatino Linotype" w:eastAsia="Palatino Linotype" w:hAnsi="Palatino Linotype" w:cs="Palatino Linotype"/>
              <w:color w:val="000000"/>
            </w:rPr>
            <w:t>María del Rosario Mejía Ayala</w:t>
          </w:r>
        </w:p>
      </w:tc>
    </w:tr>
  </w:tbl>
  <w:p w:rsidR="00816872" w:rsidRDefault="009A4FFE">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2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C024F"/>
    <w:multiLevelType w:val="hybridMultilevel"/>
    <w:tmpl w:val="D734A8D2"/>
    <w:lvl w:ilvl="0" w:tplc="080A0001">
      <w:start w:val="1"/>
      <w:numFmt w:val="bullet"/>
      <w:lvlText w:val=""/>
      <w:lvlJc w:val="left"/>
      <w:pPr>
        <w:ind w:left="1778" w:hanging="360"/>
      </w:pPr>
      <w:rPr>
        <w:rFonts w:ascii="Symbol" w:hAnsi="Symbol" w:hint="default"/>
        <w:color w:val="00000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BCC3796"/>
    <w:multiLevelType w:val="hybridMultilevel"/>
    <w:tmpl w:val="7E784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02284E"/>
    <w:multiLevelType w:val="multilevel"/>
    <w:tmpl w:val="CF9405A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46460B"/>
    <w:multiLevelType w:val="hybridMultilevel"/>
    <w:tmpl w:val="A5D09B6E"/>
    <w:lvl w:ilvl="0" w:tplc="E36EB920">
      <w:start w:val="1"/>
      <w:numFmt w:val="decimal"/>
      <w:lvlText w:val="%1."/>
      <w:lvlJc w:val="left"/>
      <w:pPr>
        <w:ind w:left="1070" w:hanging="360"/>
      </w:pPr>
      <w:rPr>
        <w:rFonts w:ascii="Palatino Linotype" w:hAnsi="Palatino Linotype" w:hint="default"/>
        <w:b/>
        <w:i w:val="0"/>
        <w:color w:val="auto"/>
        <w:sz w:val="24"/>
      </w:rPr>
    </w:lvl>
    <w:lvl w:ilvl="1" w:tplc="080A0001">
      <w:start w:val="1"/>
      <w:numFmt w:val="bullet"/>
      <w:lvlText w:val=""/>
      <w:lvlJc w:val="left"/>
      <w:pPr>
        <w:ind w:left="36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BB4755"/>
    <w:multiLevelType w:val="hybridMultilevel"/>
    <w:tmpl w:val="DAE04D72"/>
    <w:lvl w:ilvl="0" w:tplc="6CC644CC">
      <w:numFmt w:val="bullet"/>
      <w:lvlText w:val="·"/>
      <w:lvlJc w:val="left"/>
      <w:pPr>
        <w:ind w:left="927" w:hanging="360"/>
      </w:pPr>
      <w:rPr>
        <w:rFonts w:ascii="Palatino Linotype" w:eastAsiaTheme="minorEastAsia" w:hAnsi="Palatino Linotype" w:cs="Arial" w:hint="default"/>
        <w:color w:val="000000"/>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0B6B3E"/>
    <w:multiLevelType w:val="hybridMultilevel"/>
    <w:tmpl w:val="69182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8871E1"/>
    <w:multiLevelType w:val="hybridMultilevel"/>
    <w:tmpl w:val="17AA5B2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2A941BEA"/>
    <w:multiLevelType w:val="multilevel"/>
    <w:tmpl w:val="0A64F8E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E94F0D"/>
    <w:multiLevelType w:val="hybridMultilevel"/>
    <w:tmpl w:val="E1AE51BA"/>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3928675F"/>
    <w:multiLevelType w:val="multilevel"/>
    <w:tmpl w:val="FFAE645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D37064"/>
    <w:multiLevelType w:val="multilevel"/>
    <w:tmpl w:val="EB2A35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FCC3095"/>
    <w:multiLevelType w:val="multilevel"/>
    <w:tmpl w:val="03B2368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A66B34"/>
    <w:multiLevelType w:val="multilevel"/>
    <w:tmpl w:val="104EE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082DB5"/>
    <w:multiLevelType w:val="multilevel"/>
    <w:tmpl w:val="4E5C8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5A22DD3"/>
    <w:multiLevelType w:val="multilevel"/>
    <w:tmpl w:val="6C9C26F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54789F"/>
    <w:multiLevelType w:val="multilevel"/>
    <w:tmpl w:val="986AAC4E"/>
    <w:lvl w:ilvl="0">
      <w:start w:val="1"/>
      <w:numFmt w:val="decimal"/>
      <w:lvlText w:val="%1."/>
      <w:lvlJc w:val="left"/>
      <w:pPr>
        <w:ind w:left="1637"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DB0696"/>
    <w:multiLevelType w:val="multilevel"/>
    <w:tmpl w:val="93F0CB9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9" w15:restartNumberingAfterBreak="0">
    <w:nsid w:val="4DE33D0A"/>
    <w:multiLevelType w:val="multilevel"/>
    <w:tmpl w:val="F7A6506E"/>
    <w:lvl w:ilvl="0">
      <w:start w:val="1"/>
      <w:numFmt w:val="bullet"/>
      <w:lvlText w:val="−"/>
      <w:lvlJc w:val="left"/>
      <w:pPr>
        <w:ind w:left="2007" w:hanging="360"/>
      </w:pPr>
      <w:rPr>
        <w:rFonts w:ascii="Noto Sans Symbols" w:eastAsia="Noto Sans Symbols" w:hAnsi="Noto Sans Symbols" w:cs="Noto Sans Symbols"/>
      </w:rPr>
    </w:lvl>
    <w:lvl w:ilvl="1">
      <w:start w:val="1"/>
      <w:numFmt w:val="bullet"/>
      <w:lvlText w:val="o"/>
      <w:lvlJc w:val="left"/>
      <w:pPr>
        <w:ind w:left="2727" w:hanging="360"/>
      </w:pPr>
      <w:rPr>
        <w:rFonts w:ascii="Courier New" w:eastAsia="Courier New" w:hAnsi="Courier New" w:cs="Courier New"/>
      </w:rPr>
    </w:lvl>
    <w:lvl w:ilvl="2">
      <w:start w:val="1"/>
      <w:numFmt w:val="bullet"/>
      <w:lvlText w:val="▪"/>
      <w:lvlJc w:val="left"/>
      <w:pPr>
        <w:ind w:left="3447" w:hanging="360"/>
      </w:pPr>
      <w:rPr>
        <w:rFonts w:ascii="Noto Sans Symbols" w:eastAsia="Noto Sans Symbols" w:hAnsi="Noto Sans Symbols" w:cs="Noto Sans Symbols"/>
      </w:rPr>
    </w:lvl>
    <w:lvl w:ilvl="3">
      <w:start w:val="1"/>
      <w:numFmt w:val="bullet"/>
      <w:lvlText w:val="●"/>
      <w:lvlJc w:val="left"/>
      <w:pPr>
        <w:ind w:left="4167" w:hanging="360"/>
      </w:pPr>
      <w:rPr>
        <w:rFonts w:ascii="Noto Sans Symbols" w:eastAsia="Noto Sans Symbols" w:hAnsi="Noto Sans Symbols" w:cs="Noto Sans Symbols"/>
      </w:rPr>
    </w:lvl>
    <w:lvl w:ilvl="4">
      <w:start w:val="1"/>
      <w:numFmt w:val="bullet"/>
      <w:lvlText w:val="o"/>
      <w:lvlJc w:val="left"/>
      <w:pPr>
        <w:ind w:left="4887" w:hanging="360"/>
      </w:pPr>
      <w:rPr>
        <w:rFonts w:ascii="Courier New" w:eastAsia="Courier New" w:hAnsi="Courier New" w:cs="Courier New"/>
      </w:rPr>
    </w:lvl>
    <w:lvl w:ilvl="5">
      <w:start w:val="1"/>
      <w:numFmt w:val="bullet"/>
      <w:lvlText w:val="▪"/>
      <w:lvlJc w:val="left"/>
      <w:pPr>
        <w:ind w:left="5607" w:hanging="360"/>
      </w:pPr>
      <w:rPr>
        <w:rFonts w:ascii="Noto Sans Symbols" w:eastAsia="Noto Sans Symbols" w:hAnsi="Noto Sans Symbols" w:cs="Noto Sans Symbols"/>
      </w:rPr>
    </w:lvl>
    <w:lvl w:ilvl="6">
      <w:start w:val="1"/>
      <w:numFmt w:val="bullet"/>
      <w:lvlText w:val="●"/>
      <w:lvlJc w:val="left"/>
      <w:pPr>
        <w:ind w:left="6327" w:hanging="360"/>
      </w:pPr>
      <w:rPr>
        <w:rFonts w:ascii="Noto Sans Symbols" w:eastAsia="Noto Sans Symbols" w:hAnsi="Noto Sans Symbols" w:cs="Noto Sans Symbols"/>
      </w:rPr>
    </w:lvl>
    <w:lvl w:ilvl="7">
      <w:start w:val="1"/>
      <w:numFmt w:val="bullet"/>
      <w:lvlText w:val="o"/>
      <w:lvlJc w:val="left"/>
      <w:pPr>
        <w:ind w:left="7047" w:hanging="360"/>
      </w:pPr>
      <w:rPr>
        <w:rFonts w:ascii="Courier New" w:eastAsia="Courier New" w:hAnsi="Courier New" w:cs="Courier New"/>
      </w:rPr>
    </w:lvl>
    <w:lvl w:ilvl="8">
      <w:start w:val="1"/>
      <w:numFmt w:val="bullet"/>
      <w:lvlText w:val="▪"/>
      <w:lvlJc w:val="left"/>
      <w:pPr>
        <w:ind w:left="7767" w:hanging="360"/>
      </w:pPr>
      <w:rPr>
        <w:rFonts w:ascii="Noto Sans Symbols" w:eastAsia="Noto Sans Symbols" w:hAnsi="Noto Sans Symbols" w:cs="Noto Sans Symbols"/>
      </w:rPr>
    </w:lvl>
  </w:abstractNum>
  <w:abstractNum w:abstractNumId="20" w15:restartNumberingAfterBreak="0">
    <w:nsid w:val="4E1963E3"/>
    <w:multiLevelType w:val="multilevel"/>
    <w:tmpl w:val="A15E05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AE63F6"/>
    <w:multiLevelType w:val="multilevel"/>
    <w:tmpl w:val="363E5CA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3" w15:restartNumberingAfterBreak="0">
    <w:nsid w:val="55EA367F"/>
    <w:multiLevelType w:val="multilevel"/>
    <w:tmpl w:val="E68C3B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330F65"/>
    <w:multiLevelType w:val="hybridMultilevel"/>
    <w:tmpl w:val="A1C0E3D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DBE099A"/>
    <w:multiLevelType w:val="multilevel"/>
    <w:tmpl w:val="FD4250DA"/>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6C9005E"/>
    <w:multiLevelType w:val="multilevel"/>
    <w:tmpl w:val="AED2424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7" w15:restartNumberingAfterBreak="0">
    <w:nsid w:val="72F04217"/>
    <w:multiLevelType w:val="multilevel"/>
    <w:tmpl w:val="44386498"/>
    <w:lvl w:ilvl="0">
      <w:start w:val="1"/>
      <w:numFmt w:val="upperRoman"/>
      <w:lvlText w:val="%1."/>
      <w:lvlJc w:val="left"/>
      <w:pPr>
        <w:ind w:left="1080" w:hanging="72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8" w15:restartNumberingAfterBreak="0">
    <w:nsid w:val="743C6992"/>
    <w:multiLevelType w:val="multilevel"/>
    <w:tmpl w:val="9728552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9" w15:restartNumberingAfterBreak="0">
    <w:nsid w:val="76DF1A95"/>
    <w:multiLevelType w:val="multilevel"/>
    <w:tmpl w:val="F9E68DD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0" w15:restartNumberingAfterBreak="0">
    <w:nsid w:val="7AA0215B"/>
    <w:multiLevelType w:val="multilevel"/>
    <w:tmpl w:val="03B2368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C435A25"/>
    <w:multiLevelType w:val="multilevel"/>
    <w:tmpl w:val="ED40723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29"/>
  </w:num>
  <w:num w:numId="3">
    <w:abstractNumId w:val="19"/>
  </w:num>
  <w:num w:numId="4">
    <w:abstractNumId w:val="28"/>
  </w:num>
  <w:num w:numId="5">
    <w:abstractNumId w:val="26"/>
  </w:num>
  <w:num w:numId="6">
    <w:abstractNumId w:val="31"/>
  </w:num>
  <w:num w:numId="7">
    <w:abstractNumId w:val="11"/>
  </w:num>
  <w:num w:numId="8">
    <w:abstractNumId w:val="14"/>
  </w:num>
  <w:num w:numId="9">
    <w:abstractNumId w:val="22"/>
  </w:num>
  <w:num w:numId="10">
    <w:abstractNumId w:val="25"/>
  </w:num>
  <w:num w:numId="11">
    <w:abstractNumId w:val="2"/>
  </w:num>
  <w:num w:numId="12">
    <w:abstractNumId w:val="16"/>
  </w:num>
  <w:num w:numId="13">
    <w:abstractNumId w:val="5"/>
  </w:num>
  <w:num w:numId="14">
    <w:abstractNumId w:val="15"/>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2"/>
  </w:num>
  <w:num w:numId="18">
    <w:abstractNumId w:val="30"/>
  </w:num>
  <w:num w:numId="19">
    <w:abstractNumId w:val="10"/>
  </w:num>
  <w:num w:numId="20">
    <w:abstractNumId w:val="8"/>
  </w:num>
  <w:num w:numId="21">
    <w:abstractNumId w:val="21"/>
  </w:num>
  <w:num w:numId="22">
    <w:abstractNumId w:val="24"/>
  </w:num>
  <w:num w:numId="23">
    <w:abstractNumId w:val="13"/>
  </w:num>
  <w:num w:numId="24">
    <w:abstractNumId w:val="7"/>
  </w:num>
  <w:num w:numId="25">
    <w:abstractNumId w:val="4"/>
  </w:num>
  <w:num w:numId="26">
    <w:abstractNumId w:val="17"/>
  </w:num>
  <w:num w:numId="27">
    <w:abstractNumId w:val="0"/>
  </w:num>
  <w:num w:numId="28">
    <w:abstractNumId w:val="20"/>
  </w:num>
  <w:num w:numId="29">
    <w:abstractNumId w:val="3"/>
  </w:num>
  <w:num w:numId="30">
    <w:abstractNumId w:val="23"/>
  </w:num>
  <w:num w:numId="31">
    <w:abstractNumId w:val="1"/>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8B"/>
    <w:rsid w:val="00007763"/>
    <w:rsid w:val="000103CF"/>
    <w:rsid w:val="00031D0E"/>
    <w:rsid w:val="00035D25"/>
    <w:rsid w:val="00044620"/>
    <w:rsid w:val="00047CD1"/>
    <w:rsid w:val="0005134E"/>
    <w:rsid w:val="000515F3"/>
    <w:rsid w:val="000579CE"/>
    <w:rsid w:val="00072E6D"/>
    <w:rsid w:val="00077434"/>
    <w:rsid w:val="0008059E"/>
    <w:rsid w:val="00094E87"/>
    <w:rsid w:val="000A0538"/>
    <w:rsid w:val="000B47EF"/>
    <w:rsid w:val="000B74E0"/>
    <w:rsid w:val="000C7E4E"/>
    <w:rsid w:val="000E2518"/>
    <w:rsid w:val="000F44B3"/>
    <w:rsid w:val="000F4C96"/>
    <w:rsid w:val="000F6F52"/>
    <w:rsid w:val="00103707"/>
    <w:rsid w:val="001061C4"/>
    <w:rsid w:val="00120A69"/>
    <w:rsid w:val="00143D20"/>
    <w:rsid w:val="00145123"/>
    <w:rsid w:val="00150018"/>
    <w:rsid w:val="00157E50"/>
    <w:rsid w:val="001636AD"/>
    <w:rsid w:val="00173C85"/>
    <w:rsid w:val="00180B8D"/>
    <w:rsid w:val="00182309"/>
    <w:rsid w:val="001917E5"/>
    <w:rsid w:val="001A547B"/>
    <w:rsid w:val="001C50E4"/>
    <w:rsid w:val="001C765C"/>
    <w:rsid w:val="001E1131"/>
    <w:rsid w:val="00206AA8"/>
    <w:rsid w:val="00210E9E"/>
    <w:rsid w:val="0021698D"/>
    <w:rsid w:val="00234E39"/>
    <w:rsid w:val="00246354"/>
    <w:rsid w:val="00247643"/>
    <w:rsid w:val="00260636"/>
    <w:rsid w:val="002925A5"/>
    <w:rsid w:val="0029293C"/>
    <w:rsid w:val="002B4892"/>
    <w:rsid w:val="002C2FF1"/>
    <w:rsid w:val="002D7E17"/>
    <w:rsid w:val="002F2579"/>
    <w:rsid w:val="002F3DF1"/>
    <w:rsid w:val="002F53FA"/>
    <w:rsid w:val="002F58AF"/>
    <w:rsid w:val="003030E0"/>
    <w:rsid w:val="003050A2"/>
    <w:rsid w:val="00325B01"/>
    <w:rsid w:val="003568B4"/>
    <w:rsid w:val="00367C4B"/>
    <w:rsid w:val="00386CEB"/>
    <w:rsid w:val="003930C3"/>
    <w:rsid w:val="003B3576"/>
    <w:rsid w:val="003D1704"/>
    <w:rsid w:val="003F3A15"/>
    <w:rsid w:val="004000D2"/>
    <w:rsid w:val="0041215C"/>
    <w:rsid w:val="004145D2"/>
    <w:rsid w:val="00417A09"/>
    <w:rsid w:val="00426A19"/>
    <w:rsid w:val="00426F75"/>
    <w:rsid w:val="00431896"/>
    <w:rsid w:val="00434E54"/>
    <w:rsid w:val="004538DE"/>
    <w:rsid w:val="00456A7C"/>
    <w:rsid w:val="00457D8A"/>
    <w:rsid w:val="00480448"/>
    <w:rsid w:val="00481E02"/>
    <w:rsid w:val="00486875"/>
    <w:rsid w:val="004907F2"/>
    <w:rsid w:val="004D262B"/>
    <w:rsid w:val="004E49C5"/>
    <w:rsid w:val="004E7B4F"/>
    <w:rsid w:val="00517573"/>
    <w:rsid w:val="00535921"/>
    <w:rsid w:val="005417D6"/>
    <w:rsid w:val="00557876"/>
    <w:rsid w:val="005612FD"/>
    <w:rsid w:val="00565E2F"/>
    <w:rsid w:val="00570DE4"/>
    <w:rsid w:val="00576C02"/>
    <w:rsid w:val="005812D5"/>
    <w:rsid w:val="005845B2"/>
    <w:rsid w:val="005A3450"/>
    <w:rsid w:val="005A5ECC"/>
    <w:rsid w:val="005B551C"/>
    <w:rsid w:val="005B613B"/>
    <w:rsid w:val="005B6EB9"/>
    <w:rsid w:val="005C7812"/>
    <w:rsid w:val="005F2426"/>
    <w:rsid w:val="005F6407"/>
    <w:rsid w:val="00604D38"/>
    <w:rsid w:val="006105CE"/>
    <w:rsid w:val="00620DD1"/>
    <w:rsid w:val="00624FDF"/>
    <w:rsid w:val="006673E8"/>
    <w:rsid w:val="0067389D"/>
    <w:rsid w:val="00674202"/>
    <w:rsid w:val="00677E2A"/>
    <w:rsid w:val="006B043B"/>
    <w:rsid w:val="006B5B63"/>
    <w:rsid w:val="006C175B"/>
    <w:rsid w:val="006C580F"/>
    <w:rsid w:val="006C7CBE"/>
    <w:rsid w:val="006D2648"/>
    <w:rsid w:val="006D3B66"/>
    <w:rsid w:val="006E3D9B"/>
    <w:rsid w:val="006F26AA"/>
    <w:rsid w:val="006F5C09"/>
    <w:rsid w:val="00707D1A"/>
    <w:rsid w:val="0072148B"/>
    <w:rsid w:val="00723384"/>
    <w:rsid w:val="00732E34"/>
    <w:rsid w:val="00764880"/>
    <w:rsid w:val="00764A93"/>
    <w:rsid w:val="00770484"/>
    <w:rsid w:val="00784475"/>
    <w:rsid w:val="00787549"/>
    <w:rsid w:val="007A4327"/>
    <w:rsid w:val="007B4A40"/>
    <w:rsid w:val="007C099E"/>
    <w:rsid w:val="007E0E86"/>
    <w:rsid w:val="008016DD"/>
    <w:rsid w:val="008054EC"/>
    <w:rsid w:val="0080628A"/>
    <w:rsid w:val="00806768"/>
    <w:rsid w:val="00816872"/>
    <w:rsid w:val="00824237"/>
    <w:rsid w:val="008310F8"/>
    <w:rsid w:val="00832E00"/>
    <w:rsid w:val="00842B9F"/>
    <w:rsid w:val="008621A1"/>
    <w:rsid w:val="0086299A"/>
    <w:rsid w:val="008629B9"/>
    <w:rsid w:val="008721B7"/>
    <w:rsid w:val="0088753A"/>
    <w:rsid w:val="00890C6B"/>
    <w:rsid w:val="00892CE6"/>
    <w:rsid w:val="008A2D0D"/>
    <w:rsid w:val="008B51D4"/>
    <w:rsid w:val="008C52A6"/>
    <w:rsid w:val="008D7FBB"/>
    <w:rsid w:val="008F5223"/>
    <w:rsid w:val="009034C4"/>
    <w:rsid w:val="009073A0"/>
    <w:rsid w:val="0091746F"/>
    <w:rsid w:val="00932B26"/>
    <w:rsid w:val="00933EEA"/>
    <w:rsid w:val="0093720C"/>
    <w:rsid w:val="0094529D"/>
    <w:rsid w:val="00947FC5"/>
    <w:rsid w:val="00956F13"/>
    <w:rsid w:val="009732E9"/>
    <w:rsid w:val="009745BA"/>
    <w:rsid w:val="00983F75"/>
    <w:rsid w:val="009A3600"/>
    <w:rsid w:val="009A4FFE"/>
    <w:rsid w:val="009B1D03"/>
    <w:rsid w:val="009B6C44"/>
    <w:rsid w:val="009C0673"/>
    <w:rsid w:val="009D23EE"/>
    <w:rsid w:val="009E1194"/>
    <w:rsid w:val="009F34AC"/>
    <w:rsid w:val="009F74E4"/>
    <w:rsid w:val="00A0473C"/>
    <w:rsid w:val="00A05C0A"/>
    <w:rsid w:val="00A077F4"/>
    <w:rsid w:val="00A07EBE"/>
    <w:rsid w:val="00A125CB"/>
    <w:rsid w:val="00A13F5C"/>
    <w:rsid w:val="00A16F82"/>
    <w:rsid w:val="00A312B9"/>
    <w:rsid w:val="00A34589"/>
    <w:rsid w:val="00A4527F"/>
    <w:rsid w:val="00A608C9"/>
    <w:rsid w:val="00A80919"/>
    <w:rsid w:val="00A8169A"/>
    <w:rsid w:val="00A818C8"/>
    <w:rsid w:val="00A93E2E"/>
    <w:rsid w:val="00A93ED3"/>
    <w:rsid w:val="00AA45F5"/>
    <w:rsid w:val="00AB6DEC"/>
    <w:rsid w:val="00AB73F5"/>
    <w:rsid w:val="00AD0448"/>
    <w:rsid w:val="00AE4DA1"/>
    <w:rsid w:val="00AF203F"/>
    <w:rsid w:val="00AF78B0"/>
    <w:rsid w:val="00B06265"/>
    <w:rsid w:val="00B12400"/>
    <w:rsid w:val="00B16349"/>
    <w:rsid w:val="00B210D2"/>
    <w:rsid w:val="00B535D6"/>
    <w:rsid w:val="00B63039"/>
    <w:rsid w:val="00B6480C"/>
    <w:rsid w:val="00B83BD7"/>
    <w:rsid w:val="00B8678D"/>
    <w:rsid w:val="00B9210D"/>
    <w:rsid w:val="00B93BA1"/>
    <w:rsid w:val="00BB17C6"/>
    <w:rsid w:val="00BB207E"/>
    <w:rsid w:val="00BC4C3C"/>
    <w:rsid w:val="00BD5B95"/>
    <w:rsid w:val="00BD62F1"/>
    <w:rsid w:val="00BE39BC"/>
    <w:rsid w:val="00BE7FA3"/>
    <w:rsid w:val="00BF14D1"/>
    <w:rsid w:val="00C12017"/>
    <w:rsid w:val="00C2625F"/>
    <w:rsid w:val="00C2791B"/>
    <w:rsid w:val="00C40970"/>
    <w:rsid w:val="00C40AD9"/>
    <w:rsid w:val="00C440CF"/>
    <w:rsid w:val="00C72A3B"/>
    <w:rsid w:val="00C739CD"/>
    <w:rsid w:val="00C76D04"/>
    <w:rsid w:val="00C8530E"/>
    <w:rsid w:val="00C86928"/>
    <w:rsid w:val="00C96120"/>
    <w:rsid w:val="00CB3B23"/>
    <w:rsid w:val="00CC4C0B"/>
    <w:rsid w:val="00CE5003"/>
    <w:rsid w:val="00CE5FC3"/>
    <w:rsid w:val="00CE784F"/>
    <w:rsid w:val="00CF35BB"/>
    <w:rsid w:val="00D26732"/>
    <w:rsid w:val="00D56680"/>
    <w:rsid w:val="00D70113"/>
    <w:rsid w:val="00D80BFC"/>
    <w:rsid w:val="00D83071"/>
    <w:rsid w:val="00DA4D76"/>
    <w:rsid w:val="00DB7F9F"/>
    <w:rsid w:val="00DC117F"/>
    <w:rsid w:val="00DC40CA"/>
    <w:rsid w:val="00DC6D48"/>
    <w:rsid w:val="00DC7B42"/>
    <w:rsid w:val="00DD1D1D"/>
    <w:rsid w:val="00DD6697"/>
    <w:rsid w:val="00DE18BE"/>
    <w:rsid w:val="00DE73C1"/>
    <w:rsid w:val="00DF29DA"/>
    <w:rsid w:val="00E03BC3"/>
    <w:rsid w:val="00E044A8"/>
    <w:rsid w:val="00E132E5"/>
    <w:rsid w:val="00E13D7D"/>
    <w:rsid w:val="00E211F4"/>
    <w:rsid w:val="00E37638"/>
    <w:rsid w:val="00E62804"/>
    <w:rsid w:val="00E65E20"/>
    <w:rsid w:val="00E7284C"/>
    <w:rsid w:val="00E9208C"/>
    <w:rsid w:val="00EA1EE1"/>
    <w:rsid w:val="00EA79F5"/>
    <w:rsid w:val="00EC3094"/>
    <w:rsid w:val="00EC5472"/>
    <w:rsid w:val="00EE51B5"/>
    <w:rsid w:val="00EE75AA"/>
    <w:rsid w:val="00EF1277"/>
    <w:rsid w:val="00EF5A3C"/>
    <w:rsid w:val="00F12C99"/>
    <w:rsid w:val="00F17FEE"/>
    <w:rsid w:val="00F20AD1"/>
    <w:rsid w:val="00F817B8"/>
    <w:rsid w:val="00F84854"/>
    <w:rsid w:val="00F84855"/>
    <w:rsid w:val="00F860D3"/>
    <w:rsid w:val="00FA4F72"/>
    <w:rsid w:val="00FB65CD"/>
    <w:rsid w:val="00FC5C2B"/>
    <w:rsid w:val="00FF0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7108E3B-DCDF-436C-A5E3-2B995D29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5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10"/>
      </w:numPr>
      <w:contextualSpacing/>
    </w:pPr>
    <w:rPr>
      <w:rFonts w:ascii="Times New Roman" w:eastAsia="Times New Roman" w:hAnsi="Times New Roman" w:cs="Times New Roman"/>
      <w:sz w:val="20"/>
      <w:szCs w:val="20"/>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87059">
      <w:bodyDiv w:val="1"/>
      <w:marLeft w:val="0"/>
      <w:marRight w:val="0"/>
      <w:marTop w:val="0"/>
      <w:marBottom w:val="0"/>
      <w:divBdr>
        <w:top w:val="none" w:sz="0" w:space="0" w:color="auto"/>
        <w:left w:val="none" w:sz="0" w:space="0" w:color="auto"/>
        <w:bottom w:val="none" w:sz="0" w:space="0" w:color="auto"/>
        <w:right w:val="none" w:sz="0" w:space="0" w:color="auto"/>
      </w:divBdr>
    </w:div>
    <w:div w:id="127476306">
      <w:bodyDiv w:val="1"/>
      <w:marLeft w:val="0"/>
      <w:marRight w:val="0"/>
      <w:marTop w:val="0"/>
      <w:marBottom w:val="0"/>
      <w:divBdr>
        <w:top w:val="none" w:sz="0" w:space="0" w:color="auto"/>
        <w:left w:val="none" w:sz="0" w:space="0" w:color="auto"/>
        <w:bottom w:val="none" w:sz="0" w:space="0" w:color="auto"/>
        <w:right w:val="none" w:sz="0" w:space="0" w:color="auto"/>
      </w:divBdr>
    </w:div>
    <w:div w:id="179903546">
      <w:bodyDiv w:val="1"/>
      <w:marLeft w:val="0"/>
      <w:marRight w:val="0"/>
      <w:marTop w:val="0"/>
      <w:marBottom w:val="0"/>
      <w:divBdr>
        <w:top w:val="none" w:sz="0" w:space="0" w:color="auto"/>
        <w:left w:val="none" w:sz="0" w:space="0" w:color="auto"/>
        <w:bottom w:val="none" w:sz="0" w:space="0" w:color="auto"/>
        <w:right w:val="none" w:sz="0" w:space="0" w:color="auto"/>
      </w:divBdr>
    </w:div>
    <w:div w:id="326324921">
      <w:bodyDiv w:val="1"/>
      <w:marLeft w:val="0"/>
      <w:marRight w:val="0"/>
      <w:marTop w:val="0"/>
      <w:marBottom w:val="0"/>
      <w:divBdr>
        <w:top w:val="none" w:sz="0" w:space="0" w:color="auto"/>
        <w:left w:val="none" w:sz="0" w:space="0" w:color="auto"/>
        <w:bottom w:val="none" w:sz="0" w:space="0" w:color="auto"/>
        <w:right w:val="none" w:sz="0" w:space="0" w:color="auto"/>
      </w:divBdr>
    </w:div>
    <w:div w:id="488251570">
      <w:bodyDiv w:val="1"/>
      <w:marLeft w:val="0"/>
      <w:marRight w:val="0"/>
      <w:marTop w:val="0"/>
      <w:marBottom w:val="0"/>
      <w:divBdr>
        <w:top w:val="none" w:sz="0" w:space="0" w:color="auto"/>
        <w:left w:val="none" w:sz="0" w:space="0" w:color="auto"/>
        <w:bottom w:val="none" w:sz="0" w:space="0" w:color="auto"/>
        <w:right w:val="none" w:sz="0" w:space="0" w:color="auto"/>
      </w:divBdr>
    </w:div>
    <w:div w:id="644243988">
      <w:bodyDiv w:val="1"/>
      <w:marLeft w:val="0"/>
      <w:marRight w:val="0"/>
      <w:marTop w:val="0"/>
      <w:marBottom w:val="0"/>
      <w:divBdr>
        <w:top w:val="none" w:sz="0" w:space="0" w:color="auto"/>
        <w:left w:val="none" w:sz="0" w:space="0" w:color="auto"/>
        <w:bottom w:val="none" w:sz="0" w:space="0" w:color="auto"/>
        <w:right w:val="none" w:sz="0" w:space="0" w:color="auto"/>
      </w:divBdr>
    </w:div>
    <w:div w:id="667250852">
      <w:bodyDiv w:val="1"/>
      <w:marLeft w:val="0"/>
      <w:marRight w:val="0"/>
      <w:marTop w:val="0"/>
      <w:marBottom w:val="0"/>
      <w:divBdr>
        <w:top w:val="none" w:sz="0" w:space="0" w:color="auto"/>
        <w:left w:val="none" w:sz="0" w:space="0" w:color="auto"/>
        <w:bottom w:val="none" w:sz="0" w:space="0" w:color="auto"/>
        <w:right w:val="none" w:sz="0" w:space="0" w:color="auto"/>
      </w:divBdr>
    </w:div>
    <w:div w:id="690572515">
      <w:bodyDiv w:val="1"/>
      <w:marLeft w:val="0"/>
      <w:marRight w:val="0"/>
      <w:marTop w:val="0"/>
      <w:marBottom w:val="0"/>
      <w:divBdr>
        <w:top w:val="none" w:sz="0" w:space="0" w:color="auto"/>
        <w:left w:val="none" w:sz="0" w:space="0" w:color="auto"/>
        <w:bottom w:val="none" w:sz="0" w:space="0" w:color="auto"/>
        <w:right w:val="none" w:sz="0" w:space="0" w:color="auto"/>
      </w:divBdr>
    </w:div>
    <w:div w:id="820150102">
      <w:bodyDiv w:val="1"/>
      <w:marLeft w:val="0"/>
      <w:marRight w:val="0"/>
      <w:marTop w:val="0"/>
      <w:marBottom w:val="0"/>
      <w:divBdr>
        <w:top w:val="none" w:sz="0" w:space="0" w:color="auto"/>
        <w:left w:val="none" w:sz="0" w:space="0" w:color="auto"/>
        <w:bottom w:val="none" w:sz="0" w:space="0" w:color="auto"/>
        <w:right w:val="none" w:sz="0" w:space="0" w:color="auto"/>
      </w:divBdr>
      <w:divsChild>
        <w:div w:id="1869562645">
          <w:marLeft w:val="0"/>
          <w:marRight w:val="0"/>
          <w:marTop w:val="0"/>
          <w:marBottom w:val="0"/>
          <w:divBdr>
            <w:top w:val="none" w:sz="0" w:space="0" w:color="auto"/>
            <w:left w:val="none" w:sz="0" w:space="0" w:color="auto"/>
            <w:bottom w:val="none" w:sz="0" w:space="0" w:color="auto"/>
            <w:right w:val="none" w:sz="0" w:space="0" w:color="auto"/>
          </w:divBdr>
        </w:div>
      </w:divsChild>
    </w:div>
    <w:div w:id="941451778">
      <w:bodyDiv w:val="1"/>
      <w:marLeft w:val="0"/>
      <w:marRight w:val="0"/>
      <w:marTop w:val="0"/>
      <w:marBottom w:val="0"/>
      <w:divBdr>
        <w:top w:val="none" w:sz="0" w:space="0" w:color="auto"/>
        <w:left w:val="none" w:sz="0" w:space="0" w:color="auto"/>
        <w:bottom w:val="none" w:sz="0" w:space="0" w:color="auto"/>
        <w:right w:val="none" w:sz="0" w:space="0" w:color="auto"/>
      </w:divBdr>
    </w:div>
    <w:div w:id="983781816">
      <w:bodyDiv w:val="1"/>
      <w:marLeft w:val="0"/>
      <w:marRight w:val="0"/>
      <w:marTop w:val="0"/>
      <w:marBottom w:val="0"/>
      <w:divBdr>
        <w:top w:val="none" w:sz="0" w:space="0" w:color="auto"/>
        <w:left w:val="none" w:sz="0" w:space="0" w:color="auto"/>
        <w:bottom w:val="none" w:sz="0" w:space="0" w:color="auto"/>
        <w:right w:val="none" w:sz="0" w:space="0" w:color="auto"/>
      </w:divBdr>
    </w:div>
    <w:div w:id="1433939454">
      <w:bodyDiv w:val="1"/>
      <w:marLeft w:val="0"/>
      <w:marRight w:val="0"/>
      <w:marTop w:val="0"/>
      <w:marBottom w:val="0"/>
      <w:divBdr>
        <w:top w:val="none" w:sz="0" w:space="0" w:color="auto"/>
        <w:left w:val="none" w:sz="0" w:space="0" w:color="auto"/>
        <w:bottom w:val="none" w:sz="0" w:space="0" w:color="auto"/>
        <w:right w:val="none" w:sz="0" w:space="0" w:color="auto"/>
      </w:divBdr>
    </w:div>
    <w:div w:id="1533225184">
      <w:bodyDiv w:val="1"/>
      <w:marLeft w:val="0"/>
      <w:marRight w:val="0"/>
      <w:marTop w:val="0"/>
      <w:marBottom w:val="0"/>
      <w:divBdr>
        <w:top w:val="none" w:sz="0" w:space="0" w:color="auto"/>
        <w:left w:val="none" w:sz="0" w:space="0" w:color="auto"/>
        <w:bottom w:val="none" w:sz="0" w:space="0" w:color="auto"/>
        <w:right w:val="none" w:sz="0" w:space="0" w:color="auto"/>
      </w:divBdr>
    </w:div>
    <w:div w:id="1541817858">
      <w:bodyDiv w:val="1"/>
      <w:marLeft w:val="0"/>
      <w:marRight w:val="0"/>
      <w:marTop w:val="0"/>
      <w:marBottom w:val="0"/>
      <w:divBdr>
        <w:top w:val="none" w:sz="0" w:space="0" w:color="auto"/>
        <w:left w:val="none" w:sz="0" w:space="0" w:color="auto"/>
        <w:bottom w:val="none" w:sz="0" w:space="0" w:color="auto"/>
        <w:right w:val="none" w:sz="0" w:space="0" w:color="auto"/>
      </w:divBdr>
    </w:div>
    <w:div w:id="1830442876">
      <w:bodyDiv w:val="1"/>
      <w:marLeft w:val="0"/>
      <w:marRight w:val="0"/>
      <w:marTop w:val="0"/>
      <w:marBottom w:val="0"/>
      <w:divBdr>
        <w:top w:val="none" w:sz="0" w:space="0" w:color="auto"/>
        <w:left w:val="none" w:sz="0" w:space="0" w:color="auto"/>
        <w:bottom w:val="none" w:sz="0" w:space="0" w:color="auto"/>
        <w:right w:val="none" w:sz="0" w:space="0" w:color="auto"/>
      </w:divBdr>
      <w:divsChild>
        <w:div w:id="441267635">
          <w:marLeft w:val="0"/>
          <w:marRight w:val="0"/>
          <w:marTop w:val="0"/>
          <w:marBottom w:val="0"/>
          <w:divBdr>
            <w:top w:val="none" w:sz="0" w:space="0" w:color="auto"/>
            <w:left w:val="none" w:sz="0" w:space="0" w:color="auto"/>
            <w:bottom w:val="none" w:sz="0" w:space="0" w:color="auto"/>
            <w:right w:val="none" w:sz="0" w:space="0" w:color="auto"/>
          </w:divBdr>
        </w:div>
      </w:divsChild>
    </w:div>
    <w:div w:id="1869250126">
      <w:bodyDiv w:val="1"/>
      <w:marLeft w:val="0"/>
      <w:marRight w:val="0"/>
      <w:marTop w:val="0"/>
      <w:marBottom w:val="0"/>
      <w:divBdr>
        <w:top w:val="none" w:sz="0" w:space="0" w:color="auto"/>
        <w:left w:val="none" w:sz="0" w:space="0" w:color="auto"/>
        <w:bottom w:val="none" w:sz="0" w:space="0" w:color="auto"/>
        <w:right w:val="none" w:sz="0" w:space="0" w:color="auto"/>
      </w:divBdr>
    </w:div>
    <w:div w:id="1967352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TIpGKhTGD+DXTKB1IvvqaoPdw==">CgMxLjAyCGguZ2pkZ3hzMgloLjMwajB6bGwyCWguMWZvYjl0ZTIJaC4zem55c2g3MgloLjJldDkycDAyCGgudHlqY3d0MgloLjNkeTZ2a20yCWguMXQzaDVzZjIJaC4xN2RwOHZ1MgloLjRkMzRvZzgyCGgubG54Yno5OAByITFIbWx2UkM2RWRnR0ZXOElOcjRSOXZRNzNiM0dFR3RFRw==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41</Pages>
  <Words>9894</Words>
  <Characters>54418</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45</cp:revision>
  <cp:lastPrinted>2025-08-14T22:23:00Z</cp:lastPrinted>
  <dcterms:created xsi:type="dcterms:W3CDTF">2025-08-07T00:28:00Z</dcterms:created>
  <dcterms:modified xsi:type="dcterms:W3CDTF">2025-08-19T17:54:00Z</dcterms:modified>
</cp:coreProperties>
</file>