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8604B" w14:textId="77777777" w:rsidR="002942EA" w:rsidRDefault="002942EA" w:rsidP="006922F5">
      <w:pPr>
        <w:pBdr>
          <w:top w:val="nil"/>
          <w:left w:val="nil"/>
          <w:bottom w:val="nil"/>
          <w:right w:val="nil"/>
          <w:between w:val="nil"/>
        </w:pBdr>
        <w:contextualSpacing/>
        <w:rPr>
          <w:rFonts w:eastAsia="Palatino Linotype" w:cs="Palatino Linotype"/>
          <w:color w:val="000000"/>
          <w:szCs w:val="24"/>
        </w:rPr>
      </w:pPr>
    </w:p>
    <w:p w14:paraId="49AF2C0C" w14:textId="2688A962"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D92B3E">
        <w:t>doce</w:t>
      </w:r>
      <w:r w:rsidR="000962AC">
        <w:t xml:space="preserve"> de </w:t>
      </w:r>
      <w:r w:rsidR="00FF3E42">
        <w:t>febrero de dos mil veinticinco</w:t>
      </w:r>
      <w:r w:rsidR="0011108B">
        <w:t>.</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1DC2C962"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CC4504">
        <w:rPr>
          <w:rFonts w:eastAsia="Palatino Linotype" w:cs="Palatino Linotype"/>
          <w:b/>
          <w:bCs/>
          <w:color w:val="000000" w:themeColor="text1"/>
          <w:lang w:val="es-ES"/>
        </w:rPr>
        <w:t>00165/INFOEM/IP/RR/2025</w:t>
      </w:r>
      <w:r w:rsidRPr="70652167">
        <w:rPr>
          <w:rFonts w:eastAsia="Palatino Linotype" w:cs="Palatino Linotype"/>
          <w:color w:val="000000" w:themeColor="text1"/>
          <w:lang w:val="es-ES"/>
        </w:rPr>
        <w:t xml:space="preserve">, interpuesto por </w:t>
      </w:r>
      <w:r w:rsidR="00F01403">
        <w:rPr>
          <w:rFonts w:eastAsia="Palatino Linotype" w:cs="Palatino Linotype"/>
          <w:b/>
          <w:bCs/>
          <w:color w:val="000000" w:themeColor="text1"/>
          <w:lang w:val="es-ES"/>
        </w:rPr>
        <w:t>XXXXXXXXXXXXX</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C55359">
        <w:rPr>
          <w:rFonts w:eastAsia="Palatino Linotype" w:cs="Palatino Linotype"/>
          <w:b/>
          <w:bCs/>
          <w:color w:val="000000" w:themeColor="text1"/>
          <w:lang w:val="es-ES"/>
        </w:rPr>
        <w:t>Sistema de Agua Potable, Alcantarillado y Saneamiento de Ecatepec de Morelos</w:t>
      </w:r>
      <w:r w:rsidR="00771E23">
        <w:rPr>
          <w:rFonts w:eastAsia="Palatino Linotype" w:cs="Palatino Linotype"/>
          <w:b/>
          <w:bCs/>
          <w:color w:val="000000" w:themeColor="text1"/>
          <w:lang w:val="es-ES"/>
        </w:rPr>
        <w:t>,</w:t>
      </w:r>
      <w:r w:rsidR="00920835" w:rsidRPr="00920835">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280CD88C"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A24D3F">
        <w:rPr>
          <w:rFonts w:eastAsia="Palatino Linotype" w:cs="Palatino Linotype"/>
          <w:color w:val="000000"/>
          <w:szCs w:val="24"/>
        </w:rPr>
        <w:t>veinti</w:t>
      </w:r>
      <w:r w:rsidR="0025791F">
        <w:rPr>
          <w:rFonts w:eastAsia="Palatino Linotype" w:cs="Palatino Linotype"/>
          <w:color w:val="000000"/>
          <w:szCs w:val="24"/>
        </w:rPr>
        <w:t>nueve</w:t>
      </w:r>
      <w:r w:rsidR="00A24D3F">
        <w:rPr>
          <w:rFonts w:eastAsia="Palatino Linotype" w:cs="Palatino Linotype"/>
          <w:color w:val="000000"/>
          <w:szCs w:val="24"/>
        </w:rPr>
        <w:t xml:space="preserve"> de noviembre</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4C7106">
        <w:rPr>
          <w:rFonts w:eastAsia="Palatino Linotype" w:cs="Palatino Linotype"/>
          <w:b/>
          <w:bCs/>
          <w:color w:val="000000"/>
          <w:szCs w:val="24"/>
        </w:rPr>
        <w:t>00179/OASECATEPE/IP/2024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C6C6705" w:rsidR="00A970D5" w:rsidRPr="006922F5" w:rsidRDefault="70652167" w:rsidP="009950AD">
      <w:pPr>
        <w:pStyle w:val="Fundamentos"/>
      </w:pPr>
      <w:r w:rsidRPr="70652167">
        <w:rPr>
          <w:lang w:val="es-ES"/>
        </w:rPr>
        <w:t>«</w:t>
      </w:r>
      <w:r w:rsidR="00785F67" w:rsidRPr="00785F67">
        <w:rPr>
          <w:lang w:val="es-ES"/>
        </w:rPr>
        <w:t xml:space="preserve">Bajo el derecho que me otorga la LEY FEDERAL DE TRANSPARENCIA Y ACCESO A LA INFORMACIÓN PÚBLICA para solicitarle la información que abajo especifico de los EXPEDIENTES ÚNICOS DE OBRA referente a 3 CONTRATOS DE OBRA PÚBLICA que fueron otorgados mediante la modalidad de ADJUDICACIÓN DIRECTA por el OPD SAPASE con RECURSOS FEDERALES DEL PRODDER 2020 para la PERFORACIÓN DE POZOS PROFUNDOS. En el archivo anexo enlistó los 3 contratos Los documentos que solicito y relaciono a continuación, deben estar integrados obligatoriamente a dichos </w:t>
      </w:r>
      <w:r w:rsidR="00785F67" w:rsidRPr="00785F67">
        <w:rPr>
          <w:lang w:val="es-ES"/>
        </w:rPr>
        <w:lastRenderedPageBreak/>
        <w:t xml:space="preserve">expedientes desde hace 4 años, en apego a la normatividad y plazos que marca LA LEY DE OBRAS PÚBLICAS Y SERVICIOS RELACIONADOS CON LAS MISMAS y su correspondiente REGLAMENTO, para la modalidad de ADJUDICACIÓN DIRECTA desde la factibilidad, hasta su finiquito. 1) ACTA DE ADJUDICACION O FALLO 2) ACTA DE ENTREGA DEL SITIO DE LOS TRABAJOS E INICIO DE LA OBRA 3) OFICIO DE LA DIRECCIÓN GENERAL DEL OPD SAPASE PARA DESIGNAR AL FUNCIONARIO PÚBLICO QUE ASUMIÓ LA RESIDENCIA DE OBRA, CON ACUSE DE RECEPCIÓN LEY DE OBRAS PÚBLICAS Y SERVICIOS RELACIONADOS CON LAS MISMAS “Artículo 53. Las dependencias y entidades establecerán la residencia de obra o servicios con anterioridad a la iniciación de las mismas, la cual deberá recaer en un servidor público designado por la dependencia o entidad, quien fungirá como su representante ante el contratista y será el responsable directo de la supervisión, vigilancia, control y revisión de los trabajos, incluyendo la aprobación de las estimaciones presentadas por los contratistas. La residencia de obra deberá estar ubicada en el sitio de ejecución de los trabajos” 4) ESCRITO DE LA CONTRATISTA PARA DESIGNAR A SU SUPERINTENDENTE DE CONSTRUCCIÓN, CON ACUSE DE RECEPCIÓN LEY DE OBRAS PÚBLICAS Y SERVICIOS RELACIONADOS CON LAS MISMAS “Artículo 53. ……… Por su parte, de manera previa al inicio de los trabajos, los contratistas designarán a un superintendente de construcción o de servicios facultado para oír y recibir toda clase de notificaciones relacionadas con los trabajos, aún las de carácter personal, así como tomar las decisiones que se requieran en todo lo relativo al cumplimiento del contrato” 5) NOTA DE APERTURA DE LA BITÁCORA ELECTRÓNICA Y SEGUIMIENTO A OBRA PÚBLICA (BESOP), IMPLEMENTADA EN TIEMPO REAL POR LA SECRETARÍA DE LA FUNCIÓN PÚBLICA (SFP) ACUERDO POR EL QUE SE ESTABLECEN LAS DISPOSICIONES ADMINISTRATIVAS DE CARÁCTER GENERAL PARA EL USO DEL SISTEMA DE BITÁCORA ELECTRÓNICA Y SEGUIMIENTO A OBRA PÚBLICA https://besop.funcionpublica.gob.mx/contenido/publico/login.jsf 6) NOTA DE CIERRE DE LA BITÁCORA ELECTRÓNICA Y SEGUIMIENTO A OBRA PÚBLICA (BESOP), IMPLEMENTADA EN TIEMPO REAL POR LA SECRETARÍA DE LA FUNCIÓN PÚBLICA (SFP) ACUERDO POR EL QUE SE ESTABLECEN LAS DISPOSICIONES ADMINISTRATIVAS DE CARÁCTER GENERAL PARA EL USO DEL SISTEMA DE BITÁCORA ELECTRÓNICA Y SEGUIMIENTO A OBRA PÚBLICA https://besop.funcionpublica.gob.mx/contenido/publico/login.jsf 7) ACTA DE ENTREGA-RECEPCIÓN DE LOS TRABAJOS A SATISFACCIÓN DEL OPD SAPASE 8) ACTA DE ENTREGA A LA INSTANCIA ENCARGADA DE SU OPERACIÓN EN EL OPD SAPASE 9) SÁBANA FINIQUITO QUE CONTIENE TODOS LOS CONCEPTOS, CANTIDADES, UNIDADES, PRECIOS UNITARIOS Y LAS CANTIDADES E IMPORTES QUE SE VIERON REFLEJADAS EN CADA UNA DE LAS ESTIMACIONES QUE FUERON AUTORIZADAS Y PAGADAS PARA CADA </w:t>
      </w:r>
      <w:r w:rsidR="00785F67" w:rsidRPr="00785F67">
        <w:rPr>
          <w:lang w:val="es-ES"/>
        </w:rPr>
        <w:lastRenderedPageBreak/>
        <w:t>CONTRATO, EN LA QUE SE APRECIE CLARAMENTE CUÁLES FUERON CUBIERTAS CON RECURSOS PRODDER Y CUÁLES POR EL OPD SAPASE</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28CA637F" w14:textId="13DF5D84" w:rsidR="00785F67" w:rsidRDefault="007B7C73"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Recurrente adjuntó a</w:t>
      </w:r>
      <w:r w:rsidR="001D32FC">
        <w:rPr>
          <w:rFonts w:eastAsia="Palatino Linotype" w:cs="Palatino Linotype"/>
          <w:color w:val="000000"/>
          <w:szCs w:val="24"/>
        </w:rPr>
        <w:t xml:space="preserve"> la solicitud de información</w:t>
      </w:r>
      <w:r>
        <w:rPr>
          <w:rFonts w:eastAsia="Palatino Linotype" w:cs="Palatino Linotype"/>
          <w:color w:val="000000"/>
          <w:szCs w:val="24"/>
        </w:rPr>
        <w:t xml:space="preserve"> el documento denominado </w:t>
      </w:r>
      <w:r w:rsidR="002A613A">
        <w:rPr>
          <w:rFonts w:eastAsia="Palatino Linotype" w:cs="Palatino Linotype"/>
          <w:b/>
          <w:bCs/>
          <w:color w:val="000000"/>
          <w:szCs w:val="24"/>
        </w:rPr>
        <w:t>«SAPASE PRODDER 2020.docx»</w:t>
      </w:r>
      <w:r w:rsidR="007F1ABC">
        <w:rPr>
          <w:rFonts w:eastAsia="Palatino Linotype" w:cs="Palatino Linotype"/>
          <w:color w:val="000000"/>
          <w:szCs w:val="24"/>
        </w:rPr>
        <w:t>, cuyo contenido es el siguiente:</w:t>
      </w:r>
    </w:p>
    <w:p w14:paraId="76BC1BAA" w14:textId="3240C882" w:rsidR="007F1ABC" w:rsidRDefault="00F01403" w:rsidP="00F01403">
      <w:pPr>
        <w:pBdr>
          <w:top w:val="nil"/>
          <w:left w:val="nil"/>
          <w:bottom w:val="nil"/>
          <w:right w:val="nil"/>
          <w:between w:val="nil"/>
        </w:pBdr>
        <w:contextualSpacing/>
        <w:jc w:val="center"/>
        <w:rPr>
          <w:rFonts w:eastAsia="Palatino Linotype" w:cs="Palatino Linotype"/>
          <w:color w:val="000000"/>
          <w:szCs w:val="24"/>
        </w:rPr>
      </w:pPr>
      <w:r>
        <w:rPr>
          <w:rFonts w:eastAsia="Palatino Linotype" w:cs="Palatino Linotype"/>
          <w:noProof/>
          <w:color w:val="000000"/>
          <w:szCs w:val="24"/>
          <w:lang w:val="es-MX"/>
        </w:rPr>
        <w:pict w14:anchorId="7A80B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6pt;height:402.1pt">
            <v:imagedata r:id="rId8" o:title="agua"/>
          </v:shape>
        </w:pict>
      </w:r>
      <w:bookmarkStart w:id="0" w:name="_GoBack"/>
      <w:bookmarkEnd w:id="0"/>
    </w:p>
    <w:p w14:paraId="21E01F84" w14:textId="6338C2D1" w:rsidR="00F53EC1" w:rsidRDefault="00F53EC1" w:rsidP="00BE729B">
      <w:pPr>
        <w:pBdr>
          <w:top w:val="nil"/>
          <w:left w:val="nil"/>
          <w:bottom w:val="nil"/>
          <w:right w:val="nil"/>
          <w:between w:val="nil"/>
        </w:pBdr>
        <w:contextualSpacing/>
        <w:jc w:val="center"/>
        <w:rPr>
          <w:rFonts w:eastAsia="Palatino Linotype" w:cs="Palatino Linotype"/>
          <w:color w:val="000000"/>
          <w:szCs w:val="24"/>
        </w:rPr>
      </w:pPr>
      <w:r>
        <w:rPr>
          <w:rFonts w:eastAsia="Palatino Linotype" w:cs="Palatino Linotype"/>
          <w:noProof/>
          <w:color w:val="000000"/>
          <w:szCs w:val="24"/>
          <w:lang w:val="es-MX"/>
        </w:rPr>
        <w:lastRenderedPageBreak/>
        <w:drawing>
          <wp:inline distT="0" distB="0" distL="0" distR="0" wp14:anchorId="1396C1B8" wp14:editId="354DFFF9">
            <wp:extent cx="4591212" cy="4097438"/>
            <wp:effectExtent l="0" t="0" r="0" b="5080"/>
            <wp:docPr id="12095688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8872" name="Imagen 12095688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2812" cy="4179186"/>
                    </a:xfrm>
                    <a:prstGeom prst="rect">
                      <a:avLst/>
                    </a:prstGeom>
                  </pic:spPr>
                </pic:pic>
              </a:graphicData>
            </a:graphic>
          </wp:inline>
        </w:drawing>
      </w:r>
    </w:p>
    <w:p w14:paraId="7E00F973" w14:textId="77777777" w:rsidR="00785F67" w:rsidRDefault="00785F67" w:rsidP="006922F5">
      <w:pPr>
        <w:pBdr>
          <w:top w:val="nil"/>
          <w:left w:val="nil"/>
          <w:bottom w:val="nil"/>
          <w:right w:val="nil"/>
          <w:between w:val="nil"/>
        </w:pBdr>
        <w:contextualSpacing/>
        <w:rPr>
          <w:rFonts w:eastAsia="Palatino Linotype" w:cs="Palatino Linotype"/>
          <w:color w:val="000000"/>
          <w:szCs w:val="24"/>
        </w:rPr>
      </w:pPr>
    </w:p>
    <w:p w14:paraId="720B0263" w14:textId="745AA9C7" w:rsidR="00D3268E" w:rsidRPr="006922F5" w:rsidRDefault="00D279E2" w:rsidP="00D3268E">
      <w:pPr>
        <w:pStyle w:val="Ttulo2"/>
        <w:rPr>
          <w:rFonts w:eastAsia="Palatino Linotype"/>
        </w:rPr>
      </w:pPr>
      <w:r>
        <w:rPr>
          <w:rFonts w:eastAsia="Palatino Linotype"/>
        </w:rPr>
        <w:t>SEGUNDO</w:t>
      </w:r>
      <w:r w:rsidR="00D3268E">
        <w:rPr>
          <w:rFonts w:eastAsia="Palatino Linotype"/>
        </w:rPr>
        <w:t>. De la prórroga para atender la solicitud</w:t>
      </w:r>
      <w:r w:rsidR="00D3268E" w:rsidRPr="006922F5">
        <w:rPr>
          <w:rFonts w:eastAsia="Palatino Linotype"/>
        </w:rPr>
        <w:t>.</w:t>
      </w:r>
    </w:p>
    <w:p w14:paraId="2B678C6C" w14:textId="59C0F5A0" w:rsidR="00D3268E" w:rsidRPr="006922F5" w:rsidRDefault="00D3268E" w:rsidP="00D3268E">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El día </w:t>
      </w:r>
      <w:r w:rsidR="0009686C">
        <w:rPr>
          <w:rFonts w:eastAsia="Palatino Linotype" w:cs="Palatino Linotype"/>
          <w:color w:val="000000"/>
          <w:szCs w:val="24"/>
        </w:rPr>
        <w:t>veinte</w:t>
      </w:r>
      <w:r>
        <w:rPr>
          <w:rFonts w:eastAsia="Palatino Linotype" w:cs="Palatino Linotype"/>
          <w:color w:val="000000"/>
          <w:szCs w:val="24"/>
        </w:rPr>
        <w:t xml:space="preserve"> de diciembre de dos mil veinticuatro</w:t>
      </w:r>
      <w:r w:rsidRPr="006922F5">
        <w:rPr>
          <w:rFonts w:eastAsia="Palatino Linotype" w:cs="Palatino Linotype"/>
          <w:color w:val="000000"/>
          <w:szCs w:val="24"/>
        </w:rPr>
        <w:t xml:space="preserve">, </w:t>
      </w:r>
      <w:r>
        <w:rPr>
          <w:rFonts w:eastAsia="Palatino Linotype" w:cs="Palatino Linotype"/>
          <w:color w:val="000000"/>
          <w:szCs w:val="24"/>
        </w:rPr>
        <w:t>el</w:t>
      </w:r>
      <w:r w:rsidRPr="006922F5">
        <w:rPr>
          <w:rFonts w:eastAsia="Palatino Linotype" w:cs="Palatino Linotype"/>
          <w:color w:val="000000"/>
          <w:szCs w:val="24"/>
        </w:rPr>
        <w:t xml:space="preserve"> </w:t>
      </w:r>
      <w:r>
        <w:rPr>
          <w:rFonts w:eastAsia="Palatino Linotype" w:cs="Palatino Linotype"/>
          <w:color w:val="000000"/>
          <w:szCs w:val="24"/>
        </w:rPr>
        <w:t>Sujeto Obligado hizo del conocimiento de</w:t>
      </w:r>
      <w:r w:rsidR="0009686C">
        <w:rPr>
          <w:rFonts w:eastAsia="Palatino Linotype" w:cs="Palatino Linotype"/>
          <w:color w:val="000000"/>
          <w:szCs w:val="24"/>
        </w:rPr>
        <w:t>l</w:t>
      </w:r>
      <w:r>
        <w:rPr>
          <w:rFonts w:eastAsia="Palatino Linotype" w:cs="Palatino Linotype"/>
          <w:color w:val="000000"/>
          <w:szCs w:val="24"/>
        </w:rPr>
        <w:t xml:space="preserve"> </w:t>
      </w:r>
      <w:r w:rsidRPr="006922F5">
        <w:rPr>
          <w:rFonts w:eastAsia="Palatino Linotype" w:cs="Palatino Linotype"/>
          <w:color w:val="000000"/>
          <w:szCs w:val="24"/>
        </w:rPr>
        <w:t xml:space="preserve">Recurrente </w:t>
      </w:r>
      <w:r>
        <w:rPr>
          <w:rFonts w:eastAsia="Palatino Linotype" w:cs="Palatino Linotype"/>
          <w:color w:val="000000"/>
          <w:szCs w:val="24"/>
        </w:rPr>
        <w:t xml:space="preserve">que el plazo para da atención a la solicitud se prorrogó por un término de siete días, </w:t>
      </w:r>
      <w:r w:rsidR="0009686C">
        <w:rPr>
          <w:rFonts w:eastAsia="Palatino Linotype" w:cs="Palatino Linotype"/>
          <w:color w:val="000000"/>
          <w:szCs w:val="24"/>
        </w:rPr>
        <w:t>conforme a l</w:t>
      </w:r>
      <w:r w:rsidR="00313303">
        <w:rPr>
          <w:rFonts w:eastAsia="Palatino Linotype" w:cs="Palatino Linotype"/>
          <w:color w:val="000000"/>
          <w:szCs w:val="24"/>
        </w:rPr>
        <w:t>as razones expresadas mediante oficio DTCPOM/831/2024</w:t>
      </w:r>
      <w:r w:rsidR="00B676F1">
        <w:rPr>
          <w:rFonts w:eastAsia="Palatino Linotype" w:cs="Palatino Linotype"/>
          <w:color w:val="000000"/>
          <w:szCs w:val="24"/>
        </w:rPr>
        <w:t xml:space="preserve"> emitido por el servidor público habilitado</w:t>
      </w:r>
      <w:r>
        <w:rPr>
          <w:rFonts w:eastAsia="Palatino Linotype" w:cs="Palatino Linotype"/>
          <w:color w:val="000000"/>
          <w:szCs w:val="24"/>
        </w:rPr>
        <w:t xml:space="preserve">, sin que esto se haya acompañado de </w:t>
      </w:r>
      <w:r w:rsidR="00B676F1">
        <w:rPr>
          <w:rFonts w:eastAsia="Palatino Linotype" w:cs="Palatino Linotype"/>
          <w:color w:val="000000"/>
          <w:szCs w:val="24"/>
        </w:rPr>
        <w:t xml:space="preserve">Acuerdo del Comité de Transparencia mediante el cual se haya aprobado </w:t>
      </w:r>
      <w:r w:rsidR="00955122">
        <w:rPr>
          <w:rFonts w:eastAsia="Palatino Linotype" w:cs="Palatino Linotype"/>
          <w:color w:val="000000"/>
          <w:szCs w:val="24"/>
        </w:rPr>
        <w:t xml:space="preserve">la prórroga, como </w:t>
      </w:r>
      <w:r>
        <w:rPr>
          <w:rFonts w:eastAsia="Palatino Linotype" w:cs="Palatino Linotype"/>
          <w:color w:val="000000"/>
          <w:szCs w:val="24"/>
        </w:rPr>
        <w:t>se establece en el artículo 163 de la Ley de Transparencia estatal.</w:t>
      </w:r>
    </w:p>
    <w:p w14:paraId="3E82D9D6" w14:textId="77777777" w:rsidR="00D3268E" w:rsidRDefault="00D3268E" w:rsidP="00D3268E">
      <w:pPr>
        <w:pBdr>
          <w:top w:val="nil"/>
          <w:left w:val="nil"/>
          <w:bottom w:val="nil"/>
          <w:right w:val="nil"/>
          <w:between w:val="nil"/>
        </w:pBdr>
        <w:contextualSpacing/>
        <w:rPr>
          <w:rFonts w:eastAsia="Palatino Linotype" w:cs="Palatino Linotype"/>
          <w:color w:val="000000"/>
          <w:szCs w:val="24"/>
        </w:rPr>
      </w:pPr>
    </w:p>
    <w:p w14:paraId="1AEDC68E" w14:textId="6A1FE38C" w:rsidR="00A970D5" w:rsidRPr="006922F5" w:rsidRDefault="00D279E2" w:rsidP="006922F5">
      <w:pPr>
        <w:pStyle w:val="Ttulo2"/>
        <w:rPr>
          <w:rFonts w:eastAsia="Palatino Linotype"/>
        </w:rPr>
      </w:pPr>
      <w:r>
        <w:rPr>
          <w:rFonts w:eastAsia="Palatino Linotype"/>
        </w:rPr>
        <w:lastRenderedPageBreak/>
        <w:t>TERCER</w:t>
      </w:r>
      <w:r w:rsidR="007A1154">
        <w:rPr>
          <w:rFonts w:eastAsia="Palatino Linotype"/>
        </w:rPr>
        <w:t>O</w:t>
      </w:r>
      <w:r w:rsidR="00A970D5" w:rsidRPr="006922F5">
        <w:rPr>
          <w:rFonts w:eastAsia="Palatino Linotype"/>
        </w:rPr>
        <w:t>. De la respuesta del Sujeto Obligado.</w:t>
      </w:r>
    </w:p>
    <w:p w14:paraId="2EE6F294" w14:textId="1DB11DB4"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4A5EE6">
        <w:rPr>
          <w:rFonts w:eastAsia="Palatino Linotype" w:cs="Palatino Linotype"/>
          <w:color w:val="000000"/>
          <w:szCs w:val="24"/>
        </w:rPr>
        <w:t>veintiuno de enero de dos mil veinticinco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20C627BF" w14:textId="77777777" w:rsidR="0086401C" w:rsidRDefault="23740614" w:rsidP="0086401C">
      <w:pPr>
        <w:pStyle w:val="Fundamentos"/>
        <w:rPr>
          <w:lang w:val="es-ES"/>
        </w:rPr>
      </w:pPr>
      <w:r w:rsidRPr="23740614">
        <w:rPr>
          <w:lang w:val="es-ES"/>
        </w:rPr>
        <w:t>«</w:t>
      </w:r>
      <w:r w:rsidR="0086401C" w:rsidRPr="0086401C">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94C24A" w14:textId="77777777" w:rsidR="0086401C" w:rsidRPr="0086401C" w:rsidRDefault="0086401C" w:rsidP="0086401C">
      <w:pPr>
        <w:pStyle w:val="Fundamentos"/>
        <w:rPr>
          <w:lang w:val="es-ES"/>
        </w:rPr>
      </w:pPr>
    </w:p>
    <w:p w14:paraId="6CEF7C5D" w14:textId="77777777" w:rsidR="0086401C" w:rsidRDefault="0086401C" w:rsidP="0086401C">
      <w:pPr>
        <w:pStyle w:val="Fundamentos"/>
        <w:rPr>
          <w:lang w:val="es-ES"/>
        </w:rPr>
      </w:pPr>
      <w:r w:rsidRPr="0086401C">
        <w:rPr>
          <w:lang w:val="es-ES"/>
        </w:rPr>
        <w:t>Ecatepec de Morelos, Estado de México a 21 de enero de 2025. Folio de la Solicitud: 00179/OASECATEPE/IP/2025 En atención a su solicitud recibida y con fundamento en el artículo 53, fracciones II, V y VI de la Ley de Transparencia y Acceso a la Información Pública del Estado de México y Municipios, me permito hacerle de conocimiento que: Apreciable Solicitante: de conformidad con lo establecido en los artículos 12 y 59 de la Ley de ley de Transparencia Local, y bajo la más estricta responsabilidad del Servidor Público Habilitado, se envía la respuesta a la solicitud de información que nos ocupa en el archivo adjunto en PDF. Dando atención a su solicitud, quedo de usted. A T E N T A M E N T E LIC. MONSERRAT LÓPEZ CRUZ ENCARGADA DE LA UNIDAD DE TRANSPARENCIA</w:t>
      </w:r>
    </w:p>
    <w:p w14:paraId="10584C2A" w14:textId="77777777" w:rsidR="0086401C" w:rsidRPr="0086401C" w:rsidRDefault="0086401C" w:rsidP="0086401C">
      <w:pPr>
        <w:pStyle w:val="Fundamentos"/>
        <w:rPr>
          <w:lang w:val="es-ES"/>
        </w:rPr>
      </w:pPr>
    </w:p>
    <w:p w14:paraId="3A82DB8B" w14:textId="77777777" w:rsidR="0086401C" w:rsidRPr="0086401C" w:rsidRDefault="0086401C" w:rsidP="0086401C">
      <w:pPr>
        <w:pStyle w:val="Fundamentos"/>
        <w:rPr>
          <w:lang w:val="es-ES"/>
        </w:rPr>
      </w:pPr>
      <w:r w:rsidRPr="0086401C">
        <w:rPr>
          <w:lang w:val="es-ES"/>
        </w:rPr>
        <w:t>ATENTAMENTE</w:t>
      </w:r>
    </w:p>
    <w:p w14:paraId="3FE4A9EF" w14:textId="492D4294" w:rsidR="00A970D5" w:rsidRPr="00404754" w:rsidRDefault="0086401C" w:rsidP="0086401C">
      <w:pPr>
        <w:pStyle w:val="Fundamentos"/>
        <w:rPr>
          <w:lang w:val="es-MX"/>
        </w:rPr>
      </w:pPr>
      <w:r w:rsidRPr="0086401C">
        <w:rPr>
          <w:lang w:val="es-ES"/>
        </w:rPr>
        <w:t>C. MANUEL OLVERA GUTIÉRREZ</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57CD3B8A"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0D08B6">
        <w:rPr>
          <w:rFonts w:eastAsia="Palatino Linotype" w:cs="Palatino Linotype"/>
          <w:color w:val="000000" w:themeColor="text1"/>
          <w:lang w:val="es-ES"/>
        </w:rPr>
        <w:t>el documento</w:t>
      </w:r>
      <w:r w:rsidRPr="70652167">
        <w:rPr>
          <w:rFonts w:eastAsia="Palatino Linotype" w:cs="Palatino Linotype"/>
          <w:color w:val="000000" w:themeColor="text1"/>
          <w:lang w:val="es-ES"/>
        </w:rPr>
        <w:t xml:space="preserve"> denominado</w:t>
      </w:r>
      <w:r w:rsidR="00A63CD7">
        <w:rPr>
          <w:rFonts w:eastAsia="Palatino Linotype" w:cs="Palatino Linotype"/>
          <w:color w:val="000000" w:themeColor="text1"/>
          <w:lang w:val="es-ES"/>
        </w:rPr>
        <w:t xml:space="preserve"> </w:t>
      </w:r>
      <w:r w:rsidR="00A63CD7" w:rsidRPr="70652167">
        <w:rPr>
          <w:rFonts w:eastAsia="Palatino Linotype" w:cs="Palatino Linotype"/>
          <w:b/>
          <w:bCs/>
          <w:color w:val="000000" w:themeColor="text1"/>
          <w:lang w:val="es-ES"/>
        </w:rPr>
        <w:t>«</w:t>
      </w:r>
      <w:r w:rsidR="000D08B6">
        <w:rPr>
          <w:rFonts w:eastAsia="Palatino Linotype" w:cs="Palatino Linotype"/>
          <w:b/>
          <w:bCs/>
          <w:color w:val="000000" w:themeColor="text1"/>
          <w:lang w:val="es-ES"/>
        </w:rPr>
        <w:t>RESPUESTA</w:t>
      </w:r>
      <w:r w:rsidR="00FC6B73">
        <w:rPr>
          <w:rFonts w:eastAsia="Palatino Linotype" w:cs="Palatino Linotype"/>
          <w:b/>
          <w:bCs/>
          <w:color w:val="000000" w:themeColor="text1"/>
          <w:lang w:val="es-ES"/>
        </w:rPr>
        <w:t xml:space="preserve"> 00179-24</w:t>
      </w:r>
      <w:r w:rsidR="001E4621" w:rsidRPr="70652167">
        <w:rPr>
          <w:rFonts w:eastAsia="Palatino Linotype" w:cs="Palatino Linotype"/>
          <w:b/>
          <w:bCs/>
          <w:color w:val="000000" w:themeColor="text1"/>
          <w:lang w:val="es-ES"/>
        </w:rPr>
        <w:t>.pdf»</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3E067EEE" w:rsidR="00A970D5" w:rsidRPr="006922F5" w:rsidRDefault="00D279E2" w:rsidP="006922F5">
      <w:pPr>
        <w:pStyle w:val="Ttulo2"/>
        <w:rPr>
          <w:rFonts w:eastAsia="Palatino Linotype"/>
        </w:rPr>
      </w:pPr>
      <w:r>
        <w:rPr>
          <w:rFonts w:eastAsia="Palatino Linotype"/>
        </w:rPr>
        <w:t>CUART</w:t>
      </w:r>
      <w:r w:rsidR="007A1154">
        <w:rPr>
          <w:rFonts w:eastAsia="Palatino Linotype"/>
        </w:rPr>
        <w:t>O</w:t>
      </w:r>
      <w:r w:rsidR="00A970D5" w:rsidRPr="006922F5">
        <w:rPr>
          <w:rFonts w:eastAsia="Palatino Linotype"/>
        </w:rPr>
        <w:t>. Del recurso de revisión.</w:t>
      </w:r>
    </w:p>
    <w:p w14:paraId="0C8C3A2F" w14:textId="0B9699C1"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DE2889">
        <w:rPr>
          <w:rFonts w:eastAsia="Palatino Linotype" w:cs="Palatino Linotype"/>
          <w:color w:val="000000"/>
          <w:szCs w:val="24"/>
        </w:rPr>
        <w:t>veintidós de enero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CC4504">
        <w:rPr>
          <w:rFonts w:eastAsia="Palatino Linotype" w:cs="Palatino Linotype"/>
          <w:b/>
          <w:color w:val="000000"/>
          <w:szCs w:val="24"/>
        </w:rPr>
        <w:t>00165/INFOEM/IP/RR/2025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65496F7E" w:rsidR="00A970D5" w:rsidRPr="006922F5" w:rsidRDefault="5C35490E" w:rsidP="5C35490E">
      <w:pPr>
        <w:pStyle w:val="Fundamentos"/>
        <w:rPr>
          <w:b/>
          <w:bCs/>
          <w:lang w:val="es-ES"/>
        </w:rPr>
      </w:pPr>
      <w:r w:rsidRPr="5C35490E">
        <w:rPr>
          <w:lang w:val="es-ES"/>
        </w:rPr>
        <w:t>«</w:t>
      </w:r>
      <w:r w:rsidR="00BD6710" w:rsidRPr="00BD6710">
        <w:rPr>
          <w:lang w:val="es-ES"/>
        </w:rPr>
        <w:t>Solicitó RECURSO DE REVISIÓN para la solicitud 00179/0ASECATEPE/IP/2024</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516EF833" w:rsidR="00300EA0" w:rsidRPr="006922F5" w:rsidRDefault="00300EA0" w:rsidP="00300EA0">
      <w:pPr>
        <w:pStyle w:val="Fundamentos"/>
        <w:rPr>
          <w:b/>
          <w:bCs/>
          <w:lang w:val="es-ES"/>
        </w:rPr>
      </w:pPr>
      <w:r w:rsidRPr="5C35490E">
        <w:rPr>
          <w:lang w:val="es-ES"/>
        </w:rPr>
        <w:t>«</w:t>
      </w:r>
      <w:r w:rsidR="00BD6710" w:rsidRPr="00BD6710">
        <w:rPr>
          <w:lang w:val="es-ES"/>
        </w:rPr>
        <w:t>Solicitó RECURSO DE REVISIÓN para el presente asunto, una vez que NO ME SATISFACE la respuesta ingenua, (por decir lo menos), que me dieron. Las obras de las cuales solicitó información, fueron llevadas a cabo en la administración 2019 2021, motivo por el cual no pueden estar relacionadas en la entrega recepción de la administración 2022 2024. Los contratos referidos en mi solicitud fueron ejecutados en el año 2020 en la modalidad de asignación directa, con recursos federales del PRODDER 2020, por si no les quedó claro. En el año 2021, debieron haberse finiquitado los recursos, debido a la suspensión que se debió haber otorgado a los contratos por el inicio de la pandemia del COVID 19. Debiendo haberse puesto al corriente en los informes de aplicación de los recursos y avance de obra ante la Conagua y, haber concluido la integración de los EXPEDIENTES ÚNICOS DE OBRA que marca la LEY DE OBRAS PÚBLICAS Y SERVICIOS RELACIONADOS CON LAS MISMAS. Resguardándolos por lo menos 5 años antes de incorporarlos al archivo muerto. Lo anterior, sólo demuestra el grado de incapacidad e ignorancia de los servidores públicos de esta administración. Es el caso del actual DIRECTOR TÉCNICO DE CONSTRUCCIÓN OPERACIÓN Y MANTENIMIENTO, el cuál en el año 2019, intentó usurpar dicho cargo sin la autorización del PRESIDENTE MUNICIPAL de ese entonces, debiendo ser desalojado vergonzosamente, por el entonces DIRECTOR GENERAL del organismo. Muy probablemente, para encargarse de la ejecución de las obras motivo de mi solicitud, intentando sorprender con su respuesta a este servidor. Anexo archivo de mi solicitud inicial</w:t>
      </w:r>
      <w:r w:rsidRPr="5C35490E">
        <w:rPr>
          <w:lang w:val="es-ES"/>
        </w:rPr>
        <w:t>» (Sic)</w:t>
      </w:r>
    </w:p>
    <w:p w14:paraId="57B4A6CF" w14:textId="77777777" w:rsidR="00300EA0" w:rsidRDefault="00300EA0" w:rsidP="006922F5">
      <w:pPr>
        <w:contextualSpacing/>
        <w:rPr>
          <w:rFonts w:eastAsia="Palatino Linotype" w:cs="Palatino Linotype"/>
          <w:iCs/>
          <w:szCs w:val="24"/>
          <w:lang w:val="es-ES"/>
        </w:rPr>
      </w:pPr>
    </w:p>
    <w:p w14:paraId="725CEDC7" w14:textId="3B2379F9" w:rsidR="00390EBF" w:rsidRPr="00FC6B73" w:rsidRDefault="00390EBF" w:rsidP="006922F5">
      <w:pPr>
        <w:contextualSpacing/>
        <w:rPr>
          <w:rFonts w:eastAsia="Palatino Linotype" w:cs="Palatino Linotype"/>
          <w:iCs/>
          <w:szCs w:val="24"/>
          <w:lang w:val="es-ES"/>
        </w:rPr>
      </w:pPr>
      <w:r>
        <w:rPr>
          <w:rFonts w:eastAsia="Palatino Linotype" w:cs="Palatino Linotype"/>
          <w:iCs/>
          <w:szCs w:val="24"/>
          <w:lang w:val="es-ES"/>
        </w:rPr>
        <w:t>A</w:t>
      </w:r>
      <w:r w:rsidR="00F1523B">
        <w:rPr>
          <w:rFonts w:eastAsia="Palatino Linotype" w:cs="Palatino Linotype"/>
          <w:iCs/>
          <w:szCs w:val="24"/>
          <w:lang w:val="es-ES"/>
        </w:rPr>
        <w:t xml:space="preserve">l recurso de revisión se adjuntaron los documentos denominados </w:t>
      </w:r>
      <w:r w:rsidR="00F1523B">
        <w:rPr>
          <w:rFonts w:eastAsia="Palatino Linotype" w:cs="Palatino Linotype"/>
          <w:b/>
          <w:bCs/>
          <w:color w:val="000000"/>
          <w:szCs w:val="24"/>
        </w:rPr>
        <w:t>«SAPASE PRODDER 2020.docx»</w:t>
      </w:r>
      <w:r w:rsidR="00F1523B">
        <w:rPr>
          <w:rFonts w:eastAsia="Palatino Linotype" w:cs="Palatino Linotype"/>
          <w:color w:val="000000"/>
          <w:szCs w:val="24"/>
        </w:rPr>
        <w:t xml:space="preserve"> y </w:t>
      </w:r>
      <w:r w:rsidR="00F1523B" w:rsidRPr="70652167">
        <w:rPr>
          <w:rFonts w:eastAsia="Palatino Linotype" w:cs="Palatino Linotype"/>
          <w:b/>
          <w:bCs/>
          <w:color w:val="000000" w:themeColor="text1"/>
          <w:lang w:val="es-ES"/>
        </w:rPr>
        <w:t>«</w:t>
      </w:r>
      <w:r w:rsidR="00FC6B73" w:rsidRPr="00FC6B73">
        <w:rPr>
          <w:rFonts w:eastAsia="Palatino Linotype" w:cs="Palatino Linotype"/>
          <w:b/>
          <w:bCs/>
          <w:color w:val="000000" w:themeColor="text1"/>
          <w:lang w:val="es-ES"/>
        </w:rPr>
        <w:t xml:space="preserve"> </w:t>
      </w:r>
      <w:r w:rsidR="00FC6B73">
        <w:rPr>
          <w:rFonts w:eastAsia="Palatino Linotype" w:cs="Palatino Linotype"/>
          <w:b/>
          <w:bCs/>
          <w:color w:val="000000" w:themeColor="text1"/>
          <w:lang w:val="es-ES"/>
        </w:rPr>
        <w:t>RESPUESTA 00179-24 (2)</w:t>
      </w:r>
      <w:r w:rsidR="00FC6B73" w:rsidRPr="70652167">
        <w:rPr>
          <w:rFonts w:eastAsia="Palatino Linotype" w:cs="Palatino Linotype"/>
          <w:b/>
          <w:bCs/>
          <w:color w:val="000000" w:themeColor="text1"/>
          <w:lang w:val="es-ES"/>
        </w:rPr>
        <w:t xml:space="preserve">.pdf </w:t>
      </w:r>
      <w:r w:rsidR="00F1523B" w:rsidRPr="70652167">
        <w:rPr>
          <w:rFonts w:eastAsia="Palatino Linotype" w:cs="Palatino Linotype"/>
          <w:b/>
          <w:bCs/>
          <w:color w:val="000000" w:themeColor="text1"/>
          <w:lang w:val="es-ES"/>
        </w:rPr>
        <w:t>»</w:t>
      </w:r>
      <w:r w:rsidR="00FC6B73">
        <w:rPr>
          <w:rFonts w:eastAsia="Palatino Linotype" w:cs="Palatino Linotype"/>
          <w:color w:val="000000" w:themeColor="text1"/>
          <w:lang w:val="es-ES"/>
        </w:rPr>
        <w:t xml:space="preserve">, que consiste en el documento </w:t>
      </w:r>
      <w:r w:rsidR="000F44C1">
        <w:rPr>
          <w:rFonts w:eastAsia="Palatino Linotype" w:cs="Palatino Linotype"/>
          <w:color w:val="000000" w:themeColor="text1"/>
          <w:lang w:val="es-ES"/>
        </w:rPr>
        <w:t>adjunto a la solicitud y a la respuesta del Sujeto Obligado, respectivamente.</w:t>
      </w:r>
    </w:p>
    <w:p w14:paraId="0A3CE1C1" w14:textId="77777777" w:rsidR="00390EBF" w:rsidRDefault="00390EBF" w:rsidP="006922F5">
      <w:pPr>
        <w:contextualSpacing/>
        <w:rPr>
          <w:rFonts w:eastAsia="Palatino Linotype" w:cs="Palatino Linotype"/>
          <w:iCs/>
          <w:szCs w:val="24"/>
          <w:lang w:val="es-ES"/>
        </w:rPr>
      </w:pPr>
    </w:p>
    <w:p w14:paraId="11D7F189" w14:textId="47C37BCD" w:rsidR="00A970D5" w:rsidRPr="006922F5" w:rsidRDefault="00D279E2" w:rsidP="006922F5">
      <w:pPr>
        <w:pStyle w:val="Ttulo2"/>
        <w:rPr>
          <w:rFonts w:eastAsia="Palatino Linotype"/>
        </w:rPr>
      </w:pPr>
      <w:r>
        <w:rPr>
          <w:rFonts w:eastAsia="Palatino Linotype"/>
        </w:rPr>
        <w:t>QUIN</w:t>
      </w:r>
      <w:r w:rsidR="007A1154">
        <w:rPr>
          <w:rFonts w:eastAsia="Palatino Linotype"/>
        </w:rPr>
        <w:t>TO</w:t>
      </w:r>
      <w:r w:rsidR="00A970D5" w:rsidRPr="006922F5">
        <w:rPr>
          <w:rFonts w:eastAsia="Palatino Linotype"/>
        </w:rPr>
        <w:t>. Del turno y admisión del recurso de revisión.</w:t>
      </w:r>
    </w:p>
    <w:p w14:paraId="2459DEBA" w14:textId="2D3C1474"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xml:space="preserve">, por medio del sistema electrónico en términos del numeral 185 fracción I de la </w:t>
      </w:r>
      <w:r w:rsidRPr="70652167">
        <w:rPr>
          <w:rFonts w:eastAsia="Palatino Linotype" w:cs="Palatino Linotype"/>
          <w:color w:val="000000" w:themeColor="text1"/>
          <w:lang w:val="es-ES"/>
        </w:rPr>
        <w:lastRenderedPageBreak/>
        <w:t>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C8778D">
        <w:rPr>
          <w:rFonts w:eastAsia="Palatino Linotype" w:cs="Palatino Linotype"/>
          <w:color w:val="000000" w:themeColor="text1"/>
          <w:lang w:val="es-ES"/>
        </w:rPr>
        <w:t>veintisiete</w:t>
      </w:r>
      <w:r w:rsidR="00774AC3">
        <w:rPr>
          <w:rFonts w:eastAsia="Palatino Linotype" w:cs="Palatino Linotype"/>
          <w:color w:val="000000" w:themeColor="text1"/>
          <w:lang w:val="es-ES"/>
        </w:rPr>
        <w:t xml:space="preserve"> de enero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15F2426" w:rsidR="00A970D5" w:rsidRPr="006922F5" w:rsidRDefault="009249F3" w:rsidP="006922F5">
      <w:pPr>
        <w:pStyle w:val="Ttulo2"/>
        <w:rPr>
          <w:rFonts w:eastAsia="Palatino Linotype"/>
        </w:rPr>
      </w:pPr>
      <w:r>
        <w:rPr>
          <w:rFonts w:eastAsia="Palatino Linotype"/>
        </w:rPr>
        <w:t>SEX</w:t>
      </w:r>
      <w:r w:rsidR="007A1154">
        <w:rPr>
          <w:rFonts w:eastAsia="Palatino Linotype"/>
        </w:rPr>
        <w:t>TO</w:t>
      </w:r>
      <w:r w:rsidR="00A970D5" w:rsidRPr="006922F5">
        <w:rPr>
          <w:rFonts w:eastAsia="Palatino Linotype"/>
        </w:rPr>
        <w:t>. De la etapa de instrucción.</w:t>
      </w:r>
    </w:p>
    <w:p w14:paraId="2F49BCDE" w14:textId="75B58825" w:rsidR="00707E9C" w:rsidRPr="009D62BC" w:rsidRDefault="00707E9C" w:rsidP="00707E9C">
      <w:pPr>
        <w:pBdr>
          <w:top w:val="nil"/>
          <w:left w:val="nil"/>
          <w:bottom w:val="nil"/>
          <w:right w:val="nil"/>
          <w:between w:val="nil"/>
        </w:pBdr>
        <w:contextualSpacing/>
        <w:rPr>
          <w:rFonts w:eastAsia="Palatino Linotype" w:cs="Palatino Linotype"/>
          <w:color w:val="000000"/>
        </w:rPr>
      </w:pPr>
      <w:r w:rsidRPr="1B94458F">
        <w:rPr>
          <w:rFonts w:eastAsia="Palatino Linotype" w:cs="Palatino Linotype"/>
          <w:color w:val="000000" w:themeColor="text1"/>
        </w:rPr>
        <w:t xml:space="preserve">Una vez abierta la etapa de instrucción, se observa que el Sujeto Obligado omitió rendir el Informe Justificado. Por su parte, </w:t>
      </w:r>
      <w:r w:rsidR="003D7841">
        <w:rPr>
          <w:rFonts w:eastAsia="Palatino Linotype" w:cs="Palatino Linotype"/>
          <w:color w:val="000000" w:themeColor="text1"/>
        </w:rPr>
        <w:t>el</w:t>
      </w:r>
      <w:r w:rsidRPr="1B94458F">
        <w:rPr>
          <w:rFonts w:eastAsia="Palatino Linotype" w:cs="Palatino Linotype"/>
          <w:color w:val="000000" w:themeColor="text1"/>
        </w:rPr>
        <w:t xml:space="preserve"> Recurrente no realizó manifestaciones, vertió alegatos ni presentó pruebas que a su derecho convinieran.</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49500BE9" w:rsidR="00A970D5" w:rsidRPr="006922F5" w:rsidRDefault="007A1154" w:rsidP="006922F5">
      <w:pPr>
        <w:pStyle w:val="Ttulo2"/>
        <w:rPr>
          <w:rFonts w:eastAsia="Palatino Linotype"/>
        </w:rPr>
      </w:pPr>
      <w:r>
        <w:rPr>
          <w:rFonts w:eastAsia="Palatino Linotype"/>
        </w:rPr>
        <w:t>S</w:t>
      </w:r>
      <w:r w:rsidR="009249F3">
        <w:rPr>
          <w:rFonts w:eastAsia="Palatino Linotype"/>
        </w:rPr>
        <w:t>ÉPTIM</w:t>
      </w:r>
      <w:r>
        <w:rPr>
          <w:rFonts w:eastAsia="Palatino Linotype"/>
        </w:rPr>
        <w:t>O</w:t>
      </w:r>
      <w:r w:rsidR="00A970D5" w:rsidRPr="006922F5">
        <w:rPr>
          <w:rFonts w:eastAsia="Palatino Linotype"/>
        </w:rPr>
        <w:t>. Del cierre de instrucción.</w:t>
      </w:r>
    </w:p>
    <w:p w14:paraId="2456F4BD" w14:textId="08D672EC"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CF427E">
        <w:rPr>
          <w:rFonts w:eastAsia="Palatino Linotype" w:cs="Palatino Linotype"/>
          <w:color w:val="000000"/>
          <w:szCs w:val="24"/>
        </w:rPr>
        <w:t>siete de febrero</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264613">
        <w:rPr>
          <w:rFonts w:eastAsia="Palatino Linotype" w:cs="Palatino Linotype"/>
          <w:color w:val="000000"/>
          <w:szCs w:val="24"/>
        </w:rPr>
        <w:lastRenderedPageBreak/>
        <w:t xml:space="preserve">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7E828C31" w14:textId="3F271136" w:rsidR="00454915" w:rsidRPr="006922F5" w:rsidRDefault="006726AD" w:rsidP="00454915">
      <w:pPr>
        <w:pStyle w:val="Ttulo2"/>
        <w:rPr>
          <w:rFonts w:eastAsia="Palatino Linotype"/>
        </w:rPr>
      </w:pPr>
      <w:r>
        <w:rPr>
          <w:rFonts w:eastAsia="Palatino Linotype"/>
        </w:rPr>
        <w:t>TERCERO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19177206" w:rsidR="00454915" w:rsidRPr="006922F5" w:rsidRDefault="00EE4EE4" w:rsidP="00454915">
      <w:pPr>
        <w:pStyle w:val="Ttulo2"/>
        <w:rPr>
          <w:rFonts w:eastAsia="Palatino Linotype"/>
        </w:rPr>
      </w:pPr>
      <w:r>
        <w:rPr>
          <w:rFonts w:eastAsia="Palatino Linotype"/>
        </w:rPr>
        <w:t>CUAR</w:t>
      </w:r>
      <w:r w:rsidR="00F45971">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226127D8" w14:textId="0776CD77" w:rsidR="006E21BF" w:rsidRDefault="0EE28084" w:rsidP="0EE28084">
      <w:pPr>
        <w:rPr>
          <w:rFonts w:eastAsiaTheme="minorEastAsia" w:cstheme="minorBidi"/>
          <w:lang w:val="es-ES" w:eastAsia="en-US"/>
        </w:rPr>
      </w:pPr>
      <w:r w:rsidRPr="0EE28084">
        <w:rPr>
          <w:rFonts w:eastAsiaTheme="minorEastAsia" w:cstheme="minorBidi"/>
          <w:lang w:val="es-ES" w:eastAsia="en-US"/>
        </w:rPr>
        <w:t>En virtud de lo anterior, es conveniente recordar que el Recurrente requirió que</w:t>
      </w:r>
      <w:r w:rsidR="00CF427E">
        <w:rPr>
          <w:rFonts w:eastAsiaTheme="minorEastAsia" w:cstheme="minorBidi"/>
          <w:lang w:val="es-ES" w:eastAsia="en-US"/>
        </w:rPr>
        <w:t>, respecto de los contratos SAPASE/AD/PU/001/2020, SAPASE/AD/PU/002/2020 y SAPASE/AD/PU/003/2020, correspondientes a las obras de perforación de pozo profundo «Cruz Roja», perforación de pozo profundo «John F. Kennedy</w:t>
      </w:r>
      <w:r w:rsidR="00012F8B">
        <w:rPr>
          <w:rFonts w:eastAsiaTheme="minorEastAsia" w:cstheme="minorBidi"/>
          <w:lang w:val="es-ES" w:eastAsia="en-US"/>
        </w:rPr>
        <w:t>» y perforación de pozo profundo «Laureles», respectivamente,</w:t>
      </w:r>
      <w:r w:rsidRPr="0EE28084">
        <w:rPr>
          <w:rFonts w:eastAsiaTheme="minorEastAsia" w:cstheme="minorBidi"/>
          <w:lang w:val="es-ES" w:eastAsia="en-US"/>
        </w:rPr>
        <w:t xml:space="preserve"> se le </w:t>
      </w:r>
      <w:r w:rsidR="00012F8B">
        <w:rPr>
          <w:rFonts w:eastAsiaTheme="minorEastAsia" w:cstheme="minorBidi"/>
          <w:lang w:val="es-ES" w:eastAsia="en-US"/>
        </w:rPr>
        <w:t>proporcionara</w:t>
      </w:r>
      <w:r w:rsidR="006E21BF">
        <w:rPr>
          <w:rFonts w:eastAsiaTheme="minorEastAsia" w:cstheme="minorBidi"/>
          <w:lang w:val="es-ES" w:eastAsia="en-US"/>
        </w:rPr>
        <w:t xml:space="preserve"> lo siguiente:</w:t>
      </w:r>
    </w:p>
    <w:p w14:paraId="01058998" w14:textId="77777777" w:rsidR="006E21BF" w:rsidRDefault="006E21BF" w:rsidP="0EE28084">
      <w:pPr>
        <w:rPr>
          <w:rFonts w:eastAsiaTheme="minorEastAsia" w:cstheme="minorBidi"/>
          <w:lang w:val="es-ES" w:eastAsia="en-US"/>
        </w:rPr>
      </w:pPr>
    </w:p>
    <w:p w14:paraId="4D4D45FC" w14:textId="5B26E89E" w:rsidR="006E21BF"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Acta de adjudicación o fallo.</w:t>
      </w:r>
    </w:p>
    <w:p w14:paraId="7EB6E0D8" w14:textId="53FF9110"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Acta de entrega del sitio de los trabajos e inicio de obra.</w:t>
      </w:r>
    </w:p>
    <w:p w14:paraId="0E6CECF4" w14:textId="531F43C9"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lastRenderedPageBreak/>
        <w:t>Oficio de la Dirección General del Sujeto Obligado para designar al funcionario público que asumió la residencia de la obra, con acuse de recepción, conforme a lo establecido en el artículo 53 de la Ley de Obras Públicas y Servicios relacionados con las mismas.</w:t>
      </w:r>
      <w:r w:rsidR="00B50BEE">
        <w:rPr>
          <w:rFonts w:eastAsiaTheme="minorEastAsia" w:cstheme="minorBidi"/>
          <w:lang w:eastAsia="en-US"/>
        </w:rPr>
        <w:t xml:space="preserve"> </w:t>
      </w:r>
    </w:p>
    <w:p w14:paraId="44182440" w14:textId="2E409579"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Escrito de la contratista para designar a su superintendente de construcción, con acuse de recepción.</w:t>
      </w:r>
    </w:p>
    <w:p w14:paraId="7EB316B9" w14:textId="7DDF68EA"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Nota de apertura de la bitácora electrónica y seguimiento a obra pública (BESOP) implementada en tiempo real implementada por la Secretaría de la Función Pública.</w:t>
      </w:r>
    </w:p>
    <w:p w14:paraId="7EC8DCE1" w14:textId="74C34020"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Nota de cierre de la bitácora electrónica y seguimiento a obra pública (BESOP) implementada en tiempo real por la Secretaría de la Función Pública.</w:t>
      </w:r>
    </w:p>
    <w:p w14:paraId="0180120D" w14:textId="0E93924C"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Acta de entrega-recepción de los trabajos a satisfacción del Sujeto Obligado.</w:t>
      </w:r>
    </w:p>
    <w:p w14:paraId="4E602FB2" w14:textId="530B3F96"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Acta de entrega a la instancia encargada de su operación en el Sujeto Obligado.</w:t>
      </w:r>
    </w:p>
    <w:p w14:paraId="7193478D" w14:textId="2B207B15" w:rsidR="00012F8B" w:rsidRDefault="00012F8B" w:rsidP="00A0565F">
      <w:pPr>
        <w:pStyle w:val="Prrafodelista"/>
        <w:numPr>
          <w:ilvl w:val="0"/>
          <w:numId w:val="46"/>
        </w:numPr>
        <w:rPr>
          <w:rFonts w:eastAsiaTheme="minorEastAsia" w:cstheme="minorBidi"/>
          <w:lang w:eastAsia="en-US"/>
        </w:rPr>
      </w:pPr>
      <w:r>
        <w:rPr>
          <w:rFonts w:eastAsiaTheme="minorEastAsia" w:cstheme="minorBidi"/>
          <w:lang w:eastAsia="en-US"/>
        </w:rPr>
        <w:t>Sábana finiquito que contenga todos los conceptos, cantidades, unidades, precios unitarios y cantidades e importes que se vieron re</w:t>
      </w:r>
      <w:r w:rsidR="00142AF7">
        <w:rPr>
          <w:rFonts w:eastAsiaTheme="minorEastAsia" w:cstheme="minorBidi"/>
          <w:lang w:eastAsia="en-US"/>
        </w:rPr>
        <w:t>flejadas en cada una de las estimaciones que fueron autorizadas y pagadas para cada contrato, en la que se observe cuáles fueron cubiertas con recursos PRODDER y cuáles por el Sujeto Obligado.</w:t>
      </w:r>
    </w:p>
    <w:p w14:paraId="093B1C89" w14:textId="77777777" w:rsidR="00012F8B" w:rsidRDefault="00012F8B" w:rsidP="00AA6088">
      <w:pPr>
        <w:pBdr>
          <w:top w:val="nil"/>
          <w:left w:val="nil"/>
          <w:bottom w:val="nil"/>
          <w:right w:val="nil"/>
          <w:between w:val="nil"/>
        </w:pBdr>
        <w:contextualSpacing/>
        <w:rPr>
          <w:rFonts w:eastAsia="Palatino Linotype" w:cs="Palatino Linotype"/>
          <w:color w:val="000000"/>
          <w:szCs w:val="24"/>
        </w:rPr>
      </w:pPr>
    </w:p>
    <w:p w14:paraId="61D7C787" w14:textId="63DC34CB" w:rsidR="00E25725" w:rsidRPr="004903B6" w:rsidRDefault="00A970D5" w:rsidP="004903B6">
      <w:pPr>
        <w:pBdr>
          <w:top w:val="nil"/>
          <w:left w:val="nil"/>
          <w:bottom w:val="nil"/>
          <w:right w:val="nil"/>
          <w:between w:val="nil"/>
        </w:pBdr>
        <w:contextualSpacing/>
        <w:rPr>
          <w:rFonts w:eastAsia="Palatino Linotype" w:cs="Palatino Linotype"/>
          <w:bCs/>
          <w:color w:val="000000"/>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B3370C">
        <w:rPr>
          <w:rFonts w:eastAsia="Palatino Linotype" w:cs="Palatino Linotype"/>
          <w:color w:val="000000"/>
          <w:szCs w:val="24"/>
        </w:rPr>
        <w:t>l</w:t>
      </w:r>
      <w:r w:rsidR="001F2F39">
        <w:rPr>
          <w:rFonts w:eastAsia="Palatino Linotype" w:cs="Palatino Linotype"/>
          <w:color w:val="000000"/>
          <w:szCs w:val="24"/>
        </w:rPr>
        <w:t xml:space="preserve"> </w:t>
      </w:r>
      <w:r w:rsidR="00E56AE4">
        <w:rPr>
          <w:rFonts w:eastAsia="Palatino Linotype" w:cs="Palatino Linotype"/>
          <w:color w:val="000000"/>
          <w:szCs w:val="24"/>
        </w:rPr>
        <w:t xml:space="preserve">documento denominado </w:t>
      </w:r>
      <w:r w:rsidR="00AA6088" w:rsidRPr="00AA6088">
        <w:rPr>
          <w:rFonts w:eastAsia="Palatino Linotype" w:cs="Palatino Linotype"/>
          <w:b/>
          <w:bCs/>
          <w:color w:val="000000"/>
          <w:szCs w:val="24"/>
        </w:rPr>
        <w:t>«</w:t>
      </w:r>
      <w:r w:rsidR="006C698A" w:rsidRPr="006C698A">
        <w:rPr>
          <w:rFonts w:eastAsia="Palatino Linotype" w:cs="Palatino Linotype"/>
          <w:b/>
          <w:bCs/>
          <w:color w:val="000000"/>
        </w:rPr>
        <w:t>RESPUESTA 00179-24.pdf</w:t>
      </w:r>
      <w:r w:rsidR="00AA6088" w:rsidRPr="00AA6088">
        <w:rPr>
          <w:rFonts w:eastAsia="Palatino Linotype" w:cs="Palatino Linotype"/>
          <w:b/>
          <w:bCs/>
          <w:color w:val="000000"/>
        </w:rPr>
        <w:t>»</w:t>
      </w:r>
      <w:r w:rsidR="00AA6088" w:rsidRPr="00AA6088">
        <w:rPr>
          <w:rFonts w:eastAsia="Palatino Linotype" w:cs="Palatino Linotype"/>
          <w:color w:val="000000"/>
        </w:rPr>
        <w:t>, consistente del o</w:t>
      </w:r>
      <w:r w:rsidR="00E84FDA" w:rsidRPr="00AA6088">
        <w:rPr>
          <w:rFonts w:eastAsia="Palatino Linotype" w:cs="Palatino Linotype"/>
          <w:color w:val="000000"/>
        </w:rPr>
        <w:t>ficio</w:t>
      </w:r>
      <w:r w:rsidR="00E84FDA" w:rsidRPr="00AA6088">
        <w:rPr>
          <w:rFonts w:eastAsia="Palatino Linotype" w:cs="Palatino Linotype"/>
          <w:bCs/>
          <w:color w:val="000000"/>
        </w:rPr>
        <w:t xml:space="preserve"> </w:t>
      </w:r>
      <w:r w:rsidR="00C67D0D">
        <w:rPr>
          <w:rFonts w:eastAsia="Palatino Linotype" w:cs="Palatino Linotype"/>
          <w:bCs/>
          <w:color w:val="000000"/>
        </w:rPr>
        <w:t>DTCOM/OF-047/2025 emitido por el Encargado de la Dirección Técnica de Construcción, Operación y Mantenimiento, mediante el cual informó que, en el proceso de entrega-recepción de la Administración Pública 2022-2024</w:t>
      </w:r>
      <w:r w:rsidR="00A90C05">
        <w:rPr>
          <w:rFonts w:eastAsia="Palatino Linotype" w:cs="Palatino Linotype"/>
          <w:bCs/>
          <w:color w:val="000000"/>
        </w:rPr>
        <w:t xml:space="preserve">, esa Dirección no recibió ninguna obra en el apartado </w:t>
      </w:r>
      <w:r w:rsidR="00A90C05">
        <w:rPr>
          <w:rFonts w:eastAsia="Palatino Linotype" w:cs="Palatino Linotype"/>
          <w:bCs/>
          <w:color w:val="000000"/>
        </w:rPr>
        <w:lastRenderedPageBreak/>
        <w:t>ER-30 «Relación de Obra Pública y/o Servicio</w:t>
      </w:r>
      <w:r w:rsidR="00495065">
        <w:rPr>
          <w:rFonts w:eastAsia="Palatino Linotype" w:cs="Palatino Linotype"/>
          <w:bCs/>
          <w:color w:val="000000"/>
        </w:rPr>
        <w:t xml:space="preserve">s relacionados con la misma Administración Municipal» y manifestó que se adjuntaría </w:t>
      </w:r>
      <w:r w:rsidR="009B1B4B">
        <w:rPr>
          <w:rFonts w:eastAsia="Palatino Linotype" w:cs="Palatino Linotype"/>
          <w:bCs/>
          <w:color w:val="000000"/>
        </w:rPr>
        <w:t>copia del acta entrega ER Coordinación de Construcción y ER-30 Departamento de Control y Supervisión de Obra</w:t>
      </w:r>
      <w:r w:rsidR="0052514C">
        <w:rPr>
          <w:rFonts w:eastAsia="Palatino Linotype" w:cs="Palatino Linotype"/>
          <w:bCs/>
          <w:color w:val="000000"/>
        </w:rPr>
        <w:t>, sin que se anexara documento alguno.</w:t>
      </w:r>
    </w:p>
    <w:p w14:paraId="7E99A33D" w14:textId="77777777" w:rsidR="00D16E98" w:rsidRPr="0010153C" w:rsidRDefault="00D16E98" w:rsidP="44E9108F">
      <w:pPr>
        <w:pBdr>
          <w:top w:val="nil"/>
          <w:left w:val="nil"/>
          <w:bottom w:val="nil"/>
          <w:right w:val="nil"/>
          <w:between w:val="nil"/>
        </w:pBdr>
        <w:contextualSpacing/>
        <w:rPr>
          <w:rFonts w:eastAsia="Palatino Linotype" w:cs="Palatino Linotype"/>
          <w:color w:val="000000" w:themeColor="text1"/>
        </w:rPr>
      </w:pPr>
    </w:p>
    <w:p w14:paraId="6128DFF4" w14:textId="492C78B9"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2623AA">
        <w:rPr>
          <w:rFonts w:eastAsia="Palatino Linotype" w:cs="Palatino Linotype"/>
          <w:color w:val="000000" w:themeColor="text1"/>
          <w:lang w:val="es-ES"/>
        </w:rPr>
        <w:t>itida por el Sujeto Obligado, el</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EB64E0">
        <w:rPr>
          <w:rFonts w:eastAsia="Palatino Linotype" w:cs="Palatino Linotype"/>
          <w:color w:val="000000" w:themeColor="text1"/>
          <w:lang w:val="es-ES"/>
        </w:rPr>
        <w:t xml:space="preserve">que solicita el recurso de revisión para la solicitud de información; dando como </w:t>
      </w:r>
      <w:r w:rsidR="005740E5">
        <w:rPr>
          <w:rFonts w:eastAsia="Palatino Linotype" w:cs="Palatino Linotype"/>
          <w:color w:val="000000" w:themeColor="text1"/>
          <w:lang w:val="es-ES"/>
        </w:rPr>
        <w:t xml:space="preserve">razones o motivos de inconformidad que </w:t>
      </w:r>
      <w:r w:rsidR="00211B32">
        <w:rPr>
          <w:rFonts w:eastAsia="Palatino Linotype" w:cs="Palatino Linotype"/>
          <w:color w:val="000000" w:themeColor="text1"/>
          <w:lang w:val="es-ES"/>
        </w:rPr>
        <w:t xml:space="preserve">la respuesta no le satisface; que las obras </w:t>
      </w:r>
      <w:r w:rsidR="00483E2D">
        <w:rPr>
          <w:rFonts w:eastAsia="Palatino Linotype" w:cs="Palatino Linotype"/>
          <w:color w:val="000000" w:themeColor="text1"/>
          <w:lang w:val="es-ES"/>
        </w:rPr>
        <w:t xml:space="preserve">referidas se llevaron a cabo en la administración 2019-2021 por lo que no pueden estar relacionadas en </w:t>
      </w:r>
      <w:r w:rsidR="007B57CD">
        <w:rPr>
          <w:rFonts w:eastAsia="Palatino Linotype" w:cs="Palatino Linotype"/>
          <w:color w:val="000000" w:themeColor="text1"/>
          <w:lang w:val="es-ES"/>
        </w:rPr>
        <w:t xml:space="preserve">la entrega-recepción de la administración 2022-2024; que </w:t>
      </w:r>
      <w:r w:rsidR="006B68FD">
        <w:rPr>
          <w:rFonts w:eastAsia="Palatino Linotype" w:cs="Palatino Linotype"/>
          <w:color w:val="000000" w:themeColor="text1"/>
          <w:lang w:val="es-ES"/>
        </w:rPr>
        <w:t xml:space="preserve">se debieron haber finiquitado los recursos debido a la suspensión </w:t>
      </w:r>
      <w:r w:rsidR="00384AA7">
        <w:rPr>
          <w:rFonts w:eastAsia="Palatino Linotype" w:cs="Palatino Linotype"/>
          <w:color w:val="000000" w:themeColor="text1"/>
          <w:lang w:val="es-ES"/>
        </w:rPr>
        <w:t>de los contratos derivada del inicio de la pandemia de COVID 19</w:t>
      </w:r>
      <w:r w:rsidR="00990289">
        <w:rPr>
          <w:rFonts w:eastAsia="Palatino Linotype" w:cs="Palatino Linotype"/>
          <w:color w:val="000000" w:themeColor="text1"/>
          <w:lang w:val="es-ES"/>
        </w:rPr>
        <w:t xml:space="preserve">; que se debieron haber puesto al corriente en los informes de aplicación de los recursos y avances de obra ante la CONAGUA y concluido la integración de los expedientes únicos de obra que marca la Ley de </w:t>
      </w:r>
      <w:r w:rsidR="00624255">
        <w:rPr>
          <w:rFonts w:eastAsia="Palatino Linotype" w:cs="Palatino Linotype"/>
          <w:color w:val="000000" w:themeColor="text1"/>
          <w:lang w:val="es-ES"/>
        </w:rPr>
        <w:t>Obras Públicas y Servicios Relacionados con las mismas</w:t>
      </w:r>
      <w:r w:rsidR="004A584E">
        <w:rPr>
          <w:rFonts w:eastAsia="Palatino Linotype" w:cs="Palatino Linotype"/>
          <w:color w:val="000000" w:themeColor="text1"/>
          <w:lang w:val="es-ES"/>
        </w:rPr>
        <w:t xml:space="preserve"> y que la documentación </w:t>
      </w:r>
      <w:r w:rsidR="00B76ACC">
        <w:rPr>
          <w:rFonts w:eastAsia="Palatino Linotype" w:cs="Palatino Linotype"/>
          <w:color w:val="000000" w:themeColor="text1"/>
          <w:lang w:val="es-ES"/>
        </w:rPr>
        <w:t>se debe resguardar por lo menos cinco años antes de ser incorporada al archivo muerto.</w:t>
      </w:r>
    </w:p>
    <w:p w14:paraId="4A6500B8" w14:textId="77777777" w:rsidR="008F50E6" w:rsidRDefault="008F50E6" w:rsidP="00A04222"/>
    <w:p w14:paraId="33F9A552" w14:textId="77777777" w:rsidR="001F3363" w:rsidRDefault="001F3363" w:rsidP="001F3363">
      <w:r w:rsidRPr="00757365">
        <w:t xml:space="preserve">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w:t>
      </w:r>
      <w:r w:rsidRPr="00757365">
        <w:lastRenderedPageBreak/>
        <w:t>emitir la respuesta que ahora se impugna; no obstante, la falta de informe justificado no es óbice para que este Órgano Garante conozca y resuelva el recurso de revisión.</w:t>
      </w:r>
    </w:p>
    <w:p w14:paraId="573F5701" w14:textId="77777777" w:rsidR="001F3363" w:rsidRDefault="001F3363" w:rsidP="00A830A7"/>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2337F64D"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En este sentido, es pertinente enfatizar lo que, respecto al derecho de acceso a la información pública, refiere el artículo </w:t>
      </w:r>
      <w:r w:rsidR="00E00EC1">
        <w:rPr>
          <w:rFonts w:eastAsia="Palatino Linotype" w:cs="Palatino Linotype"/>
          <w:color w:val="000000"/>
          <w:szCs w:val="24"/>
        </w:rPr>
        <w:t>5</w:t>
      </w:r>
      <w:r w:rsidRPr="006922F5">
        <w:rPr>
          <w:rFonts w:eastAsia="Palatino Linotype" w:cs="Palatino Linotype"/>
          <w:color w:val="000000"/>
          <w:szCs w:val="24"/>
        </w:rPr>
        <w:t xml:space="preserve">° de la </w:t>
      </w:r>
      <w:proofErr w:type="spellStart"/>
      <w:r w:rsidRPr="006922F5">
        <w:rPr>
          <w:rFonts w:eastAsia="Palatino Linotype" w:cs="Palatino Linotype"/>
          <w:color w:val="000000"/>
          <w:szCs w:val="24"/>
        </w:rPr>
        <w:t>la</w:t>
      </w:r>
      <w:proofErr w:type="spellEnd"/>
      <w:r w:rsidRPr="006922F5">
        <w:rPr>
          <w:rFonts w:eastAsia="Palatino Linotype" w:cs="Palatino Linotype"/>
          <w:color w:val="000000"/>
          <w:szCs w:val="24"/>
        </w:rPr>
        <w:t xml:space="preserve"> Constitución Política del Estado Libre y Soberano de México</w:t>
      </w:r>
      <w:r w:rsidR="00E00EC1">
        <w:rPr>
          <w:rFonts w:eastAsia="Palatino Linotype" w:cs="Palatino Linotype"/>
          <w:color w:val="000000"/>
          <w:szCs w:val="24"/>
        </w:rPr>
        <w:t>, que</w:t>
      </w:r>
      <w:r w:rsidRPr="006922F5">
        <w:rPr>
          <w:rFonts w:eastAsia="Palatino Linotype" w:cs="Palatino Linotype"/>
          <w:color w:val="000000"/>
          <w:szCs w:val="24"/>
        </w:rPr>
        <w:t xml:space="preserve"> en su parte conducente</w:t>
      </w:r>
      <w:r w:rsidR="00E00EC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6922F5">
        <w:lastRenderedPageBreak/>
        <w:t>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sidR="005E625F">
        <w:rPr>
          <w:rFonts w:eastAsia="Palatino Linotype" w:cs="Palatino Linotype"/>
          <w:szCs w:val="24"/>
        </w:rPr>
        <w:t>V</w:t>
      </w:r>
      <w:r w:rsidRPr="006922F5">
        <w:rPr>
          <w:rFonts w:eastAsia="Palatino Linotype" w:cs="Palatino Linotype"/>
          <w:szCs w:val="24"/>
        </w:rPr>
        <w:t>,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27CCDE8" w:rsidR="006100FC" w:rsidRPr="006922F5" w:rsidRDefault="005E625F" w:rsidP="006100FC">
      <w:pPr>
        <w:pStyle w:val="Fundamentos"/>
      </w:pPr>
      <w:r>
        <w:t>[…]</w:t>
      </w:r>
    </w:p>
    <w:p w14:paraId="451DBD48" w14:textId="79A7D78C" w:rsidR="006100FC" w:rsidRPr="006922F5" w:rsidRDefault="006100FC" w:rsidP="006100FC">
      <w:pPr>
        <w:pStyle w:val="Fundamentos"/>
      </w:pPr>
      <w:r w:rsidRPr="006922F5">
        <w:rPr>
          <w:b/>
          <w:bCs/>
        </w:rPr>
        <w:t>I</w:t>
      </w:r>
      <w:r w:rsidR="005E625F">
        <w:rPr>
          <w:b/>
          <w:bCs/>
        </w:rPr>
        <w:t>V</w:t>
      </w:r>
      <w:r w:rsidRPr="006922F5">
        <w:rPr>
          <w:b/>
          <w:bCs/>
        </w:rPr>
        <w:t>.</w:t>
      </w:r>
      <w:r>
        <w:rPr>
          <w:b/>
          <w:bCs/>
        </w:rPr>
        <w:t xml:space="preserve"> </w:t>
      </w:r>
      <w:r w:rsidR="005E625F">
        <w:t>Los</w:t>
      </w:r>
      <w:r w:rsidRPr="006922F5">
        <w:t xml:space="preserve"> </w:t>
      </w:r>
      <w:r w:rsidR="00726486" w:rsidRPr="00726486">
        <w:t>ayuntamientos y las dependencias, organismos, órganos y entidades de la administración municipal</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lastRenderedPageBreak/>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51C7840D" w:rsidR="00737EBC" w:rsidRDefault="00737EBC" w:rsidP="006100FC">
      <w:r>
        <w:t xml:space="preserve">Asimismo, </w:t>
      </w:r>
      <w:r w:rsidR="00726486">
        <w:t>de</w:t>
      </w:r>
      <w:r w:rsidR="00942EC6">
        <w:t xml:space="preserve"> </w:t>
      </w:r>
      <w:r>
        <w:t xml:space="preserve">los motivos de inconformidad expresados por </w:t>
      </w:r>
      <w:r w:rsidR="00942EC6">
        <w:t>el</w:t>
      </w:r>
      <w:r>
        <w:t xml:space="preserve"> Recurrente, se estima que en el presente caso se actualizó la causal de procedencia del recurso de revisión</w:t>
      </w:r>
      <w:r w:rsidR="00392DAC">
        <w:t xml:space="preserve"> prevista en la fracci</w:t>
      </w:r>
      <w:r w:rsidR="00942EC6">
        <w:t>ón</w:t>
      </w:r>
      <w:r w:rsidR="00392DAC">
        <w:t xml:space="preserve"> 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9A41B1" w:rsidRDefault="0090120A" w:rsidP="007A5010">
      <w:pPr>
        <w:pStyle w:val="Fundamentos"/>
        <w:rPr>
          <w:lang w:val="es-MX"/>
        </w:rPr>
      </w:pPr>
    </w:p>
    <w:p w14:paraId="5C4DD805" w14:textId="57BDE7B4" w:rsidR="009A41B1" w:rsidRDefault="00392DAC" w:rsidP="00392DAC">
      <w:pPr>
        <w:pStyle w:val="Fundamentos"/>
      </w:pPr>
      <w:r w:rsidRPr="00392DAC">
        <w:rPr>
          <w:b/>
          <w:lang w:val="es-ES"/>
        </w:rPr>
        <w:t>I.</w:t>
      </w:r>
      <w:r>
        <w:rPr>
          <w:lang w:val="es-ES"/>
        </w:rPr>
        <w:t xml:space="preserve"> </w:t>
      </w:r>
      <w:r w:rsidR="44E9108F" w:rsidRPr="44E9108F">
        <w:rPr>
          <w:lang w:val="es-ES"/>
        </w:rPr>
        <w:t xml:space="preserve">La </w:t>
      </w:r>
      <w:r w:rsidR="001B7214" w:rsidRPr="001B7214">
        <w:rPr>
          <w:lang w:val="es-ES"/>
        </w:rPr>
        <w:t>negativa a la información solicitada</w:t>
      </w:r>
      <w:r w:rsidR="44E9108F" w:rsidRPr="44E9108F">
        <w:rPr>
          <w:lang w:val="es-ES"/>
        </w:rPr>
        <w:t>;</w:t>
      </w:r>
    </w:p>
    <w:p w14:paraId="7DA613D5" w14:textId="0F80D5F5" w:rsidR="00392DAC" w:rsidRDefault="007A5010" w:rsidP="00291F65">
      <w:pPr>
        <w:pStyle w:val="Fundamentos"/>
      </w:pPr>
      <w:r>
        <w:t>[…]</w:t>
      </w:r>
    </w:p>
    <w:p w14:paraId="34F693E7" w14:textId="77777777" w:rsidR="009A41B1" w:rsidRDefault="009A41B1" w:rsidP="006100FC"/>
    <w:p w14:paraId="2DE87A4E" w14:textId="7EE76832" w:rsidR="00D96E32" w:rsidRDefault="006100FC" w:rsidP="00637679">
      <w:r>
        <w:t xml:space="preserve">En segundo término, </w:t>
      </w:r>
      <w:r w:rsidR="00CA59E3">
        <w:t xml:space="preserve">se </w:t>
      </w:r>
      <w:r w:rsidR="009357CD">
        <w:t>tiene</w:t>
      </w:r>
      <w:r w:rsidR="00CA59E3">
        <w:t xml:space="preserve"> que el Sujeto Obligado</w:t>
      </w:r>
      <w:r w:rsidR="00FC623B">
        <w:t xml:space="preserve"> proporcionó la</w:t>
      </w:r>
      <w:r w:rsidR="003C1570">
        <w:t xml:space="preserve"> respuesta emitida por el </w:t>
      </w:r>
      <w:r w:rsidR="00FD710A">
        <w:rPr>
          <w:rFonts w:eastAsia="Palatino Linotype" w:cs="Palatino Linotype"/>
          <w:bCs/>
          <w:color w:val="000000"/>
        </w:rPr>
        <w:t>Encargado de la Dirección Técnica de Construcción, Operación y Mantenimiento</w:t>
      </w:r>
      <w:r w:rsidR="00FD710A">
        <w:t xml:space="preserve">; por tanto, se estima conveniente hacer referencia a lo dispuesto en el </w:t>
      </w:r>
      <w:r w:rsidR="00D96E32" w:rsidRPr="00D96E32">
        <w:t>Reglamento Interior Orgánico del Organismo Público Descentralizado para la Prestación de los Servicios de Agua Potable, Alcantarillado y Saneamiento del Municipio de Ecatepec de Morelos, Estado de México</w:t>
      </w:r>
      <w:r w:rsidR="00D96E32">
        <w:t>,</w:t>
      </w:r>
      <w:r w:rsidR="00CA00C9">
        <w:t xml:space="preserve"> el cual establece que dicha Dirección cuenta con las siguientes atribuciones:</w:t>
      </w:r>
    </w:p>
    <w:p w14:paraId="0E38273A" w14:textId="77777777" w:rsidR="00CA00C9" w:rsidRDefault="00CA00C9" w:rsidP="00637679"/>
    <w:p w14:paraId="043F47A6" w14:textId="18B5062F" w:rsidR="00A3634E" w:rsidRDefault="00A3634E" w:rsidP="00A3634E">
      <w:pPr>
        <w:pStyle w:val="Fundamentos"/>
      </w:pPr>
      <w:r>
        <w:lastRenderedPageBreak/>
        <w:t xml:space="preserve">I. </w:t>
      </w:r>
      <w:r w:rsidRPr="000C7C21">
        <w:rPr>
          <w:b/>
          <w:bCs/>
          <w:u w:val="single"/>
        </w:rPr>
        <w:t>Coordinar y avalar la planeación, organización, integración, dirección y control de los proyectos para su área, con proyección anual en la que se incluyan el alcance de los objetivos en el corto, mediano y largo plazo correlacionados con los PBRM</w:t>
      </w:r>
      <w:r>
        <w:t>;</w:t>
      </w:r>
    </w:p>
    <w:p w14:paraId="5CD76241" w14:textId="2BC3F324" w:rsidR="00A3634E" w:rsidRDefault="007A1065" w:rsidP="00A3634E">
      <w:pPr>
        <w:pStyle w:val="Fundamentos"/>
      </w:pPr>
      <w:r>
        <w:t>[…]</w:t>
      </w:r>
    </w:p>
    <w:p w14:paraId="57F2EA1B" w14:textId="7F7A7785" w:rsidR="00A3634E" w:rsidRDefault="00A3634E" w:rsidP="00A3634E">
      <w:pPr>
        <w:pStyle w:val="Fundamentos"/>
      </w:pPr>
      <w:r>
        <w:t xml:space="preserve">VIII. </w:t>
      </w:r>
      <w:r w:rsidRPr="000C7C21">
        <w:rPr>
          <w:b/>
          <w:bCs/>
          <w:u w:val="single"/>
        </w:rPr>
        <w:t>Supervisar la integración de los expedientes técnicos de los proyectos y obras a realizar, tanto</w:t>
      </w:r>
      <w:r w:rsidR="00114B1E" w:rsidRPr="000C7C21">
        <w:rPr>
          <w:b/>
          <w:bCs/>
          <w:u w:val="single"/>
        </w:rPr>
        <w:t xml:space="preserve"> </w:t>
      </w:r>
      <w:r w:rsidRPr="000C7C21">
        <w:rPr>
          <w:b/>
          <w:bCs/>
          <w:u w:val="single"/>
        </w:rPr>
        <w:t>con recursos propios como con aportaciones de las instancias oficiales</w:t>
      </w:r>
      <w:r>
        <w:t>;</w:t>
      </w:r>
    </w:p>
    <w:p w14:paraId="6A7E6E11" w14:textId="2C69B99E" w:rsidR="007A1065" w:rsidRDefault="007A1065" w:rsidP="00A3634E">
      <w:pPr>
        <w:pStyle w:val="Fundamentos"/>
      </w:pPr>
      <w:r>
        <w:t>[…]</w:t>
      </w:r>
    </w:p>
    <w:p w14:paraId="715E7251" w14:textId="3FB05374" w:rsidR="00A3634E" w:rsidRDefault="00A3634E" w:rsidP="00A3634E">
      <w:pPr>
        <w:pStyle w:val="Fundamentos"/>
      </w:pPr>
      <w:r>
        <w:t xml:space="preserve">XII. </w:t>
      </w:r>
      <w:r w:rsidRPr="008126F0">
        <w:rPr>
          <w:b/>
          <w:bCs/>
          <w:u w:val="single"/>
        </w:rPr>
        <w:t>Participar y supervisar los procesos de celebración de licitaciones, selección y adjudicación de</w:t>
      </w:r>
      <w:r w:rsidR="00114B1E" w:rsidRPr="008126F0">
        <w:rPr>
          <w:b/>
          <w:bCs/>
          <w:u w:val="single"/>
        </w:rPr>
        <w:t xml:space="preserve"> </w:t>
      </w:r>
      <w:r w:rsidRPr="008126F0">
        <w:rPr>
          <w:b/>
          <w:bCs/>
          <w:u w:val="single"/>
        </w:rPr>
        <w:t>contratos para la elaboración de los estudios, proyectos y construcción de obras, se realice</w:t>
      </w:r>
      <w:r w:rsidR="00114B1E" w:rsidRPr="008126F0">
        <w:rPr>
          <w:b/>
          <w:bCs/>
          <w:u w:val="single"/>
        </w:rPr>
        <w:t xml:space="preserve"> </w:t>
      </w:r>
      <w:r w:rsidRPr="008126F0">
        <w:rPr>
          <w:b/>
          <w:bCs/>
          <w:u w:val="single"/>
        </w:rPr>
        <w:t>conforme a las disposiciones y normas establecidas en la materia</w:t>
      </w:r>
      <w:r>
        <w:t>;</w:t>
      </w:r>
    </w:p>
    <w:p w14:paraId="68944E6A" w14:textId="750CC464" w:rsidR="007A1065" w:rsidRDefault="007A1065" w:rsidP="00A3634E">
      <w:pPr>
        <w:pStyle w:val="Fundamentos"/>
      </w:pPr>
      <w:r>
        <w:t>[…]</w:t>
      </w:r>
    </w:p>
    <w:p w14:paraId="4E2B07C1" w14:textId="56207E2C" w:rsidR="00A3634E" w:rsidRDefault="00A3634E" w:rsidP="00A3634E">
      <w:pPr>
        <w:pStyle w:val="Fundamentos"/>
      </w:pPr>
      <w:r>
        <w:t xml:space="preserve">XIX. </w:t>
      </w:r>
      <w:r w:rsidRPr="008126F0">
        <w:rPr>
          <w:b/>
          <w:bCs/>
          <w:u w:val="single"/>
        </w:rPr>
        <w:t>Participar en el dictamen para la selección y adjudicación de las obras por contrato, realizando la</w:t>
      </w:r>
      <w:r w:rsidR="00F6600E" w:rsidRPr="008126F0">
        <w:rPr>
          <w:b/>
          <w:bCs/>
          <w:u w:val="single"/>
        </w:rPr>
        <w:t xml:space="preserve"> </w:t>
      </w:r>
      <w:r w:rsidRPr="008126F0">
        <w:rPr>
          <w:b/>
          <w:bCs/>
          <w:u w:val="single"/>
        </w:rPr>
        <w:t>evaluación técnica para la realización de estudios y proyectos de ingeniería hidráulica</w:t>
      </w:r>
      <w:r>
        <w:t>;</w:t>
      </w:r>
    </w:p>
    <w:p w14:paraId="7B1A7B80" w14:textId="4A785E79" w:rsidR="00A3634E" w:rsidRDefault="007A1065" w:rsidP="007A1065">
      <w:pPr>
        <w:pStyle w:val="Fundamentos"/>
      </w:pPr>
      <w:r>
        <w:t>[…]</w:t>
      </w:r>
    </w:p>
    <w:p w14:paraId="1BDD2049" w14:textId="1761664E" w:rsidR="00A3634E" w:rsidRDefault="00A3634E" w:rsidP="00A3634E">
      <w:pPr>
        <w:pStyle w:val="Fundamentos"/>
      </w:pPr>
      <w:r>
        <w:t xml:space="preserve">XXIV. </w:t>
      </w:r>
      <w:r w:rsidRPr="003A216B">
        <w:rPr>
          <w:b/>
          <w:bCs/>
          <w:u w:val="single"/>
        </w:rPr>
        <w:t>Supervisar que, en la realización de las obras, se cuente con los estudios y proyectos, las</w:t>
      </w:r>
      <w:r w:rsidR="00F6600E" w:rsidRPr="003A216B">
        <w:rPr>
          <w:b/>
          <w:bCs/>
          <w:u w:val="single"/>
        </w:rPr>
        <w:t xml:space="preserve"> </w:t>
      </w:r>
      <w:r w:rsidRPr="003A216B">
        <w:rPr>
          <w:b/>
          <w:bCs/>
          <w:u w:val="single"/>
        </w:rPr>
        <w:t>normas y especificaciones de construcción, el presupuesto, el programa de ejecución y en su</w:t>
      </w:r>
      <w:r w:rsidR="00F6600E" w:rsidRPr="003A216B">
        <w:rPr>
          <w:b/>
          <w:bCs/>
          <w:u w:val="single"/>
        </w:rPr>
        <w:t xml:space="preserve"> </w:t>
      </w:r>
      <w:r w:rsidRPr="003A216B">
        <w:rPr>
          <w:b/>
          <w:bCs/>
          <w:u w:val="single"/>
        </w:rPr>
        <w:t>caso, el programa de suministros</w:t>
      </w:r>
      <w:r>
        <w:t>;</w:t>
      </w:r>
    </w:p>
    <w:p w14:paraId="1334B5DA" w14:textId="5032ECBA" w:rsidR="00A3634E" w:rsidRDefault="007A1065" w:rsidP="007A1065">
      <w:pPr>
        <w:pStyle w:val="Fundamentos"/>
      </w:pPr>
      <w:r>
        <w:t>[…]</w:t>
      </w:r>
    </w:p>
    <w:p w14:paraId="1ED8B72A" w14:textId="3BC26988" w:rsidR="00A3634E" w:rsidRDefault="00A3634E" w:rsidP="00A3634E">
      <w:pPr>
        <w:pStyle w:val="Fundamentos"/>
      </w:pPr>
      <w:r>
        <w:t xml:space="preserve">XXVII. </w:t>
      </w:r>
      <w:r w:rsidRPr="003A216B">
        <w:rPr>
          <w:b/>
          <w:bCs/>
          <w:u w:val="single"/>
        </w:rPr>
        <w:t>Hacer del conocimiento del Órgano Interno de Control la calendarización de inicio de obras y la</w:t>
      </w:r>
      <w:r w:rsidR="00F6600E" w:rsidRPr="003A216B">
        <w:rPr>
          <w:b/>
          <w:bCs/>
          <w:u w:val="single"/>
        </w:rPr>
        <w:t xml:space="preserve"> </w:t>
      </w:r>
      <w:r w:rsidRPr="003A216B">
        <w:rPr>
          <w:b/>
          <w:bCs/>
          <w:u w:val="single"/>
        </w:rPr>
        <w:t>conclusión de las mismas para el levantamiento de las actas respectivas, independientemente de</w:t>
      </w:r>
      <w:r w:rsidR="00F6600E" w:rsidRPr="003A216B">
        <w:rPr>
          <w:b/>
          <w:bCs/>
          <w:u w:val="single"/>
        </w:rPr>
        <w:t xml:space="preserve"> </w:t>
      </w:r>
      <w:r w:rsidRPr="003A216B">
        <w:rPr>
          <w:b/>
          <w:bCs/>
          <w:u w:val="single"/>
        </w:rPr>
        <w:t>las bitácoras que deban instrumentarse</w:t>
      </w:r>
      <w:r>
        <w:t>.</w:t>
      </w:r>
    </w:p>
    <w:p w14:paraId="49ED4636" w14:textId="2756233F" w:rsidR="00A3634E" w:rsidRDefault="00A3634E" w:rsidP="00A3634E">
      <w:pPr>
        <w:pStyle w:val="Fundamentos"/>
      </w:pPr>
      <w:r>
        <w:t xml:space="preserve">XXVIII. </w:t>
      </w:r>
      <w:r w:rsidRPr="00F96410">
        <w:rPr>
          <w:b/>
          <w:bCs/>
          <w:u w:val="single"/>
        </w:rPr>
        <w:t>Dirigir y coordinar la colaboración con el Comité Interno de Obra Pública del Organismo, en los</w:t>
      </w:r>
      <w:r w:rsidR="00F6600E" w:rsidRPr="00F96410">
        <w:rPr>
          <w:b/>
          <w:bCs/>
          <w:u w:val="single"/>
        </w:rPr>
        <w:t xml:space="preserve"> </w:t>
      </w:r>
      <w:r w:rsidRPr="00F96410">
        <w:rPr>
          <w:b/>
          <w:bCs/>
          <w:u w:val="single"/>
        </w:rPr>
        <w:t>dictámenes de procedencia, dictámenes de fallo y justificaciones técnicas, para otorgar</w:t>
      </w:r>
      <w:r w:rsidR="00F6600E" w:rsidRPr="00F96410">
        <w:rPr>
          <w:b/>
          <w:bCs/>
          <w:u w:val="single"/>
        </w:rPr>
        <w:t xml:space="preserve"> </w:t>
      </w:r>
      <w:r w:rsidRPr="00F96410">
        <w:rPr>
          <w:b/>
          <w:bCs/>
          <w:u w:val="single"/>
        </w:rPr>
        <w:t>convenios de ampliación de plazo o en monto de las obras y servicios en proceso de licitación o</w:t>
      </w:r>
      <w:r w:rsidR="00F6600E" w:rsidRPr="00F96410">
        <w:rPr>
          <w:b/>
          <w:bCs/>
          <w:u w:val="single"/>
        </w:rPr>
        <w:t xml:space="preserve"> </w:t>
      </w:r>
      <w:r w:rsidRPr="00F96410">
        <w:rPr>
          <w:b/>
          <w:bCs/>
          <w:u w:val="single"/>
        </w:rPr>
        <w:t>ejecución, y las que sean contempladas en la normatividad correspondiente aplicable en la</w:t>
      </w:r>
      <w:r w:rsidR="00F6600E" w:rsidRPr="00F96410">
        <w:rPr>
          <w:b/>
          <w:bCs/>
          <w:u w:val="single"/>
        </w:rPr>
        <w:t xml:space="preserve"> </w:t>
      </w:r>
      <w:r w:rsidRPr="00F96410">
        <w:rPr>
          <w:b/>
          <w:bCs/>
          <w:u w:val="single"/>
        </w:rPr>
        <w:t>materia</w:t>
      </w:r>
      <w:r>
        <w:t>;</w:t>
      </w:r>
    </w:p>
    <w:p w14:paraId="200C9930" w14:textId="26A2D7D1" w:rsidR="00A3634E" w:rsidRDefault="007A1065" w:rsidP="007A1065">
      <w:pPr>
        <w:pStyle w:val="Fundamentos"/>
      </w:pPr>
      <w:r>
        <w:t>[…]</w:t>
      </w:r>
    </w:p>
    <w:p w14:paraId="37357611" w14:textId="4ADEF5F7" w:rsidR="00A3634E" w:rsidRDefault="00A3634E" w:rsidP="00A3634E">
      <w:pPr>
        <w:pStyle w:val="Fundamentos"/>
      </w:pPr>
      <w:r>
        <w:t xml:space="preserve">XXXV. </w:t>
      </w:r>
      <w:r w:rsidRPr="00E90E09">
        <w:rPr>
          <w:b/>
          <w:bCs/>
          <w:u w:val="single"/>
        </w:rPr>
        <w:t>Documentar todo acto que derive del ejercicio de las facultades, competencias o funciones, en</w:t>
      </w:r>
      <w:r w:rsidR="00FF28C3" w:rsidRPr="00E90E09">
        <w:rPr>
          <w:b/>
          <w:bCs/>
          <w:u w:val="single"/>
        </w:rPr>
        <w:t xml:space="preserve"> </w:t>
      </w:r>
      <w:r w:rsidRPr="00E90E09">
        <w:rPr>
          <w:b/>
          <w:bCs/>
          <w:u w:val="single"/>
        </w:rPr>
        <w:t>hacer pública la información relativa a los montos y las personas a quienes entreguen, por</w:t>
      </w:r>
      <w:r w:rsidR="00FF28C3" w:rsidRPr="00E90E09">
        <w:rPr>
          <w:b/>
          <w:bCs/>
          <w:u w:val="single"/>
        </w:rPr>
        <w:t xml:space="preserve"> </w:t>
      </w:r>
      <w:r w:rsidRPr="00E90E09">
        <w:rPr>
          <w:b/>
          <w:bCs/>
          <w:u w:val="single"/>
        </w:rPr>
        <w:t>cualquier motivo recursos públicos, así como los informes remitidos sobre su uso y destino</w:t>
      </w:r>
      <w:r>
        <w:t>;</w:t>
      </w:r>
    </w:p>
    <w:p w14:paraId="18FF3F12" w14:textId="066EC4BF" w:rsidR="00A3634E" w:rsidRDefault="007A1065" w:rsidP="00A3634E">
      <w:pPr>
        <w:pStyle w:val="Fundamentos"/>
      </w:pPr>
      <w:r>
        <w:t>[…]</w:t>
      </w:r>
    </w:p>
    <w:p w14:paraId="132367AA" w14:textId="77777777" w:rsidR="00A3634E" w:rsidRDefault="00A3634E" w:rsidP="00A3634E">
      <w:pPr>
        <w:pStyle w:val="Fundamentos"/>
      </w:pPr>
      <w:r>
        <w:t xml:space="preserve">XXXVII. </w:t>
      </w:r>
      <w:r w:rsidRPr="00E90E09">
        <w:rPr>
          <w:b/>
          <w:bCs/>
          <w:u w:val="single"/>
        </w:rPr>
        <w:t>Procurar la digitalización de toda la información pública en su poder</w:t>
      </w:r>
      <w:r>
        <w:t>;</w:t>
      </w:r>
    </w:p>
    <w:p w14:paraId="59DF7A28" w14:textId="3261717E" w:rsidR="00CA00C9" w:rsidRDefault="007A1065" w:rsidP="007A1065">
      <w:pPr>
        <w:pStyle w:val="Fundamentos"/>
      </w:pPr>
      <w:r>
        <w:t>[…]</w:t>
      </w:r>
    </w:p>
    <w:p w14:paraId="469E4F5D" w14:textId="77777777" w:rsidR="00D96E32" w:rsidRDefault="00D96E32" w:rsidP="00637679"/>
    <w:p w14:paraId="2F3B4FFB" w14:textId="4DEC20A8" w:rsidR="00D96E32" w:rsidRDefault="007A1065" w:rsidP="00637679">
      <w:pPr>
        <w:rPr>
          <w:rFonts w:eastAsia="Palatino Linotype" w:cs="Palatino Linotype"/>
          <w:bCs/>
          <w:color w:val="000000"/>
        </w:rPr>
      </w:pPr>
      <w:r>
        <w:lastRenderedPageBreak/>
        <w:t>Como se observa,</w:t>
      </w:r>
      <w:r w:rsidR="00A525D3">
        <w:t xml:space="preserve"> la Dirección</w:t>
      </w:r>
      <w:r w:rsidR="00A525D3">
        <w:rPr>
          <w:rFonts w:eastAsia="Palatino Linotype" w:cs="Palatino Linotype"/>
          <w:bCs/>
          <w:color w:val="000000"/>
        </w:rPr>
        <w:t xml:space="preserve"> Técnica de Construcción, Operación y Mantenimiento está facultada para coordinar y avalar </w:t>
      </w:r>
      <w:r w:rsidR="00514AF8">
        <w:rPr>
          <w:rFonts w:eastAsia="Palatino Linotype" w:cs="Palatino Linotype"/>
          <w:bCs/>
          <w:color w:val="000000"/>
        </w:rPr>
        <w:t>el control de proyectos, supervisar la integración de los expedientes técnicos de obra</w:t>
      </w:r>
      <w:r w:rsidR="00A5182C">
        <w:rPr>
          <w:rFonts w:eastAsia="Palatino Linotype" w:cs="Palatino Linotype"/>
          <w:bCs/>
          <w:color w:val="000000"/>
        </w:rPr>
        <w:t xml:space="preserve">, participar en los procesos de celebración de adjudicación de contratos para construcción de obras, participar en el dictamen para la selección y adjudicación de obras por contrato, </w:t>
      </w:r>
      <w:r w:rsidR="00455AD8">
        <w:rPr>
          <w:rFonts w:eastAsia="Palatino Linotype" w:cs="Palatino Linotype"/>
          <w:bCs/>
          <w:color w:val="000000"/>
        </w:rPr>
        <w:t>supervisar que en la realización de obras se cuente con estudios y proyectos, las normas y especi</w:t>
      </w:r>
      <w:r w:rsidR="00642C4C">
        <w:rPr>
          <w:rFonts w:eastAsia="Palatino Linotype" w:cs="Palatino Linotype"/>
          <w:bCs/>
          <w:color w:val="000000"/>
        </w:rPr>
        <w:t xml:space="preserve">ficaciones de construcción, informar al Órgano </w:t>
      </w:r>
      <w:r w:rsidR="009F75B3">
        <w:rPr>
          <w:rFonts w:eastAsia="Palatino Linotype" w:cs="Palatino Linotype"/>
          <w:bCs/>
          <w:color w:val="000000"/>
        </w:rPr>
        <w:t>I</w:t>
      </w:r>
      <w:r w:rsidR="00642C4C">
        <w:rPr>
          <w:rFonts w:eastAsia="Palatino Linotype" w:cs="Palatino Linotype"/>
          <w:bCs/>
          <w:color w:val="000000"/>
        </w:rPr>
        <w:t xml:space="preserve">nterno </w:t>
      </w:r>
      <w:r w:rsidR="009F75B3">
        <w:rPr>
          <w:rFonts w:eastAsia="Palatino Linotype" w:cs="Palatino Linotype"/>
          <w:bCs/>
          <w:color w:val="000000"/>
        </w:rPr>
        <w:t>de Control la calendarización del inicio de obras y su conclusión</w:t>
      </w:r>
      <w:r w:rsidR="006A66EC">
        <w:rPr>
          <w:rFonts w:eastAsia="Palatino Linotype" w:cs="Palatino Linotype"/>
          <w:bCs/>
          <w:color w:val="000000"/>
        </w:rPr>
        <w:t xml:space="preserve"> para el levantamiento de las actas respectivas, dirigir y coordinar l</w:t>
      </w:r>
      <w:r w:rsidR="00C532A4">
        <w:rPr>
          <w:rFonts w:eastAsia="Palatino Linotype" w:cs="Palatino Linotype"/>
          <w:bCs/>
          <w:color w:val="000000"/>
        </w:rPr>
        <w:t xml:space="preserve">a colaboración del Comité Interno de Obra Pública </w:t>
      </w:r>
      <w:r w:rsidR="00306313">
        <w:rPr>
          <w:rFonts w:eastAsia="Palatino Linotype" w:cs="Palatino Linotype"/>
          <w:bCs/>
          <w:color w:val="000000"/>
        </w:rPr>
        <w:t>en los dictámenes de procedencia, dictámenes de fallo y justificaciones técnicas</w:t>
      </w:r>
      <w:r w:rsidR="008B340F">
        <w:rPr>
          <w:rFonts w:eastAsia="Palatino Linotype" w:cs="Palatino Linotype"/>
          <w:bCs/>
          <w:color w:val="000000"/>
        </w:rPr>
        <w:t>; así como documentar todo acto que derive del ejercicio de sus facultades, competencias o funciones y procurar la digitalización de toda la información pública en su poder.</w:t>
      </w:r>
    </w:p>
    <w:p w14:paraId="7CF920ED" w14:textId="77777777" w:rsidR="008B340F" w:rsidRDefault="008B340F" w:rsidP="00637679">
      <w:pPr>
        <w:rPr>
          <w:rFonts w:eastAsia="Palatino Linotype" w:cs="Palatino Linotype"/>
          <w:bCs/>
          <w:color w:val="000000"/>
        </w:rPr>
      </w:pPr>
    </w:p>
    <w:p w14:paraId="1876D328" w14:textId="4F3E484F" w:rsidR="008B340F" w:rsidRDefault="008B340F" w:rsidP="00637679">
      <w:pPr>
        <w:rPr>
          <w:rFonts w:eastAsia="Palatino Linotype" w:cs="Palatino Linotype"/>
          <w:bCs/>
          <w:color w:val="000000"/>
        </w:rPr>
      </w:pPr>
      <w:r>
        <w:rPr>
          <w:rFonts w:eastAsia="Palatino Linotype" w:cs="Palatino Linotype"/>
          <w:bCs/>
          <w:color w:val="000000"/>
        </w:rPr>
        <w:t xml:space="preserve">De tal forma que se colige que </w:t>
      </w:r>
      <w:r w:rsidR="00AC0C50">
        <w:rPr>
          <w:rFonts w:eastAsia="Palatino Linotype" w:cs="Palatino Linotype"/>
          <w:bCs/>
          <w:color w:val="000000"/>
        </w:rPr>
        <w:t xml:space="preserve">dicha Dirección es la competente para conocer sobre información de obras públicas como las que hace referencia el Recurrente en su solicitud. Ahora bien, </w:t>
      </w:r>
      <w:r w:rsidR="00E61149">
        <w:rPr>
          <w:rFonts w:eastAsia="Palatino Linotype" w:cs="Palatino Linotype"/>
          <w:bCs/>
          <w:color w:val="000000"/>
        </w:rPr>
        <w:t>dada la respuesta proporcionada por el Sujeto Obligado no se tiene certeza de que se haya realizado una correcta búsqueda exhaustiva y razonable</w:t>
      </w:r>
      <w:r w:rsidR="009F14F7">
        <w:rPr>
          <w:rFonts w:eastAsia="Palatino Linotype" w:cs="Palatino Linotype"/>
          <w:bCs/>
          <w:color w:val="000000"/>
        </w:rPr>
        <w:t xml:space="preserve">, pues sólo refirió que en el proceso de entrega-recepción de la administración </w:t>
      </w:r>
      <w:r w:rsidR="007E6300">
        <w:rPr>
          <w:rFonts w:eastAsia="Palatino Linotype" w:cs="Palatino Linotype"/>
          <w:bCs/>
          <w:color w:val="000000"/>
        </w:rPr>
        <w:t>pública</w:t>
      </w:r>
      <w:r w:rsidR="009F14F7">
        <w:rPr>
          <w:rFonts w:eastAsia="Palatino Linotype" w:cs="Palatino Linotype"/>
          <w:bCs/>
          <w:color w:val="000000"/>
        </w:rPr>
        <w:t xml:space="preserve"> municipal 2022-2024</w:t>
      </w:r>
      <w:r w:rsidR="007E6300">
        <w:rPr>
          <w:rFonts w:eastAsia="Palatino Linotype" w:cs="Palatino Linotype"/>
          <w:bCs/>
          <w:color w:val="000000"/>
        </w:rPr>
        <w:t xml:space="preserve"> </w:t>
      </w:r>
      <w:r w:rsidR="009F14F7">
        <w:rPr>
          <w:rFonts w:eastAsia="Palatino Linotype" w:cs="Palatino Linotype"/>
          <w:bCs/>
          <w:color w:val="000000"/>
        </w:rPr>
        <w:t xml:space="preserve">no se recibió obra alguna </w:t>
      </w:r>
      <w:r w:rsidR="007E6300">
        <w:rPr>
          <w:rFonts w:eastAsia="Palatino Linotype" w:cs="Palatino Linotype"/>
          <w:bCs/>
          <w:color w:val="000000"/>
        </w:rPr>
        <w:t xml:space="preserve">en el apartado ER-30 «Relación de Obra Pública y/o Servicios relacionados con la misma Administración Municipal», sin que se haya </w:t>
      </w:r>
      <w:r w:rsidR="003F7E2F">
        <w:rPr>
          <w:rFonts w:eastAsia="Palatino Linotype" w:cs="Palatino Linotype"/>
          <w:bCs/>
          <w:color w:val="000000"/>
        </w:rPr>
        <w:t xml:space="preserve">referido si </w:t>
      </w:r>
      <w:r w:rsidR="00ED7430">
        <w:rPr>
          <w:rFonts w:eastAsia="Palatino Linotype" w:cs="Palatino Linotype"/>
          <w:bCs/>
          <w:color w:val="000000"/>
        </w:rPr>
        <w:t>en los archivos del área existe información relativa a dichos contratos.</w:t>
      </w:r>
    </w:p>
    <w:p w14:paraId="0A44C0EB" w14:textId="77777777" w:rsidR="00ED7430" w:rsidRDefault="00ED7430" w:rsidP="00637679">
      <w:pPr>
        <w:rPr>
          <w:rFonts w:eastAsia="Palatino Linotype" w:cs="Palatino Linotype"/>
          <w:bCs/>
          <w:color w:val="000000"/>
        </w:rPr>
      </w:pPr>
    </w:p>
    <w:p w14:paraId="6C651203" w14:textId="77777777" w:rsidR="00E14CCB" w:rsidRDefault="009348BC" w:rsidP="00E14CCB">
      <w:r>
        <w:lastRenderedPageBreak/>
        <w:t xml:space="preserve">Por lo anterior, se estimó procedente realizar una búsqueda </w:t>
      </w:r>
      <w:r w:rsidR="00074118">
        <w:t xml:space="preserve">en la red con la </w:t>
      </w:r>
      <w:r w:rsidR="00E14CCB">
        <w:t>con la finalidad de allegarse de mayores elementos relativos a la información solicitada, se identificó la siguiente nota periodística</w:t>
      </w:r>
      <w:r w:rsidR="00E14CCB">
        <w:rPr>
          <w:rStyle w:val="Refdenotaalpie"/>
        </w:rPr>
        <w:footnoteReference w:id="3"/>
      </w:r>
      <w:r w:rsidR="00E14CCB">
        <w:t xml:space="preserve">: </w:t>
      </w:r>
    </w:p>
    <w:p w14:paraId="4A6114CF" w14:textId="13BD4B2D" w:rsidR="00D96E32" w:rsidRDefault="00186D1D" w:rsidP="00186D1D">
      <w:pPr>
        <w:jc w:val="center"/>
      </w:pPr>
      <w:r>
        <w:rPr>
          <w:noProof/>
          <w:lang w:val="es-MX"/>
        </w:rPr>
        <w:drawing>
          <wp:inline distT="0" distB="0" distL="0" distR="0" wp14:anchorId="5FF9A7D5" wp14:editId="561348C2">
            <wp:extent cx="5092860" cy="5862724"/>
            <wp:effectExtent l="0" t="0" r="0" b="5080"/>
            <wp:docPr id="9122774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77412" name="Imagen 912277412"/>
                    <pic:cNvPicPr/>
                  </pic:nvPicPr>
                  <pic:blipFill>
                    <a:blip r:embed="rId10">
                      <a:extLst>
                        <a:ext uri="{28A0092B-C50C-407E-A947-70E740481C1C}">
                          <a14:useLocalDpi xmlns:a14="http://schemas.microsoft.com/office/drawing/2010/main" val="0"/>
                        </a:ext>
                      </a:extLst>
                    </a:blip>
                    <a:stretch>
                      <a:fillRect/>
                    </a:stretch>
                  </pic:blipFill>
                  <pic:spPr>
                    <a:xfrm>
                      <a:off x="0" y="0"/>
                      <a:ext cx="5130579" cy="5906145"/>
                    </a:xfrm>
                    <a:prstGeom prst="rect">
                      <a:avLst/>
                    </a:prstGeom>
                  </pic:spPr>
                </pic:pic>
              </a:graphicData>
            </a:graphic>
          </wp:inline>
        </w:drawing>
      </w:r>
    </w:p>
    <w:p w14:paraId="79ECF59F" w14:textId="2A040B06" w:rsidR="00D96E32" w:rsidRDefault="009A15CF" w:rsidP="009A15CF">
      <w:pPr>
        <w:jc w:val="center"/>
      </w:pPr>
      <w:r>
        <w:rPr>
          <w:noProof/>
          <w:lang w:val="es-MX"/>
        </w:rPr>
        <w:lastRenderedPageBreak/>
        <w:drawing>
          <wp:inline distT="0" distB="0" distL="0" distR="0" wp14:anchorId="78279E0C" wp14:editId="4E39ADCD">
            <wp:extent cx="5451676" cy="3262030"/>
            <wp:effectExtent l="0" t="0" r="0" b="1905"/>
            <wp:docPr id="1540804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0484" name="Imagen 154080484"/>
                    <pic:cNvPicPr/>
                  </pic:nvPicPr>
                  <pic:blipFill>
                    <a:blip r:embed="rId11">
                      <a:extLst>
                        <a:ext uri="{28A0092B-C50C-407E-A947-70E740481C1C}">
                          <a14:useLocalDpi xmlns:a14="http://schemas.microsoft.com/office/drawing/2010/main" val="0"/>
                        </a:ext>
                      </a:extLst>
                    </a:blip>
                    <a:stretch>
                      <a:fillRect/>
                    </a:stretch>
                  </pic:blipFill>
                  <pic:spPr>
                    <a:xfrm>
                      <a:off x="0" y="0"/>
                      <a:ext cx="5464899" cy="3269942"/>
                    </a:xfrm>
                    <a:prstGeom prst="rect">
                      <a:avLst/>
                    </a:prstGeom>
                  </pic:spPr>
                </pic:pic>
              </a:graphicData>
            </a:graphic>
          </wp:inline>
        </w:drawing>
      </w:r>
    </w:p>
    <w:p w14:paraId="661F75E9" w14:textId="77777777" w:rsidR="00D96E32" w:rsidRDefault="00D96E32" w:rsidP="00637679"/>
    <w:p w14:paraId="6DE76A65" w14:textId="4C6EF7FF" w:rsidR="000944AF" w:rsidRDefault="000944AF" w:rsidP="00637679">
      <w:r>
        <w:t xml:space="preserve">Como se logra advertir, </w:t>
      </w:r>
      <w:r w:rsidR="00A44476">
        <w:t xml:space="preserve">en el año 2021 se publicó la nota </w:t>
      </w:r>
      <w:r w:rsidR="005B6B8A">
        <w:t>señalada</w:t>
      </w:r>
      <w:r w:rsidR="00A44476">
        <w:t xml:space="preserve"> anteriormente en donde se hace refere</w:t>
      </w:r>
      <w:r w:rsidR="005B6B8A">
        <w:t xml:space="preserve">ncia a la conclusión de la perforación del pozo </w:t>
      </w:r>
      <w:r w:rsidR="009C4CE7">
        <w:t>Laureles y de la próxima entrada en operación de los pozos Cruz Roja y John F. Kennedy, que son lo</w:t>
      </w:r>
      <w:r w:rsidR="001C6C3D">
        <w:t>s</w:t>
      </w:r>
      <w:r w:rsidR="009C4CE7">
        <w:t xml:space="preserve"> </w:t>
      </w:r>
      <w:r w:rsidR="004239F6">
        <w:t>mencionados por el particular en la solicitud de información.</w:t>
      </w:r>
    </w:p>
    <w:p w14:paraId="149890AA" w14:textId="77777777" w:rsidR="00EF20D2" w:rsidRDefault="00EF20D2" w:rsidP="00637679"/>
    <w:p w14:paraId="0A0446BC" w14:textId="77777777" w:rsidR="001C6C3D" w:rsidRDefault="00EF20D2" w:rsidP="001C6C3D">
      <w:pPr>
        <w:contextualSpacing/>
        <w:rPr>
          <w:rFonts w:eastAsia="Palatino Linotype" w:cs="Palatino Linotype"/>
          <w:szCs w:val="24"/>
        </w:rPr>
      </w:pPr>
      <w:r>
        <w:t xml:space="preserve">Así, </w:t>
      </w:r>
      <w:r w:rsidR="00B5606E">
        <w:t xml:space="preserve">dado que existen indicios de la existencia de la información debido a su publicación en notas periodísticas, se debe señalar que </w:t>
      </w:r>
      <w:r w:rsidR="00A54F19">
        <w:t xml:space="preserve">éstas </w:t>
      </w:r>
      <w:r w:rsidR="001C6C3D">
        <w:rPr>
          <w:rFonts w:eastAsia="Palatino Linotype" w:cs="Palatino Linotype"/>
          <w:szCs w:val="24"/>
        </w:rPr>
        <w:t xml:space="preserve">únicamente acreditan que el hecho referido tuvo realización en el modo, tiempo y lugar que aparezca en éstas, pero no son aptas para demostrar los hechos que en tales publicaciones se contengan, pues no reúnen las características de un documento público que se refieren en los artículos 57 y 58 del Código de Procedimientos Administrativos de aplicación supletoria a la materia; asimismo, resulta aplicable la tesis </w:t>
      </w:r>
      <w:r w:rsidR="001C6C3D" w:rsidRPr="00DB1492">
        <w:rPr>
          <w:rFonts w:eastAsia="Palatino Linotype" w:cs="Palatino Linotype"/>
          <w:szCs w:val="24"/>
        </w:rPr>
        <w:t>I.4o.T.4 K</w:t>
      </w:r>
      <w:r w:rsidR="001C6C3D">
        <w:rPr>
          <w:rFonts w:eastAsia="Palatino Linotype" w:cs="Palatino Linotype"/>
          <w:szCs w:val="24"/>
        </w:rPr>
        <w:t xml:space="preserve">, con número de registro digital 203622, de </w:t>
      </w:r>
      <w:r w:rsidR="001C6C3D">
        <w:rPr>
          <w:rFonts w:eastAsia="Palatino Linotype" w:cs="Palatino Linotype"/>
          <w:szCs w:val="24"/>
        </w:rPr>
        <w:lastRenderedPageBreak/>
        <w:t xml:space="preserve">rubro </w:t>
      </w:r>
      <w:r w:rsidR="001C6C3D">
        <w:rPr>
          <w:rFonts w:eastAsia="Palatino Linotype" w:cs="Palatino Linotype"/>
          <w:b/>
          <w:szCs w:val="24"/>
        </w:rPr>
        <w:t>«</w:t>
      </w:r>
      <w:r w:rsidR="001C6C3D" w:rsidRPr="00DB1492">
        <w:rPr>
          <w:rFonts w:eastAsia="Palatino Linotype" w:cs="Palatino Linotype"/>
          <w:b/>
          <w:szCs w:val="24"/>
        </w:rPr>
        <w:t>NOTAS PERIODISTICAS, EL CONOCIMIENTO QUE DE ELLAS SE OBTIENE NO CONSTITUYE "UN HECHO PUBLICO Y NOTORIO"</w:t>
      </w:r>
      <w:r w:rsidR="001C6C3D">
        <w:rPr>
          <w:rFonts w:eastAsia="Palatino Linotype" w:cs="Palatino Linotype"/>
          <w:b/>
          <w:szCs w:val="24"/>
        </w:rPr>
        <w:t>»</w:t>
      </w:r>
      <w:r w:rsidR="001C6C3D">
        <w:rPr>
          <w:rFonts w:eastAsia="Palatino Linotype" w:cs="Palatino Linotype"/>
          <w:szCs w:val="24"/>
        </w:rPr>
        <w:t>.</w:t>
      </w:r>
    </w:p>
    <w:p w14:paraId="611A54AA" w14:textId="77777777" w:rsidR="001C6C3D" w:rsidRDefault="001C6C3D" w:rsidP="001C6C3D">
      <w:pPr>
        <w:contextualSpacing/>
        <w:rPr>
          <w:rFonts w:eastAsia="Palatino Linotype" w:cs="Palatino Linotype"/>
          <w:szCs w:val="24"/>
        </w:rPr>
      </w:pPr>
    </w:p>
    <w:p w14:paraId="62F45EDC" w14:textId="4A2EEAB4" w:rsidR="00EF20D2" w:rsidRDefault="001C6C3D" w:rsidP="001C6C3D">
      <w:r>
        <w:rPr>
          <w:rFonts w:eastAsia="Palatino Linotype" w:cs="Palatino Linotype"/>
          <w:szCs w:val="24"/>
        </w:rPr>
        <w:t xml:space="preserve">En ese contexto, es dable concluir que si bien es cierto que las notas periodísticas no constituyen una prueba plena, </w:t>
      </w:r>
      <w:r w:rsidRPr="00A13E14">
        <w:rPr>
          <w:rFonts w:eastAsia="Palatino Linotype" w:cs="Palatino Linotype"/>
          <w:b/>
          <w:szCs w:val="24"/>
        </w:rPr>
        <w:t>también lo es que permiten advertir indicios de los hechos que aparecen en su contenido</w:t>
      </w:r>
      <w:r>
        <w:rPr>
          <w:rFonts w:eastAsia="Palatino Linotype" w:cs="Palatino Linotype"/>
          <w:szCs w:val="24"/>
        </w:rPr>
        <w:t>.</w:t>
      </w:r>
    </w:p>
    <w:p w14:paraId="4626D1E6" w14:textId="77777777" w:rsidR="00D96E32" w:rsidRDefault="00D96E32" w:rsidP="00637679"/>
    <w:p w14:paraId="020BFADF" w14:textId="47DEF988" w:rsidR="0070042A" w:rsidRDefault="0070042A" w:rsidP="00637679">
      <w:pPr>
        <w:rPr>
          <w:rFonts w:eastAsiaTheme="minorEastAsia" w:cstheme="minorBidi"/>
          <w:lang w:eastAsia="en-US"/>
        </w:rPr>
      </w:pPr>
      <w:r>
        <w:t xml:space="preserve">En ese tenor, se presume que </w:t>
      </w:r>
      <w:r w:rsidR="00323EBD">
        <w:t xml:space="preserve">la información requerida fue generada, poseída o administrada por el Sujeto Obligado; empero, </w:t>
      </w:r>
      <w:r w:rsidR="001F0C02">
        <w:t xml:space="preserve">es necesario recordar que el Recurrente solicitó documentos generados en cumplimiento a la </w:t>
      </w:r>
      <w:r w:rsidR="00F163AC">
        <w:rPr>
          <w:rFonts w:eastAsiaTheme="minorEastAsia" w:cstheme="minorBidi"/>
          <w:lang w:eastAsia="en-US"/>
        </w:rPr>
        <w:t>Ley de Obras Públicas y Servicios relacionados con las mismas</w:t>
      </w:r>
      <w:r w:rsidR="009F47F2">
        <w:rPr>
          <w:rFonts w:eastAsiaTheme="minorEastAsia" w:cstheme="minorBidi"/>
          <w:lang w:eastAsia="en-US"/>
        </w:rPr>
        <w:t>, por lo que se debe recordar que las autoridades del Estado de México se rigen</w:t>
      </w:r>
      <w:r w:rsidR="005616BB">
        <w:rPr>
          <w:rFonts w:eastAsiaTheme="minorEastAsia" w:cstheme="minorBidi"/>
          <w:lang w:eastAsia="en-US"/>
        </w:rPr>
        <w:t xml:space="preserve">, en cuanto al tema de obra pública, por lo dispuesto en el Código Administrativo del Estado de México y el Reglamento </w:t>
      </w:r>
      <w:r w:rsidR="002F52C1">
        <w:rPr>
          <w:rFonts w:eastAsiaTheme="minorEastAsia" w:cstheme="minorBidi"/>
          <w:lang w:eastAsia="en-US"/>
        </w:rPr>
        <w:t xml:space="preserve">del Libro </w:t>
      </w:r>
      <w:r w:rsidR="00E305E3">
        <w:rPr>
          <w:rFonts w:eastAsiaTheme="minorEastAsia" w:cstheme="minorBidi"/>
          <w:lang w:eastAsia="en-US"/>
        </w:rPr>
        <w:t>Décimo</w:t>
      </w:r>
      <w:r w:rsidR="002F52C1">
        <w:rPr>
          <w:rFonts w:eastAsiaTheme="minorEastAsia" w:cstheme="minorBidi"/>
          <w:lang w:eastAsia="en-US"/>
        </w:rPr>
        <w:t xml:space="preserve"> Segundo del Código Administrativo del Estado de México</w:t>
      </w:r>
      <w:r w:rsidR="00E305E3">
        <w:rPr>
          <w:rFonts w:eastAsiaTheme="minorEastAsia" w:cstheme="minorBidi"/>
          <w:lang w:eastAsia="en-US"/>
        </w:rPr>
        <w:t xml:space="preserve">, así como de la </w:t>
      </w:r>
      <w:r w:rsidR="00D97DD9" w:rsidRPr="00D97DD9">
        <w:rPr>
          <w:rFonts w:eastAsiaTheme="minorEastAsia" w:cstheme="minorBidi"/>
          <w:lang w:eastAsia="en-US"/>
        </w:rPr>
        <w:t>Ley de Contratación Pública del Estado de México y Municipios</w:t>
      </w:r>
      <w:r w:rsidR="00D97DD9">
        <w:rPr>
          <w:rFonts w:eastAsiaTheme="minorEastAsia" w:cstheme="minorBidi"/>
          <w:lang w:eastAsia="en-US"/>
        </w:rPr>
        <w:t xml:space="preserve"> y su Reglamento.</w:t>
      </w:r>
    </w:p>
    <w:p w14:paraId="38864A69" w14:textId="77777777" w:rsidR="00D97DD9" w:rsidRDefault="00D97DD9" w:rsidP="00637679">
      <w:pPr>
        <w:rPr>
          <w:rFonts w:eastAsiaTheme="minorEastAsia" w:cstheme="minorBidi"/>
          <w:lang w:eastAsia="en-US"/>
        </w:rPr>
      </w:pPr>
    </w:p>
    <w:p w14:paraId="7009A19A" w14:textId="7CDA9590" w:rsidR="00D97DD9" w:rsidRDefault="000232DA" w:rsidP="00637679">
      <w:pPr>
        <w:rPr>
          <w:rFonts w:eastAsiaTheme="minorEastAsia" w:cstheme="minorBidi"/>
          <w:lang w:eastAsia="en-US"/>
        </w:rPr>
      </w:pPr>
      <w:r>
        <w:rPr>
          <w:rFonts w:eastAsiaTheme="minorEastAsia" w:cstheme="minorBidi"/>
          <w:lang w:eastAsia="en-US"/>
        </w:rPr>
        <w:t xml:space="preserve">Consecuentemente, se debe hacer referencia a lo dispuesto </w:t>
      </w:r>
      <w:r w:rsidR="00A07E4D">
        <w:rPr>
          <w:rFonts w:eastAsiaTheme="minorEastAsia" w:cstheme="minorBidi"/>
          <w:lang w:eastAsia="en-US"/>
        </w:rPr>
        <w:t>en los artículos 1, 5, 6, 211</w:t>
      </w:r>
      <w:r w:rsidR="00986E68">
        <w:rPr>
          <w:rFonts w:eastAsiaTheme="minorEastAsia" w:cstheme="minorBidi"/>
          <w:lang w:eastAsia="en-US"/>
        </w:rPr>
        <w:t xml:space="preserve">, </w:t>
      </w:r>
      <w:r w:rsidR="00A07E4D">
        <w:rPr>
          <w:rFonts w:eastAsiaTheme="minorEastAsia" w:cstheme="minorBidi"/>
          <w:lang w:eastAsia="en-US"/>
        </w:rPr>
        <w:t>215 y 217</w:t>
      </w:r>
      <w:r w:rsidR="00986E68">
        <w:rPr>
          <w:rFonts w:eastAsiaTheme="minorEastAsia" w:cstheme="minorBidi"/>
          <w:lang w:eastAsia="en-US"/>
        </w:rPr>
        <w:t xml:space="preserve"> del Reglamento del Libro Décimo Segundo del Código Administrativo del Estado de México, que a </w:t>
      </w:r>
      <w:r w:rsidR="004B12E2">
        <w:rPr>
          <w:rFonts w:eastAsiaTheme="minorEastAsia" w:cstheme="minorBidi"/>
          <w:lang w:eastAsia="en-US"/>
        </w:rPr>
        <w:t>la letra estipulan lo siguiente:</w:t>
      </w:r>
    </w:p>
    <w:p w14:paraId="2873FB4B" w14:textId="77777777" w:rsidR="004B12E2" w:rsidRDefault="004B12E2" w:rsidP="00637679">
      <w:pPr>
        <w:rPr>
          <w:rFonts w:eastAsiaTheme="minorEastAsia" w:cstheme="minorBidi"/>
          <w:lang w:eastAsia="en-US"/>
        </w:rPr>
      </w:pPr>
    </w:p>
    <w:p w14:paraId="10F75395" w14:textId="77777777" w:rsidR="0079573E" w:rsidRDefault="0079573E" w:rsidP="0079573E">
      <w:pPr>
        <w:pStyle w:val="Fundamentos"/>
        <w:rPr>
          <w:lang w:val="es-MX" w:eastAsia="en-US"/>
        </w:rPr>
      </w:pPr>
      <w:r w:rsidRPr="0079573E">
        <w:rPr>
          <w:b/>
          <w:bCs/>
          <w:lang w:val="es-MX" w:eastAsia="en-US"/>
        </w:rPr>
        <w:t>Artículo 1.-</w:t>
      </w:r>
      <w:r w:rsidRPr="0079573E">
        <w:rPr>
          <w:lang w:val="es-MX" w:eastAsia="en-US"/>
        </w:rPr>
        <w:t xml:space="preserve"> El cumplimiento y observancia de las disposiciones de este Reglamento son de orden público e interés social. Serán aplicables a las dependencias, entidades, ayuntamientos, los poderes Legislativo y Judicial, así como los organismos autónomos y los Tribunales Administrativos que, por si o por conducto de terceros, realicen actividades en materia de planeación, programación, presupuestación, adjudicación, contratación, ejecución y control de la obra pública y  servicios relacionados con la misma.</w:t>
      </w:r>
    </w:p>
    <w:p w14:paraId="5A05582F" w14:textId="77777777" w:rsidR="0079573E" w:rsidRDefault="0079573E" w:rsidP="0079573E">
      <w:pPr>
        <w:pStyle w:val="Fundamentos"/>
        <w:rPr>
          <w:lang w:val="es-MX" w:eastAsia="en-US"/>
        </w:rPr>
      </w:pPr>
    </w:p>
    <w:p w14:paraId="112BE5EE" w14:textId="77777777" w:rsidR="008356D0" w:rsidRPr="008356D0" w:rsidRDefault="008356D0" w:rsidP="008356D0">
      <w:pPr>
        <w:pStyle w:val="Fundamentos"/>
        <w:rPr>
          <w:lang w:val="es-MX" w:eastAsia="en-US"/>
        </w:rPr>
      </w:pPr>
      <w:r w:rsidRPr="008356D0">
        <w:rPr>
          <w:b/>
          <w:bCs/>
          <w:lang w:val="es-MX" w:eastAsia="en-US"/>
        </w:rPr>
        <w:t>Artículo 5.-</w:t>
      </w:r>
      <w:r w:rsidRPr="008356D0">
        <w:rPr>
          <w:lang w:val="es-MX" w:eastAsia="en-US"/>
        </w:rPr>
        <w:t xml:space="preserve"> El Registro de Obras Públicas del Estado tiene por objeto mantener integrada y actualizada la información de las obras públicas y servicios autorizados a las dependencias, entidades y, en su caso, a los ayuntamientos. La Secretaría del Ramo establecerá el Registro de Obras Públicas del Estado y lo mantendrá debidamente actualizado.</w:t>
      </w:r>
    </w:p>
    <w:p w14:paraId="5C2093BB" w14:textId="77777777" w:rsidR="008356D0" w:rsidRPr="008356D0" w:rsidRDefault="008356D0" w:rsidP="008356D0">
      <w:pPr>
        <w:pStyle w:val="Fundamentos"/>
        <w:rPr>
          <w:lang w:val="es-MX" w:eastAsia="en-US"/>
        </w:rPr>
      </w:pPr>
    </w:p>
    <w:p w14:paraId="68D05695" w14:textId="77777777" w:rsidR="008356D0" w:rsidRPr="008356D0" w:rsidRDefault="008356D0" w:rsidP="008356D0">
      <w:pPr>
        <w:pStyle w:val="Fundamentos"/>
        <w:rPr>
          <w:lang w:val="es-MX" w:eastAsia="en-US"/>
        </w:rPr>
      </w:pPr>
      <w:r w:rsidRPr="008356D0">
        <w:rPr>
          <w:lang w:val="es-MX" w:eastAsia="en-US"/>
        </w:rPr>
        <w:t>La Secretaría del Ramo desarrollará el sistema que permita integrar la información que al respecto existe en las dependencias, entidades o ayuntamientos y la pondrá a disposición de los servidores públicos o de ellas mismas. Éstos podrán acudir a las dependencias y entidades normativas y ejecutivas que correspondan en atención a la especialidad de la obra o servicio que programen realizar.</w:t>
      </w:r>
    </w:p>
    <w:p w14:paraId="2E12872E" w14:textId="77777777" w:rsidR="0079573E" w:rsidRDefault="0079573E" w:rsidP="0079573E">
      <w:pPr>
        <w:pStyle w:val="Fundamentos"/>
        <w:rPr>
          <w:lang w:val="es-MX" w:eastAsia="en-US"/>
        </w:rPr>
      </w:pPr>
    </w:p>
    <w:p w14:paraId="6FED0A41" w14:textId="77777777" w:rsidR="0073686C" w:rsidRPr="0073686C" w:rsidRDefault="0073686C" w:rsidP="0073686C">
      <w:pPr>
        <w:pStyle w:val="Fundamentos"/>
        <w:rPr>
          <w:lang w:val="es-MX" w:eastAsia="en-US"/>
        </w:rPr>
      </w:pPr>
      <w:r w:rsidRPr="0073686C">
        <w:rPr>
          <w:b/>
          <w:bCs/>
          <w:lang w:val="es-MX" w:eastAsia="en-US"/>
        </w:rPr>
        <w:t>Artículo 6.-</w:t>
      </w:r>
      <w:r w:rsidRPr="0073686C">
        <w:rPr>
          <w:lang w:val="es-MX" w:eastAsia="en-US"/>
        </w:rPr>
        <w:t xml:space="preserve"> El Registro se integrará con la información que las dependencias, entidades y ayuntamientos envíen a la Secretaría del Ramo relativa a:</w:t>
      </w:r>
    </w:p>
    <w:p w14:paraId="73AF5D6A" w14:textId="77777777" w:rsidR="0073686C" w:rsidRPr="0073686C" w:rsidRDefault="0073686C" w:rsidP="0073686C">
      <w:pPr>
        <w:pStyle w:val="Fundamentos"/>
        <w:rPr>
          <w:lang w:val="es-MX" w:eastAsia="en-US"/>
        </w:rPr>
      </w:pPr>
    </w:p>
    <w:p w14:paraId="299FAAD0" w14:textId="7AE855AC" w:rsidR="0073686C" w:rsidRPr="0073686C" w:rsidRDefault="0073686C" w:rsidP="00A0565F">
      <w:pPr>
        <w:pStyle w:val="Fundamentos"/>
        <w:numPr>
          <w:ilvl w:val="0"/>
          <w:numId w:val="50"/>
        </w:numPr>
        <w:rPr>
          <w:lang w:val="es-MX" w:eastAsia="en-US"/>
        </w:rPr>
      </w:pPr>
      <w:r w:rsidRPr="0073686C">
        <w:rPr>
          <w:lang w:val="es-MX" w:eastAsia="en-US"/>
        </w:rPr>
        <w:t>Las obras y servicios y el monto contratado;</w:t>
      </w:r>
    </w:p>
    <w:p w14:paraId="6577A5F4" w14:textId="706D9737" w:rsidR="0073686C" w:rsidRPr="0073686C" w:rsidRDefault="0073686C" w:rsidP="00A0565F">
      <w:pPr>
        <w:pStyle w:val="Fundamentos"/>
        <w:numPr>
          <w:ilvl w:val="0"/>
          <w:numId w:val="50"/>
        </w:numPr>
        <w:rPr>
          <w:lang w:val="es-MX" w:eastAsia="en-US"/>
        </w:rPr>
      </w:pPr>
      <w:r w:rsidRPr="0073686C">
        <w:rPr>
          <w:lang w:val="es-MX" w:eastAsia="en-US"/>
        </w:rPr>
        <w:t>El inicio de los trabajos;</w:t>
      </w:r>
    </w:p>
    <w:p w14:paraId="6F47F00E" w14:textId="71F32E97" w:rsidR="0073686C" w:rsidRPr="0073686C" w:rsidRDefault="0073686C" w:rsidP="00A0565F">
      <w:pPr>
        <w:pStyle w:val="Fundamentos"/>
        <w:numPr>
          <w:ilvl w:val="0"/>
          <w:numId w:val="50"/>
        </w:numPr>
        <w:rPr>
          <w:lang w:val="es-MX" w:eastAsia="en-US"/>
        </w:rPr>
      </w:pPr>
      <w:r w:rsidRPr="0073686C">
        <w:rPr>
          <w:lang w:val="es-MX" w:eastAsia="en-US"/>
        </w:rPr>
        <w:t>El avance de los trabajos;</w:t>
      </w:r>
    </w:p>
    <w:p w14:paraId="38E9EE26" w14:textId="23949321" w:rsidR="0073686C" w:rsidRPr="0073686C" w:rsidRDefault="00BA441E" w:rsidP="00A0565F">
      <w:pPr>
        <w:pStyle w:val="Fundamentos"/>
        <w:numPr>
          <w:ilvl w:val="0"/>
          <w:numId w:val="50"/>
        </w:numPr>
        <w:rPr>
          <w:lang w:val="es-MX" w:eastAsia="en-US"/>
        </w:rPr>
      </w:pPr>
      <w:r>
        <w:rPr>
          <w:lang w:val="es-MX" w:eastAsia="en-US"/>
        </w:rPr>
        <w:t>La</w:t>
      </w:r>
      <w:r w:rsidR="0073686C" w:rsidRPr="0073686C">
        <w:rPr>
          <w:lang w:val="es-MX" w:eastAsia="en-US"/>
        </w:rPr>
        <w:t xml:space="preserve"> suspensión, rescisión y terminación anticipada de los contratos;</w:t>
      </w:r>
    </w:p>
    <w:p w14:paraId="2598A321" w14:textId="3FE7E30B" w:rsidR="0073686C" w:rsidRPr="0073686C" w:rsidRDefault="0073686C" w:rsidP="00A0565F">
      <w:pPr>
        <w:pStyle w:val="Fundamentos"/>
        <w:numPr>
          <w:ilvl w:val="0"/>
          <w:numId w:val="50"/>
        </w:numPr>
        <w:rPr>
          <w:lang w:val="es-MX" w:eastAsia="en-US"/>
        </w:rPr>
      </w:pPr>
      <w:r w:rsidRPr="0073686C">
        <w:rPr>
          <w:lang w:val="es-MX" w:eastAsia="en-US"/>
        </w:rPr>
        <w:t>La  terminación de los trabajos y finiquito del contrato.</w:t>
      </w:r>
    </w:p>
    <w:p w14:paraId="6BB6DCD6" w14:textId="77777777" w:rsidR="0073686C" w:rsidRPr="0073686C" w:rsidRDefault="0073686C" w:rsidP="0073686C">
      <w:pPr>
        <w:pStyle w:val="Fundamentos"/>
        <w:rPr>
          <w:lang w:val="es-MX" w:eastAsia="en-US"/>
        </w:rPr>
      </w:pPr>
    </w:p>
    <w:p w14:paraId="6142FDC1" w14:textId="77777777" w:rsidR="0073686C" w:rsidRPr="0073686C" w:rsidRDefault="0073686C" w:rsidP="0073686C">
      <w:pPr>
        <w:pStyle w:val="Fundamentos"/>
        <w:rPr>
          <w:lang w:val="es-MX" w:eastAsia="en-US"/>
        </w:rPr>
      </w:pPr>
      <w:r w:rsidRPr="0073686C">
        <w:rPr>
          <w:lang w:val="es-MX" w:eastAsia="en-US"/>
        </w:rPr>
        <w:t>Las dependencias y entidades deberán remitir a la Secretaría del Ramo la información de las obras dentro de los quince días naturales siguientes a que ocurra la situación mencionada. Los ayuntamientos tendrán la misma obligación respecto de las obras que realicen con cargo total o parcial a fondos estatales.</w:t>
      </w:r>
    </w:p>
    <w:p w14:paraId="620DCEDF" w14:textId="77777777" w:rsidR="0073686C" w:rsidRPr="0073686C" w:rsidRDefault="0073686C" w:rsidP="0073686C">
      <w:pPr>
        <w:pStyle w:val="Fundamentos"/>
        <w:rPr>
          <w:lang w:val="es-MX" w:eastAsia="en-US"/>
        </w:rPr>
      </w:pPr>
    </w:p>
    <w:p w14:paraId="46C62138" w14:textId="77777777" w:rsidR="0073686C" w:rsidRPr="0073686C" w:rsidRDefault="0073686C" w:rsidP="0073686C">
      <w:pPr>
        <w:pStyle w:val="Fundamentos"/>
        <w:rPr>
          <w:lang w:val="es-MX" w:eastAsia="en-US"/>
        </w:rPr>
      </w:pPr>
      <w:r w:rsidRPr="0073686C">
        <w:rPr>
          <w:lang w:val="es-MX" w:eastAsia="en-US"/>
        </w:rPr>
        <w:t>Las dependencias y entidades deberán enviar la misma información a la Secretaría de Finanzas y a la Contraloría; y los ayuntamientos, cuando los trabajos se ejecuten total o parcialmente con cargo a recursos estatales.</w:t>
      </w:r>
    </w:p>
    <w:p w14:paraId="01702103" w14:textId="77777777" w:rsidR="008356D0" w:rsidRPr="008356D0" w:rsidRDefault="008356D0" w:rsidP="0079573E">
      <w:pPr>
        <w:pStyle w:val="Fundamentos"/>
        <w:rPr>
          <w:lang w:val="es-MX" w:eastAsia="en-US"/>
        </w:rPr>
      </w:pPr>
    </w:p>
    <w:p w14:paraId="37CF6944" w14:textId="77777777" w:rsidR="005222B0" w:rsidRPr="005222B0" w:rsidRDefault="005222B0" w:rsidP="005222B0">
      <w:pPr>
        <w:pStyle w:val="Fundamentos"/>
        <w:rPr>
          <w:lang w:val="es-MX" w:eastAsia="en-US"/>
        </w:rPr>
      </w:pPr>
      <w:r w:rsidRPr="005222B0">
        <w:rPr>
          <w:b/>
          <w:bCs/>
          <w:lang w:val="es-MX" w:eastAsia="en-US"/>
        </w:rPr>
        <w:t>Artículo 211.-</w:t>
      </w:r>
      <w:r w:rsidRPr="005222B0">
        <w:rPr>
          <w:lang w:val="es-MX" w:eastAsia="en-US"/>
        </w:rPr>
        <w:t xml:space="preserve"> El contratante hará constar en el finiquito la recepción de los trabajos realizados por el contratista hasta el momento de la rescisión del contrato, así como los equipos, materiales que se hubieran instalado en la obra o servicio o se hallen en proceso de fabricación, siempre y cuando sean susceptibles de ser utilizados en los trabajos por realizar, debiendo ajustarse a lo siguiente:</w:t>
      </w:r>
    </w:p>
    <w:p w14:paraId="2B063696" w14:textId="77777777" w:rsidR="005222B0" w:rsidRPr="005222B0" w:rsidRDefault="005222B0" w:rsidP="005222B0">
      <w:pPr>
        <w:pStyle w:val="Fundamentos"/>
        <w:rPr>
          <w:lang w:val="es-MX" w:eastAsia="en-US"/>
        </w:rPr>
      </w:pPr>
    </w:p>
    <w:p w14:paraId="40E2E21C" w14:textId="77777777" w:rsidR="005222B0" w:rsidRDefault="005222B0" w:rsidP="00A0565F">
      <w:pPr>
        <w:pStyle w:val="Fundamentos"/>
        <w:numPr>
          <w:ilvl w:val="0"/>
          <w:numId w:val="51"/>
        </w:numPr>
        <w:rPr>
          <w:lang w:val="es-MX" w:eastAsia="en-US"/>
        </w:rPr>
      </w:pPr>
      <w:r w:rsidRPr="005222B0">
        <w:rPr>
          <w:lang w:val="es-MX" w:eastAsia="en-US"/>
        </w:rPr>
        <w:t xml:space="preserve">Sólo podrá reconocerse el pago de aquellos materiales y equipos que cumplan con las especificaciones particulares de construcción, normas de calidad y hasta por la </w:t>
      </w:r>
      <w:r w:rsidRPr="005222B0">
        <w:rPr>
          <w:lang w:val="es-MX" w:eastAsia="en-US"/>
        </w:rPr>
        <w:lastRenderedPageBreak/>
        <w:t>cantidad requerida para la realización de los trabajos faltantes de ejecutar, de acuerdo con el programa de ejecución vigente, a la fecha de rescisión;</w:t>
      </w:r>
    </w:p>
    <w:p w14:paraId="63311581" w14:textId="77777777" w:rsidR="005222B0" w:rsidRDefault="005222B0" w:rsidP="00A0565F">
      <w:pPr>
        <w:pStyle w:val="Fundamentos"/>
        <w:numPr>
          <w:ilvl w:val="0"/>
          <w:numId w:val="51"/>
        </w:numPr>
        <w:rPr>
          <w:lang w:val="es-MX" w:eastAsia="en-US"/>
        </w:rPr>
      </w:pPr>
      <w:r w:rsidRPr="005222B0">
        <w:rPr>
          <w:lang w:val="es-MX" w:eastAsia="en-US"/>
        </w:rPr>
        <w:t xml:space="preserve">El reconocimiento de los materiales y equipos de instalación permanente se realizará invariablemente a los precios estipulados en los análisis de precios del contrato o, en su caso, a los precios de mercado; afectándose los primeros con los ajustes de costos que procedan. No se deberá considerar ningún cargo adicional por indirectos, financiamiento, fletes, almacenajes y seguros. Se entenderá por precio de mercado, el precio del fabricante o proveedor, en el momento en que se formalizó el pedido entre el contratista y el proveedor; </w:t>
      </w:r>
    </w:p>
    <w:p w14:paraId="41A9AC1A" w14:textId="77777777" w:rsidR="005222B0" w:rsidRDefault="005222B0" w:rsidP="00A0565F">
      <w:pPr>
        <w:pStyle w:val="Fundamentos"/>
        <w:numPr>
          <w:ilvl w:val="0"/>
          <w:numId w:val="51"/>
        </w:numPr>
        <w:rPr>
          <w:lang w:val="es-MX" w:eastAsia="en-US"/>
        </w:rPr>
      </w:pPr>
      <w:r w:rsidRPr="005222B0">
        <w:rPr>
          <w:lang w:val="es-MX" w:eastAsia="en-US"/>
        </w:rPr>
        <w:t>Se deberán reconocer los anticipos amortizados al contratista; así como los pagos que, a cuenta de materiales y fabricación de equipos, el contratista haya hecho al fabricante o proveedor; y siempre que, mediante pago de la diferencia al proveedor, éste se comprometa a entregarlos; y</w:t>
      </w:r>
    </w:p>
    <w:p w14:paraId="50A8C16A" w14:textId="3C631F04" w:rsidR="005222B0" w:rsidRPr="005222B0" w:rsidRDefault="005222B0" w:rsidP="00A0565F">
      <w:pPr>
        <w:pStyle w:val="Fundamentos"/>
        <w:numPr>
          <w:ilvl w:val="0"/>
          <w:numId w:val="51"/>
        </w:numPr>
        <w:rPr>
          <w:lang w:val="es-MX" w:eastAsia="en-US"/>
        </w:rPr>
      </w:pPr>
      <w:r w:rsidRPr="005222B0">
        <w:rPr>
          <w:lang w:val="es-MX" w:eastAsia="en-US"/>
        </w:rPr>
        <w:t>En el caso de fabricantes o proveedores que tengan la posesión o propiedad de los equipos y materiales que necesite el contratante, éste podrá, bajo su responsabilidad, subrogarse los derechos del contratista, debiendo seguir los criterios señalados en las fracciones anteriores.</w:t>
      </w:r>
    </w:p>
    <w:p w14:paraId="4D1F7A49" w14:textId="77777777" w:rsidR="0079573E" w:rsidRDefault="0079573E" w:rsidP="0079573E">
      <w:pPr>
        <w:pStyle w:val="Fundamentos"/>
        <w:rPr>
          <w:lang w:val="es-MX" w:eastAsia="en-US"/>
        </w:rPr>
      </w:pPr>
    </w:p>
    <w:p w14:paraId="1C7B29A9" w14:textId="77777777" w:rsidR="00BD361A" w:rsidRPr="00BD361A" w:rsidRDefault="00BD361A" w:rsidP="00BD361A">
      <w:pPr>
        <w:pStyle w:val="Fundamentos"/>
        <w:rPr>
          <w:lang w:val="es-MX" w:eastAsia="en-US"/>
        </w:rPr>
      </w:pPr>
      <w:r w:rsidRPr="00BD361A">
        <w:rPr>
          <w:b/>
          <w:bCs/>
          <w:lang w:val="es-MX" w:eastAsia="en-US"/>
        </w:rPr>
        <w:t>Artículo 215.-</w:t>
      </w:r>
      <w:r w:rsidRPr="00BD361A">
        <w:rPr>
          <w:lang w:val="es-MX" w:eastAsia="en-US"/>
        </w:rPr>
        <w:t xml:space="preserve"> Para dar inicio a la ejecución de los trabajos, el contratante nombrará al servidor público residente de obra; y el contratista, al superintendente de la obra que lo representará.</w:t>
      </w:r>
    </w:p>
    <w:p w14:paraId="3BFA0CB0" w14:textId="77777777" w:rsidR="00BD361A" w:rsidRPr="00BD361A" w:rsidRDefault="00BD361A" w:rsidP="00BD361A">
      <w:pPr>
        <w:pStyle w:val="Fundamentos"/>
        <w:rPr>
          <w:lang w:val="es-MX" w:eastAsia="en-US"/>
        </w:rPr>
      </w:pPr>
    </w:p>
    <w:p w14:paraId="02C5A30B" w14:textId="77777777" w:rsidR="00BD361A" w:rsidRPr="00BD361A" w:rsidRDefault="00BD361A" w:rsidP="00BD361A">
      <w:pPr>
        <w:pStyle w:val="Fundamentos"/>
        <w:rPr>
          <w:lang w:val="es-MX" w:eastAsia="en-US"/>
        </w:rPr>
      </w:pPr>
      <w:r w:rsidRPr="00BD361A">
        <w:rPr>
          <w:lang w:val="es-MX" w:eastAsia="en-US"/>
        </w:rPr>
        <w:t>Cuando la supervisión sea contratada con terceras personas, es conveniente que participe desde el fallo del procedimiento de adjudicación del contrato de obra.</w:t>
      </w:r>
    </w:p>
    <w:p w14:paraId="730C8E12" w14:textId="77777777" w:rsidR="00BD361A" w:rsidRPr="00BD361A" w:rsidRDefault="00BD361A" w:rsidP="00BD361A">
      <w:pPr>
        <w:pStyle w:val="Fundamentos"/>
        <w:rPr>
          <w:lang w:val="es-MX" w:eastAsia="en-US"/>
        </w:rPr>
      </w:pPr>
    </w:p>
    <w:p w14:paraId="43B347C5" w14:textId="77777777" w:rsidR="00BD361A" w:rsidRPr="00BD361A" w:rsidRDefault="00BD361A" w:rsidP="00BD361A">
      <w:pPr>
        <w:pStyle w:val="Fundamentos"/>
        <w:rPr>
          <w:lang w:val="es-MX" w:eastAsia="en-US"/>
        </w:rPr>
      </w:pPr>
      <w:r w:rsidRPr="00BD361A">
        <w:rPr>
          <w:b/>
          <w:bCs/>
          <w:lang w:val="es-MX" w:eastAsia="en-US"/>
        </w:rPr>
        <w:t>Artículo 217.-</w:t>
      </w:r>
      <w:r w:rsidRPr="00BD361A">
        <w:rPr>
          <w:lang w:val="es-MX" w:eastAsia="en-US"/>
        </w:rPr>
        <w:t xml:space="preserve"> Las funciones de la residencia de obra serán: </w:t>
      </w:r>
    </w:p>
    <w:p w14:paraId="4FD52B4E" w14:textId="77777777" w:rsidR="00BD361A" w:rsidRPr="00BD361A" w:rsidRDefault="00BD361A" w:rsidP="00BD361A">
      <w:pPr>
        <w:pStyle w:val="Fundamentos"/>
        <w:rPr>
          <w:lang w:val="es-MX" w:eastAsia="en-US"/>
        </w:rPr>
      </w:pPr>
    </w:p>
    <w:p w14:paraId="5FA42730" w14:textId="77777777" w:rsidR="00242971" w:rsidRDefault="00BD361A" w:rsidP="00A0565F">
      <w:pPr>
        <w:pStyle w:val="Fundamentos"/>
        <w:numPr>
          <w:ilvl w:val="0"/>
          <w:numId w:val="52"/>
        </w:numPr>
        <w:rPr>
          <w:lang w:val="es-MX" w:eastAsia="en-US"/>
        </w:rPr>
      </w:pPr>
      <w:r w:rsidRPr="00BD361A">
        <w:rPr>
          <w:lang w:val="es-MX" w:eastAsia="en-US"/>
        </w:rPr>
        <w:t>Vigilar que se cuente con el oficio de autorización de los recursos presupuestales;</w:t>
      </w:r>
    </w:p>
    <w:p w14:paraId="69C41210" w14:textId="07584037" w:rsidR="00BD361A" w:rsidRPr="00BD361A" w:rsidRDefault="00BD361A" w:rsidP="00A0565F">
      <w:pPr>
        <w:pStyle w:val="Fundamentos"/>
        <w:numPr>
          <w:ilvl w:val="0"/>
          <w:numId w:val="52"/>
        </w:numPr>
        <w:rPr>
          <w:lang w:val="es-MX" w:eastAsia="en-US"/>
        </w:rPr>
      </w:pPr>
      <w:r w:rsidRPr="00BD361A">
        <w:rPr>
          <w:lang w:val="es-MX" w:eastAsia="en-US"/>
        </w:rPr>
        <w:t>Verificar que, antes del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programas de ejecución y suministros o utilización, términos de referencia y alcance de servicios; en caso contrario, informar a su inmediato superior;</w:t>
      </w:r>
    </w:p>
    <w:p w14:paraId="7053BA29" w14:textId="6EF75B32" w:rsidR="00BD361A" w:rsidRPr="00BD361A" w:rsidRDefault="00BD361A" w:rsidP="00A0565F">
      <w:pPr>
        <w:pStyle w:val="Fundamentos"/>
        <w:numPr>
          <w:ilvl w:val="0"/>
          <w:numId w:val="52"/>
        </w:numPr>
        <w:rPr>
          <w:lang w:val="es-MX" w:eastAsia="en-US"/>
        </w:rPr>
      </w:pPr>
      <w:r w:rsidRPr="00BD361A">
        <w:rPr>
          <w:lang w:val="es-MX" w:eastAsia="en-US"/>
        </w:rPr>
        <w:t>Abrir la bitácora de obra, la cual quedará bajo su resguardo, y por medio de ella dar las instrucciones pertinentes, y recibir las solicitudes que le formule la supervisión y el contratista;</w:t>
      </w:r>
    </w:p>
    <w:p w14:paraId="5719AE41" w14:textId="77777777" w:rsidR="00BD361A" w:rsidRPr="00BD361A" w:rsidRDefault="00BD361A" w:rsidP="00BD361A">
      <w:pPr>
        <w:pStyle w:val="Fundamentos"/>
        <w:rPr>
          <w:lang w:val="es-MX" w:eastAsia="en-US"/>
        </w:rPr>
      </w:pPr>
      <w:r w:rsidRPr="00BD361A">
        <w:rPr>
          <w:lang w:val="es-MX" w:eastAsia="en-US"/>
        </w:rPr>
        <w:t>[…]</w:t>
      </w:r>
    </w:p>
    <w:p w14:paraId="0F3EDB18" w14:textId="77777777" w:rsidR="00BD361A" w:rsidRPr="00BD361A" w:rsidRDefault="00BD361A" w:rsidP="00BD361A">
      <w:pPr>
        <w:pStyle w:val="Fundamentos"/>
        <w:rPr>
          <w:lang w:val="es-MX" w:eastAsia="en-US"/>
        </w:rPr>
      </w:pPr>
      <w:r w:rsidRPr="00BD361A">
        <w:rPr>
          <w:lang w:val="es-MX" w:eastAsia="en-US"/>
        </w:rPr>
        <w:t>XIV.</w:t>
      </w:r>
      <w:r w:rsidRPr="00BD361A">
        <w:rPr>
          <w:lang w:val="es-MX" w:eastAsia="en-US"/>
        </w:rPr>
        <w:tab/>
        <w:t>Autorizar y firmar el finiquito del contrato;</w:t>
      </w:r>
    </w:p>
    <w:p w14:paraId="1F6DC90E" w14:textId="1EA08C97" w:rsidR="00BD361A" w:rsidRPr="00BD361A" w:rsidRDefault="00BD361A" w:rsidP="00D9531F">
      <w:pPr>
        <w:pStyle w:val="Fundamentos"/>
        <w:ind w:left="1416" w:hanging="849"/>
        <w:rPr>
          <w:lang w:val="es-MX" w:eastAsia="en-US"/>
        </w:rPr>
      </w:pPr>
      <w:r w:rsidRPr="00BD361A">
        <w:rPr>
          <w:lang w:val="es-MX" w:eastAsia="en-US"/>
        </w:rPr>
        <w:lastRenderedPageBreak/>
        <w:t>XV.</w:t>
      </w:r>
      <w:r w:rsidR="00D9531F">
        <w:rPr>
          <w:lang w:val="es-MX" w:eastAsia="en-US"/>
        </w:rPr>
        <w:tab/>
      </w:r>
      <w:r w:rsidRPr="00BD361A">
        <w:rPr>
          <w:lang w:val="es-MX" w:eastAsia="en-US"/>
        </w:rPr>
        <w:t>Verificar la correcta terminación de los trabajos, vigilando que la unidad que deba operarla reciba oportunamente el inmueble en condiciones de operación, los planos actualizados correspondientes a la construcción final, así como los manuales e instructivos de operación y mantenimiento y los certificados de garantía de calidad y funcionamiento de los bienes instalados;</w:t>
      </w:r>
    </w:p>
    <w:p w14:paraId="51C6E3D8" w14:textId="77777777" w:rsidR="00BD361A" w:rsidRPr="00BD361A" w:rsidRDefault="00BD361A" w:rsidP="00D9531F">
      <w:pPr>
        <w:pStyle w:val="Fundamentos"/>
        <w:ind w:left="1416" w:hanging="849"/>
        <w:rPr>
          <w:lang w:val="es-MX" w:eastAsia="en-US"/>
        </w:rPr>
      </w:pPr>
      <w:r w:rsidRPr="00BD361A">
        <w:rPr>
          <w:lang w:val="es-MX" w:eastAsia="en-US"/>
        </w:rPr>
        <w:t>XVI.</w:t>
      </w:r>
      <w:r w:rsidRPr="00BD361A">
        <w:rPr>
          <w:lang w:val="es-MX" w:eastAsia="en-US"/>
        </w:rPr>
        <w:tab/>
        <w:t>Participar con los servidores públicos responsables en los procedimientos de suspensión, terminación anticipada o rescisión del contrato de obra; y</w:t>
      </w:r>
    </w:p>
    <w:p w14:paraId="19335443" w14:textId="77777777" w:rsidR="00BD361A" w:rsidRPr="00BD361A" w:rsidRDefault="00BD361A" w:rsidP="00BD361A">
      <w:pPr>
        <w:pStyle w:val="Fundamentos"/>
        <w:rPr>
          <w:lang w:val="es-MX" w:eastAsia="en-US"/>
        </w:rPr>
      </w:pPr>
      <w:r w:rsidRPr="00BD361A">
        <w:rPr>
          <w:lang w:val="es-MX" w:eastAsia="en-US"/>
        </w:rPr>
        <w:t>XVII.</w:t>
      </w:r>
      <w:r w:rsidRPr="00BD361A">
        <w:rPr>
          <w:lang w:val="es-MX" w:eastAsia="en-US"/>
        </w:rPr>
        <w:tab/>
        <w:t>Las demás funciones que señale el contratante.</w:t>
      </w:r>
    </w:p>
    <w:p w14:paraId="4C87EB27" w14:textId="77777777" w:rsidR="004B12E2" w:rsidRDefault="004B12E2" w:rsidP="00637679"/>
    <w:p w14:paraId="4D3F3238" w14:textId="767D8662" w:rsidR="0070042A" w:rsidRDefault="00D9531F" w:rsidP="00637679">
      <w:r>
        <w:t xml:space="preserve">De los preceptos en cita, se observa </w:t>
      </w:r>
      <w:r w:rsidR="007802A6">
        <w:t xml:space="preserve">que los dispuesto en el Reglamento es </w:t>
      </w:r>
      <w:r w:rsidR="0026219D">
        <w:t xml:space="preserve">aplicable a las dependencias, entidades, </w:t>
      </w:r>
      <w:r w:rsidR="0026219D">
        <w:rPr>
          <w:b/>
          <w:bCs/>
        </w:rPr>
        <w:t>ayuntamientos</w:t>
      </w:r>
      <w:r w:rsidR="0026219D">
        <w:t xml:space="preserve">, poderes Legislativo y Judicial, organismos autónomos y tribunales administrativos; que las obras públicas y servicios autorizados </w:t>
      </w:r>
      <w:r w:rsidR="00592125">
        <w:t xml:space="preserve">a los ayuntamientos deben constar en el Registro de Obras Públicas del Estado, con la finalidad de que dicha información se mantenga integrada y actualizada; </w:t>
      </w:r>
      <w:r w:rsidR="00DA1FA8">
        <w:t>que en dicho Registro deben constar las obras y servicios y el monto contratado, el inicio, avance, suspensión y terminación de los trabajos, así como el finiquito del contrato</w:t>
      </w:r>
      <w:r w:rsidR="00357A38">
        <w:t>.</w:t>
      </w:r>
    </w:p>
    <w:p w14:paraId="3C633405" w14:textId="77777777" w:rsidR="00357A38" w:rsidRDefault="00357A38" w:rsidP="00637679"/>
    <w:p w14:paraId="6722C70E" w14:textId="1218803B" w:rsidR="00357A38" w:rsidRPr="0026219D" w:rsidRDefault="00357A38" w:rsidP="00637679">
      <w:r>
        <w:t xml:space="preserve">Asimismo, </w:t>
      </w:r>
      <w:r w:rsidR="004F3AB3">
        <w:t>se establece la obligación de los contratantes de hace</w:t>
      </w:r>
      <w:r w:rsidR="007A0F05">
        <w:t xml:space="preserve">r constar en los finiquitos la recepción de los trabajos </w:t>
      </w:r>
      <w:r w:rsidR="002D5FC4">
        <w:t>realizados por el contratista, equipos y materiales instalados en la obra</w:t>
      </w:r>
      <w:r w:rsidR="00E44174">
        <w:t xml:space="preserve">, precios, anticipos amortizados, pagos </w:t>
      </w:r>
      <w:r w:rsidR="005E57D8">
        <w:t>que a cuenta de materiales se hayan hecho al contratista; aunado a la obligación d</w:t>
      </w:r>
      <w:r w:rsidR="008B23B5">
        <w:t>el contratante de nombra al servidor público residente de obra, que tendrá las obligaciones referidas en el artículo 217</w:t>
      </w:r>
      <w:r w:rsidR="00B2248D">
        <w:t xml:space="preserve"> del citado Reglamento</w:t>
      </w:r>
      <w:r w:rsidR="00BC357C">
        <w:t xml:space="preserve">, destacando la </w:t>
      </w:r>
      <w:r w:rsidR="00242971">
        <w:t xml:space="preserve">referida en la fracción III consistente en </w:t>
      </w:r>
      <w:r w:rsidR="009D0112">
        <w:t>abrir la bitácora de obra</w:t>
      </w:r>
      <w:r w:rsidR="00956EC1">
        <w:t xml:space="preserve"> y la obligación del </w:t>
      </w:r>
      <w:r w:rsidR="008B23B5">
        <w:t>contratista</w:t>
      </w:r>
      <w:r w:rsidR="00956EC1">
        <w:t xml:space="preserve"> de nombrar </w:t>
      </w:r>
      <w:r w:rsidR="008B23B5">
        <w:t xml:space="preserve">al superintendente de </w:t>
      </w:r>
      <w:r w:rsidR="009D0112">
        <w:t>l</w:t>
      </w:r>
      <w:r w:rsidR="008B23B5">
        <w:t>a obra</w:t>
      </w:r>
      <w:r w:rsidR="00B2248D">
        <w:t>, cuyas obligaciones se enuncian en el artículo 219 del mismo Reglamento.</w:t>
      </w:r>
    </w:p>
    <w:p w14:paraId="38C65F5F" w14:textId="77777777" w:rsidR="0070042A" w:rsidRDefault="0070042A" w:rsidP="00637679"/>
    <w:p w14:paraId="585E96F1" w14:textId="48F6BC87" w:rsidR="00FB665A" w:rsidRDefault="00FB665A" w:rsidP="00637679">
      <w:r>
        <w:lastRenderedPageBreak/>
        <w:t>Consecuentemente, se tiene que</w:t>
      </w:r>
      <w:r w:rsidR="00C7062B">
        <w:t>,</w:t>
      </w:r>
      <w:r>
        <w:t xml:space="preserve"> para la contratación de obra pública en la modalidad de adjudicación directa, el Sujeto Obligado se debe regir por lo dispuesto </w:t>
      </w:r>
      <w:r w:rsidR="00526B00">
        <w:t xml:space="preserve">en la normativa </w:t>
      </w:r>
      <w:r w:rsidR="00016B50">
        <w:t xml:space="preserve">estatal </w:t>
      </w:r>
      <w:r w:rsidR="00526B00">
        <w:t xml:space="preserve">señalada en párrafos anteriores, </w:t>
      </w:r>
      <w:r w:rsidR="00C7062B">
        <w:t>estando obligado a generar la documentación</w:t>
      </w:r>
      <w:r w:rsidR="009D0112">
        <w:t xml:space="preserve"> establecida en ésta</w:t>
      </w:r>
      <w:r w:rsidR="001E65C6">
        <w:t>, la cual es análoga y consistente con la requerida por el Recurrente</w:t>
      </w:r>
      <w:r w:rsidR="00016B50">
        <w:t>.</w:t>
      </w:r>
    </w:p>
    <w:p w14:paraId="183752AE" w14:textId="77777777" w:rsidR="00016B50" w:rsidRDefault="00016B50" w:rsidP="00637679"/>
    <w:p w14:paraId="017214E6" w14:textId="77777777" w:rsidR="00602B07" w:rsidRDefault="00016B50" w:rsidP="00602B07">
      <w:pPr>
        <w:rPr>
          <w:rFonts w:cs="Arial"/>
          <w:lang w:val="es-ES"/>
        </w:rPr>
      </w:pPr>
      <w:r>
        <w:t xml:space="preserve">Del mismo modo, no se omite </w:t>
      </w:r>
      <w:r w:rsidR="00602B07">
        <w:rPr>
          <w:rFonts w:cs="Arial"/>
          <w:lang w:val="es-ES"/>
        </w:rPr>
        <w:t>recordar que la información relativa a las adquisiciones mediante adjudicación directa se considera como una obligación de transparencia común, conforme a lo dispuesto en el artículo 92 fracción XXIX, inciso b), en el que se estipula lo siguiente:</w:t>
      </w:r>
    </w:p>
    <w:p w14:paraId="10985B8D" w14:textId="77777777" w:rsidR="00602B07" w:rsidRDefault="00602B07" w:rsidP="00602B07">
      <w:pPr>
        <w:rPr>
          <w:rFonts w:cs="Arial"/>
          <w:lang w:val="es-ES"/>
        </w:rPr>
      </w:pPr>
    </w:p>
    <w:p w14:paraId="3FFCF934" w14:textId="77777777" w:rsidR="00602B07" w:rsidRPr="00466023" w:rsidRDefault="00602B07" w:rsidP="00602B07">
      <w:pPr>
        <w:pStyle w:val="Fundamentos"/>
        <w:rPr>
          <w:lang w:val="es-MX"/>
        </w:rPr>
      </w:pPr>
      <w:r w:rsidRPr="00466023">
        <w:rPr>
          <w:b/>
          <w:lang w:val="es-MX"/>
        </w:rPr>
        <w:t xml:space="preserve">Artículo 92. </w:t>
      </w:r>
      <w:r w:rsidRPr="00466023">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6F12215" w14:textId="77777777" w:rsidR="00602B07" w:rsidRDefault="00602B07" w:rsidP="00602B07">
      <w:pPr>
        <w:pStyle w:val="Fundamentos"/>
        <w:rPr>
          <w:lang w:val="es-MX"/>
        </w:rPr>
      </w:pPr>
      <w:r>
        <w:rPr>
          <w:lang w:val="es-MX"/>
        </w:rPr>
        <w:t>[…]</w:t>
      </w:r>
    </w:p>
    <w:p w14:paraId="4BB56E39" w14:textId="77777777" w:rsidR="00602B07" w:rsidRDefault="00602B07" w:rsidP="00602B07">
      <w:pPr>
        <w:pStyle w:val="Fundamentos"/>
        <w:rPr>
          <w:lang w:val="es-MX"/>
        </w:rPr>
      </w:pPr>
      <w:r w:rsidRPr="00355433">
        <w:rPr>
          <w:b/>
          <w:bCs/>
          <w:lang w:val="es-MX"/>
        </w:rPr>
        <w:t>XXIX.</w:t>
      </w:r>
      <w:r w:rsidRPr="00901A7F">
        <w:rPr>
          <w:lang w:val="es-MX"/>
        </w:rPr>
        <w:tab/>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0A525E72" w14:textId="77777777" w:rsidR="00602B07" w:rsidRDefault="00602B07" w:rsidP="00602B07">
      <w:pPr>
        <w:pStyle w:val="Fundamentos"/>
        <w:ind w:left="993"/>
        <w:rPr>
          <w:lang w:val="es-MX"/>
        </w:rPr>
      </w:pPr>
      <w:r w:rsidRPr="00954CC0">
        <w:rPr>
          <w:b/>
          <w:bCs/>
          <w:lang w:val="es-MX"/>
        </w:rPr>
        <w:t>a)</w:t>
      </w:r>
      <w:r>
        <w:rPr>
          <w:lang w:val="es-MX"/>
        </w:rPr>
        <w:t xml:space="preserve"> </w:t>
      </w:r>
      <w:r>
        <w:rPr>
          <w:lang w:val="es-MX"/>
        </w:rPr>
        <w:tab/>
        <w:t>[…]</w:t>
      </w:r>
    </w:p>
    <w:p w14:paraId="14FDF7CF" w14:textId="77777777" w:rsidR="00602B07" w:rsidRPr="00954CC0" w:rsidRDefault="00602B07" w:rsidP="00602B07">
      <w:pPr>
        <w:pStyle w:val="Fundamentos"/>
        <w:ind w:left="993"/>
        <w:rPr>
          <w:lang w:val="es-MX"/>
        </w:rPr>
      </w:pPr>
      <w:r w:rsidRPr="00954CC0">
        <w:rPr>
          <w:b/>
          <w:bCs/>
          <w:lang w:val="es-MX"/>
        </w:rPr>
        <w:t>b)</w:t>
      </w:r>
      <w:r w:rsidRPr="00954CC0">
        <w:rPr>
          <w:lang w:val="es-MX"/>
        </w:rPr>
        <w:tab/>
        <w:t>De las adjudicaciones directas:</w:t>
      </w:r>
    </w:p>
    <w:p w14:paraId="6E18831C" w14:textId="77777777" w:rsidR="00602B07" w:rsidRPr="00954CC0" w:rsidRDefault="00602B07" w:rsidP="00602B07">
      <w:pPr>
        <w:pStyle w:val="Fundamentos"/>
        <w:ind w:left="993"/>
        <w:rPr>
          <w:lang w:val="es-MX"/>
        </w:rPr>
      </w:pPr>
    </w:p>
    <w:p w14:paraId="3D6AAAE1" w14:textId="77777777" w:rsidR="00602B07" w:rsidRPr="00954CC0" w:rsidRDefault="00602B07" w:rsidP="00602B07">
      <w:pPr>
        <w:pStyle w:val="Fundamentos"/>
        <w:ind w:left="1418"/>
        <w:rPr>
          <w:lang w:val="es-MX"/>
        </w:rPr>
      </w:pPr>
      <w:r w:rsidRPr="00954CC0">
        <w:rPr>
          <w:b/>
          <w:bCs/>
          <w:lang w:val="es-MX"/>
        </w:rPr>
        <w:t>1)</w:t>
      </w:r>
      <w:r w:rsidRPr="00954CC0">
        <w:rPr>
          <w:lang w:val="es-MX"/>
        </w:rPr>
        <w:tab/>
        <w:t>La propuesta enviada por el participante;</w:t>
      </w:r>
    </w:p>
    <w:p w14:paraId="402A4E2F" w14:textId="77777777" w:rsidR="00602B07" w:rsidRPr="00954CC0" w:rsidRDefault="00602B07" w:rsidP="00602B07">
      <w:pPr>
        <w:pStyle w:val="Fundamentos"/>
        <w:ind w:left="1418"/>
        <w:rPr>
          <w:lang w:val="es-MX"/>
        </w:rPr>
      </w:pPr>
      <w:r w:rsidRPr="00954CC0">
        <w:rPr>
          <w:b/>
          <w:bCs/>
          <w:lang w:val="es-MX"/>
        </w:rPr>
        <w:t>2)</w:t>
      </w:r>
      <w:r w:rsidRPr="00954CC0">
        <w:rPr>
          <w:lang w:val="es-MX"/>
        </w:rPr>
        <w:tab/>
        <w:t>Los motivos y fundamentos legales aplicados para llevarla a cabo;</w:t>
      </w:r>
    </w:p>
    <w:p w14:paraId="32062FC0" w14:textId="77777777" w:rsidR="00602B07" w:rsidRPr="00954CC0" w:rsidRDefault="00602B07" w:rsidP="00602B07">
      <w:pPr>
        <w:pStyle w:val="Fundamentos"/>
        <w:ind w:left="1418"/>
        <w:rPr>
          <w:lang w:val="es-MX"/>
        </w:rPr>
      </w:pPr>
      <w:r w:rsidRPr="00954CC0">
        <w:rPr>
          <w:b/>
          <w:bCs/>
          <w:lang w:val="es-MX"/>
        </w:rPr>
        <w:t>3)</w:t>
      </w:r>
      <w:r w:rsidRPr="00954CC0">
        <w:rPr>
          <w:lang w:val="es-MX"/>
        </w:rPr>
        <w:tab/>
        <w:t>La autorización del ejercicio de la opción;</w:t>
      </w:r>
    </w:p>
    <w:p w14:paraId="3262A7F3" w14:textId="77777777" w:rsidR="00602B07" w:rsidRPr="00954CC0" w:rsidRDefault="00602B07" w:rsidP="00602B07">
      <w:pPr>
        <w:pStyle w:val="Fundamentos"/>
        <w:ind w:left="2118" w:hanging="700"/>
        <w:rPr>
          <w:lang w:val="es-MX"/>
        </w:rPr>
      </w:pPr>
      <w:r w:rsidRPr="00954CC0">
        <w:rPr>
          <w:b/>
          <w:bCs/>
          <w:lang w:val="es-MX"/>
        </w:rPr>
        <w:t>4)</w:t>
      </w:r>
      <w:r w:rsidRPr="00954CC0">
        <w:rPr>
          <w:lang w:val="es-MX"/>
        </w:rPr>
        <w:tab/>
        <w:t>En su caso, las cotizaciones consideradas, especificando los nombres de los proveedores y sus montos;</w:t>
      </w:r>
    </w:p>
    <w:p w14:paraId="0DD1EEE5" w14:textId="77777777" w:rsidR="00602B07" w:rsidRPr="00954CC0" w:rsidRDefault="00602B07" w:rsidP="00602B07">
      <w:pPr>
        <w:pStyle w:val="Fundamentos"/>
        <w:ind w:left="1418"/>
        <w:rPr>
          <w:lang w:val="es-MX"/>
        </w:rPr>
      </w:pPr>
      <w:r w:rsidRPr="00954CC0">
        <w:rPr>
          <w:b/>
          <w:bCs/>
          <w:lang w:val="es-MX"/>
        </w:rPr>
        <w:t>5)</w:t>
      </w:r>
      <w:r w:rsidRPr="00954CC0">
        <w:rPr>
          <w:lang w:val="es-MX"/>
        </w:rPr>
        <w:tab/>
        <w:t>El nombre de la persona física o jurídica colectiva adjudicada;</w:t>
      </w:r>
    </w:p>
    <w:p w14:paraId="49C683F5" w14:textId="77777777" w:rsidR="00602B07" w:rsidRPr="00954CC0" w:rsidRDefault="00602B07" w:rsidP="00602B07">
      <w:pPr>
        <w:pStyle w:val="Fundamentos"/>
        <w:ind w:left="1418"/>
        <w:rPr>
          <w:lang w:val="es-MX"/>
        </w:rPr>
      </w:pPr>
      <w:r w:rsidRPr="00954CC0">
        <w:rPr>
          <w:b/>
          <w:bCs/>
          <w:lang w:val="es-MX"/>
        </w:rPr>
        <w:t>6)</w:t>
      </w:r>
      <w:r w:rsidRPr="00954CC0">
        <w:rPr>
          <w:lang w:val="es-MX"/>
        </w:rPr>
        <w:tab/>
        <w:t>La unidad administrativa solicitante y la responsable de su ejecución;</w:t>
      </w:r>
    </w:p>
    <w:p w14:paraId="5FC133C1" w14:textId="77777777" w:rsidR="00602B07" w:rsidRPr="00EE0175" w:rsidRDefault="00602B07" w:rsidP="00602B07">
      <w:pPr>
        <w:pStyle w:val="Fundamentos"/>
        <w:ind w:left="2118" w:hanging="700"/>
        <w:rPr>
          <w:lang w:val="es-MX"/>
        </w:rPr>
      </w:pPr>
      <w:r w:rsidRPr="00954CC0">
        <w:rPr>
          <w:b/>
          <w:bCs/>
          <w:lang w:val="es-MX"/>
        </w:rPr>
        <w:t>7)</w:t>
      </w:r>
      <w:r w:rsidRPr="00954CC0">
        <w:rPr>
          <w:lang w:val="es-MX"/>
        </w:rPr>
        <w:tab/>
      </w:r>
      <w:r w:rsidRPr="00EE0175">
        <w:rPr>
          <w:lang w:val="es-MX"/>
        </w:rPr>
        <w:t>El número, fecha, el monto del contrato y el plazo de entrega o de ejecución de los servicios u obra;</w:t>
      </w:r>
    </w:p>
    <w:p w14:paraId="11EB6695" w14:textId="77777777" w:rsidR="00602B07" w:rsidRPr="00954CC0" w:rsidRDefault="00602B07" w:rsidP="00602B07">
      <w:pPr>
        <w:pStyle w:val="Fundamentos"/>
        <w:ind w:left="2118" w:hanging="700"/>
        <w:rPr>
          <w:lang w:val="es-MX"/>
        </w:rPr>
      </w:pPr>
      <w:r w:rsidRPr="00954CC0">
        <w:rPr>
          <w:b/>
          <w:bCs/>
          <w:lang w:val="es-MX"/>
        </w:rPr>
        <w:lastRenderedPageBreak/>
        <w:t>8)</w:t>
      </w:r>
      <w:r w:rsidRPr="00954CC0">
        <w:rPr>
          <w:lang w:val="es-MX"/>
        </w:rPr>
        <w:tab/>
        <w:t>Los mecanismos de vigilancia y supervisión, incluyendo, en su caso, los estudios de impacto urbano y ambiental, según corresponda;</w:t>
      </w:r>
    </w:p>
    <w:p w14:paraId="0ECB1216" w14:textId="77777777" w:rsidR="00602B07" w:rsidRPr="00EE0175" w:rsidRDefault="00602B07" w:rsidP="00602B07">
      <w:pPr>
        <w:pStyle w:val="Fundamentos"/>
        <w:ind w:left="1418"/>
        <w:rPr>
          <w:lang w:val="es-MX"/>
        </w:rPr>
      </w:pPr>
      <w:r w:rsidRPr="00954CC0">
        <w:rPr>
          <w:b/>
          <w:bCs/>
          <w:lang w:val="es-MX"/>
        </w:rPr>
        <w:t>9)</w:t>
      </w:r>
      <w:r w:rsidRPr="00954CC0">
        <w:rPr>
          <w:lang w:val="es-MX"/>
        </w:rPr>
        <w:tab/>
      </w:r>
      <w:r w:rsidRPr="00EE0175">
        <w:rPr>
          <w:lang w:val="es-MX"/>
        </w:rPr>
        <w:t>Los informes de avance sobre las obras o servicios contratados;</w:t>
      </w:r>
    </w:p>
    <w:p w14:paraId="1F819310" w14:textId="77777777" w:rsidR="00602B07" w:rsidRPr="00954CC0" w:rsidRDefault="00602B07" w:rsidP="00602B07">
      <w:pPr>
        <w:pStyle w:val="Fundamentos"/>
        <w:ind w:left="1418"/>
        <w:rPr>
          <w:lang w:val="es-MX"/>
        </w:rPr>
      </w:pPr>
      <w:r w:rsidRPr="00954CC0">
        <w:rPr>
          <w:b/>
          <w:bCs/>
          <w:lang w:val="es-MX"/>
        </w:rPr>
        <w:t>10)</w:t>
      </w:r>
      <w:r w:rsidRPr="00954CC0">
        <w:rPr>
          <w:lang w:val="es-MX"/>
        </w:rPr>
        <w:tab/>
        <w:t>El convenio de terminación; y</w:t>
      </w:r>
    </w:p>
    <w:p w14:paraId="48F381B6" w14:textId="77777777" w:rsidR="00602B07" w:rsidRDefault="00602B07" w:rsidP="00602B07">
      <w:pPr>
        <w:pStyle w:val="Fundamentos"/>
        <w:ind w:left="1418"/>
        <w:rPr>
          <w:lang w:val="es-MX"/>
        </w:rPr>
      </w:pPr>
      <w:r w:rsidRPr="00954CC0">
        <w:rPr>
          <w:b/>
          <w:bCs/>
          <w:lang w:val="es-MX"/>
        </w:rPr>
        <w:t>11)</w:t>
      </w:r>
      <w:r w:rsidRPr="00954CC0">
        <w:rPr>
          <w:lang w:val="es-MX"/>
        </w:rPr>
        <w:tab/>
        <w:t>El finiquito.</w:t>
      </w:r>
    </w:p>
    <w:p w14:paraId="40C40619" w14:textId="77777777" w:rsidR="00602B07" w:rsidRPr="002B4F49" w:rsidRDefault="00602B07" w:rsidP="00602B07">
      <w:pPr>
        <w:pBdr>
          <w:top w:val="nil"/>
          <w:left w:val="nil"/>
          <w:bottom w:val="nil"/>
          <w:right w:val="nil"/>
          <w:between w:val="nil"/>
        </w:pBdr>
        <w:contextualSpacing/>
        <w:rPr>
          <w:rFonts w:eastAsia="Palatino Linotype" w:cs="Palatino Linotype"/>
          <w:color w:val="000000"/>
          <w:szCs w:val="24"/>
          <w:lang w:val="es-ES"/>
        </w:rPr>
      </w:pPr>
    </w:p>
    <w:p w14:paraId="418F2DA3" w14:textId="75F40233" w:rsidR="00016B50" w:rsidRDefault="00064FFF" w:rsidP="00637679">
      <w:pPr>
        <w:rPr>
          <w:lang w:val="es-ES"/>
        </w:rPr>
      </w:pPr>
      <w:r>
        <w:rPr>
          <w:lang w:val="es-ES"/>
        </w:rPr>
        <w:t xml:space="preserve">Derivado de lo anterior, se estima que </w:t>
      </w:r>
      <w:r w:rsidR="00752F56">
        <w:rPr>
          <w:lang w:val="es-ES"/>
        </w:rPr>
        <w:t xml:space="preserve">la respuesta del Sujeto Obligado no genera la debida certeza respecto de la existencia </w:t>
      </w:r>
      <w:r w:rsidR="00EB548E">
        <w:rPr>
          <w:lang w:val="es-ES"/>
        </w:rPr>
        <w:t xml:space="preserve">en los archivos de sus áreas competentes de la información requerida por el solicitante, aunado a que existen indicios </w:t>
      </w:r>
      <w:r w:rsidR="007D6294">
        <w:rPr>
          <w:lang w:val="es-ES"/>
        </w:rPr>
        <w:t>de que las obras referidas sí fueron realizadas.</w:t>
      </w:r>
    </w:p>
    <w:p w14:paraId="3E2D6A6D" w14:textId="77777777" w:rsidR="007D6294" w:rsidRDefault="007D6294" w:rsidP="00637679">
      <w:pPr>
        <w:rPr>
          <w:lang w:val="es-ES"/>
        </w:rPr>
      </w:pPr>
    </w:p>
    <w:p w14:paraId="7351C21B" w14:textId="39B1C2AB" w:rsidR="00E31FF1" w:rsidRDefault="00E31FF1" w:rsidP="00637679">
      <w:pPr>
        <w:rPr>
          <w:lang w:val="es-ES"/>
        </w:rPr>
      </w:pPr>
      <w:r w:rsidRPr="00E31FF1">
        <w:rPr>
          <w:highlight w:val="yellow"/>
          <w:lang w:val="es-ES"/>
        </w:rPr>
        <w:t xml:space="preserve">Por último, respecto de lo referido por el Recurrente en sus motivos de inconformidad al expresar textualmente lo siguiente: </w:t>
      </w:r>
      <w:r w:rsidRPr="00E31FF1">
        <w:rPr>
          <w:i/>
          <w:highlight w:val="yellow"/>
          <w:lang w:val="es-ES"/>
        </w:rPr>
        <w:t>«… Lo anterior, sólo demuestra el grado de incapacidad e ignorancia de los servidores públicos de esta administración. Es el caso del actual DIRECTOR TÉCNICO DE CONSTRUCCIÓN OPERACIÓN Y MANTENIMIENTO, el cuál en el año 2019, intentó usurpar dicho cargo sin la autorización del PRESIDENTE MUNICIPAL de ese entonces, debiendo ser desalojado vergonzosamente, por el entonces DIRECTOR GENERAL del organismo…»</w:t>
      </w:r>
      <w:r w:rsidRPr="00E31FF1">
        <w:rPr>
          <w:highlight w:val="yellow"/>
          <w:lang w:val="es-ES"/>
        </w:rPr>
        <w:t xml:space="preserve"> (</w:t>
      </w:r>
      <w:proofErr w:type="gramStart"/>
      <w:r w:rsidRPr="00E31FF1">
        <w:rPr>
          <w:highlight w:val="yellow"/>
          <w:lang w:val="es-ES"/>
        </w:rPr>
        <w:t>sic</w:t>
      </w:r>
      <w:proofErr w:type="gramEnd"/>
      <w:r w:rsidRPr="00E31FF1">
        <w:rPr>
          <w:highlight w:val="yellow"/>
          <w:lang w:val="es-ES"/>
        </w:rPr>
        <w:t>); se observa que dichas expresiones no constituyen un agravio al derecho de acceso a la información del particular, sino que consisten en manifestaciones subjetivas del solicitante, lo que implica que el Sujeto Obligado emita un pronunciamiento específico respecto de la situación planteada por el particular</w:t>
      </w:r>
      <w:r>
        <w:rPr>
          <w:lang w:val="es-ES"/>
        </w:rPr>
        <w:t>.</w:t>
      </w:r>
    </w:p>
    <w:p w14:paraId="7385DA1B" w14:textId="77777777" w:rsidR="00E31FF1" w:rsidRDefault="00E31FF1" w:rsidP="00637679">
      <w:pPr>
        <w:rPr>
          <w:lang w:val="es-ES"/>
        </w:rPr>
      </w:pPr>
    </w:p>
    <w:p w14:paraId="684FF965" w14:textId="77777777" w:rsidR="00E31FF1" w:rsidRPr="00E31FF1" w:rsidRDefault="00E31FF1" w:rsidP="00E31FF1">
      <w:pPr>
        <w:rPr>
          <w:rFonts w:eastAsia="MS Mincho" w:cstheme="majorBidi"/>
          <w:szCs w:val="24"/>
          <w:highlight w:val="yellow"/>
          <w:lang w:eastAsia="es-ES"/>
        </w:rPr>
      </w:pPr>
      <w:r w:rsidRPr="00E31FF1">
        <w:rPr>
          <w:rFonts w:eastAsia="MS Mincho" w:cstheme="majorBidi"/>
          <w:szCs w:val="24"/>
          <w:highlight w:val="yellow"/>
          <w:lang w:eastAsia="es-ES"/>
        </w:rPr>
        <w:t xml:space="preserve">Es de destacarse que la entrega de una razón o un razonamiento por parte del Sujeto Obligado no es algo que la ley establezca como atribución, derecho, o facultad; pues ello implicaría un juicio de valor referente a un cuestionamiento realizado, los cuales se </w:t>
      </w:r>
      <w:r w:rsidRPr="00E31FF1">
        <w:rPr>
          <w:rFonts w:eastAsia="MS Mincho" w:cstheme="majorBidi"/>
          <w:szCs w:val="24"/>
          <w:highlight w:val="yellow"/>
          <w:lang w:eastAsia="es-ES"/>
        </w:rPr>
        <w:lastRenderedPageBreak/>
        <w:t xml:space="preserve">satisfacen vía derecho de petición en virtud de que constituyen interrogantes, inquietudes y manifestaciones. </w:t>
      </w:r>
    </w:p>
    <w:p w14:paraId="5F1F7FFD" w14:textId="77777777" w:rsidR="00E31FF1" w:rsidRPr="00E31FF1" w:rsidRDefault="00E31FF1" w:rsidP="00E31FF1">
      <w:pPr>
        <w:rPr>
          <w:rFonts w:eastAsia="MS Mincho" w:cstheme="majorBidi"/>
          <w:szCs w:val="24"/>
          <w:highlight w:val="yellow"/>
          <w:lang w:eastAsia="es-ES"/>
        </w:rPr>
      </w:pPr>
    </w:p>
    <w:p w14:paraId="567E071E" w14:textId="77777777" w:rsidR="00E31FF1" w:rsidRPr="00E31FF1" w:rsidRDefault="00E31FF1" w:rsidP="00E31FF1">
      <w:pPr>
        <w:rPr>
          <w:rFonts w:eastAsia="MS Mincho" w:cstheme="majorBidi"/>
          <w:szCs w:val="24"/>
          <w:highlight w:val="yellow"/>
          <w:lang w:eastAsia="es-ES"/>
        </w:rPr>
      </w:pPr>
      <w:r w:rsidRPr="00E31FF1">
        <w:rPr>
          <w:rFonts w:eastAsia="MS Mincho" w:cstheme="majorBidi"/>
          <w:szCs w:val="24"/>
          <w:highlight w:val="yellow"/>
          <w:lang w:eastAsia="es-ES"/>
        </w:rPr>
        <w:t>Luego entonces, es importante dejar en claro lo que debe entenderse por derecho de petición y por derecho de acceso a la información pública.</w:t>
      </w:r>
    </w:p>
    <w:p w14:paraId="3BE3ED8E" w14:textId="77777777" w:rsidR="00E31FF1" w:rsidRPr="00E31FF1" w:rsidRDefault="00E31FF1" w:rsidP="00E31FF1">
      <w:pPr>
        <w:rPr>
          <w:rFonts w:eastAsia="MS Mincho" w:cstheme="majorBidi"/>
          <w:szCs w:val="24"/>
          <w:highlight w:val="yellow"/>
          <w:lang w:eastAsia="es-ES"/>
        </w:rPr>
      </w:pPr>
    </w:p>
    <w:p w14:paraId="321D2A64" w14:textId="77777777" w:rsidR="00E31FF1" w:rsidRPr="00E31FF1" w:rsidRDefault="00E31FF1" w:rsidP="00E31FF1">
      <w:pPr>
        <w:rPr>
          <w:rFonts w:eastAsia="MS Mincho" w:cstheme="majorBidi"/>
          <w:i/>
          <w:szCs w:val="24"/>
          <w:highlight w:val="yellow"/>
          <w:lang w:eastAsia="es-ES"/>
        </w:rPr>
      </w:pPr>
      <w:r w:rsidRPr="00E31FF1">
        <w:rPr>
          <w:rFonts w:eastAsia="MS Mincho" w:cstheme="majorBidi"/>
          <w:szCs w:val="24"/>
          <w:highlight w:val="yellow"/>
          <w:lang w:eastAsia="es-ES"/>
        </w:rPr>
        <w:t xml:space="preserve">Por lo que respecta a la definición de derecho de petición, el Maestro Ignacio Burgoa Orihuela refiere: «… </w:t>
      </w:r>
      <w:r w:rsidRPr="00E31FF1">
        <w:rPr>
          <w:rFonts w:eastAsia="MS Mincho" w:cstheme="majorBidi"/>
          <w:i/>
          <w:szCs w:val="24"/>
          <w:highlight w:val="yellow"/>
          <w:lang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31FF1">
        <w:rPr>
          <w:rFonts w:eastAsia="MS Mincho" w:cstheme="majorBidi"/>
          <w:i/>
          <w:szCs w:val="24"/>
          <w:highlight w:val="yellow"/>
          <w:vertAlign w:val="superscript"/>
          <w:lang w:eastAsia="es-ES"/>
        </w:rPr>
        <w:footnoteReference w:id="4"/>
      </w:r>
      <w:r w:rsidRPr="00E31FF1">
        <w:rPr>
          <w:rFonts w:eastAsia="MS Mincho" w:cstheme="majorBidi"/>
          <w:i/>
          <w:szCs w:val="24"/>
          <w:highlight w:val="yellow"/>
          <w:lang w:eastAsia="es-ES"/>
        </w:rPr>
        <w:t xml:space="preserve"> (Sic)</w:t>
      </w:r>
    </w:p>
    <w:p w14:paraId="23F014F3" w14:textId="77777777" w:rsidR="00E31FF1" w:rsidRPr="00E31FF1" w:rsidRDefault="00E31FF1" w:rsidP="00E31FF1">
      <w:pPr>
        <w:rPr>
          <w:rFonts w:eastAsia="MS Mincho" w:cstheme="majorBidi"/>
          <w:i/>
          <w:szCs w:val="24"/>
          <w:highlight w:val="yellow"/>
          <w:lang w:eastAsia="es-ES"/>
        </w:rPr>
      </w:pPr>
    </w:p>
    <w:p w14:paraId="4C6060DA" w14:textId="77777777" w:rsidR="00E31FF1" w:rsidRPr="00E31FF1" w:rsidRDefault="00E31FF1" w:rsidP="00E31FF1">
      <w:pPr>
        <w:rPr>
          <w:rFonts w:eastAsia="Times New Roman" w:cs="Times New Roman"/>
          <w:szCs w:val="24"/>
          <w:highlight w:val="yellow"/>
          <w:lang w:eastAsia="es-ES"/>
        </w:rPr>
      </w:pPr>
      <w:r w:rsidRPr="00E31FF1">
        <w:rPr>
          <w:rFonts w:eastAsia="Times New Roman" w:cs="Times New Roman"/>
          <w:szCs w:val="24"/>
          <w:highlight w:val="yellow"/>
          <w:lang w:eastAsia="es-ES"/>
        </w:rPr>
        <w:t xml:space="preserve">Por su parte, David Cienfuegos Salgado, concibe al derecho de petición como </w:t>
      </w:r>
      <w:r w:rsidRPr="00E31FF1">
        <w:rPr>
          <w:rFonts w:eastAsia="Times New Roman" w:cs="Times New Roman"/>
          <w:i/>
          <w:szCs w:val="24"/>
          <w:highlight w:val="yellow"/>
          <w:lang w:eastAsia="es-ES"/>
        </w:rPr>
        <w:t>«el derecho de toda persona a ser escuchado por quienes ejercen el poder público.»</w:t>
      </w:r>
      <w:r w:rsidRPr="00E31FF1">
        <w:rPr>
          <w:rFonts w:eastAsia="Times New Roman" w:cs="Times New Roman"/>
          <w:i/>
          <w:szCs w:val="24"/>
          <w:highlight w:val="yellow"/>
          <w:vertAlign w:val="superscript"/>
          <w:lang w:eastAsia="es-ES"/>
        </w:rPr>
        <w:footnoteReference w:id="5"/>
      </w:r>
      <w:r w:rsidRPr="00E31FF1">
        <w:rPr>
          <w:rFonts w:eastAsia="Times New Roman" w:cs="Times New Roman"/>
          <w:i/>
          <w:szCs w:val="24"/>
          <w:highlight w:val="yellow"/>
          <w:lang w:eastAsia="es-ES"/>
        </w:rPr>
        <w:t xml:space="preserve"> (Sic)</w:t>
      </w:r>
      <w:r w:rsidRPr="00E31FF1">
        <w:rPr>
          <w:rFonts w:eastAsia="Times New Roman" w:cs="Times New Roman"/>
          <w:szCs w:val="24"/>
          <w:highlight w:val="yellow"/>
          <w:lang w:eastAsia="es-ES"/>
        </w:rPr>
        <w:t xml:space="preserve"> </w:t>
      </w:r>
    </w:p>
    <w:p w14:paraId="28707C57" w14:textId="77777777" w:rsidR="00E31FF1" w:rsidRPr="00E31FF1" w:rsidRDefault="00E31FF1" w:rsidP="00E31FF1">
      <w:pPr>
        <w:rPr>
          <w:rFonts w:eastAsia="Times New Roman" w:cs="Times New Roman"/>
          <w:szCs w:val="24"/>
          <w:highlight w:val="yellow"/>
          <w:lang w:eastAsia="es-ES"/>
        </w:rPr>
      </w:pPr>
    </w:p>
    <w:p w14:paraId="7E5ED3B8" w14:textId="77777777" w:rsidR="00E31FF1" w:rsidRPr="00E31FF1" w:rsidRDefault="00E31FF1" w:rsidP="00E31FF1">
      <w:pPr>
        <w:rPr>
          <w:rFonts w:eastAsia="Times New Roman" w:cs="Times New Roman"/>
          <w:i/>
          <w:szCs w:val="24"/>
          <w:highlight w:val="yellow"/>
          <w:lang w:eastAsia="es-ES"/>
        </w:rPr>
      </w:pPr>
      <w:r w:rsidRPr="00E31FF1">
        <w:rPr>
          <w:rFonts w:eastAsia="Times New Roman" w:cs="Times New Roman"/>
          <w:szCs w:val="24"/>
          <w:highlight w:val="yellow"/>
          <w:lang w:eastAsia="es-ES"/>
        </w:rPr>
        <w:t xml:space="preserve">Al respecto, para diferenciar el derecho de petición al derecho de acceso a la información, resulta conducente señalar que José Guadalupe Robles, conceptualiza el derecho a la información como </w:t>
      </w:r>
      <w:r w:rsidRPr="00E31FF1">
        <w:rPr>
          <w:rFonts w:eastAsia="Times New Roman" w:cs="Times New Roman"/>
          <w:i/>
          <w:szCs w:val="24"/>
          <w:highlight w:val="yellow"/>
          <w:lang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w:t>
      </w:r>
      <w:r w:rsidRPr="00E31FF1">
        <w:rPr>
          <w:rFonts w:eastAsia="Times New Roman" w:cs="Times New Roman"/>
          <w:i/>
          <w:szCs w:val="24"/>
          <w:highlight w:val="yellow"/>
          <w:lang w:eastAsia="es-ES"/>
        </w:rPr>
        <w:lastRenderedPageBreak/>
        <w:t>desarrollo de las personas y a la formación de opinión pública de calidad para poder participar y luego influir en la vida pública.»</w:t>
      </w:r>
      <w:r w:rsidRPr="00E31FF1">
        <w:rPr>
          <w:rFonts w:eastAsia="Times New Roman" w:cs="Times New Roman"/>
          <w:i/>
          <w:szCs w:val="24"/>
          <w:highlight w:val="yellow"/>
          <w:vertAlign w:val="superscript"/>
          <w:lang w:eastAsia="es-ES"/>
        </w:rPr>
        <w:footnoteReference w:id="6"/>
      </w:r>
      <w:r w:rsidRPr="00E31FF1">
        <w:rPr>
          <w:rFonts w:eastAsia="Times New Roman" w:cs="Times New Roman"/>
          <w:i/>
          <w:szCs w:val="24"/>
          <w:highlight w:val="yellow"/>
          <w:lang w:eastAsia="es-ES"/>
        </w:rPr>
        <w:t xml:space="preserve"> (Sic) </w:t>
      </w:r>
    </w:p>
    <w:p w14:paraId="16ED29F0" w14:textId="77777777" w:rsidR="00E31FF1" w:rsidRPr="00E31FF1" w:rsidRDefault="00E31FF1" w:rsidP="00E31FF1">
      <w:pPr>
        <w:rPr>
          <w:rFonts w:eastAsia="Times New Roman" w:cs="Times New Roman"/>
          <w:i/>
          <w:szCs w:val="24"/>
          <w:highlight w:val="yellow"/>
          <w:lang w:eastAsia="es-ES"/>
        </w:rPr>
      </w:pPr>
    </w:p>
    <w:p w14:paraId="236EABD7" w14:textId="77777777" w:rsidR="00E31FF1" w:rsidRPr="00E31FF1" w:rsidRDefault="00E31FF1" w:rsidP="00E31FF1">
      <w:pPr>
        <w:rPr>
          <w:rFonts w:eastAsia="Times New Roman" w:cs="Times New Roman"/>
          <w:i/>
          <w:iCs/>
          <w:highlight w:val="yellow"/>
          <w:lang w:val="es-ES" w:eastAsia="es-ES"/>
        </w:rPr>
      </w:pPr>
      <w:r w:rsidRPr="00E31FF1">
        <w:rPr>
          <w:rFonts w:eastAsia="Times New Roman" w:cs="Times New Roman"/>
          <w:highlight w:val="yellow"/>
          <w:lang w:val="es-ES"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E31FF1">
        <w:rPr>
          <w:rFonts w:eastAsia="Times New Roman" w:cs="Times New Roman"/>
          <w:highlight w:val="yellow"/>
          <w:lang w:val="es-ES" w:eastAsia="es-ES"/>
        </w:rPr>
        <w:t>Villanueva</w:t>
      </w:r>
      <w:proofErr w:type="spellEnd"/>
      <w:r w:rsidRPr="00E31FF1">
        <w:rPr>
          <w:rFonts w:eastAsia="Times New Roman" w:cs="Times New Roman"/>
          <w:highlight w:val="yellow"/>
          <w:lang w:val="es-ES" w:eastAsia="es-ES"/>
        </w:rPr>
        <w:t xml:space="preserve"> que dice: </w:t>
      </w:r>
      <w:r w:rsidRPr="00E31FF1">
        <w:rPr>
          <w:rFonts w:eastAsia="Times New Roman" w:cs="Times New Roman"/>
          <w:i/>
          <w:iCs/>
          <w:highlight w:val="yellow"/>
          <w:lang w:val="es-ES"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E31FF1">
        <w:rPr>
          <w:rFonts w:eastAsia="Times New Roman" w:cs="Times New Roman"/>
          <w:i/>
          <w:iCs/>
          <w:highlight w:val="yellow"/>
          <w:vertAlign w:val="superscript"/>
          <w:lang w:val="es-ES" w:eastAsia="es-ES"/>
        </w:rPr>
        <w:footnoteReference w:id="7"/>
      </w:r>
      <w:r w:rsidRPr="00E31FF1">
        <w:rPr>
          <w:rFonts w:eastAsia="Times New Roman" w:cs="Times New Roman"/>
          <w:i/>
          <w:iCs/>
          <w:highlight w:val="yellow"/>
          <w:lang w:val="es-ES" w:eastAsia="es-ES"/>
        </w:rPr>
        <w:t xml:space="preserve"> (Sic)</w:t>
      </w:r>
    </w:p>
    <w:p w14:paraId="67C30DCD" w14:textId="77777777" w:rsidR="00E31FF1" w:rsidRPr="00E31FF1" w:rsidRDefault="00E31FF1" w:rsidP="00E31FF1">
      <w:pPr>
        <w:rPr>
          <w:rFonts w:eastAsia="Times New Roman" w:cs="Arial"/>
          <w:i/>
          <w:iCs/>
          <w:color w:val="000000" w:themeColor="text1"/>
          <w:szCs w:val="24"/>
          <w:highlight w:val="yellow"/>
          <w:lang w:eastAsia="es-ES"/>
        </w:rPr>
      </w:pPr>
    </w:p>
    <w:p w14:paraId="40F5623D" w14:textId="77777777" w:rsidR="00E31FF1" w:rsidRPr="00E31FF1" w:rsidRDefault="00E31FF1" w:rsidP="00E31FF1">
      <w:pPr>
        <w:rPr>
          <w:rFonts w:eastAsia="Times New Roman" w:cs="Arial"/>
          <w:szCs w:val="24"/>
          <w:highlight w:val="yellow"/>
          <w:lang w:val="es-MX" w:eastAsia="es-ES"/>
        </w:rPr>
      </w:pPr>
      <w:r w:rsidRPr="00E31FF1">
        <w:rPr>
          <w:rFonts w:eastAsia="Times New Roman" w:cs="Arial"/>
          <w:szCs w:val="24"/>
          <w:highlight w:val="yellow"/>
          <w:lang w:val="es-MX" w:eastAsia="es-ES"/>
        </w:rPr>
        <w:t xml:space="preserve">Ahora bien para entender los alcances de la información pública se considera importante citar el criterio </w:t>
      </w:r>
      <w:r w:rsidRPr="00E31FF1">
        <w:rPr>
          <w:rFonts w:eastAsia="Times New Roman" w:cs="Arial"/>
          <w:bCs/>
          <w:szCs w:val="24"/>
          <w:highlight w:val="yellow"/>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31FF1">
        <w:rPr>
          <w:rFonts w:eastAsia="Times New Roman" w:cs="Arial"/>
          <w:szCs w:val="24"/>
          <w:highlight w:val="yellow"/>
          <w:lang w:val="es-MX" w:eastAsia="es-ES"/>
        </w:rPr>
        <w:t>cuyo rubro y texto dispone:</w:t>
      </w:r>
    </w:p>
    <w:p w14:paraId="20C6A62A" w14:textId="77777777" w:rsidR="00E31FF1" w:rsidRPr="00E31FF1" w:rsidRDefault="00E31FF1" w:rsidP="00E31FF1">
      <w:pPr>
        <w:rPr>
          <w:rFonts w:eastAsia="Times New Roman" w:cs="Arial"/>
          <w:szCs w:val="24"/>
          <w:highlight w:val="yellow"/>
          <w:lang w:val="es-MX" w:eastAsia="es-ES"/>
        </w:rPr>
      </w:pPr>
    </w:p>
    <w:p w14:paraId="7FE1513A" w14:textId="77777777" w:rsidR="00E31FF1" w:rsidRPr="00E31FF1" w:rsidRDefault="00E31FF1" w:rsidP="00E31FF1">
      <w:pPr>
        <w:autoSpaceDE w:val="0"/>
        <w:autoSpaceDN w:val="0"/>
        <w:adjustRightInd w:val="0"/>
        <w:spacing w:after="160" w:line="276" w:lineRule="auto"/>
        <w:ind w:left="567" w:right="616"/>
        <w:rPr>
          <w:rFonts w:cs="Arial"/>
          <w:i/>
          <w:sz w:val="22"/>
          <w:highlight w:val="yellow"/>
          <w:lang w:val="es-MX"/>
        </w:rPr>
      </w:pPr>
      <w:r w:rsidRPr="00E31FF1">
        <w:rPr>
          <w:rFonts w:cs="Arial"/>
          <w:b/>
          <w:i/>
          <w:sz w:val="22"/>
          <w:highlight w:val="yellow"/>
          <w:lang w:val="es-MX"/>
        </w:rPr>
        <w:t xml:space="preserve">INFORMACIÓN PÚBLICA, CONCEPTO DE, EN MATERIA DE TRANSPARENCIA. INTERPRETACIÓN TEMÁTICA DE LOS ARTÍCULOS 2, FRACCIÓN </w:t>
      </w:r>
      <w:r w:rsidRPr="00E31FF1">
        <w:rPr>
          <w:rFonts w:cs="Arial"/>
          <w:b/>
          <w:bCs/>
          <w:i/>
          <w:sz w:val="22"/>
          <w:highlight w:val="yellow"/>
          <w:lang w:val="es-MX"/>
        </w:rPr>
        <w:t xml:space="preserve">V, XV, Y XVI, </w:t>
      </w:r>
      <w:r w:rsidRPr="00E31FF1">
        <w:rPr>
          <w:rFonts w:cs="Arial"/>
          <w:b/>
          <w:i/>
          <w:sz w:val="22"/>
          <w:highlight w:val="yellow"/>
          <w:lang w:val="es-MX"/>
        </w:rPr>
        <w:t>32, 4,11 Y 41.</w:t>
      </w:r>
      <w:r w:rsidRPr="00E31FF1">
        <w:rPr>
          <w:rFonts w:cs="Arial"/>
          <w:i/>
          <w:sz w:val="22"/>
          <w:highlight w:val="yellow"/>
          <w:lang w:val="es-MX"/>
        </w:rPr>
        <w:t xml:space="preserve"> De conformidad con los artículos antes referidos, el derecho de acceso a la información pública, se define en cuanto a su alcance y resultado material, el acceso a los archivos, registros y documentos públicos, administrados, generados </w:t>
      </w:r>
      <w:r w:rsidRPr="00E31FF1">
        <w:rPr>
          <w:rFonts w:cs="Arial"/>
          <w:i/>
          <w:sz w:val="22"/>
          <w:highlight w:val="yellow"/>
          <w:lang w:val="es-MX"/>
        </w:rPr>
        <w:lastRenderedPageBreak/>
        <w:t>o en posesión de los órganos u organismos públicos, en virtud del ejercicio de sus funciones de derecho público, sin importar su fuente, soporte o fecha de elaboración.</w:t>
      </w:r>
    </w:p>
    <w:p w14:paraId="01F61237" w14:textId="77777777" w:rsidR="00E31FF1" w:rsidRPr="00E31FF1" w:rsidRDefault="00E31FF1" w:rsidP="00E31FF1">
      <w:pPr>
        <w:autoSpaceDE w:val="0"/>
        <w:autoSpaceDN w:val="0"/>
        <w:adjustRightInd w:val="0"/>
        <w:spacing w:after="160" w:line="276" w:lineRule="auto"/>
        <w:ind w:left="567" w:right="616"/>
        <w:rPr>
          <w:rFonts w:cs="Arial"/>
          <w:i/>
          <w:sz w:val="22"/>
          <w:highlight w:val="yellow"/>
          <w:lang w:val="es-MX"/>
        </w:rPr>
      </w:pPr>
      <w:r w:rsidRPr="00E31FF1">
        <w:rPr>
          <w:rFonts w:cs="Arial"/>
          <w:i/>
          <w:sz w:val="22"/>
          <w:highlight w:val="yellow"/>
          <w:lang w:val="es-MX"/>
        </w:rPr>
        <w:t>En consecuencia el acceso a la información se refiere a que se cumplan cualquiera de los siguientes tres supuestos:</w:t>
      </w:r>
    </w:p>
    <w:p w14:paraId="58256A12" w14:textId="77777777" w:rsidR="00E31FF1" w:rsidRPr="00E31FF1" w:rsidRDefault="00E31FF1" w:rsidP="00E31FF1">
      <w:pPr>
        <w:autoSpaceDE w:val="0"/>
        <w:autoSpaceDN w:val="0"/>
        <w:adjustRightInd w:val="0"/>
        <w:spacing w:after="160" w:line="276" w:lineRule="auto"/>
        <w:ind w:left="567" w:right="616"/>
        <w:rPr>
          <w:rFonts w:cs="Arial"/>
          <w:i/>
          <w:sz w:val="22"/>
          <w:highlight w:val="yellow"/>
          <w:lang w:val="es-MX"/>
        </w:rPr>
      </w:pPr>
      <w:r w:rsidRPr="00E31FF1">
        <w:rPr>
          <w:rFonts w:cs="Arial"/>
          <w:i/>
          <w:sz w:val="22"/>
          <w:highlight w:val="yellow"/>
          <w:lang w:val="es-MX"/>
        </w:rPr>
        <w:t>Que se trate de información registrada en cualquier soporte documental, que en ejercicio de las atribuciones conferidas, sea generada por los Sujetos Obligados;</w:t>
      </w:r>
    </w:p>
    <w:p w14:paraId="2E63272F" w14:textId="77777777" w:rsidR="00E31FF1" w:rsidRPr="00E31FF1" w:rsidRDefault="00E31FF1" w:rsidP="00E31FF1">
      <w:pPr>
        <w:autoSpaceDE w:val="0"/>
        <w:autoSpaceDN w:val="0"/>
        <w:adjustRightInd w:val="0"/>
        <w:spacing w:after="160" w:line="276" w:lineRule="auto"/>
        <w:ind w:left="567" w:right="616"/>
        <w:rPr>
          <w:rFonts w:cs="Arial"/>
          <w:i/>
          <w:sz w:val="22"/>
          <w:highlight w:val="yellow"/>
          <w:lang w:val="es-MX"/>
        </w:rPr>
      </w:pPr>
      <w:r w:rsidRPr="00E31FF1">
        <w:rPr>
          <w:rFonts w:cs="Arial"/>
          <w:i/>
          <w:sz w:val="22"/>
          <w:highlight w:val="yellow"/>
          <w:lang w:val="es-MX"/>
        </w:rPr>
        <w:t>Que se trate de información registrada en cualquier soporte documental, que en ejercicio de las atribuciones conferidas, sea administrada por los Sujetos Obligados, y</w:t>
      </w:r>
    </w:p>
    <w:p w14:paraId="2CE2FD1C" w14:textId="77777777" w:rsidR="00E31FF1" w:rsidRPr="00E31FF1" w:rsidRDefault="00E31FF1" w:rsidP="00E31FF1">
      <w:pPr>
        <w:autoSpaceDE w:val="0"/>
        <w:autoSpaceDN w:val="0"/>
        <w:adjustRightInd w:val="0"/>
        <w:spacing w:after="160" w:line="276" w:lineRule="auto"/>
        <w:ind w:left="567" w:right="616"/>
        <w:rPr>
          <w:rFonts w:cs="Arial"/>
          <w:i/>
          <w:sz w:val="22"/>
          <w:highlight w:val="yellow"/>
          <w:lang w:val="es-MX"/>
        </w:rPr>
      </w:pPr>
      <w:r w:rsidRPr="00E31FF1">
        <w:rPr>
          <w:rFonts w:cs="Arial"/>
          <w:i/>
          <w:sz w:val="22"/>
          <w:highlight w:val="yellow"/>
          <w:lang w:val="es-MX"/>
        </w:rPr>
        <w:t>Que se trate de información registrada en cualquier soporte documental, que en ejercicio de las atribuciones conferidas, se encuentre en posesión de los Sujetos Obligados.</w:t>
      </w:r>
    </w:p>
    <w:p w14:paraId="1B14D625" w14:textId="77777777" w:rsidR="00E31FF1" w:rsidRPr="00E31FF1" w:rsidRDefault="00E31FF1" w:rsidP="00E31FF1">
      <w:pPr>
        <w:rPr>
          <w:rFonts w:eastAsia="Times New Roman" w:cs="Times New Roman"/>
          <w:szCs w:val="24"/>
          <w:highlight w:val="yellow"/>
          <w:lang w:val="es-MX" w:eastAsia="es-ES"/>
        </w:rPr>
      </w:pPr>
    </w:p>
    <w:p w14:paraId="0967FB0C" w14:textId="77777777" w:rsidR="00E31FF1" w:rsidRPr="000B7E4C" w:rsidRDefault="00E31FF1" w:rsidP="00E31FF1">
      <w:pPr>
        <w:rPr>
          <w:rFonts w:eastAsia="Times New Roman" w:cs="Times New Roman"/>
          <w:i/>
          <w:szCs w:val="24"/>
          <w:lang w:val="es-MX"/>
        </w:rPr>
      </w:pPr>
      <w:r w:rsidRPr="00E31FF1">
        <w:rPr>
          <w:rFonts w:eastAsia="Times New Roman" w:cs="Times New Roman"/>
          <w:szCs w:val="24"/>
          <w:highlight w:val="yellow"/>
          <w:lang w:val="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E31FF1">
        <w:rPr>
          <w:rFonts w:eastAsia="Times New Roman" w:cs="Times New Roman"/>
          <w:i/>
          <w:szCs w:val="24"/>
          <w:highlight w:val="yellow"/>
          <w:lang w:val="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710D42A7" w14:textId="77777777" w:rsidR="00E31FF1" w:rsidRDefault="00E31FF1" w:rsidP="00637679">
      <w:pPr>
        <w:rPr>
          <w:lang w:val="es-ES"/>
        </w:rPr>
      </w:pPr>
    </w:p>
    <w:p w14:paraId="3A8D30FD" w14:textId="04849066" w:rsidR="007D6294" w:rsidRDefault="007D6294" w:rsidP="00637679">
      <w:pPr>
        <w:rPr>
          <w:rFonts w:eastAsiaTheme="minorEastAsia" w:cstheme="minorBidi"/>
          <w:lang w:val="es-ES" w:eastAsia="en-US"/>
        </w:rPr>
      </w:pPr>
      <w:r>
        <w:rPr>
          <w:lang w:val="es-ES"/>
        </w:rPr>
        <w:t xml:space="preserve">En consecuencia, este Instituto estima que </w:t>
      </w:r>
      <w:r w:rsidR="00421B87">
        <w:rPr>
          <w:lang w:val="es-ES"/>
        </w:rPr>
        <w:t xml:space="preserve">los motivos de inconformidad devienen parcialmente fundados, por lo que es procedente </w:t>
      </w:r>
      <w:r w:rsidR="0065060E">
        <w:rPr>
          <w:lang w:val="es-ES"/>
        </w:rPr>
        <w:t xml:space="preserve">revocar la respuesta y </w:t>
      </w:r>
      <w:r w:rsidR="00421B87">
        <w:rPr>
          <w:lang w:val="es-ES"/>
        </w:rPr>
        <w:t>ordenar al Sujeto Obligado que, previa búsqueda exhaustiva y razonable, haga entrega al Recurrente</w:t>
      </w:r>
      <w:r w:rsidR="0065060E">
        <w:rPr>
          <w:lang w:val="es-ES"/>
        </w:rPr>
        <w:t>, en versión pública de ser procedente, de los documentos</w:t>
      </w:r>
      <w:r w:rsidR="00330748">
        <w:rPr>
          <w:lang w:val="es-ES"/>
        </w:rPr>
        <w:t xml:space="preserve"> o su</w:t>
      </w:r>
      <w:r w:rsidR="005D743E">
        <w:rPr>
          <w:lang w:val="es-ES"/>
        </w:rPr>
        <w:t>s</w:t>
      </w:r>
      <w:r w:rsidR="00330748">
        <w:rPr>
          <w:lang w:val="es-ES"/>
        </w:rPr>
        <w:t xml:space="preserve"> equivalentes en donde conste lo siguiente, respecto de </w:t>
      </w:r>
      <w:r w:rsidR="005C3756">
        <w:rPr>
          <w:rFonts w:eastAsiaTheme="minorEastAsia" w:cstheme="minorBidi"/>
          <w:lang w:val="es-ES" w:eastAsia="en-US"/>
        </w:rPr>
        <w:t>los contratos SAPASE/AD/PU/001/2020, SAPASE/AD/PU/002/2020 y SAPASE/AD/PU/003/2020:</w:t>
      </w:r>
    </w:p>
    <w:p w14:paraId="0770DBD7" w14:textId="77777777" w:rsidR="005C3756" w:rsidRDefault="005C3756" w:rsidP="00637679">
      <w:pPr>
        <w:rPr>
          <w:rFonts w:eastAsiaTheme="minorEastAsia" w:cstheme="minorBidi"/>
          <w:lang w:val="es-ES" w:eastAsia="en-US"/>
        </w:rPr>
      </w:pPr>
    </w:p>
    <w:p w14:paraId="643161CC" w14:textId="77777777"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Acta de adjudicación o fallo.</w:t>
      </w:r>
    </w:p>
    <w:p w14:paraId="5581CE30" w14:textId="77777777"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Acta de entrega del sitio de los trabajos e inicio de obra.</w:t>
      </w:r>
    </w:p>
    <w:p w14:paraId="6FCFE3AC" w14:textId="36981C5B"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Oficio de la Dirección General del Sujeto Obligado para designar al funcionario público que asumió la residencia de la obra, con acuse de recepción</w:t>
      </w:r>
      <w:r w:rsidR="005D743E">
        <w:rPr>
          <w:rFonts w:eastAsiaTheme="minorEastAsia" w:cstheme="minorBidi"/>
          <w:lang w:eastAsia="en-US"/>
        </w:rPr>
        <w:t>.</w:t>
      </w:r>
    </w:p>
    <w:p w14:paraId="155E2E54" w14:textId="77777777"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Escrito de la contratista para designar a su superintendente de construcción, con acuse de recepción.</w:t>
      </w:r>
    </w:p>
    <w:p w14:paraId="5924151F" w14:textId="6B2A87FA"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Nota de apertura de la bitácora y seguimiento a obra pública</w:t>
      </w:r>
      <w:r w:rsidR="000C2E3B">
        <w:rPr>
          <w:rFonts w:eastAsiaTheme="minorEastAsia" w:cstheme="minorBidi"/>
          <w:lang w:eastAsia="en-US"/>
        </w:rPr>
        <w:t>.</w:t>
      </w:r>
    </w:p>
    <w:p w14:paraId="584B2079" w14:textId="3C90B0F5"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Nota de cierre de la bitácora y seguimiento a obra pública</w:t>
      </w:r>
      <w:r w:rsidR="000C2E3B">
        <w:rPr>
          <w:rFonts w:eastAsiaTheme="minorEastAsia" w:cstheme="minorBidi"/>
          <w:lang w:eastAsia="en-US"/>
        </w:rPr>
        <w:t>.</w:t>
      </w:r>
    </w:p>
    <w:p w14:paraId="5529B678" w14:textId="77777777"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Acta de entrega-recepción de los trabajos a satisfacción del Sujeto Obligado.</w:t>
      </w:r>
    </w:p>
    <w:p w14:paraId="3C4A04BE" w14:textId="77777777" w:rsidR="005C3756" w:rsidRDefault="005C3756" w:rsidP="00A0565F">
      <w:pPr>
        <w:pStyle w:val="Prrafodelista"/>
        <w:numPr>
          <w:ilvl w:val="0"/>
          <w:numId w:val="53"/>
        </w:numPr>
        <w:rPr>
          <w:rFonts w:eastAsiaTheme="minorEastAsia" w:cstheme="minorBidi"/>
          <w:lang w:eastAsia="en-US"/>
        </w:rPr>
      </w:pPr>
      <w:r>
        <w:rPr>
          <w:rFonts w:eastAsiaTheme="minorEastAsia" w:cstheme="minorBidi"/>
          <w:lang w:eastAsia="en-US"/>
        </w:rPr>
        <w:t>Acta de entrega a la instancia encargada de su operación en el Sujeto Obligado.</w:t>
      </w:r>
    </w:p>
    <w:p w14:paraId="7EA4BD1E" w14:textId="5531F3AE" w:rsidR="005C3756" w:rsidRDefault="00A0565F" w:rsidP="00A0565F">
      <w:pPr>
        <w:pStyle w:val="Prrafodelista"/>
        <w:numPr>
          <w:ilvl w:val="0"/>
          <w:numId w:val="53"/>
        </w:numPr>
        <w:rPr>
          <w:rFonts w:eastAsiaTheme="minorEastAsia" w:cstheme="minorBidi"/>
          <w:lang w:eastAsia="en-US"/>
        </w:rPr>
      </w:pPr>
      <w:r>
        <w:rPr>
          <w:rFonts w:eastAsiaTheme="minorEastAsia" w:cstheme="minorBidi"/>
          <w:lang w:eastAsia="en-US"/>
        </w:rPr>
        <w:t>F</w:t>
      </w:r>
      <w:r w:rsidR="005C3756">
        <w:rPr>
          <w:rFonts w:eastAsiaTheme="minorEastAsia" w:cstheme="minorBidi"/>
          <w:lang w:eastAsia="en-US"/>
        </w:rPr>
        <w:t xml:space="preserve">iniquito que contenga todos los conceptos, cantidades, unidades, precios unitarios y cantidades e importes que se vieron reflejadas en cada una de las estimaciones que fueron autorizadas y pagadas para cada contrato, en la que se observe </w:t>
      </w:r>
      <w:r w:rsidR="000C2E3B">
        <w:rPr>
          <w:rFonts w:eastAsiaTheme="minorEastAsia" w:cstheme="minorBidi"/>
          <w:lang w:eastAsia="en-US"/>
        </w:rPr>
        <w:t>la naturaleza de los recursos con los que fueron cubie</w:t>
      </w:r>
      <w:r w:rsidR="005D743E">
        <w:rPr>
          <w:rFonts w:eastAsiaTheme="minorEastAsia" w:cstheme="minorBidi"/>
          <w:lang w:eastAsia="en-US"/>
        </w:rPr>
        <w:t xml:space="preserve">rtos. </w:t>
      </w:r>
    </w:p>
    <w:p w14:paraId="33F1F42E" w14:textId="77777777" w:rsidR="005C3756" w:rsidRPr="00602B07" w:rsidRDefault="005C3756" w:rsidP="00637679">
      <w:pPr>
        <w:rPr>
          <w:lang w:val="es-ES"/>
        </w:rPr>
      </w:pPr>
    </w:p>
    <w:p w14:paraId="0CB4D8FA" w14:textId="77777777" w:rsidR="002C3AA0" w:rsidRPr="008F3C6D" w:rsidRDefault="00852339" w:rsidP="002C3AA0">
      <w:pPr>
        <w:pStyle w:val="Ttulo3"/>
        <w:rPr>
          <w:rFonts w:eastAsia="Times New Roman"/>
        </w:rPr>
      </w:pPr>
      <w:r w:rsidRPr="008F3C6D">
        <w:rPr>
          <w:rFonts w:eastAsia="Times New Roman"/>
        </w:rPr>
        <w:t>DE LA VERSIÓN PÚBLICA</w:t>
      </w:r>
    </w:p>
    <w:p w14:paraId="6D08EBE6" w14:textId="77777777" w:rsidR="00022432" w:rsidRPr="006A7396" w:rsidRDefault="00022432" w:rsidP="00022432">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A4ECA8C" w14:textId="77777777" w:rsidR="00022432" w:rsidRPr="006A7396" w:rsidRDefault="00022432" w:rsidP="00022432">
      <w:pPr>
        <w:rPr>
          <w:rFonts w:eastAsia="Palatino Linotype" w:cs="Palatino Linotype"/>
          <w:szCs w:val="24"/>
        </w:rPr>
      </w:pPr>
    </w:p>
    <w:p w14:paraId="0BBD173B"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7030F903" w14:textId="5756F639"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21CDEC5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lastRenderedPageBreak/>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73F0900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6ED184B9"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6DDB1E7" w14:textId="7050BEC5" w:rsidR="00022432" w:rsidRPr="00787121"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787121">
        <w:rPr>
          <w:rFonts w:eastAsia="Palatino Linotype" w:cs="Palatino Linotype"/>
          <w:i/>
          <w:color w:val="000000"/>
          <w:sz w:val="22"/>
          <w:szCs w:val="24"/>
        </w:rPr>
        <w:t>[</w:t>
      </w:r>
      <w:r w:rsidR="00022432" w:rsidRPr="00787121">
        <w:rPr>
          <w:rFonts w:eastAsia="Palatino Linotype" w:cs="Palatino Linotype"/>
          <w:i/>
          <w:color w:val="000000"/>
          <w:sz w:val="22"/>
          <w:szCs w:val="24"/>
        </w:rPr>
        <w:t>…</w:t>
      </w:r>
      <w:r w:rsidRPr="00787121">
        <w:rPr>
          <w:rFonts w:eastAsia="Palatino Linotype" w:cs="Palatino Linotype"/>
          <w:i/>
          <w:color w:val="000000"/>
          <w:sz w:val="22"/>
          <w:szCs w:val="24"/>
        </w:rPr>
        <w:t>]</w:t>
      </w:r>
    </w:p>
    <w:p w14:paraId="31FEDF2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19C2EAB4" w14:textId="5B8D2163"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65B2BC94"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4F954A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3C31712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FCF6B0B"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634A587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3630B46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0585D832"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7AC3A48B" w14:textId="05B33929" w:rsidR="00022432" w:rsidRPr="006A7396" w:rsidRDefault="00787121"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Pr>
          <w:rFonts w:eastAsia="Palatino Linotype" w:cs="Palatino Linotype"/>
          <w:i/>
          <w:color w:val="000000"/>
          <w:sz w:val="22"/>
          <w:szCs w:val="24"/>
        </w:rPr>
        <w:t>[…]</w:t>
      </w:r>
    </w:p>
    <w:p w14:paraId="3E8C530B" w14:textId="77777777" w:rsidR="00022432" w:rsidRPr="006A7396" w:rsidRDefault="00022432" w:rsidP="00022432">
      <w:pPr>
        <w:rPr>
          <w:rFonts w:eastAsia="Palatino Linotype" w:cs="Palatino Linotype"/>
          <w:i/>
          <w:szCs w:val="24"/>
        </w:rPr>
      </w:pPr>
    </w:p>
    <w:p w14:paraId="285AB23A" w14:textId="77777777" w:rsidR="00022432" w:rsidRPr="006A7396" w:rsidRDefault="00022432" w:rsidP="00022432">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741DC2" w14:textId="77777777" w:rsidR="00022432" w:rsidRPr="006A7396" w:rsidRDefault="00022432" w:rsidP="00022432">
      <w:pPr>
        <w:rPr>
          <w:rFonts w:eastAsia="Palatino Linotype" w:cs="Palatino Linotype"/>
          <w:szCs w:val="24"/>
        </w:rPr>
      </w:pPr>
    </w:p>
    <w:p w14:paraId="13A66848" w14:textId="77777777" w:rsidR="00022432" w:rsidRPr="006A7396" w:rsidRDefault="00022432" w:rsidP="00022432">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xml:space="preserve">, emitidos por el Consejo Nacional del Sistema Nacional de Transparencia, Acceso a la Información Pública y Protección de Datos Personales, publicados en el Diario Oficial de la Federación el día </w:t>
      </w:r>
      <w:r w:rsidRPr="006A7396">
        <w:rPr>
          <w:rFonts w:eastAsia="Palatino Linotype" w:cs="Palatino Linotype"/>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FB4C99" w14:textId="77777777" w:rsidR="00022432" w:rsidRPr="006A7396" w:rsidRDefault="00022432" w:rsidP="00022432">
      <w:pPr>
        <w:rPr>
          <w:rFonts w:eastAsia="Palatino Linotype" w:cs="Palatino Linotype"/>
          <w:szCs w:val="24"/>
        </w:rPr>
      </w:pPr>
    </w:p>
    <w:p w14:paraId="50B67D7F" w14:textId="77777777" w:rsidR="00022432" w:rsidRPr="006A7396" w:rsidRDefault="00022432" w:rsidP="00022432">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03F94AFB" w14:textId="77777777" w:rsidR="00022432" w:rsidRPr="006A7396" w:rsidRDefault="00022432" w:rsidP="00022432">
      <w:pPr>
        <w:rPr>
          <w:rFonts w:eastAsia="Palatino Linotype" w:cs="Palatino Linotype"/>
        </w:rPr>
      </w:pPr>
    </w:p>
    <w:p w14:paraId="0DBE2A7F"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370FD29"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0AD027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78451AC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0E21F674"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47F87ACF"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228C39A8"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88CAF6E"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8330127"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67C0081D"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D041D4C" w14:textId="77777777" w:rsidR="00022432" w:rsidRPr="006A7396" w:rsidRDefault="00022432" w:rsidP="00022432">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5A438623">
        <w:rPr>
          <w:rFonts w:eastAsia="Palatino Linotype" w:cs="Palatino Linotype"/>
          <w:b/>
          <w:bCs/>
          <w:i/>
          <w:iCs/>
          <w:color w:val="000000" w:themeColor="text1"/>
          <w:sz w:val="22"/>
          <w:lang w:val="es-ES"/>
        </w:rPr>
        <w:t>Quincuagésimo octavo.</w:t>
      </w:r>
      <w:r w:rsidRPr="5A438623">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31E4C181" w14:textId="77777777" w:rsidR="00022432" w:rsidRPr="006A7396" w:rsidRDefault="00022432" w:rsidP="00022432">
      <w:pPr>
        <w:rPr>
          <w:rFonts w:eastAsia="Palatino Linotype" w:cs="Palatino Linotype"/>
          <w:i/>
          <w:szCs w:val="24"/>
        </w:rPr>
      </w:pPr>
    </w:p>
    <w:p w14:paraId="2FE043FC" w14:textId="77777777" w:rsidR="00022432" w:rsidRPr="006A7396" w:rsidRDefault="00022432" w:rsidP="00022432">
      <w:pPr>
        <w:rPr>
          <w:rFonts w:eastAsia="Palatino Linotype" w:cs="Palatino Linotype"/>
          <w:lang w:val="es-ES"/>
        </w:rPr>
      </w:pPr>
      <w:r w:rsidRPr="006A7396">
        <w:rPr>
          <w:rFonts w:eastAsia="Palatino Linotype" w:cs="Palatino Linotype"/>
          <w:lang w:val="es-ES"/>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99CF762" w14:textId="77777777" w:rsidR="00022432" w:rsidRPr="006A7396" w:rsidRDefault="00022432" w:rsidP="00022432">
      <w:pPr>
        <w:rPr>
          <w:rFonts w:eastAsia="Palatino Linotype" w:cs="Palatino Linotype"/>
          <w:szCs w:val="24"/>
        </w:rPr>
      </w:pPr>
    </w:p>
    <w:p w14:paraId="25CB4677" w14:textId="77777777" w:rsidR="00022432" w:rsidRPr="006A7396" w:rsidRDefault="00022432" w:rsidP="00022432">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025B113C" w14:textId="77777777" w:rsidR="00022432" w:rsidRPr="006A7396" w:rsidRDefault="00022432" w:rsidP="00022432">
      <w:pPr>
        <w:rPr>
          <w:rFonts w:eastAsia="Palatino Linotype" w:cs="Palatino Linotype"/>
          <w:szCs w:val="24"/>
        </w:rPr>
      </w:pPr>
    </w:p>
    <w:p w14:paraId="7AB0E1A4" w14:textId="77777777" w:rsidR="00022432" w:rsidRPr="006A7396" w:rsidRDefault="00022432" w:rsidP="00022432">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Pr>
          <w:rFonts w:eastAsia="Palatino Linotype" w:cs="Palatino Linotype"/>
          <w:color w:val="000000"/>
          <w:szCs w:val="24"/>
        </w:rPr>
        <w:t xml:space="preserve"> </w:t>
      </w:r>
      <w:r w:rsidRPr="006A7396">
        <w:rPr>
          <w:rFonts w:eastAsia="Palatino Linotype" w:cs="Palatino Linotype"/>
          <w:color w:val="000000"/>
          <w:szCs w:val="24"/>
        </w:rPr>
        <w:t>l</w:t>
      </w:r>
      <w:r>
        <w:rPr>
          <w:rFonts w:eastAsia="Palatino Linotype" w:cs="Palatino Linotype"/>
          <w:color w:val="000000"/>
          <w:szCs w:val="24"/>
        </w:rPr>
        <w:t>a</w:t>
      </w:r>
      <w:r w:rsidRPr="006A7396">
        <w:rPr>
          <w:rFonts w:eastAsia="Palatino Linotype" w:cs="Palatino Linotype"/>
          <w:color w:val="000000"/>
          <w:szCs w:val="24"/>
        </w:rPr>
        <w:t xml:space="preserve"> Recurrente.</w:t>
      </w:r>
    </w:p>
    <w:p w14:paraId="3DB4EF41" w14:textId="77777777" w:rsidR="00180C5F" w:rsidRDefault="00180C5F" w:rsidP="008F50E6"/>
    <w:p w14:paraId="07B920B4" w14:textId="14C9A6C3"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022432">
        <w:rPr>
          <w:rFonts w:eastAsia="Palatino Linotype" w:cs="Palatino Linotype"/>
          <w:color w:val="000000" w:themeColor="text1"/>
        </w:rPr>
        <w:t>el</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00486DD8">
        <w:rPr>
          <w:rFonts w:eastAsia="Palatino Linotype" w:cs="Palatino Linotype"/>
          <w:color w:val="000000" w:themeColor="text1"/>
        </w:rPr>
        <w:t xml:space="preserve">parcialmente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n fundamento en la 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w:t>
      </w:r>
      <w:r w:rsidRPr="0CEC3CE0">
        <w:rPr>
          <w:rFonts w:eastAsia="Palatino Linotype" w:cs="Palatino Linotype"/>
          <w:color w:val="000000" w:themeColor="text1"/>
        </w:rPr>
        <w:lastRenderedPageBreak/>
        <w:t xml:space="preserve">a la Información Pública del Estado de México y Municipios, se </w:t>
      </w:r>
      <w:r w:rsidR="006451AD">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sidRPr="008F3C6D">
        <w:rPr>
          <w:rFonts w:eastAsia="Palatino Linotype" w:cs="Palatino Linotype"/>
          <w:color w:val="000000"/>
          <w:szCs w:val="24"/>
        </w:rPr>
        <w:t xml:space="preserve"> </w:t>
      </w:r>
      <w:r w:rsidR="004C7106">
        <w:rPr>
          <w:rFonts w:eastAsia="Palatino Linotype" w:cs="Palatino Linotype"/>
          <w:b/>
          <w:bCs/>
          <w:color w:val="000000"/>
          <w:szCs w:val="24"/>
        </w:rPr>
        <w:t>00179/OASECATEPE/IP/2024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1B078E38" w:rsidR="00581587" w:rsidRPr="00BB7F90" w:rsidRDefault="00581587" w:rsidP="00581587">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6451AD">
        <w:rPr>
          <w:rFonts w:eastAsia="Palatino Linotype" w:cs="Palatino Linotype"/>
          <w:b/>
          <w:bCs/>
          <w:color w:val="000000" w:themeColor="text1"/>
        </w:rPr>
        <w:t>REVO</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4C7106">
        <w:rPr>
          <w:rFonts w:eastAsia="Palatino Linotype" w:cs="Palatino Linotype"/>
          <w:b/>
          <w:bCs/>
          <w:color w:val="000000"/>
          <w:szCs w:val="24"/>
        </w:rPr>
        <w:t>00179/OASECATEPE/IP/2024</w:t>
      </w:r>
      <w:r w:rsidR="000D3DC4">
        <w:rPr>
          <w:rFonts w:eastAsia="Palatino Linotype" w:cs="Palatino Linotype"/>
          <w:color w:val="000000" w:themeColor="text1"/>
        </w:rPr>
        <w:t>, al resultar</w:t>
      </w:r>
      <w:r w:rsidR="0002287F">
        <w:rPr>
          <w:rFonts w:eastAsia="Palatino Linotype" w:cs="Palatino Linotype"/>
          <w:color w:val="000000" w:themeColor="text1"/>
        </w:rPr>
        <w:t xml:space="preserve"> </w:t>
      </w:r>
      <w:r w:rsidR="005D743E">
        <w:rPr>
          <w:rFonts w:eastAsia="Palatino Linotype" w:cs="Palatino Linotype"/>
          <w:color w:val="000000" w:themeColor="text1"/>
        </w:rPr>
        <w:t xml:space="preserve">parcialmente </w:t>
      </w:r>
      <w:r w:rsidRPr="00BB7F90">
        <w:rPr>
          <w:rFonts w:eastAsia="Palatino Linotype" w:cs="Palatino Linotype"/>
          <w:color w:val="000000" w:themeColor="text1"/>
        </w:rPr>
        <w:t xml:space="preserve">fundados los motivos de inconformidad argüidos por </w:t>
      </w:r>
      <w:r w:rsidR="000D3DC4">
        <w:rPr>
          <w:rFonts w:eastAsia="Palatino Linotype" w:cs="Palatino Linotype"/>
          <w:color w:val="000000" w:themeColor="text1"/>
        </w:rPr>
        <w:t>el</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0D3DC4">
        <w:rPr>
          <w:rFonts w:eastAsia="Palatino Linotype" w:cs="Palatino Linotype"/>
          <w:b/>
          <w:bCs/>
          <w:color w:val="000000" w:themeColor="text1"/>
        </w:rPr>
        <w:t>CUAR</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6478FFBB"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al Sujeto Obligado que</w:t>
      </w:r>
      <w:r w:rsidR="005D743E">
        <w:rPr>
          <w:rFonts w:eastAsia="Palatino Linotype" w:cs="Palatino Linotype"/>
          <w:color w:val="000000"/>
          <w:szCs w:val="24"/>
        </w:rPr>
        <w:t>, previa búsqueda exhaustiva y razonable en los archivos de las áreas competentes,</w:t>
      </w:r>
      <w:r w:rsidR="007501B9" w:rsidRPr="003F3F63">
        <w:rPr>
          <w:rFonts w:eastAsia="Palatino Linotype" w:cs="Palatino Linotype"/>
          <w:color w:val="000000"/>
          <w:szCs w:val="24"/>
        </w:rPr>
        <w:t xml:space="preserve"> haga entrega a</w:t>
      </w:r>
      <w:r w:rsidR="000D3DC4">
        <w:rPr>
          <w:rFonts w:eastAsia="Palatino Linotype" w:cs="Palatino Linotype"/>
          <w:color w:val="000000"/>
          <w:szCs w:val="24"/>
        </w:rPr>
        <w:t>l</w:t>
      </w:r>
      <w:r w:rsidR="007501B9" w:rsidRPr="003F3F63">
        <w:rPr>
          <w:rFonts w:eastAsia="Palatino Linotype" w:cs="Palatino Linotype"/>
          <w:color w:val="000000"/>
          <w:szCs w:val="24"/>
        </w:rPr>
        <w:t xml:space="preserve"> Recurrente mediante el Sistema de Acceso a la Información Mexiquense (SAIMEX)</w:t>
      </w:r>
      <w:r w:rsidR="004B645E">
        <w:rPr>
          <w:rFonts w:eastAsia="Palatino Linotype" w:cs="Palatino Linotype"/>
          <w:color w:val="000000"/>
          <w:szCs w:val="24"/>
        </w:rPr>
        <w:t>, en versión pública</w:t>
      </w:r>
      <w:r w:rsidR="006451AD">
        <w:rPr>
          <w:rFonts w:eastAsia="Palatino Linotype" w:cs="Palatino Linotype"/>
          <w:color w:val="000000"/>
          <w:szCs w:val="24"/>
        </w:rPr>
        <w:t xml:space="preserve"> </w:t>
      </w:r>
      <w:r w:rsidR="000D3DC4">
        <w:rPr>
          <w:rFonts w:eastAsia="Palatino Linotype" w:cs="Palatino Linotype"/>
          <w:color w:val="000000"/>
          <w:szCs w:val="24"/>
        </w:rPr>
        <w:t>de ser procedente</w:t>
      </w:r>
      <w:r w:rsidR="005D743E">
        <w:rPr>
          <w:rFonts w:eastAsia="Palatino Linotype" w:cs="Palatino Linotype"/>
          <w:color w:val="000000"/>
          <w:szCs w:val="24"/>
        </w:rPr>
        <w:t>,</w:t>
      </w:r>
      <w:r w:rsidR="007501B9" w:rsidRPr="003F3F63">
        <w:rPr>
          <w:rFonts w:eastAsia="Palatino Linotype" w:cs="Palatino Linotype"/>
          <w:color w:val="000000"/>
          <w:szCs w:val="24"/>
        </w:rPr>
        <w:t xml:space="preserve"> en términos del </w:t>
      </w:r>
      <w:r w:rsidR="000D3DC4">
        <w:rPr>
          <w:rFonts w:eastAsia="Palatino Linotype" w:cs="Palatino Linotype"/>
          <w:b/>
          <w:color w:val="000000"/>
          <w:szCs w:val="24"/>
        </w:rPr>
        <w:t>Considerando CUAR</w:t>
      </w:r>
      <w:r w:rsidR="007501B9" w:rsidRPr="003F3F63">
        <w:rPr>
          <w:rFonts w:eastAsia="Palatino Linotype" w:cs="Palatino Linotype"/>
          <w:b/>
          <w:color w:val="000000"/>
          <w:szCs w:val="24"/>
        </w:rPr>
        <w:t>TO</w:t>
      </w:r>
      <w:r w:rsidR="005D743E">
        <w:rPr>
          <w:rFonts w:eastAsia="Palatino Linotype" w:cs="Palatino Linotype"/>
          <w:color w:val="000000"/>
          <w:szCs w:val="24"/>
        </w:rPr>
        <w:t xml:space="preserve"> y</w:t>
      </w:r>
      <w:r w:rsidR="007501B9" w:rsidRPr="003F3F63">
        <w:rPr>
          <w:rFonts w:eastAsia="Palatino Linotype" w:cs="Palatino Linotype"/>
          <w:color w:val="000000"/>
          <w:szCs w:val="24"/>
        </w:rPr>
        <w:t xml:space="preserve"> </w:t>
      </w:r>
      <w:r w:rsidR="005D743E">
        <w:rPr>
          <w:lang w:val="es-ES"/>
        </w:rPr>
        <w:t xml:space="preserve">respecto de </w:t>
      </w:r>
      <w:r w:rsidR="005D743E">
        <w:rPr>
          <w:rFonts w:eastAsiaTheme="minorEastAsia" w:cstheme="minorBidi"/>
          <w:lang w:val="es-ES" w:eastAsia="en-US"/>
        </w:rPr>
        <w:t xml:space="preserve">los contratos SAPASE/AD/PU/001/2020, SAPASE/AD/PU/002/2020 y SAPASE/AD/PU/003/2020, </w:t>
      </w:r>
      <w:r w:rsidR="005D743E">
        <w:rPr>
          <w:lang w:val="es-ES"/>
        </w:rPr>
        <w:t>de los documentos o sus equivalentes en donde conste lo siguiente</w:t>
      </w:r>
      <w:r w:rsidRPr="00BB7F90">
        <w:rPr>
          <w:rFonts w:eastAsia="Palatino Linotype" w:cs="Palatino Linotype"/>
          <w:color w:val="000000"/>
          <w:szCs w:val="24"/>
        </w:rPr>
        <w:t xml:space="preserve">: </w:t>
      </w:r>
    </w:p>
    <w:p w14:paraId="26EEF856"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0D45663D" w14:textId="77777777" w:rsidR="005D743E" w:rsidRPr="005D743E" w:rsidRDefault="005D743E" w:rsidP="00A0565F">
      <w:pPr>
        <w:pStyle w:val="Prrafodelista"/>
        <w:numPr>
          <w:ilvl w:val="0"/>
          <w:numId w:val="54"/>
        </w:numPr>
        <w:pBdr>
          <w:top w:val="nil"/>
          <w:left w:val="nil"/>
          <w:bottom w:val="nil"/>
          <w:right w:val="nil"/>
          <w:between w:val="nil"/>
        </w:pBdr>
        <w:spacing w:line="276" w:lineRule="auto"/>
        <w:rPr>
          <w:i/>
          <w:iCs/>
        </w:rPr>
      </w:pPr>
      <w:r w:rsidRPr="005D743E">
        <w:rPr>
          <w:i/>
          <w:iCs/>
        </w:rPr>
        <w:t>Acta de adjudicación o fallo.</w:t>
      </w:r>
    </w:p>
    <w:p w14:paraId="3A6FE137" w14:textId="77777777" w:rsidR="005D743E" w:rsidRPr="005D743E" w:rsidRDefault="005D743E" w:rsidP="00A0565F">
      <w:pPr>
        <w:pStyle w:val="Prrafodelista"/>
        <w:numPr>
          <w:ilvl w:val="0"/>
          <w:numId w:val="54"/>
        </w:numPr>
        <w:pBdr>
          <w:top w:val="nil"/>
          <w:left w:val="nil"/>
          <w:bottom w:val="nil"/>
          <w:right w:val="nil"/>
          <w:between w:val="nil"/>
        </w:pBdr>
        <w:spacing w:line="276" w:lineRule="auto"/>
        <w:rPr>
          <w:i/>
          <w:iCs/>
        </w:rPr>
      </w:pPr>
      <w:r w:rsidRPr="005D743E">
        <w:rPr>
          <w:i/>
          <w:iCs/>
        </w:rPr>
        <w:t>Acta de entrega del sitio de los trabajos e inicio de obra.</w:t>
      </w:r>
    </w:p>
    <w:p w14:paraId="711FD784" w14:textId="124572E8" w:rsidR="005D743E" w:rsidRPr="005D743E" w:rsidRDefault="005D743E" w:rsidP="00A0565F">
      <w:pPr>
        <w:pStyle w:val="Prrafodelista"/>
        <w:numPr>
          <w:ilvl w:val="0"/>
          <w:numId w:val="54"/>
        </w:numPr>
        <w:pBdr>
          <w:top w:val="nil"/>
          <w:left w:val="nil"/>
          <w:bottom w:val="nil"/>
          <w:right w:val="nil"/>
          <w:between w:val="nil"/>
        </w:pBdr>
        <w:spacing w:line="276" w:lineRule="auto"/>
        <w:rPr>
          <w:i/>
          <w:iCs/>
        </w:rPr>
      </w:pPr>
      <w:r w:rsidRPr="005D743E">
        <w:rPr>
          <w:i/>
          <w:iCs/>
        </w:rPr>
        <w:t xml:space="preserve">Oficio </w:t>
      </w:r>
      <w:r>
        <w:rPr>
          <w:i/>
          <w:iCs/>
        </w:rPr>
        <w:t>emitido por el</w:t>
      </w:r>
      <w:r w:rsidRPr="005D743E">
        <w:rPr>
          <w:i/>
          <w:iCs/>
        </w:rPr>
        <w:t xml:space="preserve"> Sujeto Obligado para designar al funcionario público que asumió la residencia de la obra, con acuse de recepción.</w:t>
      </w:r>
    </w:p>
    <w:p w14:paraId="6D9BC94D" w14:textId="77777777" w:rsidR="005D743E" w:rsidRPr="005D743E" w:rsidRDefault="005D743E" w:rsidP="00A0565F">
      <w:pPr>
        <w:pStyle w:val="Prrafodelista"/>
        <w:numPr>
          <w:ilvl w:val="0"/>
          <w:numId w:val="54"/>
        </w:numPr>
        <w:pBdr>
          <w:top w:val="nil"/>
          <w:left w:val="nil"/>
          <w:bottom w:val="nil"/>
          <w:right w:val="nil"/>
          <w:between w:val="nil"/>
        </w:pBdr>
        <w:spacing w:line="276" w:lineRule="auto"/>
        <w:rPr>
          <w:i/>
          <w:iCs/>
        </w:rPr>
      </w:pPr>
      <w:r w:rsidRPr="005D743E">
        <w:rPr>
          <w:i/>
          <w:iCs/>
        </w:rPr>
        <w:lastRenderedPageBreak/>
        <w:t>Escrito de la contratista para designar a su superintendente de construcción, con acuse de recepción.</w:t>
      </w:r>
    </w:p>
    <w:p w14:paraId="0C8693D3" w14:textId="28625BDA" w:rsidR="005D743E" w:rsidRPr="005D743E" w:rsidRDefault="005D743E" w:rsidP="4AA4048D">
      <w:pPr>
        <w:pStyle w:val="Prrafodelista"/>
        <w:numPr>
          <w:ilvl w:val="0"/>
          <w:numId w:val="54"/>
        </w:numPr>
        <w:pBdr>
          <w:top w:val="nil"/>
          <w:left w:val="nil"/>
          <w:bottom w:val="nil"/>
          <w:right w:val="nil"/>
          <w:between w:val="nil"/>
        </w:pBdr>
        <w:spacing w:line="276" w:lineRule="auto"/>
        <w:rPr>
          <w:i/>
          <w:iCs/>
        </w:rPr>
      </w:pPr>
      <w:r w:rsidRPr="4AA4048D">
        <w:rPr>
          <w:i/>
          <w:iCs/>
        </w:rPr>
        <w:t>Nota de apertura de la bitácora y seguimiento a obra pública.</w:t>
      </w:r>
    </w:p>
    <w:p w14:paraId="21E1BB14" w14:textId="154DB175" w:rsidR="005D743E" w:rsidRPr="005D743E" w:rsidRDefault="005D743E" w:rsidP="4AA4048D">
      <w:pPr>
        <w:pStyle w:val="Prrafodelista"/>
        <w:numPr>
          <w:ilvl w:val="0"/>
          <w:numId w:val="54"/>
        </w:numPr>
        <w:pBdr>
          <w:top w:val="nil"/>
          <w:left w:val="nil"/>
          <w:bottom w:val="nil"/>
          <w:right w:val="nil"/>
          <w:between w:val="nil"/>
        </w:pBdr>
        <w:spacing w:line="276" w:lineRule="auto"/>
        <w:rPr>
          <w:i/>
          <w:iCs/>
        </w:rPr>
      </w:pPr>
      <w:r w:rsidRPr="4AA4048D">
        <w:rPr>
          <w:i/>
          <w:iCs/>
        </w:rPr>
        <w:t>Nota de cierre de la bitácora y seguimiento a obra pública.</w:t>
      </w:r>
    </w:p>
    <w:p w14:paraId="6BD2B54C" w14:textId="77777777" w:rsidR="005D743E" w:rsidRPr="005D743E" w:rsidRDefault="005D743E" w:rsidP="00A0565F">
      <w:pPr>
        <w:pStyle w:val="Prrafodelista"/>
        <w:numPr>
          <w:ilvl w:val="0"/>
          <w:numId w:val="54"/>
        </w:numPr>
        <w:pBdr>
          <w:top w:val="nil"/>
          <w:left w:val="nil"/>
          <w:bottom w:val="nil"/>
          <w:right w:val="nil"/>
          <w:between w:val="nil"/>
        </w:pBdr>
        <w:spacing w:line="276" w:lineRule="auto"/>
        <w:rPr>
          <w:i/>
          <w:iCs/>
        </w:rPr>
      </w:pPr>
      <w:r w:rsidRPr="005D743E">
        <w:rPr>
          <w:i/>
          <w:iCs/>
        </w:rPr>
        <w:t>Acta de entrega-recepción de los trabajos a satisfacción del Sujeto Obligado.</w:t>
      </w:r>
    </w:p>
    <w:p w14:paraId="0D8205F2" w14:textId="77777777" w:rsidR="005D743E" w:rsidRPr="005D743E" w:rsidRDefault="005D743E" w:rsidP="00A0565F">
      <w:pPr>
        <w:pStyle w:val="Prrafodelista"/>
        <w:numPr>
          <w:ilvl w:val="0"/>
          <w:numId w:val="54"/>
        </w:numPr>
        <w:pBdr>
          <w:top w:val="nil"/>
          <w:left w:val="nil"/>
          <w:bottom w:val="nil"/>
          <w:right w:val="nil"/>
          <w:between w:val="nil"/>
        </w:pBdr>
        <w:spacing w:line="276" w:lineRule="auto"/>
        <w:rPr>
          <w:i/>
          <w:iCs/>
        </w:rPr>
      </w:pPr>
      <w:r w:rsidRPr="005D743E">
        <w:rPr>
          <w:i/>
          <w:iCs/>
        </w:rPr>
        <w:t>Acta de entrega a la instancia encargada de su operación en el Sujeto Obligado.</w:t>
      </w:r>
    </w:p>
    <w:p w14:paraId="502AC697" w14:textId="6EC673E6" w:rsidR="005D743E" w:rsidRPr="005D743E" w:rsidRDefault="00A0565F" w:rsidP="00A0565F">
      <w:pPr>
        <w:pStyle w:val="Prrafodelista"/>
        <w:numPr>
          <w:ilvl w:val="0"/>
          <w:numId w:val="54"/>
        </w:numPr>
        <w:pBdr>
          <w:top w:val="nil"/>
          <w:left w:val="nil"/>
          <w:bottom w:val="nil"/>
          <w:right w:val="nil"/>
          <w:between w:val="nil"/>
        </w:pBdr>
        <w:spacing w:line="276" w:lineRule="auto"/>
        <w:rPr>
          <w:i/>
          <w:iCs/>
        </w:rPr>
      </w:pPr>
      <w:r>
        <w:rPr>
          <w:i/>
          <w:iCs/>
        </w:rPr>
        <w:t>F</w:t>
      </w:r>
      <w:r w:rsidR="005D743E" w:rsidRPr="005D743E">
        <w:rPr>
          <w:i/>
          <w:iCs/>
        </w:rPr>
        <w:t xml:space="preserve">iniquito que contenga todos los conceptos, cantidades, unidades, precios unitarios y cantidades e importes que se vieron reflejadas en cada una de las estimaciones que fueron autorizadas y pagadas para cada contrato, en la que se observe la naturaleza de los recursos con los que fueron cubiertos. </w:t>
      </w:r>
    </w:p>
    <w:p w14:paraId="4B3083CF" w14:textId="77777777" w:rsidR="00581587" w:rsidRPr="005C45A8" w:rsidRDefault="00581587" w:rsidP="00581587">
      <w:pPr>
        <w:pBdr>
          <w:top w:val="nil"/>
          <w:left w:val="nil"/>
          <w:bottom w:val="nil"/>
          <w:right w:val="nil"/>
          <w:between w:val="nil"/>
        </w:pBdr>
        <w:rPr>
          <w:rFonts w:eastAsia="Palatino Linotype" w:cs="Palatino Linotype"/>
          <w:color w:val="000000"/>
          <w:szCs w:val="24"/>
          <w:lang w:val="es-ES"/>
        </w:rPr>
      </w:pPr>
    </w:p>
    <w:p w14:paraId="62472026" w14:textId="202E694D" w:rsidR="004161DA" w:rsidRPr="006A7396" w:rsidRDefault="00B43890" w:rsidP="004161D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necesario, c</w:t>
      </w:r>
      <w:r w:rsidR="004161DA" w:rsidRPr="006A7396">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 xml:space="preserve">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325BCB">
        <w:rPr>
          <w:rFonts w:eastAsia="Palatino Linotype" w:cs="Palatino Linotype"/>
          <w:color w:val="000000"/>
          <w:szCs w:val="24"/>
        </w:rPr>
        <w:lastRenderedPageBreak/>
        <w:t>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556C3259"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0D3DC4">
        <w:rPr>
          <w:rFonts w:eastAsia="Palatino Linotype" w:cs="Palatino Linotype"/>
          <w:color w:val="000000"/>
          <w:szCs w:val="24"/>
        </w:rPr>
        <w:t>l</w:t>
      </w:r>
      <w:r w:rsidRPr="00325BCB">
        <w:rPr>
          <w:rFonts w:eastAsia="Palatino Linotype" w:cs="Palatino Linotype"/>
          <w:color w:val="000000"/>
          <w:szCs w:val="24"/>
        </w:rPr>
        <w:t xml:space="preserve"> Recurrente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407FF056" w:rsidR="00A970D5" w:rsidRPr="006922F5" w:rsidRDefault="005A45B1" w:rsidP="00E2232B">
      <w:pPr>
        <w:pBdr>
          <w:top w:val="nil"/>
          <w:left w:val="nil"/>
          <w:bottom w:val="nil"/>
          <w:right w:val="nil"/>
          <w:between w:val="nil"/>
        </w:pBdr>
        <w:spacing w:line="276" w:lineRule="auto"/>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E2232B">
        <w:rPr>
          <w:rFonts w:eastAsia="Palatino Linotype" w:cs="Palatino Linotype"/>
          <w:color w:val="000000"/>
          <w:szCs w:val="24"/>
        </w:rPr>
        <w:t xml:space="preserve">(EMITIENDO VOTO PARTICULAR)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8A304E">
        <w:rPr>
          <w:rFonts w:eastAsia="Palatino Linotype" w:cs="Palatino Linotype"/>
          <w:color w:val="000000"/>
          <w:szCs w:val="24"/>
        </w:rPr>
        <w:t>QUINTA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8A304E">
        <w:rPr>
          <w:rFonts w:eastAsia="Palatino Linotype" w:cs="Palatino Linotype"/>
          <w:color w:val="000000"/>
          <w:szCs w:val="24"/>
        </w:rPr>
        <w:t>DOCE</w:t>
      </w:r>
      <w:r w:rsidR="00B43890">
        <w:rPr>
          <w:rFonts w:eastAsia="Palatino Linotype" w:cs="Palatino Linotype"/>
          <w:color w:val="000000"/>
          <w:szCs w:val="24"/>
        </w:rPr>
        <w:t xml:space="preserve"> DE FEBRERO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E31FF1">
        <w:rPr>
          <w:rFonts w:eastAsia="Palatino Linotype" w:cs="Palatino Linotype"/>
          <w:color w:val="000000"/>
          <w:szCs w:val="24"/>
        </w:rPr>
        <w:t>-----</w:t>
      </w:r>
      <w:r w:rsidR="00E2232B">
        <w:rPr>
          <w:rFonts w:eastAsia="Palatino Linotype" w:cs="Palatino Linotype"/>
          <w:color w:val="000000"/>
          <w:szCs w:val="24"/>
        </w:rPr>
        <w:t>--------------------------------------------------------------------------------------------------------------------------------------------------------------------------------------------------------------------------------------------------------------------------------------------------------------------</w:t>
      </w:r>
    </w:p>
    <w:p w14:paraId="4DA57669" w14:textId="77777777"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Pr="44E9108F">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98075" w14:textId="77777777" w:rsidR="00264F58" w:rsidRDefault="00264F58" w:rsidP="00F2498E">
      <w:pPr>
        <w:spacing w:line="240" w:lineRule="auto"/>
      </w:pPr>
      <w:r>
        <w:separator/>
      </w:r>
    </w:p>
  </w:endnote>
  <w:endnote w:type="continuationSeparator" w:id="0">
    <w:p w14:paraId="7843BD35" w14:textId="77777777" w:rsidR="00264F58" w:rsidRDefault="00264F58" w:rsidP="00F2498E">
      <w:pPr>
        <w:spacing w:line="240" w:lineRule="auto"/>
      </w:pPr>
      <w:r>
        <w:continuationSeparator/>
      </w:r>
    </w:p>
  </w:endnote>
  <w:endnote w:type="continuationNotice" w:id="1">
    <w:p w14:paraId="7D109083" w14:textId="77777777" w:rsidR="00264F58" w:rsidRDefault="00264F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012F8B" w:rsidRPr="00871A91" w:rsidRDefault="00012F8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01403">
      <w:rPr>
        <w:rFonts w:ascii="Palatino Linotype" w:hAnsi="Palatino Linotype"/>
        <w:b/>
        <w:bCs/>
        <w:noProof/>
        <w:sz w:val="20"/>
      </w:rPr>
      <w:t>4</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01403">
      <w:rPr>
        <w:rFonts w:ascii="Palatino Linotype" w:hAnsi="Palatino Linotype"/>
        <w:b/>
        <w:bCs/>
        <w:noProof/>
        <w:sz w:val="20"/>
      </w:rPr>
      <w:t>36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012F8B" w:rsidRPr="00871A91" w:rsidRDefault="00012F8B"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0140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01403">
      <w:rPr>
        <w:rFonts w:ascii="Palatino Linotype" w:hAnsi="Palatino Linotype"/>
        <w:b/>
        <w:bCs/>
        <w:noProof/>
        <w:sz w:val="20"/>
      </w:rPr>
      <w:t>36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99626" w14:textId="77777777" w:rsidR="00264F58" w:rsidRDefault="00264F58" w:rsidP="00F2498E">
      <w:pPr>
        <w:spacing w:line="240" w:lineRule="auto"/>
      </w:pPr>
      <w:r>
        <w:separator/>
      </w:r>
    </w:p>
  </w:footnote>
  <w:footnote w:type="continuationSeparator" w:id="0">
    <w:p w14:paraId="03DFD213" w14:textId="77777777" w:rsidR="00264F58" w:rsidRDefault="00264F58" w:rsidP="00F2498E">
      <w:pPr>
        <w:spacing w:line="240" w:lineRule="auto"/>
      </w:pPr>
      <w:r>
        <w:continuationSeparator/>
      </w:r>
    </w:p>
  </w:footnote>
  <w:footnote w:type="continuationNotice" w:id="1">
    <w:p w14:paraId="3523FADA" w14:textId="77777777" w:rsidR="00264F58" w:rsidRDefault="00264F58">
      <w:pPr>
        <w:spacing w:line="240" w:lineRule="auto"/>
      </w:pPr>
    </w:p>
  </w:footnote>
  <w:footnote w:id="2">
    <w:p w14:paraId="2BCE50A0" w14:textId="77777777" w:rsidR="00012F8B" w:rsidRPr="0031280C" w:rsidRDefault="00012F8B"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012F8B" w:rsidRPr="0031280C" w:rsidRDefault="00012F8B"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012F8B" w:rsidRPr="0031280C" w:rsidRDefault="00012F8B"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012F8B" w:rsidRPr="0031280C" w:rsidRDefault="00012F8B"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14CEE223" w14:textId="68DA7B65" w:rsidR="00E14CCB" w:rsidRPr="003C589C" w:rsidRDefault="00E14CCB" w:rsidP="00E14CCB">
      <w:pPr>
        <w:pStyle w:val="Textonotapie"/>
        <w:rPr>
          <w:sz w:val="18"/>
          <w:lang w:val="es-MX"/>
        </w:rPr>
      </w:pPr>
      <w:r w:rsidRPr="003C589C">
        <w:rPr>
          <w:rStyle w:val="Refdenotaalpie"/>
          <w:sz w:val="18"/>
        </w:rPr>
        <w:footnoteRef/>
      </w:r>
      <w:r w:rsidRPr="003C589C">
        <w:rPr>
          <w:sz w:val="18"/>
        </w:rPr>
        <w:t xml:space="preserve"> </w:t>
      </w:r>
      <w:hyperlink r:id="rId3" w:history="1">
        <w:r w:rsidR="00A73CF9" w:rsidRPr="00DF141F">
          <w:rPr>
            <w:rStyle w:val="Hipervnculo"/>
            <w:sz w:val="18"/>
          </w:rPr>
          <w:t>https://24-horas.mx/mexico/politica/gobernadores/edomex/ecatepec-concluye-la-perforacion-de-dos-pozos-de-agua-en-ciudad-azteca-y-san-agustin/</w:t>
        </w:r>
      </w:hyperlink>
      <w:r w:rsidR="00A73CF9">
        <w:rPr>
          <w:sz w:val="18"/>
        </w:rPr>
        <w:t xml:space="preserve"> </w:t>
      </w:r>
    </w:p>
  </w:footnote>
  <w:footnote w:id="4">
    <w:p w14:paraId="7516B846" w14:textId="77777777" w:rsidR="00E31FF1" w:rsidRDefault="00E31FF1" w:rsidP="00E31FF1">
      <w:pPr>
        <w:pStyle w:val="Textonotapie"/>
      </w:pPr>
      <w:r>
        <w:rPr>
          <w:rStyle w:val="Refdenotaalpie"/>
        </w:rPr>
        <w:footnoteRef/>
      </w:r>
      <w:r>
        <w:t xml:space="preserve"> </w:t>
      </w:r>
      <w:r>
        <w:rPr>
          <w:rFonts w:eastAsia="MS Mincho" w:cs="Arial"/>
          <w:sz w:val="16"/>
          <w:szCs w:val="16"/>
        </w:rPr>
        <w:t xml:space="preserve">BURGOA ORIHUELA Ignacio. </w:t>
      </w:r>
      <w:r>
        <w:rPr>
          <w:rFonts w:eastAsia="MS Mincho" w:cs="Arial"/>
          <w:i/>
          <w:sz w:val="16"/>
          <w:szCs w:val="16"/>
        </w:rPr>
        <w:t>Diccionario De Derecho Constitucional, Garantías y Amparo</w:t>
      </w:r>
      <w:r>
        <w:rPr>
          <w:rFonts w:eastAsia="MS Mincho" w:cs="Arial"/>
          <w:sz w:val="16"/>
          <w:szCs w:val="16"/>
        </w:rPr>
        <w:t>. Ed. Porrúa, S.A., México. 1992. p. 115.</w:t>
      </w:r>
    </w:p>
  </w:footnote>
  <w:footnote w:id="5">
    <w:p w14:paraId="03A8491F" w14:textId="77777777" w:rsidR="00E31FF1" w:rsidRDefault="00E31FF1" w:rsidP="00E31FF1">
      <w:pPr>
        <w:pStyle w:val="Textonotapie"/>
      </w:pPr>
      <w:r>
        <w:rPr>
          <w:rStyle w:val="Refdenotaalpie"/>
        </w:rPr>
        <w:footnoteRef/>
      </w:r>
      <w:r>
        <w:t xml:space="preserve"> </w:t>
      </w:r>
      <w:r>
        <w:rPr>
          <w:rFonts w:eastAsia="MS Mincho" w:cs="Arial"/>
          <w:sz w:val="16"/>
          <w:szCs w:val="16"/>
          <w:lang w:eastAsia="es-ES"/>
        </w:rPr>
        <w:t xml:space="preserve">CIENFUEGOS SALGADO David. </w:t>
      </w:r>
      <w:r>
        <w:rPr>
          <w:rFonts w:eastAsia="MS Mincho" w:cs="Arial"/>
          <w:i/>
          <w:sz w:val="16"/>
          <w:szCs w:val="16"/>
          <w:lang w:eastAsia="es-ES"/>
        </w:rPr>
        <w:t xml:space="preserve">El Derecho de Petición en México. </w:t>
      </w:r>
      <w:r>
        <w:rPr>
          <w:rFonts w:eastAsia="MS Mincho" w:cs="Arial"/>
          <w:sz w:val="16"/>
          <w:szCs w:val="16"/>
          <w:lang w:eastAsia="es-ES"/>
        </w:rPr>
        <w:t>Ed. Instituto de Investigaciones Jurídica UNAM. México 2004. p. 31</w:t>
      </w:r>
    </w:p>
  </w:footnote>
  <w:footnote w:id="6">
    <w:p w14:paraId="6A09EF1E" w14:textId="77777777" w:rsidR="00E31FF1" w:rsidRDefault="00E31FF1" w:rsidP="00E31FF1">
      <w:pPr>
        <w:pStyle w:val="Textonotapie"/>
      </w:pPr>
      <w:r>
        <w:rPr>
          <w:rStyle w:val="Refdenotaalpie"/>
        </w:rPr>
        <w:footnoteRef/>
      </w:r>
      <w:r>
        <w:t xml:space="preserve"> </w:t>
      </w:r>
      <w:r>
        <w:rPr>
          <w:rFonts w:eastAsia="MS Mincho" w:cs="Arial"/>
          <w:sz w:val="16"/>
          <w:szCs w:val="16"/>
          <w:lang w:eastAsia="es-ES"/>
        </w:rPr>
        <w:t xml:space="preserve">ROBLES HERNÁNDEZ José Guadalupe. </w:t>
      </w:r>
      <w:r>
        <w:rPr>
          <w:rFonts w:eastAsia="MS Mincho" w:cs="Arial"/>
          <w:i/>
          <w:sz w:val="16"/>
          <w:szCs w:val="16"/>
          <w:lang w:eastAsia="es-ES"/>
        </w:rPr>
        <w:t xml:space="preserve">Derecho de la Información y Comunicación Pública. </w:t>
      </w:r>
      <w:r>
        <w:rPr>
          <w:rFonts w:eastAsia="MS Mincho" w:cs="Arial"/>
          <w:sz w:val="16"/>
          <w:szCs w:val="16"/>
          <w:lang w:eastAsia="es-ES"/>
        </w:rPr>
        <w:t>Ed. Universidad de Occidente. México. 2004, p. 72</w:t>
      </w:r>
    </w:p>
  </w:footnote>
  <w:footnote w:id="7">
    <w:p w14:paraId="1A274F55" w14:textId="77777777" w:rsidR="00E31FF1" w:rsidRDefault="00E31FF1" w:rsidP="00E31FF1">
      <w:pPr>
        <w:pStyle w:val="Textonotapie"/>
      </w:pPr>
      <w:r>
        <w:rPr>
          <w:rStyle w:val="Refdenotaalpie"/>
        </w:rPr>
        <w:footnoteRef/>
      </w:r>
      <w:r>
        <w:t xml:space="preserve"> </w:t>
      </w:r>
      <w:r>
        <w:rPr>
          <w:rFonts w:eastAsia="MS Mincho" w:cs="Arial"/>
          <w:sz w:val="16"/>
          <w:szCs w:val="16"/>
          <w:lang w:eastAsia="es-ES"/>
        </w:rPr>
        <w:t xml:space="preserve">VILLANUEVA </w:t>
      </w:r>
      <w:proofErr w:type="spellStart"/>
      <w:r>
        <w:rPr>
          <w:rFonts w:eastAsia="MS Mincho" w:cs="Arial"/>
          <w:sz w:val="16"/>
          <w:szCs w:val="16"/>
          <w:lang w:eastAsia="es-ES"/>
        </w:rPr>
        <w:t>VILLANUEVA</w:t>
      </w:r>
      <w:proofErr w:type="spellEnd"/>
      <w:r>
        <w:rPr>
          <w:rFonts w:eastAsia="MS Mincho" w:cs="Arial"/>
          <w:sz w:val="16"/>
          <w:szCs w:val="16"/>
          <w:lang w:eastAsia="es-ES"/>
        </w:rPr>
        <w:t xml:space="preserve"> Ernesto. Derecho de la Información, Ed. Porrúa. </w:t>
      </w:r>
      <w:r>
        <w:rPr>
          <w:rFonts w:eastAsia="MS Mincho" w:cs="Arial"/>
          <w:sz w:val="16"/>
          <w:szCs w:val="16"/>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12F8B" w:rsidRDefault="00F01403">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12F8B" w:rsidRPr="00B17577" w14:paraId="37B9EBDE" w14:textId="77777777" w:rsidTr="003938ED">
      <w:trPr>
        <w:trHeight w:val="227"/>
      </w:trPr>
      <w:tc>
        <w:tcPr>
          <w:tcW w:w="5103" w:type="dxa"/>
          <w:hideMark/>
        </w:tcPr>
        <w:p w14:paraId="4964FBC5" w14:textId="54CDA645" w:rsidR="00012F8B" w:rsidRPr="00096248" w:rsidRDefault="00012F8B"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7B11AD53" w:rsidR="00012F8B" w:rsidRPr="00096248" w:rsidRDefault="00012F8B" w:rsidP="00011C4D">
          <w:pPr>
            <w:spacing w:after="120" w:line="240" w:lineRule="auto"/>
            <w:ind w:right="71"/>
            <w:jc w:val="right"/>
            <w:rPr>
              <w:rFonts w:cs="Arial"/>
              <w:b/>
              <w:szCs w:val="24"/>
            </w:rPr>
          </w:pPr>
          <w:r>
            <w:rPr>
              <w:rFonts w:cs="Arial"/>
              <w:b/>
              <w:bCs/>
              <w:szCs w:val="24"/>
            </w:rPr>
            <w:t>00165/INFOEM/IP/RR/2025</w:t>
          </w:r>
        </w:p>
      </w:tc>
    </w:tr>
    <w:tr w:rsidR="00012F8B" w14:paraId="7591D3C9" w14:textId="77777777" w:rsidTr="003938ED">
      <w:trPr>
        <w:trHeight w:val="242"/>
      </w:trPr>
      <w:tc>
        <w:tcPr>
          <w:tcW w:w="5103" w:type="dxa"/>
          <w:hideMark/>
        </w:tcPr>
        <w:p w14:paraId="729A65A8" w14:textId="77777777" w:rsidR="00012F8B" w:rsidRPr="00096248" w:rsidRDefault="00012F8B"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7208E3E" w:rsidR="00012F8B" w:rsidRPr="00096248" w:rsidRDefault="00012F8B" w:rsidP="00011C4D">
          <w:pPr>
            <w:spacing w:after="120" w:line="240" w:lineRule="auto"/>
            <w:ind w:left="-81" w:right="71"/>
            <w:jc w:val="right"/>
            <w:rPr>
              <w:rFonts w:cs="Arial"/>
              <w:szCs w:val="24"/>
            </w:rPr>
          </w:pPr>
          <w:r>
            <w:rPr>
              <w:rFonts w:cs="Arial"/>
              <w:szCs w:val="24"/>
            </w:rPr>
            <w:t>Sistema de Agua Potable, Alcantarillado y Saneamiento de Ecatepec de Morelos</w:t>
          </w:r>
        </w:p>
      </w:tc>
    </w:tr>
    <w:tr w:rsidR="00012F8B" w:rsidRPr="00F63239" w14:paraId="037E914D" w14:textId="77777777" w:rsidTr="003938ED">
      <w:trPr>
        <w:trHeight w:val="342"/>
      </w:trPr>
      <w:tc>
        <w:tcPr>
          <w:tcW w:w="5103" w:type="dxa"/>
          <w:hideMark/>
        </w:tcPr>
        <w:p w14:paraId="7676B68F" w14:textId="64D69EAF" w:rsidR="00012F8B" w:rsidRPr="00096248" w:rsidRDefault="00012F8B"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012F8B" w:rsidRDefault="00012F8B"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012F8B" w:rsidRPr="00711916" w:rsidRDefault="00012F8B" w:rsidP="00011C4D">
          <w:pPr>
            <w:spacing w:after="120" w:line="240" w:lineRule="auto"/>
            <w:ind w:left="-486" w:right="71" w:firstLine="567"/>
            <w:jc w:val="right"/>
            <w:rPr>
              <w:rFonts w:cs="Arial"/>
              <w:sz w:val="2"/>
              <w:szCs w:val="2"/>
            </w:rPr>
          </w:pPr>
        </w:p>
      </w:tc>
    </w:tr>
  </w:tbl>
  <w:p w14:paraId="2998DBFD" w14:textId="25A9F426" w:rsidR="00012F8B" w:rsidRPr="00871A91" w:rsidRDefault="00F01403">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012F8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12F8B" w14:paraId="0F9FE9B6" w14:textId="77777777" w:rsidTr="70652167">
      <w:trPr>
        <w:trHeight w:val="227"/>
      </w:trPr>
      <w:tc>
        <w:tcPr>
          <w:tcW w:w="5103" w:type="dxa"/>
          <w:hideMark/>
        </w:tcPr>
        <w:p w14:paraId="6D1D9D71" w14:textId="11150E5A" w:rsidR="00012F8B" w:rsidRPr="00663A37" w:rsidRDefault="00012F8B"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B07D46D" w:rsidR="00012F8B" w:rsidRPr="00C81ECD" w:rsidRDefault="00012F8B" w:rsidP="00011C4D">
          <w:pPr>
            <w:spacing w:after="120" w:line="240" w:lineRule="auto"/>
            <w:ind w:left="-486" w:right="68" w:firstLine="558"/>
            <w:jc w:val="right"/>
            <w:rPr>
              <w:rFonts w:cs="Arial"/>
              <w:b/>
              <w:szCs w:val="24"/>
            </w:rPr>
          </w:pPr>
          <w:r>
            <w:rPr>
              <w:rFonts w:cs="Arial"/>
              <w:b/>
              <w:bCs/>
              <w:szCs w:val="24"/>
            </w:rPr>
            <w:t>00165/INFOEM/IP/RR/2025</w:t>
          </w:r>
        </w:p>
      </w:tc>
    </w:tr>
    <w:tr w:rsidR="00012F8B" w:rsidRPr="001F57CD" w14:paraId="1377D264" w14:textId="77777777" w:rsidTr="70652167">
      <w:trPr>
        <w:trHeight w:val="196"/>
      </w:trPr>
      <w:tc>
        <w:tcPr>
          <w:tcW w:w="5103" w:type="dxa"/>
          <w:hideMark/>
        </w:tcPr>
        <w:p w14:paraId="04D597A1" w14:textId="77777777" w:rsidR="00012F8B" w:rsidRPr="00663A37" w:rsidRDefault="00012F8B"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57B55EF3" w:rsidR="00012F8B" w:rsidRPr="00663A37" w:rsidRDefault="00F01403" w:rsidP="70652167">
          <w:pPr>
            <w:spacing w:after="120" w:line="240" w:lineRule="auto"/>
            <w:ind w:right="68"/>
            <w:jc w:val="right"/>
            <w:rPr>
              <w:rFonts w:cs="Arial"/>
              <w:lang w:val="es-ES"/>
            </w:rPr>
          </w:pPr>
          <w:r>
            <w:rPr>
              <w:rFonts w:cs="Arial"/>
              <w:lang w:val="es-ES"/>
            </w:rPr>
            <w:t>XXXXXXXXXXXXXXXXX</w:t>
          </w:r>
        </w:p>
      </w:tc>
    </w:tr>
    <w:tr w:rsidR="00012F8B" w14:paraId="4DC11993" w14:textId="77777777" w:rsidTr="70652167">
      <w:trPr>
        <w:trHeight w:val="242"/>
      </w:trPr>
      <w:tc>
        <w:tcPr>
          <w:tcW w:w="5103" w:type="dxa"/>
          <w:hideMark/>
        </w:tcPr>
        <w:p w14:paraId="76CEF1B5" w14:textId="77777777" w:rsidR="00012F8B" w:rsidRPr="00663A37" w:rsidRDefault="00012F8B"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D9022B7" w:rsidR="00012F8B" w:rsidRPr="00663A37" w:rsidRDefault="00012F8B" w:rsidP="00771E23">
          <w:pPr>
            <w:spacing w:after="120" w:line="240" w:lineRule="auto"/>
            <w:ind w:left="-70" w:right="68"/>
            <w:jc w:val="right"/>
            <w:rPr>
              <w:rFonts w:cs="Arial"/>
              <w:szCs w:val="24"/>
            </w:rPr>
          </w:pPr>
          <w:r>
            <w:rPr>
              <w:rFonts w:cs="Arial"/>
              <w:szCs w:val="24"/>
            </w:rPr>
            <w:t>Sistema de Agua Potable, Alcantarillado y Saneamiento de Ecatepec de Morelos</w:t>
          </w:r>
        </w:p>
      </w:tc>
    </w:tr>
    <w:tr w:rsidR="00012F8B" w14:paraId="5C2B511D" w14:textId="77777777" w:rsidTr="70652167">
      <w:trPr>
        <w:trHeight w:val="342"/>
      </w:trPr>
      <w:tc>
        <w:tcPr>
          <w:tcW w:w="5103" w:type="dxa"/>
          <w:hideMark/>
        </w:tcPr>
        <w:p w14:paraId="03FEF68C" w14:textId="45E91CF4" w:rsidR="00012F8B" w:rsidRPr="00663A37" w:rsidRDefault="00012F8B"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12F8B" w:rsidRPr="00663A37" w:rsidRDefault="00012F8B"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012F8B" w:rsidRPr="00871A91" w:rsidRDefault="00F01403">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95pt;margin-top:-152.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012F8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DD4204"/>
    <w:multiLevelType w:val="hybridMultilevel"/>
    <w:tmpl w:val="86D28D2E"/>
    <w:lvl w:ilvl="0" w:tplc="E6AACCD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4" w15:restartNumberingAfterBreak="0">
    <w:nsid w:val="39506B93"/>
    <w:multiLevelType w:val="hybridMultilevel"/>
    <w:tmpl w:val="4F4A45D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DDA20B8"/>
    <w:multiLevelType w:val="hybridMultilevel"/>
    <w:tmpl w:val="4F4A45D0"/>
    <w:lvl w:ilvl="0" w:tplc="E7F2E79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961D38"/>
    <w:multiLevelType w:val="hybridMultilevel"/>
    <w:tmpl w:val="AEB02456"/>
    <w:lvl w:ilvl="0" w:tplc="98601EF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6263D8E"/>
    <w:multiLevelType w:val="hybridMultilevel"/>
    <w:tmpl w:val="C0F03E04"/>
    <w:lvl w:ilvl="0" w:tplc="C298E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37"/>
  </w:num>
  <w:num w:numId="3">
    <w:abstractNumId w:val="12"/>
  </w:num>
  <w:num w:numId="4">
    <w:abstractNumId w:val="47"/>
  </w:num>
  <w:num w:numId="5">
    <w:abstractNumId w:val="5"/>
  </w:num>
  <w:num w:numId="6">
    <w:abstractNumId w:val="40"/>
  </w:num>
  <w:num w:numId="7">
    <w:abstractNumId w:val="11"/>
  </w:num>
  <w:num w:numId="8">
    <w:abstractNumId w:val="4"/>
  </w:num>
  <w:num w:numId="9">
    <w:abstractNumId w:val="20"/>
  </w:num>
  <w:num w:numId="10">
    <w:abstractNumId w:val="21"/>
  </w:num>
  <w:num w:numId="11">
    <w:abstractNumId w:val="51"/>
  </w:num>
  <w:num w:numId="12">
    <w:abstractNumId w:val="45"/>
  </w:num>
  <w:num w:numId="13">
    <w:abstractNumId w:val="31"/>
  </w:num>
  <w:num w:numId="14">
    <w:abstractNumId w:val="36"/>
  </w:num>
  <w:num w:numId="15">
    <w:abstractNumId w:val="17"/>
  </w:num>
  <w:num w:numId="16">
    <w:abstractNumId w:val="30"/>
  </w:num>
  <w:num w:numId="17">
    <w:abstractNumId w:val="14"/>
  </w:num>
  <w:num w:numId="18">
    <w:abstractNumId w:val="7"/>
  </w:num>
  <w:num w:numId="19">
    <w:abstractNumId w:val="8"/>
  </w:num>
  <w:num w:numId="20">
    <w:abstractNumId w:val="13"/>
  </w:num>
  <w:num w:numId="21">
    <w:abstractNumId w:val="23"/>
  </w:num>
  <w:num w:numId="22">
    <w:abstractNumId w:val="3"/>
  </w:num>
  <w:num w:numId="23">
    <w:abstractNumId w:val="33"/>
  </w:num>
  <w:num w:numId="24">
    <w:abstractNumId w:val="39"/>
  </w:num>
  <w:num w:numId="25">
    <w:abstractNumId w:val="46"/>
  </w:num>
  <w:num w:numId="26">
    <w:abstractNumId w:val="19"/>
  </w:num>
  <w:num w:numId="27">
    <w:abstractNumId w:val="42"/>
  </w:num>
  <w:num w:numId="28">
    <w:abstractNumId w:val="26"/>
  </w:num>
  <w:num w:numId="29">
    <w:abstractNumId w:val="22"/>
  </w:num>
  <w:num w:numId="30">
    <w:abstractNumId w:val="15"/>
  </w:num>
  <w:num w:numId="31">
    <w:abstractNumId w:val="34"/>
  </w:num>
  <w:num w:numId="32">
    <w:abstractNumId w:val="38"/>
  </w:num>
  <w:num w:numId="33">
    <w:abstractNumId w:val="6"/>
  </w:num>
  <w:num w:numId="34">
    <w:abstractNumId w:val="49"/>
  </w:num>
  <w:num w:numId="35">
    <w:abstractNumId w:val="52"/>
  </w:num>
  <w:num w:numId="36">
    <w:abstractNumId w:val="44"/>
  </w:num>
  <w:num w:numId="37">
    <w:abstractNumId w:val="9"/>
  </w:num>
  <w:num w:numId="38">
    <w:abstractNumId w:val="43"/>
  </w:num>
  <w:num w:numId="39">
    <w:abstractNumId w:val="10"/>
  </w:num>
  <w:num w:numId="40">
    <w:abstractNumId w:val="41"/>
  </w:num>
  <w:num w:numId="41">
    <w:abstractNumId w:val="48"/>
  </w:num>
  <w:num w:numId="42">
    <w:abstractNumId w:val="0"/>
  </w:num>
  <w:num w:numId="43">
    <w:abstractNumId w:val="2"/>
  </w:num>
  <w:num w:numId="44">
    <w:abstractNumId w:val="28"/>
  </w:num>
  <w:num w:numId="45">
    <w:abstractNumId w:val="18"/>
  </w:num>
  <w:num w:numId="46">
    <w:abstractNumId w:val="27"/>
  </w:num>
  <w:num w:numId="47">
    <w:abstractNumId w:val="50"/>
  </w:num>
  <w:num w:numId="48">
    <w:abstractNumId w:val="25"/>
  </w:num>
  <w:num w:numId="49">
    <w:abstractNumId w:val="53"/>
  </w:num>
  <w:num w:numId="50">
    <w:abstractNumId w:val="16"/>
  </w:num>
  <w:num w:numId="51">
    <w:abstractNumId w:val="29"/>
  </w:num>
  <w:num w:numId="52">
    <w:abstractNumId w:val="35"/>
  </w:num>
  <w:num w:numId="53">
    <w:abstractNumId w:val="24"/>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FF9"/>
    <w:rsid w:val="000739AF"/>
    <w:rsid w:val="00074118"/>
    <w:rsid w:val="00075586"/>
    <w:rsid w:val="00075997"/>
    <w:rsid w:val="00075D5E"/>
    <w:rsid w:val="00075FDC"/>
    <w:rsid w:val="00076332"/>
    <w:rsid w:val="00077748"/>
    <w:rsid w:val="00077A55"/>
    <w:rsid w:val="00077B53"/>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416A"/>
    <w:rsid w:val="000C51AF"/>
    <w:rsid w:val="000C539D"/>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93"/>
    <w:rsid w:val="000D3C8A"/>
    <w:rsid w:val="000D3DC4"/>
    <w:rsid w:val="000D5244"/>
    <w:rsid w:val="000D55D2"/>
    <w:rsid w:val="000D5634"/>
    <w:rsid w:val="000D56B9"/>
    <w:rsid w:val="000D5C00"/>
    <w:rsid w:val="000D609A"/>
    <w:rsid w:val="000D648C"/>
    <w:rsid w:val="000D66A1"/>
    <w:rsid w:val="000D7340"/>
    <w:rsid w:val="000D772A"/>
    <w:rsid w:val="000E06A3"/>
    <w:rsid w:val="000E0D32"/>
    <w:rsid w:val="000E195F"/>
    <w:rsid w:val="000E1FD4"/>
    <w:rsid w:val="000E27CE"/>
    <w:rsid w:val="000E3487"/>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40181"/>
    <w:rsid w:val="0014092A"/>
    <w:rsid w:val="00140A63"/>
    <w:rsid w:val="00142AF7"/>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23E3"/>
    <w:rsid w:val="00182FC0"/>
    <w:rsid w:val="001834D9"/>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773B"/>
    <w:rsid w:val="001B0259"/>
    <w:rsid w:val="001B0262"/>
    <w:rsid w:val="001B0D9E"/>
    <w:rsid w:val="001B11CB"/>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A71"/>
    <w:rsid w:val="001C4CBF"/>
    <w:rsid w:val="001C54A1"/>
    <w:rsid w:val="001C5CD0"/>
    <w:rsid w:val="001C6C3D"/>
    <w:rsid w:val="001C72C0"/>
    <w:rsid w:val="001C7347"/>
    <w:rsid w:val="001C7400"/>
    <w:rsid w:val="001C7697"/>
    <w:rsid w:val="001C7C31"/>
    <w:rsid w:val="001D1B77"/>
    <w:rsid w:val="001D225B"/>
    <w:rsid w:val="001D32FC"/>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4613"/>
    <w:rsid w:val="00264CA1"/>
    <w:rsid w:val="00264F58"/>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51B8"/>
    <w:rsid w:val="002A564E"/>
    <w:rsid w:val="002A5ADD"/>
    <w:rsid w:val="002A5FDF"/>
    <w:rsid w:val="002A613A"/>
    <w:rsid w:val="002A6FCE"/>
    <w:rsid w:val="002A7172"/>
    <w:rsid w:val="002A7501"/>
    <w:rsid w:val="002B042B"/>
    <w:rsid w:val="002B0EA1"/>
    <w:rsid w:val="002B1DAC"/>
    <w:rsid w:val="002B317E"/>
    <w:rsid w:val="002B3983"/>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5101"/>
    <w:rsid w:val="002F52C1"/>
    <w:rsid w:val="002F5C83"/>
    <w:rsid w:val="002F713F"/>
    <w:rsid w:val="002F799E"/>
    <w:rsid w:val="002F7A64"/>
    <w:rsid w:val="002F7D3E"/>
    <w:rsid w:val="002F7ED4"/>
    <w:rsid w:val="00300919"/>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EBD"/>
    <w:rsid w:val="00324709"/>
    <w:rsid w:val="00324F09"/>
    <w:rsid w:val="00325487"/>
    <w:rsid w:val="0032597C"/>
    <w:rsid w:val="00325BCB"/>
    <w:rsid w:val="00325C6E"/>
    <w:rsid w:val="0032659A"/>
    <w:rsid w:val="003265D6"/>
    <w:rsid w:val="003275F8"/>
    <w:rsid w:val="0033070B"/>
    <w:rsid w:val="00330748"/>
    <w:rsid w:val="00330C73"/>
    <w:rsid w:val="00331513"/>
    <w:rsid w:val="00331ECA"/>
    <w:rsid w:val="0033204C"/>
    <w:rsid w:val="0033491A"/>
    <w:rsid w:val="00334F21"/>
    <w:rsid w:val="00335A61"/>
    <w:rsid w:val="0033687B"/>
    <w:rsid w:val="00337088"/>
    <w:rsid w:val="00337638"/>
    <w:rsid w:val="00337FA1"/>
    <w:rsid w:val="003403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2677"/>
    <w:rsid w:val="0035374E"/>
    <w:rsid w:val="0035393E"/>
    <w:rsid w:val="003540E4"/>
    <w:rsid w:val="00354255"/>
    <w:rsid w:val="00355981"/>
    <w:rsid w:val="00355BFE"/>
    <w:rsid w:val="00356AA0"/>
    <w:rsid w:val="003573D2"/>
    <w:rsid w:val="003579CE"/>
    <w:rsid w:val="00357A38"/>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6A48"/>
    <w:rsid w:val="00386F51"/>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E2F"/>
    <w:rsid w:val="00400374"/>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B87"/>
    <w:rsid w:val="00421DD1"/>
    <w:rsid w:val="004232C6"/>
    <w:rsid w:val="00423696"/>
    <w:rsid w:val="004236B2"/>
    <w:rsid w:val="004239F6"/>
    <w:rsid w:val="0042456A"/>
    <w:rsid w:val="00426124"/>
    <w:rsid w:val="00426222"/>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354B"/>
    <w:rsid w:val="00453687"/>
    <w:rsid w:val="004536F3"/>
    <w:rsid w:val="00453BC4"/>
    <w:rsid w:val="00454915"/>
    <w:rsid w:val="004558BD"/>
    <w:rsid w:val="00455AD8"/>
    <w:rsid w:val="004569FF"/>
    <w:rsid w:val="004579DC"/>
    <w:rsid w:val="00457A56"/>
    <w:rsid w:val="00460C5B"/>
    <w:rsid w:val="004610DA"/>
    <w:rsid w:val="004615D3"/>
    <w:rsid w:val="0046281E"/>
    <w:rsid w:val="00463909"/>
    <w:rsid w:val="004639C1"/>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6DD8"/>
    <w:rsid w:val="00487BBD"/>
    <w:rsid w:val="004900E8"/>
    <w:rsid w:val="004903B6"/>
    <w:rsid w:val="0049095E"/>
    <w:rsid w:val="00490C99"/>
    <w:rsid w:val="004918B5"/>
    <w:rsid w:val="0049216F"/>
    <w:rsid w:val="004928F5"/>
    <w:rsid w:val="004933FC"/>
    <w:rsid w:val="00493545"/>
    <w:rsid w:val="0049385F"/>
    <w:rsid w:val="00493B5B"/>
    <w:rsid w:val="00494029"/>
    <w:rsid w:val="00495065"/>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659"/>
    <w:rsid w:val="004E5C86"/>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3AB3"/>
    <w:rsid w:val="004F483D"/>
    <w:rsid w:val="004F4929"/>
    <w:rsid w:val="004F5285"/>
    <w:rsid w:val="004F60C9"/>
    <w:rsid w:val="004F662C"/>
    <w:rsid w:val="004F6671"/>
    <w:rsid w:val="004F78C4"/>
    <w:rsid w:val="00500E29"/>
    <w:rsid w:val="00501811"/>
    <w:rsid w:val="00501E92"/>
    <w:rsid w:val="005025C7"/>
    <w:rsid w:val="005039C0"/>
    <w:rsid w:val="00504B42"/>
    <w:rsid w:val="0050566F"/>
    <w:rsid w:val="00506DB2"/>
    <w:rsid w:val="00507EFE"/>
    <w:rsid w:val="0051074E"/>
    <w:rsid w:val="00510856"/>
    <w:rsid w:val="00510870"/>
    <w:rsid w:val="0051177C"/>
    <w:rsid w:val="00511AE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22B0"/>
    <w:rsid w:val="00524986"/>
    <w:rsid w:val="0052514C"/>
    <w:rsid w:val="00525F6D"/>
    <w:rsid w:val="0052655F"/>
    <w:rsid w:val="0052661E"/>
    <w:rsid w:val="00526627"/>
    <w:rsid w:val="00526694"/>
    <w:rsid w:val="00526B00"/>
    <w:rsid w:val="00526DCA"/>
    <w:rsid w:val="00527EF6"/>
    <w:rsid w:val="00531016"/>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458"/>
    <w:rsid w:val="00574506"/>
    <w:rsid w:val="00574D31"/>
    <w:rsid w:val="0057697F"/>
    <w:rsid w:val="005807A8"/>
    <w:rsid w:val="00580D15"/>
    <w:rsid w:val="00581587"/>
    <w:rsid w:val="00581A2E"/>
    <w:rsid w:val="00582613"/>
    <w:rsid w:val="0058344E"/>
    <w:rsid w:val="00584C51"/>
    <w:rsid w:val="00585165"/>
    <w:rsid w:val="005856B3"/>
    <w:rsid w:val="00585AA7"/>
    <w:rsid w:val="00587662"/>
    <w:rsid w:val="00587B1E"/>
    <w:rsid w:val="00587E84"/>
    <w:rsid w:val="005913E6"/>
    <w:rsid w:val="00592125"/>
    <w:rsid w:val="005944ED"/>
    <w:rsid w:val="0059574D"/>
    <w:rsid w:val="005964D7"/>
    <w:rsid w:val="00596D61"/>
    <w:rsid w:val="00596FB6"/>
    <w:rsid w:val="00597018"/>
    <w:rsid w:val="00597C02"/>
    <w:rsid w:val="00597C06"/>
    <w:rsid w:val="005A030B"/>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4E14"/>
    <w:rsid w:val="005B52A0"/>
    <w:rsid w:val="005B538B"/>
    <w:rsid w:val="005B543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2B07"/>
    <w:rsid w:val="00603988"/>
    <w:rsid w:val="0060429C"/>
    <w:rsid w:val="006055AB"/>
    <w:rsid w:val="0060623B"/>
    <w:rsid w:val="00606D46"/>
    <w:rsid w:val="006100FC"/>
    <w:rsid w:val="00610274"/>
    <w:rsid w:val="00610A95"/>
    <w:rsid w:val="006115F0"/>
    <w:rsid w:val="00611CEF"/>
    <w:rsid w:val="00613401"/>
    <w:rsid w:val="00613F4F"/>
    <w:rsid w:val="00614AA2"/>
    <w:rsid w:val="00614F26"/>
    <w:rsid w:val="0061516D"/>
    <w:rsid w:val="00615B10"/>
    <w:rsid w:val="006165FB"/>
    <w:rsid w:val="006168EB"/>
    <w:rsid w:val="00616DEB"/>
    <w:rsid w:val="00620CF2"/>
    <w:rsid w:val="00620DE2"/>
    <w:rsid w:val="00624255"/>
    <w:rsid w:val="00624E9E"/>
    <w:rsid w:val="0062573B"/>
    <w:rsid w:val="0062633E"/>
    <w:rsid w:val="006263D3"/>
    <w:rsid w:val="00626825"/>
    <w:rsid w:val="0062694E"/>
    <w:rsid w:val="00630030"/>
    <w:rsid w:val="0063016D"/>
    <w:rsid w:val="00630426"/>
    <w:rsid w:val="0063057C"/>
    <w:rsid w:val="00631753"/>
    <w:rsid w:val="00632B22"/>
    <w:rsid w:val="0063355F"/>
    <w:rsid w:val="006349BE"/>
    <w:rsid w:val="0063561E"/>
    <w:rsid w:val="006359FE"/>
    <w:rsid w:val="00635C2F"/>
    <w:rsid w:val="00635DA1"/>
    <w:rsid w:val="006364F4"/>
    <w:rsid w:val="00636EB3"/>
    <w:rsid w:val="00637679"/>
    <w:rsid w:val="006377A9"/>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378D"/>
    <w:rsid w:val="006538FC"/>
    <w:rsid w:val="00653B0F"/>
    <w:rsid w:val="00655007"/>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E0C"/>
    <w:rsid w:val="00673EAA"/>
    <w:rsid w:val="0067405E"/>
    <w:rsid w:val="006748F5"/>
    <w:rsid w:val="00675B61"/>
    <w:rsid w:val="00675D66"/>
    <w:rsid w:val="006761F3"/>
    <w:rsid w:val="00676D1D"/>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50D6"/>
    <w:rsid w:val="00696A11"/>
    <w:rsid w:val="00696FD6"/>
    <w:rsid w:val="00697B3A"/>
    <w:rsid w:val="006A04A9"/>
    <w:rsid w:val="006A1D05"/>
    <w:rsid w:val="006A281D"/>
    <w:rsid w:val="006A3246"/>
    <w:rsid w:val="006A3A42"/>
    <w:rsid w:val="006A4224"/>
    <w:rsid w:val="006A53BF"/>
    <w:rsid w:val="006A56F0"/>
    <w:rsid w:val="006A585F"/>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A23"/>
    <w:rsid w:val="006B7E1D"/>
    <w:rsid w:val="006C14E5"/>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3394"/>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4D8"/>
    <w:rsid w:val="00706383"/>
    <w:rsid w:val="00706D47"/>
    <w:rsid w:val="007070E1"/>
    <w:rsid w:val="00707E9C"/>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514D"/>
    <w:rsid w:val="00725C5A"/>
    <w:rsid w:val="007263E6"/>
    <w:rsid w:val="00726486"/>
    <w:rsid w:val="007264EA"/>
    <w:rsid w:val="00726D09"/>
    <w:rsid w:val="00726F49"/>
    <w:rsid w:val="0073008C"/>
    <w:rsid w:val="00730102"/>
    <w:rsid w:val="007304D0"/>
    <w:rsid w:val="00731482"/>
    <w:rsid w:val="007327E4"/>
    <w:rsid w:val="00732AB3"/>
    <w:rsid w:val="007332CF"/>
    <w:rsid w:val="007332E1"/>
    <w:rsid w:val="00733597"/>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A0DC1"/>
    <w:rsid w:val="007A0F05"/>
    <w:rsid w:val="007A1065"/>
    <w:rsid w:val="007A1154"/>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A790A"/>
    <w:rsid w:val="007B13B0"/>
    <w:rsid w:val="007B24C4"/>
    <w:rsid w:val="007B2759"/>
    <w:rsid w:val="007B28CF"/>
    <w:rsid w:val="007B363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31AD"/>
    <w:rsid w:val="007D4712"/>
    <w:rsid w:val="007D4AFF"/>
    <w:rsid w:val="007D5CDD"/>
    <w:rsid w:val="007D5D30"/>
    <w:rsid w:val="007D6294"/>
    <w:rsid w:val="007D6CF0"/>
    <w:rsid w:val="007D72D8"/>
    <w:rsid w:val="007D79C8"/>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56D0"/>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3CC"/>
    <w:rsid w:val="00863328"/>
    <w:rsid w:val="008635E0"/>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F8E"/>
    <w:rsid w:val="008A304E"/>
    <w:rsid w:val="008A382E"/>
    <w:rsid w:val="008A3E6F"/>
    <w:rsid w:val="008A56C3"/>
    <w:rsid w:val="008A637C"/>
    <w:rsid w:val="008A700E"/>
    <w:rsid w:val="008A76FD"/>
    <w:rsid w:val="008A7BBE"/>
    <w:rsid w:val="008A7EF2"/>
    <w:rsid w:val="008B003A"/>
    <w:rsid w:val="008B0626"/>
    <w:rsid w:val="008B06BA"/>
    <w:rsid w:val="008B0DFB"/>
    <w:rsid w:val="008B216E"/>
    <w:rsid w:val="008B23B5"/>
    <w:rsid w:val="008B2951"/>
    <w:rsid w:val="008B2BBB"/>
    <w:rsid w:val="008B340F"/>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E05B1"/>
    <w:rsid w:val="008E1B37"/>
    <w:rsid w:val="008E2254"/>
    <w:rsid w:val="008E2654"/>
    <w:rsid w:val="008E2AF5"/>
    <w:rsid w:val="008E2C34"/>
    <w:rsid w:val="008E35F3"/>
    <w:rsid w:val="008E4808"/>
    <w:rsid w:val="008E4929"/>
    <w:rsid w:val="008E4FF4"/>
    <w:rsid w:val="008E5682"/>
    <w:rsid w:val="008E5C69"/>
    <w:rsid w:val="008E6DB1"/>
    <w:rsid w:val="008E6ECA"/>
    <w:rsid w:val="008E7242"/>
    <w:rsid w:val="008F0FB4"/>
    <w:rsid w:val="008F1C22"/>
    <w:rsid w:val="008F2554"/>
    <w:rsid w:val="008F2C23"/>
    <w:rsid w:val="008F2D02"/>
    <w:rsid w:val="008F3C6D"/>
    <w:rsid w:val="008F47DC"/>
    <w:rsid w:val="008F50E6"/>
    <w:rsid w:val="008F52B5"/>
    <w:rsid w:val="008F635E"/>
    <w:rsid w:val="008F69A1"/>
    <w:rsid w:val="008F738E"/>
    <w:rsid w:val="008F7ACB"/>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D59"/>
    <w:rsid w:val="00926716"/>
    <w:rsid w:val="009308DA"/>
    <w:rsid w:val="00932101"/>
    <w:rsid w:val="00932A82"/>
    <w:rsid w:val="0093319A"/>
    <w:rsid w:val="00933540"/>
    <w:rsid w:val="0093396C"/>
    <w:rsid w:val="00933E6E"/>
    <w:rsid w:val="0093425F"/>
    <w:rsid w:val="00934877"/>
    <w:rsid w:val="009348BC"/>
    <w:rsid w:val="009353B8"/>
    <w:rsid w:val="00935439"/>
    <w:rsid w:val="009357CD"/>
    <w:rsid w:val="009357D5"/>
    <w:rsid w:val="00935CD9"/>
    <w:rsid w:val="0093698A"/>
    <w:rsid w:val="009372AB"/>
    <w:rsid w:val="00937432"/>
    <w:rsid w:val="009374E9"/>
    <w:rsid w:val="00937708"/>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6E0B"/>
    <w:rsid w:val="00986E68"/>
    <w:rsid w:val="00987C19"/>
    <w:rsid w:val="00990289"/>
    <w:rsid w:val="00990935"/>
    <w:rsid w:val="00990A99"/>
    <w:rsid w:val="00990AFD"/>
    <w:rsid w:val="00991001"/>
    <w:rsid w:val="00991069"/>
    <w:rsid w:val="00992771"/>
    <w:rsid w:val="0099397C"/>
    <w:rsid w:val="00994A07"/>
    <w:rsid w:val="00994A4C"/>
    <w:rsid w:val="009950AD"/>
    <w:rsid w:val="00996257"/>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616C"/>
    <w:rsid w:val="00A06896"/>
    <w:rsid w:val="00A07CA6"/>
    <w:rsid w:val="00A07E4D"/>
    <w:rsid w:val="00A10FD5"/>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E66"/>
    <w:rsid w:val="00A40FB6"/>
    <w:rsid w:val="00A418DB"/>
    <w:rsid w:val="00A42629"/>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41FE"/>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71E89"/>
    <w:rsid w:val="00A72970"/>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F5"/>
    <w:rsid w:val="00AA6C98"/>
    <w:rsid w:val="00AA7316"/>
    <w:rsid w:val="00AA78CE"/>
    <w:rsid w:val="00AA7F42"/>
    <w:rsid w:val="00AB0C12"/>
    <w:rsid w:val="00AB0FA7"/>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F115C"/>
    <w:rsid w:val="00AF434D"/>
    <w:rsid w:val="00AF4EE4"/>
    <w:rsid w:val="00AF5B98"/>
    <w:rsid w:val="00AF6B94"/>
    <w:rsid w:val="00B0026B"/>
    <w:rsid w:val="00B0036F"/>
    <w:rsid w:val="00B00A28"/>
    <w:rsid w:val="00B00C8E"/>
    <w:rsid w:val="00B02674"/>
    <w:rsid w:val="00B02AA5"/>
    <w:rsid w:val="00B045EC"/>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1B6A"/>
    <w:rsid w:val="00B21CD1"/>
    <w:rsid w:val="00B2248D"/>
    <w:rsid w:val="00B23256"/>
    <w:rsid w:val="00B244AA"/>
    <w:rsid w:val="00B24CF5"/>
    <w:rsid w:val="00B25441"/>
    <w:rsid w:val="00B26507"/>
    <w:rsid w:val="00B269CE"/>
    <w:rsid w:val="00B3055A"/>
    <w:rsid w:val="00B31920"/>
    <w:rsid w:val="00B31CD8"/>
    <w:rsid w:val="00B32535"/>
    <w:rsid w:val="00B3277B"/>
    <w:rsid w:val="00B32A9E"/>
    <w:rsid w:val="00B32B21"/>
    <w:rsid w:val="00B3370C"/>
    <w:rsid w:val="00B367AA"/>
    <w:rsid w:val="00B36B86"/>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620E"/>
    <w:rsid w:val="00B46CB0"/>
    <w:rsid w:val="00B4725D"/>
    <w:rsid w:val="00B47408"/>
    <w:rsid w:val="00B50BEE"/>
    <w:rsid w:val="00B52A3F"/>
    <w:rsid w:val="00B539AD"/>
    <w:rsid w:val="00B53BEF"/>
    <w:rsid w:val="00B5462A"/>
    <w:rsid w:val="00B54BC7"/>
    <w:rsid w:val="00B54E24"/>
    <w:rsid w:val="00B5606E"/>
    <w:rsid w:val="00B565AE"/>
    <w:rsid w:val="00B568C7"/>
    <w:rsid w:val="00B56C15"/>
    <w:rsid w:val="00B57348"/>
    <w:rsid w:val="00B61934"/>
    <w:rsid w:val="00B61E5E"/>
    <w:rsid w:val="00B625B5"/>
    <w:rsid w:val="00B629EA"/>
    <w:rsid w:val="00B62D2B"/>
    <w:rsid w:val="00B62DEC"/>
    <w:rsid w:val="00B63807"/>
    <w:rsid w:val="00B6426B"/>
    <w:rsid w:val="00B6581C"/>
    <w:rsid w:val="00B65D4D"/>
    <w:rsid w:val="00B6621C"/>
    <w:rsid w:val="00B66649"/>
    <w:rsid w:val="00B676F1"/>
    <w:rsid w:val="00B67741"/>
    <w:rsid w:val="00B67DF0"/>
    <w:rsid w:val="00B71399"/>
    <w:rsid w:val="00B720DB"/>
    <w:rsid w:val="00B75226"/>
    <w:rsid w:val="00B75683"/>
    <w:rsid w:val="00B75985"/>
    <w:rsid w:val="00B76050"/>
    <w:rsid w:val="00B7667D"/>
    <w:rsid w:val="00B76ACC"/>
    <w:rsid w:val="00B80785"/>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76A"/>
    <w:rsid w:val="00B962BB"/>
    <w:rsid w:val="00B967A7"/>
    <w:rsid w:val="00BA088E"/>
    <w:rsid w:val="00BA0A2D"/>
    <w:rsid w:val="00BA152C"/>
    <w:rsid w:val="00BA21B2"/>
    <w:rsid w:val="00BA2861"/>
    <w:rsid w:val="00BA3873"/>
    <w:rsid w:val="00BA441E"/>
    <w:rsid w:val="00BA636A"/>
    <w:rsid w:val="00BA6707"/>
    <w:rsid w:val="00BA7C0B"/>
    <w:rsid w:val="00BA7C85"/>
    <w:rsid w:val="00BB0F85"/>
    <w:rsid w:val="00BB1497"/>
    <w:rsid w:val="00BB16D5"/>
    <w:rsid w:val="00BB1940"/>
    <w:rsid w:val="00BB2A3A"/>
    <w:rsid w:val="00BB2E4D"/>
    <w:rsid w:val="00BB3445"/>
    <w:rsid w:val="00BB36D5"/>
    <w:rsid w:val="00BB404F"/>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1A"/>
    <w:rsid w:val="00BD3692"/>
    <w:rsid w:val="00BD3E45"/>
    <w:rsid w:val="00BD3ECE"/>
    <w:rsid w:val="00BD4316"/>
    <w:rsid w:val="00BD5782"/>
    <w:rsid w:val="00BD578A"/>
    <w:rsid w:val="00BD5EFA"/>
    <w:rsid w:val="00BD6710"/>
    <w:rsid w:val="00BD6C6F"/>
    <w:rsid w:val="00BD6DCD"/>
    <w:rsid w:val="00BD780A"/>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29B"/>
    <w:rsid w:val="00BE7A12"/>
    <w:rsid w:val="00BE7ADF"/>
    <w:rsid w:val="00BE7B81"/>
    <w:rsid w:val="00BE7CAE"/>
    <w:rsid w:val="00BE7D4F"/>
    <w:rsid w:val="00BF0862"/>
    <w:rsid w:val="00BF1D08"/>
    <w:rsid w:val="00BF26EE"/>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52E"/>
    <w:rsid w:val="00C5042D"/>
    <w:rsid w:val="00C510A7"/>
    <w:rsid w:val="00C52AC3"/>
    <w:rsid w:val="00C52FE5"/>
    <w:rsid w:val="00C532A4"/>
    <w:rsid w:val="00C536D2"/>
    <w:rsid w:val="00C54558"/>
    <w:rsid w:val="00C5499F"/>
    <w:rsid w:val="00C55359"/>
    <w:rsid w:val="00C558A4"/>
    <w:rsid w:val="00C559CD"/>
    <w:rsid w:val="00C57E04"/>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5C4F"/>
    <w:rsid w:val="00C76946"/>
    <w:rsid w:val="00C76CD4"/>
    <w:rsid w:val="00C77686"/>
    <w:rsid w:val="00C809F1"/>
    <w:rsid w:val="00C80B05"/>
    <w:rsid w:val="00C80D5B"/>
    <w:rsid w:val="00C8138B"/>
    <w:rsid w:val="00C81AD2"/>
    <w:rsid w:val="00C81CD7"/>
    <w:rsid w:val="00C81ECD"/>
    <w:rsid w:val="00C82268"/>
    <w:rsid w:val="00C83AEC"/>
    <w:rsid w:val="00C83E44"/>
    <w:rsid w:val="00C84348"/>
    <w:rsid w:val="00C8742E"/>
    <w:rsid w:val="00C8778D"/>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AD6"/>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27E"/>
    <w:rsid w:val="00CF4606"/>
    <w:rsid w:val="00CF4CEF"/>
    <w:rsid w:val="00CF610C"/>
    <w:rsid w:val="00CF6431"/>
    <w:rsid w:val="00CF6491"/>
    <w:rsid w:val="00CF6592"/>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E06"/>
    <w:rsid w:val="00D1224D"/>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2B3E"/>
    <w:rsid w:val="00D93AD4"/>
    <w:rsid w:val="00D94948"/>
    <w:rsid w:val="00D94BE4"/>
    <w:rsid w:val="00D94F27"/>
    <w:rsid w:val="00D9531F"/>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86"/>
    <w:rsid w:val="00DD38A3"/>
    <w:rsid w:val="00DD406B"/>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4CCB"/>
    <w:rsid w:val="00E1701F"/>
    <w:rsid w:val="00E1736D"/>
    <w:rsid w:val="00E1746A"/>
    <w:rsid w:val="00E207AC"/>
    <w:rsid w:val="00E2095F"/>
    <w:rsid w:val="00E2168A"/>
    <w:rsid w:val="00E2232B"/>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1FF1"/>
    <w:rsid w:val="00E328C4"/>
    <w:rsid w:val="00E32B7F"/>
    <w:rsid w:val="00E3391B"/>
    <w:rsid w:val="00E34A4E"/>
    <w:rsid w:val="00E35198"/>
    <w:rsid w:val="00E35AA6"/>
    <w:rsid w:val="00E3733B"/>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4FF"/>
    <w:rsid w:val="00E90C8F"/>
    <w:rsid w:val="00E90E09"/>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48E"/>
    <w:rsid w:val="00EB5ECF"/>
    <w:rsid w:val="00EB5F05"/>
    <w:rsid w:val="00EB6396"/>
    <w:rsid w:val="00EB64E0"/>
    <w:rsid w:val="00EB65D1"/>
    <w:rsid w:val="00EB6B8E"/>
    <w:rsid w:val="00EC0F44"/>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0D2"/>
    <w:rsid w:val="00EF2B23"/>
    <w:rsid w:val="00EF3A01"/>
    <w:rsid w:val="00EF4D0F"/>
    <w:rsid w:val="00EF52F1"/>
    <w:rsid w:val="00EF5FF8"/>
    <w:rsid w:val="00EF6F58"/>
    <w:rsid w:val="00EF6FA1"/>
    <w:rsid w:val="00EF71A3"/>
    <w:rsid w:val="00EF7935"/>
    <w:rsid w:val="00F01403"/>
    <w:rsid w:val="00F01526"/>
    <w:rsid w:val="00F023A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523B"/>
    <w:rsid w:val="00F16039"/>
    <w:rsid w:val="00F1603A"/>
    <w:rsid w:val="00F163AC"/>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00E"/>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64E0"/>
    <w:rsid w:val="00F775A3"/>
    <w:rsid w:val="00F7795D"/>
    <w:rsid w:val="00F77D38"/>
    <w:rsid w:val="00F77F4D"/>
    <w:rsid w:val="00F809C6"/>
    <w:rsid w:val="00F81408"/>
    <w:rsid w:val="00F815F4"/>
    <w:rsid w:val="00F832E4"/>
    <w:rsid w:val="00F84205"/>
    <w:rsid w:val="00F86C5F"/>
    <w:rsid w:val="00F86D62"/>
    <w:rsid w:val="00F874BB"/>
    <w:rsid w:val="00F90DA5"/>
    <w:rsid w:val="00F9118F"/>
    <w:rsid w:val="00F914C6"/>
    <w:rsid w:val="00F923FB"/>
    <w:rsid w:val="00F92B59"/>
    <w:rsid w:val="00F931A2"/>
    <w:rsid w:val="00F93236"/>
    <w:rsid w:val="00F95F2A"/>
    <w:rsid w:val="00F96410"/>
    <w:rsid w:val="00F96F86"/>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3254"/>
    <w:rsid w:val="00FB3596"/>
    <w:rsid w:val="00FB3D5B"/>
    <w:rsid w:val="00FB41FD"/>
    <w:rsid w:val="00FB4353"/>
    <w:rsid w:val="00FB4E64"/>
    <w:rsid w:val="00FB4F83"/>
    <w:rsid w:val="00FB5BF2"/>
    <w:rsid w:val="00FB6398"/>
    <w:rsid w:val="00FB665A"/>
    <w:rsid w:val="00FB6EAA"/>
    <w:rsid w:val="00FB6F5A"/>
    <w:rsid w:val="00FC16AB"/>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DFF"/>
    <w:rsid w:val="00FE30A0"/>
    <w:rsid w:val="00FE35A8"/>
    <w:rsid w:val="00FE4867"/>
    <w:rsid w:val="00FE571B"/>
    <w:rsid w:val="00FE599A"/>
    <w:rsid w:val="00FE663C"/>
    <w:rsid w:val="00FE76FD"/>
    <w:rsid w:val="00FE7B8E"/>
    <w:rsid w:val="00FF0847"/>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23740614"/>
    <w:rsid w:val="44E9108F"/>
    <w:rsid w:val="4AA4048D"/>
    <w:rsid w:val="5C35490E"/>
    <w:rsid w:val="70652167"/>
    <w:rsid w:val="75C3A8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7"/>
      </w:numPr>
    </w:pPr>
  </w:style>
  <w:style w:type="numbering" w:customStyle="1" w:styleId="Listaactual29">
    <w:name w:val="Lista actual29"/>
    <w:uiPriority w:val="99"/>
    <w:rsid w:val="00281167"/>
    <w:pPr>
      <w:numPr>
        <w:numId w:val="48"/>
      </w:numPr>
    </w:pPr>
  </w:style>
  <w:style w:type="numbering" w:customStyle="1" w:styleId="Listaactual30">
    <w:name w:val="Lista actual30"/>
    <w:uiPriority w:val="99"/>
    <w:rsid w:val="00555A84"/>
    <w:pPr>
      <w:numPr>
        <w:numId w:val="49"/>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24-horas.mx/mexico/politica/gobernadores/edomex/ecatepec-concluye-la-perforacion-de-dos-pozos-de-agua-en-ciudad-azteca-y-san-agustin/"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C1940-A224-4BB7-851D-99F9D4EE4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8732</Words>
  <Characters>48026</Characters>
  <Application>Microsoft Office Word</Application>
  <DocSecurity>0</DocSecurity>
  <Lines>400</Lines>
  <Paragraphs>113</Paragraphs>
  <ScaleCrop>false</ScaleCrop>
  <Company/>
  <LinksUpToDate>false</LinksUpToDate>
  <CharactersWithSpaces>56645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237</cp:revision>
  <cp:lastPrinted>2019-06-13T16:30:00Z</cp:lastPrinted>
  <dcterms:created xsi:type="dcterms:W3CDTF">2024-10-14T18:17:00Z</dcterms:created>
  <dcterms:modified xsi:type="dcterms:W3CDTF">2025-02-25T21:42:00Z</dcterms:modified>
</cp:coreProperties>
</file>