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de fecha tres de septiembre de dos mil veinticinco. </w:t>
      </w:r>
    </w:p>
    <w:p w:rsidR="00000000" w:rsidDel="00000000" w:rsidP="00000000" w:rsidRDefault="00000000" w:rsidRPr="00000000" w14:paraId="00000002">
      <w:pPr>
        <w:spacing w:line="360" w:lineRule="auto"/>
        <w:ind w:right="49"/>
        <w:jc w:val="cente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Visto el expediente relativo al recurso de revisión </w:t>
      </w:r>
      <w:r w:rsidDel="00000000" w:rsidR="00000000" w:rsidRPr="00000000">
        <w:rPr>
          <w:rFonts w:ascii="Palatino Linotype" w:cs="Palatino Linotype" w:eastAsia="Palatino Linotype" w:hAnsi="Palatino Linotype"/>
          <w:b w:val="1"/>
          <w:sz w:val="22"/>
          <w:szCs w:val="22"/>
          <w:rtl w:val="0"/>
        </w:rPr>
        <w:t xml:space="preserve">05139/INFOEM/IP/RR/2025</w:t>
      </w:r>
      <w:r w:rsidDel="00000000" w:rsidR="00000000" w:rsidRPr="00000000">
        <w:rPr>
          <w:rFonts w:ascii="Palatino Linotype" w:cs="Palatino Linotype" w:eastAsia="Palatino Linotype" w:hAnsi="Palatino Linotype"/>
          <w:sz w:val="22"/>
          <w:szCs w:val="22"/>
          <w:rtl w:val="0"/>
        </w:rPr>
        <w:t xml:space="preserve">, interpuesto por </w:t>
      </w:r>
      <w:r w:rsidDel="00000000" w:rsidR="00000000" w:rsidRPr="00000000">
        <w:rPr>
          <w:rFonts w:ascii="Palatino Linotype" w:cs="Palatino Linotype" w:eastAsia="Palatino Linotype" w:hAnsi="Palatino Linotype"/>
          <w:b w:val="1"/>
          <w:sz w:val="22"/>
          <w:szCs w:val="22"/>
          <w:rtl w:val="0"/>
        </w:rPr>
        <w:t xml:space="preserve">un particular que no proporcionó nombre o seudónimo</w:t>
      </w:r>
      <w:r w:rsidDel="00000000" w:rsidR="00000000" w:rsidRPr="00000000">
        <w:rPr>
          <w:rFonts w:ascii="Palatino Linotype" w:cs="Palatino Linotype" w:eastAsia="Palatino Linotype" w:hAnsi="Palatino Linotype"/>
          <w:sz w:val="22"/>
          <w:szCs w:val="22"/>
          <w:rtl w:val="0"/>
        </w:rPr>
        <w:t xml:space="preserve">, al cual en lo sucesivo se le denominará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contra de la respuesta a su solicitud de información identificada con número de folio </w:t>
      </w:r>
      <w:r w:rsidDel="00000000" w:rsidR="00000000" w:rsidRPr="00000000">
        <w:rPr>
          <w:rFonts w:ascii="Palatino Linotype" w:cs="Palatino Linotype" w:eastAsia="Palatino Linotype" w:hAnsi="Palatino Linotype"/>
          <w:b w:val="1"/>
          <w:sz w:val="22"/>
          <w:szCs w:val="22"/>
          <w:rtl w:val="0"/>
        </w:rPr>
        <w:t xml:space="preserve">00194/ZINACANT/IP/2025</w:t>
      </w:r>
      <w:r w:rsidDel="00000000" w:rsidR="00000000" w:rsidRPr="00000000">
        <w:rPr>
          <w:rFonts w:ascii="Palatino Linotype" w:cs="Palatino Linotype" w:eastAsia="Palatino Linotype" w:hAnsi="Palatino Linotype"/>
          <w:sz w:val="22"/>
          <w:szCs w:val="22"/>
          <w:rtl w:val="0"/>
        </w:rPr>
        <w:t xml:space="preserve">proporcionada por parte del </w:t>
      </w:r>
      <w:r w:rsidDel="00000000" w:rsidR="00000000" w:rsidRPr="00000000">
        <w:rPr>
          <w:rFonts w:ascii="Palatino Linotype" w:cs="Palatino Linotype" w:eastAsia="Palatino Linotype" w:hAnsi="Palatino Linotype"/>
          <w:b w:val="1"/>
          <w:sz w:val="22"/>
          <w:szCs w:val="22"/>
          <w:rtl w:val="0"/>
        </w:rPr>
        <w:t xml:space="preserve">Ayuntamiento de Zinacantepec</w:t>
      </w:r>
      <w:r w:rsidDel="00000000" w:rsidR="00000000" w:rsidRPr="00000000">
        <w:rPr>
          <w:rFonts w:ascii="Palatino Linotype" w:cs="Palatino Linotype" w:eastAsia="Palatino Linotype" w:hAnsi="Palatino Linotype"/>
          <w:sz w:val="22"/>
          <w:szCs w:val="22"/>
          <w:rtl w:val="0"/>
        </w:rPr>
        <w:t xml:space="preserve">, en lo sucesivo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se procede a dictar la presente resolución, con base en los siguientes:</w:t>
      </w:r>
    </w:p>
    <w:p w:rsidR="00000000" w:rsidDel="00000000" w:rsidP="00000000" w:rsidRDefault="00000000" w:rsidRPr="00000000" w14:paraId="00000004">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5">
      <w:pPr>
        <w:spacing w:line="360" w:lineRule="auto"/>
        <w:ind w:right="49"/>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w:t>
        <w:tab/>
        <w:t xml:space="preserve">A N T E C E D E N T E S</w:t>
      </w:r>
    </w:p>
    <w:p w:rsidR="00000000" w:rsidDel="00000000" w:rsidP="00000000" w:rsidRDefault="00000000" w:rsidRPr="00000000" w14:paraId="00000006">
      <w:pPr>
        <w:spacing w:line="360" w:lineRule="auto"/>
        <w:ind w:right="49"/>
        <w:jc w:val="both"/>
        <w:rPr>
          <w:rFonts w:ascii="Palatino Linotype" w:cs="Palatino Linotype" w:eastAsia="Palatino Linotype" w:hAnsi="Palatino Linotype"/>
          <w:sz w:val="22"/>
          <w:szCs w:val="22"/>
        </w:rPr>
      </w:pPr>
      <w:bookmarkStart w:colFirst="0" w:colLast="0" w:name="_heading=h.gjdgxs" w:id="0"/>
      <w:bookmarkEnd w:id="0"/>
      <w:r w:rsidDel="00000000" w:rsidR="00000000" w:rsidRPr="00000000">
        <w:rPr>
          <w:rtl w:val="0"/>
        </w:rPr>
      </w:r>
    </w:p>
    <w:p w:rsidR="00000000" w:rsidDel="00000000" w:rsidP="00000000" w:rsidRDefault="00000000" w:rsidRPr="00000000" w14:paraId="00000007">
      <w:pPr>
        <w:numPr>
          <w:ilvl w:val="0"/>
          <w:numId w:val="2"/>
        </w:numPr>
        <w:pBdr>
          <w:top w:space="0" w:sz="0" w:val="nil"/>
          <w:left w:space="0" w:sz="0" w:val="nil"/>
          <w:bottom w:space="0" w:sz="0" w:val="nil"/>
          <w:right w:space="0" w:sz="0" w:val="nil"/>
          <w:between w:space="0" w:sz="0" w:val="nil"/>
        </w:pBdr>
        <w:spacing w:line="360" w:lineRule="auto"/>
        <w:ind w:left="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Solicitud de acceso a la información.</w:t>
      </w:r>
      <w:r w:rsidDel="00000000" w:rsidR="00000000" w:rsidRPr="00000000">
        <w:rPr>
          <w:rFonts w:ascii="Palatino Linotype" w:cs="Palatino Linotype" w:eastAsia="Palatino Linotype" w:hAnsi="Palatino Linotype"/>
          <w:sz w:val="22"/>
          <w:szCs w:val="22"/>
          <w:rtl w:val="0"/>
        </w:rPr>
        <w:t xml:space="preserve"> Con fecha </w:t>
      </w:r>
      <w:r w:rsidDel="00000000" w:rsidR="00000000" w:rsidRPr="00000000">
        <w:rPr>
          <w:rFonts w:ascii="Palatino Linotype" w:cs="Palatino Linotype" w:eastAsia="Palatino Linotype" w:hAnsi="Palatino Linotype"/>
          <w:b w:val="1"/>
          <w:sz w:val="22"/>
          <w:szCs w:val="22"/>
          <w:rtl w:val="0"/>
        </w:rPr>
        <w:t xml:space="preserve">tres de abril de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formuló solicitud de acceso a información pública al</w:t>
      </w:r>
      <w:r w:rsidDel="00000000" w:rsidR="00000000" w:rsidRPr="00000000">
        <w:rPr>
          <w:rFonts w:ascii="Palatino Linotype" w:cs="Palatino Linotype" w:eastAsia="Palatino Linotype" w:hAnsi="Palatino Linotype"/>
          <w:b w:val="1"/>
          <w:sz w:val="22"/>
          <w:szCs w:val="22"/>
          <w:rtl w:val="0"/>
        </w:rPr>
        <w:t xml:space="preserve"> Sujeto Obligado</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en adelante SAIMEX, en la que requirió lo siguiente: </w:t>
      </w:r>
    </w:p>
    <w:p w:rsidR="00000000" w:rsidDel="00000000" w:rsidP="00000000" w:rsidRDefault="00000000" w:rsidRPr="00000000" w14:paraId="00000008">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9">
      <w:pPr>
        <w:spacing w:line="276" w:lineRule="auto"/>
        <w:ind w:left="851" w:right="843" w:firstLine="0"/>
        <w:jc w:val="both"/>
        <w:rPr>
          <w:rFonts w:ascii="Palatino Linotype" w:cs="Palatino Linotype" w:eastAsia="Palatino Linotype" w:hAnsi="Palatino Linotype"/>
          <w:i w:val="1"/>
          <w:sz w:val="22"/>
          <w:szCs w:val="22"/>
        </w:rPr>
      </w:pPr>
      <w:bookmarkStart w:colFirst="0" w:colLast="0" w:name="_heading=h.30j0zll" w:id="1"/>
      <w:bookmarkEnd w:id="1"/>
      <w:r w:rsidDel="00000000" w:rsidR="00000000" w:rsidRPr="00000000">
        <w:rPr>
          <w:rFonts w:ascii="Palatino Linotype" w:cs="Palatino Linotype" w:eastAsia="Palatino Linotype" w:hAnsi="Palatino Linotype"/>
          <w:i w:val="1"/>
          <w:sz w:val="22"/>
          <w:szCs w:val="22"/>
          <w:rtl w:val="0"/>
        </w:rPr>
        <w:t xml:space="preserve">“Solicito el desglose de todos los ingresos obtenidos por el Ayuntamiento de Zinacantepec en concepto de impuestos y contribuciones municipales durante los últimos cinco años, especificando las fuentes de ingresos, las cantidades recaudadas, las exenciones aplicadas y los mecanismos de fiscalización utilizados.”</w:t>
      </w:r>
    </w:p>
    <w:p w:rsidR="00000000" w:rsidDel="00000000" w:rsidP="00000000" w:rsidRDefault="00000000" w:rsidRPr="00000000" w14:paraId="0000000A">
      <w:pPr>
        <w:spacing w:line="360" w:lineRule="auto"/>
        <w:ind w:left="567" w:right="5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elegida para la entrega de la información:</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(SAIMEX). </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D">
      <w:pPr>
        <w:numPr>
          <w:ilvl w:val="0"/>
          <w:numId w:val="2"/>
        </w:numPr>
        <w:pBdr>
          <w:top w:space="0" w:sz="0" w:val="nil"/>
          <w:left w:space="0" w:sz="0" w:val="nil"/>
          <w:bottom w:space="0" w:sz="0" w:val="nil"/>
          <w:right w:space="0" w:sz="0" w:val="nil"/>
          <w:between w:space="0" w:sz="0" w:val="nil"/>
        </w:pBdr>
        <w:spacing w:line="360" w:lineRule="auto"/>
        <w:ind w:left="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Respuesta.</w:t>
      </w:r>
      <w:r w:rsidDel="00000000" w:rsidR="00000000" w:rsidRPr="00000000">
        <w:rPr>
          <w:rFonts w:ascii="Palatino Linotype" w:cs="Palatino Linotype" w:eastAsia="Palatino Linotype" w:hAnsi="Palatino Linotype"/>
          <w:sz w:val="22"/>
          <w:szCs w:val="22"/>
          <w:rtl w:val="0"/>
        </w:rPr>
        <w:t xml:space="preserve"> Con fecha </w:t>
      </w:r>
      <w:r w:rsidDel="00000000" w:rsidR="00000000" w:rsidRPr="00000000">
        <w:rPr>
          <w:rFonts w:ascii="Palatino Linotype" w:cs="Palatino Linotype" w:eastAsia="Palatino Linotype" w:hAnsi="Palatino Linotype"/>
          <w:b w:val="1"/>
          <w:sz w:val="22"/>
          <w:szCs w:val="22"/>
          <w:rtl w:val="0"/>
        </w:rPr>
        <w:t xml:space="preserve">dos de mayo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envió su respuesta a la solicitud de acceso a la información a través del SAIMEX, la cual versa como sigue:</w:t>
      </w:r>
    </w:p>
    <w:p w:rsidR="00000000" w:rsidDel="00000000" w:rsidP="00000000" w:rsidRDefault="00000000" w:rsidRPr="00000000" w14:paraId="0000000E">
      <w:pPr>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F">
      <w:pPr>
        <w:spacing w:line="276" w:lineRule="auto"/>
        <w:ind w:left="851"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0">
      <w:pPr>
        <w:spacing w:line="276" w:lineRule="auto"/>
        <w:ind w:left="851" w:right="84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1">
      <w:pPr>
        <w:spacing w:line="276" w:lineRule="auto"/>
        <w:ind w:left="851"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apego a lo establecido su solicitud fue analizada y turnada al área poseedora de la información, por lo que con fundamento en el artículo 12 de la Ley de Transparencia y Acceso a la Información Pública del Estado de México y Municipios, donde se establece que, “Los sujetos obligados sólo proporcionarán la información pública que se le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w:t>
      </w:r>
      <w:r w:rsidDel="00000000" w:rsidR="00000000" w:rsidRPr="00000000">
        <w:rPr>
          <w:rFonts w:ascii="Palatino Linotype" w:cs="Palatino Linotype" w:eastAsia="Palatino Linotype" w:hAnsi="Palatino Linotype"/>
          <w:b w:val="1"/>
          <w:i w:val="1"/>
          <w:sz w:val="22"/>
          <w:szCs w:val="22"/>
          <w:rtl w:val="0"/>
        </w:rPr>
        <w:t xml:space="preserve">remito la respuesta proporcionada por el área competente</w:t>
      </w:r>
      <w:r w:rsidDel="00000000" w:rsidR="00000000" w:rsidRPr="00000000">
        <w:rPr>
          <w:rFonts w:ascii="Palatino Linotype" w:cs="Palatino Linotype" w:eastAsia="Palatino Linotype" w:hAnsi="Palatino Linotype"/>
          <w:i w:val="1"/>
          <w:sz w:val="22"/>
          <w:szCs w:val="22"/>
          <w:rtl w:val="0"/>
        </w:rPr>
        <w:t xml:space="preserv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p>
    <w:p w:rsidR="00000000" w:rsidDel="00000000" w:rsidP="00000000" w:rsidRDefault="00000000" w:rsidRPr="00000000" w14:paraId="00000012">
      <w:pPr>
        <w:spacing w:line="276" w:lineRule="auto"/>
        <w:ind w:left="851" w:right="84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3">
      <w:pPr>
        <w:spacing w:line="276" w:lineRule="auto"/>
        <w:ind w:left="851"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14">
      <w:pPr>
        <w:spacing w:line="276" w:lineRule="auto"/>
        <w:ind w:left="851"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BRENDA SELENE HERNANDEZ LOPEZ.”</w:t>
      </w:r>
    </w:p>
    <w:p w:rsidR="00000000" w:rsidDel="00000000" w:rsidP="00000000" w:rsidRDefault="00000000" w:rsidRPr="00000000" w14:paraId="00000015">
      <w:pPr>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6">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Sujeto Obligado a su respuesta adjuntó los documentos que se describen a continuación:  </w:t>
      </w:r>
    </w:p>
    <w:p w:rsidR="00000000" w:rsidDel="00000000" w:rsidP="00000000" w:rsidRDefault="00000000" w:rsidRPr="00000000" w14:paraId="00000017">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8">
      <w:pPr>
        <w:numPr>
          <w:ilvl w:val="0"/>
          <w:numId w:val="3"/>
        </w:numPr>
        <w:pBdr>
          <w:top w:space="0" w:sz="0" w:val="nil"/>
          <w:left w:space="0" w:sz="0" w:val="nil"/>
          <w:bottom w:space="0" w:sz="0" w:val="nil"/>
          <w:right w:space="0" w:sz="0" w:val="nil"/>
          <w:between w:space="0" w:sz="0" w:val="nil"/>
        </w:pBdr>
        <w:tabs>
          <w:tab w:val="left" w:leader="none" w:pos="993"/>
        </w:tabs>
        <w:spacing w:line="360" w:lineRule="auto"/>
        <w:ind w:left="851" w:right="843"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 número ZIN/TM/0526/2025 de fecha ocho de abril de dos mil veinticinco, signado por el Tesorero Municipal, mediante el cual informa que, los sujetos obligados solo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 </w:t>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leader="none" w:pos="993"/>
        </w:tabs>
        <w:spacing w:line="360" w:lineRule="auto"/>
        <w:ind w:left="851" w:right="843"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left" w:leader="none" w:pos="993"/>
        </w:tabs>
        <w:spacing w:line="360" w:lineRule="auto"/>
        <w:ind w:left="851" w:right="843"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mismo tenor informó que este ente genera y publica la información financiera de acuerdo a lo señalado en el artículo 56 del Titulo V de la Ley General de Contabilidad Gubernamental; por lo que, la información citada se servirá encontrarla en la página oficial de este Ayuntamiento. Conforme a lo anterior, pone a su disposición la dirección de la página oficial de este Ayuntamiento: </w:t>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leader="none" w:pos="993"/>
        </w:tabs>
        <w:spacing w:line="360" w:lineRule="auto"/>
        <w:ind w:left="851" w:right="843" w:firstLine="0"/>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274531" cy="326236"/>
            <wp:effectExtent b="0" l="0" r="0" t="0"/>
            <wp:docPr id="1997706793"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4274531" cy="326236"/>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993"/>
        </w:tabs>
        <w:spacing w:line="360" w:lineRule="auto"/>
        <w:ind w:left="851" w:right="843"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D">
      <w:pPr>
        <w:numPr>
          <w:ilvl w:val="0"/>
          <w:numId w:val="4"/>
        </w:numPr>
        <w:pBdr>
          <w:top w:space="0" w:sz="0" w:val="nil"/>
          <w:left w:space="0" w:sz="0" w:val="nil"/>
          <w:bottom w:space="0" w:sz="0" w:val="nil"/>
          <w:right w:space="0" w:sz="0" w:val="nil"/>
          <w:between w:space="0" w:sz="0" w:val="nil"/>
        </w:pBdr>
        <w:tabs>
          <w:tab w:val="left" w:leader="none" w:pos="993"/>
        </w:tabs>
        <w:spacing w:line="360" w:lineRule="auto"/>
        <w:ind w:left="851" w:right="843"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 de fecha dos de mayo de dos mil veinticinco, signado por la Titular de la Unidad de Transparencia, mediante el cual informó la entrega de la respuesta proporcionada por el área competente. </w:t>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leader="none" w:pos="993"/>
        </w:tabs>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F">
      <w:pPr>
        <w:numPr>
          <w:ilvl w:val="0"/>
          <w:numId w:val="2"/>
        </w:numPr>
        <w:pBdr>
          <w:top w:space="0" w:sz="0" w:val="nil"/>
          <w:left w:space="0" w:sz="0" w:val="nil"/>
          <w:bottom w:space="0" w:sz="0" w:val="nil"/>
          <w:right w:space="0" w:sz="0" w:val="nil"/>
          <w:between w:space="0" w:sz="0" w:val="nil"/>
        </w:pBdr>
        <w:spacing w:line="360" w:lineRule="auto"/>
        <w:ind w:left="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sz w:val="22"/>
          <w:szCs w:val="22"/>
          <w:rtl w:val="0"/>
        </w:rPr>
        <w:t xml:space="preserve">seis de mayo de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interpuso Recurso de Revisión a través del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 través del cual expresó lo siguiente:</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1">
      <w:pPr>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Acto impugnado. </w:t>
      </w:r>
      <w:r w:rsidDel="00000000" w:rsidR="00000000" w:rsidRPr="00000000">
        <w:rPr>
          <w:rFonts w:ascii="Palatino Linotype" w:cs="Palatino Linotype" w:eastAsia="Palatino Linotype" w:hAnsi="Palatino Linotype"/>
          <w:i w:val="1"/>
          <w:sz w:val="22"/>
          <w:szCs w:val="22"/>
          <w:rtl w:val="0"/>
        </w:rPr>
        <w:t xml:space="preserve">“NO ENTREGA INFORMACION”.</w:t>
      </w:r>
    </w:p>
    <w:p w:rsidR="00000000" w:rsidDel="00000000" w:rsidP="00000000" w:rsidRDefault="00000000" w:rsidRPr="00000000" w14:paraId="00000022">
      <w:pPr>
        <w:ind w:lef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1276"/>
        </w:tabs>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Razones o motivos de la inconformidad: </w:t>
      </w:r>
      <w:r w:rsidDel="00000000" w:rsidR="00000000" w:rsidRPr="00000000">
        <w:rPr>
          <w:rFonts w:ascii="Palatino Linotype" w:cs="Palatino Linotype" w:eastAsia="Palatino Linotype" w:hAnsi="Palatino Linotype"/>
          <w:i w:val="1"/>
          <w:sz w:val="22"/>
          <w:szCs w:val="22"/>
          <w:rtl w:val="0"/>
        </w:rPr>
        <w:t xml:space="preserve">“NO ENTREGA INFORMACION”.</w:t>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1276"/>
        </w:tabs>
        <w:spacing w:line="360" w:lineRule="auto"/>
        <w:ind w:right="70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5">
      <w:pPr>
        <w:numPr>
          <w:ilvl w:val="0"/>
          <w:numId w:val="2"/>
        </w:numPr>
        <w:pBdr>
          <w:top w:space="0" w:sz="0" w:val="nil"/>
          <w:left w:space="0" w:sz="0" w:val="nil"/>
          <w:bottom w:space="0" w:sz="0" w:val="nil"/>
          <w:right w:space="0" w:sz="0" w:val="nil"/>
          <w:between w:space="0" w:sz="0" w:val="nil"/>
        </w:pBdr>
        <w:spacing w:line="360" w:lineRule="auto"/>
        <w:ind w:left="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Turno.</w:t>
      </w:r>
      <w:r w:rsidDel="00000000" w:rsidR="00000000" w:rsidRPr="00000000">
        <w:rPr>
          <w:rFonts w:ascii="Palatino Linotype" w:cs="Palatino Linotype" w:eastAsia="Palatino Linotype" w:hAnsi="Palatino Linotype"/>
          <w:sz w:val="22"/>
          <w:szCs w:val="22"/>
          <w:rtl w:val="0"/>
        </w:rPr>
        <w:t xml:space="preserve"> 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sz w:val="22"/>
          <w:szCs w:val="22"/>
          <w:rtl w:val="0"/>
        </w:rPr>
        <w:t xml:space="preserve">05139/INFOEM/IP/RR/2025</w:t>
      </w:r>
      <w:r w:rsidDel="00000000" w:rsidR="00000000" w:rsidRPr="00000000">
        <w:rPr>
          <w:rFonts w:ascii="Palatino Linotype" w:cs="Palatino Linotype" w:eastAsia="Palatino Linotype" w:hAnsi="Palatino Linotype"/>
          <w:sz w:val="22"/>
          <w:szCs w:val="22"/>
          <w:rtl w:val="0"/>
        </w:rPr>
        <w:t xml:space="preserve">,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7">
      <w:pPr>
        <w:numPr>
          <w:ilvl w:val="0"/>
          <w:numId w:val="2"/>
        </w:numPr>
        <w:pBdr>
          <w:top w:space="0" w:sz="0" w:val="nil"/>
          <w:left w:space="0" w:sz="0" w:val="nil"/>
          <w:bottom w:space="0" w:sz="0" w:val="nil"/>
          <w:right w:space="0" w:sz="0" w:val="nil"/>
          <w:between w:space="0" w:sz="0" w:val="nil"/>
        </w:pBdr>
        <w:spacing w:line="360" w:lineRule="auto"/>
        <w:ind w:left="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Admisión del recurso de revisión</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sz w:val="22"/>
          <w:szCs w:val="22"/>
          <w:rtl w:val="0"/>
        </w:rPr>
        <w:t xml:space="preserve">nueve de mayo de dos mil veinticinco</w:t>
      </w:r>
      <w:r w:rsidDel="00000000" w:rsidR="00000000" w:rsidRPr="00000000">
        <w:rPr>
          <w:rFonts w:ascii="Palatino Linotype" w:cs="Palatino Linotype" w:eastAsia="Palatino Linotype" w:hAnsi="Palatino Linotype"/>
          <w:sz w:val="22"/>
          <w:szCs w:val="22"/>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360" w:lineRule="auto"/>
        <w:ind w:left="720"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9">
      <w:pPr>
        <w:numPr>
          <w:ilvl w:val="0"/>
          <w:numId w:val="2"/>
        </w:numPr>
        <w:pBdr>
          <w:top w:space="0" w:sz="0" w:val="nil"/>
          <w:left w:space="0" w:sz="0" w:val="nil"/>
          <w:bottom w:space="0" w:sz="0" w:val="nil"/>
          <w:right w:space="0" w:sz="0" w:val="nil"/>
          <w:between w:space="0" w:sz="0" w:val="nil"/>
        </w:pBdr>
        <w:spacing w:line="360" w:lineRule="auto"/>
        <w:ind w:left="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Manifestaciones. </w:t>
      </w:r>
      <w:r w:rsidDel="00000000" w:rsidR="00000000" w:rsidRPr="00000000">
        <w:rPr>
          <w:rFonts w:ascii="Palatino Linotype" w:cs="Palatino Linotype" w:eastAsia="Palatino Linotype" w:hAnsi="Palatino Linotype"/>
          <w:sz w:val="22"/>
          <w:szCs w:val="22"/>
          <w:rtl w:val="0"/>
        </w:rPr>
        <w:t xml:space="preserve">De las constancias que obran en el expediente electrónico del SAIMEX se desprende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sz w:val="22"/>
          <w:szCs w:val="22"/>
          <w:rtl w:val="0"/>
        </w:rPr>
        <w:t xml:space="preserve">veintiuno de mayo de dos mil veinticinco</w:t>
      </w:r>
      <w:r w:rsidDel="00000000" w:rsidR="00000000" w:rsidRPr="00000000">
        <w:rPr>
          <w:rFonts w:ascii="Palatino Linotype" w:cs="Palatino Linotype" w:eastAsia="Palatino Linotype" w:hAnsi="Palatino Linotype"/>
          <w:sz w:val="22"/>
          <w:szCs w:val="22"/>
          <w:rtl w:val="0"/>
        </w:rPr>
        <w:t xml:space="preserve">, rindió su informe justificado a través del archivo electrónico denominado </w:t>
      </w:r>
      <w:r w:rsidDel="00000000" w:rsidR="00000000" w:rsidRPr="00000000">
        <w:rPr>
          <w:rFonts w:ascii="Palatino Linotype" w:cs="Palatino Linotype" w:eastAsia="Palatino Linotype" w:hAnsi="Palatino Linotype"/>
          <w:b w:val="1"/>
          <w:i w:val="1"/>
          <w:sz w:val="22"/>
          <w:szCs w:val="22"/>
          <w:rtl w:val="0"/>
        </w:rPr>
        <w:t xml:space="preserve">“20250521193020252.pdf”</w:t>
      </w:r>
      <w:r w:rsidDel="00000000" w:rsidR="00000000" w:rsidRPr="00000000">
        <w:rPr>
          <w:rFonts w:ascii="Palatino Linotype" w:cs="Palatino Linotype" w:eastAsia="Palatino Linotype" w:hAnsi="Palatino Linotype"/>
          <w:sz w:val="22"/>
          <w:szCs w:val="22"/>
          <w:rtl w:val="0"/>
        </w:rPr>
        <w:t xml:space="preserve">, mismo que fue hecho del conocimiento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sz w:val="22"/>
          <w:szCs w:val="22"/>
          <w:rtl w:val="0"/>
        </w:rPr>
        <w:t xml:space="preserve">veinte de agosto de dos mil veinticinco</w:t>
      </w:r>
      <w:r w:rsidDel="00000000" w:rsidR="00000000" w:rsidRPr="00000000">
        <w:rPr>
          <w:rFonts w:ascii="Palatino Linotype" w:cs="Palatino Linotype" w:eastAsia="Palatino Linotype" w:hAnsi="Palatino Linotype"/>
          <w:sz w:val="22"/>
          <w:szCs w:val="22"/>
          <w:rtl w:val="0"/>
        </w:rPr>
        <w:t xml:space="preserve">, en el cual confirmó su respuesta inicial, señalando que la información se encuentra publicada en la página oficial del Ayuntamiento, a efecto de que manifestara lo que a su derecho resultara conveniente.. </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B">
      <w:pPr>
        <w:numPr>
          <w:ilvl w:val="0"/>
          <w:numId w:val="2"/>
        </w:numPr>
        <w:pBdr>
          <w:top w:space="0" w:sz="0" w:val="nil"/>
          <w:left w:space="0" w:sz="0" w:val="nil"/>
          <w:bottom w:space="0" w:sz="0" w:val="nil"/>
          <w:right w:space="0" w:sz="0" w:val="nil"/>
          <w:between w:space="0" w:sz="0" w:val="nil"/>
        </w:pBdr>
        <w:tabs>
          <w:tab w:val="left" w:leader="none" w:pos="360"/>
        </w:tabs>
        <w:spacing w:line="360" w:lineRule="auto"/>
        <w:ind w:left="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Ampliación de plazo:</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sz w:val="22"/>
          <w:szCs w:val="22"/>
          <w:rtl w:val="0"/>
        </w:rPr>
        <w:t xml:space="preserve">veinte de agosto de dos mil veinticinco</w:t>
      </w:r>
      <w:r w:rsidDel="00000000" w:rsidR="00000000" w:rsidRPr="00000000">
        <w:rPr>
          <w:rFonts w:ascii="Palatino Linotype" w:cs="Palatino Linotype" w:eastAsia="Palatino Linotype" w:hAnsi="Palatino Linotype"/>
          <w:sz w:val="22"/>
          <w:szCs w:val="22"/>
          <w:rtl w:val="0"/>
        </w:rPr>
        <w:t xml:space="preserve">, con fundamento en el artículo 181, párrafo tercero de la Ley de Transparencia y Acceso a la Información Pública del Estado de México y Municipios, la Comisionada Ponente acordó la ampliación del plazo para su resolución.</w:t>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leader="none" w:pos="360"/>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E">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2F">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30">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3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3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000000" w:rsidDel="00000000" w:rsidP="00000000" w:rsidRDefault="00000000" w:rsidRPr="00000000" w14:paraId="00000034">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5">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excepcionalmente, si un asunto es resuelto con posterioridad a los plazos señalados por la norma debe analizarse la razonabilidad del tiempo necesario para su resolución, atentos a los siguientes criterios:  </w:t>
      </w:r>
    </w:p>
    <w:p w:rsidR="00000000" w:rsidDel="00000000" w:rsidP="00000000" w:rsidRDefault="00000000" w:rsidRPr="00000000" w14:paraId="00000036">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7">
      <w:pPr>
        <w:tabs>
          <w:tab w:val="left" w:leader="none" w:pos="709"/>
        </w:tabs>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    Complejidad del asunto:</w:t>
      </w:r>
      <w:r w:rsidDel="00000000" w:rsidR="00000000" w:rsidRPr="00000000">
        <w:rPr>
          <w:rFonts w:ascii="Palatino Linotype" w:cs="Palatino Linotype" w:eastAsia="Palatino Linotype" w:hAnsi="Palatino Linotype"/>
          <w:sz w:val="22"/>
          <w:szCs w:val="22"/>
          <w:rtl w:val="0"/>
        </w:rPr>
        <w:t xml:space="preserve"> La complejidad de la prueba, la pluralidad de sujetos procesales, el tiempo transcurrido, las características y contexto del recurso.</w:t>
      </w:r>
    </w:p>
    <w:p w:rsidR="00000000" w:rsidDel="00000000" w:rsidP="00000000" w:rsidRDefault="00000000" w:rsidRPr="00000000" w14:paraId="00000038">
      <w:pPr>
        <w:tabs>
          <w:tab w:val="left" w:leader="none" w:pos="709"/>
        </w:tabs>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b)   Actividad Procesal del interesado</w:t>
      </w:r>
      <w:r w:rsidDel="00000000" w:rsidR="00000000" w:rsidRPr="00000000">
        <w:rPr>
          <w:rFonts w:ascii="Palatino Linotype" w:cs="Palatino Linotype" w:eastAsia="Palatino Linotype" w:hAnsi="Palatino Linotype"/>
          <w:sz w:val="22"/>
          <w:szCs w:val="22"/>
          <w:rtl w:val="0"/>
        </w:rPr>
        <w:t xml:space="preserve">: Acciones u omisiones del interesado.</w:t>
      </w:r>
    </w:p>
    <w:p w:rsidR="00000000" w:rsidDel="00000000" w:rsidP="00000000" w:rsidRDefault="00000000" w:rsidRPr="00000000" w14:paraId="00000039">
      <w:pPr>
        <w:tabs>
          <w:tab w:val="left" w:leader="none" w:pos="851"/>
        </w:tabs>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  Conducta de la Autoridad:</w:t>
      </w:r>
      <w:r w:rsidDel="00000000" w:rsidR="00000000" w:rsidRPr="00000000">
        <w:rPr>
          <w:rFonts w:ascii="Palatino Linotype" w:cs="Palatino Linotype" w:eastAsia="Palatino Linotype" w:hAnsi="Palatino Linotype"/>
          <w:sz w:val="22"/>
          <w:szCs w:val="22"/>
          <w:rtl w:val="0"/>
        </w:rPr>
        <w:t xml:space="preserve"> Las Acciones u omisiones realizadas en el procedimiento. Así como si la autoridad actuó con la debida diligencia.</w:t>
      </w:r>
    </w:p>
    <w:p w:rsidR="00000000" w:rsidDel="00000000" w:rsidP="00000000" w:rsidRDefault="00000000" w:rsidRPr="00000000" w14:paraId="0000003A">
      <w:pPr>
        <w:tabs>
          <w:tab w:val="left" w:leader="none" w:pos="851"/>
        </w:tabs>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d) La afectación generada en la situación jurídica de la persona involucrada en el proceso:</w:t>
      </w:r>
      <w:r w:rsidDel="00000000" w:rsidR="00000000" w:rsidRPr="00000000">
        <w:rPr>
          <w:rFonts w:ascii="Palatino Linotype" w:cs="Palatino Linotype" w:eastAsia="Palatino Linotype" w:hAnsi="Palatino Linotype"/>
          <w:sz w:val="22"/>
          <w:szCs w:val="22"/>
          <w:rtl w:val="0"/>
        </w:rPr>
        <w:t xml:space="preserve"> Violación a sus derechos humanos.</w:t>
      </w:r>
    </w:p>
    <w:p w:rsidR="00000000" w:rsidDel="00000000" w:rsidP="00000000" w:rsidRDefault="00000000" w:rsidRPr="00000000" w14:paraId="0000003B">
      <w:pPr>
        <w:tabs>
          <w:tab w:val="left" w:leader="none" w:pos="851"/>
        </w:tabs>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C">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3D">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3E">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b w:val="1"/>
          <w:sz w:val="22"/>
          <w:szCs w:val="22"/>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sz w:val="22"/>
          <w:szCs w:val="22"/>
          <w:rtl w:val="0"/>
        </w:rPr>
        <w:t xml:space="preserve">, visible en la Gaceta del Seminario Judicial de la Federación con el registro digital 205635.</w:t>
      </w:r>
    </w:p>
    <w:p w:rsidR="00000000" w:rsidDel="00000000" w:rsidP="00000000" w:rsidRDefault="00000000" w:rsidRPr="00000000" w14:paraId="0000003F">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40">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41">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4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44">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i w:val="1"/>
          <w:sz w:val="22"/>
          <w:szCs w:val="22"/>
          <w:rtl w:val="0"/>
        </w:rPr>
        <w:t xml:space="preserve"> consultable en el Seminario Judicial de la Federación y su gaceta, con el registro digital 2002351.</w:t>
      </w:r>
    </w:p>
    <w:p w:rsidR="00000000" w:rsidDel="00000000" w:rsidP="00000000" w:rsidRDefault="00000000" w:rsidRPr="00000000" w14:paraId="0000004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6">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i w:val="1"/>
          <w:sz w:val="22"/>
          <w:szCs w:val="22"/>
          <w:rtl w:val="0"/>
        </w:rPr>
        <w:t xml:space="preserve"> visible en el Seminario Judicial de la Federación y su gaceta, con el registro digital 2002350</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left" w:leader="none" w:pos="360"/>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A">
      <w:pPr>
        <w:numPr>
          <w:ilvl w:val="0"/>
          <w:numId w:val="2"/>
        </w:numPr>
        <w:pBdr>
          <w:top w:space="0" w:sz="0" w:val="nil"/>
          <w:left w:space="0" w:sz="0" w:val="nil"/>
          <w:bottom w:space="0" w:sz="0" w:val="nil"/>
          <w:right w:space="0" w:sz="0" w:val="nil"/>
          <w:between w:space="0" w:sz="0" w:val="nil"/>
        </w:pBdr>
        <w:spacing w:line="360" w:lineRule="auto"/>
        <w:ind w:left="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Cierre de instrucción</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sz w:val="22"/>
          <w:szCs w:val="22"/>
          <w:rtl w:val="0"/>
        </w:rPr>
        <w:t xml:space="preserve">veintisiete de agosto de dos mil veinticinco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C">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Debido a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4D">
      <w:pPr>
        <w:spacing w:line="360" w:lineRule="auto"/>
        <w:ind w:right="49"/>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w:t>
        <w:tab/>
        <w:t xml:space="preserve">C O N S I D E R A N D O:</w:t>
      </w:r>
    </w:p>
    <w:p w:rsidR="00000000" w:rsidDel="00000000" w:rsidP="00000000" w:rsidRDefault="00000000" w:rsidRPr="00000000" w14:paraId="0000004E">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 </w:t>
      </w:r>
      <w:r w:rsidDel="00000000" w:rsidR="00000000" w:rsidRPr="00000000">
        <w:rPr>
          <w:rFonts w:ascii="Palatino Linotype" w:cs="Palatino Linotype" w:eastAsia="Palatino Linotype" w:hAnsi="Palatino Linotype"/>
          <w:sz w:val="22"/>
          <w:szCs w:val="22"/>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50">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 </w:t>
      </w:r>
    </w:p>
    <w:p w:rsidR="00000000" w:rsidDel="00000000" w:rsidP="00000000" w:rsidRDefault="00000000" w:rsidRPr="00000000" w14:paraId="0000005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previstos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remitió la respuesta a la solicitud de información el </w:t>
      </w:r>
      <w:r w:rsidDel="00000000" w:rsidR="00000000" w:rsidRPr="00000000">
        <w:rPr>
          <w:rFonts w:ascii="Palatino Linotype" w:cs="Palatino Linotype" w:eastAsia="Palatino Linotype" w:hAnsi="Palatino Linotype"/>
          <w:b w:val="1"/>
          <w:sz w:val="22"/>
          <w:szCs w:val="22"/>
          <w:rtl w:val="0"/>
        </w:rPr>
        <w:t xml:space="preserve">dos de mayo de dos mil veinticinco</w:t>
      </w:r>
      <w:r w:rsidDel="00000000" w:rsidR="00000000" w:rsidRPr="00000000">
        <w:rPr>
          <w:rFonts w:ascii="Palatino Linotype" w:cs="Palatino Linotype" w:eastAsia="Palatino Linotype" w:hAnsi="Palatino Linotype"/>
          <w:sz w:val="22"/>
          <w:szCs w:val="22"/>
          <w:rtl w:val="0"/>
        </w:rPr>
        <w:t xml:space="preserve">, mientras que el recurso de revisión interpuesto por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se tuvo por presentado el </w:t>
      </w:r>
      <w:r w:rsidDel="00000000" w:rsidR="00000000" w:rsidRPr="00000000">
        <w:rPr>
          <w:rFonts w:ascii="Palatino Linotype" w:cs="Palatino Linotype" w:eastAsia="Palatino Linotype" w:hAnsi="Palatino Linotype"/>
          <w:b w:val="1"/>
          <w:sz w:val="22"/>
          <w:szCs w:val="22"/>
          <w:rtl w:val="0"/>
        </w:rPr>
        <w:t xml:space="preserve">seis de mayo de dos mil veinticinco</w:t>
      </w:r>
      <w:r w:rsidDel="00000000" w:rsidR="00000000" w:rsidRPr="00000000">
        <w:rPr>
          <w:rFonts w:ascii="Palatino Linotype" w:cs="Palatino Linotype" w:eastAsia="Palatino Linotype" w:hAnsi="Palatino Linotype"/>
          <w:sz w:val="22"/>
          <w:szCs w:val="22"/>
          <w:rtl w:val="0"/>
        </w:rPr>
        <w:t xml:space="preserve">, esto es al primer día en que se tuvo conocimiento de la respuesta.</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54">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5">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56">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efecto de sustentar lo anterior, es de suma importancia mencionar que, si bien la persona solicitante </w:t>
      </w:r>
      <w:r w:rsidDel="00000000" w:rsidR="00000000" w:rsidRPr="00000000">
        <w:rPr>
          <w:rFonts w:ascii="Palatino Linotype" w:cs="Palatino Linotype" w:eastAsia="Palatino Linotype" w:hAnsi="Palatino Linotype"/>
          <w:b w:val="1"/>
          <w:sz w:val="22"/>
          <w:szCs w:val="22"/>
          <w:rtl w:val="0"/>
        </w:rPr>
        <w:t xml:space="preserve">no proporcionó un nombre o seudónimo </w:t>
      </w:r>
      <w:r w:rsidDel="00000000" w:rsidR="00000000" w:rsidRPr="00000000">
        <w:rPr>
          <w:rFonts w:ascii="Palatino Linotype" w:cs="Palatino Linotype" w:eastAsia="Palatino Linotype" w:hAnsi="Palatino Linotype"/>
          <w:sz w:val="22"/>
          <w:szCs w:val="22"/>
          <w:rtl w:val="0"/>
        </w:rPr>
        <w:t xml:space="preserve">para ser identificado, como se advierte en el detalle de seguimiento del SAIMEX,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5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9">
      <w:pPr>
        <w:ind w:left="851"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anónimas, con nombre incompleto o seudónimo serán procedentes para su trámite por parte del sujeto obligado ante quien se presente.</w:t>
      </w:r>
      <w:r w:rsidDel="00000000" w:rsidR="00000000" w:rsidRPr="00000000">
        <w:rPr>
          <w:rFonts w:ascii="Palatino Linotype" w:cs="Palatino Linotype" w:eastAsia="Palatino Linotype" w:hAnsi="Palatino Linotype"/>
          <w:i w:val="1"/>
          <w:sz w:val="22"/>
          <w:szCs w:val="22"/>
          <w:rtl w:val="0"/>
        </w:rPr>
        <w:t xml:space="preserve"> No podrá requerirse información adicional con motivo del nombre proporcionado por el solicitante.”</w:t>
      </w:r>
    </w:p>
    <w:p w:rsidR="00000000" w:rsidDel="00000000" w:rsidP="00000000" w:rsidRDefault="00000000" w:rsidRPr="00000000" w14:paraId="0000005A">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resulta procedente la interposición del recurso de revisión al rubro anotado, toda vez que se actualiza la hipótesis de procedencia prevista en el artículo 179, fracción I de la Ley de la materia, que a la letra dice:</w:t>
      </w:r>
    </w:p>
    <w:p w:rsidR="00000000" w:rsidDel="00000000" w:rsidP="00000000" w:rsidRDefault="00000000" w:rsidRPr="00000000" w14:paraId="0000005C">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D">
      <w:pPr>
        <w:spacing w:line="276" w:lineRule="auto"/>
        <w:ind w:left="851"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5E">
      <w:pPr>
        <w:spacing w:line="276" w:lineRule="auto"/>
        <w:ind w:left="851"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negativa a la información solicitada;</w:t>
      </w:r>
    </w:p>
    <w:p w:rsidR="00000000" w:rsidDel="00000000" w:rsidP="00000000" w:rsidRDefault="00000000" w:rsidRPr="00000000" w14:paraId="0000005F">
      <w:pPr>
        <w:spacing w:line="276" w:lineRule="auto"/>
        <w:ind w:left="851"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0">
      <w:pPr>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Materia de la revisión</w:t>
      </w:r>
      <w:r w:rsidDel="00000000" w:rsidR="00000000" w:rsidRPr="00000000">
        <w:rPr>
          <w:rFonts w:ascii="Palatino Linotype" w:cs="Palatino Linotype" w:eastAsia="Palatino Linotype" w:hAnsi="Palatino Linotype"/>
          <w:sz w:val="22"/>
          <w:szCs w:val="22"/>
          <w:rtl w:val="0"/>
        </w:rPr>
        <w:t xml:space="preserve">. De la revisión a las constancias y documentos que obran en el expediente electrónico se advierte, que el tema sobre el que este Organismo Garante de Transparencia y Acceso a la Información se pronunciará será en determinar, si se actualiza la hipótesis prevista en la fracción I del artículo 179 de la Ley en la materia. </w:t>
      </w:r>
    </w:p>
    <w:p w:rsidR="00000000" w:rsidDel="00000000" w:rsidP="00000000" w:rsidRDefault="00000000" w:rsidRPr="00000000" w14:paraId="0000006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Estudio de fondo del asunto.</w:t>
      </w:r>
      <w:r w:rsidDel="00000000" w:rsidR="00000000" w:rsidRPr="00000000">
        <w:rPr>
          <w:rFonts w:ascii="Palatino Linotype" w:cs="Palatino Linotype" w:eastAsia="Palatino Linotype" w:hAnsi="Palatino Linotype"/>
          <w:sz w:val="22"/>
          <w:szCs w:val="22"/>
          <w:rtl w:val="0"/>
        </w:rPr>
        <w:t xml:space="preserve">  En principio,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64">
      <w:pPr>
        <w:spacing w:line="360" w:lineRule="auto"/>
        <w:ind w:right="84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5">
      <w:pPr>
        <w:spacing w:line="276" w:lineRule="auto"/>
        <w:ind w:left="851"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1o.</w:t>
      </w:r>
      <w:r w:rsidDel="00000000" w:rsidR="00000000" w:rsidRPr="00000000">
        <w:rPr>
          <w:rFonts w:ascii="Palatino Linotype" w:cs="Palatino Linotype" w:eastAsia="Palatino Linotype" w:hAnsi="Palatino Linotype"/>
          <w:i w:val="1"/>
          <w:sz w:val="22"/>
          <w:szCs w:val="22"/>
          <w:rtl w:val="0"/>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66">
      <w:pPr>
        <w:spacing w:line="276" w:lineRule="auto"/>
        <w:ind w:left="851"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67">
      <w:pPr>
        <w:spacing w:line="276" w:lineRule="auto"/>
        <w:ind w:left="851"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p>
    <w:p w:rsidR="00000000" w:rsidDel="00000000" w:rsidP="00000000" w:rsidRDefault="00000000" w:rsidRPr="00000000" w14:paraId="00000068">
      <w:pPr>
        <w:spacing w:line="276" w:lineRule="auto"/>
        <w:ind w:left="851"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9">
      <w:pPr>
        <w:ind w:left="851" w:right="843"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6o.</w:t>
      </w:r>
    </w:p>
    <w:p w:rsidR="00000000" w:rsidDel="00000000" w:rsidP="00000000" w:rsidRDefault="00000000" w:rsidRPr="00000000" w14:paraId="0000006A">
      <w:pPr>
        <w:ind w:left="851"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B">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sz w:val="22"/>
          <w:szCs w:val="22"/>
          <w:u w:val="single"/>
          <w:rtl w:val="0"/>
        </w:rPr>
        <w:t xml:space="preserve">las entidades federativas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en el ámbito de sus respectivas competencias, se regirán por los siguientes principios y bases:</w:t>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sz w:val="22"/>
          <w:szCs w:val="22"/>
          <w:rtl w:val="0"/>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II. La información que se refiere a la vida privada y los datos personales será protegida en los términos y con las excepciones que fijen las leyes. </w:t>
      </w:r>
      <w:r w:rsidDel="00000000" w:rsidR="00000000" w:rsidRPr="00000000">
        <w:rPr>
          <w:rFonts w:ascii="Palatino Linotype" w:cs="Palatino Linotype" w:eastAsia="Palatino Linotype" w:hAnsi="Palatino Linotype"/>
          <w:i w:val="1"/>
          <w:sz w:val="22"/>
          <w:szCs w:val="22"/>
          <w:rtl w:val="0"/>
        </w:rPr>
        <w:t xml:space="preserve">Para tal efecto, los sujetos obligados contarán con las facultades suficientes para su atención.</w:t>
      </w:r>
    </w:p>
    <w:p w:rsidR="00000000" w:rsidDel="00000000" w:rsidP="00000000" w:rsidRDefault="00000000" w:rsidRPr="00000000" w14:paraId="0000006E">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lo que hace a la información relacionada con los datos personales en posesión de particulares, la ley a la que se refiere el artículo 90 de esta Constitución determinará la competencia para conocer de los procedimientos relativos a su protección, verificación e imposición de sanciones.</w:t>
      </w:r>
    </w:p>
    <w:p w:rsidR="00000000" w:rsidDel="00000000" w:rsidP="00000000" w:rsidRDefault="00000000" w:rsidRPr="00000000" w14:paraId="0000006F">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sz w:val="22"/>
          <w:szCs w:val="22"/>
          <w:rtl w:val="0"/>
        </w:rPr>
        <w:t xml:space="preserve"> a sus datos personales o a la rectificación de éstos.</w:t>
      </w: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Se establecerán mecanismos de acceso a la información y procedimientos de revisión expeditos que se sustanciarán ante las instancias competentes en los términos que fija esta Constitución y las leyes.</w:t>
        <w:br w:type="textWrapping"/>
      </w: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Las leyes determinarán la manera en que los sujetos obligados deberán hacer pública la información relativa a los recursos públicos que entreguen a personas físicas o morales.</w:t>
      </w:r>
      <w:r w:rsidDel="00000000" w:rsidR="00000000" w:rsidRPr="00000000">
        <w:rPr>
          <w:rtl w:val="0"/>
        </w:rPr>
      </w:r>
    </w:p>
    <w:p w:rsidR="00000000" w:rsidDel="00000000" w:rsidP="00000000" w:rsidRDefault="00000000" w:rsidRPr="00000000" w14:paraId="00000072">
      <w:pPr>
        <w:spacing w:line="276" w:lineRule="auto"/>
        <w:ind w:left="851"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inobservancia a las disposiciones en materia de acceso a la información pública será sancionada en los términos que dispongan las leyes. [...]”</w:t>
      </w:r>
    </w:p>
    <w:p w:rsidR="00000000" w:rsidDel="00000000" w:rsidP="00000000" w:rsidRDefault="00000000" w:rsidRPr="00000000" w14:paraId="0000007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4">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w:t>
      </w:r>
    </w:p>
    <w:p w:rsidR="00000000" w:rsidDel="00000000" w:rsidP="00000000" w:rsidRDefault="00000000" w:rsidRPr="00000000" w14:paraId="00000075">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6">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mismo modo, es de mencionar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w:t>
      </w:r>
    </w:p>
    <w:p w:rsidR="00000000" w:rsidDel="00000000" w:rsidP="00000000" w:rsidRDefault="00000000" w:rsidRPr="00000000" w14:paraId="00000077">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8">
      <w:pPr>
        <w:spacing w:line="360" w:lineRule="auto"/>
        <w:ind w:right="49"/>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sz w:val="22"/>
          <w:szCs w:val="22"/>
          <w:rtl w:val="0"/>
        </w:rPr>
        <w:t xml:space="preserve">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Instituto Nacional de Transparencia, Acceso a la Información Pública y Protección de Datos Personales.</w:t>
      </w:r>
      <w:r w:rsidDel="00000000" w:rsidR="00000000" w:rsidRPr="00000000">
        <w:rPr>
          <w:rtl w:val="0"/>
        </w:rPr>
      </w:r>
    </w:p>
    <w:p w:rsidR="00000000" w:rsidDel="00000000" w:rsidP="00000000" w:rsidRDefault="00000000" w:rsidRPr="00000000" w14:paraId="00000079">
      <w:pPr>
        <w:spacing w:line="360" w:lineRule="auto"/>
        <w:ind w:left="567" w:right="56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7A">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7B">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C">
      <w:pPr>
        <w:spacing w:line="360" w:lineRule="auto"/>
        <w:ind w:right="49"/>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7D">
      <w:pPr>
        <w:spacing w:line="360" w:lineRule="auto"/>
        <w:ind w:right="49"/>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E">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7F">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0">
      <w:pPr>
        <w:spacing w:line="276" w:lineRule="auto"/>
        <w:ind w:left="851" w:right="843"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81">
      <w:pPr>
        <w:spacing w:line="276" w:lineRule="auto"/>
        <w:ind w:left="851"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82">
      <w:pPr>
        <w:spacing w:line="276" w:lineRule="auto"/>
        <w:ind w:left="851"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w:t>
        <w:tab/>
        <w:t xml:space="preserve">Que se trate de información registrada en cualquier soporte documental, que en ejercicio de las atribuciones conferidas, sea generada por los Sujetos Obligados;</w:t>
      </w:r>
    </w:p>
    <w:p w:rsidR="00000000" w:rsidDel="00000000" w:rsidP="00000000" w:rsidRDefault="00000000" w:rsidRPr="00000000" w14:paraId="00000083">
      <w:pPr>
        <w:spacing w:line="276" w:lineRule="auto"/>
        <w:ind w:left="851"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w:t>
        <w:tab/>
        <w:t xml:space="preserve">Que se trate de información registrada en cualquier soporte documental, que en ejercicio de las atribuciones conferidas, sea administrada por los Sujetos Obligados, y</w:t>
      </w:r>
    </w:p>
    <w:p w:rsidR="00000000" w:rsidDel="00000000" w:rsidP="00000000" w:rsidRDefault="00000000" w:rsidRPr="00000000" w14:paraId="00000084">
      <w:pPr>
        <w:spacing w:line="276" w:lineRule="auto"/>
        <w:ind w:left="851"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85">
      <w:pPr>
        <w:spacing w:line="360" w:lineRule="auto"/>
        <w:ind w:left="567" w:right="5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6">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000000" w:rsidDel="00000000" w:rsidP="00000000" w:rsidRDefault="00000000" w:rsidRPr="00000000" w14:paraId="00000087">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8">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del análisis a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requirió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89">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A">
      <w:pPr>
        <w:numPr>
          <w:ilvl w:val="0"/>
          <w:numId w:val="4"/>
        </w:numPr>
        <w:pBdr>
          <w:top w:space="0" w:sz="0" w:val="nil"/>
          <w:left w:space="0" w:sz="0" w:val="nil"/>
          <w:bottom w:space="0" w:sz="0" w:val="nil"/>
          <w:right w:space="0" w:sz="0" w:val="nil"/>
          <w:between w:space="0" w:sz="0" w:val="nil"/>
        </w:pBdr>
        <w:spacing w:line="360" w:lineRule="auto"/>
        <w:ind w:left="851" w:right="843"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Desglose de todos los ingresos obtenidos p</w:t>
      </w:r>
      <w:r w:rsidDel="00000000" w:rsidR="00000000" w:rsidRPr="00000000">
        <w:rPr>
          <w:rFonts w:ascii="Palatino Linotype" w:cs="Palatino Linotype" w:eastAsia="Palatino Linotype" w:hAnsi="Palatino Linotype"/>
          <w:b w:val="1"/>
          <w:sz w:val="22"/>
          <w:szCs w:val="22"/>
          <w:u w:val="single"/>
          <w:rtl w:val="0"/>
        </w:rPr>
        <w:t xml:space="preserve">or concepto de impuestos y contribuciones municipales,</w:t>
      </w:r>
      <w:r w:rsidDel="00000000" w:rsidR="00000000" w:rsidRPr="00000000">
        <w:rPr>
          <w:rFonts w:ascii="Palatino Linotype" w:cs="Palatino Linotype" w:eastAsia="Palatino Linotype" w:hAnsi="Palatino Linotype"/>
          <w:b w:val="1"/>
          <w:sz w:val="22"/>
          <w:szCs w:val="22"/>
          <w:rtl w:val="0"/>
        </w:rPr>
        <w:t xml:space="preserve"> durante los últimos cinco años, especificando las fuentes de ingresos, cantidades recaudadas, las exenciones aplicadas y los mecanismos de fiscalización utilizados.</w:t>
      </w:r>
      <w:r w:rsidDel="00000000" w:rsidR="00000000" w:rsidRPr="00000000">
        <w:rPr>
          <w:rtl w:val="0"/>
        </w:rPr>
      </w:r>
    </w:p>
    <w:p w:rsidR="00000000" w:rsidDel="00000000" w:rsidP="00000000" w:rsidRDefault="00000000" w:rsidRPr="00000000" w14:paraId="0000008B">
      <w:pPr>
        <w:spacing w:line="360" w:lineRule="auto"/>
        <w:ind w:right="49"/>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8C">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del Tesorero Municipal informó que genera y publica la información financiera de acuerdo a lo señalado en el artículo 56, del Título V de la Ley General de Contabilidad Gubernamental; por lo que, la información citada se servirá encontrarla en la página oficial de este Ayuntamiento a través de la siguiente liga electrónica: </w:t>
      </w:r>
    </w:p>
    <w:p w:rsidR="00000000" w:rsidDel="00000000" w:rsidP="00000000" w:rsidRDefault="00000000" w:rsidRPr="00000000" w14:paraId="0000008D">
      <w:pPr>
        <w:spacing w:line="360" w:lineRule="auto"/>
        <w:ind w:right="49"/>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059008" cy="386108"/>
            <wp:effectExtent b="0" l="0" r="0" t="0"/>
            <wp:docPr id="1997706796"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5059008" cy="386108"/>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ello,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se inconformó medularmente por la negativa a la información solicitada. </w:t>
      </w:r>
    </w:p>
    <w:p w:rsidR="00000000" w:rsidDel="00000000" w:rsidP="00000000" w:rsidRDefault="00000000" w:rsidRPr="00000000" w14:paraId="0000008F">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0">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no realizó manifestaciones, alegatos o pruebas que a su derecho convinieran y por su parte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rindió su informe justificado en el que ratificó su respuesta inicial, precisando los pasos a seguir para la consulta de la información, a través de la liga electrónica referida en respuesta.</w:t>
      </w:r>
    </w:p>
    <w:p w:rsidR="00000000" w:rsidDel="00000000" w:rsidP="00000000" w:rsidRDefault="00000000" w:rsidRPr="00000000" w14:paraId="00000091">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Expuestas las posturas de las partes, por cuanto hace a la materia de la solicitud, es oportuno referir que de conformidad con los artículos 115, fracción IV, de la Constitución Política de los Estados Unidos Mexicanos, y 125 Constitución Política del Estado Libre y Soberano de México, los municipios administran libremente su hacienda, la cual se formara de los rendimientos de los bienes que les pertenecen, así como de las contribuciones y otros ingresos que la legislatura establezca en su favor, en todo caso, percibirán las contribuciones, incluyendo tasas adicionales sobre la propiedad inmobiliaria, de su fraccionamiento, división, consolidación, traslación y mejora, así como las que tengan como base el cambio del valor de los inmuebles; las participaciones federales que serán cubiertas por la Federación a los municipios, con arreglo a las bases, montos y plazos que anualmente determine la Legislatura; y los ingresos derivados de la prestación de servicios públicos a su cargo, siendo atribución de la Legislatura aprobar la Ley de Ingresos de los Municipios.</w:t>
      </w:r>
    </w:p>
    <w:p w:rsidR="00000000" w:rsidDel="00000000" w:rsidP="00000000" w:rsidRDefault="00000000" w:rsidRPr="00000000" w14:paraId="0000009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tenor, la Ley de Ingresos de los Municipios del Estado de México para el ejercicio fiscal 2025, establece en el artículo 1, los conceptos de los ingresos y contribuciones que percibirá la hacienda pública durante el ejercicio, siendo estas las siguientes:</w:t>
      </w:r>
    </w:p>
    <w:p w:rsidR="00000000" w:rsidDel="00000000" w:rsidP="00000000" w:rsidRDefault="00000000" w:rsidRPr="00000000" w14:paraId="00000094">
      <w:pPr>
        <w:ind w:left="851" w:right="84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5">
      <w:pPr>
        <w:ind w:left="851"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w:t>
      </w:r>
      <w:r w:rsidDel="00000000" w:rsidR="00000000" w:rsidRPr="00000000">
        <w:rPr>
          <w:rFonts w:ascii="Palatino Linotype" w:cs="Palatino Linotype" w:eastAsia="Palatino Linotype" w:hAnsi="Palatino Linotype"/>
          <w:i w:val="1"/>
          <w:sz w:val="22"/>
          <w:szCs w:val="22"/>
          <w:rtl w:val="0"/>
        </w:rPr>
        <w:t xml:space="preserve"> La hacienda pública de los municipios del Estado de México, percibirá durante el ejercicio fiscal del año 2025, los ingresos provenientes de los conceptos que a continuación se enumeran: </w:t>
      </w:r>
    </w:p>
    <w:p w:rsidR="00000000" w:rsidDel="00000000" w:rsidP="00000000" w:rsidRDefault="00000000" w:rsidRPr="00000000" w14:paraId="00000096">
      <w:pPr>
        <w:ind w:left="851"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 IMPUESTOS: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97">
      <w:pPr>
        <w:ind w:left="851"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1.1. Impuestos Sobre los Ingresos.</w:t>
      </w:r>
    </w:p>
    <w:p w:rsidR="00000000" w:rsidDel="00000000" w:rsidP="00000000" w:rsidRDefault="00000000" w:rsidRPr="00000000" w14:paraId="00000098">
      <w:pPr>
        <w:ind w:left="851"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1.2. Impuestos Sobre el Patrimonio.</w:t>
      </w:r>
    </w:p>
    <w:p w:rsidR="00000000" w:rsidDel="00000000" w:rsidP="00000000" w:rsidRDefault="00000000" w:rsidRPr="00000000" w14:paraId="00000099">
      <w:pPr>
        <w:ind w:left="1134"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1.2.1. Predial.</w:t>
      </w:r>
    </w:p>
    <w:p w:rsidR="00000000" w:rsidDel="00000000" w:rsidP="00000000" w:rsidRDefault="00000000" w:rsidRPr="00000000" w14:paraId="0000009A">
      <w:pPr>
        <w:ind w:left="1134"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1.2.2. Sobre Adquisición de Inmuebles y otras Operaciones Traslativas de Dominio de Inmuebles.</w:t>
      </w:r>
    </w:p>
    <w:p w:rsidR="00000000" w:rsidDel="00000000" w:rsidP="00000000" w:rsidRDefault="00000000" w:rsidRPr="00000000" w14:paraId="0000009B">
      <w:pPr>
        <w:ind w:left="1134"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1.2.3. Sobre Conjuntos Urbanos.</w:t>
      </w:r>
    </w:p>
    <w:p w:rsidR="00000000" w:rsidDel="00000000" w:rsidP="00000000" w:rsidRDefault="00000000" w:rsidRPr="00000000" w14:paraId="0000009C">
      <w:pPr>
        <w:ind w:left="851"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1.3. Impuestos Sobre la Producción, el Consumo y las Transacciones.</w:t>
      </w:r>
    </w:p>
    <w:p w:rsidR="00000000" w:rsidDel="00000000" w:rsidP="00000000" w:rsidRDefault="00000000" w:rsidRPr="00000000" w14:paraId="0000009D">
      <w:pPr>
        <w:ind w:left="851"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1.4. Impuestos al Comercio Exterior.</w:t>
      </w:r>
    </w:p>
    <w:p w:rsidR="00000000" w:rsidDel="00000000" w:rsidP="00000000" w:rsidRDefault="00000000" w:rsidRPr="00000000" w14:paraId="0000009E">
      <w:pPr>
        <w:ind w:left="851"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1.5. Impuestos Sobre Nóminas y Asimilables.</w:t>
      </w:r>
    </w:p>
    <w:p w:rsidR="00000000" w:rsidDel="00000000" w:rsidP="00000000" w:rsidRDefault="00000000" w:rsidRPr="00000000" w14:paraId="0000009F">
      <w:pPr>
        <w:ind w:left="851"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1.6. Impuestos Ecológicos.</w:t>
      </w:r>
    </w:p>
    <w:p w:rsidR="00000000" w:rsidDel="00000000" w:rsidP="00000000" w:rsidRDefault="00000000" w:rsidRPr="00000000" w14:paraId="000000A0">
      <w:pPr>
        <w:ind w:left="851"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1.7. Accesorios de Impuestos.</w:t>
      </w:r>
    </w:p>
    <w:p w:rsidR="00000000" w:rsidDel="00000000" w:rsidP="00000000" w:rsidRDefault="00000000" w:rsidRPr="00000000" w14:paraId="000000A1">
      <w:pPr>
        <w:ind w:left="1134"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1.7.1. Multas.</w:t>
      </w:r>
    </w:p>
    <w:p w:rsidR="00000000" w:rsidDel="00000000" w:rsidP="00000000" w:rsidRDefault="00000000" w:rsidRPr="00000000" w14:paraId="000000A2">
      <w:pPr>
        <w:ind w:left="1134"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1.7.2. Recargos.</w:t>
      </w:r>
    </w:p>
    <w:p w:rsidR="00000000" w:rsidDel="00000000" w:rsidP="00000000" w:rsidRDefault="00000000" w:rsidRPr="00000000" w14:paraId="000000A3">
      <w:pPr>
        <w:ind w:left="1134"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1.7.3. Gastos de Ejecución.</w:t>
      </w:r>
    </w:p>
    <w:p w:rsidR="00000000" w:rsidDel="00000000" w:rsidP="00000000" w:rsidRDefault="00000000" w:rsidRPr="00000000" w14:paraId="000000A4">
      <w:pPr>
        <w:ind w:left="1134"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1.7.4. Indemnización por devolución de cheques.</w:t>
      </w:r>
    </w:p>
    <w:p w:rsidR="00000000" w:rsidDel="00000000" w:rsidP="00000000" w:rsidRDefault="00000000" w:rsidRPr="00000000" w14:paraId="000000A5">
      <w:pPr>
        <w:ind w:left="851"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1.8. Otros Impuestos.</w:t>
      </w:r>
    </w:p>
    <w:p w:rsidR="00000000" w:rsidDel="00000000" w:rsidP="00000000" w:rsidRDefault="00000000" w:rsidRPr="00000000" w14:paraId="000000A6">
      <w:pPr>
        <w:ind w:left="1134"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1.8.1. Sobre Anuncios Publicitarios.</w:t>
      </w:r>
    </w:p>
    <w:p w:rsidR="00000000" w:rsidDel="00000000" w:rsidP="00000000" w:rsidRDefault="00000000" w:rsidRPr="00000000" w14:paraId="000000A7">
      <w:pPr>
        <w:ind w:left="1134"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1.8.2. Sobre Diversiones, Juegos y Espectáculos Públicos.</w:t>
      </w:r>
    </w:p>
    <w:p w:rsidR="00000000" w:rsidDel="00000000" w:rsidP="00000000" w:rsidRDefault="00000000" w:rsidRPr="00000000" w14:paraId="000000A8">
      <w:pPr>
        <w:ind w:left="851"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1.9. Impuestos no Comprendidos en la Ley de Ingresos Vigente, Causados en Ejercicios Fiscales Anteriores Pendientes de Liquidación o Pago.</w:t>
        <w:br w:type="textWrapping"/>
        <w:t xml:space="preserve">…</w:t>
      </w:r>
    </w:p>
    <w:p w:rsidR="00000000" w:rsidDel="00000000" w:rsidP="00000000" w:rsidRDefault="00000000" w:rsidRPr="00000000" w14:paraId="000000A9">
      <w:pPr>
        <w:ind w:left="851" w:right="843"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CONTRIBUCIONES DE MEJORAS:</w:t>
      </w:r>
    </w:p>
    <w:p w:rsidR="00000000" w:rsidDel="00000000" w:rsidP="00000000" w:rsidRDefault="00000000" w:rsidRPr="00000000" w14:paraId="000000AA">
      <w:pPr>
        <w:ind w:left="851"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3.1. Contribuciones de Mejoras por Obras Públicas.</w:t>
      </w:r>
    </w:p>
    <w:p w:rsidR="00000000" w:rsidDel="00000000" w:rsidP="00000000" w:rsidRDefault="00000000" w:rsidRPr="00000000" w14:paraId="000000AB">
      <w:pPr>
        <w:ind w:left="851"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3.1.1. Contribuciones de Mejoras por Obras Públicas.</w:t>
      </w:r>
    </w:p>
    <w:p w:rsidR="00000000" w:rsidDel="00000000" w:rsidP="00000000" w:rsidRDefault="00000000" w:rsidRPr="00000000" w14:paraId="000000AC">
      <w:pPr>
        <w:ind w:left="1276"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3.1.1.1. Para Obras Públicas y Acciones de Beneficio Social.</w:t>
      </w:r>
    </w:p>
    <w:p w:rsidR="00000000" w:rsidDel="00000000" w:rsidP="00000000" w:rsidRDefault="00000000" w:rsidRPr="00000000" w14:paraId="000000AD">
      <w:pPr>
        <w:ind w:left="1276"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3.1.1.2. Para Obras de Impacto Vial.</w:t>
      </w:r>
    </w:p>
    <w:p w:rsidR="00000000" w:rsidDel="00000000" w:rsidP="00000000" w:rsidRDefault="00000000" w:rsidRPr="00000000" w14:paraId="000000AE">
      <w:pPr>
        <w:ind w:left="1276"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3.1.1.3. Por Servicios Ambientales.</w:t>
      </w:r>
    </w:p>
    <w:p w:rsidR="00000000" w:rsidDel="00000000" w:rsidP="00000000" w:rsidRDefault="00000000" w:rsidRPr="00000000" w14:paraId="000000AF">
      <w:pPr>
        <w:ind w:left="851"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3.1.2. Accesorios de Contribución o Aportación de Mejoras por Obras Públicas.</w:t>
      </w:r>
    </w:p>
    <w:p w:rsidR="00000000" w:rsidDel="00000000" w:rsidP="00000000" w:rsidRDefault="00000000" w:rsidRPr="00000000" w14:paraId="000000B0">
      <w:pPr>
        <w:ind w:left="1276"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3.1.2.1. Multas.</w:t>
      </w:r>
    </w:p>
    <w:p w:rsidR="00000000" w:rsidDel="00000000" w:rsidP="00000000" w:rsidRDefault="00000000" w:rsidRPr="00000000" w14:paraId="000000B1">
      <w:pPr>
        <w:ind w:left="1276"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3.1.2.2. Recargos.</w:t>
      </w:r>
    </w:p>
    <w:p w:rsidR="00000000" w:rsidDel="00000000" w:rsidP="00000000" w:rsidRDefault="00000000" w:rsidRPr="00000000" w14:paraId="000000B2">
      <w:pPr>
        <w:ind w:left="1276"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3.1.2.3. Gastos de Ejecución.</w:t>
      </w:r>
    </w:p>
    <w:p w:rsidR="00000000" w:rsidDel="00000000" w:rsidP="00000000" w:rsidRDefault="00000000" w:rsidRPr="00000000" w14:paraId="000000B3">
      <w:pPr>
        <w:ind w:left="1276"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3.1.2.4. Indemnización por Devolución de Cheques.</w:t>
      </w:r>
    </w:p>
    <w:p w:rsidR="00000000" w:rsidDel="00000000" w:rsidP="00000000" w:rsidRDefault="00000000" w:rsidRPr="00000000" w14:paraId="000000B4">
      <w:pPr>
        <w:ind w:left="851"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3.9. Contribuciones de Mejoras no Comprendidas en la Ley de Ingresos Vigente, Causadas en Ejercicios Fiscales Anteriores Pendientes de Liquidación o Pago…”</w:t>
      </w:r>
    </w:p>
    <w:p w:rsidR="00000000" w:rsidDel="00000000" w:rsidP="00000000" w:rsidRDefault="00000000" w:rsidRPr="00000000" w14:paraId="000000B5">
      <w:pPr>
        <w:ind w:left="851"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B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términos del artículo 4 de la Ley de Ingresos, </w:t>
      </w:r>
      <w:r w:rsidDel="00000000" w:rsidR="00000000" w:rsidRPr="00000000">
        <w:rPr>
          <w:rFonts w:ascii="Palatino Linotype" w:cs="Palatino Linotype" w:eastAsia="Palatino Linotype" w:hAnsi="Palatino Linotype"/>
          <w:b w:val="1"/>
          <w:sz w:val="22"/>
          <w:szCs w:val="22"/>
          <w:rtl w:val="0"/>
        </w:rPr>
        <w:t xml:space="preserve">el pago de las contribuciones por los conceptos a que se refiere el artículo 1 de la Ley de Ingresos,</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u w:val="single"/>
          <w:rtl w:val="0"/>
        </w:rPr>
        <w:t xml:space="preserve">se realiza en las oficinas recaudadoras de la Tesorería Municipal</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correspondiente, en las de los organismos del sector auxiliar de la Administración Pública Municipal, en la Caja General de Gobierno de la Subsecretaría de Tesorería de la Secretaría de Finanzas del Gobierno del Estado de México, cuando se tenga convenio para tal efecto, en instituciones o entidades del sistema financiero mexicano, debidamente autorizadas o en las oficinas o establecimientos que el propio ayuntamiento designe y a través de los medios electrónicos que determine la Tesorería Municipal.</w:t>
      </w:r>
    </w:p>
    <w:p w:rsidR="00000000" w:rsidDel="00000000" w:rsidP="00000000" w:rsidRDefault="00000000" w:rsidRPr="00000000" w14:paraId="000000B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Cabe señalar además, que la Tesorería Municipal es el órgano de la administración pública municipal autorizado para la </w:t>
      </w:r>
      <w:r w:rsidDel="00000000" w:rsidR="00000000" w:rsidRPr="00000000">
        <w:rPr>
          <w:rFonts w:ascii="Palatino Linotype" w:cs="Palatino Linotype" w:eastAsia="Palatino Linotype" w:hAnsi="Palatino Linotype"/>
          <w:b w:val="1"/>
          <w:sz w:val="22"/>
          <w:szCs w:val="22"/>
          <w:rtl w:val="0"/>
        </w:rPr>
        <w:t xml:space="preserve">recaudación de los impuestos, derechos municipales y demás contribuciones de los particulares</w:t>
      </w:r>
      <w:r w:rsidDel="00000000" w:rsidR="00000000" w:rsidRPr="00000000">
        <w:rPr>
          <w:rFonts w:ascii="Palatino Linotype" w:cs="Palatino Linotype" w:eastAsia="Palatino Linotype" w:hAnsi="Palatino Linotype"/>
          <w:sz w:val="22"/>
          <w:szCs w:val="22"/>
          <w:rtl w:val="0"/>
        </w:rPr>
        <w:t xml:space="preserve">, así mismo es responsable de efectuar las erogaciones que realice con cargo al presupuesto aprobado por el Ayuntamiento, de conformidad con los artículos artículo 93 y 95, fracciones I y IV de la Ley Orgánica Municipal del Estado de México, a saber:</w:t>
      </w:r>
    </w:p>
    <w:p w:rsidR="00000000" w:rsidDel="00000000" w:rsidP="00000000" w:rsidRDefault="00000000" w:rsidRPr="00000000" w14:paraId="000000BA">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93.-</w:t>
      </w:r>
      <w:r w:rsidDel="00000000" w:rsidR="00000000" w:rsidRPr="00000000">
        <w:rPr>
          <w:rFonts w:ascii="Palatino Linotype" w:cs="Palatino Linotype" w:eastAsia="Palatino Linotype" w:hAnsi="Palatino Linotype"/>
          <w:i w:val="1"/>
          <w:sz w:val="22"/>
          <w:szCs w:val="22"/>
          <w:rtl w:val="0"/>
        </w:rPr>
        <w:t xml:space="preserve"> La </w:t>
      </w:r>
      <w:r w:rsidDel="00000000" w:rsidR="00000000" w:rsidRPr="00000000">
        <w:rPr>
          <w:rFonts w:ascii="Palatino Linotype" w:cs="Palatino Linotype" w:eastAsia="Palatino Linotype" w:hAnsi="Palatino Linotype"/>
          <w:b w:val="1"/>
          <w:i w:val="1"/>
          <w:sz w:val="22"/>
          <w:szCs w:val="22"/>
          <w:rtl w:val="0"/>
        </w:rPr>
        <w:t xml:space="preserve">tesorería municipal</w:t>
      </w:r>
      <w:r w:rsidDel="00000000" w:rsidR="00000000" w:rsidRPr="00000000">
        <w:rPr>
          <w:rFonts w:ascii="Palatino Linotype" w:cs="Palatino Linotype" w:eastAsia="Palatino Linotype" w:hAnsi="Palatino Linotype"/>
          <w:i w:val="1"/>
          <w:sz w:val="22"/>
          <w:szCs w:val="22"/>
          <w:rtl w:val="0"/>
        </w:rPr>
        <w:t xml:space="preserve"> es el </w:t>
      </w:r>
      <w:r w:rsidDel="00000000" w:rsidR="00000000" w:rsidRPr="00000000">
        <w:rPr>
          <w:rFonts w:ascii="Palatino Linotype" w:cs="Palatino Linotype" w:eastAsia="Palatino Linotype" w:hAnsi="Palatino Linotype"/>
          <w:b w:val="1"/>
          <w:i w:val="1"/>
          <w:sz w:val="22"/>
          <w:szCs w:val="22"/>
          <w:rtl w:val="0"/>
        </w:rPr>
        <w:t xml:space="preserve">órgano encargado de la recaudación de los ingresos municipale</w:t>
      </w:r>
      <w:r w:rsidDel="00000000" w:rsidR="00000000" w:rsidRPr="00000000">
        <w:rPr>
          <w:rFonts w:ascii="Palatino Linotype" w:cs="Palatino Linotype" w:eastAsia="Palatino Linotype" w:hAnsi="Palatino Linotype"/>
          <w:i w:val="1"/>
          <w:sz w:val="22"/>
          <w:szCs w:val="22"/>
          <w:rtl w:val="0"/>
        </w:rPr>
        <w:t xml:space="preserve">s y responsable de realizar las erogaciones que haga el ayuntamiento.</w:t>
      </w:r>
    </w:p>
    <w:p w:rsidR="00000000" w:rsidDel="00000000" w:rsidP="00000000" w:rsidRDefault="00000000" w:rsidRPr="00000000" w14:paraId="000000BB">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C">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95</w:t>
      </w:r>
      <w:r w:rsidDel="00000000" w:rsidR="00000000" w:rsidRPr="00000000">
        <w:rPr>
          <w:rFonts w:ascii="Palatino Linotype" w:cs="Palatino Linotype" w:eastAsia="Palatino Linotype" w:hAnsi="Palatino Linotype"/>
          <w:i w:val="1"/>
          <w:sz w:val="22"/>
          <w:szCs w:val="22"/>
          <w:rtl w:val="0"/>
        </w:rPr>
        <w:t xml:space="preserve">.- Son atribuciones del tesorero municipal: </w:t>
      </w:r>
    </w:p>
    <w:p w:rsidR="00000000" w:rsidDel="00000000" w:rsidP="00000000" w:rsidRDefault="00000000" w:rsidRPr="00000000" w14:paraId="000000BD">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Administrar la hacienda pública municipal, de conformidad con las disposiciones legales aplicables;</w:t>
      </w:r>
    </w:p>
    <w:p w:rsidR="00000000" w:rsidDel="00000000" w:rsidP="00000000" w:rsidRDefault="00000000" w:rsidRPr="00000000" w14:paraId="000000BE">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F">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Llevar los registros contables, financieros y administrativos de los ingresos, egresos, e inventarios;”</w:t>
      </w:r>
    </w:p>
    <w:p w:rsidR="00000000" w:rsidDel="00000000" w:rsidP="00000000" w:rsidRDefault="00000000" w:rsidRPr="00000000" w14:paraId="000000C0">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C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derivado de las atribuciones que le confieren los artículos 53, fracción IV y 162 de la Ley de Transparencia y Acceso a la Información Pública del Estado de México y Municipios, la Unidad de Transparencia turnó la solicitud al área competente para generar, administrar o poseer la información que es del interés de la persona solicitante, esto es, la Tesorería Municipal, sin embargo el servidor público habilitado informó que la información podría ser consultada en la siguiente liga electrónica: </w:t>
      </w:r>
    </w:p>
    <w:p w:rsidR="00000000" w:rsidDel="00000000" w:rsidP="00000000" w:rsidRDefault="00000000" w:rsidRPr="00000000" w14:paraId="000000C3">
      <w:pPr>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3591426" cy="276264"/>
            <wp:effectExtent b="0" l="0" r="0" t="0"/>
            <wp:docPr id="199770679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591426" cy="276264"/>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Liga que como puede advertirse se encuentra en formato cerrado, es decir, que no se puede copiar y pegar para tener acceso; sobre el tema, Trujillo, Humberto (2019), en el “Diccionario de Transparencia y Acceso a la Información Pública”, precisa que cuando un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rsidR="00000000" w:rsidDel="00000000" w:rsidP="00000000" w:rsidRDefault="00000000" w:rsidRPr="00000000" w14:paraId="000000C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establece que al proporcionar información pública es necesario que sea en un formato que no tenga ninguna restricción en el acceso o reutilización, por lo que, es necesario que los datos digitales (como ligas electrónicas), se proporcionen en un formato abierto. </w:t>
      </w:r>
    </w:p>
    <w:p w:rsidR="00000000" w:rsidDel="00000000" w:rsidP="00000000" w:rsidRDefault="00000000" w:rsidRPr="00000000" w14:paraId="000000C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contexto, el artículo 3°, fracción VIII y XIII, de la Ley General de Transparencia y Acceso a la Información Pública, con relación, al diverso 3°, fracciones VIII y XVI de la Ley de Transparencia y Acceso a la Información Pública del Estado de México y Municipios, precisan lo siguiente:</w:t>
      </w:r>
    </w:p>
    <w:p w:rsidR="00000000" w:rsidDel="00000000" w:rsidP="00000000" w:rsidRDefault="00000000" w:rsidRPr="00000000" w14:paraId="000000C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CA">
      <w:pPr>
        <w:numPr>
          <w:ilvl w:val="0"/>
          <w:numId w:val="5"/>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Dato abierto:</w:t>
      </w:r>
      <w:r w:rsidDel="00000000" w:rsidR="00000000" w:rsidRPr="00000000">
        <w:rPr>
          <w:rFonts w:ascii="Palatino Linotype" w:cs="Palatino Linotype" w:eastAsia="Palatino Linotype" w:hAnsi="Palatino Linotype"/>
          <w:sz w:val="22"/>
          <w:szCs w:val="22"/>
          <w:rtl w:val="0"/>
        </w:rPr>
        <w:t xml:space="preserve"> Datos digitales de carácter público que son accesibles en línea que pueden ser usados, reutilizados y redistribuidos por cualquier persona, mismos que se conforman de diversas características, entre las cuales se encuentra que se encuentren en formatos abiertos.</w:t>
      </w:r>
    </w:p>
    <w:p w:rsidR="00000000" w:rsidDel="00000000" w:rsidP="00000000" w:rsidRDefault="00000000" w:rsidRPr="00000000" w14:paraId="000000CB">
      <w:pPr>
        <w:spacing w:line="360" w:lineRule="auto"/>
        <w:ind w:firstLine="6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C">
      <w:pPr>
        <w:numPr>
          <w:ilvl w:val="0"/>
          <w:numId w:val="5"/>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Formato accesible: </w:t>
      </w:r>
      <w:r w:rsidDel="00000000" w:rsidR="00000000" w:rsidRPr="00000000">
        <w:rPr>
          <w:rFonts w:ascii="Palatino Linotype" w:cs="Palatino Linotype" w:eastAsia="Palatino Linotype" w:hAnsi="Palatino Linotype"/>
          <w:sz w:val="22"/>
          <w:szCs w:val="22"/>
          <w:rtl w:val="0"/>
        </w:rPr>
        <w:t xml:space="preserve">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rsidR="00000000" w:rsidDel="00000000" w:rsidP="00000000" w:rsidRDefault="00000000" w:rsidRPr="00000000" w14:paraId="000000C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Conforme a lo anterior, se considera que en el caso de que la información peticionada obre en ligas electrónicas,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deberá privilegiar la entrega de estas, en datos abiertos, es decir, en un formato que permita la accesibilidad y facilidad a los Particulares, para obtener la información contenida en estas.</w:t>
      </w:r>
    </w:p>
    <w:p w:rsidR="00000000" w:rsidDel="00000000" w:rsidP="00000000" w:rsidRDefault="00000000" w:rsidRPr="00000000" w14:paraId="000000C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el artículo 161 de la Ley de Transparencia y Acceso a la Información Pública del Estado de México y Municipios, establece que cuando la documentación peticionada ya se encuentre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rsidR="00000000" w:rsidDel="00000000" w:rsidP="00000000" w:rsidRDefault="00000000" w:rsidRPr="00000000" w14:paraId="000000D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logra observar,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si bien señaló una página electrónica, omitió proporcionarla en formato abierto, lo cual implica la dificultad de acceder a la misma, pues se traduce al hecho de que el particular tendría que colocar cada dígito alfanumérico, y cuya equivocación implicaría no acceder a la información contenida en las mismas.</w:t>
      </w:r>
    </w:p>
    <w:p w:rsidR="00000000" w:rsidDel="00000000" w:rsidP="00000000" w:rsidRDefault="00000000" w:rsidRPr="00000000" w14:paraId="000000D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mayor abundamiento, de conformidad con el artículo 24, fracción V de la Ley de Transparencia y Acceso a la Información Pública del Estado de México y Municipios, los entes públicos se encuentran obligados a promover la generación, documentación y publicación de la información en formatos abiertos y accesibles, es decir, se debe procurar, en la medida de lo posible, que la información que se genere permita su reproducción y reutilización electrónica, de manera libre sin ninguna restricción. </w:t>
      </w:r>
    </w:p>
    <w:p w:rsidR="00000000" w:rsidDel="00000000" w:rsidP="00000000" w:rsidRDefault="00000000" w:rsidRPr="00000000" w14:paraId="000000D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Sin menoscabar lo anterior, en cuanto a la publicidad de la recaudación, es oportuno referir que el artículo 92, fracción XLVII de la Ley de Transparencia y Acceso a la Información Pública del Estado de México y Municipios, establece como una obligación de transparencia la de dar a conocer los ingresos recibidos por los Sujetos Obligados, por cualquier concepto, como se lee enseguida:</w:t>
      </w:r>
    </w:p>
    <w:p w:rsidR="00000000" w:rsidDel="00000000" w:rsidP="00000000" w:rsidRDefault="00000000" w:rsidRPr="00000000" w14:paraId="000000D8">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92.</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sujetos obligados deberán poner a disposición del público</w:t>
      </w:r>
      <w:r w:rsidDel="00000000" w:rsidR="00000000" w:rsidRPr="00000000">
        <w:rPr>
          <w:rFonts w:ascii="Palatino Linotype" w:cs="Palatino Linotype" w:eastAsia="Palatino Linotype" w:hAnsi="Palatino Linotype"/>
          <w:i w:val="1"/>
          <w:sz w:val="22"/>
          <w:szCs w:val="22"/>
          <w:rtl w:val="0"/>
        </w:rPr>
        <w:t xml:space="preserve">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0D9">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A">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ingresos recibidos por cualquier concepto</w:t>
      </w:r>
      <w:r w:rsidDel="00000000" w:rsidR="00000000" w:rsidRPr="00000000">
        <w:rPr>
          <w:rFonts w:ascii="Palatino Linotype" w:cs="Palatino Linotype" w:eastAsia="Palatino Linotype" w:hAnsi="Palatino Linotype"/>
          <w:i w:val="1"/>
          <w:sz w:val="22"/>
          <w:szCs w:val="22"/>
          <w:rtl w:val="0"/>
        </w:rPr>
        <w:t xml:space="preserve"> señalando el nombre de los responsables de recibirlos, administrarlos y ejercerlos, indicando el destino de cada uno de ellos;”</w:t>
      </w:r>
    </w:p>
    <w:p w:rsidR="00000000" w:rsidDel="00000000" w:rsidP="00000000" w:rsidRDefault="00000000" w:rsidRPr="00000000" w14:paraId="000000D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Entre los que no pueden excluirse los </w:t>
      </w:r>
      <w:r w:rsidDel="00000000" w:rsidR="00000000" w:rsidRPr="00000000">
        <w:rPr>
          <w:rFonts w:ascii="Palatino Linotype" w:cs="Palatino Linotype" w:eastAsia="Palatino Linotype" w:hAnsi="Palatino Linotype"/>
          <w:b w:val="1"/>
          <w:sz w:val="22"/>
          <w:szCs w:val="22"/>
          <w:u w:val="single"/>
          <w:rtl w:val="0"/>
        </w:rPr>
        <w:t xml:space="preserve">impuestos</w:t>
      </w:r>
      <w:r w:rsidDel="00000000" w:rsidR="00000000" w:rsidRPr="00000000">
        <w:rPr>
          <w:rFonts w:ascii="Palatino Linotype" w:cs="Palatino Linotype" w:eastAsia="Palatino Linotype" w:hAnsi="Palatino Linotype"/>
          <w:sz w:val="22"/>
          <w:szCs w:val="22"/>
          <w:rtl w:val="0"/>
        </w:rPr>
        <w:t xml:space="preserve">; cuotas y aportaciones de seguridad social; </w:t>
      </w:r>
      <w:r w:rsidDel="00000000" w:rsidR="00000000" w:rsidRPr="00000000">
        <w:rPr>
          <w:rFonts w:ascii="Palatino Linotype" w:cs="Palatino Linotype" w:eastAsia="Palatino Linotype" w:hAnsi="Palatino Linotype"/>
          <w:b w:val="1"/>
          <w:sz w:val="22"/>
          <w:szCs w:val="22"/>
          <w:u w:val="single"/>
          <w:rtl w:val="0"/>
        </w:rPr>
        <w:t xml:space="preserve">contribuciones </w:t>
      </w:r>
      <w:r w:rsidDel="00000000" w:rsidR="00000000" w:rsidRPr="00000000">
        <w:rPr>
          <w:rFonts w:ascii="Palatino Linotype" w:cs="Palatino Linotype" w:eastAsia="Palatino Linotype" w:hAnsi="Palatino Linotype"/>
          <w:sz w:val="22"/>
          <w:szCs w:val="22"/>
          <w:rtl w:val="0"/>
        </w:rPr>
        <w:t xml:space="preserve">de mejoras; derechos; productos; aprovechamientos; ingresos por venta de bienes y prestaciones de servicios y otros ingresos; participaciones, aportaciones, convenios, incentivos derivados de la colaboración fiscal, fondos distintos de aportaciones, transferencias, asignaciones, subsidios y subvenciones, y pensiones  y jubilaciones; así como transferencias, asignaciones, subsidios y subvenciones, y pensiones y jubilaciones </w:t>
      </w:r>
      <w:r w:rsidDel="00000000" w:rsidR="00000000" w:rsidRPr="00000000">
        <w:rPr>
          <w:rFonts w:ascii="Palatino Linotype" w:cs="Palatino Linotype" w:eastAsia="Palatino Linotype" w:hAnsi="Palatino Linotype"/>
          <w:b w:val="1"/>
          <w:sz w:val="22"/>
          <w:szCs w:val="22"/>
          <w:rtl w:val="0"/>
        </w:rPr>
        <w:t xml:space="preserve">que contempla la Ley de Ingresos de los Municipios del Estado de México, y todo ingreso</w:t>
      </w:r>
      <w:r w:rsidDel="00000000" w:rsidR="00000000" w:rsidRPr="00000000">
        <w:rPr>
          <w:rFonts w:ascii="Palatino Linotype" w:cs="Palatino Linotype" w:eastAsia="Palatino Linotype" w:hAnsi="Palatino Linotype"/>
          <w:sz w:val="22"/>
          <w:szCs w:val="22"/>
          <w:rtl w:val="0"/>
        </w:rPr>
        <w:t xml:space="preserve">, cualquiera que sea su origen o naturaleza, que deba registrarse por la Tesorería Municipal y formar parte de la Cuenta Pública.</w:t>
      </w:r>
    </w:p>
    <w:p w:rsidR="00000000" w:rsidDel="00000000" w:rsidP="00000000" w:rsidRDefault="00000000" w:rsidRPr="00000000" w14:paraId="000000D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Cabe señalar que dicha información se debe publicar conforme a lo establecido en el Anexo I,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para el cumplimiento de la obligación de transparencia prevista en el artículo 70, fracción XLIII, de la Ley General de Transparencia y Acceso a la Información Pública, a saber:</w:t>
      </w:r>
    </w:p>
    <w:p w:rsidR="00000000" w:rsidDel="00000000" w:rsidP="00000000" w:rsidRDefault="00000000" w:rsidRPr="00000000" w14:paraId="000000DF">
      <w:pPr>
        <w:ind w:left="851"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70. </w:t>
      </w:r>
      <w:r w:rsidDel="00000000" w:rsidR="00000000" w:rsidRPr="00000000">
        <w:rPr>
          <w:rFonts w:ascii="Palatino Linotype" w:cs="Palatino Linotype" w:eastAsia="Palatino Linotype" w:hAnsi="Palatino Linotype"/>
          <w:i w:val="1"/>
          <w:sz w:val="22"/>
          <w:szCs w:val="22"/>
          <w:rtl w:val="0"/>
        </w:rPr>
        <w:t xml:space="preserve">En la Ley Federal y de las </w:t>
      </w:r>
      <w:r w:rsidDel="00000000" w:rsidR="00000000" w:rsidRPr="00000000">
        <w:rPr>
          <w:rFonts w:ascii="Palatino Linotype" w:cs="Palatino Linotype" w:eastAsia="Palatino Linotype" w:hAnsi="Palatino Linotype"/>
          <w:b w:val="1"/>
          <w:i w:val="1"/>
          <w:sz w:val="22"/>
          <w:szCs w:val="22"/>
          <w:rtl w:val="0"/>
        </w:rPr>
        <w:t xml:space="preserve">Entidades Federativas se contemplará que los sujetos obligados pongan a disposición del público</w:t>
      </w:r>
      <w:r w:rsidDel="00000000" w:rsidR="00000000" w:rsidRPr="00000000">
        <w:rPr>
          <w:rFonts w:ascii="Palatino Linotype" w:cs="Palatino Linotype" w:eastAsia="Palatino Linotype" w:hAnsi="Palatino Linotype"/>
          <w:i w:val="1"/>
          <w:sz w:val="22"/>
          <w:szCs w:val="22"/>
          <w:rtl w:val="0"/>
        </w:rPr>
        <w:t xml:space="preserve"> y mantengan actualizada,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0E0">
      <w:pPr>
        <w:ind w:left="851"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1">
      <w:pPr>
        <w:ind w:left="851"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ingresos recibidos por cualquier concepto</w:t>
      </w:r>
      <w:r w:rsidDel="00000000" w:rsidR="00000000" w:rsidRPr="00000000">
        <w:rPr>
          <w:rFonts w:ascii="Palatino Linotype" w:cs="Palatino Linotype" w:eastAsia="Palatino Linotype" w:hAnsi="Palatino Linotype"/>
          <w:i w:val="1"/>
          <w:sz w:val="22"/>
          <w:szCs w:val="22"/>
          <w:rtl w:val="0"/>
        </w:rPr>
        <w:t xml:space="preserve"> señalando el nombre de los responsables de recibirlos, administrarlos y ejercerlos, así como su destino, indicando el destino de cada uno de ellos;...”</w:t>
      </w:r>
    </w:p>
    <w:p w:rsidR="00000000" w:rsidDel="00000000" w:rsidP="00000000" w:rsidRDefault="00000000" w:rsidRPr="00000000" w14:paraId="000000E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Los Lineamientos Técnicos Generales disponen que </w:t>
      </w:r>
      <w:r w:rsidDel="00000000" w:rsidR="00000000" w:rsidRPr="00000000">
        <w:rPr>
          <w:rFonts w:ascii="Palatino Linotype" w:cs="Palatino Linotype" w:eastAsia="Palatino Linotype" w:hAnsi="Palatino Linotype"/>
          <w:b w:val="1"/>
          <w:sz w:val="22"/>
          <w:szCs w:val="22"/>
          <w:rtl w:val="0"/>
        </w:rPr>
        <w:t xml:space="preserve">los sujetos obligados publicarán información sobre los recursos recibidos por cualquier concepto, de conformidad con la respectiva ley de ingresos</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u w:val="single"/>
          <w:rtl w:val="0"/>
        </w:rPr>
        <w:t xml:space="preserve">incluidos, los obtenidos por impuestos</w:t>
      </w:r>
      <w:r w:rsidDel="00000000" w:rsidR="00000000" w:rsidRPr="00000000">
        <w:rPr>
          <w:rFonts w:ascii="Palatino Linotype" w:cs="Palatino Linotype" w:eastAsia="Palatino Linotype" w:hAnsi="Palatino Linotype"/>
          <w:sz w:val="22"/>
          <w:szCs w:val="22"/>
          <w:rtl w:val="0"/>
        </w:rPr>
        <w:t xml:space="preserve">, cuotas y aportaciones de seguridad social, </w:t>
      </w:r>
      <w:r w:rsidDel="00000000" w:rsidR="00000000" w:rsidRPr="00000000">
        <w:rPr>
          <w:rFonts w:ascii="Palatino Linotype" w:cs="Palatino Linotype" w:eastAsia="Palatino Linotype" w:hAnsi="Palatino Linotype"/>
          <w:b w:val="1"/>
          <w:sz w:val="22"/>
          <w:szCs w:val="22"/>
          <w:u w:val="single"/>
          <w:rtl w:val="0"/>
        </w:rPr>
        <w:t xml:space="preserve">contribuciones</w:t>
      </w:r>
      <w:r w:rsidDel="00000000" w:rsidR="00000000" w:rsidRPr="00000000">
        <w:rPr>
          <w:rFonts w:ascii="Palatino Linotype" w:cs="Palatino Linotype" w:eastAsia="Palatino Linotype" w:hAnsi="Palatino Linotype"/>
          <w:b w:val="1"/>
          <w:sz w:val="22"/>
          <w:szCs w:val="22"/>
          <w:rtl w:val="0"/>
        </w:rPr>
        <w:t xml:space="preserve"> de mejoras,</w:t>
      </w:r>
      <w:r w:rsidDel="00000000" w:rsidR="00000000" w:rsidRPr="00000000">
        <w:rPr>
          <w:rFonts w:ascii="Palatino Linotype" w:cs="Palatino Linotype" w:eastAsia="Palatino Linotype" w:hAnsi="Palatino Linotype"/>
          <w:sz w:val="22"/>
          <w:szCs w:val="22"/>
          <w:rtl w:val="0"/>
        </w:rPr>
        <w:t xml:space="preserve"> derechos, productos, aprovechamientos, ventas de bienes y servicios, participaciones y aportaciones, transferencias, asignaciones, subsidios, ayudas e ingresos derivados de financiamientos, así como los ingresos recaudados con base en las disposiciones locales aplicables en la materia.</w:t>
      </w:r>
    </w:p>
    <w:p w:rsidR="00000000" w:rsidDel="00000000" w:rsidP="00000000" w:rsidRDefault="00000000" w:rsidRPr="00000000" w14:paraId="000000E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acuerdo con el artículo 61, inciso a) de la Ley General de Contabilidad Gubernamental, aplicable a la Federación, las entidades federativas, los municipios y las demarcaciones territoriales de la Ciudad de México (en su caso), los Sujetos Obligados deberán incluir en sus leyes de ingresos y presupuesto de egresos u ordenamientos equivalentes los apartados específicos correspondientes a:</w:t>
      </w:r>
    </w:p>
    <w:p w:rsidR="00000000" w:rsidDel="00000000" w:rsidP="00000000" w:rsidRDefault="00000000" w:rsidRPr="00000000" w14:paraId="000000E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7">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fuentes de sus ingresos sean ordinarios o extraordinarios,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desagregando el monto de cada una y, </w:t>
      </w:r>
      <w:r w:rsidDel="00000000" w:rsidR="00000000" w:rsidRPr="00000000">
        <w:rPr>
          <w:rFonts w:ascii="Palatino Linotype" w:cs="Palatino Linotype" w:eastAsia="Palatino Linotype" w:hAnsi="Palatino Linotype"/>
          <w:i w:val="1"/>
          <w:sz w:val="22"/>
          <w:szCs w:val="22"/>
          <w:rtl w:val="0"/>
        </w:rPr>
        <w:t xml:space="preserve">en el caso de las entidades federativas y municipios, incluyendo los recursos federales que se estime serán transferidos por la Federación a través de los fondos de participaciones y aportaciones federales, subsidios y convenios de reasignación; </w:t>
      </w:r>
      <w:r w:rsidDel="00000000" w:rsidR="00000000" w:rsidRPr="00000000">
        <w:rPr>
          <w:rFonts w:ascii="Palatino Linotype" w:cs="Palatino Linotype" w:eastAsia="Palatino Linotype" w:hAnsi="Palatino Linotype"/>
          <w:b w:val="1"/>
          <w:i w:val="1"/>
          <w:sz w:val="22"/>
          <w:szCs w:val="22"/>
          <w:u w:val="single"/>
          <w:rtl w:val="0"/>
        </w:rPr>
        <w:t xml:space="preserve">así como los ingresos recaudados con base en las disposiciones locales.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8">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Esta información se organizará de tal forma que se identifiquen el nombre del personal responsable de recibir, administrar y ejercer los recursos; </w:t>
      </w:r>
      <w:r w:rsidDel="00000000" w:rsidR="00000000" w:rsidRPr="00000000">
        <w:rPr>
          <w:rFonts w:ascii="Palatino Linotype" w:cs="Palatino Linotype" w:eastAsia="Palatino Linotype" w:hAnsi="Palatino Linotype"/>
          <w:b w:val="1"/>
          <w:sz w:val="22"/>
          <w:szCs w:val="22"/>
          <w:rtl w:val="0"/>
        </w:rPr>
        <w:t xml:space="preserve">así como los informes trimestrales que especifiquen el destino de dichos recursos. </w:t>
      </w:r>
    </w:p>
    <w:p w:rsidR="00000000" w:rsidDel="00000000" w:rsidP="00000000" w:rsidRDefault="00000000" w:rsidRPr="00000000" w14:paraId="000000E9">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E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información se publicará conforme a los datos y formatos establecidos en los criterios sustantivos de contenido, adjetivos de actualización, adjetivos de confiabilidad y adjetivos de formato:</w:t>
      </w:r>
    </w:p>
    <w:p w:rsidR="00000000" w:rsidDel="00000000" w:rsidP="00000000" w:rsidRDefault="00000000" w:rsidRPr="00000000" w14:paraId="000000EB">
      <w:pPr>
        <w:spacing w:line="360" w:lineRule="auto"/>
        <w:ind w:right="49"/>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537805" cy="966400"/>
            <wp:effectExtent b="0" l="0" r="0" t="0"/>
            <wp:docPr id="1997706798"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4537805" cy="96640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spacing w:line="360" w:lineRule="auto"/>
        <w:ind w:right="49"/>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334020" cy="4430711"/>
            <wp:effectExtent b="0" l="0" r="0" t="0"/>
            <wp:docPr id="1997706797"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334020" cy="4430711"/>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spacing w:line="360" w:lineRule="auto"/>
        <w:ind w:right="49"/>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760691" cy="1440549"/>
            <wp:effectExtent b="0" l="0" r="0" t="0"/>
            <wp:docPr id="1997706800"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4760691" cy="1440549"/>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756275" cy="5315585"/>
            <wp:effectExtent b="0" l="0" r="0" t="0"/>
            <wp:docPr id="1997706799"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756275" cy="531558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2205990</wp:posOffset>
                </wp:positionH>
                <wp:positionV relativeFrom="paragraph">
                  <wp:posOffset>572771</wp:posOffset>
                </wp:positionV>
                <wp:extent cx="2676525" cy="342900"/>
                <wp:effectExtent b="0" l="0" r="0" t="0"/>
                <wp:wrapNone/>
                <wp:docPr id="1997706790" name=""/>
                <a:graphic>
                  <a:graphicData uri="http://schemas.microsoft.com/office/word/2010/wordprocessingShape">
                    <wps:wsp>
                      <wps:cNvSpPr/>
                      <wps:cNvPr id="3" name="Shape 3"/>
                      <wps:spPr>
                        <a:xfrm>
                          <a:off x="4026788" y="3627600"/>
                          <a:ext cx="2638425" cy="304800"/>
                        </a:xfrm>
                        <a:prstGeom prst="rect">
                          <a:avLst/>
                        </a:prstGeom>
                        <a:noFill/>
                        <a:ln cap="flat" cmpd="sng" w="1905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2205990</wp:posOffset>
                </wp:positionH>
                <wp:positionV relativeFrom="paragraph">
                  <wp:posOffset>572771</wp:posOffset>
                </wp:positionV>
                <wp:extent cx="2676525" cy="342900"/>
                <wp:effectExtent b="0" l="0" r="0" t="0"/>
                <wp:wrapNone/>
                <wp:docPr id="1997706790" name="image14.png"/>
                <a:graphic>
                  <a:graphicData uri="http://schemas.openxmlformats.org/drawingml/2006/picture">
                    <pic:pic>
                      <pic:nvPicPr>
                        <pic:cNvPr id="0" name="image14.png"/>
                        <pic:cNvPicPr preferRelativeResize="0"/>
                      </pic:nvPicPr>
                      <pic:blipFill>
                        <a:blip r:embed="rId13"/>
                        <a:srcRect/>
                        <a:stretch>
                          <a:fillRect/>
                        </a:stretch>
                      </pic:blipFill>
                      <pic:spPr>
                        <a:xfrm>
                          <a:off x="0" y="0"/>
                          <a:ext cx="2676525" cy="342900"/>
                        </a:xfrm>
                        <a:prstGeom prst="rect"/>
                        <a:ln/>
                      </pic:spPr>
                    </pic:pic>
                  </a:graphicData>
                </a:graphic>
              </wp:anchor>
            </w:drawing>
          </mc:Fallback>
        </mc:AlternateContent>
      </w:r>
    </w:p>
    <w:p w:rsidR="00000000" w:rsidDel="00000000" w:rsidP="00000000" w:rsidRDefault="00000000" w:rsidRPr="00000000" w14:paraId="000000EF">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0">
      <w:pP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hasta aquí expuesto, como se adelantó, se colige que la recaudación por concepto de impuestos y contribuciones, al ser parte de los ingresos recibidos por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de conformidad con la Ley de Ingresos, constituye información susceptible de transparentarse, por lo tanto, es dable ordenar la entrega del soporte documental donde conste el desglose de los ingresos obtenidos por concepto de impuestos y contribuciones, de los que se adviertan las fuentes de ingresos, cantidades recaudadas, exenciones aplicadas y mecanismos de fiscalización utilizados; del primero de enero de dos mil veintiuno al tres de abril de dos mil veinticinco. </w:t>
      </w:r>
    </w:p>
    <w:p w:rsidR="00000000" w:rsidDel="00000000" w:rsidP="00000000" w:rsidRDefault="00000000" w:rsidRPr="00000000" w14:paraId="000000F1">
      <w:pP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2">
      <w:pP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efectos de lo anterior, es preciso señalar que de conformidad con los artículos 350 del Código Financiero del Estado de México y 32, párrafo primero de la Ley de Fiscalización Superior del Estado de México, los entes municipales deben presentar el informe trimestral dentro de los veinte días posteriores al término del mes correspondiente, el cual debe contener, entre otros formatos, el siguiente:</w:t>
      </w:r>
    </w:p>
    <w:p w:rsidR="00000000" w:rsidDel="00000000" w:rsidP="00000000" w:rsidRDefault="00000000" w:rsidRPr="00000000" w14:paraId="000000F3">
      <w:pP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4">
      <w:pPr>
        <w:tabs>
          <w:tab w:val="left" w:leader="none" w:pos="284"/>
        </w:tabs>
        <w:spacing w:line="360" w:lineRule="auto"/>
        <w:ind w:left="284"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PbRM 09b Estado Comparativo Presupuestal de Ingresos</w:t>
      </w:r>
      <w:r w:rsidDel="00000000" w:rsidR="00000000" w:rsidRPr="00000000">
        <w:rPr>
          <w:rFonts w:ascii="Palatino Linotype" w:cs="Palatino Linotype" w:eastAsia="Palatino Linotype" w:hAnsi="Palatino Linotype"/>
          <w:sz w:val="22"/>
          <w:szCs w:val="22"/>
          <w:rtl w:val="0"/>
        </w:rPr>
        <w:t xml:space="preserve">. Cuya finalidad consiste en conocer </w:t>
      </w:r>
      <w:r w:rsidDel="00000000" w:rsidR="00000000" w:rsidRPr="00000000">
        <w:rPr>
          <w:rFonts w:ascii="Palatino Linotype" w:cs="Palatino Linotype" w:eastAsia="Palatino Linotype" w:hAnsi="Palatino Linotype"/>
          <w:b w:val="1"/>
          <w:sz w:val="22"/>
          <w:szCs w:val="22"/>
          <w:rtl w:val="0"/>
        </w:rPr>
        <w:t xml:space="preserve">la integración mensual por concepto de los ingresos</w:t>
      </w:r>
      <w:r w:rsidDel="00000000" w:rsidR="00000000" w:rsidRPr="00000000">
        <w:rPr>
          <w:rFonts w:ascii="Palatino Linotype" w:cs="Palatino Linotype" w:eastAsia="Palatino Linotype" w:hAnsi="Palatino Linotype"/>
          <w:sz w:val="22"/>
          <w:szCs w:val="22"/>
          <w:rtl w:val="0"/>
        </w:rPr>
        <w:t xml:space="preserve">, autorizados y </w:t>
      </w:r>
      <w:r w:rsidDel="00000000" w:rsidR="00000000" w:rsidRPr="00000000">
        <w:rPr>
          <w:rFonts w:ascii="Palatino Linotype" w:cs="Palatino Linotype" w:eastAsia="Palatino Linotype" w:hAnsi="Palatino Linotype"/>
          <w:b w:val="1"/>
          <w:sz w:val="22"/>
          <w:szCs w:val="22"/>
          <w:rtl w:val="0"/>
        </w:rPr>
        <w:t xml:space="preserve">recaudados</w:t>
      </w:r>
      <w:r w:rsidDel="00000000" w:rsidR="00000000" w:rsidRPr="00000000">
        <w:rPr>
          <w:rFonts w:ascii="Palatino Linotype" w:cs="Palatino Linotype" w:eastAsia="Palatino Linotype" w:hAnsi="Palatino Linotype"/>
          <w:sz w:val="22"/>
          <w:szCs w:val="22"/>
          <w:rtl w:val="0"/>
        </w:rPr>
        <w:t xml:space="preserve">, así como lo acumulado al mes autorizado y ejercido y su variación, de tal manera que permita analizar su comportamiento</w:t>
      </w:r>
      <w:r w:rsidDel="00000000" w:rsidR="00000000" w:rsidRPr="00000000">
        <w:rPr>
          <w:rFonts w:ascii="Palatino Linotype" w:cs="Palatino Linotype" w:eastAsia="Palatino Linotype" w:hAnsi="Palatino Linotype"/>
          <w:b w:val="1"/>
          <w:sz w:val="22"/>
          <w:szCs w:val="22"/>
          <w:rtl w:val="0"/>
        </w:rPr>
        <w:t xml:space="preserve">.</w:t>
      </w:r>
    </w:p>
    <w:p w:rsidR="00000000" w:rsidDel="00000000" w:rsidP="00000000" w:rsidRDefault="00000000" w:rsidRPr="00000000" w14:paraId="000000F5">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751807" cy="3631346"/>
            <wp:effectExtent b="0" l="0" r="0" t="0"/>
            <wp:docPr id="1997706802"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751807" cy="3631346"/>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968627" cy="3457029"/>
            <wp:effectExtent b="0" l="0" r="0" t="0"/>
            <wp:docPr id="1997706801" name="image9.png"/>
            <a:graphic>
              <a:graphicData uri="http://schemas.openxmlformats.org/drawingml/2006/picture">
                <pic:pic>
                  <pic:nvPicPr>
                    <pic:cNvPr id="0" name="image9.png"/>
                    <pic:cNvPicPr preferRelativeResize="0"/>
                  </pic:nvPicPr>
                  <pic:blipFill>
                    <a:blip r:embed="rId15"/>
                    <a:srcRect b="17027" l="0" r="0" t="0"/>
                    <a:stretch>
                      <a:fillRect/>
                    </a:stretch>
                  </pic:blipFill>
                  <pic:spPr>
                    <a:xfrm>
                      <a:off x="0" y="0"/>
                      <a:ext cx="5968627" cy="345702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-19048</wp:posOffset>
                </wp:positionH>
                <wp:positionV relativeFrom="paragraph">
                  <wp:posOffset>2038985</wp:posOffset>
                </wp:positionV>
                <wp:extent cx="5981700" cy="533400"/>
                <wp:effectExtent b="0" l="0" r="0" t="0"/>
                <wp:wrapNone/>
                <wp:docPr id="1997706789" name=""/>
                <a:graphic>
                  <a:graphicData uri="http://schemas.microsoft.com/office/word/2010/wordprocessingShape">
                    <wps:wsp>
                      <wps:cNvSpPr/>
                      <wps:cNvPr id="2" name="Shape 2"/>
                      <wps:spPr>
                        <a:xfrm>
                          <a:off x="2374200" y="3532350"/>
                          <a:ext cx="5943600" cy="495300"/>
                        </a:xfrm>
                        <a:prstGeom prst="rect">
                          <a:avLst/>
                        </a:prstGeom>
                        <a:noFill/>
                        <a:ln cap="flat" cmpd="sng" w="1905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-19048</wp:posOffset>
                </wp:positionH>
                <wp:positionV relativeFrom="paragraph">
                  <wp:posOffset>2038985</wp:posOffset>
                </wp:positionV>
                <wp:extent cx="5981700" cy="533400"/>
                <wp:effectExtent b="0" l="0" r="0" t="0"/>
                <wp:wrapNone/>
                <wp:docPr id="1997706789" name="image13.png"/>
                <a:graphic>
                  <a:graphicData uri="http://schemas.openxmlformats.org/drawingml/2006/picture">
                    <pic:pic>
                      <pic:nvPicPr>
                        <pic:cNvPr id="0" name="image13.png"/>
                        <pic:cNvPicPr preferRelativeResize="0"/>
                      </pic:nvPicPr>
                      <pic:blipFill>
                        <a:blip r:embed="rId13"/>
                        <a:srcRect/>
                        <a:stretch>
                          <a:fillRect/>
                        </a:stretch>
                      </pic:blipFill>
                      <pic:spPr>
                        <a:xfrm>
                          <a:off x="0" y="0"/>
                          <a:ext cx="5981700" cy="533400"/>
                        </a:xfrm>
                        <a:prstGeom prst="rect"/>
                        <a:ln/>
                      </pic:spPr>
                    </pic:pic>
                  </a:graphicData>
                </a:graphic>
              </wp:anchor>
            </w:drawing>
          </mc:Fallback>
        </mc:AlternateContent>
      </w:r>
    </w:p>
    <w:p w:rsidR="00000000" w:rsidDel="00000000" w:rsidP="00000000" w:rsidRDefault="00000000" w:rsidRPr="00000000" w14:paraId="000000F7">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756275" cy="3815715"/>
            <wp:effectExtent b="0" l="0" r="0" t="0"/>
            <wp:docPr id="1997706805"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5756275" cy="381571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-19047</wp:posOffset>
                </wp:positionH>
                <wp:positionV relativeFrom="paragraph">
                  <wp:posOffset>-19049</wp:posOffset>
                </wp:positionV>
                <wp:extent cx="5794375" cy="647700"/>
                <wp:effectExtent b="0" l="0" r="0" t="0"/>
                <wp:wrapNone/>
                <wp:docPr id="1997706791" name=""/>
                <a:graphic>
                  <a:graphicData uri="http://schemas.microsoft.com/office/word/2010/wordprocessingShape">
                    <wps:wsp>
                      <wps:cNvSpPr/>
                      <wps:cNvPr id="4" name="Shape 4"/>
                      <wps:spPr>
                        <a:xfrm>
                          <a:off x="2467863" y="3475200"/>
                          <a:ext cx="5756275" cy="609600"/>
                        </a:xfrm>
                        <a:prstGeom prst="rect">
                          <a:avLst/>
                        </a:prstGeom>
                        <a:noFill/>
                        <a:ln cap="flat" cmpd="sng" w="1905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-19047</wp:posOffset>
                </wp:positionH>
                <wp:positionV relativeFrom="paragraph">
                  <wp:posOffset>-19049</wp:posOffset>
                </wp:positionV>
                <wp:extent cx="5794375" cy="647700"/>
                <wp:effectExtent b="0" l="0" r="0" t="0"/>
                <wp:wrapNone/>
                <wp:docPr id="1997706791" name="image15.png"/>
                <a:graphic>
                  <a:graphicData uri="http://schemas.openxmlformats.org/drawingml/2006/picture">
                    <pic:pic>
                      <pic:nvPicPr>
                        <pic:cNvPr id="0" name="image15.png"/>
                        <pic:cNvPicPr preferRelativeResize="0"/>
                      </pic:nvPicPr>
                      <pic:blipFill>
                        <a:blip r:embed="rId13"/>
                        <a:srcRect/>
                        <a:stretch>
                          <a:fillRect/>
                        </a:stretch>
                      </pic:blipFill>
                      <pic:spPr>
                        <a:xfrm>
                          <a:off x="0" y="0"/>
                          <a:ext cx="5794375" cy="647700"/>
                        </a:xfrm>
                        <a:prstGeom prst="rect"/>
                        <a:ln/>
                      </pic:spPr>
                    </pic:pic>
                  </a:graphicData>
                </a:graphic>
              </wp:anchor>
            </w:drawing>
          </mc:Fallback>
        </mc:AlternateContent>
      </w:r>
    </w:p>
    <w:p w:rsidR="00000000" w:rsidDel="00000000" w:rsidP="00000000" w:rsidRDefault="00000000" w:rsidRPr="00000000" w14:paraId="000000F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advierte, el formato PbRM 09b Estado Comparativo Presupuestal de Ingresos, contiene entre otros datos, </w:t>
      </w:r>
      <w:r w:rsidDel="00000000" w:rsidR="00000000" w:rsidRPr="00000000">
        <w:rPr>
          <w:rFonts w:ascii="Palatino Linotype" w:cs="Palatino Linotype" w:eastAsia="Palatino Linotype" w:hAnsi="Palatino Linotype"/>
          <w:b w:val="1"/>
          <w:sz w:val="22"/>
          <w:szCs w:val="22"/>
          <w:rtl w:val="0"/>
        </w:rPr>
        <w:t xml:space="preserve">el concepto específico de la cuenta</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que genera el ingreso</w:t>
      </w:r>
      <w:r w:rsidDel="00000000" w:rsidR="00000000" w:rsidRPr="00000000">
        <w:rPr>
          <w:rFonts w:ascii="Palatino Linotype" w:cs="Palatino Linotype" w:eastAsia="Palatino Linotype" w:hAnsi="Palatino Linotype"/>
          <w:sz w:val="22"/>
          <w:szCs w:val="22"/>
          <w:rtl w:val="0"/>
        </w:rPr>
        <w:t xml:space="preserve">, así como el </w:t>
      </w:r>
      <w:r w:rsidDel="00000000" w:rsidR="00000000" w:rsidRPr="00000000">
        <w:rPr>
          <w:rFonts w:ascii="Palatino Linotype" w:cs="Palatino Linotype" w:eastAsia="Palatino Linotype" w:hAnsi="Palatino Linotype"/>
          <w:b w:val="1"/>
          <w:sz w:val="22"/>
          <w:szCs w:val="22"/>
          <w:rtl w:val="0"/>
        </w:rPr>
        <w:t xml:space="preserve">monto de la recaudación acumulada</w:t>
      </w:r>
      <w:r w:rsidDel="00000000" w:rsidR="00000000" w:rsidRPr="00000000">
        <w:rPr>
          <w:rFonts w:ascii="Palatino Linotype" w:cs="Palatino Linotype" w:eastAsia="Palatino Linotype" w:hAnsi="Palatino Linotype"/>
          <w:sz w:val="22"/>
          <w:szCs w:val="22"/>
          <w:rtl w:val="0"/>
        </w:rPr>
        <w:t xml:space="preserve"> al mes en el que se informa, por lo tanto con la finalidad de garantizar el Derecho humano de acceso a la información, y a fin de reparar el agravio causado ante la omisión en que incurriera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se estima que los documentos a través del cual puede dar cumplimiento a la presente resolución es el formato que corresponda del primer trimestre de dos mil veintiuno al primer trimestre de dos mil veinticinco, por medio del cual la persona solicitante podrá conocer las fuentes de ingreso y el monto total recaudado por concepto de impuestos y contribuciones, mismo que debe generar como parte de sus obligaciones fiscales.</w:t>
      </w:r>
    </w:p>
    <w:p w:rsidR="00000000" w:rsidDel="00000000" w:rsidP="00000000" w:rsidRDefault="00000000" w:rsidRPr="00000000" w14:paraId="000000F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respecto a las exenciones aplicadas que desea conocer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la Real Academia Española define la exención como </w:t>
      </w:r>
      <w:r w:rsidDel="00000000" w:rsidR="00000000" w:rsidRPr="00000000">
        <w:rPr>
          <w:rFonts w:ascii="Palatino Linotype" w:cs="Palatino Linotype" w:eastAsia="Palatino Linotype" w:hAnsi="Palatino Linotype"/>
          <w:i w:val="1"/>
          <w:sz w:val="22"/>
          <w:szCs w:val="22"/>
          <w:rtl w:val="0"/>
        </w:rPr>
        <w:t xml:space="preserve">“f. Der. Ventaja fiscal de la que por ley se beneficia un contribuyente y en virtud de la cual </w:t>
      </w:r>
      <w:r w:rsidDel="00000000" w:rsidR="00000000" w:rsidRPr="00000000">
        <w:rPr>
          <w:rFonts w:ascii="Palatino Linotype" w:cs="Palatino Linotype" w:eastAsia="Palatino Linotype" w:hAnsi="Palatino Linotype"/>
          <w:i w:val="1"/>
          <w:sz w:val="22"/>
          <w:szCs w:val="22"/>
          <w:u w:val="single"/>
          <w:rtl w:val="0"/>
        </w:rPr>
        <w:t xml:space="preserve">es exonerado del pago total o parcial de un tributo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de este modo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se entiende que lo que desea obtener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es el documento que de cuenta de las exenciones otorgadas por el pago de impuestos y contribuciones por parte del ayuntamiento; por lo que este Organismo Garante advierte que el documento que de manera enunciativa más no limitativa que puede dar cuenta de la información solicitada, puede ser un Acta de Cabildo en la que se apruebe la exención de pago de impuestos y contribuciones municipales, ya que para que se exonere un pago por cualquier concepto, este debe ser previamente autorizado; tan es así que, a manera de ejemplo se encontró que los ayuntamientos aprueban las exenciones de pago, mediante cabildo, por ejemplo: el Ayuntamiento de Toluca, tal y como se advierte a continuación: </w:t>
      </w:r>
    </w:p>
    <w:p w:rsidR="00000000" w:rsidDel="00000000" w:rsidP="00000000" w:rsidRDefault="00000000" w:rsidRPr="00000000" w14:paraId="000000F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756275" cy="1463675"/>
            <wp:effectExtent b="0" l="0" r="0" t="0"/>
            <wp:docPr id="1997706803"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5756275" cy="1463675"/>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756275" cy="471170"/>
            <wp:effectExtent b="0" l="0" r="0" t="0"/>
            <wp:docPr id="1997706804"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5756275" cy="471170"/>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y respecto a los mecanismos de fiscalización, se trata de las herramientas y procesos que se utilizan para supervisar y evaluar la gestión de los recursos públicos, garantizando la transparencia, la legalidad, la eficiencia y la rendición de cuentas; por ello, este Instituto considera que de manera enunciativa más no limitativa, el documento que puede dar atención a dicho requerimiento, son las disposiciones normativas que utiliza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para la obtención de los ingresos, como lo son por ejemplo los Informe Trimestrales y el uso de sistemas; por lo que resulta procedente su entrega. </w:t>
      </w:r>
    </w:p>
    <w:p w:rsidR="00000000" w:rsidDel="00000000" w:rsidP="00000000" w:rsidRDefault="00000000" w:rsidRPr="00000000" w14:paraId="0000010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dado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se encuentra constreñido a documentar todo acto que derive del ejercicio sus facultades, competencias o funciones, considerando desde su origen la eventual publicidad y reutilización de la información que generen, según lo dispuesto en los artículos 18, 24 fracción XXII y 160 párrafo primero de la Ley de la Materia, que son del tenor literal siguiente:</w:t>
      </w:r>
    </w:p>
    <w:p w:rsidR="00000000" w:rsidDel="00000000" w:rsidP="00000000" w:rsidRDefault="00000000" w:rsidRPr="00000000" w14:paraId="00000102">
      <w:pPr>
        <w:pBdr>
          <w:top w:space="0" w:sz="0" w:val="nil"/>
          <w:left w:space="0" w:sz="0" w:val="nil"/>
          <w:bottom w:space="0" w:sz="0" w:val="nil"/>
          <w:right w:space="0" w:sz="0" w:val="nil"/>
          <w:between w:space="0" w:sz="0" w:val="nil"/>
        </w:pBdr>
        <w:ind w:left="851" w:right="902"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18</w:t>
      </w:r>
      <w:r w:rsidDel="00000000" w:rsidR="00000000" w:rsidRPr="00000000">
        <w:rPr>
          <w:rFonts w:ascii="Palatino Linotype" w:cs="Palatino Linotype" w:eastAsia="Palatino Linotype" w:hAnsi="Palatino Linotype"/>
          <w:i w:val="1"/>
          <w:sz w:val="22"/>
          <w:szCs w:val="22"/>
          <w:rtl w:val="0"/>
        </w:rPr>
        <w:t xml:space="preserve">. Los sujetos obligados deberán documentar todo acto que derive del ejercicio de sus facultades, competencias o funciones, considerando desde su origen la eventual publicidad y reutilización de la información que generen.</w:t>
      </w:r>
    </w:p>
    <w:p w:rsidR="00000000" w:rsidDel="00000000" w:rsidP="00000000" w:rsidRDefault="00000000" w:rsidRPr="00000000" w14:paraId="00000104">
      <w:pPr>
        <w:pBdr>
          <w:top w:space="0" w:sz="0" w:val="nil"/>
          <w:left w:space="0" w:sz="0" w:val="nil"/>
          <w:bottom w:space="0" w:sz="0" w:val="nil"/>
          <w:right w:space="0" w:sz="0" w:val="nil"/>
          <w:between w:space="0" w:sz="0" w:val="nil"/>
        </w:pBd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05">
      <w:pPr>
        <w:pBdr>
          <w:top w:space="0" w:sz="0" w:val="nil"/>
          <w:left w:space="0" w:sz="0" w:val="nil"/>
          <w:bottom w:space="0" w:sz="0" w:val="nil"/>
          <w:right w:space="0" w:sz="0" w:val="nil"/>
          <w:between w:space="0" w:sz="0" w:val="nil"/>
        </w:pBd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24.</w:t>
      </w:r>
      <w:r w:rsidDel="00000000" w:rsidR="00000000" w:rsidRPr="00000000">
        <w:rPr>
          <w:rFonts w:ascii="Palatino Linotype" w:cs="Palatino Linotype" w:eastAsia="Palatino Linotype" w:hAnsi="Palatino Linotype"/>
          <w:i w:val="1"/>
          <w:sz w:val="22"/>
          <w:szCs w:val="22"/>
          <w:rtl w:val="0"/>
        </w:rPr>
        <w:t xml:space="preserve"> Para el cumplimiento de los objetivos de esta Ley, los sujetos obligados deberán cumplir con las siguientes obligaciones, según corresponda, de acuerdo a su naturaleza:</w:t>
      </w:r>
    </w:p>
    <w:p w:rsidR="00000000" w:rsidDel="00000000" w:rsidP="00000000" w:rsidRDefault="00000000" w:rsidRPr="00000000" w14:paraId="00000106">
      <w:pPr>
        <w:pBdr>
          <w:top w:space="0" w:sz="0" w:val="nil"/>
          <w:left w:space="0" w:sz="0" w:val="nil"/>
          <w:bottom w:space="0" w:sz="0" w:val="nil"/>
          <w:right w:space="0" w:sz="0" w:val="nil"/>
          <w:between w:space="0" w:sz="0" w:val="nil"/>
        </w:pBd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XXII.</w:t>
      </w:r>
      <w:r w:rsidDel="00000000" w:rsidR="00000000" w:rsidRPr="00000000">
        <w:rPr>
          <w:rFonts w:ascii="Palatino Linotype" w:cs="Palatino Linotype" w:eastAsia="Palatino Linotype" w:hAnsi="Palatino Linotype"/>
          <w:i w:val="1"/>
          <w:sz w:val="22"/>
          <w:szCs w:val="22"/>
          <w:rtl w:val="0"/>
        </w:rPr>
        <w:t xml:space="preserve"> Documentar todo acto que derive del ejercicio de sus facultades, competencias o funciones y abstenerse de destruirlos u ocultarlos, dentro de los que destacan los procesos deliberativos y de decisión definitiva;</w:t>
      </w:r>
    </w:p>
    <w:p w:rsidR="00000000" w:rsidDel="00000000" w:rsidP="00000000" w:rsidRDefault="00000000" w:rsidRPr="00000000" w14:paraId="00000107">
      <w:pPr>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108">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160</w:t>
      </w:r>
      <w:r w:rsidDel="00000000" w:rsidR="00000000" w:rsidRPr="00000000">
        <w:rPr>
          <w:rFonts w:ascii="Palatino Linotype" w:cs="Palatino Linotype" w:eastAsia="Palatino Linotype" w:hAnsi="Palatino Linotype"/>
          <w:i w:val="1"/>
          <w:sz w:val="22"/>
          <w:szCs w:val="22"/>
          <w:rtl w:val="0"/>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000000" w:rsidDel="00000000" w:rsidP="00000000" w:rsidRDefault="00000000" w:rsidRPr="00000000" w14:paraId="0000010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hasta aquí expuesto, se concluye que los motivos de inconformidad de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devienen fundados, siendo procedente </w:t>
      </w:r>
      <w:r w:rsidDel="00000000" w:rsidR="00000000" w:rsidRPr="00000000">
        <w:rPr>
          <w:rFonts w:ascii="Palatino Linotype" w:cs="Palatino Linotype" w:eastAsia="Palatino Linotype" w:hAnsi="Palatino Linotype"/>
          <w:i w:val="1"/>
          <w:sz w:val="22"/>
          <w:szCs w:val="22"/>
          <w:rtl w:val="0"/>
        </w:rPr>
        <w:t xml:space="preserve">Revocar </w:t>
      </w:r>
      <w:r w:rsidDel="00000000" w:rsidR="00000000" w:rsidRPr="00000000">
        <w:rPr>
          <w:rFonts w:ascii="Palatino Linotype" w:cs="Palatino Linotype" w:eastAsia="Palatino Linotype" w:hAnsi="Palatino Linotype"/>
          <w:sz w:val="22"/>
          <w:szCs w:val="22"/>
          <w:rtl w:val="0"/>
        </w:rPr>
        <w:t xml:space="preserve">la respuesta proporcionada por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 términos del artículo 186 fracción III de la Ley de Transparencia y Acceso a la Información Pública del Estado de México y Municipios.</w:t>
      </w:r>
    </w:p>
    <w:p w:rsidR="00000000" w:rsidDel="00000000" w:rsidP="00000000" w:rsidRDefault="00000000" w:rsidRPr="00000000" w14:paraId="0000010B">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noveno, cuadragésimo y cuadragésimo primero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10D">
      <w:pPr>
        <w:widowControl w:val="0"/>
        <w:spacing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III. R E S U E L V E:</w:t>
      </w:r>
    </w:p>
    <w:p w:rsidR="00000000" w:rsidDel="00000000" w:rsidP="00000000" w:rsidRDefault="00000000" w:rsidRPr="00000000" w14:paraId="0000010E">
      <w:pPr>
        <w:spacing w:line="360" w:lineRule="auto"/>
        <w:jc w:val="both"/>
        <w:rPr>
          <w:rFonts w:ascii="Palatino Linotype" w:cs="Palatino Linotype" w:eastAsia="Palatino Linotype" w:hAnsi="Palatino Linotype"/>
          <w:b w:val="1"/>
          <w:sz w:val="22"/>
          <w:szCs w:val="22"/>
          <w:u w:val="single"/>
        </w:rPr>
      </w:pPr>
      <w:r w:rsidDel="00000000" w:rsidR="00000000" w:rsidRPr="00000000">
        <w:rPr>
          <w:rtl w:val="0"/>
        </w:rPr>
      </w:r>
    </w:p>
    <w:p w:rsidR="00000000" w:rsidDel="00000000" w:rsidP="00000000" w:rsidRDefault="00000000" w:rsidRPr="00000000" w14:paraId="0000010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Se </w:t>
      </w:r>
      <w:r w:rsidDel="00000000" w:rsidR="00000000" w:rsidRPr="00000000">
        <w:rPr>
          <w:rFonts w:ascii="Palatino Linotype" w:cs="Palatino Linotype" w:eastAsia="Palatino Linotype" w:hAnsi="Palatino Linotype"/>
          <w:b w:val="1"/>
          <w:sz w:val="22"/>
          <w:szCs w:val="22"/>
          <w:rtl w:val="0"/>
        </w:rPr>
        <w:t xml:space="preserve">Revoca </w:t>
      </w:r>
      <w:r w:rsidDel="00000000" w:rsidR="00000000" w:rsidRPr="00000000">
        <w:rPr>
          <w:rFonts w:ascii="Palatino Linotype" w:cs="Palatino Linotype" w:eastAsia="Palatino Linotype" w:hAnsi="Palatino Linotype"/>
          <w:sz w:val="22"/>
          <w:szCs w:val="22"/>
          <w:rtl w:val="0"/>
        </w:rPr>
        <w:t xml:space="preserve">la respuesta entregada por el</w:t>
      </w:r>
      <w:r w:rsidDel="00000000" w:rsidR="00000000" w:rsidRPr="00000000">
        <w:rPr>
          <w:rFonts w:ascii="Palatino Linotype" w:cs="Palatino Linotype" w:eastAsia="Palatino Linotype" w:hAnsi="Palatino Linotype"/>
          <w:b w:val="1"/>
          <w:sz w:val="22"/>
          <w:szCs w:val="22"/>
          <w:rtl w:val="0"/>
        </w:rPr>
        <w:t xml:space="preserve"> Sujeto Obligado </w:t>
      </w:r>
      <w:r w:rsidDel="00000000" w:rsidR="00000000" w:rsidRPr="00000000">
        <w:rPr>
          <w:rFonts w:ascii="Palatino Linotype" w:cs="Palatino Linotype" w:eastAsia="Palatino Linotype" w:hAnsi="Palatino Linotype"/>
          <w:sz w:val="22"/>
          <w:szCs w:val="22"/>
          <w:rtl w:val="0"/>
        </w:rPr>
        <w:t xml:space="preserve">a la solicitud de información </w:t>
      </w:r>
      <w:r w:rsidDel="00000000" w:rsidR="00000000" w:rsidRPr="00000000">
        <w:rPr>
          <w:rFonts w:ascii="Palatino Linotype" w:cs="Palatino Linotype" w:eastAsia="Palatino Linotype" w:hAnsi="Palatino Linotype"/>
          <w:b w:val="1"/>
          <w:sz w:val="22"/>
          <w:szCs w:val="22"/>
          <w:rtl w:val="0"/>
        </w:rPr>
        <w:t xml:space="preserve">00194/ZINACANT/IP/2025, </w:t>
      </w:r>
      <w:r w:rsidDel="00000000" w:rsidR="00000000" w:rsidRPr="00000000">
        <w:rPr>
          <w:rFonts w:ascii="Palatino Linotype" w:cs="Palatino Linotype" w:eastAsia="Palatino Linotype" w:hAnsi="Palatino Linotype"/>
          <w:sz w:val="22"/>
          <w:szCs w:val="22"/>
          <w:rtl w:val="0"/>
        </w:rPr>
        <w:t xml:space="preserve">por resultar fundadas las razones o motivos de inconformidad hechos valer por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en el recurso de revisión </w:t>
      </w:r>
      <w:r w:rsidDel="00000000" w:rsidR="00000000" w:rsidRPr="00000000">
        <w:rPr>
          <w:rFonts w:ascii="Palatino Linotype" w:cs="Palatino Linotype" w:eastAsia="Palatino Linotype" w:hAnsi="Palatino Linotype"/>
          <w:b w:val="1"/>
          <w:sz w:val="22"/>
          <w:szCs w:val="22"/>
          <w:rtl w:val="0"/>
        </w:rPr>
        <w:t xml:space="preserve">05139/INFOEM/IP/RR/2025,</w:t>
      </w:r>
      <w:r w:rsidDel="00000000" w:rsidR="00000000" w:rsidRPr="00000000">
        <w:rPr>
          <w:rFonts w:ascii="Palatino Linotype" w:cs="Palatino Linotype" w:eastAsia="Palatino Linotype" w:hAnsi="Palatino Linotype"/>
          <w:sz w:val="22"/>
          <w:szCs w:val="22"/>
          <w:rtl w:val="0"/>
        </w:rPr>
        <w:t xml:space="preserve"> en términos del considerando </w:t>
      </w:r>
      <w:r w:rsidDel="00000000" w:rsidR="00000000" w:rsidRPr="00000000">
        <w:rPr>
          <w:rFonts w:ascii="Palatino Linotype" w:cs="Palatino Linotype" w:eastAsia="Palatino Linotype" w:hAnsi="Palatino Linotype"/>
          <w:b w:val="1"/>
          <w:sz w:val="22"/>
          <w:szCs w:val="22"/>
          <w:rtl w:val="0"/>
        </w:rPr>
        <w:t xml:space="preserve">Cuarto</w:t>
      </w:r>
      <w:r w:rsidDel="00000000" w:rsidR="00000000" w:rsidRPr="00000000">
        <w:rPr>
          <w:rFonts w:ascii="Palatino Linotype" w:cs="Palatino Linotype" w:eastAsia="Palatino Linotype" w:hAnsi="Palatino Linotype"/>
          <w:sz w:val="22"/>
          <w:szCs w:val="22"/>
          <w:rtl w:val="0"/>
        </w:rPr>
        <w:t xml:space="preserve"> de la presente Resolución.</w:t>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w:t>
      </w:r>
      <w:r w:rsidDel="00000000" w:rsidR="00000000" w:rsidRPr="00000000">
        <w:rPr>
          <w:rFonts w:ascii="Palatino Linotype" w:cs="Palatino Linotype" w:eastAsia="Palatino Linotype" w:hAnsi="Palatino Linotype"/>
          <w:sz w:val="22"/>
          <w:szCs w:val="22"/>
          <w:rtl w:val="0"/>
        </w:rPr>
        <w:t xml:space="preserve">Se</w:t>
      </w:r>
      <w:r w:rsidDel="00000000" w:rsidR="00000000" w:rsidRPr="00000000">
        <w:rPr>
          <w:rFonts w:ascii="Palatino Linotype" w:cs="Palatino Linotype" w:eastAsia="Palatino Linotype" w:hAnsi="Palatino Linotype"/>
          <w:b w:val="1"/>
          <w:sz w:val="22"/>
          <w:szCs w:val="22"/>
          <w:rtl w:val="0"/>
        </w:rPr>
        <w:t xml:space="preserve"> ORDENA </w:t>
      </w:r>
      <w:r w:rsidDel="00000000" w:rsidR="00000000" w:rsidRPr="00000000">
        <w:rPr>
          <w:rFonts w:ascii="Palatino Linotype" w:cs="Palatino Linotype" w:eastAsia="Palatino Linotype" w:hAnsi="Palatino Linotype"/>
          <w:sz w:val="22"/>
          <w:szCs w:val="22"/>
          <w:rtl w:val="0"/>
        </w:rPr>
        <w:t xml:space="preserve">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que,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en términos del Considerando Cuarto, haga entrega, vía Sistema de Acceso a la Información Mexiquense (SAIMEX), del soporte documental donde conste lo siguiente:</w:t>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3">
      <w:pPr>
        <w:numPr>
          <w:ilvl w:val="0"/>
          <w:numId w:val="1"/>
        </w:numPr>
        <w:pBdr>
          <w:top w:space="0" w:sz="0" w:val="nil"/>
          <w:left w:space="0" w:sz="0" w:val="nil"/>
          <w:bottom w:space="0" w:sz="0" w:val="nil"/>
          <w:right w:space="0" w:sz="0" w:val="nil"/>
          <w:between w:space="0" w:sz="0" w:val="nil"/>
        </w:pBdr>
        <w:tabs>
          <w:tab w:val="left" w:leader="none" w:pos="851"/>
        </w:tabs>
        <w:spacing w:line="360" w:lineRule="auto"/>
        <w:ind w:left="720" w:right="5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Desglose de ingresos obtenidos por concepto de impuestos y contribuciones, de los que se adviertan las fuentes de ingresos, cantidades recaudadas, exenciones aplicadas y mecanismos de fiscalización utilizados; del primero de enero de dos mil veintiuno al tres de abril de dos mil veinticinco. </w:t>
      </w:r>
      <w:r w:rsidDel="00000000" w:rsidR="00000000" w:rsidRPr="00000000">
        <w:rPr>
          <w:rtl w:val="0"/>
        </w:rPr>
      </w:r>
    </w:p>
    <w:p w:rsidR="00000000" w:rsidDel="00000000" w:rsidP="00000000" w:rsidRDefault="00000000" w:rsidRPr="00000000" w14:paraId="00000114">
      <w:pPr>
        <w:spacing w:line="360" w:lineRule="auto"/>
        <w:ind w:right="49"/>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15">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Notifíquese </w:t>
      </w:r>
      <w:r w:rsidDel="00000000" w:rsidR="00000000" w:rsidRPr="00000000">
        <w:rPr>
          <w:rFonts w:ascii="Palatino Linotype" w:cs="Palatino Linotype" w:eastAsia="Palatino Linotype" w:hAnsi="Palatino Linotype"/>
          <w:sz w:val="22"/>
          <w:szCs w:val="22"/>
          <w:rtl w:val="0"/>
        </w:rPr>
        <w:t xml:space="preserve">la presente resolución al T</w:t>
      </w:r>
      <w:r w:rsidDel="00000000" w:rsidR="00000000" w:rsidRPr="00000000">
        <w:rPr>
          <w:rFonts w:ascii="Palatino Linotype" w:cs="Palatino Linotype" w:eastAsia="Palatino Linotype" w:hAnsi="Palatino Linotype"/>
          <w:b w:val="1"/>
          <w:sz w:val="22"/>
          <w:szCs w:val="22"/>
          <w:rtl w:val="0"/>
        </w:rPr>
        <w:t xml:space="preserve">itular de la Unidad de Transparencia </w:t>
      </w:r>
      <w:r w:rsidDel="00000000" w:rsidR="00000000" w:rsidRPr="00000000">
        <w:rPr>
          <w:rFonts w:ascii="Palatino Linotype" w:cs="Palatino Linotype" w:eastAsia="Palatino Linotype" w:hAnsi="Palatino Linotype"/>
          <w:sz w:val="22"/>
          <w:szCs w:val="22"/>
          <w:rtl w:val="0"/>
        </w:rPr>
        <w:t xml:space="preserve">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rsidR="00000000" w:rsidDel="00000000" w:rsidP="00000000" w:rsidRDefault="00000000" w:rsidRPr="00000000" w14:paraId="00000116">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7">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Notifíquese vía SAIMEX</w:t>
      </w:r>
      <w:r w:rsidDel="00000000" w:rsidR="00000000" w:rsidRPr="00000000">
        <w:rPr>
          <w:rFonts w:ascii="Palatino Linotype" w:cs="Palatino Linotype" w:eastAsia="Palatino Linotype" w:hAnsi="Palatino Linotype"/>
          <w:sz w:val="22"/>
          <w:szCs w:val="22"/>
          <w:rtl w:val="0"/>
        </w:rPr>
        <w:t xml:space="preserve"> a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la presente resolución, así como, que de conformidad con lo establecido en el artículo 196 de la Ley de Transparencia y Acceso a la Información Pública del Estado de México y Municipios, o bien, vía Juicio de Amparo en los términos de las leyes aplicables.</w:t>
      </w:r>
    </w:p>
    <w:p w:rsidR="00000000" w:rsidDel="00000000" w:rsidP="00000000" w:rsidRDefault="00000000" w:rsidRPr="00000000" w14:paraId="00000118">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9">
      <w:pPr>
        <w:spacing w:line="360" w:lineRule="auto"/>
        <w:ind w:right="49"/>
        <w:jc w:val="both"/>
        <w:rPr>
          <w:rFonts w:ascii="Palatino Linotype" w:cs="Palatino Linotype" w:eastAsia="Palatino Linotype" w:hAnsi="Palatino Linotype"/>
          <w:sz w:val="22"/>
          <w:szCs w:val="22"/>
        </w:rPr>
      </w:pPr>
      <w:bookmarkStart w:colFirst="0" w:colLast="0" w:name="_heading=h.3znysh7" w:id="2"/>
      <w:bookmarkEnd w:id="2"/>
      <w:r w:rsidDel="00000000" w:rsidR="00000000" w:rsidRPr="00000000">
        <w:rPr>
          <w:rFonts w:ascii="Palatino Linotype" w:cs="Palatino Linotype" w:eastAsia="Palatino Linotype" w:hAnsi="Palatino Linotype"/>
          <w:b w:val="1"/>
          <w:sz w:val="22"/>
          <w:szCs w:val="22"/>
          <w:rtl w:val="0"/>
        </w:rPr>
        <w:t xml:space="preserve">Quinto.</w:t>
      </w:r>
      <w:r w:rsidDel="00000000" w:rsidR="00000000" w:rsidRPr="00000000">
        <w:rPr>
          <w:rFonts w:ascii="Palatino Linotype" w:cs="Palatino Linotype" w:eastAsia="Palatino Linotype" w:hAnsi="Palatino Linotype"/>
          <w:sz w:val="22"/>
          <w:szCs w:val="22"/>
          <w:rtl w:val="0"/>
        </w:rPr>
        <w:t xml:space="preserve"> 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 manera fundada y motivada, podrá solicitar una ampliación de plazo para el cumplimiento de la presente resolución.</w:t>
      </w:r>
    </w:p>
    <w:p w:rsidR="00000000" w:rsidDel="00000000" w:rsidP="00000000" w:rsidRDefault="00000000" w:rsidRPr="00000000" w14:paraId="0000011A">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EN LA TRIGÉSIMA PRIMERA SESIÓN ORDINARIA CELEBRADA EL TRES DE SEPTIEMBRE DE DOS MIL VEINTICINCO, ANTE EL SECRETARIO TÉCNICO DEL PLENO ALEXIS TAPIA RAMÍREZ. </w:t>
      </w:r>
    </w:p>
    <w:p w:rsidR="00000000" w:rsidDel="00000000" w:rsidP="00000000" w:rsidRDefault="00000000" w:rsidRPr="00000000" w14:paraId="0000011C">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D">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E">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F">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0">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1">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sectPr>
      <w:headerReference r:id="rId19" w:type="default"/>
      <w:headerReference r:id="rId20" w:type="first"/>
      <w:footerReference r:id="rId21" w:type="default"/>
      <w:footerReference r:id="rId22" w:type="first"/>
      <w:pgSz w:h="15840" w:w="12240" w:orient="portrait"/>
      <w:pgMar w:bottom="1701" w:top="2041" w:left="1701" w:right="147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5">
    <w:pPr>
      <w:pBdr>
        <w:top w:space="0" w:sz="0" w:val="nil"/>
        <w:left w:space="0" w:sz="0" w:val="nil"/>
        <w:bottom w:space="0" w:sz="0" w:val="nil"/>
        <w:right w:space="0" w:sz="0" w:val="nil"/>
        <w:between w:space="0" w:sz="0" w:val="nil"/>
      </w:pBdr>
      <w:tabs>
        <w:tab w:val="center" w:leader="none" w:pos="4419"/>
        <w:tab w:val="right" w:leader="none" w:pos="8838"/>
      </w:tabs>
      <w:jc w:val="right"/>
      <w:rPr>
        <w:color w:val="000000"/>
        <w:sz w:val="22"/>
        <w:szCs w:val="22"/>
      </w:rPr>
    </w:pPr>
    <w:r w:rsidDel="00000000" w:rsidR="00000000" w:rsidRPr="00000000">
      <w:rPr>
        <w:color w:val="000000"/>
        <w:sz w:val="22"/>
        <w:szCs w:val="22"/>
        <w:rtl w:val="0"/>
      </w:rPr>
      <w:t xml:space="preserve">Página </w:t>
    </w:r>
    <w:r w:rsidDel="00000000" w:rsidR="00000000" w:rsidRPr="00000000">
      <w:rPr>
        <w:b w:val="1"/>
        <w:color w:val="000000"/>
        <w:sz w:val="22"/>
        <w:szCs w:val="22"/>
      </w:rPr>
      <w:fldChar w:fldCharType="begin"/>
      <w:instrText xml:space="preserve">PAGE</w:instrText>
      <w:fldChar w:fldCharType="separate"/>
      <w:fldChar w:fldCharType="end"/>
    </w:r>
    <w:r w:rsidDel="00000000" w:rsidR="00000000" w:rsidRPr="00000000">
      <w:rPr>
        <w:color w:val="000000"/>
        <w:sz w:val="22"/>
        <w:szCs w:val="22"/>
        <w:rtl w:val="0"/>
      </w:rPr>
      <w:t xml:space="preserve"> de </w:t>
    </w:r>
    <w:r w:rsidDel="00000000" w:rsidR="00000000" w:rsidRPr="00000000">
      <w:rPr>
        <w:b w:val="1"/>
        <w:color w:val="000000"/>
        <w:sz w:val="22"/>
        <w:szCs w:val="22"/>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36">
    <w:pPr>
      <w:tabs>
        <w:tab w:val="center" w:leader="none" w:pos="4419"/>
        <w:tab w:val="right" w:leader="none" w:pos="8838"/>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Atento a lo anterior se insta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para que en próximas ocasiones, en la medida de lo posible, cuando haga entrega de información pública de manera electrónica, garantice la interoperabilidad de esta, es decir, que esta contenga datos en formatos y estándares abiertos para su reproducción y reutilización electrónica por parte de los solicitantes, preferentemente a través de enlaces o hipervínculos, que permitan la conexión directa a la página o sitio en el que se aloja la información, al dar clic al mismo, con la finalidad de asegurar el acceso a la información que es de su interés.</w:t>
    </w:r>
  </w:p>
  <w:p w:rsidR="00000000" w:rsidDel="00000000" w:rsidP="00000000" w:rsidRDefault="00000000" w:rsidRPr="00000000" w14:paraId="00000137">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sz w:val="22"/>
        <w:szCs w:val="22"/>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8">
    <w:pPr>
      <w:pBdr>
        <w:top w:space="0" w:sz="0" w:val="nil"/>
        <w:left w:space="0" w:sz="0" w:val="nil"/>
        <w:bottom w:space="0" w:sz="0" w:val="nil"/>
        <w:right w:space="0" w:sz="0" w:val="nil"/>
        <w:between w:space="0" w:sz="0" w:val="nil"/>
      </w:pBdr>
      <w:tabs>
        <w:tab w:val="center" w:leader="none" w:pos="4419"/>
        <w:tab w:val="right" w:leader="none" w:pos="8838"/>
      </w:tabs>
      <w:jc w:val="right"/>
      <w:rPr>
        <w:color w:val="000000"/>
      </w:rPr>
    </w:pPr>
    <w:r w:rsidDel="00000000" w:rsidR="00000000" w:rsidRPr="00000000">
      <w:rPr>
        <w:color w:val="000000"/>
        <w:rtl w:val="0"/>
      </w:rPr>
      <w:t xml:space="preserve">Página </w:t>
    </w:r>
    <w:r w:rsidDel="00000000" w:rsidR="00000000" w:rsidRPr="00000000">
      <w:rPr>
        <w:b w:val="1"/>
        <w:color w:val="000000"/>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3">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-774697</wp:posOffset>
          </wp:positionH>
          <wp:positionV relativeFrom="paragraph">
            <wp:posOffset>-402586</wp:posOffset>
          </wp:positionV>
          <wp:extent cx="7809876" cy="10165823"/>
          <wp:effectExtent b="0" l="0" r="0" t="0"/>
          <wp:wrapNone/>
          <wp:docPr id="199770679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24">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Recurso de Revisión:</w:t>
          </w:r>
        </w:p>
      </w:tc>
      <w:tc>
        <w:tcPr>
          <w:vAlign w:val="center"/>
        </w:tcPr>
        <w:p w:rsidR="00000000" w:rsidDel="00000000" w:rsidP="00000000" w:rsidRDefault="00000000" w:rsidRPr="00000000" w14:paraId="00000125">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05139/INFOEM/IP/RR/2025</w:t>
          </w:r>
        </w:p>
      </w:tc>
    </w:tr>
    <w:tr>
      <w:trPr>
        <w:cantSplit w:val="0"/>
        <w:trHeight w:val="217" w:hRule="atLeast"/>
        <w:tblHeader w:val="0"/>
      </w:trPr>
      <w:tc>
        <w:tcPr>
          <w:vAlign w:val="center"/>
        </w:tcPr>
        <w:p w:rsidR="00000000" w:rsidDel="00000000" w:rsidP="00000000" w:rsidRDefault="00000000" w:rsidRPr="00000000" w14:paraId="00000126">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Sujeto obligado:</w:t>
          </w:r>
        </w:p>
      </w:tc>
      <w:tc>
        <w:tcPr>
          <w:vAlign w:val="center"/>
        </w:tcPr>
        <w:p w:rsidR="00000000" w:rsidDel="00000000" w:rsidP="00000000" w:rsidRDefault="00000000" w:rsidRPr="00000000" w14:paraId="00000127">
          <w:pPr>
            <w:pBdr>
              <w:top w:space="0" w:sz="0" w:val="nil"/>
              <w:left w:space="0" w:sz="0" w:val="nil"/>
              <w:bottom w:space="0" w:sz="0" w:val="nil"/>
              <w:right w:space="0" w:sz="0" w:val="nil"/>
              <w:between w:space="0" w:sz="0" w:val="nil"/>
            </w:pBdr>
            <w:tabs>
              <w:tab w:val="center" w:leader="none" w:pos="4419"/>
              <w:tab w:val="right" w:leader="none" w:pos="8838"/>
            </w:tabs>
            <w:ind w:right="168"/>
            <w:jc w:val="both"/>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Ayuntamiento de Zinacantepec</w:t>
          </w:r>
        </w:p>
      </w:tc>
    </w:tr>
    <w:tr>
      <w:trPr>
        <w:cantSplit w:val="0"/>
        <w:tblHeader w:val="0"/>
      </w:trPr>
      <w:tc>
        <w:tcPr>
          <w:vAlign w:val="center"/>
        </w:tcPr>
        <w:p w:rsidR="00000000" w:rsidDel="00000000" w:rsidP="00000000" w:rsidRDefault="00000000" w:rsidRPr="00000000" w14:paraId="00000128">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Comisionada ponente:</w:t>
          </w:r>
        </w:p>
      </w:tc>
      <w:tc>
        <w:tcPr>
          <w:vAlign w:val="center"/>
        </w:tcPr>
        <w:p w:rsidR="00000000" w:rsidDel="00000000" w:rsidP="00000000" w:rsidRDefault="00000000" w:rsidRPr="00000000" w14:paraId="00000129">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Guadalupe Ramírez Peña</w:t>
          </w:r>
        </w:p>
      </w:tc>
    </w:tr>
  </w:tbl>
  <w:p w:rsidR="00000000" w:rsidDel="00000000" w:rsidP="00000000" w:rsidRDefault="00000000" w:rsidRPr="00000000" w14:paraId="0000012A">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B">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-706752</wp:posOffset>
          </wp:positionH>
          <wp:positionV relativeFrom="paragraph">
            <wp:posOffset>-229866</wp:posOffset>
          </wp:positionV>
          <wp:extent cx="7809865" cy="10165715"/>
          <wp:effectExtent b="0" l="0" r="0" t="0"/>
          <wp:wrapNone/>
          <wp:docPr id="199770679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2C">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Recurso de Revisión:</w:t>
          </w:r>
        </w:p>
      </w:tc>
      <w:tc>
        <w:tcPr>
          <w:vAlign w:val="center"/>
        </w:tcPr>
        <w:p w:rsidR="00000000" w:rsidDel="00000000" w:rsidP="00000000" w:rsidRDefault="00000000" w:rsidRPr="00000000" w14:paraId="0000012D">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05139/INFOEM/IP/RR/2025</w:t>
          </w:r>
        </w:p>
      </w:tc>
    </w:tr>
    <w:tr>
      <w:trPr>
        <w:cantSplit w:val="0"/>
        <w:tblHeader w:val="0"/>
      </w:trPr>
      <w:tc>
        <w:tcPr>
          <w:vAlign w:val="center"/>
        </w:tcPr>
        <w:p w:rsidR="00000000" w:rsidDel="00000000" w:rsidP="00000000" w:rsidRDefault="00000000" w:rsidRPr="00000000" w14:paraId="0000012E">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Recurrente:</w:t>
          </w:r>
        </w:p>
      </w:tc>
      <w:tc>
        <w:tcPr>
          <w:vAlign w:val="center"/>
        </w:tcPr>
        <w:p w:rsidR="00000000" w:rsidDel="00000000" w:rsidP="00000000" w:rsidRDefault="00000000" w:rsidRPr="00000000" w14:paraId="0000012F">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tl w:val="0"/>
            </w:rPr>
          </w:r>
        </w:p>
      </w:tc>
    </w:tr>
    <w:tr>
      <w:trPr>
        <w:cantSplit w:val="0"/>
        <w:trHeight w:val="152" w:hRule="atLeast"/>
        <w:tblHeader w:val="0"/>
      </w:trPr>
      <w:tc>
        <w:tcPr>
          <w:vAlign w:val="center"/>
        </w:tcPr>
        <w:p w:rsidR="00000000" w:rsidDel="00000000" w:rsidP="00000000" w:rsidRDefault="00000000" w:rsidRPr="00000000" w14:paraId="00000130">
          <w:pP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Sujeto obligado:</w:t>
          </w:r>
        </w:p>
      </w:tc>
      <w:tc>
        <w:tcPr>
          <w:vAlign w:val="center"/>
        </w:tcPr>
        <w:p w:rsidR="00000000" w:rsidDel="00000000" w:rsidP="00000000" w:rsidRDefault="00000000" w:rsidRPr="00000000" w14:paraId="00000131">
          <w:pPr>
            <w:pBdr>
              <w:top w:space="0" w:sz="0" w:val="nil"/>
              <w:left w:space="0" w:sz="0" w:val="nil"/>
              <w:bottom w:space="0" w:sz="0" w:val="nil"/>
              <w:right w:space="0" w:sz="0" w:val="nil"/>
              <w:between w:space="0" w:sz="0" w:val="nil"/>
            </w:pBdr>
            <w:tabs>
              <w:tab w:val="center" w:leader="none" w:pos="4419"/>
              <w:tab w:val="right" w:leader="none" w:pos="8838"/>
            </w:tabs>
            <w:ind w:right="174"/>
            <w:jc w:val="both"/>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Ayuntamiento de Zinacantepec</w:t>
          </w:r>
        </w:p>
      </w:tc>
    </w:tr>
    <w:tr>
      <w:trPr>
        <w:cantSplit w:val="0"/>
        <w:tblHeader w:val="0"/>
      </w:trPr>
      <w:tc>
        <w:tcPr>
          <w:vAlign w:val="center"/>
        </w:tcPr>
        <w:p w:rsidR="00000000" w:rsidDel="00000000" w:rsidP="00000000" w:rsidRDefault="00000000" w:rsidRPr="00000000" w14:paraId="00000132">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Comisionada ponente:</w:t>
          </w:r>
        </w:p>
      </w:tc>
      <w:tc>
        <w:tcPr>
          <w:vAlign w:val="center"/>
        </w:tcPr>
        <w:p w:rsidR="00000000" w:rsidDel="00000000" w:rsidP="00000000" w:rsidRDefault="00000000" w:rsidRPr="00000000" w14:paraId="00000133">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Guadalupe Ramírez Peña</w:t>
          </w:r>
        </w:p>
      </w:tc>
    </w:tr>
  </w:tbl>
  <w:p w:rsidR="00000000" w:rsidDel="00000000" w:rsidP="00000000" w:rsidRDefault="00000000" w:rsidRPr="00000000" w14:paraId="00000134">
    <w:pPr>
      <w:rPr>
        <w:color w:val="000000"/>
      </w:rPr>
    </w:pPr>
    <w:r w:rsidDel="00000000" w:rsidR="00000000" w:rsidRPr="00000000">
      <w:rPr>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D74AE"/>
    <w:pPr>
      <w:tabs>
        <w:tab w:val="center" w:pos="4419"/>
        <w:tab w:val="right" w:pos="8838"/>
      </w:tabs>
    </w:pPr>
  </w:style>
  <w:style w:type="character" w:styleId="EncabezadoCar" w:customStyle="1">
    <w:name w:val="Encabezado Car"/>
    <w:basedOn w:val="Fuentedeprrafopredeter"/>
    <w:link w:val="Encabezado"/>
    <w:uiPriority w:val="99"/>
    <w:rsid w:val="00CD74AE"/>
  </w:style>
  <w:style w:type="paragraph" w:styleId="Piedepgina">
    <w:name w:val="footer"/>
    <w:basedOn w:val="Normal"/>
    <w:link w:val="PiedepginaCar"/>
    <w:uiPriority w:val="99"/>
    <w:unhideWhenUsed w:val="1"/>
    <w:rsid w:val="00CD74AE"/>
    <w:pPr>
      <w:tabs>
        <w:tab w:val="center" w:pos="4419"/>
        <w:tab w:val="right" w:pos="8838"/>
      </w:tabs>
    </w:pPr>
  </w:style>
  <w:style w:type="character" w:styleId="PiedepginaCar" w:customStyle="1">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CD74AE"/>
    <w:pPr>
      <w:ind w:left="720"/>
      <w:contextualSpacing w:val="1"/>
    </w:pPr>
  </w:style>
  <w:style w:type="character" w:styleId="Hipervnculo">
    <w:name w:val="Hyperlink"/>
    <w:basedOn w:val="Fuentedeprrafopredeter"/>
    <w:uiPriority w:val="99"/>
    <w:unhideWhenUsed w:val="1"/>
    <w:rsid w:val="00CD74AE"/>
    <w:rPr>
      <w:color w:val="0563c1" w:themeColor="hyperlink"/>
      <w:u w:val="single"/>
    </w:rPr>
  </w:style>
  <w:style w:type="table" w:styleId="Tablaconcuadrcula">
    <w:name w:val="Table Grid"/>
    <w:basedOn w:val="Tablanormal"/>
    <w:uiPriority w:val="39"/>
    <w:rsid w:val="009C1D5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7D2AA5"/>
    <w:pPr>
      <w:spacing w:after="100" w:afterAutospacing="1" w:before="100" w:beforeAutospacing="1"/>
    </w:p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9F3FE6"/>
  </w:style>
  <w:style w:type="table" w:styleId="6" w:customStyle="1">
    <w:name w:val="6"/>
    <w:basedOn w:val="TableNormal10"/>
    <w:tblPr>
      <w:tblStyleRowBandSize w:val="1"/>
      <w:tblStyleColBandSize w:val="1"/>
      <w:tblCellMar>
        <w:top w:w="15.0" w:type="dxa"/>
        <w:left w:w="15.0" w:type="dxa"/>
        <w:bottom w:w="15.0" w:type="dxa"/>
        <w:right w:w="15.0" w:type="dxa"/>
      </w:tblCellMar>
    </w:tblPr>
  </w:style>
  <w:style w:type="table" w:styleId="5" w:customStyle="1">
    <w:name w:val="5"/>
    <w:basedOn w:val="TableNormal10"/>
    <w:tblPr>
      <w:tblStyleRowBandSize w:val="1"/>
      <w:tblStyleColBandSize w:val="1"/>
      <w:tblCellMar>
        <w:left w:w="115.0" w:type="dxa"/>
        <w:right w:w="115.0" w:type="dxa"/>
      </w:tblCellMar>
    </w:tblPr>
  </w:style>
  <w:style w:type="table" w:styleId="4" w:customStyle="1">
    <w:name w:val="4"/>
    <w:basedOn w:val="TableNormal10"/>
    <w:tblPr>
      <w:tblStyleRowBandSize w:val="1"/>
      <w:tblStyleColBandSize w:val="1"/>
      <w:tblCellMar>
        <w:left w:w="115.0" w:type="dxa"/>
        <w:right w:w="115.0" w:type="dxa"/>
      </w:tblCellMar>
    </w:tblPr>
  </w:style>
  <w:style w:type="table" w:styleId="3" w:customStyle="1">
    <w:name w:val="3"/>
    <w:basedOn w:val="TableNormal10"/>
    <w:tblPr>
      <w:tblStyleRowBandSize w:val="1"/>
      <w:tblStyleColBandSize w:val="1"/>
      <w:tblCellMar>
        <w:top w:w="15.0" w:type="dxa"/>
        <w:left w:w="115.0" w:type="dxa"/>
        <w:bottom w:w="15.0" w:type="dxa"/>
        <w:right w:w="115.0" w:type="dxa"/>
      </w:tblCellMar>
    </w:tblPr>
  </w:style>
  <w:style w:type="table" w:styleId="2" w:customStyle="1">
    <w:name w:val="2"/>
    <w:basedOn w:val="TableNormal10"/>
    <w:tblPr>
      <w:tblStyleRowBandSize w:val="1"/>
      <w:tblStyleColBandSize w:val="1"/>
      <w:tblCellMar>
        <w:top w:w="15.0" w:type="dxa"/>
        <w:left w:w="115.0" w:type="dxa"/>
        <w:bottom w:w="15.0" w:type="dxa"/>
        <w:right w:w="115.0" w:type="dxa"/>
      </w:tblCellMar>
    </w:tblPr>
  </w:style>
  <w:style w:type="table" w:styleId="1" w:customStyle="1">
    <w:name w:val="1"/>
    <w:basedOn w:val="TableNormal10"/>
    <w:tblPr>
      <w:tblStyleRowBandSize w:val="1"/>
      <w:tblStyleColBandSize w:val="1"/>
      <w:tblCellMar>
        <w:top w:w="15.0" w:type="dxa"/>
        <w:left w:w="115.0" w:type="dxa"/>
        <w:bottom w:w="15.0" w:type="dxa"/>
        <w:right w:w="115.0" w:type="dxa"/>
      </w:tblCellMar>
    </w:tblPr>
  </w:style>
  <w:style w:type="character" w:styleId="Mencinsinresolver1" w:customStyle="1">
    <w:name w:val="Mención sin resolver1"/>
    <w:basedOn w:val="Fuentedeprrafopredeter"/>
    <w:uiPriority w:val="99"/>
    <w:semiHidden w:val="1"/>
    <w:unhideWhenUsed w:val="1"/>
    <w:rsid w:val="00B63FC6"/>
    <w:rPr>
      <w:color w:val="605e5c"/>
      <w:shd w:color="auto" w:fill="e1dfdd" w:val="clear"/>
    </w:rPr>
  </w:style>
  <w:style w:type="character" w:styleId="Mencinsinresolver2" w:customStyle="1">
    <w:name w:val="Mención sin resolver2"/>
    <w:basedOn w:val="Fuentedeprrafopredeter"/>
    <w:uiPriority w:val="99"/>
    <w:semiHidden w:val="1"/>
    <w:unhideWhenUsed w:val="1"/>
    <w:rsid w:val="00AC79ED"/>
    <w:rPr>
      <w:color w:val="605e5c"/>
      <w:shd w:color="auto" w:fill="e1dfdd" w:val="clear"/>
    </w:rPr>
  </w:style>
  <w:style w:type="paragraph" w:styleId="Default" w:customStyle="1">
    <w:name w:val="Default"/>
    <w:rsid w:val="00A27592"/>
    <w:pPr>
      <w:autoSpaceDE w:val="0"/>
      <w:autoSpaceDN w:val="0"/>
      <w:adjustRightInd w:val="0"/>
    </w:pPr>
    <w:rPr>
      <w:rFonts w:ascii="Arial" w:cs="Arial" w:hAnsi="Arial"/>
      <w:color w:val="000000"/>
    </w:rPr>
  </w:style>
  <w:style w:type="character" w:styleId="normaltextrun" w:customStyle="1">
    <w:name w:val="normaltextrun"/>
    <w:basedOn w:val="Fuentedeprrafopredeter"/>
    <w:rsid w:val="002F3C2D"/>
  </w:style>
  <w:style w:type="character" w:styleId="qu" w:customStyle="1">
    <w:name w:val="qu"/>
    <w:basedOn w:val="Fuentedeprrafopredeter"/>
    <w:rsid w:val="00C1478B"/>
  </w:style>
  <w:style w:type="character" w:styleId="gd" w:customStyle="1">
    <w:name w:val="gd"/>
    <w:basedOn w:val="Fuentedeprrafopredeter"/>
    <w:rsid w:val="00C1478B"/>
  </w:style>
  <w:style w:type="character" w:styleId="go" w:customStyle="1">
    <w:name w:val="go"/>
    <w:basedOn w:val="Fuentedeprrafopredeter"/>
    <w:rsid w:val="00C1478B"/>
  </w:style>
  <w:style w:type="character" w:styleId="g3" w:customStyle="1">
    <w:name w:val="g3"/>
    <w:basedOn w:val="Fuentedeprrafopredeter"/>
    <w:rsid w:val="00C1478B"/>
  </w:style>
  <w:style w:type="character" w:styleId="hb" w:customStyle="1">
    <w:name w:val="hb"/>
    <w:basedOn w:val="Fuentedeprrafopredeter"/>
    <w:rsid w:val="00C1478B"/>
  </w:style>
  <w:style w:type="character" w:styleId="g2" w:customStyle="1">
    <w:name w:val="g2"/>
    <w:basedOn w:val="Fuentedeprrafopredeter"/>
    <w:rsid w:val="00C1478B"/>
  </w:style>
  <w:style w:type="character" w:styleId="Mencinsinresolver3" w:customStyle="1">
    <w:name w:val="Mención sin resolver3"/>
    <w:basedOn w:val="Fuentedeprrafopredeter"/>
    <w:uiPriority w:val="99"/>
    <w:semiHidden w:val="1"/>
    <w:unhideWhenUsed w:val="1"/>
    <w:rsid w:val="00713594"/>
    <w:rPr>
      <w:color w:val="605e5c"/>
      <w:shd w:color="auto" w:fill="e1dfdd" w:val="clear"/>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CB345C"/>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val="1"/>
    <w:rsid w:val="00CB345C"/>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B345C"/>
    <w:rPr>
      <w:rFonts w:asciiTheme="minorHAnsi" w:cstheme="minorBidi" w:eastAsiaTheme="minorHAnsi" w:hAnsiTheme="minorHAnsi"/>
      <w:sz w:val="20"/>
      <w:szCs w:val="20"/>
      <w:lang w:eastAsia="en-US"/>
    </w:rPr>
  </w:style>
  <w:style w:type="paragraph" w:styleId="Citas" w:customStyle="1">
    <w:name w:val="Citas"/>
    <w:basedOn w:val="Normal"/>
    <w:qFormat w:val="1"/>
    <w:rsid w:val="00BB3BF9"/>
    <w:pPr>
      <w:spacing w:after="160" w:before="240" w:line="360" w:lineRule="auto"/>
      <w:ind w:left="851" w:right="851"/>
      <w:jc w:val="both"/>
    </w:pPr>
    <w:rPr>
      <w:rFonts w:ascii="Palatino Linotype" w:cs="Arial" w:hAnsi="Palatino Linotype" w:eastAsiaTheme="minorHAnsi"/>
      <w:i w:val="1"/>
      <w:sz w:val="22"/>
      <w:szCs w:val="22"/>
      <w:lang w:eastAsia="en-US"/>
    </w:rPr>
  </w:style>
  <w:style w:type="table" w:styleId="a" w:customStyle="1">
    <w:basedOn w:val="TableNormal1"/>
    <w:tblPr>
      <w:tblStyleRowBandSize w:val="1"/>
      <w:tblStyleColBandSize w:val="1"/>
      <w:tblCellMar>
        <w:left w:w="115.0" w:type="dxa"/>
        <w:right w:w="115.0" w:type="dxa"/>
      </w:tblCellMar>
    </w:tblPr>
  </w:style>
  <w:style w:type="table" w:styleId="a0" w:customStyle="1">
    <w:basedOn w:val="TableNormal1"/>
    <w:tblPr>
      <w:tblStyleRowBandSize w:val="1"/>
      <w:tblStyleColBandSize w:val="1"/>
      <w:tblCellMar>
        <w:top w:w="15.0" w:type="dxa"/>
        <w:left w:w="115.0" w:type="dxa"/>
        <w:bottom w:w="15.0" w:type="dxa"/>
        <w:right w:w="115.0" w:type="dxa"/>
      </w:tblCellMar>
    </w:tblPr>
  </w:style>
  <w:style w:type="table" w:styleId="a1" w:customStyle="1">
    <w:basedOn w:val="TableNormal1"/>
    <w:tblPr>
      <w:tblStyleRowBandSize w:val="1"/>
      <w:tblStyleColBandSize w:val="1"/>
      <w:tblCellMar>
        <w:top w:w="15.0" w:type="dxa"/>
        <w:left w:w="115.0" w:type="dxa"/>
        <w:bottom w:w="15.0" w:type="dxa"/>
        <w:right w:w="115.0" w:type="dxa"/>
      </w:tblCellMar>
    </w:tblPr>
  </w:style>
  <w:style w:type="character" w:styleId="Mencinsinresolver4" w:customStyle="1">
    <w:name w:val="Mención sin resolver4"/>
    <w:basedOn w:val="Fuentedeprrafopredeter"/>
    <w:uiPriority w:val="99"/>
    <w:semiHidden w:val="1"/>
    <w:unhideWhenUsed w:val="1"/>
    <w:rsid w:val="004B7791"/>
    <w:rPr>
      <w:color w:val="605e5c"/>
      <w:shd w:color="auto" w:fill="e1dfdd" w:val="clear"/>
    </w:rPr>
  </w:style>
  <w:style w:type="table" w:styleId="a2" w:customStyle="1">
    <w:basedOn w:val="TableNormal0"/>
    <w:tblPr>
      <w:tblStyleRowBandSize w:val="1"/>
      <w:tblStyleColBandSize w:val="1"/>
      <w:tblCellMar>
        <w:top w:w="15.0" w:type="dxa"/>
        <w:left w:w="115.0" w:type="dxa"/>
        <w:bottom w:w="15.0" w:type="dxa"/>
        <w:right w:w="115.0" w:type="dxa"/>
      </w:tblCellMar>
    </w:tblPr>
  </w:style>
  <w:style w:type="table" w:styleId="a3" w:customStyle="1">
    <w:basedOn w:val="TableNormal0"/>
    <w:tblPr>
      <w:tblStyleRowBandSize w:val="1"/>
      <w:tblStyleColBandSize w:val="1"/>
      <w:tblCellMar>
        <w:top w:w="15.0" w:type="dxa"/>
        <w:left w:w="115.0" w:type="dxa"/>
        <w:bottom w:w="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15.0" w:type="dxa"/>
        <w:bottom w:w="15.0" w:type="dxa"/>
        <w:right w:w="115.0" w:type="dxa"/>
      </w:tblCellMar>
    </w:tblPr>
  </w:style>
  <w:style w:type="table" w:styleId="Table2">
    <w:basedOn w:val="TableNormal"/>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image" Target="media/image1.png"/><Relationship Id="rId22" Type="http://schemas.openxmlformats.org/officeDocument/2006/relationships/footer" Target="footer2.xml"/><Relationship Id="rId10" Type="http://schemas.openxmlformats.org/officeDocument/2006/relationships/image" Target="media/image7.png"/><Relationship Id="rId21" Type="http://schemas.openxmlformats.org/officeDocument/2006/relationships/footer" Target="footer1.xml"/><Relationship Id="rId13" Type="http://schemas.openxmlformats.org/officeDocument/2006/relationships/image" Target="media/image14.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15" Type="http://schemas.openxmlformats.org/officeDocument/2006/relationships/image" Target="media/image9.png"/><Relationship Id="rId14" Type="http://schemas.openxmlformats.org/officeDocument/2006/relationships/image" Target="media/image5.png"/><Relationship Id="rId17" Type="http://schemas.openxmlformats.org/officeDocument/2006/relationships/image" Target="media/image8.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image" Target="media/image4.png"/><Relationship Id="rId7" Type="http://schemas.openxmlformats.org/officeDocument/2006/relationships/image" Target="media/image1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VXPUXCTQglC0HH/XOSGXfoB4jw==">CgMxLjAyCGguZ2pkZ3hzMgloLjMwajB6bGwyCWguM3pueXNoNzgAciExa2xZeDNuS2hRb3VRQjUwYi1mdDNFc2FoekZhc3J1RWY=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2025-10-03T16:59:00Z</dcterms:created>
  <dc:creator>Cuenta Microsoft</dc:creator>
</cp:coreProperties>
</file>