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r w:rsidRPr="00983D10">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Pr="00983D10">
        <w:rPr>
          <w:rFonts w:eastAsia="Palatino Linotype" w:cs="Palatino Linotype"/>
          <w:b/>
          <w:color w:val="000000"/>
          <w:szCs w:val="24"/>
        </w:rPr>
        <w:t>veinte de noviembre de dos mil veinticinco</w:t>
      </w:r>
      <w:r w:rsidRPr="00983D10">
        <w:rPr>
          <w:rFonts w:eastAsia="Palatino Linotype" w:cs="Palatino Linotype"/>
          <w:color w:val="000000"/>
          <w:szCs w:val="24"/>
        </w:rPr>
        <w:t>.</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r w:rsidRPr="00983D10">
        <w:rPr>
          <w:rFonts w:eastAsia="Palatino Linotype" w:cs="Palatino Linotype"/>
          <w:b/>
          <w:color w:val="000000"/>
          <w:szCs w:val="24"/>
        </w:rPr>
        <w:t>VISTO</w:t>
      </w:r>
      <w:r w:rsidRPr="00983D10">
        <w:rPr>
          <w:rFonts w:eastAsia="Palatino Linotype" w:cs="Palatino Linotype"/>
          <w:color w:val="000000"/>
          <w:szCs w:val="24"/>
        </w:rPr>
        <w:t xml:space="preserve"> el expediente electrónico formado con motivo del recurso de revisión número </w:t>
      </w:r>
      <w:bookmarkStart w:id="0" w:name="_GoBack"/>
      <w:r w:rsidRPr="00983D10">
        <w:rPr>
          <w:rFonts w:eastAsia="Palatino Linotype" w:cs="Palatino Linotype"/>
          <w:b/>
          <w:color w:val="000000"/>
          <w:szCs w:val="24"/>
        </w:rPr>
        <w:t>06860/INFOEM/IP/RR/2025</w:t>
      </w:r>
      <w:bookmarkEnd w:id="0"/>
      <w:r w:rsidRPr="00983D10">
        <w:rPr>
          <w:rFonts w:eastAsia="Palatino Linotype" w:cs="Palatino Linotype"/>
          <w:color w:val="000000"/>
          <w:szCs w:val="24"/>
        </w:rPr>
        <w:t>, interpuesto por</w:t>
      </w:r>
      <w:r w:rsidRPr="00983D10">
        <w:rPr>
          <w:rFonts w:cs="Arial"/>
          <w:b/>
          <w:szCs w:val="24"/>
        </w:rPr>
        <w:t xml:space="preserve"> un particular que no proporciono nombre</w:t>
      </w:r>
      <w:r w:rsidRPr="00983D10">
        <w:rPr>
          <w:rFonts w:cs="Arial"/>
          <w:szCs w:val="24"/>
        </w:rPr>
        <w:t xml:space="preserve">, </w:t>
      </w:r>
      <w:r w:rsidRPr="00983D10">
        <w:rPr>
          <w:rFonts w:eastAsia="Palatino Linotype" w:cs="Palatino Linotype"/>
          <w:color w:val="000000"/>
          <w:szCs w:val="24"/>
        </w:rPr>
        <w:t xml:space="preserve">en lo sucesivo el </w:t>
      </w:r>
      <w:r w:rsidRPr="00983D10">
        <w:rPr>
          <w:rFonts w:eastAsia="Palatino Linotype" w:cs="Palatino Linotype"/>
          <w:b/>
          <w:color w:val="000000"/>
          <w:szCs w:val="24"/>
        </w:rPr>
        <w:t>Recurrente</w:t>
      </w:r>
      <w:r w:rsidRPr="00983D10">
        <w:rPr>
          <w:rFonts w:eastAsia="Palatino Linotype" w:cs="Palatino Linotype"/>
          <w:color w:val="000000"/>
          <w:szCs w:val="24"/>
        </w:rPr>
        <w:t>, en contra de la respuesta del</w:t>
      </w:r>
      <w:r w:rsidRPr="00983D10">
        <w:rPr>
          <w:rFonts w:eastAsia="Palatino Linotype" w:cs="Palatino Linotype"/>
          <w:b/>
          <w:color w:val="000000"/>
          <w:szCs w:val="24"/>
        </w:rPr>
        <w:t xml:space="preserve"> </w:t>
      </w:r>
      <w:r w:rsidRPr="00983D10">
        <w:rPr>
          <w:b/>
          <w:bCs/>
          <w:color w:val="000000"/>
          <w:szCs w:val="24"/>
        </w:rPr>
        <w:t>Ayuntamiento de</w:t>
      </w:r>
      <w:r w:rsidRPr="00983D10">
        <w:rPr>
          <w:rFonts w:ascii="Verdana" w:hAnsi="Verdana"/>
          <w:b/>
          <w:bCs/>
          <w:color w:val="000000"/>
          <w:sz w:val="14"/>
          <w:szCs w:val="14"/>
        </w:rPr>
        <w:t xml:space="preserve"> </w:t>
      </w:r>
      <w:r w:rsidRPr="00983D10">
        <w:rPr>
          <w:b/>
          <w:bCs/>
          <w:color w:val="000000"/>
          <w:szCs w:val="24"/>
        </w:rPr>
        <w:t>Toluca</w:t>
      </w:r>
      <w:r w:rsidRPr="00983D10">
        <w:rPr>
          <w:rFonts w:eastAsia="Palatino Linotype" w:cs="Palatino Linotype"/>
          <w:color w:val="000000"/>
          <w:szCs w:val="24"/>
        </w:rPr>
        <w:t>, en lo subsecuente</w:t>
      </w:r>
      <w:r w:rsidRPr="00983D10">
        <w:rPr>
          <w:rFonts w:eastAsia="Palatino Linotype" w:cs="Palatino Linotype"/>
          <w:b/>
          <w:color w:val="000000"/>
          <w:szCs w:val="24"/>
        </w:rPr>
        <w:t xml:space="preserve"> </w:t>
      </w:r>
      <w:r w:rsidRPr="00983D10">
        <w:rPr>
          <w:rFonts w:eastAsia="Palatino Linotype" w:cs="Palatino Linotype"/>
          <w:color w:val="000000"/>
          <w:szCs w:val="24"/>
        </w:rPr>
        <w:t>el</w:t>
      </w:r>
      <w:r w:rsidRPr="00983D10">
        <w:rPr>
          <w:rFonts w:eastAsia="Palatino Linotype" w:cs="Palatino Linotype"/>
          <w:b/>
          <w:color w:val="000000"/>
          <w:szCs w:val="24"/>
        </w:rPr>
        <w:t xml:space="preserve"> Sujeto Obligado, </w:t>
      </w:r>
      <w:r w:rsidRPr="00983D10">
        <w:rPr>
          <w:rFonts w:eastAsia="Palatino Linotype" w:cs="Palatino Linotype"/>
          <w:color w:val="000000"/>
          <w:szCs w:val="24"/>
        </w:rPr>
        <w:t>se procede a dictar la presente resolución.</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p>
    <w:p w:rsidR="002B4575" w:rsidRPr="00983D10" w:rsidRDefault="002B4575" w:rsidP="00D22D6C">
      <w:pPr>
        <w:pBdr>
          <w:top w:val="nil"/>
          <w:left w:val="nil"/>
          <w:bottom w:val="nil"/>
          <w:right w:val="nil"/>
          <w:between w:val="nil"/>
        </w:pBdr>
        <w:contextualSpacing/>
        <w:rPr>
          <w:rFonts w:eastAsia="Palatino Linotype" w:cs="Palatino Linotype"/>
          <w:color w:val="000000"/>
          <w:szCs w:val="24"/>
        </w:rPr>
      </w:pPr>
    </w:p>
    <w:p w:rsidR="00D22D6C" w:rsidRPr="00983D10" w:rsidRDefault="00D22D6C" w:rsidP="00D22D6C">
      <w:pPr>
        <w:pStyle w:val="Ttulo1"/>
        <w:jc w:val="center"/>
        <w:rPr>
          <w:rFonts w:ascii="Palatino Linotype" w:eastAsia="Palatino Linotype" w:hAnsi="Palatino Linotype"/>
          <w:b/>
          <w:bCs/>
          <w:color w:val="auto"/>
          <w:sz w:val="28"/>
          <w:szCs w:val="28"/>
        </w:rPr>
      </w:pPr>
      <w:r w:rsidRPr="00983D10">
        <w:rPr>
          <w:rFonts w:ascii="Palatino Linotype" w:eastAsia="Palatino Linotype" w:hAnsi="Palatino Linotype"/>
          <w:b/>
          <w:bCs/>
          <w:color w:val="auto"/>
          <w:sz w:val="28"/>
          <w:szCs w:val="28"/>
        </w:rPr>
        <w:t>A N T E C E D E N T E S</w:t>
      </w:r>
    </w:p>
    <w:p w:rsidR="00D22D6C" w:rsidRPr="00983D10" w:rsidRDefault="00D22D6C" w:rsidP="00D22D6C">
      <w:pPr>
        <w:pBdr>
          <w:top w:val="nil"/>
          <w:left w:val="nil"/>
          <w:bottom w:val="nil"/>
          <w:right w:val="nil"/>
          <w:between w:val="nil"/>
        </w:pBdr>
        <w:contextualSpacing/>
        <w:rPr>
          <w:rFonts w:eastAsia="Palatino Linotype" w:cs="Palatino Linotype"/>
          <w:b/>
          <w:bCs/>
          <w:szCs w:val="24"/>
        </w:rPr>
      </w:pPr>
    </w:p>
    <w:p w:rsidR="00D22D6C" w:rsidRPr="00983D10" w:rsidRDefault="00D22D6C" w:rsidP="00D22D6C">
      <w:pPr>
        <w:pStyle w:val="Ttulo2"/>
        <w:rPr>
          <w:rFonts w:eastAsia="Palatino Linotype"/>
          <w:b/>
          <w:bCs/>
        </w:rPr>
      </w:pPr>
      <w:r w:rsidRPr="00983D10">
        <w:rPr>
          <w:rFonts w:ascii="Palatino Linotype" w:eastAsia="Palatino Linotype" w:hAnsi="Palatino Linotype"/>
          <w:b/>
          <w:bCs/>
          <w:color w:val="auto"/>
          <w:sz w:val="24"/>
          <w:szCs w:val="24"/>
        </w:rPr>
        <w:t>PRIMERO. De la Solicitud de Información</w:t>
      </w:r>
      <w:r w:rsidRPr="00983D10">
        <w:rPr>
          <w:rFonts w:eastAsia="Palatino Linotype"/>
          <w:b/>
          <w:bCs/>
        </w:rPr>
        <w:t>.</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r w:rsidRPr="00983D10">
        <w:rPr>
          <w:rFonts w:eastAsia="Palatino Linotype" w:cs="Palatino Linotype"/>
          <w:color w:val="000000"/>
          <w:szCs w:val="24"/>
        </w:rPr>
        <w:t xml:space="preserve">Con fecha veintiocho de abril de dos mil veinticinco, el Recurrente presentó mediante el Sistema de Acceso a la Información Mexiquense (SAIMEX), solicitud de información registrada con el número de </w:t>
      </w:r>
      <w:r w:rsidRPr="00983D10">
        <w:rPr>
          <w:rFonts w:eastAsia="Palatino Linotype" w:cs="Palatino Linotype"/>
          <w:szCs w:val="24"/>
        </w:rPr>
        <w:t>expediente</w:t>
      </w:r>
      <w:r w:rsidRPr="00983D10">
        <w:rPr>
          <w:b/>
          <w:bCs/>
        </w:rPr>
        <w:t> 02533/TOLUCA/IP/2025</w:t>
      </w:r>
      <w:r w:rsidRPr="00983D10">
        <w:rPr>
          <w:rFonts w:eastAsia="Palatino Linotype" w:cs="Palatino Linotype"/>
          <w:szCs w:val="24"/>
        </w:rPr>
        <w:t>,</w:t>
      </w:r>
      <w:r w:rsidRPr="00983D10">
        <w:rPr>
          <w:rFonts w:eastAsia="Palatino Linotype" w:cs="Palatino Linotype"/>
          <w:b/>
          <w:szCs w:val="24"/>
        </w:rPr>
        <w:t xml:space="preserve"> </w:t>
      </w:r>
      <w:r w:rsidRPr="00983D10">
        <w:rPr>
          <w:rFonts w:eastAsia="Palatino Linotype" w:cs="Palatino Linotype"/>
          <w:color w:val="000000"/>
          <w:szCs w:val="24"/>
        </w:rPr>
        <w:t xml:space="preserve">mediante la cual </w:t>
      </w:r>
      <w:proofErr w:type="gramStart"/>
      <w:r w:rsidRPr="00983D10">
        <w:rPr>
          <w:rFonts w:eastAsia="Palatino Linotype" w:cs="Palatino Linotype"/>
          <w:color w:val="000000"/>
          <w:szCs w:val="24"/>
        </w:rPr>
        <w:t>solicitó</w:t>
      </w:r>
      <w:proofErr w:type="gramEnd"/>
      <w:r w:rsidRPr="00983D10">
        <w:rPr>
          <w:rFonts w:eastAsia="Palatino Linotype" w:cs="Palatino Linotype"/>
          <w:color w:val="000000"/>
          <w:szCs w:val="24"/>
        </w:rPr>
        <w:t xml:space="preserve"> información en el tenor siguiente:</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983D10" w:rsidRDefault="00D22D6C" w:rsidP="00D22D6C">
      <w:pPr>
        <w:pStyle w:val="Fundamentos"/>
        <w:spacing w:line="360" w:lineRule="auto"/>
        <w:rPr>
          <w:sz w:val="24"/>
        </w:rPr>
      </w:pPr>
      <w:r w:rsidRPr="00983D10">
        <w:rPr>
          <w:sz w:val="24"/>
        </w:rPr>
        <w:t xml:space="preserve">“Todas las </w:t>
      </w:r>
      <w:proofErr w:type="spellStart"/>
      <w:r w:rsidRPr="00983D10">
        <w:rPr>
          <w:sz w:val="24"/>
        </w:rPr>
        <w:t>polizas</w:t>
      </w:r>
      <w:proofErr w:type="spellEnd"/>
      <w:r w:rsidRPr="00983D10">
        <w:rPr>
          <w:sz w:val="24"/>
        </w:rPr>
        <w:t xml:space="preserve"> de cheque, documento de </w:t>
      </w:r>
      <w:proofErr w:type="spellStart"/>
      <w:r w:rsidRPr="00983D10">
        <w:rPr>
          <w:sz w:val="24"/>
        </w:rPr>
        <w:t>traferencia</w:t>
      </w:r>
      <w:proofErr w:type="spellEnd"/>
      <w:r w:rsidRPr="00983D10">
        <w:rPr>
          <w:sz w:val="24"/>
        </w:rPr>
        <w:t xml:space="preserve"> que demuestre lo pagado por cheque o </w:t>
      </w:r>
      <w:proofErr w:type="spellStart"/>
      <w:r w:rsidRPr="00983D10">
        <w:rPr>
          <w:sz w:val="24"/>
        </w:rPr>
        <w:t>tranferencia</w:t>
      </w:r>
      <w:proofErr w:type="spellEnd"/>
      <w:r w:rsidRPr="00983D10">
        <w:rPr>
          <w:sz w:val="24"/>
        </w:rPr>
        <w:t xml:space="preserve"> por cualquier concepto a servidores públicos de la administración así sea por sueldo, aguinaldo, bono, dietas </w:t>
      </w:r>
      <w:proofErr w:type="spellStart"/>
      <w:r w:rsidRPr="00983D10">
        <w:rPr>
          <w:sz w:val="24"/>
        </w:rPr>
        <w:t>etc</w:t>
      </w:r>
      <w:proofErr w:type="spellEnd"/>
      <w:r w:rsidRPr="00983D10">
        <w:rPr>
          <w:sz w:val="24"/>
        </w:rPr>
        <w:t>, en el año de 2025”  (Sic)</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983D10" w:rsidRDefault="00D22D6C" w:rsidP="00D22D6C">
      <w:pPr>
        <w:pBdr>
          <w:top w:val="nil"/>
          <w:left w:val="nil"/>
          <w:bottom w:val="nil"/>
          <w:right w:val="nil"/>
          <w:between w:val="nil"/>
        </w:pBdr>
        <w:contextualSpacing/>
        <w:rPr>
          <w:rFonts w:eastAsia="Palatino Linotype" w:cs="Palatino Linotype"/>
          <w:b/>
          <w:color w:val="000000"/>
          <w:szCs w:val="24"/>
        </w:rPr>
      </w:pPr>
      <w:r w:rsidRPr="00983D10">
        <w:rPr>
          <w:rFonts w:eastAsia="Palatino Linotype" w:cs="Palatino Linotype"/>
          <w:color w:val="000000"/>
          <w:szCs w:val="24"/>
        </w:rPr>
        <w:lastRenderedPageBreak/>
        <w:t xml:space="preserve">Modalidad de entrega: </w:t>
      </w:r>
      <w:r w:rsidRPr="00983D10">
        <w:rPr>
          <w:rFonts w:eastAsia="Palatino Linotype" w:cs="Palatino Linotype"/>
          <w:b/>
          <w:color w:val="000000"/>
          <w:szCs w:val="24"/>
        </w:rPr>
        <w:t>A través del SAIMEX</w:t>
      </w:r>
      <w:r w:rsidRPr="00983D10">
        <w:rPr>
          <w:rFonts w:eastAsia="Palatino Linotype" w:cs="Palatino Linotype"/>
          <w:color w:val="000000"/>
          <w:szCs w:val="24"/>
        </w:rPr>
        <w:t>.</w:t>
      </w:r>
    </w:p>
    <w:p w:rsidR="00D22D6C" w:rsidRPr="00983D10" w:rsidRDefault="00D22D6C" w:rsidP="00D22D6C">
      <w:pPr>
        <w:pStyle w:val="Ttulo2"/>
        <w:rPr>
          <w:rFonts w:ascii="Palatino Linotype" w:eastAsia="Palatino Linotype" w:hAnsi="Palatino Linotype"/>
          <w:b/>
          <w:bCs/>
          <w:color w:val="auto"/>
          <w:sz w:val="28"/>
          <w:szCs w:val="28"/>
        </w:rPr>
      </w:pPr>
      <w:r w:rsidRPr="00983D10">
        <w:rPr>
          <w:rFonts w:ascii="Palatino Linotype" w:eastAsia="Palatino Linotype" w:hAnsi="Palatino Linotype"/>
          <w:b/>
          <w:bCs/>
          <w:color w:val="auto"/>
          <w:sz w:val="28"/>
          <w:szCs w:val="28"/>
        </w:rPr>
        <w:t>SEGUNDO. De la respuesta del Sujeto Obligado.</w:t>
      </w:r>
    </w:p>
    <w:p w:rsidR="00D22D6C" w:rsidRPr="00983D10" w:rsidRDefault="00D22D6C" w:rsidP="00D22D6C">
      <w:pPr>
        <w:pBdr>
          <w:top w:val="nil"/>
          <w:left w:val="nil"/>
          <w:bottom w:val="nil"/>
          <w:right w:val="nil"/>
          <w:between w:val="nil"/>
        </w:pBdr>
        <w:contextualSpacing/>
        <w:rPr>
          <w:rFonts w:cs="Arial"/>
          <w:b/>
          <w:bCs/>
          <w:szCs w:val="24"/>
        </w:rPr>
      </w:pPr>
      <w:r w:rsidRPr="00983D10">
        <w:rPr>
          <w:rFonts w:eastAsia="Palatino Linotype" w:cs="Palatino Linotype"/>
          <w:color w:val="000000"/>
          <w:szCs w:val="24"/>
        </w:rPr>
        <w:t>De las constancias que obran en el expediente electrónico, se observa que el día veintiuno de mayo de dos mil veinticinco, el Sujeto Obligado dio respuesta a la solicitud de información anexando los documentos electrónicos denominados “</w:t>
      </w:r>
      <w:proofErr w:type="spellStart"/>
      <w:r w:rsidRPr="00983D10">
        <w:rPr>
          <w:rFonts w:cs="Arial"/>
          <w:b/>
          <w:bCs/>
          <w:i/>
          <w:szCs w:val="24"/>
        </w:rPr>
        <w:t>Saimex</w:t>
      </w:r>
      <w:proofErr w:type="spellEnd"/>
      <w:r w:rsidRPr="00983D10">
        <w:rPr>
          <w:rFonts w:cs="Arial"/>
          <w:b/>
          <w:bCs/>
          <w:i/>
          <w:szCs w:val="24"/>
        </w:rPr>
        <w:t xml:space="preserve"> 02533.pdf</w:t>
      </w:r>
      <w:r w:rsidRPr="00983D10">
        <w:rPr>
          <w:rFonts w:cs="Arial"/>
          <w:b/>
          <w:bCs/>
          <w:szCs w:val="24"/>
        </w:rPr>
        <w:t>”, “</w:t>
      </w:r>
      <w:proofErr w:type="spellStart"/>
      <w:r w:rsidRPr="00983D10">
        <w:rPr>
          <w:rFonts w:cs="Arial"/>
          <w:b/>
          <w:bCs/>
          <w:i/>
          <w:szCs w:val="24"/>
        </w:rPr>
        <w:t>Respsol</w:t>
      </w:r>
      <w:proofErr w:type="spellEnd"/>
      <w:r w:rsidRPr="00983D10">
        <w:rPr>
          <w:rFonts w:cs="Arial"/>
          <w:b/>
          <w:bCs/>
          <w:i/>
          <w:szCs w:val="24"/>
        </w:rPr>
        <w:t xml:space="preserve"> 02533_2025 VP.pdf</w:t>
      </w:r>
      <w:r w:rsidRPr="00983D10">
        <w:rPr>
          <w:rFonts w:cs="Arial"/>
          <w:b/>
          <w:bCs/>
          <w:szCs w:val="24"/>
        </w:rPr>
        <w:t>” y “</w:t>
      </w:r>
      <w:r w:rsidRPr="00983D10">
        <w:rPr>
          <w:rFonts w:cs="Arial"/>
          <w:b/>
          <w:bCs/>
          <w:i/>
          <w:szCs w:val="24"/>
        </w:rPr>
        <w:t>R. 02533. 2025</w:t>
      </w:r>
      <w:proofErr w:type="gramStart"/>
      <w:r w:rsidRPr="00983D10">
        <w:rPr>
          <w:rFonts w:cs="Arial"/>
          <w:b/>
          <w:bCs/>
          <w:i/>
          <w:szCs w:val="24"/>
        </w:rPr>
        <w:t>.pdf</w:t>
      </w:r>
      <w:proofErr w:type="gramEnd"/>
      <w:r w:rsidRPr="00983D10">
        <w:rPr>
          <w:rFonts w:cs="Arial"/>
          <w:b/>
          <w:bCs/>
          <w:szCs w:val="24"/>
        </w:rPr>
        <w:t xml:space="preserve">” </w:t>
      </w:r>
      <w:r w:rsidRPr="00983D10">
        <w:rPr>
          <w:rFonts w:cs="Arial"/>
          <w:szCs w:val="24"/>
        </w:rPr>
        <w:t xml:space="preserve">los cuales serán analizados en el considerando respectivo. </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983D10" w:rsidRDefault="00D22D6C" w:rsidP="00D22D6C">
      <w:pPr>
        <w:pStyle w:val="Ttulo2"/>
        <w:rPr>
          <w:rFonts w:ascii="Palatino Linotype" w:eastAsia="Palatino Linotype" w:hAnsi="Palatino Linotype"/>
          <w:color w:val="auto"/>
          <w:sz w:val="28"/>
          <w:szCs w:val="28"/>
        </w:rPr>
      </w:pPr>
      <w:r w:rsidRPr="00983D10">
        <w:rPr>
          <w:rFonts w:ascii="Palatino Linotype" w:eastAsia="Palatino Linotype" w:hAnsi="Palatino Linotype"/>
          <w:b/>
          <w:bCs/>
          <w:color w:val="auto"/>
          <w:sz w:val="28"/>
          <w:szCs w:val="28"/>
        </w:rPr>
        <w:t>TERCERO. Del recurso de revisión</w:t>
      </w:r>
      <w:r w:rsidRPr="00983D10">
        <w:rPr>
          <w:rFonts w:ascii="Palatino Linotype" w:eastAsia="Palatino Linotype" w:hAnsi="Palatino Linotype"/>
          <w:color w:val="auto"/>
          <w:sz w:val="28"/>
          <w:szCs w:val="28"/>
        </w:rPr>
        <w:t>.</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r w:rsidRPr="00983D10">
        <w:rPr>
          <w:rFonts w:eastAsia="Palatino Linotype" w:cs="Palatino Linotype"/>
          <w:color w:val="000000"/>
          <w:szCs w:val="24"/>
        </w:rPr>
        <w:t xml:space="preserve">Inconforme con la respuesta emitida por el Sujeto Obligado, el Recurrente interpuso el presente recurso de revisión el día </w:t>
      </w:r>
      <w:r w:rsidRPr="00983D10">
        <w:rPr>
          <w:rFonts w:eastAsia="Palatino Linotype" w:cs="Palatino Linotype"/>
          <w:b/>
          <w:color w:val="000000"/>
          <w:szCs w:val="24"/>
        </w:rPr>
        <w:t>once de junio de dos mil veinticinco</w:t>
      </w:r>
      <w:r w:rsidRPr="00983D10">
        <w:rPr>
          <w:rFonts w:eastAsia="Palatino Linotype" w:cs="Palatino Linotype"/>
          <w:color w:val="000000"/>
          <w:szCs w:val="24"/>
        </w:rPr>
        <w:t xml:space="preserve">, el cual se registró con el expediente número </w:t>
      </w:r>
      <w:r w:rsidRPr="00983D10">
        <w:rPr>
          <w:rFonts w:eastAsia="Palatino Linotype" w:cs="Palatino Linotype"/>
          <w:b/>
          <w:color w:val="000000"/>
          <w:szCs w:val="24"/>
        </w:rPr>
        <w:t>06860/INFOEM/IP/RR/2025</w:t>
      </w:r>
      <w:r w:rsidRPr="00983D10">
        <w:rPr>
          <w:rFonts w:eastAsia="Palatino Linotype" w:cs="Palatino Linotype"/>
          <w:color w:val="000000"/>
          <w:szCs w:val="24"/>
        </w:rPr>
        <w:t>, manifestando lo siguiente:</w:t>
      </w:r>
    </w:p>
    <w:p w:rsidR="00D22D6C" w:rsidRPr="00983D10" w:rsidRDefault="00D22D6C" w:rsidP="00D22D6C">
      <w:pPr>
        <w:contextualSpacing/>
        <w:rPr>
          <w:rFonts w:eastAsia="Palatino Linotype" w:cs="Palatino Linotype"/>
          <w:b/>
        </w:rPr>
      </w:pPr>
      <w:r w:rsidRPr="00983D10">
        <w:rPr>
          <w:rFonts w:eastAsia="Palatino Linotype" w:cs="Palatino Linotype"/>
          <w:b/>
        </w:rPr>
        <w:t xml:space="preserve">Acto Impugnado </w:t>
      </w:r>
    </w:p>
    <w:p w:rsidR="00D22D6C" w:rsidRPr="00983D10" w:rsidRDefault="00D22D6C" w:rsidP="00D22D6C">
      <w:pPr>
        <w:pStyle w:val="Fundamentos"/>
        <w:rPr>
          <w:b/>
          <w:sz w:val="24"/>
        </w:rPr>
      </w:pPr>
      <w:r w:rsidRPr="00983D10">
        <w:rPr>
          <w:color w:val="auto"/>
          <w:sz w:val="24"/>
        </w:rPr>
        <w:t>“</w:t>
      </w:r>
      <w:r w:rsidRPr="00983D10">
        <w:rPr>
          <w:sz w:val="24"/>
        </w:rPr>
        <w:t xml:space="preserve">La negativa de la </w:t>
      </w:r>
      <w:proofErr w:type="spellStart"/>
      <w:r w:rsidRPr="00983D10">
        <w:rPr>
          <w:sz w:val="24"/>
        </w:rPr>
        <w:t>informaicón</w:t>
      </w:r>
      <w:proofErr w:type="spellEnd"/>
      <w:r w:rsidRPr="00983D10">
        <w:rPr>
          <w:sz w:val="24"/>
        </w:rPr>
        <w:t xml:space="preserve"> que es publica” (Sic)</w:t>
      </w:r>
    </w:p>
    <w:p w:rsidR="00D22D6C" w:rsidRPr="00983D10" w:rsidRDefault="00D22D6C" w:rsidP="00D22D6C">
      <w:pPr>
        <w:contextualSpacing/>
        <w:rPr>
          <w:rFonts w:eastAsia="Palatino Linotype" w:cs="Palatino Linotype"/>
          <w:b/>
          <w:szCs w:val="24"/>
        </w:rPr>
      </w:pPr>
    </w:p>
    <w:p w:rsidR="00D22D6C" w:rsidRPr="00983D10" w:rsidRDefault="00D22D6C" w:rsidP="00D22D6C">
      <w:pPr>
        <w:contextualSpacing/>
        <w:rPr>
          <w:rFonts w:eastAsia="Palatino Linotype" w:cs="Palatino Linotype"/>
          <w:szCs w:val="24"/>
        </w:rPr>
      </w:pPr>
      <w:r w:rsidRPr="00983D10">
        <w:rPr>
          <w:rFonts w:eastAsia="Palatino Linotype" w:cs="Palatino Linotype"/>
          <w:b/>
          <w:szCs w:val="24"/>
        </w:rPr>
        <w:t xml:space="preserve"> Razones o Motivos de Inconformidad</w:t>
      </w:r>
      <w:r w:rsidRPr="00983D10">
        <w:rPr>
          <w:rFonts w:eastAsia="Palatino Linotype" w:cs="Palatino Linotype"/>
          <w:szCs w:val="24"/>
        </w:rPr>
        <w:t>:</w:t>
      </w:r>
    </w:p>
    <w:p w:rsidR="00D22D6C" w:rsidRPr="00983D10" w:rsidRDefault="00D22D6C" w:rsidP="00D22D6C">
      <w:pPr>
        <w:pStyle w:val="Fundamentos"/>
        <w:rPr>
          <w:b/>
          <w:sz w:val="24"/>
        </w:rPr>
      </w:pPr>
      <w:r w:rsidRPr="00983D10">
        <w:rPr>
          <w:color w:val="auto"/>
          <w:sz w:val="24"/>
        </w:rPr>
        <w:t>“</w:t>
      </w:r>
      <w:r w:rsidRPr="00983D10">
        <w:rPr>
          <w:sz w:val="24"/>
        </w:rPr>
        <w:t xml:space="preserve">La negativa de la </w:t>
      </w:r>
      <w:proofErr w:type="spellStart"/>
      <w:r w:rsidRPr="00983D10">
        <w:rPr>
          <w:sz w:val="24"/>
        </w:rPr>
        <w:t>informaicón</w:t>
      </w:r>
      <w:proofErr w:type="spellEnd"/>
      <w:r w:rsidRPr="00983D10">
        <w:rPr>
          <w:sz w:val="24"/>
        </w:rPr>
        <w:t xml:space="preserve"> que es publica” Sic)</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983D10" w:rsidRDefault="00D22D6C" w:rsidP="00D22D6C">
      <w:pPr>
        <w:pStyle w:val="Ttulo2"/>
        <w:rPr>
          <w:rFonts w:ascii="Palatino Linotype" w:eastAsia="Palatino Linotype" w:hAnsi="Palatino Linotype"/>
          <w:b/>
          <w:bCs/>
          <w:color w:val="auto"/>
          <w:sz w:val="28"/>
          <w:szCs w:val="28"/>
        </w:rPr>
      </w:pPr>
      <w:r w:rsidRPr="00983D10">
        <w:rPr>
          <w:rFonts w:ascii="Palatino Linotype" w:eastAsia="Palatino Linotype" w:hAnsi="Palatino Linotype"/>
          <w:b/>
          <w:bCs/>
          <w:color w:val="auto"/>
          <w:sz w:val="28"/>
          <w:szCs w:val="28"/>
        </w:rPr>
        <w:t>CUARTO. Del turno y admisión del recurso de revisión.</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r w:rsidRPr="00983D10">
        <w:rPr>
          <w:rFonts w:eastAsia="Palatino Linotype" w:cs="Palatino Linotype"/>
          <w:color w:val="000000"/>
          <w:szCs w:val="24"/>
        </w:rPr>
        <w:t xml:space="preserve">Medio de impugnación que le fue turnado al </w:t>
      </w:r>
      <w:r w:rsidRPr="00983D10">
        <w:rPr>
          <w:rFonts w:eastAsia="Palatino Linotype" w:cs="Palatino Linotype"/>
          <w:b/>
          <w:color w:val="000000"/>
          <w:szCs w:val="24"/>
        </w:rPr>
        <w:t>Comisionado Presidente José Martínez Vilchis</w:t>
      </w:r>
      <w:r w:rsidRPr="00983D10">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w:t>
      </w:r>
      <w:r w:rsidRPr="00983D10">
        <w:rPr>
          <w:rFonts w:eastAsia="Palatino Linotype" w:cs="Palatino Linotype"/>
          <w:color w:val="000000"/>
          <w:szCs w:val="24"/>
        </w:rPr>
        <w:lastRenderedPageBreak/>
        <w:t>Municipios, al cual recayó acuerdo de admisión de fecha</w:t>
      </w:r>
      <w:r w:rsidRPr="00983D10">
        <w:rPr>
          <w:rFonts w:eastAsia="Palatino Linotype" w:cs="Palatino Linotype"/>
          <w:b/>
          <w:bCs/>
          <w:color w:val="000000"/>
          <w:szCs w:val="24"/>
        </w:rPr>
        <w:t xml:space="preserve"> </w:t>
      </w:r>
      <w:r w:rsidR="009C61EF" w:rsidRPr="00983D10">
        <w:rPr>
          <w:rFonts w:eastAsia="Palatino Linotype" w:cs="Palatino Linotype"/>
          <w:b/>
          <w:bCs/>
          <w:color w:val="000000"/>
          <w:szCs w:val="24"/>
        </w:rPr>
        <w:t>doce de junio</w:t>
      </w:r>
      <w:r w:rsidRPr="00983D10">
        <w:rPr>
          <w:rFonts w:eastAsia="Palatino Linotype" w:cs="Palatino Linotype"/>
          <w:b/>
          <w:bCs/>
          <w:color w:val="000000"/>
          <w:szCs w:val="24"/>
        </w:rPr>
        <w:t xml:space="preserve"> de dos mil veinticinco</w:t>
      </w:r>
      <w:r w:rsidRPr="00983D10">
        <w:rPr>
          <w:rFonts w:eastAsia="Palatino Linotype" w:cs="Palatino Linotype"/>
          <w:color w:val="000000"/>
          <w:szCs w:val="24"/>
        </w:rPr>
        <w:t xml:space="preserve">, </w:t>
      </w:r>
      <w:r w:rsidRPr="00983D10">
        <w:rPr>
          <w:rFonts w:eastAsia="Palatino Linotype" w:cs="Palatino Linotype"/>
          <w:szCs w:val="24"/>
        </w:rPr>
        <w:t>otorgándose</w:t>
      </w:r>
      <w:r w:rsidRPr="00983D10">
        <w:rPr>
          <w:rFonts w:eastAsia="Palatino Linotype" w:cs="Palatino Linotype"/>
          <w:color w:val="000000"/>
          <w:szCs w:val="24"/>
        </w:rPr>
        <w:t xml:space="preserve"> en él un plazo de siete días para que las partes manifestaran lo que a su derecho corresponda en términos del numeral ya citado.</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983D10" w:rsidRDefault="00D22D6C" w:rsidP="00D22D6C">
      <w:pPr>
        <w:pStyle w:val="Ttulo2"/>
        <w:rPr>
          <w:rFonts w:ascii="Palatino Linotype" w:eastAsia="Palatino Linotype" w:hAnsi="Palatino Linotype"/>
          <w:b/>
          <w:bCs/>
          <w:color w:val="auto"/>
          <w:sz w:val="28"/>
          <w:szCs w:val="28"/>
        </w:rPr>
      </w:pPr>
      <w:r w:rsidRPr="00983D10">
        <w:rPr>
          <w:rFonts w:ascii="Palatino Linotype" w:eastAsia="Palatino Linotype" w:hAnsi="Palatino Linotype"/>
          <w:b/>
          <w:bCs/>
          <w:color w:val="auto"/>
          <w:sz w:val="28"/>
          <w:szCs w:val="28"/>
        </w:rPr>
        <w:t>QUINTO. De la etapa de instrucción.</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r w:rsidRPr="00983D10">
        <w:rPr>
          <w:rFonts w:eastAsia="Palatino Linotype" w:cs="Palatino Linotype"/>
          <w:color w:val="000000"/>
          <w:szCs w:val="24"/>
        </w:rPr>
        <w:t xml:space="preserve">Una vez abierta la etapa de instrucción, el Sujeto Obligado rindió su informe justificado en fecha </w:t>
      </w:r>
      <w:r w:rsidR="009C61EF" w:rsidRPr="00983D10">
        <w:rPr>
          <w:rFonts w:eastAsia="Palatino Linotype" w:cs="Palatino Linotype"/>
          <w:color w:val="000000"/>
          <w:szCs w:val="24"/>
        </w:rPr>
        <w:t>veintitrés de junio</w:t>
      </w:r>
      <w:r w:rsidRPr="00983D10">
        <w:rPr>
          <w:rFonts w:eastAsia="Palatino Linotype" w:cs="Palatino Linotype"/>
          <w:color w:val="000000"/>
          <w:szCs w:val="24"/>
        </w:rPr>
        <w:t xml:space="preserve"> de dos mil veinticinco el cual fue puesto a la vista del Recurrente en fecha </w:t>
      </w:r>
      <w:r w:rsidR="009C61EF" w:rsidRPr="00983D10">
        <w:rPr>
          <w:rFonts w:eastAsia="Palatino Linotype" w:cs="Palatino Linotype"/>
          <w:color w:val="000000"/>
          <w:szCs w:val="24"/>
        </w:rPr>
        <w:t>veinticuatro de junio</w:t>
      </w:r>
      <w:r w:rsidRPr="00983D10">
        <w:rPr>
          <w:rFonts w:eastAsia="Palatino Linotype" w:cs="Palatino Linotype"/>
          <w:color w:val="000000"/>
          <w:szCs w:val="24"/>
        </w:rPr>
        <w:t xml:space="preserve"> de dos mil veinticinco. Por su parte, el Recurrente no realizó manifestaciones, vertió alegatos ni presentó pruebas que a su derecho convinieran. </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983D10" w:rsidRDefault="00D22D6C" w:rsidP="00D22D6C">
      <w:pPr>
        <w:pStyle w:val="Ttulo2"/>
        <w:rPr>
          <w:rFonts w:ascii="Palatino Linotype" w:eastAsia="Palatino Linotype" w:hAnsi="Palatino Linotype"/>
          <w:b/>
          <w:bCs/>
          <w:color w:val="auto"/>
          <w:sz w:val="28"/>
          <w:szCs w:val="28"/>
        </w:rPr>
      </w:pPr>
      <w:r w:rsidRPr="00983D10">
        <w:rPr>
          <w:rFonts w:ascii="Palatino Linotype" w:eastAsia="Palatino Linotype" w:hAnsi="Palatino Linotype"/>
          <w:b/>
          <w:bCs/>
          <w:color w:val="auto"/>
          <w:sz w:val="28"/>
          <w:szCs w:val="28"/>
        </w:rPr>
        <w:t>SEXTO. Del cierre de instrucción.</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r w:rsidRPr="00983D10">
        <w:rPr>
          <w:rFonts w:eastAsia="Palatino Linotype" w:cs="Palatino Linotype"/>
          <w:color w:val="000000"/>
          <w:szCs w:val="24"/>
        </w:rPr>
        <w:t>Así, una vez transcurrido el término legal, se decretó el cierre de instrucción en fecha</w:t>
      </w:r>
      <w:r w:rsidRPr="00983D10">
        <w:rPr>
          <w:rFonts w:eastAsia="Palatino Linotype" w:cs="Palatino Linotype"/>
          <w:b/>
          <w:color w:val="000000"/>
          <w:szCs w:val="24"/>
        </w:rPr>
        <w:t xml:space="preserve"> </w:t>
      </w:r>
      <w:r w:rsidR="009C61EF" w:rsidRPr="00983D10">
        <w:rPr>
          <w:rFonts w:eastAsia="Palatino Linotype" w:cs="Palatino Linotype"/>
          <w:b/>
          <w:color w:val="000000"/>
          <w:szCs w:val="24"/>
        </w:rPr>
        <w:t>dos de julio</w:t>
      </w:r>
      <w:r w:rsidRPr="00983D10">
        <w:rPr>
          <w:rFonts w:eastAsia="Palatino Linotype" w:cs="Palatino Linotype"/>
          <w:b/>
          <w:color w:val="000000"/>
          <w:szCs w:val="24"/>
        </w:rPr>
        <w:t xml:space="preserve"> de dos mil veinticuatro</w:t>
      </w:r>
      <w:r w:rsidRPr="00983D10">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rsidR="00D22D6C" w:rsidRPr="00983D10" w:rsidRDefault="00D22D6C" w:rsidP="00D22D6C">
      <w:pPr>
        <w:pBdr>
          <w:top w:val="nil"/>
          <w:left w:val="nil"/>
          <w:bottom w:val="nil"/>
          <w:right w:val="nil"/>
          <w:between w:val="nil"/>
        </w:pBdr>
        <w:contextualSpacing/>
        <w:rPr>
          <w:rFonts w:eastAsiaTheme="minorHAnsi" w:cstheme="minorBidi"/>
          <w:szCs w:val="24"/>
          <w:lang w:eastAsia="en-US"/>
        </w:rPr>
      </w:pPr>
    </w:p>
    <w:p w:rsidR="00D22D6C" w:rsidRPr="00983D10" w:rsidRDefault="00D22D6C" w:rsidP="00D22D6C">
      <w:pPr>
        <w:keepNext/>
        <w:keepLines/>
        <w:outlineLvl w:val="1"/>
        <w:rPr>
          <w:rFonts w:cs="Palatino Linotype"/>
          <w:color w:val="000000"/>
        </w:rPr>
      </w:pPr>
      <w:r w:rsidRPr="00983D10">
        <w:rPr>
          <w:b/>
          <w:color w:val="000000" w:themeColor="text1"/>
          <w:sz w:val="28"/>
          <w:szCs w:val="28"/>
        </w:rPr>
        <w:t xml:space="preserve">SÉPTIMO. </w:t>
      </w:r>
      <w:r w:rsidRPr="00983D10">
        <w:rPr>
          <w:rFonts w:cs="Arial"/>
          <w:b/>
          <w:sz w:val="28"/>
        </w:rPr>
        <w:t>De la ampliación del término para resolver.</w:t>
      </w:r>
    </w:p>
    <w:p w:rsidR="00D22D6C" w:rsidRPr="00983D10" w:rsidRDefault="00D22D6C" w:rsidP="00D22D6C">
      <w:pPr>
        <w:contextualSpacing/>
      </w:pPr>
      <w:r w:rsidRPr="00983D10">
        <w:t>De las constancias que integran el expediente electrónico, se advierte que han transcurrido los términos de Ley, para la emisión de la resolución en el presente recurso de revisión, por lo que en fecha</w:t>
      </w:r>
      <w:r w:rsidRPr="00983D10">
        <w:rPr>
          <w:b/>
        </w:rPr>
        <w:t xml:space="preserve"> </w:t>
      </w:r>
      <w:r w:rsidR="009C61EF" w:rsidRPr="00983D10">
        <w:rPr>
          <w:b/>
        </w:rPr>
        <w:t>once de noviembre</w:t>
      </w:r>
      <w:r w:rsidRPr="00983D10">
        <w:rPr>
          <w:b/>
        </w:rPr>
        <w:t xml:space="preserve"> de dos mil veinticinco</w:t>
      </w:r>
      <w:r w:rsidRPr="00983D10">
        <w:t xml:space="preserve">, se notificó a las partes el acuerdo por el que se ordena ampliar el plazo para la emisión de la </w:t>
      </w:r>
      <w:r w:rsidRPr="00983D10">
        <w:lastRenderedPageBreak/>
        <w:t>resolución, en términos del artículo 181 párrafo tercero de la Ley de Transparencia y Acceso a la Información Pública del Estado de México y Municipios, ordenándose turnar los expedientes a la resolución que en derecho proceda.</w:t>
      </w:r>
    </w:p>
    <w:p w:rsidR="00D22D6C" w:rsidRPr="00983D10" w:rsidRDefault="00D22D6C" w:rsidP="00D22D6C">
      <w:pPr>
        <w:contextualSpacing/>
      </w:pPr>
    </w:p>
    <w:p w:rsidR="00D22D6C" w:rsidRPr="00983D10" w:rsidRDefault="00D22D6C" w:rsidP="00D22D6C">
      <w:pPr>
        <w:contextualSpacing/>
      </w:pPr>
      <w:r w:rsidRPr="00983D10">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rsidR="00D22D6C" w:rsidRPr="00983D10" w:rsidRDefault="00D22D6C" w:rsidP="00D22D6C">
      <w:pPr>
        <w:contextualSpacing/>
      </w:pPr>
    </w:p>
    <w:p w:rsidR="00D22D6C" w:rsidRPr="00983D10" w:rsidRDefault="00D22D6C" w:rsidP="00D22D6C">
      <w:pPr>
        <w:contextualSpacing/>
        <w:rPr>
          <w:rFonts w:cs="Palatino Linotype"/>
          <w:color w:val="000000"/>
        </w:rPr>
      </w:pPr>
      <w:r w:rsidRPr="00983D10">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D22D6C" w:rsidRPr="00983D10" w:rsidRDefault="00D22D6C" w:rsidP="00D22D6C">
      <w:pPr>
        <w:contextualSpacing/>
        <w:rPr>
          <w:rFonts w:cs="Palatino Linotype"/>
          <w:color w:val="000000"/>
        </w:rPr>
      </w:pPr>
    </w:p>
    <w:p w:rsidR="00D22D6C" w:rsidRPr="00983D10" w:rsidRDefault="00D22D6C" w:rsidP="00D22D6C">
      <w:pPr>
        <w:contextualSpacing/>
      </w:pPr>
      <w:r w:rsidRPr="00983D10">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22D6C" w:rsidRPr="00983D10" w:rsidRDefault="00D22D6C" w:rsidP="00D22D6C">
      <w:pPr>
        <w:contextualSpacing/>
        <w:rPr>
          <w:rFonts w:cs="Palatino Linotype"/>
          <w:color w:val="000000"/>
        </w:rPr>
      </w:pPr>
    </w:p>
    <w:p w:rsidR="00D22D6C" w:rsidRPr="00983D10" w:rsidRDefault="00D22D6C" w:rsidP="00D22D6C">
      <w:pPr>
        <w:contextualSpacing/>
      </w:pPr>
      <w:r w:rsidRPr="00983D10">
        <w:lastRenderedPageBreak/>
        <w:t xml:space="preserve">Por ello, excepcionalmente, si un asunto es resuelto con posterioridad a los plazos señalados por la norma debe analizarse la razonabilidad del tiempo necesario para su resolución, atentos a los siguientes criterios: </w:t>
      </w:r>
    </w:p>
    <w:p w:rsidR="00D22D6C" w:rsidRPr="00983D10" w:rsidRDefault="00D22D6C" w:rsidP="00D22D6C">
      <w:pPr>
        <w:pStyle w:val="Prrafodelista"/>
        <w:numPr>
          <w:ilvl w:val="0"/>
          <w:numId w:val="9"/>
        </w:numPr>
        <w:rPr>
          <w:sz w:val="22"/>
        </w:rPr>
      </w:pPr>
      <w:r w:rsidRPr="00983D10">
        <w:rPr>
          <w:b/>
          <w:sz w:val="22"/>
        </w:rPr>
        <w:t>Complejidad del asunto</w:t>
      </w:r>
      <w:r w:rsidRPr="00983D10">
        <w:rPr>
          <w:sz w:val="22"/>
        </w:rPr>
        <w:t>: La complejidad de la prueba, la pluralidad de sujetos procesales, el tiempo transcurrido, las características y contexto del recurso.</w:t>
      </w:r>
    </w:p>
    <w:p w:rsidR="00D22D6C" w:rsidRPr="00983D10" w:rsidRDefault="00D22D6C" w:rsidP="00D22D6C">
      <w:pPr>
        <w:pStyle w:val="Prrafodelista"/>
        <w:ind w:left="1065"/>
        <w:rPr>
          <w:sz w:val="22"/>
        </w:rPr>
      </w:pPr>
    </w:p>
    <w:p w:rsidR="00D22D6C" w:rsidRPr="00983D10" w:rsidRDefault="00D22D6C" w:rsidP="00D22D6C">
      <w:pPr>
        <w:pStyle w:val="Prrafodelista"/>
        <w:numPr>
          <w:ilvl w:val="0"/>
          <w:numId w:val="9"/>
        </w:numPr>
        <w:rPr>
          <w:sz w:val="22"/>
        </w:rPr>
      </w:pPr>
      <w:r w:rsidRPr="00983D10">
        <w:rPr>
          <w:b/>
          <w:sz w:val="22"/>
        </w:rPr>
        <w:t>Actividad Procesal del interesado:</w:t>
      </w:r>
      <w:r w:rsidRPr="00983D10">
        <w:rPr>
          <w:sz w:val="22"/>
        </w:rPr>
        <w:t xml:space="preserve"> Acciones u omisiones del interesado. </w:t>
      </w:r>
    </w:p>
    <w:p w:rsidR="00D22D6C" w:rsidRPr="00983D10" w:rsidRDefault="00D22D6C" w:rsidP="00D22D6C">
      <w:pPr>
        <w:rPr>
          <w:sz w:val="22"/>
        </w:rPr>
      </w:pPr>
    </w:p>
    <w:p w:rsidR="00D22D6C" w:rsidRPr="00983D10" w:rsidRDefault="00D22D6C" w:rsidP="00D22D6C">
      <w:pPr>
        <w:pStyle w:val="Prrafodelista"/>
        <w:numPr>
          <w:ilvl w:val="0"/>
          <w:numId w:val="9"/>
        </w:numPr>
        <w:rPr>
          <w:sz w:val="22"/>
        </w:rPr>
      </w:pPr>
      <w:r w:rsidRPr="00983D10">
        <w:rPr>
          <w:b/>
          <w:sz w:val="22"/>
        </w:rPr>
        <w:t>Conducta de la Autoridad</w:t>
      </w:r>
      <w:r w:rsidRPr="00983D10">
        <w:rPr>
          <w:sz w:val="22"/>
        </w:rPr>
        <w:t>: Las Acciones u omisiones realizadas en el procedimiento. Así como si la autoridad actuó con la debida diligencia.</w:t>
      </w:r>
    </w:p>
    <w:p w:rsidR="00D22D6C" w:rsidRPr="00983D10" w:rsidRDefault="00D22D6C" w:rsidP="00D22D6C">
      <w:pPr>
        <w:pStyle w:val="Prrafodelista"/>
        <w:ind w:left="1065"/>
        <w:rPr>
          <w:sz w:val="22"/>
        </w:rPr>
      </w:pPr>
    </w:p>
    <w:p w:rsidR="00D22D6C" w:rsidRPr="00983D10" w:rsidRDefault="00D22D6C" w:rsidP="00D22D6C">
      <w:pPr>
        <w:ind w:left="705" w:firstLine="60"/>
        <w:contextualSpacing/>
        <w:rPr>
          <w:sz w:val="22"/>
        </w:rPr>
      </w:pPr>
      <w:r w:rsidRPr="00983D10">
        <w:rPr>
          <w:sz w:val="22"/>
        </w:rPr>
        <w:t xml:space="preserve">d) </w:t>
      </w:r>
      <w:r w:rsidRPr="00983D10">
        <w:rPr>
          <w:b/>
          <w:sz w:val="22"/>
        </w:rPr>
        <w:t>La afectación generada en la situación jurídica de la persona involucrada en el proceso</w:t>
      </w:r>
      <w:r w:rsidRPr="00983D10">
        <w:rPr>
          <w:sz w:val="22"/>
        </w:rPr>
        <w:t>: Violación a sus derechos humanos.</w:t>
      </w:r>
    </w:p>
    <w:p w:rsidR="00D22D6C" w:rsidRPr="00983D10" w:rsidRDefault="00D22D6C" w:rsidP="00D22D6C">
      <w:pPr>
        <w:contextualSpacing/>
      </w:pPr>
    </w:p>
    <w:p w:rsidR="00D22D6C" w:rsidRPr="00983D10" w:rsidRDefault="00D22D6C" w:rsidP="00D22D6C">
      <w:pPr>
        <w:contextualSpacing/>
      </w:pPr>
      <w:r w:rsidRPr="00983D10">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983D10">
        <w:t>./</w:t>
      </w:r>
      <w:proofErr w:type="gramEnd"/>
      <w:r w:rsidRPr="00983D10">
        <w:t>J. 32/92 emitida por el Pleno de la Suprema Corte de Justicia de la Nación de rubro “</w:t>
      </w:r>
      <w:r w:rsidRPr="00983D10">
        <w:rPr>
          <w:i/>
        </w:rPr>
        <w:t>TÉRMINOS PROCESALES. PARA DETERMINAR SI UN FUNCIONARIO JUDICIAL ACTUÓ INDEBIDAMENTE POR NO RESPETARLOS SE DEBE ATENDER AL PRESUPUESTO QUE CONSIDERÓ EL LEGISLADOR AL FIJARLOS Y LAS CARACTERÍSTICAS DEL CASO</w:t>
      </w:r>
      <w:r w:rsidRPr="00983D10">
        <w:t xml:space="preserve">.”, visible en la Gaceta del Seminario Judicial de la Federación con el registro digital 205635. </w:t>
      </w:r>
    </w:p>
    <w:p w:rsidR="00D22D6C" w:rsidRPr="00983D10" w:rsidRDefault="00D22D6C" w:rsidP="00D22D6C">
      <w:pPr>
        <w:contextualSpacing/>
      </w:pPr>
      <w:r w:rsidRPr="00983D10">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22D6C" w:rsidRPr="00983D10" w:rsidRDefault="00D22D6C" w:rsidP="00D22D6C">
      <w:pPr>
        <w:contextualSpacing/>
      </w:pPr>
    </w:p>
    <w:p w:rsidR="00D22D6C" w:rsidRPr="00983D10" w:rsidRDefault="00D22D6C" w:rsidP="00D22D6C">
      <w:pPr>
        <w:contextualSpacing/>
      </w:pPr>
      <w:r w:rsidRPr="00983D10">
        <w:t xml:space="preserve">Al respecto, también son de considerar los criterios sostenidos por el Cuarto Tribunal Colegiado en Materia Administrativa del Primer Circuito, cuyos rubros y datos de identificación son los siguientes: </w:t>
      </w:r>
    </w:p>
    <w:p w:rsidR="00D22D6C" w:rsidRPr="00983D10" w:rsidRDefault="00D22D6C" w:rsidP="00D22D6C">
      <w:pPr>
        <w:ind w:left="708"/>
        <w:contextualSpacing/>
        <w:rPr>
          <w:i/>
          <w:sz w:val="22"/>
        </w:rPr>
      </w:pPr>
      <w:r w:rsidRPr="00983D10">
        <w:rPr>
          <w:i/>
          <w:sz w:val="22"/>
        </w:rPr>
        <w:t>“</w:t>
      </w:r>
      <w:r w:rsidRPr="00983D10">
        <w:rPr>
          <w:b/>
          <w:i/>
          <w:sz w:val="22"/>
        </w:rPr>
        <w:t>PLAZO RAZONABLE PARA RESOLVER. DIMENSIÓN Y EFECTOS DE ESTE CONCEPTO CUANDO SE ADUCE EXCESIVA CARGA DE TRABAJO.”</w:t>
      </w:r>
      <w:r w:rsidRPr="00983D10">
        <w:rPr>
          <w:i/>
          <w:sz w:val="22"/>
        </w:rPr>
        <w:t xml:space="preserve"> consultable en el Seminario Judicial de la Federación y su gaceta, con el registro digital 2002351. </w:t>
      </w:r>
    </w:p>
    <w:p w:rsidR="00D22D6C" w:rsidRPr="00983D10" w:rsidRDefault="00D22D6C" w:rsidP="00D22D6C">
      <w:pPr>
        <w:ind w:left="708"/>
        <w:contextualSpacing/>
        <w:rPr>
          <w:i/>
          <w:sz w:val="22"/>
        </w:rPr>
      </w:pPr>
    </w:p>
    <w:p w:rsidR="00D22D6C" w:rsidRPr="00983D10" w:rsidRDefault="00D22D6C" w:rsidP="00D22D6C">
      <w:pPr>
        <w:ind w:left="708"/>
        <w:contextualSpacing/>
        <w:rPr>
          <w:i/>
          <w:sz w:val="22"/>
        </w:rPr>
      </w:pPr>
      <w:r w:rsidRPr="00983D10">
        <w:rPr>
          <w:i/>
          <w:sz w:val="22"/>
        </w:rPr>
        <w:t>“</w:t>
      </w:r>
      <w:r w:rsidRPr="00983D10">
        <w:rPr>
          <w:b/>
          <w:i/>
          <w:sz w:val="22"/>
        </w:rPr>
        <w:t>PLAZO RAZONABLE PARA RESOLVER. CONCEPTO Y ELEMENTOS QUE LO INTEGRAN A LA LUZ DEL DERECHO INTERNACIONAL DE LOS DERECHOS HUMANOS</w:t>
      </w:r>
      <w:r w:rsidRPr="00983D10">
        <w:rPr>
          <w:i/>
          <w:sz w:val="22"/>
        </w:rPr>
        <w:t xml:space="preserve">.”, visible en el Seminario Judicial de la Federación y su gaceta, con el registro digital 2002350. </w:t>
      </w:r>
    </w:p>
    <w:p w:rsidR="00D22D6C" w:rsidRPr="00983D10" w:rsidRDefault="00D22D6C" w:rsidP="00D22D6C">
      <w:pPr>
        <w:contextualSpacing/>
      </w:pPr>
    </w:p>
    <w:p w:rsidR="00D22D6C" w:rsidRPr="00983D10" w:rsidRDefault="00D22D6C" w:rsidP="00D22D6C">
      <w:pPr>
        <w:contextualSpacing/>
      </w:pPr>
      <w:r w:rsidRPr="00983D10">
        <w:t>Por ello, este organismo garante comprometido con la tutela de los derechos humanos confiados, señala que este exceso del plazo legal para resolver el presente asunto, resulta de carácter excepcional.</w:t>
      </w:r>
    </w:p>
    <w:p w:rsidR="00D22D6C" w:rsidRPr="00983D10" w:rsidRDefault="00D22D6C" w:rsidP="00D22D6C">
      <w:pPr>
        <w:pStyle w:val="Ttulo1"/>
        <w:jc w:val="center"/>
        <w:rPr>
          <w:rFonts w:ascii="Palatino Linotype" w:eastAsia="Palatino Linotype" w:hAnsi="Palatino Linotype"/>
          <w:b/>
          <w:bCs/>
          <w:color w:val="auto"/>
          <w:sz w:val="28"/>
          <w:szCs w:val="28"/>
        </w:rPr>
      </w:pPr>
      <w:r w:rsidRPr="00983D10">
        <w:rPr>
          <w:rFonts w:ascii="Palatino Linotype" w:eastAsia="Palatino Linotype" w:hAnsi="Palatino Linotype"/>
          <w:b/>
          <w:bCs/>
          <w:color w:val="auto"/>
          <w:sz w:val="28"/>
          <w:szCs w:val="28"/>
        </w:rPr>
        <w:lastRenderedPageBreak/>
        <w:t>C O N S I D E R A N D O</w:t>
      </w:r>
    </w:p>
    <w:p w:rsidR="00D22D6C" w:rsidRPr="00983D10" w:rsidRDefault="00D22D6C" w:rsidP="00D22D6C"/>
    <w:p w:rsidR="00D22D6C" w:rsidRPr="00983D10" w:rsidRDefault="00D22D6C" w:rsidP="00D22D6C">
      <w:pPr>
        <w:pStyle w:val="Ttulo2"/>
        <w:rPr>
          <w:rFonts w:ascii="Palatino Linotype" w:eastAsia="Palatino Linotype" w:hAnsi="Palatino Linotype"/>
          <w:b/>
          <w:bCs/>
          <w:color w:val="auto"/>
          <w:sz w:val="28"/>
          <w:szCs w:val="28"/>
        </w:rPr>
      </w:pPr>
      <w:r w:rsidRPr="00983D10">
        <w:rPr>
          <w:rFonts w:ascii="Palatino Linotype" w:eastAsia="Palatino Linotype" w:hAnsi="Palatino Linotype"/>
          <w:b/>
          <w:bCs/>
          <w:color w:val="auto"/>
          <w:sz w:val="28"/>
          <w:szCs w:val="28"/>
        </w:rPr>
        <w:t>PRIMERO. De la competencia.</w:t>
      </w:r>
    </w:p>
    <w:p w:rsidR="005C6F0A" w:rsidRPr="00983D10" w:rsidRDefault="005C6F0A" w:rsidP="005C6F0A">
      <w:pPr>
        <w:tabs>
          <w:tab w:val="left" w:pos="3402"/>
        </w:tabs>
      </w:pPr>
      <w:r w:rsidRPr="00983D10">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983D10" w:rsidRDefault="00D22D6C" w:rsidP="00D22D6C">
      <w:pPr>
        <w:pStyle w:val="Ttulo2"/>
        <w:rPr>
          <w:rFonts w:ascii="Palatino Linotype" w:eastAsia="Palatino Linotype" w:hAnsi="Palatino Linotype"/>
          <w:b/>
          <w:bCs/>
          <w:color w:val="auto"/>
          <w:sz w:val="28"/>
          <w:szCs w:val="28"/>
        </w:rPr>
      </w:pPr>
      <w:r w:rsidRPr="00983D10">
        <w:rPr>
          <w:rFonts w:ascii="Palatino Linotype" w:eastAsia="Palatino Linotype" w:hAnsi="Palatino Linotype"/>
          <w:b/>
          <w:bCs/>
          <w:color w:val="auto"/>
          <w:sz w:val="28"/>
          <w:szCs w:val="28"/>
        </w:rPr>
        <w:t xml:space="preserve">SEGUNDO. Sobre los alcances del recurso de revisión. </w:t>
      </w:r>
    </w:p>
    <w:p w:rsidR="00D22D6C" w:rsidRPr="00983D10" w:rsidRDefault="00D22D6C" w:rsidP="00D22D6C">
      <w:r w:rsidRPr="00983D10">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983D10">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22D6C" w:rsidRPr="00983D10" w:rsidRDefault="00D22D6C" w:rsidP="00D22D6C"/>
    <w:p w:rsidR="00D22D6C" w:rsidRPr="00983D10" w:rsidRDefault="00D22D6C" w:rsidP="00D22D6C">
      <w:pPr>
        <w:autoSpaceDE w:val="0"/>
        <w:autoSpaceDN w:val="0"/>
        <w:adjustRightInd w:val="0"/>
        <w:spacing w:before="240" w:line="240" w:lineRule="auto"/>
        <w:rPr>
          <w:rFonts w:eastAsia="Times New Roman" w:cs="Arial"/>
          <w:b/>
          <w:szCs w:val="24"/>
          <w:lang w:val="es-ES" w:eastAsia="es-ES"/>
        </w:rPr>
      </w:pPr>
      <w:r w:rsidRPr="00983D10">
        <w:rPr>
          <w:rFonts w:cs="Arial"/>
          <w:b/>
          <w:sz w:val="28"/>
        </w:rPr>
        <w:t xml:space="preserve">TERCERO. </w:t>
      </w:r>
      <w:r w:rsidRPr="00983D10">
        <w:rPr>
          <w:rFonts w:eastAsia="Times New Roman" w:cs="Arial"/>
          <w:b/>
          <w:sz w:val="28"/>
          <w:szCs w:val="28"/>
          <w:lang w:val="es-ES" w:eastAsia="es-ES"/>
        </w:rPr>
        <w:t>Cuestiones de previo y especial pronunciamiento</w:t>
      </w:r>
    </w:p>
    <w:p w:rsidR="00D22D6C" w:rsidRPr="00983D10" w:rsidRDefault="00D22D6C" w:rsidP="00D22D6C">
      <w:pPr>
        <w:autoSpaceDE w:val="0"/>
        <w:autoSpaceDN w:val="0"/>
        <w:adjustRightInd w:val="0"/>
        <w:spacing w:before="240"/>
        <w:rPr>
          <w:rFonts w:eastAsia="Times New Roman" w:cs="Times New Roman"/>
          <w:szCs w:val="24"/>
        </w:rPr>
      </w:pPr>
      <w:r w:rsidRPr="00983D10">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rsidR="00D22D6C" w:rsidRPr="00983D10" w:rsidRDefault="00D22D6C" w:rsidP="00D22D6C">
      <w:pPr>
        <w:autoSpaceDE w:val="0"/>
        <w:autoSpaceDN w:val="0"/>
        <w:adjustRightInd w:val="0"/>
        <w:spacing w:before="240"/>
        <w:ind w:left="360" w:firstLine="348"/>
        <w:rPr>
          <w:rFonts w:eastAsia="Times New Roman" w:cs="Times New Roman"/>
          <w:i/>
          <w:sz w:val="22"/>
        </w:rPr>
      </w:pPr>
      <w:r w:rsidRPr="00983D10">
        <w:rPr>
          <w:rFonts w:eastAsia="Times New Roman" w:cs="Times New Roman"/>
          <w:i/>
          <w:sz w:val="22"/>
        </w:rPr>
        <w:t>“Artículo 180. El recurso de revisión contendrá:</w:t>
      </w:r>
    </w:p>
    <w:p w:rsidR="00D22D6C" w:rsidRPr="00983D10" w:rsidRDefault="00D22D6C" w:rsidP="00D22D6C">
      <w:pPr>
        <w:numPr>
          <w:ilvl w:val="0"/>
          <w:numId w:val="1"/>
        </w:numPr>
        <w:autoSpaceDE w:val="0"/>
        <w:autoSpaceDN w:val="0"/>
        <w:adjustRightInd w:val="0"/>
        <w:spacing w:before="240"/>
        <w:rPr>
          <w:rFonts w:eastAsia="Times New Roman" w:cs="Times New Roman"/>
          <w:i/>
          <w:sz w:val="22"/>
          <w:lang w:val="es-ES" w:eastAsia="es-ES"/>
        </w:rPr>
      </w:pPr>
      <w:r w:rsidRPr="00983D10">
        <w:rPr>
          <w:rFonts w:eastAsia="Times New Roman" w:cs="Times New Roman"/>
          <w:i/>
          <w:sz w:val="22"/>
          <w:lang w:val="es-ES" w:eastAsia="es-ES"/>
        </w:rPr>
        <w:t>EL sujeto obligado ante la cual se presentó la solicitud;</w:t>
      </w:r>
    </w:p>
    <w:p w:rsidR="00D22D6C" w:rsidRPr="00983D10" w:rsidRDefault="00D22D6C" w:rsidP="00D22D6C">
      <w:pPr>
        <w:numPr>
          <w:ilvl w:val="0"/>
          <w:numId w:val="1"/>
        </w:numPr>
        <w:autoSpaceDE w:val="0"/>
        <w:autoSpaceDN w:val="0"/>
        <w:adjustRightInd w:val="0"/>
        <w:spacing w:before="240"/>
        <w:rPr>
          <w:rFonts w:eastAsia="Times New Roman" w:cs="Times New Roman"/>
          <w:i/>
          <w:sz w:val="22"/>
          <w:lang w:val="es-ES" w:eastAsia="es-ES"/>
        </w:rPr>
      </w:pPr>
      <w:r w:rsidRPr="00983D10">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rsidR="00D22D6C" w:rsidRPr="00983D10" w:rsidRDefault="00D22D6C" w:rsidP="00D22D6C">
      <w:pPr>
        <w:numPr>
          <w:ilvl w:val="0"/>
          <w:numId w:val="1"/>
        </w:numPr>
        <w:autoSpaceDE w:val="0"/>
        <w:autoSpaceDN w:val="0"/>
        <w:adjustRightInd w:val="0"/>
        <w:spacing w:before="240"/>
        <w:rPr>
          <w:rFonts w:eastAsia="Times New Roman" w:cs="Times New Roman"/>
          <w:i/>
          <w:sz w:val="22"/>
          <w:lang w:val="es-ES" w:eastAsia="es-ES"/>
        </w:rPr>
      </w:pPr>
      <w:r w:rsidRPr="00983D10">
        <w:rPr>
          <w:rFonts w:eastAsia="Times New Roman" w:cs="Times New Roman"/>
          <w:i/>
          <w:sz w:val="22"/>
          <w:lang w:val="es-ES" w:eastAsia="es-ES"/>
        </w:rPr>
        <w:t>El número de folio de respuesta de la solicitud de acceso;</w:t>
      </w:r>
    </w:p>
    <w:p w:rsidR="00D22D6C" w:rsidRPr="00983D10" w:rsidRDefault="00D22D6C" w:rsidP="00D22D6C">
      <w:pPr>
        <w:autoSpaceDE w:val="0"/>
        <w:autoSpaceDN w:val="0"/>
        <w:adjustRightInd w:val="0"/>
        <w:spacing w:before="240"/>
        <w:ind w:left="1080"/>
        <w:rPr>
          <w:rFonts w:eastAsia="Times New Roman" w:cs="Times New Roman"/>
          <w:i/>
          <w:sz w:val="22"/>
        </w:rPr>
      </w:pPr>
      <w:r w:rsidRPr="00983D10">
        <w:rPr>
          <w:rFonts w:eastAsia="Times New Roman" w:cs="Times New Roman"/>
          <w:i/>
          <w:sz w:val="22"/>
        </w:rPr>
        <w:t>IV. La fecha en que fue notificada la respuesta al solicitante o tuvo conocimiento del acto reclamado, o de presentación de la solicitud, en caso de falta de respuesta;</w:t>
      </w:r>
    </w:p>
    <w:p w:rsidR="00D22D6C" w:rsidRPr="00983D10" w:rsidRDefault="00D22D6C" w:rsidP="00D22D6C">
      <w:pPr>
        <w:autoSpaceDE w:val="0"/>
        <w:autoSpaceDN w:val="0"/>
        <w:adjustRightInd w:val="0"/>
        <w:spacing w:before="240"/>
        <w:ind w:left="732" w:firstLine="348"/>
        <w:rPr>
          <w:rFonts w:eastAsia="Times New Roman" w:cs="Times New Roman"/>
          <w:i/>
          <w:sz w:val="22"/>
        </w:rPr>
      </w:pPr>
      <w:r w:rsidRPr="00983D10">
        <w:rPr>
          <w:rFonts w:eastAsia="Times New Roman" w:cs="Times New Roman"/>
          <w:i/>
          <w:sz w:val="22"/>
        </w:rPr>
        <w:t>V. El acto que se recurre;</w:t>
      </w:r>
    </w:p>
    <w:p w:rsidR="00D22D6C" w:rsidRPr="00983D10" w:rsidRDefault="00D22D6C" w:rsidP="00D22D6C">
      <w:pPr>
        <w:autoSpaceDE w:val="0"/>
        <w:autoSpaceDN w:val="0"/>
        <w:adjustRightInd w:val="0"/>
        <w:spacing w:before="240"/>
        <w:ind w:left="732" w:firstLine="348"/>
        <w:rPr>
          <w:rFonts w:eastAsia="Times New Roman" w:cs="Times New Roman"/>
          <w:i/>
          <w:sz w:val="22"/>
        </w:rPr>
      </w:pPr>
      <w:r w:rsidRPr="00983D10">
        <w:rPr>
          <w:rFonts w:eastAsia="Times New Roman" w:cs="Times New Roman"/>
          <w:i/>
          <w:sz w:val="22"/>
        </w:rPr>
        <w:t>VI. Las razones o motivos de inconformidad;</w:t>
      </w:r>
    </w:p>
    <w:p w:rsidR="00D22D6C" w:rsidRPr="00983D10" w:rsidRDefault="00D22D6C" w:rsidP="00D22D6C">
      <w:pPr>
        <w:autoSpaceDE w:val="0"/>
        <w:autoSpaceDN w:val="0"/>
        <w:adjustRightInd w:val="0"/>
        <w:spacing w:before="240"/>
        <w:ind w:left="1080"/>
        <w:rPr>
          <w:rFonts w:eastAsia="Times New Roman" w:cs="Times New Roman"/>
          <w:i/>
          <w:sz w:val="22"/>
        </w:rPr>
      </w:pPr>
      <w:r w:rsidRPr="00983D10">
        <w:rPr>
          <w:rFonts w:eastAsia="Times New Roman" w:cs="Times New Roman"/>
          <w:i/>
          <w:sz w:val="22"/>
        </w:rPr>
        <w:t>VII. La copia de la respuesta que se impugna y, en su caso, de la notificación correspondiente, en el caso de respuesta de la solicitud; y</w:t>
      </w:r>
    </w:p>
    <w:p w:rsidR="00D22D6C" w:rsidRPr="00983D10" w:rsidRDefault="00D22D6C" w:rsidP="00D22D6C">
      <w:pPr>
        <w:autoSpaceDE w:val="0"/>
        <w:autoSpaceDN w:val="0"/>
        <w:adjustRightInd w:val="0"/>
        <w:spacing w:before="240"/>
        <w:ind w:left="732" w:firstLine="348"/>
        <w:rPr>
          <w:rFonts w:eastAsia="Times New Roman" w:cs="Times New Roman"/>
          <w:i/>
          <w:sz w:val="22"/>
        </w:rPr>
      </w:pPr>
      <w:r w:rsidRPr="00983D10">
        <w:rPr>
          <w:rFonts w:eastAsia="Times New Roman" w:cs="Times New Roman"/>
          <w:i/>
          <w:sz w:val="22"/>
        </w:rPr>
        <w:lastRenderedPageBreak/>
        <w:t>VIII. Firma del recurrente, en su caso, cuando se presente por escrito, requisito sin el cual se dará trámite al recurso.</w:t>
      </w:r>
    </w:p>
    <w:p w:rsidR="00D22D6C" w:rsidRPr="00983D10" w:rsidRDefault="00D22D6C" w:rsidP="00D22D6C">
      <w:pPr>
        <w:autoSpaceDE w:val="0"/>
        <w:autoSpaceDN w:val="0"/>
        <w:adjustRightInd w:val="0"/>
        <w:spacing w:before="240"/>
        <w:ind w:left="1080"/>
        <w:rPr>
          <w:rFonts w:eastAsia="Times New Roman" w:cs="Times New Roman"/>
          <w:i/>
          <w:sz w:val="22"/>
        </w:rPr>
      </w:pPr>
      <w:r w:rsidRPr="00983D10">
        <w:rPr>
          <w:rFonts w:eastAsia="Times New Roman" w:cs="Times New Roman"/>
          <w:i/>
          <w:sz w:val="22"/>
        </w:rPr>
        <w:t>Adicionalmente, se podrán anexar las pruebas y demás elementos que considere procedentes someter a juicio del Instituto.</w:t>
      </w:r>
    </w:p>
    <w:p w:rsidR="00D22D6C" w:rsidRPr="00983D10" w:rsidRDefault="00D22D6C" w:rsidP="00D22D6C">
      <w:pPr>
        <w:autoSpaceDE w:val="0"/>
        <w:autoSpaceDN w:val="0"/>
        <w:adjustRightInd w:val="0"/>
        <w:spacing w:before="240"/>
        <w:ind w:left="732" w:firstLine="348"/>
        <w:rPr>
          <w:rFonts w:eastAsia="Times New Roman" w:cs="Times New Roman"/>
          <w:i/>
          <w:sz w:val="22"/>
        </w:rPr>
      </w:pPr>
      <w:r w:rsidRPr="00983D10">
        <w:rPr>
          <w:rFonts w:eastAsia="Times New Roman" w:cs="Times New Roman"/>
          <w:i/>
          <w:sz w:val="22"/>
        </w:rPr>
        <w:t>En ningún caso será necesario que el particular ratifique el recurso de revisión interpuesto.</w:t>
      </w:r>
    </w:p>
    <w:p w:rsidR="00D22D6C" w:rsidRPr="00983D10" w:rsidRDefault="00D22D6C" w:rsidP="00D22D6C">
      <w:pPr>
        <w:autoSpaceDE w:val="0"/>
        <w:autoSpaceDN w:val="0"/>
        <w:adjustRightInd w:val="0"/>
        <w:spacing w:before="240"/>
        <w:ind w:left="1080"/>
        <w:rPr>
          <w:rFonts w:eastAsia="Times New Roman" w:cs="Times New Roman"/>
          <w:b/>
          <w:i/>
          <w:sz w:val="22"/>
          <w:u w:val="single"/>
        </w:rPr>
      </w:pPr>
      <w:r w:rsidRPr="00983D10">
        <w:rPr>
          <w:rFonts w:eastAsia="Times New Roman" w:cs="Times New Roman"/>
          <w:b/>
          <w:i/>
          <w:sz w:val="22"/>
          <w:u w:val="single"/>
        </w:rPr>
        <w:t>En caso de que el recurso se interponga de manera electrónica no será indispensable que contengan los requisitos establecidos en las fracciones II, IV, VII y VIII.” [Sic]</w:t>
      </w:r>
    </w:p>
    <w:p w:rsidR="00D22D6C" w:rsidRPr="00983D10" w:rsidRDefault="00D22D6C" w:rsidP="00D22D6C">
      <w:pPr>
        <w:autoSpaceDE w:val="0"/>
        <w:autoSpaceDN w:val="0"/>
        <w:adjustRightInd w:val="0"/>
        <w:spacing w:before="240"/>
        <w:ind w:left="1080"/>
        <w:rPr>
          <w:rFonts w:eastAsia="Times New Roman" w:cs="Times New Roman"/>
          <w:b/>
          <w:i/>
          <w:sz w:val="22"/>
          <w:u w:val="single"/>
        </w:rPr>
      </w:pPr>
    </w:p>
    <w:p w:rsidR="00D22D6C" w:rsidRPr="00983D10" w:rsidRDefault="00D22D6C" w:rsidP="00D22D6C">
      <w:pPr>
        <w:rPr>
          <w:rFonts w:eastAsia="Times New Roman" w:cs="Arial"/>
          <w:szCs w:val="24"/>
          <w:lang w:val="es-ES" w:eastAsia="es-ES"/>
        </w:rPr>
      </w:pPr>
      <w:r w:rsidRPr="00983D10">
        <w:rPr>
          <w:rFonts w:eastAsia="Times New Roman" w:cs="Segoe UI"/>
          <w:szCs w:val="24"/>
          <w:lang w:val="es-ES" w:eastAsia="es-ES"/>
        </w:rPr>
        <w:t xml:space="preserve">Cabe señalar que </w:t>
      </w:r>
      <w:r w:rsidRPr="00983D10">
        <w:rPr>
          <w:rFonts w:eastAsia="Times New Roman" w:cs="Segoe UI"/>
          <w:b/>
          <w:szCs w:val="24"/>
          <w:lang w:val="es-ES" w:eastAsia="es-ES"/>
        </w:rPr>
        <w:t>El Recurrente</w:t>
      </w:r>
      <w:r w:rsidRPr="00983D10">
        <w:rPr>
          <w:rFonts w:eastAsia="Times New Roman" w:cs="Segoe UI"/>
          <w:szCs w:val="24"/>
          <w:lang w:val="es-ES" w:eastAsia="es-ES"/>
        </w:rPr>
        <w:t xml:space="preserve"> ejerció de manera anónima su derecho de acceso a la información pública</w:t>
      </w:r>
      <w:r w:rsidRPr="00983D10">
        <w:rPr>
          <w:rFonts w:eastAsia="Times New Roman" w:cs="Times New Roman"/>
          <w:szCs w:val="24"/>
          <w:lang w:val="es-ES" w:eastAsia="es-ES"/>
        </w:rPr>
        <w:t xml:space="preserve">, sin embargo, no es motivo para desechar las </w:t>
      </w:r>
      <w:r w:rsidRPr="00983D10">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D22D6C" w:rsidRPr="00983D10" w:rsidRDefault="00D22D6C" w:rsidP="00D22D6C">
      <w:pPr>
        <w:spacing w:before="240"/>
        <w:ind w:left="851" w:right="851"/>
        <w:rPr>
          <w:rFonts w:eastAsia="Times New Roman" w:cs="Arial"/>
          <w:b/>
          <w:i/>
          <w:sz w:val="22"/>
          <w:lang w:val="es-ES" w:eastAsia="es-ES"/>
        </w:rPr>
      </w:pPr>
      <w:r w:rsidRPr="00983D10">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83D10">
        <w:rPr>
          <w:rFonts w:eastAsia="Times New Roman" w:cs="Arial"/>
          <w:b/>
          <w:i/>
          <w:sz w:val="22"/>
          <w:lang w:val="es-ES" w:eastAsia="es-ES"/>
        </w:rPr>
        <w:t>[Sic]</w:t>
      </w:r>
    </w:p>
    <w:p w:rsidR="00D22D6C" w:rsidRPr="00983D10" w:rsidRDefault="00D22D6C" w:rsidP="00D22D6C">
      <w:pPr>
        <w:spacing w:before="240"/>
        <w:ind w:left="851" w:right="851"/>
        <w:rPr>
          <w:rFonts w:eastAsia="Times New Roman" w:cs="Arial"/>
          <w:b/>
          <w:i/>
          <w:sz w:val="22"/>
          <w:lang w:val="es-ES" w:eastAsia="es-ES"/>
        </w:rPr>
      </w:pPr>
    </w:p>
    <w:p w:rsidR="00D22D6C" w:rsidRPr="00983D10" w:rsidRDefault="00D22D6C" w:rsidP="00D22D6C">
      <w:pPr>
        <w:rPr>
          <w:rFonts w:eastAsia="Times New Roman" w:cs="Times New Roman"/>
          <w:szCs w:val="24"/>
          <w:lang w:val="es-ES" w:eastAsia="es-ES"/>
        </w:rPr>
      </w:pPr>
      <w:r w:rsidRPr="00983D10">
        <w:rPr>
          <w:rFonts w:eastAsia="Times New Roman" w:cs="Times New Roman"/>
          <w:szCs w:val="24"/>
          <w:lang w:val="es-ES" w:eastAsia="es-ES"/>
        </w:rPr>
        <w:t xml:space="preserve">Robusteciendo lo anterior se encuentra lo dispuesto en el artículo 5 párrafos </w:t>
      </w:r>
      <w:r w:rsidRPr="00983D10">
        <w:rPr>
          <w:rFonts w:eastAsia="Times New Roman" w:cs="Arial"/>
          <w:szCs w:val="24"/>
          <w:lang w:val="es-ES" w:eastAsia="es-ES"/>
        </w:rPr>
        <w:t>vigésimo, vigésimo primero</w:t>
      </w:r>
      <w:r w:rsidRPr="00983D10">
        <w:rPr>
          <w:rFonts w:eastAsia="Times New Roman" w:cs="Arial"/>
          <w:szCs w:val="24"/>
          <w:lang w:eastAsia="es-ES"/>
        </w:rPr>
        <w:t xml:space="preserve"> y vigésimo segundo</w:t>
      </w:r>
      <w:r w:rsidRPr="00983D10">
        <w:rPr>
          <w:rFonts w:eastAsia="Times New Roman" w:cs="Times New Roman"/>
          <w:szCs w:val="24"/>
          <w:lang w:val="es-ES" w:eastAsia="es-ES"/>
        </w:rPr>
        <w:t>, de la Constitución Política del Estado Libre y Soberano de México, se establece lo siguiente:</w:t>
      </w:r>
    </w:p>
    <w:p w:rsidR="00D22D6C" w:rsidRPr="00983D10" w:rsidRDefault="00D22D6C" w:rsidP="00D22D6C">
      <w:pPr>
        <w:spacing w:before="240"/>
        <w:ind w:left="851" w:right="851"/>
        <w:rPr>
          <w:rFonts w:eastAsia="Times New Roman" w:cs="Times New Roman"/>
          <w:b/>
          <w:i/>
          <w:sz w:val="22"/>
          <w:u w:val="single"/>
          <w:lang w:val="es-ES" w:eastAsia="es-ES"/>
        </w:rPr>
      </w:pPr>
      <w:r w:rsidRPr="00983D10">
        <w:rPr>
          <w:rFonts w:eastAsia="Times New Roman" w:cs="Times New Roman"/>
          <w:b/>
          <w:i/>
          <w:sz w:val="22"/>
          <w:u w:val="single"/>
          <w:lang w:val="es-ES" w:eastAsia="es-ES"/>
        </w:rPr>
        <w:t>Constitución Política del Estado Libre y Soberano de México</w:t>
      </w:r>
    </w:p>
    <w:p w:rsidR="00D22D6C" w:rsidRPr="00983D10" w:rsidRDefault="00D22D6C" w:rsidP="00D22D6C">
      <w:pPr>
        <w:spacing w:before="240"/>
        <w:ind w:left="851" w:right="851"/>
        <w:rPr>
          <w:rFonts w:eastAsia="Times New Roman" w:cs="Times New Roman"/>
          <w:i/>
          <w:sz w:val="22"/>
          <w:lang w:val="es-ES" w:eastAsia="es-ES"/>
        </w:rPr>
      </w:pPr>
      <w:r w:rsidRPr="00983D10">
        <w:rPr>
          <w:rFonts w:eastAsia="Times New Roman" w:cs="Times New Roman"/>
          <w:i/>
          <w:sz w:val="22"/>
          <w:lang w:val="es-ES" w:eastAsia="es-ES"/>
        </w:rPr>
        <w:lastRenderedPageBreak/>
        <w:t>“</w:t>
      </w:r>
      <w:r w:rsidRPr="00983D10">
        <w:rPr>
          <w:rFonts w:eastAsia="Times New Roman" w:cs="Times New Roman"/>
          <w:b/>
          <w:i/>
          <w:sz w:val="22"/>
          <w:lang w:val="es-ES" w:eastAsia="es-ES"/>
        </w:rPr>
        <w:t>Artículo 5</w:t>
      </w:r>
      <w:r w:rsidRPr="00983D10">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22D6C" w:rsidRPr="00983D10" w:rsidRDefault="00D22D6C" w:rsidP="00D22D6C">
      <w:pPr>
        <w:spacing w:before="240"/>
        <w:ind w:left="851" w:right="851"/>
        <w:rPr>
          <w:rFonts w:eastAsia="Times New Roman" w:cs="Times New Roman"/>
          <w:i/>
          <w:sz w:val="22"/>
          <w:lang w:val="es-ES" w:eastAsia="es-ES"/>
        </w:rPr>
      </w:pPr>
      <w:r w:rsidRPr="00983D10">
        <w:rPr>
          <w:rFonts w:eastAsia="Times New Roman" w:cs="Times New Roman"/>
          <w:i/>
          <w:sz w:val="22"/>
          <w:lang w:val="es-ES" w:eastAsia="es-ES"/>
        </w:rPr>
        <w:t>(…)</w:t>
      </w:r>
    </w:p>
    <w:p w:rsidR="00D22D6C" w:rsidRPr="00983D10" w:rsidRDefault="00D22D6C" w:rsidP="00D22D6C">
      <w:pPr>
        <w:spacing w:before="240"/>
        <w:ind w:left="851" w:right="851"/>
        <w:rPr>
          <w:rFonts w:eastAsia="Times New Roman" w:cs="Times New Roman"/>
          <w:b/>
          <w:i/>
          <w:sz w:val="22"/>
          <w:lang w:val="es-ES" w:eastAsia="es-ES"/>
        </w:rPr>
      </w:pPr>
      <w:proofErr w:type="gramStart"/>
      <w:r w:rsidRPr="00983D10">
        <w:rPr>
          <w:rFonts w:eastAsia="Times New Roman" w:cs="Times New Roman"/>
          <w:i/>
          <w:sz w:val="22"/>
          <w:lang w:val="es-ES" w:eastAsia="es-ES"/>
        </w:rPr>
        <w:t>transparencia</w:t>
      </w:r>
      <w:proofErr w:type="gramEnd"/>
      <w:r w:rsidRPr="00983D10">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983D10">
        <w:rPr>
          <w:rFonts w:eastAsia="Times New Roman" w:cs="Times New Roman"/>
          <w:b/>
          <w:i/>
          <w:sz w:val="22"/>
          <w:lang w:val="es-ES" w:eastAsia="es-ES"/>
        </w:rPr>
        <w:t>[Sic]</w:t>
      </w:r>
    </w:p>
    <w:p w:rsidR="00D22D6C" w:rsidRPr="00983D10" w:rsidRDefault="00D22D6C" w:rsidP="00D22D6C">
      <w:pPr>
        <w:autoSpaceDE w:val="0"/>
        <w:autoSpaceDN w:val="0"/>
        <w:adjustRightInd w:val="0"/>
        <w:spacing w:before="240"/>
        <w:rPr>
          <w:rFonts w:eastAsia="Times New Roman" w:cs="Arial"/>
          <w:szCs w:val="24"/>
          <w:lang w:val="es-ES"/>
        </w:rPr>
      </w:pPr>
      <w:r w:rsidRPr="00983D10">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83D10">
        <w:rPr>
          <w:rFonts w:eastAsia="Times New Roman" w:cs="Times New Roman"/>
          <w:b/>
          <w:szCs w:val="24"/>
          <w:u w:val="single"/>
          <w:lang w:val="es-ES" w:eastAsia="es-ES"/>
        </w:rPr>
        <w:t>incluso, la solicitud de acceso a la información pueda ser anónima</w:t>
      </w:r>
      <w:r w:rsidRPr="00983D10">
        <w:rPr>
          <w:rFonts w:eastAsia="Times New Roman" w:cs="Times New Roman"/>
          <w:szCs w:val="24"/>
          <w:lang w:val="es-ES" w:eastAsia="es-ES"/>
        </w:rPr>
        <w:t xml:space="preserve"> o no contener un nombre que identifique al solicitante o que permita tener certeza sobre su identidad. </w:t>
      </w:r>
      <w:r w:rsidRPr="00983D10">
        <w:rPr>
          <w:rFonts w:eastAsia="Times New Roman" w:cs="Arial"/>
          <w:szCs w:val="24"/>
          <w:lang w:val="es-ES"/>
        </w:rPr>
        <w:t xml:space="preserve">En conclusión, se cubrieron los requisitos de procedencia y </w:t>
      </w:r>
      <w:proofErr w:type="spellStart"/>
      <w:r w:rsidRPr="00983D10">
        <w:rPr>
          <w:rFonts w:eastAsia="Times New Roman" w:cs="Arial"/>
          <w:szCs w:val="24"/>
          <w:lang w:val="es-ES"/>
        </w:rPr>
        <w:t>procedibilidad</w:t>
      </w:r>
      <w:proofErr w:type="spellEnd"/>
      <w:r w:rsidRPr="00983D10">
        <w:rPr>
          <w:rFonts w:eastAsia="Times New Roman" w:cs="Arial"/>
          <w:szCs w:val="24"/>
          <w:lang w:val="es-ES"/>
        </w:rPr>
        <w:t xml:space="preserve"> y conforme a las constancias que obran en el expediente.</w:t>
      </w:r>
    </w:p>
    <w:p w:rsidR="00466107" w:rsidRPr="00983D10" w:rsidRDefault="00466107" w:rsidP="00D22D6C">
      <w:pPr>
        <w:autoSpaceDE w:val="0"/>
        <w:autoSpaceDN w:val="0"/>
        <w:adjustRightInd w:val="0"/>
        <w:spacing w:before="240"/>
        <w:rPr>
          <w:rFonts w:ascii="Times New Roman" w:eastAsia="Times New Roman" w:hAnsi="Times New Roman" w:cs="Arial"/>
          <w:b/>
          <w:sz w:val="28"/>
          <w:szCs w:val="24"/>
          <w:lang w:val="es-ES" w:eastAsia="es-ES"/>
        </w:rPr>
      </w:pPr>
    </w:p>
    <w:p w:rsidR="00D22D6C" w:rsidRPr="00983D10" w:rsidRDefault="00D22D6C" w:rsidP="00D22D6C">
      <w:pPr>
        <w:pStyle w:val="Prrafodelista"/>
        <w:autoSpaceDE w:val="0"/>
        <w:autoSpaceDN w:val="0"/>
        <w:adjustRightInd w:val="0"/>
        <w:spacing w:before="240" w:after="160"/>
        <w:ind w:left="0"/>
        <w:rPr>
          <w:rFonts w:cs="Arial"/>
          <w:b/>
          <w:sz w:val="28"/>
        </w:rPr>
      </w:pPr>
      <w:r w:rsidRPr="00983D10">
        <w:rPr>
          <w:rFonts w:cs="Arial"/>
          <w:b/>
          <w:sz w:val="28"/>
        </w:rPr>
        <w:t>CUARTO. De las causas de improcedencia.</w:t>
      </w:r>
    </w:p>
    <w:p w:rsidR="00D22D6C" w:rsidRPr="00983D10" w:rsidRDefault="00D22D6C" w:rsidP="00D22D6C">
      <w:pPr>
        <w:pStyle w:val="Prrafodelista"/>
        <w:autoSpaceDE w:val="0"/>
        <w:autoSpaceDN w:val="0"/>
        <w:adjustRightInd w:val="0"/>
        <w:ind w:left="0"/>
        <w:rPr>
          <w:rFonts w:cs="Arial"/>
        </w:rPr>
      </w:pPr>
      <w:r w:rsidRPr="00983D10">
        <w:rPr>
          <w:rFonts w:cs="Arial"/>
        </w:rPr>
        <w:t xml:space="preserve">En el procedimiento de acceso a la información y de los medios de impugnación de la materia, se advierten diversos supuestos de </w:t>
      </w:r>
      <w:proofErr w:type="spellStart"/>
      <w:r w:rsidRPr="00983D10">
        <w:rPr>
          <w:rFonts w:cs="Arial"/>
        </w:rPr>
        <w:t>procedibilidad</w:t>
      </w:r>
      <w:proofErr w:type="spellEnd"/>
      <w:r w:rsidRPr="00983D10">
        <w:rPr>
          <w:rFonts w:cs="Arial"/>
        </w:rPr>
        <w:t xml:space="preserve">, los cuales deben estudiarse </w:t>
      </w:r>
      <w:r w:rsidRPr="00983D10">
        <w:rPr>
          <w:rFonts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66107" w:rsidRPr="00983D10" w:rsidRDefault="00466107" w:rsidP="00D22D6C">
      <w:pPr>
        <w:pStyle w:val="Prrafodelista"/>
        <w:autoSpaceDE w:val="0"/>
        <w:autoSpaceDN w:val="0"/>
        <w:adjustRightInd w:val="0"/>
        <w:ind w:left="0"/>
        <w:rPr>
          <w:rFonts w:cs="Arial"/>
        </w:rPr>
      </w:pPr>
    </w:p>
    <w:p w:rsidR="00D22D6C" w:rsidRPr="00983D10" w:rsidRDefault="00D22D6C" w:rsidP="00D22D6C">
      <w:pPr>
        <w:pStyle w:val="Prrafodelista"/>
        <w:autoSpaceDE w:val="0"/>
        <w:autoSpaceDN w:val="0"/>
        <w:adjustRightInd w:val="0"/>
        <w:ind w:left="0"/>
        <w:rPr>
          <w:rFonts w:cs="Arial"/>
        </w:rPr>
      </w:pPr>
      <w:r w:rsidRPr="00983D10">
        <w:rPr>
          <w:rFonts w:cs="Arial"/>
        </w:rPr>
        <w:t xml:space="preserve">De lo anterior, el estudio de las causas de improcedencia que se hagan valer por las partes o que se advierta de oficio por este </w:t>
      </w:r>
      <w:proofErr w:type="spellStart"/>
      <w:r w:rsidRPr="00983D10">
        <w:rPr>
          <w:rFonts w:cs="Arial"/>
        </w:rPr>
        <w:t>Resolutor</w:t>
      </w:r>
      <w:proofErr w:type="spellEnd"/>
      <w:r w:rsidRPr="00983D10">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83D10">
        <w:rPr>
          <w:rStyle w:val="Refdenotaalpie"/>
          <w:rFonts w:cs="Arial"/>
        </w:rPr>
        <w:footnoteReference w:id="1"/>
      </w:r>
      <w:r w:rsidRPr="00983D10">
        <w:rPr>
          <w:rFonts w:cs="Arial"/>
        </w:rPr>
        <w:t>.</w:t>
      </w:r>
    </w:p>
    <w:p w:rsidR="00D22D6C" w:rsidRPr="00983D10" w:rsidRDefault="00D22D6C" w:rsidP="00D22D6C">
      <w:pPr>
        <w:pStyle w:val="Prrafodelista"/>
        <w:autoSpaceDE w:val="0"/>
        <w:autoSpaceDN w:val="0"/>
        <w:adjustRightInd w:val="0"/>
        <w:ind w:left="0"/>
        <w:rPr>
          <w:rFonts w:cs="Arial"/>
        </w:rPr>
      </w:pPr>
      <w:r w:rsidRPr="00983D10">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D22D6C" w:rsidRPr="00983D10" w:rsidRDefault="00D22D6C" w:rsidP="00D22D6C">
      <w:pPr>
        <w:pStyle w:val="Prrafodelista"/>
        <w:autoSpaceDE w:val="0"/>
        <w:autoSpaceDN w:val="0"/>
        <w:adjustRightInd w:val="0"/>
        <w:ind w:left="0"/>
        <w:rPr>
          <w:rFonts w:cs="Arial"/>
        </w:rPr>
      </w:pPr>
    </w:p>
    <w:p w:rsidR="00D22D6C" w:rsidRPr="00983D10" w:rsidRDefault="00D22D6C" w:rsidP="00D22D6C">
      <w:pPr>
        <w:pStyle w:val="Ttulo2"/>
        <w:rPr>
          <w:rFonts w:ascii="Palatino Linotype" w:eastAsia="Palatino Linotype" w:hAnsi="Palatino Linotype"/>
          <w:b/>
          <w:bCs/>
          <w:color w:val="auto"/>
          <w:sz w:val="28"/>
          <w:szCs w:val="28"/>
        </w:rPr>
      </w:pPr>
      <w:r w:rsidRPr="00983D10">
        <w:rPr>
          <w:rFonts w:ascii="Palatino Linotype" w:eastAsia="Palatino Linotype" w:hAnsi="Palatino Linotype"/>
          <w:b/>
          <w:bCs/>
          <w:color w:val="auto"/>
          <w:sz w:val="28"/>
          <w:szCs w:val="28"/>
        </w:rPr>
        <w:t>QUINTO. Estudio y resolución del asunto.</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r w:rsidRPr="00983D1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p>
    <w:p w:rsidR="00D22D6C" w:rsidRPr="00983D10" w:rsidRDefault="00D22D6C" w:rsidP="00D22D6C">
      <w:pPr>
        <w:pBdr>
          <w:top w:val="nil"/>
          <w:left w:val="nil"/>
          <w:bottom w:val="nil"/>
          <w:right w:val="nil"/>
          <w:between w:val="nil"/>
        </w:pBdr>
        <w:contextualSpacing/>
        <w:rPr>
          <w:rFonts w:eastAsia="Palatino Linotype" w:cs="Palatino Linotype"/>
          <w:color w:val="000000"/>
          <w:szCs w:val="24"/>
        </w:rPr>
      </w:pPr>
      <w:r w:rsidRPr="00983D10">
        <w:rPr>
          <w:rFonts w:eastAsia="Palatino Linotype" w:cs="Palatino Linotype"/>
          <w:color w:val="000000"/>
          <w:szCs w:val="24"/>
        </w:rPr>
        <w:t>Por tanto, es conveniente recordar que el hoy Recurrente requirió del Sujeto Obligado, de la actual administración, lo siguiente:</w:t>
      </w:r>
    </w:p>
    <w:p w:rsidR="00D22D6C" w:rsidRPr="00983D10" w:rsidRDefault="00466107" w:rsidP="00D22D6C">
      <w:pPr>
        <w:pStyle w:val="Prrafodelista"/>
        <w:numPr>
          <w:ilvl w:val="0"/>
          <w:numId w:val="3"/>
        </w:numPr>
        <w:pBdr>
          <w:top w:val="nil"/>
          <w:left w:val="nil"/>
          <w:bottom w:val="nil"/>
          <w:right w:val="nil"/>
          <w:between w:val="nil"/>
        </w:pBdr>
        <w:rPr>
          <w:rFonts w:eastAsia="Palatino Linotype" w:cs="Palatino Linotype"/>
          <w:color w:val="000000"/>
          <w:szCs w:val="24"/>
        </w:rPr>
      </w:pPr>
      <w:r w:rsidRPr="00983D10">
        <w:rPr>
          <w:color w:val="000000"/>
          <w:szCs w:val="24"/>
        </w:rPr>
        <w:t>Pólizas de cheque, documento de transferencia que demuestre lo pagado por cheque o transferencia por cualquier concepto a servidores públicos de la administración en curso.</w:t>
      </w:r>
    </w:p>
    <w:p w:rsidR="00D22D6C" w:rsidRPr="00983D10" w:rsidRDefault="00D22D6C" w:rsidP="00D22D6C">
      <w:pPr>
        <w:pBdr>
          <w:top w:val="nil"/>
          <w:left w:val="nil"/>
          <w:bottom w:val="nil"/>
          <w:right w:val="nil"/>
          <w:between w:val="nil"/>
        </w:pBdr>
        <w:contextualSpacing/>
      </w:pPr>
      <w:r w:rsidRPr="00983D10">
        <w:rPr>
          <w:rFonts w:eastAsia="Palatino Linotype" w:cs="Palatino Linotype"/>
          <w:color w:val="000000"/>
          <w:szCs w:val="24"/>
        </w:rPr>
        <w:lastRenderedPageBreak/>
        <w:t>Por lo que atento a la solicitud de información el Sujeto Obligado</w:t>
      </w:r>
      <w:r w:rsidRPr="00983D10">
        <w:t xml:space="preserve"> e</w:t>
      </w:r>
      <w:r w:rsidR="00466107" w:rsidRPr="00983D10">
        <w:t>mitió su respuesta por medio de los</w:t>
      </w:r>
      <w:r w:rsidRPr="00983D10">
        <w:t xml:space="preserve"> archivo</w:t>
      </w:r>
      <w:r w:rsidR="00466107" w:rsidRPr="00983D10">
        <w:t>s</w:t>
      </w:r>
      <w:r w:rsidRPr="00983D10">
        <w:t xml:space="preserve"> electrónico</w:t>
      </w:r>
      <w:r w:rsidR="00466107" w:rsidRPr="00983D10">
        <w:t>s</w:t>
      </w:r>
      <w:r w:rsidRPr="00983D10">
        <w:t xml:space="preserve"> denominado</w:t>
      </w:r>
      <w:r w:rsidR="00466107" w:rsidRPr="00983D10">
        <w:t>s;</w:t>
      </w:r>
    </w:p>
    <w:p w:rsidR="00466107" w:rsidRPr="00983D10" w:rsidRDefault="00466107" w:rsidP="00D22D6C">
      <w:pPr>
        <w:pStyle w:val="Prrafodelista"/>
        <w:numPr>
          <w:ilvl w:val="0"/>
          <w:numId w:val="10"/>
        </w:numPr>
        <w:pBdr>
          <w:top w:val="nil"/>
          <w:left w:val="nil"/>
          <w:bottom w:val="nil"/>
          <w:right w:val="nil"/>
          <w:between w:val="nil"/>
        </w:pBdr>
        <w:rPr>
          <w:i/>
          <w:szCs w:val="24"/>
        </w:rPr>
      </w:pPr>
      <w:proofErr w:type="spellStart"/>
      <w:r w:rsidRPr="00983D10">
        <w:rPr>
          <w:rFonts w:cs="Arial"/>
          <w:b/>
          <w:bCs/>
          <w:i/>
          <w:szCs w:val="24"/>
        </w:rPr>
        <w:t>Saimex</w:t>
      </w:r>
      <w:proofErr w:type="spellEnd"/>
      <w:r w:rsidRPr="00983D10">
        <w:rPr>
          <w:rFonts w:cs="Arial"/>
          <w:b/>
          <w:bCs/>
          <w:i/>
          <w:szCs w:val="24"/>
        </w:rPr>
        <w:t xml:space="preserve"> 02533.pdf</w:t>
      </w:r>
      <w:r w:rsidRPr="00983D10">
        <w:rPr>
          <w:rFonts w:cs="Arial"/>
          <w:bCs/>
          <w:szCs w:val="24"/>
        </w:rPr>
        <w:t xml:space="preserve">: Soporte documental que consta de una foja de fecha dos de mayo de dos mil veinticinco por medio del cual el Tesorero municipal  manifiesta que los documentos forman parte del primer informe trimestral de 2025 por lo que se anexa el acuerdo 7/2025 publicado </w:t>
      </w:r>
      <w:r w:rsidR="00546365" w:rsidRPr="00983D10">
        <w:rPr>
          <w:rFonts w:cs="Arial"/>
          <w:bCs/>
          <w:szCs w:val="24"/>
        </w:rPr>
        <w:t>por</w:t>
      </w:r>
      <w:r w:rsidRPr="00983D10">
        <w:rPr>
          <w:rFonts w:cs="Arial"/>
          <w:bCs/>
          <w:szCs w:val="24"/>
        </w:rPr>
        <w:t xml:space="preserve"> el OSFEM por el que se emiten los lineamientos, fechas de capacitación y calendarización para la integración y presentación de los informes trimestrales estatales y municipales.</w:t>
      </w:r>
    </w:p>
    <w:p w:rsidR="00466107" w:rsidRPr="00983D10" w:rsidRDefault="00466107" w:rsidP="00466107">
      <w:pPr>
        <w:pStyle w:val="Prrafodelista"/>
        <w:pBdr>
          <w:top w:val="nil"/>
          <w:left w:val="nil"/>
          <w:bottom w:val="nil"/>
          <w:right w:val="nil"/>
          <w:between w:val="nil"/>
        </w:pBdr>
        <w:rPr>
          <w:i/>
          <w:szCs w:val="24"/>
        </w:rPr>
      </w:pPr>
    </w:p>
    <w:p w:rsidR="00466107" w:rsidRPr="00983D10" w:rsidRDefault="00466107" w:rsidP="00466107">
      <w:pPr>
        <w:pStyle w:val="Prrafodelista"/>
        <w:pBdr>
          <w:top w:val="nil"/>
          <w:left w:val="nil"/>
          <w:bottom w:val="nil"/>
          <w:right w:val="nil"/>
          <w:between w:val="nil"/>
        </w:pBdr>
        <w:rPr>
          <w:rFonts w:cs="Arial"/>
          <w:bCs/>
          <w:szCs w:val="24"/>
        </w:rPr>
      </w:pPr>
      <w:r w:rsidRPr="00983D10">
        <w:rPr>
          <w:rFonts w:cs="Arial"/>
          <w:bCs/>
          <w:szCs w:val="24"/>
        </w:rPr>
        <w:t>En este sentido anexa un link en formato cerrado que pretendía dirigir a la página del Órgano Superior de Fiscalización;</w:t>
      </w:r>
    </w:p>
    <w:p w:rsidR="00466107" w:rsidRPr="00983D10" w:rsidRDefault="00466107" w:rsidP="00466107">
      <w:pPr>
        <w:pStyle w:val="Prrafodelista"/>
        <w:pBdr>
          <w:top w:val="nil"/>
          <w:left w:val="nil"/>
          <w:bottom w:val="nil"/>
          <w:right w:val="nil"/>
          <w:between w:val="nil"/>
        </w:pBdr>
        <w:rPr>
          <w:szCs w:val="24"/>
        </w:rPr>
      </w:pPr>
      <w:r w:rsidRPr="00983D10">
        <w:rPr>
          <w:noProof/>
          <w:szCs w:val="24"/>
          <w:lang w:val="es-MX"/>
        </w:rPr>
        <w:drawing>
          <wp:inline distT="0" distB="0" distL="0" distR="0" wp14:anchorId="12889E4B" wp14:editId="539FF201">
            <wp:extent cx="5200650" cy="19904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87673" cy="213853"/>
                    </a:xfrm>
                    <a:prstGeom prst="rect">
                      <a:avLst/>
                    </a:prstGeom>
                  </pic:spPr>
                </pic:pic>
              </a:graphicData>
            </a:graphic>
          </wp:inline>
        </w:drawing>
      </w:r>
    </w:p>
    <w:p w:rsidR="00466107" w:rsidRPr="00983D10" w:rsidRDefault="00466107" w:rsidP="00466107">
      <w:pPr>
        <w:pStyle w:val="Prrafodelista"/>
        <w:pBdr>
          <w:top w:val="nil"/>
          <w:left w:val="nil"/>
          <w:bottom w:val="nil"/>
          <w:right w:val="nil"/>
          <w:between w:val="nil"/>
        </w:pBdr>
        <w:rPr>
          <w:i/>
          <w:szCs w:val="24"/>
        </w:rPr>
      </w:pPr>
    </w:p>
    <w:p w:rsidR="00466107" w:rsidRPr="00983D10" w:rsidRDefault="00466107" w:rsidP="00D22D6C">
      <w:pPr>
        <w:pStyle w:val="Prrafodelista"/>
        <w:numPr>
          <w:ilvl w:val="0"/>
          <w:numId w:val="10"/>
        </w:numPr>
        <w:pBdr>
          <w:top w:val="nil"/>
          <w:left w:val="nil"/>
          <w:bottom w:val="nil"/>
          <w:right w:val="nil"/>
          <w:between w:val="nil"/>
        </w:pBdr>
        <w:rPr>
          <w:i/>
          <w:szCs w:val="24"/>
        </w:rPr>
      </w:pPr>
      <w:proofErr w:type="spellStart"/>
      <w:r w:rsidRPr="00983D10">
        <w:rPr>
          <w:rFonts w:cs="Arial"/>
          <w:b/>
          <w:bCs/>
          <w:i/>
          <w:szCs w:val="24"/>
        </w:rPr>
        <w:t>Respsol</w:t>
      </w:r>
      <w:proofErr w:type="spellEnd"/>
      <w:r w:rsidRPr="00983D10">
        <w:rPr>
          <w:rFonts w:cs="Arial"/>
          <w:b/>
          <w:bCs/>
          <w:i/>
          <w:szCs w:val="24"/>
        </w:rPr>
        <w:t xml:space="preserve"> 02533_2025 VP.pdf: </w:t>
      </w:r>
      <w:r w:rsidRPr="00983D10">
        <w:rPr>
          <w:rFonts w:cs="Arial"/>
          <w:bCs/>
          <w:szCs w:val="24"/>
        </w:rPr>
        <w:t>Soporte documental que consta de una foja en formato PDF de fecha trece de mayo de dos mil veinticinco por medio del cual la Coordinadora de Administración y Finanzas del Instituto de la Mujer de Toluca anexa una liga electrónica en formato cerrado.</w:t>
      </w:r>
    </w:p>
    <w:p w:rsidR="00466107" w:rsidRPr="00983D10" w:rsidRDefault="00466107" w:rsidP="00466107">
      <w:pPr>
        <w:pStyle w:val="Prrafodelista"/>
        <w:pBdr>
          <w:top w:val="nil"/>
          <w:left w:val="nil"/>
          <w:bottom w:val="nil"/>
          <w:right w:val="nil"/>
          <w:between w:val="nil"/>
        </w:pBdr>
        <w:rPr>
          <w:i/>
          <w:szCs w:val="24"/>
        </w:rPr>
      </w:pPr>
      <w:r w:rsidRPr="00983D10">
        <w:rPr>
          <w:i/>
          <w:noProof/>
          <w:szCs w:val="24"/>
          <w:lang w:val="es-MX"/>
        </w:rPr>
        <w:drawing>
          <wp:inline distT="0" distB="0" distL="0" distR="0" wp14:anchorId="7835ED11" wp14:editId="402A7667">
            <wp:extent cx="3562350" cy="285623"/>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51278" cy="300771"/>
                    </a:xfrm>
                    <a:prstGeom prst="rect">
                      <a:avLst/>
                    </a:prstGeom>
                  </pic:spPr>
                </pic:pic>
              </a:graphicData>
            </a:graphic>
          </wp:inline>
        </w:drawing>
      </w:r>
    </w:p>
    <w:p w:rsidR="00466107" w:rsidRPr="00983D10" w:rsidRDefault="00466107" w:rsidP="00466107">
      <w:pPr>
        <w:pStyle w:val="Prrafodelista"/>
        <w:pBdr>
          <w:top w:val="nil"/>
          <w:left w:val="nil"/>
          <w:bottom w:val="nil"/>
          <w:right w:val="nil"/>
          <w:between w:val="nil"/>
        </w:pBdr>
        <w:rPr>
          <w:i/>
          <w:szCs w:val="24"/>
        </w:rPr>
      </w:pPr>
    </w:p>
    <w:p w:rsidR="00466107" w:rsidRPr="00983D10" w:rsidRDefault="00466107" w:rsidP="00D22D6C">
      <w:pPr>
        <w:pStyle w:val="Prrafodelista"/>
        <w:numPr>
          <w:ilvl w:val="0"/>
          <w:numId w:val="10"/>
        </w:numPr>
        <w:pBdr>
          <w:top w:val="nil"/>
          <w:left w:val="nil"/>
          <w:bottom w:val="nil"/>
          <w:right w:val="nil"/>
          <w:between w:val="nil"/>
        </w:pBdr>
        <w:rPr>
          <w:i/>
          <w:szCs w:val="24"/>
        </w:rPr>
      </w:pPr>
      <w:r w:rsidRPr="00983D10">
        <w:rPr>
          <w:rFonts w:cs="Arial"/>
          <w:b/>
          <w:bCs/>
          <w:i/>
          <w:szCs w:val="24"/>
        </w:rPr>
        <w:t>R. 02533. 2025</w:t>
      </w:r>
      <w:proofErr w:type="gramStart"/>
      <w:r w:rsidRPr="00983D10">
        <w:rPr>
          <w:rFonts w:cs="Arial"/>
          <w:b/>
          <w:bCs/>
          <w:i/>
          <w:szCs w:val="24"/>
        </w:rPr>
        <w:t>.pdf</w:t>
      </w:r>
      <w:proofErr w:type="gramEnd"/>
      <w:r w:rsidRPr="00983D10">
        <w:rPr>
          <w:rFonts w:cs="Arial"/>
          <w:b/>
          <w:bCs/>
          <w:i/>
          <w:szCs w:val="24"/>
        </w:rPr>
        <w:t xml:space="preserve">: </w:t>
      </w:r>
      <w:r w:rsidRPr="00983D10">
        <w:rPr>
          <w:rFonts w:cs="Arial"/>
          <w:bCs/>
          <w:szCs w:val="24"/>
        </w:rPr>
        <w:t>Soporte documental que consta de dos fojas en formato PDF de fecha veintiuno de mayo de dos mil veinticinco por medio del cual la Dirección General de Administración</w:t>
      </w:r>
      <w:r w:rsidR="000C6DFA" w:rsidRPr="00983D10">
        <w:rPr>
          <w:rFonts w:cs="Arial"/>
          <w:bCs/>
          <w:szCs w:val="24"/>
        </w:rPr>
        <w:t xml:space="preserve"> manifiesta que la Dirección de Recursos Humanos después de una búsqueda exhaustiva y razonable en los archivos que obran en la </w:t>
      </w:r>
      <w:r w:rsidR="000C6DFA" w:rsidRPr="00983D10">
        <w:rPr>
          <w:rFonts w:cs="Arial"/>
          <w:bCs/>
          <w:szCs w:val="24"/>
        </w:rPr>
        <w:lastRenderedPageBreak/>
        <w:t>Dirección y el Departamento de Nóminas no se encontró documental que contenga lo requerido</w:t>
      </w:r>
      <w:r w:rsidR="00433D1A" w:rsidRPr="00983D10">
        <w:rPr>
          <w:rFonts w:cs="Arial"/>
          <w:bCs/>
          <w:szCs w:val="24"/>
        </w:rPr>
        <w:t xml:space="preserve"> debido a que no es de su competencia</w:t>
      </w:r>
      <w:r w:rsidR="000C6DFA" w:rsidRPr="00983D10">
        <w:rPr>
          <w:rFonts w:cs="Arial"/>
          <w:bCs/>
          <w:szCs w:val="24"/>
        </w:rPr>
        <w:t xml:space="preserve">. </w:t>
      </w:r>
    </w:p>
    <w:p w:rsidR="00466107" w:rsidRPr="00983D10" w:rsidRDefault="00466107" w:rsidP="00D22D6C"/>
    <w:p w:rsidR="000C6DFA" w:rsidRPr="00983D10" w:rsidRDefault="00D22D6C" w:rsidP="00D22D6C">
      <w:pPr>
        <w:pBdr>
          <w:top w:val="nil"/>
          <w:left w:val="nil"/>
          <w:bottom w:val="nil"/>
          <w:right w:val="nil"/>
          <w:between w:val="nil"/>
        </w:pBdr>
        <w:contextualSpacing/>
        <w:rPr>
          <w:rFonts w:eastAsia="Palatino Linotype" w:cs="Palatino Linotype"/>
          <w:color w:val="000000"/>
          <w:szCs w:val="24"/>
        </w:rPr>
      </w:pPr>
      <w:r w:rsidRPr="00983D10">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motivos de inconformidad</w:t>
      </w:r>
      <w:r w:rsidR="000C6DFA" w:rsidRPr="00983D10">
        <w:rPr>
          <w:i/>
          <w:iCs/>
          <w:color w:val="000000"/>
          <w:szCs w:val="24"/>
        </w:rPr>
        <w:t xml:space="preserve"> </w:t>
      </w:r>
      <w:r w:rsidR="000C6DFA" w:rsidRPr="00983D10">
        <w:rPr>
          <w:color w:val="000000"/>
          <w:szCs w:val="24"/>
        </w:rPr>
        <w:t xml:space="preserve"> y como razones o motivos de inconformidad</w:t>
      </w:r>
      <w:r w:rsidRPr="00983D10">
        <w:rPr>
          <w:rFonts w:eastAsia="Palatino Linotype" w:cs="Palatino Linotype"/>
          <w:color w:val="000000"/>
          <w:szCs w:val="24"/>
        </w:rPr>
        <w:t xml:space="preserve"> </w:t>
      </w:r>
      <w:r w:rsidRPr="00983D10">
        <w:rPr>
          <w:rFonts w:eastAsia="Palatino Linotype" w:cs="Palatino Linotype"/>
          <w:i/>
          <w:iCs/>
          <w:color w:val="000000"/>
          <w:szCs w:val="24"/>
        </w:rPr>
        <w:t>“</w:t>
      </w:r>
      <w:r w:rsidR="000C6DFA" w:rsidRPr="00983D10">
        <w:rPr>
          <w:i/>
          <w:color w:val="000000"/>
          <w:szCs w:val="24"/>
        </w:rPr>
        <w:t xml:space="preserve">La negativa de la </w:t>
      </w:r>
      <w:proofErr w:type="spellStart"/>
      <w:r w:rsidR="000C6DFA" w:rsidRPr="00983D10">
        <w:rPr>
          <w:i/>
          <w:color w:val="000000"/>
          <w:szCs w:val="24"/>
        </w:rPr>
        <w:t>informaicón</w:t>
      </w:r>
      <w:proofErr w:type="spellEnd"/>
      <w:r w:rsidR="000C6DFA" w:rsidRPr="00983D10">
        <w:rPr>
          <w:i/>
          <w:color w:val="000000"/>
          <w:szCs w:val="24"/>
        </w:rPr>
        <w:t xml:space="preserve"> que es publica</w:t>
      </w:r>
      <w:r w:rsidR="000C6DFA" w:rsidRPr="00983D10">
        <w:rPr>
          <w:color w:val="000000"/>
          <w:szCs w:val="24"/>
        </w:rPr>
        <w:t xml:space="preserve">” </w:t>
      </w:r>
      <w:r w:rsidRPr="00983D10">
        <w:rPr>
          <w:rFonts w:eastAsia="Palatino Linotype" w:cs="Palatino Linotype"/>
          <w:color w:val="000000"/>
          <w:szCs w:val="24"/>
        </w:rPr>
        <w:t xml:space="preserve">en este sentido el Recurrente considero que el Sujeto Obligado no le dio cuenta de </w:t>
      </w:r>
      <w:r w:rsidR="000C6DFA" w:rsidRPr="00983D10">
        <w:rPr>
          <w:rFonts w:eastAsia="Palatino Linotype" w:cs="Palatino Linotype"/>
          <w:color w:val="000000"/>
          <w:szCs w:val="24"/>
        </w:rPr>
        <w:t>las p</w:t>
      </w:r>
      <w:r w:rsidR="000C6DFA" w:rsidRPr="00983D10">
        <w:rPr>
          <w:color w:val="000000"/>
          <w:szCs w:val="24"/>
        </w:rPr>
        <w:t>ólizas de cheque, documento de transferencia que demuestre lo pagado por cheque o transferencia por cualquier concepto a servidores públicos de la administración en curso.</w:t>
      </w:r>
    </w:p>
    <w:p w:rsidR="000C6DFA" w:rsidRPr="00983D10" w:rsidRDefault="000C6DFA" w:rsidP="00D22D6C">
      <w:pPr>
        <w:pBdr>
          <w:top w:val="nil"/>
          <w:left w:val="nil"/>
          <w:bottom w:val="nil"/>
          <w:right w:val="nil"/>
          <w:between w:val="nil"/>
        </w:pBdr>
        <w:contextualSpacing/>
      </w:pPr>
    </w:p>
    <w:p w:rsidR="00C36505" w:rsidRPr="00983D10" w:rsidRDefault="00D22D6C" w:rsidP="00D22D6C">
      <w:pPr>
        <w:pBdr>
          <w:top w:val="nil"/>
          <w:left w:val="nil"/>
          <w:bottom w:val="nil"/>
          <w:right w:val="nil"/>
          <w:between w:val="nil"/>
        </w:pBdr>
        <w:contextualSpacing/>
        <w:rPr>
          <w:b/>
          <w:bCs/>
        </w:rPr>
      </w:pPr>
      <w:r w:rsidRPr="00983D10">
        <w:t>De lo anterior a efecto de no vulnerar el derecho al acceso a la información del Recurrente el Sujeto Obligado rindió su informe justificado por medio de</w:t>
      </w:r>
      <w:r w:rsidR="00C36505" w:rsidRPr="00983D10">
        <w:t xml:space="preserve"> </w:t>
      </w:r>
      <w:r w:rsidRPr="00983D10">
        <w:t>l</w:t>
      </w:r>
      <w:r w:rsidR="00C36505" w:rsidRPr="00983D10">
        <w:t>os</w:t>
      </w:r>
      <w:r w:rsidRPr="00983D10">
        <w:t xml:space="preserve"> archivo</w:t>
      </w:r>
      <w:r w:rsidR="00C36505" w:rsidRPr="00983D10">
        <w:t>s</w:t>
      </w:r>
      <w:r w:rsidRPr="00983D10">
        <w:t xml:space="preserve"> electrónico</w:t>
      </w:r>
      <w:r w:rsidR="00C36505" w:rsidRPr="00983D10">
        <w:t>s</w:t>
      </w:r>
      <w:r w:rsidRPr="00983D10">
        <w:t xml:space="preserve"> </w:t>
      </w:r>
      <w:r w:rsidRPr="00983D10">
        <w:rPr>
          <w:i/>
          <w:szCs w:val="24"/>
        </w:rPr>
        <w:t>“</w:t>
      </w:r>
      <w:r w:rsidR="00C36505" w:rsidRPr="00983D10">
        <w:rPr>
          <w:rFonts w:cs="Arial"/>
          <w:b/>
          <w:bCs/>
          <w:i/>
          <w:szCs w:val="24"/>
        </w:rPr>
        <w:t>Ratificación 6860-2025.pdf</w:t>
      </w:r>
      <w:r w:rsidRPr="00983D10">
        <w:rPr>
          <w:b/>
          <w:bCs/>
          <w:i/>
          <w:szCs w:val="24"/>
        </w:rPr>
        <w:t>”</w:t>
      </w:r>
      <w:r w:rsidRPr="00983D10">
        <w:rPr>
          <w:b/>
          <w:bCs/>
          <w:i/>
        </w:rPr>
        <w:t xml:space="preserve"> </w:t>
      </w:r>
      <w:r w:rsidR="00C36505" w:rsidRPr="00983D10">
        <w:rPr>
          <w:i/>
        </w:rPr>
        <w:t>y “</w:t>
      </w:r>
      <w:r w:rsidR="00C36505" w:rsidRPr="00983D10">
        <w:rPr>
          <w:rFonts w:cs="Arial"/>
          <w:b/>
          <w:bCs/>
          <w:i/>
          <w:szCs w:val="24"/>
        </w:rPr>
        <w:t>ANEXOS 06860-2025.pdf</w:t>
      </w:r>
      <w:r w:rsidR="00C36505" w:rsidRPr="00983D10">
        <w:t>” por medio de los cuales el Sujeto Obligado ratifica su respuesta primigenia.</w:t>
      </w:r>
    </w:p>
    <w:p w:rsidR="00D22D6C" w:rsidRPr="00983D10" w:rsidRDefault="00D22D6C" w:rsidP="00D22D6C">
      <w:pPr>
        <w:pBdr>
          <w:top w:val="nil"/>
          <w:left w:val="nil"/>
          <w:bottom w:val="nil"/>
          <w:right w:val="nil"/>
          <w:between w:val="nil"/>
        </w:pBdr>
        <w:contextualSpacing/>
      </w:pPr>
    </w:p>
    <w:p w:rsidR="00D22D6C" w:rsidRPr="00983D10" w:rsidRDefault="00D22D6C" w:rsidP="00D22D6C">
      <w:pPr>
        <w:rPr>
          <w:rFonts w:eastAsia="Times New Roman" w:cs="Times New Roman"/>
          <w:szCs w:val="24"/>
          <w:lang w:eastAsia="es-ES"/>
        </w:rPr>
      </w:pPr>
      <w:r w:rsidRPr="00983D10">
        <w:rPr>
          <w:rFonts w:cs="Arial"/>
          <w:szCs w:val="24"/>
        </w:rPr>
        <w:t xml:space="preserve">En este tenor, es necesario subrayar que </w:t>
      </w:r>
      <w:r w:rsidRPr="00983D10">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D22D6C" w:rsidRPr="00983D10" w:rsidRDefault="00D22D6C" w:rsidP="00D22D6C">
      <w:pPr>
        <w:spacing w:before="240"/>
        <w:ind w:left="851" w:right="851"/>
        <w:rPr>
          <w:rFonts w:eastAsia="Times New Roman" w:cs="Times New Roman"/>
          <w:i/>
          <w:sz w:val="22"/>
          <w:lang w:eastAsia="es-ES"/>
        </w:rPr>
      </w:pPr>
      <w:r w:rsidRPr="00983D10">
        <w:rPr>
          <w:rFonts w:eastAsia="Times New Roman" w:cs="Times New Roman"/>
          <w:b/>
          <w:i/>
          <w:lang w:eastAsia="es-ES"/>
        </w:rPr>
        <w:t>“</w:t>
      </w:r>
      <w:r w:rsidRPr="00983D10">
        <w:rPr>
          <w:rFonts w:eastAsia="Times New Roman" w:cs="Times New Roman"/>
          <w:b/>
          <w:i/>
          <w:sz w:val="22"/>
          <w:lang w:eastAsia="es-ES"/>
        </w:rPr>
        <w:t>Artículo 4.</w:t>
      </w:r>
      <w:r w:rsidRPr="00983D10">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22D6C" w:rsidRPr="00983D10" w:rsidRDefault="00D22D6C" w:rsidP="00D22D6C">
      <w:pPr>
        <w:spacing w:before="240"/>
        <w:ind w:left="851" w:right="851"/>
        <w:rPr>
          <w:rFonts w:eastAsia="Times New Roman" w:cs="Times New Roman"/>
          <w:i/>
          <w:sz w:val="22"/>
          <w:lang w:eastAsia="es-ES"/>
        </w:rPr>
      </w:pPr>
      <w:r w:rsidRPr="00983D10">
        <w:rPr>
          <w:rFonts w:eastAsia="Times New Roman" w:cs="Times New Roman"/>
          <w:i/>
          <w:sz w:val="22"/>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22D6C" w:rsidRPr="00983D10" w:rsidRDefault="00D22D6C" w:rsidP="00D22D6C">
      <w:pPr>
        <w:spacing w:before="240"/>
        <w:ind w:left="851" w:right="851"/>
        <w:rPr>
          <w:rFonts w:eastAsia="Times New Roman" w:cs="Times New Roman"/>
          <w:i/>
          <w:sz w:val="22"/>
          <w:lang w:eastAsia="es-ES"/>
        </w:rPr>
      </w:pPr>
      <w:r w:rsidRPr="00983D10">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D22D6C" w:rsidRPr="00983D10" w:rsidRDefault="00D22D6C" w:rsidP="00D22D6C">
      <w:pPr>
        <w:spacing w:before="240"/>
        <w:ind w:left="851" w:right="851"/>
        <w:rPr>
          <w:rFonts w:eastAsia="Times New Roman" w:cs="Times New Roman"/>
          <w:i/>
          <w:sz w:val="22"/>
          <w:lang w:eastAsia="es-ES"/>
        </w:rPr>
      </w:pPr>
      <w:r w:rsidRPr="00983D10">
        <w:rPr>
          <w:rFonts w:eastAsia="Times New Roman" w:cs="Times New Roman"/>
          <w:b/>
          <w:i/>
          <w:sz w:val="22"/>
          <w:lang w:eastAsia="es-ES"/>
        </w:rPr>
        <w:t>Artículo 12.</w:t>
      </w:r>
      <w:r w:rsidRPr="00983D10">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rsidR="00D22D6C" w:rsidRPr="00983D10" w:rsidRDefault="00D22D6C" w:rsidP="00D22D6C">
      <w:pPr>
        <w:spacing w:before="240"/>
        <w:ind w:left="851" w:right="851"/>
        <w:rPr>
          <w:rFonts w:eastAsia="Times New Roman" w:cs="Times New Roman"/>
          <w:i/>
          <w:sz w:val="22"/>
          <w:lang w:eastAsia="es-ES"/>
        </w:rPr>
      </w:pPr>
      <w:r w:rsidRPr="00983D10">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22D6C" w:rsidRPr="00983D10" w:rsidRDefault="00D22D6C" w:rsidP="00D22D6C">
      <w:pPr>
        <w:spacing w:before="240"/>
        <w:ind w:left="851" w:right="851"/>
        <w:rPr>
          <w:rFonts w:eastAsia="Times New Roman" w:cs="Times New Roman"/>
          <w:i/>
          <w:sz w:val="22"/>
          <w:lang w:eastAsia="es-ES"/>
        </w:rPr>
      </w:pPr>
      <w:r w:rsidRPr="00983D10">
        <w:rPr>
          <w:rFonts w:eastAsia="Times New Roman" w:cs="Times New Roman"/>
          <w:i/>
          <w:sz w:val="22"/>
          <w:lang w:eastAsia="es-ES"/>
        </w:rPr>
        <w:t>(…)</w:t>
      </w:r>
    </w:p>
    <w:p w:rsidR="00D22D6C" w:rsidRPr="00983D10" w:rsidRDefault="00D22D6C" w:rsidP="00D22D6C">
      <w:pPr>
        <w:spacing w:before="240"/>
        <w:ind w:left="851" w:right="851"/>
        <w:rPr>
          <w:rFonts w:eastAsia="Times New Roman" w:cs="Times New Roman"/>
          <w:b/>
          <w:i/>
          <w:sz w:val="22"/>
          <w:lang w:eastAsia="es-ES"/>
        </w:rPr>
      </w:pPr>
      <w:r w:rsidRPr="00983D10">
        <w:rPr>
          <w:rFonts w:eastAsia="Times New Roman" w:cs="Times New Roman"/>
          <w:b/>
          <w:i/>
          <w:sz w:val="22"/>
          <w:lang w:eastAsia="es-ES"/>
        </w:rPr>
        <w:t xml:space="preserve">Artículo 24. </w:t>
      </w:r>
    </w:p>
    <w:p w:rsidR="00D22D6C" w:rsidRPr="00983D10" w:rsidRDefault="00D22D6C" w:rsidP="00D22D6C">
      <w:pPr>
        <w:spacing w:before="240"/>
        <w:ind w:left="851" w:right="851"/>
        <w:rPr>
          <w:rFonts w:eastAsia="Times New Roman" w:cs="Times New Roman"/>
          <w:i/>
          <w:sz w:val="22"/>
          <w:lang w:eastAsia="es-ES"/>
        </w:rPr>
      </w:pPr>
      <w:r w:rsidRPr="00983D10">
        <w:rPr>
          <w:rFonts w:eastAsia="Times New Roman" w:cs="Times New Roman"/>
          <w:i/>
          <w:sz w:val="22"/>
          <w:lang w:eastAsia="es-ES"/>
        </w:rPr>
        <w:t>(…)</w:t>
      </w:r>
    </w:p>
    <w:p w:rsidR="00D22D6C" w:rsidRPr="00983D10" w:rsidRDefault="00D22D6C" w:rsidP="00D22D6C">
      <w:pPr>
        <w:spacing w:before="240"/>
        <w:ind w:left="851" w:right="851"/>
        <w:rPr>
          <w:rFonts w:eastAsia="Times New Roman" w:cs="Times New Roman"/>
          <w:i/>
          <w:sz w:val="22"/>
          <w:lang w:eastAsia="es-ES"/>
        </w:rPr>
      </w:pPr>
      <w:r w:rsidRPr="00983D10">
        <w:rPr>
          <w:rFonts w:eastAsia="Times New Roman" w:cs="Times New Roman"/>
          <w:i/>
          <w:sz w:val="22"/>
          <w:lang w:eastAsia="es-ES"/>
        </w:rPr>
        <w:lastRenderedPageBreak/>
        <w:t>Los sujetos obligados solo proporcionarán la información pública que generen, administren o posean en el ejercicio de sus atribuciones.”</w:t>
      </w:r>
    </w:p>
    <w:p w:rsidR="00D22D6C" w:rsidRPr="00983D10" w:rsidRDefault="00D22D6C" w:rsidP="00D22D6C">
      <w:pPr>
        <w:spacing w:before="240"/>
        <w:ind w:left="851" w:right="851"/>
        <w:rPr>
          <w:rFonts w:eastAsia="Times New Roman" w:cs="Times New Roman"/>
          <w:i/>
          <w:sz w:val="22"/>
          <w:lang w:eastAsia="es-ES"/>
        </w:rPr>
      </w:pPr>
      <w:r w:rsidRPr="00983D10">
        <w:rPr>
          <w:rFonts w:eastAsia="Times New Roman" w:cs="Times New Roman"/>
          <w:i/>
          <w:sz w:val="22"/>
          <w:lang w:eastAsia="es-ES"/>
        </w:rPr>
        <w:t>(…)</w:t>
      </w:r>
    </w:p>
    <w:p w:rsidR="00D22D6C" w:rsidRPr="00983D10" w:rsidRDefault="00D22D6C" w:rsidP="00D22D6C">
      <w:pPr>
        <w:spacing w:before="240"/>
        <w:ind w:left="851" w:right="851"/>
        <w:rPr>
          <w:rFonts w:eastAsia="Times New Roman" w:cs="Times New Roman"/>
          <w:i/>
          <w:sz w:val="22"/>
          <w:lang w:eastAsia="es-ES"/>
        </w:rPr>
      </w:pPr>
      <w:r w:rsidRPr="00983D10">
        <w:rPr>
          <w:rFonts w:eastAsia="Times New Roman" w:cs="Times New Roman"/>
          <w:b/>
          <w:i/>
          <w:sz w:val="22"/>
          <w:lang w:eastAsia="es-ES"/>
        </w:rPr>
        <w:t>Artículo 160.</w:t>
      </w:r>
      <w:r w:rsidRPr="00983D10">
        <w:rPr>
          <w:rFonts w:eastAsia="Times New Roman" w:cs="Times New Roman"/>
          <w:i/>
          <w:sz w:val="22"/>
          <w:lang w:eastAsia="es-ES"/>
        </w:rPr>
        <w:t xml:space="preserve"> Los sujetos obligados deberán otorgar acceso a los documentos que se </w:t>
      </w:r>
      <w:r w:rsidRPr="00983D10">
        <w:rPr>
          <w:rFonts w:eastAsia="Times New Roman" w:cs="Times New Roman"/>
          <w:b/>
          <w:i/>
          <w:sz w:val="22"/>
          <w:lang w:eastAsia="es-ES"/>
        </w:rPr>
        <w:t xml:space="preserve"> </w:t>
      </w:r>
      <w:r w:rsidRPr="00983D10">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22D6C" w:rsidRPr="00983D10" w:rsidRDefault="00D22D6C" w:rsidP="00D22D6C">
      <w:pPr>
        <w:spacing w:before="240"/>
        <w:ind w:left="851" w:right="851"/>
        <w:rPr>
          <w:rFonts w:eastAsia="Times New Roman" w:cs="Times New Roman"/>
          <w:b/>
          <w:i/>
          <w:sz w:val="22"/>
          <w:lang w:eastAsia="es-ES"/>
        </w:rPr>
      </w:pPr>
      <w:r w:rsidRPr="00983D10">
        <w:rPr>
          <w:rFonts w:eastAsia="Times New Roman" w:cs="Times New Roman"/>
          <w:i/>
          <w:sz w:val="22"/>
          <w:lang w:eastAsia="es-ES"/>
        </w:rPr>
        <w:t>En caso que la información solicitada consista en bases de datos se deberá privilegiar la entrega de la misma en formatos abiertos.”</w:t>
      </w:r>
      <w:r w:rsidRPr="00983D10">
        <w:rPr>
          <w:rFonts w:eastAsia="Times New Roman" w:cs="Times New Roman"/>
          <w:b/>
          <w:i/>
          <w:sz w:val="22"/>
          <w:lang w:eastAsia="es-ES"/>
        </w:rPr>
        <w:t>[Sic]</w:t>
      </w:r>
    </w:p>
    <w:p w:rsidR="00D22D6C" w:rsidRPr="00983D10" w:rsidRDefault="00D22D6C" w:rsidP="00D22D6C">
      <w:pPr>
        <w:pBdr>
          <w:top w:val="nil"/>
          <w:left w:val="nil"/>
          <w:bottom w:val="nil"/>
          <w:right w:val="nil"/>
          <w:between w:val="nil"/>
        </w:pBdr>
        <w:contextualSpacing/>
      </w:pPr>
    </w:p>
    <w:p w:rsidR="00D22D6C" w:rsidRPr="00983D10" w:rsidRDefault="00D22D6C" w:rsidP="001955A1">
      <w:pPr>
        <w:pBdr>
          <w:top w:val="nil"/>
          <w:left w:val="nil"/>
          <w:bottom w:val="nil"/>
          <w:right w:val="nil"/>
          <w:between w:val="nil"/>
        </w:pBdr>
        <w:contextualSpacing/>
        <w:rPr>
          <w:szCs w:val="24"/>
        </w:rPr>
      </w:pPr>
      <w:r w:rsidRPr="00983D10">
        <w:t>Por lo que, se debe traer a efecto de establecer si la respuesta brindada por el Sujeto Obligado colma el derecho al acceso a la información del Recurrente se debe d</w:t>
      </w:r>
      <w:r w:rsidR="00D914EB" w:rsidRPr="00983D10">
        <w:t>e traer a colación los artículos 3.19, 3.22 y 3.42 del Código Reglamentar</w:t>
      </w:r>
      <w:r w:rsidR="00BA3E7F" w:rsidRPr="00983D10">
        <w:t xml:space="preserve">io del Municipio de Toluca con la finalidad de advertir que le corresponde a la Tesorería </w:t>
      </w:r>
      <w:r w:rsidR="00BA3E7F" w:rsidRPr="00983D10">
        <w:rPr>
          <w:u w:val="single"/>
        </w:rPr>
        <w:t xml:space="preserve">gestionar, prepara y  pagar la </w:t>
      </w:r>
      <w:r w:rsidR="00D914EB" w:rsidRPr="00983D10">
        <w:rPr>
          <w:u w:val="single"/>
        </w:rPr>
        <w:t xml:space="preserve"> </w:t>
      </w:r>
      <w:r w:rsidR="00BA3E7F" w:rsidRPr="00983D10">
        <w:rPr>
          <w:szCs w:val="24"/>
          <w:u w:val="single"/>
        </w:rPr>
        <w:t xml:space="preserve">mediante depósito bancario </w:t>
      </w:r>
      <w:r w:rsidR="00BA3E7F" w:rsidRPr="00983D10">
        <w:rPr>
          <w:szCs w:val="24"/>
        </w:rPr>
        <w:t>o bajo la modalidad convenida por el Sindicato que mayor seguridad brinde a las y los servidores públicos en días y horas hábiles, en el lugar más cercano al centro de trabajo del servidor público</w:t>
      </w:r>
      <w:r w:rsidR="00BA22EB" w:rsidRPr="00983D10">
        <w:rPr>
          <w:szCs w:val="24"/>
        </w:rPr>
        <w:t xml:space="preserve"> así como informar a la Dirección de Recursos Humanos sobre la nómina pagada. </w:t>
      </w:r>
    </w:p>
    <w:p w:rsidR="00BA22EB" w:rsidRPr="00983D10" w:rsidRDefault="00BA22EB" w:rsidP="001955A1">
      <w:pPr>
        <w:pBdr>
          <w:top w:val="nil"/>
          <w:left w:val="nil"/>
          <w:bottom w:val="nil"/>
          <w:right w:val="nil"/>
          <w:between w:val="nil"/>
        </w:pBdr>
        <w:contextualSpacing/>
        <w:rPr>
          <w:szCs w:val="24"/>
        </w:rPr>
      </w:pPr>
    </w:p>
    <w:p w:rsidR="00BA22EB" w:rsidRPr="00983D10" w:rsidRDefault="00BA22EB" w:rsidP="001955A1">
      <w:pPr>
        <w:pBdr>
          <w:top w:val="nil"/>
          <w:left w:val="nil"/>
          <w:bottom w:val="nil"/>
          <w:right w:val="nil"/>
          <w:between w:val="nil"/>
        </w:pBdr>
        <w:contextualSpacing/>
      </w:pPr>
      <w:r w:rsidRPr="00983D10">
        <w:rPr>
          <w:szCs w:val="24"/>
        </w:rPr>
        <w:t>Conforme lo anterior, le corresponde a la Dirección de Egresos</w:t>
      </w:r>
      <w:r w:rsidRPr="00983D10">
        <w:t xml:space="preserve"> c</w:t>
      </w:r>
      <w:r w:rsidRPr="00983D10">
        <w:rPr>
          <w:szCs w:val="24"/>
        </w:rPr>
        <w:t xml:space="preserve">oordinar y supervisar la preparación del pago de nómina así como </w:t>
      </w:r>
      <w:r w:rsidRPr="00983D10">
        <w:t>p</w:t>
      </w:r>
      <w:r w:rsidRPr="00983D10">
        <w:rPr>
          <w:szCs w:val="24"/>
        </w:rPr>
        <w:t xml:space="preserve">agar la nómina mediante depósitos bancarios </w:t>
      </w:r>
      <w:r w:rsidRPr="00983D10">
        <w:rPr>
          <w:szCs w:val="24"/>
        </w:rPr>
        <w:lastRenderedPageBreak/>
        <w:t xml:space="preserve">los días quince y último de cada mes o del día hábil inmediato anterior, conforme lo siguiente; </w:t>
      </w:r>
    </w:p>
    <w:p w:rsidR="00D914EB" w:rsidRPr="00983D10" w:rsidRDefault="00D914EB" w:rsidP="00D914EB">
      <w:pPr>
        <w:pBdr>
          <w:top w:val="nil"/>
          <w:left w:val="nil"/>
          <w:bottom w:val="nil"/>
          <w:right w:val="nil"/>
          <w:between w:val="nil"/>
        </w:pBdr>
        <w:ind w:left="708"/>
        <w:contextualSpacing/>
        <w:rPr>
          <w:i/>
          <w:sz w:val="22"/>
        </w:rPr>
      </w:pPr>
      <w:r w:rsidRPr="00983D10">
        <w:rPr>
          <w:b/>
          <w:i/>
          <w:sz w:val="22"/>
        </w:rPr>
        <w:t>Artículo 3.19</w:t>
      </w:r>
      <w:r w:rsidRPr="00983D10">
        <w:rPr>
          <w:i/>
          <w:sz w:val="22"/>
        </w:rPr>
        <w:t>. La o el titular de la Tesorería Municipal tendrá las siguientes atribuciones:</w:t>
      </w:r>
    </w:p>
    <w:p w:rsidR="00D914EB" w:rsidRPr="00983D10" w:rsidRDefault="00D914EB" w:rsidP="00D914EB">
      <w:pPr>
        <w:pBdr>
          <w:top w:val="nil"/>
          <w:left w:val="nil"/>
          <w:bottom w:val="nil"/>
          <w:right w:val="nil"/>
          <w:between w:val="nil"/>
        </w:pBdr>
        <w:ind w:left="708"/>
        <w:contextualSpacing/>
        <w:rPr>
          <w:i/>
          <w:sz w:val="22"/>
        </w:rPr>
      </w:pPr>
      <w:r w:rsidRPr="00983D10">
        <w:rPr>
          <w:i/>
          <w:sz w:val="22"/>
        </w:rPr>
        <w:t>…</w:t>
      </w:r>
    </w:p>
    <w:p w:rsidR="00D914EB" w:rsidRPr="00983D10" w:rsidRDefault="00D914EB" w:rsidP="00D914EB">
      <w:pPr>
        <w:pBdr>
          <w:top w:val="nil"/>
          <w:left w:val="nil"/>
          <w:bottom w:val="nil"/>
          <w:right w:val="nil"/>
          <w:between w:val="nil"/>
        </w:pBdr>
        <w:ind w:left="708"/>
        <w:contextualSpacing/>
        <w:rPr>
          <w:i/>
          <w:sz w:val="22"/>
        </w:rPr>
      </w:pPr>
      <w:r w:rsidRPr="00983D10">
        <w:rPr>
          <w:i/>
          <w:sz w:val="22"/>
        </w:rPr>
        <w:t>XXVI. Pagar la nómina mediante depósito bancario o bajo la modalidad convenida por el Sindicato que mayor seguridad brinde a las y los servidores públicos en días y horas hábiles, en el lugar más cercano al centro de trabajo del servidor público los días quince y último de cada mes o el día hábil inmediato anterior, si no fueran laborables esas fechas;</w:t>
      </w:r>
    </w:p>
    <w:p w:rsidR="00D914EB" w:rsidRPr="00983D10" w:rsidRDefault="00D914EB" w:rsidP="00D914EB">
      <w:pPr>
        <w:pBdr>
          <w:top w:val="nil"/>
          <w:left w:val="nil"/>
          <w:bottom w:val="nil"/>
          <w:right w:val="nil"/>
          <w:between w:val="nil"/>
        </w:pBdr>
        <w:ind w:left="708"/>
        <w:contextualSpacing/>
        <w:rPr>
          <w:i/>
          <w:sz w:val="22"/>
        </w:rPr>
      </w:pPr>
      <w:r w:rsidRPr="00983D10">
        <w:rPr>
          <w:i/>
          <w:sz w:val="22"/>
        </w:rPr>
        <w:t>…</w:t>
      </w:r>
    </w:p>
    <w:p w:rsidR="00D914EB" w:rsidRPr="00983D10" w:rsidRDefault="00D914EB" w:rsidP="00D914EB">
      <w:pPr>
        <w:pBdr>
          <w:top w:val="nil"/>
          <w:left w:val="nil"/>
          <w:bottom w:val="nil"/>
          <w:right w:val="nil"/>
          <w:between w:val="nil"/>
        </w:pBdr>
        <w:ind w:left="708"/>
        <w:contextualSpacing/>
        <w:rPr>
          <w:i/>
          <w:sz w:val="22"/>
        </w:rPr>
      </w:pPr>
      <w:r w:rsidRPr="00983D10">
        <w:rPr>
          <w:i/>
          <w:sz w:val="22"/>
        </w:rPr>
        <w:t xml:space="preserve">XXVII. Los Delegados Administrativos de cada dependencia o unidad administrativa son los responsables de acudir a la Dirección de Recursos Humanos a recoger la nómina para que la den a firma a los servidores públicos, asimismo, regresarla dentro de los tres días hábiles siguientes a la Dirección de Recursos Humanos </w:t>
      </w:r>
      <w:proofErr w:type="spellStart"/>
      <w:r w:rsidRPr="00983D10">
        <w:rPr>
          <w:i/>
          <w:sz w:val="22"/>
        </w:rPr>
        <w:t>debidamentefirmada</w:t>
      </w:r>
      <w:proofErr w:type="spellEnd"/>
      <w:r w:rsidRPr="00983D10">
        <w:rPr>
          <w:i/>
          <w:sz w:val="22"/>
        </w:rPr>
        <w:t xml:space="preserve"> por quienes debieron hacerlo;</w:t>
      </w:r>
    </w:p>
    <w:p w:rsidR="00D914EB" w:rsidRPr="00983D10" w:rsidRDefault="00D914EB" w:rsidP="00D914EB">
      <w:pPr>
        <w:pBdr>
          <w:top w:val="nil"/>
          <w:left w:val="nil"/>
          <w:bottom w:val="nil"/>
          <w:right w:val="nil"/>
          <w:between w:val="nil"/>
        </w:pBdr>
        <w:ind w:left="708"/>
        <w:contextualSpacing/>
        <w:rPr>
          <w:i/>
          <w:sz w:val="22"/>
        </w:rPr>
      </w:pPr>
      <w:r w:rsidRPr="00983D10">
        <w:rPr>
          <w:i/>
          <w:sz w:val="22"/>
        </w:rPr>
        <w:t>…</w:t>
      </w:r>
    </w:p>
    <w:p w:rsidR="00D914EB" w:rsidRPr="00983D10" w:rsidRDefault="00D914EB" w:rsidP="00D914EB">
      <w:pPr>
        <w:pBdr>
          <w:top w:val="nil"/>
          <w:left w:val="nil"/>
          <w:bottom w:val="nil"/>
          <w:right w:val="nil"/>
          <w:between w:val="nil"/>
        </w:pBdr>
        <w:ind w:left="708"/>
        <w:contextualSpacing/>
        <w:rPr>
          <w:i/>
          <w:sz w:val="22"/>
        </w:rPr>
      </w:pPr>
      <w:r w:rsidRPr="00983D10">
        <w:rPr>
          <w:i/>
          <w:sz w:val="22"/>
        </w:rPr>
        <w:t xml:space="preserve">XVIII. Gestionar y preparar el pago de nómina y/o listas de raya </w:t>
      </w:r>
      <w:r w:rsidRPr="00983D10">
        <w:rPr>
          <w:i/>
          <w:sz w:val="22"/>
          <w:u w:val="single"/>
        </w:rPr>
        <w:t>que deban pagarse en efectivo</w:t>
      </w:r>
      <w:r w:rsidRPr="00983D10">
        <w:rPr>
          <w:i/>
          <w:sz w:val="22"/>
        </w:rPr>
        <w:t xml:space="preserve"> a petición de la Dirección de Recursos Humanos;</w:t>
      </w:r>
    </w:p>
    <w:p w:rsidR="00D914EB" w:rsidRPr="00983D10" w:rsidRDefault="00D914EB" w:rsidP="00D914EB">
      <w:pPr>
        <w:pBdr>
          <w:top w:val="nil"/>
          <w:left w:val="nil"/>
          <w:bottom w:val="nil"/>
          <w:right w:val="nil"/>
          <w:between w:val="nil"/>
        </w:pBdr>
        <w:ind w:left="708"/>
        <w:contextualSpacing/>
        <w:rPr>
          <w:i/>
          <w:sz w:val="22"/>
        </w:rPr>
      </w:pPr>
      <w:r w:rsidRPr="00983D10">
        <w:rPr>
          <w:i/>
          <w:sz w:val="22"/>
        </w:rPr>
        <w:t>…</w:t>
      </w:r>
    </w:p>
    <w:p w:rsidR="00D914EB" w:rsidRPr="00983D10" w:rsidRDefault="00D914EB" w:rsidP="00D914EB">
      <w:pPr>
        <w:pBdr>
          <w:top w:val="nil"/>
          <w:left w:val="nil"/>
          <w:bottom w:val="nil"/>
          <w:right w:val="nil"/>
          <w:between w:val="nil"/>
        </w:pBdr>
        <w:ind w:left="708"/>
        <w:contextualSpacing/>
        <w:rPr>
          <w:i/>
          <w:sz w:val="22"/>
        </w:rPr>
      </w:pPr>
      <w:r w:rsidRPr="00983D10">
        <w:rPr>
          <w:i/>
          <w:sz w:val="22"/>
        </w:rPr>
        <w:t>XXX. Informar a la Dirección de Recursos Humanos sobre la nómina pagada y los pagos cancelados para su reprogramación y timbrado de nómina;</w:t>
      </w:r>
    </w:p>
    <w:p w:rsidR="00D914EB" w:rsidRPr="00983D10" w:rsidRDefault="00D914EB" w:rsidP="00D914EB">
      <w:pPr>
        <w:pBdr>
          <w:top w:val="nil"/>
          <w:left w:val="nil"/>
          <w:bottom w:val="nil"/>
          <w:right w:val="nil"/>
          <w:between w:val="nil"/>
        </w:pBdr>
        <w:ind w:left="708"/>
        <w:contextualSpacing/>
        <w:rPr>
          <w:i/>
          <w:sz w:val="22"/>
        </w:rPr>
      </w:pPr>
    </w:p>
    <w:p w:rsidR="00D914EB" w:rsidRPr="00983D10" w:rsidRDefault="00D914EB" w:rsidP="00D914EB">
      <w:pPr>
        <w:pBdr>
          <w:top w:val="nil"/>
          <w:left w:val="nil"/>
          <w:bottom w:val="nil"/>
          <w:right w:val="nil"/>
          <w:between w:val="nil"/>
        </w:pBdr>
        <w:ind w:left="708"/>
        <w:contextualSpacing/>
        <w:rPr>
          <w:i/>
          <w:sz w:val="22"/>
        </w:rPr>
      </w:pPr>
      <w:r w:rsidRPr="00983D10">
        <w:rPr>
          <w:b/>
          <w:i/>
          <w:sz w:val="22"/>
        </w:rPr>
        <w:t>Artículo 3.22</w:t>
      </w:r>
      <w:r w:rsidRPr="00983D10">
        <w:rPr>
          <w:i/>
          <w:sz w:val="22"/>
        </w:rPr>
        <w:t>. La o el titular de la Dirección de Egresos tendrá las siguientes atribuciones</w:t>
      </w:r>
    </w:p>
    <w:p w:rsidR="00D914EB" w:rsidRPr="00983D10" w:rsidRDefault="00D914EB" w:rsidP="00D914EB">
      <w:pPr>
        <w:pBdr>
          <w:top w:val="nil"/>
          <w:left w:val="nil"/>
          <w:bottom w:val="nil"/>
          <w:right w:val="nil"/>
          <w:between w:val="nil"/>
        </w:pBdr>
        <w:ind w:left="708"/>
        <w:contextualSpacing/>
      </w:pPr>
      <w:r w:rsidRPr="00983D10">
        <w:rPr>
          <w:i/>
          <w:sz w:val="22"/>
        </w:rPr>
        <w:t>…</w:t>
      </w:r>
      <w:r w:rsidRPr="00983D10">
        <w:t xml:space="preserve"> </w:t>
      </w:r>
    </w:p>
    <w:p w:rsidR="00D914EB" w:rsidRPr="00983D10" w:rsidRDefault="00D914EB" w:rsidP="00D914EB">
      <w:pPr>
        <w:pBdr>
          <w:top w:val="nil"/>
          <w:left w:val="nil"/>
          <w:bottom w:val="nil"/>
          <w:right w:val="nil"/>
          <w:between w:val="nil"/>
        </w:pBdr>
        <w:ind w:left="708"/>
        <w:contextualSpacing/>
        <w:rPr>
          <w:i/>
          <w:sz w:val="22"/>
        </w:rPr>
      </w:pPr>
      <w:r w:rsidRPr="00983D10">
        <w:rPr>
          <w:i/>
          <w:sz w:val="22"/>
        </w:rPr>
        <w:t xml:space="preserve">XIII. Pagar la nómina mediante </w:t>
      </w:r>
      <w:proofErr w:type="gramStart"/>
      <w:r w:rsidRPr="00983D10">
        <w:rPr>
          <w:i/>
          <w:sz w:val="22"/>
        </w:rPr>
        <w:t>depósito bancarios</w:t>
      </w:r>
      <w:proofErr w:type="gramEnd"/>
      <w:r w:rsidRPr="00983D10">
        <w:rPr>
          <w:i/>
          <w:sz w:val="22"/>
        </w:rPr>
        <w:t xml:space="preserve"> los días quince y último de cada mes o del día hábil inmediato anterior, si no fueran laborales esas fechas; </w:t>
      </w:r>
    </w:p>
    <w:p w:rsidR="00D914EB" w:rsidRPr="00983D10" w:rsidRDefault="00D914EB" w:rsidP="00D914EB">
      <w:pPr>
        <w:pBdr>
          <w:top w:val="nil"/>
          <w:left w:val="nil"/>
          <w:bottom w:val="nil"/>
          <w:right w:val="nil"/>
          <w:between w:val="nil"/>
        </w:pBdr>
        <w:ind w:left="708"/>
        <w:contextualSpacing/>
        <w:rPr>
          <w:i/>
          <w:sz w:val="22"/>
        </w:rPr>
      </w:pPr>
      <w:r w:rsidRPr="00983D10">
        <w:rPr>
          <w:i/>
          <w:sz w:val="22"/>
        </w:rPr>
        <w:t>XIV. Coordinar y supervisar la preparación del pago de nómina y/o listas de raya que deban pagarse en efectivo a petición de la Dirección de Recursos Humanos;</w:t>
      </w:r>
    </w:p>
    <w:p w:rsidR="00D914EB" w:rsidRPr="00983D10" w:rsidRDefault="00D914EB" w:rsidP="00D914EB">
      <w:pPr>
        <w:pBdr>
          <w:top w:val="nil"/>
          <w:left w:val="nil"/>
          <w:bottom w:val="nil"/>
          <w:right w:val="nil"/>
          <w:between w:val="nil"/>
        </w:pBdr>
        <w:ind w:left="708"/>
        <w:contextualSpacing/>
        <w:rPr>
          <w:i/>
          <w:sz w:val="22"/>
        </w:rPr>
      </w:pPr>
    </w:p>
    <w:p w:rsidR="001955A1" w:rsidRPr="00983D10" w:rsidRDefault="001955A1" w:rsidP="001955A1">
      <w:pPr>
        <w:pBdr>
          <w:top w:val="nil"/>
          <w:left w:val="nil"/>
          <w:bottom w:val="nil"/>
          <w:right w:val="nil"/>
          <w:between w:val="nil"/>
        </w:pBdr>
        <w:ind w:left="708"/>
        <w:contextualSpacing/>
        <w:rPr>
          <w:i/>
          <w:sz w:val="22"/>
        </w:rPr>
      </w:pPr>
      <w:r w:rsidRPr="00983D10">
        <w:rPr>
          <w:b/>
          <w:i/>
          <w:sz w:val="22"/>
        </w:rPr>
        <w:t>Artículo 3.42.</w:t>
      </w:r>
      <w:r w:rsidRPr="00983D10">
        <w:rPr>
          <w:i/>
          <w:sz w:val="22"/>
        </w:rPr>
        <w:t xml:space="preserve"> La o el titular de la Dirección de Recursos Humanos cuenta con las siguientes atribuciones:</w:t>
      </w:r>
    </w:p>
    <w:p w:rsidR="00D914EB" w:rsidRPr="00983D10" w:rsidRDefault="00D914EB" w:rsidP="001955A1">
      <w:pPr>
        <w:pBdr>
          <w:top w:val="nil"/>
          <w:left w:val="nil"/>
          <w:bottom w:val="nil"/>
          <w:right w:val="nil"/>
          <w:between w:val="nil"/>
        </w:pBdr>
        <w:ind w:left="708"/>
        <w:contextualSpacing/>
        <w:rPr>
          <w:i/>
          <w:sz w:val="22"/>
        </w:rPr>
      </w:pPr>
      <w:r w:rsidRPr="00983D10">
        <w:rPr>
          <w:i/>
          <w:sz w:val="22"/>
        </w:rPr>
        <w:t>…</w:t>
      </w:r>
    </w:p>
    <w:p w:rsidR="001955A1" w:rsidRPr="00983D10" w:rsidRDefault="00D914EB" w:rsidP="00D914EB">
      <w:pPr>
        <w:pBdr>
          <w:top w:val="nil"/>
          <w:left w:val="nil"/>
          <w:bottom w:val="nil"/>
          <w:right w:val="nil"/>
          <w:between w:val="nil"/>
        </w:pBdr>
        <w:ind w:left="708"/>
        <w:contextualSpacing/>
        <w:rPr>
          <w:i/>
          <w:sz w:val="22"/>
        </w:rPr>
      </w:pPr>
      <w:r w:rsidRPr="00983D10">
        <w:rPr>
          <w:i/>
          <w:sz w:val="22"/>
        </w:rPr>
        <w:t>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p w:rsidR="001955A1" w:rsidRPr="00983D10" w:rsidRDefault="001955A1" w:rsidP="001955A1">
      <w:pPr>
        <w:pBdr>
          <w:top w:val="nil"/>
          <w:left w:val="nil"/>
          <w:bottom w:val="nil"/>
          <w:right w:val="nil"/>
          <w:between w:val="nil"/>
        </w:pBdr>
        <w:contextualSpacing/>
        <w:rPr>
          <w:i/>
          <w:sz w:val="22"/>
        </w:rPr>
      </w:pPr>
    </w:p>
    <w:p w:rsidR="00D22D6C" w:rsidRPr="00983D10" w:rsidRDefault="00BA22EB" w:rsidP="00D22D6C">
      <w:pPr>
        <w:contextualSpacing/>
      </w:pPr>
      <w:r w:rsidRPr="00983D10">
        <w:rPr>
          <w:bCs/>
          <w:iCs/>
          <w:szCs w:val="24"/>
          <w:lang w:val="es-ES"/>
        </w:rPr>
        <w:t>En este sentido le corresponde a la Dirección de Recursos Humanos coadyuvar a la Tesorería con la elaboración y distribución oportuna de la nómina para el pago al personal que labora en el ayuntamiento</w:t>
      </w:r>
      <w:r w:rsidR="00D22D6C" w:rsidRPr="00983D10">
        <w:t>.</w:t>
      </w:r>
      <w:r w:rsidRPr="00983D10">
        <w:t xml:space="preserve"> De lo anterior</w:t>
      </w:r>
      <w:r w:rsidR="00D22D6C" w:rsidRPr="00983D10">
        <w:rPr>
          <w:bCs/>
          <w:iCs/>
          <w:szCs w:val="24"/>
          <w:lang w:val="es-ES"/>
        </w:rPr>
        <w:t xml:space="preserve">,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w:t>
      </w:r>
      <w:r w:rsidR="00D22D6C" w:rsidRPr="00983D10">
        <w:rPr>
          <w:b/>
          <w:bCs/>
          <w:iCs/>
          <w:szCs w:val="24"/>
          <w:lang w:val="es-ES"/>
        </w:rPr>
        <w:t>1000 Servicios Personales</w:t>
      </w:r>
      <w:r w:rsidR="00D22D6C" w:rsidRPr="00983D10">
        <w:rPr>
          <w:bCs/>
          <w:iCs/>
          <w:szCs w:val="24"/>
          <w:lang w:val="es-ES"/>
        </w:rPr>
        <w:t>,</w:t>
      </w:r>
      <w:r w:rsidR="00D22D6C" w:rsidRPr="00983D10">
        <w:rPr>
          <w:b/>
          <w:bCs/>
          <w:iCs/>
          <w:szCs w:val="24"/>
          <w:lang w:val="es-ES"/>
        </w:rPr>
        <w:t xml:space="preserve"> que agrupa las remuneraciones del personal al servicio de los entes públicos, tales como el sueldo, salarios, dietas, honorarios, prestaciones, obligaciones laborales, entre otras.</w:t>
      </w:r>
    </w:p>
    <w:p w:rsidR="00D22D6C" w:rsidRPr="00983D10" w:rsidRDefault="00D22D6C" w:rsidP="00D22D6C">
      <w:pPr>
        <w:contextualSpacing/>
        <w:rPr>
          <w:bCs/>
          <w:szCs w:val="24"/>
          <w:lang w:val="es-ES"/>
        </w:rPr>
      </w:pPr>
    </w:p>
    <w:p w:rsidR="00D22D6C" w:rsidRPr="00983D10" w:rsidRDefault="00D22D6C" w:rsidP="00D22D6C">
      <w:pPr>
        <w:contextualSpacing/>
        <w:rPr>
          <w:rFonts w:eastAsia="Times New Roman"/>
          <w:bCs/>
          <w:szCs w:val="24"/>
        </w:rPr>
      </w:pPr>
      <w:r w:rsidRPr="00983D10">
        <w:rPr>
          <w:rFonts w:eastAsia="Times New Roman" w:cs="Tahoma"/>
          <w:bCs/>
          <w:szCs w:val="24"/>
        </w:rPr>
        <w:t xml:space="preserve">En ese orden de ideas, </w:t>
      </w:r>
      <w:r w:rsidRPr="00983D10">
        <w:rPr>
          <w:bCs/>
          <w:szCs w:val="24"/>
        </w:rPr>
        <w:t>Lineamientos para la Integración y Entrega del Informe Trimestral Municipal, dos mil veintitrés, emitidos por el Órgano Superior de Fiscalización del Estado de México,</w:t>
      </w:r>
      <w:r w:rsidRPr="00983D10">
        <w:rPr>
          <w:rFonts w:eastAsia="Times New Roman" w:cs="Tahoma"/>
          <w:bCs/>
          <w:szCs w:val="24"/>
        </w:rPr>
        <w:t xml:space="preserve"> </w:t>
      </w:r>
      <w:r w:rsidRPr="00983D10">
        <w:rPr>
          <w:bCs/>
          <w:szCs w:val="24"/>
        </w:rPr>
        <w:t xml:space="preserve">entre los formatos que maneja en el </w:t>
      </w:r>
      <w:r w:rsidRPr="00983D10">
        <w:rPr>
          <w:b/>
          <w:bCs/>
          <w:szCs w:val="24"/>
        </w:rPr>
        <w:t>Módulo 4</w:t>
      </w:r>
      <w:r w:rsidRPr="00983D10">
        <w:rPr>
          <w:bCs/>
          <w:szCs w:val="24"/>
        </w:rPr>
        <w:t xml:space="preserve">, se advierte que se encuentran la Nómina detallada, reporte de remuneraciones, conciliación de nómina, tabulador de sueldos, </w:t>
      </w:r>
      <w:r w:rsidRPr="00983D10">
        <w:rPr>
          <w:rFonts w:eastAsia="Times New Roman"/>
          <w:bCs/>
          <w:szCs w:val="24"/>
        </w:rPr>
        <w:t xml:space="preserve">mismos que serán entregados a la autoridad fiscalizadora y que contienen todas las remuneraciones que recibe cada servidor público. </w:t>
      </w:r>
      <w:r w:rsidRPr="00983D10">
        <w:rPr>
          <w:rFonts w:eastAsia="Times New Roman"/>
          <w:b/>
          <w:szCs w:val="24"/>
        </w:rPr>
        <w:t xml:space="preserve">Dispersión de </w:t>
      </w:r>
      <w:r w:rsidRPr="00983D10">
        <w:rPr>
          <w:rFonts w:eastAsia="Times New Roman"/>
          <w:b/>
          <w:szCs w:val="24"/>
        </w:rPr>
        <w:lastRenderedPageBreak/>
        <w:t>nómina:</w:t>
      </w:r>
      <w:r w:rsidRPr="00983D10">
        <w:rPr>
          <w:rFonts w:eastAsia="Times New Roman"/>
          <w:bCs/>
          <w:szCs w:val="24"/>
        </w:rPr>
        <w:t xml:space="preserve"> es el documento que emite la institución bancaria por la transferencia realizada del pago de las remuneraciones de cada servidor del Ente Público por cada quincena.</w:t>
      </w:r>
    </w:p>
    <w:p w:rsidR="00D22D6C" w:rsidRPr="00983D10" w:rsidRDefault="00D22D6C" w:rsidP="00D22D6C">
      <w:pPr>
        <w:contextualSpacing/>
        <w:rPr>
          <w:bCs/>
          <w:szCs w:val="24"/>
        </w:rPr>
      </w:pPr>
    </w:p>
    <w:p w:rsidR="00D22D6C" w:rsidRPr="00983D10" w:rsidRDefault="00D22D6C" w:rsidP="00D22D6C">
      <w:pPr>
        <w:contextualSpacing/>
        <w:rPr>
          <w:rFonts w:eastAsia="Palatino Linotype" w:cs="Palatino Linotype"/>
          <w:szCs w:val="24"/>
        </w:rPr>
      </w:pPr>
      <w:r w:rsidRPr="00983D10">
        <w:rPr>
          <w:rFonts w:eastAsia="Palatino Linotype" w:cs="Palatino Linotype"/>
          <w:szCs w:val="24"/>
        </w:rPr>
        <w:t xml:space="preserve">Dentro de los cuales ubicamos en su módulo cuatro la información de la </w:t>
      </w:r>
      <w:r w:rsidRPr="00983D10">
        <w:rPr>
          <w:rFonts w:eastAsia="Times New Roman" w:cs="Tahoma"/>
          <w:bCs/>
          <w:szCs w:val="24"/>
        </w:rPr>
        <w:t>conciliación</w:t>
      </w:r>
      <w:r w:rsidRPr="00983D10">
        <w:rPr>
          <w:rFonts w:eastAsia="Palatino Linotype" w:cs="Palatino Linotype"/>
          <w:szCs w:val="24"/>
        </w:rPr>
        <w:t xml:space="preserve"> de nómina los cuales son generados de manera quincenal mediante archivos PDF y XLS, así como la dispersión de nómina como se advierte en las siguientes imágenes sustraídas de dichos lineamientos:</w:t>
      </w:r>
    </w:p>
    <w:p w:rsidR="00D22D6C" w:rsidRPr="00983D10" w:rsidRDefault="00D22D6C" w:rsidP="00D22D6C">
      <w:pPr>
        <w:jc w:val="center"/>
      </w:pPr>
      <w:r w:rsidRPr="00983D10">
        <w:rPr>
          <w:noProof/>
          <w:color w:val="000000"/>
          <w:szCs w:val="24"/>
          <w:lang w:val="es-MX"/>
        </w:rPr>
        <w:drawing>
          <wp:inline distT="0" distB="0" distL="0" distR="0" wp14:anchorId="6CD8A13C" wp14:editId="4DAE5BAE">
            <wp:extent cx="5296535" cy="2492553"/>
            <wp:effectExtent l="0" t="0" r="0" b="3175"/>
            <wp:docPr id="1935271137" name="Imagen 1" descr="Texto,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71137" name="Imagen 1" descr="Texto, Calendario&#10;&#10;El contenido generado por IA puede ser incorrecto."/>
                    <pic:cNvPicPr/>
                  </pic:nvPicPr>
                  <pic:blipFill>
                    <a:blip r:embed="rId9"/>
                    <a:stretch>
                      <a:fillRect/>
                    </a:stretch>
                  </pic:blipFill>
                  <pic:spPr>
                    <a:xfrm>
                      <a:off x="0" y="0"/>
                      <a:ext cx="5315822" cy="2501630"/>
                    </a:xfrm>
                    <a:prstGeom prst="rect">
                      <a:avLst/>
                    </a:prstGeom>
                  </pic:spPr>
                </pic:pic>
              </a:graphicData>
            </a:graphic>
          </wp:inline>
        </w:drawing>
      </w:r>
    </w:p>
    <w:p w:rsidR="00D22D6C" w:rsidRPr="00983D10" w:rsidRDefault="00D22D6C" w:rsidP="00D22D6C">
      <w:pPr>
        <w:jc w:val="center"/>
        <w:rPr>
          <w:rFonts w:eastAsia="Palatino Linotype" w:cs="Palatino Linotype"/>
        </w:rPr>
      </w:pPr>
    </w:p>
    <w:p w:rsidR="00D22D6C" w:rsidRPr="00983D10" w:rsidRDefault="00D22D6C" w:rsidP="00D22D6C">
      <w:pPr>
        <w:pStyle w:val="Prrafodelista"/>
        <w:ind w:left="0"/>
        <w:rPr>
          <w:rFonts w:eastAsia="Palatino Linotype" w:cs="Palatino Linotype"/>
          <w:u w:val="single"/>
        </w:rPr>
      </w:pPr>
      <w:r w:rsidRPr="00983D10">
        <w:rPr>
          <w:rFonts w:eastAsia="Palatino Linotype" w:cs="Palatino Linotype"/>
        </w:rPr>
        <w:t xml:space="preserve">En observancia a las imágenes anteriores, se acredita que el </w:t>
      </w:r>
      <w:r w:rsidRPr="00983D10">
        <w:rPr>
          <w:rFonts w:eastAsia="Palatino Linotype" w:cs="Palatino Linotype"/>
          <w:b/>
        </w:rPr>
        <w:t>SUJETO OBLIGADO</w:t>
      </w:r>
      <w:r w:rsidRPr="00983D10">
        <w:rPr>
          <w:rFonts w:eastAsia="Palatino Linotype" w:cs="Palatino Linotype"/>
        </w:rPr>
        <w:t xml:space="preserve">, </w:t>
      </w:r>
      <w:r w:rsidRPr="00983D10">
        <w:rPr>
          <w:rFonts w:eastAsia="Palatino Linotype" w:cs="Palatino Linotype"/>
          <w:u w:val="single"/>
        </w:rPr>
        <w:t>debió generar la información relativa a la conciliación de nómina y dispersión de nómina de manera quincenal y remitirla de manera trimestral al Órgano Superior de Fiscalización del Estado de México, para su respectiva revisión y fiscalización.</w:t>
      </w:r>
    </w:p>
    <w:p w:rsidR="00433D1A" w:rsidRPr="00983D10" w:rsidRDefault="00433D1A" w:rsidP="00D22D6C">
      <w:pPr>
        <w:pStyle w:val="Prrafodelista"/>
        <w:ind w:left="0"/>
        <w:rPr>
          <w:rFonts w:eastAsia="Palatino Linotype" w:cs="Palatino Linotype"/>
        </w:rPr>
      </w:pPr>
    </w:p>
    <w:p w:rsidR="00611208" w:rsidRPr="00983D10" w:rsidRDefault="00611208" w:rsidP="00611208">
      <w:pPr>
        <w:pBdr>
          <w:top w:val="nil"/>
          <w:left w:val="nil"/>
          <w:bottom w:val="nil"/>
          <w:right w:val="nil"/>
          <w:between w:val="nil"/>
        </w:pBdr>
        <w:contextualSpacing/>
        <w:rPr>
          <w:b/>
          <w:u w:val="single"/>
        </w:rPr>
      </w:pPr>
      <w:r w:rsidRPr="00983D10">
        <w:t xml:space="preserve">En ese orden de ideas, el hoy Recurrente requirió </w:t>
      </w:r>
      <w:r w:rsidR="00433D1A" w:rsidRPr="00983D10">
        <w:rPr>
          <w:u w:val="single"/>
        </w:rPr>
        <w:t xml:space="preserve">los cheques en los que se advirtiera el pago a los servidores públicos lo que corresponde a los </w:t>
      </w:r>
      <w:r w:rsidR="00433D1A" w:rsidRPr="00983D10">
        <w:rPr>
          <w:b/>
        </w:rPr>
        <w:t xml:space="preserve">cheque </w:t>
      </w:r>
      <w:r w:rsidRPr="00983D10">
        <w:rPr>
          <w:b/>
        </w:rPr>
        <w:t>póliza de pago</w:t>
      </w:r>
      <w:r w:rsidRPr="00983D10">
        <w:t xml:space="preserve"> </w:t>
      </w:r>
      <w:r w:rsidR="00433D1A" w:rsidRPr="00983D10">
        <w:t xml:space="preserve"> por lo </w:t>
      </w:r>
      <w:r w:rsidR="00433D1A" w:rsidRPr="00983D10">
        <w:lastRenderedPageBreak/>
        <w:t>que resulta</w:t>
      </w:r>
      <w:r w:rsidRPr="00983D10">
        <w:t xml:space="preserve"> oportuno traer a colación el Instructivo del Módulo 1 del Órgano Superior de Fiscalización del Estado de México (</w:t>
      </w:r>
      <w:r w:rsidRPr="00983D10">
        <w:rPr>
          <w:b/>
        </w:rPr>
        <w:t>OSFEM</w:t>
      </w:r>
      <w:r w:rsidRPr="00983D10">
        <w:t xml:space="preserve">) en su apartado denominado “Pólizas de Egresos con Documentos comprobatorios” siendo aquella póliza que refleja cualquier operación contable en la que se produzca una salida de efectivo o erogaciones, a través de transferencias bancarias electrónicas. </w:t>
      </w:r>
      <w:r w:rsidRPr="00983D10">
        <w:rPr>
          <w:u w:val="single"/>
        </w:rPr>
        <w:t>No obstante, si dicha erogación se realiza a través de un cheque bancario, la póliza contable será una póliza de cheque</w:t>
      </w:r>
      <w:r w:rsidRPr="00983D10">
        <w:t xml:space="preserve">. </w:t>
      </w:r>
    </w:p>
    <w:p w:rsidR="00611208" w:rsidRPr="00983D10" w:rsidRDefault="00611208" w:rsidP="00611208">
      <w:pPr>
        <w:pBdr>
          <w:top w:val="nil"/>
          <w:left w:val="nil"/>
          <w:bottom w:val="nil"/>
          <w:right w:val="nil"/>
          <w:between w:val="nil"/>
        </w:pBdr>
        <w:contextualSpacing/>
      </w:pPr>
    </w:p>
    <w:p w:rsidR="00611208" w:rsidRPr="00983D10" w:rsidRDefault="00611208" w:rsidP="00611208">
      <w:pPr>
        <w:pBdr>
          <w:top w:val="nil"/>
          <w:left w:val="nil"/>
          <w:bottom w:val="nil"/>
          <w:right w:val="nil"/>
          <w:between w:val="nil"/>
        </w:pBdr>
        <w:contextualSpacing/>
      </w:pPr>
      <w:r w:rsidRPr="00983D10">
        <w:t xml:space="preserve">De lo anterior la Póliza de Cheque es un tipo de póliza que se utiliza en caso de erogaciones realizadas a través de un cheque, la cual debe tener el formato siguiente; </w:t>
      </w:r>
    </w:p>
    <w:p w:rsidR="00611208" w:rsidRPr="00983D10" w:rsidRDefault="00611208" w:rsidP="00611208">
      <w:pPr>
        <w:pBdr>
          <w:top w:val="nil"/>
          <w:left w:val="nil"/>
          <w:bottom w:val="nil"/>
          <w:right w:val="nil"/>
          <w:between w:val="nil"/>
        </w:pBdr>
        <w:contextualSpacing/>
        <w:jc w:val="center"/>
      </w:pPr>
      <w:r w:rsidRPr="00983D10">
        <w:rPr>
          <w:noProof/>
          <w:lang w:val="es-MX"/>
        </w:rPr>
        <w:drawing>
          <wp:inline distT="0" distB="0" distL="0" distR="0" wp14:anchorId="34FA11C8" wp14:editId="7888FB85">
            <wp:extent cx="4744093" cy="2491740"/>
            <wp:effectExtent l="0" t="0" r="0" b="3810"/>
            <wp:docPr id="18056409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4095" name="Imagen 1" descr="Interfaz de usuario gráfica, Texto, Aplicación&#10;&#10;Descripción generada automáticamente"/>
                    <pic:cNvPicPr/>
                  </pic:nvPicPr>
                  <pic:blipFill>
                    <a:blip r:embed="rId10"/>
                    <a:stretch>
                      <a:fillRect/>
                    </a:stretch>
                  </pic:blipFill>
                  <pic:spPr>
                    <a:xfrm>
                      <a:off x="0" y="0"/>
                      <a:ext cx="4748924" cy="2494277"/>
                    </a:xfrm>
                    <a:prstGeom prst="rect">
                      <a:avLst/>
                    </a:prstGeom>
                  </pic:spPr>
                </pic:pic>
              </a:graphicData>
            </a:graphic>
          </wp:inline>
        </w:drawing>
      </w:r>
    </w:p>
    <w:p w:rsidR="00611208" w:rsidRPr="00983D10" w:rsidRDefault="00611208" w:rsidP="00611208">
      <w:pPr>
        <w:pBdr>
          <w:top w:val="nil"/>
          <w:left w:val="nil"/>
          <w:bottom w:val="nil"/>
          <w:right w:val="nil"/>
          <w:between w:val="nil"/>
        </w:pBdr>
        <w:contextualSpacing/>
      </w:pPr>
    </w:p>
    <w:p w:rsidR="00611208" w:rsidRPr="00983D10" w:rsidRDefault="00611208" w:rsidP="00611208">
      <w:pPr>
        <w:pBdr>
          <w:top w:val="nil"/>
          <w:left w:val="nil"/>
          <w:bottom w:val="nil"/>
          <w:right w:val="nil"/>
          <w:between w:val="nil"/>
        </w:pBdr>
        <w:contextualSpacing/>
      </w:pPr>
      <w:r w:rsidRPr="00983D10">
        <w:t xml:space="preserve">Las “Pólizas de Cheques con los documentos comprobatorios” se deben de presentar en formato TIFF considerando las siguientes especificaciones: </w:t>
      </w:r>
    </w:p>
    <w:p w:rsidR="00611208" w:rsidRPr="00983D10" w:rsidRDefault="00611208" w:rsidP="00611208">
      <w:pPr>
        <w:pStyle w:val="Prrafodelista"/>
        <w:numPr>
          <w:ilvl w:val="0"/>
          <w:numId w:val="11"/>
        </w:numPr>
        <w:pBdr>
          <w:top w:val="nil"/>
          <w:left w:val="nil"/>
          <w:bottom w:val="nil"/>
          <w:right w:val="nil"/>
          <w:between w:val="nil"/>
        </w:pBdr>
        <w:rPr>
          <w:i/>
          <w:iCs/>
          <w:sz w:val="22"/>
        </w:rPr>
      </w:pPr>
      <w:r w:rsidRPr="00983D10">
        <w:rPr>
          <w:b/>
          <w:bCs/>
          <w:i/>
          <w:iCs/>
          <w:sz w:val="22"/>
        </w:rPr>
        <w:t>NP</w:t>
      </w:r>
      <w:r w:rsidRPr="00983D10">
        <w:rPr>
          <w:i/>
          <w:iCs/>
          <w:sz w:val="22"/>
        </w:rPr>
        <w:t xml:space="preserve">: Número progresivo de los movimientos contables. </w:t>
      </w:r>
    </w:p>
    <w:p w:rsidR="00611208" w:rsidRPr="00983D10" w:rsidRDefault="00611208" w:rsidP="00611208">
      <w:pPr>
        <w:pStyle w:val="Prrafodelista"/>
        <w:pBdr>
          <w:top w:val="nil"/>
          <w:left w:val="nil"/>
          <w:bottom w:val="nil"/>
          <w:right w:val="nil"/>
          <w:between w:val="nil"/>
        </w:pBdr>
        <w:ind w:left="1068"/>
        <w:rPr>
          <w:i/>
          <w:iCs/>
          <w:sz w:val="22"/>
        </w:rPr>
      </w:pPr>
    </w:p>
    <w:p w:rsidR="00611208" w:rsidRPr="00983D10" w:rsidRDefault="00611208" w:rsidP="00611208">
      <w:pPr>
        <w:pStyle w:val="Prrafodelista"/>
        <w:numPr>
          <w:ilvl w:val="0"/>
          <w:numId w:val="11"/>
        </w:numPr>
        <w:pBdr>
          <w:top w:val="nil"/>
          <w:left w:val="nil"/>
          <w:bottom w:val="nil"/>
          <w:right w:val="nil"/>
          <w:between w:val="nil"/>
        </w:pBdr>
        <w:rPr>
          <w:i/>
          <w:iCs/>
          <w:sz w:val="22"/>
        </w:rPr>
      </w:pPr>
      <w:proofErr w:type="spellStart"/>
      <w:r w:rsidRPr="00983D10">
        <w:rPr>
          <w:b/>
          <w:bCs/>
          <w:i/>
          <w:iCs/>
          <w:sz w:val="22"/>
        </w:rPr>
        <w:lastRenderedPageBreak/>
        <w:t>Cta</w:t>
      </w:r>
      <w:proofErr w:type="spellEnd"/>
      <w:r w:rsidRPr="00983D10">
        <w:rPr>
          <w:i/>
          <w:iCs/>
          <w:sz w:val="22"/>
        </w:rPr>
        <w:t>: Cuenta contable al primer nivel de acuerdo a la Lista de Cuentas Específico Municipal del Manual Único de Contabilidad Gubernamental para las Dependencias y Entidades Públicas del Gobierno y Municipios del Estado de México.</w:t>
      </w:r>
    </w:p>
    <w:p w:rsidR="00611208" w:rsidRPr="00983D10" w:rsidRDefault="00611208" w:rsidP="00611208">
      <w:pPr>
        <w:pBdr>
          <w:top w:val="nil"/>
          <w:left w:val="nil"/>
          <w:bottom w:val="nil"/>
          <w:right w:val="nil"/>
          <w:between w:val="nil"/>
        </w:pBdr>
        <w:rPr>
          <w:i/>
          <w:iCs/>
          <w:sz w:val="22"/>
        </w:rPr>
      </w:pPr>
    </w:p>
    <w:p w:rsidR="00611208" w:rsidRPr="00983D10" w:rsidRDefault="00611208" w:rsidP="00611208">
      <w:pPr>
        <w:pStyle w:val="Prrafodelista"/>
        <w:numPr>
          <w:ilvl w:val="0"/>
          <w:numId w:val="11"/>
        </w:numPr>
        <w:pBdr>
          <w:top w:val="nil"/>
          <w:left w:val="nil"/>
          <w:bottom w:val="nil"/>
          <w:right w:val="nil"/>
          <w:between w:val="nil"/>
        </w:pBdr>
        <w:rPr>
          <w:i/>
          <w:iCs/>
          <w:sz w:val="22"/>
        </w:rPr>
      </w:pPr>
      <w:r w:rsidRPr="00983D10">
        <w:rPr>
          <w:i/>
          <w:iCs/>
          <w:sz w:val="22"/>
        </w:rPr>
        <w:t xml:space="preserve"> </w:t>
      </w:r>
      <w:proofErr w:type="spellStart"/>
      <w:r w:rsidRPr="00983D10">
        <w:rPr>
          <w:b/>
          <w:bCs/>
          <w:i/>
          <w:iCs/>
          <w:sz w:val="22"/>
        </w:rPr>
        <w:t>Scta</w:t>
      </w:r>
      <w:proofErr w:type="spellEnd"/>
      <w:r w:rsidRPr="00983D10">
        <w:rPr>
          <w:i/>
          <w:iCs/>
          <w:sz w:val="22"/>
        </w:rPr>
        <w:t>: Cuenta contable al segundo nivel de acuerdo a la Lista de Cuentas Específico Municipal del Manual Único de Contabilidad Gubernamental para las Dependencias y Entidades Públicas del Gobierno y Municipios del Estado de México.</w:t>
      </w:r>
    </w:p>
    <w:p w:rsidR="00611208" w:rsidRPr="00983D10" w:rsidRDefault="00611208" w:rsidP="00611208">
      <w:pPr>
        <w:pStyle w:val="Prrafodelista"/>
        <w:pBdr>
          <w:top w:val="nil"/>
          <w:left w:val="nil"/>
          <w:bottom w:val="nil"/>
          <w:right w:val="nil"/>
          <w:between w:val="nil"/>
        </w:pBdr>
        <w:ind w:left="1068"/>
        <w:rPr>
          <w:i/>
          <w:iCs/>
          <w:sz w:val="22"/>
        </w:rPr>
      </w:pPr>
    </w:p>
    <w:p w:rsidR="00611208" w:rsidRPr="00983D10" w:rsidRDefault="00611208" w:rsidP="00611208">
      <w:pPr>
        <w:pStyle w:val="Prrafodelista"/>
        <w:numPr>
          <w:ilvl w:val="0"/>
          <w:numId w:val="11"/>
        </w:numPr>
        <w:pBdr>
          <w:top w:val="nil"/>
          <w:left w:val="nil"/>
          <w:bottom w:val="nil"/>
          <w:right w:val="nil"/>
          <w:between w:val="nil"/>
        </w:pBdr>
        <w:rPr>
          <w:i/>
          <w:iCs/>
          <w:sz w:val="22"/>
        </w:rPr>
      </w:pPr>
      <w:proofErr w:type="spellStart"/>
      <w:r w:rsidRPr="00983D10">
        <w:rPr>
          <w:b/>
          <w:bCs/>
          <w:i/>
          <w:iCs/>
          <w:sz w:val="22"/>
        </w:rPr>
        <w:t>Sscta</w:t>
      </w:r>
      <w:proofErr w:type="spellEnd"/>
      <w:r w:rsidRPr="00983D10">
        <w:rPr>
          <w:b/>
          <w:bCs/>
          <w:i/>
          <w:iCs/>
          <w:sz w:val="22"/>
        </w:rPr>
        <w:t>:</w:t>
      </w:r>
      <w:r w:rsidRPr="00983D10">
        <w:rPr>
          <w:i/>
          <w:iCs/>
          <w:sz w:val="22"/>
        </w:rPr>
        <w:t xml:space="preserve"> Cuenta contable al tercer nivel de acuerdo a la Lista de Cuentas Específico Municipal del Manual Único de Contabilidad Gubernamental para las Dependencias y Entidades Públicas del Gobierno y Municipios del Estado de México. </w:t>
      </w:r>
    </w:p>
    <w:p w:rsidR="00611208" w:rsidRPr="00983D10" w:rsidRDefault="00611208" w:rsidP="00611208">
      <w:pPr>
        <w:pStyle w:val="Prrafodelista"/>
        <w:rPr>
          <w:i/>
          <w:iCs/>
          <w:sz w:val="22"/>
        </w:rPr>
      </w:pPr>
    </w:p>
    <w:p w:rsidR="00611208" w:rsidRPr="00983D10" w:rsidRDefault="00611208" w:rsidP="00611208">
      <w:pPr>
        <w:pStyle w:val="Prrafodelista"/>
        <w:numPr>
          <w:ilvl w:val="0"/>
          <w:numId w:val="11"/>
        </w:numPr>
        <w:pBdr>
          <w:top w:val="nil"/>
          <w:left w:val="nil"/>
          <w:bottom w:val="nil"/>
          <w:right w:val="nil"/>
          <w:between w:val="nil"/>
        </w:pBdr>
        <w:rPr>
          <w:i/>
          <w:iCs/>
          <w:sz w:val="22"/>
        </w:rPr>
      </w:pPr>
      <w:r w:rsidRPr="00983D10">
        <w:rPr>
          <w:i/>
          <w:iCs/>
          <w:sz w:val="22"/>
        </w:rPr>
        <w:t xml:space="preserve"> </w:t>
      </w:r>
      <w:proofErr w:type="spellStart"/>
      <w:r w:rsidRPr="00983D10">
        <w:rPr>
          <w:b/>
          <w:bCs/>
          <w:i/>
          <w:iCs/>
          <w:sz w:val="22"/>
        </w:rPr>
        <w:t>Ssscta</w:t>
      </w:r>
      <w:proofErr w:type="spellEnd"/>
      <w:r w:rsidRPr="00983D10">
        <w:rPr>
          <w:i/>
          <w:iCs/>
          <w:sz w:val="22"/>
        </w:rPr>
        <w:t xml:space="preserve">: Cuenta contable al cuarto nivel de acuerdo a la Lista de Cuentas Específico Municipal del Manual Único de Contabilidad Gubernamental para las Dependencias y Entidades Públicas del Gobierno y Municipios del Estado de México. </w:t>
      </w:r>
    </w:p>
    <w:p w:rsidR="00611208" w:rsidRPr="00983D10" w:rsidRDefault="00611208" w:rsidP="00611208">
      <w:pPr>
        <w:pStyle w:val="Prrafodelista"/>
        <w:rPr>
          <w:i/>
          <w:iCs/>
          <w:sz w:val="22"/>
        </w:rPr>
      </w:pPr>
    </w:p>
    <w:p w:rsidR="00611208" w:rsidRPr="00983D10" w:rsidRDefault="00611208" w:rsidP="00611208">
      <w:pPr>
        <w:pStyle w:val="Prrafodelista"/>
        <w:numPr>
          <w:ilvl w:val="0"/>
          <w:numId w:val="11"/>
        </w:numPr>
        <w:pBdr>
          <w:top w:val="nil"/>
          <w:left w:val="nil"/>
          <w:bottom w:val="nil"/>
          <w:right w:val="nil"/>
          <w:between w:val="nil"/>
        </w:pBdr>
        <w:rPr>
          <w:i/>
          <w:iCs/>
          <w:sz w:val="22"/>
        </w:rPr>
      </w:pPr>
      <w:proofErr w:type="spellStart"/>
      <w:r w:rsidRPr="00983D10">
        <w:rPr>
          <w:b/>
          <w:bCs/>
          <w:i/>
          <w:iCs/>
          <w:sz w:val="22"/>
        </w:rPr>
        <w:t>Sssscta</w:t>
      </w:r>
      <w:proofErr w:type="spellEnd"/>
      <w:r w:rsidRPr="00983D10">
        <w:rPr>
          <w:b/>
          <w:bCs/>
          <w:i/>
          <w:iCs/>
          <w:sz w:val="22"/>
        </w:rPr>
        <w:t>:</w:t>
      </w:r>
      <w:r w:rsidRPr="00983D10">
        <w:rPr>
          <w:i/>
          <w:iCs/>
          <w:sz w:val="22"/>
        </w:rPr>
        <w:t xml:space="preserve"> Cuenta contable al quinto nivel de acuerdo a la Lista de Cuentas Específico Municipal del Manual Único de Contabilidad Gubernamental para las Dependencias y Entidades Públicas del Gobierno y Municipios del Estado de México. </w:t>
      </w:r>
    </w:p>
    <w:p w:rsidR="00611208" w:rsidRPr="00983D10" w:rsidRDefault="00611208" w:rsidP="00611208">
      <w:pPr>
        <w:pStyle w:val="Prrafodelista"/>
        <w:rPr>
          <w:i/>
          <w:iCs/>
          <w:sz w:val="22"/>
        </w:rPr>
      </w:pPr>
    </w:p>
    <w:p w:rsidR="00611208" w:rsidRPr="00983D10" w:rsidRDefault="00611208" w:rsidP="00611208">
      <w:pPr>
        <w:pStyle w:val="Prrafodelista"/>
        <w:numPr>
          <w:ilvl w:val="0"/>
          <w:numId w:val="11"/>
        </w:numPr>
        <w:pBdr>
          <w:top w:val="nil"/>
          <w:left w:val="nil"/>
          <w:bottom w:val="nil"/>
          <w:right w:val="nil"/>
          <w:between w:val="nil"/>
        </w:pBdr>
        <w:rPr>
          <w:i/>
          <w:iCs/>
          <w:sz w:val="22"/>
        </w:rPr>
      </w:pPr>
      <w:proofErr w:type="spellStart"/>
      <w:r w:rsidRPr="00983D10">
        <w:rPr>
          <w:b/>
          <w:bCs/>
          <w:i/>
          <w:iCs/>
          <w:sz w:val="22"/>
        </w:rPr>
        <w:t>Ref</w:t>
      </w:r>
      <w:proofErr w:type="spellEnd"/>
      <w:r w:rsidRPr="00983D10">
        <w:rPr>
          <w:i/>
          <w:iCs/>
          <w:sz w:val="22"/>
        </w:rPr>
        <w:t xml:space="preserve">: Las pólizas hacen referencia al documento en el que se registran las distintas operaciones contables, por ejemplo: CH-12. </w:t>
      </w:r>
    </w:p>
    <w:p w:rsidR="00611208" w:rsidRPr="00983D10" w:rsidRDefault="00611208" w:rsidP="00611208">
      <w:pPr>
        <w:pStyle w:val="Prrafodelista"/>
        <w:rPr>
          <w:i/>
          <w:iCs/>
          <w:sz w:val="22"/>
        </w:rPr>
      </w:pPr>
    </w:p>
    <w:p w:rsidR="00611208" w:rsidRPr="00983D10" w:rsidRDefault="00611208" w:rsidP="00611208">
      <w:pPr>
        <w:pStyle w:val="Prrafodelista"/>
        <w:numPr>
          <w:ilvl w:val="0"/>
          <w:numId w:val="11"/>
        </w:numPr>
        <w:pBdr>
          <w:top w:val="nil"/>
          <w:left w:val="nil"/>
          <w:bottom w:val="nil"/>
          <w:right w:val="nil"/>
          <w:between w:val="nil"/>
        </w:pBdr>
        <w:rPr>
          <w:i/>
          <w:iCs/>
          <w:sz w:val="22"/>
        </w:rPr>
      </w:pPr>
      <w:r w:rsidRPr="00983D10">
        <w:rPr>
          <w:b/>
          <w:bCs/>
          <w:i/>
          <w:iCs/>
          <w:sz w:val="22"/>
        </w:rPr>
        <w:t>Concepto</w:t>
      </w:r>
      <w:r w:rsidRPr="00983D10">
        <w:rPr>
          <w:i/>
          <w:iCs/>
          <w:sz w:val="22"/>
        </w:rPr>
        <w:t xml:space="preserve">: Anotar de acuerdo al Manual Único de Contabilidad Gubernamental para las Dependencias y Entidades Públicas del Gobierno y Municipios del Estado de México, a su registro contable y presupuestal: el nombre del concepto del clasificador por objeto del gasto y </w:t>
      </w:r>
      <w:r w:rsidRPr="00983D10">
        <w:rPr>
          <w:i/>
          <w:iCs/>
          <w:sz w:val="22"/>
        </w:rPr>
        <w:lastRenderedPageBreak/>
        <w:t>el nombre del beneficiario o proveedor completo, el nombre de la descripción de la lista de cuentas y el nombre del concepto de la lista de Lista de Cuentas Específico Municipal, nombre de la institución bancaria, número de cuenta bancaria, número de cheque y fondo.</w:t>
      </w:r>
    </w:p>
    <w:p w:rsidR="00611208" w:rsidRPr="00983D10" w:rsidRDefault="00611208" w:rsidP="00611208">
      <w:pPr>
        <w:pStyle w:val="Prrafodelista"/>
        <w:rPr>
          <w:i/>
          <w:iCs/>
          <w:sz w:val="22"/>
        </w:rPr>
      </w:pPr>
    </w:p>
    <w:p w:rsidR="00611208" w:rsidRPr="00983D10" w:rsidRDefault="00611208" w:rsidP="00611208">
      <w:pPr>
        <w:pStyle w:val="Prrafodelista"/>
        <w:numPr>
          <w:ilvl w:val="0"/>
          <w:numId w:val="11"/>
        </w:numPr>
        <w:pBdr>
          <w:top w:val="nil"/>
          <w:left w:val="nil"/>
          <w:bottom w:val="nil"/>
          <w:right w:val="nil"/>
          <w:between w:val="nil"/>
        </w:pBdr>
        <w:rPr>
          <w:i/>
          <w:iCs/>
          <w:sz w:val="22"/>
        </w:rPr>
      </w:pPr>
      <w:r w:rsidRPr="00983D10">
        <w:rPr>
          <w:b/>
          <w:bCs/>
          <w:i/>
          <w:iCs/>
          <w:sz w:val="22"/>
        </w:rPr>
        <w:t>Debe:</w:t>
      </w:r>
      <w:r w:rsidRPr="00983D10">
        <w:rPr>
          <w:i/>
          <w:iCs/>
          <w:sz w:val="22"/>
        </w:rPr>
        <w:t xml:space="preserve"> Importe total de los cargos contables correspondientes de cada una de las cuentas contables. </w:t>
      </w:r>
    </w:p>
    <w:p w:rsidR="00611208" w:rsidRPr="00983D10" w:rsidRDefault="00611208" w:rsidP="00611208">
      <w:pPr>
        <w:pStyle w:val="Prrafodelista"/>
        <w:rPr>
          <w:i/>
          <w:iCs/>
          <w:sz w:val="22"/>
        </w:rPr>
      </w:pPr>
    </w:p>
    <w:p w:rsidR="00611208" w:rsidRPr="00983D10" w:rsidRDefault="00611208" w:rsidP="00611208">
      <w:pPr>
        <w:pStyle w:val="Prrafodelista"/>
        <w:numPr>
          <w:ilvl w:val="0"/>
          <w:numId w:val="11"/>
        </w:numPr>
        <w:pBdr>
          <w:top w:val="nil"/>
          <w:left w:val="nil"/>
          <w:bottom w:val="nil"/>
          <w:right w:val="nil"/>
          <w:between w:val="nil"/>
        </w:pBdr>
        <w:rPr>
          <w:i/>
          <w:iCs/>
          <w:sz w:val="22"/>
        </w:rPr>
      </w:pPr>
      <w:r w:rsidRPr="00983D10">
        <w:rPr>
          <w:i/>
          <w:iCs/>
          <w:sz w:val="22"/>
        </w:rPr>
        <w:t xml:space="preserve"> </w:t>
      </w:r>
      <w:r w:rsidRPr="00983D10">
        <w:rPr>
          <w:b/>
          <w:bCs/>
          <w:i/>
          <w:iCs/>
          <w:sz w:val="22"/>
        </w:rPr>
        <w:t>Haber</w:t>
      </w:r>
      <w:r w:rsidRPr="00983D10">
        <w:rPr>
          <w:i/>
          <w:iCs/>
          <w:sz w:val="22"/>
        </w:rPr>
        <w:t xml:space="preserve">: Importe total de los abonos contables correspondientes de cada una de las cuentas contables. </w:t>
      </w:r>
    </w:p>
    <w:p w:rsidR="00611208" w:rsidRPr="00983D10" w:rsidRDefault="00611208" w:rsidP="00611208">
      <w:pPr>
        <w:pStyle w:val="Prrafodelista"/>
        <w:rPr>
          <w:i/>
          <w:iCs/>
          <w:sz w:val="22"/>
        </w:rPr>
      </w:pPr>
    </w:p>
    <w:p w:rsidR="00611208" w:rsidRPr="00983D10" w:rsidRDefault="00611208" w:rsidP="00611208">
      <w:pPr>
        <w:pStyle w:val="Prrafodelista"/>
        <w:numPr>
          <w:ilvl w:val="0"/>
          <w:numId w:val="11"/>
        </w:numPr>
        <w:pBdr>
          <w:top w:val="nil"/>
          <w:left w:val="nil"/>
          <w:bottom w:val="nil"/>
          <w:right w:val="nil"/>
          <w:between w:val="nil"/>
        </w:pBdr>
        <w:rPr>
          <w:i/>
          <w:iCs/>
          <w:sz w:val="22"/>
        </w:rPr>
      </w:pPr>
      <w:r w:rsidRPr="00983D10">
        <w:rPr>
          <w:i/>
          <w:iCs/>
          <w:sz w:val="22"/>
        </w:rPr>
        <w:t xml:space="preserve"> </w:t>
      </w:r>
      <w:r w:rsidRPr="00983D10">
        <w:rPr>
          <w:b/>
          <w:bCs/>
          <w:i/>
          <w:iCs/>
          <w:sz w:val="22"/>
        </w:rPr>
        <w:t>Saldo Total de la Póliza</w:t>
      </w:r>
      <w:r w:rsidRPr="00983D10">
        <w:rPr>
          <w:i/>
          <w:iCs/>
          <w:sz w:val="22"/>
        </w:rPr>
        <w:t xml:space="preserve">: Suma de los importes registrados en cada una de las columnas del debe y haber. </w:t>
      </w:r>
    </w:p>
    <w:p w:rsidR="00611208" w:rsidRPr="00983D10" w:rsidRDefault="00611208" w:rsidP="00611208">
      <w:pPr>
        <w:pStyle w:val="Prrafodelista"/>
        <w:numPr>
          <w:ilvl w:val="0"/>
          <w:numId w:val="11"/>
        </w:numPr>
        <w:pBdr>
          <w:top w:val="nil"/>
          <w:left w:val="nil"/>
          <w:bottom w:val="nil"/>
          <w:right w:val="nil"/>
          <w:between w:val="nil"/>
        </w:pBdr>
        <w:rPr>
          <w:i/>
          <w:iCs/>
          <w:sz w:val="22"/>
        </w:rPr>
      </w:pPr>
      <w:r w:rsidRPr="00983D10">
        <w:rPr>
          <w:b/>
          <w:bCs/>
          <w:i/>
          <w:iCs/>
          <w:sz w:val="22"/>
        </w:rPr>
        <w:t>Descripción</w:t>
      </w:r>
      <w:r w:rsidRPr="00983D10">
        <w:rPr>
          <w:i/>
          <w:iCs/>
          <w:sz w:val="22"/>
        </w:rPr>
        <w:t xml:space="preserve">: De manera breve y específica anotar el hecho que generó el asiento contable. </w:t>
      </w:r>
    </w:p>
    <w:p w:rsidR="00611208" w:rsidRPr="00983D10" w:rsidRDefault="00611208" w:rsidP="00611208">
      <w:pPr>
        <w:pBdr>
          <w:top w:val="nil"/>
          <w:left w:val="nil"/>
          <w:bottom w:val="nil"/>
          <w:right w:val="nil"/>
          <w:between w:val="nil"/>
        </w:pBdr>
        <w:rPr>
          <w:i/>
          <w:iCs/>
          <w:sz w:val="22"/>
        </w:rPr>
      </w:pPr>
    </w:p>
    <w:p w:rsidR="00611208" w:rsidRPr="00983D10" w:rsidRDefault="00611208" w:rsidP="00611208">
      <w:pPr>
        <w:pBdr>
          <w:top w:val="nil"/>
          <w:left w:val="nil"/>
          <w:bottom w:val="nil"/>
          <w:right w:val="nil"/>
          <w:between w:val="nil"/>
        </w:pBdr>
        <w:ind w:left="708"/>
        <w:contextualSpacing/>
        <w:rPr>
          <w:i/>
          <w:iCs/>
          <w:sz w:val="22"/>
        </w:rPr>
      </w:pPr>
      <w:r w:rsidRPr="00983D10">
        <w:rPr>
          <w:i/>
          <w:iCs/>
          <w:sz w:val="22"/>
        </w:rPr>
        <w:t xml:space="preserve">La información de pólizas se presenta de manera física a través de CD junto con el Oficio de Presentación, el CD debe de tener la etiqueta con los datos de identificación de la Entidad, especificando la información que se presenta y la certificación correspondiente </w:t>
      </w:r>
    </w:p>
    <w:p w:rsidR="00611208" w:rsidRPr="00983D10" w:rsidRDefault="00611208" w:rsidP="00611208">
      <w:pPr>
        <w:pBdr>
          <w:top w:val="nil"/>
          <w:left w:val="nil"/>
          <w:bottom w:val="nil"/>
          <w:right w:val="nil"/>
          <w:between w:val="nil"/>
        </w:pBdr>
        <w:contextualSpacing/>
      </w:pPr>
    </w:p>
    <w:p w:rsidR="00611208" w:rsidRPr="00983D10" w:rsidRDefault="00611208" w:rsidP="00611208">
      <w:pPr>
        <w:pBdr>
          <w:top w:val="nil"/>
          <w:left w:val="nil"/>
          <w:bottom w:val="nil"/>
          <w:right w:val="nil"/>
          <w:between w:val="nil"/>
        </w:pBdr>
        <w:contextualSpacing/>
      </w:pPr>
      <w:r w:rsidRPr="00983D10">
        <w:t>Como se puedo observar, el documento referido resulta el idóneo para colmar la pretensión del Recurrente, pues contiene la información solicitada; no obstante, este formato se genera de manera mensual, como lo dispone los lineamientos para la integración, presentación y envío de los informes trimestrales municipales, como se observa a continuación;</w:t>
      </w:r>
    </w:p>
    <w:p w:rsidR="00611208" w:rsidRPr="00983D10" w:rsidRDefault="00611208" w:rsidP="00611208">
      <w:pPr>
        <w:pBdr>
          <w:top w:val="nil"/>
          <w:left w:val="nil"/>
          <w:bottom w:val="nil"/>
          <w:right w:val="nil"/>
          <w:between w:val="nil"/>
        </w:pBdr>
        <w:contextualSpacing/>
      </w:pPr>
    </w:p>
    <w:p w:rsidR="00611208" w:rsidRPr="00983D10" w:rsidRDefault="00611208" w:rsidP="00611208">
      <w:pPr>
        <w:pBdr>
          <w:top w:val="nil"/>
          <w:left w:val="nil"/>
          <w:bottom w:val="nil"/>
          <w:right w:val="nil"/>
          <w:between w:val="nil"/>
        </w:pBdr>
        <w:contextualSpacing/>
      </w:pPr>
      <w:r w:rsidRPr="00983D10">
        <w:rPr>
          <w:noProof/>
          <w:lang w:val="es-MX"/>
        </w:rPr>
        <w:lastRenderedPageBreak/>
        <w:drawing>
          <wp:inline distT="0" distB="0" distL="0" distR="0" wp14:anchorId="3A2623AA" wp14:editId="6432FE75">
            <wp:extent cx="5987120" cy="1927860"/>
            <wp:effectExtent l="0" t="0" r="0" b="0"/>
            <wp:docPr id="1038990133"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90133" name="Imagen 1" descr="Interfaz de usuario gráfica, Aplicación&#10;&#10;Descripción generada automáticamente"/>
                    <pic:cNvPicPr/>
                  </pic:nvPicPr>
                  <pic:blipFill>
                    <a:blip r:embed="rId11"/>
                    <a:stretch>
                      <a:fillRect/>
                    </a:stretch>
                  </pic:blipFill>
                  <pic:spPr>
                    <a:xfrm>
                      <a:off x="0" y="0"/>
                      <a:ext cx="5991787" cy="1929363"/>
                    </a:xfrm>
                    <a:prstGeom prst="rect">
                      <a:avLst/>
                    </a:prstGeom>
                  </pic:spPr>
                </pic:pic>
              </a:graphicData>
            </a:graphic>
          </wp:inline>
        </w:drawing>
      </w:r>
    </w:p>
    <w:p w:rsidR="00611208" w:rsidRPr="00983D10" w:rsidRDefault="00611208" w:rsidP="00611208">
      <w:pPr>
        <w:pBdr>
          <w:top w:val="nil"/>
          <w:left w:val="nil"/>
          <w:bottom w:val="nil"/>
          <w:right w:val="nil"/>
          <w:between w:val="nil"/>
        </w:pBdr>
        <w:contextualSpacing/>
      </w:pPr>
    </w:p>
    <w:p w:rsidR="009C3E76" w:rsidRPr="00983D10" w:rsidRDefault="00611208" w:rsidP="00611208">
      <w:pPr>
        <w:pBdr>
          <w:top w:val="nil"/>
          <w:left w:val="nil"/>
          <w:bottom w:val="nil"/>
          <w:right w:val="nil"/>
          <w:between w:val="nil"/>
        </w:pBdr>
        <w:contextualSpacing/>
      </w:pPr>
      <w:r w:rsidRPr="00983D10">
        <w:t xml:space="preserve">De lo anterior y cómo podemos apreciar en respuesta primigenia, </w:t>
      </w:r>
      <w:r w:rsidR="00433D1A" w:rsidRPr="00983D10">
        <w:t xml:space="preserve">si bien el </w:t>
      </w:r>
      <w:r w:rsidR="004051C8" w:rsidRPr="00983D10">
        <w:t xml:space="preserve">Sujeto Obligado mediante el servidor público de la Tesorería manifestó que no contaba con el soporte documental por que se encontraba inmersos en los informes trimestrales entregados al OSFEM este Instituto advierte al respecto que el Sujeto Obligado debe de contar </w:t>
      </w:r>
      <w:r w:rsidR="00347AA7" w:rsidRPr="00983D10">
        <w:t xml:space="preserve">con </w:t>
      </w:r>
      <w:r w:rsidR="009C3E76" w:rsidRPr="00983D10">
        <w:t xml:space="preserve">un ejemplar enviado al Órgano Superior de Fiscalización y uno para los archivos del Sujeto Obligado, por su parte </w:t>
      </w:r>
      <w:r w:rsidR="004051C8" w:rsidRPr="00983D10">
        <w:t xml:space="preserve">la Dirección General </w:t>
      </w:r>
      <w:r w:rsidR="009C3E76" w:rsidRPr="00983D10">
        <w:t xml:space="preserve"> de Administración informo que la Dirección de Recursos Humanos realizo una búsqueda en los archivos del Departamento de nóminas y no encontró documento donde contenga lo requerido </w:t>
      </w:r>
      <w:r w:rsidR="009C3E76" w:rsidRPr="00983D10">
        <w:rPr>
          <w:u w:val="single"/>
        </w:rPr>
        <w:t>sin que se advierta que se turnó la solicitud de información a la Dirección de Egresos</w:t>
      </w:r>
      <w:r w:rsidR="009C3E76" w:rsidRPr="00983D10">
        <w:t xml:space="preserve">. </w:t>
      </w:r>
    </w:p>
    <w:p w:rsidR="004051C8" w:rsidRPr="00983D10" w:rsidRDefault="004051C8" w:rsidP="00611208">
      <w:pPr>
        <w:pBdr>
          <w:top w:val="nil"/>
          <w:left w:val="nil"/>
          <w:bottom w:val="nil"/>
          <w:right w:val="nil"/>
          <w:between w:val="nil"/>
        </w:pBdr>
        <w:contextualSpacing/>
      </w:pPr>
      <w:r w:rsidRPr="00983D10">
        <w:t xml:space="preserve"> </w:t>
      </w:r>
    </w:p>
    <w:p w:rsidR="00611208" w:rsidRPr="00983D10" w:rsidRDefault="009C3E76" w:rsidP="00611208">
      <w:pPr>
        <w:pBdr>
          <w:top w:val="nil"/>
          <w:left w:val="nil"/>
          <w:bottom w:val="nil"/>
          <w:right w:val="nil"/>
          <w:between w:val="nil"/>
        </w:pBdr>
        <w:contextualSpacing/>
      </w:pPr>
      <w:r w:rsidRPr="00983D10">
        <w:t xml:space="preserve">En </w:t>
      </w:r>
      <w:r w:rsidR="005C3C3C" w:rsidRPr="00983D10">
        <w:t>este sentido</w:t>
      </w:r>
      <w:r w:rsidR="00611208" w:rsidRPr="00983D10">
        <w:t xml:space="preserve"> sujeto obligado no niega contar con la información solicitada, por el contrario, hace </w:t>
      </w:r>
      <w:r w:rsidR="008822F5" w:rsidRPr="00983D10">
        <w:t>un pronunciamiento respecto la existencia de la información misma que ya fue integrada y enviada al Órgano Superior de Fiscalización</w:t>
      </w:r>
      <w:r w:rsidR="00611208" w:rsidRPr="00983D10">
        <w:t xml:space="preserve">, entonces, el hecho de que el Sujeto Obligado </w:t>
      </w:r>
      <w:r w:rsidR="008822F5" w:rsidRPr="00983D10">
        <w:t xml:space="preserve">se </w:t>
      </w:r>
      <w:r w:rsidR="00611208" w:rsidRPr="00983D10">
        <w:t>haya</w:t>
      </w:r>
      <w:r w:rsidR="008822F5" w:rsidRPr="00983D10">
        <w:t xml:space="preserve"> manifestado</w:t>
      </w:r>
      <w:r w:rsidR="00611208" w:rsidRPr="00983D10">
        <w:t xml:space="preserve">, comprueba fehacientemente que dicha autoridad acepta que la genera, posee y/o administra los documentos solicitados, en ejercicio de sus funciones, es decir, no niega la existencia de la información solicitada, por el contrario, se </w:t>
      </w:r>
      <w:r w:rsidR="00611208" w:rsidRPr="00983D10">
        <w:lastRenderedPageBreak/>
        <w:t xml:space="preserve">pronuncia respecto de la información requerida, es por ello que se reitera, se asume que posee la información. </w:t>
      </w:r>
    </w:p>
    <w:p w:rsidR="00D22D6C" w:rsidRPr="00983D10" w:rsidRDefault="00D22D6C" w:rsidP="00D22D6C">
      <w:pPr>
        <w:pStyle w:val="Prrafodelista"/>
        <w:ind w:left="0"/>
        <w:rPr>
          <w:rFonts w:eastAsia="Palatino Linotype" w:cs="Palatino Linotype"/>
        </w:rPr>
      </w:pPr>
    </w:p>
    <w:p w:rsidR="00D22D6C" w:rsidRPr="00983D10" w:rsidRDefault="00D22D6C" w:rsidP="00D22D6C">
      <w:pPr>
        <w:ind w:right="-28"/>
        <w:rPr>
          <w:rFonts w:eastAsia="Palatino Linotype" w:cs="Palatino Linotype"/>
          <w:szCs w:val="24"/>
        </w:rPr>
      </w:pPr>
      <w:r w:rsidRPr="00983D10">
        <w:rPr>
          <w:rFonts w:eastAsia="Palatino Linotype" w:cs="Palatino Linotype"/>
          <w:szCs w:val="24"/>
        </w:rPr>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 dispone lo siguiente: </w:t>
      </w:r>
    </w:p>
    <w:p w:rsidR="00D22D6C" w:rsidRPr="00983D10" w:rsidRDefault="00D22D6C" w:rsidP="00D22D6C">
      <w:pPr>
        <w:ind w:left="567" w:right="539"/>
        <w:rPr>
          <w:rFonts w:eastAsia="Palatino Linotype" w:cs="Palatino Linotype"/>
          <w:i/>
          <w:sz w:val="22"/>
        </w:rPr>
      </w:pPr>
      <w:r w:rsidRPr="00983D10">
        <w:rPr>
          <w:rFonts w:eastAsia="Palatino Linotype" w:cs="Palatino Linotype"/>
          <w:b/>
          <w:i/>
          <w:sz w:val="22"/>
        </w:rPr>
        <w:t>“Artículo 92.</w:t>
      </w:r>
      <w:r w:rsidRPr="00983D10">
        <w:rPr>
          <w:rFonts w:eastAsia="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22D6C" w:rsidRPr="00983D10" w:rsidRDefault="00D22D6C" w:rsidP="00D22D6C">
      <w:pPr>
        <w:ind w:left="567" w:right="539"/>
        <w:rPr>
          <w:rFonts w:eastAsia="Palatino Linotype" w:cs="Palatino Linotype"/>
          <w:b/>
          <w:i/>
          <w:sz w:val="22"/>
        </w:rPr>
      </w:pPr>
      <w:r w:rsidRPr="00983D10">
        <w:rPr>
          <w:rFonts w:eastAsia="Palatino Linotype" w:cs="Palatino Linotype"/>
          <w:b/>
          <w:i/>
          <w:sz w:val="22"/>
        </w:rPr>
        <w:t>(…)</w:t>
      </w:r>
    </w:p>
    <w:p w:rsidR="002B4575" w:rsidRPr="00983D10" w:rsidRDefault="002B4575" w:rsidP="00D22D6C">
      <w:pPr>
        <w:ind w:left="567" w:right="539"/>
        <w:rPr>
          <w:rFonts w:eastAsia="Palatino Linotype" w:cs="Palatino Linotype"/>
          <w:i/>
          <w:sz w:val="22"/>
        </w:rPr>
      </w:pPr>
    </w:p>
    <w:p w:rsidR="00D22D6C" w:rsidRPr="00983D10" w:rsidRDefault="00D22D6C" w:rsidP="00D22D6C">
      <w:pPr>
        <w:ind w:left="567" w:right="539"/>
        <w:rPr>
          <w:rFonts w:eastAsia="Palatino Linotype" w:cs="Palatino Linotype"/>
          <w:i/>
          <w:sz w:val="22"/>
        </w:rPr>
      </w:pPr>
      <w:r w:rsidRPr="00983D10">
        <w:rPr>
          <w:rFonts w:eastAsia="Palatino Linotype" w:cs="Palatino Linotype"/>
          <w:b/>
          <w:i/>
          <w:sz w:val="22"/>
        </w:rPr>
        <w:t xml:space="preserve">VIII. La remuneración bruta y neta de todos los servidores públicos de base o de confianza, </w:t>
      </w:r>
      <w:r w:rsidRPr="00983D10">
        <w:rPr>
          <w:rFonts w:eastAsia="Palatino Linotype" w:cs="Palatino Linotype"/>
          <w:i/>
          <w:sz w:val="22"/>
        </w:rPr>
        <w:t>de todas las percepciones, incluyendo sueldos, prestaciones, gratificaciones, primas, comisiones, dietas, bonos, estímulos, ingresos y sistemas de compensación, señalando la periodicidad de dicha remuneración;</w:t>
      </w:r>
    </w:p>
    <w:p w:rsidR="00D22D6C" w:rsidRPr="00983D10" w:rsidRDefault="00D22D6C" w:rsidP="00D22D6C">
      <w:pPr>
        <w:ind w:left="567" w:right="539"/>
        <w:rPr>
          <w:rFonts w:eastAsia="Palatino Linotype" w:cs="Palatino Linotype"/>
          <w:i/>
          <w:sz w:val="22"/>
        </w:rPr>
      </w:pPr>
      <w:r w:rsidRPr="00983D10">
        <w:rPr>
          <w:rFonts w:eastAsia="Palatino Linotype" w:cs="Palatino Linotype"/>
          <w:b/>
          <w:i/>
          <w:sz w:val="22"/>
        </w:rPr>
        <w:t>(…)</w:t>
      </w:r>
      <w:r w:rsidRPr="00983D10">
        <w:rPr>
          <w:rFonts w:eastAsia="Palatino Linotype" w:cs="Palatino Linotype"/>
          <w:i/>
          <w:sz w:val="22"/>
        </w:rPr>
        <w:t xml:space="preserve">”  </w:t>
      </w:r>
    </w:p>
    <w:p w:rsidR="00D22D6C" w:rsidRPr="00983D10" w:rsidRDefault="00D22D6C" w:rsidP="00D22D6C">
      <w:pPr>
        <w:ind w:right="-592"/>
        <w:rPr>
          <w:rFonts w:eastAsia="Palatino Linotype" w:cs="Palatino Linotype"/>
          <w:i/>
          <w:szCs w:val="24"/>
        </w:rPr>
      </w:pPr>
    </w:p>
    <w:p w:rsidR="00D22D6C" w:rsidRPr="00983D10" w:rsidRDefault="00D22D6C" w:rsidP="00D22D6C">
      <w:pPr>
        <w:ind w:right="-28"/>
        <w:rPr>
          <w:rFonts w:eastAsia="Palatino Linotype" w:cs="Palatino Linotype"/>
          <w:szCs w:val="24"/>
        </w:rPr>
      </w:pPr>
      <w:r w:rsidRPr="00983D10">
        <w:rPr>
          <w:rFonts w:eastAsia="Palatino Linotype" w:cs="Palatino Linotype"/>
          <w:szCs w:val="24"/>
        </w:rPr>
        <w:lastRenderedPageBreak/>
        <w:t xml:space="preserve">Por otra parte, la Ley del Trabajo de los Servidores Públicos del Estado y Municipios, en su artículo 220 K, establece los documentos que tiene la obligación de conservar el </w:t>
      </w:r>
      <w:r w:rsidRPr="00983D10">
        <w:rPr>
          <w:rFonts w:eastAsia="Palatino Linotype" w:cs="Palatino Linotype"/>
          <w:b/>
          <w:szCs w:val="24"/>
        </w:rPr>
        <w:t>SUJETO OBLIGADO</w:t>
      </w:r>
      <w:r w:rsidRPr="00983D10">
        <w:rPr>
          <w:rFonts w:eastAsia="Palatino Linotype" w:cs="Palatino Linotype"/>
          <w:szCs w:val="24"/>
        </w:rPr>
        <w:t xml:space="preserve">, entre los que se encuentran los recibos de pagos: </w:t>
      </w:r>
    </w:p>
    <w:p w:rsidR="00D22D6C" w:rsidRPr="00983D10" w:rsidRDefault="00D22D6C" w:rsidP="00D22D6C">
      <w:pPr>
        <w:ind w:left="567" w:right="539"/>
        <w:rPr>
          <w:rFonts w:eastAsia="Palatino Linotype" w:cs="Palatino Linotype"/>
          <w:i/>
          <w:sz w:val="22"/>
        </w:rPr>
      </w:pPr>
      <w:r w:rsidRPr="00983D10">
        <w:rPr>
          <w:rFonts w:eastAsia="Palatino Linotype" w:cs="Palatino Linotype"/>
          <w:i/>
          <w:sz w:val="22"/>
        </w:rPr>
        <w:t>“</w:t>
      </w:r>
      <w:r w:rsidRPr="00983D10">
        <w:rPr>
          <w:rFonts w:eastAsia="Palatino Linotype" w:cs="Palatino Linotype"/>
          <w:b/>
          <w:i/>
          <w:sz w:val="22"/>
        </w:rPr>
        <w:t>ARTÍCULO 220 K.-</w:t>
      </w:r>
      <w:r w:rsidRPr="00983D10">
        <w:rPr>
          <w:rFonts w:eastAsia="Palatino Linotype" w:cs="Palatino Linotype"/>
          <w:i/>
          <w:sz w:val="22"/>
        </w:rPr>
        <w:t xml:space="preserve"> La institución o dependencia pública tiene la obligación de conservar y exhibir en el proceso los documentos que a continuación se precisan: </w:t>
      </w:r>
    </w:p>
    <w:p w:rsidR="00D22D6C" w:rsidRPr="00983D10" w:rsidRDefault="00D22D6C" w:rsidP="00D22D6C">
      <w:pPr>
        <w:ind w:left="567" w:right="539"/>
        <w:rPr>
          <w:rFonts w:eastAsia="Palatino Linotype" w:cs="Palatino Linotype"/>
          <w:i/>
          <w:sz w:val="22"/>
        </w:rPr>
      </w:pPr>
      <w:r w:rsidRPr="00983D10">
        <w:rPr>
          <w:rFonts w:eastAsia="Palatino Linotype" w:cs="Palatino Linotype"/>
          <w:i/>
          <w:sz w:val="22"/>
        </w:rPr>
        <w:t xml:space="preserve">I. Contratos, Nombramientos o Formato Único de Movimientos de Personal, cuando no exista Convenio de condiciones generales de trabajo aplicable; </w:t>
      </w:r>
    </w:p>
    <w:p w:rsidR="00D22D6C" w:rsidRPr="00983D10" w:rsidRDefault="00D22D6C" w:rsidP="00D22D6C">
      <w:pPr>
        <w:ind w:left="567" w:right="539"/>
        <w:rPr>
          <w:rFonts w:eastAsia="Palatino Linotype" w:cs="Palatino Linotype"/>
          <w:i/>
          <w:sz w:val="22"/>
        </w:rPr>
      </w:pPr>
      <w:r w:rsidRPr="00983D10">
        <w:rPr>
          <w:rFonts w:eastAsia="Palatino Linotype" w:cs="Palatino Linotype"/>
          <w:b/>
          <w:i/>
          <w:sz w:val="22"/>
        </w:rPr>
        <w:t>II. Recibos de pagos de salarios</w:t>
      </w:r>
      <w:r w:rsidRPr="00983D10">
        <w:rPr>
          <w:rFonts w:eastAsia="Palatino Linotype" w:cs="Palatino Linotype"/>
          <w:i/>
          <w:sz w:val="22"/>
        </w:rPr>
        <w:t xml:space="preserve"> o las constancias documentales del pago de salario cuando sea por depósito o mediante información electrónica; </w:t>
      </w:r>
    </w:p>
    <w:p w:rsidR="00D22D6C" w:rsidRPr="00983D10" w:rsidRDefault="00D22D6C" w:rsidP="00D22D6C">
      <w:pPr>
        <w:ind w:left="567" w:right="539"/>
        <w:rPr>
          <w:rFonts w:eastAsia="Palatino Linotype" w:cs="Palatino Linotype"/>
          <w:i/>
          <w:sz w:val="22"/>
        </w:rPr>
      </w:pPr>
      <w:r w:rsidRPr="00983D10">
        <w:rPr>
          <w:rFonts w:eastAsia="Palatino Linotype" w:cs="Palatino Linotype"/>
          <w:i/>
          <w:sz w:val="22"/>
        </w:rPr>
        <w:t xml:space="preserve">III. Controles de asistencia o la información magnética o electrónica de asistencia de los servidores públicos; </w:t>
      </w:r>
    </w:p>
    <w:p w:rsidR="00D22D6C" w:rsidRPr="00983D10" w:rsidRDefault="00D22D6C" w:rsidP="00D22D6C">
      <w:pPr>
        <w:ind w:left="567" w:right="539"/>
        <w:rPr>
          <w:rFonts w:eastAsia="Palatino Linotype" w:cs="Palatino Linotype"/>
          <w:i/>
          <w:sz w:val="22"/>
        </w:rPr>
      </w:pPr>
      <w:r w:rsidRPr="00983D10">
        <w:rPr>
          <w:rFonts w:eastAsia="Palatino Linotype" w:cs="Palatino Linotype"/>
          <w:i/>
          <w:sz w:val="22"/>
        </w:rPr>
        <w:t xml:space="preserve">IV. Recibos o las constancias de depósito o del medio de información magnética o electrónica que sean utilizadas para el pago de salarios, prima vacacional, aguinaldo y demás prestaciones establecidas en la presente ley; y </w:t>
      </w:r>
    </w:p>
    <w:p w:rsidR="00D22D6C" w:rsidRPr="00983D10" w:rsidRDefault="00D22D6C" w:rsidP="00D22D6C">
      <w:pPr>
        <w:ind w:left="567" w:right="539"/>
        <w:rPr>
          <w:rFonts w:eastAsia="Palatino Linotype" w:cs="Palatino Linotype"/>
          <w:i/>
          <w:sz w:val="22"/>
        </w:rPr>
      </w:pPr>
      <w:r w:rsidRPr="00983D10">
        <w:rPr>
          <w:rFonts w:eastAsia="Palatino Linotype" w:cs="Palatino Linotype"/>
          <w:i/>
          <w:sz w:val="22"/>
        </w:rPr>
        <w:t>V. Los demás que señalen las leyes.</w:t>
      </w:r>
    </w:p>
    <w:p w:rsidR="00D22D6C" w:rsidRPr="00983D10" w:rsidRDefault="00D22D6C" w:rsidP="00D22D6C">
      <w:pPr>
        <w:ind w:left="567" w:right="539"/>
        <w:rPr>
          <w:rFonts w:eastAsia="Palatino Linotype" w:cs="Palatino Linotype"/>
          <w:i/>
          <w:sz w:val="22"/>
        </w:rPr>
      </w:pPr>
      <w:r w:rsidRPr="00983D10">
        <w:rPr>
          <w:rFonts w:eastAsia="Palatino Linotype" w:cs="Palatino Linotype"/>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D22D6C" w:rsidRPr="00983D10" w:rsidRDefault="00D22D6C" w:rsidP="00D22D6C">
      <w:pPr>
        <w:tabs>
          <w:tab w:val="left" w:pos="709"/>
        </w:tabs>
        <w:rPr>
          <w:szCs w:val="24"/>
        </w:rPr>
      </w:pPr>
    </w:p>
    <w:p w:rsidR="00D22D6C" w:rsidRPr="00983D10" w:rsidRDefault="00D22D6C" w:rsidP="00D22D6C">
      <w:pPr>
        <w:tabs>
          <w:tab w:val="left" w:pos="709"/>
        </w:tabs>
        <w:rPr>
          <w:szCs w:val="24"/>
        </w:rPr>
      </w:pPr>
      <w:r w:rsidRPr="00983D10">
        <w:rPr>
          <w:szCs w:val="24"/>
        </w:rPr>
        <w:t>Respecto los comprobantes bancarios de dispersión de nómina, se debe de considerar que se encuentra integrado por los siguientes datos;</w:t>
      </w:r>
    </w:p>
    <w:p w:rsidR="00D22D6C" w:rsidRPr="00983D10" w:rsidRDefault="00D22D6C" w:rsidP="00D22D6C">
      <w:pPr>
        <w:tabs>
          <w:tab w:val="left" w:pos="709"/>
        </w:tabs>
        <w:ind w:left="708"/>
        <w:rPr>
          <w:i/>
          <w:iCs/>
          <w:sz w:val="22"/>
        </w:rPr>
      </w:pPr>
      <w:r w:rsidRPr="00983D10">
        <w:rPr>
          <w:szCs w:val="24"/>
        </w:rPr>
        <w:lastRenderedPageBreak/>
        <w:tab/>
      </w:r>
      <w:r w:rsidRPr="00983D10">
        <w:rPr>
          <w:i/>
          <w:iCs/>
          <w:sz w:val="22"/>
        </w:rPr>
        <w:t>Las características mínimas que debe contener el documento expedido por la institución bancaria del detalle de las operaciones son las siguientes:</w:t>
      </w:r>
    </w:p>
    <w:p w:rsidR="00D22D6C" w:rsidRPr="00983D10" w:rsidRDefault="00D22D6C" w:rsidP="00D22D6C">
      <w:pPr>
        <w:tabs>
          <w:tab w:val="left" w:pos="709"/>
        </w:tabs>
        <w:ind w:left="1416"/>
        <w:rPr>
          <w:i/>
          <w:iCs/>
          <w:sz w:val="22"/>
        </w:rPr>
      </w:pPr>
      <w:r w:rsidRPr="00983D10">
        <w:rPr>
          <w:i/>
          <w:iCs/>
          <w:sz w:val="22"/>
        </w:rPr>
        <w:t xml:space="preserve"> 1. Número de Cuenta de origen y destino </w:t>
      </w:r>
    </w:p>
    <w:p w:rsidR="00D22D6C" w:rsidRPr="00983D10" w:rsidRDefault="00D22D6C" w:rsidP="00D22D6C">
      <w:pPr>
        <w:tabs>
          <w:tab w:val="left" w:pos="709"/>
        </w:tabs>
        <w:ind w:left="1416"/>
        <w:rPr>
          <w:i/>
          <w:iCs/>
          <w:sz w:val="22"/>
        </w:rPr>
      </w:pPr>
      <w:r w:rsidRPr="00983D10">
        <w:rPr>
          <w:i/>
          <w:iCs/>
          <w:sz w:val="22"/>
        </w:rPr>
        <w:t xml:space="preserve">2. Fecha del pago </w:t>
      </w:r>
    </w:p>
    <w:p w:rsidR="00D22D6C" w:rsidRPr="00983D10" w:rsidRDefault="00D22D6C" w:rsidP="00D22D6C">
      <w:pPr>
        <w:tabs>
          <w:tab w:val="left" w:pos="709"/>
        </w:tabs>
        <w:ind w:left="1416"/>
        <w:rPr>
          <w:i/>
          <w:iCs/>
          <w:sz w:val="22"/>
        </w:rPr>
      </w:pPr>
      <w:r w:rsidRPr="00983D10">
        <w:rPr>
          <w:i/>
          <w:iCs/>
          <w:sz w:val="22"/>
        </w:rPr>
        <w:t xml:space="preserve">3. Importe </w:t>
      </w:r>
    </w:p>
    <w:p w:rsidR="00D22D6C" w:rsidRPr="00983D10" w:rsidRDefault="00D22D6C" w:rsidP="00D22D6C">
      <w:pPr>
        <w:tabs>
          <w:tab w:val="left" w:pos="709"/>
        </w:tabs>
        <w:ind w:left="1416"/>
        <w:rPr>
          <w:i/>
          <w:iCs/>
          <w:sz w:val="22"/>
        </w:rPr>
      </w:pPr>
      <w:r w:rsidRPr="00983D10">
        <w:rPr>
          <w:i/>
          <w:iCs/>
          <w:sz w:val="22"/>
        </w:rPr>
        <w:t xml:space="preserve">4. Nombre del servidor público a quien se emitió el pago </w:t>
      </w:r>
    </w:p>
    <w:p w:rsidR="00D22D6C" w:rsidRPr="00983D10" w:rsidRDefault="00D22D6C" w:rsidP="00D22D6C">
      <w:pPr>
        <w:tabs>
          <w:tab w:val="left" w:pos="709"/>
        </w:tabs>
        <w:ind w:left="1416"/>
        <w:rPr>
          <w:i/>
          <w:iCs/>
          <w:sz w:val="22"/>
        </w:rPr>
      </w:pPr>
      <w:r w:rsidRPr="00983D10">
        <w:rPr>
          <w:i/>
          <w:iCs/>
          <w:sz w:val="22"/>
        </w:rPr>
        <w:t xml:space="preserve">5. Estatus del pago </w:t>
      </w:r>
    </w:p>
    <w:p w:rsidR="00D22D6C" w:rsidRPr="00983D10" w:rsidRDefault="00D22D6C" w:rsidP="00D22D6C">
      <w:pPr>
        <w:tabs>
          <w:tab w:val="left" w:pos="709"/>
        </w:tabs>
        <w:ind w:left="1416"/>
        <w:rPr>
          <w:i/>
          <w:iCs/>
          <w:sz w:val="22"/>
        </w:rPr>
      </w:pPr>
      <w:r w:rsidRPr="00983D10">
        <w:rPr>
          <w:i/>
          <w:iCs/>
          <w:sz w:val="22"/>
        </w:rPr>
        <w:t>6. Descripción del pago</w:t>
      </w:r>
    </w:p>
    <w:p w:rsidR="00706B74" w:rsidRPr="00983D10" w:rsidRDefault="00706B74" w:rsidP="00706B74">
      <w:pPr>
        <w:tabs>
          <w:tab w:val="left" w:pos="709"/>
        </w:tabs>
        <w:rPr>
          <w:sz w:val="22"/>
        </w:rPr>
      </w:pPr>
    </w:p>
    <w:p w:rsidR="00706B74" w:rsidRPr="00983D10" w:rsidRDefault="00706B74" w:rsidP="00706B74">
      <w:pPr>
        <w:tabs>
          <w:tab w:val="left" w:pos="709"/>
        </w:tabs>
        <w:rPr>
          <w:szCs w:val="24"/>
        </w:rPr>
      </w:pPr>
      <w:r w:rsidRPr="00983D10">
        <w:rPr>
          <w:szCs w:val="24"/>
        </w:rPr>
        <w:t xml:space="preserve">De lo anterior es de considerarse que respecto el número de cuenta y la cuenta clave podrían integrar datos susceptibles de ser confidenciales en los términos del artículo 143 fracción I de la Ley de Transparencia Local </w:t>
      </w:r>
    </w:p>
    <w:p w:rsidR="00706B74" w:rsidRPr="00983D10" w:rsidRDefault="00706B74" w:rsidP="00706B74">
      <w:pPr>
        <w:tabs>
          <w:tab w:val="left" w:pos="709"/>
        </w:tabs>
        <w:ind w:left="360"/>
        <w:rPr>
          <w:szCs w:val="24"/>
        </w:rPr>
      </w:pPr>
      <w:r w:rsidRPr="00983D10">
        <w:rPr>
          <w:szCs w:val="24"/>
        </w:rPr>
        <w:t xml:space="preserve">CBDN1: Comprobante Bancario de la Dispersión de la Nómina, primera quincena CBDN2: Comprobante Bancario de la Dispersión de la Nómina, segunda quincena </w:t>
      </w:r>
    </w:p>
    <w:p w:rsidR="00706B74" w:rsidRPr="00983D10" w:rsidRDefault="00706B74" w:rsidP="00706B74">
      <w:pPr>
        <w:tabs>
          <w:tab w:val="left" w:pos="709"/>
        </w:tabs>
        <w:ind w:left="360"/>
        <w:rPr>
          <w:szCs w:val="24"/>
        </w:rPr>
      </w:pPr>
      <w:r w:rsidRPr="00983D10">
        <w:rPr>
          <w:szCs w:val="24"/>
        </w:rPr>
        <w:t xml:space="preserve">0: Clave para identificar a la entidad </w:t>
      </w:r>
    </w:p>
    <w:p w:rsidR="00706B74" w:rsidRPr="00983D10" w:rsidRDefault="00706B74" w:rsidP="00706B74">
      <w:pPr>
        <w:tabs>
          <w:tab w:val="left" w:pos="709"/>
        </w:tabs>
        <w:ind w:left="360"/>
        <w:rPr>
          <w:szCs w:val="24"/>
        </w:rPr>
      </w:pPr>
      <w:r w:rsidRPr="00983D10">
        <w:rPr>
          <w:szCs w:val="24"/>
        </w:rPr>
        <w:t xml:space="preserve">000: Número de la entidad municipal </w:t>
      </w:r>
    </w:p>
    <w:p w:rsidR="00706B74" w:rsidRPr="00983D10" w:rsidRDefault="00706B74" w:rsidP="00706B74">
      <w:pPr>
        <w:tabs>
          <w:tab w:val="left" w:pos="709"/>
        </w:tabs>
        <w:ind w:left="360"/>
        <w:rPr>
          <w:szCs w:val="24"/>
        </w:rPr>
      </w:pPr>
      <w:r w:rsidRPr="00983D10">
        <w:rPr>
          <w:szCs w:val="24"/>
        </w:rPr>
        <w:t xml:space="preserve">2025: Ejercicio Fiscal </w:t>
      </w:r>
    </w:p>
    <w:p w:rsidR="00706B74" w:rsidRPr="00983D10" w:rsidRDefault="00706B74" w:rsidP="00706B74">
      <w:pPr>
        <w:tabs>
          <w:tab w:val="left" w:pos="709"/>
        </w:tabs>
        <w:ind w:left="360"/>
        <w:rPr>
          <w:szCs w:val="24"/>
        </w:rPr>
      </w:pPr>
      <w:r w:rsidRPr="00983D10">
        <w:rPr>
          <w:szCs w:val="24"/>
        </w:rPr>
        <w:t xml:space="preserve">00: Mes </w:t>
      </w:r>
    </w:p>
    <w:p w:rsidR="00706B74" w:rsidRPr="00983D10" w:rsidRDefault="00706B74" w:rsidP="00706B74">
      <w:pPr>
        <w:tabs>
          <w:tab w:val="left" w:pos="709"/>
        </w:tabs>
        <w:rPr>
          <w:szCs w:val="24"/>
        </w:rPr>
      </w:pPr>
    </w:p>
    <w:p w:rsidR="00D22D6C" w:rsidRPr="00983D10" w:rsidRDefault="00706B74" w:rsidP="00D22D6C">
      <w:pPr>
        <w:tabs>
          <w:tab w:val="left" w:pos="709"/>
        </w:tabs>
        <w:rPr>
          <w:szCs w:val="24"/>
        </w:rPr>
      </w:pPr>
      <w:r w:rsidRPr="00983D10">
        <w:rPr>
          <w:szCs w:val="24"/>
        </w:rPr>
        <w:t>Se deberá integrar de manera quincenal en un solo documento en formato PDF el o los comprobantes que emite la institución bancaria por la(s) transferencia(s) realizadas respecto del pago de las remuneraciones de cada servidor del Ente Público, en caso de que la nómina se haya pagado mediante cheques u otra forma de pago se deberán anexar en el mismo documento.</w:t>
      </w:r>
    </w:p>
    <w:p w:rsidR="00D22D6C" w:rsidRPr="00983D10" w:rsidRDefault="00D22D6C" w:rsidP="00D22D6C">
      <w:pPr>
        <w:pStyle w:val="Ttulo3"/>
        <w:numPr>
          <w:ilvl w:val="0"/>
          <w:numId w:val="7"/>
        </w:numPr>
        <w:ind w:left="720" w:hanging="360"/>
        <w:rPr>
          <w:rFonts w:eastAsia="Palatino Linotype" w:cs="Palatino Linotype"/>
          <w:b/>
          <w:color w:val="000000"/>
        </w:rPr>
      </w:pPr>
      <w:r w:rsidRPr="00983D10">
        <w:rPr>
          <w:rFonts w:eastAsia="Palatino Linotype" w:cs="Palatino Linotype"/>
          <w:b/>
          <w:color w:val="000000"/>
        </w:rPr>
        <w:lastRenderedPageBreak/>
        <w:t>Clave Única de Registro de Población (CURP).</w:t>
      </w:r>
    </w:p>
    <w:p w:rsidR="00D22D6C" w:rsidRPr="00983D10" w:rsidRDefault="00D22D6C" w:rsidP="00D22D6C">
      <w:pPr>
        <w:pBdr>
          <w:top w:val="nil"/>
          <w:left w:val="nil"/>
          <w:bottom w:val="nil"/>
          <w:right w:val="nil"/>
          <w:between w:val="nil"/>
        </w:pBdr>
        <w:tabs>
          <w:tab w:val="left" w:pos="709"/>
        </w:tabs>
        <w:ind w:right="49"/>
        <w:rPr>
          <w:rFonts w:eastAsia="Palatino Linotype" w:cs="Palatino Linotype"/>
          <w:color w:val="000000"/>
          <w:szCs w:val="24"/>
        </w:rPr>
      </w:pPr>
      <w:r w:rsidRPr="00983D10">
        <w:rPr>
          <w:rFonts w:eastAsia="Palatino Linotype" w:cs="Palatino Linotype"/>
          <w:color w:val="000000"/>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D22D6C" w:rsidRPr="00983D10" w:rsidRDefault="00D22D6C" w:rsidP="00D22D6C">
      <w:pPr>
        <w:tabs>
          <w:tab w:val="left" w:pos="851"/>
        </w:tabs>
        <w:ind w:right="49"/>
        <w:jc w:val="center"/>
        <w:rPr>
          <w:rFonts w:eastAsia="Palatino Linotype" w:cs="Palatino Linotype"/>
        </w:rPr>
      </w:pPr>
      <w:r w:rsidRPr="00983D10">
        <w:rPr>
          <w:noProof/>
          <w:lang w:val="es-MX"/>
        </w:rPr>
        <w:drawing>
          <wp:inline distT="0" distB="0" distL="0" distR="0" wp14:anchorId="34FFF6CE" wp14:editId="5AAC1972">
            <wp:extent cx="4613910" cy="3260035"/>
            <wp:effectExtent l="0" t="0" r="0" b="0"/>
            <wp:docPr id="8"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12"/>
                    <a:srcRect l="25748" t="8269" r="41254" b="18081"/>
                    <a:stretch>
                      <a:fillRect/>
                    </a:stretch>
                  </pic:blipFill>
                  <pic:spPr>
                    <a:xfrm>
                      <a:off x="0" y="0"/>
                      <a:ext cx="4636055" cy="3275682"/>
                    </a:xfrm>
                    <a:prstGeom prst="rect">
                      <a:avLst/>
                    </a:prstGeom>
                    <a:ln/>
                  </pic:spPr>
                </pic:pic>
              </a:graphicData>
            </a:graphic>
          </wp:inline>
        </w:drawing>
      </w:r>
    </w:p>
    <w:p w:rsidR="00D22D6C" w:rsidRPr="00983D10" w:rsidRDefault="00D22D6C" w:rsidP="00D22D6C">
      <w:pPr>
        <w:tabs>
          <w:tab w:val="left" w:pos="851"/>
        </w:tabs>
        <w:ind w:right="49"/>
        <w:rPr>
          <w:rFonts w:eastAsia="Palatino Linotype" w:cs="Palatino Linotype"/>
        </w:rPr>
      </w:pPr>
    </w:p>
    <w:p w:rsidR="00D22D6C" w:rsidRPr="00983D10" w:rsidRDefault="00D22D6C" w:rsidP="00D22D6C">
      <w:pPr>
        <w:pBdr>
          <w:top w:val="nil"/>
          <w:left w:val="nil"/>
          <w:bottom w:val="nil"/>
          <w:right w:val="nil"/>
          <w:between w:val="nil"/>
        </w:pBdr>
        <w:tabs>
          <w:tab w:val="left" w:pos="567"/>
        </w:tabs>
        <w:ind w:right="49"/>
        <w:rPr>
          <w:rFonts w:eastAsia="Palatino Linotype" w:cs="Palatino Linotype"/>
          <w:color w:val="000000"/>
          <w:szCs w:val="24"/>
        </w:rPr>
      </w:pPr>
      <w:r w:rsidRPr="00983D10">
        <w:rPr>
          <w:rFonts w:eastAsia="Palatino Linotype" w:cs="Palatino Linotype"/>
          <w:color w:val="000000"/>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D22D6C" w:rsidRPr="00983D10" w:rsidRDefault="00D22D6C" w:rsidP="00D22D6C">
      <w:pPr>
        <w:tabs>
          <w:tab w:val="left" w:pos="0"/>
          <w:tab w:val="left" w:pos="426"/>
        </w:tabs>
        <w:ind w:right="49"/>
        <w:rPr>
          <w:rFonts w:eastAsia="Palatino Linotype" w:cs="Palatino Linotype"/>
        </w:rPr>
      </w:pPr>
    </w:p>
    <w:p w:rsidR="00D22D6C" w:rsidRPr="00983D10" w:rsidRDefault="00D22D6C" w:rsidP="00D22D6C">
      <w:pPr>
        <w:pBdr>
          <w:top w:val="nil"/>
          <w:left w:val="nil"/>
          <w:bottom w:val="nil"/>
          <w:right w:val="nil"/>
          <w:between w:val="nil"/>
        </w:pBdr>
        <w:tabs>
          <w:tab w:val="left" w:pos="0"/>
          <w:tab w:val="left" w:pos="426"/>
        </w:tabs>
        <w:ind w:right="49"/>
        <w:rPr>
          <w:rFonts w:eastAsia="Palatino Linotype" w:cs="Palatino Linotype"/>
          <w:color w:val="000000"/>
          <w:szCs w:val="24"/>
        </w:rPr>
      </w:pPr>
      <w:r w:rsidRPr="00983D10">
        <w:rPr>
          <w:rFonts w:eastAsia="Palatino Linotype" w:cs="Palatino Linotype"/>
          <w:color w:val="000000"/>
          <w:szCs w:val="24"/>
        </w:rPr>
        <w:t xml:space="preserve">Entre las características de la CURP, se encuentra: </w:t>
      </w:r>
    </w:p>
    <w:p w:rsidR="00D22D6C" w:rsidRPr="00983D10" w:rsidRDefault="00D22D6C" w:rsidP="00D22D6C">
      <w:pPr>
        <w:tabs>
          <w:tab w:val="left" w:pos="426"/>
          <w:tab w:val="left" w:pos="567"/>
        </w:tabs>
        <w:ind w:left="567" w:right="567"/>
        <w:rPr>
          <w:rFonts w:eastAsia="Palatino Linotype" w:cs="Palatino Linotype"/>
          <w:szCs w:val="24"/>
        </w:rPr>
      </w:pPr>
      <w:r w:rsidRPr="00983D10">
        <w:rPr>
          <w:rFonts w:eastAsia="Palatino Linotype" w:cs="Palatino Linotype"/>
          <w:b/>
          <w:szCs w:val="24"/>
        </w:rPr>
        <w:lastRenderedPageBreak/>
        <w:t xml:space="preserve">Composición. </w:t>
      </w:r>
      <w:r w:rsidRPr="00983D10">
        <w:rPr>
          <w:rFonts w:eastAsia="Palatino Linotype" w:cs="Palatino Linotype"/>
          <w:szCs w:val="24"/>
        </w:rPr>
        <w:t>Alfanumérica.</w:t>
      </w:r>
    </w:p>
    <w:p w:rsidR="00D22D6C" w:rsidRPr="00983D10" w:rsidRDefault="00D22D6C" w:rsidP="00D22D6C">
      <w:pPr>
        <w:tabs>
          <w:tab w:val="left" w:pos="426"/>
          <w:tab w:val="left" w:pos="567"/>
        </w:tabs>
        <w:ind w:left="567" w:right="567"/>
        <w:rPr>
          <w:rFonts w:eastAsia="Palatino Linotype" w:cs="Palatino Linotype"/>
          <w:szCs w:val="24"/>
        </w:rPr>
      </w:pPr>
      <w:r w:rsidRPr="00983D10">
        <w:rPr>
          <w:rFonts w:eastAsia="Palatino Linotype" w:cs="Palatino Linotype"/>
          <w:b/>
          <w:szCs w:val="24"/>
        </w:rPr>
        <w:t xml:space="preserve">Longitud. </w:t>
      </w:r>
      <w:r w:rsidRPr="00983D10">
        <w:rPr>
          <w:rFonts w:eastAsia="Palatino Linotype" w:cs="Palatino Linotype"/>
          <w:szCs w:val="24"/>
        </w:rPr>
        <w:t xml:space="preserve"> 18 caracteres.</w:t>
      </w:r>
    </w:p>
    <w:p w:rsidR="00D22D6C" w:rsidRPr="00983D10" w:rsidRDefault="00D22D6C" w:rsidP="00D22D6C">
      <w:pPr>
        <w:tabs>
          <w:tab w:val="left" w:pos="426"/>
          <w:tab w:val="left" w:pos="567"/>
        </w:tabs>
        <w:ind w:left="567" w:right="567"/>
        <w:rPr>
          <w:rFonts w:eastAsia="Palatino Linotype" w:cs="Palatino Linotype"/>
          <w:szCs w:val="24"/>
        </w:rPr>
      </w:pPr>
      <w:r w:rsidRPr="00983D10">
        <w:rPr>
          <w:rFonts w:eastAsia="Palatino Linotype" w:cs="Palatino Linotype"/>
          <w:b/>
          <w:szCs w:val="24"/>
        </w:rPr>
        <w:t xml:space="preserve">Naturaleza. </w:t>
      </w:r>
      <w:r w:rsidRPr="00983D10">
        <w:rPr>
          <w:rFonts w:eastAsia="Palatino Linotype" w:cs="Palatino Linotype"/>
          <w:szCs w:val="24"/>
        </w:rPr>
        <w:t>Biunívoca.</w:t>
      </w:r>
    </w:p>
    <w:p w:rsidR="00D22D6C" w:rsidRPr="00983D10" w:rsidRDefault="00D22D6C" w:rsidP="00D22D6C">
      <w:pPr>
        <w:tabs>
          <w:tab w:val="left" w:pos="426"/>
          <w:tab w:val="left" w:pos="567"/>
        </w:tabs>
        <w:ind w:left="567" w:right="567"/>
        <w:rPr>
          <w:rFonts w:eastAsia="Palatino Linotype" w:cs="Palatino Linotype"/>
          <w:szCs w:val="24"/>
        </w:rPr>
      </w:pPr>
      <w:r w:rsidRPr="00983D10">
        <w:rPr>
          <w:rFonts w:eastAsia="Palatino Linotype" w:cs="Palatino Linotype"/>
          <w:b/>
          <w:szCs w:val="24"/>
        </w:rPr>
        <w:t xml:space="preserve">Universalidad. </w:t>
      </w:r>
      <w:r w:rsidRPr="00983D10">
        <w:rPr>
          <w:rFonts w:eastAsia="Palatino Linotype" w:cs="Palatino Linotype"/>
          <w:szCs w:val="24"/>
        </w:rPr>
        <w:t>Se asigna a todas las personas que conforman la población.</w:t>
      </w:r>
    </w:p>
    <w:p w:rsidR="00D22D6C" w:rsidRPr="00983D10" w:rsidRDefault="00D22D6C" w:rsidP="00D22D6C">
      <w:pPr>
        <w:tabs>
          <w:tab w:val="left" w:pos="426"/>
          <w:tab w:val="left" w:pos="567"/>
        </w:tabs>
        <w:ind w:left="567" w:right="567"/>
        <w:rPr>
          <w:rFonts w:eastAsia="Palatino Linotype" w:cs="Palatino Linotype"/>
          <w:b/>
          <w:szCs w:val="24"/>
        </w:rPr>
      </w:pPr>
      <w:r w:rsidRPr="00983D10">
        <w:rPr>
          <w:rFonts w:eastAsia="Palatino Linotype" w:cs="Palatino Linotype"/>
          <w:b/>
          <w:szCs w:val="24"/>
        </w:rPr>
        <w:t xml:space="preserve">Verificabilidad. </w:t>
      </w:r>
      <w:r w:rsidRPr="00983D10">
        <w:rPr>
          <w:rFonts w:eastAsia="Palatino Linotype" w:cs="Palatino Linotype"/>
          <w:szCs w:val="24"/>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983D10">
        <w:rPr>
          <w:rFonts w:eastAsia="Palatino Linotype" w:cs="Palatino Linotype"/>
          <w:b/>
          <w:szCs w:val="24"/>
        </w:rPr>
        <w:t xml:space="preserve">  </w:t>
      </w:r>
    </w:p>
    <w:p w:rsidR="00D22D6C" w:rsidRPr="00983D10" w:rsidRDefault="00D22D6C" w:rsidP="00D22D6C">
      <w:pPr>
        <w:pBdr>
          <w:top w:val="nil"/>
          <w:left w:val="nil"/>
          <w:bottom w:val="nil"/>
          <w:right w:val="nil"/>
          <w:between w:val="nil"/>
        </w:pBdr>
        <w:tabs>
          <w:tab w:val="left" w:pos="567"/>
        </w:tabs>
        <w:ind w:right="49"/>
        <w:rPr>
          <w:rFonts w:eastAsia="Palatino Linotype" w:cs="Palatino Linotype"/>
          <w:b/>
          <w:sz w:val="28"/>
          <w:szCs w:val="28"/>
          <w:u w:val="single"/>
        </w:rPr>
      </w:pPr>
    </w:p>
    <w:p w:rsidR="00D22D6C" w:rsidRPr="00983D10" w:rsidRDefault="00D22D6C" w:rsidP="00D22D6C">
      <w:pPr>
        <w:pBdr>
          <w:top w:val="nil"/>
          <w:left w:val="nil"/>
          <w:bottom w:val="nil"/>
          <w:right w:val="nil"/>
          <w:between w:val="nil"/>
        </w:pBdr>
        <w:tabs>
          <w:tab w:val="left" w:pos="567"/>
        </w:tabs>
        <w:ind w:right="49"/>
        <w:rPr>
          <w:rFonts w:eastAsia="Palatino Linotype" w:cs="Palatino Linotype"/>
          <w:i/>
          <w:color w:val="000000"/>
          <w:szCs w:val="24"/>
        </w:rPr>
      </w:pPr>
      <w:r w:rsidRPr="00983D10">
        <w:rPr>
          <w:rFonts w:eastAsia="Palatino Linotype" w:cs="Palatino Linotype"/>
          <w:color w:val="000000"/>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D22D6C" w:rsidRPr="00983D10" w:rsidRDefault="00D22D6C" w:rsidP="00D22D6C">
      <w:pPr>
        <w:tabs>
          <w:tab w:val="left" w:pos="567"/>
        </w:tabs>
        <w:ind w:right="49"/>
        <w:rPr>
          <w:rFonts w:eastAsia="Palatino Linotype" w:cs="Palatino Linotype"/>
          <w:i/>
          <w:szCs w:val="24"/>
        </w:rPr>
      </w:pPr>
    </w:p>
    <w:p w:rsidR="00D22D6C" w:rsidRPr="00983D10" w:rsidRDefault="00D22D6C" w:rsidP="00D22D6C">
      <w:pPr>
        <w:pBdr>
          <w:top w:val="nil"/>
          <w:left w:val="nil"/>
          <w:bottom w:val="nil"/>
          <w:right w:val="nil"/>
          <w:between w:val="nil"/>
        </w:pBdr>
        <w:tabs>
          <w:tab w:val="left" w:pos="567"/>
        </w:tabs>
        <w:ind w:right="49"/>
        <w:rPr>
          <w:rFonts w:eastAsia="Palatino Linotype" w:cs="Palatino Linotype"/>
          <w:color w:val="000000"/>
          <w:szCs w:val="24"/>
        </w:rPr>
      </w:pPr>
      <w:r w:rsidRPr="00983D10">
        <w:rPr>
          <w:rFonts w:eastAsia="Palatino Linotype" w:cs="Palatino Linotype"/>
          <w:color w:val="000000"/>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D22D6C" w:rsidRPr="00983D10" w:rsidRDefault="00D22D6C" w:rsidP="00D22D6C">
      <w:pPr>
        <w:pBdr>
          <w:top w:val="nil"/>
          <w:left w:val="nil"/>
          <w:bottom w:val="nil"/>
          <w:right w:val="nil"/>
          <w:between w:val="nil"/>
        </w:pBdr>
        <w:tabs>
          <w:tab w:val="left" w:pos="567"/>
        </w:tabs>
        <w:ind w:right="49"/>
        <w:rPr>
          <w:rFonts w:eastAsia="Palatino Linotype" w:cs="Palatino Linotype"/>
          <w:color w:val="000000"/>
          <w:szCs w:val="24"/>
        </w:rPr>
      </w:pPr>
    </w:p>
    <w:p w:rsidR="00D22D6C" w:rsidRPr="00983D10" w:rsidRDefault="00D22D6C" w:rsidP="00D22D6C">
      <w:pPr>
        <w:pBdr>
          <w:top w:val="nil"/>
          <w:left w:val="nil"/>
          <w:bottom w:val="nil"/>
          <w:right w:val="nil"/>
          <w:between w:val="nil"/>
        </w:pBdr>
        <w:tabs>
          <w:tab w:val="left" w:pos="567"/>
        </w:tabs>
        <w:ind w:right="49"/>
        <w:rPr>
          <w:rFonts w:eastAsia="Palatino Linotype" w:cs="Palatino Linotype"/>
          <w:color w:val="000000"/>
          <w:szCs w:val="24"/>
        </w:rPr>
      </w:pPr>
      <w:r w:rsidRPr="00983D10">
        <w:rPr>
          <w:rFonts w:eastAsia="Palatino Linotype" w:cs="Palatino Linotype"/>
          <w:color w:val="000000"/>
          <w:szCs w:val="24"/>
        </w:rPr>
        <w:lastRenderedPageBreak/>
        <w:t xml:space="preserve">Ante ello, resulta aplicable el Criterio 18/17 emitido por el Instituto Nacional de Transparencia, Acceso a la Información y Protección de Datos Personales, que a la literalidad señala: </w:t>
      </w:r>
    </w:p>
    <w:p w:rsidR="00D22D6C" w:rsidRPr="00983D10" w:rsidRDefault="00D22D6C" w:rsidP="00D22D6C">
      <w:pPr>
        <w:pBdr>
          <w:top w:val="nil"/>
          <w:left w:val="nil"/>
          <w:bottom w:val="nil"/>
          <w:right w:val="nil"/>
          <w:between w:val="nil"/>
        </w:pBdr>
        <w:tabs>
          <w:tab w:val="left" w:pos="567"/>
        </w:tabs>
        <w:ind w:left="567" w:right="822"/>
        <w:rPr>
          <w:rFonts w:eastAsia="Palatino Linotype" w:cs="Palatino Linotype"/>
          <w:color w:val="000000"/>
          <w:sz w:val="22"/>
        </w:rPr>
      </w:pPr>
      <w:r w:rsidRPr="00983D10">
        <w:rPr>
          <w:rFonts w:eastAsia="Palatino Linotype" w:cs="Palatino Linotype"/>
          <w:i/>
          <w:color w:val="000000"/>
        </w:rPr>
        <w:t>“</w:t>
      </w:r>
      <w:r w:rsidRPr="00983D10">
        <w:rPr>
          <w:rFonts w:eastAsia="Palatino Linotype" w:cs="Palatino Linotype"/>
          <w:b/>
          <w:i/>
          <w:color w:val="000000"/>
          <w:sz w:val="22"/>
        </w:rPr>
        <w:t xml:space="preserve">Clave Única de Registro de Población (CURP). </w:t>
      </w:r>
      <w:r w:rsidRPr="00983D10">
        <w:rPr>
          <w:rFonts w:eastAsia="Palatino Linotype" w:cs="Palatino Linotype"/>
          <w:i/>
          <w:color w:val="000000"/>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rsidR="00D22D6C" w:rsidRPr="00983D10" w:rsidRDefault="00D22D6C" w:rsidP="00D22D6C">
      <w:pPr>
        <w:pBdr>
          <w:top w:val="nil"/>
          <w:left w:val="nil"/>
          <w:bottom w:val="nil"/>
          <w:right w:val="nil"/>
          <w:between w:val="nil"/>
        </w:pBdr>
        <w:tabs>
          <w:tab w:val="left" w:pos="567"/>
        </w:tabs>
        <w:rPr>
          <w:rFonts w:eastAsia="Palatino Linotype" w:cs="Palatino Linotype"/>
          <w:color w:val="000000"/>
        </w:rPr>
      </w:pPr>
    </w:p>
    <w:p w:rsidR="00D22D6C" w:rsidRPr="00983D10" w:rsidRDefault="00D22D6C" w:rsidP="00D22D6C">
      <w:pPr>
        <w:pStyle w:val="Ttulo3"/>
        <w:rPr>
          <w:rFonts w:eastAsia="Palatino Linotype" w:cs="Palatino Linotype"/>
          <w:b/>
          <w:color w:val="000000"/>
        </w:rPr>
      </w:pPr>
      <w:bookmarkStart w:id="1" w:name="_heading=h.3rdcrjn" w:colFirst="0" w:colLast="0"/>
      <w:bookmarkEnd w:id="1"/>
      <w:r w:rsidRPr="00983D10">
        <w:rPr>
          <w:rFonts w:eastAsia="Palatino Linotype" w:cs="Palatino Linotype"/>
          <w:b/>
          <w:color w:val="000000"/>
        </w:rPr>
        <w:t xml:space="preserve">II. Clave </w:t>
      </w:r>
      <w:proofErr w:type="spellStart"/>
      <w:r w:rsidRPr="00983D10">
        <w:rPr>
          <w:rFonts w:eastAsia="Palatino Linotype" w:cs="Palatino Linotype"/>
          <w:b/>
          <w:color w:val="000000"/>
        </w:rPr>
        <w:t>ISSEMyM</w:t>
      </w:r>
      <w:proofErr w:type="spellEnd"/>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D22D6C" w:rsidRPr="00983D10" w:rsidRDefault="00D22D6C" w:rsidP="00D22D6C">
      <w:pPr>
        <w:pBdr>
          <w:top w:val="nil"/>
          <w:left w:val="nil"/>
          <w:bottom w:val="nil"/>
          <w:right w:val="nil"/>
          <w:between w:val="nil"/>
        </w:pBdr>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w:t>
      </w:r>
      <w:r w:rsidRPr="00983D10">
        <w:rPr>
          <w:rFonts w:eastAsia="Palatino Linotype" w:cs="Palatino Linotype"/>
          <w:color w:val="000000"/>
          <w:szCs w:val="24"/>
        </w:rPr>
        <w:lastRenderedPageBreak/>
        <w:t>personales y se le asigna una clave para hacer identificable al trabajador con el objetivo de poder proporcionar los servicios que brinda el Instituto de Seguridad Social del Estado de México y Municipios.</w:t>
      </w:r>
    </w:p>
    <w:p w:rsidR="00D22D6C" w:rsidRPr="00983D10" w:rsidRDefault="00D22D6C" w:rsidP="00D22D6C">
      <w:pPr>
        <w:pBdr>
          <w:top w:val="nil"/>
          <w:left w:val="nil"/>
          <w:bottom w:val="nil"/>
          <w:right w:val="nil"/>
          <w:between w:val="nil"/>
        </w:pBdr>
        <w:ind w:left="720"/>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D22D6C" w:rsidRPr="00983D10" w:rsidRDefault="00D22D6C" w:rsidP="00D22D6C">
      <w:pPr>
        <w:pBdr>
          <w:top w:val="nil"/>
          <w:left w:val="nil"/>
          <w:bottom w:val="nil"/>
          <w:right w:val="nil"/>
          <w:between w:val="nil"/>
        </w:pBdr>
        <w:ind w:left="720"/>
        <w:rPr>
          <w:rFonts w:eastAsia="Palatino Linotype" w:cs="Palatino Linotype"/>
          <w:color w:val="000000"/>
          <w:szCs w:val="24"/>
        </w:rPr>
      </w:pPr>
    </w:p>
    <w:p w:rsidR="00D22D6C" w:rsidRPr="00983D10" w:rsidRDefault="00D22D6C" w:rsidP="00D22D6C">
      <w:pPr>
        <w:pStyle w:val="Ttulo3"/>
        <w:rPr>
          <w:rFonts w:eastAsia="Palatino Linotype" w:cs="Palatino Linotype"/>
          <w:b/>
          <w:color w:val="000000"/>
        </w:rPr>
      </w:pPr>
      <w:bookmarkStart w:id="2" w:name="_heading=h.26in1rg" w:colFirst="0" w:colLast="0"/>
      <w:bookmarkEnd w:id="2"/>
      <w:r w:rsidRPr="00983D10">
        <w:rPr>
          <w:rFonts w:eastAsia="Palatino Linotype" w:cs="Palatino Linotype"/>
          <w:b/>
          <w:color w:val="000000"/>
        </w:rPr>
        <w:t>III. NÚMERO DE EMPLEADO.</w:t>
      </w: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D22D6C" w:rsidRPr="00983D10" w:rsidRDefault="00D22D6C" w:rsidP="00D22D6C">
      <w:pPr>
        <w:pBdr>
          <w:top w:val="nil"/>
          <w:left w:val="nil"/>
          <w:bottom w:val="nil"/>
          <w:right w:val="nil"/>
          <w:between w:val="nil"/>
        </w:pBdr>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color w:val="000000"/>
        </w:rPr>
      </w:pPr>
      <w:r w:rsidRPr="00983D10">
        <w:rPr>
          <w:rFonts w:eastAsia="Palatino Linotype" w:cs="Palatino Linotype"/>
          <w:color w:val="000000"/>
          <w:szCs w:val="24"/>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r w:rsidRPr="00983D10">
        <w:rPr>
          <w:rFonts w:eastAsia="Palatino Linotype" w:cs="Palatino Linotype"/>
          <w:color w:val="000000"/>
        </w:rPr>
        <w:t xml:space="preserve">); </w:t>
      </w:r>
    </w:p>
    <w:p w:rsidR="00D22D6C" w:rsidRPr="00983D10" w:rsidRDefault="00D22D6C" w:rsidP="00D22D6C">
      <w:pPr>
        <w:pBdr>
          <w:top w:val="nil"/>
          <w:left w:val="nil"/>
          <w:bottom w:val="nil"/>
          <w:right w:val="nil"/>
          <w:between w:val="nil"/>
        </w:pBdr>
        <w:ind w:left="567" w:right="822"/>
        <w:rPr>
          <w:rFonts w:eastAsia="Palatino Linotype" w:cs="Palatino Linotype"/>
          <w:i/>
          <w:color w:val="000000"/>
          <w:sz w:val="22"/>
        </w:rPr>
      </w:pPr>
      <w:r w:rsidRPr="00983D10">
        <w:rPr>
          <w:rFonts w:eastAsia="Palatino Linotype" w:cs="Palatino Linotype"/>
          <w:b/>
          <w:i/>
          <w:color w:val="000000"/>
          <w:sz w:val="22"/>
        </w:rPr>
        <w:lastRenderedPageBreak/>
        <w:t>Número de empleado.</w:t>
      </w:r>
      <w:r w:rsidRPr="00983D10">
        <w:rPr>
          <w:rFonts w:eastAsia="Palatino Linotype" w:cs="Palatino Linotype"/>
          <w:i/>
          <w:color w:val="000000"/>
          <w:sz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D22D6C" w:rsidRPr="00983D10" w:rsidRDefault="00D22D6C" w:rsidP="00D22D6C">
      <w:pPr>
        <w:pBdr>
          <w:top w:val="nil"/>
          <w:left w:val="nil"/>
          <w:bottom w:val="nil"/>
          <w:right w:val="nil"/>
          <w:between w:val="nil"/>
        </w:pBdr>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color w:val="000000"/>
        </w:rPr>
      </w:pPr>
      <w:r w:rsidRPr="00983D10">
        <w:rPr>
          <w:rFonts w:eastAsia="Palatino Linotype" w:cs="Palatino Linotype"/>
          <w:color w:val="000000"/>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rsidR="00D22D6C" w:rsidRPr="00983D10" w:rsidRDefault="00D22D6C" w:rsidP="00D22D6C">
      <w:pPr>
        <w:pBdr>
          <w:top w:val="nil"/>
          <w:left w:val="nil"/>
          <w:bottom w:val="nil"/>
          <w:right w:val="nil"/>
          <w:between w:val="nil"/>
        </w:pBdr>
        <w:rPr>
          <w:rFonts w:eastAsia="Palatino Linotype" w:cs="Palatino Linotype"/>
          <w:color w:val="000000"/>
        </w:rPr>
      </w:pPr>
    </w:p>
    <w:p w:rsidR="00D22D6C" w:rsidRPr="00983D10" w:rsidRDefault="00D22D6C" w:rsidP="00D22D6C">
      <w:pPr>
        <w:pStyle w:val="Ttulo3"/>
        <w:rPr>
          <w:rFonts w:eastAsia="Palatino Linotype" w:cs="Palatino Linotype"/>
          <w:b/>
        </w:rPr>
      </w:pPr>
      <w:bookmarkStart w:id="3" w:name="_heading=h.lnxbz9" w:colFirst="0" w:colLast="0"/>
      <w:bookmarkEnd w:id="3"/>
      <w:r w:rsidRPr="00983D10">
        <w:rPr>
          <w:rFonts w:eastAsia="Palatino Linotype" w:cs="Palatino Linotype"/>
          <w:b/>
          <w:color w:val="000000"/>
        </w:rPr>
        <w:t>IV. Registro Federal de Contribuyentes (RFC)</w:t>
      </w: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D22D6C" w:rsidRPr="00983D10" w:rsidRDefault="00D22D6C" w:rsidP="00D22D6C">
      <w:pPr>
        <w:pBdr>
          <w:top w:val="nil"/>
          <w:left w:val="nil"/>
          <w:bottom w:val="nil"/>
          <w:right w:val="nil"/>
          <w:between w:val="nil"/>
        </w:pBdr>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 xml:space="preserve">De acuerdo a lo establecido en el artículo en comento, esta clave se compone de trece caracteres alfanuméricos, con datos obtenidos de los apellidos, nombre (s), fecha de nacimiento del titular, más una </w:t>
      </w:r>
      <w:proofErr w:type="spellStart"/>
      <w:r w:rsidRPr="00983D10">
        <w:rPr>
          <w:rFonts w:eastAsia="Palatino Linotype" w:cs="Palatino Linotype"/>
          <w:color w:val="000000"/>
          <w:szCs w:val="24"/>
        </w:rPr>
        <w:t>homoclave</w:t>
      </w:r>
      <w:proofErr w:type="spellEnd"/>
      <w:r w:rsidRPr="00983D10">
        <w:rPr>
          <w:rFonts w:eastAsia="Palatino Linotype" w:cs="Palatino Linotype"/>
          <w:color w:val="000000"/>
          <w:szCs w:val="24"/>
        </w:rPr>
        <w:t xml:space="preserve"> que establece el sistema automático del Servicio de Administración Tributaria.</w:t>
      </w:r>
    </w:p>
    <w:p w:rsidR="00D22D6C" w:rsidRPr="00983D10" w:rsidRDefault="00D22D6C" w:rsidP="00D22D6C">
      <w:pPr>
        <w:pBdr>
          <w:top w:val="nil"/>
          <w:left w:val="nil"/>
          <w:bottom w:val="nil"/>
          <w:right w:val="nil"/>
          <w:between w:val="nil"/>
        </w:pBdr>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 xml:space="preserve">Ahora bien, la clave del Registro Federal de Contribuyentes, es el medio de control que tiene la Secretaría de Hacienda y Crédito Público (SHCP) a través del Servicio de Administración Tributaria (SAT), para exigir y vigilar el cumplimiento de las </w:t>
      </w:r>
      <w:r w:rsidRPr="00983D10">
        <w:rPr>
          <w:rFonts w:eastAsia="Palatino Linotype" w:cs="Palatino Linotype"/>
          <w:color w:val="000000"/>
          <w:szCs w:val="24"/>
        </w:rPr>
        <w:lastRenderedPageBreak/>
        <w:t>obligaciones fiscales de los contribuyentes; mientras que los particulares tramitan dicho dato, con el único propósito de realizar mediante esa clave de identificación, operaciones o actividades de naturaleza fiscal.</w:t>
      </w:r>
    </w:p>
    <w:p w:rsidR="00D22D6C" w:rsidRPr="00983D10" w:rsidRDefault="00D22D6C" w:rsidP="00D22D6C">
      <w:pPr>
        <w:pBdr>
          <w:top w:val="nil"/>
          <w:left w:val="nil"/>
          <w:bottom w:val="nil"/>
          <w:right w:val="nil"/>
          <w:between w:val="nil"/>
        </w:pBdr>
        <w:ind w:left="720"/>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983D10">
        <w:rPr>
          <w:rFonts w:eastAsia="Palatino Linotype" w:cs="Palatino Linotype"/>
          <w:color w:val="000000"/>
          <w:szCs w:val="24"/>
        </w:rPr>
        <w:t>involucradas</w:t>
      </w:r>
      <w:proofErr w:type="gramEnd"/>
      <w:r w:rsidRPr="00983D10">
        <w:rPr>
          <w:rFonts w:eastAsia="Palatino Linotype" w:cs="Palatino Linotype"/>
          <w:color w:val="000000"/>
          <w:szCs w:val="24"/>
        </w:rPr>
        <w:t>, en el pago de estos.</w:t>
      </w:r>
    </w:p>
    <w:p w:rsidR="00D22D6C" w:rsidRPr="00983D10" w:rsidRDefault="00D22D6C" w:rsidP="00D22D6C">
      <w:pPr>
        <w:pBdr>
          <w:top w:val="nil"/>
          <w:left w:val="nil"/>
          <w:bottom w:val="nil"/>
          <w:right w:val="nil"/>
          <w:between w:val="nil"/>
        </w:pBdr>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Lo anterior, resulta congruente con el Criterio 19/17 emitido por el Instituto Nacional de Transparencia, Acceso a la Información y Protección de Datos Personales, en el cual se señala lo siguiente:</w:t>
      </w:r>
    </w:p>
    <w:p w:rsidR="00D22D6C" w:rsidRPr="00983D10" w:rsidRDefault="00D22D6C" w:rsidP="00D22D6C">
      <w:pPr>
        <w:ind w:left="567"/>
        <w:rPr>
          <w:rFonts w:eastAsia="Palatino Linotype" w:cs="Palatino Linotype"/>
          <w:b/>
          <w:i/>
          <w:sz w:val="22"/>
        </w:rPr>
      </w:pPr>
      <w:r w:rsidRPr="00983D10">
        <w:rPr>
          <w:rFonts w:eastAsia="Palatino Linotype" w:cs="Palatino Linotype"/>
          <w:b/>
          <w:i/>
          <w:sz w:val="22"/>
        </w:rPr>
        <w:t xml:space="preserve">Registro Federal de Contribuyentes (RFC) de personas físicas. </w:t>
      </w:r>
    </w:p>
    <w:p w:rsidR="00D22D6C" w:rsidRPr="00983D10" w:rsidRDefault="00D22D6C" w:rsidP="00D22D6C">
      <w:pPr>
        <w:pBdr>
          <w:top w:val="nil"/>
          <w:left w:val="nil"/>
          <w:bottom w:val="nil"/>
          <w:right w:val="nil"/>
          <w:between w:val="nil"/>
        </w:pBdr>
        <w:ind w:left="567" w:right="567"/>
        <w:rPr>
          <w:rFonts w:eastAsia="Palatino Linotype" w:cs="Palatino Linotype"/>
          <w:i/>
          <w:color w:val="000000"/>
          <w:sz w:val="22"/>
        </w:rPr>
      </w:pPr>
      <w:r w:rsidRPr="00983D10">
        <w:rPr>
          <w:rFonts w:eastAsia="Palatino Linotype" w:cs="Palatino Linotype"/>
          <w:i/>
          <w:color w:val="000000"/>
          <w:sz w:val="22"/>
        </w:rPr>
        <w:t xml:space="preserve">El RFC es una clave de carácter fiscal, </w:t>
      </w:r>
      <w:proofErr w:type="gramStart"/>
      <w:r w:rsidRPr="00983D10">
        <w:rPr>
          <w:rFonts w:eastAsia="Palatino Linotype" w:cs="Palatino Linotype"/>
          <w:i/>
          <w:color w:val="000000"/>
          <w:sz w:val="22"/>
        </w:rPr>
        <w:t>única</w:t>
      </w:r>
      <w:proofErr w:type="gramEnd"/>
      <w:r w:rsidRPr="00983D10">
        <w:rPr>
          <w:rFonts w:eastAsia="Palatino Linotype" w:cs="Palatino Linotype"/>
          <w:i/>
          <w:color w:val="000000"/>
          <w:sz w:val="22"/>
        </w:rPr>
        <w:t xml:space="preserve"> e irrepetible, que permite identificar al titular, su edad y fecha de nacimiento, por lo que es un dato personal de carácter confidencial.</w:t>
      </w:r>
    </w:p>
    <w:p w:rsidR="00D22D6C" w:rsidRPr="00983D10" w:rsidRDefault="00D22D6C" w:rsidP="00D22D6C">
      <w:pPr>
        <w:pBdr>
          <w:top w:val="nil"/>
          <w:left w:val="nil"/>
          <w:bottom w:val="nil"/>
          <w:right w:val="nil"/>
          <w:between w:val="nil"/>
        </w:pBdr>
        <w:ind w:left="567" w:right="567"/>
        <w:rPr>
          <w:rFonts w:eastAsia="Palatino Linotype" w:cs="Palatino Linotype"/>
          <w:color w:val="000000"/>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b/>
          <w:color w:val="000000"/>
          <w:szCs w:val="24"/>
        </w:rPr>
        <w:t>De tal suerte, el Registro Federal de Contribuyentes de las personas físicas no guarda relación con la transparencia de los recursos públicos</w:t>
      </w:r>
      <w:r w:rsidRPr="00983D10">
        <w:rPr>
          <w:rFonts w:eastAsia="Palatino Linotype" w:cs="Palatino Linotype"/>
          <w:color w:val="000000"/>
          <w:szCs w:val="24"/>
        </w:rPr>
        <w:t>, así como tampoco con el desempeño laboral que pueda tener una persona.</w:t>
      </w:r>
    </w:p>
    <w:p w:rsidR="00D22D6C" w:rsidRPr="00983D10" w:rsidRDefault="00D22D6C" w:rsidP="00D22D6C">
      <w:pPr>
        <w:pBdr>
          <w:top w:val="nil"/>
          <w:left w:val="nil"/>
          <w:bottom w:val="nil"/>
          <w:right w:val="nil"/>
          <w:between w:val="nil"/>
        </w:pBdr>
        <w:rPr>
          <w:rFonts w:eastAsia="Palatino Linotype" w:cs="Palatino Linotype"/>
          <w:color w:val="000000"/>
          <w:szCs w:val="24"/>
        </w:rPr>
      </w:pPr>
    </w:p>
    <w:p w:rsidR="00D22D6C" w:rsidRPr="00983D10" w:rsidRDefault="00D22D6C" w:rsidP="00D22D6C">
      <w:pPr>
        <w:pStyle w:val="Ttulo3"/>
        <w:rPr>
          <w:rFonts w:eastAsia="Palatino Linotype" w:cs="Palatino Linotype"/>
          <w:b/>
          <w:color w:val="000000"/>
        </w:rPr>
      </w:pPr>
      <w:bookmarkStart w:id="4" w:name="_heading=h.35nkun2" w:colFirst="0" w:colLast="0"/>
      <w:bookmarkEnd w:id="4"/>
      <w:r w:rsidRPr="00983D10">
        <w:rPr>
          <w:rFonts w:eastAsia="Palatino Linotype" w:cs="Palatino Linotype"/>
          <w:b/>
          <w:color w:val="000000"/>
        </w:rPr>
        <w:lastRenderedPageBreak/>
        <w:t>V. Deducciones personales</w:t>
      </w: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 xml:space="preserve">Es necesario precisar que existen deducciones que se generan con motivo de una decisión libre y voluntaria de los servidores públicos, como son: créditos personales, </w:t>
      </w:r>
      <w:r w:rsidRPr="00983D10">
        <w:rPr>
          <w:rFonts w:eastAsia="Palatino Linotype" w:cs="Palatino Linotype"/>
          <w:b/>
          <w:color w:val="000000"/>
          <w:szCs w:val="24"/>
          <w:u w:val="single"/>
        </w:rPr>
        <w:t>cuotas sindicales y fondo de resistencia del Sindicato Único de Trabajadores de los Poderes, Municipios e Institución Descentralizadas del Estado de México</w:t>
      </w:r>
      <w:r w:rsidRPr="00983D10">
        <w:rPr>
          <w:rFonts w:eastAsia="Palatino Linotype" w:cs="Palatino Linotype"/>
          <w:color w:val="000000"/>
          <w:szCs w:val="24"/>
        </w:rPr>
        <w:t>, seguro de vida, accidentes y enfermedades.</w:t>
      </w:r>
    </w:p>
    <w:p w:rsidR="00D22D6C" w:rsidRPr="00983D10" w:rsidRDefault="00D22D6C" w:rsidP="00D22D6C">
      <w:pPr>
        <w:pBdr>
          <w:top w:val="nil"/>
          <w:left w:val="nil"/>
          <w:bottom w:val="nil"/>
          <w:right w:val="nil"/>
          <w:between w:val="nil"/>
        </w:pBdr>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 xml:space="preserve">Asimismo, hay otras que se generan con motivo de una sentencia judicial, como es la pensión alimenticia que periódicamente se retira de la cuenta de un empleado, a efecto de que sea entregado a un tercero.  </w:t>
      </w:r>
    </w:p>
    <w:p w:rsidR="00D22D6C" w:rsidRPr="00983D10" w:rsidRDefault="00D22D6C" w:rsidP="00D22D6C">
      <w:pPr>
        <w:pBdr>
          <w:top w:val="nil"/>
          <w:left w:val="nil"/>
          <w:bottom w:val="nil"/>
          <w:right w:val="nil"/>
          <w:between w:val="nil"/>
        </w:pBdr>
        <w:ind w:left="720"/>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D22D6C" w:rsidRPr="00983D10" w:rsidRDefault="00D22D6C" w:rsidP="00D22D6C">
      <w:pPr>
        <w:pBdr>
          <w:top w:val="nil"/>
          <w:left w:val="nil"/>
          <w:bottom w:val="nil"/>
          <w:right w:val="nil"/>
          <w:between w:val="nil"/>
        </w:pBdr>
        <w:ind w:left="720"/>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Así, dichas deducciones reflejan el destino que un servidor público da a su patrimonio, lo que se aleja de la transparencia y rendición de cuentas.</w:t>
      </w:r>
    </w:p>
    <w:p w:rsidR="00D22D6C" w:rsidRPr="00983D10" w:rsidRDefault="00D22D6C" w:rsidP="00D22D6C">
      <w:pPr>
        <w:pBdr>
          <w:top w:val="nil"/>
          <w:left w:val="nil"/>
          <w:bottom w:val="nil"/>
          <w:right w:val="nil"/>
          <w:between w:val="nil"/>
        </w:pBdr>
        <w:rPr>
          <w:rFonts w:eastAsia="Palatino Linotype" w:cs="Palatino Linotype"/>
          <w:color w:val="000000"/>
          <w:szCs w:val="24"/>
        </w:rPr>
      </w:pPr>
      <w:bookmarkStart w:id="5" w:name="_heading=h.1ksv4uv" w:colFirst="0" w:colLast="0"/>
      <w:bookmarkEnd w:id="5"/>
      <w:r w:rsidRPr="00983D10">
        <w:rPr>
          <w:rFonts w:eastAsia="Palatino Linotype" w:cs="Palatino Linotype"/>
          <w:color w:val="000000"/>
          <w:szCs w:val="24"/>
        </w:rPr>
        <w:t>Hasta este punto, se considera que la información relacionada con los siguientes puntos actualiza una causal de confidencialidad, toda vez que identifica o hace identificable a su titular.</w:t>
      </w:r>
    </w:p>
    <w:p w:rsidR="00D22D6C" w:rsidRPr="00983D10" w:rsidRDefault="00D22D6C" w:rsidP="00D22D6C">
      <w:pPr>
        <w:numPr>
          <w:ilvl w:val="0"/>
          <w:numId w:val="5"/>
        </w:numPr>
        <w:pBdr>
          <w:top w:val="nil"/>
          <w:left w:val="nil"/>
          <w:bottom w:val="nil"/>
          <w:right w:val="nil"/>
          <w:between w:val="nil"/>
        </w:pBdr>
        <w:rPr>
          <w:rFonts w:eastAsia="Palatino Linotype" w:cs="Palatino Linotype"/>
          <w:color w:val="000000"/>
        </w:rPr>
      </w:pPr>
      <w:r w:rsidRPr="00983D10">
        <w:rPr>
          <w:rFonts w:eastAsia="Palatino Linotype" w:cs="Palatino Linotype"/>
          <w:color w:val="000000"/>
        </w:rPr>
        <w:t>Clave Única de Registro de Población (CURP)</w:t>
      </w:r>
    </w:p>
    <w:p w:rsidR="00D22D6C" w:rsidRPr="00983D10" w:rsidRDefault="00D22D6C" w:rsidP="00D22D6C">
      <w:pPr>
        <w:numPr>
          <w:ilvl w:val="0"/>
          <w:numId w:val="5"/>
        </w:numPr>
        <w:pBdr>
          <w:top w:val="nil"/>
          <w:left w:val="nil"/>
          <w:bottom w:val="nil"/>
          <w:right w:val="nil"/>
          <w:between w:val="nil"/>
        </w:pBdr>
        <w:rPr>
          <w:rFonts w:eastAsia="Palatino Linotype" w:cs="Palatino Linotype"/>
          <w:color w:val="000000"/>
        </w:rPr>
      </w:pPr>
      <w:r w:rsidRPr="00983D10">
        <w:rPr>
          <w:rFonts w:eastAsia="Palatino Linotype" w:cs="Palatino Linotype"/>
          <w:color w:val="000000"/>
        </w:rPr>
        <w:lastRenderedPageBreak/>
        <w:t xml:space="preserve">Clave </w:t>
      </w:r>
      <w:proofErr w:type="spellStart"/>
      <w:r w:rsidRPr="00983D10">
        <w:rPr>
          <w:rFonts w:eastAsia="Palatino Linotype" w:cs="Palatino Linotype"/>
          <w:color w:val="000000"/>
        </w:rPr>
        <w:t>ISSEMyM</w:t>
      </w:r>
      <w:proofErr w:type="spellEnd"/>
    </w:p>
    <w:p w:rsidR="00D22D6C" w:rsidRPr="00983D10" w:rsidRDefault="00D22D6C" w:rsidP="00D22D6C">
      <w:pPr>
        <w:numPr>
          <w:ilvl w:val="0"/>
          <w:numId w:val="5"/>
        </w:numPr>
        <w:pBdr>
          <w:top w:val="nil"/>
          <w:left w:val="nil"/>
          <w:bottom w:val="nil"/>
          <w:right w:val="nil"/>
          <w:between w:val="nil"/>
        </w:pBdr>
        <w:rPr>
          <w:rFonts w:eastAsia="Palatino Linotype" w:cs="Palatino Linotype"/>
          <w:color w:val="000000"/>
        </w:rPr>
      </w:pPr>
      <w:r w:rsidRPr="00983D10">
        <w:rPr>
          <w:rFonts w:eastAsia="Palatino Linotype" w:cs="Palatino Linotype"/>
          <w:color w:val="000000"/>
        </w:rPr>
        <w:t>Registro Federal de Contribuyentes (RFC)</w:t>
      </w:r>
    </w:p>
    <w:p w:rsidR="00D22D6C" w:rsidRPr="00983D10" w:rsidRDefault="00D22D6C" w:rsidP="00D22D6C">
      <w:pPr>
        <w:numPr>
          <w:ilvl w:val="0"/>
          <w:numId w:val="5"/>
        </w:numPr>
        <w:pBdr>
          <w:top w:val="nil"/>
          <w:left w:val="nil"/>
          <w:bottom w:val="nil"/>
          <w:right w:val="nil"/>
          <w:between w:val="nil"/>
        </w:pBdr>
        <w:rPr>
          <w:rFonts w:eastAsia="Palatino Linotype" w:cs="Palatino Linotype"/>
          <w:color w:val="000000"/>
        </w:rPr>
      </w:pPr>
      <w:r w:rsidRPr="00983D10">
        <w:rPr>
          <w:rFonts w:eastAsia="Palatino Linotype" w:cs="Palatino Linotype"/>
          <w:color w:val="000000"/>
        </w:rPr>
        <w:t xml:space="preserve">Deducciones personales </w:t>
      </w:r>
    </w:p>
    <w:p w:rsidR="00D22D6C" w:rsidRPr="00983D10" w:rsidRDefault="00D22D6C" w:rsidP="00D22D6C">
      <w:pPr>
        <w:numPr>
          <w:ilvl w:val="0"/>
          <w:numId w:val="5"/>
        </w:numPr>
        <w:pBdr>
          <w:top w:val="nil"/>
          <w:left w:val="nil"/>
          <w:bottom w:val="nil"/>
          <w:right w:val="nil"/>
          <w:between w:val="nil"/>
        </w:pBdr>
        <w:rPr>
          <w:rFonts w:eastAsia="Palatino Linotype" w:cs="Palatino Linotype"/>
          <w:color w:val="000000"/>
        </w:rPr>
      </w:pPr>
      <w:r w:rsidRPr="00983D10">
        <w:rPr>
          <w:rFonts w:eastAsia="Palatino Linotype" w:cs="Palatino Linotype"/>
          <w:color w:val="000000"/>
        </w:rPr>
        <w:t xml:space="preserve">Número de empleado </w:t>
      </w:r>
      <w:r w:rsidRPr="00983D10">
        <w:rPr>
          <w:rFonts w:eastAsia="Palatino Linotype" w:cs="Palatino Linotype"/>
          <w:b/>
          <w:color w:val="000000"/>
        </w:rPr>
        <w:t>(sólo en el caso de que contenga datos personales o se relacione con los mismos, de lo contrario es información pública)</w:t>
      </w:r>
    </w:p>
    <w:p w:rsidR="00D22D6C" w:rsidRPr="00983D10" w:rsidRDefault="00D22D6C" w:rsidP="00D22D6C">
      <w:pPr>
        <w:pBdr>
          <w:top w:val="nil"/>
          <w:left w:val="nil"/>
          <w:bottom w:val="nil"/>
          <w:right w:val="nil"/>
          <w:between w:val="nil"/>
        </w:pBdr>
        <w:rPr>
          <w:rFonts w:eastAsia="Palatino Linotype" w:cs="Palatino Linotype"/>
          <w:color w:val="000000"/>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Es decir, los datos personales enlistados constituyen datos personales confidenciales al actualizar el supuesto normativo del artículo 143, fracción I de la Ley de Transparencia y Acceso a la Información Pública del Estado de México y Municipios.</w:t>
      </w:r>
    </w:p>
    <w:p w:rsidR="00D22D6C" w:rsidRPr="00983D10" w:rsidRDefault="00D22D6C" w:rsidP="00D22D6C">
      <w:pPr>
        <w:pBdr>
          <w:top w:val="nil"/>
          <w:left w:val="nil"/>
          <w:bottom w:val="nil"/>
          <w:right w:val="nil"/>
          <w:between w:val="nil"/>
        </w:pBdr>
        <w:rPr>
          <w:rFonts w:eastAsia="Palatino Linotype" w:cs="Palatino Linotype"/>
          <w:color w:val="000000"/>
        </w:rPr>
      </w:pPr>
    </w:p>
    <w:p w:rsidR="00D22D6C" w:rsidRPr="00983D10" w:rsidRDefault="00D22D6C" w:rsidP="00D22D6C">
      <w:pPr>
        <w:pBdr>
          <w:top w:val="nil"/>
          <w:left w:val="nil"/>
          <w:bottom w:val="nil"/>
          <w:right w:val="nil"/>
          <w:between w:val="nil"/>
        </w:pBdr>
        <w:rPr>
          <w:rFonts w:eastAsia="Palatino Linotype" w:cs="Palatino Linotype"/>
          <w:color w:val="000000"/>
          <w:szCs w:val="24"/>
        </w:rPr>
      </w:pPr>
      <w:r w:rsidRPr="00983D10">
        <w:rPr>
          <w:rFonts w:eastAsia="Palatino Linotype" w:cs="Palatino Linotype"/>
          <w:color w:val="000000"/>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D22D6C" w:rsidRPr="00983D10" w:rsidRDefault="00D22D6C" w:rsidP="00D22D6C">
      <w:pPr>
        <w:pBdr>
          <w:top w:val="nil"/>
          <w:left w:val="nil"/>
          <w:bottom w:val="nil"/>
          <w:right w:val="nil"/>
          <w:between w:val="nil"/>
        </w:pBdr>
        <w:rPr>
          <w:rFonts w:eastAsia="Palatino Linotype" w:cs="Palatino Linotype"/>
          <w:color w:val="000000"/>
          <w:szCs w:val="24"/>
        </w:rPr>
      </w:pPr>
    </w:p>
    <w:p w:rsidR="00D22D6C" w:rsidRPr="00983D10" w:rsidRDefault="00D22D6C" w:rsidP="00D22D6C">
      <w:pPr>
        <w:pBdr>
          <w:top w:val="nil"/>
          <w:left w:val="nil"/>
          <w:bottom w:val="nil"/>
          <w:right w:val="nil"/>
          <w:between w:val="nil"/>
        </w:pBdr>
        <w:rPr>
          <w:rFonts w:eastAsia="Palatino Linotype" w:cs="Palatino Linotype"/>
          <w:szCs w:val="24"/>
        </w:rPr>
      </w:pPr>
      <w:r w:rsidRPr="00983D10">
        <w:rPr>
          <w:rFonts w:eastAsia="Palatino Linotype" w:cs="Palatino Linotype"/>
          <w:szCs w:val="24"/>
        </w:rPr>
        <w:t xml:space="preserve">Por otro lado, derivado que pudiera existir información de la </w:t>
      </w:r>
      <w:r w:rsidRPr="00983D10">
        <w:rPr>
          <w:rFonts w:eastAsia="Palatino Linotype" w:cs="Palatino Linotype"/>
          <w:b/>
          <w:szCs w:val="24"/>
        </w:rPr>
        <w:t>Dirección de Seguridad Pública del Ayuntamiento o su equivalente,</w:t>
      </w:r>
      <w:r w:rsidRPr="00983D10">
        <w:rPr>
          <w:rFonts w:eastAsia="Palatino Linotype" w:cs="Palatino Linotype"/>
          <w:szCs w:val="24"/>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983D10">
        <w:rPr>
          <w:rFonts w:eastAsia="Palatino Linotype" w:cs="Palatino Linotype"/>
          <w:b/>
          <w:szCs w:val="24"/>
        </w:rPr>
        <w:t>sólo por cuanto hace al nombre</w:t>
      </w:r>
      <w:r w:rsidRPr="00983D10">
        <w:rPr>
          <w:rFonts w:eastAsia="Palatino Linotype" w:cs="Palatino Linotype"/>
          <w:szCs w:val="24"/>
        </w:rPr>
        <w:t xml:space="preserve"> </w:t>
      </w:r>
      <w:r w:rsidRPr="00983D10">
        <w:rPr>
          <w:rFonts w:eastAsia="Palatino Linotype" w:cs="Palatino Linotype"/>
          <w:b/>
          <w:szCs w:val="24"/>
        </w:rPr>
        <w:t>dejando intocable el rubro del cargo</w:t>
      </w:r>
      <w:r w:rsidRPr="00983D10">
        <w:rPr>
          <w:rFonts w:eastAsia="Palatino Linotype" w:cs="Palatino Linotype"/>
          <w:szCs w:val="24"/>
        </w:rPr>
        <w:t xml:space="preserve">; circunstancia que en nada afecta al derecho tutelado por este Organismo Garante sino por el contrario también reafirma su </w:t>
      </w:r>
      <w:r w:rsidRPr="00983D10">
        <w:rPr>
          <w:rFonts w:eastAsia="Palatino Linotype" w:cs="Palatino Linotype"/>
          <w:szCs w:val="24"/>
        </w:rPr>
        <w:lastRenderedPageBreak/>
        <w:t xml:space="preserve">compromiso con la rendición de cuentas del Estado y la protección a grupos vulnerables de acuerdo al cargo de seguridad Municipal, por lo que deberá testarse de igual manera sólo el nombre de los servidores públicos de la Policía Municipal </w:t>
      </w:r>
      <w:r w:rsidRPr="00983D10">
        <w:rPr>
          <w:rFonts w:eastAsia="Palatino Linotype" w:cs="Palatino Linotype"/>
          <w:b/>
          <w:szCs w:val="24"/>
        </w:rPr>
        <w:t>que desempeñen funciones operativas</w:t>
      </w:r>
      <w:r w:rsidRPr="00983D10">
        <w:rPr>
          <w:rFonts w:eastAsia="Palatino Linotype" w:cs="Palatino Linotype"/>
          <w:szCs w:val="24"/>
        </w:rPr>
        <w:t>.</w:t>
      </w:r>
    </w:p>
    <w:p w:rsidR="00D22D6C" w:rsidRPr="00983D10" w:rsidRDefault="00D22D6C" w:rsidP="00D22D6C">
      <w:pPr>
        <w:pBdr>
          <w:top w:val="nil"/>
          <w:left w:val="nil"/>
          <w:bottom w:val="nil"/>
          <w:right w:val="nil"/>
          <w:between w:val="nil"/>
        </w:pBdr>
        <w:rPr>
          <w:rFonts w:eastAsia="Palatino Linotype" w:cs="Palatino Linotype"/>
        </w:rPr>
      </w:pPr>
    </w:p>
    <w:p w:rsidR="00D22D6C" w:rsidRPr="00983D10" w:rsidRDefault="00D22D6C" w:rsidP="00D22D6C">
      <w:pPr>
        <w:rPr>
          <w:rFonts w:eastAsia="Palatino Linotype" w:cs="Palatino Linotype"/>
          <w:szCs w:val="24"/>
        </w:rPr>
      </w:pPr>
      <w:r w:rsidRPr="00983D10">
        <w:rPr>
          <w:rFonts w:eastAsia="Palatino Linotype" w:cs="Palatino Linotype"/>
          <w:szCs w:val="24"/>
        </w:rPr>
        <w:t xml:space="preserve">Al respecto, la información </w:t>
      </w:r>
      <w:r w:rsidRPr="00983D10">
        <w:rPr>
          <w:rFonts w:eastAsia="Palatino Linotype" w:cs="Palatino Linotype"/>
          <w:b/>
          <w:szCs w:val="24"/>
        </w:rPr>
        <w:t>de los elementos que realizan funciones operativas, entre ellos su nombre debe ser protegido</w:t>
      </w:r>
      <w:r w:rsidRPr="00983D10">
        <w:rPr>
          <w:rFonts w:eastAsia="Palatino Linotype" w:cs="Palatino Linotype"/>
          <w:szCs w:val="24"/>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D22D6C" w:rsidRPr="00983D10" w:rsidRDefault="00D22D6C" w:rsidP="00D22D6C">
      <w:pPr>
        <w:rPr>
          <w:rFonts w:eastAsia="Palatino Linotype" w:cs="Palatino Linotype"/>
          <w:szCs w:val="24"/>
        </w:rPr>
      </w:pPr>
    </w:p>
    <w:p w:rsidR="00D22D6C" w:rsidRPr="00983D10" w:rsidRDefault="00D22D6C" w:rsidP="00D22D6C">
      <w:pPr>
        <w:rPr>
          <w:rFonts w:eastAsia="Palatino Linotype" w:cs="Palatino Linotype"/>
          <w:szCs w:val="24"/>
        </w:rPr>
      </w:pPr>
      <w:r w:rsidRPr="00983D10">
        <w:rPr>
          <w:rFonts w:eastAsia="Palatino Linotype" w:cs="Palatino Linotype"/>
          <w:szCs w:val="24"/>
        </w:rPr>
        <w:t xml:space="preserve">Robustece lo anterior el Criterio Reiterado 09/2024 emitido por este órgano Garante, el cual establece la clasificación del nombre del personal operativo de seguridad como información reservada; </w:t>
      </w:r>
    </w:p>
    <w:p w:rsidR="00D22D6C" w:rsidRPr="00983D10" w:rsidRDefault="00D22D6C" w:rsidP="00D22D6C">
      <w:pPr>
        <w:ind w:left="708"/>
        <w:rPr>
          <w:i/>
          <w:sz w:val="22"/>
        </w:rPr>
      </w:pPr>
      <w:r w:rsidRPr="00983D10">
        <w:rPr>
          <w:b/>
          <w:i/>
          <w:sz w:val="22"/>
        </w:rPr>
        <w:t xml:space="preserve">NOMBRE DE PERSONAL OPERATIVO DE  SEGURIDAD PÚBLICA. PROCEDE SU CLASIFICACIÓN COMO INFORMACIÓN RESERVADA. </w:t>
      </w:r>
      <w:r w:rsidRPr="00983D10">
        <w:rPr>
          <w:i/>
          <w:sz w:val="22"/>
        </w:rPr>
        <w:t xml:space="preserve">El nombre del personal operativo de seguridad pública debe clasificarse como información reservada </w:t>
      </w:r>
      <w:r w:rsidRPr="00983D10">
        <w:rPr>
          <w:bCs/>
          <w:i/>
          <w:sz w:val="22"/>
        </w:rPr>
        <w:t>previa acreditación de la prueba de daño</w:t>
      </w:r>
      <w:r w:rsidRPr="00983D10">
        <w:rPr>
          <w:i/>
          <w:sz w:val="22"/>
        </w:rPr>
        <w:t xml:space="preserve">, ya que su publicidad podría entorpecer las tareas de seguridad pública y poner en riesgo la vida, la seguridad o la salud del servidor público, ya que los vuelve plenamente identificables ante </w:t>
      </w:r>
      <w:r w:rsidRPr="00983D10">
        <w:rPr>
          <w:i/>
          <w:sz w:val="22"/>
        </w:rPr>
        <w:lastRenderedPageBreak/>
        <w:t>grupos delictivos. Sin embargo, esta causal de reserva por regla general no puede aplicar al personal administrativo y de mando medio y superior, al no realizar funciones operativas de seguridad pública.</w:t>
      </w:r>
    </w:p>
    <w:p w:rsidR="00D22D6C" w:rsidRPr="00983D10" w:rsidRDefault="00D22D6C" w:rsidP="00D22D6C">
      <w:pPr>
        <w:spacing w:line="276" w:lineRule="auto"/>
        <w:ind w:left="1276" w:firstLine="708"/>
        <w:rPr>
          <w:b/>
          <w:i/>
          <w:sz w:val="18"/>
          <w:szCs w:val="18"/>
        </w:rPr>
      </w:pPr>
      <w:r w:rsidRPr="00983D10">
        <w:rPr>
          <w:b/>
          <w:i/>
          <w:sz w:val="18"/>
          <w:szCs w:val="18"/>
        </w:rPr>
        <w:t>Precedentes:</w:t>
      </w:r>
    </w:p>
    <w:p w:rsidR="00D22D6C" w:rsidRPr="00983D10" w:rsidRDefault="00D22D6C" w:rsidP="00D22D6C">
      <w:pPr>
        <w:pStyle w:val="Prrafodelista"/>
        <w:numPr>
          <w:ilvl w:val="0"/>
          <w:numId w:val="8"/>
        </w:numPr>
        <w:spacing w:line="240" w:lineRule="auto"/>
        <w:ind w:left="1276"/>
        <w:rPr>
          <w:i/>
          <w:sz w:val="18"/>
          <w:szCs w:val="18"/>
          <w:lang w:eastAsia="es-ES_tradnl"/>
        </w:rPr>
      </w:pPr>
      <w:r w:rsidRPr="00983D10">
        <w:rPr>
          <w:i/>
          <w:sz w:val="18"/>
          <w:szCs w:val="18"/>
          <w:lang w:eastAsia="es-ES_tradnl"/>
        </w:rPr>
        <w:t xml:space="preserve">En materia de acceso a la información pública. 03148/INFOEM/IP/RR/2023 y Acumulados. Aprobada por unanimidad de votos emitiendo voto particular los Comisionados Luis Gustavo Parra Noriega y Guadalupe Ramírez Peña. Ayuntamiento de </w:t>
      </w:r>
      <w:proofErr w:type="spellStart"/>
      <w:r w:rsidRPr="00983D10">
        <w:rPr>
          <w:i/>
          <w:sz w:val="18"/>
          <w:szCs w:val="18"/>
          <w:lang w:eastAsia="es-ES_tradnl"/>
        </w:rPr>
        <w:t>Tlalmanalco</w:t>
      </w:r>
      <w:proofErr w:type="spellEnd"/>
      <w:r w:rsidRPr="00983D10">
        <w:rPr>
          <w:i/>
          <w:sz w:val="18"/>
          <w:szCs w:val="18"/>
          <w:lang w:eastAsia="es-ES_tradnl"/>
        </w:rPr>
        <w:t>. Comisionada ponente María del Rosario Mejía Ayala. Sesión 04-2024.</w:t>
      </w:r>
    </w:p>
    <w:p w:rsidR="00D22D6C" w:rsidRPr="00983D10" w:rsidRDefault="00D22D6C" w:rsidP="00D22D6C">
      <w:pPr>
        <w:pStyle w:val="Prrafodelista"/>
        <w:numPr>
          <w:ilvl w:val="0"/>
          <w:numId w:val="8"/>
        </w:numPr>
        <w:spacing w:line="240" w:lineRule="auto"/>
        <w:ind w:left="1276"/>
        <w:rPr>
          <w:i/>
          <w:sz w:val="18"/>
          <w:szCs w:val="18"/>
        </w:rPr>
      </w:pPr>
      <w:r w:rsidRPr="00983D10">
        <w:rPr>
          <w:i/>
          <w:sz w:val="18"/>
          <w:szCs w:val="18"/>
          <w:lang w:eastAsia="es-ES_tradnl"/>
        </w:rPr>
        <w:t>En materia de acceso a la información pública. 06111/INFOEM/IP/RR/2023. Aprobada por unanimidad de votos emitiendo voto particular los Comisionados José Martínez Vilchis, María del Rosario Mejía Ayala, Sharon Cristina Morales Martínez, Luis Gustavo Parra Noriega y Guadalupe Ramírez Peña. Ayuntamiento de Nicolás Romero. Comisionada ponente Sharon Cristina Morales Martínez. Sesión 07-2024.</w:t>
      </w:r>
    </w:p>
    <w:p w:rsidR="00D22D6C" w:rsidRPr="00983D10" w:rsidRDefault="00D22D6C" w:rsidP="00D22D6C">
      <w:pPr>
        <w:pStyle w:val="Prrafodelista"/>
        <w:numPr>
          <w:ilvl w:val="0"/>
          <w:numId w:val="8"/>
        </w:numPr>
        <w:spacing w:line="240" w:lineRule="auto"/>
        <w:ind w:left="1276"/>
        <w:rPr>
          <w:i/>
          <w:sz w:val="18"/>
          <w:szCs w:val="18"/>
        </w:rPr>
      </w:pPr>
      <w:r w:rsidRPr="00983D10">
        <w:rPr>
          <w:i/>
          <w:sz w:val="18"/>
          <w:szCs w:val="18"/>
          <w:lang w:eastAsia="es-ES_tradnl"/>
        </w:rPr>
        <w:t xml:space="preserve">En materia de acceso a la información pública. 04497/INFOEM/IP/RR/2023. Aprobada por unanimidad de votos emitiendo voto particular los Comisionados Luis Gustavo Parra Noriega y Guadalupe Ramírez Peña. Ayuntamiento de </w:t>
      </w:r>
      <w:proofErr w:type="spellStart"/>
      <w:r w:rsidRPr="00983D10">
        <w:rPr>
          <w:i/>
          <w:sz w:val="18"/>
          <w:szCs w:val="18"/>
          <w:lang w:eastAsia="es-ES_tradnl"/>
        </w:rPr>
        <w:t>Tezoyuca</w:t>
      </w:r>
      <w:proofErr w:type="spellEnd"/>
      <w:r w:rsidRPr="00983D10">
        <w:rPr>
          <w:i/>
          <w:sz w:val="18"/>
          <w:szCs w:val="18"/>
          <w:lang w:eastAsia="es-ES_tradnl"/>
        </w:rPr>
        <w:t>. Comisionada ponente Sharon Cristina Morales Martínez. Sesión 07-2024.</w:t>
      </w:r>
    </w:p>
    <w:p w:rsidR="00D22D6C" w:rsidRPr="00983D10" w:rsidRDefault="00D22D6C" w:rsidP="00D22D6C">
      <w:pPr>
        <w:rPr>
          <w:rFonts w:eastAsia="Palatino Linotype" w:cs="Palatino Linotype"/>
        </w:rPr>
      </w:pPr>
    </w:p>
    <w:p w:rsidR="00D22D6C" w:rsidRPr="00983D10" w:rsidRDefault="00D22D6C" w:rsidP="00D22D6C">
      <w:pPr>
        <w:pBdr>
          <w:top w:val="nil"/>
          <w:left w:val="nil"/>
          <w:bottom w:val="nil"/>
          <w:right w:val="nil"/>
          <w:between w:val="nil"/>
        </w:pBdr>
        <w:rPr>
          <w:szCs w:val="24"/>
        </w:rPr>
      </w:pPr>
      <w:r w:rsidRPr="00983D10">
        <w:rPr>
          <w:rFonts w:eastAsia="Palatino Linotype" w:cs="Palatino Linotype"/>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D22D6C" w:rsidRPr="00983D10" w:rsidRDefault="00D22D6C" w:rsidP="00D22D6C">
      <w:pPr>
        <w:rPr>
          <w:szCs w:val="24"/>
        </w:rPr>
      </w:pPr>
    </w:p>
    <w:p w:rsidR="00D22D6C" w:rsidRPr="00983D10" w:rsidRDefault="00D22D6C" w:rsidP="00D22D6C">
      <w:pPr>
        <w:pBdr>
          <w:top w:val="nil"/>
          <w:left w:val="nil"/>
          <w:bottom w:val="nil"/>
          <w:right w:val="nil"/>
          <w:between w:val="nil"/>
        </w:pBdr>
        <w:rPr>
          <w:rFonts w:eastAsia="Palatino Linotype" w:cs="Palatino Linotype"/>
          <w:szCs w:val="24"/>
        </w:rPr>
      </w:pPr>
      <w:r w:rsidRPr="00983D10">
        <w:rPr>
          <w:rFonts w:eastAsia="Palatino Linotype" w:cs="Palatino Linotype"/>
          <w:szCs w:val="24"/>
        </w:rPr>
        <w:t xml:space="preserve">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w:t>
      </w:r>
      <w:r w:rsidRPr="00983D10">
        <w:rPr>
          <w:rFonts w:eastAsia="Palatino Linotype" w:cs="Palatino Linotype"/>
          <w:szCs w:val="24"/>
        </w:rPr>
        <w:lastRenderedPageBreak/>
        <w:t>de seguridad pública para la preservación del orden y la paz pública, por lo que, no se trata de una medida desproporcional, ni excesiva.</w:t>
      </w:r>
    </w:p>
    <w:p w:rsidR="00D22D6C" w:rsidRPr="00983D10" w:rsidRDefault="00D22D6C" w:rsidP="00D22D6C">
      <w:pPr>
        <w:pBdr>
          <w:top w:val="nil"/>
          <w:left w:val="nil"/>
          <w:bottom w:val="nil"/>
          <w:right w:val="nil"/>
          <w:between w:val="nil"/>
        </w:pBdr>
        <w:rPr>
          <w:szCs w:val="24"/>
        </w:rPr>
      </w:pPr>
    </w:p>
    <w:p w:rsidR="00D22D6C" w:rsidRPr="00983D10" w:rsidRDefault="00D22D6C" w:rsidP="00D22D6C">
      <w:pPr>
        <w:pBdr>
          <w:top w:val="nil"/>
          <w:left w:val="nil"/>
          <w:bottom w:val="nil"/>
          <w:right w:val="nil"/>
          <w:between w:val="nil"/>
        </w:pBdr>
        <w:rPr>
          <w:rFonts w:eastAsia="Palatino Linotype" w:cs="Palatino Linotype"/>
          <w:szCs w:val="24"/>
        </w:rPr>
      </w:pPr>
      <w:r w:rsidRPr="00983D10">
        <w:rPr>
          <w:rFonts w:eastAsia="Palatino Linotype" w:cs="Palatino Linotype"/>
          <w:szCs w:val="24"/>
        </w:rPr>
        <w:t>En ese entendido, la leyenda de clasificación que se genere, deberá establecer ambos supuestos de clasificación: reserva y confidencialidad, en congruencia con los requisitos establecidos en los lineamientos citados.</w:t>
      </w:r>
    </w:p>
    <w:p w:rsidR="00D22D6C" w:rsidRPr="00983D10" w:rsidRDefault="00D22D6C" w:rsidP="00D22D6C">
      <w:pPr>
        <w:pBdr>
          <w:top w:val="nil"/>
          <w:left w:val="nil"/>
          <w:bottom w:val="nil"/>
          <w:right w:val="nil"/>
          <w:between w:val="nil"/>
        </w:pBdr>
        <w:rPr>
          <w:rFonts w:eastAsia="Palatino Linotype" w:cs="Palatino Linotype"/>
          <w:szCs w:val="24"/>
        </w:rPr>
      </w:pPr>
    </w:p>
    <w:p w:rsidR="00D22D6C" w:rsidRPr="00983D10" w:rsidRDefault="00D22D6C" w:rsidP="00D22D6C">
      <w:pPr>
        <w:pBdr>
          <w:top w:val="nil"/>
          <w:left w:val="nil"/>
          <w:bottom w:val="nil"/>
          <w:right w:val="nil"/>
          <w:between w:val="nil"/>
        </w:pBdr>
        <w:rPr>
          <w:szCs w:val="24"/>
        </w:rPr>
      </w:pPr>
      <w:r w:rsidRPr="00983D10">
        <w:rPr>
          <w:rFonts w:eastAsia="Palatino Linotype" w:cs="Palatino Linotype"/>
          <w:szCs w:val="24"/>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rsidR="00D22D6C" w:rsidRPr="00983D10" w:rsidRDefault="00D22D6C" w:rsidP="00D22D6C">
      <w:pPr>
        <w:pBdr>
          <w:top w:val="nil"/>
          <w:left w:val="nil"/>
          <w:bottom w:val="nil"/>
          <w:right w:val="nil"/>
          <w:between w:val="nil"/>
        </w:pBdr>
        <w:ind w:left="864" w:right="864"/>
        <w:rPr>
          <w:sz w:val="22"/>
        </w:rPr>
      </w:pPr>
      <w:r w:rsidRPr="00983D10">
        <w:rPr>
          <w:rFonts w:eastAsia="Palatino Linotype" w:cs="Palatino Linotype"/>
          <w:b/>
          <w:i/>
          <w:sz w:val="22"/>
        </w:rPr>
        <w:t>Nombres de servidores públicos dedicados a actividades en materia de seguridad, por excepción pueden considerarse información reservada.</w:t>
      </w:r>
      <w:r w:rsidRPr="00983D10">
        <w:rPr>
          <w:rFonts w:eastAsia="Palatino Linotype" w:cs="Palatino Linotype"/>
          <w:i/>
          <w:sz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w:t>
      </w:r>
      <w:r w:rsidRPr="00983D10">
        <w:rPr>
          <w:rFonts w:eastAsia="Palatino Linotype" w:cs="Palatino Linotype"/>
          <w:i/>
          <w:sz w:val="22"/>
        </w:rPr>
        <w:lastRenderedPageBreak/>
        <w:t>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D22D6C" w:rsidRPr="00983D10" w:rsidRDefault="00D22D6C" w:rsidP="00D22D6C"/>
    <w:p w:rsidR="00D22D6C" w:rsidRPr="00983D10" w:rsidRDefault="00D22D6C" w:rsidP="00D22D6C">
      <w:pPr>
        <w:pBdr>
          <w:top w:val="nil"/>
          <w:left w:val="nil"/>
          <w:bottom w:val="nil"/>
          <w:right w:val="nil"/>
          <w:between w:val="nil"/>
        </w:pBdr>
        <w:rPr>
          <w:szCs w:val="24"/>
        </w:rPr>
      </w:pPr>
      <w:r w:rsidRPr="00983D10">
        <w:rPr>
          <w:rFonts w:eastAsia="Palatino Linotype" w:cs="Palatino Linotype"/>
          <w:szCs w:val="24"/>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983D10">
        <w:rPr>
          <w:rFonts w:eastAsia="Palatino Linotype" w:cs="Palatino Linotype"/>
          <w:b/>
          <w:szCs w:val="24"/>
        </w:rPr>
        <w:t>funciones de carácter operativo.</w:t>
      </w:r>
    </w:p>
    <w:p w:rsidR="00D22D6C" w:rsidRPr="00983D10" w:rsidRDefault="00D22D6C" w:rsidP="00D22D6C">
      <w:pPr>
        <w:pBdr>
          <w:top w:val="nil"/>
          <w:left w:val="nil"/>
          <w:bottom w:val="nil"/>
          <w:right w:val="nil"/>
          <w:between w:val="nil"/>
        </w:pBdr>
        <w:rPr>
          <w:szCs w:val="24"/>
        </w:rPr>
      </w:pPr>
    </w:p>
    <w:p w:rsidR="00D22D6C" w:rsidRPr="00983D10" w:rsidRDefault="00D22D6C" w:rsidP="00D22D6C">
      <w:pPr>
        <w:pBdr>
          <w:top w:val="nil"/>
          <w:left w:val="nil"/>
          <w:bottom w:val="nil"/>
          <w:right w:val="nil"/>
          <w:between w:val="nil"/>
        </w:pBdr>
        <w:rPr>
          <w:szCs w:val="24"/>
        </w:rPr>
      </w:pPr>
      <w:r w:rsidRPr="00983D10">
        <w:rPr>
          <w:rFonts w:eastAsia="Palatino Linotype" w:cs="Palatino Linotype"/>
          <w:szCs w:val="24"/>
        </w:rPr>
        <w:t>Sirven de sustento a lo anterior las tesis jurisprudenciales emitidas por la Suprema corte de Justicia de la Nación, que son del literal siguiente;</w:t>
      </w:r>
    </w:p>
    <w:p w:rsidR="00D22D6C" w:rsidRPr="00983D10" w:rsidRDefault="00D22D6C" w:rsidP="00D22D6C">
      <w:pPr>
        <w:pBdr>
          <w:top w:val="nil"/>
          <w:left w:val="nil"/>
          <w:bottom w:val="nil"/>
          <w:right w:val="nil"/>
          <w:between w:val="nil"/>
        </w:pBdr>
        <w:ind w:left="864" w:right="864"/>
        <w:rPr>
          <w:sz w:val="22"/>
        </w:rPr>
      </w:pPr>
      <w:r w:rsidRPr="00983D10">
        <w:rPr>
          <w:rFonts w:eastAsia="Palatino Linotype" w:cs="Palatino Linotype"/>
          <w:b/>
          <w:i/>
          <w:sz w:val="22"/>
        </w:rPr>
        <w:t xml:space="preserve">DERECHO A LA INFORMACIÓN. SU EJERCICIO SE ENCUENTRA LIMITADO TANTO POR LOS INTERESES NACIONALES Y DE LA SOCIEDAD, COMO POR LOS DERECHOS DE TERCEROS. </w:t>
      </w:r>
      <w:r w:rsidRPr="00983D10">
        <w:rPr>
          <w:rFonts w:eastAsia="Palatino Linotype" w:cs="Palatino Linotype"/>
          <w:i/>
          <w:sz w:val="22"/>
        </w:rPr>
        <w:t xml:space="preserve">El derecho a la </w:t>
      </w:r>
      <w:r w:rsidRPr="00983D10">
        <w:rPr>
          <w:rFonts w:eastAsia="Palatino Linotype" w:cs="Palatino Linotype"/>
          <w:i/>
          <w:sz w:val="22"/>
        </w:rPr>
        <w:lastRenderedPageBreak/>
        <w:t xml:space="preserve">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83D10">
        <w:rPr>
          <w:rFonts w:eastAsia="Palatino Linotype" w:cs="Palatino Linotype"/>
          <w:b/>
          <w:i/>
          <w:sz w:val="22"/>
        </w:rPr>
        <w:t>restringen el acceso a la información en esta materia, en razón de que su conocimiento público puede generar daños a los intereses nacionales y, por el otro, sancionan la inobservancia de esa reserva;</w:t>
      </w:r>
      <w:r w:rsidRPr="00983D10">
        <w:rPr>
          <w:rFonts w:eastAsia="Palatino Linotype" w:cs="Palatino Linotype"/>
          <w:i/>
          <w:sz w:val="22"/>
        </w:rPr>
        <w:t xml:space="preserve"> por lo que hace al interés social, se cuenta con normas que tienden a proteger la averiguación de los delitos, la salud y la moral públicas, </w:t>
      </w:r>
      <w:r w:rsidRPr="00983D10">
        <w:rPr>
          <w:rFonts w:eastAsia="Palatino Linotype" w:cs="Palatino Linotype"/>
          <w:b/>
          <w:i/>
          <w:sz w:val="22"/>
        </w:rPr>
        <w:t>mientras que por lo que respecta a la protección de la persona existen normas que protegen el derecho a la vida o a la privacidad de los gobernados.</w:t>
      </w:r>
    </w:p>
    <w:p w:rsidR="00D22D6C" w:rsidRPr="00983D10" w:rsidRDefault="00D22D6C" w:rsidP="00D22D6C">
      <w:pPr>
        <w:rPr>
          <w:sz w:val="22"/>
        </w:rPr>
      </w:pPr>
    </w:p>
    <w:p w:rsidR="00D22D6C" w:rsidRPr="00983D10" w:rsidRDefault="00D22D6C" w:rsidP="00D22D6C">
      <w:pPr>
        <w:pBdr>
          <w:top w:val="nil"/>
          <w:left w:val="nil"/>
          <w:bottom w:val="nil"/>
          <w:right w:val="nil"/>
          <w:between w:val="nil"/>
        </w:pBdr>
        <w:ind w:left="864" w:right="864"/>
        <w:rPr>
          <w:sz w:val="22"/>
        </w:rPr>
      </w:pPr>
      <w:r w:rsidRPr="00983D10">
        <w:rPr>
          <w:rFonts w:eastAsia="Palatino Linotype" w:cs="Palatino Linotype"/>
          <w:b/>
          <w:i/>
          <w:sz w:val="22"/>
        </w:rPr>
        <w:t>TRANSPARENCIA Y ACCESO A LA INFORMACIÓN PÚBLICA GUBERNAMENTAL. EL ARTÍCULO 14, FRACCIÓN I, DE LA LEY FEDERAL RELATIVA, NO VIOLA LA GARANTÍA DE ACCESO A LA INFORMACIÓN.</w:t>
      </w:r>
      <w:r w:rsidRPr="00983D10">
        <w:rPr>
          <w:rFonts w:eastAsia="Palatino Linotype" w:cs="Palatino Linotype"/>
          <w:i/>
          <w:sz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w:t>
      </w:r>
      <w:r w:rsidRPr="00983D10">
        <w:rPr>
          <w:rFonts w:eastAsia="Palatino Linotype" w:cs="Palatino Linotype"/>
          <w:i/>
          <w:sz w:val="22"/>
        </w:rPr>
        <w:lastRenderedPageBreak/>
        <w:t xml:space="preserve">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83D10">
        <w:rPr>
          <w:rFonts w:eastAsia="Palatino Linotype" w:cs="Palatino Linotype"/>
          <w:b/>
          <w:i/>
          <w:sz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83D10">
        <w:rPr>
          <w:rFonts w:eastAsia="Palatino Linotype" w:cs="Palatino Linotype"/>
          <w:i/>
          <w:sz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D22D6C" w:rsidRPr="00983D10" w:rsidRDefault="00D22D6C" w:rsidP="00D22D6C">
      <w:pPr>
        <w:pBdr>
          <w:top w:val="nil"/>
          <w:left w:val="nil"/>
          <w:bottom w:val="nil"/>
          <w:right w:val="nil"/>
          <w:between w:val="nil"/>
        </w:pBdr>
        <w:ind w:left="864" w:right="864"/>
      </w:pPr>
    </w:p>
    <w:p w:rsidR="00D22D6C" w:rsidRPr="00983D10" w:rsidRDefault="00D22D6C" w:rsidP="00D22D6C">
      <w:pPr>
        <w:pBdr>
          <w:top w:val="nil"/>
          <w:left w:val="nil"/>
          <w:bottom w:val="nil"/>
          <w:right w:val="nil"/>
          <w:between w:val="nil"/>
        </w:pBdr>
        <w:rPr>
          <w:rFonts w:eastAsia="Palatino Linotype" w:cs="Palatino Linotype"/>
          <w:color w:val="000000"/>
          <w:szCs w:val="24"/>
          <w:u w:val="single"/>
        </w:rPr>
      </w:pPr>
      <w:r w:rsidRPr="00983D10">
        <w:rPr>
          <w:rFonts w:eastAsia="Palatino Linotype" w:cs="Palatino Linotype"/>
          <w:color w:val="000000"/>
          <w:szCs w:val="24"/>
        </w:rPr>
        <w:t xml:space="preserve">Ahora bien, existe algunas </w:t>
      </w:r>
      <w:r w:rsidRPr="00983D10">
        <w:rPr>
          <w:rFonts w:eastAsia="Palatino Linotype" w:cs="Palatino Linotype"/>
          <w:color w:val="000000"/>
          <w:szCs w:val="24"/>
          <w:u w:val="single"/>
        </w:rPr>
        <w:t>deducciones que no forman parte del supuesto normativo del artículo 143, fracción I de la Ley de Transparencia y Acceso a la Información Pública del Estado de México y Municipios, conforme lo siguiente:</w:t>
      </w:r>
      <w:bookmarkStart w:id="6" w:name="_heading=h.44sinio" w:colFirst="0" w:colLast="0"/>
      <w:bookmarkEnd w:id="6"/>
    </w:p>
    <w:p w:rsidR="00D22D6C" w:rsidRPr="00983D10" w:rsidRDefault="00D22D6C" w:rsidP="00D22D6C">
      <w:pPr>
        <w:pBdr>
          <w:top w:val="nil"/>
          <w:left w:val="nil"/>
          <w:bottom w:val="nil"/>
          <w:right w:val="nil"/>
          <w:between w:val="nil"/>
        </w:pBdr>
        <w:rPr>
          <w:rFonts w:eastAsia="Palatino Linotype" w:cs="Palatino Linotype"/>
          <w:color w:val="000000"/>
          <w:szCs w:val="24"/>
          <w:u w:val="single"/>
        </w:rPr>
      </w:pPr>
    </w:p>
    <w:p w:rsidR="00D22D6C" w:rsidRPr="00983D10" w:rsidRDefault="00D22D6C" w:rsidP="00D22D6C">
      <w:pPr>
        <w:pStyle w:val="Prrafodelista"/>
        <w:ind w:left="0"/>
        <w:rPr>
          <w:rFonts w:cs="Arial"/>
          <w:b/>
        </w:rPr>
      </w:pPr>
      <w:r w:rsidRPr="00983D10">
        <w:rPr>
          <w:rFonts w:cs="Arial"/>
          <w:b/>
        </w:rPr>
        <w:t>Deducciones que no son personales.</w:t>
      </w:r>
    </w:p>
    <w:p w:rsidR="00D22D6C" w:rsidRPr="00983D10" w:rsidRDefault="00D22D6C" w:rsidP="00D22D6C">
      <w:pPr>
        <w:pStyle w:val="Prrafodelista"/>
        <w:ind w:left="0"/>
        <w:rPr>
          <w:rFonts w:cs="Arial"/>
        </w:rPr>
      </w:pPr>
      <w:r w:rsidRPr="00983D10">
        <w:rPr>
          <w:rFonts w:cs="Arial"/>
        </w:rPr>
        <w:lastRenderedPageBreak/>
        <w:t>La Ley del Trabajo de los Servidores Públicos del Estado y Municipios</w:t>
      </w:r>
      <w:r w:rsidRPr="00983D10">
        <w:rPr>
          <w:rStyle w:val="Refdenotaalpie"/>
        </w:rPr>
        <w:footnoteReference w:id="2"/>
      </w:r>
      <w:r w:rsidRPr="00983D10">
        <w:rPr>
          <w:rFonts w:cs="Arial"/>
        </w:rPr>
        <w:t xml:space="preserve"> en el artículo 84 </w:t>
      </w:r>
      <w:proofErr w:type="gramStart"/>
      <w:r w:rsidRPr="00983D10">
        <w:rPr>
          <w:rFonts w:cs="Arial"/>
        </w:rPr>
        <w:t>establece</w:t>
      </w:r>
      <w:proofErr w:type="gramEnd"/>
      <w:r w:rsidRPr="00983D10">
        <w:rPr>
          <w:rFonts w:cs="Arial"/>
        </w:rPr>
        <w:t xml:space="preserve"> lo siguiente:</w:t>
      </w:r>
    </w:p>
    <w:p w:rsidR="00D22D6C" w:rsidRPr="00983D10" w:rsidRDefault="00D22D6C" w:rsidP="00D22D6C">
      <w:pPr>
        <w:pStyle w:val="Prrafodelista"/>
        <w:ind w:left="567" w:right="822"/>
        <w:rPr>
          <w:i/>
          <w:sz w:val="22"/>
        </w:rPr>
      </w:pPr>
      <w:r w:rsidRPr="00983D10">
        <w:rPr>
          <w:i/>
          <w:sz w:val="22"/>
        </w:rPr>
        <w:t xml:space="preserve">ARTÍCULO 84. Sólo podrán hacerse retenciones, descuentos o deducciones al sueldo de los servidores públicos por concepto de: </w:t>
      </w:r>
    </w:p>
    <w:p w:rsidR="00D22D6C" w:rsidRPr="00983D10" w:rsidRDefault="00D22D6C" w:rsidP="00D22D6C">
      <w:pPr>
        <w:pStyle w:val="Prrafodelista"/>
        <w:ind w:left="567" w:right="822"/>
        <w:rPr>
          <w:b/>
          <w:i/>
          <w:sz w:val="22"/>
        </w:rPr>
      </w:pPr>
      <w:r w:rsidRPr="00983D10">
        <w:rPr>
          <w:b/>
          <w:i/>
          <w:sz w:val="22"/>
        </w:rPr>
        <w:t>I. Gravámenes fiscales relacionados con el sueldo;</w:t>
      </w:r>
    </w:p>
    <w:p w:rsidR="00D22D6C" w:rsidRPr="00983D10" w:rsidRDefault="00D22D6C" w:rsidP="00D22D6C">
      <w:pPr>
        <w:pStyle w:val="Prrafodelista"/>
        <w:ind w:left="567" w:right="822"/>
        <w:rPr>
          <w:i/>
          <w:sz w:val="22"/>
        </w:rPr>
      </w:pPr>
      <w:r w:rsidRPr="00983D10">
        <w:rPr>
          <w:i/>
          <w:sz w:val="22"/>
        </w:rPr>
        <w:t xml:space="preserve">II. Deudas contraídas con las instituciones públicas o dependencias por concepto de anticipos de sueldo, pagos hechos con exceso, errores o pérdidas debidamente comprobados; </w:t>
      </w:r>
    </w:p>
    <w:p w:rsidR="00D22D6C" w:rsidRPr="00983D10" w:rsidRDefault="00D22D6C" w:rsidP="00D22D6C">
      <w:pPr>
        <w:pStyle w:val="Prrafodelista"/>
        <w:ind w:left="567" w:right="822"/>
        <w:rPr>
          <w:i/>
          <w:sz w:val="22"/>
        </w:rPr>
      </w:pPr>
      <w:r w:rsidRPr="00983D10">
        <w:rPr>
          <w:i/>
          <w:sz w:val="22"/>
        </w:rPr>
        <w:t xml:space="preserve">III. Cuotas sindicales; </w:t>
      </w:r>
    </w:p>
    <w:p w:rsidR="00D22D6C" w:rsidRPr="00983D10" w:rsidRDefault="00D22D6C" w:rsidP="00D22D6C">
      <w:pPr>
        <w:pStyle w:val="Prrafodelista"/>
        <w:ind w:left="567" w:right="822"/>
        <w:rPr>
          <w:b/>
          <w:i/>
          <w:sz w:val="22"/>
        </w:rPr>
      </w:pPr>
      <w:r w:rsidRPr="00983D10">
        <w:rPr>
          <w:b/>
          <w:i/>
          <w:sz w:val="22"/>
        </w:rPr>
        <w:t xml:space="preserve">IV. Cuotas de aportación a fondos para la constitución de cooperativas y de cajas de ahorro, siempre que el servidor público hubiese manifestado previamente, de manera expresa, su conformidad; </w:t>
      </w:r>
    </w:p>
    <w:p w:rsidR="00D22D6C" w:rsidRPr="00983D10" w:rsidRDefault="00D22D6C" w:rsidP="00D22D6C">
      <w:pPr>
        <w:pStyle w:val="Prrafodelista"/>
        <w:ind w:left="567" w:right="822"/>
        <w:rPr>
          <w:b/>
          <w:i/>
          <w:sz w:val="22"/>
        </w:rPr>
      </w:pPr>
      <w:r w:rsidRPr="00983D10">
        <w:rPr>
          <w:b/>
          <w:i/>
          <w:sz w:val="22"/>
        </w:rPr>
        <w:t xml:space="preserve">V. Descuentos ordenados por el Instituto de Seguridad Social del Estado de México y Municipios, con motivo de cuotas y obligaciones contraídas con éste por los servidores públicos; </w:t>
      </w:r>
    </w:p>
    <w:p w:rsidR="00D22D6C" w:rsidRPr="00983D10" w:rsidRDefault="00D22D6C" w:rsidP="00D22D6C">
      <w:pPr>
        <w:pStyle w:val="Prrafodelista"/>
        <w:ind w:left="567" w:right="822"/>
        <w:rPr>
          <w:i/>
          <w:sz w:val="22"/>
        </w:rPr>
      </w:pPr>
      <w:r w:rsidRPr="00983D10">
        <w:rPr>
          <w:i/>
          <w:sz w:val="22"/>
        </w:rPr>
        <w:t xml:space="preserve">VI. Obligaciones a cargo del servidor público con las que haya consentido, derivadas de la adquisición o del uso de habitaciones consideradas como de interés social; </w:t>
      </w:r>
    </w:p>
    <w:p w:rsidR="00D22D6C" w:rsidRPr="00983D10" w:rsidRDefault="00D22D6C" w:rsidP="00D22D6C">
      <w:pPr>
        <w:pStyle w:val="Prrafodelista"/>
        <w:ind w:left="567" w:right="822"/>
        <w:rPr>
          <w:i/>
          <w:sz w:val="22"/>
        </w:rPr>
      </w:pPr>
      <w:r w:rsidRPr="00983D10">
        <w:rPr>
          <w:i/>
          <w:sz w:val="22"/>
        </w:rPr>
        <w:t xml:space="preserve">VII. Faltas de puntualidad o de asistencia injustificadas; </w:t>
      </w:r>
    </w:p>
    <w:p w:rsidR="00D22D6C" w:rsidRPr="00983D10" w:rsidRDefault="00D22D6C" w:rsidP="00D22D6C">
      <w:pPr>
        <w:pStyle w:val="Prrafodelista"/>
        <w:ind w:left="567" w:right="822"/>
        <w:rPr>
          <w:i/>
          <w:sz w:val="22"/>
        </w:rPr>
      </w:pPr>
      <w:r w:rsidRPr="00983D10">
        <w:rPr>
          <w:i/>
          <w:sz w:val="22"/>
        </w:rPr>
        <w:t xml:space="preserve">VIII. Pensiones alimenticias ordenadas por la autoridad judicial; o </w:t>
      </w:r>
    </w:p>
    <w:p w:rsidR="00D22D6C" w:rsidRPr="00983D10" w:rsidRDefault="00D22D6C" w:rsidP="00D22D6C">
      <w:pPr>
        <w:pStyle w:val="Prrafodelista"/>
        <w:ind w:left="567" w:right="822"/>
        <w:rPr>
          <w:i/>
          <w:sz w:val="22"/>
        </w:rPr>
      </w:pPr>
      <w:r w:rsidRPr="00983D10">
        <w:rPr>
          <w:i/>
          <w:sz w:val="22"/>
        </w:rPr>
        <w:t>IX. Cualquier otro convenido con instituciones de servicios y aceptado por el servidor público.</w:t>
      </w:r>
    </w:p>
    <w:p w:rsidR="00D22D6C" w:rsidRPr="00983D10" w:rsidRDefault="00D22D6C" w:rsidP="00D22D6C">
      <w:pPr>
        <w:ind w:right="822"/>
        <w:rPr>
          <w:rFonts w:cs="Arial"/>
          <w:i/>
        </w:rPr>
      </w:pPr>
    </w:p>
    <w:p w:rsidR="00D22D6C" w:rsidRPr="00983D10" w:rsidRDefault="00D22D6C" w:rsidP="00D22D6C">
      <w:pPr>
        <w:pStyle w:val="Prrafodelista"/>
        <w:ind w:left="0"/>
        <w:rPr>
          <w:rFonts w:cs="Arial"/>
        </w:rPr>
      </w:pPr>
      <w:r w:rsidRPr="00983D10">
        <w:rPr>
          <w:rFonts w:cs="Arial"/>
        </w:rPr>
        <w:t xml:space="preserve">Dentro de las retenciones, descuentos o deducciones de sueldo se contemplan los gravámenes fiscales, Cuotas de aportación a fondos para la constitución de cooperativas </w:t>
      </w:r>
      <w:r w:rsidRPr="00983D10">
        <w:rPr>
          <w:rFonts w:cs="Arial"/>
        </w:rPr>
        <w:lastRenderedPageBreak/>
        <w:t xml:space="preserve">y de cajas de ahorro, así como descuentos ordenados por el </w:t>
      </w:r>
      <w:proofErr w:type="spellStart"/>
      <w:r w:rsidRPr="00983D10">
        <w:rPr>
          <w:rFonts w:cs="Arial"/>
        </w:rPr>
        <w:t>ISSEMyM</w:t>
      </w:r>
      <w:proofErr w:type="spellEnd"/>
      <w:r w:rsidRPr="00983D10">
        <w:rPr>
          <w:rFonts w:cs="Arial"/>
        </w:rPr>
        <w:t xml:space="preserve"> por motivo de cuotas y obligaciones contraídas por los servidores públicos. </w:t>
      </w:r>
      <w:r w:rsidRPr="00983D10">
        <w:rPr>
          <w:rFonts w:cs="Arial"/>
          <w:b/>
        </w:rPr>
        <w:t>Estos mencionados son de carácter público</w:t>
      </w:r>
      <w:r w:rsidRPr="00983D10">
        <w:rPr>
          <w:rFonts w:cs="Arial"/>
        </w:rPr>
        <w:t>, toda vez que se consideran descuentos que por ley se deben realizar a los servidores públicos contrario a las deducciones personales que son por voluntad de cada servidor público.</w:t>
      </w:r>
    </w:p>
    <w:p w:rsidR="00D22D6C" w:rsidRPr="00983D10" w:rsidRDefault="00D22D6C" w:rsidP="00D22D6C">
      <w:pPr>
        <w:rPr>
          <w:rFonts w:cs="Arial"/>
        </w:rPr>
      </w:pPr>
    </w:p>
    <w:p w:rsidR="00D22D6C" w:rsidRPr="00983D10" w:rsidRDefault="00D22D6C" w:rsidP="00D22D6C">
      <w:pPr>
        <w:pStyle w:val="Prrafodelista"/>
        <w:numPr>
          <w:ilvl w:val="0"/>
          <w:numId w:val="6"/>
        </w:numPr>
        <w:rPr>
          <w:rFonts w:cs="Arial"/>
          <w:b/>
        </w:rPr>
      </w:pPr>
      <w:r w:rsidRPr="00983D10">
        <w:rPr>
          <w:rFonts w:cs="Arial"/>
          <w:b/>
        </w:rPr>
        <w:t>Seguro de Capitalización Individualizado.</w:t>
      </w:r>
    </w:p>
    <w:p w:rsidR="00D22D6C" w:rsidRPr="00983D10" w:rsidRDefault="00D22D6C" w:rsidP="00D22D6C">
      <w:pPr>
        <w:pStyle w:val="Prrafodelista"/>
        <w:ind w:left="0"/>
        <w:rPr>
          <w:rFonts w:cs="Arial"/>
        </w:rPr>
      </w:pPr>
      <w:r w:rsidRPr="00983D10">
        <w:rPr>
          <w:rFonts w:cs="Arial"/>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rsidR="00D22D6C" w:rsidRPr="00983D10" w:rsidRDefault="00D22D6C" w:rsidP="00D22D6C">
      <w:pPr>
        <w:pStyle w:val="Prrafodelista"/>
        <w:rPr>
          <w:rFonts w:cs="Arial"/>
        </w:rPr>
      </w:pPr>
      <w:r w:rsidRPr="00983D10">
        <w:rPr>
          <w:rFonts w:cs="Arial"/>
        </w:rPr>
        <w:t>•</w:t>
      </w:r>
      <w:r w:rsidRPr="00983D10">
        <w:rPr>
          <w:rFonts w:cs="Arial"/>
        </w:rPr>
        <w:tab/>
        <w:t>Subcuenta de cuota obligatoria; que corresponde a un porcentaje del sueldo sujeto a cotización, que se descuenta al servir público de manera automática.</w:t>
      </w:r>
    </w:p>
    <w:p w:rsidR="00D22D6C" w:rsidRPr="00983D10" w:rsidRDefault="00D22D6C" w:rsidP="00D22D6C">
      <w:pPr>
        <w:pStyle w:val="Prrafodelista"/>
        <w:rPr>
          <w:rFonts w:cs="Arial"/>
        </w:rPr>
      </w:pPr>
      <w:r w:rsidRPr="00983D10">
        <w:rPr>
          <w:rFonts w:cs="Arial"/>
        </w:rPr>
        <w:t>•</w:t>
      </w:r>
      <w:r w:rsidRPr="00983D10">
        <w:rPr>
          <w:rFonts w:cs="Arial"/>
        </w:rPr>
        <w:tab/>
        <w:t>Subcuenta de aportación obligatoria: que es la aportación que realiza la Institución a favor del servidor público, el cual equivale a un porcentaje del sueldo sujeto a cotización.</w:t>
      </w:r>
    </w:p>
    <w:p w:rsidR="00D22D6C" w:rsidRPr="00983D10" w:rsidRDefault="00D22D6C" w:rsidP="00D22D6C">
      <w:pPr>
        <w:pStyle w:val="Prrafodelista"/>
        <w:rPr>
          <w:rFonts w:cs="Arial"/>
        </w:rPr>
      </w:pPr>
      <w:r w:rsidRPr="00983D10">
        <w:rPr>
          <w:rFonts w:cs="Arial"/>
        </w:rPr>
        <w:t>•</w:t>
      </w:r>
      <w:r w:rsidRPr="00983D10">
        <w:rPr>
          <w:rFonts w:cs="Arial"/>
        </w:rPr>
        <w:tab/>
        <w:t xml:space="preserve">Subcuenta voluntaria: que es la cantidad que cada servidor público decide ahorrar de acuerdo con sus aportaciones, permitiendo acumular mayores ingresos para su retiro. </w:t>
      </w:r>
    </w:p>
    <w:p w:rsidR="00D22D6C" w:rsidRPr="00983D10" w:rsidRDefault="00D22D6C" w:rsidP="00D22D6C">
      <w:pPr>
        <w:pStyle w:val="Prrafodelista"/>
        <w:rPr>
          <w:rFonts w:cs="Arial"/>
        </w:rPr>
      </w:pPr>
    </w:p>
    <w:p w:rsidR="00D22D6C" w:rsidRPr="00983D10" w:rsidRDefault="00D22D6C" w:rsidP="00D22D6C">
      <w:pPr>
        <w:pStyle w:val="Prrafodelista"/>
        <w:ind w:left="0"/>
        <w:rPr>
          <w:rFonts w:cs="Arial"/>
        </w:rPr>
      </w:pPr>
      <w:r w:rsidRPr="00983D10">
        <w:rPr>
          <w:rFonts w:cs="Arial"/>
        </w:rPr>
        <w:t xml:space="preserve">En razón de lo anterior, debe considerarse que la subcuenta de cuota obligatoria y subcuenta de aportación obligatoria, </w:t>
      </w:r>
      <w:r w:rsidRPr="00983D10">
        <w:rPr>
          <w:rFonts w:cs="Arial"/>
          <w:b/>
        </w:rPr>
        <w:t>deben ser considerados datos de naturaleza pública</w:t>
      </w:r>
      <w:r w:rsidRPr="00983D10">
        <w:rPr>
          <w:rFonts w:cs="Arial"/>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w:t>
      </w:r>
      <w:r w:rsidRPr="00983D10">
        <w:rPr>
          <w:rFonts w:cs="Arial"/>
        </w:rPr>
        <w:lastRenderedPageBreak/>
        <w:t xml:space="preserve">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D22D6C" w:rsidRPr="00983D10" w:rsidRDefault="00D22D6C" w:rsidP="00D22D6C">
      <w:pPr>
        <w:pStyle w:val="Prrafodelista"/>
        <w:ind w:left="567" w:right="822"/>
        <w:rPr>
          <w:rFonts w:cs="Arial"/>
          <w:i/>
          <w:sz w:val="22"/>
        </w:rPr>
      </w:pPr>
      <w:r w:rsidRPr="00983D10">
        <w:rPr>
          <w:rFonts w:cs="Arial"/>
          <w:i/>
          <w:sz w:val="22"/>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proofErr w:type="spellStart"/>
      <w:r w:rsidRPr="00983D10">
        <w:rPr>
          <w:rFonts w:cs="Arial"/>
          <w:i/>
          <w:sz w:val="22"/>
        </w:rPr>
        <w:t>aún</w:t>
      </w:r>
      <w:proofErr w:type="spellEnd"/>
      <w:r w:rsidRPr="00983D10">
        <w:rPr>
          <w:rFonts w:cs="Arial"/>
          <w:i/>
          <w:sz w:val="22"/>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w:t>
      </w:r>
      <w:r w:rsidRPr="00983D10">
        <w:rPr>
          <w:rFonts w:cs="Arial"/>
          <w:i/>
          <w:sz w:val="22"/>
        </w:rPr>
        <w:lastRenderedPageBreak/>
        <w:t>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983D10">
        <w:rPr>
          <w:rFonts w:cs="Arial"/>
          <w:sz w:val="22"/>
        </w:rPr>
        <w:t xml:space="preserve"> </w:t>
      </w:r>
    </w:p>
    <w:p w:rsidR="00D22D6C" w:rsidRPr="00983D10" w:rsidRDefault="00D22D6C" w:rsidP="00D22D6C">
      <w:pPr>
        <w:pStyle w:val="Prrafodelista"/>
        <w:rPr>
          <w:rFonts w:cs="Arial"/>
        </w:rPr>
      </w:pPr>
    </w:p>
    <w:p w:rsidR="00D22D6C" w:rsidRPr="00983D10" w:rsidRDefault="00D22D6C" w:rsidP="00D22D6C">
      <w:pPr>
        <w:pStyle w:val="Prrafodelista"/>
        <w:ind w:left="0"/>
        <w:rPr>
          <w:rFonts w:cs="Arial"/>
        </w:rPr>
      </w:pPr>
      <w:r w:rsidRPr="00983D10">
        <w:rPr>
          <w:rFonts w:cs="Arial"/>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D22D6C" w:rsidRPr="00983D10" w:rsidRDefault="00D22D6C" w:rsidP="00D22D6C">
      <w:pPr>
        <w:tabs>
          <w:tab w:val="left" w:pos="709"/>
        </w:tabs>
        <w:rPr>
          <w:rFonts w:eastAsia="Palatino Linotype" w:cs="Palatino Linotype"/>
          <w:color w:val="000000"/>
          <w:szCs w:val="24"/>
        </w:rPr>
      </w:pPr>
    </w:p>
    <w:p w:rsidR="00F93924" w:rsidRPr="00983D10" w:rsidRDefault="00D22D6C" w:rsidP="00F93924">
      <w:pPr>
        <w:autoSpaceDE w:val="0"/>
        <w:autoSpaceDN w:val="0"/>
        <w:adjustRightInd w:val="0"/>
        <w:rPr>
          <w:color w:val="000000"/>
          <w:szCs w:val="24"/>
        </w:rPr>
      </w:pPr>
      <w:r w:rsidRPr="00983D10">
        <w:rPr>
          <w:color w:val="000000"/>
          <w:szCs w:val="24"/>
        </w:rPr>
        <w:t xml:space="preserve">Por lo descrito en líneas anteriores el Sujeto Obligado tiene la obligación de contar con la digitalización del soporte documental requerido por el Recurrente por lo que resulta dable ordenar de ser procedente en versión pública la dispersión de nómina del primero de enero al </w:t>
      </w:r>
      <w:r w:rsidR="00164C90" w:rsidRPr="00983D10">
        <w:rPr>
          <w:color w:val="000000"/>
          <w:szCs w:val="24"/>
        </w:rPr>
        <w:t xml:space="preserve">quince de abril </w:t>
      </w:r>
      <w:r w:rsidRPr="00983D10">
        <w:rPr>
          <w:color w:val="000000"/>
          <w:szCs w:val="24"/>
        </w:rPr>
        <w:t>dos mil veinticinco del perso</w:t>
      </w:r>
      <w:r w:rsidR="00370C6F" w:rsidRPr="00983D10">
        <w:rPr>
          <w:color w:val="000000"/>
          <w:szCs w:val="24"/>
        </w:rPr>
        <w:t xml:space="preserve">nal adscrito al Sujeto Obligado </w:t>
      </w:r>
      <w:r w:rsidR="00043FCF" w:rsidRPr="00983D10">
        <w:rPr>
          <w:color w:val="000000"/>
          <w:szCs w:val="24"/>
        </w:rPr>
        <w:t xml:space="preserve">por generarse de manera quincenal </w:t>
      </w:r>
      <w:r w:rsidR="00370C6F" w:rsidRPr="00983D10">
        <w:rPr>
          <w:color w:val="000000"/>
          <w:szCs w:val="24"/>
        </w:rPr>
        <w:t>así como la póliza de cheque</w:t>
      </w:r>
      <w:r w:rsidRPr="00983D10">
        <w:rPr>
          <w:color w:val="000000"/>
          <w:szCs w:val="24"/>
        </w:rPr>
        <w:t xml:space="preserve"> </w:t>
      </w:r>
      <w:r w:rsidR="00370C6F" w:rsidRPr="00983D10">
        <w:rPr>
          <w:color w:val="000000"/>
          <w:szCs w:val="24"/>
        </w:rPr>
        <w:t>que acredite el pago a los trabajadores adscritos al Sujeto Obligado del primero de enero al treinta y uno de marzo de dos mil veinticinco</w:t>
      </w:r>
      <w:r w:rsidR="00043FCF" w:rsidRPr="00983D10">
        <w:rPr>
          <w:color w:val="000000"/>
          <w:szCs w:val="24"/>
        </w:rPr>
        <w:t xml:space="preserve"> por generarse de manera mensual</w:t>
      </w:r>
      <w:r w:rsidR="00F93924" w:rsidRPr="00983D10">
        <w:rPr>
          <w:color w:val="000000"/>
          <w:szCs w:val="24"/>
        </w:rPr>
        <w:t xml:space="preserve">, así como la póliza de Cheque que acredite el pago </w:t>
      </w:r>
      <w:r w:rsidR="00F93924" w:rsidRPr="00983D10">
        <w:rPr>
          <w:rFonts w:eastAsia="Palatino Linotype" w:cs="Palatino Linotype"/>
          <w:szCs w:val="24"/>
        </w:rPr>
        <w:t xml:space="preserve">de prestaciones, tales como </w:t>
      </w:r>
      <w:r w:rsidR="00F93924" w:rsidRPr="00983D10">
        <w:rPr>
          <w:szCs w:val="24"/>
        </w:rPr>
        <w:t>aguinaldo, primas, bono, dietas</w:t>
      </w:r>
      <w:r w:rsidR="00F93924" w:rsidRPr="00983D10">
        <w:rPr>
          <w:rFonts w:eastAsia="Palatino Linotype" w:cs="Palatino Linotype"/>
          <w:szCs w:val="24"/>
        </w:rPr>
        <w:t>, entre otros</w:t>
      </w:r>
      <w:r w:rsidR="00F93924" w:rsidRPr="00983D10">
        <w:rPr>
          <w:color w:val="000000"/>
          <w:szCs w:val="24"/>
        </w:rPr>
        <w:t xml:space="preserve"> a los trabajadores adscritos al Sujeto Obligado del primero de enero al treinta y uno de marzo de dos mil veinticinco.</w:t>
      </w:r>
    </w:p>
    <w:p w:rsidR="00D22D6C" w:rsidRPr="00983D10" w:rsidRDefault="00D22D6C" w:rsidP="00D22D6C">
      <w:pPr>
        <w:pBdr>
          <w:top w:val="nil"/>
          <w:left w:val="nil"/>
          <w:bottom w:val="nil"/>
          <w:right w:val="nil"/>
          <w:between w:val="nil"/>
        </w:pBdr>
        <w:contextualSpacing/>
        <w:rPr>
          <w:color w:val="000000"/>
        </w:rPr>
      </w:pPr>
    </w:p>
    <w:p w:rsidR="00F93924" w:rsidRPr="00983D10" w:rsidRDefault="00F93924" w:rsidP="00F93924">
      <w:pPr>
        <w:pStyle w:val="Prrafodelista"/>
        <w:tabs>
          <w:tab w:val="left" w:pos="426"/>
        </w:tabs>
        <w:ind w:left="1071" w:right="49"/>
        <w:rPr>
          <w:i/>
          <w:sz w:val="22"/>
        </w:rPr>
      </w:pPr>
    </w:p>
    <w:p w:rsidR="00F93924" w:rsidRPr="00983D10" w:rsidRDefault="00F93924" w:rsidP="00F93924">
      <w:pPr>
        <w:tabs>
          <w:tab w:val="left" w:pos="426"/>
        </w:tabs>
        <w:ind w:right="49"/>
        <w:rPr>
          <w:szCs w:val="24"/>
        </w:rPr>
      </w:pPr>
      <w:r w:rsidRPr="00983D10">
        <w:rPr>
          <w:szCs w:val="24"/>
        </w:rPr>
        <w:lastRenderedPageBreak/>
        <w:t>De ser el caso que</w:t>
      </w:r>
      <w:r w:rsidR="001B39A7" w:rsidRPr="00983D10">
        <w:rPr>
          <w:szCs w:val="24"/>
        </w:rPr>
        <w:t xml:space="preserve"> </w:t>
      </w:r>
      <w:r w:rsidRPr="00983D10">
        <w:rPr>
          <w:szCs w:val="24"/>
        </w:rPr>
        <w:t>el Sujeto Obligado no haya realizado pago por concepto de prestaciones como aguina</w:t>
      </w:r>
      <w:r w:rsidR="001B39A7" w:rsidRPr="00983D10">
        <w:rPr>
          <w:szCs w:val="24"/>
        </w:rPr>
        <w:t>ldo, primas, bono, dietas etc. b</w:t>
      </w:r>
      <w:r w:rsidRPr="00983D10">
        <w:rPr>
          <w:szCs w:val="24"/>
        </w:rPr>
        <w:t>astara con que el Sujeto Obligado así lo manifieste en términos de lo establecido por el artículo 19 de la Ley de Transparencia Local.</w:t>
      </w:r>
    </w:p>
    <w:p w:rsidR="00F93924" w:rsidRPr="00983D10" w:rsidRDefault="00F93924" w:rsidP="00D22D6C">
      <w:pPr>
        <w:pBdr>
          <w:top w:val="nil"/>
          <w:left w:val="nil"/>
          <w:bottom w:val="nil"/>
          <w:right w:val="nil"/>
          <w:between w:val="nil"/>
        </w:pBdr>
        <w:contextualSpacing/>
        <w:rPr>
          <w:color w:val="000000"/>
        </w:rPr>
      </w:pPr>
    </w:p>
    <w:p w:rsidR="00D22D6C" w:rsidRPr="00983D10" w:rsidRDefault="00D22D6C" w:rsidP="00D22D6C">
      <w:pPr>
        <w:rPr>
          <w:rFonts w:eastAsia="Times New Roman" w:cs="Times New Roman"/>
          <w:b/>
          <w:bCs/>
          <w:i/>
          <w:iCs/>
          <w:szCs w:val="24"/>
          <w:u w:val="single"/>
        </w:rPr>
      </w:pPr>
      <w:r w:rsidRPr="00983D10">
        <w:rPr>
          <w:rFonts w:eastAsia="Times New Roman" w:cs="Times New Roman"/>
          <w:b/>
          <w:bCs/>
          <w:i/>
          <w:iCs/>
          <w:szCs w:val="24"/>
          <w:u w:val="single"/>
        </w:rPr>
        <w:t>DE LA VERSIÓN PÚBLICA</w:t>
      </w:r>
    </w:p>
    <w:p w:rsidR="00D22D6C" w:rsidRPr="00983D10" w:rsidRDefault="00D22D6C" w:rsidP="00D22D6C">
      <w:pPr>
        <w:rPr>
          <w:rFonts w:eastAsia="Arial Unicode MS"/>
          <w:szCs w:val="24"/>
        </w:rPr>
      </w:pPr>
      <w:r w:rsidRPr="00983D10">
        <w:rPr>
          <w:rFonts w:eastAsia="Arial Unicode MS"/>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D22D6C" w:rsidRPr="00983D10" w:rsidRDefault="00D22D6C" w:rsidP="00D22D6C">
      <w:pPr>
        <w:rPr>
          <w:bCs/>
          <w:szCs w:val="24"/>
        </w:rPr>
      </w:pPr>
    </w:p>
    <w:p w:rsidR="00D22D6C" w:rsidRPr="00983D10" w:rsidRDefault="00D22D6C" w:rsidP="00D22D6C">
      <w:pPr>
        <w:rPr>
          <w:szCs w:val="24"/>
        </w:rPr>
      </w:pPr>
      <w:r w:rsidRPr="00983D10">
        <w:rPr>
          <w:bCs/>
          <w:szCs w:val="24"/>
        </w:rPr>
        <w:t>A este respecto, los</w:t>
      </w:r>
      <w:r w:rsidRPr="00983D10">
        <w:rPr>
          <w:szCs w:val="24"/>
        </w:rPr>
        <w:t xml:space="preserve"> artículos 3, fracciones IX, XX, XXI y XLV; 51 y 52de la Ley de Transparencia y Acceso a la Información Pública del Estado de México y Municipios establecen:</w:t>
      </w:r>
    </w:p>
    <w:p w:rsidR="00D22D6C" w:rsidRPr="00983D10" w:rsidRDefault="00D22D6C" w:rsidP="00D22D6C">
      <w:pPr>
        <w:ind w:left="567" w:right="616"/>
        <w:rPr>
          <w:i/>
          <w:sz w:val="22"/>
        </w:rPr>
      </w:pPr>
      <w:r w:rsidRPr="00983D10">
        <w:rPr>
          <w:rFonts w:cs="Arial"/>
          <w:b/>
          <w:bCs/>
          <w:i/>
          <w:sz w:val="22"/>
        </w:rPr>
        <w:t xml:space="preserve">Artículo 3. </w:t>
      </w:r>
      <w:r w:rsidRPr="00983D10">
        <w:rPr>
          <w:i/>
          <w:sz w:val="22"/>
        </w:rPr>
        <w:t xml:space="preserve">Para los efectos de la presente Ley se entenderá por: </w:t>
      </w:r>
    </w:p>
    <w:p w:rsidR="00D22D6C" w:rsidRPr="00983D10" w:rsidRDefault="00D22D6C" w:rsidP="00D22D6C">
      <w:pPr>
        <w:ind w:left="567" w:right="616"/>
        <w:rPr>
          <w:i/>
          <w:sz w:val="22"/>
        </w:rPr>
      </w:pPr>
      <w:r w:rsidRPr="00983D10">
        <w:rPr>
          <w:rFonts w:cs="Arial"/>
          <w:i/>
          <w:sz w:val="22"/>
        </w:rPr>
        <w:t>(…</w:t>
      </w:r>
      <w:r w:rsidRPr="00983D10">
        <w:rPr>
          <w:i/>
          <w:sz w:val="22"/>
        </w:rPr>
        <w:t>)</w:t>
      </w:r>
    </w:p>
    <w:p w:rsidR="00D22D6C" w:rsidRPr="00983D10" w:rsidRDefault="00D22D6C" w:rsidP="00D22D6C">
      <w:pPr>
        <w:ind w:left="567" w:right="616"/>
        <w:rPr>
          <w:rFonts w:cs="Arial"/>
          <w:i/>
          <w:sz w:val="22"/>
        </w:rPr>
      </w:pPr>
      <w:r w:rsidRPr="00983D10">
        <w:rPr>
          <w:rFonts w:cs="Arial"/>
          <w:b/>
          <w:i/>
          <w:sz w:val="22"/>
        </w:rPr>
        <w:t>IX.</w:t>
      </w:r>
      <w:r w:rsidRPr="00983D10">
        <w:rPr>
          <w:rFonts w:cs="Arial"/>
          <w:i/>
          <w:sz w:val="22"/>
        </w:rPr>
        <w:t xml:space="preserve"> </w:t>
      </w:r>
      <w:r w:rsidRPr="00983D10">
        <w:rPr>
          <w:rFonts w:cs="Arial"/>
          <w:b/>
          <w:i/>
          <w:sz w:val="22"/>
        </w:rPr>
        <w:t xml:space="preserve">Datos personales: </w:t>
      </w:r>
      <w:r w:rsidRPr="00983D10">
        <w:rPr>
          <w:rFonts w:cs="Arial"/>
          <w:i/>
          <w:sz w:val="22"/>
        </w:rPr>
        <w:t xml:space="preserve">La información concerniente a una persona, identificada o identificable según lo dispuesto por la Ley de Protección de Datos Personales del Estado de México; </w:t>
      </w:r>
    </w:p>
    <w:p w:rsidR="00D22D6C" w:rsidRPr="00983D10" w:rsidRDefault="00D22D6C" w:rsidP="00D22D6C">
      <w:pPr>
        <w:ind w:left="567" w:right="616"/>
        <w:rPr>
          <w:rFonts w:cs="Arial"/>
          <w:i/>
          <w:sz w:val="22"/>
        </w:rPr>
      </w:pPr>
      <w:r w:rsidRPr="00983D10">
        <w:rPr>
          <w:rFonts w:cs="Arial"/>
          <w:i/>
          <w:sz w:val="22"/>
        </w:rPr>
        <w:t>(…)</w:t>
      </w:r>
    </w:p>
    <w:p w:rsidR="00D22D6C" w:rsidRPr="00983D10" w:rsidRDefault="00D22D6C" w:rsidP="00D22D6C">
      <w:pPr>
        <w:ind w:left="567" w:right="616"/>
        <w:rPr>
          <w:rFonts w:cs="Arial"/>
          <w:i/>
          <w:sz w:val="22"/>
        </w:rPr>
      </w:pPr>
      <w:r w:rsidRPr="00983D10">
        <w:rPr>
          <w:rFonts w:cs="Arial"/>
          <w:b/>
          <w:i/>
          <w:sz w:val="22"/>
        </w:rPr>
        <w:t>XX.</w:t>
      </w:r>
      <w:r w:rsidRPr="00983D10">
        <w:rPr>
          <w:rFonts w:cs="Arial"/>
          <w:i/>
          <w:sz w:val="22"/>
        </w:rPr>
        <w:t xml:space="preserve"> </w:t>
      </w:r>
      <w:r w:rsidRPr="00983D10">
        <w:rPr>
          <w:rFonts w:cs="Arial"/>
          <w:b/>
          <w:i/>
          <w:sz w:val="22"/>
        </w:rPr>
        <w:t>Información clasificada:</w:t>
      </w:r>
      <w:r w:rsidRPr="00983D10">
        <w:rPr>
          <w:rFonts w:cs="Arial"/>
          <w:i/>
          <w:sz w:val="22"/>
        </w:rPr>
        <w:t xml:space="preserve"> Aquella considerada por la presente Ley como reservada o confidencial; </w:t>
      </w:r>
    </w:p>
    <w:p w:rsidR="00D22D6C" w:rsidRPr="00983D10" w:rsidRDefault="00D22D6C" w:rsidP="00D22D6C">
      <w:pPr>
        <w:ind w:left="567" w:right="616"/>
        <w:rPr>
          <w:rFonts w:cs="Arial"/>
          <w:i/>
          <w:sz w:val="22"/>
        </w:rPr>
      </w:pPr>
      <w:r w:rsidRPr="00983D10">
        <w:rPr>
          <w:rFonts w:cs="Arial"/>
          <w:b/>
          <w:i/>
          <w:sz w:val="22"/>
        </w:rPr>
        <w:lastRenderedPageBreak/>
        <w:t>XXI.</w:t>
      </w:r>
      <w:r w:rsidRPr="00983D10">
        <w:rPr>
          <w:rFonts w:cs="Arial"/>
          <w:i/>
          <w:sz w:val="22"/>
        </w:rPr>
        <w:t xml:space="preserve"> </w:t>
      </w:r>
      <w:r w:rsidRPr="00983D10">
        <w:rPr>
          <w:rFonts w:cs="Arial"/>
          <w:b/>
          <w:i/>
          <w:sz w:val="22"/>
        </w:rPr>
        <w:t>Información confidencial</w:t>
      </w:r>
      <w:r w:rsidRPr="00983D10">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D22D6C" w:rsidRPr="00983D10" w:rsidRDefault="00D22D6C" w:rsidP="00D22D6C">
      <w:pPr>
        <w:ind w:left="567" w:right="616"/>
        <w:rPr>
          <w:rFonts w:cs="Arial"/>
          <w:i/>
          <w:sz w:val="22"/>
        </w:rPr>
      </w:pPr>
      <w:r w:rsidRPr="00983D10">
        <w:rPr>
          <w:rFonts w:cs="Arial"/>
          <w:i/>
          <w:sz w:val="22"/>
        </w:rPr>
        <w:t>(…)</w:t>
      </w:r>
    </w:p>
    <w:p w:rsidR="00D22D6C" w:rsidRPr="00983D10" w:rsidRDefault="00D22D6C" w:rsidP="00D22D6C">
      <w:pPr>
        <w:ind w:left="567" w:right="616"/>
        <w:rPr>
          <w:rFonts w:cs="Arial"/>
          <w:i/>
          <w:sz w:val="22"/>
        </w:rPr>
      </w:pPr>
      <w:r w:rsidRPr="00983D10">
        <w:rPr>
          <w:rFonts w:cs="Arial"/>
          <w:b/>
          <w:i/>
          <w:sz w:val="22"/>
        </w:rPr>
        <w:t>XLV. Versión pública:</w:t>
      </w:r>
      <w:r w:rsidRPr="00983D10">
        <w:rPr>
          <w:rFonts w:cs="Arial"/>
          <w:i/>
          <w:sz w:val="22"/>
        </w:rPr>
        <w:t xml:space="preserve"> Documento en el que se elimine, suprime o borra la información clasificada como reservada o confidencial para permitir su acceso. </w:t>
      </w:r>
    </w:p>
    <w:p w:rsidR="00D22D6C" w:rsidRPr="00983D10" w:rsidRDefault="00D22D6C" w:rsidP="00D22D6C">
      <w:pPr>
        <w:ind w:left="567" w:right="616"/>
        <w:rPr>
          <w:rFonts w:cs="Arial"/>
          <w:i/>
          <w:sz w:val="22"/>
        </w:rPr>
      </w:pPr>
    </w:p>
    <w:p w:rsidR="00D22D6C" w:rsidRPr="00983D10" w:rsidRDefault="00D22D6C" w:rsidP="00D22D6C">
      <w:pPr>
        <w:ind w:left="567" w:right="616"/>
        <w:rPr>
          <w:rFonts w:cs="Arial"/>
          <w:i/>
          <w:sz w:val="22"/>
        </w:rPr>
      </w:pPr>
      <w:r w:rsidRPr="00983D10">
        <w:rPr>
          <w:rFonts w:cs="Arial"/>
          <w:b/>
          <w:i/>
          <w:sz w:val="22"/>
        </w:rPr>
        <w:t>Artículo 51.</w:t>
      </w:r>
      <w:r w:rsidRPr="00983D10">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83D10">
        <w:rPr>
          <w:rFonts w:cs="Arial"/>
          <w:b/>
          <w:i/>
          <w:sz w:val="22"/>
        </w:rPr>
        <w:t xml:space="preserve">y tendrá la responsabilidad de verificar en cada caso que la misma no sea confidencial o reservada. </w:t>
      </w:r>
      <w:r w:rsidRPr="00983D10">
        <w:rPr>
          <w:rFonts w:cs="Arial"/>
          <w:i/>
          <w:sz w:val="22"/>
        </w:rPr>
        <w:t xml:space="preserve">Dicha Unidad contará con las facultades internas necesarias para gestionar la atención a las solicitudes de información en los términos de la Ley General y la presente Ley. </w:t>
      </w:r>
    </w:p>
    <w:p w:rsidR="00D22D6C" w:rsidRPr="00983D10" w:rsidRDefault="00D22D6C" w:rsidP="00D22D6C">
      <w:pPr>
        <w:ind w:left="567" w:right="616"/>
        <w:rPr>
          <w:rFonts w:cs="Arial"/>
          <w:bCs/>
          <w:i/>
          <w:noProof/>
          <w:sz w:val="22"/>
        </w:rPr>
      </w:pPr>
      <w:r w:rsidRPr="00983D10">
        <w:rPr>
          <w:rFonts w:cs="Arial"/>
          <w:b/>
          <w:i/>
          <w:sz w:val="22"/>
        </w:rPr>
        <w:t>Artículo 52.</w:t>
      </w:r>
      <w:r w:rsidRPr="00983D10">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D22D6C" w:rsidRPr="00983D10" w:rsidRDefault="00D22D6C" w:rsidP="00D22D6C">
      <w:pPr>
        <w:rPr>
          <w:noProof/>
          <w:sz w:val="22"/>
        </w:rPr>
      </w:pPr>
    </w:p>
    <w:p w:rsidR="00D22D6C" w:rsidRPr="00983D10" w:rsidRDefault="00D22D6C" w:rsidP="00D22D6C">
      <w:pPr>
        <w:rPr>
          <w:szCs w:val="24"/>
        </w:rPr>
      </w:pPr>
      <w:r w:rsidRPr="00983D10">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983D10">
        <w:rPr>
          <w:szCs w:val="24"/>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rsidR="00D22D6C" w:rsidRPr="00983D10" w:rsidRDefault="00D22D6C" w:rsidP="00D22D6C">
      <w:pPr>
        <w:ind w:left="567" w:right="616"/>
        <w:rPr>
          <w:rFonts w:eastAsia="Arial Unicode MS" w:cs="Arial"/>
          <w:i/>
          <w:sz w:val="22"/>
        </w:rPr>
      </w:pPr>
      <w:r w:rsidRPr="00983D10">
        <w:rPr>
          <w:rFonts w:eastAsia="Arial Unicode MS" w:cs="Arial"/>
          <w:b/>
          <w:i/>
          <w:sz w:val="22"/>
        </w:rPr>
        <w:t>Artículo</w:t>
      </w:r>
      <w:r w:rsidRPr="00983D10">
        <w:rPr>
          <w:rFonts w:eastAsia="Arial Unicode MS" w:cs="Arial"/>
          <w:i/>
          <w:sz w:val="22"/>
        </w:rPr>
        <w:t xml:space="preserve"> </w:t>
      </w:r>
      <w:r w:rsidRPr="00983D10">
        <w:rPr>
          <w:rFonts w:eastAsia="Arial Unicode MS" w:cs="Arial"/>
          <w:b/>
          <w:i/>
          <w:sz w:val="22"/>
        </w:rPr>
        <w:t>22</w:t>
      </w:r>
      <w:r w:rsidRPr="00983D10">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rsidR="00D22D6C" w:rsidRPr="00983D10" w:rsidRDefault="00D22D6C" w:rsidP="00D22D6C">
      <w:pPr>
        <w:ind w:left="567" w:right="616"/>
        <w:rPr>
          <w:rFonts w:eastAsia="Arial Unicode MS" w:cs="Arial"/>
          <w:i/>
          <w:sz w:val="22"/>
        </w:rPr>
      </w:pPr>
    </w:p>
    <w:p w:rsidR="00D22D6C" w:rsidRPr="00983D10" w:rsidRDefault="00D22D6C" w:rsidP="00D22D6C">
      <w:pPr>
        <w:ind w:left="567" w:right="616"/>
        <w:rPr>
          <w:rFonts w:eastAsia="Arial Unicode MS" w:cs="Arial"/>
          <w:i/>
          <w:sz w:val="22"/>
        </w:rPr>
      </w:pPr>
      <w:r w:rsidRPr="00983D10">
        <w:rPr>
          <w:rFonts w:eastAsia="Arial Unicode MS" w:cs="Arial"/>
          <w:i/>
          <w:sz w:val="22"/>
        </w:rPr>
        <w:t>El responsable podrá tratar datos personales para finalidades distintas a aquéllas establecidas en el aviso de privacidad, en los casos siguientes:</w:t>
      </w:r>
    </w:p>
    <w:p w:rsidR="00D22D6C" w:rsidRPr="00983D10" w:rsidRDefault="00D22D6C" w:rsidP="00D22D6C">
      <w:pPr>
        <w:ind w:left="567" w:right="616"/>
        <w:rPr>
          <w:rFonts w:eastAsia="Arial Unicode MS" w:cs="Arial"/>
          <w:i/>
          <w:sz w:val="22"/>
        </w:rPr>
      </w:pPr>
    </w:p>
    <w:p w:rsidR="00D22D6C" w:rsidRPr="00983D10" w:rsidRDefault="00D22D6C" w:rsidP="00D22D6C">
      <w:pPr>
        <w:ind w:left="567" w:right="616"/>
        <w:rPr>
          <w:rFonts w:eastAsia="Arial Unicode MS" w:cs="Arial"/>
          <w:i/>
          <w:sz w:val="22"/>
        </w:rPr>
      </w:pPr>
      <w:r w:rsidRPr="00983D10">
        <w:rPr>
          <w:rFonts w:eastAsia="Arial Unicode MS" w:cs="Arial"/>
          <w:i/>
          <w:sz w:val="22"/>
        </w:rPr>
        <w:t>I. Cuente con atribuciones conferidas en ley y medie el consentimiento del titular.</w:t>
      </w:r>
    </w:p>
    <w:p w:rsidR="00D22D6C" w:rsidRPr="00983D10" w:rsidRDefault="00D22D6C" w:rsidP="00D22D6C">
      <w:pPr>
        <w:ind w:left="567" w:right="616"/>
        <w:rPr>
          <w:rFonts w:eastAsia="Arial Unicode MS" w:cs="Arial"/>
          <w:i/>
          <w:sz w:val="22"/>
        </w:rPr>
      </w:pPr>
      <w:r w:rsidRPr="00983D10">
        <w:rPr>
          <w:rFonts w:eastAsia="Arial Unicode MS" w:cs="Arial"/>
          <w:i/>
          <w:sz w:val="22"/>
        </w:rPr>
        <w:t>II. Se trate de una persona reportada como desaparecida, en los términos previstos en la presente Ley y demás disposiciones legales aplicables...</w:t>
      </w:r>
    </w:p>
    <w:p w:rsidR="00D22D6C" w:rsidRPr="00983D10" w:rsidRDefault="00D22D6C" w:rsidP="00D22D6C">
      <w:pPr>
        <w:ind w:left="567" w:right="616"/>
        <w:rPr>
          <w:rFonts w:eastAsia="Arial Unicode MS" w:cs="Arial"/>
          <w:i/>
          <w:sz w:val="22"/>
        </w:rPr>
      </w:pPr>
      <w:r w:rsidRPr="00983D10">
        <w:rPr>
          <w:rFonts w:eastAsia="Arial Unicode MS" w:cs="Arial"/>
          <w:b/>
          <w:i/>
          <w:sz w:val="22"/>
        </w:rPr>
        <w:t>Artículo</w:t>
      </w:r>
      <w:r w:rsidRPr="00983D10">
        <w:rPr>
          <w:rFonts w:eastAsia="Arial Unicode MS" w:cs="Arial"/>
          <w:i/>
          <w:sz w:val="22"/>
        </w:rPr>
        <w:t xml:space="preserve"> </w:t>
      </w:r>
      <w:r w:rsidRPr="00983D10">
        <w:rPr>
          <w:rFonts w:eastAsia="Arial Unicode MS" w:cs="Arial"/>
          <w:b/>
          <w:i/>
          <w:sz w:val="22"/>
        </w:rPr>
        <w:t>38</w:t>
      </w:r>
      <w:r w:rsidRPr="00983D10">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D22D6C" w:rsidRPr="00983D10" w:rsidRDefault="00D22D6C" w:rsidP="00D22D6C">
      <w:pPr>
        <w:ind w:left="567" w:right="616"/>
        <w:rPr>
          <w:rFonts w:eastAsia="Arial Unicode MS" w:cs="Arial"/>
          <w:i/>
        </w:rPr>
      </w:pPr>
    </w:p>
    <w:p w:rsidR="00D22D6C" w:rsidRPr="00983D10" w:rsidRDefault="00D22D6C" w:rsidP="00D22D6C">
      <w:pPr>
        <w:rPr>
          <w:szCs w:val="24"/>
        </w:rPr>
      </w:pPr>
      <w:r w:rsidRPr="00983D10">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983D10">
        <w:rPr>
          <w:szCs w:val="24"/>
        </w:rPr>
        <w:lastRenderedPageBreak/>
        <w:t xml:space="preserve">particulares y de los servidores públicos toda vez que ésta tiene por objeto proteger datos personales, entendiéndose por tales, aquéllos que hacen identificable a una persona. </w:t>
      </w:r>
    </w:p>
    <w:p w:rsidR="00D22D6C" w:rsidRPr="00983D10" w:rsidRDefault="00D22D6C" w:rsidP="00D22D6C">
      <w:pPr>
        <w:rPr>
          <w:szCs w:val="24"/>
        </w:rPr>
      </w:pPr>
    </w:p>
    <w:p w:rsidR="00D22D6C" w:rsidRPr="00983D10" w:rsidRDefault="00D22D6C" w:rsidP="00D22D6C">
      <w:pPr>
        <w:rPr>
          <w:rFonts w:eastAsia="Arial Unicode MS"/>
          <w:szCs w:val="24"/>
        </w:rPr>
      </w:pPr>
      <w:r w:rsidRPr="00983D10">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83D10">
        <w:rPr>
          <w:rFonts w:eastAsia="Arial Unicode MS"/>
          <w:color w:val="000000"/>
          <w:szCs w:val="24"/>
        </w:rPr>
        <w:t>el Sujeto Obligado</w:t>
      </w:r>
      <w:r w:rsidRPr="00983D10">
        <w:rPr>
          <w:rFonts w:eastAsia="Arial Unicode MS"/>
          <w:szCs w:val="24"/>
        </w:rPr>
        <w:t xml:space="preserve">, en ese contexto, todo dato personal susceptible de clasificación debe ser protegido. </w:t>
      </w:r>
    </w:p>
    <w:p w:rsidR="00D22D6C" w:rsidRPr="00983D10" w:rsidRDefault="00D22D6C" w:rsidP="00D22D6C">
      <w:pPr>
        <w:rPr>
          <w:rFonts w:cs="Tahoma"/>
          <w:b/>
          <w:bCs/>
          <w:iCs/>
          <w:color w:val="000000"/>
        </w:rPr>
      </w:pPr>
    </w:p>
    <w:p w:rsidR="00D22D6C" w:rsidRPr="00983D10" w:rsidRDefault="00D22D6C" w:rsidP="00D22D6C">
      <w:pPr>
        <w:rPr>
          <w:szCs w:val="24"/>
        </w:rPr>
      </w:pPr>
      <w:r w:rsidRPr="00983D10">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D22D6C" w:rsidRPr="00983D10" w:rsidRDefault="00D22D6C" w:rsidP="00D22D6C">
      <w:pPr>
        <w:rPr>
          <w:szCs w:val="24"/>
        </w:rPr>
      </w:pPr>
    </w:p>
    <w:p w:rsidR="00D22D6C" w:rsidRPr="00983D10" w:rsidRDefault="00D22D6C" w:rsidP="00D22D6C">
      <w:pPr>
        <w:rPr>
          <w:szCs w:val="24"/>
        </w:rPr>
      </w:pPr>
      <w:r w:rsidRPr="00983D10">
        <w:rPr>
          <w:szCs w:val="24"/>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D22D6C" w:rsidRPr="00983D10" w:rsidRDefault="00D22D6C" w:rsidP="00D22D6C">
      <w:pPr>
        <w:rPr>
          <w:szCs w:val="24"/>
        </w:rPr>
      </w:pPr>
    </w:p>
    <w:p w:rsidR="00D22D6C" w:rsidRPr="00983D10" w:rsidRDefault="00D22D6C" w:rsidP="00D22D6C">
      <w:pPr>
        <w:rPr>
          <w:szCs w:val="24"/>
        </w:rPr>
      </w:pPr>
      <w:r w:rsidRPr="00983D10">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rsidR="00D22D6C" w:rsidRPr="00983D10" w:rsidRDefault="00D22D6C" w:rsidP="00D22D6C">
      <w:pPr>
        <w:ind w:left="567" w:right="616"/>
        <w:rPr>
          <w:i/>
          <w:sz w:val="22"/>
        </w:rPr>
      </w:pPr>
      <w:r w:rsidRPr="00983D10">
        <w:rPr>
          <w:b/>
          <w:i/>
          <w:sz w:val="22"/>
        </w:rPr>
        <w:t xml:space="preserve">Artículo 49. </w:t>
      </w:r>
      <w:r w:rsidRPr="00983D10">
        <w:rPr>
          <w:i/>
          <w:sz w:val="22"/>
        </w:rPr>
        <w:t>Los Comités de Transparencia tendrán las siguientes atribuciones:</w:t>
      </w:r>
    </w:p>
    <w:p w:rsidR="00D22D6C" w:rsidRPr="00983D10" w:rsidRDefault="00D22D6C" w:rsidP="00D22D6C">
      <w:pPr>
        <w:ind w:left="567" w:right="616"/>
        <w:rPr>
          <w:bCs/>
          <w:i/>
          <w:sz w:val="22"/>
        </w:rPr>
      </w:pPr>
      <w:r w:rsidRPr="00983D10">
        <w:rPr>
          <w:bCs/>
          <w:i/>
          <w:sz w:val="22"/>
        </w:rPr>
        <w:t>(…)</w:t>
      </w:r>
    </w:p>
    <w:p w:rsidR="00D22D6C" w:rsidRPr="00983D10" w:rsidRDefault="00D22D6C" w:rsidP="00D22D6C">
      <w:pPr>
        <w:ind w:left="567" w:right="616"/>
        <w:rPr>
          <w:i/>
          <w:sz w:val="22"/>
        </w:rPr>
      </w:pPr>
      <w:r w:rsidRPr="00983D10">
        <w:rPr>
          <w:b/>
          <w:i/>
          <w:sz w:val="22"/>
        </w:rPr>
        <w:t>VIII.</w:t>
      </w:r>
      <w:r w:rsidRPr="00983D10">
        <w:rPr>
          <w:i/>
          <w:sz w:val="22"/>
        </w:rPr>
        <w:t xml:space="preserve"> Aprobar, modificar o revocar la clasificación de la información;</w:t>
      </w:r>
    </w:p>
    <w:p w:rsidR="00D22D6C" w:rsidRPr="00983D10" w:rsidRDefault="00D22D6C" w:rsidP="00D22D6C">
      <w:pPr>
        <w:ind w:left="567" w:right="616"/>
        <w:rPr>
          <w:bCs/>
          <w:i/>
          <w:sz w:val="22"/>
        </w:rPr>
      </w:pPr>
      <w:r w:rsidRPr="00983D10">
        <w:rPr>
          <w:bCs/>
          <w:i/>
          <w:sz w:val="22"/>
        </w:rPr>
        <w:t>(…)</w:t>
      </w:r>
    </w:p>
    <w:p w:rsidR="00D22D6C" w:rsidRPr="00983D10" w:rsidRDefault="00D22D6C" w:rsidP="00D22D6C">
      <w:pPr>
        <w:ind w:left="567" w:right="616"/>
        <w:rPr>
          <w:i/>
          <w:sz w:val="22"/>
        </w:rPr>
      </w:pPr>
    </w:p>
    <w:p w:rsidR="00D22D6C" w:rsidRPr="00983D10" w:rsidRDefault="00D22D6C" w:rsidP="00D22D6C">
      <w:pPr>
        <w:ind w:left="567" w:right="616"/>
        <w:rPr>
          <w:i/>
          <w:sz w:val="22"/>
        </w:rPr>
      </w:pPr>
      <w:r w:rsidRPr="00983D10">
        <w:rPr>
          <w:b/>
          <w:i/>
          <w:sz w:val="22"/>
        </w:rPr>
        <w:t>Artículo 132.</w:t>
      </w:r>
      <w:r w:rsidRPr="00983D10">
        <w:rPr>
          <w:i/>
          <w:sz w:val="22"/>
        </w:rPr>
        <w:t xml:space="preserve"> La clasificación de la información se llevará a cabo en el momento en que:</w:t>
      </w:r>
    </w:p>
    <w:p w:rsidR="00D22D6C" w:rsidRPr="00983D10" w:rsidRDefault="00D22D6C" w:rsidP="00D22D6C">
      <w:pPr>
        <w:ind w:left="567" w:right="616"/>
        <w:rPr>
          <w:b/>
          <w:i/>
          <w:sz w:val="22"/>
        </w:rPr>
      </w:pPr>
    </w:p>
    <w:p w:rsidR="00D22D6C" w:rsidRPr="00983D10" w:rsidRDefault="00D22D6C" w:rsidP="00D22D6C">
      <w:pPr>
        <w:ind w:left="567" w:right="616"/>
        <w:rPr>
          <w:i/>
          <w:sz w:val="22"/>
        </w:rPr>
      </w:pPr>
      <w:r w:rsidRPr="00983D10">
        <w:rPr>
          <w:b/>
          <w:i/>
          <w:sz w:val="22"/>
        </w:rPr>
        <w:t>I.</w:t>
      </w:r>
      <w:r w:rsidRPr="00983D10">
        <w:rPr>
          <w:i/>
          <w:sz w:val="22"/>
        </w:rPr>
        <w:t xml:space="preserve"> Se reciba una solicitud de acceso a la información;</w:t>
      </w:r>
    </w:p>
    <w:p w:rsidR="00D22D6C" w:rsidRPr="00983D10" w:rsidRDefault="00D22D6C" w:rsidP="00D22D6C">
      <w:pPr>
        <w:ind w:left="567" w:right="616"/>
        <w:rPr>
          <w:i/>
          <w:sz w:val="22"/>
        </w:rPr>
      </w:pPr>
      <w:r w:rsidRPr="00983D10">
        <w:rPr>
          <w:b/>
          <w:i/>
          <w:sz w:val="22"/>
        </w:rPr>
        <w:lastRenderedPageBreak/>
        <w:t>II.</w:t>
      </w:r>
      <w:r w:rsidRPr="00983D10">
        <w:rPr>
          <w:i/>
          <w:sz w:val="22"/>
        </w:rPr>
        <w:t xml:space="preserve"> Se determine mediante resolución de autoridad competente; o</w:t>
      </w:r>
    </w:p>
    <w:p w:rsidR="00D22D6C" w:rsidRPr="00983D10" w:rsidRDefault="00D22D6C" w:rsidP="00D22D6C">
      <w:pPr>
        <w:ind w:left="567" w:right="616"/>
        <w:rPr>
          <w:b/>
          <w:i/>
          <w:sz w:val="22"/>
        </w:rPr>
      </w:pPr>
      <w:r w:rsidRPr="00983D10">
        <w:rPr>
          <w:b/>
          <w:bCs/>
          <w:i/>
          <w:sz w:val="22"/>
        </w:rPr>
        <w:t>III.</w:t>
      </w:r>
      <w:r w:rsidRPr="00983D10">
        <w:rPr>
          <w:i/>
          <w:sz w:val="22"/>
        </w:rPr>
        <w:t xml:space="preserve"> Se generen versiones públicas para dar cumplimiento a las obligaciones de transparencia previstas en esta Ley.</w:t>
      </w:r>
      <w:r w:rsidRPr="00983D10">
        <w:rPr>
          <w:b/>
          <w:i/>
          <w:sz w:val="22"/>
        </w:rPr>
        <w:t>”</w:t>
      </w:r>
    </w:p>
    <w:p w:rsidR="00D22D6C" w:rsidRPr="00983D10" w:rsidRDefault="00D22D6C" w:rsidP="00D22D6C">
      <w:pPr>
        <w:ind w:left="567" w:right="616"/>
        <w:rPr>
          <w:b/>
          <w:i/>
          <w:sz w:val="22"/>
        </w:rPr>
      </w:pPr>
    </w:p>
    <w:p w:rsidR="00D22D6C" w:rsidRPr="00983D10" w:rsidRDefault="00D22D6C" w:rsidP="00D22D6C">
      <w:pPr>
        <w:ind w:left="567" w:right="616"/>
        <w:rPr>
          <w:i/>
          <w:sz w:val="22"/>
        </w:rPr>
      </w:pPr>
      <w:r w:rsidRPr="00983D10">
        <w:rPr>
          <w:b/>
          <w:i/>
          <w:sz w:val="22"/>
        </w:rPr>
        <w:t>Segundo.-</w:t>
      </w:r>
      <w:r w:rsidRPr="00983D10">
        <w:rPr>
          <w:i/>
          <w:sz w:val="22"/>
        </w:rPr>
        <w:t xml:space="preserve"> Para efectos de los presentes Lineamientos Generales, se entenderá por:</w:t>
      </w:r>
    </w:p>
    <w:p w:rsidR="00D22D6C" w:rsidRPr="00983D10" w:rsidRDefault="00D22D6C" w:rsidP="00D22D6C">
      <w:pPr>
        <w:ind w:left="567" w:right="616"/>
        <w:rPr>
          <w:i/>
          <w:sz w:val="22"/>
        </w:rPr>
      </w:pPr>
      <w:r w:rsidRPr="00983D10">
        <w:rPr>
          <w:b/>
          <w:i/>
          <w:sz w:val="22"/>
        </w:rPr>
        <w:t>XVIII.</w:t>
      </w:r>
      <w:r w:rsidRPr="00983D10">
        <w:rPr>
          <w:i/>
          <w:sz w:val="22"/>
        </w:rPr>
        <w:t xml:space="preserve"> </w:t>
      </w:r>
      <w:r w:rsidRPr="00983D10">
        <w:rPr>
          <w:b/>
          <w:i/>
          <w:sz w:val="22"/>
        </w:rPr>
        <w:t>Versión pública:</w:t>
      </w:r>
      <w:r w:rsidRPr="00983D10">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22D6C" w:rsidRPr="00983D10" w:rsidRDefault="00D22D6C" w:rsidP="00D22D6C">
      <w:pPr>
        <w:ind w:left="567" w:right="616"/>
        <w:rPr>
          <w:i/>
          <w:sz w:val="22"/>
        </w:rPr>
      </w:pPr>
      <w:r w:rsidRPr="00983D10">
        <w:rPr>
          <w:b/>
          <w:i/>
          <w:sz w:val="22"/>
        </w:rPr>
        <w:t>Cuarto.</w:t>
      </w:r>
      <w:r w:rsidRPr="00983D10">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22D6C" w:rsidRPr="00983D10" w:rsidRDefault="00D22D6C" w:rsidP="00D22D6C">
      <w:pPr>
        <w:ind w:left="567" w:right="616"/>
        <w:rPr>
          <w:i/>
          <w:sz w:val="22"/>
        </w:rPr>
      </w:pPr>
      <w:r w:rsidRPr="00983D10">
        <w:rPr>
          <w:i/>
          <w:sz w:val="22"/>
        </w:rPr>
        <w:t>Los Sujetos Obligados deberán aplicar, de manera estricta, las excepciones al derecho de acceso a la información y sólo podrán invocarlas cuando acrediten su procedencia.</w:t>
      </w:r>
    </w:p>
    <w:p w:rsidR="00D22D6C" w:rsidRPr="00983D10" w:rsidRDefault="00D22D6C" w:rsidP="00D22D6C">
      <w:pPr>
        <w:ind w:left="567" w:right="616"/>
        <w:rPr>
          <w:b/>
          <w:i/>
          <w:sz w:val="22"/>
        </w:rPr>
      </w:pPr>
    </w:p>
    <w:p w:rsidR="00D22D6C" w:rsidRPr="00983D10" w:rsidRDefault="00D22D6C" w:rsidP="00D22D6C">
      <w:pPr>
        <w:ind w:left="567" w:right="616"/>
        <w:rPr>
          <w:i/>
          <w:sz w:val="22"/>
        </w:rPr>
      </w:pPr>
      <w:r w:rsidRPr="00983D10">
        <w:rPr>
          <w:b/>
          <w:i/>
          <w:sz w:val="22"/>
        </w:rPr>
        <w:t>Quinto.</w:t>
      </w:r>
      <w:r w:rsidRPr="00983D10">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22D6C" w:rsidRPr="00983D10" w:rsidRDefault="00D22D6C" w:rsidP="00D22D6C">
      <w:pPr>
        <w:ind w:left="567" w:right="616"/>
        <w:rPr>
          <w:b/>
          <w:i/>
          <w:sz w:val="22"/>
        </w:rPr>
      </w:pPr>
    </w:p>
    <w:p w:rsidR="00D22D6C" w:rsidRPr="00983D10" w:rsidRDefault="00D22D6C" w:rsidP="00D22D6C">
      <w:pPr>
        <w:ind w:left="567" w:right="616"/>
        <w:rPr>
          <w:i/>
          <w:sz w:val="22"/>
        </w:rPr>
      </w:pPr>
      <w:r w:rsidRPr="00983D10">
        <w:rPr>
          <w:b/>
          <w:i/>
          <w:sz w:val="22"/>
        </w:rPr>
        <w:lastRenderedPageBreak/>
        <w:t>Sexto.</w:t>
      </w:r>
      <w:r w:rsidRPr="00983D10">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D22D6C" w:rsidRPr="00983D10" w:rsidRDefault="00D22D6C" w:rsidP="00D22D6C">
      <w:pPr>
        <w:ind w:left="567" w:right="616"/>
        <w:rPr>
          <w:i/>
          <w:sz w:val="22"/>
        </w:rPr>
      </w:pPr>
      <w:r w:rsidRPr="00983D10">
        <w:rPr>
          <w:i/>
          <w:sz w:val="22"/>
        </w:rPr>
        <w:t>La clasificación de información se realizará conforme a un análisis caso por caso, mediante la aplicación de la prueba de daño y de interés público.</w:t>
      </w:r>
    </w:p>
    <w:p w:rsidR="00D22D6C" w:rsidRPr="00983D10" w:rsidRDefault="00D22D6C" w:rsidP="00D22D6C">
      <w:pPr>
        <w:ind w:left="567" w:right="616"/>
        <w:rPr>
          <w:b/>
          <w:i/>
          <w:sz w:val="22"/>
        </w:rPr>
      </w:pPr>
    </w:p>
    <w:p w:rsidR="00D22D6C" w:rsidRPr="00983D10" w:rsidRDefault="00D22D6C" w:rsidP="00D22D6C">
      <w:pPr>
        <w:ind w:left="567" w:right="616"/>
        <w:rPr>
          <w:i/>
          <w:sz w:val="22"/>
        </w:rPr>
      </w:pPr>
      <w:r w:rsidRPr="00983D10">
        <w:rPr>
          <w:b/>
          <w:i/>
          <w:sz w:val="22"/>
        </w:rPr>
        <w:t>Séptimo.</w:t>
      </w:r>
      <w:r w:rsidRPr="00983D10">
        <w:rPr>
          <w:i/>
          <w:sz w:val="22"/>
        </w:rPr>
        <w:t xml:space="preserve"> La clasificación de la información se llevará a cabo en el momento en que:</w:t>
      </w:r>
    </w:p>
    <w:p w:rsidR="00D22D6C" w:rsidRPr="00983D10" w:rsidRDefault="00D22D6C" w:rsidP="00D22D6C">
      <w:pPr>
        <w:ind w:left="567" w:right="616"/>
        <w:rPr>
          <w:i/>
          <w:sz w:val="22"/>
        </w:rPr>
      </w:pPr>
      <w:r w:rsidRPr="00983D10">
        <w:rPr>
          <w:b/>
          <w:i/>
          <w:sz w:val="22"/>
        </w:rPr>
        <w:t>I.</w:t>
      </w:r>
      <w:r w:rsidRPr="00983D10">
        <w:rPr>
          <w:i/>
          <w:sz w:val="22"/>
        </w:rPr>
        <w:t xml:space="preserve"> Se reciba una solicitud de acceso a la información;</w:t>
      </w:r>
    </w:p>
    <w:p w:rsidR="00D22D6C" w:rsidRPr="00983D10" w:rsidRDefault="00D22D6C" w:rsidP="00D22D6C">
      <w:pPr>
        <w:ind w:left="567" w:right="616"/>
        <w:rPr>
          <w:b/>
          <w:i/>
          <w:sz w:val="22"/>
        </w:rPr>
      </w:pPr>
    </w:p>
    <w:p w:rsidR="00D22D6C" w:rsidRPr="00983D10" w:rsidRDefault="00D22D6C" w:rsidP="00D22D6C">
      <w:pPr>
        <w:ind w:left="567" w:right="616"/>
        <w:rPr>
          <w:i/>
          <w:sz w:val="22"/>
        </w:rPr>
      </w:pPr>
      <w:r w:rsidRPr="00983D10">
        <w:rPr>
          <w:b/>
          <w:i/>
          <w:sz w:val="22"/>
        </w:rPr>
        <w:t>II.</w:t>
      </w:r>
      <w:r w:rsidRPr="00983D10">
        <w:rPr>
          <w:i/>
          <w:sz w:val="22"/>
        </w:rPr>
        <w:t xml:space="preserve"> Se determine mediante resolución de autoridad competente, o</w:t>
      </w:r>
    </w:p>
    <w:p w:rsidR="00D22D6C" w:rsidRPr="00983D10" w:rsidRDefault="00D22D6C" w:rsidP="00D22D6C">
      <w:pPr>
        <w:ind w:left="567" w:right="616"/>
        <w:rPr>
          <w:i/>
          <w:sz w:val="22"/>
        </w:rPr>
      </w:pPr>
      <w:r w:rsidRPr="00983D10">
        <w:rPr>
          <w:b/>
          <w:i/>
          <w:sz w:val="22"/>
        </w:rPr>
        <w:t>III.</w:t>
      </w:r>
      <w:r w:rsidRPr="00983D10">
        <w:rPr>
          <w:i/>
          <w:sz w:val="22"/>
        </w:rPr>
        <w:t xml:space="preserve"> Se generen versiones públicas para dar cumplimiento a las obligaciones de transparencia previstas en la Ley General, la Ley Federal y las correspondientes de las entidades federativas.</w:t>
      </w:r>
    </w:p>
    <w:p w:rsidR="00D22D6C" w:rsidRPr="00983D10" w:rsidRDefault="00D22D6C" w:rsidP="00D22D6C">
      <w:pPr>
        <w:ind w:left="567" w:right="616"/>
        <w:rPr>
          <w:i/>
          <w:sz w:val="22"/>
        </w:rPr>
      </w:pPr>
      <w:r w:rsidRPr="00983D10">
        <w:rPr>
          <w:i/>
          <w:sz w:val="22"/>
        </w:rPr>
        <w:t>Los titulares de las áreas deberán revisar la clasificación al momento de la recepción de una solicitud de acceso a la información, para verificar si encuadra en una causal de reserva o de confidencialidad.</w:t>
      </w:r>
    </w:p>
    <w:p w:rsidR="00D22D6C" w:rsidRPr="00983D10" w:rsidRDefault="00D22D6C" w:rsidP="00D22D6C">
      <w:pPr>
        <w:ind w:left="567" w:right="616"/>
        <w:rPr>
          <w:i/>
          <w:sz w:val="22"/>
        </w:rPr>
      </w:pPr>
      <w:r w:rsidRPr="00983D10">
        <w:rPr>
          <w:b/>
          <w:i/>
          <w:sz w:val="22"/>
        </w:rPr>
        <w:t>Octavo.</w:t>
      </w:r>
      <w:r w:rsidRPr="00983D10">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22D6C" w:rsidRPr="00983D10" w:rsidRDefault="00D22D6C" w:rsidP="00D22D6C">
      <w:pPr>
        <w:ind w:left="567" w:right="616"/>
        <w:rPr>
          <w:i/>
          <w:sz w:val="22"/>
        </w:rPr>
      </w:pPr>
      <w:r w:rsidRPr="00983D10">
        <w:rPr>
          <w:i/>
          <w:sz w:val="22"/>
        </w:rPr>
        <w:t>Para motivar la clasificación se deberán señalar las razones o circunstancias especiales que lo llevaron a concluir que el caso particular se ajusta al supuesto previsto por la norma legal invocada como fundamento.</w:t>
      </w:r>
    </w:p>
    <w:p w:rsidR="00D22D6C" w:rsidRPr="00983D10" w:rsidRDefault="00D22D6C" w:rsidP="00D22D6C">
      <w:pPr>
        <w:ind w:left="567" w:right="616"/>
        <w:rPr>
          <w:i/>
          <w:sz w:val="22"/>
        </w:rPr>
      </w:pPr>
      <w:r w:rsidRPr="00983D10">
        <w:rPr>
          <w:i/>
          <w:sz w:val="22"/>
        </w:rPr>
        <w:t>En caso de referirse a información reservada, la motivación de la clasificación también deberá comprender las circunstancias que justifican el establecimiento de determinado plazo de reserva.</w:t>
      </w:r>
    </w:p>
    <w:p w:rsidR="00D22D6C" w:rsidRPr="00983D10" w:rsidRDefault="00D22D6C" w:rsidP="00D22D6C">
      <w:pPr>
        <w:ind w:left="567" w:right="616"/>
        <w:rPr>
          <w:i/>
          <w:sz w:val="22"/>
        </w:rPr>
      </w:pPr>
    </w:p>
    <w:p w:rsidR="00D22D6C" w:rsidRPr="00983D10" w:rsidRDefault="00D22D6C" w:rsidP="00D22D6C">
      <w:pPr>
        <w:ind w:left="567" w:right="616"/>
        <w:rPr>
          <w:i/>
          <w:sz w:val="22"/>
        </w:rPr>
      </w:pPr>
      <w:r w:rsidRPr="00983D10">
        <w:rPr>
          <w:i/>
          <w:sz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D22D6C" w:rsidRPr="00983D10" w:rsidRDefault="00D22D6C" w:rsidP="00D22D6C">
      <w:pPr>
        <w:ind w:left="567" w:right="616"/>
        <w:rPr>
          <w:i/>
          <w:sz w:val="22"/>
        </w:rPr>
      </w:pPr>
      <w:r w:rsidRPr="00983D10">
        <w:rPr>
          <w:i/>
          <w:sz w:val="22"/>
        </w:rPr>
        <w:t>Los documentos contenidos en los archivos históricos y los identificados como históricos confidenciales no serán susceptibles de clasificación como reservados.</w:t>
      </w:r>
    </w:p>
    <w:p w:rsidR="00D22D6C" w:rsidRPr="00983D10" w:rsidRDefault="00D22D6C" w:rsidP="00D22D6C">
      <w:pPr>
        <w:ind w:left="567" w:right="616"/>
        <w:rPr>
          <w:b/>
          <w:i/>
          <w:sz w:val="22"/>
        </w:rPr>
      </w:pPr>
    </w:p>
    <w:p w:rsidR="00D22D6C" w:rsidRPr="00983D10" w:rsidRDefault="00D22D6C" w:rsidP="00D22D6C">
      <w:pPr>
        <w:ind w:left="567" w:right="616"/>
        <w:rPr>
          <w:i/>
          <w:sz w:val="22"/>
        </w:rPr>
      </w:pPr>
      <w:r w:rsidRPr="00983D10">
        <w:rPr>
          <w:b/>
          <w:i/>
          <w:sz w:val="22"/>
        </w:rPr>
        <w:t>Noveno.</w:t>
      </w:r>
      <w:r w:rsidRPr="00983D10">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22D6C" w:rsidRPr="00983D10" w:rsidRDefault="00D22D6C" w:rsidP="00D22D6C">
      <w:pPr>
        <w:ind w:left="567" w:right="616"/>
        <w:rPr>
          <w:b/>
          <w:i/>
          <w:sz w:val="22"/>
        </w:rPr>
      </w:pPr>
    </w:p>
    <w:p w:rsidR="00D22D6C" w:rsidRPr="00983D10" w:rsidRDefault="00D22D6C" w:rsidP="00D22D6C">
      <w:pPr>
        <w:ind w:left="567" w:right="616"/>
        <w:rPr>
          <w:i/>
          <w:sz w:val="22"/>
        </w:rPr>
      </w:pPr>
      <w:r w:rsidRPr="00983D10">
        <w:rPr>
          <w:b/>
          <w:i/>
          <w:sz w:val="22"/>
        </w:rPr>
        <w:t>Décimo.</w:t>
      </w:r>
      <w:r w:rsidRPr="00983D10">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22D6C" w:rsidRPr="00983D10" w:rsidRDefault="00D22D6C" w:rsidP="00D22D6C">
      <w:pPr>
        <w:ind w:left="567" w:right="616"/>
        <w:rPr>
          <w:i/>
          <w:sz w:val="22"/>
        </w:rPr>
      </w:pPr>
      <w:r w:rsidRPr="00983D10">
        <w:rPr>
          <w:i/>
          <w:sz w:val="22"/>
        </w:rPr>
        <w:t>En ausencia de los titulares de las áreas, la información será clasificada o desclasificada por la persona que lo supla, en términos de la normativa que rija la actuación del sujeto obligado.</w:t>
      </w:r>
    </w:p>
    <w:p w:rsidR="00D22D6C" w:rsidRPr="00983D10" w:rsidRDefault="00D22D6C" w:rsidP="00D22D6C">
      <w:pPr>
        <w:ind w:left="567" w:right="616"/>
        <w:rPr>
          <w:b/>
          <w:i/>
          <w:sz w:val="22"/>
        </w:rPr>
      </w:pPr>
    </w:p>
    <w:p w:rsidR="00D22D6C" w:rsidRPr="00983D10" w:rsidRDefault="00D22D6C" w:rsidP="00D22D6C">
      <w:pPr>
        <w:ind w:left="567" w:right="616"/>
        <w:rPr>
          <w:b/>
          <w:sz w:val="22"/>
        </w:rPr>
      </w:pPr>
      <w:r w:rsidRPr="00983D10">
        <w:rPr>
          <w:b/>
          <w:i/>
          <w:sz w:val="22"/>
        </w:rPr>
        <w:t>Décimo primero.</w:t>
      </w:r>
      <w:r w:rsidRPr="00983D10">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22D6C" w:rsidRPr="00983D10" w:rsidRDefault="00D22D6C" w:rsidP="00D22D6C">
      <w:pPr>
        <w:rPr>
          <w:rFonts w:cs="Arial"/>
          <w:i/>
          <w:szCs w:val="24"/>
        </w:rPr>
      </w:pPr>
    </w:p>
    <w:p w:rsidR="00D22D6C" w:rsidRPr="00983D10" w:rsidRDefault="00D22D6C" w:rsidP="00D22D6C">
      <w:pPr>
        <w:rPr>
          <w:szCs w:val="24"/>
        </w:rPr>
      </w:pPr>
      <w:r w:rsidRPr="00983D10">
        <w:rPr>
          <w:szCs w:val="24"/>
        </w:rPr>
        <w:t xml:space="preserve">De este modo, como ha sido señalado en la presente resolución, en armonía entre los principios constitucionales de máxima publicidad y de protección de datos personales, la </w:t>
      </w:r>
      <w:r w:rsidRPr="00983D10">
        <w:rPr>
          <w:szCs w:val="24"/>
        </w:rPr>
        <w:lastRenderedPageBreak/>
        <w:t>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D22D6C" w:rsidRPr="00983D10" w:rsidRDefault="00D22D6C" w:rsidP="00D22D6C">
      <w:pPr>
        <w:rPr>
          <w:szCs w:val="24"/>
        </w:rPr>
      </w:pPr>
    </w:p>
    <w:p w:rsidR="00D22D6C" w:rsidRPr="00983D10" w:rsidRDefault="00D22D6C" w:rsidP="00D22D6C">
      <w:pPr>
        <w:rPr>
          <w:szCs w:val="24"/>
        </w:rPr>
      </w:pPr>
      <w:r w:rsidRPr="00983D10">
        <w:rPr>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rsidR="00D22D6C" w:rsidRPr="00983D10" w:rsidRDefault="00D22D6C" w:rsidP="00D22D6C">
      <w:pPr>
        <w:ind w:left="567" w:right="616"/>
        <w:rPr>
          <w:b/>
          <w:i/>
          <w:sz w:val="22"/>
        </w:rPr>
      </w:pPr>
      <w:r w:rsidRPr="00983D10">
        <w:rPr>
          <w:b/>
          <w:i/>
          <w:sz w:val="22"/>
        </w:rPr>
        <w:t xml:space="preserve">FUNDAMENTACIÓN Y MOTIVACIÓN. </w:t>
      </w:r>
    </w:p>
    <w:p w:rsidR="00D22D6C" w:rsidRPr="00983D10" w:rsidRDefault="00D22D6C" w:rsidP="00D22D6C">
      <w:pPr>
        <w:ind w:left="567" w:right="616"/>
        <w:rPr>
          <w:i/>
          <w:sz w:val="22"/>
        </w:rPr>
      </w:pPr>
      <w:r w:rsidRPr="00983D10">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22D6C" w:rsidRPr="00983D10" w:rsidRDefault="00D22D6C" w:rsidP="00D22D6C">
      <w:pPr>
        <w:ind w:left="567" w:right="616"/>
        <w:rPr>
          <w:i/>
          <w:sz w:val="22"/>
        </w:rPr>
      </w:pPr>
    </w:p>
    <w:p w:rsidR="00D22D6C" w:rsidRPr="00983D10" w:rsidRDefault="00D22D6C" w:rsidP="00D22D6C">
      <w:pPr>
        <w:rPr>
          <w:szCs w:val="24"/>
        </w:rPr>
      </w:pPr>
      <w:r w:rsidRPr="00983D10">
        <w:rPr>
          <w:szCs w:val="24"/>
        </w:rPr>
        <w:t xml:space="preserve">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w:t>
      </w:r>
      <w:r w:rsidRPr="00983D10">
        <w:rPr>
          <w:szCs w:val="24"/>
        </w:rPr>
        <w:lastRenderedPageBreak/>
        <w:t>Poder Judicial de la Federación se sostiene que la finalidad de la fundamentación o motivación es la de explicar, justificar, posibilitar la defensa y comunicar la decisión de la autoridad:</w:t>
      </w:r>
    </w:p>
    <w:p w:rsidR="00D22D6C" w:rsidRPr="00983D10" w:rsidRDefault="00D22D6C" w:rsidP="00D22D6C">
      <w:pPr>
        <w:ind w:left="567" w:right="616"/>
        <w:rPr>
          <w:i/>
          <w:sz w:val="22"/>
        </w:rPr>
      </w:pPr>
      <w:r w:rsidRPr="00983D10">
        <w:rPr>
          <w:b/>
          <w:i/>
          <w:sz w:val="22"/>
        </w:rPr>
        <w:t>FUNDAMENTACIÓN Y MOTIVACIÓN. EL ASPECTO FORMAL DE LA GARANTÍA Y SU FINALIDAD SE TRADUCEN EN EXPLICAR, JUSTIFICAR, POSIBILITAR LA DEFENSA Y COMUNICAR LA DECISIÓN</w:t>
      </w:r>
      <w:r w:rsidRPr="00983D10">
        <w:rPr>
          <w:i/>
          <w:sz w:val="22"/>
        </w:rPr>
        <w:t xml:space="preserve">. </w:t>
      </w:r>
    </w:p>
    <w:p w:rsidR="00D22D6C" w:rsidRPr="00983D10" w:rsidRDefault="00D22D6C" w:rsidP="00D22D6C">
      <w:pPr>
        <w:ind w:left="567" w:right="616"/>
        <w:rPr>
          <w:i/>
          <w:sz w:val="22"/>
        </w:rPr>
      </w:pPr>
      <w:r w:rsidRPr="00983D10">
        <w:rPr>
          <w:i/>
          <w:sz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D22D6C" w:rsidRPr="00983D10" w:rsidRDefault="00D22D6C" w:rsidP="00D22D6C">
      <w:pPr>
        <w:rPr>
          <w:szCs w:val="24"/>
        </w:rPr>
      </w:pPr>
    </w:p>
    <w:p w:rsidR="00D22D6C" w:rsidRPr="00983D10" w:rsidRDefault="00D22D6C" w:rsidP="00D22D6C">
      <w:pPr>
        <w:rPr>
          <w:szCs w:val="24"/>
        </w:rPr>
      </w:pPr>
      <w:r w:rsidRPr="00983D10">
        <w:rPr>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983D10">
        <w:rPr>
          <w:szCs w:val="24"/>
        </w:rPr>
        <w:lastRenderedPageBreak/>
        <w:t>se siente afectada pueda impugnar la decisión, permitiéndole una real y auténtica defensa.</w:t>
      </w:r>
    </w:p>
    <w:p w:rsidR="00D22D6C" w:rsidRPr="00983D10" w:rsidRDefault="00D22D6C" w:rsidP="00D22D6C">
      <w:pPr>
        <w:rPr>
          <w:szCs w:val="24"/>
        </w:rPr>
      </w:pPr>
    </w:p>
    <w:p w:rsidR="00D22D6C" w:rsidRPr="00983D10" w:rsidRDefault="00D22D6C" w:rsidP="00D22D6C">
      <w:pPr>
        <w:rPr>
          <w:szCs w:val="24"/>
        </w:rPr>
      </w:pPr>
      <w:r w:rsidRPr="00983D10">
        <w:rPr>
          <w:szCs w:val="24"/>
        </w:rPr>
        <w:t>Por lo tanto, la entrega de documentos en su versión pública debe acompañarse necesariamente del Acuerdo del Comité de Transparencia del Sujeto Obligado</w:t>
      </w:r>
      <w:r w:rsidRPr="00983D10">
        <w:rPr>
          <w:b/>
          <w:szCs w:val="24"/>
        </w:rPr>
        <w:t xml:space="preserve"> </w:t>
      </w:r>
      <w:r w:rsidRPr="00983D10">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D22D6C" w:rsidRPr="00983D10" w:rsidRDefault="00D22D6C" w:rsidP="00D22D6C">
      <w:pPr>
        <w:rPr>
          <w:szCs w:val="24"/>
        </w:rPr>
      </w:pPr>
    </w:p>
    <w:p w:rsidR="00D22D6C" w:rsidRPr="00983D10" w:rsidRDefault="00D22D6C" w:rsidP="00D22D6C">
      <w:pPr>
        <w:tabs>
          <w:tab w:val="left" w:pos="709"/>
        </w:tabs>
        <w:spacing w:before="240"/>
        <w:ind w:right="51"/>
      </w:pPr>
      <w:r w:rsidRPr="00983D10">
        <w:rPr>
          <w:iCs/>
        </w:rPr>
        <w:t xml:space="preserve">En mérito de lo expuesto </w:t>
      </w:r>
      <w:r w:rsidRPr="00983D10">
        <w:t>en líneas anteriores</w:t>
      </w:r>
      <w:r w:rsidRPr="00983D10">
        <w:rPr>
          <w:b/>
        </w:rPr>
        <w:t xml:space="preserve">, </w:t>
      </w:r>
      <w:r w:rsidRPr="00983D10">
        <w:t xml:space="preserve">con fundamento en el artículo 186 fracción III de la Ley de Transparencia y Acceso a la Información Pública del Estado de México y Municipios, se </w:t>
      </w:r>
      <w:r w:rsidRPr="00983D10">
        <w:rPr>
          <w:b/>
        </w:rPr>
        <w:t xml:space="preserve">REVOCA </w:t>
      </w:r>
      <w:r w:rsidRPr="00983D10">
        <w:t>la respuesta a la solicitud de información</w:t>
      </w:r>
      <w:r w:rsidRPr="00983D10">
        <w:rPr>
          <w:b/>
          <w:bCs/>
        </w:rPr>
        <w:t xml:space="preserve"> </w:t>
      </w:r>
      <w:r w:rsidR="005C3C3C" w:rsidRPr="00983D10">
        <w:rPr>
          <w:b/>
          <w:bCs/>
        </w:rPr>
        <w:t>02533/TOLUCA/IP/2025</w:t>
      </w:r>
      <w:r w:rsidRPr="00983D10">
        <w:rPr>
          <w:b/>
          <w:bCs/>
        </w:rPr>
        <w:t xml:space="preserve">, </w:t>
      </w:r>
      <w:r w:rsidRPr="00983D10">
        <w:t xml:space="preserve">que ha sido materia del presente fallo. </w:t>
      </w:r>
    </w:p>
    <w:p w:rsidR="00D22D6C" w:rsidRPr="00983D10" w:rsidRDefault="00D22D6C" w:rsidP="00D22D6C">
      <w:pPr>
        <w:pStyle w:val="Prrafodelista"/>
        <w:spacing w:before="240" w:after="240"/>
        <w:ind w:left="0"/>
      </w:pPr>
      <w:r w:rsidRPr="00983D10">
        <w:t xml:space="preserve">Por lo antes expuesto y fundado es de resolverse y, </w:t>
      </w:r>
    </w:p>
    <w:p w:rsidR="00D22D6C" w:rsidRPr="00983D10" w:rsidRDefault="00D22D6C" w:rsidP="00D22D6C">
      <w:pPr>
        <w:pStyle w:val="Prrafodelista"/>
        <w:spacing w:before="240" w:after="240"/>
        <w:ind w:left="0"/>
      </w:pPr>
    </w:p>
    <w:p w:rsidR="00D22D6C" w:rsidRPr="00983D10" w:rsidRDefault="00D22D6C" w:rsidP="00BD491D">
      <w:pPr>
        <w:tabs>
          <w:tab w:val="left" w:pos="426"/>
        </w:tabs>
        <w:ind w:right="49"/>
        <w:contextualSpacing/>
        <w:jc w:val="center"/>
        <w:rPr>
          <w:b/>
          <w:sz w:val="28"/>
          <w:szCs w:val="28"/>
        </w:rPr>
      </w:pPr>
      <w:r w:rsidRPr="00983D10">
        <w:rPr>
          <w:b/>
          <w:sz w:val="28"/>
          <w:szCs w:val="28"/>
        </w:rPr>
        <w:t>S E        R E S U E L V E</w:t>
      </w:r>
    </w:p>
    <w:p w:rsidR="00D22D6C" w:rsidRPr="00983D10" w:rsidRDefault="00D22D6C" w:rsidP="00D22D6C">
      <w:pPr>
        <w:tabs>
          <w:tab w:val="left" w:pos="426"/>
        </w:tabs>
        <w:ind w:right="49"/>
        <w:contextualSpacing/>
      </w:pPr>
      <w:r w:rsidRPr="00983D10">
        <w:rPr>
          <w:b/>
        </w:rPr>
        <w:lastRenderedPageBreak/>
        <w:t>PRIMERO</w:t>
      </w:r>
      <w:r w:rsidRPr="00983D10">
        <w:t xml:space="preserve">. </w:t>
      </w:r>
      <w:r w:rsidRPr="00983D10">
        <w:rPr>
          <w:rFonts w:cs="Arial"/>
        </w:rPr>
        <w:t xml:space="preserve">Se </w:t>
      </w:r>
      <w:r w:rsidRPr="00983D10">
        <w:rPr>
          <w:rFonts w:cs="Arial"/>
          <w:b/>
        </w:rPr>
        <w:t xml:space="preserve">REVOCA </w:t>
      </w:r>
      <w:r w:rsidRPr="00983D10">
        <w:rPr>
          <w:rFonts w:cs="Arial"/>
        </w:rPr>
        <w:t xml:space="preserve">la respuesta entregada por </w:t>
      </w:r>
      <w:r w:rsidRPr="00983D10">
        <w:rPr>
          <w:rFonts w:cs="Arial"/>
          <w:b/>
        </w:rPr>
        <w:t xml:space="preserve">EL SUJETO OBLIGADO, </w:t>
      </w:r>
      <w:r w:rsidRPr="00983D10">
        <w:rPr>
          <w:rFonts w:cs="Arial"/>
        </w:rPr>
        <w:t xml:space="preserve">a la solicitud de información con número </w:t>
      </w:r>
      <w:r w:rsidR="005C3C3C" w:rsidRPr="00983D10">
        <w:rPr>
          <w:b/>
          <w:bCs/>
        </w:rPr>
        <w:t>02533/TOLUCA/IP/2025</w:t>
      </w:r>
      <w:r w:rsidRPr="00983D10">
        <w:rPr>
          <w:rFonts w:cs="Arial"/>
          <w:b/>
        </w:rPr>
        <w:t xml:space="preserve">, </w:t>
      </w:r>
      <w:r w:rsidRPr="00983D10">
        <w:rPr>
          <w:rFonts w:cs="Arial"/>
        </w:rPr>
        <w:t xml:space="preserve">en términos del </w:t>
      </w:r>
      <w:r w:rsidRPr="00983D10">
        <w:rPr>
          <w:rFonts w:cs="Arial"/>
          <w:b/>
        </w:rPr>
        <w:t xml:space="preserve">Considerando QUINTO </w:t>
      </w:r>
      <w:r w:rsidRPr="00983D10">
        <w:rPr>
          <w:rFonts w:cs="Arial"/>
        </w:rPr>
        <w:t>de la presente resolución</w:t>
      </w:r>
      <w:r w:rsidRPr="00983D10">
        <w:t xml:space="preserve">. </w:t>
      </w:r>
    </w:p>
    <w:p w:rsidR="00D22D6C" w:rsidRPr="00983D10" w:rsidRDefault="00D22D6C" w:rsidP="00D22D6C">
      <w:pPr>
        <w:tabs>
          <w:tab w:val="left" w:pos="426"/>
        </w:tabs>
        <w:ind w:right="49"/>
        <w:contextualSpacing/>
      </w:pPr>
    </w:p>
    <w:p w:rsidR="00D22D6C" w:rsidRPr="00983D10" w:rsidRDefault="00D22D6C" w:rsidP="00D22D6C">
      <w:pPr>
        <w:tabs>
          <w:tab w:val="left" w:pos="426"/>
        </w:tabs>
        <w:ind w:right="49"/>
        <w:contextualSpacing/>
      </w:pPr>
      <w:r w:rsidRPr="00983D10">
        <w:rPr>
          <w:b/>
          <w:sz w:val="28"/>
          <w:szCs w:val="28"/>
        </w:rPr>
        <w:t>SEGUNDO</w:t>
      </w:r>
      <w:r w:rsidRPr="00983D10">
        <w:rPr>
          <w:b/>
          <w:bCs/>
        </w:rPr>
        <w:t>.</w:t>
      </w:r>
      <w:r w:rsidRPr="00983D10">
        <w:t xml:space="preserve"> Se </w:t>
      </w:r>
      <w:r w:rsidRPr="00983D10">
        <w:rPr>
          <w:b/>
        </w:rPr>
        <w:t xml:space="preserve">ORDENA </w:t>
      </w:r>
      <w:r w:rsidRPr="00983D10">
        <w:t xml:space="preserve">al </w:t>
      </w:r>
      <w:r w:rsidRPr="00983D10">
        <w:rPr>
          <w:b/>
        </w:rPr>
        <w:t>SUJETO OBLIGADO</w:t>
      </w:r>
      <w:r w:rsidRPr="00983D10">
        <w:t xml:space="preserve">, haga entrega al Recurrente en términos del considerando </w:t>
      </w:r>
      <w:r w:rsidRPr="00983D10">
        <w:rPr>
          <w:b/>
          <w:bCs/>
        </w:rPr>
        <w:t xml:space="preserve">QUINTO </w:t>
      </w:r>
      <w:r w:rsidRPr="00983D10">
        <w:t xml:space="preserve">de la presente Resolución, a través del Sistema de Acceso a la Información Mexiquense (SAIMEX), </w:t>
      </w:r>
      <w:r w:rsidR="005C3C3C" w:rsidRPr="00983D10">
        <w:t xml:space="preserve">de ser procedente </w:t>
      </w:r>
      <w:r w:rsidRPr="00983D10">
        <w:t>en versión pública de, de lo siguiente:</w:t>
      </w:r>
    </w:p>
    <w:p w:rsidR="00D22D6C" w:rsidRPr="00983D10" w:rsidRDefault="005C3C3C" w:rsidP="005C3C3C">
      <w:pPr>
        <w:pStyle w:val="Prrafodelista"/>
        <w:numPr>
          <w:ilvl w:val="0"/>
          <w:numId w:val="12"/>
        </w:numPr>
        <w:pBdr>
          <w:top w:val="nil"/>
          <w:left w:val="nil"/>
          <w:bottom w:val="nil"/>
          <w:right w:val="nil"/>
          <w:between w:val="nil"/>
        </w:pBdr>
        <w:rPr>
          <w:color w:val="000000"/>
          <w:szCs w:val="24"/>
        </w:rPr>
      </w:pPr>
      <w:r w:rsidRPr="00983D10">
        <w:rPr>
          <w:color w:val="000000"/>
          <w:szCs w:val="24"/>
        </w:rPr>
        <w:t>Dispersión de nómina de los trabajadores adscritos al Sujeto Obligado del primero de enero al quince de abril de dos mil veinticinco.</w:t>
      </w:r>
    </w:p>
    <w:p w:rsidR="005C3C3C" w:rsidRPr="00983D10" w:rsidRDefault="005C3C3C" w:rsidP="005C3C3C">
      <w:pPr>
        <w:pStyle w:val="Prrafodelista"/>
        <w:pBdr>
          <w:top w:val="nil"/>
          <w:left w:val="nil"/>
          <w:bottom w:val="nil"/>
          <w:right w:val="nil"/>
          <w:between w:val="nil"/>
        </w:pBdr>
        <w:ind w:left="1080"/>
        <w:rPr>
          <w:color w:val="000000"/>
          <w:szCs w:val="24"/>
        </w:rPr>
      </w:pPr>
    </w:p>
    <w:p w:rsidR="005C3C3C" w:rsidRPr="00983D10" w:rsidRDefault="005C3C3C" w:rsidP="005C3C3C">
      <w:pPr>
        <w:pStyle w:val="Prrafodelista"/>
        <w:numPr>
          <w:ilvl w:val="0"/>
          <w:numId w:val="12"/>
        </w:numPr>
        <w:pBdr>
          <w:top w:val="nil"/>
          <w:left w:val="nil"/>
          <w:bottom w:val="nil"/>
          <w:right w:val="nil"/>
          <w:between w:val="nil"/>
        </w:pBdr>
        <w:rPr>
          <w:color w:val="000000"/>
          <w:szCs w:val="24"/>
        </w:rPr>
      </w:pPr>
      <w:r w:rsidRPr="00983D10">
        <w:rPr>
          <w:color w:val="000000"/>
          <w:szCs w:val="24"/>
        </w:rPr>
        <w:t>Póliza de Cheque que acredite el pago a los trabajadores adscritos al Sujeto Obligado del primero de enero al treinta y uno de marzo de dos mil veinticinco</w:t>
      </w:r>
    </w:p>
    <w:p w:rsidR="00F93924" w:rsidRPr="00983D10" w:rsidRDefault="00F93924" w:rsidP="002B4575">
      <w:pPr>
        <w:pStyle w:val="Prrafodelista"/>
        <w:jc w:val="center"/>
        <w:rPr>
          <w:color w:val="000000"/>
          <w:szCs w:val="24"/>
        </w:rPr>
      </w:pPr>
    </w:p>
    <w:p w:rsidR="00F93924" w:rsidRPr="00983D10" w:rsidRDefault="00F93924" w:rsidP="00F93924">
      <w:pPr>
        <w:pStyle w:val="Prrafodelista"/>
        <w:numPr>
          <w:ilvl w:val="0"/>
          <w:numId w:val="12"/>
        </w:numPr>
        <w:pBdr>
          <w:top w:val="nil"/>
          <w:left w:val="nil"/>
          <w:bottom w:val="nil"/>
          <w:right w:val="nil"/>
          <w:between w:val="nil"/>
        </w:pBdr>
        <w:rPr>
          <w:color w:val="000000"/>
          <w:szCs w:val="24"/>
        </w:rPr>
      </w:pPr>
      <w:r w:rsidRPr="00983D10">
        <w:rPr>
          <w:color w:val="000000"/>
          <w:szCs w:val="24"/>
        </w:rPr>
        <w:t xml:space="preserve">Póliza de Cheque que acredite el pago </w:t>
      </w:r>
      <w:r w:rsidRPr="00983D10">
        <w:rPr>
          <w:rFonts w:eastAsia="Palatino Linotype" w:cs="Palatino Linotype"/>
          <w:szCs w:val="24"/>
        </w:rPr>
        <w:t xml:space="preserve">de prestaciones, tales como </w:t>
      </w:r>
      <w:r w:rsidRPr="00983D10">
        <w:rPr>
          <w:szCs w:val="24"/>
        </w:rPr>
        <w:t>aguinaldo, primas, bono, dietas</w:t>
      </w:r>
      <w:r w:rsidRPr="00983D10">
        <w:rPr>
          <w:rFonts w:eastAsia="Palatino Linotype" w:cs="Palatino Linotype"/>
          <w:szCs w:val="24"/>
        </w:rPr>
        <w:t>, entre otros</w:t>
      </w:r>
      <w:r w:rsidRPr="00983D10">
        <w:rPr>
          <w:color w:val="000000"/>
          <w:szCs w:val="24"/>
        </w:rPr>
        <w:t xml:space="preserve"> a los trabajadores adscritos al Sujeto Obligado del primero de enero al treinta y uno de marzo de dos mil veinticinco.</w:t>
      </w:r>
    </w:p>
    <w:p w:rsidR="00F93924" w:rsidRPr="00983D10" w:rsidRDefault="00F93924" w:rsidP="00F93924">
      <w:pPr>
        <w:pBdr>
          <w:top w:val="nil"/>
          <w:left w:val="nil"/>
          <w:bottom w:val="nil"/>
          <w:right w:val="nil"/>
          <w:between w:val="nil"/>
        </w:pBdr>
        <w:ind w:left="720"/>
        <w:rPr>
          <w:color w:val="000000"/>
          <w:szCs w:val="24"/>
        </w:rPr>
      </w:pPr>
    </w:p>
    <w:p w:rsidR="005C3C3C" w:rsidRPr="00983D10" w:rsidRDefault="005C3C3C" w:rsidP="001771FE">
      <w:pPr>
        <w:pBdr>
          <w:top w:val="nil"/>
          <w:left w:val="nil"/>
          <w:bottom w:val="nil"/>
          <w:right w:val="nil"/>
          <w:between w:val="nil"/>
        </w:pBdr>
        <w:rPr>
          <w:rFonts w:eastAsia="Palatino Linotype" w:cs="Palatino Linotype"/>
          <w:color w:val="000000"/>
        </w:rPr>
      </w:pPr>
    </w:p>
    <w:p w:rsidR="00D22D6C" w:rsidRPr="00983D10" w:rsidRDefault="00D22D6C" w:rsidP="005C3C3C">
      <w:pPr>
        <w:pStyle w:val="Prrafodelista"/>
        <w:tabs>
          <w:tab w:val="left" w:pos="426"/>
        </w:tabs>
        <w:ind w:left="1071" w:right="49"/>
        <w:rPr>
          <w:i/>
          <w:sz w:val="22"/>
        </w:rPr>
      </w:pPr>
      <w:r w:rsidRPr="00983D10">
        <w:rPr>
          <w:i/>
          <w:sz w:val="22"/>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w:t>
      </w:r>
      <w:r w:rsidRPr="00983D10">
        <w:rPr>
          <w:i/>
          <w:sz w:val="22"/>
        </w:rPr>
        <w:lastRenderedPageBreak/>
        <w:t>soporte documental respectivo objeto de las versiones públicas que se formulen y se ponga a disposición de la recurrente.</w:t>
      </w:r>
    </w:p>
    <w:p w:rsidR="00F93924" w:rsidRPr="00983D10" w:rsidRDefault="00F93924" w:rsidP="005C3C3C">
      <w:pPr>
        <w:pStyle w:val="Prrafodelista"/>
        <w:tabs>
          <w:tab w:val="left" w:pos="426"/>
        </w:tabs>
        <w:ind w:left="1071" w:right="49"/>
        <w:rPr>
          <w:i/>
          <w:sz w:val="22"/>
        </w:rPr>
      </w:pPr>
    </w:p>
    <w:p w:rsidR="00F93924" w:rsidRPr="00983D10" w:rsidRDefault="00F93924" w:rsidP="005C3C3C">
      <w:pPr>
        <w:pStyle w:val="Prrafodelista"/>
        <w:tabs>
          <w:tab w:val="left" w:pos="426"/>
        </w:tabs>
        <w:ind w:left="1071" w:right="49"/>
        <w:rPr>
          <w:i/>
          <w:sz w:val="22"/>
        </w:rPr>
      </w:pPr>
      <w:r w:rsidRPr="00983D10">
        <w:rPr>
          <w:i/>
          <w:sz w:val="22"/>
        </w:rPr>
        <w:t xml:space="preserve">De ser el caso que de la información que se ordena en el </w:t>
      </w:r>
      <w:r w:rsidRPr="00983D10">
        <w:rPr>
          <w:b/>
          <w:i/>
          <w:sz w:val="22"/>
        </w:rPr>
        <w:t>numeral 3</w:t>
      </w:r>
      <w:r w:rsidRPr="00983D10">
        <w:rPr>
          <w:i/>
          <w:sz w:val="22"/>
        </w:rPr>
        <w:t xml:space="preserve"> el Sujeto Obligado no haya realizado pago por concepto de prestaciones como aguinaldo, </w:t>
      </w:r>
      <w:r w:rsidR="00477967" w:rsidRPr="00983D10">
        <w:rPr>
          <w:i/>
          <w:szCs w:val="24"/>
        </w:rPr>
        <w:t xml:space="preserve">primas, bono, dietas </w:t>
      </w:r>
      <w:proofErr w:type="spellStart"/>
      <w:r w:rsidR="00477967" w:rsidRPr="00983D10">
        <w:rPr>
          <w:i/>
          <w:szCs w:val="24"/>
        </w:rPr>
        <w:t>etc</w:t>
      </w:r>
      <w:proofErr w:type="spellEnd"/>
      <w:r w:rsidR="00477967" w:rsidRPr="00983D10">
        <w:rPr>
          <w:i/>
          <w:szCs w:val="24"/>
        </w:rPr>
        <w:t xml:space="preserve"> en la temporalidad señalada bastará</w:t>
      </w:r>
      <w:r w:rsidRPr="00983D10">
        <w:rPr>
          <w:i/>
          <w:szCs w:val="24"/>
        </w:rPr>
        <w:t xml:space="preserve"> con que el Sujeto Obligado así lo manifieste en términos de lo establecido por el </w:t>
      </w:r>
      <w:r w:rsidR="00477967" w:rsidRPr="00983D10">
        <w:rPr>
          <w:i/>
          <w:szCs w:val="24"/>
        </w:rPr>
        <w:t>segundo párrafo del artículo</w:t>
      </w:r>
      <w:r w:rsidRPr="00983D10">
        <w:rPr>
          <w:i/>
          <w:szCs w:val="24"/>
        </w:rPr>
        <w:t xml:space="preserve"> 19 de la Ley de Transparencia Local.</w:t>
      </w:r>
    </w:p>
    <w:p w:rsidR="005C3C3C" w:rsidRPr="00983D10" w:rsidRDefault="005C3C3C" w:rsidP="00D22D6C">
      <w:pPr>
        <w:rPr>
          <w:rFonts w:eastAsia="Arial Unicode MS" w:cs="Arial"/>
        </w:rPr>
      </w:pPr>
    </w:p>
    <w:p w:rsidR="00D22D6C" w:rsidRPr="00983D10" w:rsidRDefault="00D22D6C" w:rsidP="00D22D6C">
      <w:pPr>
        <w:rPr>
          <w:b/>
        </w:rPr>
      </w:pPr>
      <w:r w:rsidRPr="00983D10">
        <w:rPr>
          <w:b/>
        </w:rPr>
        <w:t>TERCERO. Notifíquese</w:t>
      </w:r>
      <w:r w:rsidRPr="00983D10">
        <w:t xml:space="preserve"> al Titular de la Unidad de Transparencia del </w:t>
      </w:r>
      <w:r w:rsidRPr="00983D10">
        <w:rPr>
          <w:b/>
        </w:rPr>
        <w:t>Sujeto Obligado</w:t>
      </w:r>
      <w:r w:rsidRPr="00983D10">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y </w:t>
      </w:r>
      <w:r w:rsidRPr="00983D10">
        <w:rPr>
          <w:b/>
        </w:rPr>
        <w:t xml:space="preserve">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D22D6C" w:rsidRPr="00983D10" w:rsidRDefault="00D22D6C" w:rsidP="00D22D6C"/>
    <w:p w:rsidR="00D22D6C" w:rsidRPr="00983D10" w:rsidRDefault="00D22D6C" w:rsidP="00D22D6C">
      <w:r w:rsidRPr="00983D10">
        <w:rPr>
          <w:b/>
        </w:rPr>
        <w:t>CUARTO.</w:t>
      </w:r>
      <w:r w:rsidRPr="00983D10">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rsidR="00D22D6C" w:rsidRPr="00983D10" w:rsidRDefault="00D22D6C" w:rsidP="00D22D6C"/>
    <w:p w:rsidR="00D22D6C" w:rsidRPr="00983D10" w:rsidRDefault="00D22D6C" w:rsidP="00D22D6C">
      <w:pPr>
        <w:rPr>
          <w:rFonts w:eastAsia="Arial Unicode MS" w:cs="Arial"/>
        </w:rPr>
      </w:pPr>
      <w:r w:rsidRPr="00983D10">
        <w:rPr>
          <w:b/>
        </w:rPr>
        <w:t>QUINTO.</w:t>
      </w:r>
      <w:r w:rsidRPr="00983D10">
        <w:t xml:space="preserve"> </w:t>
      </w:r>
      <w:r w:rsidRPr="00983D10">
        <w:rPr>
          <w:b/>
        </w:rPr>
        <w:t>Notifíquese al Recurrente</w:t>
      </w:r>
      <w:r w:rsidRPr="00983D10">
        <w:t xml:space="preserve"> la presente resolución a través del Sistema de Acceso a la Información Mexiquense (SAIMEX),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D22D6C" w:rsidRPr="00983D10" w:rsidRDefault="00D22D6C" w:rsidP="00D22D6C">
      <w:pPr>
        <w:rPr>
          <w:rFonts w:cs="Arial"/>
          <w:color w:val="000000"/>
          <w:szCs w:val="24"/>
        </w:rPr>
      </w:pPr>
    </w:p>
    <w:p w:rsidR="00D22D6C" w:rsidRPr="00983D10" w:rsidRDefault="00D22D6C" w:rsidP="00D22D6C">
      <w:pPr>
        <w:rPr>
          <w:rFonts w:cs="Arial"/>
          <w:szCs w:val="24"/>
          <w:lang w:val="es-MX"/>
        </w:rPr>
      </w:pPr>
      <w:r w:rsidRPr="00983D10">
        <w:rPr>
          <w:rFonts w:cs="Arial"/>
          <w:szCs w:val="24"/>
        </w:rPr>
        <w:t xml:space="preserve">ASÍ LO RESUELVE, POR </w:t>
      </w:r>
      <w:r w:rsidRPr="00983D10">
        <w:rPr>
          <w:rFonts w:cs="Arial"/>
          <w:b/>
          <w:szCs w:val="24"/>
        </w:rPr>
        <w:t>UNANIMIDAD DE VOTOS</w:t>
      </w:r>
      <w:r w:rsidRPr="00983D10">
        <w:rPr>
          <w:rFonts w:cs="Arial"/>
          <w:szCs w:val="24"/>
        </w:rPr>
        <w:t xml:space="preserve"> EL PLENO DEL</w:t>
      </w:r>
      <w:r w:rsidRPr="00983D10">
        <w:rPr>
          <w:rFonts w:eastAsia="Arial Unicode MS" w:cs="Arial"/>
          <w:szCs w:val="24"/>
        </w:rPr>
        <w:t xml:space="preserve"> INSTITUTO DE TRANSPARENCIA, ACCESO A LA INFORMACIÓN PÚBLICA Y PROTECCIÓN DE DATOS PERSONALES DEL ESTADO DE MÉXICO Y MUNICIPIOS</w:t>
      </w:r>
      <w:r w:rsidRPr="00983D10">
        <w:rPr>
          <w:rFonts w:cs="Arial"/>
          <w:szCs w:val="24"/>
        </w:rPr>
        <w:t xml:space="preserve">, CONFORMADO POR LOS COMISIONADOS JOSÉ MARTÍNEZ VILCHIS, MARÍA DEL ROSARIO MEJÍA AYALA, SHARON CRISTINA MORALES MARTÍNEZ, LUIS GUSTAVO PARRA NORIEGA </w:t>
      </w:r>
      <w:r w:rsidR="00FB3E0A" w:rsidRPr="00983D10">
        <w:rPr>
          <w:rFonts w:cs="Arial"/>
          <w:szCs w:val="24"/>
        </w:rPr>
        <w:t>(</w:t>
      </w:r>
      <w:r w:rsidR="00B63F94" w:rsidRPr="00983D10">
        <w:rPr>
          <w:rFonts w:cs="Arial"/>
          <w:szCs w:val="24"/>
          <w:u w:val="single"/>
        </w:rPr>
        <w:t xml:space="preserve">EMITIENDO </w:t>
      </w:r>
      <w:r w:rsidR="00FB3E0A" w:rsidRPr="00983D10">
        <w:rPr>
          <w:rFonts w:cs="Arial"/>
          <w:szCs w:val="24"/>
          <w:u w:val="single"/>
        </w:rPr>
        <w:t xml:space="preserve">VOTO PARTICULAR) </w:t>
      </w:r>
      <w:r w:rsidRPr="00983D10">
        <w:rPr>
          <w:rFonts w:cs="Arial"/>
          <w:szCs w:val="24"/>
        </w:rPr>
        <w:t>Y GUADALUPE RAMÍREZ PEÑA</w:t>
      </w:r>
      <w:r w:rsidR="00FB3E0A" w:rsidRPr="00983D10">
        <w:rPr>
          <w:rFonts w:cs="Arial"/>
          <w:szCs w:val="24"/>
        </w:rPr>
        <w:t xml:space="preserve"> (</w:t>
      </w:r>
      <w:r w:rsidR="00B63F94" w:rsidRPr="00983D10">
        <w:rPr>
          <w:rFonts w:cs="Arial"/>
          <w:szCs w:val="24"/>
          <w:u w:val="single"/>
        </w:rPr>
        <w:t xml:space="preserve">EMITIENDO </w:t>
      </w:r>
      <w:r w:rsidR="00FB3E0A" w:rsidRPr="00983D10">
        <w:rPr>
          <w:rFonts w:cs="Arial"/>
          <w:szCs w:val="24"/>
          <w:u w:val="single"/>
        </w:rPr>
        <w:t>VOTO PARTICULAR)</w:t>
      </w:r>
      <w:r w:rsidRPr="00983D10">
        <w:rPr>
          <w:rFonts w:cs="Arial"/>
          <w:szCs w:val="24"/>
        </w:rPr>
        <w:t xml:space="preserve">, </w:t>
      </w:r>
      <w:r w:rsidRPr="00983D10">
        <w:rPr>
          <w:rFonts w:cs="Arial"/>
          <w:b/>
          <w:szCs w:val="24"/>
        </w:rPr>
        <w:t xml:space="preserve">EN LA </w:t>
      </w:r>
      <w:r w:rsidR="00FB3E0A" w:rsidRPr="00983D10">
        <w:rPr>
          <w:rFonts w:cs="Arial"/>
          <w:b/>
          <w:szCs w:val="24"/>
          <w:lang w:val="es-419"/>
        </w:rPr>
        <w:t>CUADRAGÉSIMA PRIMERA</w:t>
      </w:r>
      <w:r w:rsidRPr="00983D10">
        <w:rPr>
          <w:rFonts w:cs="Arial"/>
          <w:b/>
          <w:szCs w:val="24"/>
          <w:lang w:val="es-419"/>
        </w:rPr>
        <w:t xml:space="preserve"> </w:t>
      </w:r>
      <w:r w:rsidRPr="00983D10">
        <w:rPr>
          <w:rFonts w:cs="Arial"/>
          <w:b/>
          <w:szCs w:val="24"/>
        </w:rPr>
        <w:t xml:space="preserve">SESIÓN ORDINARIA CELEBRADA EL  </w:t>
      </w:r>
      <w:r w:rsidR="00FB3E0A" w:rsidRPr="00983D10">
        <w:rPr>
          <w:rFonts w:cs="Arial"/>
          <w:b/>
          <w:szCs w:val="24"/>
        </w:rPr>
        <w:t>VEINTE DE NOVIEMBRE</w:t>
      </w:r>
      <w:r w:rsidRPr="00983D10">
        <w:rPr>
          <w:rFonts w:cs="Arial"/>
          <w:b/>
          <w:szCs w:val="24"/>
        </w:rPr>
        <w:t xml:space="preserve">  DE DOS MIL </w:t>
      </w:r>
      <w:r w:rsidRPr="00983D10">
        <w:rPr>
          <w:rFonts w:cs="Arial"/>
          <w:b/>
          <w:szCs w:val="24"/>
          <w:lang w:val="es-419"/>
        </w:rPr>
        <w:t>VE</w:t>
      </w:r>
      <w:r w:rsidR="00FB3E0A" w:rsidRPr="00983D10">
        <w:rPr>
          <w:rFonts w:cs="Arial"/>
          <w:b/>
          <w:szCs w:val="24"/>
          <w:lang w:val="es-419"/>
        </w:rPr>
        <w:t>INTICINCO</w:t>
      </w:r>
      <w:r w:rsidRPr="00983D10">
        <w:rPr>
          <w:rFonts w:cs="Arial"/>
          <w:b/>
          <w:szCs w:val="24"/>
        </w:rPr>
        <w:t>, ANTE EL SECRETARIO TÉCNICO DEL PLENO</w:t>
      </w:r>
      <w:r w:rsidRPr="00983D10">
        <w:rPr>
          <w:rFonts w:cs="Arial"/>
          <w:szCs w:val="24"/>
        </w:rPr>
        <w:t>, ALEXIS TAPIA RAMÍREZ. --------------------------------------------------------------------------------------------------------------------------------------------------------------------------------------------------------------------------------------------------------------------------------------------------------------------------------------------------------------------------------------------------------------------------------------------------------------------</w:t>
      </w:r>
      <w:r w:rsidR="00B63F94" w:rsidRPr="00983D10">
        <w:rPr>
          <w:rFonts w:cs="Arial"/>
          <w:szCs w:val="24"/>
        </w:rPr>
        <w:t>------------------------------------------------------------------------------------------------------------------------------------------------------------------------------------------------------------------------------------------</w:t>
      </w:r>
    </w:p>
    <w:p w:rsidR="00D22D6C" w:rsidRDefault="00D22D6C" w:rsidP="00D22D6C">
      <w:pPr>
        <w:rPr>
          <w:rFonts w:cs="Arial"/>
          <w:sz w:val="20"/>
        </w:rPr>
      </w:pPr>
      <w:r w:rsidRPr="00983D10">
        <w:rPr>
          <w:rFonts w:cs="Arial"/>
          <w:sz w:val="20"/>
        </w:rPr>
        <w:t>JMV/CCR/NJMB</w:t>
      </w:r>
    </w:p>
    <w:p w:rsidR="00D22D6C" w:rsidRDefault="00D22D6C" w:rsidP="00D22D6C">
      <w:pPr>
        <w:rPr>
          <w:rFonts w:cs="Arial"/>
          <w:sz w:val="20"/>
        </w:rPr>
      </w:pPr>
    </w:p>
    <w:p w:rsidR="00D22D6C" w:rsidRDefault="00D22D6C" w:rsidP="00D22D6C">
      <w:pPr>
        <w:rPr>
          <w:rFonts w:cs="Arial"/>
          <w:sz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Pr>
        <w:pBdr>
          <w:top w:val="nil"/>
          <w:left w:val="nil"/>
          <w:bottom w:val="nil"/>
          <w:right w:val="nil"/>
          <w:between w:val="nil"/>
        </w:pBdr>
        <w:contextualSpacing/>
        <w:rPr>
          <w:rFonts w:eastAsia="Palatino Linotype" w:cs="Palatino Linotype"/>
          <w:color w:val="000000"/>
          <w:sz w:val="20"/>
          <w:szCs w:val="20"/>
        </w:rPr>
      </w:pPr>
    </w:p>
    <w:p w:rsidR="00D22D6C" w:rsidRPr="004B7011" w:rsidRDefault="00D22D6C" w:rsidP="00D22D6C"/>
    <w:p w:rsidR="00D22D6C" w:rsidRDefault="00D22D6C" w:rsidP="00D22D6C"/>
    <w:p w:rsidR="00D22D6C" w:rsidRDefault="00D22D6C" w:rsidP="00D22D6C"/>
    <w:p w:rsidR="00D22D6C" w:rsidRDefault="00D22D6C" w:rsidP="00D22D6C"/>
    <w:p w:rsidR="00D22D6C" w:rsidRDefault="00D22D6C" w:rsidP="00D22D6C"/>
    <w:p w:rsidR="00D22D6C" w:rsidRDefault="00D22D6C" w:rsidP="00D22D6C"/>
    <w:p w:rsidR="00EE4ABE" w:rsidRDefault="00EE4ABE"/>
    <w:sectPr w:rsidR="00EE4ABE" w:rsidSect="00D22D6C">
      <w:headerReference w:type="even" r:id="rId13"/>
      <w:headerReference w:type="default" r:id="rId14"/>
      <w:footerReference w:type="default" r:id="rId15"/>
      <w:headerReference w:type="first" r:id="rId16"/>
      <w:footerReference w:type="first" r:id="rId17"/>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F1B" w:rsidRDefault="00667F1B" w:rsidP="00D22D6C">
      <w:pPr>
        <w:spacing w:line="240" w:lineRule="auto"/>
      </w:pPr>
      <w:r>
        <w:separator/>
      </w:r>
    </w:p>
  </w:endnote>
  <w:endnote w:type="continuationSeparator" w:id="0">
    <w:p w:rsidR="00667F1B" w:rsidRDefault="00667F1B" w:rsidP="00D22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C8" w:rsidRPr="00871A91" w:rsidRDefault="004051C8" w:rsidP="00D22D6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5A75">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5A75">
      <w:rPr>
        <w:rFonts w:ascii="Palatino Linotype" w:hAnsi="Palatino Linotype"/>
        <w:b/>
        <w:bCs/>
        <w:noProof/>
        <w:sz w:val="20"/>
      </w:rPr>
      <w:t>59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C8" w:rsidRPr="00871A91" w:rsidRDefault="004051C8" w:rsidP="00D22D6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05A7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05A75">
      <w:rPr>
        <w:rFonts w:ascii="Palatino Linotype" w:hAnsi="Palatino Linotype"/>
        <w:b/>
        <w:bCs/>
        <w:noProof/>
        <w:sz w:val="20"/>
      </w:rPr>
      <w:t>59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F1B" w:rsidRDefault="00667F1B" w:rsidP="00D22D6C">
      <w:pPr>
        <w:spacing w:line="240" w:lineRule="auto"/>
      </w:pPr>
      <w:r>
        <w:separator/>
      </w:r>
    </w:p>
  </w:footnote>
  <w:footnote w:type="continuationSeparator" w:id="0">
    <w:p w:rsidR="00667F1B" w:rsidRDefault="00667F1B" w:rsidP="00D22D6C">
      <w:pPr>
        <w:spacing w:line="240" w:lineRule="auto"/>
      </w:pPr>
      <w:r>
        <w:continuationSeparator/>
      </w:r>
    </w:p>
  </w:footnote>
  <w:footnote w:id="1">
    <w:p w:rsidR="004051C8" w:rsidRPr="00481AAF" w:rsidRDefault="004051C8" w:rsidP="00D22D6C">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rsidR="004051C8" w:rsidRPr="00946E1F" w:rsidRDefault="004051C8" w:rsidP="00D22D6C">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051C8" w:rsidRDefault="004051C8" w:rsidP="00D22D6C">
      <w:pPr>
        <w:pStyle w:val="Textonotapie"/>
      </w:pPr>
      <w:r>
        <w:rPr>
          <w:rStyle w:val="Refdenotaalpie"/>
        </w:rPr>
        <w:footnoteRef/>
      </w:r>
      <w:r>
        <w:t xml:space="preserve"> </w:t>
      </w:r>
      <w:hyperlink r:id="rId3" w:history="1">
        <w:r w:rsidRPr="008A46CF">
          <w:rPr>
            <w:rStyle w:val="Hipervnculo"/>
          </w:rPr>
          <w:t>https://legislacion.edomex.gob.mx/sites/legislacion.edomex.gob.mx/files/files/pdf/ley/vig/leyvig083.pdf</w:t>
        </w:r>
      </w:hyperlink>
    </w:p>
    <w:p w:rsidR="004051C8" w:rsidRDefault="004051C8" w:rsidP="00D22D6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C8" w:rsidRDefault="00667F1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C8" w:rsidRDefault="004051C8">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4051C8" w:rsidRPr="00B17577" w:rsidTr="00D22D6C">
      <w:trPr>
        <w:trHeight w:val="227"/>
      </w:trPr>
      <w:tc>
        <w:tcPr>
          <w:tcW w:w="5103" w:type="dxa"/>
          <w:hideMark/>
        </w:tcPr>
        <w:p w:rsidR="004051C8" w:rsidRPr="00096248" w:rsidRDefault="004051C8" w:rsidP="00D22D6C">
          <w:pPr>
            <w:spacing w:after="120" w:line="240" w:lineRule="auto"/>
            <w:ind w:right="69"/>
            <w:jc w:val="right"/>
            <w:rPr>
              <w:rFonts w:cs="Arial"/>
              <w:b/>
              <w:szCs w:val="24"/>
            </w:rPr>
          </w:pPr>
          <w:r w:rsidRPr="00096248">
            <w:rPr>
              <w:rFonts w:cs="Arial"/>
              <w:b/>
              <w:szCs w:val="24"/>
            </w:rPr>
            <w:t>Recurso de Revisión:</w:t>
          </w:r>
        </w:p>
      </w:tc>
      <w:tc>
        <w:tcPr>
          <w:tcW w:w="4395" w:type="dxa"/>
          <w:hideMark/>
        </w:tcPr>
        <w:p w:rsidR="004051C8" w:rsidRPr="00096248" w:rsidRDefault="004051C8" w:rsidP="00D22D6C">
          <w:pPr>
            <w:spacing w:after="120" w:line="240" w:lineRule="auto"/>
            <w:ind w:right="71"/>
            <w:jc w:val="right"/>
            <w:rPr>
              <w:rFonts w:cs="Arial"/>
              <w:b/>
              <w:szCs w:val="24"/>
            </w:rPr>
          </w:pPr>
          <w:r>
            <w:rPr>
              <w:rFonts w:cs="Arial"/>
              <w:b/>
              <w:bCs/>
              <w:szCs w:val="24"/>
            </w:rPr>
            <w:t>06860</w:t>
          </w:r>
          <w:r w:rsidRPr="00096248">
            <w:rPr>
              <w:rFonts w:cs="Arial"/>
              <w:b/>
              <w:bCs/>
              <w:szCs w:val="24"/>
            </w:rPr>
            <w:t>/INFOEM/IP/RR/202</w:t>
          </w:r>
          <w:r>
            <w:rPr>
              <w:rFonts w:cs="Arial"/>
              <w:b/>
              <w:bCs/>
              <w:szCs w:val="24"/>
            </w:rPr>
            <w:t>5</w:t>
          </w:r>
        </w:p>
      </w:tc>
    </w:tr>
    <w:tr w:rsidR="004051C8" w:rsidTr="00D22D6C">
      <w:trPr>
        <w:trHeight w:val="242"/>
      </w:trPr>
      <w:tc>
        <w:tcPr>
          <w:tcW w:w="5103" w:type="dxa"/>
          <w:hideMark/>
        </w:tcPr>
        <w:p w:rsidR="004051C8" w:rsidRPr="00096248" w:rsidRDefault="004051C8" w:rsidP="00D22D6C">
          <w:pPr>
            <w:spacing w:after="120" w:line="240" w:lineRule="auto"/>
            <w:ind w:right="69"/>
            <w:jc w:val="right"/>
            <w:rPr>
              <w:rFonts w:cs="Arial"/>
              <w:b/>
              <w:szCs w:val="24"/>
            </w:rPr>
          </w:pPr>
          <w:r w:rsidRPr="00096248">
            <w:rPr>
              <w:rFonts w:cs="Arial"/>
              <w:b/>
              <w:szCs w:val="24"/>
            </w:rPr>
            <w:t>Sujeto Obligado:</w:t>
          </w:r>
        </w:p>
      </w:tc>
      <w:tc>
        <w:tcPr>
          <w:tcW w:w="4395" w:type="dxa"/>
          <w:hideMark/>
        </w:tcPr>
        <w:p w:rsidR="004051C8" w:rsidRPr="00096248" w:rsidRDefault="004051C8" w:rsidP="0081459C">
          <w:pPr>
            <w:spacing w:after="120" w:line="240" w:lineRule="auto"/>
            <w:ind w:left="-81" w:right="71"/>
            <w:jc w:val="right"/>
            <w:rPr>
              <w:rFonts w:cs="Arial"/>
              <w:szCs w:val="24"/>
            </w:rPr>
          </w:pPr>
          <w:r w:rsidRPr="007F5D63">
            <w:rPr>
              <w:b/>
              <w:bCs/>
              <w:color w:val="000000"/>
              <w:szCs w:val="24"/>
            </w:rPr>
            <w:t xml:space="preserve">Ayuntamiento de </w:t>
          </w:r>
          <w:r>
            <w:rPr>
              <w:b/>
              <w:bCs/>
              <w:color w:val="000000"/>
              <w:szCs w:val="24"/>
            </w:rPr>
            <w:t>Toluca</w:t>
          </w:r>
        </w:p>
      </w:tc>
    </w:tr>
    <w:tr w:rsidR="004051C8" w:rsidRPr="00F63239" w:rsidTr="00D22D6C">
      <w:trPr>
        <w:trHeight w:val="342"/>
      </w:trPr>
      <w:tc>
        <w:tcPr>
          <w:tcW w:w="5103" w:type="dxa"/>
          <w:hideMark/>
        </w:tcPr>
        <w:p w:rsidR="004051C8" w:rsidRPr="00096248" w:rsidRDefault="004051C8" w:rsidP="00D22D6C">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rsidR="004051C8" w:rsidRDefault="004051C8" w:rsidP="00D22D6C">
          <w:pPr>
            <w:spacing w:after="120" w:line="240" w:lineRule="auto"/>
            <w:ind w:left="-486" w:right="71" w:firstLine="567"/>
            <w:jc w:val="right"/>
            <w:rPr>
              <w:rFonts w:cs="Arial"/>
              <w:szCs w:val="24"/>
            </w:rPr>
          </w:pPr>
          <w:r w:rsidRPr="00096248">
            <w:rPr>
              <w:rFonts w:cs="Arial"/>
              <w:szCs w:val="24"/>
            </w:rPr>
            <w:t>José Martínez Vilchis</w:t>
          </w:r>
        </w:p>
        <w:p w:rsidR="004051C8" w:rsidRPr="00711916" w:rsidRDefault="004051C8" w:rsidP="00D22D6C">
          <w:pPr>
            <w:spacing w:after="120" w:line="240" w:lineRule="auto"/>
            <w:ind w:left="-486" w:right="71" w:firstLine="567"/>
            <w:jc w:val="right"/>
            <w:rPr>
              <w:rFonts w:cs="Arial"/>
              <w:sz w:val="2"/>
              <w:szCs w:val="2"/>
            </w:rPr>
          </w:pPr>
        </w:p>
      </w:tc>
    </w:tr>
  </w:tbl>
  <w:p w:rsidR="004051C8" w:rsidRPr="00871A91" w:rsidRDefault="00667F1B">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C8" w:rsidRDefault="004051C8">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4051C8" w:rsidTr="00D22D6C">
      <w:trPr>
        <w:trHeight w:val="227"/>
      </w:trPr>
      <w:tc>
        <w:tcPr>
          <w:tcW w:w="5103" w:type="dxa"/>
          <w:hideMark/>
        </w:tcPr>
        <w:p w:rsidR="004051C8" w:rsidRPr="00663A37" w:rsidRDefault="004051C8" w:rsidP="00D22D6C">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rsidR="004051C8" w:rsidRPr="00C81ECD" w:rsidRDefault="004051C8" w:rsidP="00D22D6C">
          <w:pPr>
            <w:spacing w:after="120" w:line="240" w:lineRule="auto"/>
            <w:ind w:left="-486" w:right="68" w:firstLine="558"/>
            <w:jc w:val="right"/>
            <w:rPr>
              <w:rFonts w:cs="Arial"/>
              <w:b/>
              <w:szCs w:val="24"/>
            </w:rPr>
          </w:pPr>
          <w:r>
            <w:rPr>
              <w:rFonts w:cs="Arial"/>
              <w:b/>
              <w:bCs/>
              <w:szCs w:val="24"/>
            </w:rPr>
            <w:t>06860/INFOEM/IP/RR/2025</w:t>
          </w:r>
        </w:p>
      </w:tc>
    </w:tr>
    <w:tr w:rsidR="004051C8" w:rsidRPr="001F57CD" w:rsidTr="00D22D6C">
      <w:trPr>
        <w:trHeight w:val="196"/>
      </w:trPr>
      <w:tc>
        <w:tcPr>
          <w:tcW w:w="5103" w:type="dxa"/>
          <w:hideMark/>
        </w:tcPr>
        <w:p w:rsidR="004051C8" w:rsidRPr="00663A37" w:rsidRDefault="004051C8" w:rsidP="00D22D6C">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rsidR="004051C8" w:rsidRPr="00663A37" w:rsidRDefault="00505A75" w:rsidP="00D22D6C">
          <w:pPr>
            <w:spacing w:after="120" w:line="240" w:lineRule="auto"/>
            <w:ind w:right="68"/>
            <w:jc w:val="right"/>
            <w:rPr>
              <w:rFonts w:cs="Arial"/>
              <w:szCs w:val="24"/>
            </w:rPr>
          </w:pPr>
          <w:r>
            <w:rPr>
              <w:rFonts w:cs="Arial"/>
              <w:szCs w:val="24"/>
            </w:rPr>
            <w:t>XXXX</w:t>
          </w:r>
          <w:r w:rsidR="004051C8">
            <w:rPr>
              <w:rFonts w:cs="Arial"/>
              <w:szCs w:val="24"/>
            </w:rPr>
            <w:t xml:space="preserve"> </w:t>
          </w:r>
        </w:p>
      </w:tc>
    </w:tr>
    <w:tr w:rsidR="004051C8" w:rsidTr="00D22D6C">
      <w:trPr>
        <w:trHeight w:val="242"/>
      </w:trPr>
      <w:tc>
        <w:tcPr>
          <w:tcW w:w="5103" w:type="dxa"/>
          <w:hideMark/>
        </w:tcPr>
        <w:p w:rsidR="004051C8" w:rsidRPr="00663A37" w:rsidRDefault="004051C8" w:rsidP="00D22D6C">
          <w:pPr>
            <w:spacing w:after="120" w:line="240" w:lineRule="auto"/>
            <w:ind w:right="68"/>
            <w:jc w:val="right"/>
            <w:rPr>
              <w:rFonts w:cs="Arial"/>
              <w:b/>
              <w:szCs w:val="24"/>
            </w:rPr>
          </w:pPr>
          <w:r w:rsidRPr="00663A37">
            <w:rPr>
              <w:rFonts w:cs="Arial"/>
              <w:b/>
              <w:szCs w:val="24"/>
            </w:rPr>
            <w:t>Sujeto Obligado:</w:t>
          </w:r>
        </w:p>
      </w:tc>
      <w:tc>
        <w:tcPr>
          <w:tcW w:w="4253" w:type="dxa"/>
          <w:hideMark/>
        </w:tcPr>
        <w:p w:rsidR="004051C8" w:rsidRPr="007F5D63" w:rsidRDefault="004051C8" w:rsidP="00D22D6C">
          <w:pPr>
            <w:spacing w:after="120" w:line="240" w:lineRule="auto"/>
            <w:ind w:left="-70" w:right="68"/>
            <w:jc w:val="right"/>
            <w:rPr>
              <w:rFonts w:cs="Arial"/>
              <w:b/>
              <w:bCs/>
              <w:szCs w:val="24"/>
            </w:rPr>
          </w:pPr>
          <w:r>
            <w:rPr>
              <w:bCs/>
              <w:color w:val="000000"/>
              <w:szCs w:val="24"/>
            </w:rPr>
            <w:t xml:space="preserve">          </w:t>
          </w:r>
          <w:r w:rsidRPr="007F5D63">
            <w:rPr>
              <w:b/>
              <w:bCs/>
              <w:color w:val="000000"/>
              <w:szCs w:val="24"/>
            </w:rPr>
            <w:t>Ayuntamiento de</w:t>
          </w:r>
          <w:r w:rsidRPr="00D22D6C">
            <w:rPr>
              <w:b/>
              <w:bCs/>
              <w:color w:val="000000"/>
              <w:szCs w:val="24"/>
            </w:rPr>
            <w:t xml:space="preserve"> Toluca</w:t>
          </w:r>
        </w:p>
      </w:tc>
    </w:tr>
    <w:tr w:rsidR="004051C8" w:rsidTr="00D22D6C">
      <w:trPr>
        <w:trHeight w:val="342"/>
      </w:trPr>
      <w:tc>
        <w:tcPr>
          <w:tcW w:w="5103" w:type="dxa"/>
          <w:hideMark/>
        </w:tcPr>
        <w:p w:rsidR="004051C8" w:rsidRPr="00663A37" w:rsidRDefault="004051C8" w:rsidP="00D22D6C">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rsidR="004051C8" w:rsidRPr="00663A37" w:rsidRDefault="004051C8" w:rsidP="00D22D6C">
          <w:pPr>
            <w:spacing w:after="120" w:line="240" w:lineRule="auto"/>
            <w:ind w:left="-486" w:right="68" w:firstLine="567"/>
            <w:jc w:val="right"/>
            <w:rPr>
              <w:rFonts w:cs="Arial"/>
              <w:szCs w:val="24"/>
            </w:rPr>
          </w:pPr>
          <w:r w:rsidRPr="00663A37">
            <w:rPr>
              <w:rFonts w:cs="Arial"/>
              <w:szCs w:val="24"/>
            </w:rPr>
            <w:t>José Martínez Vilchis</w:t>
          </w:r>
        </w:p>
      </w:tc>
    </w:tr>
  </w:tbl>
  <w:p w:rsidR="004051C8" w:rsidRPr="00871A91" w:rsidRDefault="004051C8">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16A7DF0E" wp14:editId="4124E78A">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C0EDA"/>
    <w:multiLevelType w:val="hybridMultilevel"/>
    <w:tmpl w:val="631A54A8"/>
    <w:lvl w:ilvl="0" w:tplc="2C145DF2">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AC5A2A"/>
    <w:multiLevelType w:val="hybridMultilevel"/>
    <w:tmpl w:val="7D7EB246"/>
    <w:lvl w:ilvl="0" w:tplc="0ECE441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4B3A6C"/>
    <w:multiLevelType w:val="hybridMultilevel"/>
    <w:tmpl w:val="8D5EC468"/>
    <w:lvl w:ilvl="0" w:tplc="44F03E3A">
      <w:start w:val="1"/>
      <w:numFmt w:val="decimal"/>
      <w:lvlText w:val="%1."/>
      <w:lvlJc w:val="left"/>
      <w:pPr>
        <w:ind w:left="720" w:hanging="360"/>
      </w:pPr>
      <w:rPr>
        <w:rFonts w:eastAsia="Calibri"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CC521B"/>
    <w:multiLevelType w:val="hybridMultilevel"/>
    <w:tmpl w:val="758013A6"/>
    <w:lvl w:ilvl="0" w:tplc="3250789C">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0" w15:restartNumberingAfterBreak="0">
    <w:nsid w:val="6BB2662F"/>
    <w:multiLevelType w:val="hybridMultilevel"/>
    <w:tmpl w:val="A33EFAF8"/>
    <w:lvl w:ilvl="0" w:tplc="A110709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7F135C2D"/>
    <w:multiLevelType w:val="hybridMultilevel"/>
    <w:tmpl w:val="55C6E112"/>
    <w:lvl w:ilvl="0" w:tplc="8C982CFE">
      <w:start w:val="1"/>
      <w:numFmt w:val="decimal"/>
      <w:lvlText w:val="%1."/>
      <w:lvlJc w:val="left"/>
      <w:pPr>
        <w:ind w:left="1080" w:hanging="360"/>
      </w:pPr>
      <w:rPr>
        <w:rFonts w:eastAsia="Calibri" w:cs="Calibr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6"/>
  </w:num>
  <w:num w:numId="3">
    <w:abstractNumId w:val="11"/>
  </w:num>
  <w:num w:numId="4">
    <w:abstractNumId w:val="0"/>
  </w:num>
  <w:num w:numId="5">
    <w:abstractNumId w:val="7"/>
  </w:num>
  <w:num w:numId="6">
    <w:abstractNumId w:val="5"/>
  </w:num>
  <w:num w:numId="7">
    <w:abstractNumId w:val="3"/>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D6C"/>
    <w:rsid w:val="00043FCF"/>
    <w:rsid w:val="000C6DFA"/>
    <w:rsid w:val="001152DB"/>
    <w:rsid w:val="00164C90"/>
    <w:rsid w:val="001771FE"/>
    <w:rsid w:val="001955A1"/>
    <w:rsid w:val="001B39A7"/>
    <w:rsid w:val="002B4575"/>
    <w:rsid w:val="00347AA7"/>
    <w:rsid w:val="00370C6F"/>
    <w:rsid w:val="004051C8"/>
    <w:rsid w:val="00433D1A"/>
    <w:rsid w:val="00466107"/>
    <w:rsid w:val="00477967"/>
    <w:rsid w:val="00505A75"/>
    <w:rsid w:val="00546365"/>
    <w:rsid w:val="005842B1"/>
    <w:rsid w:val="005C3C3C"/>
    <w:rsid w:val="005C6F0A"/>
    <w:rsid w:val="00611208"/>
    <w:rsid w:val="00627D31"/>
    <w:rsid w:val="00667F1B"/>
    <w:rsid w:val="00706B74"/>
    <w:rsid w:val="0081459C"/>
    <w:rsid w:val="008172C3"/>
    <w:rsid w:val="008822F5"/>
    <w:rsid w:val="00983D10"/>
    <w:rsid w:val="009C3E76"/>
    <w:rsid w:val="009C61EF"/>
    <w:rsid w:val="00A67F68"/>
    <w:rsid w:val="00B222B7"/>
    <w:rsid w:val="00B63F94"/>
    <w:rsid w:val="00BA22EB"/>
    <w:rsid w:val="00BA3E7F"/>
    <w:rsid w:val="00BD491D"/>
    <w:rsid w:val="00C36505"/>
    <w:rsid w:val="00D22D6C"/>
    <w:rsid w:val="00D914EB"/>
    <w:rsid w:val="00DC6EC6"/>
    <w:rsid w:val="00DE289F"/>
    <w:rsid w:val="00EE4ABE"/>
    <w:rsid w:val="00F93924"/>
    <w:rsid w:val="00FB3E0A"/>
    <w:rsid w:val="00FC75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62A2D34-FD74-4D93-AD77-6EA9ED4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6C"/>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D22D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D22D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22D6C"/>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D22D6C"/>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D22D6C"/>
    <w:rPr>
      <w:rFonts w:asciiTheme="majorHAnsi" w:eastAsiaTheme="majorEastAsia" w:hAnsiTheme="majorHAnsi" w:cstheme="majorBidi"/>
      <w:color w:val="2E74B5" w:themeColor="accent1" w:themeShade="BF"/>
      <w:sz w:val="32"/>
      <w:szCs w:val="32"/>
      <w:lang w:val="es-ES_tradnl" w:eastAsia="es-MX"/>
    </w:rPr>
  </w:style>
  <w:style w:type="character" w:customStyle="1" w:styleId="Ttulo3Car">
    <w:name w:val="Título 3 Car"/>
    <w:basedOn w:val="Fuentedeprrafopredeter"/>
    <w:link w:val="Ttulo3"/>
    <w:uiPriority w:val="9"/>
    <w:rsid w:val="00D22D6C"/>
    <w:rPr>
      <w:rFonts w:ascii="Palatino Linotype" w:eastAsiaTheme="majorEastAsia" w:hAnsi="Palatino Linotype" w:cstheme="majorBidi"/>
      <w:color w:val="2E74B5" w:themeColor="accent1" w:themeShade="BF"/>
      <w:sz w:val="28"/>
      <w:szCs w:val="28"/>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22D6C"/>
    <w:pPr>
      <w:ind w:left="720"/>
      <w:contextualSpacing/>
    </w:pPr>
  </w:style>
  <w:style w:type="paragraph" w:styleId="Encabezado">
    <w:name w:val="header"/>
    <w:basedOn w:val="Normal"/>
    <w:link w:val="EncabezadoCar"/>
    <w:uiPriority w:val="99"/>
    <w:unhideWhenUsed/>
    <w:rsid w:val="00D22D6C"/>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D22D6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22D6C"/>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D22D6C"/>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22D6C"/>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D22D6C"/>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22D6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D22D6C"/>
    <w:rPr>
      <w:color w:val="0563C1" w:themeColor="hyperlink"/>
      <w:u w:val="single"/>
    </w:rPr>
  </w:style>
  <w:style w:type="paragraph" w:customStyle="1" w:styleId="Fundamentos">
    <w:name w:val="Fundamentos"/>
    <w:basedOn w:val="Normal"/>
    <w:qFormat/>
    <w:rsid w:val="00D22D6C"/>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2D6C"/>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2D6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59</Pages>
  <Words>13714</Words>
  <Characters>75432</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27</cp:revision>
  <cp:lastPrinted>2025-11-24T16:35:00Z</cp:lastPrinted>
  <dcterms:created xsi:type="dcterms:W3CDTF">2025-11-10T21:09:00Z</dcterms:created>
  <dcterms:modified xsi:type="dcterms:W3CDTF">2026-01-13T16:40:00Z</dcterms:modified>
</cp:coreProperties>
</file>