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5E5FEE" w:rsidRDefault="00247497" w:rsidP="005E5FEE">
          <w:pPr>
            <w:pStyle w:val="TtulodeTDC"/>
            <w:rPr>
              <w:color w:val="auto"/>
              <w:sz w:val="22"/>
              <w:szCs w:val="22"/>
            </w:rPr>
          </w:pPr>
          <w:r w:rsidRPr="005E5FEE">
            <w:rPr>
              <w:color w:val="auto"/>
              <w:sz w:val="22"/>
              <w:szCs w:val="22"/>
              <w:lang w:val="es-ES"/>
            </w:rPr>
            <w:t>Contenido</w:t>
          </w:r>
        </w:p>
        <w:p w14:paraId="1B8C1E65" w14:textId="511A00C7" w:rsidR="005E5FEE" w:rsidRPr="005E5FEE" w:rsidRDefault="00247497" w:rsidP="005E5FEE">
          <w:pPr>
            <w:pStyle w:val="TDC1"/>
            <w:tabs>
              <w:tab w:val="right" w:leader="dot" w:pos="9034"/>
            </w:tabs>
            <w:rPr>
              <w:rFonts w:asciiTheme="minorHAnsi" w:eastAsiaTheme="minorEastAsia" w:hAnsiTheme="minorHAnsi" w:cstheme="minorBidi"/>
              <w:noProof/>
              <w:szCs w:val="22"/>
              <w:lang w:eastAsia="es-MX"/>
            </w:rPr>
          </w:pPr>
          <w:r w:rsidRPr="005E5FEE">
            <w:rPr>
              <w:b/>
              <w:bCs/>
              <w:szCs w:val="22"/>
              <w:lang w:val="es-ES"/>
            </w:rPr>
            <w:fldChar w:fldCharType="begin"/>
          </w:r>
          <w:r w:rsidRPr="005E5FEE">
            <w:rPr>
              <w:b/>
              <w:bCs/>
              <w:szCs w:val="22"/>
              <w:lang w:val="es-ES"/>
            </w:rPr>
            <w:instrText xml:space="preserve"> TOC \o "1-3" \h \z \u </w:instrText>
          </w:r>
          <w:r w:rsidRPr="005E5FEE">
            <w:rPr>
              <w:b/>
              <w:bCs/>
              <w:szCs w:val="22"/>
              <w:lang w:val="es-ES"/>
            </w:rPr>
            <w:fldChar w:fldCharType="separate"/>
          </w:r>
          <w:hyperlink w:anchor="_Toc195123416" w:history="1">
            <w:r w:rsidR="005E5FEE" w:rsidRPr="005E5FEE">
              <w:rPr>
                <w:rStyle w:val="Hipervnculo"/>
                <w:rFonts w:eastAsiaTheme="majorEastAsia"/>
                <w:noProof/>
                <w:color w:val="auto"/>
              </w:rPr>
              <w:t>ANTECEDENTES</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_Toc195123416 \h </w:instrText>
            </w:r>
            <w:r w:rsidR="005E5FEE" w:rsidRPr="005E5FEE">
              <w:rPr>
                <w:noProof/>
                <w:webHidden/>
              </w:rPr>
            </w:r>
            <w:r w:rsidR="005E5FEE" w:rsidRPr="005E5FEE">
              <w:rPr>
                <w:noProof/>
                <w:webHidden/>
              </w:rPr>
              <w:fldChar w:fldCharType="separate"/>
            </w:r>
            <w:r w:rsidR="000F5EF1">
              <w:rPr>
                <w:noProof/>
                <w:webHidden/>
              </w:rPr>
              <w:t>1</w:t>
            </w:r>
            <w:r w:rsidR="005E5FEE" w:rsidRPr="005E5FEE">
              <w:rPr>
                <w:noProof/>
                <w:webHidden/>
              </w:rPr>
              <w:fldChar w:fldCharType="end"/>
            </w:r>
          </w:hyperlink>
        </w:p>
        <w:p w14:paraId="6976C143" w14:textId="3B857DEA" w:rsidR="005E5FEE" w:rsidRPr="005E5FEE" w:rsidRDefault="00F348FA" w:rsidP="005E5FEE">
          <w:pPr>
            <w:pStyle w:val="TDC2"/>
            <w:rPr>
              <w:rFonts w:asciiTheme="minorHAnsi" w:eastAsiaTheme="minorEastAsia" w:hAnsiTheme="minorHAnsi" w:cstheme="minorBidi"/>
              <w:noProof/>
              <w:szCs w:val="22"/>
              <w:lang w:eastAsia="es-MX"/>
            </w:rPr>
          </w:pPr>
          <w:hyperlink w:anchor="_Toc195123417" w:history="1">
            <w:r w:rsidR="005E5FEE" w:rsidRPr="005E5FEE">
              <w:rPr>
                <w:rStyle w:val="Hipervnculo"/>
                <w:rFonts w:eastAsiaTheme="majorEastAsia"/>
                <w:noProof/>
                <w:color w:val="auto"/>
              </w:rPr>
              <w:t>DE LA SOLICITUD DE INFORMACIÓN</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_Toc195123417 \h </w:instrText>
            </w:r>
            <w:r w:rsidR="005E5FEE" w:rsidRPr="005E5FEE">
              <w:rPr>
                <w:noProof/>
                <w:webHidden/>
              </w:rPr>
            </w:r>
            <w:r w:rsidR="005E5FEE" w:rsidRPr="005E5FEE">
              <w:rPr>
                <w:noProof/>
                <w:webHidden/>
              </w:rPr>
              <w:fldChar w:fldCharType="separate"/>
            </w:r>
            <w:r w:rsidR="000F5EF1">
              <w:rPr>
                <w:noProof/>
                <w:webHidden/>
              </w:rPr>
              <w:t>1</w:t>
            </w:r>
            <w:r w:rsidR="005E5FEE" w:rsidRPr="005E5FEE">
              <w:rPr>
                <w:noProof/>
                <w:webHidden/>
              </w:rPr>
              <w:fldChar w:fldCharType="end"/>
            </w:r>
          </w:hyperlink>
        </w:p>
        <w:p w14:paraId="0BE10681" w14:textId="21573545" w:rsidR="005E5FEE" w:rsidRPr="005E5FEE" w:rsidRDefault="00F348FA" w:rsidP="005E5FEE">
          <w:pPr>
            <w:pStyle w:val="TDC3"/>
            <w:rPr>
              <w:rFonts w:asciiTheme="minorHAnsi" w:eastAsiaTheme="minorEastAsia" w:hAnsiTheme="minorHAnsi" w:cstheme="minorBidi"/>
              <w:noProof/>
              <w:szCs w:val="22"/>
              <w:lang w:eastAsia="es-MX"/>
            </w:rPr>
          </w:pPr>
          <w:hyperlink w:anchor="_Toc195123418" w:history="1">
            <w:r w:rsidR="005E5FEE" w:rsidRPr="005E5FEE">
              <w:rPr>
                <w:rStyle w:val="Hipervnculo"/>
                <w:rFonts w:eastAsiaTheme="majorEastAsia"/>
                <w:noProof/>
                <w:color w:val="auto"/>
              </w:rPr>
              <w:t>a) Solicitud de información.</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_Toc195123418 \h </w:instrText>
            </w:r>
            <w:r w:rsidR="005E5FEE" w:rsidRPr="005E5FEE">
              <w:rPr>
                <w:noProof/>
                <w:webHidden/>
              </w:rPr>
            </w:r>
            <w:r w:rsidR="005E5FEE" w:rsidRPr="005E5FEE">
              <w:rPr>
                <w:noProof/>
                <w:webHidden/>
              </w:rPr>
              <w:fldChar w:fldCharType="separate"/>
            </w:r>
            <w:r w:rsidR="000F5EF1">
              <w:rPr>
                <w:noProof/>
                <w:webHidden/>
              </w:rPr>
              <w:t>1</w:t>
            </w:r>
            <w:r w:rsidR="005E5FEE" w:rsidRPr="005E5FEE">
              <w:rPr>
                <w:noProof/>
                <w:webHidden/>
              </w:rPr>
              <w:fldChar w:fldCharType="end"/>
            </w:r>
          </w:hyperlink>
        </w:p>
        <w:p w14:paraId="52C32A33" w14:textId="3071C462" w:rsidR="005E5FEE" w:rsidRPr="005E5FEE" w:rsidRDefault="00F348FA" w:rsidP="005E5FEE">
          <w:pPr>
            <w:pStyle w:val="TDC3"/>
            <w:rPr>
              <w:rFonts w:asciiTheme="minorHAnsi" w:eastAsiaTheme="minorEastAsia" w:hAnsiTheme="minorHAnsi" w:cstheme="minorBidi"/>
              <w:noProof/>
              <w:szCs w:val="22"/>
              <w:lang w:eastAsia="es-MX"/>
            </w:rPr>
          </w:pPr>
          <w:hyperlink w:anchor="_Toc195123419" w:history="1">
            <w:r w:rsidR="005E5FEE" w:rsidRPr="005E5FEE">
              <w:rPr>
                <w:rStyle w:val="Hipervnculo"/>
                <w:rFonts w:eastAsiaTheme="majorEastAsia"/>
                <w:noProof/>
                <w:color w:val="auto"/>
              </w:rPr>
              <w:t>b) Turno de la solicitud de información.</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_Toc195123419 \h </w:instrText>
            </w:r>
            <w:r w:rsidR="005E5FEE" w:rsidRPr="005E5FEE">
              <w:rPr>
                <w:noProof/>
                <w:webHidden/>
              </w:rPr>
            </w:r>
            <w:r w:rsidR="005E5FEE" w:rsidRPr="005E5FEE">
              <w:rPr>
                <w:noProof/>
                <w:webHidden/>
              </w:rPr>
              <w:fldChar w:fldCharType="separate"/>
            </w:r>
            <w:r w:rsidR="000F5EF1">
              <w:rPr>
                <w:noProof/>
                <w:webHidden/>
              </w:rPr>
              <w:t>2</w:t>
            </w:r>
            <w:r w:rsidR="005E5FEE" w:rsidRPr="005E5FEE">
              <w:rPr>
                <w:noProof/>
                <w:webHidden/>
              </w:rPr>
              <w:fldChar w:fldCharType="end"/>
            </w:r>
          </w:hyperlink>
        </w:p>
        <w:p w14:paraId="2436CE3B" w14:textId="11D04198" w:rsidR="005E5FEE" w:rsidRPr="005E5FEE" w:rsidRDefault="00F348FA" w:rsidP="005E5FEE">
          <w:pPr>
            <w:pStyle w:val="TDC3"/>
            <w:rPr>
              <w:rFonts w:asciiTheme="minorHAnsi" w:eastAsiaTheme="minorEastAsia" w:hAnsiTheme="minorHAnsi" w:cstheme="minorBidi"/>
              <w:noProof/>
              <w:szCs w:val="22"/>
              <w:lang w:eastAsia="es-MX"/>
            </w:rPr>
          </w:pPr>
          <w:hyperlink w:anchor="_Toc195123420" w:history="1">
            <w:r w:rsidR="005E5FEE" w:rsidRPr="005E5FEE">
              <w:rPr>
                <w:rStyle w:val="Hipervnculo"/>
                <w:rFonts w:eastAsiaTheme="majorEastAsia"/>
                <w:noProof/>
                <w:color w:val="auto"/>
                <w:lang w:val="es-ES"/>
              </w:rPr>
              <w:t>c) Prórroga</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_Toc195123420 \h </w:instrText>
            </w:r>
            <w:r w:rsidR="005E5FEE" w:rsidRPr="005E5FEE">
              <w:rPr>
                <w:noProof/>
                <w:webHidden/>
              </w:rPr>
            </w:r>
            <w:r w:rsidR="005E5FEE" w:rsidRPr="005E5FEE">
              <w:rPr>
                <w:noProof/>
                <w:webHidden/>
              </w:rPr>
              <w:fldChar w:fldCharType="separate"/>
            </w:r>
            <w:r w:rsidR="000F5EF1">
              <w:rPr>
                <w:noProof/>
                <w:webHidden/>
              </w:rPr>
              <w:t>2</w:t>
            </w:r>
            <w:r w:rsidR="005E5FEE" w:rsidRPr="005E5FEE">
              <w:rPr>
                <w:noProof/>
                <w:webHidden/>
              </w:rPr>
              <w:fldChar w:fldCharType="end"/>
            </w:r>
          </w:hyperlink>
        </w:p>
        <w:p w14:paraId="65926FE5" w14:textId="7964D073" w:rsidR="005E5FEE" w:rsidRPr="005E5FEE" w:rsidRDefault="00F348FA" w:rsidP="005E5FEE">
          <w:pPr>
            <w:pStyle w:val="TDC3"/>
            <w:rPr>
              <w:rFonts w:asciiTheme="minorHAnsi" w:eastAsiaTheme="minorEastAsia" w:hAnsiTheme="minorHAnsi" w:cstheme="minorBidi"/>
              <w:noProof/>
              <w:szCs w:val="22"/>
              <w:lang w:eastAsia="es-MX"/>
            </w:rPr>
          </w:pPr>
          <w:hyperlink w:anchor="_Toc195123421" w:history="1">
            <w:r w:rsidR="005E5FEE" w:rsidRPr="005E5FEE">
              <w:rPr>
                <w:rStyle w:val="Hipervnculo"/>
                <w:rFonts w:eastAsiaTheme="majorEastAsia"/>
                <w:noProof/>
                <w:color w:val="auto"/>
              </w:rPr>
              <w:t>d) Respuesta del Sujeto Obligado.</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_Toc195123421 \h </w:instrText>
            </w:r>
            <w:r w:rsidR="005E5FEE" w:rsidRPr="005E5FEE">
              <w:rPr>
                <w:noProof/>
                <w:webHidden/>
              </w:rPr>
            </w:r>
            <w:r w:rsidR="005E5FEE" w:rsidRPr="005E5FEE">
              <w:rPr>
                <w:noProof/>
                <w:webHidden/>
              </w:rPr>
              <w:fldChar w:fldCharType="separate"/>
            </w:r>
            <w:r w:rsidR="000F5EF1">
              <w:rPr>
                <w:noProof/>
                <w:webHidden/>
              </w:rPr>
              <w:t>3</w:t>
            </w:r>
            <w:r w:rsidR="005E5FEE" w:rsidRPr="005E5FEE">
              <w:rPr>
                <w:noProof/>
                <w:webHidden/>
              </w:rPr>
              <w:fldChar w:fldCharType="end"/>
            </w:r>
          </w:hyperlink>
        </w:p>
        <w:p w14:paraId="3DDB8274" w14:textId="34EFF5E5" w:rsidR="005E5FEE" w:rsidRPr="005E5FEE" w:rsidRDefault="00F348FA" w:rsidP="005E5FEE">
          <w:pPr>
            <w:pStyle w:val="TDC2"/>
            <w:rPr>
              <w:rFonts w:asciiTheme="minorHAnsi" w:eastAsiaTheme="minorEastAsia" w:hAnsiTheme="minorHAnsi" w:cstheme="minorBidi"/>
              <w:noProof/>
              <w:szCs w:val="22"/>
              <w:lang w:eastAsia="es-MX"/>
            </w:rPr>
          </w:pPr>
          <w:hyperlink w:anchor="_Toc195123422" w:history="1">
            <w:r w:rsidR="005E5FEE" w:rsidRPr="005E5FEE">
              <w:rPr>
                <w:rStyle w:val="Hipervnculo"/>
                <w:rFonts w:eastAsiaTheme="majorEastAsia"/>
                <w:noProof/>
                <w:color w:val="auto"/>
              </w:rPr>
              <w:t>DEL RECURSO DE REVISIÓN</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_Toc195123422 \h </w:instrText>
            </w:r>
            <w:r w:rsidR="005E5FEE" w:rsidRPr="005E5FEE">
              <w:rPr>
                <w:noProof/>
                <w:webHidden/>
              </w:rPr>
            </w:r>
            <w:r w:rsidR="005E5FEE" w:rsidRPr="005E5FEE">
              <w:rPr>
                <w:noProof/>
                <w:webHidden/>
              </w:rPr>
              <w:fldChar w:fldCharType="separate"/>
            </w:r>
            <w:r w:rsidR="000F5EF1">
              <w:rPr>
                <w:noProof/>
                <w:webHidden/>
              </w:rPr>
              <w:t>4</w:t>
            </w:r>
            <w:r w:rsidR="005E5FEE" w:rsidRPr="005E5FEE">
              <w:rPr>
                <w:noProof/>
                <w:webHidden/>
              </w:rPr>
              <w:fldChar w:fldCharType="end"/>
            </w:r>
          </w:hyperlink>
        </w:p>
        <w:p w14:paraId="292862F3" w14:textId="22029275" w:rsidR="005E5FEE" w:rsidRPr="005E5FEE" w:rsidRDefault="00F348FA" w:rsidP="005E5FEE">
          <w:pPr>
            <w:pStyle w:val="TDC3"/>
            <w:rPr>
              <w:rFonts w:asciiTheme="minorHAnsi" w:eastAsiaTheme="minorEastAsia" w:hAnsiTheme="minorHAnsi" w:cstheme="minorBidi"/>
              <w:noProof/>
              <w:szCs w:val="22"/>
              <w:lang w:eastAsia="es-MX"/>
            </w:rPr>
          </w:pPr>
          <w:hyperlink w:anchor="_Toc195123423" w:history="1">
            <w:r w:rsidR="005E5FEE" w:rsidRPr="005E5FEE">
              <w:rPr>
                <w:rStyle w:val="Hipervnculo"/>
                <w:rFonts w:eastAsiaTheme="majorEastAsia"/>
                <w:noProof/>
                <w:color w:val="auto"/>
              </w:rPr>
              <w:t>a) Interposición del Recurso de Revisión.</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_Toc195123423 \h </w:instrText>
            </w:r>
            <w:r w:rsidR="005E5FEE" w:rsidRPr="005E5FEE">
              <w:rPr>
                <w:noProof/>
                <w:webHidden/>
              </w:rPr>
            </w:r>
            <w:r w:rsidR="005E5FEE" w:rsidRPr="005E5FEE">
              <w:rPr>
                <w:noProof/>
                <w:webHidden/>
              </w:rPr>
              <w:fldChar w:fldCharType="separate"/>
            </w:r>
            <w:r w:rsidR="000F5EF1">
              <w:rPr>
                <w:noProof/>
                <w:webHidden/>
              </w:rPr>
              <w:t>4</w:t>
            </w:r>
            <w:r w:rsidR="005E5FEE" w:rsidRPr="005E5FEE">
              <w:rPr>
                <w:noProof/>
                <w:webHidden/>
              </w:rPr>
              <w:fldChar w:fldCharType="end"/>
            </w:r>
          </w:hyperlink>
        </w:p>
        <w:p w14:paraId="0D68D0B5" w14:textId="5CB02258" w:rsidR="005E5FEE" w:rsidRPr="005E5FEE" w:rsidRDefault="00F348FA" w:rsidP="005E5FEE">
          <w:pPr>
            <w:pStyle w:val="TDC3"/>
            <w:rPr>
              <w:rFonts w:asciiTheme="minorHAnsi" w:eastAsiaTheme="minorEastAsia" w:hAnsiTheme="minorHAnsi" w:cstheme="minorBidi"/>
              <w:noProof/>
              <w:szCs w:val="22"/>
              <w:lang w:eastAsia="es-MX"/>
            </w:rPr>
          </w:pPr>
          <w:hyperlink w:anchor="_Toc195123424" w:history="1">
            <w:r w:rsidR="005E5FEE" w:rsidRPr="005E5FEE">
              <w:rPr>
                <w:rStyle w:val="Hipervnculo"/>
                <w:rFonts w:eastAsiaTheme="majorEastAsia"/>
                <w:noProof/>
                <w:color w:val="auto"/>
              </w:rPr>
              <w:t>b) Turno del Recurso de Revisión.</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_Toc195123424 \h </w:instrText>
            </w:r>
            <w:r w:rsidR="005E5FEE" w:rsidRPr="005E5FEE">
              <w:rPr>
                <w:noProof/>
                <w:webHidden/>
              </w:rPr>
            </w:r>
            <w:r w:rsidR="005E5FEE" w:rsidRPr="005E5FEE">
              <w:rPr>
                <w:noProof/>
                <w:webHidden/>
              </w:rPr>
              <w:fldChar w:fldCharType="separate"/>
            </w:r>
            <w:r w:rsidR="000F5EF1">
              <w:rPr>
                <w:noProof/>
                <w:webHidden/>
              </w:rPr>
              <w:t>4</w:t>
            </w:r>
            <w:r w:rsidR="005E5FEE" w:rsidRPr="005E5FEE">
              <w:rPr>
                <w:noProof/>
                <w:webHidden/>
              </w:rPr>
              <w:fldChar w:fldCharType="end"/>
            </w:r>
          </w:hyperlink>
        </w:p>
        <w:p w14:paraId="091B6DB9" w14:textId="20F8449C" w:rsidR="005E5FEE" w:rsidRPr="005E5FEE" w:rsidRDefault="00F348FA" w:rsidP="005E5FEE">
          <w:pPr>
            <w:pStyle w:val="TDC3"/>
            <w:rPr>
              <w:rFonts w:asciiTheme="minorHAnsi" w:eastAsiaTheme="minorEastAsia" w:hAnsiTheme="minorHAnsi" w:cstheme="minorBidi"/>
              <w:noProof/>
              <w:szCs w:val="22"/>
              <w:lang w:eastAsia="es-MX"/>
            </w:rPr>
          </w:pPr>
          <w:hyperlink w:anchor="_Toc195123425" w:history="1">
            <w:r w:rsidR="005E5FEE" w:rsidRPr="005E5FEE">
              <w:rPr>
                <w:rStyle w:val="Hipervnculo"/>
                <w:rFonts w:eastAsiaTheme="majorEastAsia"/>
                <w:noProof/>
                <w:color w:val="auto"/>
              </w:rPr>
              <w:t>c) Admisión del Recurso de Revisión.</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_Toc195123425 \h </w:instrText>
            </w:r>
            <w:r w:rsidR="005E5FEE" w:rsidRPr="005E5FEE">
              <w:rPr>
                <w:noProof/>
                <w:webHidden/>
              </w:rPr>
            </w:r>
            <w:r w:rsidR="005E5FEE" w:rsidRPr="005E5FEE">
              <w:rPr>
                <w:noProof/>
                <w:webHidden/>
              </w:rPr>
              <w:fldChar w:fldCharType="separate"/>
            </w:r>
            <w:r w:rsidR="000F5EF1">
              <w:rPr>
                <w:noProof/>
                <w:webHidden/>
              </w:rPr>
              <w:t>4</w:t>
            </w:r>
            <w:r w:rsidR="005E5FEE" w:rsidRPr="005E5FEE">
              <w:rPr>
                <w:noProof/>
                <w:webHidden/>
              </w:rPr>
              <w:fldChar w:fldCharType="end"/>
            </w:r>
          </w:hyperlink>
        </w:p>
        <w:p w14:paraId="7C4D0DFF" w14:textId="72598A37" w:rsidR="005E5FEE" w:rsidRPr="005E5FEE" w:rsidRDefault="00F348FA" w:rsidP="005E5FEE">
          <w:pPr>
            <w:pStyle w:val="TDC3"/>
            <w:rPr>
              <w:rFonts w:asciiTheme="minorHAnsi" w:eastAsiaTheme="minorEastAsia" w:hAnsiTheme="minorHAnsi" w:cstheme="minorBidi"/>
              <w:noProof/>
              <w:szCs w:val="22"/>
              <w:lang w:eastAsia="es-MX"/>
            </w:rPr>
          </w:pPr>
          <w:hyperlink w:anchor="_Toc195123426" w:history="1">
            <w:r w:rsidR="005E5FEE" w:rsidRPr="005E5FEE">
              <w:rPr>
                <w:rStyle w:val="Hipervnculo"/>
                <w:rFonts w:eastAsiaTheme="majorEastAsia"/>
                <w:noProof/>
                <w:color w:val="auto"/>
              </w:rPr>
              <w:t>d) Informe Justificado del Sujeto Obligado.</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_Toc195123426 \h </w:instrText>
            </w:r>
            <w:r w:rsidR="005E5FEE" w:rsidRPr="005E5FEE">
              <w:rPr>
                <w:noProof/>
                <w:webHidden/>
              </w:rPr>
            </w:r>
            <w:r w:rsidR="005E5FEE" w:rsidRPr="005E5FEE">
              <w:rPr>
                <w:noProof/>
                <w:webHidden/>
              </w:rPr>
              <w:fldChar w:fldCharType="separate"/>
            </w:r>
            <w:r w:rsidR="000F5EF1">
              <w:rPr>
                <w:noProof/>
                <w:webHidden/>
              </w:rPr>
              <w:t>5</w:t>
            </w:r>
            <w:r w:rsidR="005E5FEE" w:rsidRPr="005E5FEE">
              <w:rPr>
                <w:noProof/>
                <w:webHidden/>
              </w:rPr>
              <w:fldChar w:fldCharType="end"/>
            </w:r>
          </w:hyperlink>
        </w:p>
        <w:p w14:paraId="331EEDE4" w14:textId="52B481B9" w:rsidR="005E5FEE" w:rsidRPr="005E5FEE" w:rsidRDefault="00F348FA" w:rsidP="005E5FEE">
          <w:pPr>
            <w:pStyle w:val="TDC3"/>
            <w:rPr>
              <w:rFonts w:asciiTheme="minorHAnsi" w:eastAsiaTheme="minorEastAsia" w:hAnsiTheme="minorHAnsi" w:cstheme="minorBidi"/>
              <w:noProof/>
              <w:szCs w:val="22"/>
              <w:lang w:eastAsia="es-MX"/>
            </w:rPr>
          </w:pPr>
          <w:hyperlink w:anchor="_Toc195123427" w:history="1">
            <w:r w:rsidR="005E5FEE" w:rsidRPr="005E5FEE">
              <w:rPr>
                <w:rStyle w:val="Hipervnculo"/>
                <w:rFonts w:eastAsiaTheme="majorEastAsia"/>
                <w:noProof/>
                <w:color w:val="auto"/>
              </w:rPr>
              <w:t>e) Manifestaciones de la Parte Recurrente.</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_Toc195123427 \h </w:instrText>
            </w:r>
            <w:r w:rsidR="005E5FEE" w:rsidRPr="005E5FEE">
              <w:rPr>
                <w:noProof/>
                <w:webHidden/>
              </w:rPr>
            </w:r>
            <w:r w:rsidR="005E5FEE" w:rsidRPr="005E5FEE">
              <w:rPr>
                <w:noProof/>
                <w:webHidden/>
              </w:rPr>
              <w:fldChar w:fldCharType="separate"/>
            </w:r>
            <w:r w:rsidR="000F5EF1">
              <w:rPr>
                <w:noProof/>
                <w:webHidden/>
              </w:rPr>
              <w:t>6</w:t>
            </w:r>
            <w:r w:rsidR="005E5FEE" w:rsidRPr="005E5FEE">
              <w:rPr>
                <w:noProof/>
                <w:webHidden/>
              </w:rPr>
              <w:fldChar w:fldCharType="end"/>
            </w:r>
          </w:hyperlink>
        </w:p>
        <w:p w14:paraId="44992037" w14:textId="5CC4B349" w:rsidR="005E5FEE" w:rsidRPr="005E5FEE" w:rsidRDefault="00F348FA" w:rsidP="005E5FEE">
          <w:pPr>
            <w:pStyle w:val="TDC3"/>
            <w:rPr>
              <w:rFonts w:asciiTheme="minorHAnsi" w:eastAsiaTheme="minorEastAsia" w:hAnsiTheme="minorHAnsi" w:cstheme="minorBidi"/>
              <w:noProof/>
              <w:szCs w:val="22"/>
              <w:lang w:eastAsia="es-MX"/>
            </w:rPr>
          </w:pPr>
          <w:hyperlink w:anchor="_Toc195123428" w:history="1">
            <w:r w:rsidR="005E5FEE" w:rsidRPr="005E5FEE">
              <w:rPr>
                <w:rStyle w:val="Hipervnculo"/>
                <w:rFonts w:eastAsiaTheme="majorEastAsia"/>
                <w:noProof/>
                <w:color w:val="auto"/>
              </w:rPr>
              <w:t>f) Cierre de instrucción.</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_Toc195123428 \h </w:instrText>
            </w:r>
            <w:r w:rsidR="005E5FEE" w:rsidRPr="005E5FEE">
              <w:rPr>
                <w:noProof/>
                <w:webHidden/>
              </w:rPr>
            </w:r>
            <w:r w:rsidR="005E5FEE" w:rsidRPr="005E5FEE">
              <w:rPr>
                <w:noProof/>
                <w:webHidden/>
              </w:rPr>
              <w:fldChar w:fldCharType="separate"/>
            </w:r>
            <w:r w:rsidR="000F5EF1">
              <w:rPr>
                <w:noProof/>
                <w:webHidden/>
              </w:rPr>
              <w:t>6</w:t>
            </w:r>
            <w:r w:rsidR="005E5FEE" w:rsidRPr="005E5FEE">
              <w:rPr>
                <w:noProof/>
                <w:webHidden/>
              </w:rPr>
              <w:fldChar w:fldCharType="end"/>
            </w:r>
          </w:hyperlink>
        </w:p>
        <w:p w14:paraId="4175B665" w14:textId="157AB4D1" w:rsidR="005E5FEE" w:rsidRPr="005E5FEE" w:rsidRDefault="00F348FA" w:rsidP="005E5FEE">
          <w:pPr>
            <w:pStyle w:val="TDC1"/>
            <w:tabs>
              <w:tab w:val="right" w:leader="dot" w:pos="9034"/>
            </w:tabs>
            <w:rPr>
              <w:rFonts w:asciiTheme="minorHAnsi" w:eastAsiaTheme="minorEastAsia" w:hAnsiTheme="minorHAnsi" w:cstheme="minorBidi"/>
              <w:noProof/>
              <w:szCs w:val="22"/>
              <w:lang w:eastAsia="es-MX"/>
            </w:rPr>
          </w:pPr>
          <w:hyperlink w:anchor="_Toc195123429" w:history="1">
            <w:r w:rsidR="005E5FEE" w:rsidRPr="005E5FEE">
              <w:rPr>
                <w:rStyle w:val="Hipervnculo"/>
                <w:rFonts w:eastAsiaTheme="majorEastAsia"/>
                <w:noProof/>
                <w:color w:val="auto"/>
              </w:rPr>
              <w:t>CONSIDERANDOS</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_Toc195123429 \h </w:instrText>
            </w:r>
            <w:r w:rsidR="005E5FEE" w:rsidRPr="005E5FEE">
              <w:rPr>
                <w:noProof/>
                <w:webHidden/>
              </w:rPr>
            </w:r>
            <w:r w:rsidR="005E5FEE" w:rsidRPr="005E5FEE">
              <w:rPr>
                <w:noProof/>
                <w:webHidden/>
              </w:rPr>
              <w:fldChar w:fldCharType="separate"/>
            </w:r>
            <w:r w:rsidR="000F5EF1">
              <w:rPr>
                <w:noProof/>
                <w:webHidden/>
              </w:rPr>
              <w:t>6</w:t>
            </w:r>
            <w:r w:rsidR="005E5FEE" w:rsidRPr="005E5FEE">
              <w:rPr>
                <w:noProof/>
                <w:webHidden/>
              </w:rPr>
              <w:fldChar w:fldCharType="end"/>
            </w:r>
          </w:hyperlink>
        </w:p>
        <w:p w14:paraId="5BE3276B" w14:textId="4DE9A0E8" w:rsidR="005E5FEE" w:rsidRPr="005E5FEE" w:rsidRDefault="00F348FA" w:rsidP="005E5FEE">
          <w:pPr>
            <w:pStyle w:val="TDC2"/>
            <w:rPr>
              <w:rFonts w:asciiTheme="minorHAnsi" w:eastAsiaTheme="minorEastAsia" w:hAnsiTheme="minorHAnsi" w:cstheme="minorBidi"/>
              <w:noProof/>
              <w:szCs w:val="22"/>
              <w:lang w:eastAsia="es-MX"/>
            </w:rPr>
          </w:pPr>
          <w:hyperlink w:anchor="_Toc195123430" w:history="1">
            <w:r w:rsidR="005E5FEE" w:rsidRPr="005E5FEE">
              <w:rPr>
                <w:rStyle w:val="Hipervnculo"/>
                <w:rFonts w:eastAsiaTheme="majorEastAsia"/>
                <w:noProof/>
                <w:color w:val="auto"/>
              </w:rPr>
              <w:t>PRIMERO. Procedibilidad</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_Toc195123430 \h </w:instrText>
            </w:r>
            <w:r w:rsidR="005E5FEE" w:rsidRPr="005E5FEE">
              <w:rPr>
                <w:noProof/>
                <w:webHidden/>
              </w:rPr>
            </w:r>
            <w:r w:rsidR="005E5FEE" w:rsidRPr="005E5FEE">
              <w:rPr>
                <w:noProof/>
                <w:webHidden/>
              </w:rPr>
              <w:fldChar w:fldCharType="separate"/>
            </w:r>
            <w:r w:rsidR="000F5EF1">
              <w:rPr>
                <w:noProof/>
                <w:webHidden/>
              </w:rPr>
              <w:t>6</w:t>
            </w:r>
            <w:r w:rsidR="005E5FEE" w:rsidRPr="005E5FEE">
              <w:rPr>
                <w:noProof/>
                <w:webHidden/>
              </w:rPr>
              <w:fldChar w:fldCharType="end"/>
            </w:r>
          </w:hyperlink>
        </w:p>
        <w:p w14:paraId="346C0ED6" w14:textId="3C20E355" w:rsidR="005E5FEE" w:rsidRPr="005E5FEE" w:rsidRDefault="00F348FA" w:rsidP="005E5FEE">
          <w:pPr>
            <w:pStyle w:val="TDC3"/>
            <w:rPr>
              <w:rFonts w:asciiTheme="minorHAnsi" w:eastAsiaTheme="minorEastAsia" w:hAnsiTheme="minorHAnsi" w:cstheme="minorBidi"/>
              <w:noProof/>
              <w:szCs w:val="22"/>
              <w:lang w:eastAsia="es-MX"/>
            </w:rPr>
          </w:pPr>
          <w:hyperlink w:anchor="_Toc195123431" w:history="1">
            <w:r w:rsidR="005E5FEE" w:rsidRPr="005E5FEE">
              <w:rPr>
                <w:rStyle w:val="Hipervnculo"/>
                <w:rFonts w:eastAsiaTheme="majorEastAsia"/>
                <w:noProof/>
                <w:color w:val="auto"/>
              </w:rPr>
              <w:t>a) Competencia del Instituto.</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_Toc195123431 \h </w:instrText>
            </w:r>
            <w:r w:rsidR="005E5FEE" w:rsidRPr="005E5FEE">
              <w:rPr>
                <w:noProof/>
                <w:webHidden/>
              </w:rPr>
            </w:r>
            <w:r w:rsidR="005E5FEE" w:rsidRPr="005E5FEE">
              <w:rPr>
                <w:noProof/>
                <w:webHidden/>
              </w:rPr>
              <w:fldChar w:fldCharType="separate"/>
            </w:r>
            <w:r w:rsidR="000F5EF1">
              <w:rPr>
                <w:noProof/>
                <w:webHidden/>
              </w:rPr>
              <w:t>6</w:t>
            </w:r>
            <w:r w:rsidR="005E5FEE" w:rsidRPr="005E5FEE">
              <w:rPr>
                <w:noProof/>
                <w:webHidden/>
              </w:rPr>
              <w:fldChar w:fldCharType="end"/>
            </w:r>
          </w:hyperlink>
        </w:p>
        <w:p w14:paraId="3081EEDA" w14:textId="3671F65D" w:rsidR="005E5FEE" w:rsidRPr="005E5FEE" w:rsidRDefault="00F348FA" w:rsidP="005E5FEE">
          <w:pPr>
            <w:pStyle w:val="TDC3"/>
            <w:rPr>
              <w:rFonts w:asciiTheme="minorHAnsi" w:eastAsiaTheme="minorEastAsia" w:hAnsiTheme="minorHAnsi" w:cstheme="minorBidi"/>
              <w:noProof/>
              <w:szCs w:val="22"/>
              <w:lang w:eastAsia="es-MX"/>
            </w:rPr>
          </w:pPr>
          <w:hyperlink w:anchor="_Toc195123432" w:history="1">
            <w:r w:rsidR="005E5FEE" w:rsidRPr="005E5FEE">
              <w:rPr>
                <w:rStyle w:val="Hipervnculo"/>
                <w:rFonts w:eastAsiaTheme="majorEastAsia"/>
                <w:noProof/>
                <w:color w:val="auto"/>
              </w:rPr>
              <w:t>b) Legitimidad de la parte recurrente.</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_Toc195123432 \h </w:instrText>
            </w:r>
            <w:r w:rsidR="005E5FEE" w:rsidRPr="005E5FEE">
              <w:rPr>
                <w:noProof/>
                <w:webHidden/>
              </w:rPr>
            </w:r>
            <w:r w:rsidR="005E5FEE" w:rsidRPr="005E5FEE">
              <w:rPr>
                <w:noProof/>
                <w:webHidden/>
              </w:rPr>
              <w:fldChar w:fldCharType="separate"/>
            </w:r>
            <w:r w:rsidR="000F5EF1">
              <w:rPr>
                <w:noProof/>
                <w:webHidden/>
              </w:rPr>
              <w:t>7</w:t>
            </w:r>
            <w:r w:rsidR="005E5FEE" w:rsidRPr="005E5FEE">
              <w:rPr>
                <w:noProof/>
                <w:webHidden/>
              </w:rPr>
              <w:fldChar w:fldCharType="end"/>
            </w:r>
          </w:hyperlink>
        </w:p>
        <w:p w14:paraId="03B4E323" w14:textId="5DC97D7C" w:rsidR="005E5FEE" w:rsidRPr="005E5FEE" w:rsidRDefault="00F348FA" w:rsidP="005E5FEE">
          <w:pPr>
            <w:pStyle w:val="TDC3"/>
            <w:rPr>
              <w:rFonts w:asciiTheme="minorHAnsi" w:eastAsiaTheme="minorEastAsia" w:hAnsiTheme="minorHAnsi" w:cstheme="minorBidi"/>
              <w:noProof/>
              <w:szCs w:val="22"/>
              <w:lang w:eastAsia="es-MX"/>
            </w:rPr>
          </w:pPr>
          <w:hyperlink w:anchor="_Toc195123433" w:history="1">
            <w:r w:rsidR="005E5FEE" w:rsidRPr="005E5FEE">
              <w:rPr>
                <w:rStyle w:val="Hipervnculo"/>
                <w:rFonts w:eastAsiaTheme="majorEastAsia"/>
                <w:noProof/>
                <w:color w:val="auto"/>
              </w:rPr>
              <w:t>c) Plazo para interponer el recurso.</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_Toc195123433 \h </w:instrText>
            </w:r>
            <w:r w:rsidR="005E5FEE" w:rsidRPr="005E5FEE">
              <w:rPr>
                <w:noProof/>
                <w:webHidden/>
              </w:rPr>
            </w:r>
            <w:r w:rsidR="005E5FEE" w:rsidRPr="005E5FEE">
              <w:rPr>
                <w:noProof/>
                <w:webHidden/>
              </w:rPr>
              <w:fldChar w:fldCharType="separate"/>
            </w:r>
            <w:r w:rsidR="000F5EF1">
              <w:rPr>
                <w:noProof/>
                <w:webHidden/>
              </w:rPr>
              <w:t>7</w:t>
            </w:r>
            <w:r w:rsidR="005E5FEE" w:rsidRPr="005E5FEE">
              <w:rPr>
                <w:noProof/>
                <w:webHidden/>
              </w:rPr>
              <w:fldChar w:fldCharType="end"/>
            </w:r>
          </w:hyperlink>
        </w:p>
        <w:p w14:paraId="4D7A6332" w14:textId="29807FB5" w:rsidR="005E5FEE" w:rsidRPr="005E5FEE" w:rsidRDefault="00F348FA" w:rsidP="005E5FEE">
          <w:pPr>
            <w:pStyle w:val="TDC3"/>
            <w:rPr>
              <w:rFonts w:asciiTheme="minorHAnsi" w:eastAsiaTheme="minorEastAsia" w:hAnsiTheme="minorHAnsi" w:cstheme="minorBidi"/>
              <w:noProof/>
              <w:szCs w:val="22"/>
              <w:lang w:eastAsia="es-MX"/>
            </w:rPr>
          </w:pPr>
          <w:hyperlink w:anchor="_Toc195123434" w:history="1">
            <w:r w:rsidR="005E5FEE" w:rsidRPr="005E5FEE">
              <w:rPr>
                <w:rStyle w:val="Hipervnculo"/>
                <w:rFonts w:eastAsiaTheme="majorEastAsia"/>
                <w:noProof/>
                <w:color w:val="auto"/>
              </w:rPr>
              <w:t>d) Requisitos formales para la interposición del recurso.</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_Toc195123434 \h </w:instrText>
            </w:r>
            <w:r w:rsidR="005E5FEE" w:rsidRPr="005E5FEE">
              <w:rPr>
                <w:noProof/>
                <w:webHidden/>
              </w:rPr>
            </w:r>
            <w:r w:rsidR="005E5FEE" w:rsidRPr="005E5FEE">
              <w:rPr>
                <w:noProof/>
                <w:webHidden/>
              </w:rPr>
              <w:fldChar w:fldCharType="separate"/>
            </w:r>
            <w:r w:rsidR="000F5EF1">
              <w:rPr>
                <w:noProof/>
                <w:webHidden/>
              </w:rPr>
              <w:t>8</w:t>
            </w:r>
            <w:r w:rsidR="005E5FEE" w:rsidRPr="005E5FEE">
              <w:rPr>
                <w:noProof/>
                <w:webHidden/>
              </w:rPr>
              <w:fldChar w:fldCharType="end"/>
            </w:r>
          </w:hyperlink>
        </w:p>
        <w:p w14:paraId="6B3C58D1" w14:textId="20F57C4C" w:rsidR="005E5FEE" w:rsidRPr="005E5FEE" w:rsidRDefault="00F348FA" w:rsidP="005E5FEE">
          <w:pPr>
            <w:pStyle w:val="TDC2"/>
            <w:rPr>
              <w:rFonts w:asciiTheme="minorHAnsi" w:eastAsiaTheme="minorEastAsia" w:hAnsiTheme="minorHAnsi" w:cstheme="minorBidi"/>
              <w:noProof/>
              <w:szCs w:val="22"/>
              <w:lang w:eastAsia="es-MX"/>
            </w:rPr>
          </w:pPr>
          <w:hyperlink w:anchor="_Toc195123435" w:history="1">
            <w:r w:rsidR="005E5FEE" w:rsidRPr="005E5FEE">
              <w:rPr>
                <w:rStyle w:val="Hipervnculo"/>
                <w:rFonts w:eastAsiaTheme="majorEastAsia"/>
                <w:noProof/>
                <w:color w:val="auto"/>
              </w:rPr>
              <w:t>SEGUNDO. Estudio de Fondo.</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_Toc195123435 \h </w:instrText>
            </w:r>
            <w:r w:rsidR="005E5FEE" w:rsidRPr="005E5FEE">
              <w:rPr>
                <w:noProof/>
                <w:webHidden/>
              </w:rPr>
            </w:r>
            <w:r w:rsidR="005E5FEE" w:rsidRPr="005E5FEE">
              <w:rPr>
                <w:noProof/>
                <w:webHidden/>
              </w:rPr>
              <w:fldChar w:fldCharType="separate"/>
            </w:r>
            <w:r w:rsidR="000F5EF1">
              <w:rPr>
                <w:noProof/>
                <w:webHidden/>
              </w:rPr>
              <w:t>8</w:t>
            </w:r>
            <w:r w:rsidR="005E5FEE" w:rsidRPr="005E5FEE">
              <w:rPr>
                <w:noProof/>
                <w:webHidden/>
              </w:rPr>
              <w:fldChar w:fldCharType="end"/>
            </w:r>
          </w:hyperlink>
        </w:p>
        <w:p w14:paraId="05283A19" w14:textId="7EE18A3D" w:rsidR="005E5FEE" w:rsidRPr="005E5FEE" w:rsidRDefault="00F348FA" w:rsidP="005E5FEE">
          <w:pPr>
            <w:pStyle w:val="TDC3"/>
            <w:rPr>
              <w:rFonts w:asciiTheme="minorHAnsi" w:eastAsiaTheme="minorEastAsia" w:hAnsiTheme="minorHAnsi" w:cstheme="minorBidi"/>
              <w:noProof/>
              <w:szCs w:val="22"/>
              <w:lang w:eastAsia="es-MX"/>
            </w:rPr>
          </w:pPr>
          <w:hyperlink w:anchor="_Toc195123436" w:history="1">
            <w:r w:rsidR="005E5FEE" w:rsidRPr="005E5FEE">
              <w:rPr>
                <w:rStyle w:val="Hipervnculo"/>
                <w:rFonts w:eastAsiaTheme="majorEastAsia"/>
                <w:noProof/>
                <w:color w:val="auto"/>
              </w:rPr>
              <w:t>a) Mandato de transparencia y responsabilidad del Sujeto Obligado.</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_Toc195123436 \h </w:instrText>
            </w:r>
            <w:r w:rsidR="005E5FEE" w:rsidRPr="005E5FEE">
              <w:rPr>
                <w:noProof/>
                <w:webHidden/>
              </w:rPr>
            </w:r>
            <w:r w:rsidR="005E5FEE" w:rsidRPr="005E5FEE">
              <w:rPr>
                <w:noProof/>
                <w:webHidden/>
              </w:rPr>
              <w:fldChar w:fldCharType="separate"/>
            </w:r>
            <w:r w:rsidR="000F5EF1">
              <w:rPr>
                <w:noProof/>
                <w:webHidden/>
              </w:rPr>
              <w:t>8</w:t>
            </w:r>
            <w:r w:rsidR="005E5FEE" w:rsidRPr="005E5FEE">
              <w:rPr>
                <w:noProof/>
                <w:webHidden/>
              </w:rPr>
              <w:fldChar w:fldCharType="end"/>
            </w:r>
          </w:hyperlink>
        </w:p>
        <w:p w14:paraId="73498168" w14:textId="3D3BFC25" w:rsidR="005E5FEE" w:rsidRPr="005E5FEE" w:rsidRDefault="00F348FA" w:rsidP="005E5FEE">
          <w:pPr>
            <w:pStyle w:val="TDC3"/>
            <w:rPr>
              <w:rFonts w:asciiTheme="minorHAnsi" w:eastAsiaTheme="minorEastAsia" w:hAnsiTheme="minorHAnsi" w:cstheme="minorBidi"/>
              <w:noProof/>
              <w:szCs w:val="22"/>
              <w:lang w:eastAsia="es-MX"/>
            </w:rPr>
          </w:pPr>
          <w:hyperlink w:anchor="_Toc195123437" w:history="1">
            <w:r w:rsidR="005E5FEE" w:rsidRPr="005E5FEE">
              <w:rPr>
                <w:rStyle w:val="Hipervnculo"/>
                <w:rFonts w:eastAsiaTheme="majorEastAsia"/>
                <w:noProof/>
                <w:color w:val="auto"/>
              </w:rPr>
              <w:t>b) Controversia a resolver.</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_Toc195123437 \h </w:instrText>
            </w:r>
            <w:r w:rsidR="005E5FEE" w:rsidRPr="005E5FEE">
              <w:rPr>
                <w:noProof/>
                <w:webHidden/>
              </w:rPr>
            </w:r>
            <w:r w:rsidR="005E5FEE" w:rsidRPr="005E5FEE">
              <w:rPr>
                <w:noProof/>
                <w:webHidden/>
              </w:rPr>
              <w:fldChar w:fldCharType="separate"/>
            </w:r>
            <w:r w:rsidR="000F5EF1">
              <w:rPr>
                <w:noProof/>
                <w:webHidden/>
              </w:rPr>
              <w:t>10</w:t>
            </w:r>
            <w:r w:rsidR="005E5FEE" w:rsidRPr="005E5FEE">
              <w:rPr>
                <w:noProof/>
                <w:webHidden/>
              </w:rPr>
              <w:fldChar w:fldCharType="end"/>
            </w:r>
          </w:hyperlink>
        </w:p>
        <w:p w14:paraId="65F6790D" w14:textId="3CD2E93D" w:rsidR="005E5FEE" w:rsidRPr="005E5FEE" w:rsidRDefault="00F348FA" w:rsidP="005E5FEE">
          <w:pPr>
            <w:pStyle w:val="TDC3"/>
            <w:rPr>
              <w:rFonts w:asciiTheme="minorHAnsi" w:eastAsiaTheme="minorEastAsia" w:hAnsiTheme="minorHAnsi" w:cstheme="minorBidi"/>
              <w:noProof/>
              <w:szCs w:val="22"/>
              <w:lang w:eastAsia="es-MX"/>
            </w:rPr>
          </w:pPr>
          <w:hyperlink w:anchor="_Toc195123438" w:history="1">
            <w:r w:rsidR="005E5FEE" w:rsidRPr="005E5FEE">
              <w:rPr>
                <w:rStyle w:val="Hipervnculo"/>
                <w:rFonts w:eastAsiaTheme="majorEastAsia"/>
                <w:noProof/>
                <w:color w:val="auto"/>
              </w:rPr>
              <w:t>c) Estudio de la controversia.</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_Toc195123438 \h </w:instrText>
            </w:r>
            <w:r w:rsidR="005E5FEE" w:rsidRPr="005E5FEE">
              <w:rPr>
                <w:noProof/>
                <w:webHidden/>
              </w:rPr>
            </w:r>
            <w:r w:rsidR="005E5FEE" w:rsidRPr="005E5FEE">
              <w:rPr>
                <w:noProof/>
                <w:webHidden/>
              </w:rPr>
              <w:fldChar w:fldCharType="separate"/>
            </w:r>
            <w:r w:rsidR="000F5EF1">
              <w:rPr>
                <w:noProof/>
                <w:webHidden/>
              </w:rPr>
              <w:t>11</w:t>
            </w:r>
            <w:r w:rsidR="005E5FEE" w:rsidRPr="005E5FEE">
              <w:rPr>
                <w:noProof/>
                <w:webHidden/>
              </w:rPr>
              <w:fldChar w:fldCharType="end"/>
            </w:r>
          </w:hyperlink>
        </w:p>
        <w:p w14:paraId="3B8ED4BE" w14:textId="75ECF421" w:rsidR="005E5FEE" w:rsidRPr="005E5FEE" w:rsidRDefault="00F348FA" w:rsidP="005E5FEE">
          <w:pPr>
            <w:pStyle w:val="TDC3"/>
            <w:rPr>
              <w:rFonts w:asciiTheme="minorHAnsi" w:eastAsiaTheme="minorEastAsia" w:hAnsiTheme="minorHAnsi" w:cstheme="minorBidi"/>
              <w:noProof/>
              <w:szCs w:val="22"/>
              <w:lang w:eastAsia="es-MX"/>
            </w:rPr>
          </w:pPr>
          <w:hyperlink w:anchor="_Toc195123439" w:history="1">
            <w:r w:rsidR="005E5FEE" w:rsidRPr="005E5FEE">
              <w:rPr>
                <w:rStyle w:val="Hipervnculo"/>
                <w:rFonts w:eastAsiaTheme="majorEastAsia"/>
                <w:noProof/>
                <w:color w:val="auto"/>
              </w:rPr>
              <w:t>d) Conclusión</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_Toc195123439 \h </w:instrText>
            </w:r>
            <w:r w:rsidR="005E5FEE" w:rsidRPr="005E5FEE">
              <w:rPr>
                <w:noProof/>
                <w:webHidden/>
              </w:rPr>
            </w:r>
            <w:r w:rsidR="005E5FEE" w:rsidRPr="005E5FEE">
              <w:rPr>
                <w:noProof/>
                <w:webHidden/>
              </w:rPr>
              <w:fldChar w:fldCharType="separate"/>
            </w:r>
            <w:r w:rsidR="000F5EF1">
              <w:rPr>
                <w:noProof/>
                <w:webHidden/>
              </w:rPr>
              <w:t>17</w:t>
            </w:r>
            <w:r w:rsidR="005E5FEE" w:rsidRPr="005E5FEE">
              <w:rPr>
                <w:noProof/>
                <w:webHidden/>
              </w:rPr>
              <w:fldChar w:fldCharType="end"/>
            </w:r>
          </w:hyperlink>
        </w:p>
        <w:p w14:paraId="3A77D8BC" w14:textId="59CDDD52" w:rsidR="00247497" w:rsidRPr="005E5FEE" w:rsidRDefault="00F348FA" w:rsidP="005E5FEE">
          <w:pPr>
            <w:pStyle w:val="TDC1"/>
            <w:tabs>
              <w:tab w:val="right" w:leader="dot" w:pos="9034"/>
            </w:tabs>
            <w:rPr>
              <w:szCs w:val="22"/>
            </w:rPr>
          </w:pPr>
          <w:hyperlink w:anchor="_Toc195123440" w:history="1">
            <w:r w:rsidR="005E5FEE" w:rsidRPr="005E5FEE">
              <w:rPr>
                <w:rStyle w:val="Hipervnculo"/>
                <w:rFonts w:eastAsiaTheme="majorEastAsia"/>
                <w:noProof/>
                <w:color w:val="auto"/>
              </w:rPr>
              <w:t>RESUELVE</w:t>
            </w:r>
            <w:r w:rsidR="005E5FEE" w:rsidRPr="005E5FEE">
              <w:rPr>
                <w:noProof/>
                <w:webHidden/>
              </w:rPr>
              <w:tab/>
            </w:r>
            <w:r w:rsidR="005E5FEE" w:rsidRPr="005E5FEE">
              <w:rPr>
                <w:noProof/>
                <w:webHidden/>
              </w:rPr>
              <w:fldChar w:fldCharType="begin"/>
            </w:r>
            <w:r w:rsidR="005E5FEE" w:rsidRPr="005E5FEE">
              <w:rPr>
                <w:noProof/>
                <w:webHidden/>
              </w:rPr>
              <w:instrText xml:space="preserve"> PAGEREF _Toc195123440 \h </w:instrText>
            </w:r>
            <w:r w:rsidR="005E5FEE" w:rsidRPr="005E5FEE">
              <w:rPr>
                <w:noProof/>
                <w:webHidden/>
              </w:rPr>
            </w:r>
            <w:r w:rsidR="005E5FEE" w:rsidRPr="005E5FEE">
              <w:rPr>
                <w:noProof/>
                <w:webHidden/>
              </w:rPr>
              <w:fldChar w:fldCharType="separate"/>
            </w:r>
            <w:r w:rsidR="000F5EF1">
              <w:rPr>
                <w:noProof/>
                <w:webHidden/>
              </w:rPr>
              <w:t>20</w:t>
            </w:r>
            <w:r w:rsidR="005E5FEE" w:rsidRPr="005E5FEE">
              <w:rPr>
                <w:noProof/>
                <w:webHidden/>
              </w:rPr>
              <w:fldChar w:fldCharType="end"/>
            </w:r>
          </w:hyperlink>
          <w:r w:rsidR="00247497" w:rsidRPr="005E5FEE">
            <w:rPr>
              <w:b/>
              <w:bCs/>
              <w:szCs w:val="22"/>
              <w:lang w:val="es-ES"/>
            </w:rPr>
            <w:fldChar w:fldCharType="end"/>
          </w:r>
        </w:p>
      </w:sdtContent>
    </w:sdt>
    <w:p w14:paraId="22C281BC" w14:textId="77777777" w:rsidR="002B11D9" w:rsidRPr="005E5FEE" w:rsidRDefault="002B11D9" w:rsidP="005E5FEE">
      <w:pPr>
        <w:rPr>
          <w:szCs w:val="22"/>
        </w:rPr>
        <w:sectPr w:rsidR="002B11D9" w:rsidRPr="005E5FEE">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38159861" w:rsidR="002B11D9" w:rsidRPr="005E5FEE" w:rsidRDefault="00E43858" w:rsidP="005E5FEE">
      <w:pPr>
        <w:rPr>
          <w:b/>
          <w:szCs w:val="22"/>
        </w:rPr>
      </w:pPr>
      <w:r w:rsidRPr="005E5FEE">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5E5FEE">
        <w:rPr>
          <w:szCs w:val="22"/>
        </w:rPr>
        <w:t>l</w:t>
      </w:r>
      <w:r w:rsidRPr="005E5FEE">
        <w:rPr>
          <w:szCs w:val="22"/>
        </w:rPr>
        <w:t xml:space="preserve"> </w:t>
      </w:r>
      <w:r w:rsidR="005220F0" w:rsidRPr="005E5FEE">
        <w:rPr>
          <w:b/>
          <w:szCs w:val="22"/>
        </w:rPr>
        <w:t xml:space="preserve">nueve de abril de </w:t>
      </w:r>
      <w:r w:rsidRPr="005E5FEE">
        <w:rPr>
          <w:b/>
          <w:szCs w:val="22"/>
        </w:rPr>
        <w:t xml:space="preserve">dos mil </w:t>
      </w:r>
      <w:r w:rsidR="00743588" w:rsidRPr="005E5FEE">
        <w:rPr>
          <w:b/>
          <w:szCs w:val="22"/>
        </w:rPr>
        <w:t>veinticinco</w:t>
      </w:r>
      <w:r w:rsidRPr="005E5FEE">
        <w:rPr>
          <w:b/>
          <w:szCs w:val="22"/>
        </w:rPr>
        <w:t>.</w:t>
      </w:r>
    </w:p>
    <w:p w14:paraId="2FFA481C" w14:textId="77777777" w:rsidR="002B11D9" w:rsidRPr="005E5FEE" w:rsidRDefault="002B11D9" w:rsidP="005E5FEE">
      <w:pPr>
        <w:rPr>
          <w:szCs w:val="22"/>
        </w:rPr>
      </w:pPr>
    </w:p>
    <w:p w14:paraId="2FAD1405" w14:textId="6B19F0BF" w:rsidR="002B11D9" w:rsidRPr="005E5FEE" w:rsidRDefault="00E43858" w:rsidP="005E5FEE">
      <w:pPr>
        <w:rPr>
          <w:szCs w:val="22"/>
        </w:rPr>
      </w:pPr>
      <w:r w:rsidRPr="005E5FEE">
        <w:rPr>
          <w:b/>
          <w:szCs w:val="22"/>
        </w:rPr>
        <w:t xml:space="preserve">VISTO </w:t>
      </w:r>
      <w:r w:rsidRPr="005E5FEE">
        <w:rPr>
          <w:szCs w:val="22"/>
        </w:rPr>
        <w:t xml:space="preserve">el expediente formado con motivo del Recurso de Revisión </w:t>
      </w:r>
      <w:r w:rsidR="00EC13AD" w:rsidRPr="005E5FEE">
        <w:rPr>
          <w:b/>
          <w:szCs w:val="22"/>
        </w:rPr>
        <w:t>0</w:t>
      </w:r>
      <w:r w:rsidR="005220F0" w:rsidRPr="005E5FEE">
        <w:rPr>
          <w:b/>
          <w:szCs w:val="22"/>
        </w:rPr>
        <w:t>1792</w:t>
      </w:r>
      <w:r w:rsidRPr="005E5FEE">
        <w:rPr>
          <w:b/>
          <w:szCs w:val="22"/>
        </w:rPr>
        <w:t>/INFOEM/IP/RR/202</w:t>
      </w:r>
      <w:r w:rsidR="00CB091A" w:rsidRPr="005E5FEE">
        <w:rPr>
          <w:b/>
          <w:szCs w:val="22"/>
        </w:rPr>
        <w:t>5</w:t>
      </w:r>
      <w:r w:rsidRPr="005E5FEE">
        <w:rPr>
          <w:szCs w:val="22"/>
        </w:rPr>
        <w:t xml:space="preserve"> interpuesto por </w:t>
      </w:r>
      <w:bookmarkStart w:id="2" w:name="_GoBack"/>
      <w:r w:rsidR="00EF093A">
        <w:rPr>
          <w:b/>
          <w:szCs w:val="22"/>
        </w:rPr>
        <w:t>XXXXXXX XXXXXX XXXXXXXXXXXX</w:t>
      </w:r>
      <w:bookmarkEnd w:id="2"/>
      <w:r w:rsidR="005220F0" w:rsidRPr="005E5FEE">
        <w:rPr>
          <w:rFonts w:ascii="Arial" w:hAnsi="Arial" w:cs="Arial"/>
          <w:b/>
          <w:bCs/>
          <w:sz w:val="15"/>
          <w:szCs w:val="15"/>
          <w:shd w:val="clear" w:color="auto" w:fill="F7F7F8"/>
        </w:rPr>
        <w:t xml:space="preserve"> </w:t>
      </w:r>
      <w:r w:rsidRPr="005E5FEE">
        <w:rPr>
          <w:szCs w:val="22"/>
        </w:rPr>
        <w:t xml:space="preserve">quien en lo subsecuente se le denominará </w:t>
      </w:r>
      <w:r w:rsidRPr="005E5FEE">
        <w:rPr>
          <w:b/>
          <w:szCs w:val="22"/>
        </w:rPr>
        <w:t>LA PARTE RECURRENTE</w:t>
      </w:r>
      <w:r w:rsidRPr="005E5FEE">
        <w:rPr>
          <w:szCs w:val="22"/>
        </w:rPr>
        <w:t xml:space="preserve">, en contra de la respuesta emitida por </w:t>
      </w:r>
      <w:r w:rsidR="00CB091A" w:rsidRPr="005E5FEE">
        <w:rPr>
          <w:szCs w:val="22"/>
        </w:rPr>
        <w:t>el</w:t>
      </w:r>
      <w:r w:rsidRPr="005E5FEE">
        <w:rPr>
          <w:szCs w:val="22"/>
        </w:rPr>
        <w:t xml:space="preserve"> </w:t>
      </w:r>
      <w:r w:rsidR="00602E1E" w:rsidRPr="005E5FEE">
        <w:rPr>
          <w:b/>
          <w:szCs w:val="22"/>
        </w:rPr>
        <w:t xml:space="preserve">Ayuntamiento de </w:t>
      </w:r>
      <w:r w:rsidR="005220F0" w:rsidRPr="005E5FEE">
        <w:rPr>
          <w:b/>
          <w:szCs w:val="22"/>
        </w:rPr>
        <w:t>Naucalpan de Juárez</w:t>
      </w:r>
      <w:r w:rsidRPr="005E5FEE">
        <w:rPr>
          <w:b/>
          <w:szCs w:val="22"/>
        </w:rPr>
        <w:t xml:space="preserve">, </w:t>
      </w:r>
      <w:r w:rsidRPr="005E5FEE">
        <w:rPr>
          <w:szCs w:val="22"/>
        </w:rPr>
        <w:t xml:space="preserve">en adelante </w:t>
      </w:r>
      <w:r w:rsidRPr="005E5FEE">
        <w:rPr>
          <w:b/>
          <w:szCs w:val="22"/>
        </w:rPr>
        <w:t>EL SUJETO OBLIGADO</w:t>
      </w:r>
      <w:r w:rsidRPr="005E5FEE">
        <w:rPr>
          <w:szCs w:val="22"/>
        </w:rPr>
        <w:t>, se emite la presente Resolución con base en los Antecedentes y Considerandos que se exponen a continuación:</w:t>
      </w:r>
    </w:p>
    <w:p w14:paraId="1DE5BFFC" w14:textId="77777777" w:rsidR="002B11D9" w:rsidRPr="005E5FEE" w:rsidRDefault="002B11D9" w:rsidP="005E5FEE">
      <w:pPr>
        <w:rPr>
          <w:szCs w:val="22"/>
        </w:rPr>
      </w:pPr>
    </w:p>
    <w:p w14:paraId="1202FAEB" w14:textId="77777777" w:rsidR="002B11D9" w:rsidRPr="005E5FEE" w:rsidRDefault="00E43858" w:rsidP="005E5FEE">
      <w:pPr>
        <w:pStyle w:val="Ttulo1"/>
        <w:rPr>
          <w:szCs w:val="22"/>
        </w:rPr>
      </w:pPr>
      <w:bookmarkStart w:id="3" w:name="_Toc195123416"/>
      <w:r w:rsidRPr="005E5FEE">
        <w:rPr>
          <w:szCs w:val="22"/>
        </w:rPr>
        <w:t>ANTECEDENTES</w:t>
      </w:r>
      <w:bookmarkEnd w:id="3"/>
    </w:p>
    <w:p w14:paraId="1760D115" w14:textId="77777777" w:rsidR="002B11D9" w:rsidRPr="005E5FEE" w:rsidRDefault="002B11D9" w:rsidP="005E5FEE">
      <w:pPr>
        <w:rPr>
          <w:szCs w:val="22"/>
        </w:rPr>
      </w:pPr>
    </w:p>
    <w:p w14:paraId="7841BF95" w14:textId="77777777" w:rsidR="002B11D9" w:rsidRPr="005E5FEE" w:rsidRDefault="00E43858" w:rsidP="005E5FEE">
      <w:pPr>
        <w:pStyle w:val="Ttulo2"/>
        <w:jc w:val="left"/>
        <w:rPr>
          <w:szCs w:val="22"/>
        </w:rPr>
      </w:pPr>
      <w:bookmarkStart w:id="4" w:name="_Toc195123417"/>
      <w:r w:rsidRPr="005E5FEE">
        <w:rPr>
          <w:szCs w:val="22"/>
        </w:rPr>
        <w:t>DE LA SOLICITUD DE INFORMACIÓN</w:t>
      </w:r>
      <w:bookmarkEnd w:id="4"/>
    </w:p>
    <w:p w14:paraId="2BF20AA9" w14:textId="77777777" w:rsidR="002B11D9" w:rsidRPr="005E5FEE" w:rsidRDefault="00E43858" w:rsidP="005E5FEE">
      <w:pPr>
        <w:pStyle w:val="Ttulo3"/>
        <w:rPr>
          <w:szCs w:val="22"/>
        </w:rPr>
      </w:pPr>
      <w:bookmarkStart w:id="5" w:name="_Toc195123418"/>
      <w:r w:rsidRPr="005E5FEE">
        <w:rPr>
          <w:szCs w:val="22"/>
        </w:rPr>
        <w:t>a) Solicitud de información.</w:t>
      </w:r>
      <w:bookmarkEnd w:id="5"/>
    </w:p>
    <w:p w14:paraId="7F8FD05B" w14:textId="0FA6FA0F" w:rsidR="002B11D9" w:rsidRPr="005E5FEE" w:rsidRDefault="00E43858" w:rsidP="005E5FEE">
      <w:pPr>
        <w:pBdr>
          <w:top w:val="nil"/>
          <w:left w:val="nil"/>
          <w:bottom w:val="nil"/>
          <w:right w:val="nil"/>
          <w:between w:val="nil"/>
        </w:pBdr>
        <w:tabs>
          <w:tab w:val="left" w:pos="0"/>
        </w:tabs>
        <w:rPr>
          <w:rFonts w:eastAsia="Palatino Linotype" w:cs="Palatino Linotype"/>
          <w:szCs w:val="22"/>
        </w:rPr>
      </w:pPr>
      <w:r w:rsidRPr="005E5FEE">
        <w:rPr>
          <w:rFonts w:eastAsia="Palatino Linotype" w:cs="Palatino Linotype"/>
          <w:szCs w:val="22"/>
        </w:rPr>
        <w:t xml:space="preserve">El </w:t>
      </w:r>
      <w:r w:rsidR="005220F0" w:rsidRPr="005E5FEE">
        <w:rPr>
          <w:rFonts w:eastAsia="Palatino Linotype" w:cs="Palatino Linotype"/>
          <w:b/>
          <w:szCs w:val="22"/>
        </w:rPr>
        <w:t>catorce d</w:t>
      </w:r>
      <w:r w:rsidRPr="005E5FEE">
        <w:rPr>
          <w:rFonts w:eastAsia="Palatino Linotype" w:cs="Palatino Linotype"/>
          <w:b/>
          <w:szCs w:val="22"/>
        </w:rPr>
        <w:t xml:space="preserve">e </w:t>
      </w:r>
      <w:r w:rsidR="00A379DD" w:rsidRPr="005E5FEE">
        <w:rPr>
          <w:rFonts w:eastAsia="Palatino Linotype" w:cs="Palatino Linotype"/>
          <w:b/>
          <w:szCs w:val="22"/>
        </w:rPr>
        <w:t>enero</w:t>
      </w:r>
      <w:r w:rsidRPr="005E5FEE">
        <w:rPr>
          <w:rFonts w:eastAsia="Palatino Linotype" w:cs="Palatino Linotype"/>
          <w:b/>
          <w:szCs w:val="22"/>
        </w:rPr>
        <w:t xml:space="preserve"> de dos mil </w:t>
      </w:r>
      <w:r w:rsidR="001C0893" w:rsidRPr="005E5FEE">
        <w:rPr>
          <w:rFonts w:eastAsia="Palatino Linotype" w:cs="Palatino Linotype"/>
          <w:b/>
          <w:szCs w:val="22"/>
        </w:rPr>
        <w:t>veinticinco</w:t>
      </w:r>
      <w:r w:rsidRPr="005E5FEE">
        <w:rPr>
          <w:rFonts w:eastAsia="Palatino Linotype" w:cs="Palatino Linotype"/>
          <w:szCs w:val="22"/>
        </w:rPr>
        <w:t xml:space="preserve"> </w:t>
      </w:r>
      <w:r w:rsidRPr="005E5FEE">
        <w:rPr>
          <w:rFonts w:eastAsia="Palatino Linotype" w:cs="Palatino Linotype"/>
          <w:b/>
          <w:szCs w:val="22"/>
        </w:rPr>
        <w:t>LA PARTE RECURRENTE</w:t>
      </w:r>
      <w:r w:rsidRPr="005E5FEE">
        <w:rPr>
          <w:rFonts w:eastAsia="Palatino Linotype" w:cs="Palatino Linotype"/>
          <w:szCs w:val="22"/>
        </w:rPr>
        <w:t xml:space="preserve"> presentó una solicitud de acceso a la información pública ante el </w:t>
      </w:r>
      <w:r w:rsidRPr="005E5FEE">
        <w:rPr>
          <w:rFonts w:eastAsia="Palatino Linotype" w:cs="Palatino Linotype"/>
          <w:b/>
          <w:szCs w:val="22"/>
        </w:rPr>
        <w:t>SUJETO OBLIGADO</w:t>
      </w:r>
      <w:r w:rsidRPr="005E5FEE">
        <w:rPr>
          <w:rFonts w:eastAsia="Palatino Linotype" w:cs="Palatino Linotype"/>
          <w:szCs w:val="22"/>
        </w:rPr>
        <w:t>, a través de</w:t>
      </w:r>
      <w:r w:rsidR="004A1070" w:rsidRPr="005E5FEE">
        <w:rPr>
          <w:rFonts w:eastAsia="Palatino Linotype" w:cs="Palatino Linotype"/>
          <w:szCs w:val="22"/>
        </w:rPr>
        <w:t xml:space="preserve">l </w:t>
      </w:r>
      <w:r w:rsidRPr="005E5FEE">
        <w:rPr>
          <w:rFonts w:eastAsia="Palatino Linotype" w:cs="Palatino Linotype"/>
          <w:szCs w:val="22"/>
        </w:rPr>
        <w:t>Sistema de Acceso a la Información Mexiquense (SAIMEX). Dicha solicitud quedó registrada con el número de folio</w:t>
      </w:r>
      <w:r w:rsidR="00602E1E" w:rsidRPr="005E5FEE">
        <w:rPr>
          <w:rFonts w:eastAsia="Palatino Linotype" w:cs="Palatino Linotype"/>
          <w:b/>
          <w:szCs w:val="22"/>
        </w:rPr>
        <w:t xml:space="preserve"> </w:t>
      </w:r>
      <w:r w:rsidR="005220F0" w:rsidRPr="005E5FEE">
        <w:rPr>
          <w:rFonts w:eastAsia="Palatino Linotype" w:cs="Palatino Linotype"/>
          <w:b/>
          <w:szCs w:val="22"/>
        </w:rPr>
        <w:t>00071/NAUCALPA/IP/2025</w:t>
      </w:r>
      <w:r w:rsidR="00CB091A" w:rsidRPr="005E5FEE">
        <w:rPr>
          <w:rFonts w:eastAsia="Palatino Linotype" w:cs="Palatino Linotype"/>
          <w:b/>
          <w:szCs w:val="22"/>
        </w:rPr>
        <w:t xml:space="preserve"> </w:t>
      </w:r>
      <w:r w:rsidRPr="005E5FEE">
        <w:rPr>
          <w:rFonts w:eastAsia="Palatino Linotype" w:cs="Palatino Linotype"/>
          <w:szCs w:val="22"/>
        </w:rPr>
        <w:t>y en ella se requirió la siguiente información:</w:t>
      </w:r>
    </w:p>
    <w:p w14:paraId="4B392087" w14:textId="77777777" w:rsidR="002B11D9" w:rsidRPr="005E5FEE" w:rsidRDefault="002B11D9" w:rsidP="005E5FEE">
      <w:pPr>
        <w:tabs>
          <w:tab w:val="left" w:pos="4667"/>
        </w:tabs>
        <w:ind w:left="567" w:right="567"/>
        <w:rPr>
          <w:b/>
          <w:szCs w:val="22"/>
        </w:rPr>
      </w:pPr>
    </w:p>
    <w:p w14:paraId="69A1C36A" w14:textId="4A8BD557" w:rsidR="002B11D9" w:rsidRPr="005E5FEE" w:rsidRDefault="00E43858" w:rsidP="005E5FEE">
      <w:pPr>
        <w:pStyle w:val="Puesto"/>
      </w:pPr>
      <w:r w:rsidRPr="005E5FEE">
        <w:t>“</w:t>
      </w:r>
      <w:r w:rsidR="005220F0" w:rsidRPr="005E5FEE">
        <w:t>Copia del convenio celebrado por el Gobierno de Naucalpan de Juárez con la Junta de Caminos del Estado de México para atender la problemática de baches en las vialidades del municipio en 2025</w:t>
      </w:r>
      <w:r w:rsidRPr="005E5FEE">
        <w:t>” (sic).</w:t>
      </w:r>
    </w:p>
    <w:p w14:paraId="7DD2BAAE" w14:textId="63A89CDC" w:rsidR="002B11D9" w:rsidRPr="005E5FEE" w:rsidRDefault="002B11D9" w:rsidP="005E5FEE">
      <w:pPr>
        <w:tabs>
          <w:tab w:val="left" w:pos="5743"/>
        </w:tabs>
        <w:ind w:left="567" w:right="567"/>
        <w:rPr>
          <w:i/>
          <w:szCs w:val="22"/>
        </w:rPr>
      </w:pPr>
    </w:p>
    <w:p w14:paraId="1850AB1C" w14:textId="77777777" w:rsidR="002B11D9" w:rsidRPr="005E5FEE" w:rsidRDefault="00E43858" w:rsidP="005E5FEE">
      <w:pPr>
        <w:tabs>
          <w:tab w:val="left" w:pos="4667"/>
        </w:tabs>
        <w:ind w:right="567"/>
        <w:rPr>
          <w:szCs w:val="22"/>
        </w:rPr>
      </w:pPr>
      <w:r w:rsidRPr="005E5FEE">
        <w:rPr>
          <w:b/>
          <w:szCs w:val="22"/>
        </w:rPr>
        <w:t>Modalidad de entrega</w:t>
      </w:r>
      <w:r w:rsidRPr="005E5FEE">
        <w:rPr>
          <w:szCs w:val="22"/>
        </w:rPr>
        <w:t>: a</w:t>
      </w:r>
      <w:r w:rsidRPr="005E5FEE">
        <w:rPr>
          <w:i/>
          <w:szCs w:val="22"/>
        </w:rPr>
        <w:t xml:space="preserve"> </w:t>
      </w:r>
      <w:r w:rsidRPr="005E5FEE">
        <w:rPr>
          <w:szCs w:val="22"/>
        </w:rPr>
        <w:t xml:space="preserve">través del </w:t>
      </w:r>
      <w:r w:rsidRPr="005E5FEE">
        <w:rPr>
          <w:b/>
          <w:szCs w:val="22"/>
        </w:rPr>
        <w:t>SAIMEX</w:t>
      </w:r>
      <w:r w:rsidRPr="005E5FEE">
        <w:rPr>
          <w:szCs w:val="22"/>
        </w:rPr>
        <w:t>.</w:t>
      </w:r>
    </w:p>
    <w:p w14:paraId="36510F90" w14:textId="77777777" w:rsidR="00D96A09" w:rsidRPr="005E5FEE" w:rsidRDefault="00D96A09" w:rsidP="005E5FEE">
      <w:pPr>
        <w:rPr>
          <w:szCs w:val="22"/>
        </w:rPr>
      </w:pPr>
    </w:p>
    <w:p w14:paraId="12F6FB67" w14:textId="77777777" w:rsidR="00CF12D7" w:rsidRPr="005E5FEE" w:rsidRDefault="00CF12D7" w:rsidP="005E5FEE">
      <w:pPr>
        <w:pStyle w:val="Ttulo3"/>
      </w:pPr>
      <w:bookmarkStart w:id="6" w:name="_Toc190333697"/>
      <w:bookmarkStart w:id="7" w:name="_Toc191412504"/>
      <w:bookmarkStart w:id="8" w:name="_Toc192702507"/>
      <w:bookmarkStart w:id="9" w:name="_Toc195123419"/>
      <w:r w:rsidRPr="005E5FEE">
        <w:lastRenderedPageBreak/>
        <w:t>b) Turno de la solicitud de información.</w:t>
      </w:r>
      <w:bookmarkEnd w:id="6"/>
      <w:bookmarkEnd w:id="7"/>
      <w:bookmarkEnd w:id="8"/>
      <w:bookmarkEnd w:id="9"/>
    </w:p>
    <w:p w14:paraId="2817544B" w14:textId="4AFA2494" w:rsidR="00CF12D7" w:rsidRPr="005E5FEE" w:rsidRDefault="00CF12D7" w:rsidP="005E5FEE">
      <w:r w:rsidRPr="005E5FEE">
        <w:t xml:space="preserve">En cumplimiento al artículo 162 de la Ley de Transparencia y Acceso a la Información Pública del Estado de México y Municipios, el </w:t>
      </w:r>
      <w:r w:rsidR="005220F0" w:rsidRPr="005E5FEE">
        <w:rPr>
          <w:b/>
        </w:rPr>
        <w:t xml:space="preserve">catorce </w:t>
      </w:r>
      <w:r w:rsidRPr="005E5FEE">
        <w:rPr>
          <w:b/>
        </w:rPr>
        <w:t>de enero de dos mil veinticinco,</w:t>
      </w:r>
      <w:r w:rsidRPr="005E5FEE">
        <w:t xml:space="preserve"> el Titular de la Unidad de Transparencia del </w:t>
      </w:r>
      <w:r w:rsidRPr="005E5FEE">
        <w:rPr>
          <w:b/>
        </w:rPr>
        <w:t>SUJETO OBLIGADO</w:t>
      </w:r>
      <w:r w:rsidRPr="005E5FEE">
        <w:t xml:space="preserve"> turnó la solicitud de información a la servidora pública habilitada que estimó pertinente.</w:t>
      </w:r>
    </w:p>
    <w:p w14:paraId="78A9538B" w14:textId="77777777" w:rsidR="00CF12D7" w:rsidRPr="005E5FEE" w:rsidRDefault="00CF12D7" w:rsidP="005E5FEE">
      <w:pPr>
        <w:rPr>
          <w:szCs w:val="22"/>
        </w:rPr>
      </w:pPr>
    </w:p>
    <w:p w14:paraId="0588A560" w14:textId="77777777" w:rsidR="005220F0" w:rsidRPr="005E5FEE" w:rsidRDefault="005220F0" w:rsidP="005E5FEE">
      <w:pPr>
        <w:pStyle w:val="Ttulo3"/>
        <w:rPr>
          <w:rFonts w:eastAsia="Calibri"/>
          <w:lang w:eastAsia="en-US"/>
        </w:rPr>
      </w:pPr>
      <w:bookmarkStart w:id="10" w:name="_Toc172051801"/>
      <w:bookmarkStart w:id="11" w:name="_Toc175061278"/>
      <w:bookmarkStart w:id="12" w:name="_Toc178097684"/>
      <w:bookmarkStart w:id="13" w:name="_Toc179360992"/>
      <w:bookmarkStart w:id="14" w:name="_Toc192607670"/>
      <w:bookmarkStart w:id="15" w:name="_Toc195123420"/>
      <w:r w:rsidRPr="005E5FEE">
        <w:rPr>
          <w:lang w:val="es-ES"/>
        </w:rPr>
        <w:t>c) Prórroga</w:t>
      </w:r>
      <w:bookmarkEnd w:id="10"/>
      <w:bookmarkEnd w:id="11"/>
      <w:bookmarkEnd w:id="12"/>
      <w:bookmarkEnd w:id="13"/>
      <w:bookmarkEnd w:id="14"/>
      <w:bookmarkEnd w:id="15"/>
    </w:p>
    <w:p w14:paraId="663CF5D1" w14:textId="1CEB110C" w:rsidR="005220F0" w:rsidRPr="005E5FEE" w:rsidRDefault="005220F0" w:rsidP="005E5FEE">
      <w:r w:rsidRPr="005E5FEE">
        <w:t xml:space="preserve">De las constancias que obran en </w:t>
      </w:r>
      <w:r w:rsidRPr="005E5FEE">
        <w:rPr>
          <w:b/>
        </w:rPr>
        <w:t>EL SAIMEX</w:t>
      </w:r>
      <w:r w:rsidRPr="005E5FEE">
        <w:t xml:space="preserve">, se advierte que el </w:t>
      </w:r>
      <w:r w:rsidRPr="005E5FEE">
        <w:rPr>
          <w:b/>
          <w:bCs/>
        </w:rPr>
        <w:t>cuatro de febrero de dos mil veinticinco</w:t>
      </w:r>
      <w:r w:rsidRPr="005E5FEE">
        <w:t xml:space="preserve">, </w:t>
      </w:r>
      <w:r w:rsidRPr="005E5FEE">
        <w:rPr>
          <w:b/>
          <w:bCs/>
        </w:rPr>
        <w:t>EL SUJETO OBLIGADO</w:t>
      </w:r>
      <w:r w:rsidRPr="005E5FEE">
        <w:t xml:space="preserve"> notificó</w:t>
      </w:r>
      <w:r w:rsidRPr="005E5FEE">
        <w:rPr>
          <w:rFonts w:eastAsia="Calibri"/>
          <w:lang w:eastAsia="en-US"/>
        </w:rPr>
        <w:t xml:space="preserve"> </w:t>
      </w:r>
      <w:r w:rsidRPr="005E5FEE">
        <w:t xml:space="preserve">una prórroga de siete días para dar respuesta a la solicitud de información planteada por </w:t>
      </w:r>
      <w:r w:rsidRPr="005E5FEE">
        <w:rPr>
          <w:b/>
          <w:bCs/>
        </w:rPr>
        <w:t>LA PARTE RECURRENTE</w:t>
      </w:r>
      <w:r w:rsidRPr="005E5FEE">
        <w:t>, en los siguientes términos:</w:t>
      </w:r>
    </w:p>
    <w:p w14:paraId="4BAF37A1" w14:textId="77777777" w:rsidR="005220F0" w:rsidRPr="005E5FEE" w:rsidRDefault="005220F0" w:rsidP="005E5FEE"/>
    <w:p w14:paraId="229CDEE3" w14:textId="77777777" w:rsidR="005220F0" w:rsidRPr="005E5FEE" w:rsidRDefault="005220F0" w:rsidP="005E5FEE">
      <w:pPr>
        <w:pStyle w:val="Puesto"/>
      </w:pPr>
      <w:r w:rsidRPr="005E5FEE">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EB09804" w14:textId="77777777" w:rsidR="005220F0" w:rsidRPr="005E5FEE" w:rsidRDefault="005220F0" w:rsidP="005E5FEE"/>
    <w:p w14:paraId="771F6F3F" w14:textId="77777777" w:rsidR="005220F0" w:rsidRPr="005E5FEE" w:rsidRDefault="005220F0" w:rsidP="005E5FEE">
      <w:pPr>
        <w:pStyle w:val="Puesto"/>
      </w:pPr>
      <w:r w:rsidRPr="005E5FEE">
        <w:t>Solicitud número 00071 /NAUCALPA/IP/2025 Prórroga</w:t>
      </w:r>
    </w:p>
    <w:p w14:paraId="37C4B795" w14:textId="77777777" w:rsidR="005220F0" w:rsidRPr="005E5FEE" w:rsidRDefault="005220F0" w:rsidP="005E5FEE"/>
    <w:p w14:paraId="0BFBBA5A" w14:textId="77777777" w:rsidR="005220F0" w:rsidRPr="005E5FEE" w:rsidRDefault="005220F0" w:rsidP="005E5FEE">
      <w:pPr>
        <w:pStyle w:val="Puesto"/>
      </w:pPr>
      <w:r w:rsidRPr="005E5FEE">
        <w:t>Lic. Daniel Taboada Elías</w:t>
      </w:r>
    </w:p>
    <w:p w14:paraId="10C398B6" w14:textId="77777777" w:rsidR="005220F0" w:rsidRPr="005E5FEE" w:rsidRDefault="005220F0" w:rsidP="005E5FEE"/>
    <w:p w14:paraId="0CE27DC9" w14:textId="5328C8EA" w:rsidR="005220F0" w:rsidRPr="005E5FEE" w:rsidRDefault="005220F0" w:rsidP="005E5FEE">
      <w:pPr>
        <w:pStyle w:val="Puesto"/>
      </w:pPr>
      <w:r w:rsidRPr="005E5FEE">
        <w:rPr>
          <w:b/>
        </w:rPr>
        <w:t>Responsable de la Unidad de Transparencia</w:t>
      </w:r>
      <w:r w:rsidRPr="005E5FEE">
        <w:t>”</w:t>
      </w:r>
    </w:p>
    <w:p w14:paraId="680052CC" w14:textId="77777777" w:rsidR="005220F0" w:rsidRPr="005E5FEE" w:rsidRDefault="005220F0" w:rsidP="005E5FEE"/>
    <w:p w14:paraId="6F754096" w14:textId="77777777" w:rsidR="005220F0" w:rsidRPr="005E5FEE" w:rsidRDefault="005220F0" w:rsidP="005E5FEE">
      <w:r w:rsidRPr="005E5FEE">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5E5FEE">
        <w:rPr>
          <w:b/>
        </w:rPr>
        <w:t>SAIMEX</w:t>
      </w:r>
      <w:r w:rsidRPr="005E5FEE">
        <w:t xml:space="preserve"> no se advierte que </w:t>
      </w:r>
      <w:r w:rsidRPr="005E5FEE">
        <w:rPr>
          <w:b/>
          <w:bCs/>
        </w:rPr>
        <w:t>EL SUJETO OBLIGADO</w:t>
      </w:r>
      <w:r w:rsidRPr="005E5FEE">
        <w:t xml:space="preserve"> haya acompañó a la solicitud de </w:t>
      </w:r>
      <w:r w:rsidRPr="005E5FEE">
        <w:lastRenderedPageBreak/>
        <w:t>prórroga el acuerdo mediante el cual el Comité de Transparencia aprobó la ampliación de plazo para dar respuesta a la solicitud de información.</w:t>
      </w:r>
    </w:p>
    <w:p w14:paraId="163B8C78" w14:textId="77777777" w:rsidR="005220F0" w:rsidRPr="005E5FEE" w:rsidRDefault="005220F0" w:rsidP="005E5FEE">
      <w:pPr>
        <w:rPr>
          <w:szCs w:val="22"/>
        </w:rPr>
      </w:pPr>
    </w:p>
    <w:p w14:paraId="53C684AE" w14:textId="0C0C0C25" w:rsidR="002B11D9" w:rsidRPr="005E5FEE" w:rsidRDefault="005220F0" w:rsidP="005E5FEE">
      <w:pPr>
        <w:pStyle w:val="Ttulo3"/>
        <w:rPr>
          <w:szCs w:val="22"/>
        </w:rPr>
      </w:pPr>
      <w:bookmarkStart w:id="16" w:name="_Toc184287666"/>
      <w:bookmarkStart w:id="17" w:name="_Toc195123421"/>
      <w:r w:rsidRPr="005E5FEE">
        <w:rPr>
          <w:szCs w:val="22"/>
        </w:rPr>
        <w:t>d</w:t>
      </w:r>
      <w:r w:rsidR="00EC13AD" w:rsidRPr="005E5FEE">
        <w:rPr>
          <w:szCs w:val="22"/>
        </w:rPr>
        <w:t xml:space="preserve">) </w:t>
      </w:r>
      <w:bookmarkEnd w:id="16"/>
      <w:r w:rsidR="00E43858" w:rsidRPr="005E5FEE">
        <w:rPr>
          <w:szCs w:val="22"/>
        </w:rPr>
        <w:t>Respuesta del Sujeto Obligado.</w:t>
      </w:r>
      <w:bookmarkEnd w:id="17"/>
    </w:p>
    <w:p w14:paraId="01DCF07D" w14:textId="57008E39" w:rsidR="002B11D9" w:rsidRPr="005E5FEE" w:rsidRDefault="00E43858" w:rsidP="005E5FEE">
      <w:pPr>
        <w:pBdr>
          <w:top w:val="nil"/>
          <w:left w:val="nil"/>
          <w:bottom w:val="nil"/>
          <w:right w:val="nil"/>
          <w:between w:val="nil"/>
        </w:pBdr>
        <w:rPr>
          <w:rFonts w:eastAsia="Palatino Linotype" w:cs="Palatino Linotype"/>
          <w:szCs w:val="22"/>
        </w:rPr>
      </w:pPr>
      <w:r w:rsidRPr="005E5FEE">
        <w:rPr>
          <w:rFonts w:eastAsia="Palatino Linotype" w:cs="Palatino Linotype"/>
          <w:szCs w:val="22"/>
        </w:rPr>
        <w:t xml:space="preserve">El </w:t>
      </w:r>
      <w:r w:rsidR="005220F0" w:rsidRPr="005E5FEE">
        <w:rPr>
          <w:rFonts w:eastAsia="Palatino Linotype" w:cs="Palatino Linotype"/>
          <w:b/>
          <w:szCs w:val="22"/>
        </w:rPr>
        <w:t xml:space="preserve">catorce </w:t>
      </w:r>
      <w:r w:rsidRPr="005E5FEE">
        <w:rPr>
          <w:rFonts w:eastAsia="Palatino Linotype" w:cs="Palatino Linotype"/>
          <w:b/>
          <w:szCs w:val="22"/>
        </w:rPr>
        <w:t xml:space="preserve">de </w:t>
      </w:r>
      <w:r w:rsidR="001C0893" w:rsidRPr="005E5FEE">
        <w:rPr>
          <w:rFonts w:eastAsia="Palatino Linotype" w:cs="Palatino Linotype"/>
          <w:b/>
          <w:szCs w:val="22"/>
        </w:rPr>
        <w:t>febrero</w:t>
      </w:r>
      <w:r w:rsidRPr="005E5FEE">
        <w:rPr>
          <w:rFonts w:eastAsia="Palatino Linotype" w:cs="Palatino Linotype"/>
          <w:b/>
          <w:szCs w:val="22"/>
        </w:rPr>
        <w:t xml:space="preserve"> de dos mil </w:t>
      </w:r>
      <w:r w:rsidR="00732DB5" w:rsidRPr="005E5FEE">
        <w:rPr>
          <w:rFonts w:eastAsia="Palatino Linotype" w:cs="Palatino Linotype"/>
          <w:b/>
          <w:szCs w:val="22"/>
        </w:rPr>
        <w:t>veinticinco</w:t>
      </w:r>
      <w:r w:rsidRPr="005E5FEE">
        <w:rPr>
          <w:rFonts w:eastAsia="Palatino Linotype" w:cs="Palatino Linotype"/>
          <w:szCs w:val="22"/>
        </w:rPr>
        <w:t xml:space="preserve"> el Titular de la Unidad de Transparencia del </w:t>
      </w:r>
      <w:r w:rsidRPr="005E5FEE">
        <w:rPr>
          <w:rFonts w:eastAsia="Palatino Linotype" w:cs="Palatino Linotype"/>
          <w:b/>
          <w:szCs w:val="22"/>
        </w:rPr>
        <w:t>SUJETO OBLIGADO</w:t>
      </w:r>
      <w:r w:rsidRPr="005E5FEE">
        <w:rPr>
          <w:rFonts w:eastAsia="Palatino Linotype" w:cs="Palatino Linotype"/>
          <w:szCs w:val="22"/>
        </w:rPr>
        <w:t xml:space="preserve"> notificó la siguiente respuesta a través del </w:t>
      </w:r>
      <w:r w:rsidRPr="005E5FEE">
        <w:rPr>
          <w:rFonts w:eastAsia="Palatino Linotype" w:cs="Palatino Linotype"/>
          <w:b/>
          <w:szCs w:val="22"/>
        </w:rPr>
        <w:t>SAIMEX</w:t>
      </w:r>
      <w:r w:rsidRPr="005E5FEE">
        <w:rPr>
          <w:rFonts w:eastAsia="Palatino Linotype" w:cs="Palatino Linotype"/>
          <w:szCs w:val="22"/>
        </w:rPr>
        <w:t>:</w:t>
      </w:r>
    </w:p>
    <w:p w14:paraId="1402A6C2" w14:textId="77777777" w:rsidR="002B11D9" w:rsidRPr="005E5FEE" w:rsidRDefault="002B11D9" w:rsidP="005E5FEE">
      <w:pPr>
        <w:tabs>
          <w:tab w:val="left" w:pos="4667"/>
        </w:tabs>
        <w:ind w:left="567" w:right="567"/>
        <w:rPr>
          <w:b/>
          <w:szCs w:val="22"/>
        </w:rPr>
      </w:pPr>
    </w:p>
    <w:p w14:paraId="2A599883" w14:textId="77777777" w:rsidR="005220F0" w:rsidRPr="005E5FEE" w:rsidRDefault="00E43858" w:rsidP="005E5FEE">
      <w:pPr>
        <w:pStyle w:val="Puesto"/>
      </w:pPr>
      <w:r w:rsidRPr="005E5FEE">
        <w:t>“</w:t>
      </w:r>
      <w:r w:rsidR="005220F0" w:rsidRPr="005E5FEE">
        <w:t>En respuesta a la solicitud recibida, nos permitimos hacer de su conocimiento que con fundamento en el artículo 53, Fracciones: II, V y VI de la Ley de Transparencia y Acceso a la Información Pública del Estado de México y Municipios, le contestamos que:</w:t>
      </w:r>
    </w:p>
    <w:p w14:paraId="418B1E13" w14:textId="77777777" w:rsidR="005220F0" w:rsidRPr="005E5FEE" w:rsidRDefault="005220F0" w:rsidP="005E5FEE">
      <w:pPr>
        <w:pStyle w:val="Puesto"/>
      </w:pPr>
    </w:p>
    <w:p w14:paraId="4A3C965B" w14:textId="77777777" w:rsidR="005220F0" w:rsidRPr="005E5FEE" w:rsidRDefault="005220F0" w:rsidP="005E5FEE">
      <w:pPr>
        <w:pStyle w:val="Puesto"/>
      </w:pPr>
      <w:r w:rsidRPr="005E5FEE">
        <w:t>En atención a la solicitud realizada, se adjunta al presente el oficio emitido por la Consejería Jurídica</w:t>
      </w:r>
    </w:p>
    <w:p w14:paraId="110DA256" w14:textId="77777777" w:rsidR="005220F0" w:rsidRPr="005E5FEE" w:rsidRDefault="005220F0" w:rsidP="005E5FEE">
      <w:pPr>
        <w:pStyle w:val="Puesto"/>
      </w:pPr>
    </w:p>
    <w:p w14:paraId="116106D0" w14:textId="77777777" w:rsidR="005220F0" w:rsidRPr="005E5FEE" w:rsidRDefault="005220F0" w:rsidP="005E5FEE">
      <w:pPr>
        <w:pStyle w:val="Puesto"/>
      </w:pPr>
      <w:r w:rsidRPr="005E5FEE">
        <w:t>ATENTAMENTE</w:t>
      </w:r>
    </w:p>
    <w:p w14:paraId="306F69A1" w14:textId="524F26AA" w:rsidR="002B11D9" w:rsidRPr="005E5FEE" w:rsidRDefault="005220F0" w:rsidP="005E5FEE">
      <w:pPr>
        <w:pStyle w:val="Puesto"/>
      </w:pPr>
      <w:r w:rsidRPr="005E5FEE">
        <w:t>Lic. Daniel Taboada Elías</w:t>
      </w:r>
      <w:r w:rsidR="00E43858" w:rsidRPr="005E5FEE">
        <w:t>”</w:t>
      </w:r>
    </w:p>
    <w:p w14:paraId="73AEC8AE" w14:textId="77777777" w:rsidR="00E43858" w:rsidRPr="005E5FEE" w:rsidRDefault="00E43858" w:rsidP="005E5FEE">
      <w:pPr>
        <w:pBdr>
          <w:top w:val="nil"/>
          <w:left w:val="nil"/>
          <w:bottom w:val="nil"/>
          <w:right w:val="nil"/>
          <w:between w:val="nil"/>
        </w:pBdr>
        <w:ind w:right="-28"/>
        <w:rPr>
          <w:szCs w:val="22"/>
        </w:rPr>
      </w:pPr>
    </w:p>
    <w:p w14:paraId="1991595A" w14:textId="15EC8B2A" w:rsidR="005220F0" w:rsidRPr="005E5FEE" w:rsidRDefault="00CB091A" w:rsidP="005E5FEE">
      <w:pPr>
        <w:pBdr>
          <w:top w:val="nil"/>
          <w:left w:val="nil"/>
          <w:bottom w:val="nil"/>
          <w:right w:val="nil"/>
          <w:between w:val="nil"/>
        </w:pBdr>
        <w:ind w:right="-28"/>
        <w:rPr>
          <w:szCs w:val="22"/>
        </w:rPr>
      </w:pPr>
      <w:r w:rsidRPr="005E5FEE">
        <w:rPr>
          <w:szCs w:val="22"/>
        </w:rPr>
        <w:t xml:space="preserve">A la respuesta, </w:t>
      </w:r>
      <w:r w:rsidRPr="005E5FEE">
        <w:rPr>
          <w:b/>
          <w:szCs w:val="22"/>
        </w:rPr>
        <w:t xml:space="preserve">EL SUJETO OBLIGADO </w:t>
      </w:r>
      <w:r w:rsidRPr="005E5FEE">
        <w:rPr>
          <w:szCs w:val="22"/>
        </w:rPr>
        <w:t xml:space="preserve">adjuntó </w:t>
      </w:r>
      <w:r w:rsidR="005220F0" w:rsidRPr="005E5FEE">
        <w:rPr>
          <w:szCs w:val="22"/>
        </w:rPr>
        <w:t xml:space="preserve">el archivo electrónico denominado </w:t>
      </w:r>
      <w:r w:rsidR="005220F0" w:rsidRPr="005E5FEE">
        <w:rPr>
          <w:b/>
          <w:i/>
          <w:szCs w:val="22"/>
        </w:rPr>
        <w:t xml:space="preserve">0071-NAUCALPA-2025- COM.pdf, </w:t>
      </w:r>
      <w:r w:rsidR="005220F0" w:rsidRPr="005E5FEE">
        <w:rPr>
          <w:szCs w:val="22"/>
        </w:rPr>
        <w:t xml:space="preserve">el cual contiene lo siguiente: </w:t>
      </w:r>
    </w:p>
    <w:p w14:paraId="2EA39470" w14:textId="77777777" w:rsidR="005220F0" w:rsidRPr="005E5FEE" w:rsidRDefault="005220F0" w:rsidP="005E5FEE">
      <w:pPr>
        <w:pBdr>
          <w:top w:val="nil"/>
          <w:left w:val="nil"/>
          <w:bottom w:val="nil"/>
          <w:right w:val="nil"/>
          <w:between w:val="nil"/>
        </w:pBdr>
        <w:ind w:right="-28"/>
        <w:rPr>
          <w:szCs w:val="22"/>
        </w:rPr>
      </w:pPr>
    </w:p>
    <w:p w14:paraId="09244FA1" w14:textId="6C6C824F" w:rsidR="005220F0" w:rsidRPr="005E5FEE" w:rsidRDefault="005220F0" w:rsidP="005E5FEE">
      <w:pPr>
        <w:pStyle w:val="Prrafodelista"/>
        <w:numPr>
          <w:ilvl w:val="0"/>
          <w:numId w:val="42"/>
        </w:numPr>
        <w:pBdr>
          <w:top w:val="nil"/>
          <w:left w:val="nil"/>
          <w:bottom w:val="nil"/>
          <w:right w:val="nil"/>
          <w:between w:val="nil"/>
        </w:pBdr>
        <w:ind w:right="-28"/>
        <w:rPr>
          <w:szCs w:val="22"/>
        </w:rPr>
      </w:pPr>
      <w:r w:rsidRPr="005E5FEE">
        <w:rPr>
          <w:szCs w:val="22"/>
        </w:rPr>
        <w:t xml:space="preserve">Oficio número CJ/SC/DCC/1028/2025 del once de febrero de dos mil veinticinco, por medio del cual el Titular de la Consejería Jurídica refiere adjuntar el convenio solicitado. </w:t>
      </w:r>
    </w:p>
    <w:p w14:paraId="5B7BFE63" w14:textId="77777777" w:rsidR="005220F0" w:rsidRPr="005E5FEE" w:rsidRDefault="005220F0" w:rsidP="005E5FEE">
      <w:pPr>
        <w:pStyle w:val="Prrafodelista"/>
        <w:numPr>
          <w:ilvl w:val="0"/>
          <w:numId w:val="42"/>
        </w:numPr>
        <w:pBdr>
          <w:top w:val="nil"/>
          <w:left w:val="nil"/>
          <w:bottom w:val="nil"/>
          <w:right w:val="nil"/>
          <w:between w:val="nil"/>
        </w:pBdr>
        <w:ind w:right="-28"/>
        <w:rPr>
          <w:szCs w:val="22"/>
        </w:rPr>
      </w:pPr>
      <w:r w:rsidRPr="005E5FEE">
        <w:rPr>
          <w:szCs w:val="22"/>
        </w:rPr>
        <w:t xml:space="preserve">Convenio de Colaboración, suscrito entre la Junta de Caminos del Estado de México y el Municipio de Naucalpan de Juárez, Estado de México, correspondiente al Programa denominado “BACHETÓN EDOMEX”. </w:t>
      </w:r>
    </w:p>
    <w:p w14:paraId="3EDB14E6" w14:textId="77777777" w:rsidR="005220F0" w:rsidRPr="005E5FEE" w:rsidRDefault="005220F0" w:rsidP="005E5FEE">
      <w:pPr>
        <w:pStyle w:val="Prrafodelista"/>
        <w:pBdr>
          <w:top w:val="nil"/>
          <w:left w:val="nil"/>
          <w:bottom w:val="nil"/>
          <w:right w:val="nil"/>
          <w:between w:val="nil"/>
        </w:pBdr>
        <w:ind w:right="-28"/>
        <w:rPr>
          <w:szCs w:val="22"/>
        </w:rPr>
      </w:pPr>
    </w:p>
    <w:p w14:paraId="1355A11E" w14:textId="77777777" w:rsidR="002B11D9" w:rsidRPr="005E5FEE" w:rsidRDefault="00E43858" w:rsidP="005E5FEE">
      <w:pPr>
        <w:pStyle w:val="Ttulo2"/>
        <w:jc w:val="left"/>
        <w:rPr>
          <w:szCs w:val="22"/>
        </w:rPr>
      </w:pPr>
      <w:bookmarkStart w:id="18" w:name="_Toc195123422"/>
      <w:r w:rsidRPr="005E5FEE">
        <w:rPr>
          <w:szCs w:val="22"/>
        </w:rPr>
        <w:lastRenderedPageBreak/>
        <w:t>DEL RECURSO DE REVISIÓN</w:t>
      </w:r>
      <w:bookmarkEnd w:id="18"/>
    </w:p>
    <w:p w14:paraId="030CC57B" w14:textId="77777777" w:rsidR="002B11D9" w:rsidRPr="005E5FEE" w:rsidRDefault="00E43858" w:rsidP="005E5FEE">
      <w:pPr>
        <w:pStyle w:val="Ttulo3"/>
        <w:rPr>
          <w:szCs w:val="22"/>
        </w:rPr>
      </w:pPr>
      <w:bookmarkStart w:id="19" w:name="_Toc195123423"/>
      <w:r w:rsidRPr="005E5FEE">
        <w:rPr>
          <w:szCs w:val="22"/>
        </w:rPr>
        <w:t>a) Interposición del Recurso de Revisión.</w:t>
      </w:r>
      <w:bookmarkEnd w:id="19"/>
    </w:p>
    <w:p w14:paraId="1C00BD81" w14:textId="71DC72CF" w:rsidR="002B11D9" w:rsidRPr="005E5FEE" w:rsidRDefault="00E43858" w:rsidP="005E5FEE">
      <w:pPr>
        <w:ind w:right="-28"/>
        <w:rPr>
          <w:szCs w:val="22"/>
        </w:rPr>
      </w:pPr>
      <w:r w:rsidRPr="005E5FEE">
        <w:rPr>
          <w:szCs w:val="22"/>
        </w:rPr>
        <w:t xml:space="preserve">El </w:t>
      </w:r>
      <w:r w:rsidR="005220F0" w:rsidRPr="005E5FEE">
        <w:rPr>
          <w:b/>
          <w:szCs w:val="22"/>
        </w:rPr>
        <w:t xml:space="preserve">veintiuno de </w:t>
      </w:r>
      <w:r w:rsidR="00CB091A" w:rsidRPr="005E5FEE">
        <w:rPr>
          <w:b/>
          <w:szCs w:val="22"/>
        </w:rPr>
        <w:t>febrero</w:t>
      </w:r>
      <w:r w:rsidRPr="005E5FEE">
        <w:rPr>
          <w:b/>
          <w:szCs w:val="22"/>
        </w:rPr>
        <w:t xml:space="preserve"> de dos mil </w:t>
      </w:r>
      <w:r w:rsidR="00732DB5" w:rsidRPr="005E5FEE">
        <w:rPr>
          <w:b/>
          <w:szCs w:val="22"/>
        </w:rPr>
        <w:t>veinticinco</w:t>
      </w:r>
      <w:r w:rsidRPr="005E5FEE">
        <w:rPr>
          <w:szCs w:val="22"/>
        </w:rPr>
        <w:t xml:space="preserve"> </w:t>
      </w:r>
      <w:r w:rsidRPr="005E5FEE">
        <w:rPr>
          <w:b/>
          <w:szCs w:val="22"/>
        </w:rPr>
        <w:t>LA PARTE RECURRENTE</w:t>
      </w:r>
      <w:r w:rsidRPr="005E5FEE">
        <w:rPr>
          <w:szCs w:val="22"/>
        </w:rPr>
        <w:t xml:space="preserve"> interpuso el recurso de revisión en contra de la respuesta emitida por el </w:t>
      </w:r>
      <w:r w:rsidRPr="005E5FEE">
        <w:rPr>
          <w:b/>
          <w:szCs w:val="22"/>
        </w:rPr>
        <w:t>SUJETO OBLIGADO</w:t>
      </w:r>
      <w:r w:rsidRPr="005E5FEE">
        <w:rPr>
          <w:szCs w:val="22"/>
        </w:rPr>
        <w:t xml:space="preserve">, mismo que fue registrado en </w:t>
      </w:r>
      <w:r w:rsidR="00680595" w:rsidRPr="005E5FEE">
        <w:rPr>
          <w:b/>
          <w:szCs w:val="22"/>
        </w:rPr>
        <w:t>EL SAIMEX</w:t>
      </w:r>
      <w:r w:rsidR="00680595" w:rsidRPr="005E5FEE">
        <w:rPr>
          <w:szCs w:val="22"/>
        </w:rPr>
        <w:t xml:space="preserve"> </w:t>
      </w:r>
      <w:r w:rsidRPr="005E5FEE">
        <w:rPr>
          <w:szCs w:val="22"/>
        </w:rPr>
        <w:t xml:space="preserve">con el número de expediente </w:t>
      </w:r>
      <w:r w:rsidR="00706BBF" w:rsidRPr="005E5FEE">
        <w:rPr>
          <w:b/>
          <w:szCs w:val="22"/>
        </w:rPr>
        <w:t>0</w:t>
      </w:r>
      <w:r w:rsidR="005220F0" w:rsidRPr="005E5FEE">
        <w:rPr>
          <w:b/>
          <w:szCs w:val="22"/>
        </w:rPr>
        <w:t>1792</w:t>
      </w:r>
      <w:r w:rsidRPr="005E5FEE">
        <w:rPr>
          <w:b/>
          <w:szCs w:val="22"/>
        </w:rPr>
        <w:t>/INFOEM/IP/RR/202</w:t>
      </w:r>
      <w:r w:rsidR="00732DB5" w:rsidRPr="005E5FEE">
        <w:rPr>
          <w:b/>
          <w:szCs w:val="22"/>
        </w:rPr>
        <w:t>5</w:t>
      </w:r>
      <w:r w:rsidRPr="005E5FEE">
        <w:rPr>
          <w:szCs w:val="22"/>
        </w:rPr>
        <w:t xml:space="preserve"> y en el cual manifiesta lo siguiente:</w:t>
      </w:r>
    </w:p>
    <w:p w14:paraId="4BD314D7" w14:textId="77777777" w:rsidR="009123BE" w:rsidRPr="005E5FEE" w:rsidRDefault="009123BE" w:rsidP="005E5FEE">
      <w:pPr>
        <w:tabs>
          <w:tab w:val="left" w:pos="4667"/>
        </w:tabs>
        <w:ind w:right="539"/>
        <w:rPr>
          <w:szCs w:val="22"/>
        </w:rPr>
      </w:pPr>
    </w:p>
    <w:p w14:paraId="2F36828A" w14:textId="0C68AEDE" w:rsidR="001B5316" w:rsidRPr="005E5FEE" w:rsidRDefault="00E43858" w:rsidP="005E5FEE">
      <w:pPr>
        <w:ind w:right="-28"/>
        <w:rPr>
          <w:b/>
          <w:szCs w:val="22"/>
        </w:rPr>
      </w:pPr>
      <w:r w:rsidRPr="005E5FEE">
        <w:rPr>
          <w:b/>
          <w:szCs w:val="22"/>
        </w:rPr>
        <w:t>ACTO IMPUGNADO</w:t>
      </w:r>
      <w:r w:rsidR="00575FA4" w:rsidRPr="005E5FEE">
        <w:rPr>
          <w:b/>
          <w:szCs w:val="22"/>
        </w:rPr>
        <w:t xml:space="preserve"> Y RAZONES O MOTIVOS DE INCONFORMIDAD;</w:t>
      </w:r>
    </w:p>
    <w:p w14:paraId="4132A8FB" w14:textId="3B6F3B3B" w:rsidR="002B11D9" w:rsidRPr="005E5FEE" w:rsidRDefault="002B11D9" w:rsidP="005E5FEE">
      <w:pPr>
        <w:tabs>
          <w:tab w:val="left" w:pos="4667"/>
        </w:tabs>
        <w:ind w:left="567" w:right="539" w:hanging="567"/>
        <w:rPr>
          <w:b/>
          <w:szCs w:val="22"/>
        </w:rPr>
      </w:pPr>
    </w:p>
    <w:p w14:paraId="2132426C" w14:textId="5735A4EF" w:rsidR="001B5316" w:rsidRPr="005E5FEE" w:rsidRDefault="00E43858" w:rsidP="005E5FEE">
      <w:pPr>
        <w:pStyle w:val="Puesto"/>
      </w:pPr>
      <w:bookmarkStart w:id="20" w:name="_Hlk188528269"/>
      <w:r w:rsidRPr="005E5FEE">
        <w:t>“</w:t>
      </w:r>
      <w:r w:rsidR="005220F0" w:rsidRPr="005E5FEE">
        <w:t>Omisión por parte del sujeto obligado de hacerme entrega del acuerdo por parte del Comité de Transparencia, por el que se aprobó la ampliación del plazo, conforme a lo que señala el artículo 49, fracción II de la Ley de Transparencia del Estado de México. Requiero que en términos del artículo 222 fracciones III y XXI se le de vista a órgano de control por la actuación negligente, dolosa y con mala fe, de los servidores públicos integrantes del Comité de Transparencia como de la persona que está al frente de la Unidad.</w:t>
      </w:r>
      <w:r w:rsidRPr="005E5FEE">
        <w:t xml:space="preserve">” </w:t>
      </w:r>
      <w:r w:rsidR="00B95674" w:rsidRPr="005E5FEE">
        <w:t>(S</w:t>
      </w:r>
      <w:r w:rsidRPr="005E5FEE">
        <w:t>ic).</w:t>
      </w:r>
      <w:r w:rsidR="00B95674" w:rsidRPr="005E5FEE">
        <w:t xml:space="preserve"> </w:t>
      </w:r>
    </w:p>
    <w:p w14:paraId="060C6657" w14:textId="1862342D" w:rsidR="001B5316" w:rsidRPr="005E5FEE" w:rsidRDefault="001B5316" w:rsidP="005E5FEE">
      <w:pPr>
        <w:tabs>
          <w:tab w:val="left" w:pos="4667"/>
        </w:tabs>
        <w:ind w:left="567" w:right="539"/>
        <w:rPr>
          <w:szCs w:val="22"/>
        </w:rPr>
      </w:pPr>
    </w:p>
    <w:p w14:paraId="1DE31879" w14:textId="77777777" w:rsidR="002B11D9" w:rsidRPr="005E5FEE" w:rsidRDefault="00E43858" w:rsidP="005E5FEE">
      <w:pPr>
        <w:pStyle w:val="Ttulo3"/>
        <w:rPr>
          <w:szCs w:val="22"/>
        </w:rPr>
      </w:pPr>
      <w:bookmarkStart w:id="21" w:name="_Toc195123424"/>
      <w:bookmarkEnd w:id="20"/>
      <w:r w:rsidRPr="005E5FEE">
        <w:rPr>
          <w:szCs w:val="22"/>
        </w:rPr>
        <w:t>b) Turno del Recurso de Revisión.</w:t>
      </w:r>
      <w:bookmarkEnd w:id="21"/>
    </w:p>
    <w:p w14:paraId="2C2E947A" w14:textId="115B2D10" w:rsidR="002B11D9" w:rsidRPr="005E5FEE" w:rsidRDefault="00E43858" w:rsidP="005E5FEE">
      <w:pPr>
        <w:rPr>
          <w:szCs w:val="22"/>
        </w:rPr>
      </w:pPr>
      <w:r w:rsidRPr="005E5FEE">
        <w:rPr>
          <w:szCs w:val="22"/>
        </w:rPr>
        <w:t>Con fundamento en el artículo 185, fracción I de la Ley de Transparencia y Acceso a la Información Pública del Estado de México y Municipios, el</w:t>
      </w:r>
      <w:r w:rsidRPr="005E5FEE">
        <w:rPr>
          <w:b/>
          <w:szCs w:val="22"/>
        </w:rPr>
        <w:t xml:space="preserve"> </w:t>
      </w:r>
      <w:r w:rsidR="005220F0" w:rsidRPr="005E5FEE">
        <w:rPr>
          <w:b/>
          <w:szCs w:val="22"/>
        </w:rPr>
        <w:t xml:space="preserve">veintiuno </w:t>
      </w:r>
      <w:r w:rsidRPr="005E5FEE">
        <w:rPr>
          <w:b/>
          <w:szCs w:val="22"/>
        </w:rPr>
        <w:t xml:space="preserve">de </w:t>
      </w:r>
      <w:r w:rsidR="001126E3" w:rsidRPr="005E5FEE">
        <w:rPr>
          <w:b/>
          <w:szCs w:val="22"/>
        </w:rPr>
        <w:t>febrero</w:t>
      </w:r>
      <w:r w:rsidRPr="005E5FEE">
        <w:rPr>
          <w:b/>
          <w:szCs w:val="22"/>
        </w:rPr>
        <w:t xml:space="preserve"> de dos mil </w:t>
      </w:r>
      <w:r w:rsidR="00732DB5" w:rsidRPr="005E5FEE">
        <w:rPr>
          <w:b/>
          <w:szCs w:val="22"/>
        </w:rPr>
        <w:t>veinticinco</w:t>
      </w:r>
      <w:r w:rsidRPr="005E5FEE">
        <w:rPr>
          <w:szCs w:val="22"/>
        </w:rPr>
        <w:t xml:space="preserve"> se turnó el recurso de revisión a través del SAIMEX a la </w:t>
      </w:r>
      <w:r w:rsidRPr="005E5FEE">
        <w:rPr>
          <w:b/>
          <w:szCs w:val="22"/>
        </w:rPr>
        <w:t>Comisionada Sharon Cristina Morales Martínez</w:t>
      </w:r>
      <w:r w:rsidRPr="005E5FEE">
        <w:rPr>
          <w:szCs w:val="22"/>
        </w:rPr>
        <w:t>, a efecto de decret</w:t>
      </w:r>
      <w:r w:rsidR="00B95674" w:rsidRPr="005E5FEE">
        <w:rPr>
          <w:szCs w:val="22"/>
        </w:rPr>
        <w:t xml:space="preserve">ar su admisión o </w:t>
      </w:r>
      <w:proofErr w:type="spellStart"/>
      <w:r w:rsidR="00B95674" w:rsidRPr="005E5FEE">
        <w:rPr>
          <w:szCs w:val="22"/>
        </w:rPr>
        <w:t>desechamiento</w:t>
      </w:r>
      <w:proofErr w:type="spellEnd"/>
      <w:r w:rsidR="00B95674" w:rsidRPr="005E5FEE">
        <w:rPr>
          <w:szCs w:val="22"/>
        </w:rPr>
        <w:t>.</w:t>
      </w:r>
    </w:p>
    <w:p w14:paraId="1202E0D8" w14:textId="77777777" w:rsidR="002B11D9" w:rsidRPr="005E5FEE" w:rsidRDefault="002B11D9" w:rsidP="005E5FEE">
      <w:pPr>
        <w:rPr>
          <w:szCs w:val="22"/>
        </w:rPr>
      </w:pPr>
    </w:p>
    <w:p w14:paraId="13786DC0" w14:textId="77777777" w:rsidR="002B11D9" w:rsidRPr="005E5FEE" w:rsidRDefault="00E43858" w:rsidP="005E5FEE">
      <w:pPr>
        <w:pStyle w:val="Ttulo3"/>
        <w:rPr>
          <w:szCs w:val="22"/>
        </w:rPr>
      </w:pPr>
      <w:bookmarkStart w:id="22" w:name="_Toc195123425"/>
      <w:r w:rsidRPr="005E5FEE">
        <w:rPr>
          <w:szCs w:val="22"/>
        </w:rPr>
        <w:t>c) Admisión del Recurso de Revisión.</w:t>
      </w:r>
      <w:bookmarkEnd w:id="22"/>
    </w:p>
    <w:p w14:paraId="0E1729D5" w14:textId="75F159D6" w:rsidR="002B11D9" w:rsidRPr="005E5FEE" w:rsidRDefault="00E43858" w:rsidP="005E5FEE">
      <w:pPr>
        <w:rPr>
          <w:szCs w:val="22"/>
        </w:rPr>
      </w:pPr>
      <w:r w:rsidRPr="005E5FEE">
        <w:rPr>
          <w:szCs w:val="22"/>
        </w:rPr>
        <w:t xml:space="preserve">El </w:t>
      </w:r>
      <w:r w:rsidR="005220F0" w:rsidRPr="005E5FEE">
        <w:rPr>
          <w:b/>
          <w:szCs w:val="22"/>
        </w:rPr>
        <w:t xml:space="preserve">veintiséis </w:t>
      </w:r>
      <w:r w:rsidRPr="005E5FEE">
        <w:rPr>
          <w:b/>
          <w:szCs w:val="22"/>
        </w:rPr>
        <w:t xml:space="preserve">de </w:t>
      </w:r>
      <w:r w:rsidR="005220F0" w:rsidRPr="005E5FEE">
        <w:rPr>
          <w:b/>
          <w:szCs w:val="22"/>
        </w:rPr>
        <w:t xml:space="preserve">febrero </w:t>
      </w:r>
      <w:r w:rsidRPr="005E5FEE">
        <w:rPr>
          <w:b/>
          <w:szCs w:val="22"/>
        </w:rPr>
        <w:t xml:space="preserve">de dos mil </w:t>
      </w:r>
      <w:r w:rsidR="00732DB5" w:rsidRPr="005E5FEE">
        <w:rPr>
          <w:b/>
          <w:szCs w:val="22"/>
        </w:rPr>
        <w:t>veinticinco</w:t>
      </w:r>
      <w:r w:rsidRPr="005E5FEE">
        <w:rPr>
          <w:szCs w:val="22"/>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5E5FEE">
        <w:rPr>
          <w:szCs w:val="22"/>
        </w:rPr>
        <w:lastRenderedPageBreak/>
        <w:t>conforme a lo dispuesto por el artículo 185, fracción II de la Ley de Transparencia y Acceso a la Información Pública del Estado de México y Municipios.</w:t>
      </w:r>
    </w:p>
    <w:p w14:paraId="29AC8402" w14:textId="77777777" w:rsidR="002B11D9" w:rsidRPr="005E5FEE" w:rsidRDefault="002B11D9" w:rsidP="005E5FEE">
      <w:pPr>
        <w:rPr>
          <w:b/>
          <w:szCs w:val="22"/>
        </w:rPr>
      </w:pPr>
    </w:p>
    <w:p w14:paraId="5A50F9F8" w14:textId="52382EE2" w:rsidR="002B11D9" w:rsidRPr="005E5FEE" w:rsidRDefault="00E43858" w:rsidP="005E5FEE">
      <w:pPr>
        <w:pStyle w:val="Ttulo3"/>
        <w:rPr>
          <w:szCs w:val="22"/>
        </w:rPr>
      </w:pPr>
      <w:bookmarkStart w:id="23" w:name="_Toc195123426"/>
      <w:r w:rsidRPr="005E5FEE">
        <w:rPr>
          <w:szCs w:val="22"/>
        </w:rPr>
        <w:t xml:space="preserve">d) </w:t>
      </w:r>
      <w:r w:rsidR="00F023FC" w:rsidRPr="005E5FEE">
        <w:rPr>
          <w:szCs w:val="22"/>
        </w:rPr>
        <w:t>Informe Justificado</w:t>
      </w:r>
      <w:r w:rsidRPr="005E5FEE">
        <w:rPr>
          <w:szCs w:val="22"/>
        </w:rPr>
        <w:t xml:space="preserve"> del Sujeto Obligado.</w:t>
      </w:r>
      <w:bookmarkEnd w:id="23"/>
    </w:p>
    <w:p w14:paraId="430D8ADD" w14:textId="49474A1B" w:rsidR="000F5CB6" w:rsidRPr="005E5FEE" w:rsidRDefault="00633FBD" w:rsidP="005E5FEE">
      <w:pPr>
        <w:rPr>
          <w:szCs w:val="22"/>
        </w:rPr>
      </w:pPr>
      <w:r w:rsidRPr="005E5FEE">
        <w:rPr>
          <w:szCs w:val="22"/>
        </w:rPr>
        <w:t xml:space="preserve">El </w:t>
      </w:r>
      <w:r w:rsidR="000F5CB6" w:rsidRPr="005E5FEE">
        <w:rPr>
          <w:b/>
          <w:szCs w:val="22"/>
        </w:rPr>
        <w:t>cinco de m</w:t>
      </w:r>
      <w:r w:rsidRPr="005E5FEE">
        <w:rPr>
          <w:b/>
          <w:szCs w:val="22"/>
        </w:rPr>
        <w:t>arzo de dos mil veinticinco, EL SUJETO OBLIGADO</w:t>
      </w:r>
      <w:r w:rsidRPr="005E5FEE">
        <w:rPr>
          <w:szCs w:val="22"/>
        </w:rPr>
        <w:t xml:space="preserve"> remitió conforme a su derecho, </w:t>
      </w:r>
      <w:r w:rsidR="000F5CB6" w:rsidRPr="005E5FEE">
        <w:rPr>
          <w:szCs w:val="22"/>
        </w:rPr>
        <w:t xml:space="preserve">la carpeta comprimida denominada </w:t>
      </w:r>
      <w:r w:rsidR="000F5CB6" w:rsidRPr="005E5FEE">
        <w:rPr>
          <w:b/>
          <w:i/>
          <w:szCs w:val="22"/>
        </w:rPr>
        <w:t xml:space="preserve">RECURSO DE REVISION 01792-INFOEM-IP-2025.zip, </w:t>
      </w:r>
      <w:r w:rsidR="000F5CB6" w:rsidRPr="005E5FEE">
        <w:rPr>
          <w:szCs w:val="22"/>
        </w:rPr>
        <w:t xml:space="preserve">la cual contiene los archivos que a continuación se describen: </w:t>
      </w:r>
    </w:p>
    <w:p w14:paraId="4EF2BD75" w14:textId="77777777" w:rsidR="000F5CB6" w:rsidRPr="005E5FEE" w:rsidRDefault="000F5CB6" w:rsidP="005E5FEE">
      <w:pPr>
        <w:rPr>
          <w:szCs w:val="22"/>
        </w:rPr>
      </w:pPr>
    </w:p>
    <w:p w14:paraId="41BB442D" w14:textId="4A8D1290" w:rsidR="000F5CB6" w:rsidRPr="005E5FEE" w:rsidRDefault="000F5CB6" w:rsidP="005E5FEE">
      <w:pPr>
        <w:pStyle w:val="Prrafodelista"/>
        <w:numPr>
          <w:ilvl w:val="0"/>
          <w:numId w:val="42"/>
        </w:numPr>
        <w:pBdr>
          <w:top w:val="nil"/>
          <w:left w:val="nil"/>
          <w:bottom w:val="nil"/>
          <w:right w:val="nil"/>
          <w:between w:val="nil"/>
        </w:pBdr>
        <w:ind w:right="-28"/>
        <w:rPr>
          <w:szCs w:val="22"/>
        </w:rPr>
      </w:pPr>
      <w:r w:rsidRPr="005E5FEE">
        <w:rPr>
          <w:b/>
          <w:szCs w:val="22"/>
        </w:rPr>
        <w:t xml:space="preserve">1.- CJ-SC-DCC-625-2025, </w:t>
      </w:r>
      <w:r w:rsidRPr="005E5FEE">
        <w:rPr>
          <w:szCs w:val="22"/>
        </w:rPr>
        <w:t xml:space="preserve">el cual contiene el oficio CJ/SC/DCC/625/2025 del veintinueve de enero de dos mil veinticinco, por medio del cual el Jefe del Departamento de Convenios y Contratos y enlace designado ante la Unidad de Transparencia y Acceso a la Información, informa que los primeros días del mes de enero se requisito el convenio de colaboración a celebrar con la Junta de Caminos del Estado de México, referente al bacheo de algunas vialidades del municipio, el cual se encuentra en proceso de recabar firmas. Motivo por el cual solicita prórroga para emitir la respuesta correspondiente. </w:t>
      </w:r>
    </w:p>
    <w:p w14:paraId="210DF695" w14:textId="112BB43D" w:rsidR="000F5CB6" w:rsidRPr="005E5FEE" w:rsidRDefault="000F5CB6" w:rsidP="005E5FEE">
      <w:pPr>
        <w:pStyle w:val="Prrafodelista"/>
        <w:numPr>
          <w:ilvl w:val="0"/>
          <w:numId w:val="42"/>
        </w:numPr>
        <w:pBdr>
          <w:top w:val="nil"/>
          <w:left w:val="nil"/>
          <w:bottom w:val="nil"/>
          <w:right w:val="nil"/>
          <w:between w:val="nil"/>
        </w:pBdr>
        <w:ind w:right="-28"/>
        <w:rPr>
          <w:b/>
          <w:szCs w:val="22"/>
        </w:rPr>
      </w:pPr>
      <w:r w:rsidRPr="005E5FEE">
        <w:rPr>
          <w:b/>
          <w:szCs w:val="22"/>
        </w:rPr>
        <w:t xml:space="preserve">2.- Extracto del  Acta de la Segunda Sesión Extraordinaria del </w:t>
      </w:r>
      <w:proofErr w:type="spellStart"/>
      <w:r w:rsidRPr="005E5FEE">
        <w:rPr>
          <w:b/>
          <w:szCs w:val="22"/>
        </w:rPr>
        <w:t>Comite</w:t>
      </w:r>
      <w:proofErr w:type="spellEnd"/>
      <w:r w:rsidRPr="005E5FEE">
        <w:rPr>
          <w:b/>
          <w:szCs w:val="22"/>
        </w:rPr>
        <w:t xml:space="preserve"> de Transparencia, </w:t>
      </w:r>
      <w:r w:rsidRPr="005E5FEE">
        <w:rPr>
          <w:szCs w:val="22"/>
        </w:rPr>
        <w:t xml:space="preserve">el cual contiene el acuerdo número CT/NAU/ACTA-EXT-002/2025/34 de la Segunda Sesión extraordinaria, por medio del cual se aprobó la prórroga de 7 días para dar atención a la solicitud materia de estudio. </w:t>
      </w:r>
    </w:p>
    <w:p w14:paraId="726EE593" w14:textId="67DBA10B" w:rsidR="000F5CB6" w:rsidRPr="005E5FEE" w:rsidRDefault="000F5CB6" w:rsidP="005E5FEE">
      <w:pPr>
        <w:pStyle w:val="Prrafodelista"/>
        <w:numPr>
          <w:ilvl w:val="0"/>
          <w:numId w:val="42"/>
        </w:numPr>
        <w:pBdr>
          <w:top w:val="nil"/>
          <w:left w:val="nil"/>
          <w:bottom w:val="nil"/>
          <w:right w:val="nil"/>
          <w:between w:val="nil"/>
        </w:pBdr>
        <w:ind w:right="-28"/>
        <w:rPr>
          <w:b/>
          <w:szCs w:val="22"/>
        </w:rPr>
      </w:pPr>
      <w:r w:rsidRPr="005E5FEE">
        <w:rPr>
          <w:b/>
          <w:szCs w:val="22"/>
        </w:rPr>
        <w:t xml:space="preserve">CJ_SC_DCC_1772_2025, </w:t>
      </w:r>
      <w:r w:rsidRPr="005E5FEE">
        <w:rPr>
          <w:szCs w:val="22"/>
        </w:rPr>
        <w:t xml:space="preserve">el cual contiene el oficio número CJ/DCC/1772/2025 del cuatro de marzo de dos mil veinticinco, por medio del cual el Titular de la Consejería Jurídica refiere habar dado </w:t>
      </w:r>
      <w:r w:rsidR="00176DA1" w:rsidRPr="005E5FEE">
        <w:rPr>
          <w:szCs w:val="22"/>
        </w:rPr>
        <w:t>atención</w:t>
      </w:r>
      <w:r w:rsidRPr="005E5FEE">
        <w:rPr>
          <w:szCs w:val="22"/>
        </w:rPr>
        <w:t xml:space="preserve"> a la solicitud en los tiempos permitidos por el marco jurídico que regula la materia, refiriendo adjuntar </w:t>
      </w:r>
      <w:r w:rsidR="00176DA1" w:rsidRPr="005E5FEE">
        <w:rPr>
          <w:szCs w:val="22"/>
        </w:rPr>
        <w:t xml:space="preserve">extracto del Acta de la Segunda Sesión Extraordinaria. </w:t>
      </w:r>
      <w:r w:rsidRPr="005E5FEE">
        <w:rPr>
          <w:szCs w:val="22"/>
        </w:rPr>
        <w:t xml:space="preserve"> </w:t>
      </w:r>
    </w:p>
    <w:p w14:paraId="6A09A953" w14:textId="6A9E811D" w:rsidR="000D7B24" w:rsidRPr="005E5FEE" w:rsidRDefault="000D7B24" w:rsidP="005E5FEE">
      <w:pPr>
        <w:pBdr>
          <w:top w:val="nil"/>
          <w:left w:val="nil"/>
          <w:bottom w:val="nil"/>
          <w:right w:val="nil"/>
          <w:between w:val="nil"/>
        </w:pBdr>
        <w:ind w:left="360" w:right="-28"/>
        <w:rPr>
          <w:szCs w:val="22"/>
        </w:rPr>
      </w:pPr>
    </w:p>
    <w:p w14:paraId="26CB579B" w14:textId="422A4C37" w:rsidR="00F465D2" w:rsidRPr="005E5FEE" w:rsidRDefault="00F465D2" w:rsidP="005E5FEE">
      <w:pPr>
        <w:rPr>
          <w:rFonts w:cs="Tahoma"/>
          <w:bCs/>
          <w:szCs w:val="22"/>
        </w:rPr>
      </w:pPr>
      <w:r w:rsidRPr="005E5FEE">
        <w:rPr>
          <w:rFonts w:cs="Tahoma"/>
          <w:bCs/>
          <w:szCs w:val="22"/>
        </w:rPr>
        <w:lastRenderedPageBreak/>
        <w:t xml:space="preserve">Esta información fue puesta a la vista de </w:t>
      </w:r>
      <w:r w:rsidRPr="005E5FEE">
        <w:rPr>
          <w:rFonts w:cs="Tahoma"/>
          <w:b/>
          <w:szCs w:val="22"/>
        </w:rPr>
        <w:t xml:space="preserve">LA PARTE RECURRENTE </w:t>
      </w:r>
      <w:r w:rsidRPr="005E5FEE">
        <w:rPr>
          <w:rFonts w:cs="Tahoma"/>
          <w:bCs/>
          <w:szCs w:val="22"/>
        </w:rPr>
        <w:t xml:space="preserve">el </w:t>
      </w:r>
      <w:r w:rsidR="00176DA1" w:rsidRPr="005E5FEE">
        <w:rPr>
          <w:rFonts w:cs="Tahoma"/>
          <w:b/>
          <w:szCs w:val="22"/>
        </w:rPr>
        <w:t>treinta y uno</w:t>
      </w:r>
      <w:r w:rsidRPr="005E5FEE">
        <w:rPr>
          <w:rFonts w:cs="Tahoma"/>
          <w:b/>
          <w:szCs w:val="22"/>
        </w:rPr>
        <w:t xml:space="preserve"> de marzo de dos mil veinticinco</w:t>
      </w:r>
      <w:r w:rsidRPr="005E5FEE">
        <w:rPr>
          <w:rFonts w:cs="Tahoma"/>
          <w:bCs/>
          <w:szCs w:val="22"/>
        </w:rPr>
        <w:t xml:space="preserve"> para que, en un plazo de tres días hábiles, manifestara lo que a su derecho conviniera, de conformidad con lo establecido en el </w:t>
      </w:r>
      <w:r w:rsidRPr="005E5FEE">
        <w:rPr>
          <w:rFonts w:cs="Arial"/>
          <w:szCs w:val="22"/>
        </w:rPr>
        <w:t>artículo 185, fracción III de la Ley de Transparencia y Acceso a la Información Pública del Estado de México y Municipios</w:t>
      </w:r>
      <w:r w:rsidRPr="005E5FEE">
        <w:rPr>
          <w:rFonts w:cs="Tahoma"/>
          <w:bCs/>
          <w:szCs w:val="22"/>
        </w:rPr>
        <w:t>.</w:t>
      </w:r>
    </w:p>
    <w:p w14:paraId="61ECA6FB" w14:textId="77777777" w:rsidR="00F465D2" w:rsidRPr="005E5FEE" w:rsidRDefault="00F465D2" w:rsidP="005E5FEE">
      <w:pPr>
        <w:ind w:right="539"/>
        <w:rPr>
          <w:szCs w:val="22"/>
        </w:rPr>
      </w:pPr>
    </w:p>
    <w:p w14:paraId="0D5AC062" w14:textId="77777777" w:rsidR="002B11D9" w:rsidRPr="005E5FEE" w:rsidRDefault="00E43858" w:rsidP="005E5FEE">
      <w:pPr>
        <w:pStyle w:val="Ttulo3"/>
        <w:rPr>
          <w:szCs w:val="22"/>
        </w:rPr>
      </w:pPr>
      <w:bookmarkStart w:id="24" w:name="_Toc195123427"/>
      <w:r w:rsidRPr="005E5FEE">
        <w:rPr>
          <w:szCs w:val="22"/>
        </w:rPr>
        <w:t>e) Manifestaciones de la Parte Recurrente.</w:t>
      </w:r>
      <w:bookmarkEnd w:id="24"/>
    </w:p>
    <w:p w14:paraId="6D93204D" w14:textId="77777777" w:rsidR="002B11D9" w:rsidRPr="005E5FEE" w:rsidRDefault="00E43858" w:rsidP="005E5FEE">
      <w:pPr>
        <w:rPr>
          <w:szCs w:val="22"/>
        </w:rPr>
      </w:pPr>
      <w:r w:rsidRPr="005E5FEE">
        <w:rPr>
          <w:b/>
          <w:szCs w:val="22"/>
        </w:rPr>
        <w:t xml:space="preserve">LA PARTE RECURRENTE </w:t>
      </w:r>
      <w:r w:rsidRPr="005E5FEE">
        <w:rPr>
          <w:szCs w:val="22"/>
        </w:rPr>
        <w:t>no realizó manifestación alguna dentro del término legalmente concedido para tal efecto, ni presentó pruebas o alegatos.</w:t>
      </w:r>
    </w:p>
    <w:p w14:paraId="5EEFF756" w14:textId="77777777" w:rsidR="002B11D9" w:rsidRPr="005E5FEE" w:rsidRDefault="002B11D9" w:rsidP="005E5FEE">
      <w:pPr>
        <w:rPr>
          <w:szCs w:val="22"/>
        </w:rPr>
      </w:pPr>
      <w:bookmarkStart w:id="25" w:name="_heading=h.26in1rg" w:colFirst="0" w:colLast="0"/>
      <w:bookmarkEnd w:id="25"/>
    </w:p>
    <w:p w14:paraId="36F09980" w14:textId="6C347413" w:rsidR="002B11D9" w:rsidRPr="005E5FEE" w:rsidRDefault="0038711B" w:rsidP="005E5FEE">
      <w:pPr>
        <w:pStyle w:val="Ttulo3"/>
        <w:rPr>
          <w:szCs w:val="22"/>
        </w:rPr>
      </w:pPr>
      <w:bookmarkStart w:id="26" w:name="_Toc195123428"/>
      <w:r w:rsidRPr="005E5FEE">
        <w:rPr>
          <w:szCs w:val="22"/>
        </w:rPr>
        <w:t>f</w:t>
      </w:r>
      <w:r w:rsidR="00E43858" w:rsidRPr="005E5FEE">
        <w:rPr>
          <w:szCs w:val="22"/>
        </w:rPr>
        <w:t>) Cierre de instrucción.</w:t>
      </w:r>
      <w:bookmarkEnd w:id="26"/>
    </w:p>
    <w:p w14:paraId="473D959F" w14:textId="7632AECA" w:rsidR="002B11D9" w:rsidRPr="005E5FEE" w:rsidRDefault="00E43858" w:rsidP="005E5FEE">
      <w:pPr>
        <w:rPr>
          <w:szCs w:val="22"/>
        </w:rPr>
      </w:pPr>
      <w:bookmarkStart w:id="27" w:name="_heading=h.35nkun2" w:colFirst="0" w:colLast="0"/>
      <w:bookmarkEnd w:id="27"/>
      <w:r w:rsidRPr="005E5FEE">
        <w:rPr>
          <w:szCs w:val="22"/>
        </w:rPr>
        <w:t xml:space="preserve">Al no existir diligencias pendientes por desahogar, el </w:t>
      </w:r>
      <w:r w:rsidR="00176DA1" w:rsidRPr="005E5FEE">
        <w:rPr>
          <w:b/>
          <w:szCs w:val="22"/>
        </w:rPr>
        <w:t xml:space="preserve">ocho de abril </w:t>
      </w:r>
      <w:r w:rsidR="00680595" w:rsidRPr="005E5FEE">
        <w:rPr>
          <w:b/>
          <w:szCs w:val="22"/>
        </w:rPr>
        <w:t>d</w:t>
      </w:r>
      <w:r w:rsidRPr="005E5FEE">
        <w:rPr>
          <w:b/>
          <w:szCs w:val="22"/>
        </w:rPr>
        <w:t xml:space="preserve">e dos mil </w:t>
      </w:r>
      <w:r w:rsidR="00743588" w:rsidRPr="005E5FEE">
        <w:rPr>
          <w:b/>
          <w:szCs w:val="22"/>
        </w:rPr>
        <w:t>veinticinco</w:t>
      </w:r>
      <w:r w:rsidRPr="005E5FEE">
        <w:rPr>
          <w:szCs w:val="22"/>
        </w:rPr>
        <w:t xml:space="preserve"> la </w:t>
      </w:r>
      <w:r w:rsidRPr="005E5FEE">
        <w:rPr>
          <w:b/>
          <w:szCs w:val="22"/>
        </w:rPr>
        <w:t xml:space="preserve">Comisionada Sharon Cristina Morales Martínez </w:t>
      </w:r>
      <w:r w:rsidRPr="005E5FEE">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5E5FEE">
        <w:rPr>
          <w:b/>
          <w:szCs w:val="22"/>
        </w:rPr>
        <w:t>SAIMEX</w:t>
      </w:r>
      <w:r w:rsidRPr="005E5FEE">
        <w:rPr>
          <w:szCs w:val="22"/>
        </w:rPr>
        <w:t>.</w:t>
      </w:r>
    </w:p>
    <w:p w14:paraId="20A1D19A" w14:textId="77777777" w:rsidR="002B11D9" w:rsidRPr="005E5FEE" w:rsidRDefault="002B11D9" w:rsidP="005E5FEE">
      <w:pPr>
        <w:rPr>
          <w:szCs w:val="22"/>
        </w:rPr>
      </w:pPr>
    </w:p>
    <w:p w14:paraId="7AF2B671" w14:textId="77777777" w:rsidR="002B11D9" w:rsidRPr="005E5FEE" w:rsidRDefault="00E43858" w:rsidP="005E5FEE">
      <w:pPr>
        <w:pStyle w:val="Ttulo1"/>
        <w:rPr>
          <w:szCs w:val="22"/>
        </w:rPr>
      </w:pPr>
      <w:bookmarkStart w:id="28" w:name="_Toc195123429"/>
      <w:r w:rsidRPr="005E5FEE">
        <w:rPr>
          <w:szCs w:val="22"/>
        </w:rPr>
        <w:t>CONSIDERANDOS</w:t>
      </w:r>
      <w:bookmarkEnd w:id="28"/>
    </w:p>
    <w:p w14:paraId="4C4E016A" w14:textId="77777777" w:rsidR="002B11D9" w:rsidRPr="005E5FEE" w:rsidRDefault="002B11D9" w:rsidP="005E5FEE">
      <w:pPr>
        <w:jc w:val="center"/>
        <w:rPr>
          <w:b/>
          <w:szCs w:val="22"/>
        </w:rPr>
      </w:pPr>
    </w:p>
    <w:p w14:paraId="67991CCB" w14:textId="77777777" w:rsidR="002B11D9" w:rsidRPr="005E5FEE" w:rsidRDefault="00E43858" w:rsidP="005E5FEE">
      <w:pPr>
        <w:pStyle w:val="Ttulo2"/>
        <w:rPr>
          <w:szCs w:val="22"/>
        </w:rPr>
      </w:pPr>
      <w:bookmarkStart w:id="29" w:name="_Toc195123430"/>
      <w:r w:rsidRPr="005E5FEE">
        <w:rPr>
          <w:szCs w:val="22"/>
        </w:rPr>
        <w:t xml:space="preserve">PRIMERO. </w:t>
      </w:r>
      <w:proofErr w:type="spellStart"/>
      <w:r w:rsidRPr="005E5FEE">
        <w:rPr>
          <w:szCs w:val="22"/>
        </w:rPr>
        <w:t>Procedibilidad</w:t>
      </w:r>
      <w:bookmarkEnd w:id="29"/>
      <w:proofErr w:type="spellEnd"/>
    </w:p>
    <w:p w14:paraId="77F2770D" w14:textId="77777777" w:rsidR="002B11D9" w:rsidRPr="005E5FEE" w:rsidRDefault="00E43858" w:rsidP="005E5FEE">
      <w:pPr>
        <w:pStyle w:val="Ttulo3"/>
        <w:rPr>
          <w:szCs w:val="22"/>
        </w:rPr>
      </w:pPr>
      <w:bookmarkStart w:id="30" w:name="_Toc195123431"/>
      <w:r w:rsidRPr="005E5FEE">
        <w:rPr>
          <w:szCs w:val="22"/>
        </w:rPr>
        <w:t>a) Competencia del Instituto.</w:t>
      </w:r>
      <w:bookmarkEnd w:id="30"/>
    </w:p>
    <w:p w14:paraId="2BCE2FBA" w14:textId="77777777" w:rsidR="002B11D9" w:rsidRPr="005E5FEE" w:rsidRDefault="00E43858" w:rsidP="005E5FEE">
      <w:pPr>
        <w:rPr>
          <w:szCs w:val="22"/>
        </w:rPr>
      </w:pPr>
      <w:r w:rsidRPr="005E5FEE">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w:t>
      </w:r>
      <w:r w:rsidRPr="005E5FEE">
        <w:rPr>
          <w:szCs w:val="22"/>
        </w:rPr>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5E5FEE" w:rsidRDefault="002B11D9" w:rsidP="005E5FEE">
      <w:pPr>
        <w:rPr>
          <w:szCs w:val="22"/>
        </w:rPr>
      </w:pPr>
    </w:p>
    <w:p w14:paraId="2E0E6234" w14:textId="77777777" w:rsidR="002B11D9" w:rsidRPr="005E5FEE" w:rsidRDefault="00E43858" w:rsidP="005E5FEE">
      <w:pPr>
        <w:pStyle w:val="Ttulo3"/>
        <w:rPr>
          <w:szCs w:val="22"/>
        </w:rPr>
      </w:pPr>
      <w:bookmarkStart w:id="31" w:name="_Toc195123432"/>
      <w:r w:rsidRPr="005E5FEE">
        <w:rPr>
          <w:szCs w:val="22"/>
        </w:rPr>
        <w:t>b) Legitimidad de la parte recurrente.</w:t>
      </w:r>
      <w:bookmarkEnd w:id="31"/>
    </w:p>
    <w:p w14:paraId="78DA37FC" w14:textId="77777777" w:rsidR="002B11D9" w:rsidRPr="005E5FEE" w:rsidRDefault="00E43858" w:rsidP="005E5FEE">
      <w:pPr>
        <w:rPr>
          <w:szCs w:val="22"/>
        </w:rPr>
      </w:pPr>
      <w:r w:rsidRPr="005E5FEE">
        <w:rPr>
          <w:szCs w:val="22"/>
        </w:rPr>
        <w:t>El recurso de revisión fue interpuesto por parte legítima, ya que se presentó por la misma persona que formuló la solicitud de acceso a la Información Pública,</w:t>
      </w:r>
      <w:r w:rsidRPr="005E5FEE">
        <w:rPr>
          <w:b/>
          <w:szCs w:val="22"/>
        </w:rPr>
        <w:t xml:space="preserve"> </w:t>
      </w:r>
      <w:r w:rsidRPr="005E5FEE">
        <w:rPr>
          <w:szCs w:val="22"/>
        </w:rPr>
        <w:t>debido a que los datos de acceso</w:t>
      </w:r>
      <w:r w:rsidRPr="005E5FEE">
        <w:rPr>
          <w:b/>
          <w:szCs w:val="22"/>
        </w:rPr>
        <w:t xml:space="preserve"> SAIMEX</w:t>
      </w:r>
      <w:r w:rsidRPr="005E5FEE">
        <w:rPr>
          <w:szCs w:val="22"/>
        </w:rPr>
        <w:t xml:space="preserve"> son personales e irrepetibles.</w:t>
      </w:r>
    </w:p>
    <w:p w14:paraId="66A2A93E" w14:textId="77777777" w:rsidR="002B11D9" w:rsidRPr="005E5FEE" w:rsidRDefault="002B11D9" w:rsidP="005E5FEE">
      <w:pPr>
        <w:rPr>
          <w:szCs w:val="22"/>
        </w:rPr>
      </w:pPr>
    </w:p>
    <w:p w14:paraId="0943A28B" w14:textId="77777777" w:rsidR="002B11D9" w:rsidRPr="005E5FEE" w:rsidRDefault="00E43858" w:rsidP="005E5FEE">
      <w:pPr>
        <w:pStyle w:val="Ttulo3"/>
        <w:rPr>
          <w:szCs w:val="22"/>
        </w:rPr>
      </w:pPr>
      <w:bookmarkStart w:id="32" w:name="_Toc195123433"/>
      <w:r w:rsidRPr="005E5FEE">
        <w:rPr>
          <w:szCs w:val="22"/>
        </w:rPr>
        <w:t>c) Plazo para interponer el recurso.</w:t>
      </w:r>
      <w:bookmarkEnd w:id="32"/>
    </w:p>
    <w:p w14:paraId="02BF5B02" w14:textId="65A50C18" w:rsidR="002B11D9" w:rsidRPr="005E5FEE" w:rsidRDefault="00E43858" w:rsidP="005E5FEE">
      <w:pPr>
        <w:rPr>
          <w:szCs w:val="22"/>
        </w:rPr>
      </w:pPr>
      <w:bookmarkStart w:id="33" w:name="_heading=h.1y810tw" w:colFirst="0" w:colLast="0"/>
      <w:bookmarkEnd w:id="33"/>
      <w:r w:rsidRPr="005E5FEE">
        <w:rPr>
          <w:b/>
          <w:szCs w:val="22"/>
        </w:rPr>
        <w:t>EL SUJETO OBLIGADO</w:t>
      </w:r>
      <w:r w:rsidRPr="005E5FEE">
        <w:rPr>
          <w:szCs w:val="22"/>
        </w:rPr>
        <w:t xml:space="preserve"> notificó la respuesta a la solicitud de acceso a la Información Pública el </w:t>
      </w:r>
      <w:r w:rsidR="00176DA1" w:rsidRPr="005E5FEE">
        <w:rPr>
          <w:b/>
          <w:szCs w:val="22"/>
        </w:rPr>
        <w:t xml:space="preserve">catorce de febrero </w:t>
      </w:r>
      <w:r w:rsidRPr="005E5FEE">
        <w:rPr>
          <w:b/>
          <w:szCs w:val="22"/>
        </w:rPr>
        <w:t xml:space="preserve">de dos mil </w:t>
      </w:r>
      <w:r w:rsidR="000955A6" w:rsidRPr="005E5FEE">
        <w:rPr>
          <w:b/>
          <w:szCs w:val="22"/>
        </w:rPr>
        <w:t>veinticinco</w:t>
      </w:r>
      <w:r w:rsidRPr="005E5FEE">
        <w:rPr>
          <w:szCs w:val="22"/>
        </w:rPr>
        <w:t xml:space="preserve"> y el recurso que nos ocupa se interpuso el </w:t>
      </w:r>
      <w:r w:rsidR="00176DA1" w:rsidRPr="005E5FEE">
        <w:rPr>
          <w:b/>
          <w:szCs w:val="22"/>
        </w:rPr>
        <w:t xml:space="preserve">veintiuno </w:t>
      </w:r>
      <w:r w:rsidRPr="005E5FEE">
        <w:rPr>
          <w:b/>
          <w:szCs w:val="22"/>
        </w:rPr>
        <w:t xml:space="preserve">de </w:t>
      </w:r>
      <w:r w:rsidR="001C0893" w:rsidRPr="005E5FEE">
        <w:rPr>
          <w:b/>
          <w:szCs w:val="22"/>
        </w:rPr>
        <w:t>febrero</w:t>
      </w:r>
      <w:r w:rsidRPr="005E5FEE">
        <w:rPr>
          <w:b/>
          <w:szCs w:val="22"/>
        </w:rPr>
        <w:t xml:space="preserve"> de dos mil </w:t>
      </w:r>
      <w:r w:rsidR="000955A6" w:rsidRPr="005E5FEE">
        <w:rPr>
          <w:b/>
          <w:szCs w:val="22"/>
        </w:rPr>
        <w:t>veinticinco</w:t>
      </w:r>
      <w:r w:rsidRPr="005E5FEE">
        <w:rPr>
          <w:szCs w:val="22"/>
        </w:rPr>
        <w:t xml:space="preserve"> por lo tanto, éste se encuentra dentro del margen temporal previsto en el artículo 178 de la Ley de Transparencia y Acceso a la Información Pública del Estado de México y Municipios, el cual transcurrió del </w:t>
      </w:r>
      <w:r w:rsidR="00176DA1" w:rsidRPr="005E5FEE">
        <w:rPr>
          <w:b/>
          <w:szCs w:val="22"/>
        </w:rPr>
        <w:t xml:space="preserve">diecisiete </w:t>
      </w:r>
      <w:r w:rsidR="001B5316" w:rsidRPr="005E5FEE">
        <w:rPr>
          <w:b/>
          <w:szCs w:val="22"/>
        </w:rPr>
        <w:t xml:space="preserve">de febrero </w:t>
      </w:r>
      <w:r w:rsidR="00F465D2" w:rsidRPr="005E5FEE">
        <w:rPr>
          <w:b/>
          <w:szCs w:val="22"/>
        </w:rPr>
        <w:t xml:space="preserve">al </w:t>
      </w:r>
      <w:r w:rsidR="00176DA1" w:rsidRPr="005E5FEE">
        <w:rPr>
          <w:b/>
          <w:szCs w:val="22"/>
        </w:rPr>
        <w:t xml:space="preserve">diez </w:t>
      </w:r>
      <w:r w:rsidR="00F465D2" w:rsidRPr="005E5FEE">
        <w:rPr>
          <w:b/>
          <w:szCs w:val="22"/>
        </w:rPr>
        <w:t xml:space="preserve">de marzo </w:t>
      </w:r>
      <w:r w:rsidR="001C0893" w:rsidRPr="005E5FEE">
        <w:rPr>
          <w:b/>
          <w:szCs w:val="22"/>
        </w:rPr>
        <w:t>de d</w:t>
      </w:r>
      <w:r w:rsidRPr="005E5FEE">
        <w:rPr>
          <w:b/>
          <w:szCs w:val="22"/>
        </w:rPr>
        <w:t xml:space="preserve">os mil </w:t>
      </w:r>
      <w:r w:rsidR="00502F3C" w:rsidRPr="005E5FEE">
        <w:rPr>
          <w:b/>
          <w:szCs w:val="22"/>
        </w:rPr>
        <w:t>veinticinco</w:t>
      </w:r>
      <w:r w:rsidRPr="005E5FEE">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5E5FEE" w:rsidRDefault="002B11D9" w:rsidP="005E5FEE">
      <w:pPr>
        <w:rPr>
          <w:szCs w:val="22"/>
        </w:rPr>
      </w:pPr>
    </w:p>
    <w:p w14:paraId="0DA286F6" w14:textId="77777777" w:rsidR="002B11D9" w:rsidRPr="005E5FEE" w:rsidRDefault="002B11D9" w:rsidP="005E5FEE">
      <w:pPr>
        <w:rPr>
          <w:szCs w:val="22"/>
        </w:rPr>
      </w:pPr>
    </w:p>
    <w:p w14:paraId="2F204211" w14:textId="3FE87ED5" w:rsidR="002B11D9" w:rsidRPr="005E5FEE" w:rsidRDefault="008755F9" w:rsidP="005E5FEE">
      <w:pPr>
        <w:pStyle w:val="Ttulo3"/>
        <w:rPr>
          <w:szCs w:val="22"/>
        </w:rPr>
      </w:pPr>
      <w:bookmarkStart w:id="34" w:name="_Toc195123434"/>
      <w:r w:rsidRPr="005E5FEE">
        <w:rPr>
          <w:szCs w:val="22"/>
        </w:rPr>
        <w:lastRenderedPageBreak/>
        <w:t>d</w:t>
      </w:r>
      <w:r w:rsidR="00E43858" w:rsidRPr="005E5FEE">
        <w:rPr>
          <w:szCs w:val="22"/>
        </w:rPr>
        <w:t>) Requisitos formales para la interposición del recurso.</w:t>
      </w:r>
      <w:bookmarkEnd w:id="34"/>
    </w:p>
    <w:p w14:paraId="690D1265" w14:textId="77777777" w:rsidR="00400B8C" w:rsidRPr="005E5FEE" w:rsidRDefault="00400B8C" w:rsidP="005E5FEE">
      <w:r w:rsidRPr="005E5FEE">
        <w:rPr>
          <w:b/>
        </w:rPr>
        <w:t xml:space="preserve">LA PARTE RECURRENTE </w:t>
      </w:r>
      <w:r w:rsidRPr="005E5FEE">
        <w:t>acreditó todos y cada uno de los elementos formales exigidos por el artículo 180 de la misma normatividad.</w:t>
      </w:r>
    </w:p>
    <w:p w14:paraId="458725C4" w14:textId="77777777" w:rsidR="002B11D9" w:rsidRPr="005E5FEE" w:rsidRDefault="002B11D9" w:rsidP="005E5FEE">
      <w:pPr>
        <w:rPr>
          <w:szCs w:val="22"/>
        </w:rPr>
      </w:pPr>
    </w:p>
    <w:p w14:paraId="6CC0AE89" w14:textId="142E352E" w:rsidR="002B11D9" w:rsidRPr="005E5FEE" w:rsidRDefault="00E43858" w:rsidP="005E5FEE">
      <w:pPr>
        <w:pStyle w:val="Ttulo2"/>
        <w:rPr>
          <w:szCs w:val="22"/>
        </w:rPr>
      </w:pPr>
      <w:bookmarkStart w:id="35" w:name="_Toc195123435"/>
      <w:r w:rsidRPr="005E5FEE">
        <w:rPr>
          <w:szCs w:val="22"/>
        </w:rPr>
        <w:t xml:space="preserve">SEGUNDO. </w:t>
      </w:r>
      <w:r w:rsidR="005201C8" w:rsidRPr="005E5FEE">
        <w:rPr>
          <w:szCs w:val="22"/>
        </w:rPr>
        <w:t>Estudio de Fondo</w:t>
      </w:r>
      <w:r w:rsidRPr="005E5FEE">
        <w:rPr>
          <w:szCs w:val="22"/>
        </w:rPr>
        <w:t>.</w:t>
      </w:r>
      <w:bookmarkEnd w:id="35"/>
    </w:p>
    <w:p w14:paraId="36F4B1E9" w14:textId="77777777" w:rsidR="002B11D9" w:rsidRPr="005E5FEE" w:rsidRDefault="00E43858" w:rsidP="005E5FEE">
      <w:pPr>
        <w:pStyle w:val="Ttulo3"/>
        <w:rPr>
          <w:szCs w:val="22"/>
        </w:rPr>
      </w:pPr>
      <w:bookmarkStart w:id="36" w:name="_Toc195123436"/>
      <w:r w:rsidRPr="005E5FEE">
        <w:rPr>
          <w:szCs w:val="22"/>
        </w:rPr>
        <w:t>a) Mandato de transparencia y responsabilidad del Sujeto Obligado.</w:t>
      </w:r>
      <w:bookmarkEnd w:id="36"/>
    </w:p>
    <w:p w14:paraId="645A0019" w14:textId="77777777" w:rsidR="002B11D9" w:rsidRPr="005E5FEE" w:rsidRDefault="00E43858" w:rsidP="005E5FEE">
      <w:pPr>
        <w:rPr>
          <w:szCs w:val="22"/>
        </w:rPr>
      </w:pPr>
      <w:r w:rsidRPr="005E5FEE">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5E5FEE" w:rsidRDefault="002B11D9" w:rsidP="005E5FEE">
      <w:pPr>
        <w:rPr>
          <w:szCs w:val="22"/>
        </w:rPr>
      </w:pPr>
    </w:p>
    <w:p w14:paraId="2728DC9A" w14:textId="77777777" w:rsidR="002B11D9" w:rsidRPr="005E5FEE" w:rsidRDefault="00E43858" w:rsidP="005E5FEE">
      <w:pPr>
        <w:spacing w:line="240" w:lineRule="auto"/>
        <w:ind w:left="567" w:right="539"/>
        <w:rPr>
          <w:b/>
          <w:i/>
          <w:szCs w:val="22"/>
        </w:rPr>
      </w:pPr>
      <w:r w:rsidRPr="005E5FEE">
        <w:rPr>
          <w:b/>
          <w:i/>
          <w:szCs w:val="22"/>
        </w:rPr>
        <w:t>Constitución Política de los Estados Unidos Mexicanos</w:t>
      </w:r>
    </w:p>
    <w:p w14:paraId="65A3C40E" w14:textId="77777777" w:rsidR="002B11D9" w:rsidRPr="005E5FEE" w:rsidRDefault="00E43858" w:rsidP="005E5FEE">
      <w:pPr>
        <w:spacing w:line="240" w:lineRule="auto"/>
        <w:ind w:left="567" w:right="539"/>
        <w:rPr>
          <w:b/>
          <w:i/>
          <w:szCs w:val="22"/>
        </w:rPr>
      </w:pPr>
      <w:r w:rsidRPr="005E5FEE">
        <w:rPr>
          <w:b/>
          <w:i/>
          <w:szCs w:val="22"/>
        </w:rPr>
        <w:t>“Artículo 6.</w:t>
      </w:r>
    </w:p>
    <w:p w14:paraId="56A52B32" w14:textId="77777777" w:rsidR="002B11D9" w:rsidRPr="005E5FEE" w:rsidRDefault="00E43858" w:rsidP="005E5FEE">
      <w:pPr>
        <w:spacing w:line="240" w:lineRule="auto"/>
        <w:ind w:left="567" w:right="539"/>
        <w:rPr>
          <w:i/>
          <w:szCs w:val="22"/>
        </w:rPr>
      </w:pPr>
      <w:r w:rsidRPr="005E5FEE">
        <w:rPr>
          <w:i/>
          <w:szCs w:val="22"/>
        </w:rPr>
        <w:t>(…)</w:t>
      </w:r>
    </w:p>
    <w:p w14:paraId="1976FC67" w14:textId="77777777" w:rsidR="002B11D9" w:rsidRPr="005E5FEE" w:rsidRDefault="00E43858" w:rsidP="005E5FEE">
      <w:pPr>
        <w:spacing w:line="240" w:lineRule="auto"/>
        <w:ind w:left="567" w:right="539"/>
        <w:rPr>
          <w:i/>
          <w:szCs w:val="22"/>
        </w:rPr>
      </w:pPr>
      <w:r w:rsidRPr="005E5FEE">
        <w:rPr>
          <w:i/>
          <w:szCs w:val="22"/>
        </w:rPr>
        <w:t>Para efectos de lo dispuesto en el presente artículo se observará lo siguiente:</w:t>
      </w:r>
    </w:p>
    <w:p w14:paraId="04BDA9BA" w14:textId="77777777" w:rsidR="002B11D9" w:rsidRPr="005E5FEE" w:rsidRDefault="00E43858" w:rsidP="005E5FEE">
      <w:pPr>
        <w:spacing w:line="240" w:lineRule="auto"/>
        <w:ind w:left="567" w:right="539"/>
        <w:rPr>
          <w:b/>
          <w:i/>
          <w:szCs w:val="22"/>
        </w:rPr>
      </w:pPr>
      <w:r w:rsidRPr="005E5FEE">
        <w:rPr>
          <w:b/>
          <w:i/>
          <w:szCs w:val="22"/>
        </w:rPr>
        <w:t>A</w:t>
      </w:r>
      <w:r w:rsidRPr="005E5FEE">
        <w:rPr>
          <w:i/>
          <w:szCs w:val="22"/>
        </w:rPr>
        <w:t xml:space="preserve">. </w:t>
      </w:r>
      <w:r w:rsidRPr="005E5FEE">
        <w:rPr>
          <w:b/>
          <w:i/>
          <w:szCs w:val="22"/>
        </w:rPr>
        <w:t>Para el ejercicio del derecho de acceso a la información</w:t>
      </w:r>
      <w:r w:rsidRPr="005E5FEE">
        <w:rPr>
          <w:i/>
          <w:szCs w:val="22"/>
        </w:rPr>
        <w:t xml:space="preserve">, la Federación y </w:t>
      </w:r>
      <w:r w:rsidRPr="005E5FEE">
        <w:rPr>
          <w:b/>
          <w:i/>
          <w:szCs w:val="22"/>
        </w:rPr>
        <w:t>las entidades federativas, en el ámbito de sus respectivas competencias, se regirán por los siguientes principios y bases:</w:t>
      </w:r>
    </w:p>
    <w:p w14:paraId="7B2501C9" w14:textId="77777777" w:rsidR="002B11D9" w:rsidRPr="005E5FEE" w:rsidRDefault="00E43858" w:rsidP="005E5FEE">
      <w:pPr>
        <w:spacing w:line="240" w:lineRule="auto"/>
        <w:ind w:left="567" w:right="539"/>
        <w:rPr>
          <w:i/>
          <w:szCs w:val="22"/>
        </w:rPr>
      </w:pPr>
      <w:r w:rsidRPr="005E5FEE">
        <w:rPr>
          <w:b/>
          <w:i/>
          <w:szCs w:val="22"/>
        </w:rPr>
        <w:t xml:space="preserve">I. </w:t>
      </w:r>
      <w:r w:rsidRPr="005E5FEE">
        <w:rPr>
          <w:b/>
          <w:i/>
          <w:szCs w:val="22"/>
        </w:rPr>
        <w:tab/>
        <w:t>Toda la información en posesión de cualquier</w:t>
      </w:r>
      <w:r w:rsidRPr="005E5FEE">
        <w:rPr>
          <w:i/>
          <w:szCs w:val="22"/>
        </w:rPr>
        <w:t xml:space="preserve"> </w:t>
      </w:r>
      <w:r w:rsidRPr="005E5FEE">
        <w:rPr>
          <w:b/>
          <w:i/>
          <w:szCs w:val="22"/>
        </w:rPr>
        <w:t>autoridad</w:t>
      </w:r>
      <w:r w:rsidRPr="005E5FEE">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E5FEE">
        <w:rPr>
          <w:b/>
          <w:i/>
          <w:szCs w:val="22"/>
        </w:rPr>
        <w:t>municipal</w:t>
      </w:r>
      <w:r w:rsidRPr="005E5FEE">
        <w:rPr>
          <w:i/>
          <w:szCs w:val="22"/>
        </w:rPr>
        <w:t xml:space="preserve">, </w:t>
      </w:r>
      <w:r w:rsidRPr="005E5FEE">
        <w:rPr>
          <w:b/>
          <w:i/>
          <w:szCs w:val="22"/>
        </w:rPr>
        <w:t>es pública</w:t>
      </w:r>
      <w:r w:rsidRPr="005E5FEE">
        <w:rPr>
          <w:i/>
          <w:szCs w:val="22"/>
        </w:rPr>
        <w:t xml:space="preserve"> y sólo podrá ser reservada temporalmente por razones de interés público y seguridad nacional, en los términos que fijen las leyes. </w:t>
      </w:r>
      <w:r w:rsidRPr="005E5FEE">
        <w:rPr>
          <w:b/>
          <w:i/>
          <w:szCs w:val="22"/>
        </w:rPr>
        <w:t>En la interpretación de este derecho deberá prevalecer el principio de máxima publicidad. Los sujetos obligados deberán documentar todo acto que derive del ejercicio de sus facultades, competencias o funciones</w:t>
      </w:r>
      <w:r w:rsidRPr="005E5FEE">
        <w:rPr>
          <w:i/>
          <w:szCs w:val="22"/>
        </w:rPr>
        <w:t>, la ley determinará los supuestos específicos bajo los cuales procederá la declaración de inexistencia de la información.”</w:t>
      </w:r>
    </w:p>
    <w:p w14:paraId="55C26538" w14:textId="77777777" w:rsidR="002B11D9" w:rsidRPr="005E5FEE" w:rsidRDefault="002B11D9" w:rsidP="005E5FEE">
      <w:pPr>
        <w:spacing w:line="240" w:lineRule="auto"/>
        <w:ind w:left="567" w:right="539"/>
        <w:rPr>
          <w:b/>
          <w:i/>
          <w:szCs w:val="22"/>
        </w:rPr>
      </w:pPr>
    </w:p>
    <w:p w14:paraId="1DB1F016" w14:textId="77777777" w:rsidR="002B11D9" w:rsidRPr="005E5FEE" w:rsidRDefault="00E43858" w:rsidP="005E5FEE">
      <w:pPr>
        <w:spacing w:line="240" w:lineRule="auto"/>
        <w:ind w:left="567" w:right="539"/>
        <w:rPr>
          <w:b/>
          <w:i/>
          <w:szCs w:val="22"/>
        </w:rPr>
      </w:pPr>
      <w:r w:rsidRPr="005E5FEE">
        <w:rPr>
          <w:b/>
          <w:i/>
          <w:szCs w:val="22"/>
        </w:rPr>
        <w:t>Constitución Política del Estado Libre y Soberano de México</w:t>
      </w:r>
    </w:p>
    <w:p w14:paraId="4E542E32" w14:textId="77777777" w:rsidR="002B11D9" w:rsidRPr="005E5FEE" w:rsidRDefault="00E43858" w:rsidP="005E5FEE">
      <w:pPr>
        <w:spacing w:line="240" w:lineRule="auto"/>
        <w:ind w:left="567" w:right="539"/>
        <w:rPr>
          <w:i/>
          <w:szCs w:val="22"/>
        </w:rPr>
      </w:pPr>
      <w:r w:rsidRPr="005E5FEE">
        <w:rPr>
          <w:b/>
          <w:i/>
          <w:szCs w:val="22"/>
        </w:rPr>
        <w:t>“Artículo 5</w:t>
      </w:r>
      <w:r w:rsidRPr="005E5FEE">
        <w:rPr>
          <w:i/>
          <w:szCs w:val="22"/>
        </w:rPr>
        <w:t xml:space="preserve">.- </w:t>
      </w:r>
    </w:p>
    <w:p w14:paraId="0E7D0278" w14:textId="77777777" w:rsidR="002B11D9" w:rsidRPr="005E5FEE" w:rsidRDefault="00E43858" w:rsidP="005E5FEE">
      <w:pPr>
        <w:spacing w:line="240" w:lineRule="auto"/>
        <w:ind w:left="567" w:right="539"/>
        <w:rPr>
          <w:i/>
          <w:szCs w:val="22"/>
        </w:rPr>
      </w:pPr>
      <w:r w:rsidRPr="005E5FEE">
        <w:rPr>
          <w:i/>
          <w:szCs w:val="22"/>
        </w:rPr>
        <w:t>(…)</w:t>
      </w:r>
    </w:p>
    <w:p w14:paraId="6CD461F3" w14:textId="77777777" w:rsidR="002B11D9" w:rsidRPr="005E5FEE" w:rsidRDefault="00E43858" w:rsidP="005E5FEE">
      <w:pPr>
        <w:spacing w:line="240" w:lineRule="auto"/>
        <w:ind w:left="567" w:right="539"/>
        <w:rPr>
          <w:i/>
          <w:szCs w:val="22"/>
        </w:rPr>
      </w:pPr>
      <w:r w:rsidRPr="005E5FEE">
        <w:rPr>
          <w:b/>
          <w:i/>
          <w:szCs w:val="22"/>
        </w:rPr>
        <w:lastRenderedPageBreak/>
        <w:t>El derecho a la información será garantizado por el Estado. La ley establecerá las previsiones que permitan asegurar la protección, el respeto y la difusión de este derecho</w:t>
      </w:r>
      <w:r w:rsidRPr="005E5FEE">
        <w:rPr>
          <w:i/>
          <w:szCs w:val="22"/>
        </w:rPr>
        <w:t>.</w:t>
      </w:r>
    </w:p>
    <w:p w14:paraId="2ABE9580" w14:textId="77777777" w:rsidR="002B11D9" w:rsidRPr="005E5FEE" w:rsidRDefault="00E43858" w:rsidP="005E5FEE">
      <w:pPr>
        <w:spacing w:line="240" w:lineRule="auto"/>
        <w:ind w:left="567" w:right="539"/>
        <w:rPr>
          <w:i/>
          <w:szCs w:val="22"/>
        </w:rPr>
      </w:pPr>
      <w:r w:rsidRPr="005E5FEE">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5E5FEE" w:rsidRDefault="00E43858" w:rsidP="005E5FEE">
      <w:pPr>
        <w:spacing w:line="240" w:lineRule="auto"/>
        <w:ind w:left="567" w:right="539"/>
        <w:rPr>
          <w:i/>
          <w:szCs w:val="22"/>
        </w:rPr>
      </w:pPr>
      <w:r w:rsidRPr="005E5FEE">
        <w:rPr>
          <w:b/>
          <w:i/>
          <w:szCs w:val="22"/>
        </w:rPr>
        <w:t>Este derecho se regirá por los principios y bases siguientes</w:t>
      </w:r>
      <w:r w:rsidRPr="005E5FEE">
        <w:rPr>
          <w:i/>
          <w:szCs w:val="22"/>
        </w:rPr>
        <w:t>:</w:t>
      </w:r>
    </w:p>
    <w:p w14:paraId="20F07590" w14:textId="77777777" w:rsidR="002B11D9" w:rsidRPr="005E5FEE" w:rsidRDefault="00E43858" w:rsidP="005E5FEE">
      <w:pPr>
        <w:spacing w:line="240" w:lineRule="auto"/>
        <w:ind w:left="567" w:right="539"/>
        <w:rPr>
          <w:i/>
          <w:szCs w:val="22"/>
        </w:rPr>
      </w:pPr>
      <w:r w:rsidRPr="005E5FEE">
        <w:rPr>
          <w:b/>
          <w:i/>
          <w:szCs w:val="22"/>
        </w:rPr>
        <w:t>I. Toda la información en posesión de cualquier autoridad, entidad, órgano y organismos de los</w:t>
      </w:r>
      <w:r w:rsidRPr="005E5FEE">
        <w:rPr>
          <w:i/>
          <w:szCs w:val="22"/>
        </w:rPr>
        <w:t xml:space="preserve"> Poderes Ejecutivo, Legislativo y Judicial, órganos autónomos, partidos políticos, fideicomisos y fondos públicos estatales y </w:t>
      </w:r>
      <w:r w:rsidRPr="005E5FEE">
        <w:rPr>
          <w:b/>
          <w:i/>
          <w:szCs w:val="22"/>
        </w:rPr>
        <w:t>municipales</w:t>
      </w:r>
      <w:r w:rsidRPr="005E5FEE">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E5FEE">
        <w:rPr>
          <w:b/>
          <w:i/>
          <w:szCs w:val="22"/>
        </w:rPr>
        <w:t>es pública</w:t>
      </w:r>
      <w:r w:rsidRPr="005E5FEE">
        <w:rPr>
          <w:i/>
          <w:szCs w:val="22"/>
        </w:rPr>
        <w:t xml:space="preserve"> y sólo podrá ser reservada temporalmente por razones previstas en la Constitución Política de los Estados Unidos Mexicanos de interés público y seguridad, en los términos que fijen las leyes. </w:t>
      </w:r>
      <w:r w:rsidRPr="005E5FEE">
        <w:rPr>
          <w:b/>
          <w:i/>
          <w:szCs w:val="22"/>
        </w:rPr>
        <w:t>En la interpretación de este derecho deberá prevalecer el principio de máxima publicidad</w:t>
      </w:r>
      <w:r w:rsidRPr="005E5FEE">
        <w:rPr>
          <w:i/>
          <w:szCs w:val="22"/>
        </w:rPr>
        <w:t xml:space="preserve">. </w:t>
      </w:r>
      <w:r w:rsidRPr="005E5FEE">
        <w:rPr>
          <w:b/>
          <w:i/>
          <w:szCs w:val="22"/>
        </w:rPr>
        <w:t>Los sujetos obligados deberán documentar todo acto que derive del ejercicio de sus facultades, competencias o funciones</w:t>
      </w:r>
      <w:r w:rsidRPr="005E5FEE">
        <w:rPr>
          <w:i/>
          <w:szCs w:val="22"/>
        </w:rPr>
        <w:t>, la ley determinará los supuestos específicos bajo los cuales procederá la declaración de inexistencia de la información.”</w:t>
      </w:r>
    </w:p>
    <w:p w14:paraId="43DAD261" w14:textId="77777777" w:rsidR="002B11D9" w:rsidRPr="005E5FEE" w:rsidRDefault="002B11D9" w:rsidP="005E5FEE">
      <w:pPr>
        <w:rPr>
          <w:b/>
          <w:i/>
          <w:szCs w:val="22"/>
        </w:rPr>
      </w:pPr>
    </w:p>
    <w:p w14:paraId="3CC5AE80" w14:textId="77777777" w:rsidR="002B11D9" w:rsidRPr="005E5FEE" w:rsidRDefault="00E43858" w:rsidP="005E5FEE">
      <w:pPr>
        <w:rPr>
          <w:i/>
          <w:szCs w:val="22"/>
        </w:rPr>
      </w:pPr>
      <w:r w:rsidRPr="005E5FEE">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E5FEE">
        <w:rPr>
          <w:i/>
          <w:szCs w:val="22"/>
        </w:rPr>
        <w:t>por los principios de simplicidad, rapidez, gratuidad del procedimiento, auxilio y orientación a los particulares.</w:t>
      </w:r>
    </w:p>
    <w:p w14:paraId="06C4477C" w14:textId="77777777" w:rsidR="002B11D9" w:rsidRPr="005E5FEE" w:rsidRDefault="002B11D9" w:rsidP="005E5FEE">
      <w:pPr>
        <w:rPr>
          <w:i/>
          <w:szCs w:val="22"/>
        </w:rPr>
      </w:pPr>
    </w:p>
    <w:p w14:paraId="32F71180" w14:textId="77777777" w:rsidR="002B11D9" w:rsidRPr="005E5FEE" w:rsidRDefault="00E43858" w:rsidP="005E5FEE">
      <w:pPr>
        <w:rPr>
          <w:i/>
          <w:szCs w:val="22"/>
        </w:rPr>
      </w:pPr>
      <w:r w:rsidRPr="005E5FEE">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5E5FEE" w:rsidRDefault="002B11D9" w:rsidP="005E5FEE">
      <w:pPr>
        <w:rPr>
          <w:szCs w:val="22"/>
        </w:rPr>
      </w:pPr>
    </w:p>
    <w:p w14:paraId="50C9A409" w14:textId="77777777" w:rsidR="002B11D9" w:rsidRPr="005E5FEE" w:rsidRDefault="00E43858" w:rsidP="005E5FEE">
      <w:pPr>
        <w:rPr>
          <w:szCs w:val="22"/>
        </w:rPr>
      </w:pPr>
      <w:r w:rsidRPr="005E5FEE">
        <w:rPr>
          <w:szCs w:val="22"/>
        </w:rPr>
        <w:t xml:space="preserve">Esto es, que los Sujetos Obligados deben atender las solicitudes de acceso a la información pública que se les sean realizadas, y proporcionar la información pública que obre en su poder, </w:t>
      </w:r>
      <w:r w:rsidRPr="005E5FEE">
        <w:rPr>
          <w:szCs w:val="22"/>
        </w:rPr>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5E5FEE" w:rsidRDefault="002B11D9" w:rsidP="005E5FEE">
      <w:pPr>
        <w:rPr>
          <w:szCs w:val="22"/>
        </w:rPr>
      </w:pPr>
    </w:p>
    <w:p w14:paraId="35AF7222" w14:textId="77777777" w:rsidR="002B11D9" w:rsidRPr="005E5FEE" w:rsidRDefault="00E43858" w:rsidP="005E5FEE">
      <w:pPr>
        <w:rPr>
          <w:szCs w:val="22"/>
        </w:rPr>
      </w:pPr>
      <w:r w:rsidRPr="005E5FEE">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5E5FEE" w:rsidRDefault="002B11D9" w:rsidP="005E5FEE">
      <w:pPr>
        <w:rPr>
          <w:szCs w:val="22"/>
        </w:rPr>
      </w:pPr>
    </w:p>
    <w:p w14:paraId="573E8C29" w14:textId="77777777" w:rsidR="002B11D9" w:rsidRPr="005E5FEE" w:rsidRDefault="00E43858" w:rsidP="005E5FEE">
      <w:pPr>
        <w:rPr>
          <w:szCs w:val="22"/>
        </w:rPr>
      </w:pPr>
      <w:r w:rsidRPr="005E5FEE">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5E5FEE" w:rsidRDefault="002B11D9" w:rsidP="005E5FEE">
      <w:pPr>
        <w:rPr>
          <w:szCs w:val="22"/>
        </w:rPr>
      </w:pPr>
    </w:p>
    <w:p w14:paraId="65B0DF28" w14:textId="77777777" w:rsidR="002B11D9" w:rsidRPr="005E5FEE" w:rsidRDefault="00E43858" w:rsidP="005E5FEE">
      <w:pPr>
        <w:rPr>
          <w:szCs w:val="22"/>
        </w:rPr>
      </w:pPr>
      <w:bookmarkStart w:id="37" w:name="_heading=h.2bn6wsx" w:colFirst="0" w:colLast="0"/>
      <w:bookmarkEnd w:id="37"/>
      <w:r w:rsidRPr="005E5FEE">
        <w:rPr>
          <w:szCs w:val="22"/>
        </w:rPr>
        <w:t xml:space="preserve">Con base en lo anterior, se considera que </w:t>
      </w:r>
      <w:r w:rsidRPr="005E5FEE">
        <w:rPr>
          <w:b/>
          <w:szCs w:val="22"/>
        </w:rPr>
        <w:t>EL</w:t>
      </w:r>
      <w:r w:rsidRPr="005E5FEE">
        <w:rPr>
          <w:szCs w:val="22"/>
        </w:rPr>
        <w:t xml:space="preserve"> </w:t>
      </w:r>
      <w:r w:rsidRPr="005E5FEE">
        <w:rPr>
          <w:b/>
          <w:szCs w:val="22"/>
        </w:rPr>
        <w:t>SUJETO OBLIGADO</w:t>
      </w:r>
      <w:r w:rsidRPr="005E5FEE">
        <w:rPr>
          <w:szCs w:val="22"/>
        </w:rPr>
        <w:t xml:space="preserve"> se encontraba compelido a atender la solicitud de acceso a la información realizada por </w:t>
      </w:r>
      <w:r w:rsidRPr="005E5FEE">
        <w:rPr>
          <w:b/>
          <w:szCs w:val="22"/>
        </w:rPr>
        <w:t>LA PARTE RECURRENTE</w:t>
      </w:r>
      <w:r w:rsidRPr="005E5FEE">
        <w:rPr>
          <w:szCs w:val="22"/>
        </w:rPr>
        <w:t>.</w:t>
      </w:r>
    </w:p>
    <w:p w14:paraId="4D6DDC45" w14:textId="77777777" w:rsidR="002B11D9" w:rsidRPr="005E5FEE" w:rsidRDefault="002B11D9" w:rsidP="005E5FEE">
      <w:pPr>
        <w:rPr>
          <w:szCs w:val="22"/>
        </w:rPr>
      </w:pPr>
    </w:p>
    <w:p w14:paraId="0AA81BA3" w14:textId="7A07553B" w:rsidR="002B11D9" w:rsidRPr="005E5FEE" w:rsidRDefault="00E43858" w:rsidP="005E5FEE">
      <w:pPr>
        <w:pStyle w:val="Ttulo3"/>
        <w:rPr>
          <w:szCs w:val="22"/>
        </w:rPr>
      </w:pPr>
      <w:bookmarkStart w:id="38" w:name="_Toc195123437"/>
      <w:r w:rsidRPr="005E5FEE">
        <w:rPr>
          <w:szCs w:val="22"/>
        </w:rPr>
        <w:t>b) Controversia a resolver</w:t>
      </w:r>
      <w:r w:rsidR="0043233B" w:rsidRPr="005E5FEE">
        <w:rPr>
          <w:szCs w:val="22"/>
        </w:rPr>
        <w:t>.</w:t>
      </w:r>
      <w:bookmarkEnd w:id="38"/>
    </w:p>
    <w:p w14:paraId="381B91C9" w14:textId="0ECE9806" w:rsidR="00352A5B" w:rsidRPr="005E5FEE" w:rsidRDefault="00FD79D8" w:rsidP="005E5FEE">
      <w:pPr>
        <w:rPr>
          <w:rFonts w:eastAsia="Calibri"/>
          <w:szCs w:val="22"/>
          <w:lang w:eastAsia="es-ES_tradnl"/>
        </w:rPr>
      </w:pPr>
      <w:r w:rsidRPr="005E5FEE">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5E5FEE">
        <w:rPr>
          <w:rFonts w:eastAsia="Calibri"/>
          <w:b/>
          <w:bCs/>
          <w:szCs w:val="22"/>
          <w:lang w:eastAsia="es-ES_tradnl"/>
        </w:rPr>
        <w:t>LA PARTE RECURRENTE</w:t>
      </w:r>
      <w:r w:rsidRPr="005E5FEE">
        <w:rPr>
          <w:rFonts w:eastAsia="Calibri"/>
          <w:szCs w:val="22"/>
          <w:lang w:eastAsia="es-ES_tradnl"/>
        </w:rPr>
        <w:t xml:space="preserve"> solicitó</w:t>
      </w:r>
      <w:r w:rsidR="006A6B1A" w:rsidRPr="005E5FEE">
        <w:rPr>
          <w:rFonts w:eastAsia="Calibri"/>
          <w:szCs w:val="22"/>
          <w:lang w:eastAsia="es-ES_tradnl"/>
        </w:rPr>
        <w:t xml:space="preserve"> </w:t>
      </w:r>
      <w:r w:rsidR="00352A5B" w:rsidRPr="005E5FEE">
        <w:rPr>
          <w:rFonts w:eastAsia="Calibri"/>
          <w:szCs w:val="22"/>
          <w:lang w:eastAsia="es-ES_tradnl"/>
        </w:rPr>
        <w:t xml:space="preserve">el convenio celebrado por el Gobierno de Naucalpan </w:t>
      </w:r>
      <w:r w:rsidR="00352A5B" w:rsidRPr="005E5FEE">
        <w:rPr>
          <w:rFonts w:eastAsia="Calibri"/>
          <w:szCs w:val="22"/>
          <w:lang w:eastAsia="es-ES_tradnl"/>
        </w:rPr>
        <w:lastRenderedPageBreak/>
        <w:t xml:space="preserve">de Juárez con la Junta de Caminos del Estado de México para atender la problemática de baches en las vialidades del municipio en 2025. </w:t>
      </w:r>
    </w:p>
    <w:p w14:paraId="14B48E8F" w14:textId="77777777" w:rsidR="00352A5B" w:rsidRPr="005E5FEE" w:rsidRDefault="00352A5B" w:rsidP="005E5FEE">
      <w:pPr>
        <w:rPr>
          <w:rFonts w:eastAsia="Calibri"/>
          <w:szCs w:val="22"/>
          <w:lang w:eastAsia="es-ES_tradnl"/>
        </w:rPr>
      </w:pPr>
    </w:p>
    <w:p w14:paraId="4473A7D2" w14:textId="3581B70F" w:rsidR="00352A5B" w:rsidRPr="005E5FEE" w:rsidRDefault="00D96DE4" w:rsidP="005E5FEE">
      <w:pPr>
        <w:pBdr>
          <w:top w:val="nil"/>
          <w:left w:val="nil"/>
          <w:bottom w:val="nil"/>
          <w:right w:val="nil"/>
          <w:between w:val="nil"/>
        </w:pBdr>
        <w:ind w:right="-28"/>
        <w:rPr>
          <w:szCs w:val="22"/>
        </w:rPr>
      </w:pPr>
      <w:r w:rsidRPr="005E5FEE">
        <w:rPr>
          <w:szCs w:val="22"/>
        </w:rPr>
        <w:t xml:space="preserve">En respuesta, </w:t>
      </w:r>
      <w:r w:rsidRPr="005E5FEE">
        <w:rPr>
          <w:b/>
          <w:szCs w:val="22"/>
        </w:rPr>
        <w:t>EL SUJETO OBLIGADO</w:t>
      </w:r>
      <w:r w:rsidR="000B7D6E" w:rsidRPr="005E5FEE">
        <w:rPr>
          <w:b/>
          <w:szCs w:val="22"/>
        </w:rPr>
        <w:t xml:space="preserve"> </w:t>
      </w:r>
      <w:r w:rsidR="00352A5B" w:rsidRPr="005E5FEE">
        <w:rPr>
          <w:rFonts w:eastAsia="Calibri"/>
          <w:szCs w:val="22"/>
          <w:lang w:eastAsia="es-ES_tradnl"/>
        </w:rPr>
        <w:t xml:space="preserve">adjuntó el </w:t>
      </w:r>
      <w:r w:rsidR="00352A5B" w:rsidRPr="005E5FEE">
        <w:rPr>
          <w:szCs w:val="22"/>
        </w:rPr>
        <w:t xml:space="preserve">Convenio de Colaboración, suscrito entre la Junta de Caminos del Estado de México y el Municipio de Naucalpan de Juárez, Estado de México, correspondiente al Programa denominado “BACHETÓN EDOMEX”. </w:t>
      </w:r>
    </w:p>
    <w:p w14:paraId="754A74E7" w14:textId="77777777" w:rsidR="00352A5B" w:rsidRPr="005E5FEE" w:rsidRDefault="00352A5B" w:rsidP="005E5FEE">
      <w:pPr>
        <w:pBdr>
          <w:top w:val="nil"/>
          <w:left w:val="nil"/>
          <w:bottom w:val="nil"/>
          <w:right w:val="nil"/>
          <w:between w:val="nil"/>
        </w:pBdr>
        <w:ind w:right="-28"/>
        <w:rPr>
          <w:b/>
          <w:szCs w:val="22"/>
        </w:rPr>
      </w:pPr>
    </w:p>
    <w:p w14:paraId="3A9BA8BF" w14:textId="11DD2F8D" w:rsidR="002B11D9" w:rsidRPr="005E5FEE" w:rsidRDefault="00E43858" w:rsidP="005E5FEE">
      <w:pPr>
        <w:tabs>
          <w:tab w:val="left" w:pos="4962"/>
        </w:tabs>
        <w:rPr>
          <w:szCs w:val="22"/>
        </w:rPr>
      </w:pPr>
      <w:r w:rsidRPr="005E5FEE">
        <w:rPr>
          <w:szCs w:val="22"/>
        </w:rPr>
        <w:t xml:space="preserve">Ahora bien, en la interposición del presente recurso </w:t>
      </w:r>
      <w:r w:rsidRPr="005E5FEE">
        <w:rPr>
          <w:b/>
          <w:szCs w:val="22"/>
        </w:rPr>
        <w:t>LA PARTE RECURRENTE</w:t>
      </w:r>
      <w:r w:rsidRPr="005E5FEE">
        <w:rPr>
          <w:szCs w:val="22"/>
        </w:rPr>
        <w:t xml:space="preserve"> se inconformó </w:t>
      </w:r>
      <w:r w:rsidR="00036E41" w:rsidRPr="005E5FEE">
        <w:rPr>
          <w:szCs w:val="22"/>
        </w:rPr>
        <w:t xml:space="preserve">sobre </w:t>
      </w:r>
      <w:r w:rsidR="000521AB" w:rsidRPr="005E5FEE">
        <w:rPr>
          <w:szCs w:val="22"/>
        </w:rPr>
        <w:t>la entrega o puesta a disposición de la información en un formato no accesible.</w:t>
      </w:r>
    </w:p>
    <w:p w14:paraId="3213D847" w14:textId="77777777" w:rsidR="00F10C1B" w:rsidRPr="005E5FEE" w:rsidRDefault="00F10C1B" w:rsidP="005E5FEE">
      <w:pPr>
        <w:rPr>
          <w:szCs w:val="22"/>
        </w:rPr>
      </w:pPr>
    </w:p>
    <w:p w14:paraId="7E535975" w14:textId="3965D789" w:rsidR="000B4924" w:rsidRPr="005E5FEE" w:rsidRDefault="00D707EC" w:rsidP="005E5FEE">
      <w:pPr>
        <w:rPr>
          <w:szCs w:val="22"/>
        </w:rPr>
      </w:pPr>
      <w:r w:rsidRPr="005E5FEE">
        <w:rPr>
          <w:szCs w:val="22"/>
        </w:rPr>
        <w:t>Por otra parte, en el apartado de manifestaciones</w:t>
      </w:r>
      <w:r w:rsidR="005F7177" w:rsidRPr="005E5FEE">
        <w:rPr>
          <w:szCs w:val="22"/>
        </w:rPr>
        <w:t xml:space="preserve"> </w:t>
      </w:r>
      <w:r w:rsidRPr="005E5FEE">
        <w:rPr>
          <w:b/>
          <w:szCs w:val="22"/>
        </w:rPr>
        <w:t xml:space="preserve">EL SUJETO OBLIGADO </w:t>
      </w:r>
      <w:r w:rsidR="00F465D2" w:rsidRPr="005E5FEE">
        <w:rPr>
          <w:szCs w:val="22"/>
        </w:rPr>
        <w:t xml:space="preserve">mediante su </w:t>
      </w:r>
      <w:r w:rsidR="00DC66A5" w:rsidRPr="005E5FEE">
        <w:rPr>
          <w:szCs w:val="22"/>
        </w:rPr>
        <w:t xml:space="preserve">informe justificado </w:t>
      </w:r>
      <w:r w:rsidR="00F465D2" w:rsidRPr="005E5FEE">
        <w:rPr>
          <w:szCs w:val="22"/>
        </w:rPr>
        <w:t>ratificó la respuesta primigenia</w:t>
      </w:r>
      <w:r w:rsidR="00DC66A5" w:rsidRPr="005E5FEE">
        <w:rPr>
          <w:szCs w:val="22"/>
        </w:rPr>
        <w:t>; y por su parte, el solicitante no proporcionó pruebas o alegatos.</w:t>
      </w:r>
    </w:p>
    <w:p w14:paraId="348631A2" w14:textId="77777777" w:rsidR="004A4AA5" w:rsidRPr="005E5FEE" w:rsidRDefault="004A4AA5" w:rsidP="005E5FEE">
      <w:pPr>
        <w:rPr>
          <w:b/>
          <w:szCs w:val="22"/>
        </w:rPr>
      </w:pPr>
    </w:p>
    <w:p w14:paraId="7D151D0D" w14:textId="3A7A0FB8" w:rsidR="005F7177" w:rsidRPr="005E5FEE" w:rsidRDefault="00D707EC" w:rsidP="005E5FEE">
      <w:pPr>
        <w:tabs>
          <w:tab w:val="left" w:pos="4962"/>
        </w:tabs>
        <w:rPr>
          <w:bCs/>
          <w:szCs w:val="22"/>
        </w:rPr>
      </w:pPr>
      <w:r w:rsidRPr="005E5FEE">
        <w:rPr>
          <w:szCs w:val="22"/>
        </w:rPr>
        <w:t xml:space="preserve">En razón de lo anterior, el estudio se centrará en determinar </w:t>
      </w:r>
      <w:r w:rsidR="00E54A54" w:rsidRPr="005E5FEE">
        <w:rPr>
          <w:szCs w:val="22"/>
        </w:rPr>
        <w:t xml:space="preserve">si </w:t>
      </w:r>
      <w:r w:rsidR="00ED16CA" w:rsidRPr="005E5FEE">
        <w:rPr>
          <w:szCs w:val="22"/>
        </w:rPr>
        <w:t xml:space="preserve">la información remitida por </w:t>
      </w:r>
      <w:r w:rsidR="005F7177" w:rsidRPr="005E5FEE">
        <w:rPr>
          <w:b/>
          <w:szCs w:val="22"/>
        </w:rPr>
        <w:t xml:space="preserve">EL SUJETO OBLIGADO </w:t>
      </w:r>
      <w:r w:rsidR="00ED16CA" w:rsidRPr="005E5FEE">
        <w:rPr>
          <w:bCs/>
          <w:szCs w:val="22"/>
        </w:rPr>
        <w:t xml:space="preserve">resulta accesible para </w:t>
      </w:r>
      <w:r w:rsidR="00ED16CA" w:rsidRPr="005E5FEE">
        <w:rPr>
          <w:b/>
          <w:bCs/>
          <w:szCs w:val="22"/>
        </w:rPr>
        <w:t>LA PARTE RECURRENTE</w:t>
      </w:r>
      <w:r w:rsidR="005F7177" w:rsidRPr="005E5FEE">
        <w:rPr>
          <w:bCs/>
          <w:szCs w:val="22"/>
        </w:rPr>
        <w:t>.</w:t>
      </w:r>
    </w:p>
    <w:p w14:paraId="6371A379" w14:textId="77777777" w:rsidR="00193492" w:rsidRPr="005E5FEE" w:rsidRDefault="00193492" w:rsidP="005E5FEE">
      <w:pPr>
        <w:rPr>
          <w:szCs w:val="22"/>
        </w:rPr>
      </w:pPr>
    </w:p>
    <w:p w14:paraId="19995242" w14:textId="77777777" w:rsidR="002B11D9" w:rsidRPr="005E5FEE" w:rsidRDefault="00E43858" w:rsidP="005E5FEE">
      <w:pPr>
        <w:pStyle w:val="Ttulo3"/>
        <w:tabs>
          <w:tab w:val="left" w:pos="6015"/>
        </w:tabs>
        <w:rPr>
          <w:szCs w:val="22"/>
        </w:rPr>
      </w:pPr>
      <w:bookmarkStart w:id="39" w:name="_Toc195123438"/>
      <w:r w:rsidRPr="005E5FEE">
        <w:rPr>
          <w:szCs w:val="22"/>
        </w:rPr>
        <w:t>c) Estudio de la controversia.</w:t>
      </w:r>
      <w:bookmarkEnd w:id="39"/>
    </w:p>
    <w:p w14:paraId="6ECFE4F0" w14:textId="77777777" w:rsidR="008755F9" w:rsidRPr="005E5FEE" w:rsidRDefault="008755F9" w:rsidP="005E5FEE">
      <w:pPr>
        <w:rPr>
          <w:rFonts w:eastAsia="Arial Unicode MS" w:cs="Arial"/>
        </w:rPr>
      </w:pPr>
      <w:r w:rsidRPr="005E5FEE">
        <w:rPr>
          <w:rFonts w:eastAsia="Arial Unicode MS" w:cs="Arial"/>
        </w:rPr>
        <w:t xml:space="preserve">Es así que, del análisis realizado a las razones o motivos de inconformidad planteadas por </w:t>
      </w:r>
      <w:r w:rsidRPr="005E5FEE">
        <w:rPr>
          <w:rFonts w:eastAsia="Arial Unicode MS" w:cs="Arial"/>
          <w:b/>
        </w:rPr>
        <w:t xml:space="preserve">LA PARTE RECURRENTE </w:t>
      </w:r>
      <w:r w:rsidRPr="005E5FEE">
        <w:rPr>
          <w:rFonts w:eastAsia="Arial Unicode MS" w:cs="Arial"/>
        </w:rPr>
        <w:t>se determina que son improcedentes en atención a los siguientes argumentos:</w:t>
      </w:r>
    </w:p>
    <w:p w14:paraId="388EC59F" w14:textId="77777777" w:rsidR="008755F9" w:rsidRPr="005E5FEE" w:rsidRDefault="008755F9" w:rsidP="005E5FEE">
      <w:pPr>
        <w:rPr>
          <w:rFonts w:eastAsia="Arial Unicode MS" w:cs="Arial"/>
        </w:rPr>
      </w:pPr>
    </w:p>
    <w:p w14:paraId="5840371B" w14:textId="77777777" w:rsidR="008755F9" w:rsidRPr="005E5FEE" w:rsidRDefault="008755F9" w:rsidP="005E5FEE">
      <w:pPr>
        <w:rPr>
          <w:rFonts w:eastAsia="Arial Unicode MS" w:cs="Arial"/>
        </w:rPr>
      </w:pPr>
      <w:r w:rsidRPr="005E5FEE">
        <w:rPr>
          <w:rFonts w:eastAsia="Arial Unicode MS" w:cs="Arial"/>
        </w:rPr>
        <w:t>En nuestra materia, los motivos de la inconformidad deben versar sobre la respuesta de información proporcionada por los Sujetos Obligados o la negativa de entrega de la misma, derivada de la solicitud de información pública. De este modo, en los motivos de inconformidad los recurrentes deben manifestar en forma general y llana la causa de pedir.</w:t>
      </w:r>
    </w:p>
    <w:p w14:paraId="328EF88D" w14:textId="77777777" w:rsidR="008755F9" w:rsidRPr="005E5FEE" w:rsidRDefault="008755F9" w:rsidP="005E5FEE">
      <w:pPr>
        <w:rPr>
          <w:rFonts w:eastAsia="Arial Unicode MS" w:cs="Arial"/>
        </w:rPr>
      </w:pPr>
    </w:p>
    <w:p w14:paraId="31E208B9" w14:textId="77777777" w:rsidR="008755F9" w:rsidRPr="005E5FEE" w:rsidRDefault="008755F9" w:rsidP="005E5FEE">
      <w:pPr>
        <w:rPr>
          <w:rFonts w:eastAsia="Arial Unicode MS" w:cs="Arial"/>
        </w:rPr>
      </w:pPr>
      <w:r w:rsidRPr="005E5FEE">
        <w:rPr>
          <w:rFonts w:eastAsia="Arial Unicode MS" w:cs="Arial"/>
        </w:rPr>
        <w:t xml:space="preserve">Es decir, para que este Órgano </w:t>
      </w:r>
      <w:proofErr w:type="spellStart"/>
      <w:r w:rsidRPr="005E5FEE">
        <w:rPr>
          <w:rFonts w:eastAsia="Arial Unicode MS" w:cs="Arial"/>
        </w:rPr>
        <w:t>Resolutor</w:t>
      </w:r>
      <w:proofErr w:type="spellEnd"/>
      <w:r w:rsidRPr="005E5FEE">
        <w:rPr>
          <w:rFonts w:eastAsia="Arial Unicode MS" w:cs="Arial"/>
        </w:rPr>
        <w:t xml:space="preserve"> se avoque al análisis del fondo del asunto planteado, no se requiere que se empleen tecnicismos o que se sustenten en la ley sino que basta con que se expresen en términos comprensibles y en lenguaje común la inconformidad para que este Pleno extraiga la causa de pedir propuesta, incluso las manifestaciones del recurrente pueden constar en cualquier parte del formato diseñado para tal fin o en cualquier parte del escrito libre que se presente y no necesariamente en el apartado de “RAZONES O MOTIVOS DE LA INCONFORMIDAD”, con las únicas condiciones de que lo manifestado tengan relación con el acto de autoridad y que no se introduzcan planteamientos que rebasen lo solicitado.</w:t>
      </w:r>
    </w:p>
    <w:p w14:paraId="47757055" w14:textId="77777777" w:rsidR="008755F9" w:rsidRPr="005E5FEE" w:rsidRDefault="008755F9" w:rsidP="005E5FEE">
      <w:pPr>
        <w:rPr>
          <w:rFonts w:cs="Arial"/>
          <w:lang w:val="es-CO"/>
        </w:rPr>
      </w:pPr>
    </w:p>
    <w:p w14:paraId="7F633F85" w14:textId="77777777" w:rsidR="008755F9" w:rsidRPr="005E5FEE" w:rsidRDefault="008755F9" w:rsidP="005E5FEE">
      <w:pPr>
        <w:rPr>
          <w:rFonts w:cs="Arial"/>
        </w:rPr>
      </w:pPr>
      <w:r w:rsidRPr="005E5FEE">
        <w:rPr>
          <w:rFonts w:cs="Arial"/>
        </w:rPr>
        <w:t>Luego entonces, para que este Pleno pueda válidamente resolver sobre la modificación o revocación del acto impugnado se requiere que en el Recurso de Revisión el particular manifieste, así sea en forma mínima, general o sencilla, los argumentos de oposición a la respuesta otorgada por el Sujeto Obligado.</w:t>
      </w:r>
    </w:p>
    <w:p w14:paraId="1D88DEEF" w14:textId="77777777" w:rsidR="008755F9" w:rsidRPr="005E5FEE" w:rsidRDefault="008755F9" w:rsidP="005E5FEE">
      <w:pPr>
        <w:rPr>
          <w:rFonts w:cs="Arial"/>
        </w:rPr>
      </w:pPr>
    </w:p>
    <w:p w14:paraId="26DD35FE" w14:textId="77777777" w:rsidR="008755F9" w:rsidRPr="005E5FEE" w:rsidRDefault="008755F9" w:rsidP="005E5FEE">
      <w:pPr>
        <w:rPr>
          <w:rFonts w:cs="Arial"/>
        </w:rPr>
      </w:pPr>
      <w:r w:rsidRPr="005E5FEE">
        <w:rPr>
          <w:rFonts w:cs="Arial"/>
        </w:rPr>
        <w:t>Por todo lo anterior, la manifestación por parte de los particulares en los recursos de revisión interpuestos ante este Instituto del acto impugnado y los motivos de inconformidad son requisitos esenciales como presupuestos procesales para la procedencia del citado recurso; sin la existencia de estos presupuestos el recurso que al respecto se presentare deberá declararse improcedente y desecharse en consecuencia.</w:t>
      </w:r>
    </w:p>
    <w:p w14:paraId="0F6D0979" w14:textId="77777777" w:rsidR="008755F9" w:rsidRPr="005E5FEE" w:rsidRDefault="008755F9" w:rsidP="005E5FEE">
      <w:pPr>
        <w:rPr>
          <w:rFonts w:eastAsia="Arial Unicode MS" w:cs="Arial"/>
        </w:rPr>
      </w:pPr>
    </w:p>
    <w:p w14:paraId="65112346" w14:textId="77777777" w:rsidR="008755F9" w:rsidRPr="005E5FEE" w:rsidRDefault="008755F9" w:rsidP="005E5FEE">
      <w:pPr>
        <w:rPr>
          <w:rFonts w:eastAsia="Arial Unicode MS" w:cs="Arial"/>
        </w:rPr>
      </w:pPr>
      <w:r w:rsidRPr="005E5FEE">
        <w:rPr>
          <w:rFonts w:eastAsia="Arial Unicode MS" w:cs="Arial"/>
        </w:rPr>
        <w:t>Así pues, es conveniente destacar que la legislación adjetiva establece medios de impugnación o recurso a través de los cuales los particulares o las personas que se consideran afectados en la emisión de un acto de autoridad, tiene la posibilidad de impugnar aquél, con el objeto de que la misma autoridad que emitió el acto, o bien, un órgano superior, realice un nuevo análisis del caso a efecto de determinar la legalidad o ilegalidad del acto que se combate.</w:t>
      </w:r>
    </w:p>
    <w:p w14:paraId="5D8316BC" w14:textId="77777777" w:rsidR="008755F9" w:rsidRPr="005E5FEE" w:rsidRDefault="008755F9" w:rsidP="005E5FEE">
      <w:pPr>
        <w:rPr>
          <w:rFonts w:eastAsia="Arial Unicode MS" w:cs="Arial"/>
        </w:rPr>
      </w:pPr>
    </w:p>
    <w:p w14:paraId="090C1021" w14:textId="77777777" w:rsidR="008755F9" w:rsidRPr="005E5FEE" w:rsidRDefault="008755F9" w:rsidP="005E5FEE">
      <w:pPr>
        <w:autoSpaceDE w:val="0"/>
        <w:autoSpaceDN w:val="0"/>
        <w:adjustRightInd w:val="0"/>
        <w:ind w:right="49"/>
        <w:rPr>
          <w:rFonts w:eastAsia="Arial Unicode MS" w:cs="Arial"/>
        </w:rPr>
      </w:pPr>
      <w:r w:rsidRPr="005E5FEE">
        <w:rPr>
          <w:rFonts w:eastAsia="Arial Unicode MS" w:cs="Arial"/>
        </w:rPr>
        <w:t>También es necesario precisar que los medios de impugnación constituyen recursos legales a través de los cuales se corrigen los errores cometidos tanto en el curso del procedimiento, como en el dictado de la resolución.</w:t>
      </w:r>
    </w:p>
    <w:p w14:paraId="2ED36FB2" w14:textId="77777777" w:rsidR="008755F9" w:rsidRPr="005E5FEE" w:rsidRDefault="008755F9" w:rsidP="005E5FEE">
      <w:pPr>
        <w:autoSpaceDE w:val="0"/>
        <w:autoSpaceDN w:val="0"/>
        <w:adjustRightInd w:val="0"/>
        <w:ind w:right="49" w:firstLine="567"/>
        <w:rPr>
          <w:rFonts w:eastAsia="Arial Unicode MS" w:cs="Arial"/>
        </w:rPr>
      </w:pPr>
    </w:p>
    <w:p w14:paraId="0070D1DD" w14:textId="77777777" w:rsidR="008755F9" w:rsidRPr="005E5FEE" w:rsidRDefault="008755F9" w:rsidP="005E5FEE">
      <w:pPr>
        <w:autoSpaceDE w:val="0"/>
        <w:autoSpaceDN w:val="0"/>
        <w:adjustRightInd w:val="0"/>
        <w:ind w:right="49"/>
        <w:rPr>
          <w:rFonts w:eastAsia="Arial Unicode MS" w:cs="Arial"/>
        </w:rPr>
      </w:pPr>
      <w:r w:rsidRPr="005E5FEE">
        <w:rPr>
          <w:rFonts w:eastAsia="Arial Unicode MS" w:cs="Arial"/>
        </w:rPr>
        <w:t xml:space="preserve">Conforme a los argumentos expuestos, se afirma que la finalidad de un recurso o medio de impugnación consiste en que ya sea la misma autoridad que emite el acto, un superior o distinta autoridad, estudie la legalidad de la resolución que se impugna con el objeto confirmar, revocar o modificar éste; por ende, para lograr este objetivo es indispensable que </w:t>
      </w:r>
      <w:r w:rsidRPr="005E5FEE">
        <w:rPr>
          <w:rFonts w:eastAsia="Arial Unicode MS" w:cs="Arial"/>
          <w:b/>
        </w:rPr>
        <w:t>LA PARTE RECURRENTE</w:t>
      </w:r>
      <w:r w:rsidRPr="005E5FEE">
        <w:rPr>
          <w:rFonts w:eastAsia="Arial Unicode MS" w:cs="Arial"/>
        </w:rPr>
        <w:t>, señale la causa, motivo o circunstancia por la que considera que el acto que impugna le causa perjuicio o lesión a sus intereses.</w:t>
      </w:r>
    </w:p>
    <w:p w14:paraId="032FC8BB" w14:textId="77777777" w:rsidR="008755F9" w:rsidRPr="005E5FEE" w:rsidRDefault="008755F9" w:rsidP="005E5FEE">
      <w:pPr>
        <w:autoSpaceDE w:val="0"/>
        <w:autoSpaceDN w:val="0"/>
        <w:adjustRightInd w:val="0"/>
        <w:ind w:right="49" w:firstLine="567"/>
        <w:rPr>
          <w:rFonts w:eastAsia="Arial Unicode MS" w:cs="Arial"/>
        </w:rPr>
      </w:pPr>
      <w:r w:rsidRPr="005E5FEE">
        <w:rPr>
          <w:rFonts w:eastAsia="Arial Unicode MS" w:cs="Arial"/>
        </w:rPr>
        <w:t xml:space="preserve">  </w:t>
      </w:r>
    </w:p>
    <w:p w14:paraId="5B345F50" w14:textId="77777777" w:rsidR="008755F9" w:rsidRPr="005E5FEE" w:rsidRDefault="008755F9" w:rsidP="005E5FEE">
      <w:pPr>
        <w:autoSpaceDE w:val="0"/>
        <w:autoSpaceDN w:val="0"/>
        <w:adjustRightInd w:val="0"/>
        <w:ind w:right="49"/>
        <w:rPr>
          <w:rFonts w:eastAsia="Arial Unicode MS" w:cs="Arial"/>
        </w:rPr>
      </w:pPr>
      <w:r w:rsidRPr="005E5FEE">
        <w:rPr>
          <w:rFonts w:eastAsia="Arial Unicode MS" w:cs="Arial"/>
        </w:rPr>
        <w:t xml:space="preserve">En este contexto, se concluye que la materia de los conceptos de inconformidad de un recurso, es precisamente la lesión o afectación que afirma </w:t>
      </w:r>
      <w:r w:rsidRPr="005E5FEE">
        <w:rPr>
          <w:rFonts w:eastAsia="Arial Unicode MS" w:cs="Arial"/>
          <w:b/>
        </w:rPr>
        <w:t>LA PARTE RECURRENTE</w:t>
      </w:r>
      <w:r w:rsidRPr="005E5FEE">
        <w:rPr>
          <w:rFonts w:eastAsia="Arial Unicode MS" w:cs="Arial"/>
        </w:rPr>
        <w:t xml:space="preserve"> le causa el acto que impugna; pero, esa lesión o perjuicio se ha de relacionar y derivar necesariamente del acto de donde deriva la resolución combatida.</w:t>
      </w:r>
    </w:p>
    <w:p w14:paraId="033959F1" w14:textId="77777777" w:rsidR="008755F9" w:rsidRPr="005E5FEE" w:rsidRDefault="008755F9" w:rsidP="005E5FEE">
      <w:pPr>
        <w:autoSpaceDE w:val="0"/>
        <w:autoSpaceDN w:val="0"/>
        <w:adjustRightInd w:val="0"/>
        <w:ind w:right="49" w:firstLine="567"/>
        <w:rPr>
          <w:rFonts w:eastAsia="Arial Unicode MS" w:cs="Arial"/>
        </w:rPr>
      </w:pPr>
    </w:p>
    <w:p w14:paraId="4A3C1D8F" w14:textId="77777777" w:rsidR="008755F9" w:rsidRPr="005E5FEE" w:rsidRDefault="008755F9" w:rsidP="005E5FEE">
      <w:pPr>
        <w:autoSpaceDE w:val="0"/>
        <w:autoSpaceDN w:val="0"/>
        <w:adjustRightInd w:val="0"/>
        <w:ind w:right="49"/>
        <w:rPr>
          <w:rFonts w:eastAsia="Arial Unicode MS" w:cs="Arial"/>
        </w:rPr>
      </w:pPr>
      <w:r w:rsidRPr="005E5FEE">
        <w:rPr>
          <w:rFonts w:eastAsia="Arial Unicode MS" w:cs="Arial"/>
        </w:rPr>
        <w:t xml:space="preserve">En otras palabras, al presentar un Recurso de Revisión </w:t>
      </w:r>
      <w:r w:rsidRPr="005E5FEE">
        <w:rPr>
          <w:rFonts w:eastAsia="Arial Unicode MS" w:cs="Arial"/>
          <w:b/>
        </w:rPr>
        <w:t>LA PARTE RECURRENTE</w:t>
      </w:r>
      <w:r w:rsidRPr="005E5FEE">
        <w:rPr>
          <w:rFonts w:eastAsia="Arial Unicode MS" w:cs="Arial"/>
        </w:rPr>
        <w:t xml:space="preserve"> tiene la obligación de señalar además del acto impugnado, el concepto de inconformidad; sin embargo, se insiste, éste tiene que estar relacionado o bien derivar de manera directa y mediata de la solicitud de información; por lo tanto, el motivo de inconformidad sólo se debe ceñir a la solicitud inicial y a la respuesta entregada. </w:t>
      </w:r>
    </w:p>
    <w:p w14:paraId="7F46DAD4" w14:textId="77777777" w:rsidR="008755F9" w:rsidRPr="005E5FEE" w:rsidRDefault="008755F9" w:rsidP="005E5FEE">
      <w:pPr>
        <w:autoSpaceDE w:val="0"/>
        <w:autoSpaceDN w:val="0"/>
        <w:adjustRightInd w:val="0"/>
        <w:ind w:right="49" w:firstLine="567"/>
        <w:rPr>
          <w:rFonts w:eastAsia="Arial Unicode MS" w:cs="Arial"/>
        </w:rPr>
      </w:pPr>
    </w:p>
    <w:p w14:paraId="5C45ECBA" w14:textId="77777777" w:rsidR="008755F9" w:rsidRPr="005E5FEE" w:rsidRDefault="008755F9" w:rsidP="005E5FEE">
      <w:pPr>
        <w:autoSpaceDE w:val="0"/>
        <w:autoSpaceDN w:val="0"/>
        <w:adjustRightInd w:val="0"/>
        <w:ind w:right="49"/>
        <w:rPr>
          <w:rFonts w:eastAsia="Arial Unicode MS" w:cs="Arial"/>
        </w:rPr>
      </w:pPr>
      <w:r w:rsidRPr="005E5FEE">
        <w:rPr>
          <w:rFonts w:eastAsia="Arial Unicode MS" w:cs="Arial"/>
        </w:rPr>
        <w:t xml:space="preserve">También es conveniente destacar que los motivos de inconformidad o agravios expresados en un Recurso de Revisión deben tener por objeto combatir los argumentos sustentados en el acto impugnado, lo que implica que el límite de un recurso es el estudio efectuado, los </w:t>
      </w:r>
      <w:r w:rsidRPr="005E5FEE">
        <w:rPr>
          <w:rFonts w:eastAsia="Arial Unicode MS" w:cs="Arial"/>
        </w:rPr>
        <w:lastRenderedPageBreak/>
        <w:t>motivos de inconformidad que deben necesariamente tener relación directa y mediante con la materia del acto combatido.</w:t>
      </w:r>
    </w:p>
    <w:p w14:paraId="01978333" w14:textId="77777777" w:rsidR="008755F9" w:rsidRPr="005E5FEE" w:rsidRDefault="008755F9" w:rsidP="005E5FEE">
      <w:pPr>
        <w:autoSpaceDE w:val="0"/>
        <w:autoSpaceDN w:val="0"/>
        <w:adjustRightInd w:val="0"/>
        <w:ind w:right="49" w:firstLine="567"/>
        <w:rPr>
          <w:rFonts w:eastAsia="Arial Unicode MS" w:cs="Arial"/>
        </w:rPr>
      </w:pPr>
    </w:p>
    <w:p w14:paraId="2C90F706" w14:textId="77777777" w:rsidR="008755F9" w:rsidRPr="005E5FEE" w:rsidRDefault="008755F9" w:rsidP="005E5FEE">
      <w:pPr>
        <w:autoSpaceDE w:val="0"/>
        <w:autoSpaceDN w:val="0"/>
        <w:adjustRightInd w:val="0"/>
        <w:ind w:right="49"/>
        <w:rPr>
          <w:rFonts w:eastAsia="Arial Unicode MS" w:cs="Arial"/>
        </w:rPr>
      </w:pPr>
      <w:r w:rsidRPr="005E5FEE">
        <w:rPr>
          <w:rFonts w:eastAsia="Arial Unicode MS" w:cs="Arial"/>
        </w:rPr>
        <w:t xml:space="preserve">Lo anterior es así, en atención a que como se ha expuesto un perjuicio o motivo de inconformidad constituye la lesión, menoscabo o afectación que una persona sufre en sus derechos en virtud de la emisión de un acto de autoridad. </w:t>
      </w:r>
    </w:p>
    <w:p w14:paraId="50615D33" w14:textId="77777777" w:rsidR="008755F9" w:rsidRPr="005E5FEE" w:rsidRDefault="008755F9" w:rsidP="005E5FEE">
      <w:pPr>
        <w:autoSpaceDE w:val="0"/>
        <w:autoSpaceDN w:val="0"/>
        <w:adjustRightInd w:val="0"/>
        <w:ind w:right="49" w:firstLine="567"/>
        <w:rPr>
          <w:rFonts w:eastAsia="Arial Unicode MS" w:cs="Arial"/>
        </w:rPr>
      </w:pPr>
    </w:p>
    <w:p w14:paraId="42413F76" w14:textId="77777777" w:rsidR="008755F9" w:rsidRPr="005E5FEE" w:rsidRDefault="008755F9" w:rsidP="005E5FEE">
      <w:pPr>
        <w:autoSpaceDE w:val="0"/>
        <w:autoSpaceDN w:val="0"/>
        <w:adjustRightInd w:val="0"/>
        <w:ind w:right="49"/>
        <w:rPr>
          <w:rFonts w:eastAsia="Arial Unicode MS" w:cs="Arial"/>
        </w:rPr>
      </w:pPr>
      <w:r w:rsidRPr="005E5FEE">
        <w:rPr>
          <w:rFonts w:eastAsia="Arial Unicode MS" w:cs="Arial"/>
        </w:rPr>
        <w:t xml:space="preserve">En consecuencia, en el caso se concluye que los motivos de inconformidad o lesión que considera </w:t>
      </w:r>
      <w:r w:rsidRPr="005E5FEE">
        <w:rPr>
          <w:rFonts w:eastAsia="Arial Unicode MS" w:cs="Arial"/>
          <w:b/>
        </w:rPr>
        <w:t>LA PARTE RECURRENTE</w:t>
      </w:r>
      <w:r w:rsidRPr="005E5FEE">
        <w:rPr>
          <w:rFonts w:eastAsia="Arial Unicode MS" w:cs="Arial"/>
        </w:rPr>
        <w:t xml:space="preserve"> le causa el acto que se impugna obligatoriamente deben derivar de la solicitud de información pública, en relación con la respuesta entregada por </w:t>
      </w:r>
      <w:r w:rsidRPr="005E5FEE">
        <w:rPr>
          <w:rFonts w:eastAsia="Arial Unicode MS" w:cs="Arial"/>
          <w:b/>
        </w:rPr>
        <w:t>EL SUJETO OBLIGADO</w:t>
      </w:r>
      <w:r w:rsidRPr="005E5FEE">
        <w:rPr>
          <w:rFonts w:eastAsia="Arial Unicode MS" w:cs="Arial"/>
        </w:rPr>
        <w:t>, toda vez que el Órgano Revisor carece de facultades para analizar de oficio el acto impugnado, sino que se insiste necesariamente el estudio se limita a los motivos de inconformidad.</w:t>
      </w:r>
    </w:p>
    <w:p w14:paraId="5C2C706D" w14:textId="77777777" w:rsidR="008755F9" w:rsidRPr="005E5FEE" w:rsidRDefault="008755F9" w:rsidP="005E5FEE">
      <w:pPr>
        <w:autoSpaceDE w:val="0"/>
        <w:autoSpaceDN w:val="0"/>
        <w:adjustRightInd w:val="0"/>
        <w:ind w:right="49" w:firstLine="567"/>
        <w:rPr>
          <w:rFonts w:eastAsia="Arial Unicode MS" w:cs="Arial"/>
        </w:rPr>
      </w:pPr>
    </w:p>
    <w:p w14:paraId="2FE1E848" w14:textId="79ED951F" w:rsidR="008755F9" w:rsidRPr="005E5FEE" w:rsidRDefault="008755F9" w:rsidP="005E5FEE">
      <w:pPr>
        <w:rPr>
          <w:rFonts w:eastAsia="Arial Unicode MS" w:cs="Arial"/>
        </w:rPr>
      </w:pPr>
      <w:r w:rsidRPr="005E5FEE">
        <w:rPr>
          <w:rFonts w:eastAsia="Arial Unicode MS" w:cs="Arial"/>
        </w:rPr>
        <w:t xml:space="preserve">Ahora bien, en el caso concreto y como se ha expresado el motivo de inconformidad vertido por </w:t>
      </w:r>
      <w:r w:rsidRPr="005E5FEE">
        <w:rPr>
          <w:rFonts w:eastAsia="Arial Unicode MS" w:cs="Arial"/>
          <w:b/>
        </w:rPr>
        <w:t>LA PARTE RECURRENTE</w:t>
      </w:r>
      <w:r w:rsidRPr="005E5FEE">
        <w:rPr>
          <w:rFonts w:eastAsia="Arial Unicode MS" w:cs="Arial"/>
        </w:rPr>
        <w:t xml:space="preserve"> es improcedente, en atención a que lo manifestado en el Recurso de Revisión que nos ocupa, las razones o motivos de inconformidad, no se encuentran relacionados con la solicitud realizada por </w:t>
      </w:r>
      <w:r w:rsidRPr="005E5FEE">
        <w:rPr>
          <w:rFonts w:eastAsia="Arial Unicode MS" w:cs="Arial"/>
          <w:b/>
        </w:rPr>
        <w:t xml:space="preserve">LA PARTE RECURRENTE </w:t>
      </w:r>
      <w:r w:rsidRPr="005E5FEE">
        <w:rPr>
          <w:rFonts w:eastAsia="Arial Unicode MS" w:cs="Arial"/>
        </w:rPr>
        <w:t xml:space="preserve">y respuesta otorgada por </w:t>
      </w:r>
      <w:r w:rsidRPr="005E5FEE">
        <w:rPr>
          <w:rFonts w:eastAsia="Arial Unicode MS" w:cs="Arial"/>
          <w:b/>
        </w:rPr>
        <w:t xml:space="preserve">EL SUJETO OBLIGADO; </w:t>
      </w:r>
      <w:r w:rsidRPr="005E5FEE">
        <w:rPr>
          <w:rFonts w:eastAsia="Arial Unicode MS" w:cs="Arial"/>
        </w:rPr>
        <w:t xml:space="preserve">esto es así, toda vez que </w:t>
      </w:r>
      <w:r w:rsidRPr="005E5FEE">
        <w:rPr>
          <w:rFonts w:eastAsia="Arial Unicode MS" w:cs="Arial"/>
          <w:b/>
        </w:rPr>
        <w:t xml:space="preserve">LA PARTE  RECURRENTE </w:t>
      </w:r>
      <w:r w:rsidRPr="005E5FEE">
        <w:rPr>
          <w:rFonts w:eastAsia="Arial Unicode MS" w:cs="Arial"/>
        </w:rPr>
        <w:t>se inconforma por</w:t>
      </w:r>
      <w:r w:rsidR="009E0C99" w:rsidRPr="005E5FEE">
        <w:rPr>
          <w:rFonts w:eastAsia="Arial Unicode MS" w:cs="Arial"/>
        </w:rPr>
        <w:t>que no se le hizo entrega del acuerdo por parte del Comité de Transparencia, por el que se aprobó la ampliación del plazo</w:t>
      </w:r>
      <w:r w:rsidRPr="005E5FEE">
        <w:rPr>
          <w:rFonts w:eastAsiaTheme="minorHAnsi" w:cs="Tahoma"/>
          <w:bCs/>
          <w:iCs/>
          <w:szCs w:val="22"/>
          <w:lang w:eastAsia="en-US"/>
        </w:rPr>
        <w:t xml:space="preserve">; sin embargo, debemos recordar que el particular solicitó </w:t>
      </w:r>
      <w:r w:rsidR="009E0C99" w:rsidRPr="005E5FEE">
        <w:rPr>
          <w:rFonts w:eastAsiaTheme="minorHAnsi" w:cs="Tahoma"/>
          <w:bCs/>
          <w:iCs/>
          <w:szCs w:val="22"/>
          <w:lang w:eastAsia="en-US"/>
        </w:rPr>
        <w:t>convenio celebrado con la Junta de Caminos del Estado de México, para atender la problemática de baches de vialidades</w:t>
      </w:r>
      <w:r w:rsidRPr="005E5FEE">
        <w:rPr>
          <w:rFonts w:eastAsia="Arial Unicode MS" w:cs="Arial"/>
        </w:rPr>
        <w:t xml:space="preserve">, a lo que </w:t>
      </w:r>
      <w:r w:rsidRPr="005E5FEE">
        <w:rPr>
          <w:rFonts w:eastAsia="Arial Unicode MS" w:cs="Arial"/>
          <w:b/>
        </w:rPr>
        <w:t xml:space="preserve">EL SUJETO OBLIGADO </w:t>
      </w:r>
      <w:r w:rsidRPr="005E5FEE">
        <w:rPr>
          <w:rFonts w:eastAsia="Arial Unicode MS" w:cs="Arial"/>
        </w:rPr>
        <w:t xml:space="preserve">adjuntó </w:t>
      </w:r>
      <w:r w:rsidR="009E0C99" w:rsidRPr="005E5FEE">
        <w:rPr>
          <w:rFonts w:eastAsia="Arial Unicode MS" w:cs="Arial"/>
        </w:rPr>
        <w:t xml:space="preserve">el documento solicitado. </w:t>
      </w:r>
    </w:p>
    <w:p w14:paraId="0898CE1A" w14:textId="77777777" w:rsidR="008755F9" w:rsidRPr="005E5FEE" w:rsidRDefault="008755F9" w:rsidP="005E5FEE">
      <w:pPr>
        <w:rPr>
          <w:rFonts w:eastAsia="Arial Unicode MS" w:cs="Arial"/>
        </w:rPr>
      </w:pPr>
    </w:p>
    <w:p w14:paraId="136158E2" w14:textId="77777777" w:rsidR="009E0C99" w:rsidRPr="005E5FEE" w:rsidRDefault="009E0C99" w:rsidP="005E5FEE">
      <w:r w:rsidRPr="005E5FEE">
        <w:lastRenderedPageBreak/>
        <w:t xml:space="preserve">En ese orden de ideas y de las constancias que obran en el expediente, se colige que, si bien el Sujeto Obligado realizó la notificación de una prórroga dentro del plazo establecido y posteriormente dio respuesta, lo cierto es que no hizo entrega de la resolución de su Comité de Transparencia, mediante la cual confirmó la ampliación del plazo, en términos de lo dispuesto por el artículo 163 de la Ley de Transparencia y Acceso a la Información Pública del Estado de México y Municipios. </w:t>
      </w:r>
    </w:p>
    <w:p w14:paraId="221C42E3" w14:textId="77777777" w:rsidR="009E0C99" w:rsidRPr="005E5FEE" w:rsidRDefault="009E0C99" w:rsidP="005E5FEE"/>
    <w:p w14:paraId="51424DEC" w14:textId="77777777" w:rsidR="009E0C99" w:rsidRPr="005E5FEE" w:rsidRDefault="009E0C99" w:rsidP="005E5FEE">
      <w:r w:rsidRPr="005E5FEE">
        <w:t>No obstante, atendiendo al momento procesal en el que se encuentra el presente asunto, se estima que tal omisión por parte del Ente Recurrido es una cuestión irreparable, pues como se señaló, el Recurso de Revisión no está diseñado para impugnar circunstancias específicas respecto al procedimiento que realizan los Sujetos Obligados para atender las solicitudes de información, sino que únicamente para corregir inconsistencias de la respuesta realizada por estos, o bien, la falta de contestación o trámite a dichos requerimientos.</w:t>
      </w:r>
    </w:p>
    <w:p w14:paraId="21A8B9B4" w14:textId="77777777" w:rsidR="009E0C99" w:rsidRPr="005E5FEE" w:rsidRDefault="009E0C99" w:rsidP="005E5FEE"/>
    <w:p w14:paraId="2AA310B7" w14:textId="78E92036" w:rsidR="008755F9" w:rsidRPr="005E5FEE" w:rsidRDefault="009E0C99" w:rsidP="005E5FEE">
      <w:r w:rsidRPr="005E5FEE">
        <w:t xml:space="preserve">En ese orden de ideas, se logra vislumbrar que el Particular no se inconformó de la información proporcionada por </w:t>
      </w:r>
      <w:r w:rsidRPr="005E5FEE">
        <w:rPr>
          <w:b/>
        </w:rPr>
        <w:t>EL SUJETO OBLIGADO</w:t>
      </w:r>
      <w:r w:rsidRPr="005E5FEE">
        <w:t xml:space="preserve"> en respuesta; por lo que, el presente Medio de Impugnación, no actualiza alguno de los supuestos previstos en el artículo 179 de la Ley de Transparencia y Acceso a la Información Pública del Estado de México y Municipios</w:t>
      </w:r>
      <w:r w:rsidR="00A84851" w:rsidRPr="005E5FEE">
        <w:t xml:space="preserve">, los cuales son los siguientes: </w:t>
      </w:r>
    </w:p>
    <w:p w14:paraId="7BFC2697" w14:textId="77777777" w:rsidR="009E0C99" w:rsidRPr="005E5FEE" w:rsidRDefault="009E0C99" w:rsidP="005E5FEE">
      <w:pPr>
        <w:rPr>
          <w:b/>
        </w:rPr>
      </w:pPr>
    </w:p>
    <w:p w14:paraId="6F2D6C68" w14:textId="77777777" w:rsidR="008755F9" w:rsidRPr="005E5FEE" w:rsidRDefault="008755F9" w:rsidP="005E5FEE">
      <w:pPr>
        <w:pStyle w:val="Puesto"/>
      </w:pPr>
      <w:r w:rsidRPr="005E5FEE">
        <w:t>“</w:t>
      </w:r>
      <w:r w:rsidRPr="005E5FEE">
        <w:rPr>
          <w:b/>
        </w:rPr>
        <w:t>Artículo 179</w:t>
      </w:r>
      <w:r w:rsidRPr="005E5FEE">
        <w:t>. El Recurso de Revisión es un medio de protección que la Ley otorga a los particulares, para hacer valer su derecho de acceso a la información pública, y procederá en contra de las siguientes causas:</w:t>
      </w:r>
    </w:p>
    <w:p w14:paraId="3CA4C685" w14:textId="77777777" w:rsidR="008755F9" w:rsidRPr="005E5FEE" w:rsidRDefault="008755F9" w:rsidP="005E5FEE">
      <w:pPr>
        <w:pStyle w:val="Puesto"/>
      </w:pPr>
    </w:p>
    <w:p w14:paraId="1860B628" w14:textId="77777777" w:rsidR="008755F9" w:rsidRPr="005E5FEE" w:rsidRDefault="008755F9" w:rsidP="005E5FEE">
      <w:pPr>
        <w:pStyle w:val="Puesto"/>
      </w:pPr>
      <w:r w:rsidRPr="005E5FEE">
        <w:t>I. La negativa a la información solicitada;</w:t>
      </w:r>
    </w:p>
    <w:p w14:paraId="5138EE34" w14:textId="77777777" w:rsidR="008755F9" w:rsidRPr="005E5FEE" w:rsidRDefault="008755F9" w:rsidP="005E5FEE">
      <w:pPr>
        <w:pStyle w:val="Puesto"/>
      </w:pPr>
      <w:r w:rsidRPr="005E5FEE">
        <w:t>II. La clasificación de la información;</w:t>
      </w:r>
    </w:p>
    <w:p w14:paraId="10171A49" w14:textId="77777777" w:rsidR="008755F9" w:rsidRPr="005E5FEE" w:rsidRDefault="008755F9" w:rsidP="005E5FEE">
      <w:pPr>
        <w:pStyle w:val="Puesto"/>
      </w:pPr>
      <w:r w:rsidRPr="005E5FEE">
        <w:t>III. La declaración de inexistencia de la información;</w:t>
      </w:r>
    </w:p>
    <w:p w14:paraId="61580A61" w14:textId="77777777" w:rsidR="008755F9" w:rsidRPr="005E5FEE" w:rsidRDefault="008755F9" w:rsidP="005E5FEE">
      <w:pPr>
        <w:pStyle w:val="Puesto"/>
      </w:pPr>
      <w:r w:rsidRPr="005E5FEE">
        <w:t>IV. La declaración de incompetencia por el sujeto obligado;</w:t>
      </w:r>
    </w:p>
    <w:p w14:paraId="09931D5C" w14:textId="77777777" w:rsidR="008755F9" w:rsidRPr="005E5FEE" w:rsidRDefault="008755F9" w:rsidP="005E5FEE">
      <w:pPr>
        <w:pStyle w:val="Puesto"/>
      </w:pPr>
      <w:r w:rsidRPr="005E5FEE">
        <w:t>V. La entrega de información incompleta;</w:t>
      </w:r>
    </w:p>
    <w:p w14:paraId="6BD9F809" w14:textId="77777777" w:rsidR="008755F9" w:rsidRPr="005E5FEE" w:rsidRDefault="008755F9" w:rsidP="005E5FEE">
      <w:pPr>
        <w:pStyle w:val="Puesto"/>
      </w:pPr>
      <w:r w:rsidRPr="005E5FEE">
        <w:lastRenderedPageBreak/>
        <w:t>VI. La entrega de información que no corresponda con lo solicitado;</w:t>
      </w:r>
    </w:p>
    <w:p w14:paraId="240D5227" w14:textId="77777777" w:rsidR="008755F9" w:rsidRPr="005E5FEE" w:rsidRDefault="008755F9" w:rsidP="005E5FEE">
      <w:pPr>
        <w:pStyle w:val="Puesto"/>
      </w:pPr>
      <w:r w:rsidRPr="005E5FEE">
        <w:t>VII. La falta de respuesta a una solicitud de acceso a la información;</w:t>
      </w:r>
    </w:p>
    <w:p w14:paraId="2E1576C3" w14:textId="77777777" w:rsidR="008755F9" w:rsidRPr="005E5FEE" w:rsidRDefault="008755F9" w:rsidP="005E5FEE">
      <w:pPr>
        <w:pStyle w:val="Puesto"/>
      </w:pPr>
      <w:r w:rsidRPr="005E5FEE">
        <w:t>VIII. La notificación, entrega o puesta a disposición de información en una modalidad o formato distinto al solicitado;</w:t>
      </w:r>
    </w:p>
    <w:p w14:paraId="0879F374" w14:textId="77777777" w:rsidR="008755F9" w:rsidRPr="005E5FEE" w:rsidRDefault="008755F9" w:rsidP="005E5FEE">
      <w:pPr>
        <w:pStyle w:val="Puesto"/>
      </w:pPr>
      <w:r w:rsidRPr="005E5FEE">
        <w:t>IX. La entrega o puesta a disposición de información en un formato incomprensible y/o no accesible para el solicitante;</w:t>
      </w:r>
    </w:p>
    <w:p w14:paraId="497D7019" w14:textId="77777777" w:rsidR="008755F9" w:rsidRPr="005E5FEE" w:rsidRDefault="008755F9" w:rsidP="005E5FEE">
      <w:pPr>
        <w:pStyle w:val="Puesto"/>
      </w:pPr>
      <w:r w:rsidRPr="005E5FEE">
        <w:t>X. Los costos o tiempos de entrega de la información;</w:t>
      </w:r>
    </w:p>
    <w:p w14:paraId="6C424971" w14:textId="77777777" w:rsidR="008755F9" w:rsidRPr="005E5FEE" w:rsidRDefault="008755F9" w:rsidP="005E5FEE">
      <w:pPr>
        <w:pStyle w:val="Puesto"/>
      </w:pPr>
      <w:r w:rsidRPr="005E5FEE">
        <w:t>XI. La falta de trámite a una solicitud;</w:t>
      </w:r>
    </w:p>
    <w:p w14:paraId="46087680" w14:textId="77777777" w:rsidR="008755F9" w:rsidRPr="005E5FEE" w:rsidRDefault="008755F9" w:rsidP="005E5FEE">
      <w:pPr>
        <w:pStyle w:val="Puesto"/>
      </w:pPr>
      <w:r w:rsidRPr="005E5FEE">
        <w:t>XII. La negativa a permitir la consulta directa de la información;</w:t>
      </w:r>
    </w:p>
    <w:p w14:paraId="4DB6EF7B" w14:textId="77777777" w:rsidR="008755F9" w:rsidRPr="005E5FEE" w:rsidRDefault="008755F9" w:rsidP="005E5FEE">
      <w:pPr>
        <w:pStyle w:val="Puesto"/>
      </w:pPr>
      <w:r w:rsidRPr="005E5FEE">
        <w:t>XIII. La falta, deficiencia o insuficiencia de la fundamentación y/o motivación en la respuesta; y</w:t>
      </w:r>
    </w:p>
    <w:p w14:paraId="7E0E197F" w14:textId="77777777" w:rsidR="008755F9" w:rsidRPr="005E5FEE" w:rsidRDefault="008755F9" w:rsidP="005E5FEE">
      <w:pPr>
        <w:pStyle w:val="Puesto"/>
      </w:pPr>
      <w:r w:rsidRPr="005E5FEE">
        <w:t>XIV. La orientación a un trámite específico.</w:t>
      </w:r>
    </w:p>
    <w:p w14:paraId="7DF518D7" w14:textId="77777777" w:rsidR="008755F9" w:rsidRPr="005E5FEE" w:rsidRDefault="008755F9" w:rsidP="005E5FEE">
      <w:pPr>
        <w:pStyle w:val="Puesto"/>
      </w:pPr>
    </w:p>
    <w:p w14:paraId="3EC6EC1D" w14:textId="77777777" w:rsidR="008755F9" w:rsidRPr="005E5FEE" w:rsidRDefault="008755F9" w:rsidP="005E5FEE">
      <w:pPr>
        <w:pStyle w:val="Puesto"/>
      </w:pPr>
      <w:r w:rsidRPr="005E5FEE">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705CDFB0" w14:textId="77777777" w:rsidR="008755F9" w:rsidRPr="005E5FEE" w:rsidRDefault="008755F9" w:rsidP="005E5FEE">
      <w:pPr>
        <w:ind w:right="757"/>
        <w:rPr>
          <w:rFonts w:cs="Arial"/>
          <w:i/>
        </w:rPr>
      </w:pPr>
    </w:p>
    <w:p w14:paraId="35FE43E5" w14:textId="77777777" w:rsidR="008755F9" w:rsidRPr="005E5FEE" w:rsidRDefault="008755F9" w:rsidP="005E5FEE">
      <w:pPr>
        <w:autoSpaceDE w:val="0"/>
        <w:autoSpaceDN w:val="0"/>
        <w:adjustRightInd w:val="0"/>
        <w:rPr>
          <w:rFonts w:eastAsia="Calibri" w:cs="Tahoma"/>
        </w:rPr>
      </w:pPr>
      <w:r w:rsidRPr="005E5FEE">
        <w:rPr>
          <w:rFonts w:eastAsia="Calibri" w:cs="Tahoma"/>
        </w:rPr>
        <w:t xml:space="preserve">Así, el artículo 191 de la </w:t>
      </w:r>
      <w:r w:rsidRPr="005E5FEE">
        <w:t>Ley de Transparencia y Acceso a la Información Pública del Estado de México y Municipios</w:t>
      </w:r>
      <w:r w:rsidRPr="005E5FEE">
        <w:rPr>
          <w:rFonts w:eastAsia="Calibri" w:cs="Tahoma"/>
        </w:rPr>
        <w:t>, señala que el Recurso de Revisión podrá ser desechado por improcedente cuando:</w:t>
      </w:r>
    </w:p>
    <w:p w14:paraId="767F83D3" w14:textId="77777777" w:rsidR="008755F9" w:rsidRPr="005E5FEE" w:rsidRDefault="008755F9" w:rsidP="005E5FEE">
      <w:pPr>
        <w:autoSpaceDE w:val="0"/>
        <w:autoSpaceDN w:val="0"/>
        <w:adjustRightInd w:val="0"/>
        <w:ind w:right="899"/>
        <w:rPr>
          <w:rFonts w:eastAsia="Calibri" w:cs="Tahoma"/>
          <w:szCs w:val="22"/>
        </w:rPr>
      </w:pPr>
    </w:p>
    <w:p w14:paraId="14F13B7A" w14:textId="77777777" w:rsidR="008755F9" w:rsidRPr="005E5FEE" w:rsidRDefault="008755F9" w:rsidP="005E5FEE">
      <w:pPr>
        <w:pStyle w:val="Puesto"/>
      </w:pPr>
      <w:r w:rsidRPr="005E5FEE">
        <w:t xml:space="preserve">I. Sea extemporáneo por haber transcurrido el plazo establecido en la presente Ley, a partir de la respuesta; </w:t>
      </w:r>
    </w:p>
    <w:p w14:paraId="05837AAF" w14:textId="77777777" w:rsidR="008755F9" w:rsidRPr="005E5FEE" w:rsidRDefault="008755F9" w:rsidP="005E5FEE">
      <w:pPr>
        <w:pStyle w:val="Puesto"/>
      </w:pPr>
      <w:r w:rsidRPr="005E5FEE">
        <w:t xml:space="preserve">II. Se esté tramitando ante el Poder Judicial de la Federación algún recurso o medio de defensa interpuesto por el recurrente; </w:t>
      </w:r>
    </w:p>
    <w:p w14:paraId="20064A5E" w14:textId="77777777" w:rsidR="008755F9" w:rsidRPr="005E5FEE" w:rsidRDefault="008755F9" w:rsidP="005E5FEE">
      <w:pPr>
        <w:pStyle w:val="Puesto"/>
        <w:rPr>
          <w:b/>
          <w:bCs/>
          <w:u w:val="single"/>
        </w:rPr>
      </w:pPr>
      <w:r w:rsidRPr="005E5FEE">
        <w:rPr>
          <w:b/>
          <w:bCs/>
          <w:u w:val="single"/>
        </w:rPr>
        <w:t xml:space="preserve">III. No actualice alguno de los supuestos previstos en la presente Ley; </w:t>
      </w:r>
    </w:p>
    <w:p w14:paraId="2C5FB3DE" w14:textId="77777777" w:rsidR="008755F9" w:rsidRPr="005E5FEE" w:rsidRDefault="008755F9" w:rsidP="005E5FEE">
      <w:pPr>
        <w:pStyle w:val="Puesto"/>
      </w:pPr>
      <w:r w:rsidRPr="005E5FEE">
        <w:t xml:space="preserve">IV. No se haya desahogado la prevención en los términos establecidos en la presente Ley; </w:t>
      </w:r>
    </w:p>
    <w:p w14:paraId="6E841C92" w14:textId="77777777" w:rsidR="008755F9" w:rsidRPr="005E5FEE" w:rsidRDefault="008755F9" w:rsidP="005E5FEE">
      <w:pPr>
        <w:pStyle w:val="Puesto"/>
      </w:pPr>
      <w:r w:rsidRPr="005E5FEE">
        <w:t xml:space="preserve">V. Se impugne la veracidad de la información proporcionada; </w:t>
      </w:r>
    </w:p>
    <w:p w14:paraId="5D48ED78" w14:textId="77777777" w:rsidR="008755F9" w:rsidRPr="005E5FEE" w:rsidRDefault="008755F9" w:rsidP="005E5FEE">
      <w:pPr>
        <w:pStyle w:val="Puesto"/>
      </w:pPr>
      <w:r w:rsidRPr="005E5FEE">
        <w:t xml:space="preserve">VI. Se trate de una consulta, o trámite en específico; y </w:t>
      </w:r>
    </w:p>
    <w:p w14:paraId="51CB0C1B" w14:textId="77777777" w:rsidR="008755F9" w:rsidRPr="005E5FEE" w:rsidRDefault="008755F9" w:rsidP="005E5FEE">
      <w:pPr>
        <w:pStyle w:val="Puesto"/>
        <w:rPr>
          <w:rFonts w:eastAsia="Calibri" w:cs="Tahoma"/>
        </w:rPr>
      </w:pPr>
      <w:r w:rsidRPr="005E5FEE">
        <w:t>VII. El recurrente amplíe su solicitud en el Recurso de Revisión únicamente respecto de los nuevos contenidos.</w:t>
      </w:r>
    </w:p>
    <w:p w14:paraId="759C36C8" w14:textId="2C243586" w:rsidR="008755F9" w:rsidRDefault="008755F9" w:rsidP="005E5FEE">
      <w:pPr>
        <w:ind w:right="757"/>
        <w:rPr>
          <w:rFonts w:cs="Arial"/>
          <w:i/>
          <w:szCs w:val="22"/>
        </w:rPr>
      </w:pPr>
    </w:p>
    <w:p w14:paraId="04263105" w14:textId="77777777" w:rsidR="005E5FEE" w:rsidRPr="005E5FEE" w:rsidRDefault="005E5FEE" w:rsidP="005E5FEE">
      <w:pPr>
        <w:ind w:right="757"/>
        <w:rPr>
          <w:rFonts w:cs="Arial"/>
          <w:i/>
          <w:szCs w:val="22"/>
        </w:rPr>
      </w:pPr>
    </w:p>
    <w:p w14:paraId="28D4D49F" w14:textId="27893030" w:rsidR="00A84851" w:rsidRPr="005E5FEE" w:rsidRDefault="00A84851" w:rsidP="005E5FEE">
      <w:pPr>
        <w:rPr>
          <w:rFonts w:cs="Arial"/>
          <w:lang w:val="es-ES"/>
        </w:rPr>
      </w:pPr>
      <w:r w:rsidRPr="005E5FEE">
        <w:rPr>
          <w:rFonts w:cs="Arial"/>
          <w:lang w:val="es-ES"/>
        </w:rPr>
        <w:lastRenderedPageBreak/>
        <w:t xml:space="preserve">Finalmente, no se omite comentar que respecto a las manifestaciones realizadas por </w:t>
      </w:r>
      <w:r w:rsidRPr="005E5FEE">
        <w:rPr>
          <w:rFonts w:cs="Arial"/>
          <w:b/>
          <w:lang w:val="es-ES"/>
        </w:rPr>
        <w:t>LA PARTE RECURRENTE</w:t>
      </w:r>
      <w:r w:rsidRPr="005E5FEE">
        <w:rPr>
          <w:rFonts w:cs="Arial"/>
          <w:lang w:val="es-ES"/>
        </w:rPr>
        <w:t xml:space="preserve"> como razones o motivos de inconformidad consistentes en </w:t>
      </w:r>
      <w:r w:rsidRPr="005E5FEE">
        <w:rPr>
          <w:rFonts w:cs="Arial"/>
          <w:i/>
          <w:lang w:val="es-ES"/>
        </w:rPr>
        <w:t xml:space="preserve">“Requiero que en términos del artículo 222 fracciones III y XXI se le de vista a órgano de control por la actuación negligente, dolosa y con mala fe, de los servidores públicos integrantes del Comité de Transparencia como de la persona que está al frente de la Unidad.” </w:t>
      </w:r>
      <w:r w:rsidRPr="005E5FEE">
        <w:rPr>
          <w:rFonts w:cs="Arial"/>
          <w:lang w:val="es-ES"/>
        </w:rPr>
        <w:t>(</w:t>
      </w:r>
      <w:proofErr w:type="gramStart"/>
      <w:r w:rsidRPr="005E5FEE">
        <w:rPr>
          <w:rFonts w:cs="Arial"/>
          <w:lang w:val="es-ES"/>
        </w:rPr>
        <w:t>sic</w:t>
      </w:r>
      <w:proofErr w:type="gramEnd"/>
      <w:r w:rsidRPr="005E5FEE">
        <w:rPr>
          <w:rFonts w:cs="Arial"/>
          <w:lang w:val="es-ES"/>
        </w:rPr>
        <w:t>); al respecto, este Órgano Garante precisa que el Recurso de Revisión no es el medio para sancionar; sin embargo, se dejan a salvo sus derechos para en caso de así considerarlo, acuda ante la instancia competente y realice las denuncias o quejas que considere pertinentes.</w:t>
      </w:r>
    </w:p>
    <w:p w14:paraId="057C93CF" w14:textId="77777777" w:rsidR="00A84851" w:rsidRPr="005E5FEE" w:rsidRDefault="00A84851" w:rsidP="005E5FEE">
      <w:pPr>
        <w:rPr>
          <w:rFonts w:cs="Arial"/>
          <w:lang w:val="es-ES"/>
        </w:rPr>
      </w:pPr>
    </w:p>
    <w:p w14:paraId="04EE81BC" w14:textId="77777777" w:rsidR="008755F9" w:rsidRPr="005E5FEE" w:rsidRDefault="008755F9" w:rsidP="005E5FEE">
      <w:pPr>
        <w:pStyle w:val="Ttulo3"/>
      </w:pPr>
      <w:bookmarkStart w:id="40" w:name="_Toc170978721"/>
      <w:bookmarkStart w:id="41" w:name="_Toc192611904"/>
      <w:bookmarkStart w:id="42" w:name="_Toc195123439"/>
      <w:r w:rsidRPr="005E5FEE">
        <w:t>d) Conclusión</w:t>
      </w:r>
      <w:bookmarkEnd w:id="40"/>
      <w:bookmarkEnd w:id="41"/>
      <w:bookmarkEnd w:id="42"/>
    </w:p>
    <w:p w14:paraId="4CF3AC23" w14:textId="77777777" w:rsidR="008755F9" w:rsidRPr="005E5FEE" w:rsidRDefault="008755F9" w:rsidP="005E5FEE">
      <w:pPr>
        <w:rPr>
          <w:rFonts w:cs="Arial"/>
          <w:b/>
          <w:lang w:val="es-ES"/>
        </w:rPr>
      </w:pPr>
      <w:r w:rsidRPr="005E5FEE">
        <w:rPr>
          <w:rFonts w:cs="Arial"/>
        </w:rPr>
        <w:t xml:space="preserve">En tal virtud, al no actualizarse ninguno de los supuestos de procedencia, este Órgano Garante determina de </w:t>
      </w:r>
      <w:r w:rsidRPr="005E5FEE">
        <w:rPr>
          <w:rFonts w:cs="Arial"/>
          <w:lang w:val="es-ES"/>
        </w:rPr>
        <w:t xml:space="preserve">conformidad con los artículos 186, fracción I y 192, fracción IV de la Ley de Transparencia y Acceso a la Información Pública del Estado de México y Municipios, </w:t>
      </w:r>
      <w:r w:rsidRPr="005E5FEE">
        <w:rPr>
          <w:rFonts w:cs="Arial"/>
          <w:b/>
          <w:lang w:val="es-ES"/>
        </w:rPr>
        <w:t xml:space="preserve">SOBRESEER </w:t>
      </w:r>
      <w:r w:rsidRPr="005E5FEE">
        <w:rPr>
          <w:rFonts w:cs="Arial"/>
          <w:lang w:val="es-ES"/>
        </w:rPr>
        <w:t xml:space="preserve">el presente Recurso de Revisión pues del mismo se advierte que no es procedente, toda vez que, las razones o motivos de inconformidad no guardan relación con lo solicitado por </w:t>
      </w:r>
      <w:r w:rsidRPr="005E5FEE">
        <w:rPr>
          <w:rFonts w:cs="Arial"/>
          <w:b/>
          <w:lang w:val="es-ES"/>
        </w:rPr>
        <w:t>LA PARTE RECURRETE</w:t>
      </w:r>
      <w:r w:rsidRPr="005E5FEE">
        <w:rPr>
          <w:rFonts w:cs="Arial"/>
          <w:lang w:val="es-ES"/>
        </w:rPr>
        <w:t xml:space="preserve"> y respuesta otorgada por </w:t>
      </w:r>
      <w:r w:rsidRPr="005E5FEE">
        <w:rPr>
          <w:rFonts w:cs="Arial"/>
          <w:b/>
          <w:lang w:val="es-ES"/>
        </w:rPr>
        <w:t xml:space="preserve">EL SUJETO OBLIGADO. </w:t>
      </w:r>
    </w:p>
    <w:p w14:paraId="3B1FA650" w14:textId="77777777" w:rsidR="008755F9" w:rsidRPr="005E5FEE" w:rsidRDefault="008755F9" w:rsidP="005E5FEE"/>
    <w:p w14:paraId="483C1E9B" w14:textId="7973B961" w:rsidR="008755F9" w:rsidRPr="005E5FEE" w:rsidRDefault="008755F9" w:rsidP="005E5FEE">
      <w:r w:rsidRPr="005E5FEE">
        <w:t xml:space="preserve">Por lo anterior, no se omite comentar </w:t>
      </w:r>
      <w:r w:rsidR="005E5FEE" w:rsidRPr="005E5FEE">
        <w:t>que,</w:t>
      </w:r>
      <w:r w:rsidRPr="005E5FEE">
        <w:t xml:space="preserve"> si bien en materia de Acceso a la Información Pública es aplicable la suplencia, no se desprende argumento alguno a contravenir la respuesta otorgada por </w:t>
      </w:r>
      <w:r w:rsidRPr="005E5FEE">
        <w:rPr>
          <w:b/>
        </w:rPr>
        <w:t>EL SUJETO OBLIGADO</w:t>
      </w:r>
      <w:r w:rsidRPr="005E5FEE">
        <w:t>.</w:t>
      </w:r>
    </w:p>
    <w:p w14:paraId="456F0E74" w14:textId="77777777" w:rsidR="008755F9" w:rsidRPr="005E5FEE" w:rsidRDefault="008755F9" w:rsidP="005E5FEE"/>
    <w:p w14:paraId="508A526E" w14:textId="77777777" w:rsidR="008755F9" w:rsidRPr="005E5FEE" w:rsidRDefault="008755F9" w:rsidP="005E5FEE">
      <w:r w:rsidRPr="005E5FEE">
        <w:t xml:space="preserve">Sirve de apoyo el siguiente criterio jurisprudencial, emitido por el Cuarto Tribunal Colegiado en materia Administrativa del Primer Circuito, encontrado en el Libro 64, marzo de 2019, Tomo III, página 2799, en el </w:t>
      </w:r>
      <w:r w:rsidRPr="005E5FEE">
        <w:rPr>
          <w:shd w:val="clear" w:color="auto" w:fill="FFFFFF"/>
        </w:rPr>
        <w:t>Semanario Judicial de la Federación y su Gaceta, Decima Época, que en su texto literal nos refiere lo siguiente:</w:t>
      </w:r>
    </w:p>
    <w:p w14:paraId="65891B14" w14:textId="77777777" w:rsidR="008755F9" w:rsidRPr="005E5FEE" w:rsidRDefault="008755F9" w:rsidP="005E5FEE"/>
    <w:p w14:paraId="57E0B54A" w14:textId="77777777" w:rsidR="008755F9" w:rsidRPr="005E5FEE" w:rsidRDefault="008755F9" w:rsidP="005E5FEE">
      <w:pPr>
        <w:pStyle w:val="Puesto"/>
      </w:pPr>
      <w:r w:rsidRPr="005E5FEE">
        <w:lastRenderedPageBreak/>
        <w:t>“</w:t>
      </w:r>
      <w:r w:rsidRPr="005E5FEE">
        <w:rPr>
          <w:b/>
        </w:rPr>
        <w:t>SUPLENCIA DE LA QUEJA DEFICIENTE EN EL AMPARO. NO TIENE EL ALCANCE DE QUE EL JUZGADOR CONSIDERE COMO ACTOS RECLAMADOS, AQUELLOS QUE EL QUEJOSO NO SEÑALÓ</w:t>
      </w:r>
      <w:r w:rsidRPr="005E5FEE">
        <w:t>. De conformidad con el artículo 79 de la Ley de Amparo y la jurisprudencia P</w:t>
      </w:r>
      <w:proofErr w:type="gramStart"/>
      <w:r w:rsidRPr="005E5FEE">
        <w:t>./</w:t>
      </w:r>
      <w:proofErr w:type="gramEnd"/>
      <w:r w:rsidRPr="005E5FEE">
        <w:t xml:space="preserve">J. 7/2017 (10a.), sustentada por el Pleno de la Suprema Corte de Justicia de la Nación, de título y subtítulo: "SUPLENCIA DE LA DEFICIENCIA DE LOS CONCEPTOS DE VIOLACIÓN O AGRAVIOS PREVISTA EN EL ARTÍCULO 79, FRACCIÓN V, DE LA LEY DE AMPARO. OPERA EN FAVOR DE LOS MIEMBROS DE LOS CUERPOS DE SEGURIDAD PÚBLICA, EN LOS PROCEDIMIENTOS ADMINISTRATIVOS DE SEPARACIÓN POR INCUMPLIMIENTO DE LOS REQUISITOS DE INGRESO Y PERMANENCIA.", la suplencia de la queja deficiente en el juicio constitucional se limita a mejorar, subsanar e invocar los conceptos de violación o agravios, entendidos como las lesiones que irroguen los actos reclamados o la sentencia. Por tanto, esa institución no tiene el alcance de que el juzgador considere como actos reclamados, aquellos que el quejoso no señaló, pues incluso el artículo 114, fracción II, en relación con el diverso 108, fracción IV, ambos de la propia ley, dispone que el órgano jurisdiccional debe requerir al </w:t>
      </w:r>
      <w:proofErr w:type="spellStart"/>
      <w:r w:rsidRPr="005E5FEE">
        <w:t>promovente</w:t>
      </w:r>
      <w:proofErr w:type="spellEnd"/>
      <w:r w:rsidRPr="005E5FEE">
        <w:t xml:space="preserve"> para que aclare su demanda cuando omita expresar los actos que de cada autoridad reclame y, si no cumple la prevención, no puede subsanarse esa deficiencia.”</w:t>
      </w:r>
    </w:p>
    <w:p w14:paraId="6297CEB8" w14:textId="77777777" w:rsidR="008755F9" w:rsidRPr="005E5FEE" w:rsidRDefault="008755F9" w:rsidP="005E5FEE"/>
    <w:p w14:paraId="74E245D4" w14:textId="634166D7" w:rsidR="008755F9" w:rsidRPr="005E5FEE" w:rsidRDefault="008755F9" w:rsidP="005E5FEE">
      <w:r w:rsidRPr="005E5FEE">
        <w:t xml:space="preserve">Por lo tanto, bajo los principios de certeza, eficacia y objetividad, establecidos en el artículo 9 de la Ley de Transparencia y Acceso a la Información Pública del Estado de México y Municipios, y derivado de que la inconformidad no guarda relación con la respuesta del </w:t>
      </w:r>
      <w:r w:rsidRPr="005E5FEE">
        <w:rPr>
          <w:b/>
          <w:bCs/>
        </w:rPr>
        <w:t>SUJETO OBLIGADO</w:t>
      </w:r>
      <w:r w:rsidRPr="005E5FEE">
        <w:t xml:space="preserve">, y a fin de no dilatar el derecho de acceso a la información, como ya fue establecido, se dejan a salvo los derechos de </w:t>
      </w:r>
      <w:r w:rsidRPr="005E5FEE">
        <w:rPr>
          <w:rFonts w:eastAsia="Arial Unicode MS" w:cs="Arial"/>
          <w:b/>
        </w:rPr>
        <w:t>LA PARTE RECURRENTE</w:t>
      </w:r>
      <w:r w:rsidRPr="005E5FEE">
        <w:rPr>
          <w:rFonts w:eastAsia="Arial Unicode MS" w:cs="Arial"/>
        </w:rPr>
        <w:t xml:space="preserve"> </w:t>
      </w:r>
      <w:r w:rsidRPr="005E5FEE">
        <w:t>para que pueda realizar nueva</w:t>
      </w:r>
      <w:r w:rsidR="005E5FEE">
        <w:t>s</w:t>
      </w:r>
      <w:r w:rsidRPr="005E5FEE">
        <w:t xml:space="preserve"> solicitudes de información.</w:t>
      </w:r>
    </w:p>
    <w:p w14:paraId="279DBFD1" w14:textId="77777777" w:rsidR="008755F9" w:rsidRPr="005E5FEE" w:rsidRDefault="008755F9" w:rsidP="005E5FEE">
      <w:pPr>
        <w:rPr>
          <w:rFonts w:cs="Arial"/>
          <w:lang w:val="es-ES"/>
        </w:rPr>
      </w:pPr>
    </w:p>
    <w:p w14:paraId="69D47AAF" w14:textId="279A1884" w:rsidR="008755F9" w:rsidRPr="005E5FEE" w:rsidRDefault="008755F9" w:rsidP="005E5FEE">
      <w:r w:rsidRPr="005E5FEE">
        <w:rPr>
          <w:rFonts w:cs="Arial"/>
          <w:lang w:val="es-ES"/>
        </w:rPr>
        <w:t xml:space="preserve">Finalmente, </w:t>
      </w:r>
      <w:r w:rsidRPr="005E5FEE">
        <w:t>no se omite comentar que respecto de</w:t>
      </w:r>
      <w:r w:rsidR="00A84851" w:rsidRPr="005E5FEE">
        <w:t xml:space="preserve"> las documentales remitidas </w:t>
      </w:r>
      <w:r w:rsidRPr="005E5FEE">
        <w:t xml:space="preserve">por parte del </w:t>
      </w:r>
      <w:r w:rsidRPr="005E5FEE">
        <w:rPr>
          <w:b/>
        </w:rPr>
        <w:t>SUJETO OBLIGADO</w:t>
      </w:r>
      <w:r w:rsidRPr="005E5FEE">
        <w:t>, a fin de dar respuesta a la solicitud planteada, este Instituto no está facultado para manifestarse sobre la veracidad de la información proporcionada.</w:t>
      </w:r>
    </w:p>
    <w:p w14:paraId="17736989" w14:textId="77777777" w:rsidR="008755F9" w:rsidRPr="005E5FEE" w:rsidRDefault="008755F9" w:rsidP="005E5FEE">
      <w:pPr>
        <w:rPr>
          <w:rFonts w:cs="Arial"/>
          <w:sz w:val="20"/>
        </w:rPr>
      </w:pPr>
    </w:p>
    <w:p w14:paraId="41A47E11" w14:textId="5C91597E" w:rsidR="008755F9" w:rsidRPr="005E5FEE" w:rsidRDefault="008755F9" w:rsidP="005E5FEE">
      <w:pPr>
        <w:spacing w:after="240"/>
        <w:rPr>
          <w:rFonts w:cs="Arial"/>
        </w:rPr>
      </w:pPr>
      <w:r w:rsidRPr="005E5FEE">
        <w:rPr>
          <w:rFonts w:cs="Arial"/>
        </w:rPr>
        <w:lastRenderedPageBreak/>
        <w:t>Sirve de sustento a lo anterior, el criterio 31/10 emitido por el entonces Instituto Federal de Acceso a la Información y Protección de Datos, ahora Instituto Nacional de Acceso a la Info</w:t>
      </w:r>
      <w:r w:rsidR="005E5FEE">
        <w:rPr>
          <w:rFonts w:cs="Arial"/>
        </w:rPr>
        <w:t xml:space="preserve">rmación y Protección de Datos, </w:t>
      </w:r>
      <w:r w:rsidRPr="005E5FEE">
        <w:rPr>
          <w:rFonts w:cs="Arial"/>
        </w:rPr>
        <w:t xml:space="preserve">el cual refiere: </w:t>
      </w:r>
    </w:p>
    <w:p w14:paraId="366C41D3" w14:textId="77777777" w:rsidR="008755F9" w:rsidRPr="005E5FEE" w:rsidRDefault="008755F9" w:rsidP="005E5FEE">
      <w:pPr>
        <w:pStyle w:val="Puesto"/>
      </w:pPr>
      <w:r w:rsidRPr="005E5FEE">
        <w:t>“</w:t>
      </w:r>
      <w:r w:rsidRPr="005E5FEE">
        <w:rPr>
          <w:b/>
        </w:rPr>
        <w:t>El Instituto Federal de Acceso a la Información y Protección de Datos no cuenta con facultades para pronunciarse respecto de la veracidad de los documentos proporcionados por los sujetos obligados.</w:t>
      </w:r>
      <w:r w:rsidRPr="005E5FEE">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5E5FEE">
        <w:t>Marván</w:t>
      </w:r>
      <w:proofErr w:type="spellEnd"/>
      <w:r w:rsidRPr="005E5FEE">
        <w:t xml:space="preserve"> Laborde 2395/09 Secretaría de Economía - María </w:t>
      </w:r>
      <w:proofErr w:type="spellStart"/>
      <w:r w:rsidRPr="005E5FEE">
        <w:t>Marván</w:t>
      </w:r>
      <w:proofErr w:type="spellEnd"/>
      <w:r w:rsidRPr="005E5FEE">
        <w:t xml:space="preserve"> Laborde 0837/10 Administración Portuaria Integral de Veracruz, S.A. de C.V. – María </w:t>
      </w:r>
      <w:proofErr w:type="spellStart"/>
      <w:r w:rsidRPr="005E5FEE">
        <w:t>Marván</w:t>
      </w:r>
      <w:proofErr w:type="spellEnd"/>
      <w:r w:rsidRPr="005E5FEE">
        <w:t xml:space="preserve"> Laborde </w:t>
      </w:r>
    </w:p>
    <w:p w14:paraId="72260587" w14:textId="77777777" w:rsidR="008755F9" w:rsidRPr="005E5FEE" w:rsidRDefault="008755F9" w:rsidP="005E5FEE">
      <w:pPr>
        <w:pStyle w:val="Puesto"/>
      </w:pPr>
      <w:r w:rsidRPr="005E5FEE">
        <w:t>Criterio 31/10” (sic)</w:t>
      </w:r>
    </w:p>
    <w:p w14:paraId="37AF0FFE" w14:textId="77777777" w:rsidR="008755F9" w:rsidRPr="005E5FEE" w:rsidRDefault="008755F9" w:rsidP="005E5FEE">
      <w:pPr>
        <w:rPr>
          <w:rFonts w:cs="Arial"/>
          <w:lang w:val="es-ES"/>
        </w:rPr>
      </w:pPr>
    </w:p>
    <w:p w14:paraId="352D340E" w14:textId="2B62A38A" w:rsidR="005E5FEE" w:rsidRDefault="008755F9" w:rsidP="000F5EF1">
      <w:pPr>
        <w:widowControl w:val="0"/>
        <w:autoSpaceDE w:val="0"/>
        <w:autoSpaceDN w:val="0"/>
        <w:adjustRightInd w:val="0"/>
        <w:rPr>
          <w:rFonts w:eastAsia="Calibri" w:cs="Arial"/>
        </w:rPr>
      </w:pPr>
      <w:r w:rsidRPr="005E5FEE">
        <w:rPr>
          <w:rFonts w:eastAsia="Calibri" w:cs="Arial"/>
        </w:rPr>
        <w:t xml:space="preserve">Así, con </w:t>
      </w:r>
      <w:r w:rsidRPr="005E5FEE">
        <w:rPr>
          <w:rFonts w:cs="Arial"/>
        </w:rPr>
        <w:t>fundamento</w:t>
      </w:r>
      <w:r w:rsidRPr="005E5FEE">
        <w:rPr>
          <w:rFonts w:eastAsia="Calibri" w:cs="Arial"/>
        </w:rPr>
        <w:t xml:space="preserve"> en lo prescrito en los artículos 5, </w:t>
      </w:r>
      <w:r w:rsidRPr="005E5FEE">
        <w:t>párrafos trigésimo segundo, trigésimo tercero y trigésimo cuarto</w:t>
      </w:r>
      <w:r w:rsidRPr="005E5FEE">
        <w:rPr>
          <w:rFonts w:cs="Arial"/>
        </w:rPr>
        <w:t>,</w:t>
      </w:r>
      <w:r w:rsidRPr="005E5FEE">
        <w:t xml:space="preserve"> fracciones IV y V,</w:t>
      </w:r>
      <w:r w:rsidRPr="005E5FEE">
        <w:rPr>
          <w:rFonts w:eastAsia="Calibri" w:cs="Arial"/>
        </w:rPr>
        <w:t xml:space="preserve"> de la Constitución Política del Estado Libre y Soberano de </w:t>
      </w:r>
      <w:r w:rsidRPr="005E5FEE">
        <w:rPr>
          <w:rFonts w:cs="Arial"/>
          <w:lang w:val="es-ES_tradnl"/>
        </w:rPr>
        <w:t>México</w:t>
      </w:r>
      <w:r w:rsidRPr="005E5FEE">
        <w:rPr>
          <w:rFonts w:eastAsia="Calibri" w:cs="Arial"/>
        </w:rPr>
        <w:t xml:space="preserve">, y los artículos </w:t>
      </w:r>
      <w:r w:rsidRPr="005E5FEE">
        <w:t xml:space="preserve">2, </w:t>
      </w:r>
      <w:r w:rsidRPr="005E5FEE">
        <w:rPr>
          <w:rFonts w:cs="Arial"/>
        </w:rPr>
        <w:t>fracción</w:t>
      </w:r>
      <w:r w:rsidRPr="005E5FEE">
        <w:t xml:space="preserve"> II, 9, </w:t>
      </w:r>
      <w:r w:rsidRPr="005E5FEE">
        <w:rPr>
          <w:rFonts w:cs="Arial"/>
          <w:lang w:val="es-ES_tradnl"/>
        </w:rPr>
        <w:t>29</w:t>
      </w:r>
      <w:r w:rsidRPr="005E5FEE">
        <w:t>, 36, fracciones I y II, 176, 178, 179, 181, 185, fracción I, 186 y 188,</w:t>
      </w:r>
      <w:r w:rsidRPr="005E5FEE">
        <w:rPr>
          <w:rFonts w:eastAsia="Calibri" w:cs="Arial"/>
        </w:rPr>
        <w:t xml:space="preserve"> de la Ley de Transparencia y Acceso a la Información Pública del Estado de México y </w:t>
      </w:r>
      <w:r w:rsidRPr="005E5FEE">
        <w:rPr>
          <w:rFonts w:cs="Arial"/>
        </w:rPr>
        <w:t>Municipios</w:t>
      </w:r>
      <w:r w:rsidRPr="005E5FEE">
        <w:rPr>
          <w:rFonts w:eastAsia="Calibri" w:cs="Arial"/>
        </w:rPr>
        <w:t xml:space="preserve">, </w:t>
      </w:r>
      <w:r w:rsidRPr="005E5FEE">
        <w:t>este</w:t>
      </w:r>
      <w:r w:rsidRPr="005E5FEE">
        <w:rPr>
          <w:rFonts w:eastAsia="Calibri" w:cs="Arial"/>
        </w:rPr>
        <w:t xml:space="preserve"> Pleno:</w:t>
      </w:r>
    </w:p>
    <w:p w14:paraId="0228C26C" w14:textId="77777777" w:rsidR="000F5EF1" w:rsidRDefault="000F5EF1" w:rsidP="000F5EF1">
      <w:pPr>
        <w:widowControl w:val="0"/>
        <w:autoSpaceDE w:val="0"/>
        <w:autoSpaceDN w:val="0"/>
        <w:adjustRightInd w:val="0"/>
        <w:rPr>
          <w:rFonts w:eastAsia="Calibri" w:cs="Arial"/>
        </w:rPr>
      </w:pPr>
    </w:p>
    <w:p w14:paraId="30679241" w14:textId="77777777" w:rsidR="000F5EF1" w:rsidRDefault="000F5EF1" w:rsidP="000F5EF1">
      <w:pPr>
        <w:widowControl w:val="0"/>
        <w:autoSpaceDE w:val="0"/>
        <w:autoSpaceDN w:val="0"/>
        <w:adjustRightInd w:val="0"/>
        <w:rPr>
          <w:rFonts w:eastAsia="Calibri" w:cs="Arial"/>
        </w:rPr>
      </w:pPr>
    </w:p>
    <w:p w14:paraId="676A0793" w14:textId="77777777" w:rsidR="000F5EF1" w:rsidRPr="000F5EF1" w:rsidRDefault="000F5EF1" w:rsidP="000F5EF1">
      <w:pPr>
        <w:widowControl w:val="0"/>
        <w:autoSpaceDE w:val="0"/>
        <w:autoSpaceDN w:val="0"/>
        <w:adjustRightInd w:val="0"/>
        <w:rPr>
          <w:rFonts w:eastAsia="Calibri" w:cs="Arial"/>
        </w:rPr>
      </w:pPr>
    </w:p>
    <w:p w14:paraId="4D44C4DC" w14:textId="77777777" w:rsidR="008755F9" w:rsidRPr="005E5FEE" w:rsidRDefault="008755F9" w:rsidP="005E5FEE">
      <w:pPr>
        <w:pStyle w:val="Ttulo1"/>
      </w:pPr>
      <w:bookmarkStart w:id="43" w:name="_Toc192611905"/>
      <w:bookmarkStart w:id="44" w:name="_Toc195123440"/>
      <w:r w:rsidRPr="005E5FEE">
        <w:lastRenderedPageBreak/>
        <w:t>RESUELVE</w:t>
      </w:r>
      <w:bookmarkEnd w:id="43"/>
      <w:bookmarkEnd w:id="44"/>
    </w:p>
    <w:p w14:paraId="624107C8" w14:textId="77777777" w:rsidR="008755F9" w:rsidRPr="005E5FEE" w:rsidRDefault="008755F9" w:rsidP="005E5FEE">
      <w:pPr>
        <w:ind w:right="113"/>
        <w:rPr>
          <w:rFonts w:cs="Arial"/>
          <w:b/>
          <w:szCs w:val="22"/>
        </w:rPr>
      </w:pPr>
    </w:p>
    <w:p w14:paraId="73D47804" w14:textId="668127E9" w:rsidR="008755F9" w:rsidRPr="005E5FEE" w:rsidRDefault="008755F9" w:rsidP="005E5FEE">
      <w:pPr>
        <w:rPr>
          <w:lang w:val="es-ES"/>
        </w:rPr>
      </w:pPr>
      <w:r w:rsidRPr="005E5FEE">
        <w:rPr>
          <w:b/>
          <w:sz w:val="24"/>
        </w:rPr>
        <w:t>PRIMERO</w:t>
      </w:r>
      <w:r w:rsidRPr="005E5FEE">
        <w:rPr>
          <w:b/>
          <w:sz w:val="28"/>
        </w:rPr>
        <w:t xml:space="preserve">. </w:t>
      </w:r>
      <w:r w:rsidRPr="005E5FEE">
        <w:t xml:space="preserve">Se </w:t>
      </w:r>
      <w:r w:rsidRPr="005E5FEE">
        <w:rPr>
          <w:b/>
        </w:rPr>
        <w:t>SOBRESEE</w:t>
      </w:r>
      <w:r w:rsidRPr="005E5FEE">
        <w:t xml:space="preserve"> el Recurso de Revisión número </w:t>
      </w:r>
      <w:r w:rsidRPr="005E5FEE">
        <w:rPr>
          <w:rFonts w:eastAsia="Palatino Linotype" w:cs="Palatino Linotype"/>
          <w:b/>
        </w:rPr>
        <w:t>01</w:t>
      </w:r>
      <w:r w:rsidR="00A84851" w:rsidRPr="005E5FEE">
        <w:rPr>
          <w:rFonts w:eastAsia="Palatino Linotype" w:cs="Palatino Linotype"/>
          <w:b/>
        </w:rPr>
        <w:t>792</w:t>
      </w:r>
      <w:r w:rsidRPr="005E5FEE">
        <w:rPr>
          <w:rFonts w:eastAsia="Palatino Linotype" w:cs="Palatino Linotype"/>
          <w:b/>
        </w:rPr>
        <w:t xml:space="preserve">/INFOEM/IP/RR/2025 </w:t>
      </w:r>
      <w:r w:rsidRPr="005E5FEE">
        <w:rPr>
          <w:lang w:val="es-ES"/>
        </w:rPr>
        <w:t xml:space="preserve">porque una vez admitido se actualizó la causal establecida en el artículo 192 fracción IV, </w:t>
      </w:r>
      <w:r w:rsidRPr="005E5FEE">
        <w:t>por</w:t>
      </w:r>
      <w:r w:rsidRPr="005E5FEE">
        <w:rPr>
          <w:lang w:val="es-ES"/>
        </w:rPr>
        <w:t xml:space="preserve"> ser improcedente en términos de la </w:t>
      </w:r>
      <w:r w:rsidRPr="005E5FEE">
        <w:rPr>
          <w:lang w:eastAsia="es-ES_tradnl"/>
        </w:rPr>
        <w:t>Ley de Transparencia y Acceso a la Información Pública del Estado de México y Municipios</w:t>
      </w:r>
      <w:r w:rsidRPr="005E5FEE">
        <w:rPr>
          <w:lang w:val="es-ES"/>
        </w:rPr>
        <w:t xml:space="preserve">, en términos del Considerando </w:t>
      </w:r>
      <w:r w:rsidRPr="005E5FEE">
        <w:rPr>
          <w:b/>
          <w:lang w:val="es-ES"/>
        </w:rPr>
        <w:t>SEGUNDO</w:t>
      </w:r>
      <w:r w:rsidRPr="005E5FEE">
        <w:rPr>
          <w:lang w:val="es-ES"/>
        </w:rPr>
        <w:t xml:space="preserve"> de la presente resolución.</w:t>
      </w:r>
    </w:p>
    <w:p w14:paraId="390D3507" w14:textId="77777777" w:rsidR="008755F9" w:rsidRPr="005E5FEE" w:rsidRDefault="008755F9" w:rsidP="005E5FEE">
      <w:pPr>
        <w:widowControl w:val="0"/>
        <w:autoSpaceDE w:val="0"/>
        <w:autoSpaceDN w:val="0"/>
        <w:adjustRightInd w:val="0"/>
        <w:rPr>
          <w:rFonts w:cs="Arial"/>
          <w:szCs w:val="28"/>
        </w:rPr>
      </w:pPr>
    </w:p>
    <w:p w14:paraId="4AB825E2" w14:textId="77777777" w:rsidR="008755F9" w:rsidRPr="005E5FEE" w:rsidRDefault="008755F9" w:rsidP="005E5FEE">
      <w:pPr>
        <w:ind w:right="-93"/>
      </w:pPr>
      <w:r w:rsidRPr="005E5FEE">
        <w:rPr>
          <w:rFonts w:eastAsia="Calibri" w:cs="Tahoma"/>
          <w:b/>
          <w:bCs/>
          <w:szCs w:val="22"/>
          <w:lang w:eastAsia="en-US"/>
        </w:rPr>
        <w:t>SEGUNDO.</w:t>
      </w:r>
      <w:r w:rsidRPr="005E5FEE">
        <w:rPr>
          <w:rFonts w:eastAsia="Calibri" w:cs="Tahoma"/>
          <w:szCs w:val="22"/>
          <w:lang w:eastAsia="es-MX"/>
        </w:rPr>
        <w:t xml:space="preserve"> </w:t>
      </w:r>
      <w:r w:rsidRPr="005E5FEE">
        <w:t>Notifíquese la presente resolución mediante Sistema de Acceso a la Información Mexiquense (</w:t>
      </w:r>
      <w:r w:rsidRPr="005E5FEE">
        <w:rPr>
          <w:b/>
        </w:rPr>
        <w:t>SAIMEX</w:t>
      </w:r>
      <w:r w:rsidRPr="005E5FEE">
        <w:t xml:space="preserve">), al Titular de la Unidad de Transparencia del </w:t>
      </w:r>
      <w:r w:rsidRPr="005E5FEE">
        <w:rPr>
          <w:b/>
          <w:bCs/>
        </w:rPr>
        <w:t>SUJETO OBLIGADO</w:t>
      </w:r>
      <w:r w:rsidRPr="005E5FEE">
        <w:t>, para su conocimiento.</w:t>
      </w:r>
    </w:p>
    <w:p w14:paraId="15922EDD" w14:textId="77777777" w:rsidR="008755F9" w:rsidRPr="005E5FEE" w:rsidRDefault="008755F9" w:rsidP="005E5FEE">
      <w:pPr>
        <w:ind w:right="-93"/>
      </w:pPr>
    </w:p>
    <w:p w14:paraId="765A4C75" w14:textId="3C84DEE8" w:rsidR="008755F9" w:rsidRPr="005E5FEE" w:rsidRDefault="008755F9" w:rsidP="005E5FEE">
      <w:r w:rsidRPr="005E5FEE">
        <w:rPr>
          <w:b/>
          <w:bCs/>
        </w:rPr>
        <w:t>TERCERO.</w:t>
      </w:r>
      <w:r w:rsidRPr="005E5FEE">
        <w:t xml:space="preserve"> Notifíquese a </w:t>
      </w:r>
      <w:r w:rsidRPr="005E5FEE">
        <w:rPr>
          <w:b/>
          <w:bCs/>
        </w:rPr>
        <w:t>LA PARTE RECURRENTE</w:t>
      </w:r>
      <w:r w:rsidRPr="005E5FEE">
        <w:t xml:space="preserve"> la presente resolución vía Sistema de Acceso a la Información Mexiquense (</w:t>
      </w:r>
      <w:r w:rsidRPr="005E5FEE">
        <w:rPr>
          <w:b/>
        </w:rPr>
        <w:t>SAIMEX</w:t>
      </w:r>
      <w:r w:rsidRPr="005E5FEE">
        <w:t>).</w:t>
      </w:r>
    </w:p>
    <w:p w14:paraId="01341054" w14:textId="18094755" w:rsidR="008755F9" w:rsidRDefault="008755F9" w:rsidP="005E5FEE">
      <w:r w:rsidRPr="005E5FEE">
        <w:rPr>
          <w:b/>
          <w:bCs/>
        </w:rPr>
        <w:t>CUARTO</w:t>
      </w:r>
      <w:r w:rsidRPr="005E5FEE">
        <w:t xml:space="preserve">. Hágase del conocimiento a </w:t>
      </w:r>
      <w:r w:rsidRPr="005E5FEE">
        <w:rPr>
          <w:b/>
          <w:bCs/>
        </w:rPr>
        <w:t>LA PARTE RECURRENTE</w:t>
      </w:r>
      <w:r w:rsidRPr="005E5FE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7023E47" w14:textId="757CED61" w:rsidR="005E5FEE" w:rsidRDefault="005E5FEE" w:rsidP="005E5FEE"/>
    <w:p w14:paraId="39410F9E" w14:textId="06F9CA1A" w:rsidR="0053716F" w:rsidRPr="005E5FEE" w:rsidRDefault="0053716F" w:rsidP="000F5EF1">
      <w:pPr>
        <w:spacing w:line="240" w:lineRule="auto"/>
        <w:rPr>
          <w:rFonts w:eastAsia="Palatino Linotype" w:cs="Palatino Linotype"/>
          <w:szCs w:val="22"/>
        </w:rPr>
      </w:pPr>
      <w:r w:rsidRPr="005E5FE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5E5FEE">
        <w:rPr>
          <w:rFonts w:eastAsia="Palatino Linotype" w:cs="Palatino Linotype"/>
          <w:szCs w:val="22"/>
        </w:rPr>
        <w:t>GUADALUPE RAMÍREZ PEÑA, EN LA DÉ</w:t>
      </w:r>
      <w:r w:rsidRPr="005E5FEE">
        <w:rPr>
          <w:rFonts w:eastAsia="Palatino Linotype" w:cs="Palatino Linotype"/>
          <w:szCs w:val="22"/>
        </w:rPr>
        <w:t>CIMA TERCERA SESIÓN ORDINARIA, CELEBRADA EL NUEVE DE ABRIL DE DOS MIL VEINTICINCO, ANTE EL SECRETARIO TÉCNICO DEL PLENO, ALEXIS TAPIA RAMÍREZ.</w:t>
      </w:r>
    </w:p>
    <w:p w14:paraId="1000FAFD" w14:textId="77777777" w:rsidR="0053716F" w:rsidRPr="005E5FEE" w:rsidRDefault="0053716F" w:rsidP="000F5EF1">
      <w:pPr>
        <w:spacing w:line="240" w:lineRule="auto"/>
        <w:ind w:right="-93"/>
        <w:rPr>
          <w:rFonts w:eastAsia="Palatino Linotype" w:cs="Palatino Linotype"/>
          <w:sz w:val="20"/>
        </w:rPr>
      </w:pPr>
      <w:r w:rsidRPr="005E5FEE">
        <w:rPr>
          <w:rFonts w:eastAsia="Palatino Linotype" w:cs="Palatino Linotype"/>
          <w:sz w:val="20"/>
        </w:rPr>
        <w:t>SCMM/AGZ/DEMF/RPG</w:t>
      </w:r>
    </w:p>
    <w:p w14:paraId="7D79E151" w14:textId="77777777" w:rsidR="002B11D9" w:rsidRPr="005E5FEE" w:rsidRDefault="002B11D9" w:rsidP="005E5FEE">
      <w:pPr>
        <w:ind w:right="-93"/>
        <w:rPr>
          <w:szCs w:val="22"/>
        </w:rPr>
      </w:pPr>
    </w:p>
    <w:p w14:paraId="47C5DE74" w14:textId="77777777" w:rsidR="002B11D9" w:rsidRPr="005E5FEE" w:rsidRDefault="002B11D9" w:rsidP="005E5FEE">
      <w:pPr>
        <w:ind w:right="-93"/>
        <w:rPr>
          <w:szCs w:val="22"/>
        </w:rPr>
      </w:pPr>
    </w:p>
    <w:p w14:paraId="0CF3F610" w14:textId="77777777" w:rsidR="002B11D9" w:rsidRPr="005E5FEE" w:rsidRDefault="002B11D9" w:rsidP="005E5FEE">
      <w:pPr>
        <w:ind w:right="-93"/>
        <w:rPr>
          <w:szCs w:val="22"/>
        </w:rPr>
      </w:pPr>
    </w:p>
    <w:p w14:paraId="06338933" w14:textId="77777777" w:rsidR="002B11D9" w:rsidRPr="005E5FEE" w:rsidRDefault="002B11D9" w:rsidP="005E5FEE">
      <w:pPr>
        <w:ind w:right="-93"/>
        <w:rPr>
          <w:szCs w:val="22"/>
        </w:rPr>
      </w:pPr>
    </w:p>
    <w:p w14:paraId="022324A6" w14:textId="77777777" w:rsidR="002B11D9" w:rsidRPr="005E5FEE" w:rsidRDefault="002B11D9" w:rsidP="005E5FEE">
      <w:pPr>
        <w:ind w:right="-93"/>
        <w:rPr>
          <w:szCs w:val="22"/>
        </w:rPr>
      </w:pPr>
    </w:p>
    <w:p w14:paraId="1941B3D9" w14:textId="77777777" w:rsidR="002B11D9" w:rsidRPr="005E5FEE" w:rsidRDefault="002B11D9" w:rsidP="005E5FEE">
      <w:pPr>
        <w:ind w:right="-93"/>
        <w:rPr>
          <w:szCs w:val="22"/>
        </w:rPr>
      </w:pPr>
    </w:p>
    <w:p w14:paraId="089D4083" w14:textId="77777777" w:rsidR="002B11D9" w:rsidRPr="005E5FEE" w:rsidRDefault="002B11D9" w:rsidP="005E5FEE">
      <w:pPr>
        <w:ind w:right="-93"/>
        <w:rPr>
          <w:szCs w:val="22"/>
        </w:rPr>
      </w:pPr>
    </w:p>
    <w:p w14:paraId="13C0A04F" w14:textId="77777777" w:rsidR="002B11D9" w:rsidRPr="005E5FEE" w:rsidRDefault="002B11D9" w:rsidP="005E5FEE">
      <w:pPr>
        <w:tabs>
          <w:tab w:val="center" w:pos="4568"/>
        </w:tabs>
        <w:ind w:right="-93"/>
        <w:rPr>
          <w:szCs w:val="22"/>
        </w:rPr>
      </w:pPr>
    </w:p>
    <w:p w14:paraId="5FD2AB72" w14:textId="77777777" w:rsidR="002B11D9" w:rsidRPr="005E5FEE" w:rsidRDefault="002B11D9" w:rsidP="005E5FEE">
      <w:pPr>
        <w:tabs>
          <w:tab w:val="center" w:pos="4568"/>
        </w:tabs>
        <w:ind w:right="-93"/>
        <w:rPr>
          <w:szCs w:val="22"/>
        </w:rPr>
      </w:pPr>
    </w:p>
    <w:p w14:paraId="30082FD2" w14:textId="77777777" w:rsidR="002B11D9" w:rsidRPr="005E5FEE" w:rsidRDefault="002B11D9" w:rsidP="005E5FEE">
      <w:pPr>
        <w:tabs>
          <w:tab w:val="center" w:pos="4568"/>
        </w:tabs>
        <w:ind w:right="-93"/>
        <w:rPr>
          <w:szCs w:val="22"/>
        </w:rPr>
      </w:pPr>
    </w:p>
    <w:p w14:paraId="451F6B59" w14:textId="77777777" w:rsidR="002B11D9" w:rsidRPr="005E5FEE" w:rsidRDefault="002B11D9" w:rsidP="005E5FEE">
      <w:pPr>
        <w:tabs>
          <w:tab w:val="center" w:pos="4568"/>
        </w:tabs>
        <w:ind w:right="-93"/>
        <w:rPr>
          <w:szCs w:val="22"/>
        </w:rPr>
      </w:pPr>
    </w:p>
    <w:p w14:paraId="616609ED" w14:textId="77777777" w:rsidR="002B11D9" w:rsidRPr="005E5FEE" w:rsidRDefault="002B11D9" w:rsidP="005E5FEE">
      <w:pPr>
        <w:tabs>
          <w:tab w:val="center" w:pos="4568"/>
        </w:tabs>
        <w:ind w:right="-93"/>
        <w:rPr>
          <w:szCs w:val="22"/>
        </w:rPr>
      </w:pPr>
    </w:p>
    <w:p w14:paraId="2297A5B6" w14:textId="77777777" w:rsidR="002B11D9" w:rsidRPr="005E5FEE" w:rsidRDefault="002B11D9" w:rsidP="005E5FEE">
      <w:pPr>
        <w:tabs>
          <w:tab w:val="center" w:pos="4568"/>
        </w:tabs>
        <w:ind w:right="-93"/>
        <w:rPr>
          <w:szCs w:val="22"/>
        </w:rPr>
      </w:pPr>
    </w:p>
    <w:p w14:paraId="2EBCFE13" w14:textId="77777777" w:rsidR="002B11D9" w:rsidRPr="005E5FEE" w:rsidRDefault="002B11D9" w:rsidP="005E5FEE">
      <w:pPr>
        <w:tabs>
          <w:tab w:val="center" w:pos="4568"/>
        </w:tabs>
        <w:ind w:right="-93"/>
        <w:rPr>
          <w:szCs w:val="22"/>
        </w:rPr>
      </w:pPr>
    </w:p>
    <w:p w14:paraId="236BF945" w14:textId="77777777" w:rsidR="002B11D9" w:rsidRPr="005E5FEE" w:rsidRDefault="002B11D9" w:rsidP="005E5FEE">
      <w:pPr>
        <w:tabs>
          <w:tab w:val="center" w:pos="4568"/>
        </w:tabs>
        <w:ind w:right="-93"/>
        <w:rPr>
          <w:szCs w:val="22"/>
        </w:rPr>
      </w:pPr>
    </w:p>
    <w:p w14:paraId="004681CB" w14:textId="77777777" w:rsidR="002B11D9" w:rsidRPr="005E5FEE" w:rsidRDefault="002B11D9" w:rsidP="005E5FEE">
      <w:pPr>
        <w:tabs>
          <w:tab w:val="center" w:pos="4568"/>
        </w:tabs>
        <w:ind w:right="-93"/>
        <w:rPr>
          <w:szCs w:val="22"/>
        </w:rPr>
      </w:pPr>
    </w:p>
    <w:p w14:paraId="2BEE054A" w14:textId="77777777" w:rsidR="002B11D9" w:rsidRPr="005E5FEE" w:rsidRDefault="002B11D9" w:rsidP="005E5FEE">
      <w:pPr>
        <w:tabs>
          <w:tab w:val="center" w:pos="4568"/>
        </w:tabs>
        <w:ind w:right="-93"/>
        <w:rPr>
          <w:szCs w:val="22"/>
        </w:rPr>
      </w:pPr>
    </w:p>
    <w:p w14:paraId="654DB8BB" w14:textId="77777777" w:rsidR="002B11D9" w:rsidRPr="005E5FEE" w:rsidRDefault="002B11D9" w:rsidP="005E5FEE">
      <w:pPr>
        <w:tabs>
          <w:tab w:val="center" w:pos="4568"/>
        </w:tabs>
        <w:ind w:right="-93"/>
        <w:rPr>
          <w:szCs w:val="22"/>
        </w:rPr>
      </w:pPr>
    </w:p>
    <w:p w14:paraId="71B4C5C8" w14:textId="77777777" w:rsidR="002B11D9" w:rsidRPr="005E5FEE" w:rsidRDefault="002B11D9" w:rsidP="005E5FEE">
      <w:pPr>
        <w:tabs>
          <w:tab w:val="center" w:pos="4568"/>
        </w:tabs>
        <w:ind w:right="-93"/>
        <w:rPr>
          <w:szCs w:val="22"/>
        </w:rPr>
      </w:pPr>
    </w:p>
    <w:p w14:paraId="3F14806B" w14:textId="77777777" w:rsidR="002B11D9" w:rsidRPr="005E5FEE" w:rsidRDefault="002B11D9" w:rsidP="005E5FEE">
      <w:pPr>
        <w:tabs>
          <w:tab w:val="center" w:pos="4568"/>
        </w:tabs>
        <w:ind w:right="-93"/>
        <w:rPr>
          <w:szCs w:val="22"/>
        </w:rPr>
      </w:pPr>
    </w:p>
    <w:p w14:paraId="108F5EF8" w14:textId="77777777" w:rsidR="002B11D9" w:rsidRPr="005E5FEE" w:rsidRDefault="002B11D9" w:rsidP="005E5FEE">
      <w:pPr>
        <w:tabs>
          <w:tab w:val="center" w:pos="4568"/>
        </w:tabs>
        <w:ind w:right="-93"/>
        <w:rPr>
          <w:szCs w:val="22"/>
        </w:rPr>
      </w:pPr>
    </w:p>
    <w:p w14:paraId="673AF841" w14:textId="77777777" w:rsidR="002B11D9" w:rsidRPr="005E5FEE" w:rsidRDefault="002B11D9" w:rsidP="005E5FEE">
      <w:pPr>
        <w:tabs>
          <w:tab w:val="center" w:pos="4568"/>
        </w:tabs>
        <w:ind w:right="-93"/>
        <w:rPr>
          <w:szCs w:val="22"/>
        </w:rPr>
      </w:pPr>
    </w:p>
    <w:p w14:paraId="5C52BD3D" w14:textId="77777777" w:rsidR="002B11D9" w:rsidRPr="005E5FEE" w:rsidRDefault="002B11D9" w:rsidP="005E5FEE">
      <w:pPr>
        <w:tabs>
          <w:tab w:val="center" w:pos="4568"/>
        </w:tabs>
        <w:ind w:right="-93"/>
        <w:rPr>
          <w:szCs w:val="22"/>
        </w:rPr>
      </w:pPr>
    </w:p>
    <w:p w14:paraId="6D32AF04" w14:textId="77777777" w:rsidR="002B11D9" w:rsidRPr="005E5FEE" w:rsidRDefault="002B11D9" w:rsidP="005E5FEE">
      <w:pPr>
        <w:rPr>
          <w:szCs w:val="22"/>
        </w:rPr>
      </w:pPr>
    </w:p>
    <w:sectPr w:rsidR="002B11D9" w:rsidRPr="005E5FEE">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43A8A" w14:textId="77777777" w:rsidR="00F348FA" w:rsidRDefault="00F348FA">
      <w:pPr>
        <w:spacing w:line="240" w:lineRule="auto"/>
      </w:pPr>
      <w:r>
        <w:separator/>
      </w:r>
    </w:p>
  </w:endnote>
  <w:endnote w:type="continuationSeparator" w:id="0">
    <w:p w14:paraId="09AF0D10" w14:textId="77777777" w:rsidR="00F348FA" w:rsidRDefault="00F3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9E0C99" w:rsidRDefault="009E0C99">
    <w:pPr>
      <w:tabs>
        <w:tab w:val="center" w:pos="4550"/>
        <w:tab w:val="left" w:pos="5818"/>
      </w:tabs>
      <w:ind w:right="260"/>
      <w:jc w:val="right"/>
      <w:rPr>
        <w:color w:val="071320"/>
        <w:sz w:val="24"/>
        <w:szCs w:val="24"/>
      </w:rPr>
    </w:pPr>
  </w:p>
  <w:p w14:paraId="6956D721" w14:textId="77777777" w:rsidR="009E0C99" w:rsidRDefault="009E0C9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5A7C069A" w:rsidR="009E0C99" w:rsidRDefault="009E0C9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F093A">
      <w:rPr>
        <w:noProof/>
        <w:color w:val="0A1D30"/>
        <w:sz w:val="24"/>
        <w:szCs w:val="24"/>
      </w:rPr>
      <w:t>21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F093A">
      <w:rPr>
        <w:noProof/>
        <w:color w:val="0A1D30"/>
        <w:sz w:val="24"/>
        <w:szCs w:val="24"/>
      </w:rPr>
      <w:t>22</w:t>
    </w:r>
    <w:r>
      <w:rPr>
        <w:color w:val="0A1D30"/>
        <w:sz w:val="24"/>
        <w:szCs w:val="24"/>
      </w:rPr>
      <w:fldChar w:fldCharType="end"/>
    </w:r>
  </w:p>
  <w:p w14:paraId="6E3F5C8E" w14:textId="77777777" w:rsidR="009E0C99" w:rsidRDefault="009E0C9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9030D" w14:textId="77777777" w:rsidR="00F348FA" w:rsidRDefault="00F348FA">
      <w:pPr>
        <w:spacing w:line="240" w:lineRule="auto"/>
      </w:pPr>
      <w:r>
        <w:separator/>
      </w:r>
    </w:p>
  </w:footnote>
  <w:footnote w:type="continuationSeparator" w:id="0">
    <w:p w14:paraId="50C20784" w14:textId="77777777" w:rsidR="00F348FA" w:rsidRDefault="00F348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9E0C99" w:rsidRDefault="009E0C99">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E0C99" w14:paraId="0D9B3EDA" w14:textId="77777777">
      <w:trPr>
        <w:trHeight w:val="144"/>
        <w:jc w:val="right"/>
      </w:trPr>
      <w:tc>
        <w:tcPr>
          <w:tcW w:w="2727" w:type="dxa"/>
        </w:tcPr>
        <w:p w14:paraId="27E11930" w14:textId="77777777" w:rsidR="009E0C99" w:rsidRDefault="009E0C99">
          <w:pPr>
            <w:tabs>
              <w:tab w:val="right" w:pos="8838"/>
            </w:tabs>
            <w:ind w:left="-74" w:right="-105"/>
            <w:rPr>
              <w:b/>
            </w:rPr>
          </w:pPr>
          <w:r>
            <w:rPr>
              <w:b/>
            </w:rPr>
            <w:t>Recurso de Revisión:</w:t>
          </w:r>
        </w:p>
      </w:tc>
      <w:tc>
        <w:tcPr>
          <w:tcW w:w="3402" w:type="dxa"/>
        </w:tcPr>
        <w:p w14:paraId="0190084E" w14:textId="5831BE93" w:rsidR="009E0C99" w:rsidRPr="00E43858" w:rsidRDefault="009E0C99" w:rsidP="005220F0">
          <w:pPr>
            <w:tabs>
              <w:tab w:val="right" w:pos="8838"/>
            </w:tabs>
            <w:ind w:left="-74" w:right="-105"/>
          </w:pPr>
          <w:r>
            <w:t>01792</w:t>
          </w:r>
          <w:r w:rsidRPr="00E43858">
            <w:t>/INFOEM/IP/RR/202</w:t>
          </w:r>
          <w:r>
            <w:t>5</w:t>
          </w:r>
          <w:r w:rsidRPr="00E43858">
            <w:t xml:space="preserve"> </w:t>
          </w:r>
        </w:p>
      </w:tc>
    </w:tr>
    <w:tr w:rsidR="009E0C99" w14:paraId="71073FBB" w14:textId="77777777">
      <w:trPr>
        <w:trHeight w:val="283"/>
        <w:jc w:val="right"/>
      </w:trPr>
      <w:tc>
        <w:tcPr>
          <w:tcW w:w="2727" w:type="dxa"/>
        </w:tcPr>
        <w:p w14:paraId="17C6F29D" w14:textId="77777777" w:rsidR="009E0C99" w:rsidRDefault="009E0C99">
          <w:pPr>
            <w:tabs>
              <w:tab w:val="right" w:pos="8838"/>
            </w:tabs>
            <w:ind w:left="-74" w:right="-105"/>
            <w:rPr>
              <w:b/>
            </w:rPr>
          </w:pPr>
          <w:r>
            <w:rPr>
              <w:b/>
            </w:rPr>
            <w:t>Sujeto Obligado:</w:t>
          </w:r>
        </w:p>
      </w:tc>
      <w:tc>
        <w:tcPr>
          <w:tcW w:w="3402" w:type="dxa"/>
        </w:tcPr>
        <w:p w14:paraId="46561F9A" w14:textId="17A3F115" w:rsidR="009E0C99" w:rsidRPr="005220F0" w:rsidRDefault="009E0C99">
          <w:pPr>
            <w:tabs>
              <w:tab w:val="left" w:pos="2834"/>
              <w:tab w:val="right" w:pos="8838"/>
            </w:tabs>
            <w:ind w:left="-108" w:right="-105"/>
          </w:pPr>
          <w:r w:rsidRPr="00CF12D7">
            <w:t xml:space="preserve">Ayuntamiento de </w:t>
          </w:r>
          <w:r w:rsidRPr="005220F0">
            <w:t>Naucalpan de Juárez</w:t>
          </w:r>
        </w:p>
      </w:tc>
    </w:tr>
    <w:tr w:rsidR="009E0C99" w14:paraId="5434ECEC" w14:textId="77777777">
      <w:trPr>
        <w:trHeight w:val="283"/>
        <w:jc w:val="right"/>
      </w:trPr>
      <w:tc>
        <w:tcPr>
          <w:tcW w:w="2727" w:type="dxa"/>
        </w:tcPr>
        <w:p w14:paraId="3E24D6EE" w14:textId="77777777" w:rsidR="009E0C99" w:rsidRDefault="009E0C99">
          <w:pPr>
            <w:tabs>
              <w:tab w:val="right" w:pos="8838"/>
            </w:tabs>
            <w:ind w:left="-74" w:right="-105"/>
            <w:rPr>
              <w:b/>
            </w:rPr>
          </w:pPr>
          <w:r>
            <w:rPr>
              <w:b/>
            </w:rPr>
            <w:t>Comisionada Ponente:</w:t>
          </w:r>
        </w:p>
      </w:tc>
      <w:tc>
        <w:tcPr>
          <w:tcW w:w="3402" w:type="dxa"/>
        </w:tcPr>
        <w:p w14:paraId="265634D1" w14:textId="77777777" w:rsidR="009E0C99" w:rsidRDefault="009E0C99">
          <w:pPr>
            <w:tabs>
              <w:tab w:val="right" w:pos="8838"/>
            </w:tabs>
            <w:ind w:left="-108" w:right="-105"/>
          </w:pPr>
          <w:r>
            <w:t>Sharon Cristina Morales Martínez</w:t>
          </w:r>
        </w:p>
      </w:tc>
    </w:tr>
  </w:tbl>
  <w:p w14:paraId="0D720004" w14:textId="77777777" w:rsidR="009E0C99" w:rsidRDefault="009E0C99">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9E0C99" w:rsidRDefault="009E0C99">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9E0C99" w14:paraId="07D4DC48" w14:textId="77777777">
      <w:trPr>
        <w:trHeight w:val="1435"/>
      </w:trPr>
      <w:tc>
        <w:tcPr>
          <w:tcW w:w="283" w:type="dxa"/>
          <w:shd w:val="clear" w:color="auto" w:fill="auto"/>
        </w:tcPr>
        <w:p w14:paraId="10AEDB3E" w14:textId="77777777" w:rsidR="009E0C99" w:rsidRDefault="009E0C99">
          <w:pPr>
            <w:tabs>
              <w:tab w:val="right" w:pos="4273"/>
            </w:tabs>
            <w:rPr>
              <w:rFonts w:ascii="Garamond" w:eastAsia="Garamond" w:hAnsi="Garamond" w:cs="Garamond"/>
            </w:rPr>
          </w:pPr>
        </w:p>
      </w:tc>
      <w:tc>
        <w:tcPr>
          <w:tcW w:w="6379" w:type="dxa"/>
          <w:shd w:val="clear" w:color="auto" w:fill="auto"/>
        </w:tcPr>
        <w:p w14:paraId="1F1DA6B4" w14:textId="77777777" w:rsidR="009E0C99" w:rsidRDefault="009E0C99">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9E0C99" w14:paraId="6CAFFB43" w14:textId="77777777">
            <w:trPr>
              <w:trHeight w:val="144"/>
            </w:trPr>
            <w:tc>
              <w:tcPr>
                <w:tcW w:w="2790" w:type="dxa"/>
              </w:tcPr>
              <w:p w14:paraId="4F90FE50" w14:textId="77777777" w:rsidR="009E0C99" w:rsidRDefault="009E0C99">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406D7C29" w:rsidR="009E0C99" w:rsidRPr="00E43858" w:rsidRDefault="009E0C99" w:rsidP="005220F0">
                <w:pPr>
                  <w:tabs>
                    <w:tab w:val="right" w:pos="8838"/>
                  </w:tabs>
                  <w:ind w:left="-74" w:right="-105"/>
                </w:pPr>
                <w:r>
                  <w:t>01792/INFOEM/IP/RR/2025</w:t>
                </w:r>
                <w:r w:rsidRPr="00E43858">
                  <w:t xml:space="preserve"> </w:t>
                </w:r>
              </w:p>
            </w:tc>
            <w:tc>
              <w:tcPr>
                <w:tcW w:w="3405" w:type="dxa"/>
              </w:tcPr>
              <w:p w14:paraId="2A287227" w14:textId="77777777" w:rsidR="009E0C99" w:rsidRDefault="009E0C99">
                <w:pPr>
                  <w:tabs>
                    <w:tab w:val="right" w:pos="8838"/>
                  </w:tabs>
                  <w:ind w:left="-74" w:right="-105"/>
                </w:pPr>
              </w:p>
            </w:tc>
          </w:tr>
          <w:tr w:rsidR="009E0C99" w14:paraId="0656BFF9" w14:textId="77777777">
            <w:trPr>
              <w:trHeight w:val="144"/>
            </w:trPr>
            <w:tc>
              <w:tcPr>
                <w:tcW w:w="2790" w:type="dxa"/>
              </w:tcPr>
              <w:p w14:paraId="364722EA" w14:textId="77777777" w:rsidR="009E0C99" w:rsidRDefault="009E0C99">
                <w:pPr>
                  <w:tabs>
                    <w:tab w:val="right" w:pos="8838"/>
                  </w:tabs>
                  <w:ind w:left="-74" w:right="-105"/>
                  <w:rPr>
                    <w:b/>
                  </w:rPr>
                </w:pPr>
                <w:bookmarkStart w:id="1" w:name="_heading=h.3o7alnk" w:colFirst="0" w:colLast="0"/>
                <w:bookmarkEnd w:id="1"/>
                <w:r>
                  <w:rPr>
                    <w:b/>
                  </w:rPr>
                  <w:t>Recurrente:</w:t>
                </w:r>
              </w:p>
            </w:tc>
            <w:tc>
              <w:tcPr>
                <w:tcW w:w="3345" w:type="dxa"/>
              </w:tcPr>
              <w:p w14:paraId="6213424C" w14:textId="4410A816" w:rsidR="009E0C99" w:rsidRDefault="00EF093A" w:rsidP="005220F0">
                <w:pPr>
                  <w:tabs>
                    <w:tab w:val="right" w:pos="8838"/>
                  </w:tabs>
                  <w:ind w:left="-74" w:right="-105"/>
                </w:pPr>
                <w:r>
                  <w:t>XXXXXXX XXXXXX XXXXXXXXXXXX</w:t>
                </w:r>
              </w:p>
            </w:tc>
            <w:tc>
              <w:tcPr>
                <w:tcW w:w="3405" w:type="dxa"/>
              </w:tcPr>
              <w:p w14:paraId="17E34EE7" w14:textId="77777777" w:rsidR="009E0C99" w:rsidRDefault="009E0C99">
                <w:pPr>
                  <w:tabs>
                    <w:tab w:val="left" w:pos="3122"/>
                    <w:tab w:val="right" w:pos="8838"/>
                  </w:tabs>
                  <w:ind w:left="-105" w:right="-105"/>
                </w:pPr>
              </w:p>
            </w:tc>
          </w:tr>
          <w:tr w:rsidR="009E0C99" w14:paraId="3FA08C30" w14:textId="77777777">
            <w:trPr>
              <w:trHeight w:val="283"/>
            </w:trPr>
            <w:tc>
              <w:tcPr>
                <w:tcW w:w="2790" w:type="dxa"/>
              </w:tcPr>
              <w:p w14:paraId="490F74F2" w14:textId="77777777" w:rsidR="009E0C99" w:rsidRDefault="009E0C99">
                <w:pPr>
                  <w:tabs>
                    <w:tab w:val="right" w:pos="8838"/>
                  </w:tabs>
                  <w:ind w:left="-74" w:right="-105"/>
                  <w:rPr>
                    <w:b/>
                  </w:rPr>
                </w:pPr>
                <w:r>
                  <w:rPr>
                    <w:b/>
                  </w:rPr>
                  <w:t>Sujeto Obligado:</w:t>
                </w:r>
              </w:p>
            </w:tc>
            <w:tc>
              <w:tcPr>
                <w:tcW w:w="3345" w:type="dxa"/>
              </w:tcPr>
              <w:p w14:paraId="7106384F" w14:textId="0BF8BA7A" w:rsidR="009E0C99" w:rsidRPr="00737DE3" w:rsidRDefault="009E0C99">
                <w:pPr>
                  <w:tabs>
                    <w:tab w:val="left" w:pos="2834"/>
                    <w:tab w:val="right" w:pos="8838"/>
                  </w:tabs>
                  <w:ind w:left="-108" w:right="-105"/>
                  <w:rPr>
                    <w:highlight w:val="yellow"/>
                  </w:rPr>
                </w:pPr>
                <w:r w:rsidRPr="00CF12D7">
                  <w:t xml:space="preserve">Ayuntamiento de </w:t>
                </w:r>
                <w:r w:rsidRPr="005220F0">
                  <w:t>Naucalpan de Juárez</w:t>
                </w:r>
              </w:p>
            </w:tc>
            <w:tc>
              <w:tcPr>
                <w:tcW w:w="3405" w:type="dxa"/>
              </w:tcPr>
              <w:p w14:paraId="16AB2B15" w14:textId="77777777" w:rsidR="009E0C99" w:rsidRDefault="009E0C99">
                <w:pPr>
                  <w:tabs>
                    <w:tab w:val="left" w:pos="2834"/>
                    <w:tab w:val="right" w:pos="8838"/>
                  </w:tabs>
                  <w:ind w:left="-108" w:right="-105"/>
                </w:pPr>
              </w:p>
            </w:tc>
          </w:tr>
          <w:tr w:rsidR="009E0C99" w14:paraId="2BEAB0A2" w14:textId="77777777">
            <w:trPr>
              <w:trHeight w:val="283"/>
            </w:trPr>
            <w:tc>
              <w:tcPr>
                <w:tcW w:w="2790" w:type="dxa"/>
              </w:tcPr>
              <w:p w14:paraId="0D2ED2D3" w14:textId="77777777" w:rsidR="009E0C99" w:rsidRDefault="009E0C99">
                <w:pPr>
                  <w:tabs>
                    <w:tab w:val="right" w:pos="8838"/>
                  </w:tabs>
                  <w:ind w:left="-74" w:right="-105"/>
                  <w:rPr>
                    <w:b/>
                  </w:rPr>
                </w:pPr>
                <w:r>
                  <w:rPr>
                    <w:b/>
                  </w:rPr>
                  <w:t>Comisionada Ponente:</w:t>
                </w:r>
              </w:p>
            </w:tc>
            <w:tc>
              <w:tcPr>
                <w:tcW w:w="3345" w:type="dxa"/>
              </w:tcPr>
              <w:p w14:paraId="585AA3C5" w14:textId="77777777" w:rsidR="009E0C99" w:rsidRDefault="009E0C99">
                <w:pPr>
                  <w:tabs>
                    <w:tab w:val="right" w:pos="8838"/>
                  </w:tabs>
                  <w:ind w:left="-108" w:right="-105"/>
                </w:pPr>
                <w:r>
                  <w:t>Sharon Cristina Morales Martínez</w:t>
                </w:r>
              </w:p>
            </w:tc>
            <w:tc>
              <w:tcPr>
                <w:tcW w:w="3405" w:type="dxa"/>
              </w:tcPr>
              <w:p w14:paraId="2849A278" w14:textId="77777777" w:rsidR="009E0C99" w:rsidRDefault="009E0C99">
                <w:pPr>
                  <w:tabs>
                    <w:tab w:val="right" w:pos="8838"/>
                  </w:tabs>
                  <w:ind w:left="-108" w:right="-105"/>
                </w:pPr>
              </w:p>
            </w:tc>
          </w:tr>
        </w:tbl>
        <w:p w14:paraId="658704ED" w14:textId="77777777" w:rsidR="009E0C99" w:rsidRDefault="009E0C99">
          <w:pPr>
            <w:tabs>
              <w:tab w:val="right" w:pos="8838"/>
            </w:tabs>
            <w:ind w:left="-28"/>
            <w:rPr>
              <w:rFonts w:ascii="Arial" w:eastAsia="Arial" w:hAnsi="Arial" w:cs="Arial"/>
              <w:b/>
            </w:rPr>
          </w:pPr>
        </w:p>
      </w:tc>
    </w:tr>
  </w:tbl>
  <w:p w14:paraId="0C136404" w14:textId="77777777" w:rsidR="009E0C99" w:rsidRDefault="00F348F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847A8"/>
    <w:multiLevelType w:val="hybridMultilevel"/>
    <w:tmpl w:val="8004B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065F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2A213C"/>
    <w:multiLevelType w:val="hybridMultilevel"/>
    <w:tmpl w:val="83EC9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430B51"/>
    <w:multiLevelType w:val="hybridMultilevel"/>
    <w:tmpl w:val="F244E042"/>
    <w:lvl w:ilvl="0" w:tplc="8BC22258">
      <w:start w:val="3"/>
      <w:numFmt w:val="bullet"/>
      <w:lvlText w:val="-"/>
      <w:lvlJc w:val="left"/>
      <w:pPr>
        <w:ind w:left="1080" w:hanging="360"/>
      </w:pPr>
      <w:rPr>
        <w:rFonts w:ascii="Palatino Linotype" w:eastAsia="Times New Roman" w:hAnsi="Palatino Linotype" w:cs="Times New Roman" w:hint="default"/>
        <w:b/>
        <w:i/>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FF5260"/>
    <w:multiLevelType w:val="hybridMultilevel"/>
    <w:tmpl w:val="CAB2BA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C4FA6"/>
    <w:multiLevelType w:val="multilevel"/>
    <w:tmpl w:val="D17E5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CE639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8144B6"/>
    <w:multiLevelType w:val="hybridMultilevel"/>
    <w:tmpl w:val="76088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C27391A"/>
    <w:multiLevelType w:val="hybridMultilevel"/>
    <w:tmpl w:val="B17E9E6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E23799"/>
    <w:multiLevelType w:val="hybridMultilevel"/>
    <w:tmpl w:val="FD2C493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35"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7"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DD602D"/>
    <w:multiLevelType w:val="hybridMultilevel"/>
    <w:tmpl w:val="0FAA3EEE"/>
    <w:lvl w:ilvl="0" w:tplc="080A0001">
      <w:start w:val="7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1"/>
  </w:num>
  <w:num w:numId="3">
    <w:abstractNumId w:val="23"/>
  </w:num>
  <w:num w:numId="4">
    <w:abstractNumId w:val="32"/>
  </w:num>
  <w:num w:numId="5">
    <w:abstractNumId w:val="0"/>
  </w:num>
  <w:num w:numId="6">
    <w:abstractNumId w:val="29"/>
  </w:num>
  <w:num w:numId="7">
    <w:abstractNumId w:val="39"/>
  </w:num>
  <w:num w:numId="8">
    <w:abstractNumId w:val="35"/>
  </w:num>
  <w:num w:numId="9">
    <w:abstractNumId w:val="13"/>
  </w:num>
  <w:num w:numId="10">
    <w:abstractNumId w:val="19"/>
  </w:num>
  <w:num w:numId="11">
    <w:abstractNumId w:val="5"/>
  </w:num>
  <w:num w:numId="12">
    <w:abstractNumId w:val="2"/>
  </w:num>
  <w:num w:numId="13">
    <w:abstractNumId w:val="26"/>
  </w:num>
  <w:num w:numId="14">
    <w:abstractNumId w:val="8"/>
  </w:num>
  <w:num w:numId="15">
    <w:abstractNumId w:val="11"/>
  </w:num>
  <w:num w:numId="16">
    <w:abstractNumId w:val="31"/>
  </w:num>
  <w:num w:numId="17">
    <w:abstractNumId w:val="33"/>
  </w:num>
  <w:num w:numId="18">
    <w:abstractNumId w:val="3"/>
  </w:num>
  <w:num w:numId="19">
    <w:abstractNumId w:val="38"/>
  </w:num>
  <w:num w:numId="20">
    <w:abstractNumId w:val="40"/>
  </w:num>
  <w:num w:numId="21">
    <w:abstractNumId w:val="25"/>
  </w:num>
  <w:num w:numId="22">
    <w:abstractNumId w:val="37"/>
  </w:num>
  <w:num w:numId="23">
    <w:abstractNumId w:val="15"/>
  </w:num>
  <w:num w:numId="24">
    <w:abstractNumId w:val="42"/>
  </w:num>
  <w:num w:numId="25">
    <w:abstractNumId w:val="28"/>
  </w:num>
  <w:num w:numId="26">
    <w:abstractNumId w:val="36"/>
  </w:num>
  <w:num w:numId="27">
    <w:abstractNumId w:val="20"/>
  </w:num>
  <w:num w:numId="28">
    <w:abstractNumId w:val="1"/>
  </w:num>
  <w:num w:numId="29">
    <w:abstractNumId w:val="34"/>
  </w:num>
  <w:num w:numId="30">
    <w:abstractNumId w:val="22"/>
  </w:num>
  <w:num w:numId="31">
    <w:abstractNumId w:val="16"/>
  </w:num>
  <w:num w:numId="32">
    <w:abstractNumId w:val="27"/>
  </w:num>
  <w:num w:numId="33">
    <w:abstractNumId w:val="18"/>
  </w:num>
  <w:num w:numId="34">
    <w:abstractNumId w:val="6"/>
  </w:num>
  <w:num w:numId="35">
    <w:abstractNumId w:val="30"/>
  </w:num>
  <w:num w:numId="36">
    <w:abstractNumId w:val="4"/>
  </w:num>
  <w:num w:numId="37">
    <w:abstractNumId w:val="24"/>
  </w:num>
  <w:num w:numId="38">
    <w:abstractNumId w:val="14"/>
  </w:num>
  <w:num w:numId="39">
    <w:abstractNumId w:val="9"/>
  </w:num>
  <w:num w:numId="40">
    <w:abstractNumId w:val="12"/>
  </w:num>
  <w:num w:numId="41">
    <w:abstractNumId w:val="10"/>
  </w:num>
  <w:num w:numId="42">
    <w:abstractNumId w:val="4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34C5C"/>
    <w:rsid w:val="00036E41"/>
    <w:rsid w:val="000470DF"/>
    <w:rsid w:val="00050E16"/>
    <w:rsid w:val="00051331"/>
    <w:rsid w:val="0005205B"/>
    <w:rsid w:val="000521AB"/>
    <w:rsid w:val="00060361"/>
    <w:rsid w:val="0006761C"/>
    <w:rsid w:val="000828F4"/>
    <w:rsid w:val="00084868"/>
    <w:rsid w:val="00090FAC"/>
    <w:rsid w:val="000955A6"/>
    <w:rsid w:val="000B11AC"/>
    <w:rsid w:val="000B4924"/>
    <w:rsid w:val="000B7111"/>
    <w:rsid w:val="000B7D6E"/>
    <w:rsid w:val="000C270A"/>
    <w:rsid w:val="000D2848"/>
    <w:rsid w:val="000D33B0"/>
    <w:rsid w:val="000D5826"/>
    <w:rsid w:val="000D600D"/>
    <w:rsid w:val="000D7B24"/>
    <w:rsid w:val="000E3DF1"/>
    <w:rsid w:val="000E42CA"/>
    <w:rsid w:val="000E5873"/>
    <w:rsid w:val="000E5967"/>
    <w:rsid w:val="000F553A"/>
    <w:rsid w:val="000F5CB6"/>
    <w:rsid w:val="000F5EF1"/>
    <w:rsid w:val="0010000B"/>
    <w:rsid w:val="00105487"/>
    <w:rsid w:val="001126E3"/>
    <w:rsid w:val="00114C81"/>
    <w:rsid w:val="00131BE1"/>
    <w:rsid w:val="00134FA1"/>
    <w:rsid w:val="00135023"/>
    <w:rsid w:val="00155E4A"/>
    <w:rsid w:val="0016145D"/>
    <w:rsid w:val="001621AE"/>
    <w:rsid w:val="00167E06"/>
    <w:rsid w:val="0017354D"/>
    <w:rsid w:val="00176DA1"/>
    <w:rsid w:val="00191CF7"/>
    <w:rsid w:val="00193492"/>
    <w:rsid w:val="001A6D05"/>
    <w:rsid w:val="001B5316"/>
    <w:rsid w:val="001B7238"/>
    <w:rsid w:val="001C0893"/>
    <w:rsid w:val="001C12D6"/>
    <w:rsid w:val="001C1369"/>
    <w:rsid w:val="001C428F"/>
    <w:rsid w:val="001C660F"/>
    <w:rsid w:val="001C77EC"/>
    <w:rsid w:val="001D3D68"/>
    <w:rsid w:val="001E3743"/>
    <w:rsid w:val="001F3976"/>
    <w:rsid w:val="001F4F40"/>
    <w:rsid w:val="001F5FC3"/>
    <w:rsid w:val="00210D17"/>
    <w:rsid w:val="00217A55"/>
    <w:rsid w:val="002205B7"/>
    <w:rsid w:val="002363EB"/>
    <w:rsid w:val="002366E5"/>
    <w:rsid w:val="00240BB6"/>
    <w:rsid w:val="00247497"/>
    <w:rsid w:val="00251076"/>
    <w:rsid w:val="00283837"/>
    <w:rsid w:val="00290706"/>
    <w:rsid w:val="00290F13"/>
    <w:rsid w:val="002A28CE"/>
    <w:rsid w:val="002A3FDC"/>
    <w:rsid w:val="002A72FE"/>
    <w:rsid w:val="002B11D9"/>
    <w:rsid w:val="002B24B6"/>
    <w:rsid w:val="002B599D"/>
    <w:rsid w:val="002C26FC"/>
    <w:rsid w:val="002D1F4F"/>
    <w:rsid w:val="00300DA3"/>
    <w:rsid w:val="00317E05"/>
    <w:rsid w:val="00322DE3"/>
    <w:rsid w:val="003248B8"/>
    <w:rsid w:val="00324E04"/>
    <w:rsid w:val="00325427"/>
    <w:rsid w:val="003263B2"/>
    <w:rsid w:val="0032654E"/>
    <w:rsid w:val="00326E22"/>
    <w:rsid w:val="0032750C"/>
    <w:rsid w:val="003278EC"/>
    <w:rsid w:val="0033679A"/>
    <w:rsid w:val="00352A5B"/>
    <w:rsid w:val="00365E5D"/>
    <w:rsid w:val="00382FEF"/>
    <w:rsid w:val="0038711B"/>
    <w:rsid w:val="00387BDF"/>
    <w:rsid w:val="003D41EA"/>
    <w:rsid w:val="003E4487"/>
    <w:rsid w:val="003F521F"/>
    <w:rsid w:val="00400B8C"/>
    <w:rsid w:val="00407396"/>
    <w:rsid w:val="00421000"/>
    <w:rsid w:val="00421C6E"/>
    <w:rsid w:val="0043233B"/>
    <w:rsid w:val="00432402"/>
    <w:rsid w:val="00437BFC"/>
    <w:rsid w:val="0044614C"/>
    <w:rsid w:val="00453556"/>
    <w:rsid w:val="00466868"/>
    <w:rsid w:val="004757B0"/>
    <w:rsid w:val="00476551"/>
    <w:rsid w:val="0047718C"/>
    <w:rsid w:val="00483D29"/>
    <w:rsid w:val="00492EA4"/>
    <w:rsid w:val="00497546"/>
    <w:rsid w:val="004A011D"/>
    <w:rsid w:val="004A1070"/>
    <w:rsid w:val="004A3433"/>
    <w:rsid w:val="004A4AA5"/>
    <w:rsid w:val="004D4360"/>
    <w:rsid w:val="004E4285"/>
    <w:rsid w:val="004E7127"/>
    <w:rsid w:val="004F59D6"/>
    <w:rsid w:val="00502F3C"/>
    <w:rsid w:val="00506730"/>
    <w:rsid w:val="005201C8"/>
    <w:rsid w:val="005202C2"/>
    <w:rsid w:val="00520C66"/>
    <w:rsid w:val="005220F0"/>
    <w:rsid w:val="005315C2"/>
    <w:rsid w:val="0053716F"/>
    <w:rsid w:val="00572C31"/>
    <w:rsid w:val="00575FA4"/>
    <w:rsid w:val="00583B5F"/>
    <w:rsid w:val="0059020D"/>
    <w:rsid w:val="005A1DCB"/>
    <w:rsid w:val="005A7A29"/>
    <w:rsid w:val="005D1356"/>
    <w:rsid w:val="005E5FEE"/>
    <w:rsid w:val="005F6CC7"/>
    <w:rsid w:val="005F7177"/>
    <w:rsid w:val="0060153D"/>
    <w:rsid w:val="006027DF"/>
    <w:rsid w:val="00602ACA"/>
    <w:rsid w:val="00602E1E"/>
    <w:rsid w:val="0060676F"/>
    <w:rsid w:val="00633FBD"/>
    <w:rsid w:val="006426A9"/>
    <w:rsid w:val="00670C38"/>
    <w:rsid w:val="00680595"/>
    <w:rsid w:val="00686164"/>
    <w:rsid w:val="00692AAF"/>
    <w:rsid w:val="00697EE5"/>
    <w:rsid w:val="006A5807"/>
    <w:rsid w:val="006A6B1A"/>
    <w:rsid w:val="006D0732"/>
    <w:rsid w:val="006D169C"/>
    <w:rsid w:val="006F2AC9"/>
    <w:rsid w:val="00706BBF"/>
    <w:rsid w:val="00712E23"/>
    <w:rsid w:val="00716C11"/>
    <w:rsid w:val="007176B5"/>
    <w:rsid w:val="007262EE"/>
    <w:rsid w:val="00727552"/>
    <w:rsid w:val="00732DB5"/>
    <w:rsid w:val="00737DE3"/>
    <w:rsid w:val="00742E15"/>
    <w:rsid w:val="00743588"/>
    <w:rsid w:val="00751776"/>
    <w:rsid w:val="0075459A"/>
    <w:rsid w:val="0076015C"/>
    <w:rsid w:val="00775026"/>
    <w:rsid w:val="007860D6"/>
    <w:rsid w:val="0078667E"/>
    <w:rsid w:val="00795D20"/>
    <w:rsid w:val="007B2DF6"/>
    <w:rsid w:val="007E00DB"/>
    <w:rsid w:val="007F2745"/>
    <w:rsid w:val="0080475F"/>
    <w:rsid w:val="008063A5"/>
    <w:rsid w:val="00812D8B"/>
    <w:rsid w:val="00815E38"/>
    <w:rsid w:val="008225E9"/>
    <w:rsid w:val="00875119"/>
    <w:rsid w:val="008755F9"/>
    <w:rsid w:val="00895DB5"/>
    <w:rsid w:val="008C4CBE"/>
    <w:rsid w:val="008E0413"/>
    <w:rsid w:val="008F496E"/>
    <w:rsid w:val="00900821"/>
    <w:rsid w:val="009047DE"/>
    <w:rsid w:val="00904CC0"/>
    <w:rsid w:val="00911794"/>
    <w:rsid w:val="009123BE"/>
    <w:rsid w:val="009224ED"/>
    <w:rsid w:val="00945355"/>
    <w:rsid w:val="009459E1"/>
    <w:rsid w:val="00946782"/>
    <w:rsid w:val="009539DF"/>
    <w:rsid w:val="00964083"/>
    <w:rsid w:val="009773B7"/>
    <w:rsid w:val="009921EE"/>
    <w:rsid w:val="00996FCF"/>
    <w:rsid w:val="009B4DA5"/>
    <w:rsid w:val="009C6FFB"/>
    <w:rsid w:val="009D656C"/>
    <w:rsid w:val="009E0C99"/>
    <w:rsid w:val="009E18B2"/>
    <w:rsid w:val="009E5A62"/>
    <w:rsid w:val="00A027DE"/>
    <w:rsid w:val="00A11BCA"/>
    <w:rsid w:val="00A174AD"/>
    <w:rsid w:val="00A2512A"/>
    <w:rsid w:val="00A31783"/>
    <w:rsid w:val="00A379DD"/>
    <w:rsid w:val="00A40AE4"/>
    <w:rsid w:val="00A44643"/>
    <w:rsid w:val="00A50B3F"/>
    <w:rsid w:val="00A7186C"/>
    <w:rsid w:val="00A77AB3"/>
    <w:rsid w:val="00A8009F"/>
    <w:rsid w:val="00A84851"/>
    <w:rsid w:val="00A84F9D"/>
    <w:rsid w:val="00A91718"/>
    <w:rsid w:val="00A9674B"/>
    <w:rsid w:val="00AC6B4A"/>
    <w:rsid w:val="00AD418B"/>
    <w:rsid w:val="00B05724"/>
    <w:rsid w:val="00B1246E"/>
    <w:rsid w:val="00B2633D"/>
    <w:rsid w:val="00B33781"/>
    <w:rsid w:val="00B35406"/>
    <w:rsid w:val="00B42E7B"/>
    <w:rsid w:val="00B47A84"/>
    <w:rsid w:val="00B55678"/>
    <w:rsid w:val="00B637B4"/>
    <w:rsid w:val="00B73983"/>
    <w:rsid w:val="00B95674"/>
    <w:rsid w:val="00B96B00"/>
    <w:rsid w:val="00BA6B9F"/>
    <w:rsid w:val="00BC1D2B"/>
    <w:rsid w:val="00BC1E0C"/>
    <w:rsid w:val="00BD06D1"/>
    <w:rsid w:val="00BD2B5E"/>
    <w:rsid w:val="00BD59B1"/>
    <w:rsid w:val="00BD6B68"/>
    <w:rsid w:val="00BF779F"/>
    <w:rsid w:val="00C11483"/>
    <w:rsid w:val="00C15ABB"/>
    <w:rsid w:val="00C32CB5"/>
    <w:rsid w:val="00C65269"/>
    <w:rsid w:val="00CA33C7"/>
    <w:rsid w:val="00CB091A"/>
    <w:rsid w:val="00CB4E1B"/>
    <w:rsid w:val="00CC6C3B"/>
    <w:rsid w:val="00CE6A7F"/>
    <w:rsid w:val="00CF0519"/>
    <w:rsid w:val="00CF12D7"/>
    <w:rsid w:val="00CF6D5B"/>
    <w:rsid w:val="00D03F32"/>
    <w:rsid w:val="00D04833"/>
    <w:rsid w:val="00D0620A"/>
    <w:rsid w:val="00D12525"/>
    <w:rsid w:val="00D2797F"/>
    <w:rsid w:val="00D34440"/>
    <w:rsid w:val="00D35494"/>
    <w:rsid w:val="00D45240"/>
    <w:rsid w:val="00D47FDB"/>
    <w:rsid w:val="00D707EC"/>
    <w:rsid w:val="00D72F5D"/>
    <w:rsid w:val="00D76749"/>
    <w:rsid w:val="00D858BC"/>
    <w:rsid w:val="00D870AB"/>
    <w:rsid w:val="00D92D40"/>
    <w:rsid w:val="00D93A0D"/>
    <w:rsid w:val="00D96A09"/>
    <w:rsid w:val="00D96DE4"/>
    <w:rsid w:val="00DA1852"/>
    <w:rsid w:val="00DA57F8"/>
    <w:rsid w:val="00DA71D0"/>
    <w:rsid w:val="00DC4D39"/>
    <w:rsid w:val="00DC66A5"/>
    <w:rsid w:val="00DE4BA1"/>
    <w:rsid w:val="00E105B0"/>
    <w:rsid w:val="00E27DD5"/>
    <w:rsid w:val="00E424B0"/>
    <w:rsid w:val="00E43858"/>
    <w:rsid w:val="00E44EBA"/>
    <w:rsid w:val="00E46E50"/>
    <w:rsid w:val="00E50421"/>
    <w:rsid w:val="00E51E50"/>
    <w:rsid w:val="00E54A54"/>
    <w:rsid w:val="00E61AC3"/>
    <w:rsid w:val="00E61C36"/>
    <w:rsid w:val="00E71D62"/>
    <w:rsid w:val="00EA0D99"/>
    <w:rsid w:val="00EA2905"/>
    <w:rsid w:val="00EB0438"/>
    <w:rsid w:val="00EC13AD"/>
    <w:rsid w:val="00EC3D52"/>
    <w:rsid w:val="00ED0C1D"/>
    <w:rsid w:val="00ED16CA"/>
    <w:rsid w:val="00ED4973"/>
    <w:rsid w:val="00EF093A"/>
    <w:rsid w:val="00EF2D8D"/>
    <w:rsid w:val="00EF53D2"/>
    <w:rsid w:val="00EF7B58"/>
    <w:rsid w:val="00F01BEA"/>
    <w:rsid w:val="00F023FC"/>
    <w:rsid w:val="00F067ED"/>
    <w:rsid w:val="00F10C1B"/>
    <w:rsid w:val="00F1249A"/>
    <w:rsid w:val="00F16E3A"/>
    <w:rsid w:val="00F3381B"/>
    <w:rsid w:val="00F348FA"/>
    <w:rsid w:val="00F36219"/>
    <w:rsid w:val="00F465D2"/>
    <w:rsid w:val="00F53262"/>
    <w:rsid w:val="00F64803"/>
    <w:rsid w:val="00F82DB2"/>
    <w:rsid w:val="00F86BF3"/>
    <w:rsid w:val="00F9328E"/>
    <w:rsid w:val="00F94C2B"/>
    <w:rsid w:val="00F97DF9"/>
    <w:rsid w:val="00FA569C"/>
    <w:rsid w:val="00FA6B94"/>
    <w:rsid w:val="00FB5184"/>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0768">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300766515">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 w:id="1697729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CF4156-1705-4A1C-AE94-DD294945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5689</Words>
  <Characters>31290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2025-04-10T17:56:00Z</cp:lastPrinted>
  <dcterms:created xsi:type="dcterms:W3CDTF">2025-03-31T20:10:00Z</dcterms:created>
  <dcterms:modified xsi:type="dcterms:W3CDTF">2025-04-29T18:21:00Z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