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09DCF" w14:textId="77777777" w:rsidR="00466168" w:rsidRPr="00CA13A3" w:rsidRDefault="00466168" w:rsidP="00466168">
      <w:pPr>
        <w:spacing w:before="240" w:after="240" w:line="360" w:lineRule="auto"/>
        <w:jc w:val="both"/>
        <w:rPr>
          <w:rFonts w:ascii="Palatino Linotype" w:hAnsi="Palatino Linotype"/>
          <w:sz w:val="22"/>
          <w:szCs w:val="22"/>
        </w:rPr>
      </w:pPr>
      <w:r w:rsidRPr="00CA13A3">
        <w:rPr>
          <w:rFonts w:ascii="Palatino Linotype" w:hAnsi="Palatino Linotype"/>
          <w:sz w:val="22"/>
          <w:szCs w:val="22"/>
        </w:rPr>
        <w:t>Resolución del Pleno del Instituto de Transparencia, Acceso a la Información Pública y Protección de Datos Personales del Estado de México y Municipios, con domicilio en Metepec, Estado de México; del doce de febrero de dos mil veinticinco.</w:t>
      </w:r>
    </w:p>
    <w:p w14:paraId="76309DD0" w14:textId="36EAFE40" w:rsidR="00466168" w:rsidRPr="00CA13A3" w:rsidRDefault="00466168" w:rsidP="00466168">
      <w:pPr>
        <w:pStyle w:val="Encabezado"/>
        <w:spacing w:line="360" w:lineRule="auto"/>
        <w:jc w:val="both"/>
        <w:rPr>
          <w:rFonts w:ascii="Palatino Linotype" w:hAnsi="Palatino Linotype"/>
          <w:sz w:val="22"/>
          <w:szCs w:val="22"/>
        </w:rPr>
      </w:pPr>
      <w:r w:rsidRPr="00CA13A3">
        <w:rPr>
          <w:rFonts w:ascii="Palatino Linotype" w:hAnsi="Palatino Linotype"/>
          <w:b/>
          <w:sz w:val="22"/>
          <w:szCs w:val="22"/>
        </w:rPr>
        <w:t>VISTO el</w:t>
      </w:r>
      <w:r w:rsidRPr="00CA13A3">
        <w:rPr>
          <w:rFonts w:ascii="Palatino Linotype" w:hAnsi="Palatino Linotype"/>
          <w:sz w:val="22"/>
          <w:szCs w:val="22"/>
        </w:rPr>
        <w:t xml:space="preserve"> expediente electrónico formado con motivo del recurso de revisión </w:t>
      </w:r>
      <w:r w:rsidRPr="00CA13A3">
        <w:rPr>
          <w:rFonts w:ascii="Palatino Linotype" w:eastAsia="Calibri" w:hAnsi="Palatino Linotype" w:cs="Tahoma"/>
          <w:b/>
          <w:sz w:val="22"/>
          <w:szCs w:val="22"/>
          <w:lang w:eastAsia="en-US"/>
        </w:rPr>
        <w:t>01498/INFOEM/IP/RR/2024</w:t>
      </w:r>
      <w:r w:rsidRPr="00CA13A3">
        <w:rPr>
          <w:rFonts w:ascii="Palatino Linotype" w:hAnsi="Palatino Linotype"/>
          <w:b/>
          <w:sz w:val="22"/>
          <w:szCs w:val="22"/>
        </w:rPr>
        <w:t xml:space="preserve">, </w:t>
      </w:r>
      <w:r w:rsidRPr="00CA13A3">
        <w:rPr>
          <w:rFonts w:ascii="Palatino Linotype" w:hAnsi="Palatino Linotype"/>
          <w:sz w:val="22"/>
          <w:szCs w:val="22"/>
        </w:rPr>
        <w:t xml:space="preserve">promovido por </w:t>
      </w:r>
      <w:r w:rsidR="00686C92">
        <w:rPr>
          <w:rFonts w:ascii="Palatino Linotype" w:hAnsi="Palatino Linotype"/>
          <w:b/>
          <w:sz w:val="22"/>
          <w:szCs w:val="22"/>
        </w:rPr>
        <w:t>XXXXXXXXXX</w:t>
      </w:r>
      <w:r w:rsidRPr="00CA13A3">
        <w:rPr>
          <w:rFonts w:ascii="Palatino Linotype" w:eastAsia="Calibri" w:hAnsi="Palatino Linotype" w:cs="Tahoma"/>
          <w:b/>
          <w:sz w:val="22"/>
          <w:szCs w:val="22"/>
          <w:lang w:eastAsia="en-US"/>
        </w:rPr>
        <w:t>,</w:t>
      </w:r>
      <w:r w:rsidRPr="00CA13A3">
        <w:rPr>
          <w:rFonts w:ascii="Palatino Linotype" w:hAnsi="Palatino Linotype"/>
          <w:sz w:val="22"/>
          <w:szCs w:val="22"/>
        </w:rPr>
        <w:t xml:space="preserve"> y que se identificará como </w:t>
      </w:r>
      <w:r w:rsidRPr="00CA13A3">
        <w:rPr>
          <w:rFonts w:ascii="Palatino Linotype" w:hAnsi="Palatino Linotype"/>
          <w:b/>
          <w:sz w:val="22"/>
          <w:szCs w:val="22"/>
        </w:rPr>
        <w:t>RECURRENTE</w:t>
      </w:r>
      <w:r w:rsidRPr="00CA13A3">
        <w:rPr>
          <w:rFonts w:ascii="Palatino Linotype" w:hAnsi="Palatino Linotype" w:cs="Arial"/>
          <w:sz w:val="22"/>
          <w:szCs w:val="22"/>
        </w:rPr>
        <w:t xml:space="preserve">, en contra de la respuesta de la </w:t>
      </w:r>
      <w:r w:rsidRPr="00CA13A3">
        <w:rPr>
          <w:rFonts w:ascii="Palatino Linotype" w:eastAsia="Calibri" w:hAnsi="Palatino Linotype" w:cs="Arial"/>
          <w:b/>
          <w:bCs/>
          <w:sz w:val="22"/>
          <w:szCs w:val="22"/>
        </w:rPr>
        <w:t>Secretaría de Educación, Ciencia, Tecnología e Innovación</w:t>
      </w:r>
      <w:r w:rsidRPr="00CA13A3">
        <w:rPr>
          <w:rFonts w:ascii="Palatino Linotype" w:hAnsi="Palatino Linotype" w:cs="Arial"/>
          <w:sz w:val="22"/>
          <w:szCs w:val="22"/>
        </w:rPr>
        <w:t>,</w:t>
      </w:r>
      <w:r w:rsidRPr="00CA13A3">
        <w:rPr>
          <w:rFonts w:ascii="Palatino Linotype" w:hAnsi="Palatino Linotype"/>
          <w:b/>
          <w:sz w:val="22"/>
          <w:szCs w:val="22"/>
        </w:rPr>
        <w:t xml:space="preserve"> </w:t>
      </w:r>
      <w:r w:rsidRPr="00CA13A3">
        <w:rPr>
          <w:rFonts w:ascii="Palatino Linotype" w:hAnsi="Palatino Linotype"/>
          <w:sz w:val="22"/>
          <w:szCs w:val="22"/>
        </w:rPr>
        <w:t>en lo sucesivo el</w:t>
      </w:r>
      <w:r w:rsidRPr="00CA13A3">
        <w:rPr>
          <w:rFonts w:ascii="Palatino Linotype" w:hAnsi="Palatino Linotype"/>
          <w:b/>
          <w:sz w:val="22"/>
          <w:szCs w:val="22"/>
        </w:rPr>
        <w:t xml:space="preserve"> SUJETO OBLIGADO, </w:t>
      </w:r>
      <w:r w:rsidRPr="00CA13A3">
        <w:rPr>
          <w:rFonts w:ascii="Palatino Linotype" w:hAnsi="Palatino Linotype"/>
          <w:sz w:val="22"/>
          <w:szCs w:val="22"/>
        </w:rPr>
        <w:t>se procede a dictar la presente resolución, con base en los siguientes:</w:t>
      </w:r>
    </w:p>
    <w:p w14:paraId="76309DD1" w14:textId="77777777" w:rsidR="00466168" w:rsidRPr="00CA13A3" w:rsidRDefault="00466168" w:rsidP="00466168">
      <w:pPr>
        <w:pStyle w:val="Ttulo1"/>
        <w:jc w:val="center"/>
        <w:rPr>
          <w:rFonts w:ascii="Palatino Linotype" w:hAnsi="Palatino Linotype"/>
          <w:b/>
          <w:color w:val="auto"/>
          <w:sz w:val="22"/>
          <w:szCs w:val="22"/>
        </w:rPr>
      </w:pPr>
      <w:bookmarkStart w:id="0" w:name="_Toc87549671"/>
      <w:r w:rsidRPr="00CA13A3">
        <w:rPr>
          <w:rFonts w:ascii="Palatino Linotype" w:hAnsi="Palatino Linotype"/>
          <w:b/>
          <w:color w:val="auto"/>
          <w:sz w:val="22"/>
          <w:szCs w:val="22"/>
        </w:rPr>
        <w:t>ANTECEDENTES</w:t>
      </w:r>
      <w:bookmarkEnd w:id="0"/>
    </w:p>
    <w:p w14:paraId="76309DD2" w14:textId="77777777" w:rsidR="00466168" w:rsidRPr="00CA13A3" w:rsidRDefault="00466168" w:rsidP="00466168">
      <w:pPr>
        <w:rPr>
          <w:rFonts w:ascii="Palatino Linotype" w:hAnsi="Palatino Linotype"/>
          <w:sz w:val="22"/>
          <w:szCs w:val="22"/>
          <w:lang w:eastAsia="en-US"/>
        </w:rPr>
      </w:pPr>
    </w:p>
    <w:p w14:paraId="76309DD3" w14:textId="77777777" w:rsidR="00466168" w:rsidRPr="00CA13A3" w:rsidRDefault="00466168" w:rsidP="00466168">
      <w:pPr>
        <w:pStyle w:val="Prrafodelista"/>
        <w:numPr>
          <w:ilvl w:val="0"/>
          <w:numId w:val="2"/>
        </w:numPr>
        <w:spacing w:line="360" w:lineRule="auto"/>
        <w:ind w:left="0" w:firstLine="0"/>
        <w:jc w:val="both"/>
        <w:rPr>
          <w:rFonts w:ascii="Palatino Linotype" w:hAnsi="Palatino Linotype" w:cs="Arial"/>
          <w:szCs w:val="22"/>
          <w:lang w:val="es-ES"/>
        </w:rPr>
      </w:pPr>
      <w:r w:rsidRPr="00CA13A3">
        <w:rPr>
          <w:rFonts w:ascii="Palatino Linotype" w:eastAsia="Calibri" w:hAnsi="Palatino Linotype" w:cs="Arial"/>
          <w:szCs w:val="22"/>
          <w:lang w:val="es-ES"/>
        </w:rPr>
        <w:t xml:space="preserve">El </w:t>
      </w:r>
      <w:r w:rsidRPr="00CA13A3">
        <w:rPr>
          <w:rFonts w:ascii="Palatino Linotype" w:eastAsia="Calibri" w:hAnsi="Palatino Linotype" w:cs="Arial"/>
          <w:b/>
          <w:szCs w:val="22"/>
          <w:lang w:val="es-ES"/>
        </w:rPr>
        <w:t>catorce de marzo de dos mil veinticuatro</w:t>
      </w:r>
      <w:r w:rsidRPr="00CA13A3">
        <w:rPr>
          <w:rFonts w:ascii="Palatino Linotype" w:eastAsia="Calibri" w:hAnsi="Palatino Linotype" w:cs="Arial"/>
          <w:szCs w:val="22"/>
          <w:lang w:val="es-ES"/>
        </w:rPr>
        <w:t>,</w:t>
      </w:r>
      <w:r w:rsidRPr="00CA13A3">
        <w:rPr>
          <w:rFonts w:ascii="Palatino Linotype" w:eastAsia="Calibri" w:hAnsi="Palatino Linotype"/>
          <w:szCs w:val="22"/>
          <w:lang w:val="es-ES"/>
        </w:rPr>
        <w:t xml:space="preserve"> </w:t>
      </w:r>
      <w:r w:rsidRPr="00CA13A3">
        <w:rPr>
          <w:rFonts w:ascii="Palatino Linotype" w:eastAsia="Calibri" w:hAnsi="Palatino Linotype"/>
          <w:b/>
          <w:szCs w:val="22"/>
          <w:lang w:val="es-ES"/>
        </w:rPr>
        <w:t xml:space="preserve">EL RECURRENTE </w:t>
      </w:r>
      <w:r w:rsidRPr="00CA13A3">
        <w:rPr>
          <w:rFonts w:ascii="Palatino Linotype" w:eastAsia="Calibri" w:hAnsi="Palatino Linotype"/>
          <w:bCs/>
          <w:szCs w:val="22"/>
          <w:lang w:val="es-ES"/>
        </w:rPr>
        <w:t>presentó</w:t>
      </w:r>
      <w:r w:rsidRPr="00CA13A3">
        <w:rPr>
          <w:rFonts w:ascii="Palatino Linotype" w:hAnsi="Palatino Linotype"/>
          <w:b/>
          <w:szCs w:val="22"/>
        </w:rPr>
        <w:t>,</w:t>
      </w:r>
      <w:r w:rsidRPr="00CA13A3">
        <w:rPr>
          <w:rFonts w:ascii="Palatino Linotype" w:eastAsia="Calibri" w:hAnsi="Palatino Linotype" w:cs="Arial"/>
          <w:szCs w:val="22"/>
          <w:lang w:val="es-ES"/>
        </w:rPr>
        <w:t xml:space="preserve"> ante el </w:t>
      </w:r>
      <w:r w:rsidRPr="00CA13A3">
        <w:rPr>
          <w:rFonts w:ascii="Palatino Linotype" w:eastAsia="Calibri" w:hAnsi="Palatino Linotype" w:cs="Arial"/>
          <w:b/>
          <w:szCs w:val="22"/>
          <w:lang w:val="es-ES"/>
        </w:rPr>
        <w:t>SUJETO OBLIGADO</w:t>
      </w:r>
      <w:r w:rsidRPr="00CA13A3">
        <w:rPr>
          <w:rFonts w:ascii="Palatino Linotype" w:eastAsia="Calibri" w:hAnsi="Palatino Linotype" w:cs="Arial"/>
          <w:szCs w:val="22"/>
        </w:rPr>
        <w:t xml:space="preserve"> vía </w:t>
      </w:r>
      <w:r w:rsidRPr="00CA13A3">
        <w:rPr>
          <w:rFonts w:ascii="Palatino Linotype" w:eastAsia="Calibri" w:hAnsi="Palatino Linotype" w:cs="Arial"/>
          <w:szCs w:val="22"/>
          <w:lang w:val="es-ES"/>
        </w:rPr>
        <w:t xml:space="preserve">Plataforma Nacional de Transparencia (PNT), la solicitud de información pública registrada con el número </w:t>
      </w:r>
      <w:r w:rsidRPr="00CA13A3">
        <w:rPr>
          <w:rFonts w:ascii="Palatino Linotype" w:hAnsi="Palatino Linotype" w:cs="Arial"/>
          <w:b/>
          <w:bCs/>
          <w:szCs w:val="22"/>
        </w:rPr>
        <w:t>00124/SECTI/IP/2024</w:t>
      </w:r>
      <w:r w:rsidRPr="00CA13A3">
        <w:rPr>
          <w:rFonts w:ascii="Palatino Linotype" w:eastAsia="Calibri" w:hAnsi="Palatino Linotype"/>
          <w:szCs w:val="22"/>
          <w:lang w:val="es-ES"/>
        </w:rPr>
        <w:t xml:space="preserve">; </w:t>
      </w:r>
      <w:r w:rsidRPr="00CA13A3">
        <w:rPr>
          <w:rFonts w:ascii="Palatino Linotype" w:eastAsia="Calibri" w:hAnsi="Palatino Linotype" w:cs="Arial"/>
          <w:szCs w:val="22"/>
          <w:lang w:val="es-ES"/>
        </w:rPr>
        <w:t>mediante la cual solicitó lo siguiente:</w:t>
      </w:r>
    </w:p>
    <w:p w14:paraId="76309DD4" w14:textId="77777777" w:rsidR="00466168" w:rsidRPr="00CA13A3" w:rsidRDefault="00466168" w:rsidP="00466168">
      <w:pPr>
        <w:pStyle w:val="Prrafodelista"/>
        <w:spacing w:line="360" w:lineRule="auto"/>
        <w:ind w:left="0"/>
        <w:jc w:val="both"/>
        <w:rPr>
          <w:rFonts w:ascii="Palatino Linotype" w:hAnsi="Palatino Linotype" w:cs="Arial"/>
          <w:szCs w:val="22"/>
          <w:lang w:val="es-ES"/>
        </w:rPr>
      </w:pPr>
    </w:p>
    <w:p w14:paraId="76309DD5" w14:textId="7350963A" w:rsidR="00466168" w:rsidRPr="00CA13A3" w:rsidRDefault="00466168" w:rsidP="00411F72">
      <w:pPr>
        <w:pStyle w:val="Prrafodelista"/>
        <w:spacing w:line="360" w:lineRule="auto"/>
        <w:ind w:left="567" w:right="822"/>
        <w:jc w:val="both"/>
        <w:rPr>
          <w:rFonts w:ascii="Palatino Linotype" w:hAnsi="Palatino Linotype"/>
          <w:i/>
          <w:szCs w:val="22"/>
        </w:rPr>
      </w:pPr>
      <w:r w:rsidRPr="00CA13A3">
        <w:rPr>
          <w:rFonts w:ascii="Palatino Linotype" w:hAnsi="Palatino Linotype"/>
          <w:i/>
          <w:szCs w:val="22"/>
        </w:rPr>
        <w:t xml:space="preserve">“Se entregue expresión documental del escrito en donde se recabo el consentimiento de los padres o tutores de la menor </w:t>
      </w:r>
      <w:r w:rsidR="00686C92">
        <w:rPr>
          <w:rFonts w:ascii="Palatino Linotype" w:hAnsi="Palatino Linotype"/>
          <w:i/>
          <w:szCs w:val="22"/>
        </w:rPr>
        <w:t>XXX XXXXXXX XXXXX</w:t>
      </w:r>
      <w:r w:rsidRPr="00CA13A3">
        <w:rPr>
          <w:rFonts w:ascii="Palatino Linotype" w:hAnsi="Palatino Linotype"/>
          <w:i/>
          <w:szCs w:val="22"/>
        </w:rPr>
        <w:t xml:space="preserve"> para la aplicación de </w:t>
      </w:r>
      <w:proofErr w:type="spellStart"/>
      <w:r w:rsidRPr="00CA13A3">
        <w:rPr>
          <w:rFonts w:ascii="Palatino Linotype" w:hAnsi="Palatino Linotype"/>
          <w:i/>
          <w:szCs w:val="22"/>
        </w:rPr>
        <w:t>Hialuronato</w:t>
      </w:r>
      <w:proofErr w:type="spellEnd"/>
      <w:r w:rsidRPr="00CA13A3">
        <w:rPr>
          <w:rFonts w:ascii="Palatino Linotype" w:hAnsi="Palatino Linotype"/>
          <w:i/>
          <w:szCs w:val="22"/>
        </w:rPr>
        <w:t xml:space="preserve"> de Sodio en los ojos de alumna por parte de la docente de primer año </w:t>
      </w:r>
      <w:proofErr w:type="spellStart"/>
      <w:r w:rsidRPr="00CA13A3">
        <w:rPr>
          <w:rFonts w:ascii="Palatino Linotype" w:hAnsi="Palatino Linotype"/>
          <w:i/>
          <w:szCs w:val="22"/>
        </w:rPr>
        <w:t>año</w:t>
      </w:r>
      <w:proofErr w:type="spellEnd"/>
      <w:r w:rsidRPr="00CA13A3">
        <w:rPr>
          <w:rFonts w:ascii="Palatino Linotype" w:hAnsi="Palatino Linotype"/>
          <w:i/>
          <w:szCs w:val="22"/>
        </w:rPr>
        <w:t xml:space="preserve">, lo anterior en la escuela primaria </w:t>
      </w:r>
      <w:proofErr w:type="spellStart"/>
      <w:r w:rsidRPr="00CA13A3">
        <w:rPr>
          <w:rFonts w:ascii="Palatino Linotype" w:hAnsi="Palatino Linotype"/>
          <w:i/>
          <w:szCs w:val="22"/>
        </w:rPr>
        <w:t>Adrian</w:t>
      </w:r>
      <w:proofErr w:type="spellEnd"/>
      <w:r w:rsidRPr="00CA13A3">
        <w:rPr>
          <w:rFonts w:ascii="Palatino Linotype" w:hAnsi="Palatino Linotype"/>
          <w:i/>
          <w:szCs w:val="22"/>
        </w:rPr>
        <w:t xml:space="preserve"> Ortega Monroy con clave ÇCT I5EPR5126M, ubicada en Lerma, Estado de México. Se entregue expresión documental de las acciones que llevo a cabo la Directora de esa escuela para garantizar el derecho a la protección de la salud de la menor de edad y de los alumnos. Se entregue expresión documental de las constancias o títulos de estudios de la maestra de primer año de dicha primaria, la cual </w:t>
      </w:r>
      <w:r w:rsidRPr="00CA13A3">
        <w:rPr>
          <w:rFonts w:ascii="Palatino Linotype" w:hAnsi="Palatino Linotype"/>
          <w:i/>
          <w:szCs w:val="22"/>
        </w:rPr>
        <w:lastRenderedPageBreak/>
        <w:t xml:space="preserve">se ostenta como médico de la escuela y prescribe gotas a los estudiantes. Si la Secretaría de Educación autoriza que en las escuelas se permita a los docentes aplicar sin opinión médica medicamentos. Que tramite se ha dado a la DENUNCIA que se presentó en contra de la docente de nombre </w:t>
      </w:r>
      <w:proofErr w:type="spellStart"/>
      <w:r w:rsidRPr="00CA13A3">
        <w:rPr>
          <w:rFonts w:ascii="Palatino Linotype" w:hAnsi="Palatino Linotype"/>
          <w:i/>
          <w:szCs w:val="22"/>
        </w:rPr>
        <w:t>Fani</w:t>
      </w:r>
      <w:proofErr w:type="spellEnd"/>
      <w:r w:rsidRPr="00CA13A3">
        <w:rPr>
          <w:rFonts w:ascii="Palatino Linotype" w:hAnsi="Palatino Linotype"/>
          <w:i/>
          <w:szCs w:val="22"/>
        </w:rPr>
        <w:t xml:space="preserve"> y de la Directora Elizabeth por los actos y omisiones en que incurrieron el 13 de marzo de 2024. Si la Gobernadora Delfina </w:t>
      </w:r>
      <w:proofErr w:type="spellStart"/>
      <w:r w:rsidRPr="00CA13A3">
        <w:rPr>
          <w:rFonts w:ascii="Palatino Linotype" w:hAnsi="Palatino Linotype"/>
          <w:i/>
          <w:szCs w:val="22"/>
        </w:rPr>
        <w:t>Gomez</w:t>
      </w:r>
      <w:proofErr w:type="spellEnd"/>
      <w:r w:rsidRPr="00CA13A3">
        <w:rPr>
          <w:rFonts w:ascii="Palatino Linotype" w:hAnsi="Palatino Linotype"/>
          <w:i/>
          <w:szCs w:val="22"/>
        </w:rPr>
        <w:t xml:space="preserve"> instruyó medidas a las autoridades educativas para evitar incurrir en negligencias en perjuicio de los alumnos de la primaria ADRIAN ORTEGA MONROY. </w:t>
      </w:r>
      <w:proofErr w:type="gramStart"/>
      <w:r w:rsidRPr="00CA13A3">
        <w:rPr>
          <w:rFonts w:ascii="Palatino Linotype" w:hAnsi="Palatino Linotype"/>
          <w:i/>
          <w:szCs w:val="22"/>
        </w:rPr>
        <w:t>entregar</w:t>
      </w:r>
      <w:proofErr w:type="gramEnd"/>
      <w:r w:rsidRPr="00CA13A3">
        <w:rPr>
          <w:rFonts w:ascii="Palatino Linotype" w:hAnsi="Palatino Linotype"/>
          <w:i/>
          <w:szCs w:val="22"/>
        </w:rPr>
        <w:t xml:space="preserve"> copia adentro de oficios o circulares”</w:t>
      </w:r>
    </w:p>
    <w:p w14:paraId="76309DD6" w14:textId="77777777" w:rsidR="00466168" w:rsidRPr="00CA13A3" w:rsidRDefault="00466168" w:rsidP="00466168">
      <w:pPr>
        <w:pStyle w:val="Prrafodelista"/>
        <w:spacing w:line="360" w:lineRule="auto"/>
        <w:ind w:left="567" w:right="822"/>
        <w:jc w:val="both"/>
        <w:rPr>
          <w:rFonts w:ascii="Palatino Linotype" w:hAnsi="Palatino Linotype"/>
          <w:i/>
          <w:szCs w:val="22"/>
        </w:rPr>
      </w:pPr>
    </w:p>
    <w:p w14:paraId="76309DD7" w14:textId="77777777" w:rsidR="00466168" w:rsidRPr="00CA13A3" w:rsidRDefault="00466168" w:rsidP="00466168">
      <w:pPr>
        <w:pStyle w:val="Prrafodelista"/>
        <w:numPr>
          <w:ilvl w:val="0"/>
          <w:numId w:val="2"/>
        </w:numPr>
        <w:spacing w:line="360" w:lineRule="auto"/>
        <w:ind w:left="0" w:firstLine="0"/>
        <w:jc w:val="both"/>
        <w:rPr>
          <w:rFonts w:ascii="Palatino Linotype" w:hAnsi="Palatino Linotype" w:cs="Arial"/>
          <w:szCs w:val="22"/>
          <w:lang w:val="es-ES"/>
        </w:rPr>
      </w:pPr>
      <w:r w:rsidRPr="00CA13A3">
        <w:rPr>
          <w:rFonts w:ascii="Palatino Linotype" w:hAnsi="Palatino Linotype" w:cs="Arial"/>
          <w:szCs w:val="22"/>
          <w:lang w:val="es-ES"/>
        </w:rPr>
        <w:t xml:space="preserve">Señaló como modalidad de entrega de la información a través de la Plataforma Nacional. </w:t>
      </w:r>
    </w:p>
    <w:p w14:paraId="76309DD8" w14:textId="77777777" w:rsidR="00466168" w:rsidRPr="00CA13A3" w:rsidRDefault="00466168" w:rsidP="00466168">
      <w:pPr>
        <w:rPr>
          <w:rFonts w:ascii="Palatino Linotype" w:hAnsi="Palatino Linotype" w:cs="Arial"/>
          <w:sz w:val="22"/>
          <w:szCs w:val="22"/>
          <w:lang w:val="es-ES"/>
        </w:rPr>
      </w:pPr>
    </w:p>
    <w:p w14:paraId="76309DD9" w14:textId="77777777" w:rsidR="00466168" w:rsidRPr="00CA13A3" w:rsidRDefault="00466168" w:rsidP="00466168">
      <w:pPr>
        <w:pStyle w:val="Prrafodelista"/>
        <w:numPr>
          <w:ilvl w:val="0"/>
          <w:numId w:val="2"/>
        </w:numPr>
        <w:spacing w:line="360" w:lineRule="auto"/>
        <w:ind w:left="0" w:firstLine="0"/>
        <w:jc w:val="both"/>
        <w:rPr>
          <w:rFonts w:ascii="Palatino Linotype" w:hAnsi="Palatino Linotype" w:cs="Arial"/>
          <w:szCs w:val="22"/>
          <w:lang w:val="es-ES"/>
        </w:rPr>
      </w:pPr>
      <w:r w:rsidRPr="00CA13A3">
        <w:rPr>
          <w:rFonts w:ascii="Palatino Linotype" w:hAnsi="Palatino Linotype" w:cs="Arial"/>
          <w:szCs w:val="22"/>
          <w:lang w:val="es-ES"/>
        </w:rPr>
        <w:t xml:space="preserve">El </w:t>
      </w:r>
      <w:r w:rsidRPr="00CA13A3">
        <w:rPr>
          <w:rFonts w:ascii="Palatino Linotype" w:hAnsi="Palatino Linotype" w:cs="Arial"/>
          <w:b/>
          <w:szCs w:val="22"/>
          <w:lang w:val="es-ES"/>
        </w:rPr>
        <w:t>quince de marzo de dos mil veinticuatro</w:t>
      </w:r>
      <w:r w:rsidRPr="00CA13A3">
        <w:rPr>
          <w:rFonts w:ascii="Palatino Linotype" w:hAnsi="Palatino Linotype" w:cs="Arial"/>
          <w:szCs w:val="22"/>
          <w:lang w:val="es-ES"/>
        </w:rPr>
        <w:t>, dio respuesta a la solicitud, en los siguientes términos:</w:t>
      </w:r>
    </w:p>
    <w:p w14:paraId="76309DDA" w14:textId="77777777" w:rsidR="00466168" w:rsidRPr="00CA13A3" w:rsidRDefault="00466168" w:rsidP="00466168">
      <w:pPr>
        <w:pStyle w:val="Prrafodelista"/>
        <w:rPr>
          <w:rFonts w:ascii="Palatino Linotype" w:hAnsi="Palatino Linotype" w:cs="Arial"/>
          <w:szCs w:val="22"/>
          <w:lang w:val="es-ES"/>
        </w:rPr>
      </w:pPr>
    </w:p>
    <w:tbl>
      <w:tblPr>
        <w:tblW w:w="7462" w:type="dxa"/>
        <w:jc w:val="center"/>
        <w:tblCellSpacing w:w="0" w:type="dxa"/>
        <w:tblCellMar>
          <w:left w:w="0" w:type="dxa"/>
          <w:right w:w="0" w:type="dxa"/>
        </w:tblCellMar>
        <w:tblLook w:val="04A0" w:firstRow="1" w:lastRow="0" w:firstColumn="1" w:lastColumn="0" w:noHBand="0" w:noVBand="1"/>
      </w:tblPr>
      <w:tblGrid>
        <w:gridCol w:w="7462"/>
      </w:tblGrid>
      <w:tr w:rsidR="00466168" w:rsidRPr="00CA13A3" w14:paraId="76309DDC" w14:textId="77777777" w:rsidTr="00466168">
        <w:trPr>
          <w:trHeight w:val="742"/>
          <w:tblCellSpacing w:w="0" w:type="dxa"/>
          <w:jc w:val="center"/>
        </w:trPr>
        <w:tc>
          <w:tcPr>
            <w:tcW w:w="0" w:type="auto"/>
            <w:vAlign w:val="center"/>
            <w:hideMark/>
          </w:tcPr>
          <w:p w14:paraId="76309DDB" w14:textId="77777777" w:rsidR="00466168" w:rsidRPr="00CA13A3" w:rsidRDefault="00466168" w:rsidP="00466168">
            <w:pPr>
              <w:jc w:val="right"/>
              <w:rPr>
                <w:rFonts w:ascii="Palatino Linotype" w:hAnsi="Palatino Linotype"/>
                <w:i/>
                <w:sz w:val="22"/>
                <w:szCs w:val="22"/>
                <w:lang w:eastAsia="es-MX"/>
              </w:rPr>
            </w:pPr>
            <w:r w:rsidRPr="00CA13A3">
              <w:rPr>
                <w:rFonts w:ascii="Palatino Linotype" w:hAnsi="Palatino Linotype"/>
                <w:i/>
                <w:sz w:val="22"/>
                <w:szCs w:val="22"/>
                <w:lang w:eastAsia="es-MX"/>
              </w:rPr>
              <w:t>Metepec, México a 15 de Marzo de 2024</w:t>
            </w:r>
          </w:p>
        </w:tc>
      </w:tr>
      <w:tr w:rsidR="00466168" w:rsidRPr="00CA13A3" w14:paraId="76309DDE" w14:textId="77777777" w:rsidTr="00466168">
        <w:trPr>
          <w:trHeight w:val="742"/>
          <w:tblCellSpacing w:w="0" w:type="dxa"/>
          <w:jc w:val="center"/>
        </w:trPr>
        <w:tc>
          <w:tcPr>
            <w:tcW w:w="0" w:type="auto"/>
            <w:vAlign w:val="center"/>
            <w:hideMark/>
          </w:tcPr>
          <w:p w14:paraId="76309DDD" w14:textId="77777777" w:rsidR="00466168" w:rsidRPr="00CA13A3" w:rsidRDefault="00466168" w:rsidP="00466168">
            <w:pPr>
              <w:jc w:val="right"/>
              <w:rPr>
                <w:rFonts w:ascii="Palatino Linotype" w:hAnsi="Palatino Linotype"/>
                <w:i/>
                <w:sz w:val="22"/>
                <w:szCs w:val="22"/>
                <w:lang w:eastAsia="es-MX"/>
              </w:rPr>
            </w:pPr>
            <w:r w:rsidRPr="00CA13A3">
              <w:rPr>
                <w:rFonts w:ascii="Palatino Linotype" w:hAnsi="Palatino Linotype"/>
                <w:i/>
                <w:sz w:val="22"/>
                <w:szCs w:val="22"/>
                <w:lang w:eastAsia="es-MX"/>
              </w:rPr>
              <w:t>Nombre del solicitante:</w:t>
            </w:r>
          </w:p>
        </w:tc>
      </w:tr>
      <w:tr w:rsidR="00466168" w:rsidRPr="00CA13A3" w14:paraId="76309DE0" w14:textId="77777777" w:rsidTr="00466168">
        <w:trPr>
          <w:trHeight w:val="742"/>
          <w:tblCellSpacing w:w="0" w:type="dxa"/>
          <w:jc w:val="center"/>
        </w:trPr>
        <w:tc>
          <w:tcPr>
            <w:tcW w:w="0" w:type="auto"/>
            <w:vAlign w:val="center"/>
            <w:hideMark/>
          </w:tcPr>
          <w:p w14:paraId="76309DDF" w14:textId="77777777" w:rsidR="00466168" w:rsidRPr="00CA13A3" w:rsidRDefault="00466168" w:rsidP="00466168">
            <w:pPr>
              <w:jc w:val="right"/>
              <w:rPr>
                <w:rFonts w:ascii="Palatino Linotype" w:hAnsi="Palatino Linotype"/>
                <w:i/>
                <w:sz w:val="22"/>
                <w:szCs w:val="22"/>
                <w:lang w:eastAsia="es-MX"/>
              </w:rPr>
            </w:pPr>
            <w:r w:rsidRPr="00CA13A3">
              <w:rPr>
                <w:rFonts w:ascii="Palatino Linotype" w:hAnsi="Palatino Linotype"/>
                <w:i/>
                <w:sz w:val="22"/>
                <w:szCs w:val="22"/>
                <w:lang w:eastAsia="es-MX"/>
              </w:rPr>
              <w:t>Folio de la solicitud: 00124/SECTI/IP/2024</w:t>
            </w:r>
          </w:p>
        </w:tc>
      </w:tr>
      <w:tr w:rsidR="00466168" w:rsidRPr="00CA13A3" w14:paraId="76309DE2" w14:textId="77777777" w:rsidTr="00466168">
        <w:trPr>
          <w:trHeight w:val="371"/>
          <w:tblCellSpacing w:w="0" w:type="dxa"/>
          <w:jc w:val="center"/>
        </w:trPr>
        <w:tc>
          <w:tcPr>
            <w:tcW w:w="0" w:type="auto"/>
            <w:vAlign w:val="center"/>
            <w:hideMark/>
          </w:tcPr>
          <w:p w14:paraId="76309DE1" w14:textId="77777777" w:rsidR="00466168" w:rsidRPr="00CA13A3" w:rsidRDefault="00466168" w:rsidP="00466168">
            <w:pPr>
              <w:rPr>
                <w:rFonts w:ascii="Palatino Linotype" w:hAnsi="Palatino Linotype"/>
                <w:i/>
                <w:sz w:val="22"/>
                <w:szCs w:val="22"/>
                <w:lang w:eastAsia="es-MX"/>
              </w:rPr>
            </w:pPr>
            <w:r w:rsidRPr="00CA13A3">
              <w:rPr>
                <w:rFonts w:ascii="Palatino Linotype" w:hAnsi="Palatino Linotype"/>
                <w:i/>
                <w:sz w:val="22"/>
                <w:szCs w:val="22"/>
                <w:lang w:eastAsia="es-MX"/>
              </w:rPr>
              <w:t>Con fundamento en el artículo 167 de la Ley de Transparencia y Acceso a la Información Pública del Estado de México y Municipios, le informo que este Sujeto Obligado es incompetente para proporcionar la información, por lo que se sugiere presentar una nueva solicitud de información con el Sujeto Obligado correspondiente.</w:t>
            </w:r>
          </w:p>
        </w:tc>
      </w:tr>
      <w:tr w:rsidR="00466168" w:rsidRPr="00CA13A3" w14:paraId="76309DE4" w14:textId="77777777" w:rsidTr="00466168">
        <w:trPr>
          <w:trHeight w:val="371"/>
          <w:tblCellSpacing w:w="0" w:type="dxa"/>
          <w:jc w:val="center"/>
        </w:trPr>
        <w:tc>
          <w:tcPr>
            <w:tcW w:w="0" w:type="auto"/>
            <w:vAlign w:val="center"/>
            <w:hideMark/>
          </w:tcPr>
          <w:p w14:paraId="76309DE3" w14:textId="77777777" w:rsidR="00466168" w:rsidRPr="00CA13A3" w:rsidRDefault="00466168" w:rsidP="00466168">
            <w:pPr>
              <w:jc w:val="center"/>
              <w:rPr>
                <w:rFonts w:ascii="Palatino Linotype" w:hAnsi="Palatino Linotype"/>
                <w:i/>
                <w:sz w:val="22"/>
                <w:szCs w:val="22"/>
                <w:lang w:eastAsia="es-MX"/>
              </w:rPr>
            </w:pPr>
          </w:p>
        </w:tc>
      </w:tr>
      <w:tr w:rsidR="00466168" w:rsidRPr="00CA13A3" w14:paraId="76309DE6" w14:textId="77777777" w:rsidTr="00466168">
        <w:trPr>
          <w:trHeight w:val="371"/>
          <w:tblCellSpacing w:w="0" w:type="dxa"/>
          <w:jc w:val="center"/>
        </w:trPr>
        <w:tc>
          <w:tcPr>
            <w:tcW w:w="0" w:type="auto"/>
            <w:vAlign w:val="center"/>
            <w:hideMark/>
          </w:tcPr>
          <w:p w14:paraId="76309DE5" w14:textId="77777777" w:rsidR="00466168" w:rsidRPr="00CA13A3" w:rsidRDefault="00466168" w:rsidP="00466168">
            <w:pPr>
              <w:rPr>
                <w:rFonts w:ascii="Palatino Linotype" w:hAnsi="Palatino Linotype"/>
                <w:i/>
                <w:sz w:val="22"/>
                <w:szCs w:val="22"/>
                <w:lang w:eastAsia="es-MX"/>
              </w:rPr>
            </w:pPr>
          </w:p>
        </w:tc>
      </w:tr>
      <w:tr w:rsidR="00466168" w:rsidRPr="00CA13A3" w14:paraId="76309DE8" w14:textId="77777777" w:rsidTr="00466168">
        <w:trPr>
          <w:trHeight w:val="371"/>
          <w:tblCellSpacing w:w="0" w:type="dxa"/>
          <w:jc w:val="center"/>
        </w:trPr>
        <w:tc>
          <w:tcPr>
            <w:tcW w:w="0" w:type="auto"/>
            <w:vAlign w:val="center"/>
            <w:hideMark/>
          </w:tcPr>
          <w:p w14:paraId="76309DE7" w14:textId="77777777" w:rsidR="00466168" w:rsidRPr="00CA13A3" w:rsidRDefault="00466168" w:rsidP="00466168">
            <w:pPr>
              <w:rPr>
                <w:rFonts w:ascii="Palatino Linotype" w:hAnsi="Palatino Linotype"/>
                <w:i/>
                <w:sz w:val="22"/>
                <w:szCs w:val="22"/>
                <w:lang w:eastAsia="es-MX"/>
              </w:rPr>
            </w:pPr>
            <w:r w:rsidRPr="00CA13A3">
              <w:rPr>
                <w:rFonts w:ascii="Palatino Linotype" w:hAnsi="Palatino Linotype"/>
                <w:i/>
                <w:sz w:val="22"/>
                <w:szCs w:val="22"/>
                <w:lang w:eastAsia="es-MX"/>
              </w:rPr>
              <w:t>ATENTAMENTE</w:t>
            </w:r>
          </w:p>
        </w:tc>
      </w:tr>
      <w:tr w:rsidR="00466168" w:rsidRPr="00CA13A3" w14:paraId="76309DEA" w14:textId="77777777" w:rsidTr="00466168">
        <w:trPr>
          <w:trHeight w:val="556"/>
          <w:tblCellSpacing w:w="0" w:type="dxa"/>
          <w:jc w:val="center"/>
        </w:trPr>
        <w:tc>
          <w:tcPr>
            <w:tcW w:w="0" w:type="auto"/>
            <w:vAlign w:val="center"/>
            <w:hideMark/>
          </w:tcPr>
          <w:p w14:paraId="76309DE9" w14:textId="77777777" w:rsidR="00466168" w:rsidRPr="00CA13A3" w:rsidRDefault="00466168" w:rsidP="00466168">
            <w:pPr>
              <w:rPr>
                <w:rFonts w:ascii="Palatino Linotype" w:hAnsi="Palatino Linotype"/>
                <w:i/>
                <w:sz w:val="22"/>
                <w:szCs w:val="22"/>
                <w:lang w:eastAsia="es-MX"/>
              </w:rPr>
            </w:pPr>
          </w:p>
        </w:tc>
      </w:tr>
      <w:tr w:rsidR="00466168" w:rsidRPr="00CA13A3" w14:paraId="76309DEC" w14:textId="77777777" w:rsidTr="00466168">
        <w:trPr>
          <w:trHeight w:val="371"/>
          <w:tblCellSpacing w:w="0" w:type="dxa"/>
          <w:jc w:val="center"/>
        </w:trPr>
        <w:tc>
          <w:tcPr>
            <w:tcW w:w="0" w:type="auto"/>
            <w:vAlign w:val="center"/>
            <w:hideMark/>
          </w:tcPr>
          <w:p w14:paraId="76309DEB" w14:textId="77777777" w:rsidR="00466168" w:rsidRPr="00CA13A3" w:rsidRDefault="00466168" w:rsidP="00466168">
            <w:pPr>
              <w:rPr>
                <w:rFonts w:ascii="Palatino Linotype" w:hAnsi="Palatino Linotype"/>
                <w:i/>
                <w:sz w:val="22"/>
                <w:szCs w:val="22"/>
                <w:lang w:eastAsia="es-MX"/>
              </w:rPr>
            </w:pPr>
            <w:r w:rsidRPr="00CA13A3">
              <w:rPr>
                <w:rFonts w:ascii="Palatino Linotype" w:hAnsi="Palatino Linotype"/>
                <w:i/>
                <w:sz w:val="22"/>
                <w:szCs w:val="22"/>
                <w:lang w:eastAsia="es-MX"/>
              </w:rPr>
              <w:t>Lic. Rodrigo Ulises Rojas Muñoz</w:t>
            </w:r>
          </w:p>
        </w:tc>
      </w:tr>
    </w:tbl>
    <w:p w14:paraId="76309DED" w14:textId="77777777" w:rsidR="00466168" w:rsidRPr="00CA13A3" w:rsidRDefault="00466168" w:rsidP="00466168">
      <w:pPr>
        <w:spacing w:line="360" w:lineRule="auto"/>
        <w:ind w:right="822"/>
        <w:jc w:val="both"/>
        <w:rPr>
          <w:rFonts w:ascii="Palatino Linotype" w:hAnsi="Palatino Linotype" w:cs="Arial"/>
          <w:i/>
          <w:sz w:val="22"/>
          <w:szCs w:val="22"/>
          <w:lang w:val="es-ES"/>
        </w:rPr>
      </w:pPr>
    </w:p>
    <w:p w14:paraId="76309DEE" w14:textId="77777777" w:rsidR="00466168" w:rsidRPr="00CA13A3" w:rsidRDefault="00466168" w:rsidP="00466168">
      <w:pPr>
        <w:pStyle w:val="Prrafodelista"/>
        <w:rPr>
          <w:rFonts w:ascii="Palatino Linotype" w:hAnsi="Palatino Linotype" w:cs="Arial"/>
          <w:szCs w:val="22"/>
          <w:lang w:val="es-ES"/>
        </w:rPr>
      </w:pPr>
    </w:p>
    <w:p w14:paraId="76309DEF" w14:textId="77777777" w:rsidR="00466168" w:rsidRPr="00CA13A3" w:rsidRDefault="00466168" w:rsidP="00466168">
      <w:pPr>
        <w:pStyle w:val="Prrafodelista"/>
        <w:numPr>
          <w:ilvl w:val="0"/>
          <w:numId w:val="4"/>
        </w:numPr>
        <w:spacing w:before="240" w:after="240" w:line="360" w:lineRule="auto"/>
        <w:jc w:val="both"/>
        <w:rPr>
          <w:rFonts w:ascii="Palatino Linotype" w:hAnsi="Palatino Linotype" w:cs="Arial"/>
          <w:b/>
          <w:szCs w:val="22"/>
        </w:rPr>
      </w:pPr>
      <w:r w:rsidRPr="00CA13A3">
        <w:rPr>
          <w:rFonts w:ascii="Palatino Linotype" w:hAnsi="Palatino Linotype" w:cs="Arial"/>
          <w:szCs w:val="22"/>
        </w:rPr>
        <w:t>El Sujeto Obligado adjuntó a la respuesta el archivo denominado</w:t>
      </w:r>
      <w:r w:rsidRPr="00CA13A3">
        <w:rPr>
          <w:rStyle w:val="Hipervnculo"/>
          <w:rFonts w:ascii="Palatino Linotype" w:hAnsi="Palatino Linotype" w:cs="Arial"/>
          <w:b/>
          <w:bCs/>
          <w:color w:val="auto"/>
          <w:szCs w:val="22"/>
        </w:rPr>
        <w:t xml:space="preserve"> </w:t>
      </w:r>
      <w:hyperlink r:id="rId7" w:tgtFrame="_blank" w:history="1">
        <w:r w:rsidRPr="00CA13A3">
          <w:rPr>
            <w:rStyle w:val="Hipervnculo"/>
            <w:rFonts w:ascii="Palatino Linotype" w:hAnsi="Palatino Linotype" w:cs="Arial"/>
            <w:b/>
            <w:bCs/>
            <w:szCs w:val="22"/>
          </w:rPr>
          <w:t>Respuesta_UT_00124.pdf</w:t>
        </w:r>
      </w:hyperlink>
      <w:r w:rsidRPr="00CA13A3">
        <w:rPr>
          <w:rFonts w:ascii="Palatino Linotype" w:hAnsi="Palatino Linotype" w:cs="Arial"/>
          <w:bCs/>
          <w:szCs w:val="22"/>
        </w:rPr>
        <w:t>, en el que se advierte el oficio número 22800007010000S/0464/UT/2024 de fecha catorce de marzo de dos mil veinticuatro,</w:t>
      </w:r>
      <w:r w:rsidR="000F4C92" w:rsidRPr="00CA13A3">
        <w:rPr>
          <w:rFonts w:ascii="Palatino Linotype" w:hAnsi="Palatino Linotype" w:cs="Arial"/>
          <w:bCs/>
          <w:szCs w:val="22"/>
        </w:rPr>
        <w:t xml:space="preserve"> suscrito por el Titular de la Unidad de Transparencia en el que señaló que la información solicitada corresponde a la información de Acceso a Datos Personales, que la información contiene datos personales. Asimismo, señaló que se trata de manifestaci</w:t>
      </w:r>
      <w:r w:rsidR="002C2556" w:rsidRPr="00CA13A3">
        <w:rPr>
          <w:rFonts w:ascii="Palatino Linotype" w:hAnsi="Palatino Linotype" w:cs="Arial"/>
          <w:bCs/>
          <w:szCs w:val="22"/>
        </w:rPr>
        <w:t xml:space="preserve">ones subjetivas e interrogantes y declaro su incompetencia para conocer de las denuncias. </w:t>
      </w:r>
    </w:p>
    <w:p w14:paraId="76309DF0" w14:textId="77777777" w:rsidR="00466168" w:rsidRPr="00CA13A3" w:rsidRDefault="00466168" w:rsidP="00466168">
      <w:pPr>
        <w:pStyle w:val="Prrafodelista"/>
        <w:spacing w:before="240" w:after="240" w:line="360" w:lineRule="auto"/>
        <w:ind w:left="1440"/>
        <w:jc w:val="both"/>
        <w:rPr>
          <w:rFonts w:ascii="Palatino Linotype" w:hAnsi="Palatino Linotype" w:cs="Arial"/>
          <w:b/>
          <w:szCs w:val="22"/>
        </w:rPr>
      </w:pPr>
    </w:p>
    <w:p w14:paraId="76309DF1" w14:textId="77777777" w:rsidR="00466168" w:rsidRPr="00CA13A3" w:rsidRDefault="00466168" w:rsidP="00466168">
      <w:pPr>
        <w:pStyle w:val="Prrafodelista"/>
        <w:numPr>
          <w:ilvl w:val="0"/>
          <w:numId w:val="2"/>
        </w:numPr>
        <w:spacing w:before="240" w:after="240" w:line="360" w:lineRule="auto"/>
        <w:ind w:left="0" w:firstLine="0"/>
        <w:jc w:val="both"/>
        <w:rPr>
          <w:rFonts w:ascii="Palatino Linotype" w:hAnsi="Palatino Linotype" w:cs="Arial"/>
          <w:i/>
          <w:szCs w:val="22"/>
        </w:rPr>
      </w:pPr>
      <w:r w:rsidRPr="00CA13A3">
        <w:rPr>
          <w:rFonts w:ascii="Palatino Linotype" w:eastAsia="Calibri" w:hAnsi="Palatino Linotype" w:cs="Arial"/>
          <w:szCs w:val="22"/>
          <w:lang w:val="es-AR"/>
        </w:rPr>
        <w:t xml:space="preserve">El </w:t>
      </w:r>
      <w:r w:rsidR="000F4C92" w:rsidRPr="00CA13A3">
        <w:rPr>
          <w:rFonts w:ascii="Palatino Linotype" w:hAnsi="Palatino Linotype" w:cs="Arial"/>
          <w:b/>
          <w:szCs w:val="22"/>
          <w:lang w:val="es-ES"/>
        </w:rPr>
        <w:t>veinte de marzo</w:t>
      </w:r>
      <w:r w:rsidRPr="00CA13A3">
        <w:rPr>
          <w:rFonts w:ascii="Palatino Linotype" w:hAnsi="Palatino Linotype" w:cs="Arial"/>
          <w:b/>
          <w:szCs w:val="22"/>
          <w:lang w:val="es-ES"/>
        </w:rPr>
        <w:t xml:space="preserve"> de dos mil veinticuatro</w:t>
      </w:r>
      <w:r w:rsidRPr="00CA13A3">
        <w:rPr>
          <w:rFonts w:ascii="Palatino Linotype" w:eastAsia="Calibri" w:hAnsi="Palatino Linotype" w:cs="Arial"/>
          <w:szCs w:val="22"/>
          <w:lang w:val="es-AR"/>
        </w:rPr>
        <w:t xml:space="preserve">, </w:t>
      </w:r>
      <w:r w:rsidRPr="00CA13A3">
        <w:rPr>
          <w:rFonts w:ascii="Palatino Linotype" w:hAnsi="Palatino Linotype"/>
          <w:b/>
          <w:szCs w:val="22"/>
        </w:rPr>
        <w:t>EL RECURRENTE</w:t>
      </w:r>
      <w:r w:rsidRPr="00CA13A3">
        <w:rPr>
          <w:rFonts w:ascii="Palatino Linotype" w:hAnsi="Palatino Linotype" w:cs="Arial"/>
          <w:szCs w:val="22"/>
          <w:lang w:val="es-ES"/>
        </w:rPr>
        <w:t xml:space="preserve"> interpuso el recurso de revisión, en contra de la respuesta y señaló como:</w:t>
      </w:r>
      <w:bookmarkStart w:id="1" w:name="_Toc462307683"/>
      <w:bookmarkStart w:id="2" w:name="_Toc472427085"/>
      <w:bookmarkStart w:id="3" w:name="_Toc472500652"/>
    </w:p>
    <w:p w14:paraId="76309DF2" w14:textId="77777777" w:rsidR="00466168" w:rsidRPr="00CA13A3" w:rsidRDefault="00466168" w:rsidP="00466168">
      <w:pPr>
        <w:pStyle w:val="Prrafodelista"/>
        <w:rPr>
          <w:rFonts w:ascii="Palatino Linotype" w:eastAsia="Calibri" w:hAnsi="Palatino Linotype" w:cs="Tahoma"/>
          <w:b/>
          <w:szCs w:val="22"/>
          <w:lang w:eastAsia="en-US"/>
        </w:rPr>
      </w:pPr>
    </w:p>
    <w:p w14:paraId="76309DF3" w14:textId="77777777" w:rsidR="00466168" w:rsidRPr="00CA13A3" w:rsidRDefault="00466168" w:rsidP="00466168">
      <w:pPr>
        <w:pStyle w:val="Prrafodelista"/>
        <w:spacing w:line="360" w:lineRule="auto"/>
        <w:jc w:val="both"/>
        <w:rPr>
          <w:rFonts w:ascii="Palatino Linotype" w:hAnsi="Palatino Linotype"/>
          <w:bCs/>
          <w:i/>
          <w:iCs/>
          <w:szCs w:val="22"/>
        </w:rPr>
      </w:pPr>
      <w:r w:rsidRPr="00CA13A3">
        <w:rPr>
          <w:rFonts w:ascii="Palatino Linotype" w:hAnsi="Palatino Linotype"/>
          <w:b/>
          <w:szCs w:val="22"/>
        </w:rPr>
        <w:t xml:space="preserve">Acto impugnado: </w:t>
      </w:r>
      <w:r w:rsidRPr="00CA13A3">
        <w:rPr>
          <w:rFonts w:ascii="Palatino Linotype" w:hAnsi="Palatino Linotype"/>
          <w:bCs/>
          <w:i/>
          <w:iCs/>
          <w:szCs w:val="22"/>
        </w:rPr>
        <w:t>“</w:t>
      </w:r>
      <w:r w:rsidR="000F4C92" w:rsidRPr="00CA13A3">
        <w:rPr>
          <w:rFonts w:ascii="Palatino Linotype" w:hAnsi="Palatino Linotype" w:cs="Arial"/>
          <w:i/>
          <w:szCs w:val="22"/>
        </w:rPr>
        <w:t xml:space="preserve">La </w:t>
      </w:r>
      <w:bookmarkStart w:id="4" w:name="_GoBack"/>
      <w:r w:rsidR="000F4C92" w:rsidRPr="00CA13A3">
        <w:rPr>
          <w:rFonts w:ascii="Palatino Linotype" w:hAnsi="Palatino Linotype" w:cs="Arial"/>
          <w:i/>
          <w:szCs w:val="22"/>
        </w:rPr>
        <w:t xml:space="preserve">respuesta del sujeto obligado es deficiente y vulnera los principios constitucionales de máxima publicidad que establece la CPEUM y legislación aplicable. 1.- Es improcedente declarar la incompetencia todavía </w:t>
      </w:r>
      <w:proofErr w:type="spellStart"/>
      <w:r w:rsidR="000F4C92" w:rsidRPr="00CA13A3">
        <w:rPr>
          <w:rFonts w:ascii="Palatino Linotype" w:hAnsi="Palatino Linotype" w:cs="Arial"/>
          <w:i/>
          <w:szCs w:val="22"/>
        </w:rPr>
        <w:t>dez</w:t>
      </w:r>
      <w:proofErr w:type="spellEnd"/>
      <w:r w:rsidR="000F4C92" w:rsidRPr="00CA13A3">
        <w:rPr>
          <w:rFonts w:ascii="Palatino Linotype" w:hAnsi="Palatino Linotype" w:cs="Arial"/>
          <w:i/>
          <w:szCs w:val="22"/>
        </w:rPr>
        <w:t xml:space="preserve"> que se debió ordenar realizar una búsqueda exhaustiva de la información y de advertirse datos personales en</w:t>
      </w:r>
      <w:bookmarkEnd w:id="4"/>
      <w:r w:rsidR="000F4C92" w:rsidRPr="00CA13A3">
        <w:rPr>
          <w:rFonts w:ascii="Palatino Linotype" w:hAnsi="Palatino Linotype" w:cs="Arial"/>
          <w:i/>
          <w:szCs w:val="22"/>
        </w:rPr>
        <w:t xml:space="preserve"> su caso se podrá testar los mismos conforme a las disposiciones aplicables. Es inaudito que el sujeto obligado pretenda </w:t>
      </w:r>
      <w:r w:rsidR="000F4C92" w:rsidRPr="00CA13A3">
        <w:rPr>
          <w:rFonts w:ascii="Palatino Linotype" w:hAnsi="Palatino Linotype" w:cs="Arial"/>
          <w:i/>
          <w:szCs w:val="22"/>
        </w:rPr>
        <w:lastRenderedPageBreak/>
        <w:t xml:space="preserve">faltar deliberadamente a su obligación ya que no se </w:t>
      </w:r>
      <w:proofErr w:type="spellStart"/>
      <w:r w:rsidR="000F4C92" w:rsidRPr="00CA13A3">
        <w:rPr>
          <w:rFonts w:ascii="Palatino Linotype" w:hAnsi="Palatino Linotype" w:cs="Arial"/>
          <w:i/>
          <w:szCs w:val="22"/>
        </w:rPr>
        <w:t>solicito</w:t>
      </w:r>
      <w:proofErr w:type="spellEnd"/>
      <w:r w:rsidR="000F4C92" w:rsidRPr="00CA13A3">
        <w:rPr>
          <w:rFonts w:ascii="Palatino Linotype" w:hAnsi="Palatino Linotype" w:cs="Arial"/>
          <w:i/>
          <w:szCs w:val="22"/>
        </w:rPr>
        <w:t xml:space="preserve"> en ningún momento se </w:t>
      </w:r>
      <w:proofErr w:type="spellStart"/>
      <w:r w:rsidR="000F4C92" w:rsidRPr="00CA13A3">
        <w:rPr>
          <w:rFonts w:ascii="Palatino Linotype" w:hAnsi="Palatino Linotype" w:cs="Arial"/>
          <w:i/>
          <w:szCs w:val="22"/>
        </w:rPr>
        <w:t>solicito</w:t>
      </w:r>
      <w:proofErr w:type="spellEnd"/>
      <w:r w:rsidR="000F4C92" w:rsidRPr="00CA13A3">
        <w:rPr>
          <w:rFonts w:ascii="Palatino Linotype" w:hAnsi="Palatino Linotype" w:cs="Arial"/>
          <w:i/>
          <w:szCs w:val="22"/>
        </w:rPr>
        <w:t xml:space="preserve"> información de acceso a datos personales, de manera clara se </w:t>
      </w:r>
      <w:proofErr w:type="spellStart"/>
      <w:r w:rsidR="000F4C92" w:rsidRPr="00CA13A3">
        <w:rPr>
          <w:rFonts w:ascii="Palatino Linotype" w:hAnsi="Palatino Linotype" w:cs="Arial"/>
          <w:i/>
          <w:szCs w:val="22"/>
        </w:rPr>
        <w:t>solicito</w:t>
      </w:r>
      <w:proofErr w:type="spellEnd"/>
      <w:r w:rsidR="000F4C92" w:rsidRPr="00CA13A3">
        <w:rPr>
          <w:rFonts w:ascii="Palatino Linotype" w:hAnsi="Palatino Linotype" w:cs="Arial"/>
          <w:i/>
          <w:szCs w:val="22"/>
        </w:rPr>
        <w:t xml:space="preserve"> un documento en específico y si de la búsqueda exhaustiva y con amplio criterio no se advierten registros, </w:t>
      </w:r>
      <w:proofErr w:type="spellStart"/>
      <w:r w:rsidR="000F4C92" w:rsidRPr="00CA13A3">
        <w:rPr>
          <w:rFonts w:ascii="Palatino Linotype" w:hAnsi="Palatino Linotype" w:cs="Arial"/>
          <w:i/>
          <w:szCs w:val="22"/>
        </w:rPr>
        <w:t>debio</w:t>
      </w:r>
      <w:proofErr w:type="spellEnd"/>
      <w:r w:rsidR="000F4C92" w:rsidRPr="00CA13A3">
        <w:rPr>
          <w:rFonts w:ascii="Palatino Linotype" w:hAnsi="Palatino Linotype" w:cs="Arial"/>
          <w:i/>
          <w:szCs w:val="22"/>
        </w:rPr>
        <w:t xml:space="preserve"> declararse la inexistencia de dicha documental. Se solicita a la autoridad suplir los agravios y resolver la revocación de la respuesta para obligar a la </w:t>
      </w:r>
      <w:proofErr w:type="spellStart"/>
      <w:r w:rsidR="000F4C92" w:rsidRPr="00CA13A3">
        <w:rPr>
          <w:rFonts w:ascii="Palatino Linotype" w:hAnsi="Palatino Linotype" w:cs="Arial"/>
          <w:i/>
          <w:szCs w:val="22"/>
        </w:rPr>
        <w:t>Secreataria</w:t>
      </w:r>
      <w:proofErr w:type="spellEnd"/>
      <w:r w:rsidR="000F4C92" w:rsidRPr="00CA13A3">
        <w:rPr>
          <w:rFonts w:ascii="Palatino Linotype" w:hAnsi="Palatino Linotype" w:cs="Arial"/>
          <w:i/>
          <w:szCs w:val="22"/>
        </w:rPr>
        <w:t xml:space="preserve"> de Educación ordenar la búsqueda exhaustiva de la información ya que es del interés de la sociedad conocer las acciones que llevan a cabo las autoridades en las escuelas para la aplicación de medicamentos garantizando el interés superior de la niñez que consagra la CPEUM. Asimismo la autoridad es omisa y debió pronunciarse sobre la documentación que acredite el nivel de estudios o escolaridad de la maestra de primer grado, al ser un servidor público la sociedad está interesada en conocer la preparación o estudios que ostente. </w:t>
      </w:r>
      <w:proofErr w:type="gramStart"/>
      <w:r w:rsidR="000F4C92" w:rsidRPr="00CA13A3">
        <w:rPr>
          <w:rFonts w:ascii="Palatino Linotype" w:hAnsi="Palatino Linotype" w:cs="Arial"/>
          <w:i/>
          <w:szCs w:val="22"/>
        </w:rPr>
        <w:t>por</w:t>
      </w:r>
      <w:proofErr w:type="gramEnd"/>
      <w:r w:rsidR="000F4C92" w:rsidRPr="00CA13A3">
        <w:rPr>
          <w:rFonts w:ascii="Palatino Linotype" w:hAnsi="Palatino Linotype" w:cs="Arial"/>
          <w:i/>
          <w:szCs w:val="22"/>
        </w:rPr>
        <w:t xml:space="preserve"> ello deberá realizarse una búsqueda exhaustiva de la información y de advertirse datos personales se podrán </w:t>
      </w:r>
      <w:proofErr w:type="spellStart"/>
      <w:r w:rsidR="000F4C92" w:rsidRPr="00CA13A3">
        <w:rPr>
          <w:rFonts w:ascii="Palatino Linotype" w:hAnsi="Palatino Linotype" w:cs="Arial"/>
          <w:i/>
          <w:szCs w:val="22"/>
        </w:rPr>
        <w:t>testar</w:t>
      </w:r>
      <w:proofErr w:type="spellEnd"/>
      <w:r w:rsidR="000F4C92" w:rsidRPr="00CA13A3">
        <w:rPr>
          <w:rFonts w:ascii="Palatino Linotype" w:hAnsi="Palatino Linotype" w:cs="Arial"/>
          <w:i/>
          <w:szCs w:val="22"/>
        </w:rPr>
        <w:t xml:space="preserve"> conforme a los Lineamientos aplicables. El Sujeto Obligado resulta COMPETENTE para realizar la búsqueda de la información conforme al principio de legalidad y atribuciones específicas.</w:t>
      </w:r>
      <w:r w:rsidRPr="00CA13A3">
        <w:rPr>
          <w:rFonts w:ascii="Palatino Linotype" w:hAnsi="Palatino Linotype"/>
          <w:bCs/>
          <w:i/>
          <w:iCs/>
          <w:szCs w:val="22"/>
        </w:rPr>
        <w:t>” (</w:t>
      </w:r>
      <w:proofErr w:type="gramStart"/>
      <w:r w:rsidRPr="00CA13A3">
        <w:rPr>
          <w:rFonts w:ascii="Palatino Linotype" w:hAnsi="Palatino Linotype"/>
          <w:bCs/>
          <w:i/>
          <w:iCs/>
          <w:szCs w:val="22"/>
        </w:rPr>
        <w:t>sic</w:t>
      </w:r>
      <w:proofErr w:type="gramEnd"/>
      <w:r w:rsidRPr="00CA13A3">
        <w:rPr>
          <w:rFonts w:ascii="Palatino Linotype" w:hAnsi="Palatino Linotype"/>
          <w:bCs/>
          <w:i/>
          <w:iCs/>
          <w:szCs w:val="22"/>
        </w:rPr>
        <w:t>)</w:t>
      </w:r>
    </w:p>
    <w:p w14:paraId="76309DF4" w14:textId="77777777" w:rsidR="000F4C92" w:rsidRPr="00CA13A3" w:rsidRDefault="000F4C92" w:rsidP="00466168">
      <w:pPr>
        <w:pStyle w:val="Prrafodelista"/>
        <w:spacing w:line="360" w:lineRule="auto"/>
        <w:jc w:val="both"/>
        <w:rPr>
          <w:rFonts w:ascii="Palatino Linotype" w:hAnsi="Palatino Linotype"/>
          <w:bCs/>
          <w:i/>
          <w:iCs/>
          <w:szCs w:val="22"/>
        </w:rPr>
      </w:pPr>
    </w:p>
    <w:p w14:paraId="76309DF5" w14:textId="77777777" w:rsidR="00466168" w:rsidRPr="00CA13A3" w:rsidRDefault="000F4C92" w:rsidP="00466168">
      <w:pPr>
        <w:pStyle w:val="Prrafodelista"/>
        <w:spacing w:line="360" w:lineRule="auto"/>
        <w:jc w:val="both"/>
        <w:rPr>
          <w:rFonts w:ascii="Palatino Linotype" w:hAnsi="Palatino Linotype" w:cstheme="minorBidi"/>
          <w:bCs/>
          <w:i/>
          <w:iCs/>
          <w:szCs w:val="22"/>
        </w:rPr>
      </w:pPr>
      <w:r w:rsidRPr="00CA13A3">
        <w:rPr>
          <w:rFonts w:ascii="Palatino Linotype" w:hAnsi="Palatino Linotype"/>
          <w:b/>
          <w:szCs w:val="22"/>
        </w:rPr>
        <w:t xml:space="preserve">No señaló </w:t>
      </w:r>
      <w:r w:rsidR="00466168" w:rsidRPr="00CA13A3">
        <w:rPr>
          <w:rFonts w:ascii="Palatino Linotype" w:hAnsi="Palatino Linotype"/>
          <w:b/>
          <w:szCs w:val="22"/>
        </w:rPr>
        <w:t>Moti</w:t>
      </w:r>
      <w:r w:rsidRPr="00CA13A3">
        <w:rPr>
          <w:rFonts w:ascii="Palatino Linotype" w:hAnsi="Palatino Linotype"/>
          <w:b/>
          <w:szCs w:val="22"/>
        </w:rPr>
        <w:t>vos o razones de inconformidad.</w:t>
      </w:r>
    </w:p>
    <w:bookmarkEnd w:id="1"/>
    <w:bookmarkEnd w:id="2"/>
    <w:bookmarkEnd w:id="3"/>
    <w:p w14:paraId="76309DF6" w14:textId="77777777" w:rsidR="00466168" w:rsidRPr="00CA13A3" w:rsidRDefault="00466168" w:rsidP="00466168">
      <w:pPr>
        <w:pStyle w:val="Prrafodelista"/>
        <w:spacing w:before="240" w:after="240" w:line="360" w:lineRule="auto"/>
        <w:ind w:left="0"/>
        <w:jc w:val="both"/>
        <w:rPr>
          <w:rFonts w:ascii="Palatino Linotype" w:eastAsia="Calibri" w:hAnsi="Palatino Linotype" w:cs="Arial"/>
          <w:szCs w:val="22"/>
          <w:lang w:val="es-AR"/>
        </w:rPr>
      </w:pPr>
    </w:p>
    <w:p w14:paraId="76309DF7" w14:textId="77777777" w:rsidR="00466168" w:rsidRPr="00CA13A3" w:rsidRDefault="00466168" w:rsidP="00466168">
      <w:pPr>
        <w:pStyle w:val="Prrafodelista"/>
        <w:numPr>
          <w:ilvl w:val="0"/>
          <w:numId w:val="2"/>
        </w:numPr>
        <w:spacing w:before="240" w:after="240" w:line="360" w:lineRule="auto"/>
        <w:ind w:left="0" w:firstLine="0"/>
        <w:jc w:val="both"/>
        <w:rPr>
          <w:rFonts w:ascii="Palatino Linotype" w:eastAsia="Calibri" w:hAnsi="Palatino Linotype" w:cs="Arial"/>
          <w:szCs w:val="22"/>
          <w:lang w:val="es-AR"/>
        </w:rPr>
      </w:pPr>
      <w:r w:rsidRPr="00CA13A3">
        <w:rPr>
          <w:rFonts w:ascii="Palatino Linotype" w:hAnsi="Palatino Linotype" w:cs="Arial"/>
          <w:szCs w:val="22"/>
          <w:lang w:val="es-ES"/>
        </w:rPr>
        <w:t xml:space="preserve">Se registró el recurso revisión bajo el número de expediente </w:t>
      </w:r>
      <w:r w:rsidRPr="00CA13A3">
        <w:rPr>
          <w:rFonts w:ascii="Palatino Linotype" w:hAnsi="Palatino Linotype" w:cs="Arial"/>
          <w:bCs/>
          <w:szCs w:val="22"/>
        </w:rPr>
        <w:t xml:space="preserve">al rubro indicado, asimismo con fundamento en lo dispuesto por el </w:t>
      </w:r>
      <w:r w:rsidRPr="00CA13A3">
        <w:rPr>
          <w:rFonts w:ascii="Palatino Linotype" w:eastAsia="Calibri" w:hAnsi="Palatino Linotype" w:cs="Arial"/>
          <w:szCs w:val="22"/>
          <w:lang w:val="es-ES"/>
        </w:rPr>
        <w:t xml:space="preserve">artículo 185 fracción I de la </w:t>
      </w:r>
      <w:r w:rsidRPr="00CA13A3">
        <w:rPr>
          <w:rFonts w:ascii="Palatino Linotype" w:eastAsia="Calibri" w:hAnsi="Palatino Linotype" w:cs="Arial"/>
          <w:b/>
          <w:szCs w:val="22"/>
          <w:lang w:val="es-ES"/>
        </w:rPr>
        <w:t xml:space="preserve">Ley de Transparencia y Acceso a la Información Pública del Estado de México y Municipios </w:t>
      </w:r>
      <w:r w:rsidRPr="00CA13A3">
        <w:rPr>
          <w:rFonts w:ascii="Palatino Linotype" w:hAnsi="Palatino Linotype" w:cs="Arial"/>
          <w:szCs w:val="22"/>
          <w:lang w:val="es-ES"/>
        </w:rPr>
        <w:t xml:space="preserve">se turnó a la </w:t>
      </w:r>
      <w:r w:rsidRPr="00CA13A3">
        <w:rPr>
          <w:rFonts w:ascii="Palatino Linotype" w:hAnsi="Palatino Linotype" w:cs="Arial"/>
          <w:b/>
          <w:szCs w:val="22"/>
          <w:lang w:val="es-ES"/>
        </w:rPr>
        <w:t xml:space="preserve">Comisionada María del Rosario Mejía Ayala, </w:t>
      </w:r>
      <w:r w:rsidRPr="00CA13A3">
        <w:rPr>
          <w:rFonts w:ascii="Palatino Linotype" w:hAnsi="Palatino Linotype" w:cs="Arial"/>
          <w:szCs w:val="22"/>
          <w:lang w:val="es-ES"/>
        </w:rPr>
        <w:t xml:space="preserve">con el objeto de </w:t>
      </w:r>
      <w:r w:rsidRPr="00CA13A3">
        <w:rPr>
          <w:rFonts w:ascii="Palatino Linotype" w:hAnsi="Palatino Linotype" w:cs="Arial"/>
          <w:szCs w:val="22"/>
        </w:rPr>
        <w:t>su análisis.</w:t>
      </w:r>
    </w:p>
    <w:p w14:paraId="76309DF8" w14:textId="77777777" w:rsidR="00466168" w:rsidRPr="00CA13A3" w:rsidRDefault="00466168" w:rsidP="00466168">
      <w:pPr>
        <w:pStyle w:val="Prrafodelista"/>
        <w:spacing w:before="240" w:after="240" w:line="360" w:lineRule="auto"/>
        <w:ind w:left="0"/>
        <w:jc w:val="both"/>
        <w:rPr>
          <w:rFonts w:ascii="Palatino Linotype" w:eastAsia="Calibri" w:hAnsi="Palatino Linotype" w:cs="Arial"/>
          <w:szCs w:val="22"/>
          <w:lang w:val="es-AR"/>
        </w:rPr>
      </w:pPr>
    </w:p>
    <w:p w14:paraId="76309DF9" w14:textId="77777777" w:rsidR="00466168" w:rsidRPr="00CA13A3" w:rsidRDefault="00466168" w:rsidP="00466168">
      <w:pPr>
        <w:pStyle w:val="Prrafodelista"/>
        <w:numPr>
          <w:ilvl w:val="0"/>
          <w:numId w:val="2"/>
        </w:numPr>
        <w:spacing w:before="240" w:after="240" w:line="360" w:lineRule="auto"/>
        <w:ind w:left="0" w:firstLine="0"/>
        <w:jc w:val="both"/>
        <w:rPr>
          <w:rFonts w:ascii="Palatino Linotype" w:eastAsiaTheme="minorEastAsia" w:hAnsi="Palatino Linotype" w:cstheme="minorBidi"/>
          <w:i/>
          <w:color w:val="000000"/>
          <w:szCs w:val="22"/>
          <w:lang w:val="es-ES_tradnl"/>
        </w:rPr>
      </w:pPr>
      <w:r w:rsidRPr="00CA13A3">
        <w:rPr>
          <w:rFonts w:ascii="Palatino Linotype" w:eastAsia="Calibri" w:hAnsi="Palatino Linotype" w:cs="Arial"/>
          <w:szCs w:val="22"/>
          <w:lang w:val="es-ES"/>
        </w:rPr>
        <w:lastRenderedPageBreak/>
        <w:t>La Comisionada Ponente con fundamento en lo dispuesto por el artículo 185 fracción II de la ley de la materia, a través del acuerdo de admisión de</w:t>
      </w:r>
      <w:r w:rsidR="002C2556" w:rsidRPr="00CA13A3">
        <w:rPr>
          <w:rFonts w:ascii="Palatino Linotype" w:eastAsia="Calibri" w:hAnsi="Palatino Linotype" w:cs="Arial"/>
          <w:szCs w:val="22"/>
          <w:lang w:val="es-ES"/>
        </w:rPr>
        <w:t>l</w:t>
      </w:r>
      <w:r w:rsidRPr="00CA13A3">
        <w:rPr>
          <w:rFonts w:ascii="Palatino Linotype" w:eastAsia="Calibri" w:hAnsi="Palatino Linotype" w:cs="Arial"/>
          <w:szCs w:val="22"/>
          <w:lang w:val="es-ES"/>
        </w:rPr>
        <w:t xml:space="preserve"> </w:t>
      </w:r>
      <w:r w:rsidR="002C2556" w:rsidRPr="00CA13A3">
        <w:rPr>
          <w:rFonts w:ascii="Palatino Linotype" w:eastAsia="Calibri" w:hAnsi="Palatino Linotype" w:cs="Arial"/>
          <w:szCs w:val="22"/>
          <w:lang w:val="es-ES"/>
        </w:rPr>
        <w:t>cuatro de abril</w:t>
      </w:r>
      <w:r w:rsidRPr="00CA13A3">
        <w:rPr>
          <w:rFonts w:ascii="Palatino Linotype" w:eastAsia="Calibri" w:hAnsi="Palatino Linotype" w:cs="Arial"/>
          <w:szCs w:val="22"/>
          <w:lang w:val="es-ES"/>
        </w:rPr>
        <w:t xml:space="preserve"> de dos mil veinticuatro, puso a disposición de las partes el expediente electrónico </w:t>
      </w:r>
      <w:r w:rsidRPr="00CA13A3">
        <w:rPr>
          <w:rFonts w:ascii="Palatino Linotype" w:eastAsia="Calibri" w:hAnsi="Palatino Linotype" w:cs="Arial"/>
          <w:szCs w:val="22"/>
        </w:rPr>
        <w:t xml:space="preserve">vía </w:t>
      </w:r>
      <w:r w:rsidRPr="00CA13A3">
        <w:rPr>
          <w:rFonts w:ascii="Palatino Linotype" w:eastAsia="Calibri" w:hAnsi="Palatino Linotype" w:cs="Arial"/>
          <w:b/>
          <w:szCs w:val="22"/>
          <w:lang w:val="es-ES"/>
        </w:rPr>
        <w:t xml:space="preserve">SAIMEX </w:t>
      </w:r>
      <w:r w:rsidRPr="00CA13A3">
        <w:rPr>
          <w:rFonts w:ascii="Palatino Linotype" w:eastAsia="Calibri" w:hAnsi="Palatino Linotype" w:cs="Arial"/>
          <w:szCs w:val="22"/>
          <w:lang w:val="es-ES"/>
        </w:rPr>
        <w:t xml:space="preserve">a efecto de que en un plazo máximo de siete días manifestaran lo que a derecho convinieran, ofrecieran pruebas y alegatos según corresponda al caso concreto, de esta forma para que el </w:t>
      </w:r>
      <w:r w:rsidRPr="00CA13A3">
        <w:rPr>
          <w:rFonts w:ascii="Palatino Linotype" w:eastAsia="Calibri" w:hAnsi="Palatino Linotype" w:cs="Arial"/>
          <w:b/>
          <w:szCs w:val="22"/>
          <w:lang w:val="es-ES"/>
        </w:rPr>
        <w:t>SUJETO OBLIGADO</w:t>
      </w:r>
      <w:r w:rsidRPr="00CA13A3">
        <w:rPr>
          <w:rFonts w:ascii="Palatino Linotype" w:eastAsia="Calibri" w:hAnsi="Palatino Linotype" w:cs="Arial"/>
          <w:szCs w:val="22"/>
          <w:lang w:val="es-ES"/>
        </w:rPr>
        <w:t xml:space="preserve"> presentara el informe justificado procedente.</w:t>
      </w:r>
    </w:p>
    <w:p w14:paraId="76309DFA" w14:textId="77777777" w:rsidR="00466168" w:rsidRPr="00CA13A3" w:rsidRDefault="00466168" w:rsidP="00466168">
      <w:pPr>
        <w:pStyle w:val="Prrafodelista"/>
        <w:rPr>
          <w:rFonts w:ascii="Palatino Linotype" w:eastAsiaTheme="minorEastAsia" w:hAnsi="Palatino Linotype" w:cstheme="minorBidi"/>
          <w:i/>
          <w:color w:val="000000"/>
          <w:szCs w:val="22"/>
          <w:lang w:val="es-ES_tradnl"/>
        </w:rPr>
      </w:pPr>
    </w:p>
    <w:p w14:paraId="76309DFB" w14:textId="77777777" w:rsidR="00466168" w:rsidRPr="00CA13A3" w:rsidRDefault="00466168" w:rsidP="00466168">
      <w:pPr>
        <w:numPr>
          <w:ilvl w:val="0"/>
          <w:numId w:val="1"/>
        </w:numPr>
        <w:tabs>
          <w:tab w:val="left" w:pos="284"/>
        </w:tabs>
        <w:spacing w:before="240" w:after="240" w:line="360" w:lineRule="auto"/>
        <w:ind w:left="0" w:firstLine="0"/>
        <w:contextualSpacing/>
        <w:jc w:val="both"/>
        <w:rPr>
          <w:rFonts w:ascii="Palatino Linotype" w:hAnsi="Palatino Linotype"/>
          <w:b/>
          <w:i/>
          <w:color w:val="000000"/>
          <w:sz w:val="22"/>
          <w:szCs w:val="22"/>
          <w:lang w:val="es-ES_tradnl"/>
        </w:rPr>
      </w:pPr>
      <w:r w:rsidRPr="00CA13A3">
        <w:rPr>
          <w:rFonts w:ascii="Palatino Linotype" w:hAnsi="Palatino Linotype"/>
          <w:color w:val="000000"/>
          <w:sz w:val="22"/>
          <w:szCs w:val="22"/>
          <w:lang w:val="es-ES_tradnl"/>
        </w:rPr>
        <w:t>De las constancias que obran en el expediente electrón</w:t>
      </w:r>
      <w:r w:rsidR="002C2556" w:rsidRPr="00CA13A3">
        <w:rPr>
          <w:rFonts w:ascii="Palatino Linotype" w:hAnsi="Palatino Linotype"/>
          <w:color w:val="000000"/>
          <w:sz w:val="22"/>
          <w:szCs w:val="22"/>
          <w:lang w:val="es-ES_tradnl"/>
        </w:rPr>
        <w:t xml:space="preserve">ico del SAIMEX, se aprecia que el Recurrente no realizó manifestaciones que a su derecho convinieran; por su parte, el Sujeto Obligado remitió informe justificado el quince de abril de dos mil veinticuatro, a través del archivo denominado </w:t>
      </w:r>
      <w:hyperlink r:id="rId8" w:history="1">
        <w:r w:rsidR="002C2556" w:rsidRPr="00CA13A3">
          <w:rPr>
            <w:rStyle w:val="Hipervnculo"/>
            <w:rFonts w:ascii="Palatino Linotype" w:hAnsi="Palatino Linotype"/>
            <w:b/>
            <w:bCs/>
            <w:sz w:val="22"/>
            <w:szCs w:val="22"/>
          </w:rPr>
          <w:t>Informe Justificado 00124.pdf</w:t>
        </w:r>
      </w:hyperlink>
      <w:r w:rsidR="002C2556" w:rsidRPr="00CA13A3">
        <w:rPr>
          <w:rFonts w:ascii="Palatino Linotype" w:hAnsi="Palatino Linotype"/>
          <w:color w:val="000000"/>
          <w:sz w:val="22"/>
          <w:szCs w:val="22"/>
          <w:lang w:val="es-ES_tradnl"/>
        </w:rPr>
        <w:t xml:space="preserve">, el cual fue puesto a la vista del particular el cinco de febrero de dos mil veinticinco y el cual contiene el oficio número 22800007010000S/0629/UT/2024 de fecha quince de abril de dos mil veinticuatro, suscrito por el Titular de la Unidad de Transparencia en el que, de forma medular, ratificó la respuesta. </w:t>
      </w:r>
    </w:p>
    <w:p w14:paraId="76309DFC" w14:textId="77777777" w:rsidR="00466168" w:rsidRPr="00CA13A3" w:rsidRDefault="00466168" w:rsidP="00466168">
      <w:pPr>
        <w:pStyle w:val="Prrafodelista"/>
        <w:numPr>
          <w:ilvl w:val="0"/>
          <w:numId w:val="2"/>
        </w:numPr>
        <w:spacing w:line="360" w:lineRule="auto"/>
        <w:ind w:left="0" w:firstLine="0"/>
        <w:jc w:val="both"/>
        <w:rPr>
          <w:rFonts w:ascii="Palatino Linotype" w:hAnsi="Palatino Linotype" w:cs="Tahoma"/>
          <w:szCs w:val="22"/>
        </w:rPr>
      </w:pPr>
      <w:r w:rsidRPr="00CA13A3">
        <w:rPr>
          <w:rFonts w:ascii="Palatino Linotype" w:eastAsia="Calibri" w:hAnsi="Palatino Linotype" w:cs="Arial"/>
          <w:szCs w:val="22"/>
          <w:lang w:val="es-ES"/>
        </w:rPr>
        <w:t xml:space="preserve">El </w:t>
      </w:r>
      <w:r w:rsidR="002C2556" w:rsidRPr="00CA13A3">
        <w:rPr>
          <w:rFonts w:ascii="Palatino Linotype" w:eastAsia="Calibri" w:hAnsi="Palatino Linotype" w:cs="Arial"/>
          <w:b/>
          <w:szCs w:val="22"/>
          <w:lang w:val="es-ES"/>
        </w:rPr>
        <w:t>tres de mayo</w:t>
      </w:r>
      <w:r w:rsidRPr="00CA13A3">
        <w:rPr>
          <w:rFonts w:ascii="Palatino Linotype" w:eastAsia="Calibri" w:hAnsi="Palatino Linotype" w:cs="Arial"/>
          <w:b/>
          <w:szCs w:val="22"/>
          <w:lang w:val="es-ES"/>
        </w:rPr>
        <w:t xml:space="preserve"> de dos mil veinticuatro</w:t>
      </w:r>
      <w:r w:rsidRPr="00CA13A3">
        <w:rPr>
          <w:rFonts w:ascii="Palatino Linotype" w:eastAsia="Calibri" w:hAnsi="Palatino Linotype" w:cs="Arial"/>
          <w:szCs w:val="22"/>
          <w:lang w:val="es-ES"/>
        </w:rPr>
        <w:t>, la</w:t>
      </w:r>
      <w:r w:rsidRPr="00CA13A3">
        <w:rPr>
          <w:rFonts w:ascii="Palatino Linotype" w:hAnsi="Palatino Linotype"/>
          <w:szCs w:val="22"/>
        </w:rPr>
        <w:t xml:space="preserve"> Comisionada Ponente notificó el acuerdo de ampliación para emitir resolución.</w:t>
      </w:r>
    </w:p>
    <w:p w14:paraId="76309DFD" w14:textId="77777777" w:rsidR="00466168" w:rsidRPr="00CA13A3" w:rsidRDefault="00466168" w:rsidP="00466168">
      <w:pPr>
        <w:rPr>
          <w:rFonts w:ascii="Palatino Linotype" w:hAnsi="Palatino Linotype"/>
          <w:sz w:val="22"/>
          <w:szCs w:val="22"/>
        </w:rPr>
      </w:pPr>
    </w:p>
    <w:p w14:paraId="76309DFE" w14:textId="77777777" w:rsidR="00466168" w:rsidRPr="00CA13A3" w:rsidRDefault="00466168" w:rsidP="00466168">
      <w:pPr>
        <w:pStyle w:val="Prrafodelista"/>
        <w:numPr>
          <w:ilvl w:val="0"/>
          <w:numId w:val="2"/>
        </w:numPr>
        <w:spacing w:line="360" w:lineRule="auto"/>
        <w:ind w:left="0" w:firstLine="0"/>
        <w:jc w:val="both"/>
        <w:rPr>
          <w:rFonts w:ascii="Palatino Linotype" w:hAnsi="Palatino Linotype" w:cs="Tahoma"/>
          <w:szCs w:val="22"/>
        </w:rPr>
      </w:pPr>
      <w:r w:rsidRPr="00CA13A3">
        <w:rPr>
          <w:rFonts w:ascii="Palatino Linotype" w:hAnsi="Palatino Linotype"/>
          <w:szCs w:val="22"/>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76309DFF" w14:textId="77777777" w:rsidR="00466168" w:rsidRPr="00CA13A3" w:rsidRDefault="00466168" w:rsidP="00466168">
      <w:pPr>
        <w:pStyle w:val="Prrafodelista"/>
        <w:spacing w:line="360" w:lineRule="auto"/>
        <w:ind w:left="0"/>
        <w:jc w:val="both"/>
        <w:rPr>
          <w:rFonts w:ascii="Palatino Linotype" w:hAnsi="Palatino Linotype" w:cs="Tahoma"/>
          <w:szCs w:val="22"/>
        </w:rPr>
      </w:pPr>
    </w:p>
    <w:p w14:paraId="76309E00" w14:textId="77777777" w:rsidR="00466168" w:rsidRPr="00CA13A3" w:rsidRDefault="00466168" w:rsidP="00466168">
      <w:pPr>
        <w:pStyle w:val="Prrafodelista"/>
        <w:numPr>
          <w:ilvl w:val="0"/>
          <w:numId w:val="1"/>
        </w:numPr>
        <w:spacing w:before="240" w:after="240" w:line="360" w:lineRule="auto"/>
        <w:ind w:left="0" w:firstLine="0"/>
        <w:jc w:val="both"/>
        <w:rPr>
          <w:rFonts w:ascii="Palatino Linotype" w:hAnsi="Palatino Linotype"/>
          <w:szCs w:val="22"/>
        </w:rPr>
      </w:pPr>
      <w:r w:rsidRPr="00CA13A3">
        <w:rPr>
          <w:rFonts w:ascii="Palatino Linotype" w:hAnsi="Palatino Linotype"/>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6309E01" w14:textId="77777777" w:rsidR="00466168" w:rsidRPr="00CA13A3" w:rsidRDefault="00466168" w:rsidP="00466168">
      <w:pPr>
        <w:pStyle w:val="Prrafodelista"/>
        <w:spacing w:before="240" w:after="240" w:line="360" w:lineRule="auto"/>
        <w:ind w:left="0"/>
        <w:jc w:val="both"/>
        <w:rPr>
          <w:rFonts w:ascii="Palatino Linotype" w:hAnsi="Palatino Linotype"/>
          <w:szCs w:val="22"/>
        </w:rPr>
      </w:pPr>
    </w:p>
    <w:p w14:paraId="76309E02" w14:textId="77777777" w:rsidR="00466168" w:rsidRPr="00CA13A3" w:rsidRDefault="00466168" w:rsidP="00466168">
      <w:pPr>
        <w:pStyle w:val="Prrafodelista"/>
        <w:numPr>
          <w:ilvl w:val="0"/>
          <w:numId w:val="1"/>
        </w:numPr>
        <w:spacing w:before="240" w:after="240" w:line="360" w:lineRule="auto"/>
        <w:ind w:left="0" w:firstLine="0"/>
        <w:jc w:val="both"/>
        <w:rPr>
          <w:rFonts w:ascii="Palatino Linotype" w:hAnsi="Palatino Linotype"/>
          <w:szCs w:val="22"/>
        </w:rPr>
      </w:pPr>
      <w:r w:rsidRPr="00CA13A3">
        <w:rPr>
          <w:rFonts w:ascii="Palatino Linotype" w:hAnsi="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6309E03" w14:textId="77777777" w:rsidR="00466168" w:rsidRPr="00CA13A3" w:rsidRDefault="00466168" w:rsidP="00466168">
      <w:pPr>
        <w:pStyle w:val="Prrafodelista"/>
        <w:rPr>
          <w:rFonts w:ascii="Palatino Linotype" w:hAnsi="Palatino Linotype"/>
          <w:szCs w:val="22"/>
        </w:rPr>
      </w:pPr>
    </w:p>
    <w:p w14:paraId="76309E04" w14:textId="77777777" w:rsidR="00466168" w:rsidRPr="00CA13A3" w:rsidRDefault="00466168" w:rsidP="00466168">
      <w:pPr>
        <w:pStyle w:val="Prrafodelista"/>
        <w:numPr>
          <w:ilvl w:val="0"/>
          <w:numId w:val="1"/>
        </w:numPr>
        <w:spacing w:before="240" w:after="240" w:line="360" w:lineRule="auto"/>
        <w:ind w:left="0" w:firstLine="0"/>
        <w:jc w:val="both"/>
        <w:rPr>
          <w:rFonts w:ascii="Palatino Linotype" w:hAnsi="Palatino Linotype"/>
          <w:szCs w:val="22"/>
        </w:rPr>
      </w:pPr>
      <w:r w:rsidRPr="00CA13A3">
        <w:rPr>
          <w:rFonts w:ascii="Palatino Linotype" w:hAnsi="Palatino Linotype"/>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6309E05" w14:textId="77777777" w:rsidR="00466168" w:rsidRPr="00CA13A3" w:rsidRDefault="00466168" w:rsidP="00466168">
      <w:pPr>
        <w:pStyle w:val="Prrafodelista"/>
        <w:spacing w:before="240" w:after="240" w:line="360" w:lineRule="auto"/>
        <w:ind w:left="0"/>
        <w:jc w:val="both"/>
        <w:rPr>
          <w:rFonts w:ascii="Palatino Linotype" w:hAnsi="Palatino Linotype"/>
          <w:szCs w:val="22"/>
        </w:rPr>
      </w:pPr>
    </w:p>
    <w:p w14:paraId="76309E06" w14:textId="77777777" w:rsidR="00466168" w:rsidRPr="00CA13A3" w:rsidRDefault="00466168" w:rsidP="00466168">
      <w:pPr>
        <w:pStyle w:val="Prrafodelista"/>
        <w:numPr>
          <w:ilvl w:val="0"/>
          <w:numId w:val="1"/>
        </w:numPr>
        <w:spacing w:before="240" w:after="240" w:line="360" w:lineRule="auto"/>
        <w:ind w:left="0" w:firstLine="0"/>
        <w:jc w:val="both"/>
        <w:rPr>
          <w:rFonts w:ascii="Palatino Linotype" w:hAnsi="Palatino Linotype"/>
          <w:szCs w:val="22"/>
        </w:rPr>
      </w:pPr>
      <w:r w:rsidRPr="00CA13A3">
        <w:rPr>
          <w:rFonts w:ascii="Palatino Linotype" w:hAnsi="Palatino Linotype"/>
          <w:szCs w:val="22"/>
        </w:rPr>
        <w:t xml:space="preserve">Por ello, excepcionalmente, si un asunto es resuelto con posterioridad a los plazos señalados por la norma debe analizarse la razonabilidad del tiempo necesario para su resolución, atentos a los siguientes criterios:   </w:t>
      </w:r>
    </w:p>
    <w:p w14:paraId="76309E07" w14:textId="77777777" w:rsidR="00466168" w:rsidRPr="00CA13A3" w:rsidRDefault="00466168" w:rsidP="00466168">
      <w:pPr>
        <w:pStyle w:val="Prrafodelista"/>
        <w:spacing w:before="240" w:after="240" w:line="360" w:lineRule="auto"/>
        <w:ind w:left="0"/>
        <w:jc w:val="both"/>
        <w:rPr>
          <w:rFonts w:ascii="Palatino Linotype" w:hAnsi="Palatino Linotype"/>
          <w:szCs w:val="22"/>
        </w:rPr>
      </w:pPr>
    </w:p>
    <w:p w14:paraId="76309E08" w14:textId="77777777" w:rsidR="00466168" w:rsidRPr="00CA13A3" w:rsidRDefault="00466168" w:rsidP="00466168">
      <w:pPr>
        <w:pStyle w:val="Prrafodelista"/>
        <w:spacing w:before="240" w:after="240" w:line="360" w:lineRule="auto"/>
        <w:ind w:left="284"/>
        <w:jc w:val="both"/>
        <w:rPr>
          <w:rFonts w:ascii="Palatino Linotype" w:hAnsi="Palatino Linotype"/>
          <w:szCs w:val="22"/>
        </w:rPr>
      </w:pPr>
      <w:r w:rsidRPr="00CA13A3">
        <w:rPr>
          <w:rFonts w:ascii="Palatino Linotype" w:hAnsi="Palatino Linotype"/>
          <w:szCs w:val="22"/>
        </w:rPr>
        <w:t>a)      Complejidad del asunto: La complejidad de la prueba, la pluralidad de sujetos procesales, el tiempo transcurrido, las características y contexto del recurso.</w:t>
      </w:r>
    </w:p>
    <w:p w14:paraId="76309E09" w14:textId="77777777" w:rsidR="00466168" w:rsidRPr="00CA13A3" w:rsidRDefault="00466168" w:rsidP="00466168">
      <w:pPr>
        <w:pStyle w:val="Prrafodelista"/>
        <w:spacing w:before="240" w:after="240" w:line="360" w:lineRule="auto"/>
        <w:ind w:left="284"/>
        <w:jc w:val="both"/>
        <w:rPr>
          <w:rFonts w:ascii="Palatino Linotype" w:hAnsi="Palatino Linotype"/>
          <w:szCs w:val="22"/>
        </w:rPr>
      </w:pPr>
      <w:r w:rsidRPr="00CA13A3">
        <w:rPr>
          <w:rFonts w:ascii="Palatino Linotype" w:hAnsi="Palatino Linotype"/>
          <w:szCs w:val="22"/>
        </w:rPr>
        <w:lastRenderedPageBreak/>
        <w:t>b)     Actividad Procesal del interesado: Acciones u omisiones del interesado.</w:t>
      </w:r>
    </w:p>
    <w:p w14:paraId="76309E0A" w14:textId="77777777" w:rsidR="00466168" w:rsidRPr="00CA13A3" w:rsidRDefault="00466168" w:rsidP="00466168">
      <w:pPr>
        <w:pStyle w:val="Prrafodelista"/>
        <w:spacing w:before="240" w:after="240" w:line="360" w:lineRule="auto"/>
        <w:ind w:left="284"/>
        <w:jc w:val="both"/>
        <w:rPr>
          <w:rFonts w:ascii="Palatino Linotype" w:hAnsi="Palatino Linotype"/>
          <w:szCs w:val="22"/>
        </w:rPr>
      </w:pPr>
      <w:r w:rsidRPr="00CA13A3">
        <w:rPr>
          <w:rFonts w:ascii="Palatino Linotype" w:hAnsi="Palatino Linotype"/>
          <w:szCs w:val="22"/>
        </w:rPr>
        <w:t>c)      Conducta de la Autoridad: Las Acciones u omisiones realizadas en el procedimiento. Así como si la autoridad actuó con la debida diligencia.</w:t>
      </w:r>
    </w:p>
    <w:p w14:paraId="76309E0B" w14:textId="77777777" w:rsidR="00466168" w:rsidRPr="00CA13A3" w:rsidRDefault="00466168" w:rsidP="00466168">
      <w:pPr>
        <w:pStyle w:val="Prrafodelista"/>
        <w:spacing w:before="240" w:after="240" w:line="360" w:lineRule="auto"/>
        <w:ind w:left="284"/>
        <w:jc w:val="both"/>
        <w:rPr>
          <w:rFonts w:ascii="Palatino Linotype" w:hAnsi="Palatino Linotype"/>
          <w:szCs w:val="22"/>
        </w:rPr>
      </w:pPr>
      <w:r w:rsidRPr="00CA13A3">
        <w:rPr>
          <w:rFonts w:ascii="Palatino Linotype" w:hAnsi="Palatino Linotype"/>
          <w:szCs w:val="22"/>
        </w:rPr>
        <w:t>d) La afectación generada en la situación jurídica de la persona involucrada en el proceso: Violación a sus derechos humanos.</w:t>
      </w:r>
    </w:p>
    <w:p w14:paraId="76309E0C" w14:textId="77777777" w:rsidR="00466168" w:rsidRPr="00CA13A3" w:rsidRDefault="00466168" w:rsidP="00466168">
      <w:pPr>
        <w:pStyle w:val="Prrafodelista"/>
        <w:spacing w:before="240" w:after="240" w:line="360" w:lineRule="auto"/>
        <w:ind w:left="0"/>
        <w:jc w:val="both"/>
        <w:rPr>
          <w:rFonts w:ascii="Palatino Linotype" w:hAnsi="Palatino Linotype"/>
          <w:szCs w:val="22"/>
        </w:rPr>
      </w:pPr>
    </w:p>
    <w:p w14:paraId="76309E0D" w14:textId="77777777" w:rsidR="00466168" w:rsidRPr="00CA13A3" w:rsidRDefault="00466168" w:rsidP="00466168">
      <w:pPr>
        <w:pStyle w:val="Prrafodelista"/>
        <w:numPr>
          <w:ilvl w:val="0"/>
          <w:numId w:val="1"/>
        </w:numPr>
        <w:spacing w:before="240" w:after="240" w:line="360" w:lineRule="auto"/>
        <w:ind w:left="0" w:firstLine="0"/>
        <w:jc w:val="both"/>
        <w:rPr>
          <w:rFonts w:ascii="Palatino Linotype" w:hAnsi="Palatino Linotype"/>
          <w:szCs w:val="22"/>
        </w:rPr>
      </w:pPr>
      <w:r w:rsidRPr="00CA13A3">
        <w:rPr>
          <w:rFonts w:ascii="Palatino Linotype" w:hAnsi="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6309E0E" w14:textId="77777777" w:rsidR="00466168" w:rsidRPr="00CA13A3" w:rsidRDefault="00466168" w:rsidP="00466168">
      <w:pPr>
        <w:pStyle w:val="Prrafodelista"/>
        <w:spacing w:before="240" w:after="240" w:line="360" w:lineRule="auto"/>
        <w:ind w:left="0"/>
        <w:jc w:val="both"/>
        <w:rPr>
          <w:rFonts w:ascii="Palatino Linotype" w:hAnsi="Palatino Linotype"/>
          <w:szCs w:val="22"/>
        </w:rPr>
      </w:pPr>
    </w:p>
    <w:p w14:paraId="76309E0F" w14:textId="77777777" w:rsidR="00466168" w:rsidRPr="00CA13A3" w:rsidRDefault="00466168" w:rsidP="00466168">
      <w:pPr>
        <w:pStyle w:val="Prrafodelista"/>
        <w:numPr>
          <w:ilvl w:val="0"/>
          <w:numId w:val="1"/>
        </w:numPr>
        <w:spacing w:before="240" w:after="240" w:line="360" w:lineRule="auto"/>
        <w:ind w:left="0" w:firstLine="0"/>
        <w:jc w:val="both"/>
        <w:rPr>
          <w:rFonts w:ascii="Palatino Linotype" w:hAnsi="Palatino Linotype"/>
          <w:szCs w:val="22"/>
        </w:rPr>
      </w:pPr>
      <w:r w:rsidRPr="00CA13A3">
        <w:rPr>
          <w:rFonts w:ascii="Palatino Linotype" w:hAnsi="Palatino Linotype"/>
          <w:szCs w:val="22"/>
        </w:rPr>
        <w:t>Argumento que encuentra sustento en la jurisprudencia P</w:t>
      </w:r>
      <w:proofErr w:type="gramStart"/>
      <w:r w:rsidRPr="00CA13A3">
        <w:rPr>
          <w:rFonts w:ascii="Palatino Linotype" w:hAnsi="Palatino Linotype"/>
          <w:szCs w:val="22"/>
        </w:rPr>
        <w:t>./</w:t>
      </w:r>
      <w:proofErr w:type="gramEnd"/>
      <w:r w:rsidRPr="00CA13A3">
        <w:rPr>
          <w:rFonts w:ascii="Palatino Linotype" w:hAnsi="Palatino Linotype"/>
          <w:szCs w:val="22"/>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6309E10" w14:textId="77777777" w:rsidR="00466168" w:rsidRPr="00CA13A3" w:rsidRDefault="00466168" w:rsidP="00466168">
      <w:pPr>
        <w:pStyle w:val="Prrafodelista"/>
        <w:rPr>
          <w:rFonts w:ascii="Palatino Linotype" w:hAnsi="Palatino Linotype"/>
          <w:szCs w:val="22"/>
        </w:rPr>
      </w:pPr>
    </w:p>
    <w:p w14:paraId="76309E11" w14:textId="77777777" w:rsidR="00466168" w:rsidRPr="00CA13A3" w:rsidRDefault="00466168" w:rsidP="00466168">
      <w:pPr>
        <w:pStyle w:val="Prrafodelista"/>
        <w:numPr>
          <w:ilvl w:val="0"/>
          <w:numId w:val="1"/>
        </w:numPr>
        <w:spacing w:before="240" w:after="240" w:line="360" w:lineRule="auto"/>
        <w:ind w:left="0" w:firstLine="0"/>
        <w:jc w:val="both"/>
        <w:rPr>
          <w:rFonts w:ascii="Palatino Linotype" w:hAnsi="Palatino Linotype"/>
          <w:szCs w:val="22"/>
        </w:rPr>
      </w:pPr>
      <w:r w:rsidRPr="00CA13A3">
        <w:rPr>
          <w:rFonts w:ascii="Palatino Linotype" w:hAnsi="Palatino Linotype"/>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w:t>
      </w:r>
      <w:r w:rsidRPr="00CA13A3">
        <w:rPr>
          <w:rFonts w:ascii="Palatino Linotype" w:hAnsi="Palatino Linotype"/>
          <w:szCs w:val="22"/>
        </w:rPr>
        <w:lastRenderedPageBreak/>
        <w:t>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6309E12" w14:textId="77777777" w:rsidR="00466168" w:rsidRPr="00CA13A3" w:rsidRDefault="00466168" w:rsidP="00466168">
      <w:pPr>
        <w:pStyle w:val="Prrafodelista"/>
        <w:spacing w:before="240" w:after="240" w:line="360" w:lineRule="auto"/>
        <w:ind w:left="0"/>
        <w:jc w:val="both"/>
        <w:rPr>
          <w:rFonts w:ascii="Palatino Linotype" w:hAnsi="Palatino Linotype"/>
          <w:szCs w:val="22"/>
        </w:rPr>
      </w:pPr>
    </w:p>
    <w:p w14:paraId="76309E13" w14:textId="77777777" w:rsidR="00466168" w:rsidRPr="00CA13A3" w:rsidRDefault="00466168" w:rsidP="00466168">
      <w:pPr>
        <w:pStyle w:val="Prrafodelista"/>
        <w:numPr>
          <w:ilvl w:val="0"/>
          <w:numId w:val="1"/>
        </w:numPr>
        <w:spacing w:before="240" w:after="240" w:line="360" w:lineRule="auto"/>
        <w:ind w:left="0" w:firstLine="0"/>
        <w:jc w:val="both"/>
        <w:rPr>
          <w:rFonts w:ascii="Palatino Linotype" w:hAnsi="Palatino Linotype"/>
          <w:szCs w:val="22"/>
        </w:rPr>
      </w:pPr>
      <w:r w:rsidRPr="00CA13A3">
        <w:rPr>
          <w:rFonts w:ascii="Palatino Linotype" w:hAnsi="Palatino Linotype"/>
          <w:szCs w:val="22"/>
        </w:rPr>
        <w:t>Al respecto, también son de considerar los criterios sostenidos por el Cuarto Tribunal Colegiado en Materia Administrativa del Primer Circuito, cuyos rubros y datos de identificación son los siguientes:</w:t>
      </w:r>
    </w:p>
    <w:p w14:paraId="76309E14" w14:textId="77777777" w:rsidR="00466168" w:rsidRPr="00CA13A3" w:rsidRDefault="00466168" w:rsidP="00466168">
      <w:pPr>
        <w:pStyle w:val="Prrafodelista"/>
        <w:rPr>
          <w:rFonts w:ascii="Palatino Linotype" w:hAnsi="Palatino Linotype"/>
          <w:szCs w:val="22"/>
        </w:rPr>
      </w:pPr>
    </w:p>
    <w:p w14:paraId="76309E15" w14:textId="77777777" w:rsidR="00466168" w:rsidRPr="00CA13A3" w:rsidRDefault="00466168" w:rsidP="00466168">
      <w:pPr>
        <w:pStyle w:val="Prrafodelista"/>
        <w:spacing w:before="240" w:after="240" w:line="360" w:lineRule="auto"/>
        <w:ind w:left="567"/>
        <w:jc w:val="both"/>
        <w:rPr>
          <w:rFonts w:ascii="Palatino Linotype" w:hAnsi="Palatino Linotype"/>
          <w:szCs w:val="22"/>
        </w:rPr>
      </w:pPr>
      <w:r w:rsidRPr="00CA13A3">
        <w:rPr>
          <w:rFonts w:ascii="Palatino Linotype" w:hAnsi="Palatino Linotype"/>
          <w:szCs w:val="22"/>
        </w:rPr>
        <w:t>“PLAZO RAZONABLE PARA RESOLVER. DIMENSIÓN Y EFECTOS DE ESTE CONCEPTO CUANDO SE ADUCE EXCESIVA CARGA DE TRABAJO.” consultable en el Seminario Judicial de la Federación y su gaceta, con el registro digital 2002351.</w:t>
      </w:r>
    </w:p>
    <w:p w14:paraId="76309E16" w14:textId="77777777" w:rsidR="00466168" w:rsidRPr="00CA13A3" w:rsidRDefault="00466168" w:rsidP="00466168">
      <w:pPr>
        <w:pStyle w:val="Prrafodelista"/>
        <w:spacing w:before="240" w:after="240" w:line="360" w:lineRule="auto"/>
        <w:ind w:left="567"/>
        <w:jc w:val="both"/>
        <w:rPr>
          <w:rFonts w:ascii="Palatino Linotype" w:hAnsi="Palatino Linotype"/>
          <w:szCs w:val="22"/>
        </w:rPr>
      </w:pPr>
      <w:r w:rsidRPr="00CA13A3">
        <w:rPr>
          <w:rFonts w:ascii="Palatino Linotype" w:hAnsi="Palatino Linotype"/>
          <w:szCs w:val="22"/>
        </w:rPr>
        <w:t>“PLAZO RAZONABLE PARA RESOLVER. CONCEPTO Y ELEMENTOS QUE LO INTEGRAN A LA LUZ DEL DERECHO INTERNACIONAL DE LOS DERECHOS HUMANOS.”, visible en el Seminario Judicial de la Federación y su gaceta, con el registro digital 2002350.</w:t>
      </w:r>
    </w:p>
    <w:p w14:paraId="76309E17" w14:textId="77777777" w:rsidR="00466168" w:rsidRPr="00CA13A3" w:rsidRDefault="00466168" w:rsidP="00466168">
      <w:pPr>
        <w:pStyle w:val="Prrafodelista"/>
        <w:spacing w:before="240" w:after="240" w:line="360" w:lineRule="auto"/>
        <w:ind w:left="708"/>
        <w:jc w:val="both"/>
        <w:rPr>
          <w:rFonts w:ascii="Palatino Linotype" w:hAnsi="Palatino Linotype"/>
          <w:szCs w:val="22"/>
        </w:rPr>
      </w:pPr>
    </w:p>
    <w:p w14:paraId="76309E18" w14:textId="77777777" w:rsidR="00466168" w:rsidRPr="00CA13A3" w:rsidRDefault="00466168" w:rsidP="00466168">
      <w:pPr>
        <w:pStyle w:val="Prrafodelista"/>
        <w:numPr>
          <w:ilvl w:val="0"/>
          <w:numId w:val="1"/>
        </w:numPr>
        <w:spacing w:line="360" w:lineRule="auto"/>
        <w:ind w:left="0" w:firstLine="0"/>
        <w:jc w:val="both"/>
        <w:rPr>
          <w:rFonts w:ascii="Palatino Linotype" w:hAnsi="Palatino Linotype" w:cs="Tahoma"/>
          <w:szCs w:val="22"/>
        </w:rPr>
      </w:pPr>
      <w:r w:rsidRPr="00CA13A3">
        <w:rPr>
          <w:rFonts w:ascii="Palatino Linotype" w:hAnsi="Palatino Linotype"/>
          <w:szCs w:val="22"/>
        </w:rPr>
        <w:t>Por ello, este organismo garante comprometido con la tutela de los derechos humanos confiados, señala que este exceso del plazo legal para resolver el presente asunto, resulta de carácter excepcional.</w:t>
      </w:r>
    </w:p>
    <w:p w14:paraId="76309E19" w14:textId="77777777" w:rsidR="00466168" w:rsidRPr="00CA13A3" w:rsidRDefault="00466168" w:rsidP="00466168">
      <w:pPr>
        <w:pStyle w:val="Prrafodelista"/>
        <w:spacing w:line="360" w:lineRule="auto"/>
        <w:ind w:left="0"/>
        <w:jc w:val="both"/>
        <w:rPr>
          <w:rFonts w:ascii="Palatino Linotype" w:hAnsi="Palatino Linotype" w:cs="Tahoma"/>
          <w:szCs w:val="22"/>
        </w:rPr>
      </w:pPr>
    </w:p>
    <w:p w14:paraId="76309E1A" w14:textId="77777777" w:rsidR="00466168" w:rsidRPr="00CA13A3" w:rsidRDefault="00466168" w:rsidP="00466168">
      <w:pPr>
        <w:pStyle w:val="Prrafodelista"/>
        <w:numPr>
          <w:ilvl w:val="0"/>
          <w:numId w:val="1"/>
        </w:numPr>
        <w:spacing w:line="360" w:lineRule="auto"/>
        <w:ind w:left="0" w:firstLine="0"/>
        <w:jc w:val="both"/>
        <w:rPr>
          <w:rFonts w:ascii="Palatino Linotype" w:hAnsi="Palatino Linotype" w:cs="Tahoma"/>
          <w:szCs w:val="22"/>
        </w:rPr>
      </w:pPr>
      <w:r w:rsidRPr="00CA13A3">
        <w:rPr>
          <w:rFonts w:ascii="Palatino Linotype" w:hAnsi="Palatino Linotype"/>
          <w:szCs w:val="22"/>
        </w:rPr>
        <w:lastRenderedPageBreak/>
        <w:t xml:space="preserve">El </w:t>
      </w:r>
      <w:r w:rsidR="00F770F0" w:rsidRPr="00CA13A3">
        <w:rPr>
          <w:rFonts w:ascii="Palatino Linotype" w:hAnsi="Palatino Linotype"/>
          <w:b/>
          <w:szCs w:val="22"/>
        </w:rPr>
        <w:t>doce</w:t>
      </w:r>
      <w:r w:rsidR="002C2556" w:rsidRPr="00CA13A3">
        <w:rPr>
          <w:rFonts w:ascii="Palatino Linotype" w:hAnsi="Palatino Linotype"/>
          <w:b/>
          <w:szCs w:val="22"/>
        </w:rPr>
        <w:t xml:space="preserve"> de febrero</w:t>
      </w:r>
      <w:r w:rsidRPr="00CA13A3">
        <w:rPr>
          <w:rFonts w:ascii="Palatino Linotype" w:hAnsi="Palatino Linotype"/>
          <w:b/>
          <w:szCs w:val="22"/>
        </w:rPr>
        <w:t xml:space="preserve"> de dos mil veinticuatro</w:t>
      </w:r>
      <w:r w:rsidR="002C2556" w:rsidRPr="00CA13A3">
        <w:rPr>
          <w:rFonts w:ascii="Palatino Linotype" w:hAnsi="Palatino Linotype"/>
          <w:szCs w:val="22"/>
        </w:rPr>
        <w:t>,</w:t>
      </w:r>
      <w:r w:rsidRPr="00CA13A3">
        <w:rPr>
          <w:rFonts w:ascii="Palatino Linotype" w:hAnsi="Palatino Linotype"/>
          <w:szCs w:val="22"/>
        </w:rPr>
        <w:t xml:space="preserve"> se notificó el acuerdo mediante el cual se decretó el cierre de instrucción.</w:t>
      </w:r>
    </w:p>
    <w:p w14:paraId="76309E1B" w14:textId="77777777" w:rsidR="00466168" w:rsidRPr="00CA13A3" w:rsidRDefault="00466168" w:rsidP="00466168">
      <w:pPr>
        <w:pStyle w:val="Prrafodelista"/>
        <w:spacing w:line="360" w:lineRule="auto"/>
        <w:ind w:left="0"/>
        <w:jc w:val="both"/>
        <w:rPr>
          <w:rFonts w:ascii="Palatino Linotype" w:hAnsi="Palatino Linotype" w:cs="Tahoma"/>
          <w:szCs w:val="22"/>
        </w:rPr>
      </w:pPr>
    </w:p>
    <w:p w14:paraId="76309E1C" w14:textId="77777777" w:rsidR="00466168" w:rsidRPr="00CA13A3" w:rsidRDefault="00466168" w:rsidP="00466168">
      <w:pPr>
        <w:pStyle w:val="Ttulo1"/>
        <w:jc w:val="center"/>
        <w:rPr>
          <w:rFonts w:ascii="Palatino Linotype" w:hAnsi="Palatino Linotype"/>
          <w:b/>
          <w:color w:val="auto"/>
          <w:sz w:val="22"/>
          <w:szCs w:val="22"/>
        </w:rPr>
      </w:pPr>
      <w:bookmarkStart w:id="5" w:name="_Toc87549672"/>
      <w:r w:rsidRPr="00CA13A3">
        <w:rPr>
          <w:rFonts w:ascii="Palatino Linotype" w:hAnsi="Palatino Linotype"/>
          <w:b/>
          <w:color w:val="auto"/>
          <w:sz w:val="22"/>
          <w:szCs w:val="22"/>
        </w:rPr>
        <w:t>CONSIDERANDO</w:t>
      </w:r>
      <w:bookmarkEnd w:id="5"/>
      <w:r w:rsidRPr="00CA13A3">
        <w:rPr>
          <w:rFonts w:ascii="Palatino Linotype" w:hAnsi="Palatino Linotype"/>
          <w:b/>
          <w:color w:val="auto"/>
          <w:sz w:val="22"/>
          <w:szCs w:val="22"/>
        </w:rPr>
        <w:t xml:space="preserve"> </w:t>
      </w:r>
    </w:p>
    <w:p w14:paraId="76309E1D" w14:textId="77777777" w:rsidR="00466168" w:rsidRPr="00CA13A3" w:rsidRDefault="00466168" w:rsidP="00466168">
      <w:pPr>
        <w:rPr>
          <w:rFonts w:ascii="Palatino Linotype" w:hAnsi="Palatino Linotype"/>
          <w:sz w:val="22"/>
          <w:szCs w:val="22"/>
          <w:lang w:eastAsia="en-US"/>
        </w:rPr>
      </w:pPr>
    </w:p>
    <w:p w14:paraId="76309E1E" w14:textId="77777777" w:rsidR="00466168" w:rsidRPr="00CA13A3" w:rsidRDefault="00466168" w:rsidP="00466168">
      <w:pPr>
        <w:pStyle w:val="Ttulo2"/>
        <w:rPr>
          <w:rFonts w:ascii="Palatino Linotype" w:hAnsi="Palatino Linotype"/>
          <w:b/>
          <w:color w:val="auto"/>
          <w:sz w:val="22"/>
          <w:szCs w:val="22"/>
        </w:rPr>
      </w:pPr>
      <w:bookmarkStart w:id="6" w:name="_Toc87549673"/>
      <w:r w:rsidRPr="00CA13A3">
        <w:rPr>
          <w:rFonts w:ascii="Palatino Linotype" w:hAnsi="Palatino Linotype"/>
          <w:b/>
          <w:color w:val="auto"/>
          <w:sz w:val="22"/>
          <w:szCs w:val="22"/>
        </w:rPr>
        <w:t>PRIMERO. De la competencia</w:t>
      </w:r>
      <w:bookmarkEnd w:id="6"/>
    </w:p>
    <w:p w14:paraId="76309E1F" w14:textId="77777777" w:rsidR="00466168" w:rsidRPr="00CA13A3" w:rsidRDefault="00466168" w:rsidP="00466168">
      <w:pPr>
        <w:rPr>
          <w:sz w:val="22"/>
          <w:szCs w:val="22"/>
        </w:rPr>
      </w:pPr>
    </w:p>
    <w:p w14:paraId="76309E20" w14:textId="77777777" w:rsidR="00466168" w:rsidRPr="00CA13A3" w:rsidRDefault="00466168" w:rsidP="00466168">
      <w:pPr>
        <w:pStyle w:val="Prrafodelista"/>
        <w:numPr>
          <w:ilvl w:val="0"/>
          <w:numId w:val="1"/>
        </w:numPr>
        <w:tabs>
          <w:tab w:val="left" w:pos="426"/>
        </w:tabs>
        <w:spacing w:line="360" w:lineRule="auto"/>
        <w:ind w:left="0" w:firstLine="0"/>
        <w:jc w:val="both"/>
        <w:rPr>
          <w:rFonts w:ascii="Palatino Linotype" w:eastAsia="Calibri" w:hAnsi="Palatino Linotype"/>
          <w:b/>
          <w:color w:val="000000" w:themeColor="text1"/>
          <w:szCs w:val="22"/>
          <w:lang w:val="es-ES"/>
        </w:rPr>
      </w:pPr>
      <w:r w:rsidRPr="00CA13A3">
        <w:rPr>
          <w:rFonts w:ascii="Palatino Linotype" w:eastAsia="Calibri" w:hAnsi="Palatino Linotype"/>
          <w:szCs w:val="22"/>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CA13A3">
        <w:rPr>
          <w:rFonts w:ascii="Palatino Linotype" w:eastAsia="Calibri" w:hAnsi="Palatino Linotype"/>
          <w:b/>
          <w:szCs w:val="22"/>
          <w:lang w:val="es-ES"/>
        </w:rPr>
        <w:t>Constitución Política de los Estados Unidos Mexicanos</w:t>
      </w:r>
      <w:r w:rsidRPr="00CA13A3">
        <w:rPr>
          <w:rFonts w:ascii="Palatino Linotype" w:eastAsia="Calibri" w:hAnsi="Palatino Linotype"/>
          <w:szCs w:val="22"/>
          <w:lang w:val="es-ES"/>
        </w:rPr>
        <w:t xml:space="preserve">; 5, párrafos </w:t>
      </w:r>
      <w:r w:rsidRPr="00CA13A3">
        <w:rPr>
          <w:rFonts w:ascii="Palatino Linotype" w:hAnsi="Palatino Linotype" w:cs="Arial"/>
          <w:bCs/>
          <w:color w:val="222222"/>
          <w:szCs w:val="22"/>
          <w:lang w:val="es-ES"/>
        </w:rPr>
        <w:t>trigésimo segundo, trigésimo tercero y trigésimo cuarto fracciones</w:t>
      </w:r>
      <w:r w:rsidRPr="00CA13A3">
        <w:rPr>
          <w:rFonts w:ascii="Palatino Linotype" w:eastAsia="Calibri" w:hAnsi="Palatino Linotype"/>
          <w:szCs w:val="22"/>
          <w:lang w:val="es-ES"/>
        </w:rPr>
        <w:t xml:space="preserve"> IV y V de la </w:t>
      </w:r>
      <w:r w:rsidRPr="00CA13A3">
        <w:rPr>
          <w:rFonts w:ascii="Palatino Linotype" w:eastAsia="Calibri" w:hAnsi="Palatino Linotype"/>
          <w:b/>
          <w:szCs w:val="22"/>
          <w:lang w:val="es-ES"/>
        </w:rPr>
        <w:t>Constitución Política del Estado Libre y Soberano de México</w:t>
      </w:r>
      <w:r w:rsidRPr="00CA13A3">
        <w:rPr>
          <w:rFonts w:ascii="Palatino Linotype" w:eastAsia="Calibri" w:hAnsi="Palatino Linotype"/>
          <w:szCs w:val="22"/>
          <w:lang w:val="es-ES"/>
        </w:rPr>
        <w:t xml:space="preserve">; artículos 1, 2 fracción II, 13, 29, 36 fracciones I y II, 176, 178, 179, 181 párrafo tercero y 185 </w:t>
      </w:r>
      <w:r w:rsidRPr="00CA13A3">
        <w:rPr>
          <w:rFonts w:ascii="Palatino Linotype" w:eastAsia="Calibri" w:hAnsi="Palatino Linotype" w:cs="Arial"/>
          <w:szCs w:val="22"/>
          <w:lang w:val="es-ES"/>
        </w:rPr>
        <w:t xml:space="preserve">de la </w:t>
      </w:r>
      <w:r w:rsidRPr="00CA13A3">
        <w:rPr>
          <w:rFonts w:ascii="Palatino Linotype" w:eastAsia="Calibri" w:hAnsi="Palatino Linotype" w:cs="Arial"/>
          <w:b/>
          <w:szCs w:val="22"/>
          <w:lang w:val="es-ES"/>
        </w:rPr>
        <w:t>Ley de Transparencia y Acceso a la Información Pública del Estado de México y Municipios</w:t>
      </w:r>
      <w:r w:rsidRPr="00CA13A3">
        <w:rPr>
          <w:rFonts w:ascii="Palatino Linotype" w:eastAsia="Calibri" w:hAnsi="Palatino Linotype" w:cs="Arial"/>
          <w:szCs w:val="22"/>
          <w:lang w:val="es-ES"/>
        </w:rPr>
        <w:t xml:space="preserve">; y 7, 9 fracciones I y XXIII, y 11 del </w:t>
      </w:r>
      <w:r w:rsidRPr="00CA13A3">
        <w:rPr>
          <w:rFonts w:ascii="Palatino Linotype" w:eastAsia="Calibri" w:hAnsi="Palatino Linotype" w:cs="Arial"/>
          <w:b/>
          <w:szCs w:val="22"/>
          <w:lang w:val="es-ES"/>
        </w:rPr>
        <w:t>Reglamento Interior del Instituto de Transparencia, Acceso a la Información Pública y Protección de Datos Personales del Estado de México y Municipios</w:t>
      </w:r>
      <w:r w:rsidRPr="00CA13A3">
        <w:rPr>
          <w:rFonts w:ascii="Palatino Linotype" w:hAnsi="Palatino Linotype"/>
          <w:szCs w:val="22"/>
        </w:rPr>
        <w:t>.</w:t>
      </w:r>
    </w:p>
    <w:p w14:paraId="76309E21" w14:textId="77777777" w:rsidR="00466168" w:rsidRPr="00CA13A3" w:rsidRDefault="00466168" w:rsidP="00466168">
      <w:pPr>
        <w:pStyle w:val="Prrafodelista"/>
        <w:tabs>
          <w:tab w:val="left" w:pos="426"/>
        </w:tabs>
        <w:spacing w:line="360" w:lineRule="auto"/>
        <w:ind w:left="0"/>
        <w:jc w:val="both"/>
        <w:rPr>
          <w:rFonts w:ascii="Palatino Linotype" w:eastAsia="Calibri" w:hAnsi="Palatino Linotype"/>
          <w:b/>
          <w:color w:val="000000" w:themeColor="text1"/>
          <w:szCs w:val="22"/>
          <w:lang w:val="es-ES"/>
        </w:rPr>
      </w:pPr>
    </w:p>
    <w:p w14:paraId="76309E22" w14:textId="77777777" w:rsidR="00466168" w:rsidRPr="00CA13A3" w:rsidRDefault="00466168" w:rsidP="00466168">
      <w:pPr>
        <w:pStyle w:val="Ttulo2"/>
        <w:rPr>
          <w:rFonts w:ascii="Palatino Linotype" w:hAnsi="Palatino Linotype"/>
          <w:b/>
          <w:color w:val="auto"/>
          <w:sz w:val="22"/>
          <w:szCs w:val="22"/>
        </w:rPr>
      </w:pPr>
      <w:bookmarkStart w:id="7" w:name="_Toc87549674"/>
      <w:r w:rsidRPr="00CA13A3">
        <w:rPr>
          <w:rFonts w:ascii="Palatino Linotype" w:hAnsi="Palatino Linotype"/>
          <w:b/>
          <w:color w:val="auto"/>
          <w:sz w:val="22"/>
          <w:szCs w:val="22"/>
        </w:rPr>
        <w:t>SEGUNDO. De la oportunidad y procedencia.</w:t>
      </w:r>
      <w:bookmarkEnd w:id="7"/>
    </w:p>
    <w:p w14:paraId="76309E23" w14:textId="77777777" w:rsidR="00466168" w:rsidRPr="00CA13A3" w:rsidRDefault="00466168" w:rsidP="00466168">
      <w:pPr>
        <w:rPr>
          <w:rFonts w:ascii="Palatino Linotype" w:hAnsi="Palatino Linotype"/>
          <w:sz w:val="22"/>
          <w:szCs w:val="22"/>
        </w:rPr>
      </w:pPr>
    </w:p>
    <w:p w14:paraId="76309E24" w14:textId="77777777" w:rsidR="00466168" w:rsidRPr="00CA13A3" w:rsidRDefault="00466168" w:rsidP="00466168">
      <w:pPr>
        <w:pStyle w:val="Prrafodelista"/>
        <w:numPr>
          <w:ilvl w:val="0"/>
          <w:numId w:val="1"/>
        </w:numPr>
        <w:tabs>
          <w:tab w:val="left" w:pos="426"/>
        </w:tabs>
        <w:spacing w:line="360" w:lineRule="auto"/>
        <w:ind w:left="0" w:right="49" w:firstLine="0"/>
        <w:jc w:val="both"/>
        <w:rPr>
          <w:rFonts w:ascii="Palatino Linotype" w:hAnsi="Palatino Linotype" w:cs="Arial"/>
          <w:bCs/>
          <w:color w:val="000000" w:themeColor="text1"/>
          <w:szCs w:val="22"/>
          <w:lang w:eastAsia="es-MX"/>
        </w:rPr>
      </w:pPr>
      <w:bookmarkStart w:id="8" w:name="_Toc87549675"/>
      <w:r w:rsidRPr="00CA13A3">
        <w:rPr>
          <w:rFonts w:ascii="Palatino Linotype" w:eastAsia="Calibri" w:hAnsi="Palatino Linotype" w:cs="Arial"/>
          <w:color w:val="000000" w:themeColor="text1"/>
          <w:szCs w:val="22"/>
        </w:rPr>
        <w:t xml:space="preserve">El medio de impugnación fue presentado a través del </w:t>
      </w:r>
      <w:r w:rsidRPr="00CA13A3">
        <w:rPr>
          <w:rFonts w:ascii="Palatino Linotype" w:eastAsia="Calibri" w:hAnsi="Palatino Linotype" w:cs="Arial"/>
          <w:bCs/>
          <w:iCs/>
          <w:color w:val="000000" w:themeColor="text1"/>
          <w:szCs w:val="22"/>
        </w:rPr>
        <w:t>SAIMEX</w:t>
      </w:r>
      <w:r w:rsidRPr="00CA13A3">
        <w:rPr>
          <w:rFonts w:ascii="Palatino Linotype" w:eastAsia="Calibri" w:hAnsi="Palatino Linotype" w:cs="Arial"/>
          <w:color w:val="000000" w:themeColor="text1"/>
          <w:szCs w:val="22"/>
        </w:rPr>
        <w:t xml:space="preserve"> en el formato previamente aprobado para tal efecto y dentro del plazo legal de quince días hábiles otorgados; siendo así que el </w:t>
      </w:r>
      <w:r w:rsidRPr="00CA13A3">
        <w:rPr>
          <w:rFonts w:ascii="Palatino Linotype" w:eastAsia="Calibri" w:hAnsi="Palatino Linotype" w:cs="Arial"/>
          <w:b/>
          <w:color w:val="000000" w:themeColor="text1"/>
          <w:szCs w:val="22"/>
        </w:rPr>
        <w:t>SUJETO OBLIGADO</w:t>
      </w:r>
      <w:r w:rsidRPr="00CA13A3">
        <w:rPr>
          <w:rFonts w:ascii="Palatino Linotype" w:eastAsia="Calibri" w:hAnsi="Palatino Linotype" w:cs="Arial"/>
          <w:color w:val="000000" w:themeColor="text1"/>
          <w:szCs w:val="22"/>
        </w:rPr>
        <w:t xml:space="preserve"> entregó respuesta el </w:t>
      </w:r>
      <w:r w:rsidR="009F0700" w:rsidRPr="00CA13A3">
        <w:rPr>
          <w:rFonts w:ascii="Palatino Linotype" w:eastAsia="Calibri" w:hAnsi="Palatino Linotype" w:cs="Arial"/>
          <w:b/>
          <w:color w:val="000000" w:themeColor="text1"/>
          <w:szCs w:val="22"/>
        </w:rPr>
        <w:t xml:space="preserve">quince de marzo </w:t>
      </w:r>
      <w:r w:rsidRPr="00CA13A3">
        <w:rPr>
          <w:rFonts w:ascii="Palatino Linotype" w:eastAsia="Calibri" w:hAnsi="Palatino Linotype" w:cs="Arial"/>
          <w:b/>
          <w:color w:val="000000" w:themeColor="text1"/>
          <w:szCs w:val="22"/>
        </w:rPr>
        <w:t>de dos mil veinticuatro</w:t>
      </w:r>
      <w:r w:rsidRPr="00CA13A3">
        <w:rPr>
          <w:rFonts w:ascii="Palatino Linotype" w:eastAsia="Calibri" w:hAnsi="Palatino Linotype" w:cs="Arial"/>
          <w:color w:val="000000" w:themeColor="text1"/>
          <w:szCs w:val="22"/>
        </w:rPr>
        <w:t xml:space="preserve">, de tal forma que el plazo para interponer el recurso de revisión transcurrió del </w:t>
      </w:r>
      <w:r w:rsidR="009F0700" w:rsidRPr="00CA13A3">
        <w:rPr>
          <w:rFonts w:ascii="Palatino Linotype" w:eastAsia="Calibri" w:hAnsi="Palatino Linotype" w:cs="Arial"/>
          <w:b/>
          <w:color w:val="000000" w:themeColor="text1"/>
          <w:szCs w:val="22"/>
        </w:rPr>
        <w:t xml:space="preserve">diecinueve de </w:t>
      </w:r>
      <w:r w:rsidR="009F0700" w:rsidRPr="00CA13A3">
        <w:rPr>
          <w:rFonts w:ascii="Palatino Linotype" w:eastAsia="Calibri" w:hAnsi="Palatino Linotype" w:cs="Arial"/>
          <w:b/>
          <w:color w:val="000000" w:themeColor="text1"/>
          <w:szCs w:val="22"/>
        </w:rPr>
        <w:lastRenderedPageBreak/>
        <w:t>marzo al quince de abril</w:t>
      </w:r>
      <w:r w:rsidRPr="00CA13A3">
        <w:rPr>
          <w:rFonts w:ascii="Palatino Linotype" w:eastAsia="Calibri" w:hAnsi="Palatino Linotype" w:cs="Arial"/>
          <w:b/>
          <w:color w:val="000000" w:themeColor="text1"/>
          <w:szCs w:val="22"/>
        </w:rPr>
        <w:t xml:space="preserve"> de dos mil veinticuatro</w:t>
      </w:r>
      <w:r w:rsidRPr="00CA13A3">
        <w:rPr>
          <w:rFonts w:ascii="Palatino Linotype" w:eastAsia="Calibri" w:hAnsi="Palatino Linotype" w:cs="Arial"/>
          <w:color w:val="000000" w:themeColor="text1"/>
          <w:szCs w:val="22"/>
        </w:rPr>
        <w:t xml:space="preserve">, el recurso de revisión </w:t>
      </w:r>
      <w:r w:rsidRPr="00CA13A3">
        <w:rPr>
          <w:rFonts w:ascii="Palatino Linotype" w:hAnsi="Palatino Linotype"/>
          <w:color w:val="000000" w:themeColor="text1"/>
          <w:szCs w:val="22"/>
        </w:rPr>
        <w:t xml:space="preserve">fue interpuesto el </w:t>
      </w:r>
      <w:r w:rsidR="009F0700" w:rsidRPr="00CA13A3">
        <w:rPr>
          <w:rFonts w:ascii="Palatino Linotype" w:hAnsi="Palatino Linotype"/>
          <w:b/>
          <w:color w:val="000000" w:themeColor="text1"/>
          <w:szCs w:val="22"/>
        </w:rPr>
        <w:t>veinte de marzo</w:t>
      </w:r>
      <w:r w:rsidRPr="00CA13A3">
        <w:rPr>
          <w:rFonts w:ascii="Palatino Linotype" w:eastAsia="Calibri" w:hAnsi="Palatino Linotype" w:cs="Arial"/>
          <w:b/>
          <w:color w:val="000000" w:themeColor="text1"/>
          <w:szCs w:val="22"/>
        </w:rPr>
        <w:t xml:space="preserve"> de dos mil veinticuatro</w:t>
      </w:r>
      <w:r w:rsidRPr="00CA13A3">
        <w:rPr>
          <w:rFonts w:ascii="Palatino Linotype" w:hAnsi="Palatino Linotype"/>
          <w:color w:val="000000" w:themeColor="text1"/>
          <w:szCs w:val="22"/>
        </w:rPr>
        <w:t>, éste</w:t>
      </w:r>
      <w:r w:rsidRPr="00CA13A3">
        <w:rPr>
          <w:rFonts w:ascii="Palatino Linotype" w:hAnsi="Palatino Linotype" w:cs="Arial"/>
          <w:color w:val="000000" w:themeColor="text1"/>
          <w:szCs w:val="22"/>
        </w:rPr>
        <w:t xml:space="preserve"> se encuentra dentro de los márgenes temporales previstos en el artículo 178 de la Ley de Transparencia y Acceso a la Información Pública del Estado de México y Municipios</w:t>
      </w:r>
      <w:r w:rsidRPr="00CA13A3">
        <w:rPr>
          <w:rFonts w:ascii="Palatino Linotype" w:hAnsi="Palatino Linotype" w:cs="Arial"/>
          <w:b/>
          <w:color w:val="000000" w:themeColor="text1"/>
          <w:szCs w:val="22"/>
        </w:rPr>
        <w:t xml:space="preserve"> </w:t>
      </w:r>
      <w:r w:rsidRPr="00CA13A3">
        <w:rPr>
          <w:rFonts w:ascii="Palatino Linotype" w:hAnsi="Palatino Linotype" w:cs="Arial"/>
          <w:color w:val="000000" w:themeColor="text1"/>
          <w:szCs w:val="22"/>
        </w:rPr>
        <w:t xml:space="preserve">vigente. </w:t>
      </w:r>
    </w:p>
    <w:p w14:paraId="76309E25" w14:textId="77777777" w:rsidR="00466168" w:rsidRPr="00CA13A3" w:rsidRDefault="00466168" w:rsidP="00466168">
      <w:pPr>
        <w:pStyle w:val="Prrafodelista"/>
        <w:spacing w:before="240" w:after="240" w:line="360" w:lineRule="auto"/>
        <w:ind w:left="0" w:right="49"/>
        <w:jc w:val="both"/>
        <w:rPr>
          <w:rFonts w:ascii="Palatino Linotype" w:hAnsi="Palatino Linotype" w:cs="Arial"/>
          <w:i/>
          <w:szCs w:val="22"/>
        </w:rPr>
      </w:pPr>
    </w:p>
    <w:p w14:paraId="76309E26" w14:textId="77777777" w:rsidR="00466168" w:rsidRPr="00CA13A3" w:rsidRDefault="00466168" w:rsidP="00466168">
      <w:pPr>
        <w:pStyle w:val="Prrafodelista"/>
        <w:numPr>
          <w:ilvl w:val="0"/>
          <w:numId w:val="1"/>
        </w:numPr>
        <w:tabs>
          <w:tab w:val="left" w:pos="426"/>
        </w:tabs>
        <w:spacing w:line="360" w:lineRule="auto"/>
        <w:ind w:left="0" w:right="49" w:firstLine="0"/>
        <w:jc w:val="both"/>
        <w:rPr>
          <w:rFonts w:ascii="Palatino Linotype" w:hAnsi="Palatino Linotype" w:cs="Arial"/>
          <w:bCs/>
          <w:color w:val="000000" w:themeColor="text1"/>
          <w:szCs w:val="22"/>
          <w:lang w:eastAsia="es-MX"/>
        </w:rPr>
      </w:pPr>
      <w:r w:rsidRPr="00CA13A3">
        <w:rPr>
          <w:rFonts w:ascii="Palatino Linotype" w:eastAsia="Calibri" w:hAnsi="Palatino Linotype" w:cs="Arial"/>
          <w:color w:val="000000" w:themeColor="text1"/>
          <w:szCs w:val="22"/>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76309E27" w14:textId="77777777" w:rsidR="00466168" w:rsidRPr="00CA13A3" w:rsidRDefault="00466168" w:rsidP="00466168">
      <w:pPr>
        <w:pStyle w:val="Ttulo1"/>
        <w:rPr>
          <w:rFonts w:ascii="Palatino Linotype" w:eastAsia="MS Mincho" w:hAnsi="Palatino Linotype" w:cs="Times New Roman"/>
          <w:b/>
          <w:color w:val="auto"/>
          <w:sz w:val="22"/>
          <w:szCs w:val="22"/>
        </w:rPr>
      </w:pPr>
      <w:r w:rsidRPr="00CA13A3">
        <w:rPr>
          <w:rFonts w:ascii="Palatino Linotype" w:hAnsi="Palatino Linotype"/>
          <w:b/>
          <w:color w:val="auto"/>
          <w:sz w:val="22"/>
          <w:szCs w:val="22"/>
        </w:rPr>
        <w:t>TERCERO. Planteamiento de la Litis</w:t>
      </w:r>
      <w:bookmarkEnd w:id="8"/>
      <w:r w:rsidRPr="00CA13A3">
        <w:rPr>
          <w:rFonts w:ascii="Palatino Linotype" w:hAnsi="Palatino Linotype"/>
          <w:b/>
          <w:color w:val="auto"/>
          <w:sz w:val="22"/>
          <w:szCs w:val="22"/>
        </w:rPr>
        <w:t xml:space="preserve"> </w:t>
      </w:r>
    </w:p>
    <w:p w14:paraId="76309E28" w14:textId="77777777" w:rsidR="00466168" w:rsidRPr="00CA13A3" w:rsidRDefault="009F0700" w:rsidP="00466168">
      <w:pPr>
        <w:pStyle w:val="Prrafodelista"/>
        <w:numPr>
          <w:ilvl w:val="0"/>
          <w:numId w:val="2"/>
        </w:numPr>
        <w:spacing w:before="240" w:after="240" w:line="360" w:lineRule="auto"/>
        <w:ind w:left="0" w:right="49" w:firstLine="0"/>
        <w:jc w:val="both"/>
        <w:rPr>
          <w:rFonts w:ascii="Palatino Linotype" w:hAnsi="Palatino Linotype"/>
          <w:i/>
          <w:szCs w:val="22"/>
          <w:lang w:eastAsia="es-MX"/>
        </w:rPr>
      </w:pPr>
      <w:r w:rsidRPr="00CA13A3">
        <w:rPr>
          <w:rFonts w:ascii="Palatino Linotype" w:hAnsi="Palatino Linotype"/>
          <w:bCs/>
          <w:szCs w:val="22"/>
        </w:rPr>
        <w:t>El recurrente solicitó</w:t>
      </w:r>
      <w:r w:rsidR="007008EF" w:rsidRPr="00CA13A3">
        <w:rPr>
          <w:rFonts w:ascii="Palatino Linotype" w:hAnsi="Palatino Linotype"/>
          <w:bCs/>
          <w:szCs w:val="22"/>
        </w:rPr>
        <w:t xml:space="preserve"> en relación a la escuela Adrián Orteg</w:t>
      </w:r>
      <w:r w:rsidR="005D3055" w:rsidRPr="00CA13A3">
        <w:rPr>
          <w:rFonts w:ascii="Palatino Linotype" w:hAnsi="Palatino Linotype"/>
          <w:bCs/>
          <w:szCs w:val="22"/>
        </w:rPr>
        <w:t>a Monroy con calve CCT 15EPR5126</w:t>
      </w:r>
      <w:r w:rsidR="007008EF" w:rsidRPr="00CA13A3">
        <w:rPr>
          <w:rFonts w:ascii="Palatino Linotype" w:hAnsi="Palatino Linotype"/>
          <w:bCs/>
          <w:szCs w:val="22"/>
        </w:rPr>
        <w:t xml:space="preserve">M, </w:t>
      </w:r>
      <w:r w:rsidR="00F63A8B" w:rsidRPr="00CA13A3">
        <w:rPr>
          <w:rFonts w:ascii="Palatino Linotype" w:hAnsi="Palatino Linotype"/>
          <w:bCs/>
          <w:szCs w:val="22"/>
        </w:rPr>
        <w:t>ubicada</w:t>
      </w:r>
      <w:r w:rsidR="007008EF" w:rsidRPr="00CA13A3">
        <w:rPr>
          <w:rFonts w:ascii="Palatino Linotype" w:hAnsi="Palatino Linotype"/>
          <w:bCs/>
          <w:szCs w:val="22"/>
        </w:rPr>
        <w:t xml:space="preserve"> en Lerma Estado de México</w:t>
      </w:r>
      <w:r w:rsidR="008554CB" w:rsidRPr="00CA13A3">
        <w:rPr>
          <w:rFonts w:ascii="Palatino Linotype" w:hAnsi="Palatino Linotype"/>
          <w:bCs/>
          <w:szCs w:val="22"/>
        </w:rPr>
        <w:t>,</w:t>
      </w:r>
      <w:r w:rsidR="007008EF" w:rsidRPr="00CA13A3">
        <w:rPr>
          <w:rFonts w:ascii="Palatino Linotype" w:hAnsi="Palatino Linotype"/>
          <w:bCs/>
          <w:szCs w:val="22"/>
        </w:rPr>
        <w:t xml:space="preserve"> lo siguiente:</w:t>
      </w:r>
    </w:p>
    <w:p w14:paraId="76309E29" w14:textId="77777777" w:rsidR="009F0700" w:rsidRPr="00CA13A3" w:rsidRDefault="009F0700" w:rsidP="009F0700">
      <w:pPr>
        <w:pStyle w:val="Prrafodelista"/>
        <w:spacing w:before="240" w:after="240" w:line="360" w:lineRule="auto"/>
        <w:ind w:left="0" w:right="49"/>
        <w:jc w:val="both"/>
        <w:rPr>
          <w:rFonts w:ascii="Palatino Linotype" w:hAnsi="Palatino Linotype"/>
          <w:bCs/>
          <w:szCs w:val="22"/>
        </w:rPr>
      </w:pPr>
    </w:p>
    <w:p w14:paraId="76309E2A" w14:textId="77777777" w:rsidR="009F0700" w:rsidRPr="00CA13A3" w:rsidRDefault="009F0700" w:rsidP="009F0700">
      <w:pPr>
        <w:pStyle w:val="Prrafodelista"/>
        <w:numPr>
          <w:ilvl w:val="0"/>
          <w:numId w:val="6"/>
        </w:numPr>
        <w:spacing w:before="240" w:after="240" w:line="360" w:lineRule="auto"/>
        <w:ind w:right="49"/>
        <w:jc w:val="both"/>
        <w:rPr>
          <w:rFonts w:ascii="Palatino Linotype" w:hAnsi="Palatino Linotype"/>
          <w:i/>
          <w:szCs w:val="22"/>
          <w:lang w:eastAsia="es-MX"/>
        </w:rPr>
      </w:pPr>
      <w:r w:rsidRPr="00CA13A3">
        <w:rPr>
          <w:rFonts w:ascii="Palatino Linotype" w:hAnsi="Palatino Linotype"/>
          <w:bCs/>
          <w:szCs w:val="22"/>
        </w:rPr>
        <w:t xml:space="preserve">Consentimiento de los padres de la menor referida en la solicitud de información </w:t>
      </w:r>
      <w:r w:rsidR="007008EF" w:rsidRPr="00CA13A3">
        <w:rPr>
          <w:rFonts w:ascii="Palatino Linotype" w:hAnsi="Palatino Linotype"/>
          <w:bCs/>
          <w:szCs w:val="22"/>
        </w:rPr>
        <w:t xml:space="preserve">para la aplicación de </w:t>
      </w:r>
      <w:proofErr w:type="spellStart"/>
      <w:r w:rsidR="007008EF" w:rsidRPr="00CA13A3">
        <w:rPr>
          <w:rFonts w:ascii="Palatino Linotype" w:hAnsi="Palatino Linotype"/>
          <w:bCs/>
          <w:szCs w:val="22"/>
        </w:rPr>
        <w:t>Hialuronato</w:t>
      </w:r>
      <w:proofErr w:type="spellEnd"/>
      <w:r w:rsidR="007008EF" w:rsidRPr="00CA13A3">
        <w:rPr>
          <w:rFonts w:ascii="Palatino Linotype" w:hAnsi="Palatino Linotype"/>
          <w:bCs/>
          <w:szCs w:val="22"/>
        </w:rPr>
        <w:t xml:space="preserve"> de Sodio en sus ojos por parte de la docente de primer año;</w:t>
      </w:r>
    </w:p>
    <w:p w14:paraId="76309E2B" w14:textId="77777777" w:rsidR="007008EF" w:rsidRPr="00CA13A3" w:rsidRDefault="00F63A8B" w:rsidP="009F0700">
      <w:pPr>
        <w:pStyle w:val="Prrafodelista"/>
        <w:numPr>
          <w:ilvl w:val="0"/>
          <w:numId w:val="6"/>
        </w:numPr>
        <w:spacing w:before="240" w:after="240" w:line="360" w:lineRule="auto"/>
        <w:ind w:right="49"/>
        <w:jc w:val="both"/>
        <w:rPr>
          <w:rFonts w:ascii="Palatino Linotype" w:hAnsi="Palatino Linotype"/>
          <w:i/>
          <w:szCs w:val="22"/>
          <w:lang w:eastAsia="es-MX"/>
        </w:rPr>
      </w:pPr>
      <w:r w:rsidRPr="00CA13A3">
        <w:rPr>
          <w:rFonts w:ascii="Palatino Linotype" w:hAnsi="Palatino Linotype"/>
          <w:szCs w:val="22"/>
          <w:lang w:eastAsia="es-MX"/>
        </w:rPr>
        <w:t>Acciones llevadas a cabo por la Directora para garantizar el derecho a la protección de la salud de la menor de edad referida en la solicitud de información y de los alumnos;</w:t>
      </w:r>
    </w:p>
    <w:p w14:paraId="76309E2C" w14:textId="77777777" w:rsidR="00F63A8B" w:rsidRPr="00CA13A3" w:rsidRDefault="00F63A8B" w:rsidP="009F0700">
      <w:pPr>
        <w:pStyle w:val="Prrafodelista"/>
        <w:numPr>
          <w:ilvl w:val="0"/>
          <w:numId w:val="6"/>
        </w:numPr>
        <w:spacing w:before="240" w:after="240" w:line="360" w:lineRule="auto"/>
        <w:ind w:right="49"/>
        <w:jc w:val="both"/>
        <w:rPr>
          <w:rFonts w:ascii="Palatino Linotype" w:hAnsi="Palatino Linotype"/>
          <w:i/>
          <w:szCs w:val="22"/>
          <w:lang w:eastAsia="es-MX"/>
        </w:rPr>
      </w:pPr>
      <w:r w:rsidRPr="00CA13A3">
        <w:rPr>
          <w:rFonts w:ascii="Palatino Linotype" w:hAnsi="Palatino Linotype"/>
          <w:szCs w:val="22"/>
          <w:lang w:eastAsia="es-MX"/>
        </w:rPr>
        <w:t>Constancias o Título de la maestra de primer año referida en la solicitud de información;</w:t>
      </w:r>
    </w:p>
    <w:p w14:paraId="76309E2D" w14:textId="77777777" w:rsidR="00F63A8B" w:rsidRPr="00CA13A3" w:rsidRDefault="00F63A8B" w:rsidP="009F0700">
      <w:pPr>
        <w:pStyle w:val="Prrafodelista"/>
        <w:numPr>
          <w:ilvl w:val="0"/>
          <w:numId w:val="6"/>
        </w:numPr>
        <w:spacing w:before="240" w:after="240" w:line="360" w:lineRule="auto"/>
        <w:ind w:right="49"/>
        <w:jc w:val="both"/>
        <w:rPr>
          <w:rFonts w:ascii="Palatino Linotype" w:hAnsi="Palatino Linotype"/>
          <w:i/>
          <w:szCs w:val="22"/>
          <w:lang w:eastAsia="es-MX"/>
        </w:rPr>
      </w:pPr>
      <w:r w:rsidRPr="00CA13A3">
        <w:rPr>
          <w:rFonts w:ascii="Palatino Linotype" w:hAnsi="Palatino Linotype"/>
          <w:szCs w:val="22"/>
          <w:lang w:eastAsia="es-MX"/>
        </w:rPr>
        <w:lastRenderedPageBreak/>
        <w:t>Autorización de la Secretaría de Educación para que las escuelas apliquen medicamentos;</w:t>
      </w:r>
    </w:p>
    <w:p w14:paraId="76309E2E" w14:textId="77777777" w:rsidR="00F63A8B" w:rsidRPr="00CA13A3" w:rsidRDefault="00F63A8B" w:rsidP="00F63A8B">
      <w:pPr>
        <w:pStyle w:val="Prrafodelista"/>
        <w:numPr>
          <w:ilvl w:val="0"/>
          <w:numId w:val="6"/>
        </w:numPr>
        <w:spacing w:before="240" w:after="240" w:line="360" w:lineRule="auto"/>
        <w:ind w:right="49"/>
        <w:jc w:val="both"/>
        <w:rPr>
          <w:rFonts w:ascii="Palatino Linotype" w:hAnsi="Palatino Linotype"/>
          <w:i/>
          <w:szCs w:val="22"/>
          <w:lang w:eastAsia="es-MX"/>
        </w:rPr>
      </w:pPr>
      <w:r w:rsidRPr="00CA13A3">
        <w:rPr>
          <w:rFonts w:ascii="Palatino Linotype" w:hAnsi="Palatino Linotype"/>
          <w:szCs w:val="22"/>
          <w:lang w:eastAsia="es-MX"/>
        </w:rPr>
        <w:t xml:space="preserve">Trámite que se dio a la denuncia que se presentó a la maestra y directora referidas en la solicitud de información por lo actos u omisiones ocurridos el 13 de marzo de 2024; y </w:t>
      </w:r>
    </w:p>
    <w:p w14:paraId="76309E2F" w14:textId="77777777" w:rsidR="00466168" w:rsidRPr="00CA13A3" w:rsidRDefault="00F63A8B" w:rsidP="009E50DF">
      <w:pPr>
        <w:pStyle w:val="Prrafodelista"/>
        <w:numPr>
          <w:ilvl w:val="0"/>
          <w:numId w:val="6"/>
        </w:numPr>
        <w:spacing w:before="240" w:after="240" w:line="360" w:lineRule="auto"/>
        <w:ind w:right="49"/>
        <w:jc w:val="both"/>
        <w:rPr>
          <w:rFonts w:ascii="Palatino Linotype" w:hAnsi="Palatino Linotype"/>
          <w:i/>
          <w:szCs w:val="22"/>
          <w:lang w:eastAsia="es-MX"/>
        </w:rPr>
      </w:pPr>
      <w:r w:rsidRPr="00CA13A3">
        <w:rPr>
          <w:rFonts w:ascii="Palatino Linotype" w:hAnsi="Palatino Linotype"/>
          <w:szCs w:val="22"/>
          <w:lang w:eastAsia="es-MX"/>
        </w:rPr>
        <w:t>Medidas instruidas por la Gobernadora a las autoridades educativas para evitar incurrir en negligencias en perjuicio de los alumnos de la escuela</w:t>
      </w:r>
      <w:r w:rsidR="009E50DF" w:rsidRPr="00CA13A3">
        <w:rPr>
          <w:rFonts w:ascii="Palatino Linotype" w:hAnsi="Palatino Linotype"/>
          <w:szCs w:val="22"/>
          <w:lang w:eastAsia="es-MX"/>
        </w:rPr>
        <w:t xml:space="preserve">. </w:t>
      </w:r>
    </w:p>
    <w:p w14:paraId="76309E30" w14:textId="77777777" w:rsidR="009E50DF" w:rsidRPr="00CA13A3" w:rsidRDefault="009E50DF" w:rsidP="009E50DF">
      <w:pPr>
        <w:pStyle w:val="Prrafodelista"/>
        <w:spacing w:before="240" w:after="240" w:line="360" w:lineRule="auto"/>
        <w:ind w:right="49"/>
        <w:jc w:val="both"/>
        <w:rPr>
          <w:rFonts w:ascii="Palatino Linotype" w:hAnsi="Palatino Linotype"/>
          <w:i/>
          <w:szCs w:val="22"/>
          <w:lang w:eastAsia="es-MX"/>
        </w:rPr>
      </w:pPr>
    </w:p>
    <w:p w14:paraId="76309E31" w14:textId="77777777" w:rsidR="009E50DF" w:rsidRPr="00CA13A3" w:rsidRDefault="00466168" w:rsidP="009E50DF">
      <w:pPr>
        <w:pStyle w:val="Prrafodelista"/>
        <w:numPr>
          <w:ilvl w:val="0"/>
          <w:numId w:val="2"/>
        </w:numPr>
        <w:spacing w:before="240" w:after="240" w:line="360" w:lineRule="auto"/>
        <w:ind w:left="0" w:firstLine="0"/>
        <w:jc w:val="both"/>
        <w:rPr>
          <w:rFonts w:ascii="Palatino Linotype" w:eastAsiaTheme="minorEastAsia" w:hAnsi="Palatino Linotype"/>
          <w:i/>
          <w:szCs w:val="22"/>
          <w:lang w:val="es-ES_tradnl"/>
        </w:rPr>
      </w:pPr>
      <w:r w:rsidRPr="00CA13A3">
        <w:rPr>
          <w:rFonts w:ascii="Palatino Linotype" w:eastAsiaTheme="minorEastAsia" w:hAnsi="Palatino Linotype"/>
          <w:iCs/>
          <w:szCs w:val="22"/>
          <w:lang w:val="es-ES_tradnl"/>
        </w:rPr>
        <w:t>E</w:t>
      </w:r>
      <w:r w:rsidR="009E50DF" w:rsidRPr="00CA13A3">
        <w:rPr>
          <w:rFonts w:ascii="Palatino Linotype" w:eastAsiaTheme="minorEastAsia" w:hAnsi="Palatino Linotype"/>
          <w:iCs/>
          <w:szCs w:val="22"/>
          <w:lang w:val="es-ES_tradnl"/>
        </w:rPr>
        <w:t xml:space="preserve">l Sujeto Obligado, señaló </w:t>
      </w:r>
      <w:r w:rsidR="009E50DF" w:rsidRPr="00CA13A3">
        <w:rPr>
          <w:rFonts w:ascii="Palatino Linotype" w:hAnsi="Palatino Linotype" w:cs="Arial"/>
          <w:bCs/>
          <w:szCs w:val="22"/>
        </w:rPr>
        <w:t xml:space="preserve">que la información solicitada corresponde a la información de Acceso a Datos Personales y que contiene datos personales. Asimismo, señaló que se trata de manifestaciones subjetivas e interrogantes y declaro su incompetencia para conocer de las denuncias. Inconforme con la respuesta, el particular se inconformó, de forma medular, por la negativa de la información. </w:t>
      </w:r>
    </w:p>
    <w:p w14:paraId="76309E32" w14:textId="77777777" w:rsidR="00466168" w:rsidRPr="00CA13A3" w:rsidRDefault="00466168" w:rsidP="00466168">
      <w:pPr>
        <w:numPr>
          <w:ilvl w:val="0"/>
          <w:numId w:val="1"/>
        </w:numPr>
        <w:tabs>
          <w:tab w:val="left" w:pos="284"/>
        </w:tabs>
        <w:spacing w:before="240" w:after="240" w:line="360" w:lineRule="auto"/>
        <w:ind w:left="0" w:firstLine="0"/>
        <w:contextualSpacing/>
        <w:jc w:val="both"/>
        <w:rPr>
          <w:rFonts w:ascii="Palatino Linotype" w:eastAsiaTheme="minorEastAsia" w:hAnsi="Palatino Linotype"/>
          <w:i/>
          <w:sz w:val="22"/>
          <w:szCs w:val="22"/>
          <w:lang w:val="es-ES_tradnl"/>
        </w:rPr>
      </w:pPr>
      <w:r w:rsidRPr="00CA13A3">
        <w:rPr>
          <w:rFonts w:ascii="Palatino Linotype" w:eastAsiaTheme="minorEastAsia" w:hAnsi="Palatino Linotype" w:cs="Arial"/>
          <w:sz w:val="22"/>
          <w:szCs w:val="22"/>
          <w:lang w:val="es-ES_tradnl"/>
        </w:rPr>
        <w:t xml:space="preserve">Por lo tanto, el presente recurso de revisión se circunscribe en determinar si se </w:t>
      </w:r>
      <w:r w:rsidRPr="00CA13A3">
        <w:rPr>
          <w:rFonts w:ascii="Palatino Linotype" w:hAnsi="Palatino Linotype"/>
          <w:sz w:val="22"/>
          <w:szCs w:val="22"/>
          <w:lang w:val="es-ES_tradnl"/>
        </w:rPr>
        <w:t>actualiza las causales de procedencia</w:t>
      </w:r>
      <w:r w:rsidRPr="00CA13A3">
        <w:rPr>
          <w:rFonts w:ascii="Palatino Linotype" w:hAnsi="Palatino Linotype"/>
          <w:b/>
          <w:sz w:val="22"/>
          <w:szCs w:val="22"/>
          <w:lang w:val="es-ES_tradnl"/>
        </w:rPr>
        <w:t xml:space="preserve"> </w:t>
      </w:r>
      <w:r w:rsidRPr="00CA13A3">
        <w:rPr>
          <w:rFonts w:ascii="Palatino Linotype" w:hAnsi="Palatino Linotype" w:cs="Arial"/>
          <w:sz w:val="22"/>
          <w:szCs w:val="22"/>
          <w:lang w:val="es-ES_tradnl" w:eastAsia="es-MX"/>
        </w:rPr>
        <w:t xml:space="preserve">contenidas en </w:t>
      </w:r>
      <w:r w:rsidRPr="00CA13A3">
        <w:rPr>
          <w:rFonts w:ascii="Palatino Linotype" w:hAnsi="Palatino Linotype" w:cs="Arial"/>
          <w:sz w:val="22"/>
          <w:szCs w:val="22"/>
          <w:lang w:val="es-ES" w:eastAsia="es-MX"/>
        </w:rPr>
        <w:t xml:space="preserve">el artículo 179 fracciones I, relativo a la negativa de la información, de la </w:t>
      </w:r>
      <w:r w:rsidRPr="00CA13A3">
        <w:rPr>
          <w:rFonts w:ascii="Palatino Linotype" w:eastAsia="Calibri" w:hAnsi="Palatino Linotype" w:cs="Arial"/>
          <w:b/>
          <w:sz w:val="22"/>
          <w:szCs w:val="22"/>
          <w:lang w:val="es-ES"/>
        </w:rPr>
        <w:t>Ley de Transparencia y Acceso a la Información Pública del Estado de México y Municipios</w:t>
      </w:r>
      <w:r w:rsidRPr="00CA13A3">
        <w:rPr>
          <w:rFonts w:ascii="Palatino Linotype" w:hAnsi="Palatino Linotype" w:cs="Arial"/>
          <w:sz w:val="22"/>
          <w:szCs w:val="22"/>
          <w:lang w:val="es-ES" w:eastAsia="es-MX"/>
        </w:rPr>
        <w:t>.</w:t>
      </w:r>
    </w:p>
    <w:p w14:paraId="76309E33" w14:textId="77777777" w:rsidR="00466168" w:rsidRPr="00CA13A3" w:rsidRDefault="00466168" w:rsidP="00466168">
      <w:pPr>
        <w:tabs>
          <w:tab w:val="left" w:pos="426"/>
        </w:tabs>
        <w:spacing w:line="360" w:lineRule="auto"/>
        <w:ind w:left="567" w:right="616"/>
        <w:jc w:val="both"/>
        <w:rPr>
          <w:rFonts w:ascii="Palatino Linotype" w:hAnsi="Palatino Linotype" w:cs="Arial"/>
          <w:i/>
          <w:iCs/>
          <w:color w:val="000000" w:themeColor="text1"/>
          <w:sz w:val="22"/>
          <w:szCs w:val="22"/>
        </w:rPr>
      </w:pPr>
    </w:p>
    <w:p w14:paraId="76309E34" w14:textId="77777777" w:rsidR="00466168" w:rsidRPr="00CA13A3" w:rsidRDefault="00466168" w:rsidP="00466168">
      <w:pPr>
        <w:pStyle w:val="Ttulo2"/>
        <w:tabs>
          <w:tab w:val="left" w:pos="426"/>
        </w:tabs>
        <w:rPr>
          <w:rFonts w:ascii="Palatino Linotype" w:hAnsi="Palatino Linotype" w:cs="Arial"/>
          <w:b/>
          <w:color w:val="000000" w:themeColor="text1"/>
          <w:sz w:val="22"/>
          <w:szCs w:val="22"/>
        </w:rPr>
      </w:pPr>
      <w:bookmarkStart w:id="9" w:name="_Toc87456489"/>
      <w:bookmarkStart w:id="10" w:name="_Toc34911390"/>
      <w:r w:rsidRPr="00CA13A3">
        <w:rPr>
          <w:rFonts w:ascii="Palatino Linotype" w:hAnsi="Palatino Linotype" w:cs="Arial"/>
          <w:b/>
          <w:color w:val="000000" w:themeColor="text1"/>
          <w:sz w:val="22"/>
          <w:szCs w:val="22"/>
        </w:rPr>
        <w:t>CUARTO. Estudio y Resolución del asunto.</w:t>
      </w:r>
      <w:bookmarkEnd w:id="9"/>
    </w:p>
    <w:p w14:paraId="76309E35" w14:textId="77777777" w:rsidR="00466168" w:rsidRPr="00CA13A3" w:rsidRDefault="00466168" w:rsidP="00466168">
      <w:pPr>
        <w:pStyle w:val="Prrafodelista"/>
        <w:spacing w:line="360" w:lineRule="auto"/>
        <w:ind w:left="0"/>
        <w:jc w:val="both"/>
        <w:rPr>
          <w:rFonts w:ascii="Palatino Linotype" w:eastAsia="MS Mincho" w:hAnsi="Palatino Linotype"/>
          <w:szCs w:val="22"/>
        </w:rPr>
      </w:pPr>
    </w:p>
    <w:p w14:paraId="76309E36" w14:textId="77777777" w:rsidR="009E50DF" w:rsidRPr="00CA13A3" w:rsidRDefault="009E50DF" w:rsidP="009E50DF">
      <w:pPr>
        <w:numPr>
          <w:ilvl w:val="0"/>
          <w:numId w:val="1"/>
        </w:numPr>
        <w:spacing w:line="360" w:lineRule="auto"/>
        <w:ind w:left="0" w:right="49" w:firstLine="0"/>
        <w:contextualSpacing/>
        <w:jc w:val="both"/>
        <w:rPr>
          <w:rFonts w:ascii="Palatino Linotype" w:eastAsiaTheme="minorEastAsia" w:hAnsi="Palatino Linotype"/>
          <w:sz w:val="22"/>
          <w:szCs w:val="22"/>
          <w:lang w:val="es-ES_tradnl"/>
        </w:rPr>
      </w:pPr>
      <w:r w:rsidRPr="00CA13A3">
        <w:rPr>
          <w:rFonts w:ascii="Palatino Linotype" w:eastAsia="Cambria" w:hAnsi="Palatino Linotype" w:cs="Arial"/>
          <w:sz w:val="22"/>
          <w:szCs w:val="22"/>
        </w:rPr>
        <w:t xml:space="preserve">Se procede analizar el contenido íntegro de las actuaciones que obran en el expediente electrónico, y así este Órgano Garante dicte la resolución correspondiente, apegándose en </w:t>
      </w:r>
      <w:r w:rsidRPr="00CA13A3">
        <w:rPr>
          <w:rFonts w:ascii="Palatino Linotype" w:eastAsia="Cambria" w:hAnsi="Palatino Linotype" w:cs="Arial"/>
          <w:sz w:val="22"/>
          <w:szCs w:val="22"/>
        </w:rPr>
        <w:lastRenderedPageBreak/>
        <w:t xml:space="preserve">todo momento al principio de máxima publicidad de acuerdo con lo establecido en el artículo 8 de la </w:t>
      </w:r>
      <w:r w:rsidRPr="00CA13A3">
        <w:rPr>
          <w:rFonts w:ascii="Palatino Linotype" w:eastAsia="Calibri" w:hAnsi="Palatino Linotype" w:cs="Arial"/>
          <w:sz w:val="22"/>
          <w:szCs w:val="22"/>
          <w:lang w:val="es-ES"/>
        </w:rPr>
        <w:t>Ley de Transparencia y Acceso a la Información Pública del Estado de México y Municipios</w:t>
      </w:r>
      <w:r w:rsidRPr="00CA13A3">
        <w:rPr>
          <w:rFonts w:ascii="Palatino Linotype" w:hAnsi="Palatino Linotype" w:cs="Arial"/>
          <w:sz w:val="22"/>
          <w:szCs w:val="22"/>
          <w:lang w:val="es-ES"/>
        </w:rPr>
        <w:t>.</w:t>
      </w:r>
    </w:p>
    <w:p w14:paraId="76309E37" w14:textId="77777777" w:rsidR="009E50DF" w:rsidRPr="00CA13A3" w:rsidRDefault="009E50DF" w:rsidP="009E50DF">
      <w:pPr>
        <w:pStyle w:val="Prrafodelista"/>
        <w:spacing w:line="360" w:lineRule="auto"/>
        <w:ind w:left="0"/>
        <w:jc w:val="both"/>
        <w:rPr>
          <w:rFonts w:ascii="Palatino Linotype" w:eastAsia="MS Mincho" w:hAnsi="Palatino Linotype"/>
          <w:szCs w:val="22"/>
        </w:rPr>
      </w:pPr>
    </w:p>
    <w:p w14:paraId="76309E38" w14:textId="77777777" w:rsidR="009E50DF" w:rsidRPr="00CA13A3" w:rsidRDefault="009E50DF" w:rsidP="009E50DF">
      <w:pPr>
        <w:pStyle w:val="Prrafodelista"/>
        <w:numPr>
          <w:ilvl w:val="0"/>
          <w:numId w:val="2"/>
        </w:numPr>
        <w:spacing w:before="240" w:after="240" w:line="360" w:lineRule="auto"/>
        <w:ind w:left="0" w:right="49" w:firstLine="0"/>
        <w:jc w:val="both"/>
        <w:rPr>
          <w:rFonts w:ascii="Palatino Linotype" w:hAnsi="Palatino Linotype"/>
          <w:i/>
          <w:szCs w:val="22"/>
          <w:lang w:eastAsia="es-MX"/>
        </w:rPr>
      </w:pPr>
      <w:r w:rsidRPr="00CA13A3">
        <w:rPr>
          <w:rFonts w:ascii="Palatino Linotype" w:hAnsi="Palatino Linotype"/>
          <w:bCs/>
          <w:szCs w:val="22"/>
        </w:rPr>
        <w:t>El particular solicitó, en relación a la escuela Adrián Orteg</w:t>
      </w:r>
      <w:r w:rsidR="005D3055" w:rsidRPr="00CA13A3">
        <w:rPr>
          <w:rFonts w:ascii="Palatino Linotype" w:hAnsi="Palatino Linotype"/>
          <w:bCs/>
          <w:szCs w:val="22"/>
        </w:rPr>
        <w:t>a Monroy con calve CCT 15EPR5126</w:t>
      </w:r>
      <w:r w:rsidRPr="00CA13A3">
        <w:rPr>
          <w:rFonts w:ascii="Palatino Linotype" w:hAnsi="Palatino Linotype"/>
          <w:bCs/>
          <w:szCs w:val="22"/>
        </w:rPr>
        <w:t>M, ubicada en Lerma Estado de México, lo siguiente:</w:t>
      </w:r>
    </w:p>
    <w:p w14:paraId="76309E39" w14:textId="77777777" w:rsidR="009E50DF" w:rsidRPr="00CA13A3" w:rsidRDefault="009E50DF" w:rsidP="009E50DF">
      <w:pPr>
        <w:pStyle w:val="Prrafodelista"/>
        <w:spacing w:before="240" w:after="240" w:line="360" w:lineRule="auto"/>
        <w:ind w:left="0" w:right="49"/>
        <w:jc w:val="both"/>
        <w:rPr>
          <w:rFonts w:ascii="Palatino Linotype" w:hAnsi="Palatino Linotype"/>
          <w:bCs/>
          <w:szCs w:val="22"/>
        </w:rPr>
      </w:pPr>
    </w:p>
    <w:p w14:paraId="76309E3A" w14:textId="77777777" w:rsidR="009E50DF" w:rsidRPr="00CA13A3" w:rsidRDefault="009E50DF" w:rsidP="009E50DF">
      <w:pPr>
        <w:pStyle w:val="Prrafodelista"/>
        <w:numPr>
          <w:ilvl w:val="0"/>
          <w:numId w:val="6"/>
        </w:numPr>
        <w:spacing w:before="240" w:after="240" w:line="360" w:lineRule="auto"/>
        <w:ind w:right="822"/>
        <w:jc w:val="both"/>
        <w:rPr>
          <w:rFonts w:ascii="Palatino Linotype" w:hAnsi="Palatino Linotype"/>
          <w:i/>
          <w:szCs w:val="22"/>
          <w:lang w:eastAsia="es-MX"/>
        </w:rPr>
      </w:pPr>
      <w:r w:rsidRPr="00CA13A3">
        <w:rPr>
          <w:rFonts w:ascii="Palatino Linotype" w:hAnsi="Palatino Linotype"/>
          <w:bCs/>
          <w:szCs w:val="22"/>
        </w:rPr>
        <w:t xml:space="preserve">Consentimiento de los padres de la menor referida en la solicitud de información para la aplicación de </w:t>
      </w:r>
      <w:proofErr w:type="spellStart"/>
      <w:r w:rsidRPr="00CA13A3">
        <w:rPr>
          <w:rFonts w:ascii="Palatino Linotype" w:hAnsi="Palatino Linotype"/>
          <w:bCs/>
          <w:szCs w:val="22"/>
        </w:rPr>
        <w:t>Hialuronato</w:t>
      </w:r>
      <w:proofErr w:type="spellEnd"/>
      <w:r w:rsidRPr="00CA13A3">
        <w:rPr>
          <w:rFonts w:ascii="Palatino Linotype" w:hAnsi="Palatino Linotype"/>
          <w:bCs/>
          <w:szCs w:val="22"/>
        </w:rPr>
        <w:t xml:space="preserve"> de Sodio en sus ojos por parte de la docente de primer año;</w:t>
      </w:r>
    </w:p>
    <w:p w14:paraId="76309E3B" w14:textId="77777777" w:rsidR="009E50DF" w:rsidRPr="00CA13A3" w:rsidRDefault="009E50DF" w:rsidP="009E50DF">
      <w:pPr>
        <w:pStyle w:val="Prrafodelista"/>
        <w:numPr>
          <w:ilvl w:val="0"/>
          <w:numId w:val="6"/>
        </w:numPr>
        <w:spacing w:before="240" w:after="240" w:line="360" w:lineRule="auto"/>
        <w:ind w:right="822"/>
        <w:jc w:val="both"/>
        <w:rPr>
          <w:rFonts w:ascii="Palatino Linotype" w:hAnsi="Palatino Linotype"/>
          <w:i/>
          <w:szCs w:val="22"/>
          <w:lang w:eastAsia="es-MX"/>
        </w:rPr>
      </w:pPr>
      <w:r w:rsidRPr="00CA13A3">
        <w:rPr>
          <w:rFonts w:ascii="Palatino Linotype" w:hAnsi="Palatino Linotype"/>
          <w:szCs w:val="22"/>
          <w:lang w:eastAsia="es-MX"/>
        </w:rPr>
        <w:t>Acciones llevadas a cabo por la Directora para garantizar el derecho a la protección de la salud de la menor de edad referida en la solicitud de información y de los alumnos;</w:t>
      </w:r>
    </w:p>
    <w:p w14:paraId="76309E3C" w14:textId="77777777" w:rsidR="009E50DF" w:rsidRPr="00CA13A3" w:rsidRDefault="009E50DF" w:rsidP="009E50DF">
      <w:pPr>
        <w:pStyle w:val="Prrafodelista"/>
        <w:numPr>
          <w:ilvl w:val="0"/>
          <w:numId w:val="6"/>
        </w:numPr>
        <w:spacing w:before="240" w:after="240" w:line="360" w:lineRule="auto"/>
        <w:ind w:right="822"/>
        <w:jc w:val="both"/>
        <w:rPr>
          <w:rFonts w:ascii="Palatino Linotype" w:hAnsi="Palatino Linotype"/>
          <w:i/>
          <w:szCs w:val="22"/>
          <w:lang w:eastAsia="es-MX"/>
        </w:rPr>
      </w:pPr>
      <w:r w:rsidRPr="00CA13A3">
        <w:rPr>
          <w:rFonts w:ascii="Palatino Linotype" w:hAnsi="Palatino Linotype"/>
          <w:szCs w:val="22"/>
          <w:lang w:eastAsia="es-MX"/>
        </w:rPr>
        <w:t>Constancias o Título de la maestra de primer año referida en la solicitud de información;</w:t>
      </w:r>
    </w:p>
    <w:p w14:paraId="76309E3D" w14:textId="77777777" w:rsidR="009E50DF" w:rsidRPr="00CA13A3" w:rsidRDefault="009E50DF" w:rsidP="009E50DF">
      <w:pPr>
        <w:pStyle w:val="Prrafodelista"/>
        <w:numPr>
          <w:ilvl w:val="0"/>
          <w:numId w:val="6"/>
        </w:numPr>
        <w:spacing w:before="240" w:after="240" w:line="360" w:lineRule="auto"/>
        <w:ind w:right="822"/>
        <w:jc w:val="both"/>
        <w:rPr>
          <w:rFonts w:ascii="Palatino Linotype" w:hAnsi="Palatino Linotype"/>
          <w:i/>
          <w:szCs w:val="22"/>
          <w:lang w:eastAsia="es-MX"/>
        </w:rPr>
      </w:pPr>
      <w:r w:rsidRPr="00CA13A3">
        <w:rPr>
          <w:rFonts w:ascii="Palatino Linotype" w:hAnsi="Palatino Linotype"/>
          <w:szCs w:val="22"/>
          <w:lang w:eastAsia="es-MX"/>
        </w:rPr>
        <w:t>Autorización de la Secretaría de Educación para que las escuelas apliquen medicamentos;</w:t>
      </w:r>
    </w:p>
    <w:p w14:paraId="76309E3E" w14:textId="77777777" w:rsidR="009E50DF" w:rsidRPr="00CA13A3" w:rsidRDefault="009E50DF" w:rsidP="009E50DF">
      <w:pPr>
        <w:pStyle w:val="Prrafodelista"/>
        <w:numPr>
          <w:ilvl w:val="0"/>
          <w:numId w:val="6"/>
        </w:numPr>
        <w:spacing w:before="240" w:after="240" w:line="360" w:lineRule="auto"/>
        <w:ind w:right="822"/>
        <w:jc w:val="both"/>
        <w:rPr>
          <w:rFonts w:ascii="Palatino Linotype" w:hAnsi="Palatino Linotype"/>
          <w:i/>
          <w:szCs w:val="22"/>
          <w:lang w:eastAsia="es-MX"/>
        </w:rPr>
      </w:pPr>
      <w:r w:rsidRPr="00CA13A3">
        <w:rPr>
          <w:rFonts w:ascii="Palatino Linotype" w:hAnsi="Palatino Linotype"/>
          <w:szCs w:val="22"/>
          <w:lang w:eastAsia="es-MX"/>
        </w:rPr>
        <w:t xml:space="preserve">Trámite que se dio a la denuncia que se presentó a la maestra y directora referidas en la solicitud de información por lo actos u omisiones ocurridos el 13 de marzo de 2024; y </w:t>
      </w:r>
    </w:p>
    <w:p w14:paraId="76309E3F" w14:textId="77777777" w:rsidR="009E50DF" w:rsidRPr="00CA13A3" w:rsidRDefault="009E50DF" w:rsidP="009E50DF">
      <w:pPr>
        <w:pStyle w:val="Prrafodelista"/>
        <w:numPr>
          <w:ilvl w:val="0"/>
          <w:numId w:val="6"/>
        </w:numPr>
        <w:spacing w:before="240" w:after="240" w:line="360" w:lineRule="auto"/>
        <w:ind w:right="822"/>
        <w:jc w:val="both"/>
        <w:rPr>
          <w:rFonts w:ascii="Palatino Linotype" w:hAnsi="Palatino Linotype"/>
          <w:i/>
          <w:szCs w:val="22"/>
          <w:lang w:eastAsia="es-MX"/>
        </w:rPr>
      </w:pPr>
      <w:r w:rsidRPr="00CA13A3">
        <w:rPr>
          <w:rFonts w:ascii="Palatino Linotype" w:hAnsi="Palatino Linotype"/>
          <w:szCs w:val="22"/>
          <w:lang w:eastAsia="es-MX"/>
        </w:rPr>
        <w:t xml:space="preserve">Medidas instruidas por la Gobernadora a las autoridades educativas para evitar incurrir en negligencias en perjuicio de los alumnos de la escuela. </w:t>
      </w:r>
    </w:p>
    <w:p w14:paraId="76309E40" w14:textId="77777777" w:rsidR="009E50DF" w:rsidRPr="00CA13A3" w:rsidRDefault="009E50DF" w:rsidP="009E50DF">
      <w:pPr>
        <w:pStyle w:val="Prrafodelista"/>
        <w:spacing w:line="360" w:lineRule="auto"/>
        <w:ind w:left="0"/>
        <w:jc w:val="both"/>
        <w:rPr>
          <w:rFonts w:ascii="Palatino Linotype" w:eastAsia="MS Mincho" w:hAnsi="Palatino Linotype"/>
          <w:szCs w:val="22"/>
        </w:rPr>
      </w:pPr>
    </w:p>
    <w:p w14:paraId="76309E41" w14:textId="77777777" w:rsidR="00466168" w:rsidRPr="00CA13A3" w:rsidRDefault="00466168" w:rsidP="00466168">
      <w:pPr>
        <w:pStyle w:val="Prrafodelista"/>
        <w:numPr>
          <w:ilvl w:val="0"/>
          <w:numId w:val="1"/>
        </w:numPr>
        <w:spacing w:line="360" w:lineRule="auto"/>
        <w:ind w:left="0" w:firstLine="0"/>
        <w:jc w:val="both"/>
        <w:rPr>
          <w:rFonts w:ascii="Palatino Linotype" w:eastAsia="MS Mincho" w:hAnsi="Palatino Linotype"/>
          <w:szCs w:val="22"/>
        </w:rPr>
      </w:pPr>
      <w:r w:rsidRPr="00CA13A3">
        <w:rPr>
          <w:rFonts w:ascii="Palatino Linotype" w:eastAsia="MS Mincho" w:hAnsi="Palatino Linotype"/>
          <w:szCs w:val="22"/>
        </w:rPr>
        <w:lastRenderedPageBreak/>
        <w:t xml:space="preserve">Sobre la búsqueda exhaustiva y razonable, es necesario mencionar que el acceso a la información es un derecho humano constitucional y convencionalmente reconocido y para tal efecto </w:t>
      </w:r>
      <w:r w:rsidRPr="00CA13A3">
        <w:rPr>
          <w:rFonts w:ascii="Palatino Linotype" w:eastAsia="Calibri" w:hAnsi="Palatino Linotype"/>
          <w:szCs w:val="22"/>
          <w:lang w:val="es-ES"/>
        </w:rPr>
        <w:t xml:space="preserve">el párrafo tercero del artículo primero de la Constitución Política de los Estados Unidos Mexicanos establece que el deber de todas las autoridades, </w:t>
      </w:r>
      <w:r w:rsidRPr="00CA13A3">
        <w:rPr>
          <w:rFonts w:ascii="Palatino Linotype" w:eastAsia="Calibri" w:hAnsi="Palatino Linotype"/>
          <w:i/>
          <w:szCs w:val="22"/>
          <w:lang w:val="es-ES"/>
        </w:rPr>
        <w:t xml:space="preserve">en el ámbito de sus atribuciones, de promover, respetar, proteger y </w:t>
      </w:r>
      <w:r w:rsidRPr="00CA13A3">
        <w:rPr>
          <w:rFonts w:ascii="Palatino Linotype" w:eastAsia="Calibri" w:hAnsi="Palatino Linotype"/>
          <w:b/>
          <w:i/>
          <w:szCs w:val="22"/>
          <w:lang w:val="es-ES"/>
        </w:rPr>
        <w:t>garantizar</w:t>
      </w:r>
      <w:r w:rsidRPr="00CA13A3">
        <w:rPr>
          <w:rFonts w:ascii="Palatino Linotype" w:eastAsia="Calibri" w:hAnsi="Palatino Linotype"/>
          <w:i/>
          <w:szCs w:val="22"/>
          <w:lang w:val="es-ES"/>
        </w:rPr>
        <w:t xml:space="preserve"> los derechos humanos. </w:t>
      </w:r>
      <w:r w:rsidRPr="00CA13A3">
        <w:rPr>
          <w:rFonts w:ascii="Palatino Linotype" w:eastAsia="Calibri" w:hAnsi="Palatino Linotype"/>
          <w:b/>
          <w:i/>
          <w:szCs w:val="22"/>
          <w:lang w:val="es-ES"/>
        </w:rPr>
        <w:t>En cuanto al derecho de acceso a la información, la Ley de Transparencia y Acceso a la Información Pública del Estado de México y Municipios prevé establece que e</w:t>
      </w:r>
      <w:r w:rsidRPr="00CA13A3">
        <w:rPr>
          <w:rFonts w:ascii="Palatino Linotype" w:hAnsi="Palatino Linotype"/>
          <w:i/>
          <w:szCs w:val="22"/>
        </w:rPr>
        <w:t>l procedimiento de acceso a la información es la garantía primaria del derecho en cuestión y se rige por los principios de simplicidad, rapidez y gratuidad del procedimiento, auxilio y orientación a los particulares</w:t>
      </w:r>
      <w:r w:rsidRPr="00CA13A3">
        <w:rPr>
          <w:rStyle w:val="Refdenotaalpie"/>
          <w:i/>
          <w:szCs w:val="22"/>
        </w:rPr>
        <w:footnoteReference w:id="1"/>
      </w:r>
      <w:r w:rsidRPr="00CA13A3">
        <w:rPr>
          <w:rFonts w:ascii="Palatino Linotype" w:hAnsi="Palatino Linotype"/>
          <w:i/>
          <w:szCs w:val="22"/>
        </w:rPr>
        <w:t xml:space="preserve">, </w:t>
      </w:r>
      <w:r w:rsidRPr="00CA13A3">
        <w:rPr>
          <w:rFonts w:ascii="Palatino Linotype" w:hAnsi="Palatino Linotype"/>
          <w:szCs w:val="22"/>
        </w:rPr>
        <w:t>asimismo establece</w:t>
      </w:r>
      <w:r w:rsidRPr="00CA13A3">
        <w:rPr>
          <w:rFonts w:ascii="Palatino Linotype" w:hAnsi="Palatino Linotype"/>
          <w:i/>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76309E42" w14:textId="77777777" w:rsidR="00466168" w:rsidRPr="00CA13A3" w:rsidRDefault="00466168" w:rsidP="00466168">
      <w:pPr>
        <w:pStyle w:val="Prrafodelista"/>
        <w:rPr>
          <w:rFonts w:ascii="Palatino Linotype" w:eastAsia="Calibri" w:hAnsi="Palatino Linotype" w:cs="Arial"/>
          <w:szCs w:val="22"/>
        </w:rPr>
      </w:pPr>
    </w:p>
    <w:p w14:paraId="76309E43" w14:textId="77777777" w:rsidR="00466168" w:rsidRPr="00CA13A3" w:rsidRDefault="00466168" w:rsidP="009E50DF">
      <w:pPr>
        <w:pStyle w:val="Prrafodelista"/>
        <w:numPr>
          <w:ilvl w:val="0"/>
          <w:numId w:val="1"/>
        </w:numPr>
        <w:spacing w:line="360" w:lineRule="auto"/>
        <w:ind w:left="0" w:firstLine="0"/>
        <w:jc w:val="both"/>
        <w:rPr>
          <w:rFonts w:ascii="Palatino Linotype" w:eastAsia="Calibri" w:hAnsi="Palatino Linotype" w:cs="Arial"/>
          <w:szCs w:val="22"/>
        </w:rPr>
      </w:pPr>
      <w:r w:rsidRPr="00CA13A3">
        <w:rPr>
          <w:rFonts w:ascii="Palatino Linotype" w:hAnsi="Palatino Linotype"/>
          <w:szCs w:val="22"/>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76309E44" w14:textId="77777777" w:rsidR="00466168" w:rsidRPr="00CA13A3" w:rsidRDefault="00466168" w:rsidP="00466168">
      <w:pPr>
        <w:pStyle w:val="Prrafodelista"/>
        <w:numPr>
          <w:ilvl w:val="0"/>
          <w:numId w:val="1"/>
        </w:numPr>
        <w:spacing w:line="360" w:lineRule="auto"/>
        <w:ind w:left="0" w:firstLine="0"/>
        <w:jc w:val="both"/>
        <w:rPr>
          <w:rFonts w:ascii="Palatino Linotype" w:eastAsia="Calibri" w:hAnsi="Palatino Linotype" w:cs="Arial"/>
          <w:szCs w:val="22"/>
        </w:rPr>
      </w:pPr>
      <w:r w:rsidRPr="00CA13A3">
        <w:rPr>
          <w:rFonts w:ascii="Palatino Linotype" w:hAnsi="Palatino Linotype"/>
          <w:szCs w:val="22"/>
        </w:rPr>
        <w:lastRenderedPageBreak/>
        <w:t xml:space="preserve">Las funciones que realizan las Unidades de Transparencia de los Sujetos Obligados es fundamental para el correcto cumplimiento del derecho de acceso a la información, pues son el vínculo entre los particulares y la información que requieren, además, su obligación es: </w:t>
      </w:r>
      <w:r w:rsidRPr="00CA13A3">
        <w:rPr>
          <w:rFonts w:ascii="Palatino Linotype" w:hAnsi="Palatino Linotype"/>
          <w:i/>
          <w:szCs w:val="22"/>
        </w:rPr>
        <w:t>realizar, con efectividad, los trámites internos necesarios para la atención de las solicitudes de información</w:t>
      </w:r>
      <w:r w:rsidRPr="00CA13A3">
        <w:rPr>
          <w:rStyle w:val="Refdenotaalpie"/>
          <w:szCs w:val="22"/>
        </w:rPr>
        <w:footnoteReference w:id="2"/>
      </w:r>
      <w:r w:rsidRPr="00CA13A3">
        <w:rPr>
          <w:rFonts w:ascii="Palatino Linotype" w:hAnsi="Palatino Linotype"/>
          <w:szCs w:val="22"/>
        </w:rPr>
        <w:t>, es decir, deben otorgar respuestas concisas, contundentes y certeras, además de estar en estricto apego a lo que la normatividad en la materia establece.</w:t>
      </w:r>
    </w:p>
    <w:p w14:paraId="76309E45" w14:textId="77777777" w:rsidR="00466168" w:rsidRPr="00CA13A3" w:rsidRDefault="00466168" w:rsidP="00466168">
      <w:pPr>
        <w:pStyle w:val="Prrafodelista"/>
        <w:rPr>
          <w:rFonts w:ascii="Palatino Linotype" w:eastAsia="Calibri" w:hAnsi="Palatino Linotype" w:cs="Arial"/>
          <w:szCs w:val="22"/>
        </w:rPr>
      </w:pPr>
    </w:p>
    <w:p w14:paraId="76309E46" w14:textId="77777777" w:rsidR="00466168" w:rsidRPr="00CA13A3" w:rsidRDefault="00466168" w:rsidP="00466168">
      <w:pPr>
        <w:pStyle w:val="Prrafodelista"/>
        <w:numPr>
          <w:ilvl w:val="0"/>
          <w:numId w:val="1"/>
        </w:numPr>
        <w:spacing w:line="360" w:lineRule="auto"/>
        <w:ind w:left="0" w:firstLine="0"/>
        <w:jc w:val="both"/>
        <w:rPr>
          <w:rFonts w:ascii="Palatino Linotype" w:eastAsia="Calibri" w:hAnsi="Palatino Linotype" w:cs="Arial"/>
          <w:szCs w:val="22"/>
        </w:rPr>
      </w:pPr>
      <w:r w:rsidRPr="00CA13A3">
        <w:rPr>
          <w:rFonts w:ascii="Palatino Linotype" w:hAnsi="Palatino Linotype"/>
          <w:szCs w:val="22"/>
          <w:lang w:eastAsia="en-US"/>
        </w:rPr>
        <w:t xml:space="preserve">Debiendo cumplir con lo dispuesto en la Ley de Transparencia y Acceso a la Información Pública del Estado de México y Municipios, en el artículo 162, mismo del que se inserta su contenido: </w:t>
      </w:r>
    </w:p>
    <w:p w14:paraId="76309E47" w14:textId="77777777" w:rsidR="00466168" w:rsidRPr="00CA13A3" w:rsidRDefault="00466168" w:rsidP="00466168">
      <w:pPr>
        <w:pStyle w:val="Prrafodelista"/>
        <w:rPr>
          <w:rFonts w:ascii="Palatino Linotype" w:hAnsi="Palatino Linotype"/>
          <w:szCs w:val="22"/>
          <w:lang w:eastAsia="en-US"/>
        </w:rPr>
      </w:pPr>
    </w:p>
    <w:p w14:paraId="76309E48" w14:textId="77777777" w:rsidR="00466168" w:rsidRPr="00CA13A3" w:rsidRDefault="00466168" w:rsidP="00466168">
      <w:pPr>
        <w:autoSpaceDE w:val="0"/>
        <w:autoSpaceDN w:val="0"/>
        <w:adjustRightInd w:val="0"/>
        <w:spacing w:line="360" w:lineRule="auto"/>
        <w:ind w:left="567" w:right="567"/>
        <w:jc w:val="both"/>
        <w:rPr>
          <w:rFonts w:ascii="Palatino Linotype" w:hAnsi="Palatino Linotype"/>
          <w:i/>
          <w:sz w:val="22"/>
          <w:szCs w:val="22"/>
          <w:lang w:eastAsia="en-US"/>
        </w:rPr>
      </w:pPr>
      <w:r w:rsidRPr="00CA13A3">
        <w:rPr>
          <w:rFonts w:ascii="Palatino Linotype" w:hAnsi="Palatino Linotype" w:cs="Bookman Old Style,Bold"/>
          <w:b/>
          <w:bCs/>
          <w:i/>
          <w:sz w:val="22"/>
          <w:szCs w:val="22"/>
        </w:rPr>
        <w:t xml:space="preserve">Artículo 162. </w:t>
      </w:r>
      <w:r w:rsidRPr="00CA13A3">
        <w:rPr>
          <w:rFonts w:ascii="Palatino Linotype" w:hAnsi="Palatino Linotype" w:cs="Bookman Old Styl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6309E49" w14:textId="77777777" w:rsidR="00466168" w:rsidRPr="00CA13A3" w:rsidRDefault="00466168" w:rsidP="00466168">
      <w:pPr>
        <w:pStyle w:val="Prrafodelista"/>
        <w:spacing w:line="360" w:lineRule="auto"/>
        <w:ind w:left="0"/>
        <w:jc w:val="both"/>
        <w:rPr>
          <w:rFonts w:ascii="Palatino Linotype" w:hAnsi="Palatino Linotype"/>
          <w:szCs w:val="22"/>
          <w:lang w:eastAsia="en-US"/>
        </w:rPr>
      </w:pPr>
      <w:r w:rsidRPr="00CA13A3">
        <w:rPr>
          <w:rFonts w:ascii="Palatino Linotype" w:hAnsi="Palatino Linotype"/>
          <w:szCs w:val="22"/>
          <w:lang w:eastAsia="en-US"/>
        </w:rPr>
        <w:t xml:space="preserve"> </w:t>
      </w:r>
    </w:p>
    <w:p w14:paraId="76309E4A" w14:textId="77777777" w:rsidR="00466168" w:rsidRPr="00CA13A3" w:rsidRDefault="00466168" w:rsidP="00466168">
      <w:pPr>
        <w:pStyle w:val="Prrafodelista"/>
        <w:numPr>
          <w:ilvl w:val="0"/>
          <w:numId w:val="1"/>
        </w:numPr>
        <w:spacing w:line="360" w:lineRule="auto"/>
        <w:ind w:left="0" w:firstLine="0"/>
        <w:jc w:val="both"/>
        <w:rPr>
          <w:rFonts w:ascii="Palatino Linotype" w:hAnsi="Palatino Linotype"/>
          <w:szCs w:val="22"/>
          <w:lang w:eastAsia="en-US"/>
        </w:rPr>
      </w:pPr>
      <w:r w:rsidRPr="00CA13A3">
        <w:rPr>
          <w:rFonts w:ascii="Palatino Linotype" w:hAnsi="Palatino Linotype"/>
          <w:szCs w:val="22"/>
          <w:lang w:eastAsia="en-US"/>
        </w:rPr>
        <w:t>Las unidades de transparencia deberán turnar las solicitudes de acceso a la información a las áreas correspondientes para que estas a su vez, manifestarán lo conducente; situación que no se materializó, puesto que el Titular de la Unidad de Transparencia fue omiso en realizar tal acción.</w:t>
      </w:r>
    </w:p>
    <w:p w14:paraId="76309E4B" w14:textId="77777777" w:rsidR="00466168" w:rsidRPr="00CA13A3" w:rsidRDefault="00466168" w:rsidP="00466168">
      <w:pPr>
        <w:pStyle w:val="Prrafodelista"/>
        <w:spacing w:line="360" w:lineRule="auto"/>
        <w:ind w:left="0"/>
        <w:jc w:val="both"/>
        <w:rPr>
          <w:rFonts w:ascii="Palatino Linotype" w:hAnsi="Palatino Linotype"/>
          <w:szCs w:val="22"/>
          <w:lang w:eastAsia="en-US"/>
        </w:rPr>
      </w:pPr>
    </w:p>
    <w:p w14:paraId="76309E4C" w14:textId="77777777" w:rsidR="00466168" w:rsidRPr="00CA13A3" w:rsidRDefault="00466168" w:rsidP="00466168">
      <w:pPr>
        <w:pStyle w:val="Prrafodelista"/>
        <w:numPr>
          <w:ilvl w:val="0"/>
          <w:numId w:val="1"/>
        </w:numPr>
        <w:spacing w:line="360" w:lineRule="auto"/>
        <w:ind w:left="0" w:firstLine="0"/>
        <w:jc w:val="both"/>
        <w:rPr>
          <w:rFonts w:ascii="Palatino Linotype" w:hAnsi="Palatino Linotype"/>
          <w:szCs w:val="22"/>
          <w:lang w:eastAsia="en-US"/>
        </w:rPr>
      </w:pPr>
      <w:r w:rsidRPr="00CA13A3">
        <w:rPr>
          <w:rFonts w:ascii="Palatino Linotype" w:hAnsi="Palatino Linotype"/>
          <w:szCs w:val="22"/>
          <w:lang w:eastAsia="en-US"/>
        </w:rPr>
        <w:lastRenderedPageBreak/>
        <w:t>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derecho constitucional y convencionalmente reconocido que es el derecho de acceso a la información.</w:t>
      </w:r>
    </w:p>
    <w:p w14:paraId="76309E4D" w14:textId="77777777" w:rsidR="00466168" w:rsidRPr="00CA13A3" w:rsidRDefault="00466168" w:rsidP="00466168">
      <w:pPr>
        <w:pStyle w:val="Prrafodelista"/>
        <w:rPr>
          <w:rFonts w:ascii="Palatino Linotype" w:hAnsi="Palatino Linotype"/>
          <w:szCs w:val="22"/>
          <w:lang w:eastAsia="en-US"/>
        </w:rPr>
      </w:pPr>
    </w:p>
    <w:p w14:paraId="76309E4E" w14:textId="77777777" w:rsidR="00466168" w:rsidRPr="00CA13A3" w:rsidRDefault="00466168" w:rsidP="00466168">
      <w:pPr>
        <w:pStyle w:val="Prrafodelista"/>
        <w:numPr>
          <w:ilvl w:val="0"/>
          <w:numId w:val="1"/>
        </w:numPr>
        <w:spacing w:line="360" w:lineRule="auto"/>
        <w:ind w:left="0" w:firstLine="0"/>
        <w:jc w:val="both"/>
        <w:rPr>
          <w:rFonts w:ascii="Palatino Linotype" w:hAnsi="Palatino Linotype"/>
          <w:szCs w:val="22"/>
          <w:lang w:eastAsia="en-US"/>
        </w:rPr>
      </w:pPr>
      <w:r w:rsidRPr="00CA13A3">
        <w:rPr>
          <w:rFonts w:ascii="Palatino Linotype" w:hAnsi="Palatino Linotype"/>
          <w:szCs w:val="22"/>
          <w:lang w:eastAsia="en-US"/>
        </w:rPr>
        <w:t>La falta de carteo o turno de las Unidades de Transparencia a las diferentes áreas que integran la estructura orgánica de los Sujetos Obligados, podrían causar una afectación o restricción al derecho ejercido por los particulares.</w:t>
      </w:r>
    </w:p>
    <w:p w14:paraId="76309E4F" w14:textId="77777777" w:rsidR="00466168" w:rsidRPr="00CA13A3" w:rsidRDefault="00466168" w:rsidP="00466168">
      <w:pPr>
        <w:pStyle w:val="Prrafodelista"/>
        <w:rPr>
          <w:rFonts w:ascii="Palatino Linotype" w:hAnsi="Palatino Linotype"/>
          <w:szCs w:val="22"/>
          <w:lang w:eastAsia="en-US"/>
        </w:rPr>
      </w:pPr>
    </w:p>
    <w:p w14:paraId="76309E50" w14:textId="77777777" w:rsidR="00466168" w:rsidRPr="00CA13A3" w:rsidRDefault="00466168" w:rsidP="00466168">
      <w:pPr>
        <w:pStyle w:val="Prrafodelista"/>
        <w:numPr>
          <w:ilvl w:val="0"/>
          <w:numId w:val="1"/>
        </w:numPr>
        <w:spacing w:line="360" w:lineRule="auto"/>
        <w:ind w:left="0" w:firstLine="0"/>
        <w:jc w:val="both"/>
        <w:rPr>
          <w:rFonts w:ascii="Palatino Linotype" w:hAnsi="Palatino Linotype"/>
          <w:szCs w:val="22"/>
          <w:lang w:eastAsia="en-US"/>
        </w:rPr>
      </w:pPr>
      <w:r w:rsidRPr="00CA13A3">
        <w:rPr>
          <w:rFonts w:ascii="Palatino Linotype" w:hAnsi="Palatino Linotype"/>
          <w:szCs w:val="22"/>
          <w:lang w:eastAsia="en-US"/>
        </w:rPr>
        <w:t>Es necesario que los Sujetos Obligados, a efecto de brindar certeza jurídica y correcta tutela al derecho accionado por los particulares realicen una correcta búsqueda en todas las áreas que de acuerdo a sus funciones atribuciones y competencias deban generar, administrar y poseer la información de interés para los particulares.</w:t>
      </w:r>
    </w:p>
    <w:p w14:paraId="76309E51" w14:textId="77777777" w:rsidR="00466168" w:rsidRPr="00CA13A3" w:rsidRDefault="00466168" w:rsidP="00466168">
      <w:pPr>
        <w:pStyle w:val="Prrafodelista"/>
        <w:rPr>
          <w:rFonts w:ascii="Palatino Linotype" w:hAnsi="Palatino Linotype"/>
          <w:szCs w:val="22"/>
        </w:rPr>
      </w:pPr>
    </w:p>
    <w:p w14:paraId="76309E52" w14:textId="77777777" w:rsidR="00466168" w:rsidRPr="00CA13A3" w:rsidRDefault="00466168" w:rsidP="00466168">
      <w:pPr>
        <w:pStyle w:val="Prrafodelista"/>
        <w:numPr>
          <w:ilvl w:val="0"/>
          <w:numId w:val="1"/>
        </w:numPr>
        <w:spacing w:line="360" w:lineRule="auto"/>
        <w:ind w:left="0" w:firstLine="0"/>
        <w:jc w:val="both"/>
        <w:rPr>
          <w:rFonts w:ascii="Palatino Linotype" w:eastAsia="Calibri" w:hAnsi="Palatino Linotype" w:cs="Arial"/>
          <w:szCs w:val="22"/>
        </w:rPr>
      </w:pPr>
      <w:r w:rsidRPr="00CA13A3">
        <w:rPr>
          <w:rFonts w:ascii="Palatino Linotype" w:eastAsia="Calibri" w:hAnsi="Palatino Linotype" w:cs="Arial"/>
          <w:szCs w:val="22"/>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76309E53" w14:textId="77777777" w:rsidR="00466168" w:rsidRPr="00CA13A3" w:rsidRDefault="00466168" w:rsidP="00466168">
      <w:pPr>
        <w:pStyle w:val="Prrafodelista"/>
        <w:rPr>
          <w:rFonts w:ascii="Palatino Linotype" w:eastAsia="Calibri" w:hAnsi="Palatino Linotype" w:cs="Arial"/>
          <w:szCs w:val="22"/>
        </w:rPr>
      </w:pPr>
    </w:p>
    <w:p w14:paraId="76309E54" w14:textId="77777777" w:rsidR="00466168" w:rsidRPr="00CA13A3" w:rsidRDefault="00466168" w:rsidP="009E50DF">
      <w:pPr>
        <w:pStyle w:val="Prrafodelista"/>
        <w:spacing w:line="360" w:lineRule="auto"/>
        <w:ind w:left="851" w:right="822"/>
        <w:jc w:val="both"/>
        <w:rPr>
          <w:rFonts w:ascii="Palatino Linotype" w:hAnsi="Palatino Linotype"/>
          <w:i/>
          <w:szCs w:val="22"/>
        </w:rPr>
      </w:pPr>
      <w:r w:rsidRPr="00CA13A3">
        <w:rPr>
          <w:rFonts w:ascii="Palatino Linotype" w:hAnsi="Palatino Linotype"/>
          <w:i/>
          <w:szCs w:val="22"/>
        </w:rPr>
        <w:t xml:space="preserve">Artículo 53. Las Unidades de Transparencia tendrán las siguientes funciones: </w:t>
      </w:r>
    </w:p>
    <w:p w14:paraId="76309E55" w14:textId="77777777" w:rsidR="00466168" w:rsidRPr="00CA13A3" w:rsidRDefault="00466168" w:rsidP="009E50DF">
      <w:pPr>
        <w:pStyle w:val="Prrafodelista"/>
        <w:spacing w:line="360" w:lineRule="auto"/>
        <w:ind w:left="851" w:right="822"/>
        <w:jc w:val="both"/>
        <w:rPr>
          <w:rFonts w:ascii="Palatino Linotype" w:hAnsi="Palatino Linotype"/>
          <w:i/>
          <w:szCs w:val="22"/>
        </w:rPr>
      </w:pPr>
      <w:proofErr w:type="gramStart"/>
      <w:r w:rsidRPr="00CA13A3">
        <w:rPr>
          <w:rFonts w:ascii="Palatino Linotype" w:hAnsi="Palatino Linotype"/>
          <w:i/>
          <w:szCs w:val="22"/>
        </w:rPr>
        <w:t>I.</w:t>
      </w:r>
      <w:proofErr w:type="gramEnd"/>
      <w:r w:rsidRPr="00CA13A3">
        <w:rPr>
          <w:rFonts w:ascii="Palatino Linotype" w:hAnsi="Palatino Linotype"/>
          <w:i/>
          <w:szCs w:val="22"/>
        </w:rPr>
        <w:t xml:space="preserve"> …</w:t>
      </w:r>
    </w:p>
    <w:p w14:paraId="76309E56" w14:textId="77777777" w:rsidR="00466168" w:rsidRPr="00CA13A3" w:rsidRDefault="00466168" w:rsidP="009E50DF">
      <w:pPr>
        <w:pStyle w:val="Prrafodelista"/>
        <w:spacing w:line="360" w:lineRule="auto"/>
        <w:ind w:left="851" w:right="822"/>
        <w:jc w:val="both"/>
        <w:rPr>
          <w:rFonts w:ascii="Palatino Linotype" w:hAnsi="Palatino Linotype"/>
          <w:i/>
          <w:szCs w:val="22"/>
        </w:rPr>
      </w:pPr>
      <w:r w:rsidRPr="00CA13A3">
        <w:rPr>
          <w:rFonts w:ascii="Palatino Linotype" w:hAnsi="Palatino Linotype"/>
          <w:i/>
          <w:szCs w:val="22"/>
        </w:rPr>
        <w:t>II. Recibir, tramitar y dar respuesta a las solicitudes de acceso a la información;</w:t>
      </w:r>
    </w:p>
    <w:p w14:paraId="76309E57" w14:textId="77777777" w:rsidR="00466168" w:rsidRPr="00CA13A3" w:rsidRDefault="00466168" w:rsidP="009E50DF">
      <w:pPr>
        <w:pStyle w:val="Prrafodelista"/>
        <w:spacing w:line="360" w:lineRule="auto"/>
        <w:ind w:left="851" w:right="822"/>
        <w:jc w:val="both"/>
        <w:rPr>
          <w:rFonts w:ascii="Palatino Linotype" w:hAnsi="Palatino Linotype"/>
          <w:i/>
          <w:szCs w:val="22"/>
        </w:rPr>
      </w:pPr>
      <w:r w:rsidRPr="00CA13A3">
        <w:rPr>
          <w:rFonts w:ascii="Palatino Linotype" w:hAnsi="Palatino Linotype"/>
          <w:i/>
          <w:szCs w:val="22"/>
        </w:rPr>
        <w:lastRenderedPageBreak/>
        <w:t>…</w:t>
      </w:r>
    </w:p>
    <w:p w14:paraId="76309E58" w14:textId="77777777" w:rsidR="00466168" w:rsidRPr="00CA13A3" w:rsidRDefault="00466168" w:rsidP="009E50DF">
      <w:pPr>
        <w:pStyle w:val="Prrafodelista"/>
        <w:spacing w:line="360" w:lineRule="auto"/>
        <w:ind w:left="851" w:right="822"/>
        <w:jc w:val="both"/>
        <w:rPr>
          <w:rFonts w:ascii="Palatino Linotype" w:eastAsia="Calibri" w:hAnsi="Palatino Linotype" w:cs="Arial"/>
          <w:i/>
          <w:szCs w:val="22"/>
        </w:rPr>
      </w:pPr>
      <w:r w:rsidRPr="00CA13A3">
        <w:rPr>
          <w:rFonts w:ascii="Palatino Linotype" w:hAnsi="Palatino Linotype"/>
          <w:i/>
          <w:szCs w:val="22"/>
        </w:rPr>
        <w:t>IV. Realizar, con efectividad, los trámites internos necesarios para la atención de las solicitudes de acceso a la información;</w:t>
      </w:r>
    </w:p>
    <w:p w14:paraId="76309E59" w14:textId="77777777" w:rsidR="00466168" w:rsidRPr="00CA13A3" w:rsidRDefault="00466168" w:rsidP="00466168">
      <w:pPr>
        <w:rPr>
          <w:rFonts w:ascii="Palatino Linotype" w:eastAsia="Calibri" w:hAnsi="Palatino Linotype" w:cs="Arial"/>
          <w:sz w:val="22"/>
          <w:szCs w:val="22"/>
        </w:rPr>
      </w:pPr>
    </w:p>
    <w:p w14:paraId="76309E5A" w14:textId="77777777" w:rsidR="00466168" w:rsidRPr="00CA13A3" w:rsidRDefault="009E50DF" w:rsidP="00213DDA">
      <w:pPr>
        <w:pStyle w:val="Prrafodelista"/>
        <w:numPr>
          <w:ilvl w:val="0"/>
          <w:numId w:val="1"/>
        </w:numPr>
        <w:spacing w:line="360" w:lineRule="auto"/>
        <w:ind w:left="0" w:firstLine="0"/>
        <w:jc w:val="both"/>
        <w:rPr>
          <w:rFonts w:ascii="Palatino Linotype" w:eastAsia="Calibri" w:hAnsi="Palatino Linotype" w:cs="Arial"/>
          <w:szCs w:val="22"/>
        </w:rPr>
      </w:pPr>
      <w:r w:rsidRPr="00CA13A3">
        <w:rPr>
          <w:rFonts w:ascii="Palatino Linotype" w:hAnsi="Palatino Linotype"/>
          <w:szCs w:val="22"/>
        </w:rPr>
        <w:t xml:space="preserve">Es así que, en este caso la respuesta como el informe justificado fueron emitidos por el Titular de la Unidad de Transparencia, en decir, que la solicitud no se turnó a las áreas que de acuerdo a sus facultades pueden generar, poseer o administrar la información solicitada, por lo tanto, no se dio cumplimiento al proceso de búsqueda señalado en párrafos anteriores. </w:t>
      </w:r>
    </w:p>
    <w:p w14:paraId="76309E5B" w14:textId="77777777" w:rsidR="003B4CE4" w:rsidRPr="00CA13A3" w:rsidRDefault="00D205B8" w:rsidP="007A5084">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CA13A3">
        <w:rPr>
          <w:rFonts w:ascii="Palatino Linotype" w:hAnsi="Palatino Linotype"/>
          <w:color w:val="222222"/>
          <w:sz w:val="22"/>
          <w:szCs w:val="22"/>
        </w:rPr>
        <w:t xml:space="preserve">Por otro lado, conviene señalar que </w:t>
      </w:r>
      <w:r w:rsidR="007A5084" w:rsidRPr="00CA13A3">
        <w:rPr>
          <w:rFonts w:ascii="Palatino Linotype" w:hAnsi="Palatino Linotype"/>
          <w:color w:val="222222"/>
          <w:sz w:val="22"/>
          <w:szCs w:val="22"/>
        </w:rPr>
        <w:t xml:space="preserve">el Recurrente solicitó información de un persona menor de edad, de la cual refirió el nombre, lo que la hace identificable, </w:t>
      </w:r>
      <w:r w:rsidR="003B4CE4" w:rsidRPr="00CA13A3">
        <w:rPr>
          <w:rFonts w:ascii="Palatino Linotype" w:hAnsi="Palatino Linotype"/>
          <w:color w:val="222222"/>
          <w:sz w:val="22"/>
          <w:szCs w:val="22"/>
        </w:rPr>
        <w:t>por lo que conviene traer a contexto lo establecido en el artículo 8 de la Ley de Protección de Datos Personales del Estado de México y Municipios que establece:</w:t>
      </w:r>
    </w:p>
    <w:p w14:paraId="76309E5C" w14:textId="77777777" w:rsidR="003B4CE4" w:rsidRPr="00CA13A3" w:rsidRDefault="003B4CE4" w:rsidP="003B4CE4">
      <w:pPr>
        <w:shd w:val="clear" w:color="auto" w:fill="FFFFFF"/>
        <w:spacing w:before="240" w:after="240" w:line="360" w:lineRule="auto"/>
        <w:ind w:left="851" w:right="822"/>
        <w:jc w:val="both"/>
        <w:rPr>
          <w:rFonts w:ascii="Palatino Linotype" w:hAnsi="Palatino Linotype"/>
          <w:b/>
          <w:i/>
          <w:color w:val="222222"/>
          <w:sz w:val="22"/>
          <w:szCs w:val="22"/>
        </w:rPr>
      </w:pPr>
      <w:r w:rsidRPr="00CA13A3">
        <w:rPr>
          <w:rFonts w:ascii="Palatino Linotype" w:hAnsi="Palatino Linotype"/>
          <w:b/>
          <w:i/>
          <w:color w:val="222222"/>
          <w:sz w:val="22"/>
          <w:szCs w:val="22"/>
        </w:rPr>
        <w:t xml:space="preserve">Datos personales de niñas, niños y adolescentes </w:t>
      </w:r>
    </w:p>
    <w:p w14:paraId="76309E5D" w14:textId="77777777" w:rsidR="003B4CE4" w:rsidRPr="00CA13A3" w:rsidRDefault="003B4CE4" w:rsidP="003B4CE4">
      <w:pPr>
        <w:shd w:val="clear" w:color="auto" w:fill="FFFFFF"/>
        <w:spacing w:before="240" w:after="240" w:line="360"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Artículo 8. En el tratamiento de datos personales de niñas, niños y adolescentes se privilegiará el interés superior de éstos, en términos de la Ley General de los Derechos de Niñas, Niños y Adolescentes, la Ley de Niñas, Niños y Adolescentes del Estado de México y las demás disposiciones legales aplicables, y se adoptarán las medidas idóneas para su protección. </w:t>
      </w:r>
    </w:p>
    <w:p w14:paraId="76309E5E" w14:textId="77777777" w:rsidR="003B4CE4" w:rsidRPr="00CA13A3" w:rsidRDefault="003B4CE4" w:rsidP="003B4CE4">
      <w:pPr>
        <w:shd w:val="clear" w:color="auto" w:fill="FFFFFF"/>
        <w:spacing w:before="240" w:after="240" w:line="360"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El consentimiento se hará por conducto de la o el titular de la patria potestad o tutela, y el responsable del tratamiento obtendrá su autorización por escrito, así mismo </w:t>
      </w:r>
      <w:r w:rsidRPr="00CA13A3">
        <w:rPr>
          <w:rFonts w:ascii="Palatino Linotype" w:hAnsi="Palatino Linotype"/>
          <w:i/>
          <w:color w:val="222222"/>
          <w:sz w:val="22"/>
          <w:szCs w:val="22"/>
        </w:rPr>
        <w:lastRenderedPageBreak/>
        <w:t>verificará que el consentimiento fue dado o autorizado por la o el titular de la patria potestad o tutela sobre la niña, niño o adolescente.</w:t>
      </w:r>
    </w:p>
    <w:p w14:paraId="76309E5F" w14:textId="77777777" w:rsidR="003B4CE4" w:rsidRPr="00CA13A3" w:rsidRDefault="003B4CE4" w:rsidP="003B4CE4">
      <w:pPr>
        <w:shd w:val="clear" w:color="auto" w:fill="FFFFFF"/>
        <w:spacing w:before="240" w:after="240" w:line="360"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No se publicarán los datos personales de niñas, niños y adolescentes, a excepción del consentimiento de su representante y no sea contraria al interés superior de la niñez. Tratándose de obligaciones de transparencia o análogas, se publicará el nombre de la o el representante, acompañado del seudónimo del menor. </w:t>
      </w:r>
    </w:p>
    <w:p w14:paraId="76309E60" w14:textId="77777777" w:rsidR="003B4CE4" w:rsidRPr="00CA13A3" w:rsidRDefault="003B4CE4" w:rsidP="003B4CE4">
      <w:pPr>
        <w:shd w:val="clear" w:color="auto" w:fill="FFFFFF"/>
        <w:spacing w:before="240" w:after="240" w:line="360"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El responsable podrá limitar el acceso de la o el representante a los datos personales sensibles de adolescentes, en aquellos casos que se puedan afectar sus derechos humanos siempre y cuando no contravenga el interés superior.</w:t>
      </w:r>
    </w:p>
    <w:p w14:paraId="76309E61" w14:textId="77777777" w:rsidR="00741DB8" w:rsidRPr="00CA13A3" w:rsidRDefault="00741DB8" w:rsidP="00741DB8">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CA13A3">
        <w:rPr>
          <w:rFonts w:ascii="Palatino Linotype" w:hAnsi="Palatino Linotype"/>
          <w:color w:val="222222"/>
          <w:sz w:val="22"/>
          <w:szCs w:val="22"/>
        </w:rPr>
        <w:t>Asimismo, conviene señalar que los datos de menores requieren un tratamiento especial, esto a partir del interés superior del menos que es definido a través de la tesis jurisprudencial I.5o.C. J/16, con registro digital 162562, publicado en el Semanario Judicial de la Federación y su Gaceta. Tomo XXXIII, Marzo de 2011, página 2188, que lleva por rubro y texto:</w:t>
      </w:r>
    </w:p>
    <w:p w14:paraId="76309E62" w14:textId="77777777" w:rsidR="001A7F3E" w:rsidRPr="00CA13A3" w:rsidRDefault="00741DB8" w:rsidP="00741DB8">
      <w:pPr>
        <w:shd w:val="clear" w:color="auto" w:fill="FFFFFF"/>
        <w:spacing w:before="240" w:after="240" w:line="360" w:lineRule="auto"/>
        <w:ind w:left="851" w:right="822"/>
        <w:jc w:val="both"/>
        <w:rPr>
          <w:rFonts w:ascii="Palatino Linotype" w:hAnsi="Palatino Linotype"/>
          <w:i/>
          <w:color w:val="222222"/>
          <w:sz w:val="22"/>
          <w:szCs w:val="22"/>
        </w:rPr>
      </w:pPr>
      <w:r w:rsidRPr="00CA13A3">
        <w:rPr>
          <w:rFonts w:ascii="Palatino Linotype" w:hAnsi="Palatino Linotype"/>
          <w:b/>
          <w:i/>
          <w:color w:val="222222"/>
          <w:sz w:val="22"/>
          <w:szCs w:val="22"/>
        </w:rPr>
        <w:t>INTERÉS SUPERIOR DEL MENOR. SU CONCEPTO</w:t>
      </w:r>
      <w:r w:rsidRPr="00CA13A3">
        <w:rPr>
          <w:rFonts w:ascii="Palatino Linotype" w:hAnsi="Palatino Linotype"/>
          <w:i/>
          <w:color w:val="222222"/>
          <w:sz w:val="22"/>
          <w:szCs w:val="22"/>
        </w:rPr>
        <w:t xml:space="preserve">. Por interés superior del menor se entiende el catálogo de valores, principios, interpretaciones, acciones y procesos dirigidos a forjar un desarrollo humano integral y una vida digna, así como a generar las condiciones materiales que permitan a los menores vivir plenamente y alcanzar el máximo bienestar personal, </w:t>
      </w:r>
    </w:p>
    <w:p w14:paraId="76309E63" w14:textId="77777777" w:rsidR="00741DB8" w:rsidRPr="00CA13A3" w:rsidRDefault="00741DB8" w:rsidP="00741DB8">
      <w:pPr>
        <w:shd w:val="clear" w:color="auto" w:fill="FFFFFF"/>
        <w:spacing w:before="240" w:after="240" w:line="360" w:lineRule="auto"/>
        <w:ind w:left="851" w:right="822"/>
        <w:jc w:val="both"/>
        <w:rPr>
          <w:rFonts w:ascii="Palatino Linotype" w:hAnsi="Palatino Linotype"/>
          <w:b/>
          <w:i/>
          <w:color w:val="222222"/>
          <w:sz w:val="22"/>
          <w:szCs w:val="22"/>
          <w:u w:val="single"/>
        </w:rPr>
      </w:pPr>
      <w:proofErr w:type="gramStart"/>
      <w:r w:rsidRPr="00CA13A3">
        <w:rPr>
          <w:rFonts w:ascii="Palatino Linotype" w:hAnsi="Palatino Linotype"/>
          <w:i/>
          <w:color w:val="222222"/>
          <w:sz w:val="22"/>
          <w:szCs w:val="22"/>
        </w:rPr>
        <w:lastRenderedPageBreak/>
        <w:t>familiar</w:t>
      </w:r>
      <w:proofErr w:type="gramEnd"/>
      <w:r w:rsidRPr="00CA13A3">
        <w:rPr>
          <w:rFonts w:ascii="Palatino Linotype" w:hAnsi="Palatino Linotype"/>
          <w:i/>
          <w:color w:val="222222"/>
          <w:sz w:val="22"/>
          <w:szCs w:val="22"/>
        </w:rPr>
        <w:t xml:space="preserve"> y social posible, </w:t>
      </w:r>
      <w:r w:rsidRPr="00CA13A3">
        <w:rPr>
          <w:rFonts w:ascii="Palatino Linotype" w:hAnsi="Palatino Linotype"/>
          <w:b/>
          <w:i/>
          <w:color w:val="222222"/>
          <w:sz w:val="22"/>
          <w:szCs w:val="22"/>
          <w:u w:val="single"/>
        </w:rPr>
        <w:t>cuya protección debe promover y garantizar el Estado en el ejercicio de sus funciones legislativa, ejecutiva y judicial, por tratarse de un asunto de orden público e interés social.</w:t>
      </w:r>
    </w:p>
    <w:p w14:paraId="76309E64" w14:textId="77777777" w:rsidR="001A7F3E" w:rsidRPr="00CA13A3" w:rsidRDefault="001A7F3E" w:rsidP="001A7F3E">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CA13A3">
        <w:rPr>
          <w:rFonts w:ascii="Palatino Linotype" w:hAnsi="Palatino Linotype"/>
          <w:color w:val="222222"/>
          <w:sz w:val="22"/>
          <w:szCs w:val="22"/>
        </w:rPr>
        <w:t xml:space="preserve">Como se advierte en la tesis jurisprudencial, el Estado debe garantizar en todo momento la protección de los menores para garantizar un desarrollo integral y una vida digna, asimismo, conviene traer a contexto la tesis jurisprudencial I.5o.C. J/14 con registro digital 162563, publicado en el Semanario Judicial de la Federación y su Gaceta. Tomo XXXIII, Marzo de 2011, página 2187, que llevan por rubro y texto: </w:t>
      </w:r>
    </w:p>
    <w:p w14:paraId="76309E65" w14:textId="77777777" w:rsidR="001A7F3E" w:rsidRPr="00CA13A3" w:rsidRDefault="001A7F3E" w:rsidP="001A7F3E">
      <w:pPr>
        <w:shd w:val="clear" w:color="auto" w:fill="FFFFFF"/>
        <w:spacing w:before="240" w:after="240" w:line="360" w:lineRule="auto"/>
        <w:ind w:left="851" w:right="822"/>
        <w:jc w:val="both"/>
        <w:rPr>
          <w:rFonts w:ascii="Palatino Linotype" w:hAnsi="Palatino Linotype"/>
          <w:b/>
          <w:i/>
          <w:color w:val="222222"/>
          <w:sz w:val="22"/>
          <w:szCs w:val="22"/>
        </w:rPr>
      </w:pPr>
      <w:r w:rsidRPr="00CA13A3">
        <w:rPr>
          <w:rFonts w:ascii="Palatino Linotype" w:hAnsi="Palatino Linotype"/>
          <w:b/>
          <w:i/>
          <w:color w:val="222222"/>
          <w:sz w:val="22"/>
          <w:szCs w:val="22"/>
        </w:rPr>
        <w:t xml:space="preserve">INTERÉS SUPERIOR DEL MENOR. ALCANCES DE ESTE PRINCIPIO. </w:t>
      </w:r>
    </w:p>
    <w:p w14:paraId="76309E66" w14:textId="77777777" w:rsidR="001A7F3E" w:rsidRPr="00CA13A3" w:rsidRDefault="001A7F3E" w:rsidP="001A7F3E">
      <w:pPr>
        <w:shd w:val="clear" w:color="auto" w:fill="FFFFFF"/>
        <w:spacing w:before="240" w:after="240" w:line="360"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El sistema jurídico mexicano establece diversas prerrogativas de orden personal y social en favor de los menores, lo que se refleja tanto a nivel constitucional como en los tratados internacionales y en las leyes federales y locales, de donde deriva que el interés superior del menor implica que en todo momento las políticas, acciones y toma de decisiones vinculadas a esa etapa de la vida humana, se realicen de modo que, en primer término, se busque el beneficio directo del niño o niña a quien van dirigidos.</w:t>
      </w:r>
    </w:p>
    <w:p w14:paraId="76309E67" w14:textId="77777777" w:rsidR="001A7F3E" w:rsidRPr="00CA13A3" w:rsidRDefault="00827E42" w:rsidP="007A5084">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CA13A3">
        <w:rPr>
          <w:rFonts w:ascii="Palatino Linotype" w:hAnsi="Palatino Linotype"/>
          <w:color w:val="222222"/>
          <w:sz w:val="22"/>
          <w:szCs w:val="22"/>
        </w:rPr>
        <w:t xml:space="preserve">Como se puede advertir, el sistema jurídico mexicano busca en todo momento garantizar el interés superior de los menores, a través de diversas acciones que garanticen la protección a los menores, por lo que, la entrega de la información relacionada con los mismo, puede constituir una afectación a sus derechos. </w:t>
      </w:r>
    </w:p>
    <w:p w14:paraId="76309E68" w14:textId="77777777" w:rsidR="007A5084" w:rsidRPr="00CA13A3" w:rsidRDefault="003B4CE4" w:rsidP="007A5084">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CA13A3">
        <w:rPr>
          <w:rFonts w:ascii="Palatino Linotype" w:hAnsi="Palatino Linotype"/>
          <w:color w:val="222222"/>
          <w:sz w:val="22"/>
          <w:szCs w:val="22"/>
        </w:rPr>
        <w:lastRenderedPageBreak/>
        <w:t>B</w:t>
      </w:r>
      <w:r w:rsidR="007A5084" w:rsidRPr="00CA13A3">
        <w:rPr>
          <w:rFonts w:ascii="Palatino Linotype" w:hAnsi="Palatino Linotype"/>
          <w:sz w:val="22"/>
          <w:szCs w:val="22"/>
        </w:rPr>
        <w:t xml:space="preserve">ajo esa óptica, </w:t>
      </w:r>
      <w:r w:rsidR="00827E42" w:rsidRPr="00CA13A3">
        <w:rPr>
          <w:rFonts w:ascii="Palatino Linotype" w:hAnsi="Palatino Linotype"/>
          <w:sz w:val="22"/>
          <w:szCs w:val="22"/>
        </w:rPr>
        <w:t>la información relacionada con menore</w:t>
      </w:r>
      <w:r w:rsidR="007A5084" w:rsidRPr="00CA13A3">
        <w:rPr>
          <w:rFonts w:ascii="Palatino Linotype" w:hAnsi="Palatino Linotype"/>
          <w:sz w:val="22"/>
          <w:szCs w:val="22"/>
        </w:rPr>
        <w:t xml:space="preserve">s son susceptibles de clasificarse como totalmente confidenciales, de acuerdo con el artículo 116, párrafo primero de la Ley General de Transparencia y el artículo 143, fracción I de la Ley de Transparencia y Acceso a la Información Pública del Estado de México y Municipios, los cuales señalan lo siguiente: </w:t>
      </w:r>
    </w:p>
    <w:p w14:paraId="76309E69" w14:textId="77777777" w:rsidR="007A5084" w:rsidRPr="00CA13A3" w:rsidRDefault="007A5084" w:rsidP="007A5084">
      <w:pPr>
        <w:spacing w:line="360" w:lineRule="auto"/>
        <w:ind w:right="567"/>
        <w:contextualSpacing/>
        <w:jc w:val="both"/>
        <w:rPr>
          <w:rFonts w:ascii="Palatino Linotype" w:eastAsia="MS Mincho" w:hAnsi="Palatino Linotype"/>
          <w:sz w:val="22"/>
          <w:szCs w:val="22"/>
        </w:rPr>
      </w:pPr>
    </w:p>
    <w:p w14:paraId="76309E6A" w14:textId="77777777" w:rsidR="007A5084" w:rsidRPr="00CA13A3" w:rsidRDefault="007A5084" w:rsidP="007A5084">
      <w:pPr>
        <w:spacing w:line="360" w:lineRule="auto"/>
        <w:ind w:left="567" w:right="851"/>
        <w:jc w:val="both"/>
        <w:rPr>
          <w:rFonts w:ascii="Palatino Linotype" w:hAnsi="Palatino Linotype"/>
          <w:i/>
          <w:sz w:val="22"/>
          <w:szCs w:val="22"/>
        </w:rPr>
      </w:pPr>
      <w:r w:rsidRPr="00CA13A3">
        <w:rPr>
          <w:rFonts w:ascii="Palatino Linotype" w:hAnsi="Palatino Linotype"/>
          <w:bCs/>
          <w:i/>
          <w:sz w:val="22"/>
          <w:szCs w:val="22"/>
        </w:rPr>
        <w:t>“</w:t>
      </w:r>
      <w:r w:rsidRPr="00CA13A3">
        <w:rPr>
          <w:rFonts w:ascii="Palatino Linotype" w:hAnsi="Palatino Linotype"/>
          <w:b/>
          <w:bCs/>
          <w:i/>
          <w:sz w:val="22"/>
          <w:szCs w:val="22"/>
        </w:rPr>
        <w:t xml:space="preserve">Artículo 116. </w:t>
      </w:r>
      <w:r w:rsidRPr="00CA13A3">
        <w:rPr>
          <w:rFonts w:ascii="Palatino Linotype" w:hAnsi="Palatino Linotype"/>
          <w:i/>
          <w:sz w:val="22"/>
          <w:szCs w:val="22"/>
        </w:rPr>
        <w:t>Se considera información confidencial la que contiene datos personales concernientes a una persona identificada o identificable</w:t>
      </w:r>
      <w:r w:rsidRPr="00CA13A3">
        <w:rPr>
          <w:rFonts w:ascii="Palatino Linotype" w:hAnsi="Palatino Linotype"/>
          <w:bCs/>
          <w:i/>
          <w:sz w:val="22"/>
          <w:szCs w:val="22"/>
        </w:rPr>
        <w:t>…”</w:t>
      </w:r>
    </w:p>
    <w:p w14:paraId="76309E6B" w14:textId="77777777" w:rsidR="007A5084" w:rsidRPr="00CA13A3" w:rsidRDefault="007A5084" w:rsidP="007A5084">
      <w:pPr>
        <w:spacing w:line="360" w:lineRule="auto"/>
        <w:ind w:left="567" w:right="851"/>
        <w:jc w:val="both"/>
        <w:rPr>
          <w:rFonts w:ascii="Palatino Linotype" w:hAnsi="Palatino Linotype"/>
          <w:i/>
          <w:sz w:val="22"/>
          <w:szCs w:val="22"/>
        </w:rPr>
      </w:pPr>
    </w:p>
    <w:p w14:paraId="76309E6C" w14:textId="77777777" w:rsidR="007A5084" w:rsidRPr="00CA13A3" w:rsidRDefault="007A5084" w:rsidP="007A5084">
      <w:pPr>
        <w:spacing w:line="360" w:lineRule="auto"/>
        <w:ind w:left="567" w:right="851"/>
        <w:jc w:val="both"/>
        <w:rPr>
          <w:rFonts w:ascii="Palatino Linotype" w:hAnsi="Palatino Linotype"/>
          <w:i/>
          <w:sz w:val="22"/>
          <w:szCs w:val="22"/>
        </w:rPr>
      </w:pPr>
      <w:r w:rsidRPr="00CA13A3">
        <w:rPr>
          <w:rFonts w:ascii="Palatino Linotype" w:hAnsi="Palatino Linotype"/>
          <w:i/>
          <w:sz w:val="22"/>
          <w:szCs w:val="22"/>
        </w:rPr>
        <w:t>“</w:t>
      </w:r>
      <w:r w:rsidRPr="00CA13A3">
        <w:rPr>
          <w:rFonts w:ascii="Palatino Linotype" w:hAnsi="Palatino Linotype"/>
          <w:b/>
          <w:i/>
          <w:sz w:val="22"/>
          <w:szCs w:val="22"/>
        </w:rPr>
        <w:t xml:space="preserve">Artículo 143.- </w:t>
      </w:r>
      <w:r w:rsidRPr="00CA13A3">
        <w:rPr>
          <w:rFonts w:ascii="Palatino Linotype" w:hAnsi="Palatino Linotype"/>
          <w:i/>
          <w:sz w:val="22"/>
          <w:szCs w:val="22"/>
        </w:rPr>
        <w:t xml:space="preserve">Para los efectos de esta ley se considera información confidencial la clasificada como tal, de manera permanente por su naturaleza cuando: </w:t>
      </w:r>
    </w:p>
    <w:p w14:paraId="76309E6D" w14:textId="77777777" w:rsidR="007A5084" w:rsidRPr="00CA13A3" w:rsidRDefault="007A5084" w:rsidP="007A5084">
      <w:pPr>
        <w:spacing w:line="360" w:lineRule="auto"/>
        <w:ind w:left="567" w:right="851"/>
        <w:jc w:val="both"/>
        <w:rPr>
          <w:rFonts w:ascii="Palatino Linotype" w:hAnsi="Palatino Linotype"/>
          <w:i/>
          <w:sz w:val="22"/>
          <w:szCs w:val="22"/>
        </w:rPr>
      </w:pPr>
      <w:r w:rsidRPr="00CA13A3">
        <w:rPr>
          <w:rFonts w:ascii="Palatino Linotype" w:hAnsi="Palatino Linotype"/>
          <w:b/>
          <w:i/>
          <w:sz w:val="22"/>
          <w:szCs w:val="22"/>
        </w:rPr>
        <w:t>I.</w:t>
      </w:r>
      <w:r w:rsidRPr="00CA13A3">
        <w:rPr>
          <w:rFonts w:ascii="Palatino Linotype" w:hAnsi="Palatino Linotype"/>
          <w:i/>
          <w:sz w:val="22"/>
          <w:szCs w:val="22"/>
        </w:rPr>
        <w:t xml:space="preserve"> Se refiera a la información privada y los datos personales concernientes a una persona física o </w:t>
      </w:r>
      <w:proofErr w:type="gramStart"/>
      <w:r w:rsidRPr="00CA13A3">
        <w:rPr>
          <w:rFonts w:ascii="Palatino Linotype" w:hAnsi="Palatino Linotype"/>
          <w:i/>
          <w:sz w:val="22"/>
          <w:szCs w:val="22"/>
        </w:rPr>
        <w:t>jurídico</w:t>
      </w:r>
      <w:proofErr w:type="gramEnd"/>
      <w:r w:rsidRPr="00CA13A3">
        <w:rPr>
          <w:rFonts w:ascii="Palatino Linotype" w:hAnsi="Palatino Linotype"/>
          <w:i/>
          <w:sz w:val="22"/>
          <w:szCs w:val="22"/>
        </w:rPr>
        <w:t xml:space="preserve"> colectiva identificada o identificable</w:t>
      </w:r>
    </w:p>
    <w:p w14:paraId="76309E6E" w14:textId="77777777" w:rsidR="007A5084" w:rsidRPr="00CA13A3" w:rsidRDefault="007A5084" w:rsidP="007A5084">
      <w:pPr>
        <w:spacing w:line="360" w:lineRule="auto"/>
        <w:ind w:left="567" w:right="851"/>
        <w:jc w:val="both"/>
        <w:rPr>
          <w:rFonts w:ascii="Palatino Linotype" w:hAnsi="Palatino Linotype"/>
          <w:i/>
          <w:sz w:val="22"/>
          <w:szCs w:val="22"/>
        </w:rPr>
      </w:pPr>
      <w:r w:rsidRPr="00CA13A3">
        <w:rPr>
          <w:rFonts w:ascii="Palatino Linotype" w:hAnsi="Palatino Linotype"/>
          <w:i/>
          <w:sz w:val="22"/>
          <w:szCs w:val="22"/>
        </w:rPr>
        <w:t>…</w:t>
      </w:r>
      <w:proofErr w:type="gramStart"/>
      <w:r w:rsidRPr="00CA13A3">
        <w:rPr>
          <w:rFonts w:ascii="Palatino Linotype" w:hAnsi="Palatino Linotype"/>
          <w:i/>
          <w:sz w:val="22"/>
          <w:szCs w:val="22"/>
        </w:rPr>
        <w:t>”(</w:t>
      </w:r>
      <w:proofErr w:type="gramEnd"/>
      <w:r w:rsidRPr="00CA13A3">
        <w:rPr>
          <w:rFonts w:ascii="Palatino Linotype" w:hAnsi="Palatino Linotype"/>
          <w:i/>
          <w:sz w:val="22"/>
          <w:szCs w:val="22"/>
        </w:rPr>
        <w:t>Sic)</w:t>
      </w:r>
    </w:p>
    <w:p w14:paraId="76309E6F" w14:textId="77777777" w:rsidR="007A5084" w:rsidRPr="00CA13A3" w:rsidRDefault="007A5084" w:rsidP="007A5084">
      <w:pPr>
        <w:spacing w:line="360" w:lineRule="auto"/>
        <w:ind w:right="49"/>
        <w:contextualSpacing/>
        <w:jc w:val="both"/>
        <w:rPr>
          <w:rFonts w:ascii="Palatino Linotype" w:eastAsia="MS Mincho" w:hAnsi="Palatino Linotype"/>
          <w:sz w:val="22"/>
          <w:szCs w:val="22"/>
        </w:rPr>
      </w:pPr>
    </w:p>
    <w:p w14:paraId="76309E70" w14:textId="77777777" w:rsidR="00630861" w:rsidRPr="00CA13A3" w:rsidRDefault="007A5084" w:rsidP="003C10E9">
      <w:pPr>
        <w:numPr>
          <w:ilvl w:val="0"/>
          <w:numId w:val="1"/>
        </w:numPr>
        <w:spacing w:line="360" w:lineRule="auto"/>
        <w:ind w:left="0" w:right="49" w:firstLine="0"/>
        <w:contextualSpacing/>
        <w:jc w:val="both"/>
        <w:rPr>
          <w:rFonts w:ascii="Palatino Linotype" w:eastAsia="MS Mincho" w:hAnsi="Palatino Linotype"/>
          <w:sz w:val="22"/>
          <w:szCs w:val="22"/>
        </w:rPr>
      </w:pPr>
      <w:r w:rsidRPr="00CA13A3">
        <w:rPr>
          <w:rFonts w:ascii="Palatino Linotype" w:eastAsia="MS Mincho" w:hAnsi="Palatino Linotype"/>
          <w:sz w:val="22"/>
          <w:szCs w:val="22"/>
        </w:rPr>
        <w:t>No pasa desapercibido comentar que este Instituto no conside</w:t>
      </w:r>
      <w:r w:rsidR="003C10E9" w:rsidRPr="00CA13A3">
        <w:rPr>
          <w:rFonts w:ascii="Palatino Linotype" w:eastAsia="MS Mincho" w:hAnsi="Palatino Linotype"/>
          <w:sz w:val="22"/>
          <w:szCs w:val="22"/>
        </w:rPr>
        <w:t xml:space="preserve">ra procedente la entrega de la información, </w:t>
      </w:r>
      <w:r w:rsidRPr="00CA13A3">
        <w:rPr>
          <w:rFonts w:ascii="Palatino Linotype" w:eastAsia="MS Mincho" w:hAnsi="Palatino Linotype"/>
          <w:sz w:val="22"/>
          <w:szCs w:val="22"/>
        </w:rPr>
        <w:t xml:space="preserve">por esta situación, debe </w:t>
      </w:r>
      <w:r w:rsidRPr="00CA13A3">
        <w:rPr>
          <w:rFonts w:ascii="Palatino Linotype" w:eastAsia="MS Mincho" w:hAnsi="Palatino Linotype"/>
          <w:sz w:val="22"/>
          <w:szCs w:val="22"/>
          <w:lang w:val="es-ES"/>
        </w:rPr>
        <w:t xml:space="preserve">considerarse información confidencial en términos de los artículos 143, fracción I de la Ley de Transparencia del Estado de México y Municipios y </w:t>
      </w:r>
      <w:r w:rsidRPr="00CA13A3">
        <w:rPr>
          <w:rFonts w:ascii="Palatino Linotype" w:eastAsia="MS Mincho" w:hAnsi="Palatino Linotype"/>
          <w:bCs/>
          <w:sz w:val="22"/>
          <w:szCs w:val="22"/>
          <w:lang w:val="es-ES"/>
        </w:rPr>
        <w:t xml:space="preserve">4, fracciones XI y XII de </w:t>
      </w:r>
      <w:r w:rsidRPr="00CA13A3">
        <w:rPr>
          <w:rFonts w:ascii="Palatino Linotype" w:eastAsia="MS Mincho" w:hAnsi="Palatino Linotype"/>
          <w:sz w:val="22"/>
          <w:szCs w:val="22"/>
          <w:lang w:val="es-ES"/>
        </w:rPr>
        <w:t>la Ley de Protección de Datos Personales en Posesión de Sujetos Obligados de</w:t>
      </w:r>
      <w:r w:rsidR="00630861" w:rsidRPr="00CA13A3">
        <w:rPr>
          <w:rFonts w:ascii="Palatino Linotype" w:eastAsia="MS Mincho" w:hAnsi="Palatino Linotype"/>
          <w:sz w:val="22"/>
          <w:szCs w:val="22"/>
          <w:lang w:val="es-ES"/>
        </w:rPr>
        <w:t>l Estado de México y Municipios que establece:</w:t>
      </w:r>
    </w:p>
    <w:p w14:paraId="76309E71" w14:textId="77777777" w:rsidR="00630861" w:rsidRPr="00CA13A3" w:rsidRDefault="00630861" w:rsidP="00630861">
      <w:pPr>
        <w:spacing w:line="360" w:lineRule="auto"/>
        <w:ind w:right="49"/>
        <w:contextualSpacing/>
        <w:jc w:val="both"/>
        <w:rPr>
          <w:rFonts w:ascii="Palatino Linotype" w:eastAsia="MS Mincho" w:hAnsi="Palatino Linotype"/>
          <w:sz w:val="22"/>
          <w:szCs w:val="22"/>
          <w:lang w:val="es-ES"/>
        </w:rPr>
      </w:pPr>
    </w:p>
    <w:p w14:paraId="76309E72" w14:textId="77777777" w:rsidR="00630861" w:rsidRPr="00CA13A3" w:rsidRDefault="00630861" w:rsidP="00630861">
      <w:pPr>
        <w:spacing w:line="360" w:lineRule="auto"/>
        <w:ind w:left="851" w:right="964"/>
        <w:contextualSpacing/>
        <w:jc w:val="both"/>
        <w:rPr>
          <w:rFonts w:ascii="Palatino Linotype" w:eastAsia="MS Mincho" w:hAnsi="Palatino Linotype"/>
          <w:i/>
          <w:sz w:val="22"/>
          <w:szCs w:val="22"/>
        </w:rPr>
      </w:pPr>
      <w:r w:rsidRPr="00CA13A3">
        <w:rPr>
          <w:rFonts w:ascii="Palatino Linotype" w:eastAsia="MS Mincho" w:hAnsi="Palatino Linotype"/>
          <w:i/>
          <w:sz w:val="22"/>
          <w:szCs w:val="22"/>
        </w:rPr>
        <w:t>“Artículo 4. Para los efectos de esta Ley se entenderá por:</w:t>
      </w:r>
    </w:p>
    <w:p w14:paraId="76309E73" w14:textId="77777777" w:rsidR="00630861" w:rsidRPr="00CA13A3" w:rsidRDefault="00630861" w:rsidP="00630861">
      <w:pPr>
        <w:spacing w:line="360" w:lineRule="auto"/>
        <w:ind w:left="851" w:right="964"/>
        <w:contextualSpacing/>
        <w:jc w:val="both"/>
        <w:rPr>
          <w:rFonts w:ascii="Palatino Linotype" w:eastAsia="MS Mincho" w:hAnsi="Palatino Linotype"/>
          <w:i/>
          <w:sz w:val="22"/>
          <w:szCs w:val="22"/>
          <w:lang w:val="es-ES"/>
        </w:rPr>
      </w:pPr>
      <w:r w:rsidRPr="00CA13A3">
        <w:rPr>
          <w:rFonts w:ascii="Palatino Linotype" w:eastAsia="MS Mincho" w:hAnsi="Palatino Linotype"/>
          <w:i/>
          <w:sz w:val="22"/>
          <w:szCs w:val="22"/>
        </w:rPr>
        <w:t>…</w:t>
      </w:r>
    </w:p>
    <w:p w14:paraId="76309E74" w14:textId="77777777" w:rsidR="00630861" w:rsidRPr="00CA13A3" w:rsidRDefault="00630861" w:rsidP="00630861">
      <w:pPr>
        <w:spacing w:line="360" w:lineRule="auto"/>
        <w:ind w:left="851" w:right="964"/>
        <w:contextualSpacing/>
        <w:jc w:val="both"/>
        <w:rPr>
          <w:rFonts w:ascii="Palatino Linotype" w:hAnsi="Palatino Linotype"/>
          <w:i/>
          <w:sz w:val="22"/>
          <w:szCs w:val="22"/>
        </w:rPr>
      </w:pPr>
      <w:r w:rsidRPr="00CA13A3">
        <w:rPr>
          <w:rFonts w:ascii="Palatino Linotype" w:hAnsi="Palatino Linotype"/>
          <w:i/>
          <w:sz w:val="22"/>
          <w:szCs w:val="22"/>
        </w:rPr>
        <w:lastRenderedPageBreak/>
        <w:t xml:space="preserve">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 </w:t>
      </w:r>
    </w:p>
    <w:p w14:paraId="76309E75" w14:textId="77777777" w:rsidR="00630861" w:rsidRPr="00CA13A3" w:rsidRDefault="00630861" w:rsidP="00630861">
      <w:pPr>
        <w:spacing w:line="360" w:lineRule="auto"/>
        <w:ind w:left="851" w:right="964"/>
        <w:contextualSpacing/>
        <w:jc w:val="both"/>
        <w:rPr>
          <w:rFonts w:ascii="Palatino Linotype" w:hAnsi="Palatino Linotype"/>
          <w:i/>
          <w:sz w:val="22"/>
          <w:szCs w:val="22"/>
        </w:rPr>
      </w:pPr>
      <w:r w:rsidRPr="00CA13A3">
        <w:rPr>
          <w:rFonts w:ascii="Palatino Linotype" w:hAnsi="Palatino Linotype"/>
          <w:i/>
          <w:sz w:val="22"/>
          <w:szCs w:val="22"/>
        </w:rPr>
        <w:t>XII. Datos personales sensibles: a las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w:t>
      </w:r>
    </w:p>
    <w:p w14:paraId="76309E76" w14:textId="77777777" w:rsidR="00630861" w:rsidRPr="00CA13A3" w:rsidRDefault="00630861" w:rsidP="00630861">
      <w:pPr>
        <w:spacing w:line="360" w:lineRule="auto"/>
        <w:ind w:left="851" w:right="964"/>
        <w:contextualSpacing/>
        <w:jc w:val="both"/>
        <w:rPr>
          <w:rFonts w:ascii="Palatino Linotype" w:eastAsia="MS Mincho" w:hAnsi="Palatino Linotype"/>
          <w:i/>
          <w:sz w:val="22"/>
          <w:szCs w:val="22"/>
        </w:rPr>
      </w:pPr>
      <w:r w:rsidRPr="00CA13A3">
        <w:rPr>
          <w:rFonts w:ascii="Palatino Linotype" w:hAnsi="Palatino Linotype"/>
          <w:i/>
          <w:sz w:val="22"/>
          <w:szCs w:val="22"/>
        </w:rPr>
        <w:t>…”</w:t>
      </w:r>
    </w:p>
    <w:p w14:paraId="76309E77" w14:textId="77777777" w:rsidR="00630861" w:rsidRPr="00CA13A3" w:rsidRDefault="00630861" w:rsidP="00630861">
      <w:pPr>
        <w:spacing w:line="360" w:lineRule="auto"/>
        <w:ind w:right="49"/>
        <w:contextualSpacing/>
        <w:jc w:val="both"/>
        <w:rPr>
          <w:rFonts w:ascii="Palatino Linotype" w:eastAsia="MS Mincho" w:hAnsi="Palatino Linotype"/>
          <w:sz w:val="22"/>
          <w:szCs w:val="22"/>
        </w:rPr>
      </w:pPr>
    </w:p>
    <w:p w14:paraId="76309E78" w14:textId="77777777" w:rsidR="007A5084" w:rsidRPr="00CA13A3" w:rsidRDefault="00630861" w:rsidP="003C10E9">
      <w:pPr>
        <w:numPr>
          <w:ilvl w:val="0"/>
          <w:numId w:val="1"/>
        </w:numPr>
        <w:spacing w:line="360" w:lineRule="auto"/>
        <w:ind w:left="0" w:right="49" w:firstLine="0"/>
        <w:contextualSpacing/>
        <w:jc w:val="both"/>
        <w:rPr>
          <w:rFonts w:ascii="Palatino Linotype" w:eastAsia="MS Mincho" w:hAnsi="Palatino Linotype"/>
          <w:sz w:val="22"/>
          <w:szCs w:val="22"/>
        </w:rPr>
      </w:pPr>
      <w:r w:rsidRPr="00CA13A3">
        <w:rPr>
          <w:rFonts w:ascii="Palatino Linotype" w:eastAsia="MS Mincho" w:hAnsi="Palatino Linotype"/>
          <w:sz w:val="22"/>
          <w:szCs w:val="22"/>
          <w:lang w:val="es-ES"/>
        </w:rPr>
        <w:t xml:space="preserve"> R</w:t>
      </w:r>
      <w:r w:rsidR="007A5084" w:rsidRPr="00CA13A3">
        <w:rPr>
          <w:rFonts w:ascii="Palatino Linotype" w:eastAsia="MS Mincho" w:hAnsi="Palatino Linotype"/>
          <w:sz w:val="22"/>
          <w:szCs w:val="22"/>
          <w:lang w:val="es-ES"/>
        </w:rPr>
        <w:t xml:space="preserve">azón por la cual con la finalidad de garantizar el pleno ejercicio del derecho de acceso a la información pública, lo dable es ordenar el Acuerdo del Comité de Transparencia por medio del cual clasifique como confidencial el </w:t>
      </w:r>
      <w:r w:rsidR="003C10E9" w:rsidRPr="00CA13A3">
        <w:rPr>
          <w:rFonts w:ascii="Palatino Linotype" w:eastAsia="MS Mincho" w:hAnsi="Palatino Linotype"/>
          <w:sz w:val="22"/>
          <w:szCs w:val="22"/>
          <w:lang w:val="es-ES"/>
        </w:rPr>
        <w:t xml:space="preserve">pronunciamiento de sobre la existencia o no de la información relacionada con la menor. </w:t>
      </w:r>
      <w:r w:rsidR="007A5084" w:rsidRPr="00CA13A3">
        <w:rPr>
          <w:rFonts w:ascii="Palatino Linotype" w:eastAsia="MS Mincho" w:hAnsi="Palatino Linotype"/>
          <w:sz w:val="22"/>
          <w:szCs w:val="22"/>
          <w:lang w:val="es-ES"/>
        </w:rPr>
        <w:t xml:space="preserve"> </w:t>
      </w:r>
    </w:p>
    <w:p w14:paraId="76309E79" w14:textId="77777777" w:rsidR="007A5084" w:rsidRPr="00CA13A3" w:rsidRDefault="007A5084" w:rsidP="007A5084">
      <w:pPr>
        <w:spacing w:line="360" w:lineRule="auto"/>
        <w:ind w:right="49"/>
        <w:contextualSpacing/>
        <w:jc w:val="both"/>
        <w:rPr>
          <w:rFonts w:ascii="Palatino Linotype" w:eastAsia="MS Mincho" w:hAnsi="Palatino Linotype"/>
          <w:sz w:val="22"/>
          <w:szCs w:val="22"/>
        </w:rPr>
      </w:pPr>
    </w:p>
    <w:p w14:paraId="76309E7A" w14:textId="77777777" w:rsidR="007A5084" w:rsidRPr="00CA13A3" w:rsidRDefault="007A5084" w:rsidP="007A5084">
      <w:pPr>
        <w:numPr>
          <w:ilvl w:val="0"/>
          <w:numId w:val="1"/>
        </w:numPr>
        <w:spacing w:line="360" w:lineRule="auto"/>
        <w:ind w:left="0" w:right="49" w:firstLine="0"/>
        <w:contextualSpacing/>
        <w:jc w:val="both"/>
        <w:rPr>
          <w:rFonts w:ascii="Palatino Linotype" w:eastAsia="MS Mincho" w:hAnsi="Palatino Linotype"/>
          <w:sz w:val="22"/>
          <w:szCs w:val="22"/>
        </w:rPr>
      </w:pPr>
      <w:r w:rsidRPr="00CA13A3">
        <w:rPr>
          <w:rFonts w:ascii="Palatino Linotype" w:hAnsi="Palatino Linotype" w:cs="Arial"/>
          <w:sz w:val="22"/>
          <w:szCs w:val="22"/>
        </w:rPr>
        <w:t xml:space="preserve">Lo anterior, es así en virtud de que no se debe perder vista que </w:t>
      </w:r>
      <w:r w:rsidRPr="00CA13A3">
        <w:rPr>
          <w:rFonts w:ascii="Palatino Linotype" w:hAnsi="Palatino Linotype"/>
          <w:sz w:val="22"/>
          <w:szCs w:val="22"/>
          <w:lang w:eastAsia="es-MX"/>
        </w:rPr>
        <w:t xml:space="preserve">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w:t>
      </w:r>
      <w:r w:rsidRPr="00CA13A3">
        <w:rPr>
          <w:rFonts w:ascii="Palatino Linotype" w:hAnsi="Palatino Linotype"/>
          <w:sz w:val="22"/>
          <w:szCs w:val="22"/>
          <w:lang w:eastAsia="es-MX"/>
        </w:rPr>
        <w:lastRenderedPageBreak/>
        <w:t>conferidas, para lo cual se deberá observar lo establecido en los artículos 3 fracciones IX, XX, XXI, XXXII y XLV; 6, 49 fracción VIII, 91, 137, 143, fracción I, de la Ley de Transparencia y Acceso a la Información Pública del Estado de México y Municipios vigente que a continuación se insertan:</w:t>
      </w:r>
    </w:p>
    <w:p w14:paraId="76309E7B" w14:textId="77777777" w:rsidR="007A5084" w:rsidRPr="00CA13A3" w:rsidRDefault="007A5084" w:rsidP="007A5084">
      <w:pPr>
        <w:spacing w:line="360" w:lineRule="auto"/>
        <w:ind w:right="49"/>
        <w:contextualSpacing/>
        <w:jc w:val="both"/>
        <w:rPr>
          <w:rFonts w:ascii="Palatino Linotype" w:eastAsia="MS Mincho" w:hAnsi="Palatino Linotype"/>
          <w:sz w:val="22"/>
          <w:szCs w:val="22"/>
        </w:rPr>
      </w:pPr>
    </w:p>
    <w:p w14:paraId="76309E7C"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sz w:val="22"/>
          <w:szCs w:val="22"/>
          <w:lang w:eastAsia="es-MX"/>
        </w:rPr>
      </w:pPr>
      <w:r w:rsidRPr="00CA13A3">
        <w:rPr>
          <w:rFonts w:ascii="Palatino Linotype" w:hAnsi="Palatino Linotype"/>
          <w:b/>
          <w:bCs/>
          <w:i/>
          <w:iCs/>
          <w:sz w:val="22"/>
          <w:szCs w:val="22"/>
          <w:lang w:eastAsia="es-MX"/>
        </w:rPr>
        <w:t>“Artículo 3. Para los efectos de la presente Ley se entenderá por:</w:t>
      </w:r>
    </w:p>
    <w:p w14:paraId="76309E7D"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sz w:val="22"/>
          <w:szCs w:val="22"/>
          <w:lang w:eastAsia="es-MX"/>
        </w:rPr>
      </w:pPr>
      <w:r w:rsidRPr="00CA13A3">
        <w:rPr>
          <w:rFonts w:ascii="Palatino Linotype" w:hAnsi="Palatino Linotype"/>
          <w:bCs/>
          <w:i/>
          <w:iCs/>
          <w:sz w:val="22"/>
          <w:szCs w:val="22"/>
          <w:lang w:eastAsia="es-MX"/>
        </w:rPr>
        <w:t>…</w:t>
      </w:r>
    </w:p>
    <w:p w14:paraId="76309E7E"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sz w:val="22"/>
          <w:szCs w:val="22"/>
          <w:lang w:eastAsia="es-MX"/>
        </w:rPr>
      </w:pPr>
      <w:r w:rsidRPr="00CA13A3">
        <w:rPr>
          <w:rFonts w:ascii="Palatino Linotype" w:hAnsi="Palatino Linotype"/>
          <w:b/>
          <w:bCs/>
          <w:i/>
          <w:iCs/>
          <w:sz w:val="22"/>
          <w:szCs w:val="22"/>
          <w:lang w:eastAsia="es-MX"/>
        </w:rPr>
        <w:t>IX. Datos personales:</w:t>
      </w:r>
      <w:r w:rsidRPr="00CA13A3">
        <w:rPr>
          <w:rFonts w:ascii="Palatino Linotype" w:hAnsi="Palatino Linotype"/>
          <w:i/>
          <w:iCs/>
          <w:sz w:val="22"/>
          <w:szCs w:val="22"/>
          <w:lang w:eastAsia="es-MX"/>
        </w:rPr>
        <w:t xml:space="preserve"> La información concerniente a una persona, identificada o identificable según lo dispuesto por la Ley de Protección de Datos Personales del Estado de México;</w:t>
      </w:r>
    </w:p>
    <w:p w14:paraId="76309E7F"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bCs/>
          <w:i/>
          <w:iCs/>
          <w:sz w:val="22"/>
          <w:szCs w:val="22"/>
          <w:lang w:eastAsia="es-MX"/>
        </w:rPr>
      </w:pPr>
      <w:r w:rsidRPr="00CA13A3">
        <w:rPr>
          <w:rFonts w:ascii="Palatino Linotype" w:hAnsi="Palatino Linotype"/>
          <w:bCs/>
          <w:i/>
          <w:iCs/>
          <w:sz w:val="22"/>
          <w:szCs w:val="22"/>
          <w:lang w:eastAsia="es-MX"/>
        </w:rPr>
        <w:t>…</w:t>
      </w:r>
    </w:p>
    <w:p w14:paraId="76309E80"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b/>
          <w:bCs/>
          <w:i/>
          <w:iCs/>
          <w:sz w:val="22"/>
          <w:szCs w:val="22"/>
          <w:lang w:eastAsia="es-MX"/>
        </w:rPr>
      </w:pPr>
    </w:p>
    <w:p w14:paraId="76309E81"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i/>
          <w:iCs/>
          <w:sz w:val="22"/>
          <w:szCs w:val="22"/>
          <w:lang w:eastAsia="es-MX"/>
        </w:rPr>
      </w:pPr>
      <w:r w:rsidRPr="00CA13A3">
        <w:rPr>
          <w:rFonts w:ascii="Palatino Linotype" w:hAnsi="Palatino Linotype"/>
          <w:b/>
          <w:bCs/>
          <w:i/>
          <w:iCs/>
          <w:sz w:val="22"/>
          <w:szCs w:val="22"/>
          <w:lang w:eastAsia="es-MX"/>
        </w:rPr>
        <w:t>XX. Información clasificada:</w:t>
      </w:r>
      <w:r w:rsidRPr="00CA13A3">
        <w:rPr>
          <w:rFonts w:ascii="Palatino Linotype" w:hAnsi="Palatino Linotype"/>
          <w:i/>
          <w:iCs/>
          <w:sz w:val="22"/>
          <w:szCs w:val="22"/>
          <w:lang w:eastAsia="es-MX"/>
        </w:rPr>
        <w:t xml:space="preserve"> Aquella considerada por la presente Ley como reservada o confidencial;</w:t>
      </w:r>
    </w:p>
    <w:p w14:paraId="76309E82"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b/>
          <w:bCs/>
          <w:i/>
          <w:iCs/>
          <w:sz w:val="22"/>
          <w:szCs w:val="22"/>
          <w:lang w:eastAsia="es-MX"/>
        </w:rPr>
      </w:pPr>
    </w:p>
    <w:p w14:paraId="76309E83"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i/>
          <w:iCs/>
          <w:sz w:val="22"/>
          <w:szCs w:val="22"/>
          <w:lang w:eastAsia="es-MX"/>
        </w:rPr>
      </w:pPr>
      <w:r w:rsidRPr="00CA13A3">
        <w:rPr>
          <w:rFonts w:ascii="Palatino Linotype" w:hAnsi="Palatino Linotype"/>
          <w:b/>
          <w:bCs/>
          <w:i/>
          <w:iCs/>
          <w:sz w:val="22"/>
          <w:szCs w:val="22"/>
          <w:lang w:eastAsia="es-MX"/>
        </w:rPr>
        <w:t>XXI. Información confidencial:</w:t>
      </w:r>
      <w:r w:rsidRPr="00CA13A3">
        <w:rPr>
          <w:rFonts w:ascii="Palatino Linotype" w:hAnsi="Palatino Linotype"/>
          <w:i/>
          <w:iCs/>
          <w:sz w:val="22"/>
          <w:szCs w:val="22"/>
          <w:lang w:eastAsia="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6309E84"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bCs/>
          <w:i/>
          <w:iCs/>
          <w:sz w:val="22"/>
          <w:szCs w:val="22"/>
          <w:lang w:eastAsia="es-MX"/>
        </w:rPr>
      </w:pPr>
      <w:r w:rsidRPr="00CA13A3">
        <w:rPr>
          <w:rFonts w:ascii="Palatino Linotype" w:hAnsi="Palatino Linotype"/>
          <w:bCs/>
          <w:i/>
          <w:iCs/>
          <w:sz w:val="22"/>
          <w:szCs w:val="22"/>
          <w:lang w:eastAsia="es-MX"/>
        </w:rPr>
        <w:t>…</w:t>
      </w:r>
    </w:p>
    <w:p w14:paraId="76309E85"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b/>
          <w:bCs/>
          <w:i/>
          <w:iCs/>
          <w:sz w:val="22"/>
          <w:szCs w:val="22"/>
          <w:lang w:eastAsia="es-MX"/>
        </w:rPr>
      </w:pPr>
    </w:p>
    <w:p w14:paraId="76309E86"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i/>
          <w:iCs/>
          <w:sz w:val="22"/>
          <w:szCs w:val="22"/>
          <w:lang w:eastAsia="es-MX"/>
        </w:rPr>
      </w:pPr>
      <w:r w:rsidRPr="00CA13A3">
        <w:rPr>
          <w:rFonts w:ascii="Palatino Linotype" w:hAnsi="Palatino Linotype"/>
          <w:b/>
          <w:bCs/>
          <w:i/>
          <w:iCs/>
          <w:sz w:val="22"/>
          <w:szCs w:val="22"/>
          <w:lang w:eastAsia="es-MX"/>
        </w:rPr>
        <w:t>XXXII. Protección de Datos Personales:</w:t>
      </w:r>
      <w:r w:rsidRPr="00CA13A3">
        <w:rPr>
          <w:rFonts w:ascii="Palatino Linotype" w:hAnsi="Palatino Linotype"/>
          <w:i/>
          <w:iCs/>
          <w:sz w:val="22"/>
          <w:szCs w:val="22"/>
          <w:lang w:eastAsia="es-MX"/>
        </w:rPr>
        <w:t xml:space="preserve"> Derecho humano que tutela la privacidad de datos personales en poder de los sujetos obligados y sujetos particulares;</w:t>
      </w:r>
    </w:p>
    <w:p w14:paraId="76309E87"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i/>
          <w:iCs/>
          <w:sz w:val="22"/>
          <w:szCs w:val="22"/>
          <w:lang w:eastAsia="es-MX"/>
        </w:rPr>
      </w:pPr>
      <w:r w:rsidRPr="00CA13A3">
        <w:rPr>
          <w:rFonts w:ascii="Palatino Linotype" w:hAnsi="Palatino Linotype"/>
          <w:i/>
          <w:iCs/>
          <w:sz w:val="22"/>
          <w:szCs w:val="22"/>
          <w:lang w:eastAsia="es-MX"/>
        </w:rPr>
        <w:t>…</w:t>
      </w:r>
    </w:p>
    <w:p w14:paraId="76309E88"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i/>
          <w:iCs/>
          <w:sz w:val="22"/>
          <w:szCs w:val="22"/>
          <w:lang w:eastAsia="es-MX"/>
        </w:rPr>
      </w:pPr>
    </w:p>
    <w:p w14:paraId="76309E89"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sz w:val="22"/>
          <w:szCs w:val="22"/>
          <w:lang w:eastAsia="es-MX"/>
        </w:rPr>
      </w:pPr>
      <w:r w:rsidRPr="00CA13A3">
        <w:rPr>
          <w:rFonts w:ascii="Palatino Linotype" w:hAnsi="Palatino Linotype"/>
          <w:b/>
          <w:bCs/>
          <w:i/>
          <w:iCs/>
          <w:sz w:val="22"/>
          <w:szCs w:val="22"/>
          <w:lang w:eastAsia="es-MX"/>
        </w:rPr>
        <w:t>XLV. Versión pública</w:t>
      </w:r>
      <w:r w:rsidRPr="00CA13A3">
        <w:rPr>
          <w:rFonts w:ascii="Palatino Linotype" w:hAnsi="Palatino Linotype"/>
          <w:i/>
          <w:iCs/>
          <w:sz w:val="22"/>
          <w:szCs w:val="22"/>
          <w:lang w:eastAsia="es-MX"/>
        </w:rPr>
        <w:t>: Documento en el que se elimine, suprime o borra la información clasificada como reservada o confidencial para permitir su acceso.</w:t>
      </w:r>
    </w:p>
    <w:p w14:paraId="76309E8A"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b/>
          <w:bCs/>
          <w:i/>
          <w:iCs/>
          <w:sz w:val="22"/>
          <w:szCs w:val="22"/>
          <w:lang w:eastAsia="es-MX"/>
        </w:rPr>
      </w:pPr>
    </w:p>
    <w:p w14:paraId="76309E8B"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sz w:val="22"/>
          <w:szCs w:val="22"/>
          <w:lang w:eastAsia="es-MX"/>
        </w:rPr>
      </w:pPr>
      <w:r w:rsidRPr="00CA13A3">
        <w:rPr>
          <w:rFonts w:ascii="Palatino Linotype" w:hAnsi="Palatino Linotype"/>
          <w:b/>
          <w:bCs/>
          <w:i/>
          <w:iCs/>
          <w:sz w:val="22"/>
          <w:szCs w:val="22"/>
          <w:lang w:eastAsia="es-MX"/>
        </w:rPr>
        <w:lastRenderedPageBreak/>
        <w:t>Artículo 6.</w:t>
      </w:r>
      <w:r w:rsidRPr="00CA13A3">
        <w:rPr>
          <w:rFonts w:ascii="Palatino Linotype" w:hAnsi="Palatino Linotype"/>
          <w:i/>
          <w:iCs/>
          <w:sz w:val="22"/>
          <w:szCs w:val="22"/>
          <w:lang w:eastAsia="es-MX"/>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6309E8C"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b/>
          <w:bCs/>
          <w:i/>
          <w:iCs/>
          <w:sz w:val="22"/>
          <w:szCs w:val="22"/>
          <w:lang w:eastAsia="es-MX"/>
        </w:rPr>
      </w:pPr>
    </w:p>
    <w:p w14:paraId="76309E8D"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i/>
          <w:iCs/>
          <w:sz w:val="22"/>
          <w:szCs w:val="22"/>
          <w:lang w:eastAsia="es-MX"/>
        </w:rPr>
      </w:pPr>
      <w:r w:rsidRPr="00CA13A3">
        <w:rPr>
          <w:rFonts w:ascii="Palatino Linotype" w:hAnsi="Palatino Linotype"/>
          <w:b/>
          <w:bCs/>
          <w:i/>
          <w:iCs/>
          <w:sz w:val="22"/>
          <w:szCs w:val="22"/>
          <w:lang w:eastAsia="es-MX"/>
        </w:rPr>
        <w:t>Artículo 49.</w:t>
      </w:r>
      <w:r w:rsidRPr="00CA13A3">
        <w:rPr>
          <w:rFonts w:ascii="Palatino Linotype" w:hAnsi="Palatino Linotype"/>
          <w:i/>
          <w:iCs/>
          <w:sz w:val="22"/>
          <w:szCs w:val="22"/>
          <w:lang w:eastAsia="es-MX"/>
        </w:rPr>
        <w:t xml:space="preserve"> Los Comités de Transparencia tendrán las siguientes atribuciones:</w:t>
      </w:r>
    </w:p>
    <w:p w14:paraId="76309E8E"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i/>
          <w:iCs/>
          <w:sz w:val="22"/>
          <w:szCs w:val="22"/>
          <w:lang w:eastAsia="es-MX"/>
        </w:rPr>
      </w:pPr>
      <w:r w:rsidRPr="00CA13A3">
        <w:rPr>
          <w:rFonts w:ascii="Palatino Linotype" w:hAnsi="Palatino Linotype"/>
          <w:i/>
          <w:iCs/>
          <w:sz w:val="22"/>
          <w:szCs w:val="22"/>
          <w:lang w:eastAsia="es-MX"/>
        </w:rPr>
        <w:t>…</w:t>
      </w:r>
    </w:p>
    <w:p w14:paraId="76309E8F"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i/>
          <w:iCs/>
          <w:sz w:val="22"/>
          <w:szCs w:val="22"/>
          <w:lang w:eastAsia="es-MX"/>
        </w:rPr>
      </w:pPr>
      <w:r w:rsidRPr="00CA13A3">
        <w:rPr>
          <w:rFonts w:ascii="Palatino Linotype" w:hAnsi="Palatino Linotype"/>
          <w:b/>
          <w:bCs/>
          <w:i/>
          <w:iCs/>
          <w:sz w:val="22"/>
          <w:szCs w:val="22"/>
          <w:lang w:eastAsia="es-MX"/>
        </w:rPr>
        <w:t>VIII</w:t>
      </w:r>
      <w:r w:rsidRPr="00CA13A3">
        <w:rPr>
          <w:rFonts w:ascii="Palatino Linotype" w:hAnsi="Palatino Linotype"/>
          <w:i/>
          <w:iCs/>
          <w:sz w:val="22"/>
          <w:szCs w:val="22"/>
          <w:lang w:eastAsia="es-MX"/>
        </w:rPr>
        <w:t>. Aprobar, modificar o revocar la clasificación de la información;</w:t>
      </w:r>
    </w:p>
    <w:p w14:paraId="76309E90"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i/>
          <w:iCs/>
          <w:sz w:val="22"/>
          <w:szCs w:val="22"/>
          <w:lang w:eastAsia="es-MX"/>
        </w:rPr>
      </w:pPr>
      <w:r w:rsidRPr="00CA13A3">
        <w:rPr>
          <w:rFonts w:ascii="Palatino Linotype" w:hAnsi="Palatino Linotype"/>
          <w:i/>
          <w:iCs/>
          <w:sz w:val="22"/>
          <w:szCs w:val="22"/>
          <w:lang w:eastAsia="es-MX"/>
        </w:rPr>
        <w:t>…</w:t>
      </w:r>
    </w:p>
    <w:p w14:paraId="76309E91"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cs="Arial"/>
          <w:b/>
          <w:bCs/>
          <w:i/>
          <w:noProof/>
          <w:sz w:val="22"/>
          <w:szCs w:val="22"/>
        </w:rPr>
      </w:pPr>
    </w:p>
    <w:p w14:paraId="76309E92"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cs="Arial"/>
          <w:bCs/>
          <w:i/>
          <w:noProof/>
          <w:sz w:val="22"/>
          <w:szCs w:val="22"/>
        </w:rPr>
      </w:pPr>
      <w:r w:rsidRPr="00CA13A3">
        <w:rPr>
          <w:rFonts w:ascii="Palatino Linotype" w:hAnsi="Palatino Linotype" w:cs="Arial"/>
          <w:b/>
          <w:bCs/>
          <w:i/>
          <w:noProof/>
          <w:sz w:val="22"/>
          <w:szCs w:val="22"/>
        </w:rPr>
        <w:t xml:space="preserve">Artículo 91. </w:t>
      </w:r>
      <w:r w:rsidRPr="00CA13A3">
        <w:rPr>
          <w:rFonts w:ascii="Palatino Linotype" w:hAnsi="Palatino Linotype" w:cs="Arial"/>
          <w:bCs/>
          <w:i/>
          <w:noProof/>
          <w:sz w:val="22"/>
          <w:szCs w:val="22"/>
        </w:rPr>
        <w:t>El acceso a la información pública será restringido excepcionalmente, cuando ésta sea clasificada como reservada o confidencial.</w:t>
      </w:r>
    </w:p>
    <w:p w14:paraId="76309E93"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cs="Arial"/>
          <w:bCs/>
          <w:i/>
          <w:noProof/>
          <w:sz w:val="22"/>
          <w:szCs w:val="22"/>
        </w:rPr>
      </w:pPr>
      <w:r w:rsidRPr="00CA13A3">
        <w:rPr>
          <w:rFonts w:ascii="Palatino Linotype" w:hAnsi="Palatino Linotype" w:cs="Arial"/>
          <w:bCs/>
          <w:i/>
          <w:noProof/>
          <w:sz w:val="22"/>
          <w:szCs w:val="22"/>
        </w:rPr>
        <w:t>…</w:t>
      </w:r>
    </w:p>
    <w:p w14:paraId="76309E94"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cs="Arial"/>
          <w:bCs/>
          <w:i/>
          <w:noProof/>
          <w:sz w:val="22"/>
          <w:szCs w:val="22"/>
        </w:rPr>
      </w:pPr>
    </w:p>
    <w:p w14:paraId="76309E95"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sz w:val="22"/>
          <w:szCs w:val="22"/>
          <w:lang w:eastAsia="es-MX"/>
        </w:rPr>
      </w:pPr>
      <w:r w:rsidRPr="00CA13A3">
        <w:rPr>
          <w:rFonts w:ascii="Palatino Linotype" w:hAnsi="Palatino Linotype"/>
          <w:b/>
          <w:bCs/>
          <w:i/>
          <w:iCs/>
          <w:sz w:val="22"/>
          <w:szCs w:val="22"/>
          <w:lang w:eastAsia="es-MX"/>
        </w:rPr>
        <w:t>Artículo 137</w:t>
      </w:r>
      <w:r w:rsidRPr="00CA13A3">
        <w:rPr>
          <w:rFonts w:ascii="Palatino Linotype" w:hAnsi="Palatino Linotype"/>
          <w:i/>
          <w:iCs/>
          <w:sz w:val="22"/>
          <w:szCs w:val="22"/>
          <w:lang w:eastAsia="es-MX"/>
        </w:rPr>
        <w:t>.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6309E96"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b/>
          <w:bCs/>
          <w:i/>
          <w:iCs/>
          <w:sz w:val="22"/>
          <w:szCs w:val="22"/>
          <w:lang w:eastAsia="es-MX"/>
        </w:rPr>
      </w:pPr>
    </w:p>
    <w:p w14:paraId="76309E97"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sz w:val="22"/>
          <w:szCs w:val="22"/>
          <w:lang w:eastAsia="es-MX"/>
        </w:rPr>
      </w:pPr>
      <w:r w:rsidRPr="00CA13A3">
        <w:rPr>
          <w:rFonts w:ascii="Palatino Linotype" w:hAnsi="Palatino Linotype"/>
          <w:b/>
          <w:bCs/>
          <w:i/>
          <w:iCs/>
          <w:sz w:val="22"/>
          <w:szCs w:val="22"/>
          <w:lang w:eastAsia="es-MX"/>
        </w:rPr>
        <w:t>Artículo 143</w:t>
      </w:r>
      <w:r w:rsidRPr="00CA13A3">
        <w:rPr>
          <w:rFonts w:ascii="Palatino Linotype" w:hAnsi="Palatino Linotype"/>
          <w:i/>
          <w:iCs/>
          <w:sz w:val="22"/>
          <w:szCs w:val="22"/>
          <w:lang w:eastAsia="es-MX"/>
        </w:rPr>
        <w:t>. Para los efectos de esta Ley se considera información confidencial, la clasificada como tal, de manera permanente, por su naturaleza, cuando:</w:t>
      </w:r>
    </w:p>
    <w:p w14:paraId="76309E98" w14:textId="77777777" w:rsidR="007A5084" w:rsidRPr="00CA13A3" w:rsidRDefault="007A5084" w:rsidP="007A5084">
      <w:pPr>
        <w:shd w:val="clear" w:color="auto" w:fill="FFFFFF"/>
        <w:spacing w:line="276" w:lineRule="auto"/>
        <w:ind w:left="851" w:right="616"/>
        <w:contextualSpacing/>
        <w:jc w:val="both"/>
        <w:rPr>
          <w:rFonts w:ascii="Palatino Linotype" w:hAnsi="Palatino Linotype"/>
          <w:b/>
          <w:i/>
          <w:iCs/>
          <w:sz w:val="22"/>
          <w:szCs w:val="22"/>
          <w:lang w:eastAsia="es-MX"/>
        </w:rPr>
      </w:pPr>
    </w:p>
    <w:p w14:paraId="76309E99" w14:textId="77777777" w:rsidR="007A5084" w:rsidRPr="00CA13A3" w:rsidRDefault="007A5084" w:rsidP="007A5084">
      <w:pPr>
        <w:shd w:val="clear" w:color="auto" w:fill="FFFFFF"/>
        <w:spacing w:line="276" w:lineRule="auto"/>
        <w:ind w:left="851" w:right="616"/>
        <w:contextualSpacing/>
        <w:jc w:val="both"/>
        <w:rPr>
          <w:rFonts w:ascii="Palatino Linotype" w:eastAsia="Calibri" w:hAnsi="Palatino Linotype" w:cs="Arial"/>
          <w:bCs/>
          <w:i/>
          <w:noProof/>
          <w:sz w:val="22"/>
          <w:szCs w:val="22"/>
        </w:rPr>
      </w:pPr>
      <w:r w:rsidRPr="00CA13A3">
        <w:rPr>
          <w:rFonts w:ascii="Palatino Linotype" w:hAnsi="Palatino Linotype"/>
          <w:b/>
          <w:i/>
          <w:iCs/>
          <w:sz w:val="22"/>
          <w:szCs w:val="22"/>
          <w:lang w:eastAsia="es-MX"/>
        </w:rPr>
        <w:t>I.</w:t>
      </w:r>
      <w:r w:rsidRPr="00CA13A3">
        <w:rPr>
          <w:rFonts w:ascii="Palatino Linotype" w:hAnsi="Palatino Linotype"/>
          <w:i/>
          <w:iCs/>
          <w:sz w:val="22"/>
          <w:szCs w:val="22"/>
          <w:lang w:eastAsia="es-MX"/>
        </w:rPr>
        <w:t xml:space="preserve"> Se refiera a la información privada y los datos personales concernientes a una persona física o jurídico colectiva identificada o identificable..</w:t>
      </w:r>
      <w:r w:rsidRPr="00CA13A3">
        <w:rPr>
          <w:rFonts w:ascii="Palatino Linotype" w:eastAsia="Calibri" w:hAnsi="Palatino Linotype" w:cs="Arial"/>
          <w:bCs/>
          <w:i/>
          <w:noProof/>
          <w:sz w:val="22"/>
          <w:szCs w:val="22"/>
        </w:rPr>
        <w:t>.”(Sic)</w:t>
      </w:r>
    </w:p>
    <w:p w14:paraId="76309E9A" w14:textId="77777777" w:rsidR="007A5084" w:rsidRPr="00CA13A3" w:rsidRDefault="007A5084" w:rsidP="007A5084">
      <w:pPr>
        <w:pStyle w:val="Prrafodelista"/>
        <w:autoSpaceDE w:val="0"/>
        <w:autoSpaceDN w:val="0"/>
        <w:adjustRightInd w:val="0"/>
        <w:spacing w:before="240" w:after="240" w:line="360" w:lineRule="auto"/>
        <w:ind w:left="0"/>
        <w:jc w:val="both"/>
        <w:rPr>
          <w:rFonts w:ascii="Palatino Linotype" w:hAnsi="Palatino Linotype" w:cs="Arial"/>
          <w:szCs w:val="22"/>
        </w:rPr>
      </w:pPr>
    </w:p>
    <w:p w14:paraId="76309E9B" w14:textId="77777777" w:rsidR="007A5084" w:rsidRPr="00CA13A3" w:rsidRDefault="007A5084" w:rsidP="007A5084">
      <w:pPr>
        <w:pStyle w:val="Prrafodelista"/>
        <w:numPr>
          <w:ilvl w:val="0"/>
          <w:numId w:val="1"/>
        </w:numPr>
        <w:autoSpaceDE w:val="0"/>
        <w:autoSpaceDN w:val="0"/>
        <w:adjustRightInd w:val="0"/>
        <w:spacing w:before="240" w:after="240" w:line="360" w:lineRule="auto"/>
        <w:ind w:left="0" w:firstLine="0"/>
        <w:jc w:val="both"/>
        <w:rPr>
          <w:rFonts w:ascii="Palatino Linotype" w:hAnsi="Palatino Linotype" w:cs="Arial"/>
          <w:szCs w:val="22"/>
        </w:rPr>
      </w:pPr>
      <w:r w:rsidRPr="00CA13A3">
        <w:rPr>
          <w:rFonts w:ascii="Palatino Linotype" w:hAnsi="Palatino Linotype" w:cs="Arial"/>
          <w:szCs w:val="22"/>
        </w:rPr>
        <w:lastRenderedPageBreak/>
        <w:t>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76309E9C" w14:textId="77777777" w:rsidR="007A5084" w:rsidRPr="00CA13A3" w:rsidRDefault="007A5084" w:rsidP="007A5084">
      <w:pPr>
        <w:spacing w:line="360" w:lineRule="auto"/>
        <w:ind w:left="851" w:right="851"/>
        <w:contextualSpacing/>
        <w:jc w:val="both"/>
        <w:rPr>
          <w:rFonts w:ascii="Palatino Linotype" w:hAnsi="Palatino Linotype"/>
          <w:i/>
          <w:sz w:val="22"/>
          <w:szCs w:val="22"/>
        </w:rPr>
      </w:pPr>
      <w:r w:rsidRPr="00CA13A3">
        <w:rPr>
          <w:rFonts w:ascii="Palatino Linotype" w:hAnsi="Palatino Linotype"/>
          <w:b/>
          <w:i/>
          <w:sz w:val="22"/>
          <w:szCs w:val="22"/>
        </w:rPr>
        <w:t>“Artículo 49.</w:t>
      </w:r>
      <w:r w:rsidRPr="00CA13A3">
        <w:rPr>
          <w:rFonts w:ascii="Palatino Linotype" w:hAnsi="Palatino Linotype"/>
          <w:i/>
          <w:sz w:val="22"/>
          <w:szCs w:val="22"/>
        </w:rPr>
        <w:t xml:space="preserve"> </w:t>
      </w:r>
      <w:r w:rsidRPr="00CA13A3">
        <w:rPr>
          <w:rFonts w:ascii="Palatino Linotype" w:hAnsi="Palatino Linotype"/>
          <w:b/>
          <w:i/>
          <w:sz w:val="22"/>
          <w:szCs w:val="22"/>
        </w:rPr>
        <w:t>Los Comités de Transparencia</w:t>
      </w:r>
      <w:r w:rsidRPr="00CA13A3">
        <w:rPr>
          <w:rFonts w:ascii="Palatino Linotype" w:hAnsi="Palatino Linotype"/>
          <w:i/>
          <w:sz w:val="22"/>
          <w:szCs w:val="22"/>
        </w:rPr>
        <w:t xml:space="preserve"> tendrán las siguientes atribuciones:</w:t>
      </w:r>
    </w:p>
    <w:p w14:paraId="76309E9D" w14:textId="77777777" w:rsidR="007A5084" w:rsidRPr="00CA13A3" w:rsidRDefault="007A5084" w:rsidP="007A5084">
      <w:pPr>
        <w:spacing w:line="360" w:lineRule="auto"/>
        <w:ind w:left="851" w:right="851"/>
        <w:contextualSpacing/>
        <w:jc w:val="both"/>
        <w:rPr>
          <w:rFonts w:ascii="Palatino Linotype" w:hAnsi="Palatino Linotype"/>
          <w:b/>
          <w:i/>
          <w:sz w:val="22"/>
          <w:szCs w:val="22"/>
        </w:rPr>
      </w:pPr>
      <w:r w:rsidRPr="00CA13A3">
        <w:rPr>
          <w:rFonts w:ascii="Palatino Linotype" w:hAnsi="Palatino Linotype"/>
          <w:b/>
          <w:i/>
          <w:sz w:val="22"/>
          <w:szCs w:val="22"/>
        </w:rPr>
        <w:t>…</w:t>
      </w:r>
    </w:p>
    <w:p w14:paraId="76309E9E" w14:textId="77777777" w:rsidR="007A5084" w:rsidRPr="00CA13A3" w:rsidRDefault="007A5084" w:rsidP="007A5084">
      <w:pPr>
        <w:spacing w:line="360" w:lineRule="auto"/>
        <w:ind w:left="851" w:right="851"/>
        <w:contextualSpacing/>
        <w:jc w:val="both"/>
        <w:rPr>
          <w:rFonts w:ascii="Palatino Linotype" w:hAnsi="Palatino Linotype"/>
          <w:i/>
          <w:sz w:val="22"/>
          <w:szCs w:val="22"/>
        </w:rPr>
      </w:pPr>
      <w:r w:rsidRPr="00CA13A3">
        <w:rPr>
          <w:rFonts w:ascii="Palatino Linotype" w:hAnsi="Palatino Linotype"/>
          <w:b/>
          <w:i/>
          <w:sz w:val="22"/>
          <w:szCs w:val="22"/>
        </w:rPr>
        <w:t>VIII. Aprobar, modificar o revocar la clasificación de la información</w:t>
      </w:r>
      <w:r w:rsidRPr="00CA13A3">
        <w:rPr>
          <w:rFonts w:ascii="Palatino Linotype" w:hAnsi="Palatino Linotype"/>
          <w:i/>
          <w:sz w:val="22"/>
          <w:szCs w:val="22"/>
        </w:rPr>
        <w:t>…”</w:t>
      </w:r>
    </w:p>
    <w:p w14:paraId="76309E9F" w14:textId="77777777" w:rsidR="007A5084" w:rsidRPr="00CA13A3" w:rsidRDefault="007A5084" w:rsidP="007A5084">
      <w:pPr>
        <w:spacing w:line="360" w:lineRule="auto"/>
        <w:ind w:left="851" w:right="851"/>
        <w:contextualSpacing/>
        <w:jc w:val="both"/>
        <w:rPr>
          <w:rFonts w:ascii="Palatino Linotype" w:hAnsi="Palatino Linotype"/>
          <w:i/>
          <w:sz w:val="22"/>
          <w:szCs w:val="22"/>
        </w:rPr>
      </w:pPr>
      <w:r w:rsidRPr="00CA13A3">
        <w:rPr>
          <w:rFonts w:ascii="Palatino Linotype" w:hAnsi="Palatino Linotype"/>
          <w:i/>
          <w:sz w:val="22"/>
          <w:szCs w:val="22"/>
        </w:rPr>
        <w:t>…</w:t>
      </w:r>
    </w:p>
    <w:p w14:paraId="76309EA0" w14:textId="77777777" w:rsidR="007A5084" w:rsidRPr="00CA13A3" w:rsidRDefault="007A5084" w:rsidP="007A5084">
      <w:pPr>
        <w:spacing w:line="360" w:lineRule="auto"/>
        <w:ind w:left="851" w:right="851"/>
        <w:contextualSpacing/>
        <w:jc w:val="both"/>
        <w:rPr>
          <w:rFonts w:ascii="Palatino Linotype" w:hAnsi="Palatino Linotype"/>
          <w:i/>
          <w:sz w:val="22"/>
          <w:szCs w:val="22"/>
        </w:rPr>
      </w:pPr>
      <w:r w:rsidRPr="00CA13A3">
        <w:rPr>
          <w:rFonts w:ascii="Palatino Linotype" w:hAnsi="Palatino Linotype"/>
          <w:i/>
          <w:sz w:val="22"/>
          <w:szCs w:val="22"/>
        </w:rPr>
        <w:t>“</w:t>
      </w:r>
      <w:r w:rsidRPr="00CA13A3">
        <w:rPr>
          <w:rFonts w:ascii="Palatino Linotype" w:hAnsi="Palatino Linotype"/>
          <w:b/>
          <w:i/>
          <w:sz w:val="22"/>
          <w:szCs w:val="22"/>
        </w:rPr>
        <w:t>Artículo 53.</w:t>
      </w:r>
      <w:r w:rsidRPr="00CA13A3">
        <w:rPr>
          <w:rFonts w:ascii="Palatino Linotype" w:hAnsi="Palatino Linotype"/>
          <w:i/>
          <w:sz w:val="22"/>
          <w:szCs w:val="22"/>
        </w:rPr>
        <w:t xml:space="preserve"> Las </w:t>
      </w:r>
      <w:r w:rsidRPr="00CA13A3">
        <w:rPr>
          <w:rFonts w:ascii="Palatino Linotype" w:hAnsi="Palatino Linotype"/>
          <w:b/>
          <w:i/>
          <w:sz w:val="22"/>
          <w:szCs w:val="22"/>
        </w:rPr>
        <w:t>Unidades de Transparencia</w:t>
      </w:r>
      <w:r w:rsidRPr="00CA13A3">
        <w:rPr>
          <w:rFonts w:ascii="Palatino Linotype" w:hAnsi="Palatino Linotype"/>
          <w:i/>
          <w:sz w:val="22"/>
          <w:szCs w:val="22"/>
        </w:rPr>
        <w:t xml:space="preserve"> tendrán las siguientes </w:t>
      </w:r>
      <w:r w:rsidRPr="00CA13A3">
        <w:rPr>
          <w:rFonts w:ascii="Palatino Linotype" w:hAnsi="Palatino Linotype"/>
          <w:b/>
          <w:i/>
          <w:sz w:val="22"/>
          <w:szCs w:val="22"/>
        </w:rPr>
        <w:t>funciones</w:t>
      </w:r>
      <w:r w:rsidRPr="00CA13A3">
        <w:rPr>
          <w:rFonts w:ascii="Palatino Linotype" w:hAnsi="Palatino Linotype"/>
          <w:i/>
          <w:sz w:val="22"/>
          <w:szCs w:val="22"/>
        </w:rPr>
        <w:t>:</w:t>
      </w:r>
    </w:p>
    <w:p w14:paraId="76309EA1" w14:textId="77777777" w:rsidR="007A5084" w:rsidRPr="00CA13A3" w:rsidRDefault="007A5084" w:rsidP="007A5084">
      <w:pPr>
        <w:tabs>
          <w:tab w:val="left" w:pos="3280"/>
        </w:tabs>
        <w:spacing w:line="360" w:lineRule="auto"/>
        <w:ind w:left="851" w:right="851"/>
        <w:contextualSpacing/>
        <w:jc w:val="both"/>
        <w:rPr>
          <w:rFonts w:ascii="Palatino Linotype" w:hAnsi="Palatino Linotype"/>
          <w:i/>
          <w:sz w:val="22"/>
          <w:szCs w:val="22"/>
        </w:rPr>
      </w:pPr>
      <w:r w:rsidRPr="00CA13A3">
        <w:rPr>
          <w:rFonts w:ascii="Palatino Linotype" w:hAnsi="Palatino Linotype"/>
          <w:i/>
          <w:sz w:val="22"/>
          <w:szCs w:val="22"/>
        </w:rPr>
        <w:t>…</w:t>
      </w:r>
      <w:r w:rsidRPr="00CA13A3">
        <w:rPr>
          <w:rFonts w:ascii="Palatino Linotype" w:hAnsi="Palatino Linotype"/>
          <w:i/>
          <w:sz w:val="22"/>
          <w:szCs w:val="22"/>
        </w:rPr>
        <w:tab/>
      </w:r>
    </w:p>
    <w:p w14:paraId="76309EA2" w14:textId="77777777" w:rsidR="007A5084" w:rsidRPr="00CA13A3" w:rsidRDefault="007A5084" w:rsidP="007A5084">
      <w:pPr>
        <w:spacing w:line="360" w:lineRule="auto"/>
        <w:ind w:left="851" w:right="851"/>
        <w:contextualSpacing/>
        <w:jc w:val="both"/>
        <w:rPr>
          <w:rFonts w:ascii="Palatino Linotype" w:hAnsi="Palatino Linotype"/>
          <w:b/>
          <w:i/>
          <w:sz w:val="22"/>
          <w:szCs w:val="22"/>
        </w:rPr>
      </w:pPr>
      <w:r w:rsidRPr="00CA13A3">
        <w:rPr>
          <w:rFonts w:ascii="Palatino Linotype" w:hAnsi="Palatino Linotype"/>
          <w:b/>
          <w:i/>
          <w:sz w:val="22"/>
          <w:szCs w:val="22"/>
        </w:rPr>
        <w:t>X. Presentar ante el Comité, el proyecto de clasificación de información;</w:t>
      </w:r>
    </w:p>
    <w:p w14:paraId="76309EA3" w14:textId="77777777" w:rsidR="007A5084" w:rsidRPr="00CA13A3" w:rsidRDefault="007A5084" w:rsidP="007A5084">
      <w:pPr>
        <w:spacing w:line="360" w:lineRule="auto"/>
        <w:ind w:left="851" w:right="851"/>
        <w:contextualSpacing/>
        <w:jc w:val="both"/>
        <w:rPr>
          <w:rFonts w:ascii="Palatino Linotype" w:hAnsi="Palatino Linotype"/>
          <w:i/>
          <w:sz w:val="22"/>
          <w:szCs w:val="22"/>
        </w:rPr>
      </w:pPr>
      <w:r w:rsidRPr="00CA13A3">
        <w:rPr>
          <w:rFonts w:ascii="Palatino Linotype" w:hAnsi="Palatino Linotype"/>
          <w:i/>
          <w:sz w:val="22"/>
          <w:szCs w:val="22"/>
        </w:rPr>
        <w:t xml:space="preserve">…” </w:t>
      </w:r>
    </w:p>
    <w:p w14:paraId="76309EA4" w14:textId="77777777" w:rsidR="007A5084" w:rsidRPr="00CA13A3" w:rsidRDefault="007A5084" w:rsidP="007A5084">
      <w:pPr>
        <w:spacing w:line="360" w:lineRule="auto"/>
        <w:ind w:left="851" w:right="851"/>
        <w:contextualSpacing/>
        <w:jc w:val="both"/>
        <w:rPr>
          <w:rFonts w:ascii="Palatino Linotype" w:hAnsi="Palatino Linotype"/>
          <w:i/>
          <w:sz w:val="22"/>
          <w:szCs w:val="22"/>
        </w:rPr>
      </w:pPr>
      <w:r w:rsidRPr="00CA13A3">
        <w:rPr>
          <w:rFonts w:ascii="Palatino Linotype" w:hAnsi="Palatino Linotype"/>
          <w:b/>
          <w:i/>
          <w:sz w:val="22"/>
          <w:szCs w:val="22"/>
        </w:rPr>
        <w:t>“Artículo 59.</w:t>
      </w:r>
      <w:r w:rsidRPr="00CA13A3">
        <w:rPr>
          <w:rFonts w:ascii="Palatino Linotype" w:hAnsi="Palatino Linotype"/>
          <w:i/>
          <w:sz w:val="22"/>
          <w:szCs w:val="22"/>
        </w:rPr>
        <w:t xml:space="preserve"> Los </w:t>
      </w:r>
      <w:r w:rsidRPr="00CA13A3">
        <w:rPr>
          <w:rFonts w:ascii="Palatino Linotype" w:hAnsi="Palatino Linotype"/>
          <w:b/>
          <w:i/>
          <w:sz w:val="22"/>
          <w:szCs w:val="22"/>
        </w:rPr>
        <w:t>servidores públicos habilitados</w:t>
      </w:r>
      <w:r w:rsidRPr="00CA13A3">
        <w:rPr>
          <w:rFonts w:ascii="Palatino Linotype" w:hAnsi="Palatino Linotype"/>
          <w:i/>
          <w:sz w:val="22"/>
          <w:szCs w:val="22"/>
        </w:rPr>
        <w:t xml:space="preserve"> tendrán las </w:t>
      </w:r>
      <w:r w:rsidRPr="00CA13A3">
        <w:rPr>
          <w:rFonts w:ascii="Palatino Linotype" w:hAnsi="Palatino Linotype"/>
          <w:b/>
          <w:i/>
          <w:sz w:val="22"/>
          <w:szCs w:val="22"/>
        </w:rPr>
        <w:t>funciones</w:t>
      </w:r>
      <w:r w:rsidRPr="00CA13A3">
        <w:rPr>
          <w:rFonts w:ascii="Palatino Linotype" w:hAnsi="Palatino Linotype"/>
          <w:i/>
          <w:sz w:val="22"/>
          <w:szCs w:val="22"/>
        </w:rPr>
        <w:t xml:space="preserve"> siguientes:</w:t>
      </w:r>
    </w:p>
    <w:p w14:paraId="76309EA5" w14:textId="77777777" w:rsidR="007A5084" w:rsidRPr="00CA13A3" w:rsidRDefault="007A5084" w:rsidP="007A5084">
      <w:pPr>
        <w:spacing w:line="360" w:lineRule="auto"/>
        <w:ind w:left="851" w:right="851"/>
        <w:contextualSpacing/>
        <w:jc w:val="both"/>
        <w:rPr>
          <w:rFonts w:ascii="Palatino Linotype" w:hAnsi="Palatino Linotype"/>
          <w:b/>
          <w:i/>
          <w:sz w:val="22"/>
          <w:szCs w:val="22"/>
        </w:rPr>
      </w:pPr>
      <w:r w:rsidRPr="00CA13A3">
        <w:rPr>
          <w:rFonts w:ascii="Palatino Linotype" w:hAnsi="Palatino Linotype"/>
          <w:b/>
          <w:i/>
          <w:sz w:val="22"/>
          <w:szCs w:val="22"/>
        </w:rPr>
        <w:t>…</w:t>
      </w:r>
    </w:p>
    <w:p w14:paraId="76309EA6" w14:textId="77777777" w:rsidR="007A5084" w:rsidRPr="00CA13A3" w:rsidRDefault="007A5084" w:rsidP="007A5084">
      <w:pPr>
        <w:spacing w:line="360" w:lineRule="auto"/>
        <w:ind w:left="851" w:right="851"/>
        <w:contextualSpacing/>
        <w:jc w:val="both"/>
        <w:rPr>
          <w:rFonts w:ascii="Palatino Linotype" w:hAnsi="Palatino Linotype"/>
          <w:i/>
          <w:sz w:val="22"/>
          <w:szCs w:val="22"/>
        </w:rPr>
      </w:pPr>
      <w:r w:rsidRPr="00CA13A3">
        <w:rPr>
          <w:rFonts w:ascii="Palatino Linotype" w:hAnsi="Palatino Linotype"/>
          <w:b/>
          <w:i/>
          <w:sz w:val="22"/>
          <w:szCs w:val="22"/>
        </w:rPr>
        <w:t>V. Integrar y presentar al responsable de la Unidad de Transparencia la propuesta de clasificación de información</w:t>
      </w:r>
      <w:r w:rsidRPr="00CA13A3">
        <w:rPr>
          <w:rFonts w:ascii="Palatino Linotype" w:hAnsi="Palatino Linotype"/>
          <w:i/>
          <w:sz w:val="22"/>
          <w:szCs w:val="22"/>
        </w:rPr>
        <w:t>, la cual tendrá los fundamentos y argumentos en que se basa dicha propuesta;</w:t>
      </w:r>
    </w:p>
    <w:p w14:paraId="76309EA7" w14:textId="77777777" w:rsidR="007A5084" w:rsidRPr="00CA13A3" w:rsidRDefault="007A5084" w:rsidP="007A5084">
      <w:pPr>
        <w:spacing w:line="360" w:lineRule="auto"/>
        <w:ind w:left="851" w:right="851"/>
        <w:contextualSpacing/>
        <w:jc w:val="both"/>
        <w:rPr>
          <w:rFonts w:ascii="Palatino Linotype" w:hAnsi="Palatino Linotype"/>
          <w:i/>
          <w:sz w:val="22"/>
          <w:szCs w:val="22"/>
        </w:rPr>
      </w:pPr>
      <w:r w:rsidRPr="00CA13A3">
        <w:rPr>
          <w:rFonts w:ascii="Palatino Linotype" w:hAnsi="Palatino Linotype"/>
          <w:i/>
          <w:sz w:val="22"/>
          <w:szCs w:val="22"/>
        </w:rPr>
        <w:t>…”</w:t>
      </w:r>
    </w:p>
    <w:p w14:paraId="76309EA8" w14:textId="77777777" w:rsidR="007A5084" w:rsidRPr="00CA13A3" w:rsidRDefault="007A5084" w:rsidP="007A5084">
      <w:pPr>
        <w:spacing w:line="360" w:lineRule="auto"/>
        <w:ind w:left="851" w:right="851"/>
        <w:contextualSpacing/>
        <w:jc w:val="both"/>
        <w:rPr>
          <w:rFonts w:ascii="Palatino Linotype" w:hAnsi="Palatino Linotype"/>
          <w:i/>
          <w:sz w:val="22"/>
          <w:szCs w:val="22"/>
        </w:rPr>
      </w:pPr>
    </w:p>
    <w:p w14:paraId="76309EA9" w14:textId="77777777" w:rsidR="007A5084" w:rsidRPr="00CA13A3" w:rsidRDefault="007A5084" w:rsidP="007A5084">
      <w:pPr>
        <w:spacing w:line="360" w:lineRule="auto"/>
        <w:ind w:left="851" w:right="851"/>
        <w:contextualSpacing/>
        <w:jc w:val="both"/>
        <w:rPr>
          <w:rFonts w:ascii="Palatino Linotype" w:hAnsi="Palatino Linotype"/>
          <w:i/>
          <w:sz w:val="22"/>
          <w:szCs w:val="22"/>
        </w:rPr>
      </w:pPr>
      <w:r w:rsidRPr="00CA13A3">
        <w:rPr>
          <w:rFonts w:ascii="Palatino Linotype" w:hAnsi="Palatino Linotype"/>
          <w:i/>
          <w:sz w:val="22"/>
          <w:szCs w:val="22"/>
        </w:rPr>
        <w:lastRenderedPageBreak/>
        <w:t>Énfasis añadido.</w:t>
      </w:r>
    </w:p>
    <w:p w14:paraId="76309EAA" w14:textId="77777777" w:rsidR="007A5084" w:rsidRPr="00CA13A3" w:rsidRDefault="007A5084" w:rsidP="007A5084">
      <w:pPr>
        <w:spacing w:before="240" w:after="240"/>
        <w:ind w:left="992" w:right="1043"/>
        <w:contextualSpacing/>
        <w:jc w:val="both"/>
        <w:rPr>
          <w:rFonts w:ascii="Palatino Linotype" w:hAnsi="Palatino Linotype"/>
          <w:i/>
          <w:sz w:val="22"/>
          <w:szCs w:val="22"/>
        </w:rPr>
      </w:pPr>
    </w:p>
    <w:p w14:paraId="76309EAB" w14:textId="77777777" w:rsidR="007A5084" w:rsidRPr="00CA13A3" w:rsidRDefault="007A5084" w:rsidP="007A5084">
      <w:pPr>
        <w:pStyle w:val="Prrafodelista"/>
        <w:numPr>
          <w:ilvl w:val="0"/>
          <w:numId w:val="1"/>
        </w:numPr>
        <w:spacing w:before="240" w:after="240" w:line="360" w:lineRule="auto"/>
        <w:ind w:left="0" w:firstLine="0"/>
        <w:jc w:val="both"/>
        <w:rPr>
          <w:rFonts w:ascii="Palatino Linotype" w:hAnsi="Palatino Linotype" w:cs="Arial"/>
          <w:szCs w:val="22"/>
        </w:rPr>
      </w:pPr>
      <w:r w:rsidRPr="00CA13A3">
        <w:rPr>
          <w:rFonts w:ascii="Palatino Linotype" w:hAnsi="Palatino Linotype" w:cs="Arial"/>
          <w:szCs w:val="22"/>
        </w:rPr>
        <w:t>Denotándose de dichos ordenamientos jurídicos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6309EAC" w14:textId="77777777" w:rsidR="007A5084" w:rsidRPr="00CA13A3" w:rsidRDefault="007A5084" w:rsidP="007A5084">
      <w:pPr>
        <w:pStyle w:val="Prrafodelista"/>
        <w:spacing w:before="240" w:after="240" w:line="360" w:lineRule="auto"/>
        <w:ind w:left="0"/>
        <w:jc w:val="both"/>
        <w:rPr>
          <w:rFonts w:ascii="Palatino Linotype" w:hAnsi="Palatino Linotype" w:cs="Arial"/>
          <w:szCs w:val="22"/>
        </w:rPr>
      </w:pPr>
    </w:p>
    <w:p w14:paraId="76309EAD" w14:textId="77777777" w:rsidR="007A5084" w:rsidRPr="00CA13A3" w:rsidRDefault="007A5084" w:rsidP="007A5084">
      <w:pPr>
        <w:pStyle w:val="Prrafodelista"/>
        <w:numPr>
          <w:ilvl w:val="0"/>
          <w:numId w:val="1"/>
        </w:numPr>
        <w:spacing w:before="240" w:after="240" w:line="360" w:lineRule="auto"/>
        <w:ind w:left="0" w:firstLine="0"/>
        <w:jc w:val="both"/>
        <w:rPr>
          <w:rFonts w:ascii="Palatino Linotype" w:hAnsi="Palatino Linotype" w:cs="Arial"/>
          <w:szCs w:val="22"/>
        </w:rPr>
      </w:pPr>
      <w:r w:rsidRPr="00CA13A3">
        <w:rPr>
          <w:rFonts w:ascii="Palatino Linotype" w:hAnsi="Palatino Linotype" w:cs="Arial"/>
          <w:szCs w:val="22"/>
        </w:rPr>
        <w:t>Para lo cual, a su vez en el caso de información de carácter confidencial se debe atender a lo que señala el artículo 149 de la Ley de Transparencia Local vigente, cuyo contenido es de la literalidad siguiente:</w:t>
      </w:r>
    </w:p>
    <w:p w14:paraId="76309EAE" w14:textId="77777777" w:rsidR="007A5084" w:rsidRPr="00CA13A3" w:rsidRDefault="007A5084" w:rsidP="007A5084">
      <w:pPr>
        <w:spacing w:line="360" w:lineRule="auto"/>
        <w:ind w:left="851" w:right="851"/>
        <w:jc w:val="both"/>
        <w:rPr>
          <w:rFonts w:ascii="Palatino Linotype" w:hAnsi="Palatino Linotype"/>
          <w:i/>
          <w:sz w:val="22"/>
          <w:szCs w:val="22"/>
        </w:rPr>
      </w:pPr>
      <w:r w:rsidRPr="00CA13A3">
        <w:rPr>
          <w:rFonts w:ascii="Palatino Linotype" w:hAnsi="Palatino Linotype"/>
          <w:i/>
          <w:sz w:val="22"/>
          <w:szCs w:val="22"/>
        </w:rPr>
        <w:t>“</w:t>
      </w:r>
      <w:r w:rsidRPr="00CA13A3">
        <w:rPr>
          <w:rFonts w:ascii="Palatino Linotype" w:hAnsi="Palatino Linotype"/>
          <w:b/>
          <w:i/>
          <w:sz w:val="22"/>
          <w:szCs w:val="22"/>
        </w:rPr>
        <w:t>Artículo 149.</w:t>
      </w:r>
      <w:r w:rsidRPr="00CA13A3">
        <w:rPr>
          <w:rFonts w:ascii="Palatino Linotype" w:hAnsi="Palatino Linotype"/>
          <w:i/>
          <w:sz w:val="22"/>
          <w:szCs w:val="22"/>
        </w:rPr>
        <w:t xml:space="preserve"> El </w:t>
      </w:r>
      <w:r w:rsidRPr="00CA13A3">
        <w:rPr>
          <w:rFonts w:ascii="Palatino Linotype" w:hAnsi="Palatino Linotype"/>
          <w:b/>
          <w:i/>
          <w:sz w:val="22"/>
          <w:szCs w:val="22"/>
        </w:rPr>
        <w:t>acuerdo que clasifique la información como confidencial</w:t>
      </w:r>
      <w:r w:rsidRPr="00CA13A3">
        <w:rPr>
          <w:rFonts w:ascii="Palatino Linotype" w:hAnsi="Palatino Linotype"/>
          <w:i/>
          <w:sz w:val="22"/>
          <w:szCs w:val="22"/>
        </w:rPr>
        <w:t xml:space="preserve"> deberá contener un razonamiento lógico en el que demuestre que la información se encuentra en alguna o algunas de las hipótesis previstas en la presente Ley.”</w:t>
      </w:r>
    </w:p>
    <w:p w14:paraId="76309EAF" w14:textId="77777777" w:rsidR="002B36D9" w:rsidRPr="00CA13A3" w:rsidRDefault="007A5084" w:rsidP="002B36D9">
      <w:pPr>
        <w:pStyle w:val="Prrafodelista"/>
        <w:numPr>
          <w:ilvl w:val="0"/>
          <w:numId w:val="1"/>
        </w:numPr>
        <w:spacing w:before="240" w:after="240" w:line="360" w:lineRule="auto"/>
        <w:ind w:left="0" w:firstLine="0"/>
        <w:jc w:val="both"/>
        <w:rPr>
          <w:rFonts w:ascii="Palatino Linotype" w:hAnsi="Palatino Linotype" w:cs="Arial"/>
          <w:szCs w:val="22"/>
          <w:lang w:eastAsia="es-CO"/>
        </w:rPr>
      </w:pPr>
      <w:r w:rsidRPr="00CA13A3">
        <w:rPr>
          <w:rFonts w:ascii="Palatino Linotype" w:hAnsi="Palatino Linotype" w:cs="Arial"/>
          <w:szCs w:val="22"/>
          <w:lang w:eastAsia="es-CO"/>
        </w:rPr>
        <w:t xml:space="preserve">Es decir, el </w:t>
      </w:r>
      <w:r w:rsidRPr="00CA13A3">
        <w:rPr>
          <w:rFonts w:ascii="Palatino Linotype" w:hAnsi="Palatino Linotype" w:cs="Arial"/>
          <w:b/>
          <w:szCs w:val="22"/>
          <w:lang w:eastAsia="es-CO"/>
        </w:rPr>
        <w:t>Sujeto Obligado</w:t>
      </w:r>
      <w:r w:rsidRPr="00CA13A3">
        <w:rPr>
          <w:rFonts w:ascii="Palatino Linotype" w:hAnsi="Palatino Linotype" w:cs="Arial"/>
          <w:szCs w:val="22"/>
          <w:lang w:eastAsia="es-CO"/>
        </w:rPr>
        <w:t xml:space="preserve"> a través de su Comité de Transparencia, deberá elaborar acuerdo que contenga un razonamiento lógico con el que se demuestre que la información que se clasifica como confidencial, encuadra en alguna de las hipótesis que contempla la Ley de la Materia en su artículo 143; ya que de lo contrario se estaría violentando el derecho de acceso a la información de la solicitante.</w:t>
      </w:r>
    </w:p>
    <w:p w14:paraId="76309EB0" w14:textId="77777777" w:rsidR="007A5084" w:rsidRPr="00CA13A3" w:rsidRDefault="007A5084" w:rsidP="007A5084">
      <w:pPr>
        <w:pStyle w:val="Prrafodelista"/>
        <w:numPr>
          <w:ilvl w:val="0"/>
          <w:numId w:val="1"/>
        </w:numPr>
        <w:spacing w:before="240" w:after="240" w:line="360" w:lineRule="auto"/>
        <w:ind w:left="0" w:firstLine="0"/>
        <w:jc w:val="both"/>
        <w:rPr>
          <w:rFonts w:ascii="Palatino Linotype" w:hAnsi="Palatino Linotype" w:cs="Arial"/>
          <w:szCs w:val="22"/>
          <w:lang w:eastAsia="es-CO"/>
        </w:rPr>
      </w:pPr>
      <w:r w:rsidRPr="00CA13A3">
        <w:rPr>
          <w:rFonts w:ascii="Palatino Linotype" w:hAnsi="Palatino Linotype" w:cs="Arial"/>
          <w:szCs w:val="22"/>
        </w:rPr>
        <w:lastRenderedPageBreak/>
        <w:t xml:space="preserve">Asimismo, se destaca que el acuerdo de clasificación que elabore el Sujeto Obligado debe cumplir con las formalidades exigidas en la Ley; </w:t>
      </w:r>
      <w:r w:rsidRPr="00CA13A3">
        <w:rPr>
          <w:rFonts w:ascii="Palatino Linotype" w:hAnsi="Palatino Linotype"/>
          <w:szCs w:val="22"/>
        </w:rPr>
        <w:t xml:space="preserve">es decir, resulta necesario que el Comité de Transparencia del Sujeto Obligado emita el Acuerdo de Clasificación correspondiente debidamente fundado y motivado, el cual deberá cumplir cabalmente con las formalidades previstas en el artículo 137 de la Ley de Transparencia y Acceso a la Información Pública del Estado de México y Municipios, ya expuesto; así como con los numerales aplicables de los </w:t>
      </w:r>
      <w:r w:rsidR="00A73CAF" w:rsidRPr="00CA13A3">
        <w:rPr>
          <w:rFonts w:ascii="Palatino Linotype" w:hAnsi="Palatino Linotype"/>
          <w:szCs w:val="22"/>
        </w:rPr>
        <w:t>Lineamientos Generales En Materia De Clasificación Y Desclasificación De La Información, Así Como Para La Elaboración De Versiones Públicas.</w:t>
      </w:r>
    </w:p>
    <w:p w14:paraId="76309EB1" w14:textId="77777777" w:rsidR="007A5084" w:rsidRPr="00CA13A3" w:rsidRDefault="007A5084" w:rsidP="007A5084">
      <w:pPr>
        <w:pStyle w:val="Prrafodelista"/>
        <w:spacing w:before="240" w:after="240" w:line="360" w:lineRule="auto"/>
        <w:ind w:left="0"/>
        <w:jc w:val="both"/>
        <w:rPr>
          <w:rFonts w:ascii="Palatino Linotype" w:hAnsi="Palatino Linotype" w:cs="Arial"/>
          <w:szCs w:val="22"/>
          <w:lang w:eastAsia="es-CO"/>
        </w:rPr>
      </w:pPr>
    </w:p>
    <w:p w14:paraId="76309EB2" w14:textId="77777777" w:rsidR="007A5084" w:rsidRPr="00CA13A3" w:rsidRDefault="007A5084" w:rsidP="007A5084">
      <w:pPr>
        <w:pStyle w:val="Prrafodelista"/>
        <w:numPr>
          <w:ilvl w:val="0"/>
          <w:numId w:val="1"/>
        </w:numPr>
        <w:spacing w:before="240" w:after="240" w:line="360" w:lineRule="auto"/>
        <w:ind w:left="0" w:firstLine="0"/>
        <w:jc w:val="both"/>
        <w:rPr>
          <w:rFonts w:ascii="Palatino Linotype" w:hAnsi="Palatino Linotype" w:cs="Arial"/>
          <w:szCs w:val="22"/>
          <w:lang w:eastAsia="es-CO"/>
        </w:rPr>
      </w:pPr>
      <w:r w:rsidRPr="00CA13A3">
        <w:rPr>
          <w:rFonts w:ascii="Palatino Linotype" w:hAnsi="Palatino Linotype" w:cs="Arial"/>
          <w:szCs w:val="22"/>
        </w:rPr>
        <w:t>Es entonces que, cuando se clasifica información como confidencial es importante someterlo al Comité de Transparencia, quien debe confirmar, modificar o revocar la clasificación</w:t>
      </w:r>
      <w:r w:rsidRPr="00CA13A3">
        <w:rPr>
          <w:rFonts w:ascii="Palatino Linotype" w:hAnsi="Palatino Linotype"/>
          <w:szCs w:val="22"/>
          <w:lang w:eastAsia="es-MX"/>
        </w:rPr>
        <w:t xml:space="preserve">, por lo que el acuerdo respectivo, deberá hacerse del conocimiento del </w:t>
      </w:r>
      <w:r w:rsidRPr="00CA13A3">
        <w:rPr>
          <w:rFonts w:ascii="Palatino Linotype" w:hAnsi="Palatino Linotype"/>
          <w:bCs/>
          <w:szCs w:val="22"/>
          <w:lang w:eastAsia="es-MX"/>
        </w:rPr>
        <w:t>Recurrente</w:t>
      </w:r>
      <w:r w:rsidRPr="00CA13A3">
        <w:rPr>
          <w:rFonts w:ascii="Palatino Linotype" w:hAnsi="Palatino Linotype"/>
          <w:szCs w:val="22"/>
          <w:lang w:eastAsia="es-MX"/>
        </w:rPr>
        <w:t>.</w:t>
      </w:r>
    </w:p>
    <w:p w14:paraId="76309EB3" w14:textId="77777777" w:rsidR="007A5084" w:rsidRPr="00CA13A3" w:rsidRDefault="007A5084" w:rsidP="007A5084">
      <w:pPr>
        <w:pStyle w:val="Prrafodelista"/>
        <w:spacing w:before="240" w:after="240" w:line="360" w:lineRule="auto"/>
        <w:ind w:left="0"/>
        <w:jc w:val="both"/>
        <w:rPr>
          <w:rFonts w:ascii="Palatino Linotype" w:hAnsi="Palatino Linotype" w:cs="Arial"/>
          <w:szCs w:val="22"/>
          <w:lang w:eastAsia="es-CO"/>
        </w:rPr>
      </w:pPr>
    </w:p>
    <w:p w14:paraId="76309EB4" w14:textId="77777777" w:rsidR="007A5084" w:rsidRPr="00CA13A3" w:rsidRDefault="007A5084" w:rsidP="007A5084">
      <w:pPr>
        <w:pStyle w:val="Prrafodelista"/>
        <w:numPr>
          <w:ilvl w:val="0"/>
          <w:numId w:val="1"/>
        </w:numPr>
        <w:spacing w:before="240" w:after="240" w:line="360" w:lineRule="auto"/>
        <w:ind w:left="0" w:firstLine="0"/>
        <w:jc w:val="both"/>
        <w:rPr>
          <w:rFonts w:ascii="Palatino Linotype" w:hAnsi="Palatino Linotype" w:cs="Arial"/>
          <w:szCs w:val="22"/>
          <w:lang w:eastAsia="es-CO"/>
        </w:rPr>
      </w:pPr>
      <w:r w:rsidRPr="00CA13A3">
        <w:rPr>
          <w:rFonts w:ascii="Palatino Linotype" w:hAnsi="Palatino Linotype" w:cs="Arial"/>
          <w:szCs w:val="22"/>
          <w:lang w:eastAsia="es-CO"/>
        </w:rPr>
        <w:t xml:space="preserve">Con base en lo expuesto, se insiste que </w:t>
      </w:r>
      <w:r w:rsidR="00A73CAF" w:rsidRPr="00CA13A3">
        <w:rPr>
          <w:rFonts w:ascii="Palatino Linotype" w:hAnsi="Palatino Linotype" w:cs="Arial"/>
          <w:szCs w:val="22"/>
          <w:lang w:eastAsia="es-CO"/>
        </w:rPr>
        <w:t>la información solicitada con respecto a la menor, debe ser clasificada como confidencial</w:t>
      </w:r>
      <w:r w:rsidRPr="00CA13A3">
        <w:rPr>
          <w:rFonts w:ascii="Palatino Linotype" w:hAnsi="Palatino Linotype" w:cs="Arial"/>
          <w:szCs w:val="22"/>
          <w:lang w:eastAsia="es-CO"/>
        </w:rPr>
        <w:t xml:space="preserve"> por tratarse de información privada, toda vez que los datos personales son irrenunciables, intransferibles e indelegables, por lo tanto los sujetos obligados no deben hacer entrega de éstos a persona ajena a su titular, sobre todo cuando se ponga en riesgo la vida o integridad de una persona.</w:t>
      </w:r>
    </w:p>
    <w:p w14:paraId="76309EB5" w14:textId="77777777" w:rsidR="007A5084" w:rsidRPr="00CA13A3" w:rsidRDefault="007A5084" w:rsidP="007A5084">
      <w:pPr>
        <w:pStyle w:val="Prrafodelista"/>
        <w:spacing w:before="240" w:after="240" w:line="360" w:lineRule="auto"/>
        <w:ind w:left="0"/>
        <w:jc w:val="both"/>
        <w:rPr>
          <w:rFonts w:ascii="Palatino Linotype" w:hAnsi="Palatino Linotype" w:cs="Arial"/>
          <w:szCs w:val="22"/>
          <w:lang w:eastAsia="es-CO"/>
        </w:rPr>
      </w:pPr>
    </w:p>
    <w:p w14:paraId="76309EB6" w14:textId="77777777" w:rsidR="007A5084" w:rsidRPr="00CA13A3" w:rsidRDefault="007A5084" w:rsidP="007A5084">
      <w:pPr>
        <w:pStyle w:val="Prrafodelista"/>
        <w:numPr>
          <w:ilvl w:val="0"/>
          <w:numId w:val="1"/>
        </w:numPr>
        <w:spacing w:line="360" w:lineRule="auto"/>
        <w:ind w:left="0" w:firstLine="0"/>
        <w:jc w:val="both"/>
        <w:rPr>
          <w:rFonts w:ascii="Palatino Linotype" w:hAnsi="Palatino Linotype" w:cs="Arial"/>
          <w:szCs w:val="22"/>
          <w:lang w:eastAsia="es-CO"/>
        </w:rPr>
      </w:pPr>
      <w:r w:rsidRPr="00CA13A3">
        <w:rPr>
          <w:rFonts w:ascii="Palatino Linotype" w:hAnsi="Palatino Linotype" w:cs="Arial"/>
          <w:szCs w:val="22"/>
        </w:rPr>
        <w:lastRenderedPageBreak/>
        <w:t xml:space="preserve">Sirven de sustento a lo anterior, las tesis jurisprudenciales </w:t>
      </w:r>
      <w:r w:rsidRPr="00CA13A3">
        <w:rPr>
          <w:rFonts w:ascii="Palatino Linotype" w:hAnsi="Palatino Linotype" w:cs="Arial"/>
          <w:i/>
          <w:szCs w:val="22"/>
        </w:rPr>
        <w:t xml:space="preserve">P. LX/2000 </w:t>
      </w:r>
      <w:r w:rsidRPr="00CA13A3">
        <w:rPr>
          <w:rFonts w:ascii="Palatino Linotype" w:hAnsi="Palatino Linotype" w:cs="Arial"/>
          <w:szCs w:val="22"/>
        </w:rPr>
        <w:t xml:space="preserve">y </w:t>
      </w:r>
      <w:r w:rsidRPr="00CA13A3">
        <w:rPr>
          <w:rFonts w:ascii="Palatino Linotype" w:hAnsi="Palatino Linotype" w:cs="Tahoma"/>
          <w:bCs/>
          <w:i/>
          <w:color w:val="444444"/>
          <w:szCs w:val="22"/>
        </w:rPr>
        <w:t>2a. XLIII/2008</w:t>
      </w:r>
      <w:r w:rsidRPr="00CA13A3">
        <w:rPr>
          <w:rFonts w:ascii="Tahoma" w:hAnsi="Tahoma" w:cs="Tahoma"/>
          <w:b/>
          <w:bCs/>
          <w:color w:val="444444"/>
          <w:szCs w:val="22"/>
        </w:rPr>
        <w:t xml:space="preserve"> </w:t>
      </w:r>
      <w:r w:rsidRPr="00CA13A3">
        <w:rPr>
          <w:rFonts w:ascii="Palatino Linotype" w:hAnsi="Palatino Linotype" w:cs="Arial"/>
          <w:szCs w:val="22"/>
        </w:rPr>
        <w:t>emitidas por el Peno y la Segunda Sala de la Suprema Corte de Justicia de la Nación, respectivamente, que son del tenor literal siguiente:</w:t>
      </w:r>
    </w:p>
    <w:p w14:paraId="76309EB7" w14:textId="77777777" w:rsidR="007A5084" w:rsidRPr="00CA13A3" w:rsidRDefault="007A5084" w:rsidP="007A5084">
      <w:pPr>
        <w:pStyle w:val="Prrafodelista"/>
        <w:spacing w:line="360" w:lineRule="auto"/>
        <w:ind w:left="0"/>
        <w:jc w:val="both"/>
        <w:rPr>
          <w:rFonts w:ascii="Palatino Linotype" w:hAnsi="Palatino Linotype" w:cs="Arial"/>
          <w:szCs w:val="22"/>
          <w:lang w:eastAsia="es-CO"/>
        </w:rPr>
      </w:pPr>
    </w:p>
    <w:p w14:paraId="76309EB8" w14:textId="77777777" w:rsidR="007A5084" w:rsidRPr="00CA13A3" w:rsidRDefault="007A5084" w:rsidP="007A5084">
      <w:pPr>
        <w:spacing w:line="360" w:lineRule="auto"/>
        <w:ind w:left="567" w:right="567"/>
        <w:jc w:val="both"/>
        <w:rPr>
          <w:rFonts w:ascii="Palatino Linotype" w:hAnsi="Palatino Linotype" w:cs="Calibri"/>
          <w:i/>
          <w:color w:val="000000"/>
          <w:sz w:val="22"/>
          <w:szCs w:val="22"/>
        </w:rPr>
      </w:pPr>
      <w:r w:rsidRPr="00CA13A3">
        <w:rPr>
          <w:rFonts w:ascii="Palatino Linotype" w:hAnsi="Palatino Linotype" w:cs="Calibri"/>
          <w:b/>
          <w:bCs/>
          <w:i/>
          <w:color w:val="000000"/>
          <w:sz w:val="22"/>
          <w:szCs w:val="22"/>
        </w:rPr>
        <w:t xml:space="preserve">“DERECHO A LA INFORMACIÓN. SU EJERCICIO SE ENCUENTRA LIMITADO TANTO POR LOS INTERESES NACIONALES Y DE LA SOCIEDAD, COMO POR LOS DERECHOS DE TERCEROS. </w:t>
      </w:r>
      <w:r w:rsidRPr="00CA13A3">
        <w:rPr>
          <w:rFonts w:ascii="Palatino Linotype" w:hAnsi="Palatino Linotype" w:cs="Calibri"/>
          <w:i/>
          <w:color w:val="000000"/>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CA13A3">
        <w:rPr>
          <w:rFonts w:ascii="Palatino Linotype" w:hAnsi="Palatino Linotype" w:cs="Calibri"/>
          <w:b/>
          <w:i/>
          <w:color w:val="000000"/>
          <w:sz w:val="22"/>
          <w:szCs w:val="22"/>
        </w:rPr>
        <w:t>restringen el acceso a la información en esta materia, en razón de que su conocimiento público puede generar daños a los intereses nacionales y, por el otro, sancionan la inobservancia de esa reserva</w:t>
      </w:r>
      <w:r w:rsidRPr="00CA13A3">
        <w:rPr>
          <w:rFonts w:ascii="Palatino Linotype" w:hAnsi="Palatino Linotype" w:cs="Calibri"/>
          <w:i/>
          <w:color w:val="000000"/>
          <w:sz w:val="22"/>
          <w:szCs w:val="22"/>
        </w:rPr>
        <w:t xml:space="preserve">; por lo que hace al interés social, se cuenta con normas que tienden a proteger la averiguación de los delitos, la salud y la moral públicas, </w:t>
      </w:r>
      <w:r w:rsidRPr="00CA13A3">
        <w:rPr>
          <w:rFonts w:ascii="Palatino Linotype" w:hAnsi="Palatino Linotype" w:cs="Calibri"/>
          <w:b/>
          <w:i/>
          <w:color w:val="000000"/>
          <w:sz w:val="22"/>
          <w:szCs w:val="22"/>
        </w:rPr>
        <w:t xml:space="preserve">mientras </w:t>
      </w:r>
      <w:r w:rsidRPr="00CA13A3">
        <w:rPr>
          <w:rFonts w:ascii="Palatino Linotype" w:hAnsi="Palatino Linotype" w:cs="Calibri"/>
          <w:b/>
          <w:i/>
          <w:color w:val="000000"/>
          <w:sz w:val="22"/>
          <w:szCs w:val="22"/>
        </w:rPr>
        <w:lastRenderedPageBreak/>
        <w:t>que por lo que respecta a la protección de la persona existen normas que protegen el derecho a la vida o a la privacidad de los gobernados</w:t>
      </w:r>
      <w:r w:rsidRPr="00CA13A3">
        <w:rPr>
          <w:rFonts w:ascii="Palatino Linotype" w:hAnsi="Palatino Linotype" w:cs="Calibri"/>
          <w:i/>
          <w:color w:val="000000"/>
          <w:sz w:val="22"/>
          <w:szCs w:val="22"/>
        </w:rPr>
        <w:t>.”</w:t>
      </w:r>
    </w:p>
    <w:p w14:paraId="76309EB9" w14:textId="77777777" w:rsidR="007A5084" w:rsidRPr="00CA13A3" w:rsidRDefault="007A5084" w:rsidP="007A5084">
      <w:pPr>
        <w:spacing w:line="360" w:lineRule="auto"/>
        <w:ind w:right="567"/>
        <w:jc w:val="both"/>
        <w:rPr>
          <w:rFonts w:ascii="Palatino Linotype" w:hAnsi="Palatino Linotype" w:cs="Calibri"/>
          <w:i/>
          <w:color w:val="000000"/>
          <w:sz w:val="22"/>
          <w:szCs w:val="22"/>
        </w:rPr>
      </w:pPr>
    </w:p>
    <w:p w14:paraId="76309EBA" w14:textId="77777777" w:rsidR="007A5084" w:rsidRPr="00CA13A3" w:rsidRDefault="007A5084" w:rsidP="007A5084">
      <w:pPr>
        <w:spacing w:line="360" w:lineRule="auto"/>
        <w:ind w:left="567" w:right="567"/>
        <w:jc w:val="both"/>
        <w:rPr>
          <w:rFonts w:ascii="Palatino Linotype" w:hAnsi="Palatino Linotype" w:cs="Arial"/>
          <w:i/>
          <w:sz w:val="22"/>
          <w:szCs w:val="22"/>
        </w:rPr>
      </w:pPr>
      <w:r w:rsidRPr="00CA13A3">
        <w:rPr>
          <w:rFonts w:ascii="Palatino Linotype" w:hAnsi="Palatino Linotype" w:cs="Arial"/>
          <w:b/>
          <w:i/>
          <w:sz w:val="22"/>
          <w:szCs w:val="22"/>
        </w:rPr>
        <w:t xml:space="preserve">“TRANSPARENCIA Y ACCESO A LA INFORMACIÓN PÚBLICA GUBERNAMENTAL. EL ARTÍCULO 14, FRACCIÓN I, DE LA LEY FEDERAL RELATIVA, NO VIOLA LA GARANTÍA DE ACCESO A LA INFORMACIÓN. </w:t>
      </w:r>
      <w:r w:rsidRPr="00CA13A3">
        <w:rPr>
          <w:rFonts w:ascii="Palatino Linotype" w:hAnsi="Palatino Linotype" w:cs="Arial"/>
          <w:i/>
          <w:sz w:val="22"/>
          <w:szCs w:val="22"/>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CA13A3">
        <w:rPr>
          <w:rFonts w:ascii="Palatino Linotype" w:hAnsi="Palatino Linotype" w:cs="Arial"/>
          <w:b/>
          <w:i/>
          <w:sz w:val="22"/>
          <w:szCs w:val="22"/>
        </w:rPr>
        <w:t xml:space="preserve">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w:t>
      </w:r>
      <w:r w:rsidRPr="00CA13A3">
        <w:rPr>
          <w:rFonts w:ascii="Palatino Linotype" w:hAnsi="Palatino Linotype" w:cs="Arial"/>
          <w:b/>
          <w:i/>
          <w:sz w:val="22"/>
          <w:szCs w:val="22"/>
        </w:rPr>
        <w:lastRenderedPageBreak/>
        <w:t>razón que motive la restricción legislativa correspondiente,</w:t>
      </w:r>
      <w:r w:rsidRPr="00CA13A3">
        <w:rPr>
          <w:rFonts w:ascii="Palatino Linotype" w:hAnsi="Palatino Linotype" w:cs="Arial"/>
          <w:i/>
          <w:sz w:val="22"/>
          <w:szCs w:val="22"/>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76309EBB" w14:textId="77777777" w:rsidR="007A5084" w:rsidRPr="00CA13A3" w:rsidRDefault="007A5084" w:rsidP="007A5084">
      <w:pPr>
        <w:spacing w:line="360" w:lineRule="auto"/>
        <w:ind w:left="567" w:right="567"/>
        <w:jc w:val="both"/>
        <w:rPr>
          <w:rFonts w:ascii="Palatino Linotype" w:hAnsi="Palatino Linotype" w:cs="Arial"/>
          <w:i/>
          <w:sz w:val="22"/>
          <w:szCs w:val="22"/>
        </w:rPr>
      </w:pPr>
    </w:p>
    <w:p w14:paraId="76309EBC" w14:textId="77777777" w:rsidR="00630861" w:rsidRPr="00CA13A3" w:rsidRDefault="00A73CAF" w:rsidP="002F2D53">
      <w:pPr>
        <w:pStyle w:val="Prrafodelista"/>
        <w:numPr>
          <w:ilvl w:val="0"/>
          <w:numId w:val="1"/>
        </w:numPr>
        <w:tabs>
          <w:tab w:val="left" w:pos="0"/>
        </w:tabs>
        <w:spacing w:line="360" w:lineRule="auto"/>
        <w:ind w:left="0" w:firstLine="0"/>
        <w:jc w:val="both"/>
        <w:rPr>
          <w:rFonts w:ascii="Palatino Linotype" w:hAnsi="Palatino Linotype" w:cs="Arial"/>
          <w:color w:val="222222"/>
          <w:szCs w:val="22"/>
          <w:lang w:eastAsia="es-MX"/>
        </w:rPr>
      </w:pPr>
      <w:r w:rsidRPr="00CA13A3">
        <w:rPr>
          <w:rFonts w:ascii="Palatino Linotype" w:hAnsi="Palatino Linotype" w:cs="Arial"/>
          <w:color w:val="222222"/>
          <w:szCs w:val="22"/>
          <w:lang w:eastAsia="es-MX"/>
        </w:rPr>
        <w:t xml:space="preserve">Como resultado de lo anterior, </w:t>
      </w:r>
      <w:r w:rsidR="003B4CE4" w:rsidRPr="00CA13A3">
        <w:rPr>
          <w:rFonts w:ascii="Palatino Linotype" w:hAnsi="Palatino Linotype" w:cs="Arial"/>
          <w:color w:val="222222"/>
          <w:szCs w:val="22"/>
          <w:lang w:eastAsia="es-MX"/>
        </w:rPr>
        <w:t>lo procedente es</w:t>
      </w:r>
      <w:r w:rsidR="007A5084" w:rsidRPr="00CA13A3">
        <w:rPr>
          <w:rFonts w:ascii="Palatino Linotype" w:hAnsi="Palatino Linotype" w:cs="Arial"/>
          <w:color w:val="222222"/>
          <w:szCs w:val="22"/>
          <w:lang w:eastAsia="es-MX"/>
        </w:rPr>
        <w:t xml:space="preserve"> ORDENA</w:t>
      </w:r>
      <w:r w:rsidR="003B4CE4" w:rsidRPr="00CA13A3">
        <w:rPr>
          <w:rFonts w:ascii="Palatino Linotype" w:hAnsi="Palatino Linotype" w:cs="Arial"/>
          <w:color w:val="222222"/>
          <w:szCs w:val="22"/>
          <w:lang w:eastAsia="es-MX"/>
        </w:rPr>
        <w:t>R</w:t>
      </w:r>
      <w:r w:rsidR="007A5084" w:rsidRPr="00CA13A3">
        <w:rPr>
          <w:rFonts w:ascii="Palatino Linotype" w:hAnsi="Palatino Linotype" w:cs="Arial"/>
          <w:color w:val="222222"/>
          <w:szCs w:val="22"/>
          <w:lang w:eastAsia="es-MX"/>
        </w:rPr>
        <w:t xml:space="preserve"> al Sujeto Obligado entregar el acuerdo del Comité de Transparencia mediante el cual se clasifique </w:t>
      </w:r>
      <w:r w:rsidR="00630861" w:rsidRPr="00CA13A3">
        <w:rPr>
          <w:rFonts w:ascii="Palatino Linotype" w:hAnsi="Palatino Linotype"/>
          <w:szCs w:val="22"/>
          <w:lang w:eastAsia="es-MX"/>
        </w:rPr>
        <w:t xml:space="preserve">como confidencial el pronunciamiento en sentido afirmativo o negativo respecto de la existencia del consentimiento referido en la solicitud de información </w:t>
      </w:r>
      <w:r w:rsidR="00630861" w:rsidRPr="00CA13A3">
        <w:rPr>
          <w:rFonts w:ascii="Palatino Linotype" w:hAnsi="Palatino Linotype"/>
          <w:b/>
          <w:bCs/>
          <w:szCs w:val="22"/>
        </w:rPr>
        <w:t xml:space="preserve">00124/SECTI/IP/2024 </w:t>
      </w:r>
      <w:r w:rsidR="00630861" w:rsidRPr="00CA13A3">
        <w:rPr>
          <w:rFonts w:ascii="Palatino Linotype" w:hAnsi="Palatino Linotype"/>
          <w:bCs/>
          <w:szCs w:val="22"/>
        </w:rPr>
        <w:t xml:space="preserve">y las acciones llevadas a cabo por la Directora para garantizar el derecho a la protección de la salud de la menor. </w:t>
      </w:r>
    </w:p>
    <w:p w14:paraId="76309EBD" w14:textId="77777777" w:rsidR="00976E83" w:rsidRPr="00CA13A3" w:rsidRDefault="002F2D53" w:rsidP="007A6851">
      <w:pPr>
        <w:numPr>
          <w:ilvl w:val="0"/>
          <w:numId w:val="1"/>
        </w:numPr>
        <w:shd w:val="clear" w:color="auto" w:fill="FFFFFF"/>
        <w:spacing w:before="240" w:after="240" w:line="360" w:lineRule="auto"/>
        <w:ind w:left="0" w:firstLine="0"/>
        <w:jc w:val="both"/>
        <w:rPr>
          <w:rFonts w:ascii="Palatino Linotype" w:hAnsi="Palatino Linotype"/>
          <w:color w:val="000000"/>
          <w:sz w:val="22"/>
          <w:szCs w:val="22"/>
        </w:rPr>
      </w:pPr>
      <w:r w:rsidRPr="00CA13A3">
        <w:rPr>
          <w:rFonts w:ascii="Palatino Linotype" w:hAnsi="Palatino Linotype"/>
          <w:color w:val="222222"/>
          <w:sz w:val="22"/>
          <w:szCs w:val="22"/>
        </w:rPr>
        <w:t xml:space="preserve">Por otro lado, </w:t>
      </w:r>
      <w:r w:rsidR="00A211DD" w:rsidRPr="00CA13A3">
        <w:rPr>
          <w:rFonts w:ascii="Palatino Linotype" w:hAnsi="Palatino Linotype"/>
          <w:color w:val="222222"/>
          <w:sz w:val="22"/>
          <w:szCs w:val="22"/>
        </w:rPr>
        <w:t xml:space="preserve">recordemos que el Recurrente también solicitó información referente al trámite que se dio a la denuncia presentada contra la servidora pública referida en la solicitud de información, </w:t>
      </w:r>
      <w:r w:rsidR="004D15B2" w:rsidRPr="00CA13A3">
        <w:rPr>
          <w:rFonts w:ascii="Palatino Linotype" w:hAnsi="Palatino Linotype"/>
          <w:color w:val="222222"/>
          <w:sz w:val="22"/>
          <w:szCs w:val="22"/>
        </w:rPr>
        <w:t xml:space="preserve">por lo que conviene señalar que dentro de las áreas que pudieran generar, poseer o administrar la información se advierte </w:t>
      </w:r>
      <w:r w:rsidR="007A6851" w:rsidRPr="00CA13A3">
        <w:rPr>
          <w:rFonts w:ascii="Palatino Linotype" w:hAnsi="Palatino Linotype"/>
          <w:color w:val="222222"/>
          <w:sz w:val="22"/>
          <w:szCs w:val="22"/>
        </w:rPr>
        <w:t>el Órgano Interno de Control del Sujeto Obligado, cuyas atribuciones se encuentran contempladas en el Reglamento Interior de la Secretaría de la Contraloría que establece</w:t>
      </w:r>
      <w:r w:rsidR="00E6624A" w:rsidRPr="00CA13A3">
        <w:rPr>
          <w:rFonts w:ascii="Palatino Linotype" w:hAnsi="Palatino Linotype"/>
          <w:color w:val="222222"/>
          <w:sz w:val="22"/>
          <w:szCs w:val="22"/>
        </w:rPr>
        <w:t>n:</w:t>
      </w:r>
    </w:p>
    <w:p w14:paraId="76309EBE" w14:textId="77777777" w:rsidR="00E6624A" w:rsidRPr="00CA13A3" w:rsidRDefault="002E5022" w:rsidP="002E5022">
      <w:pPr>
        <w:shd w:val="clear" w:color="auto" w:fill="FFFFFF"/>
        <w:spacing w:before="240" w:after="240" w:line="360" w:lineRule="auto"/>
        <w:ind w:left="851" w:right="822"/>
        <w:jc w:val="both"/>
        <w:rPr>
          <w:rFonts w:ascii="Palatino Linotype" w:hAnsi="Palatino Linotype"/>
          <w:i/>
          <w:color w:val="000000"/>
          <w:sz w:val="22"/>
          <w:szCs w:val="22"/>
        </w:rPr>
      </w:pPr>
      <w:r w:rsidRPr="00CA13A3">
        <w:rPr>
          <w:rFonts w:ascii="Palatino Linotype" w:hAnsi="Palatino Linotype"/>
          <w:i/>
          <w:color w:val="000000"/>
          <w:sz w:val="22"/>
          <w:szCs w:val="22"/>
        </w:rPr>
        <w:t>“</w:t>
      </w:r>
      <w:r w:rsidR="00E6624A" w:rsidRPr="00CA13A3">
        <w:rPr>
          <w:rFonts w:ascii="Palatino Linotype" w:hAnsi="Palatino Linotype"/>
          <w:i/>
          <w:color w:val="000000"/>
          <w:sz w:val="22"/>
          <w:szCs w:val="22"/>
        </w:rPr>
        <w:t>Artículo 43. Corresponde a los órganos internos de control de las dependencias y organismos auxiliares las atribuciones siguientes:</w:t>
      </w:r>
    </w:p>
    <w:p w14:paraId="76309EBF" w14:textId="77777777" w:rsidR="00E6624A" w:rsidRPr="00CA13A3" w:rsidRDefault="00E6624A" w:rsidP="002E5022">
      <w:pPr>
        <w:shd w:val="clear" w:color="auto" w:fill="FFFFFF"/>
        <w:spacing w:before="240" w:after="240" w:line="360" w:lineRule="auto"/>
        <w:ind w:left="851" w:right="822"/>
        <w:jc w:val="both"/>
        <w:rPr>
          <w:rFonts w:ascii="Palatino Linotype" w:hAnsi="Palatino Linotype"/>
          <w:i/>
          <w:color w:val="000000"/>
          <w:sz w:val="22"/>
          <w:szCs w:val="22"/>
        </w:rPr>
      </w:pPr>
      <w:r w:rsidRPr="00CA13A3">
        <w:rPr>
          <w:rFonts w:ascii="Palatino Linotype" w:hAnsi="Palatino Linotype"/>
          <w:i/>
          <w:color w:val="000000"/>
          <w:sz w:val="22"/>
          <w:szCs w:val="22"/>
        </w:rPr>
        <w:t>…</w:t>
      </w:r>
    </w:p>
    <w:p w14:paraId="76309EC0" w14:textId="77777777" w:rsidR="00E6624A" w:rsidRPr="00CA13A3" w:rsidRDefault="002E5022" w:rsidP="002E5022">
      <w:pPr>
        <w:shd w:val="clear" w:color="auto" w:fill="FFFFFF"/>
        <w:spacing w:before="240" w:after="240" w:line="360" w:lineRule="auto"/>
        <w:ind w:left="851" w:right="822"/>
        <w:jc w:val="both"/>
        <w:rPr>
          <w:rFonts w:ascii="Palatino Linotype" w:hAnsi="Palatino Linotype"/>
          <w:i/>
          <w:color w:val="000000"/>
          <w:sz w:val="22"/>
          <w:szCs w:val="22"/>
        </w:rPr>
      </w:pPr>
      <w:r w:rsidRPr="00CA13A3">
        <w:rPr>
          <w:rFonts w:ascii="Palatino Linotype" w:hAnsi="Palatino Linotype"/>
          <w:i/>
          <w:color w:val="000000"/>
          <w:sz w:val="22"/>
          <w:szCs w:val="22"/>
        </w:rPr>
        <w:lastRenderedPageBreak/>
        <w:t>VI. Revisar las denuncias por presuntas infracciones o faltas administrativas derivadas de actos u omisiones cometidas por personas servidoras públicas de las dependencias y organismos auxiliares del Poder Ejecutivo a la que se encuentren adscritos, y de particulares vinculados con faltas administrativas graves, en términos de la Ley de Responsabilidades; investigar y calificar las calificaciones que se definan en las faltas administrativas que detecte, así como llevar a cabo las acciones que procedan;</w:t>
      </w:r>
    </w:p>
    <w:p w14:paraId="76309EC1" w14:textId="77777777" w:rsidR="002E5022" w:rsidRPr="00CA13A3" w:rsidRDefault="002E5022" w:rsidP="002E5022">
      <w:pPr>
        <w:shd w:val="clear" w:color="auto" w:fill="FFFFFF"/>
        <w:spacing w:before="240" w:after="240" w:line="360" w:lineRule="auto"/>
        <w:ind w:left="851" w:right="822"/>
        <w:jc w:val="both"/>
        <w:rPr>
          <w:rFonts w:ascii="Palatino Linotype" w:hAnsi="Palatino Linotype"/>
          <w:i/>
          <w:color w:val="000000"/>
          <w:sz w:val="22"/>
          <w:szCs w:val="22"/>
        </w:rPr>
      </w:pPr>
      <w:r w:rsidRPr="00CA13A3">
        <w:rPr>
          <w:rFonts w:ascii="Palatino Linotype" w:hAnsi="Palatino Linotype"/>
          <w:i/>
          <w:color w:val="000000"/>
          <w:sz w:val="22"/>
          <w:szCs w:val="22"/>
        </w:rPr>
        <w:t>…</w:t>
      </w:r>
    </w:p>
    <w:p w14:paraId="76309EC2" w14:textId="77777777" w:rsidR="002E5022" w:rsidRPr="00CA13A3" w:rsidRDefault="002E5022" w:rsidP="002E5022">
      <w:pPr>
        <w:shd w:val="clear" w:color="auto" w:fill="FFFFFF"/>
        <w:spacing w:before="240" w:after="240" w:line="360" w:lineRule="auto"/>
        <w:ind w:left="851" w:right="822"/>
        <w:jc w:val="both"/>
        <w:rPr>
          <w:rFonts w:ascii="Palatino Linotype" w:hAnsi="Palatino Linotype"/>
          <w:i/>
          <w:color w:val="000000"/>
          <w:sz w:val="22"/>
          <w:szCs w:val="22"/>
        </w:rPr>
      </w:pPr>
      <w:r w:rsidRPr="00CA13A3">
        <w:rPr>
          <w:rFonts w:ascii="Palatino Linotype" w:hAnsi="Palatino Linotype"/>
          <w:i/>
          <w:color w:val="000000"/>
          <w:sz w:val="22"/>
          <w:szCs w:val="22"/>
        </w:rPr>
        <w:t>VIII. Revisar y verificar la información para substanciar el procedimiento de responsabilidad administrativa, así como, emitir la resolución que en derecho proceda y, en su caso, proponer y verificar el cumplimiento de las sanciones respectivas, cuando se trate de faltas administrativas no graves, así como remitir al Tribunal de Justicia Administrativa del Estado de México, los autos originales del expediente integrado con motivo de los procedimientos de responsabilidad administrativa cuando se refieran a faltas administrativas graves y por conductas de particulares sancionables conforme a la Ley de Responsabilidades, para su resolución;</w:t>
      </w:r>
    </w:p>
    <w:p w14:paraId="76309EC3" w14:textId="77777777" w:rsidR="002E5022" w:rsidRPr="00CA13A3" w:rsidRDefault="002E5022" w:rsidP="002E5022">
      <w:pPr>
        <w:shd w:val="clear" w:color="auto" w:fill="FFFFFF"/>
        <w:spacing w:before="240" w:after="240" w:line="360" w:lineRule="auto"/>
        <w:ind w:left="851" w:right="822"/>
        <w:jc w:val="both"/>
        <w:rPr>
          <w:rFonts w:ascii="Palatino Linotype" w:hAnsi="Palatino Linotype"/>
          <w:i/>
          <w:color w:val="000000"/>
          <w:sz w:val="22"/>
          <w:szCs w:val="22"/>
        </w:rPr>
      </w:pPr>
      <w:r w:rsidRPr="00CA13A3">
        <w:rPr>
          <w:rFonts w:ascii="Palatino Linotype" w:hAnsi="Palatino Linotype"/>
          <w:i/>
          <w:color w:val="000000"/>
          <w:sz w:val="22"/>
          <w:szCs w:val="22"/>
        </w:rPr>
        <w:t xml:space="preserve">IX. Planear y Programar la realización de diligencias en el ámbito de su competencia para el cumplimiento de sus facultades, de conformidad con lo dispuesto en la Ley de Responsabilidades; </w:t>
      </w:r>
    </w:p>
    <w:p w14:paraId="76309EC4" w14:textId="77777777" w:rsidR="002E5022" w:rsidRPr="00CA13A3" w:rsidRDefault="002E5022" w:rsidP="002E5022">
      <w:pPr>
        <w:shd w:val="clear" w:color="auto" w:fill="FFFFFF"/>
        <w:spacing w:before="240" w:after="240" w:line="360" w:lineRule="auto"/>
        <w:ind w:left="851" w:right="822"/>
        <w:jc w:val="both"/>
        <w:rPr>
          <w:rFonts w:ascii="Palatino Linotype" w:hAnsi="Palatino Linotype"/>
          <w:i/>
          <w:color w:val="000000"/>
          <w:sz w:val="22"/>
          <w:szCs w:val="22"/>
        </w:rPr>
      </w:pPr>
      <w:r w:rsidRPr="00CA13A3">
        <w:rPr>
          <w:rFonts w:ascii="Palatino Linotype" w:hAnsi="Palatino Linotype"/>
          <w:i/>
          <w:color w:val="000000"/>
          <w:sz w:val="22"/>
          <w:szCs w:val="22"/>
        </w:rPr>
        <w:lastRenderedPageBreak/>
        <w:t>X. Proponer la abstención de iniciar el procedimiento de responsabilidad administrativa o de imponer sanciones administrativas, en términos de la Ley de Responsabilidades;</w:t>
      </w:r>
    </w:p>
    <w:p w14:paraId="76309EC5" w14:textId="77777777" w:rsidR="002E5022" w:rsidRPr="00CA13A3" w:rsidRDefault="002E5022" w:rsidP="002E5022">
      <w:pPr>
        <w:shd w:val="clear" w:color="auto" w:fill="FFFFFF"/>
        <w:spacing w:before="240" w:after="240" w:line="360" w:lineRule="auto"/>
        <w:ind w:left="851" w:right="822"/>
        <w:jc w:val="both"/>
        <w:rPr>
          <w:rFonts w:ascii="Palatino Linotype" w:hAnsi="Palatino Linotype"/>
          <w:i/>
          <w:color w:val="000000"/>
          <w:sz w:val="22"/>
          <w:szCs w:val="22"/>
        </w:rPr>
      </w:pPr>
      <w:r w:rsidRPr="00CA13A3">
        <w:rPr>
          <w:rFonts w:ascii="Palatino Linotype" w:hAnsi="Palatino Linotype"/>
          <w:i/>
          <w:color w:val="000000"/>
          <w:sz w:val="22"/>
          <w:szCs w:val="22"/>
        </w:rPr>
        <w:t xml:space="preserve">XI. Instruir, tramitar y, en su caso, emitir la resolución de los recursos previstos por la Ley de Responsabilidades y demás disposiciones aplicables en la materia; </w:t>
      </w:r>
    </w:p>
    <w:p w14:paraId="76309EC6" w14:textId="77777777" w:rsidR="002E5022" w:rsidRPr="00CA13A3" w:rsidRDefault="002E5022" w:rsidP="002E5022">
      <w:pPr>
        <w:shd w:val="clear" w:color="auto" w:fill="FFFFFF"/>
        <w:spacing w:before="240" w:after="240" w:line="360" w:lineRule="auto"/>
        <w:ind w:left="851" w:right="822"/>
        <w:jc w:val="both"/>
        <w:rPr>
          <w:rFonts w:ascii="Palatino Linotype" w:hAnsi="Palatino Linotype"/>
          <w:i/>
          <w:color w:val="000000"/>
          <w:sz w:val="22"/>
          <w:szCs w:val="22"/>
        </w:rPr>
      </w:pPr>
      <w:r w:rsidRPr="00CA13A3">
        <w:rPr>
          <w:rFonts w:ascii="Palatino Linotype" w:hAnsi="Palatino Linotype"/>
          <w:i/>
          <w:color w:val="000000"/>
          <w:sz w:val="22"/>
          <w:szCs w:val="22"/>
        </w:rPr>
        <w:t xml:space="preserve">XII. Revisar y verificar la información para substanciar y resolver incidentes que no tengan señalada una tramitación especial; </w:t>
      </w:r>
    </w:p>
    <w:p w14:paraId="76309EC7" w14:textId="77777777" w:rsidR="002E5022" w:rsidRPr="00CA13A3" w:rsidRDefault="002E5022" w:rsidP="002E5022">
      <w:pPr>
        <w:shd w:val="clear" w:color="auto" w:fill="FFFFFF"/>
        <w:spacing w:before="240" w:after="240" w:line="360" w:lineRule="auto"/>
        <w:ind w:left="851" w:right="822"/>
        <w:jc w:val="both"/>
        <w:rPr>
          <w:rFonts w:ascii="Palatino Linotype" w:hAnsi="Palatino Linotype"/>
          <w:i/>
          <w:color w:val="000000"/>
          <w:sz w:val="22"/>
          <w:szCs w:val="22"/>
        </w:rPr>
      </w:pPr>
      <w:r w:rsidRPr="00CA13A3">
        <w:rPr>
          <w:rFonts w:ascii="Palatino Linotype" w:hAnsi="Palatino Linotype"/>
          <w:i/>
          <w:color w:val="000000"/>
          <w:sz w:val="22"/>
          <w:szCs w:val="22"/>
        </w:rPr>
        <w:t>XIII. Coordinar la defensa jurídica de las resoluciones que emitan, ante las diversas instancias jurisdiccionales, así como emitir las constancias y copias certificadas de los documentos que obren en los archivos del Órgano Interno de Control;</w:t>
      </w:r>
    </w:p>
    <w:p w14:paraId="76309EC8" w14:textId="77777777" w:rsidR="002E5022" w:rsidRPr="00CA13A3" w:rsidRDefault="002E5022" w:rsidP="002E5022">
      <w:pPr>
        <w:shd w:val="clear" w:color="auto" w:fill="FFFFFF"/>
        <w:spacing w:before="240" w:after="240" w:line="360" w:lineRule="auto"/>
        <w:ind w:left="851" w:right="822"/>
        <w:jc w:val="both"/>
        <w:rPr>
          <w:rFonts w:ascii="Palatino Linotype" w:hAnsi="Palatino Linotype"/>
          <w:i/>
          <w:color w:val="000000"/>
          <w:sz w:val="22"/>
          <w:szCs w:val="22"/>
        </w:rPr>
      </w:pPr>
      <w:r w:rsidRPr="00CA13A3">
        <w:rPr>
          <w:rFonts w:ascii="Palatino Linotype" w:hAnsi="Palatino Linotype"/>
          <w:i/>
          <w:color w:val="000000"/>
          <w:sz w:val="22"/>
          <w:szCs w:val="22"/>
        </w:rPr>
        <w:t>…”</w:t>
      </w:r>
    </w:p>
    <w:p w14:paraId="76309EC9" w14:textId="77777777" w:rsidR="007A6851" w:rsidRPr="00CA13A3" w:rsidRDefault="00675CED" w:rsidP="00BD3B95">
      <w:pPr>
        <w:pStyle w:val="Prrafodelista"/>
        <w:numPr>
          <w:ilvl w:val="0"/>
          <w:numId w:val="1"/>
        </w:numPr>
        <w:tabs>
          <w:tab w:val="left" w:pos="0"/>
        </w:tabs>
        <w:spacing w:line="360" w:lineRule="auto"/>
        <w:ind w:left="0" w:firstLine="0"/>
        <w:jc w:val="both"/>
        <w:rPr>
          <w:rFonts w:ascii="Palatino Linotype" w:hAnsi="Palatino Linotype"/>
          <w:color w:val="000000"/>
          <w:szCs w:val="22"/>
        </w:rPr>
      </w:pPr>
      <w:r w:rsidRPr="00CA13A3">
        <w:rPr>
          <w:rFonts w:ascii="Palatino Linotype" w:hAnsi="Palatino Linotype"/>
          <w:color w:val="000000"/>
          <w:szCs w:val="22"/>
        </w:rPr>
        <w:t xml:space="preserve">Como se advierte de los preceptos legales señalados, el área que de acuerdo a sus facultades puede generar, poseer o administrar la información solicitada es el Órgano de Control Interno, por lo que la solicitud se debió turnar a dicha área. </w:t>
      </w:r>
    </w:p>
    <w:p w14:paraId="76309ECA" w14:textId="77777777" w:rsidR="00876CD6" w:rsidRPr="00CA13A3" w:rsidRDefault="00876CD6" w:rsidP="00876CD6">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CA13A3">
        <w:rPr>
          <w:rFonts w:ascii="Palatino Linotype" w:hAnsi="Palatino Linotype"/>
          <w:color w:val="222222"/>
          <w:sz w:val="22"/>
          <w:szCs w:val="22"/>
        </w:rPr>
        <w:t>Ahora bien</w:t>
      </w:r>
      <w:r w:rsidRPr="00CA13A3">
        <w:rPr>
          <w:rFonts w:ascii="Palatino Linotype" w:hAnsi="Palatino Linotype"/>
          <w:color w:val="000000"/>
          <w:sz w:val="22"/>
          <w:szCs w:val="22"/>
        </w:rPr>
        <w:t>, si partimos de la naturaleza de lo solicitado, se observa que el particular</w:t>
      </w:r>
      <w:r w:rsidRPr="00CA13A3">
        <w:rPr>
          <w:rFonts w:ascii="Palatino Linotype" w:hAnsi="Palatino Linotype"/>
          <w:b/>
          <w:color w:val="000000"/>
          <w:sz w:val="22"/>
          <w:szCs w:val="22"/>
        </w:rPr>
        <w:t xml:space="preserve">  </w:t>
      </w:r>
      <w:r w:rsidRPr="00CA13A3">
        <w:rPr>
          <w:rFonts w:ascii="Palatino Linotype" w:hAnsi="Palatino Linotype"/>
          <w:color w:val="000000"/>
          <w:sz w:val="22"/>
          <w:szCs w:val="22"/>
        </w:rPr>
        <w:t>hace a alusión al estado que guarda una denuncia, por lo que, al respecto</w:t>
      </w:r>
      <w:r w:rsidRPr="00CA13A3">
        <w:rPr>
          <w:rFonts w:ascii="Palatino Linotype" w:hAnsi="Palatino Linotype" w:cs="Tahoma"/>
          <w:bCs/>
          <w:iCs/>
          <w:sz w:val="22"/>
          <w:szCs w:val="22"/>
        </w:rPr>
        <w:t>, el artículo 211 del Código Nacional de Procedimientos Penales establece que el procedimiento penal ordinario comprenderá las siguientes fases:</w:t>
      </w:r>
    </w:p>
    <w:p w14:paraId="76309ECB" w14:textId="77777777" w:rsidR="00876CD6" w:rsidRPr="00CA13A3" w:rsidRDefault="00876CD6" w:rsidP="00876CD6">
      <w:pPr>
        <w:pStyle w:val="Prrafodelista"/>
        <w:tabs>
          <w:tab w:val="left" w:pos="0"/>
        </w:tabs>
        <w:spacing w:line="360" w:lineRule="auto"/>
        <w:ind w:left="0"/>
        <w:jc w:val="both"/>
        <w:rPr>
          <w:rFonts w:ascii="Palatino Linotype" w:hAnsi="Palatino Linotype"/>
          <w:color w:val="000000"/>
          <w:szCs w:val="22"/>
        </w:rPr>
      </w:pPr>
    </w:p>
    <w:p w14:paraId="76309ECC" w14:textId="77777777" w:rsidR="00876CD6" w:rsidRPr="00CA13A3" w:rsidRDefault="00876CD6" w:rsidP="00876CD6">
      <w:pPr>
        <w:pStyle w:val="Prrafodelista"/>
        <w:tabs>
          <w:tab w:val="left" w:pos="1134"/>
        </w:tabs>
        <w:spacing w:before="240" w:after="240"/>
        <w:ind w:left="1134" w:right="900"/>
        <w:jc w:val="both"/>
        <w:rPr>
          <w:rFonts w:ascii="Palatino Linotype" w:hAnsi="Palatino Linotype" w:cs="Tahoma"/>
          <w:bCs/>
          <w:i/>
          <w:szCs w:val="22"/>
        </w:rPr>
      </w:pPr>
      <w:r w:rsidRPr="00CA13A3">
        <w:rPr>
          <w:rFonts w:ascii="Palatino Linotype" w:hAnsi="Palatino Linotype" w:cs="Tahoma"/>
          <w:bCs/>
          <w:i/>
          <w:szCs w:val="22"/>
        </w:rPr>
        <w:lastRenderedPageBreak/>
        <w:t>“</w:t>
      </w:r>
      <w:r w:rsidRPr="00CA13A3">
        <w:rPr>
          <w:rFonts w:ascii="Palatino Linotype" w:hAnsi="Palatino Linotype" w:cs="Tahoma"/>
          <w:b/>
          <w:i/>
          <w:szCs w:val="22"/>
        </w:rPr>
        <w:t>I.</w:t>
      </w:r>
      <w:r w:rsidRPr="00CA13A3">
        <w:rPr>
          <w:rFonts w:ascii="Palatino Linotype" w:hAnsi="Palatino Linotype" w:cs="Tahoma"/>
          <w:bCs/>
          <w:i/>
          <w:szCs w:val="22"/>
        </w:rPr>
        <w:t xml:space="preserve"> La de investigación, que comprende las siguientes fases: </w:t>
      </w:r>
    </w:p>
    <w:p w14:paraId="76309ECD" w14:textId="77777777" w:rsidR="00876CD6" w:rsidRPr="00CA13A3" w:rsidRDefault="00876CD6" w:rsidP="00876CD6">
      <w:pPr>
        <w:pStyle w:val="Prrafodelista"/>
        <w:tabs>
          <w:tab w:val="left" w:pos="1134"/>
        </w:tabs>
        <w:spacing w:before="240" w:after="240"/>
        <w:ind w:left="1134" w:right="900"/>
        <w:jc w:val="both"/>
        <w:rPr>
          <w:rFonts w:ascii="Palatino Linotype" w:hAnsi="Palatino Linotype" w:cs="Tahoma"/>
          <w:bCs/>
          <w:i/>
          <w:szCs w:val="22"/>
        </w:rPr>
      </w:pPr>
      <w:r w:rsidRPr="00CA13A3">
        <w:rPr>
          <w:rFonts w:ascii="Palatino Linotype" w:hAnsi="Palatino Linotype" w:cs="Tahoma"/>
          <w:b/>
          <w:i/>
          <w:szCs w:val="22"/>
        </w:rPr>
        <w:t>a)</w:t>
      </w:r>
      <w:r w:rsidRPr="00CA13A3">
        <w:rPr>
          <w:rFonts w:ascii="Palatino Linotype" w:hAnsi="Palatino Linotype" w:cs="Tahoma"/>
          <w:bCs/>
          <w:i/>
          <w:szCs w:val="22"/>
        </w:rPr>
        <w:t xml:space="preserve"> Investigación inicial, que </w:t>
      </w:r>
      <w:r w:rsidRPr="00CA13A3">
        <w:rPr>
          <w:rFonts w:ascii="Palatino Linotype" w:hAnsi="Palatino Linotype" w:cs="Tahoma"/>
          <w:b/>
          <w:i/>
          <w:szCs w:val="22"/>
        </w:rPr>
        <w:t>comienza con la presentación de la denuncia, querella u otro requisito equivalente</w:t>
      </w:r>
      <w:r w:rsidRPr="00CA13A3">
        <w:rPr>
          <w:rFonts w:ascii="Palatino Linotype" w:hAnsi="Palatino Linotype" w:cs="Tahoma"/>
          <w:bCs/>
          <w:i/>
          <w:szCs w:val="22"/>
        </w:rPr>
        <w:t xml:space="preserve"> y concluye cuando el imputado queda a disposición del Juez de control para que se le formule imputación, e </w:t>
      </w:r>
    </w:p>
    <w:p w14:paraId="76309ECE" w14:textId="77777777" w:rsidR="00876CD6" w:rsidRPr="00CA13A3" w:rsidRDefault="00876CD6" w:rsidP="00876CD6">
      <w:pPr>
        <w:pStyle w:val="Prrafodelista"/>
        <w:tabs>
          <w:tab w:val="left" w:pos="1134"/>
        </w:tabs>
        <w:spacing w:before="240" w:after="240"/>
        <w:ind w:left="1134" w:right="900"/>
        <w:jc w:val="both"/>
        <w:rPr>
          <w:rFonts w:ascii="Palatino Linotype" w:hAnsi="Palatino Linotype" w:cs="Tahoma"/>
          <w:bCs/>
          <w:i/>
          <w:szCs w:val="22"/>
        </w:rPr>
      </w:pPr>
      <w:r w:rsidRPr="00CA13A3">
        <w:rPr>
          <w:rFonts w:ascii="Palatino Linotype" w:hAnsi="Palatino Linotype" w:cs="Tahoma"/>
          <w:b/>
          <w:i/>
          <w:szCs w:val="22"/>
        </w:rPr>
        <w:t>b)</w:t>
      </w:r>
      <w:r w:rsidRPr="00CA13A3">
        <w:rPr>
          <w:rFonts w:ascii="Palatino Linotype" w:hAnsi="Palatino Linotype" w:cs="Tahoma"/>
          <w:bCs/>
          <w:i/>
          <w:szCs w:val="22"/>
        </w:rPr>
        <w:t xml:space="preserve"> Investigación complementaria, que comprende desde la formulación de la imputación y se agota una vez que se haya cerrado la investigación; </w:t>
      </w:r>
    </w:p>
    <w:p w14:paraId="76309ECF" w14:textId="77777777" w:rsidR="00876CD6" w:rsidRPr="00CA13A3" w:rsidRDefault="00876CD6" w:rsidP="00876CD6">
      <w:pPr>
        <w:pStyle w:val="Prrafodelista"/>
        <w:tabs>
          <w:tab w:val="left" w:pos="1134"/>
        </w:tabs>
        <w:spacing w:before="240" w:after="240"/>
        <w:ind w:left="1134" w:right="900"/>
        <w:jc w:val="both"/>
        <w:rPr>
          <w:rFonts w:ascii="Palatino Linotype" w:hAnsi="Palatino Linotype" w:cs="Tahoma"/>
          <w:bCs/>
          <w:i/>
          <w:szCs w:val="22"/>
        </w:rPr>
      </w:pPr>
      <w:r w:rsidRPr="00CA13A3">
        <w:rPr>
          <w:rFonts w:ascii="Palatino Linotype" w:hAnsi="Palatino Linotype" w:cs="Tahoma"/>
          <w:b/>
          <w:i/>
          <w:szCs w:val="22"/>
        </w:rPr>
        <w:t>II.</w:t>
      </w:r>
      <w:r w:rsidRPr="00CA13A3">
        <w:rPr>
          <w:rFonts w:ascii="Palatino Linotype" w:hAnsi="Palatino Linotype" w:cs="Tahoma"/>
          <w:bCs/>
          <w:i/>
          <w:szCs w:val="22"/>
        </w:rPr>
        <w:t xml:space="preserve"> La intermedia o de preparación del juicio, que comprende desde la formulación de la acusación hasta el auto de apertura del juicio, y</w:t>
      </w:r>
    </w:p>
    <w:p w14:paraId="76309ED0" w14:textId="77777777" w:rsidR="00876CD6" w:rsidRPr="00CA13A3" w:rsidRDefault="00876CD6" w:rsidP="00876CD6">
      <w:pPr>
        <w:pStyle w:val="Prrafodelista"/>
        <w:tabs>
          <w:tab w:val="left" w:pos="1134"/>
        </w:tabs>
        <w:spacing w:before="240" w:after="240"/>
        <w:ind w:left="1134" w:right="900"/>
        <w:jc w:val="both"/>
        <w:rPr>
          <w:rFonts w:ascii="Palatino Linotype" w:hAnsi="Palatino Linotype" w:cs="Tahoma"/>
          <w:bCs/>
          <w:i/>
          <w:szCs w:val="22"/>
        </w:rPr>
      </w:pPr>
      <w:r w:rsidRPr="00CA13A3">
        <w:rPr>
          <w:rFonts w:ascii="Palatino Linotype" w:hAnsi="Palatino Linotype" w:cs="Tahoma"/>
          <w:b/>
          <w:i/>
          <w:szCs w:val="22"/>
        </w:rPr>
        <w:t xml:space="preserve">III. </w:t>
      </w:r>
      <w:r w:rsidRPr="00CA13A3">
        <w:rPr>
          <w:rFonts w:ascii="Palatino Linotype" w:hAnsi="Palatino Linotype" w:cs="Tahoma"/>
          <w:bCs/>
          <w:i/>
          <w:szCs w:val="22"/>
        </w:rPr>
        <w:t>La de juicio, que comprende desde que se recibe el auto de apertura a juicio hasta la sentencia emitida por el Tribunal de enjuiciamiento.”</w:t>
      </w:r>
    </w:p>
    <w:p w14:paraId="76309ED1" w14:textId="77777777" w:rsidR="00876CD6" w:rsidRPr="00CA13A3" w:rsidRDefault="00876CD6" w:rsidP="00876CD6">
      <w:pPr>
        <w:pStyle w:val="Prrafodelista"/>
        <w:tabs>
          <w:tab w:val="left" w:pos="1134"/>
        </w:tabs>
        <w:spacing w:before="240" w:after="240"/>
        <w:ind w:left="1134" w:right="900"/>
        <w:jc w:val="both"/>
        <w:rPr>
          <w:rFonts w:ascii="Palatino Linotype" w:hAnsi="Palatino Linotype" w:cs="Tahoma"/>
          <w:bCs/>
          <w:iCs/>
          <w:szCs w:val="22"/>
        </w:rPr>
      </w:pPr>
      <w:r w:rsidRPr="00CA13A3">
        <w:rPr>
          <w:rFonts w:ascii="Palatino Linotype" w:hAnsi="Palatino Linotype" w:cs="Tahoma"/>
          <w:bCs/>
          <w:iCs/>
          <w:szCs w:val="22"/>
        </w:rPr>
        <w:t>(Énfasis añadido)</w:t>
      </w:r>
    </w:p>
    <w:p w14:paraId="76309ED2" w14:textId="77777777" w:rsidR="00876CD6" w:rsidRPr="00CA13A3" w:rsidRDefault="00876CD6" w:rsidP="00876CD6">
      <w:pPr>
        <w:pStyle w:val="Prrafodelista"/>
        <w:tabs>
          <w:tab w:val="left" w:pos="1134"/>
        </w:tabs>
        <w:spacing w:before="240" w:after="240"/>
        <w:ind w:left="1134" w:right="900"/>
        <w:jc w:val="both"/>
        <w:rPr>
          <w:rFonts w:ascii="Palatino Linotype" w:hAnsi="Palatino Linotype" w:cs="Tahoma"/>
          <w:bCs/>
          <w:iCs/>
          <w:szCs w:val="22"/>
        </w:rPr>
      </w:pPr>
    </w:p>
    <w:p w14:paraId="76309ED3" w14:textId="77777777" w:rsidR="00876CD6" w:rsidRPr="00CA13A3" w:rsidRDefault="00876CD6" w:rsidP="00876CD6">
      <w:pPr>
        <w:pStyle w:val="Prrafodelista"/>
        <w:numPr>
          <w:ilvl w:val="0"/>
          <w:numId w:val="1"/>
        </w:numPr>
        <w:spacing w:line="360" w:lineRule="auto"/>
        <w:ind w:left="0" w:firstLine="0"/>
        <w:contextualSpacing w:val="0"/>
        <w:jc w:val="both"/>
        <w:rPr>
          <w:rFonts w:ascii="Palatino Linotype" w:hAnsi="Palatino Linotype" w:cs="Tahoma"/>
          <w:bCs/>
          <w:iCs/>
          <w:szCs w:val="22"/>
        </w:rPr>
      </w:pPr>
      <w:r w:rsidRPr="00CA13A3">
        <w:rPr>
          <w:rFonts w:ascii="Palatino Linotype" w:hAnsi="Palatino Linotype" w:cs="Tahoma"/>
          <w:bCs/>
          <w:iCs/>
          <w:szCs w:val="22"/>
        </w:rPr>
        <w:t xml:space="preserve">La investigación de los hechos que revistan características de un delito podrá iniciarse por denuncia, por </w:t>
      </w:r>
      <w:r w:rsidRPr="00CA13A3">
        <w:rPr>
          <w:rFonts w:ascii="Palatino Linotype" w:hAnsi="Palatino Linotype" w:cs="Calibri"/>
          <w:color w:val="000000"/>
          <w:szCs w:val="22"/>
        </w:rPr>
        <w:t>querella</w:t>
      </w:r>
      <w:r w:rsidRPr="00CA13A3">
        <w:rPr>
          <w:rFonts w:ascii="Palatino Linotype" w:hAnsi="Palatino Linotype" w:cs="Tahoma"/>
          <w:bCs/>
          <w:iCs/>
          <w:szCs w:val="22"/>
        </w:rPr>
        <w:t xml:space="preserve"> o por su equivalente cuando la ley lo exija. El Ministerio Público y la Policía están obligados a proceder sin mayores requisitos a la investigación de los hechos de los que tengan noticia. </w:t>
      </w:r>
    </w:p>
    <w:p w14:paraId="76309ED4" w14:textId="77777777" w:rsidR="00876CD6" w:rsidRPr="00CA13A3" w:rsidRDefault="00876CD6" w:rsidP="00876CD6">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CA13A3">
        <w:rPr>
          <w:rFonts w:ascii="Palatino Linotype" w:hAnsi="Palatino Linotype" w:cs="Tahoma"/>
          <w:bCs/>
          <w:iCs/>
          <w:sz w:val="22"/>
          <w:szCs w:val="22"/>
        </w:rPr>
        <w:t xml:space="preserve">Tratándose de delitos que deban perseguirse de oficio, bastará para el inicio de la investigación la comunicación que haga cualquier persona, en la que se haga del conocimiento de </w:t>
      </w:r>
      <w:r w:rsidRPr="00CA13A3">
        <w:rPr>
          <w:rFonts w:ascii="Palatino Linotype" w:hAnsi="Palatino Linotype" w:cs="Calibri"/>
          <w:color w:val="000000"/>
          <w:sz w:val="22"/>
          <w:szCs w:val="22"/>
        </w:rPr>
        <w:t>la</w:t>
      </w:r>
      <w:r w:rsidRPr="00CA13A3">
        <w:rPr>
          <w:rFonts w:ascii="Palatino Linotype" w:hAnsi="Palatino Linotype" w:cs="Tahoma"/>
          <w:bCs/>
          <w:iCs/>
          <w:sz w:val="22"/>
          <w:szCs w:val="22"/>
        </w:rPr>
        <w:t xml:space="preserve"> autoridad investigadora los hechos que pudieran ser constitutivos de un delito.</w:t>
      </w:r>
    </w:p>
    <w:p w14:paraId="76309ED5" w14:textId="77777777" w:rsidR="00876CD6" w:rsidRPr="00CA13A3" w:rsidRDefault="00876CD6" w:rsidP="00876CD6">
      <w:pPr>
        <w:pStyle w:val="Prrafodelista"/>
        <w:numPr>
          <w:ilvl w:val="0"/>
          <w:numId w:val="1"/>
        </w:numPr>
        <w:spacing w:line="360" w:lineRule="auto"/>
        <w:ind w:left="0" w:firstLine="0"/>
        <w:contextualSpacing w:val="0"/>
        <w:jc w:val="both"/>
        <w:rPr>
          <w:rFonts w:ascii="Palatino Linotype" w:hAnsi="Palatino Linotype"/>
          <w:color w:val="000000"/>
          <w:szCs w:val="22"/>
        </w:rPr>
      </w:pPr>
      <w:r w:rsidRPr="00CA13A3">
        <w:rPr>
          <w:rFonts w:ascii="Palatino Linotype" w:hAnsi="Palatino Linotype" w:cs="Tahoma"/>
          <w:bCs/>
          <w:iCs/>
          <w:szCs w:val="22"/>
        </w:rPr>
        <w:t>Establecido lo anterior, el Código Penal del Estado de México  refiere lo siguiente:</w:t>
      </w:r>
    </w:p>
    <w:p w14:paraId="76309ED6" w14:textId="77777777" w:rsidR="00876CD6" w:rsidRPr="00CA13A3" w:rsidRDefault="00876CD6" w:rsidP="00876CD6">
      <w:pPr>
        <w:pStyle w:val="Prrafodelista"/>
        <w:spacing w:line="360" w:lineRule="auto"/>
        <w:ind w:left="0"/>
        <w:contextualSpacing w:val="0"/>
        <w:jc w:val="both"/>
        <w:rPr>
          <w:rFonts w:ascii="Palatino Linotype" w:hAnsi="Palatino Linotype" w:cs="Tahoma"/>
          <w:bCs/>
          <w:iCs/>
          <w:szCs w:val="22"/>
        </w:rPr>
      </w:pPr>
    </w:p>
    <w:p w14:paraId="76309ED7" w14:textId="77777777" w:rsidR="00876CD6" w:rsidRPr="00CA13A3" w:rsidRDefault="00876CD6" w:rsidP="00876CD6">
      <w:pPr>
        <w:pStyle w:val="Prrafodelista"/>
        <w:spacing w:line="360" w:lineRule="auto"/>
        <w:ind w:left="0"/>
        <w:contextualSpacing w:val="0"/>
        <w:jc w:val="center"/>
        <w:rPr>
          <w:rFonts w:ascii="Palatino Linotype" w:hAnsi="Palatino Linotype"/>
          <w:b/>
          <w:i/>
          <w:szCs w:val="22"/>
        </w:rPr>
      </w:pPr>
      <w:r w:rsidRPr="00CA13A3">
        <w:rPr>
          <w:rFonts w:ascii="Palatino Linotype" w:hAnsi="Palatino Linotype"/>
          <w:b/>
          <w:i/>
          <w:szCs w:val="22"/>
        </w:rPr>
        <w:t>CAPITULO II</w:t>
      </w:r>
    </w:p>
    <w:p w14:paraId="76309ED8" w14:textId="77777777" w:rsidR="00876CD6" w:rsidRPr="00CA13A3" w:rsidRDefault="00876CD6" w:rsidP="00876CD6">
      <w:pPr>
        <w:pStyle w:val="Prrafodelista"/>
        <w:spacing w:line="360" w:lineRule="auto"/>
        <w:ind w:left="0"/>
        <w:contextualSpacing w:val="0"/>
        <w:jc w:val="center"/>
        <w:rPr>
          <w:rFonts w:ascii="Palatino Linotype" w:hAnsi="Palatino Linotype"/>
          <w:b/>
          <w:i/>
          <w:szCs w:val="22"/>
        </w:rPr>
      </w:pPr>
      <w:r w:rsidRPr="00CA13A3">
        <w:rPr>
          <w:rFonts w:ascii="Palatino Linotype" w:hAnsi="Palatino Linotype"/>
          <w:b/>
          <w:i/>
          <w:szCs w:val="22"/>
        </w:rPr>
        <w:t>LOS DELITOS GRAVES</w:t>
      </w:r>
    </w:p>
    <w:p w14:paraId="76309ED9" w14:textId="77777777" w:rsidR="00876CD6" w:rsidRPr="00CA13A3" w:rsidRDefault="00876CD6" w:rsidP="00876CD6">
      <w:pPr>
        <w:pStyle w:val="Prrafodelista"/>
        <w:spacing w:line="360" w:lineRule="auto"/>
        <w:ind w:left="0"/>
        <w:contextualSpacing w:val="0"/>
        <w:jc w:val="both"/>
        <w:rPr>
          <w:rFonts w:ascii="Palatino Linotype" w:hAnsi="Palatino Linotype" w:cs="Tahoma"/>
          <w:bCs/>
          <w:i/>
          <w:iCs/>
          <w:szCs w:val="22"/>
        </w:rPr>
      </w:pPr>
      <w:r w:rsidRPr="00CA13A3">
        <w:rPr>
          <w:rFonts w:ascii="Palatino Linotype" w:hAnsi="Palatino Linotype"/>
          <w:b/>
          <w:i/>
          <w:szCs w:val="22"/>
        </w:rPr>
        <w:t xml:space="preserve"> Artículo 9</w:t>
      </w:r>
      <w:r w:rsidRPr="00CA13A3">
        <w:rPr>
          <w:rFonts w:ascii="Palatino Linotype" w:hAnsi="Palatino Linotype"/>
          <w:i/>
          <w:szCs w:val="22"/>
        </w:rPr>
        <w:t xml:space="preserve">.- Se califican como delitos graves para todos los efectos legales: el cometido por conductores de vehículos de motor, indicado en el artículo 61 segundo párrafo, fracciones I, II, III y V, el de rebelión, </w:t>
      </w:r>
      <w:r w:rsidRPr="00CA13A3">
        <w:rPr>
          <w:rFonts w:ascii="Palatino Linotype" w:hAnsi="Palatino Linotype"/>
          <w:i/>
          <w:szCs w:val="22"/>
        </w:rPr>
        <w:lastRenderedPageBreak/>
        <w:t xml:space="preserve">previsto en los artículos 107 último párrafo, 108 primer y tercer párrafos y 110, el de sedición, señalado en el artículo 113 segundo párrafo; el de cohecho, previsto en los artículos 129 y 130 en términos del párrafo segundo del artículo 131, si es cometido por elementos de cuerpos policíacos o servidores de seguridad pública; el de abuso de autoridad, contenido en los artículos 136 fracciones V y X y 137 fracción II; el de peculado, señalado en el artículo 140 fracción II; el de prestación ilícita del servicio público de transporte de pasajeros, señalado en el artículo 148 párrafo segundo; el de encubrimiento, previsto en el artículo 152 párrafo segundo; el de falso testimonio, contenido en las fracciones III y IV del artículo 156, el de evasión a que se refiere el artículo 160, el delito de falsificación de documentos, previsto en el artículo 170 fracción II, el que se refiere a la falsificación y utilización indebida de títulos al portador, documentos de crédito público y documentos relativos al crédito señalado en el artículo 174, el delito de usurpación de funciones públicas o de profesiones, previsto en el artículo 176 penúltimo párrafo, el de uso indebido de uniformes, insignias, distinciones o condecoraciones previsto en el artículo 177, el de delincuencia organizada; previsto en el artículo 178, los delitos en contra del desarrollo urbano, señalados en el primer y segundo párrafos del artículo 189, el de ataques a las vías de comunicación y transporte, contenido en los artículos 193 tercer párrafo y 195, el que se comete en contra de las personas menores de edad y quienes no tienen la capacidad para comprender el significado del hecho, establecidos en el artículo 204 y 205, los contemplados con la utilización de imágenes y/o voz de personas menores de edad o personas que no tienen la capacidad para comprender el significado del hecho para la pornografía, establecidos en el artículo 206, el de lenocinio, previsto en los artículos 209 y 209 bis, el tráfico de menores, contemplado en el artículo 219, el de cremación de cadáver señalado en el artículo 225, el cometido en contra de los productos de los montes o bosques, señalado en los párrafos segundo, tercero, cuarto y quinto fracciones I, II y III del artículo 229; el deterioro de área natural protegida, previsto en el artículo 230, el de lesiones, que señala el artículo 238, fracción V, el de </w:t>
      </w:r>
      <w:r w:rsidRPr="00CA13A3">
        <w:rPr>
          <w:rFonts w:ascii="Palatino Linotype" w:hAnsi="Palatino Linotype"/>
          <w:i/>
          <w:szCs w:val="22"/>
        </w:rPr>
        <w:lastRenderedPageBreak/>
        <w:t>homicidio, contenido en el artículo 241, el de feminicidio, previsto en el artículo 242 bis, el de privación de la libertad de menor de edad, previsto en el artículo 262 primer párrafo, el de extorsión contenido en los párrafos tercero y cuarto del artículo 266; el asalto a una población a que se refiere el artículo 267, el de trata de personas, contemplado en el artículo 268 bis, el de abuso sexual, señalado en el artículo 270, el de violación, señalado por los artículos 273 y 274, el de robo, contenido en los artículos 290, fracción I en su primer y quinto párrafos, II, III, IV, V, XVI, XVII y XVIII y 292, el de abigeato, señalado en los artículos 297 fracciones II y III, 298 fracción II, y 299 fracciones I y IV, el de despojo, a que se refiere el artículo 308, en su fracción III, párrafos tercero y cuarto, y el de daño en los bienes, señalado en el artículo 311 y; en su caso, su comisión en grado de tentativa como lo establece este código, 314 bis, segundo párrafo, y los previstos en las leyes especiales cuando la pena máxima exceda de diez años de prisión.</w:t>
      </w:r>
    </w:p>
    <w:p w14:paraId="76309EDA" w14:textId="77777777" w:rsidR="00876CD6" w:rsidRPr="00CA13A3" w:rsidRDefault="00876CD6" w:rsidP="00876CD6">
      <w:pPr>
        <w:pStyle w:val="Prrafodelista"/>
        <w:tabs>
          <w:tab w:val="left" w:pos="0"/>
        </w:tabs>
        <w:spacing w:line="360" w:lineRule="auto"/>
        <w:ind w:left="0"/>
        <w:jc w:val="both"/>
        <w:rPr>
          <w:rFonts w:ascii="Palatino Linotype" w:eastAsia="Palatino Linotype" w:hAnsi="Palatino Linotype" w:cs="Palatino Linotype"/>
          <w:b/>
          <w:szCs w:val="22"/>
          <w:u w:val="single"/>
          <w:lang w:eastAsia="es-MX"/>
        </w:rPr>
      </w:pPr>
    </w:p>
    <w:p w14:paraId="76309EDB" w14:textId="77777777" w:rsidR="00876CD6" w:rsidRPr="00CA13A3" w:rsidRDefault="00876CD6" w:rsidP="00876CD6">
      <w:pPr>
        <w:numPr>
          <w:ilvl w:val="0"/>
          <w:numId w:val="1"/>
        </w:numPr>
        <w:spacing w:line="360" w:lineRule="auto"/>
        <w:ind w:left="0" w:firstLine="0"/>
        <w:contextualSpacing/>
        <w:jc w:val="both"/>
        <w:rPr>
          <w:rFonts w:ascii="Palatino Linotype" w:eastAsia="Palatino Linotype" w:hAnsi="Palatino Linotype" w:cs="Palatino Linotype"/>
          <w:sz w:val="22"/>
          <w:szCs w:val="22"/>
          <w:lang w:eastAsia="es-MX"/>
        </w:rPr>
      </w:pPr>
      <w:r w:rsidRPr="00CA13A3">
        <w:rPr>
          <w:rFonts w:ascii="Palatino Linotype" w:eastAsia="Palatino Linotype" w:hAnsi="Palatino Linotype" w:cs="Palatino Linotype"/>
          <w:b/>
          <w:sz w:val="22"/>
          <w:szCs w:val="22"/>
          <w:u w:val="single"/>
          <w:lang w:eastAsia="es-MX"/>
        </w:rPr>
        <w:t>Las sanciones por delitos no graves no serán públicas</w:t>
      </w:r>
      <w:r w:rsidRPr="00CA13A3">
        <w:rPr>
          <w:rFonts w:ascii="Palatino Linotype" w:eastAsia="Palatino Linotype" w:hAnsi="Palatino Linotype" w:cs="Palatino Linotype"/>
          <w:sz w:val="22"/>
          <w:szCs w:val="22"/>
          <w:lang w:eastAsia="es-MX"/>
        </w:rPr>
        <w:t xml:space="preserve">, </w:t>
      </w:r>
      <w:r w:rsidRPr="00CA13A3">
        <w:rPr>
          <w:rFonts w:ascii="Palatino Linotype" w:eastAsia="Palatino Linotype" w:hAnsi="Palatino Linotype" w:cs="Palatino Linotype"/>
          <w:b/>
          <w:sz w:val="22"/>
          <w:szCs w:val="22"/>
          <w:u w:val="single"/>
          <w:lang w:eastAsia="es-MX"/>
        </w:rPr>
        <w:t>así como las graves absolutorias</w:t>
      </w:r>
      <w:r w:rsidRPr="00CA13A3">
        <w:rPr>
          <w:rFonts w:ascii="Palatino Linotype" w:eastAsia="Palatino Linotype" w:hAnsi="Palatino Linotype" w:cs="Palatino Linotype"/>
          <w:sz w:val="22"/>
          <w:szCs w:val="22"/>
          <w:lang w:eastAsia="es-MX"/>
        </w:rPr>
        <w:t xml:space="preserve">, en virtud de que dichas faltas, </w:t>
      </w:r>
      <w:r w:rsidRPr="00CA13A3">
        <w:rPr>
          <w:rFonts w:ascii="Palatino Linotype" w:eastAsia="Palatino Linotype" w:hAnsi="Palatino Linotype" w:cs="Palatino Linotype"/>
          <w:b/>
          <w:sz w:val="22"/>
          <w:szCs w:val="22"/>
          <w:lang w:eastAsia="es-MX"/>
        </w:rPr>
        <w:t xml:space="preserve">no tienen una trascendencia social, </w:t>
      </w:r>
      <w:r w:rsidRPr="00CA13A3">
        <w:rPr>
          <w:rFonts w:ascii="Palatino Linotype" w:eastAsia="Palatino Linotype" w:hAnsi="Palatino Linotype" w:cs="Palatino Linotype"/>
          <w:sz w:val="22"/>
          <w:szCs w:val="22"/>
          <w:lang w:eastAsia="es-MX"/>
        </w:rPr>
        <w:t>pues no existe un daño externo, sino que únicamente le atañe al servidor público en cuestión, en consecuencia no resulta dable ordenar su entrega y por el contrario, se ordena el acuerdo por el que se clasifique el pronunciamiento respectivo.</w:t>
      </w:r>
    </w:p>
    <w:p w14:paraId="76309EDC" w14:textId="77777777" w:rsidR="00876CD6" w:rsidRPr="00CA13A3" w:rsidRDefault="00876CD6" w:rsidP="00876CD6">
      <w:pPr>
        <w:spacing w:line="360" w:lineRule="auto"/>
        <w:contextualSpacing/>
        <w:jc w:val="both"/>
        <w:rPr>
          <w:rFonts w:ascii="Palatino Linotype" w:eastAsia="Palatino Linotype" w:hAnsi="Palatino Linotype" w:cs="Palatino Linotype"/>
          <w:sz w:val="22"/>
          <w:szCs w:val="22"/>
          <w:lang w:eastAsia="es-MX"/>
        </w:rPr>
      </w:pPr>
    </w:p>
    <w:p w14:paraId="76309EDD" w14:textId="77777777" w:rsidR="00876CD6" w:rsidRPr="00CA13A3" w:rsidRDefault="00876CD6" w:rsidP="00876CD6">
      <w:pPr>
        <w:numPr>
          <w:ilvl w:val="0"/>
          <w:numId w:val="1"/>
        </w:numPr>
        <w:spacing w:line="360" w:lineRule="auto"/>
        <w:ind w:left="0" w:firstLine="0"/>
        <w:contextualSpacing/>
        <w:jc w:val="both"/>
        <w:rPr>
          <w:rFonts w:ascii="Palatino Linotype" w:hAnsi="Palatino Linotype" w:cs="Tahoma"/>
          <w:b/>
          <w:bCs/>
          <w:iCs/>
          <w:sz w:val="22"/>
          <w:szCs w:val="22"/>
        </w:rPr>
      </w:pPr>
      <w:r w:rsidRPr="00CA13A3">
        <w:rPr>
          <w:rFonts w:ascii="Palatino Linotype" w:hAnsi="Palatino Linotype" w:cs="Tahoma"/>
          <w:bCs/>
          <w:iCs/>
          <w:sz w:val="22"/>
          <w:szCs w:val="22"/>
        </w:rPr>
        <w:t xml:space="preserve">Asimismo, no pasa desapercibido que dentro de la solicitud de información se proporcionó el cargo del servidor público del cual se solicita la información, por lo que en atención a lo plasmado en líneas anteriores y en virtud de que el pronunciamiento por el </w:t>
      </w:r>
      <w:r w:rsidRPr="00CA13A3">
        <w:rPr>
          <w:rFonts w:ascii="Palatino Linotype" w:hAnsi="Palatino Linotype" w:cs="Tahoma"/>
          <w:b/>
          <w:bCs/>
          <w:iCs/>
          <w:sz w:val="22"/>
          <w:szCs w:val="22"/>
        </w:rPr>
        <w:t xml:space="preserve">SUJETO OBLIGADO, </w:t>
      </w:r>
      <w:r w:rsidRPr="00CA13A3">
        <w:rPr>
          <w:rFonts w:ascii="Palatino Linotype" w:eastAsia="Palatino Linotype" w:hAnsi="Palatino Linotype" w:cs="Palatino Linotype"/>
          <w:sz w:val="22"/>
          <w:szCs w:val="22"/>
        </w:rPr>
        <w:t xml:space="preserve">afectaría la esfera privada del o la particular, puesto que podría generar una percepción negativa de esta, ocasionando un perjuicio en su </w:t>
      </w:r>
      <w:r w:rsidRPr="00CA13A3">
        <w:rPr>
          <w:rFonts w:ascii="Palatino Linotype" w:eastAsia="Palatino Linotype" w:hAnsi="Palatino Linotype" w:cs="Palatino Linotype"/>
          <w:b/>
          <w:sz w:val="22"/>
          <w:szCs w:val="22"/>
        </w:rPr>
        <w:t xml:space="preserve">honor, intimidad y </w:t>
      </w:r>
      <w:r w:rsidRPr="00CA13A3">
        <w:rPr>
          <w:rFonts w:ascii="Palatino Linotype" w:eastAsia="Palatino Linotype" w:hAnsi="Palatino Linotype" w:cs="Palatino Linotype"/>
          <w:b/>
          <w:sz w:val="22"/>
          <w:szCs w:val="22"/>
        </w:rPr>
        <w:lastRenderedPageBreak/>
        <w:t xml:space="preserve">buena imagen, </w:t>
      </w:r>
      <w:r w:rsidRPr="00CA13A3">
        <w:rPr>
          <w:rFonts w:ascii="Palatino Linotype" w:eastAsia="Palatino Linotype" w:hAnsi="Palatino Linotype" w:cs="Palatino Linotype"/>
          <w:sz w:val="22"/>
          <w:szCs w:val="22"/>
        </w:rPr>
        <w:t xml:space="preserve">por lo que se concluye que dicha información, en caso de que existiera, </w:t>
      </w:r>
      <w:r w:rsidRPr="00CA13A3">
        <w:rPr>
          <w:rFonts w:ascii="Palatino Linotype" w:eastAsia="Palatino Linotype" w:hAnsi="Palatino Linotype" w:cs="Palatino Linotype"/>
          <w:b/>
          <w:sz w:val="22"/>
          <w:szCs w:val="22"/>
        </w:rPr>
        <w:t xml:space="preserve">debe tener el carácter de confidencial, </w:t>
      </w:r>
      <w:r w:rsidRPr="00CA13A3">
        <w:rPr>
          <w:rFonts w:ascii="Palatino Linotype" w:eastAsia="Palatino Linotype" w:hAnsi="Palatino Linotype" w:cs="Palatino Linotype"/>
          <w:sz w:val="22"/>
          <w:szCs w:val="22"/>
        </w:rPr>
        <w:t xml:space="preserve">razón por la cual, el </w:t>
      </w:r>
      <w:r w:rsidRPr="00CA13A3">
        <w:rPr>
          <w:rFonts w:ascii="Palatino Linotype" w:eastAsia="Palatino Linotype" w:hAnsi="Palatino Linotype" w:cs="Palatino Linotype"/>
          <w:b/>
          <w:sz w:val="22"/>
          <w:szCs w:val="22"/>
        </w:rPr>
        <w:t xml:space="preserve">SUJETO OBLIGADO </w:t>
      </w:r>
      <w:r w:rsidRPr="00CA13A3">
        <w:rPr>
          <w:rFonts w:ascii="Palatino Linotype" w:eastAsia="Palatino Linotype" w:hAnsi="Palatino Linotype" w:cs="Palatino Linotype"/>
          <w:sz w:val="22"/>
          <w:szCs w:val="22"/>
        </w:rPr>
        <w:t xml:space="preserve">deberá de emitir de manera fundada y motivada el Acuerdo del Comité de Transparencia mediante el cual clasifique el pronunciamiento de manera afirmativa o negativa por tratarse de datos que atañen a la vida privada de un particular. </w:t>
      </w:r>
    </w:p>
    <w:p w14:paraId="76309EDE" w14:textId="77777777" w:rsidR="00876CD6" w:rsidRPr="00CA13A3" w:rsidRDefault="00876CD6" w:rsidP="00876CD6">
      <w:pPr>
        <w:pStyle w:val="Prrafodelista"/>
        <w:tabs>
          <w:tab w:val="left" w:pos="0"/>
        </w:tabs>
        <w:spacing w:line="360" w:lineRule="auto"/>
        <w:ind w:left="0"/>
        <w:jc w:val="both"/>
        <w:rPr>
          <w:rFonts w:ascii="Palatino Linotype" w:hAnsi="Palatino Linotype" w:cs="Tahoma"/>
          <w:b/>
          <w:bCs/>
          <w:iCs/>
          <w:szCs w:val="22"/>
        </w:rPr>
      </w:pPr>
      <w:r w:rsidRPr="00CA13A3">
        <w:rPr>
          <w:rFonts w:ascii="Palatino Linotype" w:eastAsia="Palatino Linotype" w:hAnsi="Palatino Linotype" w:cs="Palatino Linotype"/>
          <w:szCs w:val="22"/>
        </w:rPr>
        <w:t xml:space="preserve"> </w:t>
      </w:r>
    </w:p>
    <w:p w14:paraId="76309EDF" w14:textId="77777777" w:rsidR="00876CD6" w:rsidRPr="00CA13A3" w:rsidRDefault="00876CD6" w:rsidP="00876CD6">
      <w:pPr>
        <w:numPr>
          <w:ilvl w:val="0"/>
          <w:numId w:val="1"/>
        </w:numPr>
        <w:spacing w:line="360" w:lineRule="auto"/>
        <w:ind w:left="0" w:firstLine="0"/>
        <w:contextualSpacing/>
        <w:jc w:val="both"/>
        <w:rPr>
          <w:rFonts w:ascii="Palatino Linotype" w:hAnsi="Palatino Linotype"/>
          <w:sz w:val="22"/>
          <w:szCs w:val="22"/>
        </w:rPr>
      </w:pPr>
      <w:r w:rsidRPr="00CA13A3">
        <w:rPr>
          <w:rFonts w:ascii="Palatino Linotype" w:hAnsi="Palatino Linotype"/>
          <w:sz w:val="22"/>
          <w:szCs w:val="22"/>
        </w:rPr>
        <w:t>Así, se desprende que de haber quejas que se encuentren en expedientes en trámite cuentan con las características de un procedimiento administrativo seguido en forma de juicio para determinar sobre presuntas violaciones a derechos humanos, por lo que, se procede a analizar cada uno de los requisitos señalados en los Lineamientos Generales en materia de clasificación y desclasificación de la información, con la finalidad de verificar si se configura la hipótesis de reserva en estudio:</w:t>
      </w:r>
    </w:p>
    <w:p w14:paraId="76309EE0" w14:textId="77777777" w:rsidR="00876CD6" w:rsidRPr="00CA13A3" w:rsidRDefault="00876CD6" w:rsidP="00876CD6">
      <w:pPr>
        <w:spacing w:line="360" w:lineRule="auto"/>
        <w:contextualSpacing/>
        <w:jc w:val="both"/>
        <w:rPr>
          <w:rFonts w:ascii="Palatino Linotype" w:hAnsi="Palatino Linotype"/>
          <w:sz w:val="22"/>
          <w:szCs w:val="22"/>
        </w:rPr>
      </w:pPr>
    </w:p>
    <w:p w14:paraId="76309EE1" w14:textId="77777777" w:rsidR="00876CD6" w:rsidRPr="00CA13A3" w:rsidRDefault="00876CD6" w:rsidP="00876CD6">
      <w:pPr>
        <w:pStyle w:val="Prrafodelista"/>
        <w:numPr>
          <w:ilvl w:val="0"/>
          <w:numId w:val="4"/>
        </w:numPr>
        <w:spacing w:line="360" w:lineRule="auto"/>
        <w:ind w:right="616"/>
        <w:jc w:val="both"/>
        <w:rPr>
          <w:rFonts w:ascii="Palatino Linotype" w:hAnsi="Palatino Linotype"/>
          <w:b/>
          <w:szCs w:val="22"/>
        </w:rPr>
      </w:pPr>
      <w:r w:rsidRPr="00CA13A3">
        <w:rPr>
          <w:rFonts w:ascii="Palatino Linotype" w:hAnsi="Palatino Linotype"/>
          <w:b/>
          <w:szCs w:val="22"/>
        </w:rPr>
        <w:t>La existencia de un juicio o procedimiento administrativo materialmente jurisdiccional, que se encuentre en trámite.</w:t>
      </w:r>
    </w:p>
    <w:p w14:paraId="76309EE2" w14:textId="77777777" w:rsidR="00876CD6" w:rsidRPr="00CA13A3" w:rsidRDefault="00876CD6" w:rsidP="00876CD6">
      <w:pPr>
        <w:spacing w:line="360" w:lineRule="auto"/>
        <w:jc w:val="both"/>
        <w:rPr>
          <w:rFonts w:ascii="Palatino Linotype" w:hAnsi="Palatino Linotype"/>
          <w:sz w:val="22"/>
          <w:szCs w:val="22"/>
        </w:rPr>
      </w:pPr>
    </w:p>
    <w:p w14:paraId="76309EE3" w14:textId="77777777" w:rsidR="00876CD6" w:rsidRPr="00CA13A3" w:rsidRDefault="00876CD6" w:rsidP="00876CD6">
      <w:pPr>
        <w:numPr>
          <w:ilvl w:val="0"/>
          <w:numId w:val="1"/>
        </w:numPr>
        <w:spacing w:line="360" w:lineRule="auto"/>
        <w:ind w:left="0" w:firstLine="0"/>
        <w:contextualSpacing/>
        <w:jc w:val="both"/>
        <w:rPr>
          <w:rFonts w:ascii="Palatino Linotype" w:hAnsi="Palatino Linotype"/>
          <w:sz w:val="22"/>
          <w:szCs w:val="22"/>
        </w:rPr>
      </w:pPr>
      <w:r w:rsidRPr="00CA13A3">
        <w:rPr>
          <w:rFonts w:ascii="Palatino Linotype" w:hAnsi="Palatino Linotype"/>
          <w:sz w:val="22"/>
          <w:szCs w:val="22"/>
        </w:rPr>
        <w:t>En ese contexto, cabe precisar que de contar con quejas que se encuentren en expedientes en trámite, por lo que se continúen allegando de elementos para determinar si existe alguna violación a derechos humanos o bien por determinar dicha violación o su inexistencia. Así, se acredita el primero de los requisitos establecidos en los Lineamientos Generales para acreditar la reserva en cuestión.</w:t>
      </w:r>
    </w:p>
    <w:p w14:paraId="76309EE4" w14:textId="77777777" w:rsidR="00876CD6" w:rsidRPr="00CA13A3" w:rsidRDefault="00876CD6" w:rsidP="00876CD6">
      <w:pPr>
        <w:spacing w:line="360" w:lineRule="auto"/>
        <w:jc w:val="both"/>
        <w:rPr>
          <w:rFonts w:ascii="Palatino Linotype" w:hAnsi="Palatino Linotype"/>
          <w:sz w:val="22"/>
          <w:szCs w:val="22"/>
        </w:rPr>
      </w:pPr>
    </w:p>
    <w:p w14:paraId="76309EE5" w14:textId="77777777" w:rsidR="00876CD6" w:rsidRPr="00CA13A3" w:rsidRDefault="00876CD6" w:rsidP="00876CD6">
      <w:pPr>
        <w:pStyle w:val="Prrafodelista"/>
        <w:numPr>
          <w:ilvl w:val="0"/>
          <w:numId w:val="4"/>
        </w:numPr>
        <w:spacing w:line="360" w:lineRule="auto"/>
        <w:ind w:right="616"/>
        <w:jc w:val="both"/>
        <w:rPr>
          <w:rFonts w:ascii="Palatino Linotype" w:hAnsi="Palatino Linotype"/>
          <w:b/>
          <w:szCs w:val="22"/>
        </w:rPr>
      </w:pPr>
      <w:r w:rsidRPr="00CA13A3">
        <w:rPr>
          <w:rFonts w:ascii="Palatino Linotype" w:hAnsi="Palatino Linotype"/>
          <w:b/>
          <w:szCs w:val="22"/>
        </w:rPr>
        <w:lastRenderedPageBreak/>
        <w:t>Que la información solicitada se refiera a actuaciones, diligencias o constancias propias del procedimiento.</w:t>
      </w:r>
    </w:p>
    <w:p w14:paraId="76309EE6" w14:textId="77777777" w:rsidR="00876CD6" w:rsidRPr="00CA13A3" w:rsidRDefault="00876CD6" w:rsidP="00876CD6">
      <w:pPr>
        <w:spacing w:line="360" w:lineRule="auto"/>
        <w:jc w:val="both"/>
        <w:rPr>
          <w:rFonts w:ascii="Palatino Linotype" w:hAnsi="Palatino Linotype"/>
          <w:sz w:val="22"/>
          <w:szCs w:val="22"/>
        </w:rPr>
      </w:pPr>
    </w:p>
    <w:p w14:paraId="76309EE7" w14:textId="77777777" w:rsidR="00876CD6" w:rsidRPr="00CA13A3" w:rsidRDefault="00876CD6" w:rsidP="00876CD6">
      <w:pPr>
        <w:numPr>
          <w:ilvl w:val="0"/>
          <w:numId w:val="1"/>
        </w:numPr>
        <w:spacing w:line="360" w:lineRule="auto"/>
        <w:ind w:left="0" w:firstLine="0"/>
        <w:contextualSpacing/>
        <w:jc w:val="both"/>
        <w:rPr>
          <w:rFonts w:ascii="Palatino Linotype" w:hAnsi="Palatino Linotype"/>
          <w:sz w:val="22"/>
          <w:szCs w:val="22"/>
        </w:rPr>
      </w:pPr>
      <w:r w:rsidRPr="00CA13A3">
        <w:rPr>
          <w:rFonts w:ascii="Palatino Linotype" w:hAnsi="Palatino Linotype"/>
          <w:sz w:val="22"/>
          <w:szCs w:val="22"/>
        </w:rPr>
        <w:t>Al respecto, en el presente caso, se trata de la investigación para determinar si existen violaciones a derechos humanos. Conforme a lo anterior, puede que la etapa en la que se encuentran los documentos solicitados por el Particular sea el de investigación y/o resolución.</w:t>
      </w:r>
    </w:p>
    <w:p w14:paraId="76309EE8" w14:textId="77777777" w:rsidR="00876CD6" w:rsidRPr="00CA13A3" w:rsidRDefault="00876CD6" w:rsidP="00876CD6">
      <w:pPr>
        <w:pStyle w:val="Prrafodelista"/>
        <w:tabs>
          <w:tab w:val="left" w:pos="0"/>
        </w:tabs>
        <w:spacing w:line="360" w:lineRule="auto"/>
        <w:ind w:left="0"/>
        <w:jc w:val="both"/>
        <w:rPr>
          <w:rFonts w:ascii="Palatino Linotype" w:hAnsi="Palatino Linotype"/>
          <w:szCs w:val="22"/>
        </w:rPr>
      </w:pPr>
    </w:p>
    <w:p w14:paraId="76309EE9" w14:textId="77777777" w:rsidR="00876CD6" w:rsidRPr="00CA13A3" w:rsidRDefault="00876CD6" w:rsidP="00876CD6">
      <w:pPr>
        <w:numPr>
          <w:ilvl w:val="0"/>
          <w:numId w:val="1"/>
        </w:numPr>
        <w:spacing w:line="360" w:lineRule="auto"/>
        <w:ind w:left="0" w:firstLine="0"/>
        <w:contextualSpacing/>
        <w:jc w:val="both"/>
        <w:rPr>
          <w:rFonts w:ascii="Palatino Linotype" w:hAnsi="Palatino Linotype"/>
          <w:sz w:val="22"/>
          <w:szCs w:val="22"/>
        </w:rPr>
      </w:pPr>
      <w:r w:rsidRPr="00CA13A3">
        <w:rPr>
          <w:rFonts w:ascii="Palatino Linotype" w:hAnsi="Palatino Linotype"/>
          <w:sz w:val="22"/>
          <w:szCs w:val="22"/>
        </w:rPr>
        <w:t>Por lo que, se advierte que los documentos solicitados corresponden a constancias propias que determinan la procedencia de la determinación de violaciones a derechos humanos; por lo que, se acredita el Segundo de los requisitos establecidos en los Lineamientos Generales.</w:t>
      </w:r>
    </w:p>
    <w:p w14:paraId="76309EEA" w14:textId="77777777" w:rsidR="00876CD6" w:rsidRPr="00CA13A3" w:rsidRDefault="00876CD6" w:rsidP="00876CD6">
      <w:pPr>
        <w:pStyle w:val="Prrafodelista"/>
        <w:spacing w:line="360" w:lineRule="auto"/>
        <w:jc w:val="both"/>
        <w:rPr>
          <w:rFonts w:ascii="Palatino Linotype" w:hAnsi="Palatino Linotype"/>
          <w:szCs w:val="22"/>
        </w:rPr>
      </w:pPr>
    </w:p>
    <w:p w14:paraId="76309EEB" w14:textId="77777777" w:rsidR="00876CD6" w:rsidRPr="00CA13A3" w:rsidRDefault="00876CD6" w:rsidP="00876CD6">
      <w:pPr>
        <w:numPr>
          <w:ilvl w:val="0"/>
          <w:numId w:val="1"/>
        </w:numPr>
        <w:spacing w:line="360" w:lineRule="auto"/>
        <w:ind w:left="0" w:firstLine="0"/>
        <w:contextualSpacing/>
        <w:jc w:val="both"/>
        <w:rPr>
          <w:rFonts w:ascii="Palatino Linotype" w:hAnsi="Palatino Linotype"/>
          <w:sz w:val="22"/>
          <w:szCs w:val="22"/>
        </w:rPr>
      </w:pPr>
      <w:r w:rsidRPr="00CA13A3">
        <w:rPr>
          <w:rFonts w:ascii="Palatino Linotype" w:hAnsi="Palatino Linotype"/>
          <w:sz w:val="22"/>
          <w:szCs w:val="22"/>
        </w:rPr>
        <w:t>Así, se considera que las quejas que se encuentren en expedientes en trámite actualizan la reserva de la información, en términos del artículo 140, fracción VIII de la Ley de Transparencia y Acceso a la Información del Estado de México y Municipios, pues el proceso administrativo sigue en trámite.</w:t>
      </w:r>
    </w:p>
    <w:p w14:paraId="76309EEC" w14:textId="77777777" w:rsidR="00876CD6" w:rsidRPr="00CA13A3" w:rsidRDefault="00876CD6" w:rsidP="00876CD6">
      <w:pPr>
        <w:pStyle w:val="Prrafodelista"/>
        <w:spacing w:line="360" w:lineRule="auto"/>
        <w:jc w:val="both"/>
        <w:rPr>
          <w:rFonts w:ascii="Palatino Linotype" w:hAnsi="Palatino Linotype"/>
          <w:szCs w:val="22"/>
        </w:rPr>
      </w:pPr>
    </w:p>
    <w:p w14:paraId="76309EED" w14:textId="77777777" w:rsidR="00876CD6" w:rsidRPr="00CA13A3" w:rsidRDefault="00876CD6" w:rsidP="00876CD6">
      <w:pPr>
        <w:numPr>
          <w:ilvl w:val="0"/>
          <w:numId w:val="1"/>
        </w:numPr>
        <w:spacing w:line="360" w:lineRule="auto"/>
        <w:ind w:left="0" w:firstLine="0"/>
        <w:contextualSpacing/>
        <w:jc w:val="both"/>
        <w:rPr>
          <w:rFonts w:ascii="Palatino Linotype" w:hAnsi="Palatino Linotype"/>
          <w:sz w:val="22"/>
          <w:szCs w:val="22"/>
        </w:rPr>
      </w:pPr>
      <w:r w:rsidRPr="00CA13A3">
        <w:rPr>
          <w:rFonts w:ascii="Palatino Linotype" w:hAnsi="Palatino Linotype"/>
          <w:sz w:val="22"/>
          <w:szCs w:val="22"/>
        </w:rPr>
        <w:t>Sobre el particular, cabe traer a colación el artículo 141 de la Ley de la materia, que establece que las causales de reserva se deberán fundar y motivar, a través de la aplicación de la prueba de daño establecida en el artículo 129 de dicho ordenamiento, que se debe justificar de la siguiente manera:</w:t>
      </w:r>
    </w:p>
    <w:p w14:paraId="76309EEE" w14:textId="77777777" w:rsidR="00876CD6" w:rsidRPr="00CA13A3" w:rsidRDefault="00876CD6" w:rsidP="00876CD6">
      <w:pPr>
        <w:pStyle w:val="Prrafodelista"/>
        <w:spacing w:line="360" w:lineRule="auto"/>
        <w:jc w:val="both"/>
        <w:rPr>
          <w:rFonts w:ascii="Palatino Linotype" w:hAnsi="Palatino Linotype"/>
          <w:szCs w:val="22"/>
        </w:rPr>
      </w:pPr>
    </w:p>
    <w:p w14:paraId="76309EEF" w14:textId="77777777" w:rsidR="00876CD6" w:rsidRPr="00CA13A3" w:rsidRDefault="00876CD6" w:rsidP="00876CD6">
      <w:pPr>
        <w:pStyle w:val="Prrafodelista"/>
        <w:numPr>
          <w:ilvl w:val="0"/>
          <w:numId w:val="14"/>
        </w:numPr>
        <w:spacing w:line="360" w:lineRule="auto"/>
        <w:ind w:left="851" w:right="616" w:hanging="284"/>
        <w:contextualSpacing w:val="0"/>
        <w:jc w:val="both"/>
        <w:rPr>
          <w:rFonts w:ascii="Palatino Linotype" w:hAnsi="Palatino Linotype"/>
          <w:i/>
          <w:szCs w:val="22"/>
        </w:rPr>
      </w:pPr>
      <w:r w:rsidRPr="00CA13A3">
        <w:rPr>
          <w:rFonts w:ascii="Palatino Linotype" w:hAnsi="Palatino Linotype"/>
          <w:i/>
          <w:szCs w:val="22"/>
        </w:rPr>
        <w:lastRenderedPageBreak/>
        <w:t xml:space="preserve"> La divulgación de la información representa un riesgo real, demostrable e identificable de perjuicio significativo al interés público o a la seguridad nacional. </w:t>
      </w:r>
    </w:p>
    <w:p w14:paraId="76309EF0" w14:textId="77777777" w:rsidR="00876CD6" w:rsidRPr="00CA13A3" w:rsidRDefault="00876CD6" w:rsidP="00876CD6">
      <w:pPr>
        <w:pStyle w:val="Prrafodelista"/>
        <w:spacing w:line="360" w:lineRule="auto"/>
        <w:ind w:left="851" w:right="616" w:hanging="284"/>
        <w:jc w:val="both"/>
        <w:rPr>
          <w:rFonts w:ascii="Palatino Linotype" w:hAnsi="Palatino Linotype"/>
          <w:i/>
          <w:szCs w:val="22"/>
        </w:rPr>
      </w:pPr>
    </w:p>
    <w:p w14:paraId="76309EF1" w14:textId="77777777" w:rsidR="00876CD6" w:rsidRPr="00CA13A3" w:rsidRDefault="00876CD6" w:rsidP="00876CD6">
      <w:pPr>
        <w:pStyle w:val="Prrafodelista"/>
        <w:numPr>
          <w:ilvl w:val="0"/>
          <w:numId w:val="14"/>
        </w:numPr>
        <w:spacing w:line="360" w:lineRule="auto"/>
        <w:ind w:left="851" w:right="616" w:hanging="284"/>
        <w:contextualSpacing w:val="0"/>
        <w:jc w:val="both"/>
        <w:rPr>
          <w:rFonts w:ascii="Palatino Linotype" w:hAnsi="Palatino Linotype"/>
          <w:i/>
          <w:szCs w:val="22"/>
        </w:rPr>
      </w:pPr>
      <w:r w:rsidRPr="00CA13A3">
        <w:rPr>
          <w:rFonts w:ascii="Palatino Linotype" w:hAnsi="Palatino Linotype"/>
          <w:i/>
          <w:szCs w:val="22"/>
        </w:rPr>
        <w:t xml:space="preserve">El riesgo de perjuicio supera el interés público general de que se difunda. </w:t>
      </w:r>
    </w:p>
    <w:p w14:paraId="76309EF2" w14:textId="77777777" w:rsidR="00876CD6" w:rsidRPr="00CA13A3" w:rsidRDefault="00876CD6" w:rsidP="00876CD6">
      <w:pPr>
        <w:pStyle w:val="Prrafodelista"/>
        <w:ind w:left="851" w:hanging="284"/>
        <w:rPr>
          <w:rFonts w:ascii="Palatino Linotype" w:hAnsi="Palatino Linotype"/>
          <w:i/>
          <w:szCs w:val="22"/>
        </w:rPr>
      </w:pPr>
    </w:p>
    <w:p w14:paraId="76309EF3" w14:textId="77777777" w:rsidR="00876CD6" w:rsidRPr="00CA13A3" w:rsidRDefault="00876CD6" w:rsidP="00876CD6">
      <w:pPr>
        <w:pStyle w:val="Prrafodelista"/>
        <w:spacing w:line="360" w:lineRule="auto"/>
        <w:ind w:left="851" w:right="616" w:hanging="284"/>
        <w:jc w:val="both"/>
        <w:rPr>
          <w:rFonts w:ascii="Palatino Linotype" w:hAnsi="Palatino Linotype"/>
          <w:i/>
          <w:szCs w:val="22"/>
        </w:rPr>
      </w:pPr>
      <w:r w:rsidRPr="00CA13A3">
        <w:rPr>
          <w:rFonts w:ascii="Palatino Linotype" w:hAnsi="Palatino Linotype"/>
          <w:i/>
          <w:szCs w:val="22"/>
        </w:rPr>
        <w:t>III. Que la limitación se adecua al principio de proporcionalidad y representa el medio menos restrictivo disponible para evitar el perjuicio.</w:t>
      </w:r>
    </w:p>
    <w:p w14:paraId="76309EF4" w14:textId="77777777" w:rsidR="00876CD6" w:rsidRPr="00CA13A3" w:rsidRDefault="00876CD6" w:rsidP="00876CD6">
      <w:pPr>
        <w:pStyle w:val="Prrafodelista"/>
        <w:spacing w:line="360" w:lineRule="auto"/>
        <w:ind w:left="1080"/>
        <w:jc w:val="both"/>
        <w:rPr>
          <w:rFonts w:ascii="Palatino Linotype" w:hAnsi="Palatino Linotype"/>
          <w:szCs w:val="22"/>
        </w:rPr>
      </w:pPr>
    </w:p>
    <w:p w14:paraId="76309EF5" w14:textId="77777777" w:rsidR="00876CD6" w:rsidRPr="00CA13A3" w:rsidRDefault="00876CD6" w:rsidP="00876CD6">
      <w:pPr>
        <w:numPr>
          <w:ilvl w:val="0"/>
          <w:numId w:val="1"/>
        </w:numPr>
        <w:spacing w:line="360" w:lineRule="auto"/>
        <w:ind w:left="0" w:firstLine="0"/>
        <w:contextualSpacing/>
        <w:jc w:val="both"/>
        <w:rPr>
          <w:rFonts w:ascii="Palatino Linotype" w:hAnsi="Palatino Linotype"/>
          <w:sz w:val="22"/>
          <w:szCs w:val="22"/>
        </w:rPr>
      </w:pPr>
      <w:r w:rsidRPr="00CA13A3">
        <w:rPr>
          <w:rFonts w:ascii="Palatino Linotype" w:hAnsi="Palatino Linotype"/>
          <w:sz w:val="22"/>
          <w:szCs w:val="22"/>
        </w:rPr>
        <w:t>Al respecto, este Instituto advierte lo siguiente:</w:t>
      </w:r>
    </w:p>
    <w:p w14:paraId="76309EF6" w14:textId="77777777" w:rsidR="00876CD6" w:rsidRPr="00CA13A3" w:rsidRDefault="00876CD6" w:rsidP="00876CD6">
      <w:pPr>
        <w:spacing w:line="360" w:lineRule="auto"/>
        <w:jc w:val="both"/>
        <w:rPr>
          <w:rFonts w:ascii="Palatino Linotype" w:hAnsi="Palatino Linotype"/>
          <w:sz w:val="22"/>
          <w:szCs w:val="22"/>
        </w:rPr>
      </w:pPr>
    </w:p>
    <w:p w14:paraId="76309EF7" w14:textId="77777777" w:rsidR="00876CD6" w:rsidRPr="00CA13A3" w:rsidRDefault="00876CD6" w:rsidP="00876CD6">
      <w:pPr>
        <w:pStyle w:val="Prrafodelista"/>
        <w:numPr>
          <w:ilvl w:val="0"/>
          <w:numId w:val="12"/>
        </w:numPr>
        <w:spacing w:line="360" w:lineRule="auto"/>
        <w:ind w:left="0" w:firstLine="0"/>
        <w:contextualSpacing w:val="0"/>
        <w:jc w:val="both"/>
        <w:rPr>
          <w:rFonts w:ascii="Palatino Linotype" w:hAnsi="Palatino Linotype"/>
          <w:szCs w:val="22"/>
        </w:rPr>
      </w:pPr>
      <w:r w:rsidRPr="00CA13A3">
        <w:rPr>
          <w:rFonts w:ascii="Palatino Linotype" w:hAnsi="Palatino Linotype"/>
          <w:szCs w:val="22"/>
        </w:rPr>
        <w:t>Que existe un riesgo real, demostrable e identificable, toda vez que dar a conocer a terceros la información que se encuentra en expedientes en trámite podría propiciar presiones externas en las investigaciones que impidan a la autoridad allegarse de los elementos necesarios o reales sobre los hechos acontecidos, que impidan a la autoridad que el acto sucedió y en su caso si en él se cometieron o no violaciones a derechos humanos, incluso si las supuestas revisiones fueron o no sin causa justificada.</w:t>
      </w:r>
    </w:p>
    <w:p w14:paraId="76309EF8" w14:textId="77777777" w:rsidR="00876CD6" w:rsidRPr="00CA13A3" w:rsidRDefault="00876CD6" w:rsidP="00876CD6">
      <w:pPr>
        <w:spacing w:line="360" w:lineRule="auto"/>
        <w:jc w:val="both"/>
        <w:rPr>
          <w:rFonts w:ascii="Palatino Linotype" w:hAnsi="Palatino Linotype"/>
          <w:sz w:val="22"/>
          <w:szCs w:val="22"/>
        </w:rPr>
      </w:pPr>
    </w:p>
    <w:p w14:paraId="76309EF9" w14:textId="77777777" w:rsidR="00876CD6" w:rsidRPr="00CA13A3" w:rsidRDefault="00876CD6" w:rsidP="00876CD6">
      <w:pPr>
        <w:numPr>
          <w:ilvl w:val="0"/>
          <w:numId w:val="1"/>
        </w:numPr>
        <w:spacing w:line="360" w:lineRule="auto"/>
        <w:ind w:left="0" w:firstLine="0"/>
        <w:contextualSpacing/>
        <w:jc w:val="both"/>
        <w:rPr>
          <w:rFonts w:ascii="Palatino Linotype" w:hAnsi="Palatino Linotype"/>
          <w:sz w:val="22"/>
          <w:szCs w:val="22"/>
        </w:rPr>
      </w:pPr>
      <w:r w:rsidRPr="00CA13A3">
        <w:rPr>
          <w:rFonts w:ascii="Palatino Linotype" w:hAnsi="Palatino Linotype"/>
          <w:sz w:val="22"/>
          <w:szCs w:val="22"/>
        </w:rPr>
        <w:t>Aunado, a lo anterior, en el supuesto de que se entreguen documentos que el Sujeto Obligado tenga que analizar para determinar la violación o no a derechos humanos, podría propiciar entregar información no certera a la sociedad, ya que no está aún acreditado que se hayan realizado conductas que afecten los derechos humanos de particulares, e incluso el tipo o nivel de la violación o, definitivamente si esta no existió.</w:t>
      </w:r>
    </w:p>
    <w:p w14:paraId="76309EFA" w14:textId="77777777" w:rsidR="00876CD6" w:rsidRPr="00CA13A3" w:rsidRDefault="00876CD6" w:rsidP="00876CD6">
      <w:pPr>
        <w:spacing w:line="360" w:lineRule="auto"/>
        <w:ind w:left="567" w:right="616"/>
        <w:jc w:val="both"/>
        <w:rPr>
          <w:rFonts w:ascii="Palatino Linotype" w:hAnsi="Palatino Linotype"/>
          <w:sz w:val="22"/>
          <w:szCs w:val="22"/>
        </w:rPr>
      </w:pPr>
    </w:p>
    <w:p w14:paraId="76309EFB" w14:textId="77777777" w:rsidR="00876CD6" w:rsidRPr="00CA13A3" w:rsidRDefault="00876CD6" w:rsidP="00876CD6">
      <w:pPr>
        <w:pStyle w:val="Prrafodelista"/>
        <w:numPr>
          <w:ilvl w:val="0"/>
          <w:numId w:val="12"/>
        </w:numPr>
        <w:spacing w:line="360" w:lineRule="auto"/>
        <w:ind w:left="567" w:right="616" w:firstLine="0"/>
        <w:contextualSpacing w:val="0"/>
        <w:jc w:val="both"/>
        <w:rPr>
          <w:rFonts w:ascii="Palatino Linotype" w:hAnsi="Palatino Linotype"/>
          <w:szCs w:val="22"/>
        </w:rPr>
      </w:pPr>
      <w:r w:rsidRPr="00CA13A3">
        <w:rPr>
          <w:rFonts w:ascii="Palatino Linotype" w:hAnsi="Palatino Linotype"/>
          <w:szCs w:val="22"/>
        </w:rPr>
        <w:lastRenderedPageBreak/>
        <w:t xml:space="preserve">Que el riesgo de perjuicio que supone la divulgación de la información supera el interés público general; pues con dicha documentación, podría propiciarse que, de haber ocurrido las violaciones a derechos humanos, los responsables o probables responsables ejerzan presión sobre los denunciantes para que se retracten, al darse cuenta de que el sentido de la investigación permite acreditar los hechos ilícitos. </w:t>
      </w:r>
    </w:p>
    <w:p w14:paraId="76309EFC" w14:textId="77777777" w:rsidR="00876CD6" w:rsidRPr="00CA13A3" w:rsidRDefault="00876CD6" w:rsidP="00876CD6">
      <w:pPr>
        <w:spacing w:line="360" w:lineRule="auto"/>
        <w:ind w:left="567" w:right="616"/>
        <w:jc w:val="both"/>
        <w:rPr>
          <w:rFonts w:ascii="Palatino Linotype" w:hAnsi="Palatino Linotype"/>
          <w:sz w:val="22"/>
          <w:szCs w:val="22"/>
        </w:rPr>
      </w:pPr>
    </w:p>
    <w:p w14:paraId="76309EFD" w14:textId="77777777" w:rsidR="00876CD6" w:rsidRPr="00CA13A3" w:rsidRDefault="00876CD6" w:rsidP="00876CD6">
      <w:pPr>
        <w:spacing w:line="360" w:lineRule="auto"/>
        <w:ind w:left="567" w:right="616"/>
        <w:jc w:val="both"/>
        <w:rPr>
          <w:rFonts w:ascii="Palatino Linotype" w:hAnsi="Palatino Linotype"/>
          <w:sz w:val="22"/>
          <w:szCs w:val="22"/>
        </w:rPr>
      </w:pPr>
      <w:r w:rsidRPr="00CA13A3">
        <w:rPr>
          <w:rFonts w:ascii="Palatino Linotype" w:hAnsi="Palatino Linotype"/>
          <w:sz w:val="22"/>
          <w:szCs w:val="22"/>
        </w:rPr>
        <w:t xml:space="preserve">Refuerza lo anterior que, hasta en tanto no exista una resolución que haya sido emitida por la autoridad competente, las constancias únicamente </w:t>
      </w:r>
      <w:proofErr w:type="gramStart"/>
      <w:r w:rsidRPr="00CA13A3">
        <w:rPr>
          <w:rFonts w:ascii="Palatino Linotype" w:hAnsi="Palatino Linotype"/>
          <w:sz w:val="22"/>
          <w:szCs w:val="22"/>
        </w:rPr>
        <w:t>le</w:t>
      </w:r>
      <w:proofErr w:type="gramEnd"/>
      <w:r w:rsidRPr="00CA13A3">
        <w:rPr>
          <w:rFonts w:ascii="Palatino Linotype" w:hAnsi="Palatino Linotype"/>
          <w:sz w:val="22"/>
          <w:szCs w:val="22"/>
        </w:rPr>
        <w:t xml:space="preserve"> conciernen, a las autoridades investigadoras. En efecto, no existe en este momento procesal una afectación al interés público, en virtud de que se están realizando las etapas correspondientes y establecidas en la norma correspondiente para determinar si existió alguna violación a derechos humanos y una vez que la determinación sea tomada por la autoridad correspondiente, la limitación de acceso se termina. </w:t>
      </w:r>
    </w:p>
    <w:p w14:paraId="76309EFE" w14:textId="77777777" w:rsidR="00876CD6" w:rsidRPr="00CA13A3" w:rsidRDefault="00876CD6" w:rsidP="00876CD6">
      <w:pPr>
        <w:spacing w:line="360" w:lineRule="auto"/>
        <w:ind w:left="567" w:right="616"/>
        <w:jc w:val="both"/>
        <w:rPr>
          <w:rFonts w:ascii="Palatino Linotype" w:hAnsi="Palatino Linotype"/>
          <w:sz w:val="22"/>
          <w:szCs w:val="22"/>
        </w:rPr>
      </w:pPr>
    </w:p>
    <w:p w14:paraId="76309EFF" w14:textId="77777777" w:rsidR="00876CD6" w:rsidRPr="00CA13A3" w:rsidRDefault="00876CD6" w:rsidP="00876CD6">
      <w:pPr>
        <w:spacing w:line="360" w:lineRule="auto"/>
        <w:ind w:left="567" w:right="616"/>
        <w:jc w:val="both"/>
        <w:rPr>
          <w:rFonts w:ascii="Palatino Linotype" w:hAnsi="Palatino Linotype"/>
          <w:sz w:val="22"/>
          <w:szCs w:val="22"/>
        </w:rPr>
      </w:pPr>
      <w:r w:rsidRPr="00CA13A3">
        <w:rPr>
          <w:rFonts w:ascii="Palatino Linotype" w:hAnsi="Palatino Linotype"/>
          <w:sz w:val="22"/>
          <w:szCs w:val="22"/>
        </w:rPr>
        <w:t>Se busca además no proporcionar información que pueda generar en el imaginario colectivo una falta apreciación, ni en sentido positivo ni negativo sobre el actuar de las autoridades, pues independientemente de que los probables responsables tienen el derecho a la presunción de inocencia, el hacer pública información sobre hechos y situaciones no acreditados puede generar o una falsa confianza en la población o una desconfianza infundada sobre el trabajo de los elementos de seguridad o de tránsito.</w:t>
      </w:r>
    </w:p>
    <w:p w14:paraId="76309F00" w14:textId="77777777" w:rsidR="00876CD6" w:rsidRPr="00CA13A3" w:rsidRDefault="00876CD6" w:rsidP="00876CD6">
      <w:pPr>
        <w:spacing w:line="360" w:lineRule="auto"/>
        <w:ind w:left="567" w:right="616"/>
        <w:jc w:val="both"/>
        <w:rPr>
          <w:rFonts w:ascii="Palatino Linotype" w:hAnsi="Palatino Linotype"/>
          <w:sz w:val="22"/>
          <w:szCs w:val="22"/>
        </w:rPr>
      </w:pPr>
    </w:p>
    <w:p w14:paraId="76309F01" w14:textId="77777777" w:rsidR="00876CD6" w:rsidRPr="00CA13A3" w:rsidRDefault="00876CD6" w:rsidP="00876CD6">
      <w:pPr>
        <w:spacing w:line="360" w:lineRule="auto"/>
        <w:ind w:left="567" w:right="616"/>
        <w:jc w:val="both"/>
        <w:rPr>
          <w:rFonts w:ascii="Palatino Linotype" w:hAnsi="Palatino Linotype"/>
          <w:sz w:val="22"/>
          <w:szCs w:val="22"/>
        </w:rPr>
      </w:pPr>
      <w:r w:rsidRPr="00CA13A3">
        <w:rPr>
          <w:rFonts w:ascii="Palatino Linotype" w:hAnsi="Palatino Linotype"/>
          <w:sz w:val="22"/>
          <w:szCs w:val="22"/>
        </w:rPr>
        <w:lastRenderedPageBreak/>
        <w:t>Bajo este orden de ideas, se trata como se ha referido de una limitación proporcional ya que el objetivo es que las autoridades puedan resolver libres de presiones externas, proteger también a los denunciantes, de tal suerte que, además de que se eliminen los datos personales que los hagan identificables, tampoco se haga pública información que los permita ubicar en el sitio y tiempo de los hechos y puedan ser víctimas de presiones.</w:t>
      </w:r>
    </w:p>
    <w:p w14:paraId="76309F02" w14:textId="77777777" w:rsidR="00876CD6" w:rsidRPr="00CA13A3" w:rsidRDefault="00876CD6" w:rsidP="00876CD6">
      <w:pPr>
        <w:spacing w:line="360" w:lineRule="auto"/>
        <w:ind w:left="567" w:right="616"/>
        <w:jc w:val="both"/>
        <w:rPr>
          <w:rFonts w:ascii="Palatino Linotype" w:hAnsi="Palatino Linotype"/>
          <w:sz w:val="22"/>
          <w:szCs w:val="22"/>
        </w:rPr>
      </w:pPr>
    </w:p>
    <w:p w14:paraId="76309F03" w14:textId="77777777" w:rsidR="00876CD6" w:rsidRPr="00CA13A3" w:rsidRDefault="00876CD6" w:rsidP="00876CD6">
      <w:pPr>
        <w:spacing w:line="360" w:lineRule="auto"/>
        <w:ind w:left="567" w:right="616"/>
        <w:jc w:val="both"/>
        <w:rPr>
          <w:rFonts w:ascii="Palatino Linotype" w:hAnsi="Palatino Linotype"/>
          <w:sz w:val="22"/>
          <w:szCs w:val="22"/>
        </w:rPr>
      </w:pPr>
      <w:r w:rsidRPr="00CA13A3">
        <w:rPr>
          <w:rFonts w:ascii="Palatino Linotype" w:hAnsi="Palatino Linotype"/>
          <w:sz w:val="22"/>
          <w:szCs w:val="22"/>
        </w:rPr>
        <w:t xml:space="preserve">• La reserva no se traduce en un medio restrictivo al derecho de acceso a la información, en virtud, de que se trata de una medida temporal, cuya finalidad es salvaguardar la conducción de dichos procedimientos, por lo que, no se trata de una medida desproporcional, ni excesiva, ya que una vez que la investigación concluya los expedientes son públicos en versión pública, como se acredita con el presente asunto en donde la Comisión está dispuesta a entregar los expedientes concluidos. </w:t>
      </w:r>
    </w:p>
    <w:p w14:paraId="76309F04" w14:textId="77777777" w:rsidR="00876CD6" w:rsidRPr="00CA13A3" w:rsidRDefault="00876CD6" w:rsidP="00876CD6">
      <w:pPr>
        <w:spacing w:line="360" w:lineRule="auto"/>
        <w:jc w:val="both"/>
        <w:rPr>
          <w:rFonts w:ascii="Palatino Linotype" w:hAnsi="Palatino Linotype"/>
          <w:sz w:val="22"/>
          <w:szCs w:val="22"/>
        </w:rPr>
      </w:pPr>
    </w:p>
    <w:p w14:paraId="76309F05" w14:textId="77777777" w:rsidR="00876CD6" w:rsidRPr="00CA13A3" w:rsidRDefault="00876CD6" w:rsidP="00876CD6">
      <w:pPr>
        <w:numPr>
          <w:ilvl w:val="0"/>
          <w:numId w:val="1"/>
        </w:numPr>
        <w:spacing w:line="360" w:lineRule="auto"/>
        <w:ind w:left="0" w:firstLine="0"/>
        <w:contextualSpacing/>
        <w:jc w:val="both"/>
        <w:rPr>
          <w:rFonts w:ascii="Palatino Linotype" w:hAnsi="Palatino Linotype"/>
          <w:sz w:val="22"/>
          <w:szCs w:val="22"/>
        </w:rPr>
      </w:pPr>
      <w:r w:rsidRPr="00CA13A3">
        <w:rPr>
          <w:rFonts w:ascii="Palatino Linotype" w:hAnsi="Palatino Linotype"/>
          <w:sz w:val="22"/>
          <w:szCs w:val="22"/>
        </w:rPr>
        <w:t xml:space="preserve">Conforme a lo anterior, resulta procedente reservar las quejas que se encuentren en trámite, en términos del artículo 140, fracción VIII, de la Ley de Transparencia y Acceso a la Información Pública del Estado de México y Municipios. </w:t>
      </w:r>
    </w:p>
    <w:p w14:paraId="76309F06" w14:textId="77777777" w:rsidR="00876CD6" w:rsidRPr="00CA13A3" w:rsidRDefault="00876CD6" w:rsidP="00876CD6">
      <w:pPr>
        <w:pStyle w:val="Prrafodelista"/>
        <w:spacing w:line="360" w:lineRule="auto"/>
        <w:ind w:left="0"/>
        <w:jc w:val="both"/>
        <w:rPr>
          <w:rFonts w:ascii="Palatino Linotype" w:hAnsi="Palatino Linotype"/>
          <w:szCs w:val="22"/>
        </w:rPr>
      </w:pPr>
    </w:p>
    <w:p w14:paraId="76309F07" w14:textId="77777777" w:rsidR="00876CD6" w:rsidRPr="00CA13A3" w:rsidRDefault="00876CD6" w:rsidP="00876CD6">
      <w:pPr>
        <w:numPr>
          <w:ilvl w:val="0"/>
          <w:numId w:val="1"/>
        </w:numPr>
        <w:spacing w:line="360" w:lineRule="auto"/>
        <w:ind w:left="0" w:firstLine="0"/>
        <w:contextualSpacing/>
        <w:jc w:val="both"/>
        <w:rPr>
          <w:rFonts w:ascii="Palatino Linotype" w:hAnsi="Palatino Linotype"/>
          <w:sz w:val="22"/>
          <w:szCs w:val="22"/>
        </w:rPr>
      </w:pPr>
      <w:r w:rsidRPr="00CA13A3">
        <w:rPr>
          <w:rFonts w:ascii="Palatino Linotype" w:hAnsi="Palatino Linotype"/>
          <w:sz w:val="22"/>
          <w:szCs w:val="22"/>
        </w:rPr>
        <w:t xml:space="preserve">Finalmente, respecto al plazo de reserva,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5 años. </w:t>
      </w:r>
    </w:p>
    <w:p w14:paraId="76309F08" w14:textId="77777777" w:rsidR="00876CD6" w:rsidRPr="00CA13A3" w:rsidRDefault="00876CD6" w:rsidP="00876CD6">
      <w:pPr>
        <w:pStyle w:val="Prrafodelista"/>
        <w:spacing w:line="360" w:lineRule="auto"/>
        <w:jc w:val="both"/>
        <w:rPr>
          <w:rFonts w:ascii="Palatino Linotype" w:hAnsi="Palatino Linotype"/>
          <w:szCs w:val="22"/>
        </w:rPr>
      </w:pPr>
    </w:p>
    <w:p w14:paraId="76309F09" w14:textId="77777777" w:rsidR="00876CD6" w:rsidRPr="00CA13A3" w:rsidRDefault="00876CD6" w:rsidP="00876CD6">
      <w:pPr>
        <w:numPr>
          <w:ilvl w:val="0"/>
          <w:numId w:val="1"/>
        </w:numPr>
        <w:spacing w:line="360" w:lineRule="auto"/>
        <w:ind w:left="0" w:firstLine="0"/>
        <w:contextualSpacing/>
        <w:jc w:val="both"/>
        <w:rPr>
          <w:rFonts w:ascii="Palatino Linotype" w:hAnsi="Palatino Linotype"/>
          <w:sz w:val="22"/>
          <w:szCs w:val="22"/>
        </w:rPr>
      </w:pPr>
      <w:r w:rsidRPr="00CA13A3">
        <w:rPr>
          <w:rFonts w:ascii="Palatino Linotype" w:hAnsi="Palatino Linotype"/>
          <w:sz w:val="22"/>
          <w:szCs w:val="22"/>
        </w:rPr>
        <w:t>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w:t>
      </w:r>
    </w:p>
    <w:p w14:paraId="76309F0A" w14:textId="77777777" w:rsidR="00876CD6" w:rsidRPr="00CA13A3" w:rsidRDefault="00876CD6" w:rsidP="00876CD6">
      <w:pPr>
        <w:pStyle w:val="Prrafodelista"/>
        <w:spacing w:line="360" w:lineRule="auto"/>
        <w:jc w:val="both"/>
        <w:rPr>
          <w:rFonts w:ascii="Palatino Linotype" w:hAnsi="Palatino Linotype"/>
          <w:szCs w:val="22"/>
        </w:rPr>
      </w:pPr>
    </w:p>
    <w:p w14:paraId="76309F0B" w14:textId="77777777" w:rsidR="00876CD6" w:rsidRPr="00CA13A3" w:rsidRDefault="00876CD6" w:rsidP="00876CD6">
      <w:pPr>
        <w:numPr>
          <w:ilvl w:val="0"/>
          <w:numId w:val="1"/>
        </w:numPr>
        <w:spacing w:line="360" w:lineRule="auto"/>
        <w:ind w:left="0" w:firstLine="0"/>
        <w:contextualSpacing/>
        <w:jc w:val="both"/>
        <w:rPr>
          <w:rFonts w:ascii="Palatino Linotype" w:hAnsi="Palatino Linotype"/>
          <w:sz w:val="22"/>
          <w:szCs w:val="22"/>
        </w:rPr>
      </w:pPr>
      <w:r w:rsidRPr="00CA13A3">
        <w:rPr>
          <w:rFonts w:ascii="Palatino Linotype" w:hAnsi="Palatino Linotype"/>
          <w:sz w:val="22"/>
          <w:szCs w:val="22"/>
        </w:rPr>
        <w:t>Sobre el particular, de acuerdo a las circunstancias de modo, tiempo y lugar, se considera que el Sujeto Obligado determinará el periodo de reserva de la información, a partir de la fecha de la presente Resolución; lo anterior, toda vez que debe tomar en cuenta el tiempo para resolver los expedientes en estudio.</w:t>
      </w:r>
    </w:p>
    <w:p w14:paraId="76309F0C" w14:textId="77777777" w:rsidR="00876CD6" w:rsidRPr="00CA13A3" w:rsidRDefault="00876CD6" w:rsidP="00876CD6">
      <w:pPr>
        <w:pStyle w:val="Prrafodelista"/>
        <w:spacing w:line="360" w:lineRule="auto"/>
        <w:jc w:val="both"/>
        <w:rPr>
          <w:rFonts w:ascii="Palatino Linotype" w:hAnsi="Palatino Linotype"/>
          <w:szCs w:val="22"/>
        </w:rPr>
      </w:pPr>
    </w:p>
    <w:p w14:paraId="76309F0D" w14:textId="77777777" w:rsidR="00876CD6" w:rsidRPr="00CA13A3" w:rsidRDefault="00876CD6" w:rsidP="00876CD6">
      <w:pPr>
        <w:numPr>
          <w:ilvl w:val="0"/>
          <w:numId w:val="1"/>
        </w:numPr>
        <w:spacing w:line="360" w:lineRule="auto"/>
        <w:ind w:left="0" w:firstLine="0"/>
        <w:contextualSpacing/>
        <w:jc w:val="both"/>
        <w:rPr>
          <w:rFonts w:ascii="Palatino Linotype" w:hAnsi="Palatino Linotype"/>
          <w:sz w:val="22"/>
          <w:szCs w:val="22"/>
        </w:rPr>
      </w:pPr>
      <w:r w:rsidRPr="00CA13A3">
        <w:rPr>
          <w:rFonts w:ascii="Palatino Linotype" w:hAnsi="Palatino Linotype"/>
          <w:sz w:val="22"/>
          <w:szCs w:val="22"/>
        </w:rPr>
        <w:t>De lo anterior resulta dable ordenar al Sujeto Obligado el Acuerdo del Comité de Transparencia, donde clasifique de manera fundada y motivada las quejas que se encuentren en expedientes en trámite en términos de los artículos 49, fracciones II y VIII, 140, fracción VIII y 141 de la Ley de Transparencia y Acceso a la Información Pública del Estado de México y Municipios.</w:t>
      </w:r>
    </w:p>
    <w:p w14:paraId="76309F0E" w14:textId="77777777" w:rsidR="00876CD6" w:rsidRPr="00CA13A3" w:rsidRDefault="00876CD6" w:rsidP="00876CD6">
      <w:pPr>
        <w:pStyle w:val="Prrafodelista"/>
        <w:spacing w:line="360" w:lineRule="auto"/>
        <w:jc w:val="both"/>
        <w:rPr>
          <w:rFonts w:ascii="Palatino Linotype" w:hAnsi="Palatino Linotype"/>
          <w:szCs w:val="22"/>
        </w:rPr>
      </w:pPr>
    </w:p>
    <w:p w14:paraId="76309F0F" w14:textId="77777777" w:rsidR="00876CD6" w:rsidRPr="00CA13A3" w:rsidRDefault="00876CD6" w:rsidP="00876CD6">
      <w:pPr>
        <w:numPr>
          <w:ilvl w:val="0"/>
          <w:numId w:val="1"/>
        </w:numPr>
        <w:spacing w:line="360" w:lineRule="auto"/>
        <w:ind w:left="0" w:firstLine="0"/>
        <w:contextualSpacing/>
        <w:jc w:val="both"/>
        <w:rPr>
          <w:rFonts w:ascii="Palatino Linotype" w:hAnsi="Palatino Linotype"/>
          <w:sz w:val="22"/>
          <w:szCs w:val="22"/>
        </w:rPr>
      </w:pPr>
      <w:r w:rsidRPr="00CA13A3">
        <w:rPr>
          <w:rFonts w:ascii="Palatino Linotype" w:hAnsi="Palatino Linotype"/>
          <w:sz w:val="22"/>
          <w:szCs w:val="22"/>
        </w:rPr>
        <w:t>Ahora bien, es necesario traer a colación lo dispuesto por la fracción IV del artículo 142 de la Ley de Transparencia y Acceso a la Información Pública del Estado de México y Municipios, mismo que se inserta a continuación:</w:t>
      </w:r>
    </w:p>
    <w:p w14:paraId="76309F10" w14:textId="77777777" w:rsidR="00876CD6" w:rsidRPr="00CA13A3" w:rsidRDefault="00876CD6" w:rsidP="00876CD6">
      <w:pPr>
        <w:pStyle w:val="Prrafodelista"/>
        <w:spacing w:line="360" w:lineRule="auto"/>
        <w:jc w:val="both"/>
        <w:rPr>
          <w:rFonts w:ascii="Palatino Linotype" w:hAnsi="Palatino Linotype"/>
          <w:szCs w:val="22"/>
        </w:rPr>
      </w:pPr>
    </w:p>
    <w:p w14:paraId="76309F11" w14:textId="77777777" w:rsidR="00876CD6" w:rsidRPr="00CA13A3" w:rsidRDefault="00876CD6" w:rsidP="00876CD6">
      <w:pPr>
        <w:pStyle w:val="Prrafodelista"/>
        <w:spacing w:line="360" w:lineRule="auto"/>
        <w:ind w:left="0"/>
        <w:jc w:val="both"/>
        <w:rPr>
          <w:rFonts w:ascii="Palatino Linotype" w:hAnsi="Palatino Linotype"/>
          <w:szCs w:val="22"/>
        </w:rPr>
      </w:pPr>
    </w:p>
    <w:p w14:paraId="76309F12" w14:textId="77777777" w:rsidR="00876CD6" w:rsidRPr="00CA13A3" w:rsidRDefault="00876CD6" w:rsidP="00876CD6">
      <w:pPr>
        <w:spacing w:line="360" w:lineRule="auto"/>
        <w:ind w:left="567" w:right="616"/>
        <w:jc w:val="both"/>
        <w:rPr>
          <w:rFonts w:ascii="Palatino Linotype" w:hAnsi="Palatino Linotype"/>
          <w:i/>
          <w:sz w:val="22"/>
          <w:szCs w:val="22"/>
        </w:rPr>
      </w:pPr>
      <w:r w:rsidRPr="00CA13A3">
        <w:rPr>
          <w:rFonts w:ascii="Palatino Linotype" w:hAnsi="Palatino Linotype"/>
          <w:i/>
          <w:sz w:val="22"/>
          <w:szCs w:val="22"/>
        </w:rPr>
        <w:t>“</w:t>
      </w:r>
      <w:r w:rsidRPr="00CA13A3">
        <w:rPr>
          <w:rFonts w:ascii="Palatino Linotype" w:hAnsi="Palatino Linotype"/>
          <w:b/>
          <w:i/>
          <w:sz w:val="22"/>
          <w:szCs w:val="22"/>
        </w:rPr>
        <w:t>Artículo 142.</w:t>
      </w:r>
      <w:r w:rsidRPr="00CA13A3">
        <w:rPr>
          <w:rFonts w:ascii="Palatino Linotype" w:hAnsi="Palatino Linotype"/>
          <w:i/>
          <w:sz w:val="22"/>
          <w:szCs w:val="22"/>
        </w:rPr>
        <w:t xml:space="preserve"> Bajo ninguna circunstancia podrá invocarse el carácter de reservado cuando: I. Se trate de violaciones graves de derechos humanos, calificada así por autoridad competente. </w:t>
      </w:r>
    </w:p>
    <w:p w14:paraId="76309F13" w14:textId="77777777" w:rsidR="00876CD6" w:rsidRPr="00CA13A3" w:rsidRDefault="00876CD6" w:rsidP="00876CD6">
      <w:pPr>
        <w:spacing w:line="360" w:lineRule="auto"/>
        <w:ind w:left="567" w:right="616"/>
        <w:jc w:val="both"/>
        <w:rPr>
          <w:rFonts w:ascii="Palatino Linotype" w:hAnsi="Palatino Linotype"/>
          <w:i/>
          <w:sz w:val="22"/>
          <w:szCs w:val="22"/>
        </w:rPr>
      </w:pPr>
    </w:p>
    <w:p w14:paraId="76309F14" w14:textId="77777777" w:rsidR="00876CD6" w:rsidRPr="00CA13A3" w:rsidRDefault="00876CD6" w:rsidP="00876CD6">
      <w:pPr>
        <w:spacing w:line="360" w:lineRule="auto"/>
        <w:ind w:left="567" w:right="616"/>
        <w:jc w:val="both"/>
        <w:rPr>
          <w:rFonts w:ascii="Palatino Linotype" w:hAnsi="Palatino Linotype"/>
          <w:i/>
          <w:sz w:val="22"/>
          <w:szCs w:val="22"/>
        </w:rPr>
      </w:pPr>
      <w:r w:rsidRPr="00CA13A3">
        <w:rPr>
          <w:rFonts w:ascii="Palatino Linotype" w:hAnsi="Palatino Linotype"/>
          <w:i/>
          <w:sz w:val="22"/>
          <w:szCs w:val="22"/>
        </w:rPr>
        <w:t>(…) “</w:t>
      </w:r>
    </w:p>
    <w:p w14:paraId="76309F15" w14:textId="77777777" w:rsidR="00876CD6" w:rsidRPr="00CA13A3" w:rsidRDefault="00876CD6" w:rsidP="00876CD6">
      <w:pPr>
        <w:spacing w:line="360" w:lineRule="auto"/>
        <w:ind w:left="567" w:right="191"/>
        <w:jc w:val="both"/>
        <w:rPr>
          <w:rFonts w:ascii="Palatino Linotype" w:hAnsi="Palatino Linotype"/>
          <w:i/>
          <w:sz w:val="22"/>
          <w:szCs w:val="22"/>
        </w:rPr>
      </w:pPr>
    </w:p>
    <w:p w14:paraId="76309F16" w14:textId="77777777" w:rsidR="00876CD6" w:rsidRPr="00CA13A3" w:rsidRDefault="00876CD6" w:rsidP="00876CD6">
      <w:pPr>
        <w:numPr>
          <w:ilvl w:val="0"/>
          <w:numId w:val="1"/>
        </w:numPr>
        <w:spacing w:line="360" w:lineRule="auto"/>
        <w:ind w:left="0" w:firstLine="0"/>
        <w:contextualSpacing/>
        <w:jc w:val="both"/>
        <w:rPr>
          <w:rFonts w:ascii="Palatino Linotype" w:hAnsi="Palatino Linotype"/>
          <w:sz w:val="22"/>
          <w:szCs w:val="22"/>
        </w:rPr>
      </w:pPr>
      <w:r w:rsidRPr="00CA13A3">
        <w:rPr>
          <w:rFonts w:ascii="Palatino Linotype" w:hAnsi="Palatino Linotype"/>
          <w:sz w:val="22"/>
          <w:szCs w:val="22"/>
        </w:rPr>
        <w:t>Así las cosas, la Ley de la materia reconoce a toda la información relacionada con actos de violaciones graves a derechos humanos, como información inmune a recibir un tratamiento de clasificación como reservada, en el margen de que, justamente, el hacer del conocimiento a la ciudadanía este tipo de conductas realizadas por servidores públicos, atiende el objetivo fundamental de la normatividad: sobre la gestión pública para el combate a la corrupción y la rendición de cuentas.</w:t>
      </w:r>
    </w:p>
    <w:p w14:paraId="76309F17" w14:textId="77777777" w:rsidR="00876CD6" w:rsidRPr="00CA13A3" w:rsidRDefault="00876CD6" w:rsidP="00876CD6">
      <w:pPr>
        <w:pStyle w:val="Prrafodelista"/>
        <w:spacing w:line="360" w:lineRule="auto"/>
        <w:ind w:left="0" w:right="49"/>
        <w:jc w:val="both"/>
        <w:rPr>
          <w:rFonts w:ascii="Palatino Linotype" w:hAnsi="Palatino Linotype"/>
          <w:szCs w:val="22"/>
        </w:rPr>
      </w:pPr>
    </w:p>
    <w:p w14:paraId="76309F18" w14:textId="77777777" w:rsidR="00876CD6" w:rsidRPr="00CA13A3" w:rsidRDefault="00876CD6" w:rsidP="00876CD6">
      <w:pPr>
        <w:numPr>
          <w:ilvl w:val="0"/>
          <w:numId w:val="1"/>
        </w:numPr>
        <w:spacing w:line="360" w:lineRule="auto"/>
        <w:ind w:left="0" w:firstLine="0"/>
        <w:contextualSpacing/>
        <w:jc w:val="both"/>
        <w:rPr>
          <w:rFonts w:ascii="Palatino Linotype" w:hAnsi="Palatino Linotype"/>
          <w:sz w:val="22"/>
          <w:szCs w:val="22"/>
        </w:rPr>
      </w:pPr>
      <w:r w:rsidRPr="00CA13A3">
        <w:rPr>
          <w:rFonts w:ascii="Palatino Linotype" w:hAnsi="Palatino Linotype"/>
          <w:sz w:val="22"/>
          <w:szCs w:val="22"/>
        </w:rPr>
        <w:t>Aunado a lo anterior, se debe considerar ciertos criterios para determinar cuáles son las determinaciones que se deben tomar en cuenta para señalar cuales son las violaciones consideradas graves para no clasificar como reservada la información, por lo que se trae a colación lo señalado en la Tesis Aislada número 1a. XI/2012 (10a.), (Gaceta del Semanario Judicial de la Federación, Libro V, Febrero de 2012, Tomo 1, página 667) como se muestra a continuación:</w:t>
      </w:r>
    </w:p>
    <w:p w14:paraId="76309F19" w14:textId="77777777" w:rsidR="00876CD6" w:rsidRPr="00CA13A3" w:rsidRDefault="00876CD6" w:rsidP="00876CD6">
      <w:pPr>
        <w:pStyle w:val="Prrafodelista"/>
        <w:spacing w:line="360" w:lineRule="auto"/>
        <w:jc w:val="both"/>
        <w:rPr>
          <w:rFonts w:ascii="Palatino Linotype" w:hAnsi="Palatino Linotype"/>
          <w:szCs w:val="22"/>
        </w:rPr>
      </w:pPr>
    </w:p>
    <w:p w14:paraId="76309F1A" w14:textId="77777777" w:rsidR="00876CD6" w:rsidRPr="00CA13A3" w:rsidRDefault="00876CD6" w:rsidP="00876CD6">
      <w:pPr>
        <w:spacing w:line="360" w:lineRule="auto"/>
        <w:ind w:right="616"/>
        <w:jc w:val="both"/>
        <w:rPr>
          <w:rFonts w:ascii="Palatino Linotype" w:hAnsi="Palatino Linotype"/>
          <w:sz w:val="22"/>
          <w:szCs w:val="22"/>
        </w:rPr>
      </w:pPr>
    </w:p>
    <w:p w14:paraId="76309F1B" w14:textId="77777777" w:rsidR="00876CD6" w:rsidRPr="00CA13A3" w:rsidRDefault="00876CD6" w:rsidP="00876CD6">
      <w:pPr>
        <w:pStyle w:val="Prrafodelista"/>
        <w:spacing w:line="360" w:lineRule="auto"/>
        <w:ind w:left="567" w:right="616"/>
        <w:jc w:val="both"/>
        <w:rPr>
          <w:rFonts w:ascii="Palatino Linotype" w:hAnsi="Palatino Linotype"/>
          <w:i/>
          <w:szCs w:val="22"/>
        </w:rPr>
      </w:pPr>
      <w:r w:rsidRPr="00CA13A3">
        <w:rPr>
          <w:rFonts w:ascii="Palatino Linotype" w:hAnsi="Palatino Linotype"/>
          <w:b/>
          <w:i/>
          <w:szCs w:val="22"/>
        </w:rPr>
        <w:lastRenderedPageBreak/>
        <w:t>“VIOLACIONES GRAVES A DERECHOS HUMANOS. SU CONCEPTO PARA EFECTOS DEL DERECHO DE ACCESO A LA INFORMACIÓN DE LA AVERIGUACIÓN PREVIA QUE LAS INVESTIGA.</w:t>
      </w:r>
      <w:r w:rsidRPr="00CA13A3">
        <w:rPr>
          <w:rFonts w:ascii="Palatino Linotype" w:hAnsi="Palatino Linotype"/>
          <w:i/>
          <w:szCs w:val="22"/>
        </w:rPr>
        <w:t xml:space="preserve"> De conformidad con el artículo 14 de la Ley Federal de Transparencia y Acceso a la Información Pública Gubernamental, no puede alegarse el carácter de reservado cuando la averiguación previa investigue hechos constitutivos de graves violaciones a derechos humanos o delitos de lesa humanidad. A fin de que el intérprete determine si un caso concreto se ubica en el supuesto de excepción relativo a las violaciones graves a derechos humanos y deba dar acceso a la averiguación previa correspondiente, es necesario que atienda a los lineamientos sentados por la Suprema Corte de Justicia de la Nación y por la Corte Interamericana de Derechos Humanos en esta materia. Siguiendo los lineamientos establecidos por este alto tribunal, para determinar que una violación a derechos humanos es "grave" se requiere comprobar la trascendencia social de las violaciones, lo cual se podrá determinar a través de criterios cuantitativos o cualitativos. El criterio cuantitativo determina la gravedad de las violaciones demostrando que tienen una trascendencia social en función de aspectos medibles o cuantificables, tales como el número, la intensidad, la amplitud, la generalidad, la frecuencia o su prolongación en el tiempo, así como, evidentemente, la combinación de varios de estos aspectos. Es lógico que el criterio anterior no haya podido aplicarse a todos los casos, razón por la cual esta Suprema Corte también </w:t>
      </w:r>
      <w:proofErr w:type="spellStart"/>
      <w:r w:rsidRPr="00CA13A3">
        <w:rPr>
          <w:rFonts w:ascii="Palatino Linotype" w:hAnsi="Palatino Linotype"/>
          <w:i/>
          <w:szCs w:val="22"/>
        </w:rPr>
        <w:t>haentendido</w:t>
      </w:r>
      <w:proofErr w:type="spellEnd"/>
      <w:r w:rsidRPr="00CA13A3">
        <w:rPr>
          <w:rFonts w:ascii="Palatino Linotype" w:hAnsi="Palatino Linotype"/>
          <w:i/>
          <w:szCs w:val="22"/>
        </w:rPr>
        <w:t xml:space="preserve"> que en algunos supuestos la trascendencia social de las violaciones se puede demostrar mediante un criterio cualitativo, determinando si éstas presentan alguna característica o cualidad que les dé una dimensión específica. En lo que respecta a la jurisprudencia de la Corte Interamericana de Derechos Humanos, ese tribunal ha determinado que la "gravedad" </w:t>
      </w:r>
      <w:r w:rsidRPr="00CA13A3">
        <w:rPr>
          <w:rFonts w:ascii="Palatino Linotype" w:hAnsi="Palatino Linotype"/>
          <w:i/>
          <w:szCs w:val="22"/>
        </w:rPr>
        <w:lastRenderedPageBreak/>
        <w:t xml:space="preserve">radica, esencialmente, en que se presenten las siguientes características: multiplicidad de violaciones comprendidas dentro del fenómeno delictivo; especial magnitud de las violaciones en relación a la naturaleza de los derechos afectados; y una participación importante del Estado, al ser los actos cometidos por agentes estatales o con la aquiescencia, tolerancia o apoyo del Estado. </w:t>
      </w:r>
    </w:p>
    <w:p w14:paraId="76309F1C" w14:textId="77777777" w:rsidR="00876CD6" w:rsidRPr="00CA13A3" w:rsidRDefault="00876CD6" w:rsidP="00876CD6">
      <w:pPr>
        <w:pStyle w:val="Prrafodelista"/>
        <w:spacing w:line="360" w:lineRule="auto"/>
        <w:ind w:left="567" w:right="616"/>
        <w:jc w:val="both"/>
        <w:rPr>
          <w:rFonts w:ascii="Palatino Linotype" w:hAnsi="Palatino Linotype"/>
          <w:i/>
          <w:szCs w:val="22"/>
        </w:rPr>
      </w:pPr>
    </w:p>
    <w:p w14:paraId="76309F1D" w14:textId="77777777" w:rsidR="00876CD6" w:rsidRPr="00CA13A3" w:rsidRDefault="00876CD6" w:rsidP="00876CD6">
      <w:pPr>
        <w:pStyle w:val="Prrafodelista"/>
        <w:spacing w:line="360" w:lineRule="auto"/>
        <w:ind w:left="567" w:right="616"/>
        <w:jc w:val="both"/>
        <w:rPr>
          <w:rFonts w:ascii="Palatino Linotype" w:hAnsi="Palatino Linotype"/>
          <w:i/>
          <w:szCs w:val="22"/>
        </w:rPr>
      </w:pPr>
      <w:r w:rsidRPr="00CA13A3">
        <w:rPr>
          <w:rFonts w:ascii="Palatino Linotype" w:hAnsi="Palatino Linotype"/>
          <w:i/>
          <w:szCs w:val="22"/>
        </w:rPr>
        <w:t xml:space="preserve">Amparo en revisión 168/2011. Comisión Mexicana de Defensa y Protección de los Derechos Humanos, A.C. y otra. 30 de noviembre de 2011. Cinco votos. Ponente: Arturo Zaldívar Lelo de Larrea. Secretario: Javier Mijangos y González.” </w:t>
      </w:r>
    </w:p>
    <w:p w14:paraId="76309F1E" w14:textId="77777777" w:rsidR="00876CD6" w:rsidRPr="00CA13A3" w:rsidRDefault="00876CD6" w:rsidP="00876CD6">
      <w:pPr>
        <w:spacing w:line="360" w:lineRule="auto"/>
        <w:jc w:val="both"/>
        <w:rPr>
          <w:rFonts w:ascii="Palatino Linotype" w:hAnsi="Palatino Linotype"/>
          <w:sz w:val="22"/>
          <w:szCs w:val="22"/>
        </w:rPr>
      </w:pPr>
    </w:p>
    <w:p w14:paraId="76309F1F" w14:textId="77777777" w:rsidR="00FD1830" w:rsidRPr="00CA13A3" w:rsidRDefault="00876CD6" w:rsidP="00FD1830">
      <w:pPr>
        <w:numPr>
          <w:ilvl w:val="0"/>
          <w:numId w:val="1"/>
        </w:numPr>
        <w:spacing w:line="360" w:lineRule="auto"/>
        <w:ind w:left="0" w:firstLine="0"/>
        <w:contextualSpacing/>
        <w:jc w:val="both"/>
        <w:rPr>
          <w:rFonts w:ascii="Palatino Linotype" w:hAnsi="Palatino Linotype"/>
          <w:sz w:val="22"/>
          <w:szCs w:val="22"/>
        </w:rPr>
      </w:pPr>
      <w:r w:rsidRPr="00CA13A3">
        <w:rPr>
          <w:rFonts w:ascii="Palatino Linotype" w:hAnsi="Palatino Linotype"/>
          <w:sz w:val="22"/>
          <w:szCs w:val="22"/>
        </w:rPr>
        <w:t>Así, como ya se ha acreditado procede la reserva de los expedientes que se encuentran en trámite, sin embargo, es necesario señalar que para el caso de que las quejas que se ordenan reservar, si los hechos que se investigan están catalogados como violación grave a derechos humanos no procede su clasificación como reservada, por lo que deberán ser entregados en versión pública.</w:t>
      </w:r>
    </w:p>
    <w:p w14:paraId="76309F20" w14:textId="77777777" w:rsidR="00FD1830" w:rsidRPr="00CA13A3" w:rsidRDefault="00FD1830" w:rsidP="00FD1830">
      <w:pPr>
        <w:spacing w:line="360" w:lineRule="auto"/>
        <w:contextualSpacing/>
        <w:jc w:val="both"/>
        <w:rPr>
          <w:rFonts w:ascii="Palatino Linotype" w:hAnsi="Palatino Linotype"/>
          <w:sz w:val="22"/>
          <w:szCs w:val="22"/>
        </w:rPr>
      </w:pPr>
    </w:p>
    <w:p w14:paraId="76309F21" w14:textId="77777777" w:rsidR="00FD1830" w:rsidRPr="00CA13A3" w:rsidRDefault="00FD1830" w:rsidP="00FD1830">
      <w:pPr>
        <w:numPr>
          <w:ilvl w:val="0"/>
          <w:numId w:val="1"/>
        </w:numPr>
        <w:spacing w:line="360" w:lineRule="auto"/>
        <w:ind w:left="0" w:firstLine="0"/>
        <w:contextualSpacing/>
        <w:jc w:val="both"/>
        <w:rPr>
          <w:rFonts w:ascii="Palatino Linotype" w:hAnsi="Palatino Linotype"/>
          <w:sz w:val="24"/>
          <w:szCs w:val="22"/>
        </w:rPr>
      </w:pPr>
      <w:r w:rsidRPr="00CA13A3">
        <w:rPr>
          <w:rFonts w:ascii="Palatino Linotype" w:eastAsia="Palatino Linotype" w:hAnsi="Palatino Linotype" w:cs="Palatino Linotype"/>
          <w:sz w:val="22"/>
        </w:rPr>
        <w:t xml:space="preserve">Como se ha señalado a lo largo de los párrafos anteriores en la generalidad es posible otorgar en algunos casos el acceso a los expedientes o resoluciones derivados de quejas o denuncias, de ser el caso en versión pública, clasificando el nombre, cargo y área de adscripción de los servidores públicos involucrados, no obstante en el caso particular se hace identificable al servidor público de la cual se desea conocer la información, por lo que, lo procedente es ordenar el acuerdo </w:t>
      </w:r>
      <w:r w:rsidRPr="00CA13A3">
        <w:rPr>
          <w:rFonts w:ascii="Palatino Linotype" w:eastAsia="Palatino Linotype" w:hAnsi="Palatino Linotype" w:cs="Palatino Linotype"/>
          <w:color w:val="000000"/>
          <w:sz w:val="22"/>
          <w:szCs w:val="22"/>
        </w:rPr>
        <w:t xml:space="preserve">que se clasifique como reservado el pronunciamiento en sentido afirmativo o negativo respecto de si la Servidora Pública señalada en la solicitud, </w:t>
      </w:r>
      <w:r w:rsidRPr="00CA13A3">
        <w:rPr>
          <w:rFonts w:ascii="Palatino Linotype" w:eastAsia="Palatino Linotype" w:hAnsi="Palatino Linotype" w:cs="Palatino Linotype"/>
          <w:color w:val="000000"/>
          <w:sz w:val="22"/>
          <w:szCs w:val="22"/>
        </w:rPr>
        <w:lastRenderedPageBreak/>
        <w:t>cuentan con procedimientos administrativos por faltas graves y no graves derivados de una queja o denuncia en términos de los artículos 49, fracción II, 132, fracción II, 143, fracción I y 149 de la Ley de Transparencia y Acceso a la Información Pública del Estado de México y Municipios; salvo que el acto se relacione con actos de corrupción o violaciones graves a derechos humanos, deberá entregar en versión pública los documentos en donde conste el nombre, motivo y estatus, vigente a la fecha de la solicitud.</w:t>
      </w:r>
    </w:p>
    <w:p w14:paraId="76309F22" w14:textId="77777777" w:rsidR="00FD1830" w:rsidRPr="00CA13A3" w:rsidRDefault="00FD1830" w:rsidP="00FD1830">
      <w:pPr>
        <w:spacing w:line="360" w:lineRule="auto"/>
        <w:contextualSpacing/>
        <w:jc w:val="both"/>
        <w:rPr>
          <w:rFonts w:ascii="Palatino Linotype" w:hAnsi="Palatino Linotype"/>
          <w:sz w:val="24"/>
          <w:szCs w:val="22"/>
        </w:rPr>
      </w:pPr>
    </w:p>
    <w:p w14:paraId="76309F23" w14:textId="77777777" w:rsidR="000D3126" w:rsidRPr="00CA13A3" w:rsidRDefault="004D15B2" w:rsidP="00FD1830">
      <w:pPr>
        <w:numPr>
          <w:ilvl w:val="0"/>
          <w:numId w:val="1"/>
        </w:numPr>
        <w:spacing w:line="360" w:lineRule="auto"/>
        <w:ind w:left="0" w:firstLine="0"/>
        <w:contextualSpacing/>
        <w:jc w:val="both"/>
        <w:rPr>
          <w:rFonts w:ascii="Palatino Linotype" w:hAnsi="Palatino Linotype"/>
          <w:sz w:val="24"/>
          <w:szCs w:val="22"/>
        </w:rPr>
      </w:pPr>
      <w:r w:rsidRPr="00CA13A3">
        <w:rPr>
          <w:rFonts w:ascii="Palatino Linotype" w:hAnsi="Palatino Linotype"/>
          <w:color w:val="222222"/>
          <w:sz w:val="22"/>
          <w:szCs w:val="22"/>
        </w:rPr>
        <w:t xml:space="preserve">Por </w:t>
      </w:r>
      <w:r w:rsidR="00D853A3" w:rsidRPr="00CA13A3">
        <w:rPr>
          <w:rFonts w:ascii="Palatino Linotype" w:hAnsi="Palatino Linotype"/>
          <w:color w:val="222222"/>
          <w:sz w:val="22"/>
          <w:szCs w:val="22"/>
        </w:rPr>
        <w:t>otro lado, el Recurrente también solicitó información referente a las constancias de estudio de la servidora pública referida en la solicitud de información, por lo que la solicitud se debió turnar a la Dirección General de Administración quien tiene las siguientes atribuciones de acuerdo a los establecido en el</w:t>
      </w:r>
      <w:r w:rsidR="00B12F40" w:rsidRPr="00CA13A3">
        <w:rPr>
          <w:rFonts w:ascii="Palatino Linotype" w:hAnsi="Palatino Linotype"/>
          <w:color w:val="222222"/>
          <w:sz w:val="22"/>
          <w:szCs w:val="22"/>
        </w:rPr>
        <w:t xml:space="preserve"> Reglamento Interno </w:t>
      </w:r>
      <w:proofErr w:type="spellStart"/>
      <w:r w:rsidR="00B12F40" w:rsidRPr="00CA13A3">
        <w:rPr>
          <w:rFonts w:ascii="Palatino Linotype" w:hAnsi="Palatino Linotype"/>
          <w:color w:val="222222"/>
          <w:sz w:val="22"/>
          <w:szCs w:val="22"/>
        </w:rPr>
        <w:t>sel</w:t>
      </w:r>
      <w:proofErr w:type="spellEnd"/>
      <w:r w:rsidR="00B12F40" w:rsidRPr="00CA13A3">
        <w:rPr>
          <w:rFonts w:ascii="Palatino Linotype" w:hAnsi="Palatino Linotype"/>
          <w:color w:val="222222"/>
          <w:sz w:val="22"/>
          <w:szCs w:val="22"/>
        </w:rPr>
        <w:t xml:space="preserve"> Sujeto Obligado:</w:t>
      </w:r>
    </w:p>
    <w:p w14:paraId="76309F24" w14:textId="77777777" w:rsidR="00B12F40" w:rsidRPr="00CA13A3" w:rsidRDefault="00B12F40" w:rsidP="00B12F40">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b/>
          <w:i/>
          <w:color w:val="222222"/>
          <w:sz w:val="22"/>
          <w:szCs w:val="22"/>
        </w:rPr>
        <w:t>“Artículo 28.</w:t>
      </w:r>
      <w:r w:rsidRPr="00CA13A3">
        <w:rPr>
          <w:rFonts w:ascii="Palatino Linotype" w:hAnsi="Palatino Linotype"/>
          <w:i/>
          <w:color w:val="222222"/>
          <w:sz w:val="22"/>
          <w:szCs w:val="22"/>
        </w:rPr>
        <w:t xml:space="preserve"> Corresponden a la Dirección General de Administración las atribuciones siguientes: </w:t>
      </w:r>
    </w:p>
    <w:p w14:paraId="76309F25" w14:textId="77777777" w:rsidR="00B12F40" w:rsidRPr="00CA13A3" w:rsidRDefault="00B12F40" w:rsidP="00B12F40">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I. Programar, organizar y controlar el suministro, administración y aplicación de los recursos humanos, materiales, técnicos y tecnológicos, así como los servicios generales necesarios para el funcionamiento de las unidades administrativas de la Secretaría;</w:t>
      </w:r>
    </w:p>
    <w:p w14:paraId="76309F26" w14:textId="77777777" w:rsidR="00B12F40" w:rsidRPr="00CA13A3" w:rsidRDefault="00B12F40" w:rsidP="00B12F40">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II. Establecer, de conformidad con las disposiciones jurídicas aplicables, las normas, procedimientos y sistemas de administración interna en materia de recursos humanos y materiales, así como de servicios generales de la Secretaría; </w:t>
      </w:r>
    </w:p>
    <w:p w14:paraId="76309F27" w14:textId="77777777" w:rsidR="00B12F40" w:rsidRPr="00CA13A3" w:rsidRDefault="00B12F40" w:rsidP="00B12F40">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III. Cumplir y hacer cumplir las políticas, normas, lineamientos, procedimientos y demás disposiciones en materia de administración de recursos humanos y materiales; </w:t>
      </w:r>
    </w:p>
    <w:p w14:paraId="76309F28" w14:textId="77777777" w:rsidR="00B12F40" w:rsidRPr="00CA13A3" w:rsidRDefault="00B12F40" w:rsidP="00B12F40">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lastRenderedPageBreak/>
        <w:t xml:space="preserve">IV. Instrumentar acciones de capacitación, adiestramiento y desarrollo del personal administrativo de la Secretaría, en términos de las disposiciones jurídicas aplicables; </w:t>
      </w:r>
    </w:p>
    <w:p w14:paraId="76309F29" w14:textId="77777777" w:rsidR="00B12F40" w:rsidRPr="00CA13A3" w:rsidRDefault="00B12F40" w:rsidP="00B12F40">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V. Programar, organizar y coordinar las acciones de actualización y capacitación general y técnica especializada del personal de la Secretaría; así como la evaluación de su desempeño y proponer los perfiles profesionales conforme a las necesidades institucionales en coordinación con las diversas unidades administrativas de la Secretaría, en términos de las disposiciones jurídicas aplicables; </w:t>
      </w:r>
    </w:p>
    <w:p w14:paraId="76309F2A" w14:textId="77777777" w:rsidR="00B12F40" w:rsidRPr="00CA13A3" w:rsidRDefault="00B12F40" w:rsidP="00B12F40">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VI. Coadyuvar en la vigilancia para que las relaciones laborales de la Secretaría se den de conformidad con las leyes aplicables, las Condiciones Generales de Trabajo y los lineamientos y políticas laborales que emitan las instancias competentes del Gobierno del Estado de México y de la propia Secretaría;</w:t>
      </w:r>
    </w:p>
    <w:p w14:paraId="76309F2B" w14:textId="77777777" w:rsidR="00B12F40" w:rsidRPr="00CA13A3" w:rsidRDefault="007D6CF8" w:rsidP="007D6CF8">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w:t>
      </w:r>
    </w:p>
    <w:p w14:paraId="76309F2C" w14:textId="77777777" w:rsidR="00B12F40" w:rsidRPr="00CA13A3" w:rsidRDefault="00B12F40" w:rsidP="00B12F4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CA13A3">
        <w:rPr>
          <w:rFonts w:ascii="Palatino Linotype" w:eastAsia="Palatino Linotype" w:hAnsi="Palatino Linotype" w:cs="Palatino Linotype"/>
          <w:color w:val="000000"/>
          <w:sz w:val="22"/>
          <w:szCs w:val="22"/>
        </w:rPr>
        <w:t xml:space="preserve">Ahora bien, es importante mencionar que la ficha curricular o currículum vitae contienen entre otra información, </w:t>
      </w:r>
      <w:r w:rsidRPr="00CA13A3">
        <w:rPr>
          <w:rFonts w:ascii="Palatino Linotype" w:eastAsia="Palatino Linotype" w:hAnsi="Palatino Linotype" w:cs="Palatino Linotype"/>
          <w:b/>
          <w:color w:val="000000"/>
          <w:sz w:val="22"/>
          <w:szCs w:val="22"/>
        </w:rPr>
        <w:t>la preparación académica, laboral y méritos con los que cuentan los servidores públicos</w:t>
      </w:r>
      <w:r w:rsidRPr="00CA13A3">
        <w:rPr>
          <w:rFonts w:ascii="Palatino Linotype" w:eastAsia="Palatino Linotype" w:hAnsi="Palatino Linotype" w:cs="Palatino Linotype"/>
          <w:color w:val="000000"/>
          <w:sz w:val="22"/>
          <w:szCs w:val="22"/>
        </w:rPr>
        <w:t xml:space="preserve"> para ocupar un cargo público. Se cita lo que dispone la  Real Academia de la Lengua Española define como currículum vitae: </w:t>
      </w:r>
    </w:p>
    <w:p w14:paraId="76309F2D" w14:textId="77777777" w:rsidR="00B12F40" w:rsidRPr="00CA13A3" w:rsidRDefault="00B12F40" w:rsidP="00B12F4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76309F2E" w14:textId="77777777" w:rsidR="00B12F40" w:rsidRPr="00CA13A3" w:rsidRDefault="00B12F40" w:rsidP="00B12F40">
      <w:pPr>
        <w:tabs>
          <w:tab w:val="left" w:pos="426"/>
        </w:tabs>
        <w:spacing w:line="360" w:lineRule="auto"/>
        <w:ind w:left="567" w:right="616"/>
        <w:jc w:val="both"/>
        <w:rPr>
          <w:rFonts w:ascii="Palatino Linotype" w:eastAsia="Palatino Linotype" w:hAnsi="Palatino Linotype" w:cs="Palatino Linotype"/>
          <w:sz w:val="22"/>
          <w:szCs w:val="22"/>
        </w:rPr>
      </w:pPr>
      <w:r w:rsidRPr="00CA13A3">
        <w:rPr>
          <w:rFonts w:ascii="Palatino Linotype" w:eastAsia="Palatino Linotype" w:hAnsi="Palatino Linotype" w:cs="Palatino Linotype"/>
          <w:b/>
          <w:sz w:val="22"/>
          <w:szCs w:val="22"/>
        </w:rPr>
        <w:t>“</w:t>
      </w:r>
      <w:r w:rsidRPr="00CA13A3">
        <w:rPr>
          <w:rFonts w:ascii="Palatino Linotype" w:eastAsia="Palatino Linotype" w:hAnsi="Palatino Linotype" w:cs="Palatino Linotype"/>
          <w:b/>
          <w:i/>
          <w:sz w:val="22"/>
          <w:szCs w:val="22"/>
        </w:rPr>
        <w:t>currículum vítae</w:t>
      </w:r>
      <w:r w:rsidRPr="00CA13A3">
        <w:rPr>
          <w:rFonts w:ascii="Palatino Linotype" w:eastAsia="Palatino Linotype" w:hAnsi="Palatino Linotype" w:cs="Palatino Linotype"/>
          <w:i/>
          <w:sz w:val="22"/>
          <w:szCs w:val="22"/>
        </w:rPr>
        <w:t>. </w:t>
      </w:r>
      <w:r w:rsidRPr="00CA13A3">
        <w:rPr>
          <w:rFonts w:ascii="Palatino Linotype" w:eastAsia="Palatino Linotype" w:hAnsi="Palatino Linotype" w:cs="Palatino Linotype"/>
          <w:b/>
          <w:i/>
          <w:sz w:val="22"/>
          <w:szCs w:val="22"/>
        </w:rPr>
        <w:t>1.</w:t>
      </w:r>
      <w:r w:rsidRPr="00CA13A3">
        <w:rPr>
          <w:rFonts w:ascii="Palatino Linotype" w:eastAsia="Palatino Linotype" w:hAnsi="Palatino Linotype" w:cs="Palatino Linotype"/>
          <w:i/>
          <w:sz w:val="22"/>
          <w:szCs w:val="22"/>
        </w:rPr>
        <w:t xml:space="preserve"> Loc. lat. </w:t>
      </w:r>
      <w:proofErr w:type="gramStart"/>
      <w:r w:rsidRPr="00CA13A3">
        <w:rPr>
          <w:rFonts w:ascii="Palatino Linotype" w:eastAsia="Palatino Linotype" w:hAnsi="Palatino Linotype" w:cs="Palatino Linotype"/>
          <w:i/>
          <w:sz w:val="22"/>
          <w:szCs w:val="22"/>
        </w:rPr>
        <w:t>que</w:t>
      </w:r>
      <w:proofErr w:type="gramEnd"/>
      <w:r w:rsidRPr="00CA13A3">
        <w:rPr>
          <w:rFonts w:ascii="Palatino Linotype" w:eastAsia="Palatino Linotype" w:hAnsi="Palatino Linotype" w:cs="Palatino Linotype"/>
          <w:i/>
          <w:sz w:val="22"/>
          <w:szCs w:val="22"/>
        </w:rPr>
        <w:t xml:space="preserve"> significa literalmente ‘carrera de la vida’. Se usa como locución nominal masculina para designar la relación de los datos personales, </w:t>
      </w:r>
      <w:r w:rsidRPr="00CA13A3">
        <w:rPr>
          <w:rFonts w:ascii="Palatino Linotype" w:eastAsia="Palatino Linotype" w:hAnsi="Palatino Linotype" w:cs="Palatino Linotype"/>
          <w:b/>
          <w:i/>
          <w:sz w:val="22"/>
          <w:szCs w:val="22"/>
        </w:rPr>
        <w:t>formación académica</w:t>
      </w:r>
      <w:r w:rsidRPr="00CA13A3">
        <w:rPr>
          <w:rFonts w:ascii="Palatino Linotype" w:eastAsia="Palatino Linotype" w:hAnsi="Palatino Linotype" w:cs="Palatino Linotype"/>
          <w:i/>
          <w:sz w:val="22"/>
          <w:szCs w:val="22"/>
        </w:rPr>
        <w:t>, actividad laboral y méritos de una persona.</w:t>
      </w:r>
      <w:r w:rsidRPr="00CA13A3">
        <w:rPr>
          <w:rFonts w:ascii="Palatino Linotype" w:eastAsia="Palatino Linotype" w:hAnsi="Palatino Linotype" w:cs="Palatino Linotype"/>
          <w:sz w:val="22"/>
          <w:szCs w:val="22"/>
        </w:rPr>
        <w:t>”</w:t>
      </w:r>
    </w:p>
    <w:p w14:paraId="76309F2F" w14:textId="77777777" w:rsidR="00B12F40" w:rsidRPr="00CA13A3" w:rsidRDefault="00B12F40" w:rsidP="00B12F4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76309F30" w14:textId="77777777" w:rsidR="00B12F40" w:rsidRPr="00CA13A3" w:rsidRDefault="00B12F40" w:rsidP="00B12F40">
      <w:pPr>
        <w:numPr>
          <w:ilvl w:val="0"/>
          <w:numId w:val="1"/>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sz w:val="22"/>
          <w:szCs w:val="22"/>
        </w:rPr>
      </w:pPr>
      <w:r w:rsidRPr="00CA13A3">
        <w:rPr>
          <w:rFonts w:ascii="Palatino Linotype" w:eastAsia="Palatino Linotype" w:hAnsi="Palatino Linotype" w:cs="Palatino Linotype"/>
          <w:color w:val="000000"/>
          <w:sz w:val="22"/>
          <w:szCs w:val="22"/>
        </w:rPr>
        <w:t xml:space="preserve">De la interpretación a esta definición se desprende que tanto la ficha curricular como el currículum vitae están relacionados con la hoja de vida, carrera de vida o currículo de una </w:t>
      </w:r>
      <w:r w:rsidRPr="00CA13A3">
        <w:rPr>
          <w:rFonts w:ascii="Palatino Linotype" w:eastAsia="Palatino Linotype" w:hAnsi="Palatino Linotype" w:cs="Palatino Linotype"/>
          <w:color w:val="000000"/>
          <w:sz w:val="22"/>
          <w:szCs w:val="22"/>
        </w:rPr>
        <w:lastRenderedPageBreak/>
        <w:t>persona, donde se podría apreciar la preparación académica y laboral que tiene, además de los méritos como bien lo podrían ser cursos o certificaciones.</w:t>
      </w:r>
    </w:p>
    <w:p w14:paraId="76309F31" w14:textId="77777777" w:rsidR="00B12F40" w:rsidRPr="00CA13A3" w:rsidRDefault="00B12F40" w:rsidP="00B12F4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76309F32" w14:textId="77777777" w:rsidR="00B12F40" w:rsidRPr="00CA13A3" w:rsidRDefault="00B12F40" w:rsidP="00B12F40">
      <w:pPr>
        <w:numPr>
          <w:ilvl w:val="0"/>
          <w:numId w:val="1"/>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sz w:val="22"/>
          <w:szCs w:val="22"/>
        </w:rPr>
      </w:pPr>
      <w:r w:rsidRPr="00CA13A3">
        <w:rPr>
          <w:rFonts w:ascii="Palatino Linotype" w:eastAsia="Palatino Linotype" w:hAnsi="Palatino Linotype" w:cs="Palatino Linotype"/>
          <w:color w:val="000000"/>
          <w:sz w:val="22"/>
          <w:szCs w:val="22"/>
        </w:rPr>
        <w:t xml:space="preserve">Por ende, la ficha curricular o currículum vítae puede existir información más detallada y relacionada con la </w:t>
      </w:r>
      <w:r w:rsidRPr="00CA13A3">
        <w:rPr>
          <w:rFonts w:ascii="Palatino Linotype" w:eastAsia="Palatino Linotype" w:hAnsi="Palatino Linotype" w:cs="Palatino Linotype"/>
          <w:b/>
          <w:color w:val="000000"/>
          <w:sz w:val="22"/>
          <w:szCs w:val="22"/>
        </w:rPr>
        <w:t xml:space="preserve">trayectoria académica o profesional, </w:t>
      </w:r>
      <w:r w:rsidRPr="00CA13A3">
        <w:rPr>
          <w:rFonts w:ascii="Palatino Linotype" w:eastAsia="Palatino Linotype" w:hAnsi="Palatino Linotype" w:cs="Palatino Linotype"/>
          <w:color w:val="000000"/>
          <w:sz w:val="22"/>
          <w:szCs w:val="22"/>
        </w:rPr>
        <w:t xml:space="preserve">debiendo conservar los documentos soporte como puede ser </w:t>
      </w:r>
      <w:r w:rsidRPr="00CA13A3">
        <w:rPr>
          <w:rFonts w:ascii="Palatino Linotype" w:eastAsia="Palatino Linotype" w:hAnsi="Palatino Linotype" w:cs="Palatino Linotype"/>
          <w:b/>
          <w:color w:val="000000"/>
          <w:sz w:val="22"/>
          <w:szCs w:val="22"/>
        </w:rPr>
        <w:t>el título profesional o cédula profesional</w:t>
      </w:r>
      <w:r w:rsidRPr="00CA13A3">
        <w:rPr>
          <w:rFonts w:ascii="Palatino Linotype" w:eastAsia="Palatino Linotype" w:hAnsi="Palatino Linotype" w:cs="Palatino Linotype"/>
          <w:color w:val="000000"/>
          <w:sz w:val="22"/>
          <w:szCs w:val="22"/>
        </w:rPr>
        <w:t xml:space="preserve"> o el documento que avale el </w:t>
      </w:r>
      <w:r w:rsidRPr="00CA13A3">
        <w:rPr>
          <w:rFonts w:ascii="Palatino Linotype" w:eastAsia="Palatino Linotype" w:hAnsi="Palatino Linotype" w:cs="Palatino Linotype"/>
          <w:b/>
          <w:color w:val="000000"/>
          <w:sz w:val="22"/>
          <w:szCs w:val="22"/>
        </w:rPr>
        <w:t>grado académico de los servidores públicos</w:t>
      </w:r>
      <w:r w:rsidRPr="00CA13A3">
        <w:rPr>
          <w:rFonts w:ascii="Palatino Linotype" w:eastAsia="Palatino Linotype" w:hAnsi="Palatino Linotype" w:cs="Palatino Linotype"/>
          <w:color w:val="000000"/>
          <w:sz w:val="22"/>
          <w:szCs w:val="22"/>
        </w:rPr>
        <w:t>, los cuales son susceptibles de proporcionarse en versión pública.</w:t>
      </w:r>
    </w:p>
    <w:p w14:paraId="76309F33" w14:textId="77777777" w:rsidR="00B12F40" w:rsidRPr="00CA13A3" w:rsidRDefault="00B12F40" w:rsidP="00B12F40">
      <w:pPr>
        <w:pBdr>
          <w:top w:val="nil"/>
          <w:left w:val="nil"/>
          <w:bottom w:val="nil"/>
          <w:right w:val="nil"/>
          <w:between w:val="nil"/>
        </w:pBdr>
        <w:rPr>
          <w:rFonts w:ascii="Palatino Linotype" w:eastAsia="Palatino Linotype" w:hAnsi="Palatino Linotype" w:cs="Palatino Linotype"/>
          <w:color w:val="000000"/>
          <w:sz w:val="22"/>
          <w:szCs w:val="22"/>
        </w:rPr>
      </w:pPr>
    </w:p>
    <w:p w14:paraId="76309F34" w14:textId="77777777" w:rsidR="00B12F40" w:rsidRPr="00CA13A3" w:rsidRDefault="00B12F40" w:rsidP="00B12F40">
      <w:pPr>
        <w:numPr>
          <w:ilvl w:val="0"/>
          <w:numId w:val="1"/>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sz w:val="22"/>
          <w:szCs w:val="22"/>
        </w:rPr>
      </w:pPr>
      <w:r w:rsidRPr="00CA13A3">
        <w:rPr>
          <w:rFonts w:ascii="Palatino Linotype" w:eastAsia="Palatino Linotype" w:hAnsi="Palatino Linotype" w:cs="Palatino Linotype"/>
          <w:color w:val="000000"/>
          <w:sz w:val="22"/>
          <w:szCs w:val="22"/>
        </w:rPr>
        <w:t>Es así que, la información contenida en el currículum vitae proporcionado por el Sujeto Obligado permite conocer el perfil profesional del servidor público.</w:t>
      </w:r>
    </w:p>
    <w:p w14:paraId="76309F35" w14:textId="77777777" w:rsidR="00B12F40" w:rsidRPr="00CA13A3" w:rsidRDefault="00B12F40" w:rsidP="00B12F40">
      <w:pPr>
        <w:tabs>
          <w:tab w:val="left" w:pos="567"/>
        </w:tabs>
        <w:spacing w:line="360" w:lineRule="auto"/>
        <w:jc w:val="both"/>
        <w:rPr>
          <w:rFonts w:ascii="Palatino Linotype" w:eastAsia="Palatino Linotype" w:hAnsi="Palatino Linotype" w:cs="Palatino Linotype"/>
          <w:sz w:val="22"/>
          <w:szCs w:val="22"/>
        </w:rPr>
      </w:pPr>
    </w:p>
    <w:p w14:paraId="76309F36" w14:textId="77777777" w:rsidR="00B12F40" w:rsidRPr="00CA13A3" w:rsidRDefault="00B12F40" w:rsidP="00B12F40">
      <w:pPr>
        <w:numPr>
          <w:ilvl w:val="0"/>
          <w:numId w:val="1"/>
        </w:numPr>
        <w:tabs>
          <w:tab w:val="left" w:pos="567"/>
        </w:tabs>
        <w:spacing w:line="360" w:lineRule="auto"/>
        <w:ind w:left="0" w:firstLine="0"/>
        <w:jc w:val="both"/>
        <w:rPr>
          <w:rFonts w:ascii="Palatino Linotype" w:eastAsia="Palatino Linotype" w:hAnsi="Palatino Linotype" w:cs="Palatino Linotype"/>
          <w:sz w:val="22"/>
          <w:szCs w:val="22"/>
        </w:rPr>
      </w:pPr>
      <w:r w:rsidRPr="00CA13A3">
        <w:rPr>
          <w:rFonts w:ascii="Palatino Linotype" w:eastAsia="Palatino Linotype" w:hAnsi="Palatino Linotype" w:cs="Palatino Linotype"/>
          <w:sz w:val="22"/>
          <w:szCs w:val="22"/>
        </w:rPr>
        <w:t>Además, el currículum vitae o ficha curricular forman parte de las obligaciones d transparencia común que todos los Sujetos Obligados deben publicar periódicamente en sus portales IPOMEX, según lo dispuesto en el artículo 92, fracción XXI, de la Ley de Transparencia y Acceso a la Información del Estado de México y Municipios, disponen lo siguiente:</w:t>
      </w:r>
    </w:p>
    <w:p w14:paraId="76309F37" w14:textId="77777777" w:rsidR="00B12F40" w:rsidRPr="00CA13A3" w:rsidRDefault="00B12F40" w:rsidP="00B12F40">
      <w:pPr>
        <w:ind w:left="851" w:right="851"/>
        <w:jc w:val="center"/>
        <w:rPr>
          <w:rFonts w:ascii="Palatino Linotype" w:eastAsia="Palatino Linotype" w:hAnsi="Palatino Linotype" w:cs="Palatino Linotype"/>
          <w:b/>
          <w:i/>
          <w:sz w:val="22"/>
          <w:szCs w:val="22"/>
        </w:rPr>
      </w:pPr>
    </w:p>
    <w:p w14:paraId="76309F38" w14:textId="77777777" w:rsidR="00B12F40" w:rsidRPr="00CA13A3" w:rsidRDefault="00B12F40" w:rsidP="00B12F40">
      <w:pPr>
        <w:spacing w:line="360" w:lineRule="auto"/>
        <w:ind w:left="851" w:right="851"/>
        <w:jc w:val="center"/>
        <w:rPr>
          <w:rFonts w:ascii="Palatino Linotype" w:eastAsia="Palatino Linotype" w:hAnsi="Palatino Linotype" w:cs="Palatino Linotype"/>
          <w:b/>
          <w:i/>
          <w:sz w:val="22"/>
          <w:szCs w:val="22"/>
        </w:rPr>
      </w:pPr>
      <w:r w:rsidRPr="00CA13A3">
        <w:rPr>
          <w:rFonts w:ascii="Palatino Linotype" w:eastAsia="Palatino Linotype" w:hAnsi="Palatino Linotype" w:cs="Palatino Linotype"/>
          <w:b/>
          <w:i/>
          <w:sz w:val="22"/>
          <w:szCs w:val="22"/>
        </w:rPr>
        <w:t>Ley de Transparencia y Acceso a la Información Pública del Estado de México y Municipios</w:t>
      </w:r>
    </w:p>
    <w:p w14:paraId="76309F39" w14:textId="77777777" w:rsidR="00B12F40" w:rsidRPr="00CA13A3" w:rsidRDefault="00B12F40" w:rsidP="00B12F40">
      <w:pPr>
        <w:spacing w:line="360" w:lineRule="auto"/>
        <w:ind w:left="851" w:right="851"/>
        <w:jc w:val="both"/>
        <w:rPr>
          <w:rFonts w:ascii="Palatino Linotype" w:eastAsia="Palatino Linotype" w:hAnsi="Palatino Linotype" w:cs="Palatino Linotype"/>
          <w:i/>
          <w:sz w:val="22"/>
          <w:szCs w:val="22"/>
        </w:rPr>
      </w:pPr>
      <w:r w:rsidRPr="00CA13A3">
        <w:rPr>
          <w:rFonts w:ascii="Palatino Linotype" w:eastAsia="Palatino Linotype" w:hAnsi="Palatino Linotype" w:cs="Palatino Linotype"/>
          <w:i/>
          <w:sz w:val="22"/>
          <w:szCs w:val="22"/>
        </w:rPr>
        <w:t>“</w:t>
      </w:r>
      <w:r w:rsidRPr="00CA13A3">
        <w:rPr>
          <w:rFonts w:ascii="Palatino Linotype" w:eastAsia="Palatino Linotype" w:hAnsi="Palatino Linotype" w:cs="Palatino Linotype"/>
          <w:b/>
          <w:i/>
          <w:sz w:val="22"/>
          <w:szCs w:val="22"/>
        </w:rPr>
        <w:t>Artículo 92</w:t>
      </w:r>
      <w:r w:rsidRPr="00CA13A3">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w:t>
      </w:r>
      <w:r w:rsidRPr="00CA13A3">
        <w:rPr>
          <w:rFonts w:ascii="Palatino Linotype" w:eastAsia="Palatino Linotype" w:hAnsi="Palatino Linotype" w:cs="Palatino Linotype"/>
          <w:i/>
          <w:sz w:val="22"/>
          <w:szCs w:val="22"/>
        </w:rPr>
        <w:lastRenderedPageBreak/>
        <w:t xml:space="preserve">funciones u objeto social, según corresponda, la información, por lo menos, de los temas, documentos y políticas que a continuación se señalan: </w:t>
      </w:r>
    </w:p>
    <w:p w14:paraId="76309F3A" w14:textId="77777777" w:rsidR="00B12F40" w:rsidRPr="00CA13A3" w:rsidRDefault="00B12F40" w:rsidP="00B12F40">
      <w:pPr>
        <w:spacing w:line="360" w:lineRule="auto"/>
        <w:ind w:left="851" w:right="851"/>
        <w:jc w:val="both"/>
        <w:rPr>
          <w:rFonts w:ascii="Palatino Linotype" w:eastAsia="Palatino Linotype" w:hAnsi="Palatino Linotype" w:cs="Palatino Linotype"/>
          <w:i/>
          <w:sz w:val="22"/>
          <w:szCs w:val="22"/>
        </w:rPr>
      </w:pPr>
      <w:r w:rsidRPr="00CA13A3">
        <w:rPr>
          <w:rFonts w:ascii="Palatino Linotype" w:eastAsia="Palatino Linotype" w:hAnsi="Palatino Linotype" w:cs="Palatino Linotype"/>
          <w:i/>
          <w:sz w:val="22"/>
          <w:szCs w:val="22"/>
        </w:rPr>
        <w:t>(…)</w:t>
      </w:r>
    </w:p>
    <w:p w14:paraId="76309F3B" w14:textId="77777777" w:rsidR="00B12F40" w:rsidRPr="00CA13A3" w:rsidRDefault="00B12F40" w:rsidP="00B12F40">
      <w:pPr>
        <w:spacing w:line="360" w:lineRule="auto"/>
        <w:ind w:left="851" w:right="851"/>
        <w:jc w:val="both"/>
        <w:rPr>
          <w:rFonts w:ascii="Palatino Linotype" w:eastAsia="Palatino Linotype" w:hAnsi="Palatino Linotype" w:cs="Palatino Linotype"/>
          <w:i/>
          <w:sz w:val="22"/>
          <w:szCs w:val="22"/>
        </w:rPr>
      </w:pPr>
      <w:r w:rsidRPr="00CA13A3">
        <w:rPr>
          <w:rFonts w:ascii="Palatino Linotype" w:eastAsia="Palatino Linotype" w:hAnsi="Palatino Linotype" w:cs="Palatino Linotype"/>
          <w:b/>
          <w:i/>
          <w:sz w:val="22"/>
          <w:szCs w:val="22"/>
        </w:rPr>
        <w:t>XXI.</w:t>
      </w:r>
      <w:r w:rsidRPr="00CA13A3">
        <w:rPr>
          <w:rFonts w:ascii="Palatino Linotype" w:eastAsia="Palatino Linotype" w:hAnsi="Palatino Linotype" w:cs="Palatino Linotype"/>
          <w:i/>
          <w:sz w:val="22"/>
          <w:szCs w:val="22"/>
        </w:rPr>
        <w:t xml:space="preserve"> </w:t>
      </w:r>
      <w:r w:rsidRPr="00CA13A3">
        <w:rPr>
          <w:rFonts w:ascii="Palatino Linotype" w:eastAsia="Palatino Linotype" w:hAnsi="Palatino Linotype" w:cs="Palatino Linotype"/>
          <w:b/>
          <w:i/>
          <w:sz w:val="22"/>
          <w:szCs w:val="22"/>
          <w:u w:val="single"/>
        </w:rPr>
        <w:t>La información curricular</w:t>
      </w:r>
      <w:r w:rsidRPr="00CA13A3">
        <w:rPr>
          <w:rFonts w:ascii="Palatino Linotype" w:eastAsia="Palatino Linotype" w:hAnsi="Palatino Linotype" w:cs="Palatino Linotype"/>
          <w:i/>
          <w:sz w:val="22"/>
          <w:szCs w:val="22"/>
        </w:rPr>
        <w:t>, desde el nivel de jefe de departamento o equivalente, hasta el titular del sujeto obligado, así como, en su caso, las sanciones administrativas de que haya sido objeto;</w:t>
      </w:r>
    </w:p>
    <w:p w14:paraId="76309F3C" w14:textId="77777777" w:rsidR="00B12F40" w:rsidRPr="00CA13A3" w:rsidRDefault="00B12F40" w:rsidP="005B64E7">
      <w:pPr>
        <w:spacing w:line="360" w:lineRule="auto"/>
        <w:ind w:left="851" w:right="851"/>
        <w:jc w:val="both"/>
        <w:rPr>
          <w:rFonts w:ascii="Palatino Linotype" w:eastAsia="Palatino Linotype" w:hAnsi="Palatino Linotype" w:cs="Palatino Linotype"/>
          <w:sz w:val="22"/>
          <w:szCs w:val="22"/>
        </w:rPr>
      </w:pPr>
      <w:r w:rsidRPr="00CA13A3">
        <w:rPr>
          <w:rFonts w:ascii="Palatino Linotype" w:eastAsia="Palatino Linotype" w:hAnsi="Palatino Linotype" w:cs="Palatino Linotype"/>
          <w:sz w:val="22"/>
          <w:szCs w:val="22"/>
        </w:rPr>
        <w:t>(Énfasis añadido)”</w:t>
      </w:r>
    </w:p>
    <w:p w14:paraId="76309F3D" w14:textId="77777777" w:rsidR="00D55782" w:rsidRPr="00CA13A3" w:rsidRDefault="00D55782" w:rsidP="00D55782">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CA13A3">
        <w:rPr>
          <w:rFonts w:ascii="Palatino Linotype" w:hAnsi="Palatino Linotype"/>
          <w:bCs/>
          <w:sz w:val="22"/>
          <w:szCs w:val="22"/>
          <w:lang w:eastAsia="es-MX"/>
        </w:rPr>
        <w:t xml:space="preserve">Aunado a ello, conviene traer  a contexto lo establecido en el artículo 3.18 del Código Administrativo del Estado de México que establece que para el ejercicio de la docencia en todos sus niveles se requerirá contar, como mínimo, con nivel de licenciatura o su equivalente, así como cubrir los requisitos que se establezcan en la reglamentación correspondiente. </w:t>
      </w:r>
      <w:r w:rsidRPr="00CA13A3">
        <w:rPr>
          <w:rFonts w:ascii="Palatino Linotype" w:eastAsia="Palatino Linotype" w:hAnsi="Palatino Linotype" w:cs="Palatino Linotype"/>
          <w:sz w:val="22"/>
          <w:szCs w:val="22"/>
        </w:rPr>
        <w:t xml:space="preserve">De lo anterior se coligue que, el Sujeto Obligado cuenta con fuente obligacional para generar, administrar y poseer la información requerida por el Particular, por ellos resulta procedente ordenar las constancias </w:t>
      </w:r>
      <w:r w:rsidRPr="00CA13A3">
        <w:rPr>
          <w:rFonts w:ascii="Palatino Linotype" w:hAnsi="Palatino Linotype"/>
          <w:sz w:val="22"/>
          <w:szCs w:val="22"/>
          <w:lang w:eastAsia="es-MX"/>
        </w:rPr>
        <w:t>de estudio o Título de la maestra de primer año referida en la solicitud de información</w:t>
      </w:r>
      <w:r w:rsidRPr="00CA13A3">
        <w:rPr>
          <w:rFonts w:ascii="Arial" w:hAnsi="Arial" w:cs="Arial"/>
          <w:b/>
          <w:bCs/>
          <w:color w:val="333333"/>
          <w:sz w:val="22"/>
          <w:szCs w:val="22"/>
        </w:rPr>
        <w:t xml:space="preserve"> </w:t>
      </w:r>
      <w:r w:rsidRPr="00CA13A3">
        <w:rPr>
          <w:rFonts w:ascii="Palatino Linotype" w:hAnsi="Palatino Linotype"/>
          <w:b/>
          <w:bCs/>
          <w:sz w:val="22"/>
          <w:szCs w:val="22"/>
          <w:lang w:eastAsia="es-MX"/>
        </w:rPr>
        <w:t>00124/SECTI/IP/2024.</w:t>
      </w:r>
    </w:p>
    <w:p w14:paraId="76309F3E" w14:textId="77777777" w:rsidR="00E539C7" w:rsidRPr="00CA13A3" w:rsidRDefault="005B64E7" w:rsidP="005B64E7">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CA13A3">
        <w:rPr>
          <w:rFonts w:ascii="Palatino Linotype" w:hAnsi="Palatino Linotype"/>
          <w:color w:val="222222"/>
          <w:sz w:val="22"/>
          <w:szCs w:val="22"/>
        </w:rPr>
        <w:t xml:space="preserve">Por otro lado, sobre la información requerida por el particular </w:t>
      </w:r>
      <w:r w:rsidR="002C74CF" w:rsidRPr="00CA13A3">
        <w:rPr>
          <w:rFonts w:ascii="Palatino Linotype" w:hAnsi="Palatino Linotype"/>
          <w:color w:val="222222"/>
          <w:sz w:val="22"/>
          <w:szCs w:val="22"/>
        </w:rPr>
        <w:t>que refiere</w:t>
      </w:r>
      <w:r w:rsidRPr="00CA13A3">
        <w:rPr>
          <w:rFonts w:ascii="Palatino Linotype" w:hAnsi="Palatino Linotype"/>
          <w:color w:val="222222"/>
          <w:sz w:val="22"/>
          <w:szCs w:val="22"/>
        </w:rPr>
        <w:t xml:space="preserve"> </w:t>
      </w:r>
      <w:r w:rsidR="00AD22F7" w:rsidRPr="00CA13A3">
        <w:rPr>
          <w:rFonts w:ascii="Palatino Linotype" w:hAnsi="Palatino Linotype"/>
          <w:color w:val="222222"/>
          <w:sz w:val="22"/>
          <w:szCs w:val="22"/>
        </w:rPr>
        <w:t xml:space="preserve">“Si la Secretaría de Educación autoriza que en las escuelas se permita a los docentes aplicar sin opinión médica medicamentos” </w:t>
      </w:r>
      <w:r w:rsidRPr="00CA13A3">
        <w:rPr>
          <w:rFonts w:ascii="Palatino Linotype" w:hAnsi="Palatino Linotype"/>
          <w:color w:val="222222"/>
          <w:sz w:val="22"/>
          <w:szCs w:val="22"/>
        </w:rPr>
        <w:t xml:space="preserve"> y </w:t>
      </w:r>
      <w:r w:rsidR="00AD22F7" w:rsidRPr="00CA13A3">
        <w:rPr>
          <w:rFonts w:ascii="Palatino Linotype" w:hAnsi="Palatino Linotype"/>
          <w:color w:val="222222"/>
          <w:sz w:val="22"/>
          <w:szCs w:val="22"/>
        </w:rPr>
        <w:t xml:space="preserve">“Si la Gobernadora Delfina </w:t>
      </w:r>
      <w:proofErr w:type="spellStart"/>
      <w:r w:rsidR="00AD22F7" w:rsidRPr="00CA13A3">
        <w:rPr>
          <w:rFonts w:ascii="Palatino Linotype" w:hAnsi="Palatino Linotype"/>
          <w:color w:val="222222"/>
          <w:sz w:val="22"/>
          <w:szCs w:val="22"/>
        </w:rPr>
        <w:t>Gomez</w:t>
      </w:r>
      <w:proofErr w:type="spellEnd"/>
      <w:r w:rsidR="00AD22F7" w:rsidRPr="00CA13A3">
        <w:rPr>
          <w:rFonts w:ascii="Palatino Linotype" w:hAnsi="Palatino Linotype"/>
          <w:color w:val="222222"/>
          <w:sz w:val="22"/>
          <w:szCs w:val="22"/>
        </w:rPr>
        <w:t xml:space="preserve"> instruyó medidas a las autoridades educativas para evitar incurrir en negligencias en perjuicio de los alumnos de la primaria ADRIAN ORTEGA MONROY”</w:t>
      </w:r>
      <w:r w:rsidR="00E539C7" w:rsidRPr="00CA13A3">
        <w:rPr>
          <w:rFonts w:ascii="Palatino Linotype" w:hAnsi="Palatino Linotype"/>
          <w:color w:val="222222"/>
          <w:sz w:val="22"/>
          <w:szCs w:val="22"/>
        </w:rPr>
        <w:t xml:space="preserve">, como ya fue referido en párrafos anteriores, la </w:t>
      </w:r>
      <w:r w:rsidR="00E539C7" w:rsidRPr="00CA13A3">
        <w:rPr>
          <w:rFonts w:ascii="Palatino Linotype" w:hAnsi="Palatino Linotype"/>
          <w:color w:val="222222"/>
          <w:sz w:val="22"/>
          <w:szCs w:val="22"/>
        </w:rPr>
        <w:lastRenderedPageBreak/>
        <w:t>solicitud se debió turnar a todas las áreas que pudieran poseer la información, entre las que se pueden advertir las siguientes:</w:t>
      </w:r>
    </w:p>
    <w:p w14:paraId="76309F3F" w14:textId="77777777" w:rsidR="00E539C7" w:rsidRPr="00CA13A3" w:rsidRDefault="00E539C7" w:rsidP="00E539C7">
      <w:pPr>
        <w:shd w:val="clear" w:color="auto" w:fill="FFFFFF"/>
        <w:spacing w:before="240" w:after="240" w:line="276" w:lineRule="auto"/>
        <w:ind w:left="851" w:right="822"/>
        <w:rPr>
          <w:rFonts w:ascii="Palatino Linotype" w:hAnsi="Palatino Linotype"/>
          <w:i/>
          <w:sz w:val="22"/>
          <w:szCs w:val="22"/>
        </w:rPr>
      </w:pPr>
      <w:r w:rsidRPr="00CA13A3">
        <w:rPr>
          <w:rFonts w:ascii="Palatino Linotype" w:hAnsi="Palatino Linotype"/>
          <w:i/>
          <w:sz w:val="22"/>
          <w:szCs w:val="22"/>
        </w:rPr>
        <w:t>Capítulo III</w:t>
      </w:r>
    </w:p>
    <w:p w14:paraId="76309F40" w14:textId="77777777" w:rsidR="00E539C7" w:rsidRPr="00CA13A3" w:rsidRDefault="00E539C7" w:rsidP="00E539C7">
      <w:pPr>
        <w:shd w:val="clear" w:color="auto" w:fill="FFFFFF"/>
        <w:spacing w:before="240" w:after="240" w:line="276" w:lineRule="auto"/>
        <w:ind w:left="851" w:right="822"/>
        <w:rPr>
          <w:rFonts w:ascii="Palatino Linotype" w:hAnsi="Palatino Linotype"/>
          <w:i/>
          <w:sz w:val="22"/>
          <w:szCs w:val="22"/>
        </w:rPr>
      </w:pPr>
      <w:r w:rsidRPr="00CA13A3">
        <w:rPr>
          <w:rFonts w:ascii="Palatino Linotype" w:hAnsi="Palatino Linotype"/>
          <w:i/>
          <w:sz w:val="22"/>
          <w:szCs w:val="22"/>
        </w:rPr>
        <w:t>De las Atribuciones Especificas de las Personas Titulares de las Subsecretarías</w:t>
      </w:r>
    </w:p>
    <w:p w14:paraId="76309F41"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sz w:val="22"/>
          <w:szCs w:val="22"/>
        </w:rPr>
      </w:pPr>
      <w:r w:rsidRPr="00CA13A3">
        <w:rPr>
          <w:rFonts w:ascii="Palatino Linotype" w:hAnsi="Palatino Linotype"/>
          <w:i/>
          <w:sz w:val="22"/>
          <w:szCs w:val="22"/>
        </w:rPr>
        <w:t>Artículo 9. Corresponden a la Subsecretaría de Educación Básica, las atribuciones siguientes:</w:t>
      </w:r>
    </w:p>
    <w:p w14:paraId="76309F42"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sz w:val="22"/>
          <w:szCs w:val="22"/>
        </w:rPr>
      </w:pPr>
      <w:r w:rsidRPr="00CA13A3">
        <w:rPr>
          <w:rFonts w:ascii="Palatino Linotype" w:hAnsi="Palatino Linotype"/>
          <w:i/>
          <w:sz w:val="22"/>
          <w:szCs w:val="22"/>
        </w:rPr>
        <w:t>I. Planear, programar, dirigir, controlar y evaluar las funciones de educación básica en la Entidad en sus diferentes tipos, niveles, modalidades, vertientes y opciones educativas;</w:t>
      </w:r>
    </w:p>
    <w:p w14:paraId="76309F43"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II. Propiciar el desarrollo del magisterio que atiende la educación básica del Subsistema Educativo Estatal; </w:t>
      </w:r>
    </w:p>
    <w:p w14:paraId="76309F44"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III. Supervisar los servicios de educación básica que se imparten en las instituciones oficiales e incorporadas del Subsistema Educativo Estatal;</w:t>
      </w:r>
    </w:p>
    <w:p w14:paraId="76309F45"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w:t>
      </w:r>
    </w:p>
    <w:p w14:paraId="76309F46"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sz w:val="22"/>
          <w:szCs w:val="22"/>
        </w:rPr>
      </w:pPr>
      <w:r w:rsidRPr="00CA13A3">
        <w:rPr>
          <w:rFonts w:ascii="Palatino Linotype" w:hAnsi="Palatino Linotype"/>
          <w:i/>
          <w:sz w:val="22"/>
          <w:szCs w:val="22"/>
        </w:rPr>
        <w:t xml:space="preserve">XI. Fomentar los programas de educación para la salud y mejoramiento del ambiente aprobado para el Estado, en el ámbito de su competencia; </w:t>
      </w:r>
    </w:p>
    <w:p w14:paraId="76309F47"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sz w:val="22"/>
          <w:szCs w:val="22"/>
        </w:rPr>
      </w:pPr>
      <w:r w:rsidRPr="00CA13A3">
        <w:rPr>
          <w:rFonts w:ascii="Palatino Linotype" w:hAnsi="Palatino Linotype"/>
          <w:i/>
          <w:sz w:val="22"/>
          <w:szCs w:val="22"/>
        </w:rPr>
        <w:t>XII. Impulsar, en coordinación con la Dirección General de Asuntos Jurídicos, Igualdad de Género y Erradicación de la Violencia, la aplicación de protocolos para prevenir y atender el acoso y maltrato escolar y sexual dentro de los centros educativos de su competencia;</w:t>
      </w:r>
    </w:p>
    <w:p w14:paraId="76309F48"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sz w:val="22"/>
          <w:szCs w:val="22"/>
        </w:rPr>
      </w:pPr>
      <w:r w:rsidRPr="00CA13A3">
        <w:rPr>
          <w:rFonts w:ascii="Palatino Linotype" w:hAnsi="Palatino Linotype"/>
          <w:i/>
          <w:sz w:val="22"/>
          <w:szCs w:val="22"/>
        </w:rPr>
        <w:t xml:space="preserve">Artículo 20. Corresponden a la Dirección General de Educación Primaria las atribuciones siguientes: </w:t>
      </w:r>
    </w:p>
    <w:p w14:paraId="76309F49"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sz w:val="22"/>
          <w:szCs w:val="22"/>
        </w:rPr>
      </w:pPr>
      <w:r w:rsidRPr="00CA13A3">
        <w:rPr>
          <w:rFonts w:ascii="Palatino Linotype" w:hAnsi="Palatino Linotype"/>
          <w:i/>
          <w:sz w:val="22"/>
          <w:szCs w:val="22"/>
        </w:rPr>
        <w:lastRenderedPageBreak/>
        <w:t>I. Dirigir, organizar, operar y desarrollar los servicios de educación primaria en el Subsistema Educativo Estatal, de conformidad con las políticas, lineamientos y demás disposiciones aplicables;</w:t>
      </w:r>
    </w:p>
    <w:p w14:paraId="76309F4A"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II. Participar en la formulación, actuación y difusión de los planes y programas de estudio en educación primaria, de acuerdo con las normas institucionales aplicables; </w:t>
      </w:r>
    </w:p>
    <w:p w14:paraId="76309F4B"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III. Aplicar las normas pedagógicas, métodos, materiales didácticos, así como los instrumentos de evaluación del aprendizaje, que se requieran en el proceso educativo de nivel </w:t>
      </w:r>
      <w:proofErr w:type="gramStart"/>
      <w:r w:rsidRPr="00CA13A3">
        <w:rPr>
          <w:rFonts w:ascii="Palatino Linotype" w:hAnsi="Palatino Linotype"/>
          <w:i/>
          <w:color w:val="222222"/>
          <w:sz w:val="22"/>
          <w:szCs w:val="22"/>
        </w:rPr>
        <w:t>primaria</w:t>
      </w:r>
      <w:proofErr w:type="gramEnd"/>
      <w:r w:rsidRPr="00CA13A3">
        <w:rPr>
          <w:rFonts w:ascii="Palatino Linotype" w:hAnsi="Palatino Linotype"/>
          <w:i/>
          <w:color w:val="222222"/>
          <w:sz w:val="22"/>
          <w:szCs w:val="22"/>
        </w:rPr>
        <w:t xml:space="preserve">; </w:t>
      </w:r>
    </w:p>
    <w:p w14:paraId="76309F4C"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IV. Vigilar la operación eficaz y eficiente de las instituciones públicas que impartan educación primaria, supervisando que cuenten con la plantilla de personal docente completa durante el ciclo escolar y apoyando a las autoridades escolares en el ejercicio responsable de la autonomía de la gestión escolar; </w:t>
      </w:r>
    </w:p>
    <w:p w14:paraId="76309F4D"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V. Promover y apoyar el establecimiento de instituciones de educación especial en nivel primaria, para niñas y niños con este tipo de requerimientos educativos; </w:t>
      </w:r>
    </w:p>
    <w:p w14:paraId="76309F4E"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VI. Desarrollar los contenidos programáticos de educación física, artística y de salud, así como de uso de tecnologías de la información y la comunicación o de idioma extranjero que sean apropiados para las instituciones que impartan educación primaria; </w:t>
      </w:r>
    </w:p>
    <w:p w14:paraId="76309F4F"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VII. Formular y proponer a la persona que funja como su superior jerárquico, los estudios y proyectos de creación, expansión, fusión, suspensión o cancelación de planteles de educación primaria en la Entidad; </w:t>
      </w:r>
    </w:p>
    <w:p w14:paraId="76309F50"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VIII. Instrumentar acciones para el fortalecimiento de la participación y corresponsabilidad de la sociedad en el proceso de educación primaria; </w:t>
      </w:r>
    </w:p>
    <w:p w14:paraId="76309F51"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lastRenderedPageBreak/>
        <w:t xml:space="preserve">IX. Dirigir la elaboración y actualización de publicaciones y otros materiales de apoyo didáctico para la impartición de la educación primaria en la Entidad, de conformidad con los planes y programas de estudio autorizados; </w:t>
      </w:r>
    </w:p>
    <w:p w14:paraId="76309F52"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X. Dirigir la acreditación, registro y certificación de los conocimientos y aptitudes adquiridas por los alumnos de educación primaria, expidiendo, en su caso, los certificados o constancias correspondientes; </w:t>
      </w:r>
    </w:p>
    <w:p w14:paraId="76309F53"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XI. Coordinar la supervisión y vigilancia del cumplimiento de las disposiciones y criterios que regulan las relaciones entre la Secretaría y los planteles particulares que impartan educación primaria, que cuenten con autorización expedida por la Autoridad Educativa Estatal; </w:t>
      </w:r>
    </w:p>
    <w:p w14:paraId="76309F54"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XII. Vigilar el cumplimiento de las disposiciones jurídicas, políticas y planes del sector, a través de revisiones e inspecciones, que se realicen en los planteles oficiales e incorporados que presten servicios de educación primaria del Subsistema Educativo Estatal; </w:t>
      </w:r>
    </w:p>
    <w:p w14:paraId="76309F55"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XIII. Proponer a la persona que funja como su superior jerárquico, acciones de mantenimiento en las escuelas oficiales que impartan educación primaria en el Subsistema Educativo Estatal, en coordinación con el Instituto Mexiquense de la Infraestructura Física Educativa; </w:t>
      </w:r>
    </w:p>
    <w:p w14:paraId="76309F56"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XIV. Proponer proyectos de convenios con los sectores público, social o privado que se relacionen con los servicios de educación primaria en el Subsistema Educativo Estatal; </w:t>
      </w:r>
    </w:p>
    <w:p w14:paraId="76309F57"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XV. Formular y proponer a la persona que funja como su superior jerárquico, el desarrollo de programas para brindar educación primaria a sectores vulnerables de la población; </w:t>
      </w:r>
    </w:p>
    <w:p w14:paraId="76309F58"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lastRenderedPageBreak/>
        <w:t xml:space="preserve">XVI. Vigilar que en los planteles oficiales e incorporados que presten servicios de educación primaria del Subsistema Educativo Estatal se lleve a cabo la realización de actos cívicos escolares de acuerdo con el calendario escolar oficial; </w:t>
      </w:r>
    </w:p>
    <w:p w14:paraId="76309F59"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XVII. Impulsar actividades de fomento cultural y educación artística en los planteles oficiales e incorporados que presten servicios de educación primaria del Subsistema Educativo Estatal; </w:t>
      </w:r>
    </w:p>
    <w:p w14:paraId="76309F5A"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XVIII. Coordinar la elaboración de materiales de apoyo didáctico con perspectiva de género y contenidos que contribuyan a prevenir y eliminar actos de discriminación en las instituciones de educación primaria del Subsistema Educativo Estatal;</w:t>
      </w:r>
    </w:p>
    <w:p w14:paraId="76309F5B"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XIX. Supervisar el establecimiento de bibliotecas como parte de los servicios de educación primaria, en el ámbito de su competencia; </w:t>
      </w:r>
    </w:p>
    <w:p w14:paraId="76309F5C"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XX. Fomentar la sana alimentación y la activación física en los planteles oficiales e incorporados de educación primaria del Subsistema Educativo Estatal, con especial énfasis en el cuidado de los alimentos que se expenden, de conformidad con la normativa aplicable; </w:t>
      </w:r>
    </w:p>
    <w:p w14:paraId="76309F5D" w14:textId="77777777" w:rsidR="00E539C7" w:rsidRPr="00CA13A3" w:rsidRDefault="00E539C7" w:rsidP="00E539C7">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 xml:space="preserve">XXI. Supervisar la aplicación de protocolos para prevenir y atender el acoso y maltrato escolar y sexual dentro de los centros educativos de su competencia, y </w:t>
      </w:r>
    </w:p>
    <w:p w14:paraId="76309F5E" w14:textId="77777777" w:rsidR="00E539C7" w:rsidRPr="00CA13A3" w:rsidRDefault="00E539C7" w:rsidP="00831AE0">
      <w:pPr>
        <w:shd w:val="clear" w:color="auto" w:fill="FFFFFF"/>
        <w:spacing w:before="240" w:after="240" w:line="276" w:lineRule="auto"/>
        <w:ind w:left="851" w:right="822"/>
        <w:jc w:val="both"/>
        <w:rPr>
          <w:rFonts w:ascii="Palatino Linotype" w:hAnsi="Palatino Linotype"/>
          <w:i/>
          <w:color w:val="222222"/>
          <w:sz w:val="22"/>
          <w:szCs w:val="22"/>
        </w:rPr>
      </w:pPr>
      <w:r w:rsidRPr="00CA13A3">
        <w:rPr>
          <w:rFonts w:ascii="Palatino Linotype" w:hAnsi="Palatino Linotype"/>
          <w:i/>
          <w:color w:val="222222"/>
          <w:sz w:val="22"/>
          <w:szCs w:val="22"/>
        </w:rPr>
        <w:t>XXII. Las demás que le confieran otras disposiciones jurídicas y aquéllas que le encomiende la persona</w:t>
      </w:r>
      <w:r w:rsidR="00831AE0" w:rsidRPr="00CA13A3">
        <w:rPr>
          <w:rFonts w:ascii="Palatino Linotype" w:hAnsi="Palatino Linotype"/>
          <w:i/>
          <w:color w:val="222222"/>
          <w:sz w:val="22"/>
          <w:szCs w:val="22"/>
        </w:rPr>
        <w:t xml:space="preserve"> titular de la Subsecretaría;”</w:t>
      </w:r>
    </w:p>
    <w:p w14:paraId="76309F5F" w14:textId="77777777" w:rsidR="002C74CF" w:rsidRPr="00CA13A3" w:rsidRDefault="002C74CF" w:rsidP="00153F72">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CA13A3">
        <w:rPr>
          <w:rFonts w:ascii="Palatino Linotype" w:hAnsi="Palatino Linotype"/>
          <w:color w:val="222222"/>
          <w:sz w:val="22"/>
          <w:szCs w:val="22"/>
        </w:rPr>
        <w:t>Como se observa en los preceptos legales señalados, la solicitud se debió turnar a la Subsecretaría de Educación Básica y a la Dirección General de Educación Primaria, áreas que de acuerdo a sus facultades, pueden tener entre sus archivos la información solicitada.</w:t>
      </w:r>
    </w:p>
    <w:p w14:paraId="76309F60" w14:textId="77777777" w:rsidR="00831AE0" w:rsidRPr="00CA13A3" w:rsidRDefault="00831AE0" w:rsidP="00831AE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CA13A3">
        <w:rPr>
          <w:rFonts w:ascii="Palatino Linotype" w:hAnsi="Palatino Linotype"/>
          <w:color w:val="222222"/>
          <w:sz w:val="22"/>
          <w:szCs w:val="22"/>
        </w:rPr>
        <w:lastRenderedPageBreak/>
        <w:t xml:space="preserve">En ese sentido, conviene señalar que si bien, la información puede obrar en los archivos de las áreas anteriormente mencionadas por tener entre sus atribuciones la coordinación de la educación primaria, lo cierto es que no hay fuente obligacional para que el Sujeto Obligado tenga la información solicitada de forma específica sobre las medidas instruidas por la Gobernadora a las autoridades educativas para evitar incurrir en negligencias en perjuicio de los alumno, por lo tanto, no obre en los archivos del Sujeto Obligado, </w:t>
      </w:r>
      <w:r w:rsidRPr="00CA13A3">
        <w:rPr>
          <w:rFonts w:ascii="Palatino Linotype" w:eastAsia="Palatino Linotype" w:hAnsi="Palatino Linotype" w:cs="Palatino Linotype"/>
          <w:sz w:val="22"/>
          <w:szCs w:val="22"/>
        </w:rPr>
        <w:t>bastará con que así se haga del conocimiento del Particular en términos del artículo 19, párrafo segundo, de la Ley de Transparencia y Acceso a la Información Pública del Estado de México y Municipio</w:t>
      </w:r>
      <w:r w:rsidRPr="00CA13A3">
        <w:rPr>
          <w:rFonts w:ascii="Palatino Linotype" w:hAnsi="Palatino Linotype"/>
          <w:color w:val="222222"/>
          <w:sz w:val="22"/>
          <w:szCs w:val="22"/>
        </w:rPr>
        <w:t xml:space="preserve"> </w:t>
      </w:r>
    </w:p>
    <w:p w14:paraId="76309F61" w14:textId="77777777" w:rsidR="002C74CF" w:rsidRPr="00CA13A3" w:rsidRDefault="00AD22F7" w:rsidP="00AD22F7">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CA13A3">
        <w:rPr>
          <w:rFonts w:ascii="Palatino Linotype" w:hAnsi="Palatino Linotype"/>
          <w:color w:val="222222"/>
          <w:sz w:val="22"/>
          <w:szCs w:val="22"/>
        </w:rPr>
        <w:t>Respecto a la información solicitada que refiere “Si la Secretaría de Educación autoriza que en las escuelas se permita a los docentes aplicar sin opinión médica medicamentos”,</w:t>
      </w:r>
      <w:r w:rsidR="002C74CF" w:rsidRPr="00CA13A3">
        <w:rPr>
          <w:rFonts w:ascii="Palatino Linotype" w:hAnsi="Palatino Linotype"/>
          <w:color w:val="222222"/>
          <w:sz w:val="22"/>
          <w:szCs w:val="22"/>
        </w:rPr>
        <w:t xml:space="preserve"> conviene traer a contexto lo establecido en la Ley de Educación del Estado de México que establece en su artículo 149, fracción </w:t>
      </w:r>
      <w:r w:rsidR="00831AE0" w:rsidRPr="00CA13A3">
        <w:rPr>
          <w:rFonts w:ascii="Palatino Linotype" w:hAnsi="Palatino Linotype"/>
          <w:color w:val="222222"/>
          <w:sz w:val="22"/>
          <w:szCs w:val="22"/>
        </w:rPr>
        <w:t>XIII que son infracciones de quienes prestan servicios educativos</w:t>
      </w:r>
      <w:r w:rsidRPr="00CA13A3">
        <w:rPr>
          <w:rFonts w:ascii="Palatino Linotype" w:hAnsi="Palatino Linotype"/>
          <w:color w:val="222222"/>
          <w:sz w:val="22"/>
          <w:szCs w:val="22"/>
        </w:rPr>
        <w:t>,</w:t>
      </w:r>
      <w:r w:rsidR="00831AE0" w:rsidRPr="00CA13A3">
        <w:rPr>
          <w:rFonts w:ascii="Palatino Linotype" w:hAnsi="Palatino Linotype"/>
          <w:color w:val="222222"/>
          <w:sz w:val="22"/>
          <w:szCs w:val="22"/>
        </w:rPr>
        <w:t xml:space="preserve"> administrar a los educandos, sin previa autorización médica y consentimiento informado de sus madres y padres o tutores, medicamentos, por lo que atendiendo a este precepto legal, </w:t>
      </w:r>
      <w:r w:rsidRPr="00CA13A3">
        <w:rPr>
          <w:rFonts w:ascii="Palatino Linotype" w:hAnsi="Palatino Linotype"/>
          <w:color w:val="222222"/>
          <w:sz w:val="22"/>
          <w:szCs w:val="22"/>
        </w:rPr>
        <w:t xml:space="preserve">no puede existir un documento que autorice a los profesores a administrar medicamentos, ya que se trataría de una infracción; por ello, no es procedente ordenar la entrega de la información solicitada. </w:t>
      </w:r>
    </w:p>
    <w:p w14:paraId="76309F62" w14:textId="77777777" w:rsidR="00466168" w:rsidRPr="00CA13A3" w:rsidRDefault="00466168" w:rsidP="00466168">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CA13A3">
        <w:rPr>
          <w:rFonts w:ascii="Palatino Linotype" w:eastAsia="Palatino Linotype" w:hAnsi="Palatino Linotype" w:cs="Palatino Linotype"/>
          <w:color w:val="000000"/>
          <w:sz w:val="22"/>
          <w:szCs w:val="22"/>
        </w:rPr>
        <w:t xml:space="preserve">Por lo tanto, en consecuencia y en mérito de lo expuesto en líneas anteriores, resultan fundadas las razones o motivos de inconformidad hechos valer por el </w:t>
      </w:r>
      <w:r w:rsidRPr="00CA13A3">
        <w:rPr>
          <w:rFonts w:ascii="Palatino Linotype" w:eastAsia="Palatino Linotype" w:hAnsi="Palatino Linotype" w:cs="Palatino Linotype"/>
          <w:b/>
          <w:color w:val="000000"/>
          <w:sz w:val="22"/>
          <w:szCs w:val="22"/>
        </w:rPr>
        <w:t>RECURRENTE</w:t>
      </w:r>
      <w:r w:rsidRPr="00CA13A3">
        <w:rPr>
          <w:rFonts w:ascii="Palatino Linotype" w:eastAsia="Palatino Linotype" w:hAnsi="Palatino Linotype" w:cs="Palatino Linotype"/>
          <w:color w:val="000000"/>
          <w:sz w:val="22"/>
          <w:szCs w:val="22"/>
        </w:rPr>
        <w:t xml:space="preserve"> dentro del recurso de revisión </w:t>
      </w:r>
      <w:r w:rsidR="0033189E" w:rsidRPr="00CA13A3">
        <w:rPr>
          <w:rFonts w:ascii="Palatino Linotype" w:eastAsia="Palatino Linotype" w:hAnsi="Palatino Linotype" w:cs="Palatino Linotype"/>
          <w:b/>
          <w:color w:val="000000"/>
          <w:sz w:val="22"/>
          <w:szCs w:val="22"/>
        </w:rPr>
        <w:t>01498</w:t>
      </w:r>
      <w:r w:rsidRPr="00CA13A3">
        <w:rPr>
          <w:rFonts w:ascii="Palatino Linotype" w:eastAsia="Palatino Linotype" w:hAnsi="Palatino Linotype" w:cs="Palatino Linotype"/>
          <w:b/>
          <w:color w:val="000000"/>
          <w:sz w:val="22"/>
          <w:szCs w:val="22"/>
        </w:rPr>
        <w:t>/INFOEM/IP/RR/2024</w:t>
      </w:r>
      <w:r w:rsidRPr="00CA13A3">
        <w:rPr>
          <w:rFonts w:ascii="Palatino Linotype" w:eastAsia="Palatino Linotype" w:hAnsi="Palatino Linotype" w:cs="Palatino Linotype"/>
          <w:color w:val="000000"/>
          <w:sz w:val="22"/>
          <w:szCs w:val="22"/>
        </w:rPr>
        <w:t xml:space="preserve">; por ello, y con fundamento en la fracción III del numeral 186 de la Ley de Transparencia y Acceso a la Información Pública del Estado </w:t>
      </w:r>
      <w:r w:rsidRPr="00CA13A3">
        <w:rPr>
          <w:rFonts w:ascii="Palatino Linotype" w:eastAsia="Palatino Linotype" w:hAnsi="Palatino Linotype" w:cs="Palatino Linotype"/>
          <w:color w:val="000000"/>
          <w:sz w:val="22"/>
          <w:szCs w:val="22"/>
        </w:rPr>
        <w:lastRenderedPageBreak/>
        <w:t xml:space="preserve">de México y Municipios, se </w:t>
      </w:r>
      <w:r w:rsidRPr="00CA13A3">
        <w:rPr>
          <w:rFonts w:ascii="Palatino Linotype" w:eastAsia="Palatino Linotype" w:hAnsi="Palatino Linotype" w:cs="Palatino Linotype"/>
          <w:b/>
          <w:color w:val="000000"/>
          <w:sz w:val="22"/>
          <w:szCs w:val="22"/>
        </w:rPr>
        <w:t>REVOCA</w:t>
      </w:r>
      <w:r w:rsidRPr="00CA13A3">
        <w:rPr>
          <w:rFonts w:ascii="Palatino Linotype" w:eastAsia="Palatino Linotype" w:hAnsi="Palatino Linotype" w:cs="Palatino Linotype"/>
          <w:color w:val="000000"/>
          <w:sz w:val="22"/>
          <w:szCs w:val="22"/>
        </w:rPr>
        <w:t xml:space="preserve"> la respuesta a la solicitud de información número </w:t>
      </w:r>
      <w:r w:rsidR="0033189E" w:rsidRPr="00CA13A3">
        <w:rPr>
          <w:rFonts w:ascii="Palatino Linotype" w:eastAsia="Palatino Linotype" w:hAnsi="Palatino Linotype" w:cs="Palatino Linotype"/>
          <w:b/>
          <w:bCs/>
          <w:color w:val="000000"/>
          <w:sz w:val="22"/>
          <w:szCs w:val="22"/>
        </w:rPr>
        <w:t>00124/SECTI/IP/2024</w:t>
      </w:r>
      <w:r w:rsidRPr="00CA13A3">
        <w:rPr>
          <w:rFonts w:ascii="Palatino Linotype" w:eastAsia="Palatino Linotype" w:hAnsi="Palatino Linotype" w:cs="Palatino Linotype"/>
          <w:color w:val="000000"/>
          <w:sz w:val="22"/>
          <w:szCs w:val="22"/>
        </w:rPr>
        <w:t>.</w:t>
      </w:r>
      <w:bookmarkStart w:id="11" w:name="_heading=h.2s8eyo1" w:colFirst="0" w:colLast="0"/>
      <w:bookmarkEnd w:id="11"/>
    </w:p>
    <w:p w14:paraId="76309F63" w14:textId="77777777" w:rsidR="00466168" w:rsidRPr="00CA13A3" w:rsidRDefault="00466168" w:rsidP="00466168">
      <w:pPr>
        <w:pStyle w:val="Ttulo1"/>
        <w:rPr>
          <w:rFonts w:ascii="Palatino Linotype" w:hAnsi="Palatino Linotype"/>
          <w:b/>
          <w:color w:val="auto"/>
          <w:sz w:val="22"/>
          <w:szCs w:val="22"/>
          <w:lang w:val="es-ES_tradnl"/>
        </w:rPr>
      </w:pPr>
      <w:bookmarkStart w:id="12" w:name="_Toc87549682"/>
      <w:r w:rsidRPr="00CA13A3">
        <w:rPr>
          <w:rFonts w:ascii="Palatino Linotype" w:hAnsi="Palatino Linotype"/>
          <w:b/>
          <w:color w:val="auto"/>
          <w:sz w:val="22"/>
          <w:szCs w:val="22"/>
          <w:lang w:val="es-ES_tradnl"/>
        </w:rPr>
        <w:t>QUINTO. De la versión pública.</w:t>
      </w:r>
      <w:bookmarkEnd w:id="12"/>
    </w:p>
    <w:p w14:paraId="76309F64" w14:textId="77777777" w:rsidR="00466168" w:rsidRPr="00CA13A3" w:rsidRDefault="00466168" w:rsidP="00466168">
      <w:pPr>
        <w:rPr>
          <w:rFonts w:ascii="Palatino Linotype" w:hAnsi="Palatino Linotype"/>
          <w:sz w:val="22"/>
          <w:szCs w:val="22"/>
          <w:lang w:val="es-ES_tradnl"/>
        </w:rPr>
      </w:pPr>
    </w:p>
    <w:p w14:paraId="76309F65" w14:textId="77777777" w:rsidR="00466168" w:rsidRPr="00CA13A3" w:rsidRDefault="00466168" w:rsidP="00466168">
      <w:pPr>
        <w:rPr>
          <w:rFonts w:ascii="Palatino Linotype" w:hAnsi="Palatino Linotype"/>
          <w:sz w:val="22"/>
          <w:szCs w:val="22"/>
          <w:lang w:eastAsia="es-ES_tradnl"/>
        </w:rPr>
      </w:pPr>
    </w:p>
    <w:p w14:paraId="76309F66" w14:textId="77777777" w:rsidR="00466168" w:rsidRPr="00CA13A3" w:rsidRDefault="00466168" w:rsidP="00466168">
      <w:pPr>
        <w:pStyle w:val="Prrafodelista"/>
        <w:numPr>
          <w:ilvl w:val="0"/>
          <w:numId w:val="1"/>
        </w:numPr>
        <w:tabs>
          <w:tab w:val="left" w:pos="284"/>
        </w:tabs>
        <w:spacing w:line="360" w:lineRule="auto"/>
        <w:ind w:left="0" w:right="49" w:firstLine="0"/>
        <w:jc w:val="both"/>
        <w:rPr>
          <w:rFonts w:ascii="Palatino Linotype" w:hAnsi="Palatino Linotype" w:cs="Arial"/>
          <w:color w:val="000000"/>
          <w:szCs w:val="22"/>
        </w:rPr>
      </w:pPr>
      <w:r w:rsidRPr="00CA13A3">
        <w:rPr>
          <w:rFonts w:ascii="Palatino Linotype" w:hAnsi="Palatino Linotype" w:cs="Arial"/>
          <w:color w:val="000000"/>
          <w:szCs w:val="22"/>
        </w:rPr>
        <w:t>Debe destacarse que, debido a la naturaleza de la información solicitada</w:t>
      </w:r>
      <w:r w:rsidRPr="00CA13A3">
        <w:rPr>
          <w:rFonts w:ascii="Palatino Linotype" w:hAnsi="Palatino Linotype" w:cs="Arial"/>
          <w:b/>
          <w:color w:val="000000"/>
          <w:szCs w:val="22"/>
        </w:rPr>
        <w:t xml:space="preserve">, </w:t>
      </w:r>
      <w:r w:rsidRPr="00CA13A3">
        <w:rPr>
          <w:rFonts w:ascii="Palatino Linotype" w:hAnsi="Palatino Linotype" w:cs="Arial"/>
          <w:color w:val="000000"/>
          <w:szCs w:val="22"/>
        </w:rPr>
        <w:t xml:space="preserve">eventualmente pudiera obrar datos personales susceptibles de protegerse, así como información susceptible de clasificarse como reservada, el </w:t>
      </w:r>
      <w:r w:rsidRPr="00CA13A3">
        <w:rPr>
          <w:rFonts w:ascii="Palatino Linotype" w:hAnsi="Palatino Linotype" w:cs="Arial"/>
          <w:b/>
          <w:bCs/>
          <w:color w:val="000000"/>
          <w:szCs w:val="22"/>
        </w:rPr>
        <w:t xml:space="preserve">Sujeto Obligado </w:t>
      </w:r>
      <w:r w:rsidRPr="00CA13A3">
        <w:rPr>
          <w:rFonts w:ascii="Palatino Linotype" w:hAnsi="Palatino Linotype" w:cs="Arial"/>
          <w:color w:val="000000"/>
          <w:szCs w:val="22"/>
        </w:rPr>
        <w:t xml:space="preserve">deberá de hacer la adecuada versión pública, protegiendo los datos que no son susceptibles de ser proporcionados. </w:t>
      </w:r>
    </w:p>
    <w:p w14:paraId="76309F67" w14:textId="77777777" w:rsidR="00466168" w:rsidRPr="00CA13A3" w:rsidRDefault="00466168" w:rsidP="00466168">
      <w:pPr>
        <w:pStyle w:val="Prrafodelista"/>
        <w:tabs>
          <w:tab w:val="left" w:pos="0"/>
          <w:tab w:val="left" w:pos="284"/>
        </w:tabs>
        <w:spacing w:line="360" w:lineRule="auto"/>
        <w:ind w:left="0" w:right="49"/>
        <w:jc w:val="both"/>
        <w:rPr>
          <w:rFonts w:ascii="Palatino Linotype" w:eastAsia="MS Mincho" w:hAnsi="Palatino Linotype"/>
          <w:szCs w:val="22"/>
          <w:lang w:val="es-ES"/>
        </w:rPr>
      </w:pPr>
    </w:p>
    <w:p w14:paraId="76309F68" w14:textId="77777777" w:rsidR="00466168" w:rsidRPr="00CA13A3" w:rsidRDefault="00466168" w:rsidP="00466168">
      <w:pPr>
        <w:numPr>
          <w:ilvl w:val="0"/>
          <w:numId w:val="1"/>
        </w:numPr>
        <w:tabs>
          <w:tab w:val="left" w:pos="284"/>
        </w:tabs>
        <w:spacing w:line="360" w:lineRule="auto"/>
        <w:ind w:left="0" w:right="49" w:firstLine="0"/>
        <w:contextualSpacing/>
        <w:jc w:val="both"/>
        <w:rPr>
          <w:rFonts w:ascii="Palatino Linotype" w:hAnsi="Palatino Linotype" w:cs="Arial"/>
          <w:color w:val="000000"/>
          <w:sz w:val="22"/>
          <w:szCs w:val="22"/>
        </w:rPr>
      </w:pPr>
      <w:r w:rsidRPr="00CA13A3">
        <w:rPr>
          <w:rFonts w:ascii="Palatino Linotype" w:hAnsi="Palatino Linotype" w:cs="Arial"/>
          <w:color w:val="000000"/>
          <w:sz w:val="22"/>
          <w:szCs w:val="22"/>
        </w:rPr>
        <w:t xml:space="preserve">No pasa desapercibido para este Órgano Garante que los </w:t>
      </w:r>
      <w:r w:rsidRPr="00CA13A3">
        <w:rPr>
          <w:rFonts w:ascii="Palatino Linotype" w:hAnsi="Palatino Linotype" w:cs="Arial"/>
          <w:b/>
          <w:bCs/>
          <w:color w:val="000000"/>
          <w:sz w:val="22"/>
          <w:szCs w:val="22"/>
        </w:rPr>
        <w:t xml:space="preserve">Sujetos Obligados </w:t>
      </w:r>
      <w:r w:rsidRPr="00CA13A3">
        <w:rPr>
          <w:rFonts w:ascii="Palatino Linotype" w:hAnsi="Palatino Linotype" w:cs="Arial"/>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6309F69" w14:textId="77777777" w:rsidR="00466168" w:rsidRPr="00CA13A3" w:rsidRDefault="00466168" w:rsidP="00466168">
      <w:pPr>
        <w:tabs>
          <w:tab w:val="left" w:pos="284"/>
        </w:tabs>
        <w:spacing w:line="360" w:lineRule="auto"/>
        <w:ind w:right="49"/>
        <w:contextualSpacing/>
        <w:jc w:val="both"/>
        <w:rPr>
          <w:rFonts w:ascii="Palatino Linotype" w:hAnsi="Palatino Linotype" w:cs="Arial"/>
          <w:color w:val="000000"/>
          <w:sz w:val="22"/>
          <w:szCs w:val="22"/>
        </w:rPr>
      </w:pPr>
    </w:p>
    <w:tbl>
      <w:tblPr>
        <w:tblStyle w:val="Tablanormal1"/>
        <w:tblW w:w="8505" w:type="dxa"/>
        <w:tblInd w:w="137" w:type="dxa"/>
        <w:tblLook w:val="04A0" w:firstRow="1" w:lastRow="0" w:firstColumn="1" w:lastColumn="0" w:noHBand="0" w:noVBand="1"/>
      </w:tblPr>
      <w:tblGrid>
        <w:gridCol w:w="1838"/>
        <w:gridCol w:w="6667"/>
      </w:tblGrid>
      <w:tr w:rsidR="00466168" w:rsidRPr="00CA13A3" w14:paraId="76309F6F" w14:textId="77777777" w:rsidTr="000F4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76309F6A" w14:textId="77777777" w:rsidR="00466168" w:rsidRPr="00CA13A3" w:rsidRDefault="00466168" w:rsidP="000F4C92">
            <w:pPr>
              <w:tabs>
                <w:tab w:val="left" w:pos="284"/>
              </w:tabs>
              <w:spacing w:line="360" w:lineRule="auto"/>
              <w:rPr>
                <w:rFonts w:ascii="Palatino Linotype" w:hAnsi="Palatino Linotype"/>
                <w:bCs w:val="0"/>
                <w:sz w:val="22"/>
                <w:szCs w:val="22"/>
              </w:rPr>
            </w:pPr>
            <w:r w:rsidRPr="00CA13A3">
              <w:rPr>
                <w:rFonts w:ascii="Palatino Linotype" w:hAnsi="Palatino Linotype" w:cstheme="majorBidi"/>
                <w:sz w:val="22"/>
                <w:szCs w:val="22"/>
              </w:rPr>
              <w:t>a) Requisitos previos.</w:t>
            </w:r>
          </w:p>
        </w:tc>
        <w:tc>
          <w:tcPr>
            <w:tcW w:w="6667" w:type="dxa"/>
            <w:hideMark/>
          </w:tcPr>
          <w:p w14:paraId="76309F6B" w14:textId="77777777" w:rsidR="00466168" w:rsidRPr="00CA13A3" w:rsidRDefault="00466168" w:rsidP="000F4C92">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2"/>
                <w:szCs w:val="22"/>
              </w:rPr>
            </w:pPr>
            <w:r w:rsidRPr="00CA13A3">
              <w:rPr>
                <w:rFonts w:ascii="Palatino Linotype" w:hAnsi="Palatino Linotype" w:cs="Arial"/>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6309F6C" w14:textId="77777777" w:rsidR="00466168" w:rsidRPr="00CA13A3" w:rsidRDefault="00466168" w:rsidP="000F4C92">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2"/>
                <w:szCs w:val="22"/>
              </w:rPr>
            </w:pPr>
            <w:r w:rsidRPr="00CA13A3">
              <w:rPr>
                <w:rFonts w:ascii="Palatino Linotype" w:hAnsi="Palatino Linotype" w:cs="Arial"/>
                <w:color w:val="000000"/>
                <w:sz w:val="22"/>
                <w:szCs w:val="22"/>
              </w:rPr>
              <w:lastRenderedPageBreak/>
              <w:t>Al hacerlo tienen que precisar de qué información se trata, señalando el supuesto de clasificación (confidencialidad o reserva).</w:t>
            </w:r>
          </w:p>
          <w:p w14:paraId="76309F6D" w14:textId="77777777" w:rsidR="00466168" w:rsidRPr="00CA13A3" w:rsidRDefault="00466168" w:rsidP="000F4C92">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2"/>
                <w:szCs w:val="22"/>
              </w:rPr>
            </w:pPr>
            <w:r w:rsidRPr="00CA13A3">
              <w:rPr>
                <w:rFonts w:ascii="Palatino Linotype" w:hAnsi="Palatino Linotype" w:cs="Arial"/>
                <w:color w:val="000000"/>
                <w:sz w:val="22"/>
                <w:szCs w:val="22"/>
              </w:rPr>
              <w:t>Además, se debe señalar el procedimiento, de los tres que establecen los artículos 132 y 106 de la Ley Estatal y General, respectivamente.</w:t>
            </w:r>
          </w:p>
          <w:p w14:paraId="76309F6E" w14:textId="77777777" w:rsidR="00466168" w:rsidRPr="00CA13A3" w:rsidRDefault="00466168" w:rsidP="000F4C92">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CA13A3">
              <w:rPr>
                <w:rFonts w:ascii="Palatino Linotype" w:hAnsi="Palatino Linotype" w:cs="Arial"/>
                <w:color w:val="000000"/>
                <w:sz w:val="22"/>
                <w:szCs w:val="22"/>
              </w:rPr>
              <w:t xml:space="preserve">El último de estos requisitos previos consiste en que no se pueden emitir acuerdos de carácter general ni particular, esto es, </w:t>
            </w:r>
            <w:r w:rsidRPr="00CA13A3">
              <w:rPr>
                <w:rFonts w:ascii="Palatino Linotype" w:hAnsi="Palatino Linotype" w:cs="Arial"/>
                <w:color w:val="000000"/>
                <w:sz w:val="22"/>
                <w:szCs w:val="22"/>
                <w:u w:val="single"/>
              </w:rPr>
              <w:t>no se puede hacer un acuerdo para clasificar de manera general todos los documentos de un expediente o área, sin</w:t>
            </w:r>
            <w:r w:rsidRPr="00CA13A3">
              <w:rPr>
                <w:rFonts w:ascii="Palatino Linotype" w:hAnsi="Palatino Linotype" w:cs="Arial"/>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466168" w:rsidRPr="00CA13A3" w14:paraId="76309F74" w14:textId="77777777" w:rsidTr="000F4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76309F70" w14:textId="77777777" w:rsidR="00466168" w:rsidRPr="00CA13A3" w:rsidRDefault="00466168" w:rsidP="000F4C92">
            <w:pPr>
              <w:tabs>
                <w:tab w:val="left" w:pos="284"/>
              </w:tabs>
              <w:spacing w:line="360" w:lineRule="auto"/>
              <w:rPr>
                <w:rFonts w:ascii="Palatino Linotype" w:hAnsi="Palatino Linotype"/>
                <w:bCs w:val="0"/>
                <w:sz w:val="22"/>
                <w:szCs w:val="22"/>
              </w:rPr>
            </w:pPr>
            <w:r w:rsidRPr="00CA13A3">
              <w:rPr>
                <w:rFonts w:ascii="Palatino Linotype" w:hAnsi="Palatino Linotype" w:cstheme="majorBidi"/>
                <w:sz w:val="22"/>
                <w:szCs w:val="22"/>
              </w:rPr>
              <w:lastRenderedPageBreak/>
              <w:t>b) Supuestos de clasificación.</w:t>
            </w:r>
          </w:p>
        </w:tc>
        <w:tc>
          <w:tcPr>
            <w:tcW w:w="6667" w:type="dxa"/>
            <w:hideMark/>
          </w:tcPr>
          <w:p w14:paraId="76309F71" w14:textId="77777777" w:rsidR="00466168" w:rsidRPr="00CA13A3" w:rsidRDefault="00466168" w:rsidP="000F4C92">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CA13A3">
              <w:rPr>
                <w:rFonts w:ascii="Palatino Linotype" w:hAnsi="Palatino Linotype" w:cs="Arial"/>
                <w:color w:val="000000"/>
                <w:sz w:val="22"/>
                <w:szCs w:val="22"/>
              </w:rPr>
              <w:t>Las disposiciones constitucionales y legales en la materia establecen los dos supuestos generales para clasificar la información: por reserva y por confidencialidad.</w:t>
            </w:r>
          </w:p>
          <w:p w14:paraId="76309F72" w14:textId="77777777" w:rsidR="00466168" w:rsidRPr="00CA13A3" w:rsidRDefault="00466168" w:rsidP="000F4C92">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CA13A3">
              <w:rPr>
                <w:rFonts w:ascii="Palatino Linotype" w:hAnsi="Palatino Linotype" w:cs="Arial"/>
                <w:color w:val="000000"/>
                <w:sz w:val="22"/>
                <w:szCs w:val="22"/>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w:t>
            </w:r>
            <w:r w:rsidRPr="00CA13A3">
              <w:rPr>
                <w:rFonts w:ascii="Palatino Linotype" w:hAnsi="Palatino Linotype" w:cs="Arial"/>
                <w:color w:val="000000"/>
                <w:sz w:val="22"/>
                <w:szCs w:val="22"/>
              </w:rPr>
              <w:lastRenderedPageBreak/>
              <w:t>cumple con esta condición y no se pueden ampliar las excepciones o supuestos de clasificación aduciendo analogía o mayoría de razón.</w:t>
            </w:r>
          </w:p>
          <w:p w14:paraId="76309F73" w14:textId="77777777" w:rsidR="00466168" w:rsidRPr="00CA13A3" w:rsidRDefault="00466168" w:rsidP="000F4C92">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CA13A3">
              <w:rPr>
                <w:rFonts w:ascii="Palatino Linotype" w:hAnsi="Palatino Linotype" w:cs="Arial"/>
                <w:color w:val="000000"/>
                <w:sz w:val="22"/>
                <w:szCs w:val="22"/>
              </w:rPr>
              <w:t xml:space="preserve">El </w:t>
            </w:r>
            <w:r w:rsidRPr="00CA13A3">
              <w:rPr>
                <w:rFonts w:ascii="Palatino Linotype" w:hAnsi="Palatino Linotype" w:cs="Arial"/>
                <w:b/>
                <w:color w:val="000000"/>
                <w:sz w:val="22"/>
                <w:szCs w:val="22"/>
              </w:rPr>
              <w:t>Sujeto Obligado</w:t>
            </w:r>
            <w:r w:rsidRPr="00CA13A3">
              <w:rPr>
                <w:rFonts w:ascii="Palatino Linotype" w:hAnsi="Palatino Linotype" w:cs="Arial"/>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66168" w:rsidRPr="00CA13A3" w14:paraId="76309F79" w14:textId="77777777" w:rsidTr="000F4C92">
        <w:tc>
          <w:tcPr>
            <w:cnfStyle w:val="001000000000" w:firstRow="0" w:lastRow="0" w:firstColumn="1" w:lastColumn="0" w:oddVBand="0" w:evenVBand="0" w:oddHBand="0" w:evenHBand="0" w:firstRowFirstColumn="0" w:firstRowLastColumn="0" w:lastRowFirstColumn="0" w:lastRowLastColumn="0"/>
            <w:tcW w:w="1838" w:type="dxa"/>
            <w:hideMark/>
          </w:tcPr>
          <w:p w14:paraId="76309F75" w14:textId="77777777" w:rsidR="00466168" w:rsidRPr="00CA13A3" w:rsidRDefault="00466168" w:rsidP="000F4C92">
            <w:pPr>
              <w:tabs>
                <w:tab w:val="left" w:pos="284"/>
              </w:tabs>
              <w:spacing w:line="360" w:lineRule="auto"/>
              <w:rPr>
                <w:rFonts w:ascii="Palatino Linotype" w:hAnsi="Palatino Linotype"/>
                <w:bCs w:val="0"/>
                <w:sz w:val="22"/>
                <w:szCs w:val="22"/>
              </w:rPr>
            </w:pPr>
            <w:r w:rsidRPr="00CA13A3">
              <w:rPr>
                <w:rFonts w:ascii="Palatino Linotype" w:hAnsi="Palatino Linotype" w:cstheme="majorBidi"/>
                <w:sz w:val="22"/>
                <w:szCs w:val="22"/>
              </w:rPr>
              <w:lastRenderedPageBreak/>
              <w:t>c) Formalidades para emitir el acuerdo de clasificación.</w:t>
            </w:r>
          </w:p>
        </w:tc>
        <w:tc>
          <w:tcPr>
            <w:tcW w:w="6667" w:type="dxa"/>
            <w:hideMark/>
          </w:tcPr>
          <w:p w14:paraId="76309F76" w14:textId="77777777" w:rsidR="00466168" w:rsidRPr="00CA13A3" w:rsidRDefault="00466168" w:rsidP="000F4C92">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CA13A3">
              <w:rPr>
                <w:rFonts w:ascii="Palatino Linotype" w:hAnsi="Palatino Linotype" w:cs="Arial"/>
                <w:color w:val="000000"/>
                <w:sz w:val="22"/>
                <w:szCs w:val="22"/>
              </w:rPr>
              <w:t xml:space="preserve">El Comité de Transparencia, según lo dispuesto en los artículos cuenta con las facultades para aprobar, modificar o revocar la clasificación de la información que haya propuesto. </w:t>
            </w:r>
          </w:p>
          <w:p w14:paraId="76309F77" w14:textId="77777777" w:rsidR="00466168" w:rsidRPr="00CA13A3" w:rsidRDefault="00466168" w:rsidP="000F4C92">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CA13A3">
              <w:rPr>
                <w:rFonts w:ascii="Palatino Linotype" w:hAnsi="Palatino Linotype" w:cs="Arial"/>
                <w:color w:val="000000"/>
                <w:sz w:val="22"/>
                <w:szCs w:val="22"/>
              </w:rPr>
              <w:t xml:space="preserve">Es necesario que </w:t>
            </w:r>
            <w:r w:rsidRPr="00CA13A3">
              <w:rPr>
                <w:rFonts w:ascii="Palatino Linotype" w:hAnsi="Palatino Linotype" w:cs="Arial"/>
                <w:b/>
                <w:color w:val="000000"/>
                <w:sz w:val="22"/>
                <w:szCs w:val="22"/>
                <w:u w:val="single"/>
              </w:rPr>
              <w:t>el acto reúna con los requisitos elementales</w:t>
            </w:r>
            <w:r w:rsidRPr="00CA13A3">
              <w:rPr>
                <w:rFonts w:ascii="Palatino Linotype" w:hAnsi="Palatino Linotype" w:cs="Arial"/>
                <w:color w:val="000000"/>
                <w:sz w:val="22"/>
                <w:szCs w:val="22"/>
              </w:rPr>
              <w:t>, entre ellos, que la autoridad que va a emitir el acto de autoridad sea la legalmente facultada para ello.</w:t>
            </w:r>
          </w:p>
          <w:p w14:paraId="76309F78" w14:textId="77777777" w:rsidR="00466168" w:rsidRPr="00CA13A3" w:rsidRDefault="00466168" w:rsidP="000F4C92">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A13A3">
              <w:rPr>
                <w:rFonts w:ascii="Palatino Linotype" w:hAnsi="Palatino Linotype" w:cs="Arial"/>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w:t>
            </w:r>
            <w:r w:rsidRPr="00CA13A3">
              <w:rPr>
                <w:rFonts w:ascii="Palatino Linotype" w:hAnsi="Palatino Linotype" w:cs="Arial"/>
                <w:color w:val="000000"/>
                <w:sz w:val="22"/>
                <w:szCs w:val="22"/>
              </w:rPr>
              <w:lastRenderedPageBreak/>
              <w:t>previamente por los titulares de áreas y que son sujetas a control, en primera instancia, por el Comité de Transparencia.</w:t>
            </w:r>
          </w:p>
        </w:tc>
      </w:tr>
      <w:tr w:rsidR="00466168" w:rsidRPr="00CA13A3" w14:paraId="76309F81" w14:textId="77777777" w:rsidTr="000F4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6309F7A" w14:textId="77777777" w:rsidR="00466168" w:rsidRPr="00CA13A3" w:rsidRDefault="00466168" w:rsidP="000F4C92">
            <w:pPr>
              <w:tabs>
                <w:tab w:val="left" w:pos="284"/>
              </w:tabs>
              <w:spacing w:line="360" w:lineRule="auto"/>
              <w:rPr>
                <w:rFonts w:ascii="Palatino Linotype" w:hAnsi="Palatino Linotype"/>
                <w:b w:val="0"/>
                <w:sz w:val="22"/>
                <w:szCs w:val="22"/>
              </w:rPr>
            </w:pPr>
          </w:p>
          <w:p w14:paraId="76309F7B" w14:textId="77777777" w:rsidR="00466168" w:rsidRPr="00CA13A3" w:rsidRDefault="00466168" w:rsidP="000F4C92">
            <w:pPr>
              <w:tabs>
                <w:tab w:val="left" w:pos="284"/>
              </w:tabs>
              <w:spacing w:line="360" w:lineRule="auto"/>
              <w:jc w:val="both"/>
              <w:rPr>
                <w:rFonts w:ascii="Palatino Linotype" w:hAnsi="Palatino Linotype"/>
                <w:bCs w:val="0"/>
                <w:sz w:val="22"/>
                <w:szCs w:val="22"/>
              </w:rPr>
            </w:pPr>
            <w:r w:rsidRPr="00CA13A3">
              <w:rPr>
                <w:rFonts w:ascii="Palatino Linotype" w:hAnsi="Palatino Linotype" w:cs="Arial"/>
                <w:color w:val="000000"/>
                <w:sz w:val="22"/>
                <w:szCs w:val="22"/>
              </w:rPr>
              <w:t xml:space="preserve">d) Requisitos de fondo del acuerdo de clasificación. </w:t>
            </w:r>
          </w:p>
        </w:tc>
        <w:tc>
          <w:tcPr>
            <w:tcW w:w="6667" w:type="dxa"/>
            <w:hideMark/>
          </w:tcPr>
          <w:p w14:paraId="76309F7C" w14:textId="77777777" w:rsidR="00466168" w:rsidRPr="00CA13A3" w:rsidRDefault="00466168" w:rsidP="000F4C92">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CA13A3">
              <w:rPr>
                <w:rFonts w:ascii="Palatino Linotype" w:hAnsi="Palatino Linotype" w:cs="Arial"/>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CA13A3">
              <w:rPr>
                <w:rFonts w:ascii="Palatino Linotype" w:hAnsi="Palatino Linotype" w:cs="Arial"/>
                <w:b/>
                <w:color w:val="000000"/>
                <w:sz w:val="22"/>
                <w:szCs w:val="22"/>
              </w:rPr>
              <w:t>Sujetos Obligados</w:t>
            </w:r>
            <w:r w:rsidRPr="00CA13A3">
              <w:rPr>
                <w:rFonts w:ascii="Palatino Linotype" w:hAnsi="Palatino Linotype" w:cs="Arial"/>
                <w:color w:val="000000"/>
                <w:sz w:val="22"/>
                <w:szCs w:val="22"/>
              </w:rPr>
              <w:t xml:space="preserve">, por lo que deberán fundar y motivar debidamente la clasificación. </w:t>
            </w:r>
          </w:p>
          <w:p w14:paraId="76309F7D" w14:textId="77777777" w:rsidR="00466168" w:rsidRPr="00CA13A3" w:rsidRDefault="00466168" w:rsidP="000F4C92">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CA13A3">
              <w:rPr>
                <w:rFonts w:ascii="Palatino Linotype" w:hAnsi="Palatino Linotype" w:cs="Arial"/>
                <w:color w:val="000000"/>
                <w:sz w:val="22"/>
                <w:szCs w:val="22"/>
              </w:rPr>
              <w:t xml:space="preserve">De lo anterior, se desprende que para una correcta </w:t>
            </w:r>
            <w:r w:rsidRPr="00CA13A3">
              <w:rPr>
                <w:rFonts w:ascii="Palatino Linotype" w:hAnsi="Palatino Linotype" w:cs="Arial"/>
                <w:b/>
                <w:color w:val="000000"/>
                <w:sz w:val="22"/>
                <w:szCs w:val="22"/>
              </w:rPr>
              <w:t>clasificación total o parcial</w:t>
            </w:r>
            <w:r w:rsidRPr="00CA13A3">
              <w:rPr>
                <w:rFonts w:ascii="Palatino Linotype" w:hAnsi="Palatino Linotype" w:cs="Arial"/>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6309F7E" w14:textId="77777777" w:rsidR="00466168" w:rsidRPr="00CA13A3" w:rsidRDefault="00466168" w:rsidP="000F4C92">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CA13A3">
              <w:rPr>
                <w:rFonts w:ascii="Palatino Linotype" w:hAnsi="Palatino Linotype" w:cs="Arial"/>
                <w:color w:val="000000"/>
                <w:sz w:val="22"/>
                <w:szCs w:val="22"/>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w:t>
            </w:r>
            <w:r w:rsidRPr="00CA13A3">
              <w:rPr>
                <w:rFonts w:ascii="Palatino Linotype" w:hAnsi="Palatino Linotype" w:cs="Arial"/>
                <w:color w:val="000000"/>
                <w:sz w:val="22"/>
                <w:szCs w:val="22"/>
              </w:rPr>
              <w:lastRenderedPageBreak/>
              <w:t>persona que se sienta afectada pueda impugnar la decisión, permitiéndole una real y auténtica defensa.</w:t>
            </w:r>
          </w:p>
          <w:p w14:paraId="76309F7F" w14:textId="77777777" w:rsidR="00466168" w:rsidRPr="00CA13A3" w:rsidRDefault="00466168" w:rsidP="000F4C92">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CA13A3">
              <w:rPr>
                <w:rFonts w:ascii="Palatino Linotype" w:hAnsi="Palatino Linotype" w:cs="Arial"/>
                <w:color w:val="000000"/>
                <w:sz w:val="22"/>
                <w:szCs w:val="22"/>
              </w:rPr>
              <w:t>En ese mismo sentido, el numeral trigésimo tercero fracción V de los Lineamientos Generales, precisa que para motivar la clasificación se deben acreditar las circunstancias de tiempo, modo y lugar.</w:t>
            </w:r>
          </w:p>
          <w:p w14:paraId="76309F80" w14:textId="77777777" w:rsidR="00466168" w:rsidRPr="00CA13A3" w:rsidRDefault="00466168" w:rsidP="000F4C92">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CA13A3">
              <w:rPr>
                <w:rFonts w:ascii="Palatino Linotype" w:hAnsi="Palatino Linotype" w:cs="Arial"/>
                <w:color w:val="000000"/>
                <w:sz w:val="22"/>
                <w:szCs w:val="22"/>
              </w:rPr>
              <w:t xml:space="preserve">Ahora bien, </w:t>
            </w:r>
            <w:r w:rsidRPr="00CA13A3">
              <w:rPr>
                <w:rFonts w:ascii="Palatino Linotype" w:hAnsi="Palatino Linotype" w:cs="Arial"/>
                <w:b/>
                <w:color w:val="000000"/>
                <w:sz w:val="22"/>
                <w:szCs w:val="22"/>
                <w:u w:val="single"/>
              </w:rPr>
              <w:t>para cada caso además de fundar y motivar</w:t>
            </w:r>
            <w:r w:rsidRPr="00CA13A3">
              <w:rPr>
                <w:rFonts w:ascii="Palatino Linotype" w:hAnsi="Palatino Linotype" w:cs="Arial"/>
                <w:color w:val="000000"/>
                <w:sz w:val="22"/>
                <w:szCs w:val="22"/>
              </w:rPr>
              <w:t xml:space="preserve">, se debe identificar con claridad que datos contenidos en las documentales que son susceptibles de suprimirse, por ejemplo; </w:t>
            </w:r>
            <w:r w:rsidRPr="00CA13A3">
              <w:rPr>
                <w:rFonts w:ascii="Palatino Linotype" w:hAnsi="Palatino Linotype" w:cs="Arial"/>
                <w:color w:val="000000"/>
                <w:sz w:val="22"/>
                <w:szCs w:val="22"/>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66168" w:rsidRPr="00CA13A3" w14:paraId="76309F86" w14:textId="77777777" w:rsidTr="000F4C92">
        <w:tc>
          <w:tcPr>
            <w:cnfStyle w:val="001000000000" w:firstRow="0" w:lastRow="0" w:firstColumn="1" w:lastColumn="0" w:oddVBand="0" w:evenVBand="0" w:oddHBand="0" w:evenHBand="0" w:firstRowFirstColumn="0" w:firstRowLastColumn="0" w:lastRowFirstColumn="0" w:lastRowLastColumn="0"/>
            <w:tcW w:w="1838" w:type="dxa"/>
          </w:tcPr>
          <w:p w14:paraId="76309F82" w14:textId="77777777" w:rsidR="00466168" w:rsidRPr="00CA13A3" w:rsidRDefault="00466168" w:rsidP="000F4C92">
            <w:pPr>
              <w:tabs>
                <w:tab w:val="left" w:pos="284"/>
              </w:tabs>
              <w:spacing w:line="360" w:lineRule="auto"/>
              <w:ind w:right="49"/>
              <w:jc w:val="both"/>
              <w:rPr>
                <w:rFonts w:ascii="Palatino Linotype" w:hAnsi="Palatino Linotype" w:cs="Arial"/>
                <w:bCs w:val="0"/>
                <w:sz w:val="22"/>
                <w:szCs w:val="22"/>
              </w:rPr>
            </w:pPr>
            <w:r w:rsidRPr="00CA13A3">
              <w:rPr>
                <w:rFonts w:ascii="Palatino Linotype" w:eastAsia="MS Gothic" w:hAnsi="Palatino Linotype"/>
                <w:sz w:val="22"/>
                <w:szCs w:val="22"/>
              </w:rPr>
              <w:lastRenderedPageBreak/>
              <w:t xml:space="preserve">e) Condiciones especiales de la clasificación de la información como confidencial. </w:t>
            </w:r>
          </w:p>
        </w:tc>
        <w:tc>
          <w:tcPr>
            <w:tcW w:w="6667" w:type="dxa"/>
            <w:hideMark/>
          </w:tcPr>
          <w:p w14:paraId="76309F83" w14:textId="77777777" w:rsidR="00466168" w:rsidRPr="00CA13A3" w:rsidRDefault="00466168" w:rsidP="000F4C92">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CA13A3">
              <w:rPr>
                <w:rFonts w:ascii="Palatino Linotype" w:hAnsi="Palatino Linotype" w:cs="Arial"/>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14:paraId="76309F84" w14:textId="77777777" w:rsidR="00466168" w:rsidRPr="00CA13A3" w:rsidRDefault="00466168" w:rsidP="000F4C92">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CA13A3">
              <w:rPr>
                <w:rFonts w:ascii="Palatino Linotype" w:hAnsi="Palatino Linotype" w:cs="Arial"/>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6309F85" w14:textId="77777777" w:rsidR="00466168" w:rsidRPr="00CA13A3" w:rsidRDefault="00466168" w:rsidP="000F4C92">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CA13A3">
              <w:rPr>
                <w:rFonts w:ascii="Palatino Linotype" w:hAnsi="Palatino Linotype" w:cs="Arial"/>
                <w:color w:val="000000"/>
                <w:sz w:val="22"/>
                <w:szCs w:val="22"/>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6309F87" w14:textId="77777777" w:rsidR="00466168" w:rsidRPr="00CA13A3" w:rsidRDefault="00466168" w:rsidP="00466168">
      <w:pPr>
        <w:pStyle w:val="Prrafodelista"/>
        <w:tabs>
          <w:tab w:val="left" w:pos="284"/>
        </w:tabs>
        <w:ind w:left="0"/>
        <w:rPr>
          <w:rFonts w:ascii="Palatino Linotype" w:hAnsi="Palatino Linotype" w:cs="Arial"/>
          <w:color w:val="000000"/>
          <w:szCs w:val="22"/>
        </w:rPr>
      </w:pPr>
    </w:p>
    <w:p w14:paraId="76309F88" w14:textId="77777777" w:rsidR="00466168" w:rsidRPr="00CA13A3" w:rsidRDefault="00466168" w:rsidP="00466168">
      <w:pPr>
        <w:pStyle w:val="Prrafodelista"/>
        <w:numPr>
          <w:ilvl w:val="0"/>
          <w:numId w:val="1"/>
        </w:numPr>
        <w:spacing w:line="360" w:lineRule="auto"/>
        <w:ind w:left="0" w:firstLine="0"/>
        <w:jc w:val="both"/>
        <w:rPr>
          <w:rFonts w:ascii="Palatino Linotype" w:hAnsi="Palatino Linotype" w:cs="Arial"/>
          <w:szCs w:val="22"/>
          <w:lang w:val="es-ES"/>
        </w:rPr>
      </w:pPr>
      <w:r w:rsidRPr="00CA13A3">
        <w:rPr>
          <w:rFonts w:ascii="Palatino Linotype" w:hAnsi="Palatino Linotype" w:cs="Arial"/>
          <w:szCs w:val="22"/>
        </w:rPr>
        <w:t xml:space="preserve">Si el servidor público incumple con estas formalidades y entrega la información sin proteger los datos personales incumple con lo que estipula las disposiciones legales establecidas, asimismo que si entrega un documento testado sin el </w:t>
      </w:r>
      <w:r w:rsidR="008554CB" w:rsidRPr="00CA13A3">
        <w:rPr>
          <w:rFonts w:ascii="Palatino Linotype" w:hAnsi="Palatino Linotype" w:cs="Arial"/>
          <w:szCs w:val="22"/>
        </w:rPr>
        <w:t>debido acuerdo de clasificación.</w:t>
      </w:r>
    </w:p>
    <w:p w14:paraId="76309F89" w14:textId="77777777" w:rsidR="008554CB" w:rsidRPr="00CA13A3" w:rsidRDefault="008554CB" w:rsidP="008554CB">
      <w:pPr>
        <w:pStyle w:val="Prrafodelista"/>
        <w:spacing w:line="360" w:lineRule="auto"/>
        <w:ind w:left="0"/>
        <w:jc w:val="both"/>
        <w:rPr>
          <w:rFonts w:ascii="Palatino Linotype" w:hAnsi="Palatino Linotype" w:cs="Arial"/>
          <w:szCs w:val="22"/>
          <w:lang w:val="es-ES"/>
        </w:rPr>
      </w:pPr>
    </w:p>
    <w:p w14:paraId="76309F8A" w14:textId="77777777" w:rsidR="008554CB" w:rsidRPr="00CA13A3" w:rsidRDefault="008554CB" w:rsidP="008554CB">
      <w:pPr>
        <w:pStyle w:val="Prrafodelista"/>
        <w:numPr>
          <w:ilvl w:val="0"/>
          <w:numId w:val="9"/>
        </w:numPr>
        <w:spacing w:line="360" w:lineRule="auto"/>
        <w:jc w:val="both"/>
        <w:rPr>
          <w:rFonts w:ascii="Palatino Linotype" w:eastAsia="Palatino Linotype" w:hAnsi="Palatino Linotype" w:cs="Palatino Linotype"/>
          <w:b/>
          <w:szCs w:val="22"/>
        </w:rPr>
      </w:pPr>
      <w:r w:rsidRPr="00CA13A3">
        <w:rPr>
          <w:rFonts w:ascii="Palatino Linotype" w:eastAsia="Palatino Linotype" w:hAnsi="Palatino Linotype" w:cs="Palatino Linotype"/>
          <w:b/>
          <w:szCs w:val="22"/>
        </w:rPr>
        <w:t xml:space="preserve">Firma de los servidores públicos </w:t>
      </w:r>
    </w:p>
    <w:p w14:paraId="76309F8B" w14:textId="77777777" w:rsidR="008554CB" w:rsidRPr="00CA13A3" w:rsidRDefault="008554CB" w:rsidP="008554CB">
      <w:pPr>
        <w:spacing w:line="360" w:lineRule="auto"/>
        <w:jc w:val="both"/>
        <w:rPr>
          <w:rFonts w:ascii="Palatino Linotype" w:eastAsia="Palatino Linotype" w:hAnsi="Palatino Linotype" w:cs="Palatino Linotype"/>
          <w:b/>
          <w:sz w:val="22"/>
          <w:szCs w:val="22"/>
        </w:rPr>
      </w:pPr>
    </w:p>
    <w:p w14:paraId="76309F8C" w14:textId="77777777" w:rsidR="008554CB" w:rsidRPr="00CA13A3" w:rsidRDefault="008554CB" w:rsidP="008554CB">
      <w:pPr>
        <w:pStyle w:val="Prrafodelista"/>
        <w:numPr>
          <w:ilvl w:val="0"/>
          <w:numId w:val="1"/>
        </w:numPr>
        <w:tabs>
          <w:tab w:val="left" w:pos="567"/>
        </w:tabs>
        <w:spacing w:line="360" w:lineRule="auto"/>
        <w:ind w:left="0" w:firstLine="0"/>
        <w:jc w:val="both"/>
        <w:rPr>
          <w:rFonts w:ascii="Palatino Linotype" w:eastAsia="Palatino Linotype" w:hAnsi="Palatino Linotype" w:cs="Palatino Linotype"/>
          <w:szCs w:val="22"/>
        </w:rPr>
      </w:pPr>
      <w:r w:rsidRPr="00CA13A3">
        <w:rPr>
          <w:rFonts w:ascii="Palatino Linotype" w:eastAsia="Palatino Linotype" w:hAnsi="Palatino Linotype" w:cs="Palatino Linotype"/>
          <w:szCs w:val="22"/>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76309F8D" w14:textId="77777777" w:rsidR="008554CB" w:rsidRPr="00CA13A3" w:rsidRDefault="008554CB" w:rsidP="008554CB">
      <w:pPr>
        <w:tabs>
          <w:tab w:val="left" w:pos="567"/>
        </w:tabs>
        <w:spacing w:line="360" w:lineRule="auto"/>
        <w:jc w:val="both"/>
        <w:rPr>
          <w:rFonts w:ascii="Palatino Linotype" w:eastAsia="Palatino Linotype" w:hAnsi="Palatino Linotype" w:cs="Palatino Linotype"/>
          <w:sz w:val="22"/>
          <w:szCs w:val="22"/>
        </w:rPr>
      </w:pPr>
    </w:p>
    <w:p w14:paraId="76309F8E" w14:textId="77777777" w:rsidR="008554CB" w:rsidRPr="00CA13A3" w:rsidRDefault="008554CB" w:rsidP="008554CB">
      <w:pPr>
        <w:numPr>
          <w:ilvl w:val="0"/>
          <w:numId w:val="1"/>
        </w:numPr>
        <w:tabs>
          <w:tab w:val="left" w:pos="567"/>
        </w:tabs>
        <w:spacing w:line="360" w:lineRule="auto"/>
        <w:ind w:left="0" w:firstLine="0"/>
        <w:jc w:val="both"/>
        <w:rPr>
          <w:rFonts w:ascii="Palatino Linotype" w:eastAsia="Palatino Linotype" w:hAnsi="Palatino Linotype" w:cs="Palatino Linotype"/>
          <w:sz w:val="22"/>
          <w:szCs w:val="22"/>
        </w:rPr>
      </w:pPr>
      <w:r w:rsidRPr="00CA13A3">
        <w:rPr>
          <w:rFonts w:ascii="Palatino Linotype" w:eastAsia="Palatino Linotype" w:hAnsi="Palatino Linotype" w:cs="Palatino Linotype"/>
          <w:sz w:val="22"/>
          <w:szCs w:val="22"/>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76309F8F" w14:textId="77777777" w:rsidR="008554CB" w:rsidRPr="00CA13A3" w:rsidRDefault="008554CB" w:rsidP="008554CB">
      <w:pPr>
        <w:rPr>
          <w:rFonts w:ascii="Palatino Linotype" w:eastAsia="Palatino Linotype" w:hAnsi="Palatino Linotype" w:cs="Palatino Linotype"/>
          <w:sz w:val="22"/>
          <w:szCs w:val="22"/>
        </w:rPr>
      </w:pPr>
    </w:p>
    <w:p w14:paraId="76309F90" w14:textId="77777777" w:rsidR="008554CB" w:rsidRPr="00CA13A3" w:rsidRDefault="008554CB" w:rsidP="008554CB">
      <w:pPr>
        <w:numPr>
          <w:ilvl w:val="0"/>
          <w:numId w:val="1"/>
        </w:numPr>
        <w:tabs>
          <w:tab w:val="left" w:pos="567"/>
        </w:tabs>
        <w:spacing w:line="360" w:lineRule="auto"/>
        <w:ind w:left="0" w:firstLine="0"/>
        <w:jc w:val="both"/>
        <w:rPr>
          <w:rFonts w:ascii="Palatino Linotype" w:eastAsia="Palatino Linotype" w:hAnsi="Palatino Linotype" w:cs="Palatino Linotype"/>
          <w:sz w:val="22"/>
          <w:szCs w:val="22"/>
        </w:rPr>
      </w:pPr>
      <w:r w:rsidRPr="00CA13A3">
        <w:rPr>
          <w:rFonts w:ascii="Palatino Linotype" w:eastAsia="Palatino Linotype" w:hAnsi="Palatino Linotype" w:cs="Palatino Linotype"/>
          <w:sz w:val="22"/>
          <w:szCs w:val="22"/>
        </w:rPr>
        <w:lastRenderedPageBreak/>
        <w:t>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76309F91" w14:textId="77777777" w:rsidR="008554CB" w:rsidRPr="00CA13A3" w:rsidRDefault="008554CB" w:rsidP="008554CB">
      <w:pPr>
        <w:shd w:val="clear" w:color="auto" w:fill="FFFFFF"/>
        <w:spacing w:line="360" w:lineRule="auto"/>
        <w:jc w:val="both"/>
        <w:rPr>
          <w:rFonts w:ascii="Palatino Linotype" w:eastAsia="Palatino Linotype" w:hAnsi="Palatino Linotype" w:cs="Palatino Linotype"/>
          <w:sz w:val="22"/>
          <w:szCs w:val="22"/>
        </w:rPr>
      </w:pPr>
      <w:r w:rsidRPr="00CA13A3">
        <w:rPr>
          <w:rFonts w:ascii="Palatino Linotype" w:eastAsia="Palatino Linotype" w:hAnsi="Palatino Linotype" w:cs="Palatino Linotype"/>
          <w:sz w:val="22"/>
          <w:szCs w:val="22"/>
        </w:rPr>
        <w:t> </w:t>
      </w:r>
    </w:p>
    <w:p w14:paraId="76309F92" w14:textId="77777777" w:rsidR="008554CB" w:rsidRPr="00CA13A3" w:rsidRDefault="008554CB" w:rsidP="008554CB">
      <w:pPr>
        <w:spacing w:line="360" w:lineRule="auto"/>
        <w:ind w:left="851" w:right="822"/>
        <w:jc w:val="both"/>
        <w:rPr>
          <w:rFonts w:ascii="Palatino Linotype" w:eastAsia="Palatino Linotype" w:hAnsi="Palatino Linotype" w:cs="Palatino Linotype"/>
          <w:sz w:val="22"/>
          <w:szCs w:val="22"/>
        </w:rPr>
      </w:pPr>
      <w:r w:rsidRPr="00CA13A3">
        <w:rPr>
          <w:rFonts w:ascii="Palatino Linotype" w:eastAsia="Palatino Linotype" w:hAnsi="Palatino Linotype" w:cs="Palatino Linotype"/>
          <w:b/>
          <w:i/>
          <w:sz w:val="22"/>
          <w:szCs w:val="22"/>
        </w:rPr>
        <w:t>“Firma y rúbrica de servidores públicos.</w:t>
      </w:r>
      <w:r w:rsidRPr="00CA13A3">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76309F93" w14:textId="77777777" w:rsidR="008554CB" w:rsidRPr="00CA13A3" w:rsidRDefault="008554CB" w:rsidP="008554CB">
      <w:pPr>
        <w:tabs>
          <w:tab w:val="left" w:pos="4962"/>
        </w:tabs>
        <w:spacing w:line="360" w:lineRule="auto"/>
        <w:jc w:val="both"/>
        <w:rPr>
          <w:rFonts w:ascii="Palatino Linotype" w:eastAsia="Palatino Linotype" w:hAnsi="Palatino Linotype" w:cs="Palatino Linotype"/>
          <w:sz w:val="22"/>
          <w:szCs w:val="22"/>
        </w:rPr>
      </w:pPr>
      <w:r w:rsidRPr="00CA13A3">
        <w:rPr>
          <w:rFonts w:ascii="Palatino Linotype" w:eastAsia="Palatino Linotype" w:hAnsi="Palatino Linotype" w:cs="Palatino Linotype"/>
          <w:sz w:val="22"/>
          <w:szCs w:val="22"/>
        </w:rPr>
        <w:t> </w:t>
      </w:r>
    </w:p>
    <w:p w14:paraId="76309F94" w14:textId="77777777" w:rsidR="008554CB" w:rsidRPr="00CA13A3" w:rsidRDefault="008554CB" w:rsidP="008554CB">
      <w:pPr>
        <w:numPr>
          <w:ilvl w:val="0"/>
          <w:numId w:val="1"/>
        </w:numPr>
        <w:tabs>
          <w:tab w:val="left" w:pos="0"/>
        </w:tabs>
        <w:spacing w:line="360" w:lineRule="auto"/>
        <w:ind w:left="0" w:firstLine="0"/>
        <w:jc w:val="both"/>
        <w:rPr>
          <w:rFonts w:ascii="Palatino Linotype" w:eastAsia="Palatino Linotype" w:hAnsi="Palatino Linotype" w:cs="Palatino Linotype"/>
          <w:sz w:val="22"/>
          <w:szCs w:val="22"/>
        </w:rPr>
      </w:pPr>
      <w:r w:rsidRPr="00CA13A3">
        <w:rPr>
          <w:rFonts w:ascii="Palatino Linotype" w:eastAsia="Palatino Linotype" w:hAnsi="Palatino Linotype" w:cs="Palatino Linotype"/>
          <w:sz w:val="22"/>
          <w:szCs w:val="22"/>
        </w:rPr>
        <w:t>Conforme a lo expuesto, en el presente caso, procede la clasificación, en términos del artículo 143, fracción I de la Ley de Transparencia y Acceso a la Información Pública del Estado de México y Municipios. </w:t>
      </w:r>
    </w:p>
    <w:p w14:paraId="76309F95" w14:textId="77777777" w:rsidR="008554CB" w:rsidRPr="00CA13A3" w:rsidRDefault="008554CB" w:rsidP="008554CB">
      <w:pPr>
        <w:tabs>
          <w:tab w:val="left" w:pos="0"/>
          <w:tab w:val="left" w:pos="284"/>
        </w:tabs>
        <w:spacing w:line="360" w:lineRule="auto"/>
        <w:ind w:hanging="142"/>
        <w:jc w:val="both"/>
        <w:rPr>
          <w:rFonts w:ascii="Palatino Linotype" w:eastAsia="Palatino Linotype" w:hAnsi="Palatino Linotype" w:cs="Palatino Linotype"/>
          <w:sz w:val="22"/>
          <w:szCs w:val="22"/>
        </w:rPr>
      </w:pPr>
    </w:p>
    <w:p w14:paraId="76309F96" w14:textId="77777777" w:rsidR="008554CB" w:rsidRPr="00CA13A3" w:rsidRDefault="008554CB" w:rsidP="008554CB">
      <w:pPr>
        <w:numPr>
          <w:ilvl w:val="0"/>
          <w:numId w:val="1"/>
        </w:numPr>
        <w:tabs>
          <w:tab w:val="left" w:pos="0"/>
          <w:tab w:val="left" w:pos="284"/>
        </w:tabs>
        <w:spacing w:line="360" w:lineRule="auto"/>
        <w:ind w:left="0" w:firstLine="0"/>
        <w:jc w:val="both"/>
        <w:rPr>
          <w:rFonts w:ascii="Palatino Linotype" w:eastAsia="Palatino Linotype" w:hAnsi="Palatino Linotype" w:cs="Palatino Linotype"/>
          <w:sz w:val="22"/>
          <w:szCs w:val="22"/>
        </w:rPr>
      </w:pPr>
      <w:r w:rsidRPr="00CA13A3">
        <w:rPr>
          <w:rFonts w:ascii="Palatino Linotype" w:eastAsia="Palatino Linotype" w:hAnsi="Palatino Linotype" w:cs="Palatino Linotype"/>
          <w:sz w:val="22"/>
          <w:szCs w:val="22"/>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76309F97" w14:textId="77777777" w:rsidR="008554CB" w:rsidRPr="00CA13A3" w:rsidRDefault="008554CB" w:rsidP="008554CB">
      <w:pPr>
        <w:pStyle w:val="Prrafodelista"/>
        <w:numPr>
          <w:ilvl w:val="0"/>
          <w:numId w:val="9"/>
        </w:numPr>
        <w:shd w:val="clear" w:color="auto" w:fill="FFFFFF"/>
        <w:spacing w:before="240" w:after="240" w:line="360" w:lineRule="auto"/>
        <w:ind w:right="-28"/>
        <w:jc w:val="both"/>
        <w:rPr>
          <w:rFonts w:ascii="Palatino Linotype" w:hAnsi="Palatino Linotype"/>
          <w:b/>
          <w:color w:val="222222"/>
          <w:szCs w:val="22"/>
        </w:rPr>
      </w:pPr>
      <w:r w:rsidRPr="00CA13A3">
        <w:rPr>
          <w:rFonts w:ascii="Palatino Linotype" w:hAnsi="Palatino Linotype"/>
          <w:b/>
          <w:color w:val="222222"/>
          <w:szCs w:val="22"/>
        </w:rPr>
        <w:t>De la fotografía</w:t>
      </w:r>
    </w:p>
    <w:p w14:paraId="76309F98" w14:textId="77777777" w:rsidR="008554CB" w:rsidRPr="00CA13A3" w:rsidRDefault="008554CB" w:rsidP="008554CB">
      <w:pPr>
        <w:pStyle w:val="Prrafodelista"/>
        <w:shd w:val="clear" w:color="auto" w:fill="FFFFFF"/>
        <w:spacing w:before="240" w:after="240" w:line="360" w:lineRule="auto"/>
        <w:ind w:right="-28"/>
        <w:jc w:val="both"/>
        <w:rPr>
          <w:rFonts w:ascii="Palatino Linotype" w:hAnsi="Palatino Linotype"/>
          <w:b/>
          <w:color w:val="222222"/>
          <w:szCs w:val="22"/>
        </w:rPr>
      </w:pPr>
    </w:p>
    <w:p w14:paraId="76309F99" w14:textId="77777777" w:rsidR="008554CB" w:rsidRPr="00CA13A3" w:rsidRDefault="008554CB" w:rsidP="008554CB">
      <w:pPr>
        <w:pStyle w:val="Prrafodelista"/>
        <w:numPr>
          <w:ilvl w:val="0"/>
          <w:numId w:val="1"/>
        </w:numPr>
        <w:pBdr>
          <w:top w:val="nil"/>
          <w:left w:val="nil"/>
          <w:bottom w:val="nil"/>
          <w:right w:val="nil"/>
          <w:between w:val="nil"/>
        </w:pBdr>
        <w:spacing w:line="360" w:lineRule="auto"/>
        <w:ind w:left="0" w:right="-25" w:firstLine="0"/>
        <w:jc w:val="both"/>
        <w:rPr>
          <w:rFonts w:ascii="Palatino Linotype" w:eastAsia="Palatino Linotype" w:hAnsi="Palatino Linotype" w:cs="Palatino Linotype"/>
          <w:color w:val="000000"/>
          <w:szCs w:val="22"/>
        </w:rPr>
      </w:pPr>
      <w:r w:rsidRPr="00CA13A3">
        <w:rPr>
          <w:rFonts w:ascii="Palatino Linotype" w:eastAsia="Palatino Linotype" w:hAnsi="Palatino Linotype" w:cs="Palatino Linotype"/>
          <w:b/>
          <w:color w:val="000000"/>
          <w:szCs w:val="22"/>
        </w:rPr>
        <w:t>Fotografía de servidores públicos</w:t>
      </w:r>
      <w:r w:rsidRPr="00CA13A3">
        <w:rPr>
          <w:rFonts w:ascii="Palatino Linotype" w:eastAsia="Palatino Linotype" w:hAnsi="Palatino Linotype" w:cs="Palatino Linotype"/>
          <w:color w:val="000000"/>
          <w:szCs w:val="22"/>
        </w:rPr>
        <w:t xml:space="preserve">: es preciso señalar que estas dan cuenta de las características físicas de los servidores públicos; por lo que, no debe perderse de vista que la </w:t>
      </w:r>
      <w:r w:rsidRPr="00CA13A3">
        <w:rPr>
          <w:rFonts w:ascii="Palatino Linotype" w:eastAsia="Palatino Linotype" w:hAnsi="Palatino Linotype" w:cs="Palatino Linotype"/>
          <w:color w:val="000000"/>
          <w:szCs w:val="22"/>
        </w:rPr>
        <w:lastRenderedPageBreak/>
        <w:t>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76309F9A" w14:textId="77777777" w:rsidR="008554CB" w:rsidRPr="00CA13A3" w:rsidRDefault="008554CB" w:rsidP="008554CB">
      <w:pPr>
        <w:pStyle w:val="Prrafodelista"/>
        <w:pBdr>
          <w:top w:val="nil"/>
          <w:left w:val="nil"/>
          <w:bottom w:val="nil"/>
          <w:right w:val="nil"/>
          <w:between w:val="nil"/>
        </w:pBdr>
        <w:spacing w:line="360" w:lineRule="auto"/>
        <w:ind w:left="0" w:right="-25"/>
        <w:jc w:val="both"/>
        <w:rPr>
          <w:rFonts w:ascii="Palatino Linotype" w:eastAsia="Palatino Linotype" w:hAnsi="Palatino Linotype" w:cs="Palatino Linotype"/>
          <w:color w:val="000000"/>
          <w:szCs w:val="22"/>
        </w:rPr>
      </w:pPr>
    </w:p>
    <w:p w14:paraId="76309F9B" w14:textId="77777777" w:rsidR="008554CB" w:rsidRPr="00CA13A3" w:rsidRDefault="008554CB" w:rsidP="008554CB">
      <w:pPr>
        <w:pStyle w:val="Prrafodelista"/>
        <w:numPr>
          <w:ilvl w:val="0"/>
          <w:numId w:val="1"/>
        </w:numPr>
        <w:pBdr>
          <w:top w:val="nil"/>
          <w:left w:val="nil"/>
          <w:bottom w:val="nil"/>
          <w:right w:val="nil"/>
          <w:between w:val="nil"/>
        </w:pBdr>
        <w:spacing w:line="360" w:lineRule="auto"/>
        <w:ind w:left="0" w:right="-25" w:firstLine="0"/>
        <w:jc w:val="both"/>
        <w:rPr>
          <w:rFonts w:ascii="Palatino Linotype" w:eastAsia="Palatino Linotype" w:hAnsi="Palatino Linotype" w:cs="Palatino Linotype"/>
          <w:color w:val="000000"/>
          <w:szCs w:val="22"/>
        </w:rPr>
      </w:pPr>
      <w:r w:rsidRPr="00CA13A3">
        <w:rPr>
          <w:rFonts w:ascii="Palatino Linotype" w:eastAsia="Palatino Linotype" w:hAnsi="Palatino Linotype" w:cs="Palatino Linotype"/>
          <w:color w:val="000000"/>
          <w:szCs w:val="22"/>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w:t>
      </w:r>
      <w:r w:rsidRPr="00CA13A3">
        <w:rPr>
          <w:rFonts w:ascii="Palatino Linotype" w:eastAsia="Palatino Linotype" w:hAnsi="Palatino Linotype" w:cs="Palatino Linotype"/>
          <w:szCs w:val="22"/>
        </w:rPr>
        <w:t>acreditará</w:t>
      </w:r>
      <w:r w:rsidRPr="00CA13A3">
        <w:rPr>
          <w:rFonts w:ascii="Palatino Linotype" w:eastAsia="Palatino Linotype" w:hAnsi="Palatino Linotype" w:cs="Palatino Linotype"/>
          <w:color w:val="000000"/>
          <w:szCs w:val="22"/>
        </w:rPr>
        <w:t xml:space="preserve"> e identificaría a una persona como servidor público, por lo que es posible advertir que existe cierto interés público, cuando la fotografía obra en documentos de servidores públicos vinculados con el cumplimiento de disposiciones legales.</w:t>
      </w:r>
    </w:p>
    <w:p w14:paraId="76309F9C" w14:textId="77777777" w:rsidR="008554CB" w:rsidRPr="00CA13A3" w:rsidRDefault="008554CB" w:rsidP="008554CB">
      <w:pPr>
        <w:pStyle w:val="Prrafodelista"/>
        <w:rPr>
          <w:rFonts w:ascii="Palatino Linotype" w:eastAsia="Palatino Linotype" w:hAnsi="Palatino Linotype" w:cs="Palatino Linotype"/>
          <w:color w:val="000000"/>
          <w:szCs w:val="22"/>
        </w:rPr>
      </w:pPr>
    </w:p>
    <w:p w14:paraId="76309F9D" w14:textId="77777777" w:rsidR="008554CB" w:rsidRPr="00CA13A3" w:rsidRDefault="008554CB" w:rsidP="008554CB">
      <w:pPr>
        <w:pStyle w:val="Prrafodelista"/>
        <w:numPr>
          <w:ilvl w:val="0"/>
          <w:numId w:val="1"/>
        </w:numPr>
        <w:pBdr>
          <w:top w:val="nil"/>
          <w:left w:val="nil"/>
          <w:bottom w:val="nil"/>
          <w:right w:val="nil"/>
          <w:between w:val="nil"/>
        </w:pBdr>
        <w:spacing w:line="360" w:lineRule="auto"/>
        <w:ind w:left="0" w:right="-25" w:firstLine="0"/>
        <w:jc w:val="both"/>
        <w:rPr>
          <w:rFonts w:ascii="Palatino Linotype" w:eastAsia="Palatino Linotype" w:hAnsi="Palatino Linotype" w:cs="Palatino Linotype"/>
          <w:color w:val="000000"/>
          <w:szCs w:val="22"/>
        </w:rPr>
      </w:pPr>
      <w:r w:rsidRPr="00CA13A3">
        <w:rPr>
          <w:rFonts w:ascii="Palatino Linotype" w:eastAsia="Palatino Linotype" w:hAnsi="Palatino Linotype" w:cs="Palatino Linotype"/>
          <w:color w:val="000000"/>
          <w:szCs w:val="22"/>
        </w:rPr>
        <w:t>Por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76309F9E" w14:textId="77777777" w:rsidR="008554CB" w:rsidRPr="00CA13A3" w:rsidRDefault="008554CB" w:rsidP="008554CB">
      <w:pPr>
        <w:pStyle w:val="Prrafodelista"/>
        <w:rPr>
          <w:rFonts w:ascii="Palatino Linotype" w:eastAsia="Palatino Linotype" w:hAnsi="Palatino Linotype" w:cs="Palatino Linotype"/>
          <w:color w:val="000000"/>
          <w:szCs w:val="22"/>
        </w:rPr>
      </w:pPr>
    </w:p>
    <w:p w14:paraId="76309F9F" w14:textId="77777777" w:rsidR="008554CB" w:rsidRPr="00CA13A3" w:rsidRDefault="008554CB" w:rsidP="008554CB">
      <w:pPr>
        <w:pStyle w:val="Prrafodelista"/>
        <w:numPr>
          <w:ilvl w:val="0"/>
          <w:numId w:val="1"/>
        </w:numPr>
        <w:pBdr>
          <w:top w:val="nil"/>
          <w:left w:val="nil"/>
          <w:bottom w:val="nil"/>
          <w:right w:val="nil"/>
          <w:between w:val="nil"/>
        </w:pBdr>
        <w:spacing w:line="360" w:lineRule="auto"/>
        <w:ind w:left="0" w:right="-25" w:firstLine="0"/>
        <w:jc w:val="both"/>
        <w:rPr>
          <w:rFonts w:ascii="Palatino Linotype" w:eastAsia="Palatino Linotype" w:hAnsi="Palatino Linotype" w:cs="Palatino Linotype"/>
          <w:color w:val="000000"/>
          <w:szCs w:val="22"/>
        </w:rPr>
      </w:pPr>
      <w:r w:rsidRPr="00CA13A3">
        <w:rPr>
          <w:rFonts w:ascii="Palatino Linotype" w:eastAsia="Palatino Linotype" w:hAnsi="Palatino Linotype" w:cs="Palatino Linotype"/>
          <w:color w:val="000000"/>
          <w:szCs w:val="22"/>
        </w:rPr>
        <w:lastRenderedPageBreak/>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76309FA0" w14:textId="77777777" w:rsidR="008554CB" w:rsidRPr="00CA13A3" w:rsidRDefault="008554CB" w:rsidP="008554CB">
      <w:pPr>
        <w:pStyle w:val="Prrafodelista"/>
        <w:rPr>
          <w:rFonts w:ascii="Palatino Linotype" w:eastAsia="Palatino Linotype" w:hAnsi="Palatino Linotype" w:cs="Palatino Linotype"/>
          <w:color w:val="000000"/>
          <w:szCs w:val="22"/>
        </w:rPr>
      </w:pPr>
    </w:p>
    <w:p w14:paraId="76309FA1" w14:textId="77777777" w:rsidR="008554CB" w:rsidRPr="00CA13A3" w:rsidRDefault="008554CB" w:rsidP="008554CB">
      <w:pPr>
        <w:pStyle w:val="Prrafodelista"/>
        <w:numPr>
          <w:ilvl w:val="0"/>
          <w:numId w:val="1"/>
        </w:numPr>
        <w:pBdr>
          <w:top w:val="nil"/>
          <w:left w:val="nil"/>
          <w:bottom w:val="nil"/>
          <w:right w:val="nil"/>
          <w:between w:val="nil"/>
        </w:pBdr>
        <w:spacing w:line="360" w:lineRule="auto"/>
        <w:ind w:left="0" w:right="-25" w:firstLine="0"/>
        <w:jc w:val="both"/>
        <w:rPr>
          <w:rFonts w:ascii="Palatino Linotype" w:eastAsia="Palatino Linotype" w:hAnsi="Palatino Linotype" w:cs="Palatino Linotype"/>
          <w:color w:val="000000"/>
          <w:szCs w:val="22"/>
        </w:rPr>
      </w:pPr>
      <w:r w:rsidRPr="00CA13A3">
        <w:rPr>
          <w:rFonts w:ascii="Palatino Linotype" w:eastAsia="Palatino Linotype" w:hAnsi="Palatino Linotype" w:cs="Palatino Linotype"/>
          <w:color w:val="000000"/>
          <w:szCs w:val="22"/>
        </w:rPr>
        <w:t>Además, no escapa de la óptica de éste órgano garante que el documento que da cuenta de lo requerido es un título o cédula profesional, por lo que resulta conveniente traer a contexto el criterio 001/2013 y 015/2017 del Instituto Nacional de Transparencia, Acceso a la Información y Protección de Datos Personales, cuyo rubro y contenido son los siguientes:</w:t>
      </w:r>
    </w:p>
    <w:p w14:paraId="76309FA2" w14:textId="77777777" w:rsidR="008554CB" w:rsidRPr="00CA13A3" w:rsidRDefault="008554CB" w:rsidP="008554CB">
      <w:pPr>
        <w:pBdr>
          <w:top w:val="nil"/>
          <w:left w:val="nil"/>
          <w:bottom w:val="nil"/>
          <w:right w:val="nil"/>
          <w:between w:val="nil"/>
        </w:pBdr>
        <w:ind w:left="720" w:right="-25"/>
        <w:rPr>
          <w:rFonts w:ascii="Palatino Linotype" w:eastAsia="Palatino Linotype" w:hAnsi="Palatino Linotype" w:cs="Palatino Linotype"/>
          <w:color w:val="000000"/>
          <w:sz w:val="22"/>
          <w:szCs w:val="22"/>
        </w:rPr>
      </w:pPr>
    </w:p>
    <w:p w14:paraId="76309FA3" w14:textId="77777777" w:rsidR="008554CB" w:rsidRPr="00CA13A3" w:rsidRDefault="008554CB" w:rsidP="008554CB">
      <w:pPr>
        <w:spacing w:line="360" w:lineRule="auto"/>
        <w:ind w:left="851" w:right="822"/>
        <w:jc w:val="both"/>
        <w:rPr>
          <w:rFonts w:ascii="Palatino Linotype" w:eastAsia="Palatino Linotype" w:hAnsi="Palatino Linotype" w:cs="Palatino Linotype"/>
          <w:i/>
          <w:color w:val="000000"/>
          <w:sz w:val="22"/>
          <w:szCs w:val="22"/>
        </w:rPr>
      </w:pPr>
      <w:r w:rsidRPr="00CA13A3">
        <w:rPr>
          <w:rFonts w:ascii="Palatino Linotype" w:eastAsia="Palatino Linotype" w:hAnsi="Palatino Linotype" w:cs="Palatino Linotype"/>
          <w:b/>
          <w:i/>
          <w:color w:val="000000"/>
          <w:sz w:val="22"/>
          <w:szCs w:val="22"/>
        </w:rPr>
        <w:t xml:space="preserve">Fotografía de una persona física que conste en su título o cédula profesional no es susceptible de clasificarse con carácter de confidencial. </w:t>
      </w:r>
      <w:r w:rsidRPr="00CA13A3">
        <w:rPr>
          <w:rFonts w:ascii="Palatino Linotype" w:eastAsia="Palatino Linotype" w:hAnsi="Palatino Linotype" w:cs="Palatino Linotype"/>
          <w:i/>
          <w:color w:val="000000"/>
          <w:sz w:val="22"/>
          <w:szCs w:val="22"/>
        </w:rPr>
        <w:t>La fotografía contenida en un título o cédula profesional no es susceptible de clasificarse con el carácter de confidencial, en términos de lo dispuesto en el artículo 18, fracción II de la Ley Federal de Transparencia y Acceso a la información Pública Gubernamental, no obstante ser un dato personal, en virtud del interés público que existe de conocer que la persona que se ostenta con una calidad profesional determinada es la misma que aparece en los documentos oficiales de referencia. Lo anterior es así, ya que en el momento en que una persona se somete a un registro fotográfico con el objetivo de recibir una identificación oficial que lo avala como profesionista, consiente que tanto la imagen de su rostro como su nombre y profesión, sean elementos de acreditación e identificación frente a terceros.</w:t>
      </w:r>
    </w:p>
    <w:p w14:paraId="76309FA4" w14:textId="77777777" w:rsidR="008554CB" w:rsidRPr="00CA13A3" w:rsidRDefault="008554CB" w:rsidP="008554CB">
      <w:pPr>
        <w:spacing w:line="360" w:lineRule="auto"/>
        <w:ind w:left="851" w:right="822"/>
        <w:jc w:val="both"/>
        <w:rPr>
          <w:rFonts w:ascii="Palatino Linotype" w:eastAsia="Palatino Linotype" w:hAnsi="Palatino Linotype" w:cs="Palatino Linotype"/>
          <w:i/>
          <w:color w:val="000000"/>
          <w:sz w:val="22"/>
          <w:szCs w:val="22"/>
        </w:rPr>
      </w:pPr>
    </w:p>
    <w:p w14:paraId="76309FA5" w14:textId="77777777" w:rsidR="008554CB" w:rsidRPr="00CA13A3" w:rsidRDefault="008554CB" w:rsidP="008554CB">
      <w:pPr>
        <w:spacing w:line="360" w:lineRule="auto"/>
        <w:ind w:left="851" w:right="822"/>
        <w:jc w:val="both"/>
        <w:rPr>
          <w:rFonts w:ascii="Palatino Linotype" w:eastAsia="Palatino Linotype" w:hAnsi="Palatino Linotype" w:cs="Palatino Linotype"/>
          <w:i/>
          <w:sz w:val="22"/>
          <w:szCs w:val="22"/>
        </w:rPr>
      </w:pPr>
      <w:r w:rsidRPr="00CA13A3">
        <w:rPr>
          <w:rFonts w:ascii="Palatino Linotype" w:eastAsia="Palatino Linotype" w:hAnsi="Palatino Linotype" w:cs="Palatino Linotype"/>
          <w:b/>
          <w:i/>
          <w:sz w:val="22"/>
          <w:szCs w:val="22"/>
        </w:rPr>
        <w:t>Fotografía en título o cédula profesional es de acceso público.</w:t>
      </w:r>
      <w:r w:rsidRPr="00CA13A3">
        <w:rPr>
          <w:rFonts w:ascii="Palatino Linotype" w:eastAsia="Palatino Linotype" w:hAnsi="Palatino Linotype" w:cs="Palatino Linotype"/>
          <w:i/>
          <w:sz w:val="22"/>
          <w:szCs w:val="22"/>
        </w:rPr>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76309FA6" w14:textId="77777777" w:rsidR="008554CB" w:rsidRPr="00CA13A3" w:rsidRDefault="008554CB" w:rsidP="008554CB">
      <w:pPr>
        <w:ind w:right="-25"/>
        <w:jc w:val="both"/>
        <w:rPr>
          <w:rFonts w:ascii="Arial" w:eastAsia="Arial" w:hAnsi="Arial" w:cs="Arial"/>
          <w:b/>
          <w:color w:val="000000"/>
          <w:sz w:val="22"/>
          <w:szCs w:val="22"/>
        </w:rPr>
      </w:pPr>
    </w:p>
    <w:p w14:paraId="76309FA7" w14:textId="77777777" w:rsidR="008554CB" w:rsidRPr="00CA13A3" w:rsidRDefault="008554CB" w:rsidP="008554CB">
      <w:pPr>
        <w:pStyle w:val="Prrafodelista"/>
        <w:numPr>
          <w:ilvl w:val="0"/>
          <w:numId w:val="1"/>
        </w:numPr>
        <w:pBdr>
          <w:top w:val="nil"/>
          <w:left w:val="nil"/>
          <w:bottom w:val="nil"/>
          <w:right w:val="nil"/>
          <w:between w:val="nil"/>
        </w:pBdr>
        <w:tabs>
          <w:tab w:val="left" w:pos="284"/>
        </w:tabs>
        <w:spacing w:line="360" w:lineRule="auto"/>
        <w:ind w:left="0" w:right="-25" w:firstLine="0"/>
        <w:jc w:val="both"/>
        <w:rPr>
          <w:rFonts w:ascii="Palatino Linotype" w:eastAsia="Palatino Linotype" w:hAnsi="Palatino Linotype" w:cs="Palatino Linotype"/>
          <w:color w:val="000000"/>
          <w:szCs w:val="22"/>
        </w:rPr>
      </w:pPr>
      <w:r w:rsidRPr="00CA13A3">
        <w:rPr>
          <w:rFonts w:ascii="Palatino Linotype" w:eastAsia="Palatino Linotype" w:hAnsi="Palatino Linotype" w:cs="Palatino Linotype"/>
          <w:color w:val="000000"/>
          <w:szCs w:val="22"/>
        </w:rPr>
        <w:t>Resultando así que, la fotografía de los servidores públicos, cuando obre en título o cédula profesional es de acceso público y no procede su clasificación como información confidencial, aún y cuando corresponde a un dato personal.</w:t>
      </w:r>
    </w:p>
    <w:p w14:paraId="76309FA8" w14:textId="77777777" w:rsidR="00466168" w:rsidRPr="00CA13A3" w:rsidRDefault="00466168" w:rsidP="008554CB">
      <w:pPr>
        <w:pStyle w:val="Prrafodelista"/>
        <w:spacing w:line="360" w:lineRule="auto"/>
        <w:ind w:left="0"/>
        <w:jc w:val="both"/>
        <w:rPr>
          <w:rFonts w:ascii="Palatino Linotype" w:hAnsi="Palatino Linotype" w:cs="Arial"/>
          <w:szCs w:val="22"/>
          <w:lang w:val="es-ES"/>
        </w:rPr>
      </w:pPr>
    </w:p>
    <w:p w14:paraId="76309FA9" w14:textId="77777777" w:rsidR="00466168" w:rsidRPr="00CA13A3" w:rsidRDefault="00466168" w:rsidP="00466168">
      <w:pPr>
        <w:pStyle w:val="Prrafodelista"/>
        <w:numPr>
          <w:ilvl w:val="0"/>
          <w:numId w:val="1"/>
        </w:numPr>
        <w:spacing w:line="360" w:lineRule="auto"/>
        <w:ind w:left="0" w:firstLine="0"/>
        <w:jc w:val="both"/>
        <w:rPr>
          <w:rFonts w:ascii="Palatino Linotype" w:hAnsi="Palatino Linotype" w:cs="Arial"/>
          <w:szCs w:val="22"/>
        </w:rPr>
      </w:pPr>
      <w:r w:rsidRPr="00CA13A3">
        <w:rPr>
          <w:rFonts w:ascii="Palatino Linotype" w:hAnsi="Palatino Linotype" w:cs="Arial"/>
          <w:color w:val="222222"/>
          <w:szCs w:val="22"/>
          <w:lang w:eastAsia="es-MX"/>
        </w:rPr>
        <w:t xml:space="preserve">Por lo anteriormente expuesto y fundado, este </w:t>
      </w:r>
      <w:r w:rsidRPr="00CA13A3">
        <w:rPr>
          <w:rFonts w:ascii="Palatino Linotype" w:hAnsi="Palatino Linotype" w:cs="Arial"/>
          <w:b/>
          <w:bCs/>
          <w:color w:val="222222"/>
          <w:szCs w:val="22"/>
          <w:lang w:eastAsia="es-MX"/>
        </w:rPr>
        <w:t>ÓRGANO GARANTE</w:t>
      </w:r>
      <w:r w:rsidRPr="00CA13A3">
        <w:rPr>
          <w:rFonts w:ascii="Palatino Linotype" w:hAnsi="Palatino Linotype" w:cs="Arial"/>
          <w:color w:val="222222"/>
          <w:szCs w:val="22"/>
          <w:lang w:eastAsia="es-MX"/>
        </w:rPr>
        <w:t xml:space="preserve"> emite los siguientes:</w:t>
      </w:r>
    </w:p>
    <w:p w14:paraId="76309FAA" w14:textId="77777777" w:rsidR="00466168" w:rsidRPr="00CA13A3" w:rsidRDefault="00466168" w:rsidP="00466168">
      <w:pPr>
        <w:pStyle w:val="Ttulo1"/>
        <w:jc w:val="center"/>
        <w:rPr>
          <w:rFonts w:ascii="Palatino Linotype" w:hAnsi="Palatino Linotype"/>
          <w:b/>
          <w:color w:val="auto"/>
          <w:sz w:val="22"/>
          <w:szCs w:val="22"/>
        </w:rPr>
      </w:pPr>
      <w:bookmarkStart w:id="13" w:name="_Toc4061692"/>
      <w:bookmarkStart w:id="14" w:name="_Toc486525261"/>
      <w:bookmarkStart w:id="15" w:name="_Toc445745148"/>
      <w:bookmarkStart w:id="16" w:name="_Toc447699324"/>
      <w:bookmarkStart w:id="17" w:name="_Toc87549684"/>
      <w:r w:rsidRPr="00CA13A3">
        <w:rPr>
          <w:rFonts w:ascii="Palatino Linotype" w:hAnsi="Palatino Linotype"/>
          <w:b/>
          <w:color w:val="auto"/>
          <w:sz w:val="22"/>
          <w:szCs w:val="22"/>
        </w:rPr>
        <w:t>R E S O L U T I V O S</w:t>
      </w:r>
      <w:bookmarkEnd w:id="13"/>
      <w:bookmarkEnd w:id="14"/>
      <w:bookmarkEnd w:id="15"/>
      <w:bookmarkEnd w:id="16"/>
      <w:bookmarkEnd w:id="17"/>
    </w:p>
    <w:p w14:paraId="76309FAB" w14:textId="77777777" w:rsidR="00466168" w:rsidRPr="00CA13A3" w:rsidRDefault="00466168" w:rsidP="00466168">
      <w:pPr>
        <w:keepNext/>
        <w:keepLines/>
        <w:spacing w:line="360" w:lineRule="auto"/>
        <w:jc w:val="center"/>
        <w:outlineLvl w:val="0"/>
        <w:rPr>
          <w:rFonts w:ascii="Palatino Linotype" w:hAnsi="Palatino Linotype" w:cstheme="majorBidi"/>
          <w:b/>
          <w:bCs/>
          <w:sz w:val="22"/>
          <w:szCs w:val="22"/>
        </w:rPr>
      </w:pPr>
    </w:p>
    <w:p w14:paraId="76309FAC" w14:textId="77777777" w:rsidR="00466168" w:rsidRPr="00CA13A3" w:rsidRDefault="00466168" w:rsidP="00466168">
      <w:pPr>
        <w:spacing w:line="360" w:lineRule="auto"/>
        <w:jc w:val="both"/>
        <w:rPr>
          <w:rFonts w:ascii="Palatino Linotype" w:hAnsi="Palatino Linotype"/>
          <w:sz w:val="22"/>
          <w:szCs w:val="22"/>
        </w:rPr>
      </w:pPr>
      <w:r w:rsidRPr="00CA13A3">
        <w:rPr>
          <w:rFonts w:ascii="Palatino Linotype" w:hAnsi="Palatino Linotype" w:cs="Arial"/>
          <w:b/>
          <w:sz w:val="22"/>
          <w:szCs w:val="22"/>
        </w:rPr>
        <w:t xml:space="preserve">PRIMERO. </w:t>
      </w:r>
      <w:r w:rsidRPr="00CA13A3">
        <w:rPr>
          <w:rFonts w:ascii="Palatino Linotype" w:hAnsi="Palatino Linotype" w:cs="Arial"/>
          <w:sz w:val="22"/>
          <w:szCs w:val="22"/>
        </w:rPr>
        <w:t>Resultan fundadas las</w:t>
      </w:r>
      <w:r w:rsidRPr="00CA13A3">
        <w:rPr>
          <w:rFonts w:ascii="Palatino Linotype" w:hAnsi="Palatino Linotype" w:cs="Arial"/>
          <w:b/>
          <w:sz w:val="22"/>
          <w:szCs w:val="22"/>
        </w:rPr>
        <w:t xml:space="preserve"> </w:t>
      </w:r>
      <w:r w:rsidRPr="00CA13A3">
        <w:rPr>
          <w:rFonts w:ascii="Palatino Linotype" w:hAnsi="Palatino Linotype" w:cs="Arial"/>
          <w:sz w:val="22"/>
          <w:szCs w:val="22"/>
          <w:lang w:val="es-ES"/>
        </w:rPr>
        <w:t xml:space="preserve">razones o motivos de inconformidad hechos valer </w:t>
      </w:r>
      <w:r w:rsidRPr="00CA13A3">
        <w:rPr>
          <w:rFonts w:ascii="Palatino Linotype" w:eastAsia="Calibri" w:hAnsi="Palatino Linotype" w:cs="Arial"/>
          <w:sz w:val="22"/>
          <w:szCs w:val="22"/>
          <w:lang w:val="es-ES"/>
        </w:rPr>
        <w:t xml:space="preserve">en el recurso de revisión </w:t>
      </w:r>
      <w:r w:rsidR="0033189E" w:rsidRPr="00CA13A3">
        <w:rPr>
          <w:rFonts w:ascii="Palatino Linotype" w:eastAsia="Calibri" w:hAnsi="Palatino Linotype" w:cs="Tahoma"/>
          <w:b/>
          <w:sz w:val="22"/>
          <w:szCs w:val="22"/>
          <w:lang w:eastAsia="en-US"/>
        </w:rPr>
        <w:t>01498</w:t>
      </w:r>
      <w:r w:rsidRPr="00CA13A3">
        <w:rPr>
          <w:rFonts w:ascii="Palatino Linotype" w:eastAsia="Calibri" w:hAnsi="Palatino Linotype" w:cs="Tahoma"/>
          <w:b/>
          <w:sz w:val="22"/>
          <w:szCs w:val="22"/>
          <w:lang w:eastAsia="en-US"/>
        </w:rPr>
        <w:t>/INFOEM/IP/RR/2024</w:t>
      </w:r>
      <w:r w:rsidRPr="00CA13A3">
        <w:rPr>
          <w:rFonts w:ascii="Palatino Linotype" w:hAnsi="Palatino Linotype"/>
          <w:b/>
          <w:sz w:val="22"/>
          <w:szCs w:val="22"/>
        </w:rPr>
        <w:t xml:space="preserve"> </w:t>
      </w:r>
      <w:r w:rsidRPr="00CA13A3">
        <w:rPr>
          <w:rFonts w:ascii="Palatino Linotype" w:hAnsi="Palatino Linotype"/>
          <w:sz w:val="22"/>
          <w:szCs w:val="22"/>
        </w:rPr>
        <w:t>en términos de los</w:t>
      </w:r>
      <w:r w:rsidRPr="00CA13A3">
        <w:rPr>
          <w:rFonts w:ascii="Palatino Linotype" w:hAnsi="Palatino Linotype"/>
          <w:b/>
          <w:bCs/>
          <w:sz w:val="22"/>
          <w:szCs w:val="22"/>
        </w:rPr>
        <w:t xml:space="preserve"> Considerandos</w:t>
      </w:r>
      <w:r w:rsidRPr="00CA13A3">
        <w:rPr>
          <w:rFonts w:ascii="Palatino Linotype" w:hAnsi="Palatino Linotype"/>
          <w:sz w:val="22"/>
          <w:szCs w:val="22"/>
        </w:rPr>
        <w:t xml:space="preserve"> </w:t>
      </w:r>
      <w:r w:rsidRPr="00CA13A3">
        <w:rPr>
          <w:rFonts w:ascii="Palatino Linotype" w:hAnsi="Palatino Linotype"/>
          <w:b/>
          <w:sz w:val="22"/>
          <w:szCs w:val="22"/>
        </w:rPr>
        <w:t>CUARTO y QUINTO</w:t>
      </w:r>
      <w:r w:rsidRPr="00CA13A3">
        <w:rPr>
          <w:rFonts w:ascii="Palatino Linotype" w:hAnsi="Palatino Linotype"/>
          <w:sz w:val="22"/>
          <w:szCs w:val="22"/>
        </w:rPr>
        <w:t xml:space="preserve"> de la presente resolución.</w:t>
      </w:r>
    </w:p>
    <w:p w14:paraId="76309FAD" w14:textId="77777777" w:rsidR="00466168" w:rsidRPr="00CA13A3" w:rsidRDefault="00466168" w:rsidP="00466168">
      <w:pPr>
        <w:spacing w:line="360" w:lineRule="auto"/>
        <w:contextualSpacing/>
        <w:jc w:val="both"/>
        <w:rPr>
          <w:rFonts w:ascii="Palatino Linotype" w:eastAsia="Calibri" w:hAnsi="Palatino Linotype" w:cs="Arial"/>
          <w:b/>
          <w:bCs/>
          <w:sz w:val="22"/>
          <w:szCs w:val="22"/>
          <w:lang w:val="es-ES"/>
        </w:rPr>
      </w:pPr>
    </w:p>
    <w:p w14:paraId="76309FAE" w14:textId="77777777" w:rsidR="00466168" w:rsidRPr="00CA13A3" w:rsidRDefault="00466168" w:rsidP="00466168">
      <w:pPr>
        <w:pStyle w:val="Sinespaciado"/>
        <w:spacing w:line="360" w:lineRule="auto"/>
        <w:ind w:left="0" w:right="0"/>
        <w:rPr>
          <w:rFonts w:ascii="Palatino Linotype" w:eastAsia="Calibri" w:hAnsi="Palatino Linotype" w:cs="Arial"/>
          <w:bCs/>
          <w:sz w:val="22"/>
          <w:szCs w:val="22"/>
          <w:lang w:val="es-ES"/>
        </w:rPr>
      </w:pPr>
      <w:r w:rsidRPr="00CA13A3">
        <w:rPr>
          <w:rFonts w:ascii="Palatino Linotype" w:eastAsia="Calibri" w:hAnsi="Palatino Linotype" w:cs="Arial"/>
          <w:b/>
          <w:bCs/>
          <w:sz w:val="22"/>
          <w:szCs w:val="22"/>
          <w:lang w:val="es-ES"/>
        </w:rPr>
        <w:t xml:space="preserve">SEGUNDO. </w:t>
      </w:r>
      <w:r w:rsidRPr="00CA13A3">
        <w:rPr>
          <w:rFonts w:ascii="Palatino Linotype" w:eastAsia="Calibri" w:hAnsi="Palatino Linotype" w:cs="Arial"/>
          <w:bCs/>
          <w:sz w:val="22"/>
          <w:szCs w:val="22"/>
          <w:lang w:val="es-ES"/>
        </w:rPr>
        <w:t xml:space="preserve">Se </w:t>
      </w:r>
      <w:r w:rsidRPr="00CA13A3">
        <w:rPr>
          <w:rFonts w:ascii="Palatino Linotype" w:eastAsia="Calibri" w:hAnsi="Palatino Linotype" w:cs="Arial"/>
          <w:b/>
          <w:bCs/>
          <w:sz w:val="22"/>
          <w:szCs w:val="22"/>
          <w:lang w:val="es-ES"/>
        </w:rPr>
        <w:t>REVOCA</w:t>
      </w:r>
      <w:r w:rsidRPr="00CA13A3">
        <w:rPr>
          <w:rFonts w:ascii="Palatino Linotype" w:eastAsia="Calibri" w:hAnsi="Palatino Linotype" w:cs="Arial"/>
          <w:bCs/>
          <w:sz w:val="22"/>
          <w:szCs w:val="22"/>
          <w:lang w:val="es-ES"/>
        </w:rPr>
        <w:t xml:space="preserve"> la respuesta y se </w:t>
      </w:r>
      <w:r w:rsidRPr="00CA13A3">
        <w:rPr>
          <w:rFonts w:ascii="Palatino Linotype" w:eastAsia="Calibri" w:hAnsi="Palatino Linotype" w:cs="Arial"/>
          <w:b/>
          <w:bCs/>
          <w:sz w:val="22"/>
          <w:szCs w:val="22"/>
          <w:lang w:val="es-ES"/>
        </w:rPr>
        <w:t xml:space="preserve">ORDENA </w:t>
      </w:r>
      <w:r w:rsidR="008554CB" w:rsidRPr="00CA13A3">
        <w:rPr>
          <w:rFonts w:ascii="Palatino Linotype" w:eastAsia="Calibri" w:hAnsi="Palatino Linotype" w:cs="Arial"/>
          <w:bCs/>
          <w:sz w:val="22"/>
          <w:szCs w:val="22"/>
          <w:lang w:val="es-ES"/>
        </w:rPr>
        <w:t>a la</w:t>
      </w:r>
      <w:r w:rsidRPr="00CA13A3">
        <w:rPr>
          <w:rFonts w:ascii="Palatino Linotype" w:eastAsia="Calibri" w:hAnsi="Palatino Linotype" w:cs="Arial"/>
          <w:bCs/>
          <w:sz w:val="22"/>
          <w:szCs w:val="22"/>
          <w:lang w:val="es-ES"/>
        </w:rPr>
        <w:t xml:space="preserve"> </w:t>
      </w:r>
      <w:r w:rsidR="008554CB" w:rsidRPr="00CA13A3">
        <w:rPr>
          <w:rFonts w:ascii="Palatino Linotype" w:eastAsia="Calibri" w:hAnsi="Palatino Linotype" w:cs="Arial"/>
          <w:b/>
          <w:bCs/>
          <w:sz w:val="22"/>
          <w:szCs w:val="22"/>
          <w:lang w:val="es-ES"/>
        </w:rPr>
        <w:t>Secretaría  de Educación, Ciencia, Tecnología e Innovación,</w:t>
      </w:r>
      <w:r w:rsidRPr="00CA13A3">
        <w:rPr>
          <w:rFonts w:ascii="Palatino Linotype" w:eastAsia="Calibri" w:hAnsi="Palatino Linotype" w:cs="Arial"/>
          <w:b/>
          <w:sz w:val="22"/>
          <w:szCs w:val="22"/>
        </w:rPr>
        <w:t xml:space="preserve"> </w:t>
      </w:r>
      <w:r w:rsidR="008554CB" w:rsidRPr="00CA13A3">
        <w:rPr>
          <w:rFonts w:ascii="Palatino Linotype" w:eastAsia="Calibri" w:hAnsi="Palatino Linotype" w:cs="Arial"/>
          <w:bCs/>
          <w:sz w:val="22"/>
          <w:szCs w:val="22"/>
          <w:lang w:val="es-ES"/>
        </w:rPr>
        <w:t>entregar</w:t>
      </w:r>
      <w:r w:rsidRPr="00CA13A3">
        <w:rPr>
          <w:rFonts w:ascii="Palatino Linotype" w:eastAsia="Calibri" w:hAnsi="Palatino Linotype" w:cs="Arial"/>
          <w:bCs/>
          <w:sz w:val="22"/>
          <w:szCs w:val="22"/>
          <w:lang w:val="es-ES"/>
        </w:rPr>
        <w:t xml:space="preserve"> vía Sistema de Acceso a la Información Mexiquense </w:t>
      </w:r>
      <w:r w:rsidRPr="00CA13A3">
        <w:rPr>
          <w:rFonts w:ascii="Palatino Linotype" w:eastAsia="Calibri" w:hAnsi="Palatino Linotype" w:cs="Arial"/>
          <w:bCs/>
          <w:sz w:val="22"/>
          <w:szCs w:val="22"/>
          <w:lang w:val="es-ES"/>
        </w:rPr>
        <w:lastRenderedPageBreak/>
        <w:t>(SAIMEX), de ser el caso en versión pública</w:t>
      </w:r>
      <w:r w:rsidRPr="00CA13A3">
        <w:rPr>
          <w:rFonts w:ascii="Palatino Linotype" w:eastAsia="MS Mincho" w:hAnsi="Palatino Linotype" w:cs="Arial"/>
          <w:b/>
          <w:sz w:val="22"/>
          <w:szCs w:val="22"/>
        </w:rPr>
        <w:t>,</w:t>
      </w:r>
      <w:r w:rsidRPr="00CA13A3">
        <w:rPr>
          <w:rFonts w:ascii="Palatino Linotype" w:eastAsia="Calibri" w:hAnsi="Palatino Linotype" w:cs="Arial"/>
          <w:bCs/>
          <w:sz w:val="22"/>
          <w:szCs w:val="22"/>
          <w:lang w:val="es-ES"/>
        </w:rPr>
        <w:t xml:space="preserve"> el </w:t>
      </w:r>
      <w:r w:rsidR="008554CB" w:rsidRPr="00CA13A3">
        <w:rPr>
          <w:rFonts w:ascii="Palatino Linotype" w:eastAsia="Calibri" w:hAnsi="Palatino Linotype" w:cs="Arial"/>
          <w:bCs/>
          <w:sz w:val="22"/>
          <w:szCs w:val="22"/>
          <w:lang w:val="es-ES"/>
        </w:rPr>
        <w:t>soporte documental donde conste</w:t>
      </w:r>
      <w:r w:rsidRPr="00CA13A3">
        <w:rPr>
          <w:rFonts w:ascii="Palatino Linotype" w:eastAsia="Calibri" w:hAnsi="Palatino Linotype" w:cs="Arial"/>
          <w:bCs/>
          <w:sz w:val="22"/>
          <w:szCs w:val="22"/>
          <w:lang w:val="es-ES"/>
        </w:rPr>
        <w:t xml:space="preserve"> la siguiente información</w:t>
      </w:r>
      <w:r w:rsidR="008554CB" w:rsidRPr="00CA13A3">
        <w:rPr>
          <w:rFonts w:ascii="Palatino Linotype" w:eastAsia="Calibri" w:hAnsi="Palatino Linotype" w:cs="Arial"/>
          <w:bCs/>
          <w:sz w:val="22"/>
          <w:szCs w:val="22"/>
          <w:lang w:val="es-ES"/>
        </w:rPr>
        <w:t xml:space="preserve"> en relación a la escuela </w:t>
      </w:r>
      <w:r w:rsidR="008554CB" w:rsidRPr="00CA13A3">
        <w:rPr>
          <w:rFonts w:ascii="Palatino Linotype" w:eastAsia="Calibri" w:hAnsi="Palatino Linotype" w:cs="Arial"/>
          <w:bCs/>
          <w:sz w:val="22"/>
          <w:szCs w:val="22"/>
        </w:rPr>
        <w:t>Adrián Orteg</w:t>
      </w:r>
      <w:r w:rsidR="005D3055" w:rsidRPr="00CA13A3">
        <w:rPr>
          <w:rFonts w:ascii="Palatino Linotype" w:eastAsia="Calibri" w:hAnsi="Palatino Linotype" w:cs="Arial"/>
          <w:bCs/>
          <w:sz w:val="22"/>
          <w:szCs w:val="22"/>
        </w:rPr>
        <w:t>a Monroy con calve CCT 15EPR5126</w:t>
      </w:r>
      <w:r w:rsidR="008554CB" w:rsidRPr="00CA13A3">
        <w:rPr>
          <w:rFonts w:ascii="Palatino Linotype" w:eastAsia="Calibri" w:hAnsi="Palatino Linotype" w:cs="Arial"/>
          <w:bCs/>
          <w:sz w:val="22"/>
          <w:szCs w:val="22"/>
        </w:rPr>
        <w:t>M, ubicada en Lerma Estado de México</w:t>
      </w:r>
      <w:r w:rsidRPr="00CA13A3">
        <w:rPr>
          <w:rFonts w:ascii="Palatino Linotype" w:eastAsia="Calibri" w:hAnsi="Palatino Linotype" w:cs="Arial"/>
          <w:bCs/>
          <w:sz w:val="22"/>
          <w:szCs w:val="22"/>
          <w:lang w:val="es-ES"/>
        </w:rPr>
        <w:t>:</w:t>
      </w:r>
    </w:p>
    <w:p w14:paraId="76309FAF" w14:textId="77777777" w:rsidR="00630861" w:rsidRPr="00CA13A3" w:rsidRDefault="00630861" w:rsidP="008554CB">
      <w:pPr>
        <w:pStyle w:val="Prrafodelista"/>
        <w:numPr>
          <w:ilvl w:val="0"/>
          <w:numId w:val="3"/>
        </w:numPr>
        <w:spacing w:before="240" w:after="240" w:line="360" w:lineRule="auto"/>
        <w:ind w:left="851" w:right="822" w:firstLine="0"/>
        <w:jc w:val="both"/>
        <w:rPr>
          <w:rFonts w:ascii="Palatino Linotype" w:hAnsi="Palatino Linotype"/>
          <w:szCs w:val="22"/>
          <w:lang w:eastAsia="es-MX"/>
        </w:rPr>
      </w:pPr>
      <w:r w:rsidRPr="00CA13A3">
        <w:rPr>
          <w:rFonts w:ascii="Palatino Linotype" w:hAnsi="Palatino Linotype"/>
          <w:szCs w:val="22"/>
          <w:lang w:eastAsia="es-MX"/>
        </w:rPr>
        <w:t xml:space="preserve">Acuerdo emitido por el Comité de Transparencia, en el que clasifique como confidencial el pronunciamiento en sentido afirmativo o negativo respecto de la existencia del consentimiento referido en la solicitud de información </w:t>
      </w:r>
      <w:r w:rsidRPr="00CA13A3">
        <w:rPr>
          <w:rFonts w:ascii="Palatino Linotype" w:hAnsi="Palatino Linotype"/>
          <w:b/>
          <w:bCs/>
          <w:szCs w:val="22"/>
        </w:rPr>
        <w:t xml:space="preserve">00124/SECTI/IP/2024 </w:t>
      </w:r>
      <w:r w:rsidRPr="00CA13A3">
        <w:rPr>
          <w:rFonts w:ascii="Palatino Linotype" w:hAnsi="Palatino Linotype"/>
          <w:bCs/>
          <w:szCs w:val="22"/>
        </w:rPr>
        <w:t xml:space="preserve">y las acciones llevadas a cabo por la Directora para garantizar el derecho a la protección de la salud de la menor. </w:t>
      </w:r>
    </w:p>
    <w:p w14:paraId="76309FB0" w14:textId="77777777" w:rsidR="0092045A" w:rsidRPr="00CA13A3" w:rsidRDefault="008554CB" w:rsidP="0092045A">
      <w:pPr>
        <w:pStyle w:val="Prrafodelista"/>
        <w:numPr>
          <w:ilvl w:val="0"/>
          <w:numId w:val="3"/>
        </w:numPr>
        <w:spacing w:before="240" w:after="240" w:line="360" w:lineRule="auto"/>
        <w:ind w:left="851" w:right="822" w:firstLine="0"/>
        <w:jc w:val="both"/>
        <w:rPr>
          <w:rFonts w:ascii="Palatino Linotype" w:hAnsi="Palatino Linotype"/>
          <w:szCs w:val="22"/>
          <w:lang w:eastAsia="es-MX"/>
        </w:rPr>
      </w:pPr>
      <w:r w:rsidRPr="00CA13A3">
        <w:rPr>
          <w:rFonts w:ascii="Palatino Linotype" w:hAnsi="Palatino Linotype"/>
          <w:szCs w:val="22"/>
          <w:lang w:eastAsia="es-MX"/>
        </w:rPr>
        <w:t>Constancias de estudio o Título de la maestra de primer año referida en la solicitud de información</w:t>
      </w:r>
      <w:r w:rsidRPr="00CA13A3">
        <w:rPr>
          <w:rFonts w:ascii="Arial" w:hAnsi="Arial" w:cs="Arial"/>
          <w:b/>
          <w:bCs/>
          <w:color w:val="333333"/>
          <w:szCs w:val="22"/>
        </w:rPr>
        <w:t xml:space="preserve"> </w:t>
      </w:r>
      <w:r w:rsidRPr="00CA13A3">
        <w:rPr>
          <w:rFonts w:ascii="Palatino Linotype" w:hAnsi="Palatino Linotype"/>
          <w:b/>
          <w:bCs/>
          <w:szCs w:val="22"/>
          <w:lang w:eastAsia="es-MX"/>
        </w:rPr>
        <w:t>00124/SECTI/IP/2024</w:t>
      </w:r>
      <w:r w:rsidRPr="00CA13A3">
        <w:rPr>
          <w:rFonts w:ascii="Palatino Linotype" w:hAnsi="Palatino Linotype"/>
          <w:szCs w:val="22"/>
          <w:lang w:eastAsia="es-MX"/>
        </w:rPr>
        <w:t>;</w:t>
      </w:r>
    </w:p>
    <w:p w14:paraId="76309FB1" w14:textId="77777777" w:rsidR="0092045A" w:rsidRPr="00CA13A3" w:rsidRDefault="0092045A" w:rsidP="0092045A">
      <w:pPr>
        <w:pStyle w:val="Prrafodelista"/>
        <w:numPr>
          <w:ilvl w:val="0"/>
          <w:numId w:val="3"/>
        </w:numPr>
        <w:spacing w:before="240" w:after="240" w:line="360" w:lineRule="auto"/>
        <w:ind w:left="851" w:right="822" w:firstLine="0"/>
        <w:jc w:val="both"/>
        <w:rPr>
          <w:rFonts w:ascii="Palatino Linotype" w:hAnsi="Palatino Linotype"/>
          <w:szCs w:val="22"/>
          <w:lang w:eastAsia="es-MX"/>
        </w:rPr>
      </w:pPr>
      <w:r w:rsidRPr="00CA13A3">
        <w:rPr>
          <w:rFonts w:ascii="Palatino Linotype" w:eastAsia="Palatino Linotype" w:hAnsi="Palatino Linotype" w:cs="Palatino Linotype"/>
          <w:color w:val="000000"/>
          <w:szCs w:val="22"/>
        </w:rPr>
        <w:t xml:space="preserve">Acuerdo emitido por el Comité de Transparencia, en </w:t>
      </w:r>
      <w:r w:rsidR="0017088C" w:rsidRPr="00CA13A3">
        <w:rPr>
          <w:rFonts w:ascii="Palatino Linotype" w:eastAsia="Palatino Linotype" w:hAnsi="Palatino Linotype" w:cs="Palatino Linotype"/>
          <w:color w:val="000000"/>
          <w:szCs w:val="22"/>
        </w:rPr>
        <w:t>el que clasifique como confidencia</w:t>
      </w:r>
      <w:r w:rsidR="005D3055" w:rsidRPr="00CA13A3">
        <w:rPr>
          <w:rFonts w:ascii="Palatino Linotype" w:eastAsia="Palatino Linotype" w:hAnsi="Palatino Linotype" w:cs="Palatino Linotype"/>
          <w:color w:val="000000"/>
          <w:szCs w:val="22"/>
        </w:rPr>
        <w:t>l</w:t>
      </w:r>
      <w:r w:rsidRPr="00CA13A3">
        <w:rPr>
          <w:rFonts w:ascii="Palatino Linotype" w:eastAsia="Palatino Linotype" w:hAnsi="Palatino Linotype" w:cs="Palatino Linotype"/>
          <w:color w:val="000000"/>
          <w:szCs w:val="22"/>
        </w:rPr>
        <w:t xml:space="preserve"> el pronunciamiento en sentido afirmativo o negativo respecto de si la Servidora Pública señalada en la solicitud, cuentan con procedimientos administrativos por faltas graves y no graves derivados de una queja o denuncia</w:t>
      </w:r>
      <w:r w:rsidR="00876CD6" w:rsidRPr="00CA13A3">
        <w:rPr>
          <w:rFonts w:ascii="Palatino Linotype" w:eastAsia="Palatino Linotype" w:hAnsi="Palatino Linotype" w:cs="Palatino Linotype"/>
          <w:color w:val="000000"/>
          <w:szCs w:val="22"/>
        </w:rPr>
        <w:t xml:space="preserve"> en términos de los artículos 49, fracción II, 132, fracción II, 143, fracción I y 149 de la Ley de Transparencia y Acceso a la Información Pública del Estado de México y Municipios</w:t>
      </w:r>
      <w:r w:rsidRPr="00CA13A3">
        <w:rPr>
          <w:rFonts w:ascii="Palatino Linotype" w:eastAsia="Palatino Linotype" w:hAnsi="Palatino Linotype" w:cs="Palatino Linotype"/>
          <w:color w:val="000000"/>
          <w:szCs w:val="22"/>
        </w:rPr>
        <w:t>; salvo que el acto se relacione con actos de corrupción o violac</w:t>
      </w:r>
      <w:r w:rsidR="00FD1830" w:rsidRPr="00CA13A3">
        <w:rPr>
          <w:rFonts w:ascii="Palatino Linotype" w:eastAsia="Palatino Linotype" w:hAnsi="Palatino Linotype" w:cs="Palatino Linotype"/>
          <w:color w:val="000000"/>
          <w:szCs w:val="22"/>
        </w:rPr>
        <w:t>iones graves a derechos humanos,</w:t>
      </w:r>
      <w:r w:rsidRPr="00CA13A3">
        <w:rPr>
          <w:rFonts w:ascii="Palatino Linotype" w:eastAsia="Palatino Linotype" w:hAnsi="Palatino Linotype" w:cs="Palatino Linotype"/>
          <w:color w:val="000000"/>
          <w:szCs w:val="22"/>
        </w:rPr>
        <w:t xml:space="preserve"> deberá entregar en versión pública los documentos en donde conste el nombre, motivo y estatus, </w:t>
      </w:r>
      <w:r w:rsidR="00876CD6" w:rsidRPr="00CA13A3">
        <w:rPr>
          <w:rFonts w:ascii="Palatino Linotype" w:eastAsia="Palatino Linotype" w:hAnsi="Palatino Linotype" w:cs="Palatino Linotype"/>
          <w:color w:val="000000"/>
          <w:szCs w:val="22"/>
        </w:rPr>
        <w:t xml:space="preserve">vigente a la fecha de la solicitud. </w:t>
      </w:r>
    </w:p>
    <w:p w14:paraId="76309FB2" w14:textId="77777777" w:rsidR="008554CB" w:rsidRPr="00CA13A3" w:rsidRDefault="008554CB" w:rsidP="008554CB">
      <w:pPr>
        <w:pStyle w:val="Prrafodelista"/>
        <w:numPr>
          <w:ilvl w:val="0"/>
          <w:numId w:val="3"/>
        </w:numPr>
        <w:spacing w:before="240" w:after="240" w:line="360" w:lineRule="auto"/>
        <w:ind w:left="851" w:right="822" w:firstLine="0"/>
        <w:jc w:val="both"/>
        <w:rPr>
          <w:rFonts w:ascii="Palatino Linotype" w:hAnsi="Palatino Linotype"/>
          <w:szCs w:val="22"/>
          <w:lang w:eastAsia="es-MX"/>
        </w:rPr>
      </w:pPr>
      <w:r w:rsidRPr="00CA13A3">
        <w:rPr>
          <w:rFonts w:ascii="Palatino Linotype" w:hAnsi="Palatino Linotype"/>
          <w:szCs w:val="22"/>
          <w:lang w:eastAsia="es-MX"/>
        </w:rPr>
        <w:lastRenderedPageBreak/>
        <w:t xml:space="preserve">Medidas instruidas por la Gobernadora a las autoridades educativas para evitar incurrir en negligencias en perjuicio de los alumnos de la escuela, vigentes a la fecha de la solicitud. </w:t>
      </w:r>
    </w:p>
    <w:p w14:paraId="76309FB3" w14:textId="77777777" w:rsidR="008554CB" w:rsidRPr="00CA13A3" w:rsidRDefault="008554CB" w:rsidP="008554CB">
      <w:pPr>
        <w:pStyle w:val="Prrafodelista"/>
        <w:spacing w:after="160" w:line="360" w:lineRule="auto"/>
        <w:ind w:right="616"/>
        <w:jc w:val="both"/>
        <w:rPr>
          <w:rFonts w:ascii="Palatino Linotype" w:eastAsia="Calibri" w:hAnsi="Palatino Linotype" w:cs="Arial"/>
          <w:szCs w:val="22"/>
        </w:rPr>
      </w:pPr>
    </w:p>
    <w:p w14:paraId="76309FB4" w14:textId="77777777" w:rsidR="008554CB" w:rsidRPr="00CA13A3" w:rsidRDefault="00466168" w:rsidP="008554CB">
      <w:pPr>
        <w:spacing w:after="160" w:line="360" w:lineRule="auto"/>
        <w:ind w:right="616"/>
        <w:jc w:val="both"/>
        <w:rPr>
          <w:rFonts w:ascii="Palatino Linotype" w:eastAsia="Calibri" w:hAnsi="Palatino Linotype" w:cs="Arial"/>
          <w:sz w:val="22"/>
          <w:szCs w:val="22"/>
        </w:rPr>
      </w:pPr>
      <w:r w:rsidRPr="00CA13A3">
        <w:rPr>
          <w:rFonts w:ascii="Palatino Linotype" w:eastAsia="Calibri" w:hAnsi="Palatino Linotype" w:cs="Arial"/>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 </w:t>
      </w:r>
    </w:p>
    <w:p w14:paraId="76309FB5" w14:textId="77777777" w:rsidR="008554CB" w:rsidRPr="00CA13A3" w:rsidRDefault="008554CB" w:rsidP="008554CB">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szCs w:val="22"/>
        </w:rPr>
      </w:pPr>
      <w:r w:rsidRPr="00CA13A3">
        <w:rPr>
          <w:rFonts w:ascii="Palatino Linotype" w:eastAsia="Palatino Linotype" w:hAnsi="Palatino Linotype" w:cs="Palatino Linotype"/>
          <w:szCs w:val="22"/>
        </w:rPr>
        <w:t>Para el caso de que la información que se ordena entregar</w:t>
      </w:r>
      <w:r w:rsidR="00D02AE5" w:rsidRPr="00CA13A3">
        <w:rPr>
          <w:rFonts w:ascii="Palatino Linotype" w:eastAsia="Palatino Linotype" w:hAnsi="Palatino Linotype" w:cs="Palatino Linotype"/>
          <w:szCs w:val="22"/>
        </w:rPr>
        <w:t xml:space="preserve"> en el inciso</w:t>
      </w:r>
      <w:r w:rsidR="00AD22F7" w:rsidRPr="00CA13A3">
        <w:rPr>
          <w:rFonts w:ascii="Palatino Linotype" w:eastAsia="Palatino Linotype" w:hAnsi="Palatino Linotype" w:cs="Palatino Linotype"/>
          <w:szCs w:val="22"/>
        </w:rPr>
        <w:t xml:space="preserve"> d</w:t>
      </w:r>
      <w:r w:rsidR="005A7705" w:rsidRPr="00CA13A3">
        <w:rPr>
          <w:rFonts w:ascii="Palatino Linotype" w:eastAsia="Palatino Linotype" w:hAnsi="Palatino Linotype" w:cs="Palatino Linotype"/>
          <w:szCs w:val="22"/>
        </w:rPr>
        <w:t>)</w:t>
      </w:r>
      <w:r w:rsidRPr="00CA13A3">
        <w:rPr>
          <w:rFonts w:ascii="Palatino Linotype" w:eastAsia="Palatino Linotype" w:hAnsi="Palatino Linotype" w:cs="Palatino Linotype"/>
          <w:szCs w:val="22"/>
        </w:rPr>
        <w:t xml:space="preserve">, no obre en los archivos del Sujeto Obligado, bastará con que así se haga del conocimiento del Particular en términos del artículo 19, párrafo segundo, de la Ley de Transparencia y Acceso a la Información Pública del Estado de México y Municipios, para tenerse por colmado dicho requerimiento. </w:t>
      </w:r>
    </w:p>
    <w:p w14:paraId="76309FB6" w14:textId="77777777" w:rsidR="00466168" w:rsidRPr="00CA13A3" w:rsidRDefault="00466168" w:rsidP="00466168">
      <w:pPr>
        <w:spacing w:line="360" w:lineRule="auto"/>
        <w:jc w:val="both"/>
        <w:rPr>
          <w:rFonts w:ascii="Palatino Linotype" w:eastAsia="Calibri" w:hAnsi="Palatino Linotype" w:cs="Arial"/>
          <w:sz w:val="22"/>
          <w:szCs w:val="22"/>
        </w:rPr>
      </w:pPr>
    </w:p>
    <w:p w14:paraId="76309FB7" w14:textId="77777777" w:rsidR="00466168" w:rsidRPr="00CA13A3" w:rsidRDefault="00466168" w:rsidP="00466168">
      <w:pPr>
        <w:tabs>
          <w:tab w:val="left" w:pos="284"/>
          <w:tab w:val="left" w:pos="8080"/>
        </w:tabs>
        <w:spacing w:line="360" w:lineRule="auto"/>
        <w:ind w:right="49"/>
        <w:contextualSpacing/>
        <w:jc w:val="both"/>
        <w:rPr>
          <w:rFonts w:ascii="Palatino Linotype" w:hAnsi="Palatino Linotype" w:cs="Arial"/>
          <w:color w:val="222222"/>
          <w:sz w:val="22"/>
          <w:szCs w:val="22"/>
          <w:shd w:val="clear" w:color="auto" w:fill="FFFFFF"/>
        </w:rPr>
      </w:pPr>
      <w:r w:rsidRPr="00CA13A3">
        <w:rPr>
          <w:rFonts w:ascii="Palatino Linotype" w:eastAsia="Palatino Linotype" w:hAnsi="Palatino Linotype" w:cs="Palatino Linotype"/>
          <w:b/>
          <w:sz w:val="22"/>
          <w:szCs w:val="22"/>
          <w:lang w:val="es-ES_tradnl"/>
        </w:rPr>
        <w:t xml:space="preserve">TERCERO. </w:t>
      </w:r>
      <w:r w:rsidRPr="00CA13A3">
        <w:rPr>
          <w:rFonts w:ascii="Palatino Linotype" w:hAnsi="Palatino Linotype" w:cs="Arial"/>
          <w:b/>
          <w:color w:val="222222"/>
          <w:sz w:val="22"/>
          <w:szCs w:val="22"/>
          <w:shd w:val="clear" w:color="auto" w:fill="FFFFFF"/>
        </w:rPr>
        <w:t>NOTIFÍQUESE</w:t>
      </w:r>
      <w:r w:rsidRPr="00CA13A3">
        <w:rPr>
          <w:rFonts w:ascii="Palatino Linotype" w:hAnsi="Palatino Linotype" w:cs="Arial"/>
          <w:color w:val="222222"/>
          <w:sz w:val="22"/>
          <w:szCs w:val="22"/>
          <w:shd w:val="clear" w:color="auto" w:fill="FFFFFF"/>
        </w:rPr>
        <w:t xml:space="preserve"> la presente resolución al Titular de la Unidad de Transparencia del Sujeto Obligado </w:t>
      </w:r>
      <w:r w:rsidRPr="00CA13A3">
        <w:rPr>
          <w:rFonts w:ascii="Palatino Linotype" w:hAnsi="Palatino Linotype" w:cs="Arial"/>
          <w:b/>
          <w:color w:val="222222"/>
          <w:sz w:val="22"/>
          <w:szCs w:val="22"/>
          <w:shd w:val="clear" w:color="auto" w:fill="FFFFFF"/>
        </w:rPr>
        <w:t>vía SAIMEX</w:t>
      </w:r>
      <w:r w:rsidRPr="00CA13A3">
        <w:rPr>
          <w:rFonts w:ascii="Palatino Linotype" w:hAnsi="Palatino Linotype" w:cs="Arial"/>
          <w:color w:val="222222"/>
          <w:sz w:val="22"/>
          <w:szCs w:val="22"/>
          <w:shd w:val="clear" w:color="auto" w:fill="FFFFFF"/>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w:t>
      </w:r>
      <w:r w:rsidRPr="00CA13A3">
        <w:rPr>
          <w:rFonts w:ascii="Palatino Linotype" w:hAnsi="Palatino Linotype" w:cs="Arial"/>
          <w:color w:val="222222"/>
          <w:sz w:val="22"/>
          <w:szCs w:val="22"/>
          <w:shd w:val="clear" w:color="auto" w:fill="FFFFFF"/>
        </w:rPr>
        <w:lastRenderedPageBreak/>
        <w:t>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6309FB8" w14:textId="77777777" w:rsidR="00466168" w:rsidRPr="00CA13A3" w:rsidRDefault="00466168" w:rsidP="00466168">
      <w:pPr>
        <w:tabs>
          <w:tab w:val="left" w:pos="284"/>
          <w:tab w:val="left" w:pos="8080"/>
        </w:tabs>
        <w:spacing w:line="360" w:lineRule="auto"/>
        <w:ind w:right="49"/>
        <w:contextualSpacing/>
        <w:jc w:val="both"/>
        <w:rPr>
          <w:rFonts w:ascii="Palatino Linotype" w:eastAsiaTheme="minorEastAsia" w:hAnsi="Palatino Linotype"/>
          <w:color w:val="222222"/>
          <w:sz w:val="22"/>
          <w:szCs w:val="22"/>
          <w:shd w:val="clear" w:color="auto" w:fill="FFFFFF"/>
          <w:lang w:val="es-ES_tradnl"/>
        </w:rPr>
      </w:pPr>
    </w:p>
    <w:p w14:paraId="76309FB9" w14:textId="77777777" w:rsidR="00466168" w:rsidRPr="00CA13A3" w:rsidRDefault="00466168" w:rsidP="00466168">
      <w:pPr>
        <w:tabs>
          <w:tab w:val="left" w:pos="284"/>
        </w:tabs>
        <w:spacing w:line="360" w:lineRule="auto"/>
        <w:jc w:val="both"/>
        <w:rPr>
          <w:rFonts w:ascii="Palatino Linotype" w:eastAsia="MS Mincho" w:hAnsi="Palatino Linotype"/>
          <w:sz w:val="22"/>
          <w:szCs w:val="22"/>
          <w:lang w:val="es-ES_tradnl"/>
        </w:rPr>
      </w:pPr>
      <w:r w:rsidRPr="00CA13A3">
        <w:rPr>
          <w:rFonts w:ascii="Palatino Linotype" w:hAnsi="Palatino Linotype" w:cs="Arial"/>
          <w:b/>
          <w:sz w:val="22"/>
          <w:szCs w:val="22"/>
          <w:lang w:val="es-ES_tradnl"/>
        </w:rPr>
        <w:t xml:space="preserve">CUARTO. </w:t>
      </w:r>
      <w:r w:rsidRPr="00CA13A3">
        <w:rPr>
          <w:rFonts w:ascii="Palatino Linotype" w:hAnsi="Palatino Linotype"/>
          <w:b/>
          <w:bCs/>
          <w:color w:val="222222"/>
          <w:sz w:val="22"/>
          <w:szCs w:val="22"/>
          <w:lang w:val="es-ES"/>
        </w:rPr>
        <w:t xml:space="preserve">Notifíquese </w:t>
      </w:r>
      <w:r w:rsidRPr="00CA13A3">
        <w:rPr>
          <w:rFonts w:ascii="Palatino Linotype" w:hAnsi="Palatino Linotype"/>
          <w:bCs/>
          <w:color w:val="222222"/>
          <w:sz w:val="22"/>
          <w:szCs w:val="22"/>
          <w:lang w:val="es-ES"/>
        </w:rPr>
        <w:t xml:space="preserve">al </w:t>
      </w:r>
      <w:r w:rsidRPr="00CA13A3">
        <w:rPr>
          <w:rFonts w:ascii="Palatino Linotype" w:hAnsi="Palatino Linotype"/>
          <w:b/>
          <w:bCs/>
          <w:color w:val="222222"/>
          <w:sz w:val="22"/>
          <w:szCs w:val="22"/>
          <w:lang w:val="es-ES"/>
        </w:rPr>
        <w:t>RECURRENTE</w:t>
      </w:r>
      <w:r w:rsidRPr="00CA13A3">
        <w:rPr>
          <w:rFonts w:ascii="Palatino Linotype" w:hAnsi="Palatino Linotype"/>
          <w:b/>
          <w:color w:val="222222"/>
          <w:sz w:val="22"/>
          <w:szCs w:val="22"/>
          <w:lang w:val="es-ES"/>
        </w:rPr>
        <w:t xml:space="preserve"> </w:t>
      </w:r>
      <w:r w:rsidRPr="00CA13A3">
        <w:rPr>
          <w:rFonts w:ascii="Palatino Linotype" w:eastAsiaTheme="minorEastAsia" w:hAnsi="Palatino Linotype"/>
          <w:sz w:val="22"/>
          <w:szCs w:val="22"/>
          <w:lang w:val="es-ES_tradnl"/>
        </w:rPr>
        <w:t>la presente resolución</w:t>
      </w:r>
      <w:r w:rsidRPr="00CA13A3">
        <w:rPr>
          <w:rFonts w:ascii="Palatino Linotype" w:eastAsia="MS Mincho" w:hAnsi="Palatino Linotype"/>
          <w:sz w:val="22"/>
          <w:szCs w:val="22"/>
          <w:lang w:val="es-ES_tradnl"/>
        </w:rPr>
        <w:t xml:space="preserve"> a través del Sistema de Acceso a la Información Mexiquense (SAIMEX).</w:t>
      </w:r>
    </w:p>
    <w:p w14:paraId="696E114A" w14:textId="77777777" w:rsidR="00CA13A3" w:rsidRPr="00CA13A3" w:rsidRDefault="00CA13A3" w:rsidP="00466168">
      <w:pPr>
        <w:tabs>
          <w:tab w:val="left" w:pos="284"/>
        </w:tabs>
        <w:spacing w:line="360" w:lineRule="auto"/>
        <w:jc w:val="both"/>
        <w:rPr>
          <w:rFonts w:ascii="Palatino Linotype" w:eastAsia="MS Mincho" w:hAnsi="Palatino Linotype"/>
          <w:sz w:val="22"/>
          <w:szCs w:val="22"/>
          <w:lang w:val="es-ES_tradnl"/>
        </w:rPr>
      </w:pPr>
    </w:p>
    <w:p w14:paraId="76309FBA" w14:textId="77777777" w:rsidR="00466168" w:rsidRPr="00CA13A3" w:rsidRDefault="00466168" w:rsidP="00466168">
      <w:pPr>
        <w:tabs>
          <w:tab w:val="left" w:pos="284"/>
        </w:tabs>
        <w:spacing w:line="360" w:lineRule="auto"/>
        <w:jc w:val="both"/>
        <w:rPr>
          <w:rFonts w:ascii="Palatino Linotype" w:eastAsia="MS Mincho" w:hAnsi="Palatino Linotype"/>
          <w:sz w:val="22"/>
          <w:szCs w:val="22"/>
          <w:lang w:val="es-ES_tradnl"/>
        </w:rPr>
      </w:pPr>
    </w:p>
    <w:p w14:paraId="76309FBB" w14:textId="77777777" w:rsidR="00466168" w:rsidRPr="00CA13A3" w:rsidRDefault="00466168" w:rsidP="00466168">
      <w:pPr>
        <w:spacing w:line="360" w:lineRule="auto"/>
        <w:jc w:val="both"/>
        <w:rPr>
          <w:rFonts w:ascii="Palatino Linotype" w:eastAsia="Calibri" w:hAnsi="Palatino Linotype" w:cs="Arial"/>
          <w:bCs/>
          <w:sz w:val="22"/>
          <w:szCs w:val="22"/>
        </w:rPr>
      </w:pPr>
      <w:r w:rsidRPr="00CA13A3">
        <w:rPr>
          <w:rFonts w:ascii="Palatino Linotype" w:hAnsi="Palatino Linotype" w:cs="Arial"/>
          <w:b/>
          <w:sz w:val="22"/>
          <w:szCs w:val="22"/>
        </w:rPr>
        <w:t xml:space="preserve">QUINTO. </w:t>
      </w:r>
      <w:r w:rsidRPr="00CA13A3">
        <w:rPr>
          <w:rFonts w:ascii="Palatino Linotype" w:eastAsia="Calibri" w:hAnsi="Palatino Linotype" w:cs="Arial"/>
          <w:b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173FAEC" w14:textId="77777777" w:rsidR="00CA13A3" w:rsidRPr="00CA13A3" w:rsidRDefault="00CA13A3" w:rsidP="00466168">
      <w:pPr>
        <w:spacing w:line="360" w:lineRule="auto"/>
        <w:jc w:val="both"/>
        <w:rPr>
          <w:rFonts w:ascii="Palatino Linotype" w:eastAsia="Calibri" w:hAnsi="Palatino Linotype" w:cs="Arial"/>
          <w:bCs/>
          <w:sz w:val="22"/>
          <w:szCs w:val="22"/>
        </w:rPr>
      </w:pPr>
    </w:p>
    <w:p w14:paraId="76309FBC" w14:textId="77777777" w:rsidR="00466168" w:rsidRPr="00CA13A3" w:rsidRDefault="00466168" w:rsidP="00466168">
      <w:pPr>
        <w:spacing w:before="240" w:after="360" w:line="360" w:lineRule="auto"/>
        <w:jc w:val="both"/>
        <w:rPr>
          <w:rFonts w:ascii="Palatino Linotype" w:hAnsi="Palatino Linotype"/>
          <w:color w:val="222222"/>
          <w:sz w:val="22"/>
          <w:szCs w:val="22"/>
          <w:lang w:val="es-ES" w:eastAsia="es-MX"/>
        </w:rPr>
      </w:pPr>
      <w:r w:rsidRPr="00CA13A3">
        <w:rPr>
          <w:rFonts w:ascii="Palatino Linotype" w:hAnsi="Palatino Linotype"/>
          <w:b/>
          <w:sz w:val="22"/>
          <w:szCs w:val="22"/>
        </w:rPr>
        <w:t>SEXTO.</w:t>
      </w:r>
      <w:r w:rsidRPr="00CA13A3">
        <w:rPr>
          <w:rFonts w:ascii="Palatino Linotype" w:hAnsi="Palatino Linotype"/>
          <w:color w:val="222222"/>
          <w:sz w:val="22"/>
          <w:szCs w:val="22"/>
          <w:lang w:val="es-ES" w:eastAsia="es-MX"/>
        </w:rPr>
        <w:t xml:space="preserve"> </w:t>
      </w:r>
      <w:r w:rsidR="005A7705" w:rsidRPr="00CA13A3">
        <w:rPr>
          <w:rFonts w:ascii="Palatino Linotype" w:eastAsia="MS Mincho" w:hAnsi="Palatino Linotype"/>
          <w:sz w:val="22"/>
          <w:szCs w:val="22"/>
        </w:rPr>
        <w:t>Se hace del conocimiento de RECURRENTE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o bien, vía juicio de amparo en los términos de las leyes aplicables.</w:t>
      </w:r>
    </w:p>
    <w:bookmarkEnd w:id="10"/>
    <w:p w14:paraId="76309FBD" w14:textId="62780984" w:rsidR="005D3055" w:rsidRPr="005D3055" w:rsidRDefault="005D3055" w:rsidP="005D3055">
      <w:pPr>
        <w:spacing w:line="360" w:lineRule="auto"/>
        <w:ind w:left="-142" w:right="-234" w:firstLine="1"/>
        <w:jc w:val="both"/>
        <w:rPr>
          <w:rFonts w:ascii="Palatino Linotype" w:hAnsi="Palatino Linotype"/>
          <w:sz w:val="22"/>
        </w:rPr>
      </w:pPr>
      <w:r w:rsidRPr="00CA13A3">
        <w:rPr>
          <w:rFonts w:ascii="Palatino Linotype" w:hAnsi="Palatino Linotype"/>
          <w:sz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49293A" w:rsidRPr="00CA13A3">
        <w:rPr>
          <w:rFonts w:ascii="Palatino Linotype" w:hAnsi="Palatino Linotype"/>
          <w:sz w:val="22"/>
        </w:rPr>
        <w:t xml:space="preserve"> EMITIENDO VOTO PARTICULAR CONCURRENTE</w:t>
      </w:r>
      <w:r w:rsidRPr="00CA13A3">
        <w:rPr>
          <w:rFonts w:ascii="Palatino Linotype" w:hAnsi="Palatino Linotype"/>
          <w:sz w:val="22"/>
        </w:rPr>
        <w:t xml:space="preserve">; SHARON CRISTINA MORALES MARTÍNEZ; LUIS GUSTAVO PARRA NORIEGA </w:t>
      </w:r>
      <w:r w:rsidR="0049293A" w:rsidRPr="00CA13A3">
        <w:rPr>
          <w:rFonts w:ascii="Palatino Linotype" w:hAnsi="Palatino Linotype"/>
          <w:sz w:val="22"/>
        </w:rPr>
        <w:t xml:space="preserve">EMITIENDO VOTO PARTICULAR CONCURRENTE </w:t>
      </w:r>
      <w:r w:rsidRPr="00CA13A3">
        <w:rPr>
          <w:rFonts w:ascii="Palatino Linotype" w:hAnsi="Palatino Linotype"/>
          <w:sz w:val="22"/>
        </w:rPr>
        <w:t>Y GUADALUPE RAMÍREZ PEÑA</w:t>
      </w:r>
      <w:r w:rsidR="0049293A" w:rsidRPr="00CA13A3">
        <w:rPr>
          <w:rFonts w:ascii="Palatino Linotype" w:hAnsi="Palatino Linotype"/>
          <w:sz w:val="22"/>
        </w:rPr>
        <w:t xml:space="preserve"> EMITIENDO VOTO PARTICULAR</w:t>
      </w:r>
      <w:r w:rsidRPr="00CA13A3">
        <w:rPr>
          <w:rFonts w:ascii="Palatino Linotype" w:hAnsi="Palatino Linotype"/>
          <w:sz w:val="22"/>
        </w:rPr>
        <w:t>; EN LA QUINTA SESIÓN ORDINARIA CELEBRADA EL DOCE (12) DE FEBRERO DE DOS MIL VEINTICINCO, ANTE EL SECRETARIO TÉCNICO DEL PLENO ALEXIS TAPIA RAMÍREZ.</w:t>
      </w:r>
      <w:r w:rsidRPr="005D3055">
        <w:rPr>
          <w:rFonts w:ascii="Palatino Linotype" w:hAnsi="Palatino Linotype"/>
          <w:sz w:val="22"/>
        </w:rPr>
        <w:t xml:space="preserve"> </w:t>
      </w:r>
    </w:p>
    <w:p w14:paraId="76309FBE" w14:textId="77777777" w:rsidR="00466168" w:rsidRPr="00876CD6" w:rsidRDefault="00466168" w:rsidP="00466168">
      <w:pPr>
        <w:spacing w:before="240" w:after="360" w:line="360" w:lineRule="auto"/>
        <w:jc w:val="both"/>
        <w:rPr>
          <w:rFonts w:ascii="Palatino Linotype" w:hAnsi="Palatino Linotype"/>
          <w:color w:val="222222"/>
          <w:sz w:val="22"/>
          <w:szCs w:val="22"/>
          <w:lang w:val="es-ES" w:eastAsia="es-MX"/>
        </w:rPr>
      </w:pPr>
    </w:p>
    <w:p w14:paraId="76309FBF" w14:textId="77777777" w:rsidR="00466168" w:rsidRPr="00876CD6" w:rsidRDefault="00466168" w:rsidP="00466168">
      <w:pPr>
        <w:spacing w:before="240" w:after="360" w:line="360" w:lineRule="auto"/>
        <w:jc w:val="both"/>
        <w:rPr>
          <w:rFonts w:ascii="Palatino Linotype" w:hAnsi="Palatino Linotype"/>
          <w:color w:val="222222"/>
          <w:sz w:val="22"/>
          <w:szCs w:val="22"/>
          <w:lang w:val="es-ES" w:eastAsia="es-MX"/>
        </w:rPr>
      </w:pPr>
    </w:p>
    <w:p w14:paraId="76309FC0" w14:textId="77777777" w:rsidR="00466168" w:rsidRDefault="00466168" w:rsidP="00466168">
      <w:pPr>
        <w:spacing w:before="240" w:after="360" w:line="360" w:lineRule="auto"/>
        <w:jc w:val="both"/>
        <w:rPr>
          <w:rFonts w:ascii="Palatino Linotype" w:hAnsi="Palatino Linotype"/>
          <w:color w:val="222222"/>
          <w:sz w:val="22"/>
          <w:szCs w:val="22"/>
          <w:lang w:val="es-ES" w:eastAsia="es-MX"/>
        </w:rPr>
      </w:pPr>
    </w:p>
    <w:p w14:paraId="3E9A30C1" w14:textId="77777777" w:rsidR="00CA13A3" w:rsidRDefault="00CA13A3" w:rsidP="00466168">
      <w:pPr>
        <w:spacing w:before="240" w:after="360" w:line="360" w:lineRule="auto"/>
        <w:jc w:val="both"/>
        <w:rPr>
          <w:rFonts w:ascii="Palatino Linotype" w:hAnsi="Palatino Linotype"/>
          <w:color w:val="222222"/>
          <w:sz w:val="22"/>
          <w:szCs w:val="22"/>
          <w:lang w:val="es-ES" w:eastAsia="es-MX"/>
        </w:rPr>
      </w:pPr>
    </w:p>
    <w:p w14:paraId="3C4D3308" w14:textId="77777777" w:rsidR="00CA13A3" w:rsidRDefault="00CA13A3" w:rsidP="00466168">
      <w:pPr>
        <w:spacing w:before="240" w:after="360" w:line="360" w:lineRule="auto"/>
        <w:jc w:val="both"/>
        <w:rPr>
          <w:rFonts w:ascii="Palatino Linotype" w:hAnsi="Palatino Linotype"/>
          <w:color w:val="222222"/>
          <w:sz w:val="22"/>
          <w:szCs w:val="22"/>
          <w:lang w:val="es-ES" w:eastAsia="es-MX"/>
        </w:rPr>
      </w:pPr>
    </w:p>
    <w:p w14:paraId="78AB885A" w14:textId="77777777" w:rsidR="00CA13A3" w:rsidRDefault="00CA13A3" w:rsidP="00466168">
      <w:pPr>
        <w:spacing w:before="240" w:after="360" w:line="360" w:lineRule="auto"/>
        <w:jc w:val="both"/>
        <w:rPr>
          <w:rFonts w:ascii="Palatino Linotype" w:hAnsi="Palatino Linotype"/>
          <w:color w:val="222222"/>
          <w:sz w:val="22"/>
          <w:szCs w:val="22"/>
          <w:lang w:val="es-ES" w:eastAsia="es-MX"/>
        </w:rPr>
      </w:pPr>
    </w:p>
    <w:p w14:paraId="679AEBB7" w14:textId="77777777" w:rsidR="00CA13A3" w:rsidRDefault="00CA13A3" w:rsidP="00466168">
      <w:pPr>
        <w:spacing w:before="240" w:after="360" w:line="360" w:lineRule="auto"/>
        <w:jc w:val="both"/>
        <w:rPr>
          <w:rFonts w:ascii="Palatino Linotype" w:hAnsi="Palatino Linotype"/>
          <w:color w:val="222222"/>
          <w:sz w:val="22"/>
          <w:szCs w:val="22"/>
          <w:lang w:val="es-ES" w:eastAsia="es-MX"/>
        </w:rPr>
      </w:pPr>
    </w:p>
    <w:p w14:paraId="3D51B19C" w14:textId="77777777" w:rsidR="00CA13A3" w:rsidRDefault="00CA13A3" w:rsidP="00466168">
      <w:pPr>
        <w:spacing w:before="240" w:after="360" w:line="360" w:lineRule="auto"/>
        <w:jc w:val="both"/>
        <w:rPr>
          <w:rFonts w:ascii="Palatino Linotype" w:hAnsi="Palatino Linotype"/>
          <w:color w:val="222222"/>
          <w:sz w:val="22"/>
          <w:szCs w:val="22"/>
          <w:lang w:val="es-ES" w:eastAsia="es-MX"/>
        </w:rPr>
      </w:pPr>
    </w:p>
    <w:p w14:paraId="02177741" w14:textId="77777777" w:rsidR="00CA13A3" w:rsidRDefault="00CA13A3" w:rsidP="00466168">
      <w:pPr>
        <w:spacing w:before="240" w:after="360" w:line="360" w:lineRule="auto"/>
        <w:jc w:val="both"/>
        <w:rPr>
          <w:rFonts w:ascii="Palatino Linotype" w:hAnsi="Palatino Linotype"/>
          <w:color w:val="222222"/>
          <w:sz w:val="22"/>
          <w:szCs w:val="22"/>
          <w:lang w:val="es-ES" w:eastAsia="es-MX"/>
        </w:rPr>
      </w:pPr>
    </w:p>
    <w:p w14:paraId="5946BA53" w14:textId="77777777" w:rsidR="00CA13A3" w:rsidRDefault="00CA13A3" w:rsidP="00466168">
      <w:pPr>
        <w:spacing w:before="240" w:after="360" w:line="360" w:lineRule="auto"/>
        <w:jc w:val="both"/>
        <w:rPr>
          <w:rFonts w:ascii="Palatino Linotype" w:hAnsi="Palatino Linotype"/>
          <w:color w:val="222222"/>
          <w:sz w:val="22"/>
          <w:szCs w:val="22"/>
          <w:lang w:val="es-ES" w:eastAsia="es-MX"/>
        </w:rPr>
      </w:pPr>
    </w:p>
    <w:p w14:paraId="0966E776" w14:textId="77777777" w:rsidR="00CA13A3" w:rsidRDefault="00CA13A3" w:rsidP="00466168">
      <w:pPr>
        <w:spacing w:before="240" w:after="360" w:line="360" w:lineRule="auto"/>
        <w:jc w:val="both"/>
        <w:rPr>
          <w:rFonts w:ascii="Palatino Linotype" w:hAnsi="Palatino Linotype"/>
          <w:color w:val="222222"/>
          <w:sz w:val="22"/>
          <w:szCs w:val="22"/>
          <w:lang w:val="es-ES" w:eastAsia="es-MX"/>
        </w:rPr>
      </w:pPr>
    </w:p>
    <w:p w14:paraId="4BCA5429" w14:textId="77777777" w:rsidR="00CA13A3" w:rsidRDefault="00CA13A3" w:rsidP="00466168">
      <w:pPr>
        <w:spacing w:before="240" w:after="360" w:line="360" w:lineRule="auto"/>
        <w:jc w:val="both"/>
        <w:rPr>
          <w:rFonts w:ascii="Palatino Linotype" w:hAnsi="Palatino Linotype"/>
          <w:color w:val="222222"/>
          <w:sz w:val="22"/>
          <w:szCs w:val="22"/>
          <w:lang w:val="es-ES" w:eastAsia="es-MX"/>
        </w:rPr>
      </w:pPr>
    </w:p>
    <w:p w14:paraId="2C0B8EE0" w14:textId="77777777" w:rsidR="00CA13A3" w:rsidRDefault="00CA13A3" w:rsidP="00466168">
      <w:pPr>
        <w:spacing w:before="240" w:after="360" w:line="360" w:lineRule="auto"/>
        <w:jc w:val="both"/>
        <w:rPr>
          <w:rFonts w:ascii="Palatino Linotype" w:hAnsi="Palatino Linotype"/>
          <w:color w:val="222222"/>
          <w:sz w:val="22"/>
          <w:szCs w:val="22"/>
          <w:lang w:val="es-ES" w:eastAsia="es-MX"/>
        </w:rPr>
      </w:pPr>
    </w:p>
    <w:p w14:paraId="5274E304" w14:textId="77777777" w:rsidR="00CA13A3" w:rsidRDefault="00CA13A3" w:rsidP="00466168">
      <w:pPr>
        <w:spacing w:before="240" w:after="360" w:line="360" w:lineRule="auto"/>
        <w:jc w:val="both"/>
        <w:rPr>
          <w:rFonts w:ascii="Palatino Linotype" w:hAnsi="Palatino Linotype"/>
          <w:color w:val="222222"/>
          <w:sz w:val="22"/>
          <w:szCs w:val="22"/>
          <w:lang w:val="es-ES" w:eastAsia="es-MX"/>
        </w:rPr>
      </w:pPr>
    </w:p>
    <w:p w14:paraId="693600C5" w14:textId="77777777" w:rsidR="00CA13A3" w:rsidRDefault="00CA13A3" w:rsidP="00466168">
      <w:pPr>
        <w:spacing w:before="240" w:after="360" w:line="360" w:lineRule="auto"/>
        <w:jc w:val="both"/>
        <w:rPr>
          <w:rFonts w:ascii="Palatino Linotype" w:hAnsi="Palatino Linotype"/>
          <w:color w:val="222222"/>
          <w:sz w:val="22"/>
          <w:szCs w:val="22"/>
          <w:lang w:val="es-ES" w:eastAsia="es-MX"/>
        </w:rPr>
      </w:pPr>
    </w:p>
    <w:p w14:paraId="57C86A1E" w14:textId="77777777" w:rsidR="00CA13A3" w:rsidRPr="00876CD6" w:rsidRDefault="00CA13A3" w:rsidP="00466168">
      <w:pPr>
        <w:spacing w:before="240" w:after="360" w:line="360" w:lineRule="auto"/>
        <w:jc w:val="both"/>
        <w:rPr>
          <w:rFonts w:ascii="Palatino Linotype" w:hAnsi="Palatino Linotype"/>
          <w:color w:val="222222"/>
          <w:sz w:val="22"/>
          <w:szCs w:val="22"/>
          <w:lang w:val="es-ES" w:eastAsia="es-MX"/>
        </w:rPr>
      </w:pPr>
    </w:p>
    <w:p w14:paraId="76309FC1" w14:textId="77777777" w:rsidR="00466168" w:rsidRPr="00876CD6" w:rsidRDefault="00466168" w:rsidP="00466168">
      <w:pPr>
        <w:spacing w:before="240" w:after="360" w:line="360" w:lineRule="auto"/>
        <w:jc w:val="both"/>
        <w:rPr>
          <w:rFonts w:ascii="Palatino Linotype" w:hAnsi="Palatino Linotype"/>
          <w:color w:val="222222"/>
          <w:sz w:val="22"/>
          <w:szCs w:val="22"/>
          <w:lang w:val="es-ES" w:eastAsia="es-MX"/>
        </w:rPr>
      </w:pPr>
    </w:p>
    <w:p w14:paraId="76309FC2" w14:textId="77777777" w:rsidR="00466168" w:rsidRPr="00876CD6" w:rsidRDefault="00466168" w:rsidP="00466168">
      <w:pPr>
        <w:rPr>
          <w:sz w:val="22"/>
          <w:szCs w:val="22"/>
        </w:rPr>
      </w:pPr>
    </w:p>
    <w:p w14:paraId="76309FC3" w14:textId="77777777" w:rsidR="00F4306A" w:rsidRPr="00876CD6" w:rsidRDefault="00F4306A">
      <w:pPr>
        <w:rPr>
          <w:sz w:val="22"/>
          <w:szCs w:val="22"/>
        </w:rPr>
      </w:pPr>
    </w:p>
    <w:sectPr w:rsidR="00F4306A" w:rsidRPr="00876CD6" w:rsidSect="000F4C92">
      <w:headerReference w:type="even" r:id="rId9"/>
      <w:headerReference w:type="default" r:id="rId10"/>
      <w:footerReference w:type="default" r:id="rId11"/>
      <w:headerReference w:type="first" r:id="rId12"/>
      <w:footerReference w:type="first" r:id="rId13"/>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D7965" w14:textId="77777777" w:rsidR="0003147D" w:rsidRDefault="0003147D" w:rsidP="00466168">
      <w:r>
        <w:separator/>
      </w:r>
    </w:p>
  </w:endnote>
  <w:endnote w:type="continuationSeparator" w:id="0">
    <w:p w14:paraId="4BF579BC" w14:textId="77777777" w:rsidR="0003147D" w:rsidRDefault="0003147D" w:rsidP="0046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14:paraId="76309FDF" w14:textId="77777777" w:rsidR="00876CD6" w:rsidRDefault="00876CD6">
            <w:pPr>
              <w:pStyle w:val="Piedepgina"/>
              <w:jc w:val="right"/>
            </w:pPr>
          </w:p>
          <w:p w14:paraId="76309FE0" w14:textId="77777777" w:rsidR="00876CD6" w:rsidRDefault="00876CD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86C92">
              <w:rPr>
                <w:b/>
                <w:bCs/>
                <w:noProof/>
              </w:rPr>
              <w:t>64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86C92">
              <w:rPr>
                <w:b/>
                <w:bCs/>
                <w:noProof/>
              </w:rPr>
              <w:t>66</w:t>
            </w:r>
            <w:r>
              <w:rPr>
                <w:b/>
                <w:bCs/>
                <w:sz w:val="24"/>
                <w:szCs w:val="24"/>
              </w:rPr>
              <w:fldChar w:fldCharType="end"/>
            </w:r>
          </w:p>
        </w:sdtContent>
      </w:sdt>
    </w:sdtContent>
  </w:sdt>
  <w:p w14:paraId="76309FE1" w14:textId="77777777" w:rsidR="00876CD6" w:rsidRDefault="00876CD6">
    <w:pPr>
      <w:pStyle w:val="Piedepgina"/>
    </w:pPr>
  </w:p>
  <w:p w14:paraId="76309FE2" w14:textId="77777777" w:rsidR="00876CD6" w:rsidRDefault="00876CD6"/>
  <w:p w14:paraId="76309FE3" w14:textId="77777777" w:rsidR="00876CD6" w:rsidRDefault="00876CD6"/>
  <w:p w14:paraId="76309FE4" w14:textId="77777777" w:rsidR="00876CD6" w:rsidRDefault="00876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14:paraId="76309FFB" w14:textId="77777777" w:rsidR="00876CD6" w:rsidRDefault="00876CD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86C9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86C92">
              <w:rPr>
                <w:b/>
                <w:bCs/>
                <w:noProof/>
              </w:rPr>
              <w:t>66</w:t>
            </w:r>
            <w:r>
              <w:rPr>
                <w:b/>
                <w:bCs/>
                <w:sz w:val="24"/>
                <w:szCs w:val="24"/>
              </w:rPr>
              <w:fldChar w:fldCharType="end"/>
            </w:r>
          </w:p>
        </w:sdtContent>
      </w:sdt>
    </w:sdtContent>
  </w:sdt>
  <w:p w14:paraId="76309FFC" w14:textId="77777777" w:rsidR="00876CD6" w:rsidRDefault="00876CD6">
    <w:pPr>
      <w:pStyle w:val="Piedepgina"/>
    </w:pPr>
  </w:p>
  <w:p w14:paraId="76309FFD" w14:textId="77777777" w:rsidR="00876CD6" w:rsidRDefault="00876CD6"/>
  <w:p w14:paraId="76309FFE" w14:textId="77777777" w:rsidR="00876CD6" w:rsidRDefault="00876CD6"/>
  <w:p w14:paraId="76309FFF" w14:textId="77777777" w:rsidR="00876CD6" w:rsidRDefault="00876C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E6BBF" w14:textId="77777777" w:rsidR="0003147D" w:rsidRDefault="0003147D" w:rsidP="00466168">
      <w:r>
        <w:separator/>
      </w:r>
    </w:p>
  </w:footnote>
  <w:footnote w:type="continuationSeparator" w:id="0">
    <w:p w14:paraId="012F97C6" w14:textId="77777777" w:rsidR="0003147D" w:rsidRDefault="0003147D" w:rsidP="00466168">
      <w:r>
        <w:continuationSeparator/>
      </w:r>
    </w:p>
  </w:footnote>
  <w:footnote w:id="1">
    <w:p w14:paraId="7630A003" w14:textId="77777777" w:rsidR="00876CD6" w:rsidRDefault="00876CD6" w:rsidP="00466168">
      <w:pPr>
        <w:pStyle w:val="Textonotapie"/>
      </w:pPr>
      <w:r>
        <w:rPr>
          <w:rStyle w:val="Refdenotaalpie"/>
        </w:rPr>
        <w:footnoteRef/>
      </w:r>
      <w:r>
        <w:t xml:space="preserve"> Artículo 150. Ley de Transparencia y Acceso a la Información Pública del Estado de México y Municipios.</w:t>
      </w:r>
    </w:p>
    <w:p w14:paraId="7630A004" w14:textId="77777777" w:rsidR="00876CD6" w:rsidRDefault="00876CD6" w:rsidP="00466168">
      <w:pPr>
        <w:pStyle w:val="Textonotapie"/>
      </w:pPr>
      <w:r>
        <w:t>Artículo 151. Ibídem.</w:t>
      </w:r>
    </w:p>
  </w:footnote>
  <w:footnote w:id="2">
    <w:p w14:paraId="7630A005" w14:textId="77777777" w:rsidR="00876CD6" w:rsidRDefault="00876CD6" w:rsidP="00466168">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09FC8" w14:textId="77777777" w:rsidR="00876CD6" w:rsidRDefault="0003147D">
    <w:pPr>
      <w:pStyle w:val="Encabezado"/>
    </w:pPr>
    <w:r>
      <w:rPr>
        <w:noProof/>
        <w:lang w:eastAsia="es-MX"/>
      </w:rPr>
      <w:pict w14:anchorId="7630A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9776;mso-position-horizontal:center;mso-position-horizontal-relative:margin;mso-position-vertical:center;mso-position-vertical-relative:margin" o:allowincell="f">
          <v:imagedata r:id="rId1" o:title="marcaaguaINFOEM"/>
          <w10:wrap anchorx="margin" anchory="margin"/>
        </v:shape>
      </w:pict>
    </w:r>
  </w:p>
  <w:p w14:paraId="76309FC9" w14:textId="77777777" w:rsidR="00876CD6" w:rsidRDefault="00876CD6"/>
  <w:p w14:paraId="76309FCA" w14:textId="77777777" w:rsidR="00876CD6" w:rsidRDefault="00876CD6"/>
  <w:p w14:paraId="76309FCB" w14:textId="77777777" w:rsidR="00876CD6" w:rsidRDefault="00876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876CD6" w14:paraId="76309FDA" w14:textId="77777777" w:rsidTr="000F4C92">
      <w:trPr>
        <w:trHeight w:val="1435"/>
      </w:trPr>
      <w:tc>
        <w:tcPr>
          <w:tcW w:w="1843" w:type="dxa"/>
          <w:shd w:val="clear" w:color="auto" w:fill="auto"/>
        </w:tcPr>
        <w:p w14:paraId="76309FCC" w14:textId="77777777" w:rsidR="00876CD6" w:rsidRDefault="00876CD6">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76309FCD" w14:textId="77777777" w:rsidR="00876CD6" w:rsidRDefault="00876CD6"/>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876CD6" w:rsidRPr="00466168" w14:paraId="76309FD2" w14:textId="77777777" w:rsidTr="000F4C92">
            <w:trPr>
              <w:trHeight w:val="338"/>
            </w:trPr>
            <w:tc>
              <w:tcPr>
                <w:tcW w:w="2551" w:type="dxa"/>
              </w:tcPr>
              <w:p w14:paraId="76309FCE" w14:textId="77777777" w:rsidR="00876CD6" w:rsidRDefault="00876CD6">
                <w:pPr>
                  <w:tabs>
                    <w:tab w:val="right" w:pos="8838"/>
                  </w:tabs>
                  <w:ind w:right="-105"/>
                  <w:rPr>
                    <w:rFonts w:ascii="Palatino Linotype" w:eastAsia="Calibri" w:hAnsi="Palatino Linotype" w:cs="Tahoma"/>
                    <w:b/>
                    <w:sz w:val="22"/>
                    <w:szCs w:val="22"/>
                    <w:lang w:eastAsia="en-US"/>
                  </w:rPr>
                </w:pPr>
              </w:p>
              <w:p w14:paraId="76309FCF" w14:textId="77777777" w:rsidR="00876CD6" w:rsidRDefault="00876CD6">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2977" w:type="dxa"/>
              </w:tcPr>
              <w:p w14:paraId="76309FD0" w14:textId="77777777" w:rsidR="00876CD6" w:rsidRPr="00466168" w:rsidRDefault="00876CD6" w:rsidP="000F4C92">
                <w:pPr>
                  <w:tabs>
                    <w:tab w:val="right" w:pos="8838"/>
                  </w:tabs>
                  <w:ind w:right="-105" w:hanging="101"/>
                  <w:jc w:val="both"/>
                  <w:rPr>
                    <w:rFonts w:ascii="Palatino Linotype" w:eastAsia="Calibri" w:hAnsi="Palatino Linotype" w:cs="Tahoma"/>
                    <w:bCs/>
                    <w:sz w:val="22"/>
                    <w:szCs w:val="22"/>
                    <w:lang w:eastAsia="en-US"/>
                  </w:rPr>
                </w:pPr>
              </w:p>
              <w:p w14:paraId="76309FD1" w14:textId="77777777" w:rsidR="00876CD6" w:rsidRPr="00466168" w:rsidRDefault="00876CD6" w:rsidP="000F4C92">
                <w:pPr>
                  <w:tabs>
                    <w:tab w:val="right" w:pos="8838"/>
                  </w:tabs>
                  <w:ind w:right="-105" w:hanging="101"/>
                  <w:jc w:val="both"/>
                  <w:rPr>
                    <w:rFonts w:ascii="Palatino Linotype" w:eastAsia="Calibri" w:hAnsi="Palatino Linotype" w:cs="Tahoma"/>
                    <w:bCs/>
                    <w:sz w:val="22"/>
                    <w:szCs w:val="22"/>
                    <w:lang w:eastAsia="en-US"/>
                  </w:rPr>
                </w:pPr>
                <w:r w:rsidRPr="00466168">
                  <w:rPr>
                    <w:rFonts w:ascii="Palatino Linotype" w:eastAsia="Calibri" w:hAnsi="Palatino Linotype" w:cs="Tahoma"/>
                    <w:sz w:val="22"/>
                    <w:lang w:eastAsia="en-US"/>
                  </w:rPr>
                  <w:t>01498/INFOEM/IP/RR/2024</w:t>
                </w:r>
              </w:p>
            </w:tc>
          </w:tr>
          <w:tr w:rsidR="00876CD6" w:rsidRPr="00466168" w14:paraId="76309FD5" w14:textId="77777777" w:rsidTr="000F4C92">
            <w:trPr>
              <w:trHeight w:val="283"/>
            </w:trPr>
            <w:tc>
              <w:tcPr>
                <w:tcW w:w="2551" w:type="dxa"/>
              </w:tcPr>
              <w:p w14:paraId="76309FD3" w14:textId="77777777" w:rsidR="00876CD6" w:rsidRDefault="00876CD6">
                <w:pPr>
                  <w:tabs>
                    <w:tab w:val="right" w:pos="8838"/>
                  </w:tabs>
                  <w:ind w:right="-105"/>
                  <w:rPr>
                    <w:rFonts w:ascii="Palatino Linotype" w:eastAsia="Calibri" w:hAnsi="Palatino Linotype" w:cs="Tahoma"/>
                    <w:b/>
                    <w:sz w:val="22"/>
                    <w:szCs w:val="22"/>
                    <w:lang w:eastAsia="en-US"/>
                  </w:rPr>
                </w:pPr>
                <w:bookmarkStart w:id="18" w:name="_Hlk33010189"/>
                <w:r>
                  <w:rPr>
                    <w:rFonts w:ascii="Palatino Linotype" w:eastAsia="Calibri" w:hAnsi="Palatino Linotype" w:cs="Tahoma"/>
                    <w:b/>
                    <w:sz w:val="22"/>
                    <w:szCs w:val="22"/>
                    <w:lang w:eastAsia="en-US"/>
                  </w:rPr>
                  <w:t>Sujeto Obligado:</w:t>
                </w:r>
              </w:p>
            </w:tc>
            <w:tc>
              <w:tcPr>
                <w:tcW w:w="2977" w:type="dxa"/>
              </w:tcPr>
              <w:p w14:paraId="76309FD4" w14:textId="77777777" w:rsidR="00876CD6" w:rsidRPr="00466168" w:rsidRDefault="00876CD6" w:rsidP="000F4C92">
                <w:pPr>
                  <w:tabs>
                    <w:tab w:val="left" w:pos="2834"/>
                    <w:tab w:val="right" w:pos="8838"/>
                  </w:tabs>
                  <w:ind w:left="-113" w:right="-107"/>
                  <w:jc w:val="both"/>
                  <w:rPr>
                    <w:rFonts w:ascii="Palatino Linotype" w:eastAsia="Calibri" w:hAnsi="Palatino Linotype" w:cs="Tahoma"/>
                    <w:sz w:val="22"/>
                    <w:szCs w:val="22"/>
                    <w:lang w:eastAsia="en-US"/>
                  </w:rPr>
                </w:pPr>
                <w:r w:rsidRPr="00466168">
                  <w:rPr>
                    <w:rFonts w:ascii="Palatino Linotype" w:eastAsia="Calibri" w:hAnsi="Palatino Linotype" w:cs="Arial"/>
                    <w:bCs/>
                    <w:sz w:val="22"/>
                    <w:lang w:val="es-MX"/>
                  </w:rPr>
                  <w:t>Secretaría de Educación, Ciencia, Tecnología e Innovación</w:t>
                </w:r>
              </w:p>
            </w:tc>
          </w:tr>
          <w:bookmarkEnd w:id="18"/>
          <w:tr w:rsidR="00876CD6" w:rsidRPr="00466168" w14:paraId="76309FD8" w14:textId="77777777" w:rsidTr="000F4C92">
            <w:trPr>
              <w:trHeight w:val="283"/>
            </w:trPr>
            <w:tc>
              <w:tcPr>
                <w:tcW w:w="2551" w:type="dxa"/>
              </w:tcPr>
              <w:p w14:paraId="76309FD6" w14:textId="77777777" w:rsidR="00876CD6" w:rsidRDefault="00876CD6">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2977" w:type="dxa"/>
              </w:tcPr>
              <w:p w14:paraId="76309FD7" w14:textId="77777777" w:rsidR="00876CD6" w:rsidRPr="00466168" w:rsidRDefault="00876CD6" w:rsidP="000F4C92">
                <w:pPr>
                  <w:tabs>
                    <w:tab w:val="right" w:pos="8838"/>
                  </w:tabs>
                  <w:ind w:left="-113" w:right="-105"/>
                  <w:jc w:val="both"/>
                  <w:rPr>
                    <w:rFonts w:ascii="Palatino Linotype" w:eastAsia="Calibri" w:hAnsi="Palatino Linotype" w:cs="Tahoma"/>
                    <w:sz w:val="22"/>
                    <w:szCs w:val="22"/>
                    <w:lang w:eastAsia="en-US"/>
                  </w:rPr>
                </w:pPr>
                <w:r w:rsidRPr="00466168">
                  <w:rPr>
                    <w:rFonts w:ascii="Palatino Linotype" w:eastAsia="Calibri" w:hAnsi="Palatino Linotype" w:cs="Tahoma"/>
                    <w:sz w:val="22"/>
                    <w:szCs w:val="22"/>
                    <w:lang w:eastAsia="en-US"/>
                  </w:rPr>
                  <w:t>María del Rosario Mejía Ayala</w:t>
                </w:r>
              </w:p>
            </w:tc>
          </w:tr>
        </w:tbl>
        <w:p w14:paraId="76309FD9" w14:textId="77777777" w:rsidR="00876CD6" w:rsidRDefault="00876CD6">
          <w:pPr>
            <w:tabs>
              <w:tab w:val="right" w:pos="8838"/>
            </w:tabs>
            <w:ind w:left="-28"/>
            <w:jc w:val="both"/>
            <w:rPr>
              <w:rFonts w:ascii="Arial" w:eastAsia="Calibri" w:hAnsi="Arial" w:cs="Arial"/>
              <w:b/>
              <w:sz w:val="22"/>
              <w:szCs w:val="22"/>
              <w:lang w:eastAsia="en-US"/>
            </w:rPr>
          </w:pPr>
        </w:p>
      </w:tc>
    </w:tr>
  </w:tbl>
  <w:p w14:paraId="76309FDB" w14:textId="77777777" w:rsidR="00876CD6" w:rsidRDefault="0003147D" w:rsidP="000F4C92">
    <w:pPr>
      <w:pStyle w:val="Encabezado"/>
      <w:rPr>
        <w:sz w:val="14"/>
      </w:rPr>
    </w:pPr>
    <w:r>
      <w:rPr>
        <w:noProof/>
        <w:sz w:val="14"/>
        <w:lang w:eastAsia="es-MX"/>
      </w:rPr>
      <w:pict w14:anchorId="7630A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104.3pt;margin-top:-133.1pt;width:663.5pt;height:12in;z-index:-251658752;mso-position-horizontal-relative:margin;mso-position-vertical-relative:margin" o:allowincell="f">
          <v:imagedata r:id="rId1" o:title="marcaaguaINFOEM"/>
          <w10:wrap anchorx="margin" anchory="margin"/>
        </v:shape>
      </w:pict>
    </w:r>
  </w:p>
  <w:p w14:paraId="76309FDC" w14:textId="77777777" w:rsidR="00876CD6" w:rsidRDefault="00876CD6"/>
  <w:p w14:paraId="76309FDD" w14:textId="77777777" w:rsidR="00876CD6" w:rsidRDefault="00876CD6"/>
  <w:p w14:paraId="76309FDE" w14:textId="77777777" w:rsidR="00876CD6" w:rsidRDefault="00876CD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876CD6" w14:paraId="76309FF7" w14:textId="77777777" w:rsidTr="000F4C92">
      <w:trPr>
        <w:trHeight w:val="1435"/>
      </w:trPr>
      <w:tc>
        <w:tcPr>
          <w:tcW w:w="1560" w:type="dxa"/>
          <w:shd w:val="clear" w:color="auto" w:fill="auto"/>
        </w:tcPr>
        <w:p w14:paraId="76309FE5" w14:textId="77777777" w:rsidR="00876CD6" w:rsidRDefault="00876CD6">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876CD6" w14:paraId="76309FE9" w14:textId="77777777" w:rsidTr="000F4C92">
            <w:trPr>
              <w:trHeight w:val="144"/>
            </w:trPr>
            <w:tc>
              <w:tcPr>
                <w:tcW w:w="2444" w:type="dxa"/>
              </w:tcPr>
              <w:p w14:paraId="76309FE6" w14:textId="77777777" w:rsidR="00876CD6" w:rsidRDefault="00876CD6" w:rsidP="000F4C92">
                <w:pPr>
                  <w:tabs>
                    <w:tab w:val="right" w:pos="8838"/>
                  </w:tabs>
                  <w:ind w:left="-74" w:right="-105"/>
                  <w:rPr>
                    <w:rFonts w:ascii="Palatino Linotype" w:eastAsia="Calibri" w:hAnsi="Palatino Linotype" w:cs="Tahoma"/>
                    <w:b/>
                    <w:sz w:val="22"/>
                    <w:szCs w:val="22"/>
                    <w:lang w:eastAsia="en-US"/>
                  </w:rPr>
                </w:pPr>
                <w:bookmarkStart w:id="19" w:name="_Hlk12526980"/>
                <w:r>
                  <w:rPr>
                    <w:rFonts w:ascii="Palatino Linotype" w:eastAsia="Calibri" w:hAnsi="Palatino Linotype" w:cs="Tahoma"/>
                    <w:b/>
                    <w:sz w:val="22"/>
                    <w:szCs w:val="22"/>
                    <w:lang w:eastAsia="en-US"/>
                  </w:rPr>
                  <w:t>Recurso de Revisión:</w:t>
                </w:r>
              </w:p>
            </w:tc>
            <w:tc>
              <w:tcPr>
                <w:tcW w:w="3084" w:type="dxa"/>
              </w:tcPr>
              <w:p w14:paraId="76309FE7" w14:textId="77777777" w:rsidR="00876CD6" w:rsidRPr="00350DB4" w:rsidRDefault="00876CD6" w:rsidP="000F4C92">
                <w:pPr>
                  <w:tabs>
                    <w:tab w:val="right" w:pos="8838"/>
                  </w:tabs>
                  <w:ind w:left="-3" w:right="-105"/>
                  <w:jc w:val="both"/>
                  <w:rPr>
                    <w:rFonts w:ascii="Palatino Linotype" w:eastAsia="Calibri" w:hAnsi="Palatino Linotype" w:cs="Tahoma"/>
                    <w:sz w:val="22"/>
                    <w:szCs w:val="22"/>
                    <w:lang w:eastAsia="en-US"/>
                  </w:rPr>
                </w:pPr>
                <w:r w:rsidRPr="00256619">
                  <w:rPr>
                    <w:rFonts w:ascii="Palatino Linotype" w:eastAsia="Calibri" w:hAnsi="Palatino Linotype" w:cs="Tahoma"/>
                    <w:sz w:val="22"/>
                    <w:lang w:eastAsia="en-US"/>
                  </w:rPr>
                  <w:t>0</w:t>
                </w:r>
                <w:r>
                  <w:rPr>
                    <w:rFonts w:ascii="Palatino Linotype" w:eastAsia="Calibri" w:hAnsi="Palatino Linotype" w:cs="Tahoma"/>
                    <w:sz w:val="22"/>
                    <w:lang w:eastAsia="en-US"/>
                  </w:rPr>
                  <w:t>1498/INFOEM/IP/RR/2024</w:t>
                </w:r>
              </w:p>
            </w:tc>
            <w:tc>
              <w:tcPr>
                <w:tcW w:w="3402" w:type="dxa"/>
              </w:tcPr>
              <w:p w14:paraId="76309FE8" w14:textId="77777777" w:rsidR="00876CD6" w:rsidRDefault="00876CD6">
                <w:pPr>
                  <w:tabs>
                    <w:tab w:val="right" w:pos="8838"/>
                  </w:tabs>
                  <w:ind w:left="-74" w:right="-105"/>
                  <w:jc w:val="both"/>
                  <w:rPr>
                    <w:rFonts w:ascii="Palatino Linotype" w:eastAsia="Calibri" w:hAnsi="Palatino Linotype" w:cs="Tahoma"/>
                    <w:bCs/>
                    <w:sz w:val="22"/>
                    <w:szCs w:val="22"/>
                    <w:lang w:eastAsia="en-US"/>
                  </w:rPr>
                </w:pPr>
              </w:p>
            </w:tc>
          </w:tr>
          <w:tr w:rsidR="00876CD6" w14:paraId="76309FED" w14:textId="77777777" w:rsidTr="000F4C92">
            <w:trPr>
              <w:trHeight w:val="144"/>
            </w:trPr>
            <w:tc>
              <w:tcPr>
                <w:tcW w:w="2444" w:type="dxa"/>
              </w:tcPr>
              <w:p w14:paraId="76309FEA" w14:textId="77777777" w:rsidR="00876CD6" w:rsidRDefault="00876CD6" w:rsidP="000F4C92">
                <w:pPr>
                  <w:tabs>
                    <w:tab w:val="right" w:pos="8838"/>
                  </w:tabs>
                  <w:ind w:left="-74" w:right="-105"/>
                  <w:rPr>
                    <w:rFonts w:ascii="Palatino Linotype" w:eastAsia="Calibri" w:hAnsi="Palatino Linotype" w:cs="Tahoma"/>
                    <w:b/>
                    <w:sz w:val="22"/>
                    <w:szCs w:val="22"/>
                    <w:lang w:eastAsia="en-US"/>
                  </w:rPr>
                </w:pPr>
                <w:bookmarkStart w:id="20" w:name="_Hlk10641523"/>
                <w:bookmarkEnd w:id="19"/>
                <w:r>
                  <w:rPr>
                    <w:rFonts w:ascii="Palatino Linotype" w:eastAsia="Calibri" w:hAnsi="Palatino Linotype" w:cs="Tahoma"/>
                    <w:b/>
                    <w:sz w:val="22"/>
                    <w:szCs w:val="22"/>
                    <w:lang w:eastAsia="en-US"/>
                  </w:rPr>
                  <w:t>Recurrente:</w:t>
                </w:r>
              </w:p>
            </w:tc>
            <w:tc>
              <w:tcPr>
                <w:tcW w:w="3084" w:type="dxa"/>
              </w:tcPr>
              <w:p w14:paraId="76309FEB" w14:textId="3B100BD9" w:rsidR="00876CD6" w:rsidRPr="00B9698C" w:rsidRDefault="00686C92" w:rsidP="000F4C92">
                <w:pPr>
                  <w:tabs>
                    <w:tab w:val="left" w:pos="3122"/>
                    <w:tab w:val="right" w:pos="8838"/>
                  </w:tabs>
                  <w:ind w:right="74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XXXXXXXXX</w:t>
                </w:r>
              </w:p>
            </w:tc>
            <w:tc>
              <w:tcPr>
                <w:tcW w:w="3402" w:type="dxa"/>
              </w:tcPr>
              <w:p w14:paraId="76309FEC" w14:textId="77777777" w:rsidR="00876CD6" w:rsidRDefault="00876CD6" w:rsidP="000F4C92">
                <w:pPr>
                  <w:tabs>
                    <w:tab w:val="left" w:pos="3122"/>
                    <w:tab w:val="right" w:pos="8838"/>
                  </w:tabs>
                  <w:ind w:right="-105"/>
                  <w:jc w:val="both"/>
                  <w:rPr>
                    <w:rFonts w:ascii="Palatino Linotype" w:eastAsia="Calibri" w:hAnsi="Palatino Linotype" w:cs="Tahoma"/>
                    <w:sz w:val="22"/>
                    <w:szCs w:val="22"/>
                    <w:lang w:eastAsia="en-US"/>
                  </w:rPr>
                </w:pPr>
              </w:p>
            </w:tc>
          </w:tr>
          <w:bookmarkEnd w:id="20"/>
          <w:tr w:rsidR="00876CD6" w14:paraId="76309FF1" w14:textId="77777777" w:rsidTr="000F4C92">
            <w:trPr>
              <w:trHeight w:val="283"/>
            </w:trPr>
            <w:tc>
              <w:tcPr>
                <w:tcW w:w="2444" w:type="dxa"/>
              </w:tcPr>
              <w:p w14:paraId="76309FEE" w14:textId="77777777" w:rsidR="00876CD6" w:rsidRDefault="00876CD6" w:rsidP="000F4C92">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14:paraId="76309FEF" w14:textId="77777777" w:rsidR="00876CD6" w:rsidRPr="00466168" w:rsidRDefault="00876CD6" w:rsidP="000F4C92">
                <w:pPr>
                  <w:tabs>
                    <w:tab w:val="left" w:pos="2834"/>
                    <w:tab w:val="right" w:pos="8838"/>
                  </w:tabs>
                  <w:ind w:left="-3" w:right="-105"/>
                  <w:jc w:val="both"/>
                  <w:rPr>
                    <w:rFonts w:ascii="Palatino Linotype" w:eastAsia="Calibri" w:hAnsi="Palatino Linotype" w:cs="Tahoma"/>
                    <w:sz w:val="22"/>
                    <w:szCs w:val="22"/>
                    <w:lang w:eastAsia="en-US"/>
                  </w:rPr>
                </w:pPr>
                <w:r w:rsidRPr="00466168">
                  <w:rPr>
                    <w:rFonts w:ascii="Palatino Linotype" w:eastAsia="Calibri" w:hAnsi="Palatino Linotype" w:cs="Arial"/>
                    <w:bCs/>
                    <w:sz w:val="22"/>
                    <w:lang w:val="es-MX"/>
                  </w:rPr>
                  <w:t>Secretaría de Educación, Ciencia, Tecnología e Innovación</w:t>
                </w:r>
              </w:p>
            </w:tc>
            <w:tc>
              <w:tcPr>
                <w:tcW w:w="3402" w:type="dxa"/>
              </w:tcPr>
              <w:p w14:paraId="76309FF0" w14:textId="77777777" w:rsidR="00876CD6" w:rsidRDefault="00876CD6">
                <w:pPr>
                  <w:tabs>
                    <w:tab w:val="left" w:pos="2834"/>
                    <w:tab w:val="right" w:pos="8838"/>
                  </w:tabs>
                  <w:ind w:left="-74" w:right="-105"/>
                  <w:jc w:val="both"/>
                  <w:rPr>
                    <w:rFonts w:ascii="Palatino Linotype" w:eastAsia="Calibri" w:hAnsi="Palatino Linotype" w:cs="Tahoma"/>
                    <w:sz w:val="22"/>
                    <w:szCs w:val="22"/>
                    <w:lang w:eastAsia="en-US"/>
                  </w:rPr>
                </w:pPr>
              </w:p>
            </w:tc>
          </w:tr>
          <w:tr w:rsidR="00876CD6" w14:paraId="76309FF5" w14:textId="77777777" w:rsidTr="000F4C92">
            <w:trPr>
              <w:trHeight w:val="283"/>
            </w:trPr>
            <w:tc>
              <w:tcPr>
                <w:tcW w:w="2444" w:type="dxa"/>
              </w:tcPr>
              <w:p w14:paraId="76309FF2" w14:textId="77777777" w:rsidR="00876CD6" w:rsidRDefault="00876CD6" w:rsidP="000F4C92">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14:paraId="76309FF3" w14:textId="77777777" w:rsidR="00876CD6" w:rsidRPr="003037E1" w:rsidRDefault="00876CD6" w:rsidP="000F4C92">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76309FF4" w14:textId="77777777" w:rsidR="00876CD6" w:rsidRDefault="00876CD6">
                <w:pPr>
                  <w:tabs>
                    <w:tab w:val="right" w:pos="8838"/>
                  </w:tabs>
                  <w:ind w:left="-74" w:right="-105"/>
                  <w:jc w:val="both"/>
                  <w:rPr>
                    <w:rFonts w:ascii="Palatino Linotype" w:eastAsia="Calibri" w:hAnsi="Palatino Linotype" w:cs="Tahoma"/>
                    <w:sz w:val="22"/>
                    <w:szCs w:val="22"/>
                    <w:lang w:eastAsia="en-US"/>
                  </w:rPr>
                </w:pPr>
              </w:p>
            </w:tc>
          </w:tr>
        </w:tbl>
        <w:p w14:paraId="76309FF6" w14:textId="77777777" w:rsidR="00876CD6" w:rsidRDefault="00876CD6">
          <w:pPr>
            <w:tabs>
              <w:tab w:val="right" w:pos="8838"/>
            </w:tabs>
            <w:ind w:left="-28"/>
            <w:jc w:val="both"/>
            <w:rPr>
              <w:rFonts w:ascii="Arial" w:eastAsia="Calibri" w:hAnsi="Arial" w:cs="Arial"/>
              <w:b/>
              <w:sz w:val="22"/>
              <w:szCs w:val="22"/>
              <w:lang w:eastAsia="en-US"/>
            </w:rPr>
          </w:pPr>
        </w:p>
      </w:tc>
    </w:tr>
  </w:tbl>
  <w:p w14:paraId="76309FF8" w14:textId="77777777" w:rsidR="00876CD6" w:rsidRDefault="0003147D" w:rsidP="000F4C92">
    <w:pPr>
      <w:pStyle w:val="Encabezado"/>
      <w:tabs>
        <w:tab w:val="clear" w:pos="4419"/>
        <w:tab w:val="clear" w:pos="8838"/>
        <w:tab w:val="center" w:pos="4522"/>
      </w:tabs>
    </w:pPr>
    <w:r>
      <w:rPr>
        <w:noProof/>
        <w:sz w:val="14"/>
        <w:szCs w:val="22"/>
        <w:lang w:eastAsia="es-MX"/>
      </w:rPr>
      <w:pict w14:anchorId="7630A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75.8pt;margin-top:-134.3pt;width:663.5pt;height:12in;z-index:-251657728;mso-position-horizontal-relative:margin;mso-position-vertical-relative:margin" o:allowincell="f">
          <v:imagedata r:id="rId1" o:title="marcaaguaINFOEM"/>
          <w10:wrap anchorx="margin" anchory="margin"/>
        </v:shape>
      </w:pict>
    </w:r>
  </w:p>
  <w:p w14:paraId="76309FF9" w14:textId="77777777" w:rsidR="00876CD6" w:rsidRDefault="00876CD6"/>
  <w:p w14:paraId="76309FFA" w14:textId="77777777" w:rsidR="00876CD6" w:rsidRDefault="00876C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6AD1"/>
    <w:multiLevelType w:val="multilevel"/>
    <w:tmpl w:val="54E42CE0"/>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161270"/>
    <w:multiLevelType w:val="hybridMultilevel"/>
    <w:tmpl w:val="174C0C30"/>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5A11A6"/>
    <w:multiLevelType w:val="hybridMultilevel"/>
    <w:tmpl w:val="C724603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1F2E5343"/>
    <w:multiLevelType w:val="hybridMultilevel"/>
    <w:tmpl w:val="2DA81262"/>
    <w:lvl w:ilvl="0" w:tplc="FD2417A4">
      <w:start w:val="1"/>
      <w:numFmt w:val="upp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 w15:restartNumberingAfterBreak="0">
    <w:nsid w:val="29277A4A"/>
    <w:multiLevelType w:val="hybridMultilevel"/>
    <w:tmpl w:val="66D678B2"/>
    <w:lvl w:ilvl="0" w:tplc="B562EA2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971732"/>
    <w:multiLevelType w:val="multilevel"/>
    <w:tmpl w:val="0C76805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DF2E1D"/>
    <w:multiLevelType w:val="hybridMultilevel"/>
    <w:tmpl w:val="E766BB30"/>
    <w:lvl w:ilvl="0" w:tplc="680AD79A">
      <w:numFmt w:val="bullet"/>
      <w:lvlText w:val="-"/>
      <w:lvlJc w:val="left"/>
      <w:pPr>
        <w:ind w:left="720" w:hanging="360"/>
      </w:pPr>
      <w:rPr>
        <w:rFonts w:ascii="Palatino Linotype" w:eastAsia="Times New Roman" w:hAnsi="Palatino Linotype" w:cs="Times New Roman"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E5203E"/>
    <w:multiLevelType w:val="multilevel"/>
    <w:tmpl w:val="6136B0C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0E5852"/>
    <w:multiLevelType w:val="hybridMultilevel"/>
    <w:tmpl w:val="6D827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4802E3"/>
    <w:multiLevelType w:val="hybridMultilevel"/>
    <w:tmpl w:val="14FC8D38"/>
    <w:lvl w:ilvl="0" w:tplc="080A0001">
      <w:start w:val="1"/>
      <w:numFmt w:val="bullet"/>
      <w:lvlText w:val=""/>
      <w:lvlJc w:val="left"/>
      <w:pPr>
        <w:ind w:left="1637" w:hanging="360"/>
      </w:pPr>
      <w:rPr>
        <w:rFonts w:ascii="Symbol" w:hAnsi="Symbol" w:hint="default"/>
      </w:rPr>
    </w:lvl>
    <w:lvl w:ilvl="1" w:tplc="080A0003" w:tentative="1">
      <w:start w:val="1"/>
      <w:numFmt w:val="bullet"/>
      <w:lvlText w:val="o"/>
      <w:lvlJc w:val="left"/>
      <w:pPr>
        <w:ind w:left="2357" w:hanging="360"/>
      </w:pPr>
      <w:rPr>
        <w:rFonts w:ascii="Courier New" w:hAnsi="Courier New" w:cs="Courier New" w:hint="default"/>
      </w:rPr>
    </w:lvl>
    <w:lvl w:ilvl="2" w:tplc="080A0005" w:tentative="1">
      <w:start w:val="1"/>
      <w:numFmt w:val="bullet"/>
      <w:lvlText w:val=""/>
      <w:lvlJc w:val="left"/>
      <w:pPr>
        <w:ind w:left="3077" w:hanging="360"/>
      </w:pPr>
      <w:rPr>
        <w:rFonts w:ascii="Wingdings" w:hAnsi="Wingdings" w:hint="default"/>
      </w:rPr>
    </w:lvl>
    <w:lvl w:ilvl="3" w:tplc="080A0001" w:tentative="1">
      <w:start w:val="1"/>
      <w:numFmt w:val="bullet"/>
      <w:lvlText w:val=""/>
      <w:lvlJc w:val="left"/>
      <w:pPr>
        <w:ind w:left="3797" w:hanging="360"/>
      </w:pPr>
      <w:rPr>
        <w:rFonts w:ascii="Symbol" w:hAnsi="Symbol" w:hint="default"/>
      </w:rPr>
    </w:lvl>
    <w:lvl w:ilvl="4" w:tplc="080A0003" w:tentative="1">
      <w:start w:val="1"/>
      <w:numFmt w:val="bullet"/>
      <w:lvlText w:val="o"/>
      <w:lvlJc w:val="left"/>
      <w:pPr>
        <w:ind w:left="4517" w:hanging="360"/>
      </w:pPr>
      <w:rPr>
        <w:rFonts w:ascii="Courier New" w:hAnsi="Courier New" w:cs="Courier New" w:hint="default"/>
      </w:rPr>
    </w:lvl>
    <w:lvl w:ilvl="5" w:tplc="080A0005" w:tentative="1">
      <w:start w:val="1"/>
      <w:numFmt w:val="bullet"/>
      <w:lvlText w:val=""/>
      <w:lvlJc w:val="left"/>
      <w:pPr>
        <w:ind w:left="5237" w:hanging="360"/>
      </w:pPr>
      <w:rPr>
        <w:rFonts w:ascii="Wingdings" w:hAnsi="Wingdings" w:hint="default"/>
      </w:rPr>
    </w:lvl>
    <w:lvl w:ilvl="6" w:tplc="080A0001" w:tentative="1">
      <w:start w:val="1"/>
      <w:numFmt w:val="bullet"/>
      <w:lvlText w:val=""/>
      <w:lvlJc w:val="left"/>
      <w:pPr>
        <w:ind w:left="5957" w:hanging="360"/>
      </w:pPr>
      <w:rPr>
        <w:rFonts w:ascii="Symbol" w:hAnsi="Symbol" w:hint="default"/>
      </w:rPr>
    </w:lvl>
    <w:lvl w:ilvl="7" w:tplc="080A0003" w:tentative="1">
      <w:start w:val="1"/>
      <w:numFmt w:val="bullet"/>
      <w:lvlText w:val="o"/>
      <w:lvlJc w:val="left"/>
      <w:pPr>
        <w:ind w:left="6677" w:hanging="360"/>
      </w:pPr>
      <w:rPr>
        <w:rFonts w:ascii="Courier New" w:hAnsi="Courier New" w:cs="Courier New" w:hint="default"/>
      </w:rPr>
    </w:lvl>
    <w:lvl w:ilvl="8" w:tplc="080A0005" w:tentative="1">
      <w:start w:val="1"/>
      <w:numFmt w:val="bullet"/>
      <w:lvlText w:val=""/>
      <w:lvlJc w:val="left"/>
      <w:pPr>
        <w:ind w:left="7397" w:hanging="360"/>
      </w:pPr>
      <w:rPr>
        <w:rFonts w:ascii="Wingdings" w:hAnsi="Wingdings" w:hint="default"/>
      </w:rPr>
    </w:lvl>
  </w:abstractNum>
  <w:abstractNum w:abstractNumId="11" w15:restartNumberingAfterBreak="0">
    <w:nsid w:val="50E5299C"/>
    <w:multiLevelType w:val="hybridMultilevel"/>
    <w:tmpl w:val="0D32862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19A3C11"/>
    <w:multiLevelType w:val="hybridMultilevel"/>
    <w:tmpl w:val="C706B29A"/>
    <w:lvl w:ilvl="0" w:tplc="567C523A">
      <w:start w:val="12"/>
      <w:numFmt w:val="decimal"/>
      <w:lvlText w:val="%1."/>
      <w:lvlJc w:val="left"/>
      <w:pPr>
        <w:ind w:left="644" w:hanging="360"/>
      </w:pPr>
      <w:rPr>
        <w:rFonts w:hint="default"/>
        <w:b w:val="0"/>
        <w:i w:val="0"/>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13" w15:restartNumberingAfterBreak="0">
    <w:nsid w:val="562F1B34"/>
    <w:multiLevelType w:val="hybridMultilevel"/>
    <w:tmpl w:val="A56474CE"/>
    <w:lvl w:ilvl="0" w:tplc="080A0017">
      <w:start w:val="1"/>
      <w:numFmt w:val="lowerLetter"/>
      <w:lvlText w:val="%1)"/>
      <w:lvlJc w:val="left"/>
      <w:pPr>
        <w:ind w:left="778" w:hanging="360"/>
      </w:pPr>
      <w:rPr>
        <w:rFonts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4" w15:restartNumberingAfterBreak="0">
    <w:nsid w:val="602B190D"/>
    <w:multiLevelType w:val="hybridMultilevel"/>
    <w:tmpl w:val="62CCC48E"/>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68C810E8"/>
    <w:multiLevelType w:val="hybridMultilevel"/>
    <w:tmpl w:val="850494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D77336"/>
    <w:multiLevelType w:val="hybridMultilevel"/>
    <w:tmpl w:val="E05EFA9C"/>
    <w:lvl w:ilvl="0" w:tplc="CEECE336">
      <w:start w:val="1"/>
      <w:numFmt w:val="upperRoman"/>
      <w:lvlText w:val="%1."/>
      <w:lvlJc w:val="left"/>
      <w:pPr>
        <w:ind w:left="1080" w:hanging="720"/>
      </w:pPr>
      <w:rPr>
        <w:rFonts w:ascii="Palatino Linotype" w:eastAsia="Times New Roman" w:hAnsi="Palatino Linotype"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7906C5"/>
    <w:multiLevelType w:val="multilevel"/>
    <w:tmpl w:val="CD441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70136A0"/>
    <w:multiLevelType w:val="hybridMultilevel"/>
    <w:tmpl w:val="225C8A14"/>
    <w:lvl w:ilvl="0" w:tplc="9216D5FA">
      <w:start w:val="1"/>
      <w:numFmt w:val="decimal"/>
      <w:lvlText w:val="%1."/>
      <w:lvlJc w:val="left"/>
      <w:pPr>
        <w:ind w:left="360"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5F7D90"/>
    <w:multiLevelType w:val="hybridMultilevel"/>
    <w:tmpl w:val="22649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11"/>
  </w:num>
  <w:num w:numId="6">
    <w:abstractNumId w:val="6"/>
  </w:num>
  <w:num w:numId="7">
    <w:abstractNumId w:val="1"/>
  </w:num>
  <w:num w:numId="8">
    <w:abstractNumId w:val="14"/>
  </w:num>
  <w:num w:numId="9">
    <w:abstractNumId w:val="19"/>
  </w:num>
  <w:num w:numId="10">
    <w:abstractNumId w:val="0"/>
  </w:num>
  <w:num w:numId="11">
    <w:abstractNumId w:val="12"/>
  </w:num>
  <w:num w:numId="12">
    <w:abstractNumId w:val="2"/>
  </w:num>
  <w:num w:numId="13">
    <w:abstractNumId w:val="15"/>
  </w:num>
  <w:num w:numId="14">
    <w:abstractNumId w:val="16"/>
  </w:num>
  <w:num w:numId="15">
    <w:abstractNumId w:val="13"/>
  </w:num>
  <w:num w:numId="16">
    <w:abstractNumId w:val="17"/>
  </w:num>
  <w:num w:numId="17">
    <w:abstractNumId w:val="5"/>
  </w:num>
  <w:num w:numId="18">
    <w:abstractNumId w:val="8"/>
  </w:num>
  <w:num w:numId="19">
    <w:abstractNumId w:val="10"/>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68"/>
    <w:rsid w:val="0003147D"/>
    <w:rsid w:val="000D3126"/>
    <w:rsid w:val="000F4C92"/>
    <w:rsid w:val="00153F72"/>
    <w:rsid w:val="0017088C"/>
    <w:rsid w:val="001A7F3E"/>
    <w:rsid w:val="001B24C7"/>
    <w:rsid w:val="00213DDA"/>
    <w:rsid w:val="00242A1F"/>
    <w:rsid w:val="002B032F"/>
    <w:rsid w:val="002B1865"/>
    <w:rsid w:val="002B36D9"/>
    <w:rsid w:val="002C2556"/>
    <w:rsid w:val="002C74CF"/>
    <w:rsid w:val="002E5022"/>
    <w:rsid w:val="002F2D53"/>
    <w:rsid w:val="0033189E"/>
    <w:rsid w:val="003B4CE4"/>
    <w:rsid w:val="003C10E9"/>
    <w:rsid w:val="00411F72"/>
    <w:rsid w:val="00466168"/>
    <w:rsid w:val="0049293A"/>
    <w:rsid w:val="004D15B2"/>
    <w:rsid w:val="00591D02"/>
    <w:rsid w:val="005A7705"/>
    <w:rsid w:val="005B64E7"/>
    <w:rsid w:val="005C5FB9"/>
    <w:rsid w:val="005D3055"/>
    <w:rsid w:val="005E4BFA"/>
    <w:rsid w:val="00630861"/>
    <w:rsid w:val="00675B4F"/>
    <w:rsid w:val="00675CED"/>
    <w:rsid w:val="00686C92"/>
    <w:rsid w:val="007008EF"/>
    <w:rsid w:val="00741DB8"/>
    <w:rsid w:val="007A5084"/>
    <w:rsid w:val="007A6851"/>
    <w:rsid w:val="007B0E39"/>
    <w:rsid w:val="007D6CF8"/>
    <w:rsid w:val="008177DF"/>
    <w:rsid w:val="00827E42"/>
    <w:rsid w:val="00831AE0"/>
    <w:rsid w:val="00854E20"/>
    <w:rsid w:val="008554CB"/>
    <w:rsid w:val="00876CD6"/>
    <w:rsid w:val="0088780C"/>
    <w:rsid w:val="008A4ABA"/>
    <w:rsid w:val="0092045A"/>
    <w:rsid w:val="00976E83"/>
    <w:rsid w:val="009E50DF"/>
    <w:rsid w:val="009F0700"/>
    <w:rsid w:val="00A211DD"/>
    <w:rsid w:val="00A73CAF"/>
    <w:rsid w:val="00AD22F7"/>
    <w:rsid w:val="00B12F40"/>
    <w:rsid w:val="00BD3B95"/>
    <w:rsid w:val="00C04559"/>
    <w:rsid w:val="00C55167"/>
    <w:rsid w:val="00C954A3"/>
    <w:rsid w:val="00CA13A3"/>
    <w:rsid w:val="00CA3701"/>
    <w:rsid w:val="00CC498F"/>
    <w:rsid w:val="00CE0A7D"/>
    <w:rsid w:val="00D02AE5"/>
    <w:rsid w:val="00D205B8"/>
    <w:rsid w:val="00D55782"/>
    <w:rsid w:val="00D853A3"/>
    <w:rsid w:val="00DF1E1A"/>
    <w:rsid w:val="00E539C7"/>
    <w:rsid w:val="00E6624A"/>
    <w:rsid w:val="00E8528A"/>
    <w:rsid w:val="00E90DC9"/>
    <w:rsid w:val="00F123BC"/>
    <w:rsid w:val="00F4306A"/>
    <w:rsid w:val="00F63A8B"/>
    <w:rsid w:val="00F769AB"/>
    <w:rsid w:val="00F770F0"/>
    <w:rsid w:val="00FD18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309DCF"/>
  <w15:chartTrackingRefBased/>
  <w15:docId w15:val="{0F5001F0-3DCB-451C-A7CC-1C542C00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16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4661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6616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6168"/>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466168"/>
    <w:rPr>
      <w:rFonts w:asciiTheme="majorHAnsi" w:eastAsiaTheme="majorEastAsia" w:hAnsiTheme="majorHAnsi" w:cstheme="majorBidi"/>
      <w:color w:val="2E74B5" w:themeColor="accent1" w:themeShade="BF"/>
      <w:sz w:val="26"/>
      <w:szCs w:val="26"/>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66168"/>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66168"/>
    <w:rPr>
      <w:rFonts w:ascii="Calibri" w:eastAsia="Calibri" w:hAnsi="Calibri" w:cs="Times New Roman"/>
      <w:sz w:val="20"/>
      <w:szCs w:val="20"/>
    </w:rPr>
  </w:style>
  <w:style w:type="paragraph" w:styleId="Encabezado">
    <w:name w:val="header"/>
    <w:basedOn w:val="Normal"/>
    <w:link w:val="EncabezadoCar"/>
    <w:uiPriority w:val="99"/>
    <w:unhideWhenUsed/>
    <w:qFormat/>
    <w:rsid w:val="00466168"/>
    <w:pPr>
      <w:tabs>
        <w:tab w:val="center" w:pos="4419"/>
        <w:tab w:val="right" w:pos="8838"/>
      </w:tabs>
    </w:pPr>
  </w:style>
  <w:style w:type="character" w:customStyle="1" w:styleId="EncabezadoCar">
    <w:name w:val="Encabezado Car"/>
    <w:basedOn w:val="Fuentedeprrafopredeter"/>
    <w:link w:val="Encabezado"/>
    <w:uiPriority w:val="99"/>
    <w:qFormat/>
    <w:rsid w:val="00466168"/>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qFormat/>
    <w:rsid w:val="00466168"/>
    <w:pPr>
      <w:tabs>
        <w:tab w:val="center" w:pos="4419"/>
        <w:tab w:val="right" w:pos="8838"/>
      </w:tabs>
    </w:pPr>
  </w:style>
  <w:style w:type="character" w:customStyle="1" w:styleId="PiedepginaCar">
    <w:name w:val="Pie de página Car"/>
    <w:basedOn w:val="Fuentedeprrafopredeter"/>
    <w:link w:val="Piedepgina"/>
    <w:uiPriority w:val="99"/>
    <w:qFormat/>
    <w:rsid w:val="00466168"/>
    <w:rPr>
      <w:rFonts w:ascii="Times New Roman" w:eastAsia="Times New Roman" w:hAnsi="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466168"/>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466168"/>
    <w:rPr>
      <w:color w:val="0563C1" w:themeColor="hyperlink"/>
      <w:u w:val="single"/>
    </w:rPr>
  </w:style>
  <w:style w:type="table" w:styleId="Tablaconcuadrcula">
    <w:name w:val="Table Grid"/>
    <w:basedOn w:val="Tablanormal"/>
    <w:uiPriority w:val="39"/>
    <w:qFormat/>
    <w:rsid w:val="00466168"/>
    <w:pPr>
      <w:spacing w:after="0" w:line="240" w:lineRule="auto"/>
    </w:pPr>
    <w:rPr>
      <w:rFonts w:ascii="Times New Roman" w:eastAsia="SimSun" w:hAnsi="Times New Roman"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466168"/>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466168"/>
    <w:rPr>
      <w:rFonts w:ascii="Century Gothic" w:eastAsia="Times New Roman" w:hAnsi="Century Gothic" w:cs="Times New Roman"/>
      <w:szCs w:val="24"/>
      <w:lang w:eastAsia="es-ES"/>
    </w:rPr>
  </w:style>
  <w:style w:type="paragraph" w:styleId="Sinespaciado">
    <w:name w:val="No Spacing"/>
    <w:aliases w:val="Francesa,INAI"/>
    <w:link w:val="SinespaciadoCar"/>
    <w:uiPriority w:val="1"/>
    <w:qFormat/>
    <w:rsid w:val="00466168"/>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Francesa Car,INAI Car"/>
    <w:basedOn w:val="Fuentedeprrafopredeter"/>
    <w:link w:val="Sinespaciado"/>
    <w:uiPriority w:val="1"/>
    <w:qFormat/>
    <w:rsid w:val="00466168"/>
    <w:rPr>
      <w:rFonts w:ascii="Arial" w:eastAsia="Batang" w:hAnsi="Arial" w:cs="Times New Roman"/>
      <w:sz w:val="20"/>
      <w:szCs w:val="24"/>
      <w:lang w:eastAsia="es-ES"/>
    </w:rPr>
  </w:style>
  <w:style w:type="table" w:styleId="Tablanormal1">
    <w:name w:val="Plain Table 1"/>
    <w:basedOn w:val="Tablanormal"/>
    <w:uiPriority w:val="41"/>
    <w:rsid w:val="004661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36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68090.pag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aimex.org.mx/saimex/solicitud/downloadAttach/2046091.pag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66</Pages>
  <Words>14600</Words>
  <Characters>80302</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INFOEM403</cp:lastModifiedBy>
  <cp:revision>22</cp:revision>
  <cp:lastPrinted>2025-02-13T16:05:00Z</cp:lastPrinted>
  <dcterms:created xsi:type="dcterms:W3CDTF">2025-02-11T01:46:00Z</dcterms:created>
  <dcterms:modified xsi:type="dcterms:W3CDTF">2025-03-25T01:50:00Z</dcterms:modified>
</cp:coreProperties>
</file>