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1A63E" w14:textId="77777777" w:rsidR="00E63DFB" w:rsidRDefault="00E63DFB">
      <w:pPr>
        <w:widowControl w:val="0"/>
        <w:pBdr>
          <w:top w:val="nil"/>
          <w:left w:val="nil"/>
          <w:bottom w:val="nil"/>
          <w:right w:val="nil"/>
          <w:between w:val="nil"/>
        </w:pBdr>
        <w:spacing w:after="0" w:line="276" w:lineRule="auto"/>
        <w:jc w:val="left"/>
      </w:pPr>
    </w:p>
    <w:p w14:paraId="46838385" w14:textId="77777777" w:rsidR="00E63DFB" w:rsidRDefault="00EE0B45">
      <w:pPr>
        <w:keepNext/>
        <w:keepLines/>
        <w:pBdr>
          <w:top w:val="nil"/>
          <w:left w:val="nil"/>
          <w:bottom w:val="nil"/>
          <w:right w:val="nil"/>
          <w:between w:val="nil"/>
        </w:pBdr>
        <w:spacing w:after="0" w:line="360" w:lineRule="auto"/>
        <w:jc w:val="center"/>
        <w:rPr>
          <w:color w:val="000000"/>
        </w:rPr>
      </w:pPr>
      <w:r>
        <w:rPr>
          <w:color w:val="000000"/>
        </w:rPr>
        <w:t>RESOLUCIÓN DEL RECURSO DE REVISIÓN 00476/INFOEM/IP/RR/2025</w:t>
      </w:r>
    </w:p>
    <w:sdt>
      <w:sdtPr>
        <w:id w:val="-1776626750"/>
        <w:docPartObj>
          <w:docPartGallery w:val="Table of Contents"/>
          <w:docPartUnique/>
        </w:docPartObj>
      </w:sdtPr>
      <w:sdtContent>
        <w:p w14:paraId="3E596DD8" w14:textId="77777777" w:rsidR="00E63DFB" w:rsidRDefault="00EE0B45">
          <w:pPr>
            <w:pBdr>
              <w:top w:val="nil"/>
              <w:left w:val="nil"/>
              <w:bottom w:val="nil"/>
              <w:right w:val="nil"/>
              <w:between w:val="nil"/>
            </w:pBdr>
            <w:tabs>
              <w:tab w:val="right" w:pos="9072"/>
            </w:tabs>
            <w:spacing w:after="0" w:line="360" w:lineRule="auto"/>
            <w:rPr>
              <w:color w:val="000000"/>
              <w:sz w:val="24"/>
              <w:szCs w:val="24"/>
            </w:rPr>
          </w:pPr>
          <w:r>
            <w:fldChar w:fldCharType="begin"/>
          </w:r>
          <w:r>
            <w:instrText xml:space="preserve"> TOC \h \u \z \t "Heading 1,1,Heading 2,2,Heading 3,3,"</w:instrText>
          </w:r>
          <w:r>
            <w:fldChar w:fldCharType="separate"/>
          </w:r>
          <w:hyperlink w:anchor="_heading=h.gjdgxs">
            <w:r>
              <w:rPr>
                <w:color w:val="000000"/>
              </w:rPr>
              <w:t>A N T E C E D E N T E S</w:t>
            </w:r>
            <w:r>
              <w:rPr>
                <w:color w:val="000000"/>
              </w:rPr>
              <w:tab/>
              <w:t>2</w:t>
            </w:r>
          </w:hyperlink>
        </w:p>
        <w:p w14:paraId="07D7B9DC" w14:textId="77777777" w:rsidR="00E63DFB" w:rsidRDefault="00EE0B45">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30j0zll">
            <w:r>
              <w:rPr>
                <w:color w:val="000000"/>
              </w:rPr>
              <w:t>I. Presentación de la solicitud de información</w:t>
            </w:r>
            <w:r>
              <w:rPr>
                <w:color w:val="000000"/>
              </w:rPr>
              <w:tab/>
              <w:t>2</w:t>
            </w:r>
          </w:hyperlink>
        </w:p>
        <w:p w14:paraId="7A01DDD9" w14:textId="77777777" w:rsidR="00E63DFB" w:rsidRDefault="00EE0B45">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1fob9te">
            <w:r>
              <w:rPr>
                <w:color w:val="000000"/>
              </w:rPr>
              <w:t>II. Respuesta del Sujeto Obligado</w:t>
            </w:r>
            <w:r>
              <w:rPr>
                <w:color w:val="000000"/>
              </w:rPr>
              <w:tab/>
              <w:t>3</w:t>
            </w:r>
          </w:hyperlink>
        </w:p>
        <w:p w14:paraId="34A8BF20" w14:textId="77777777" w:rsidR="00E63DFB" w:rsidRDefault="00EE0B45">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2et92p0">
            <w:r>
              <w:rPr>
                <w:color w:val="000000"/>
              </w:rPr>
              <w:t>III. Interposición del Recurso de Revisión</w:t>
            </w:r>
            <w:r>
              <w:rPr>
                <w:color w:val="000000"/>
              </w:rPr>
              <w:tab/>
              <w:t>4</w:t>
            </w:r>
          </w:hyperlink>
        </w:p>
        <w:p w14:paraId="48B8FAAD" w14:textId="77777777" w:rsidR="00E63DFB" w:rsidRDefault="00EE0B45">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tyjcwt">
            <w:r>
              <w:rPr>
                <w:color w:val="000000"/>
              </w:rPr>
              <w:t>IV. Trámite del Recurso de Revisión ante este Instituto</w:t>
            </w:r>
            <w:r>
              <w:rPr>
                <w:color w:val="000000"/>
              </w:rPr>
              <w:tab/>
              <w:t>4</w:t>
            </w:r>
          </w:hyperlink>
        </w:p>
        <w:p w14:paraId="7B75A6B2" w14:textId="77777777" w:rsidR="00E63DFB" w:rsidRDefault="00EE0B45">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3dy6vkm">
            <w:r>
              <w:rPr>
                <w:color w:val="000000"/>
              </w:rPr>
              <w:t>a) Turno del Medio de Impugnación.</w:t>
            </w:r>
            <w:r>
              <w:rPr>
                <w:color w:val="000000"/>
              </w:rPr>
              <w:tab/>
              <w:t>4</w:t>
            </w:r>
          </w:hyperlink>
        </w:p>
        <w:p w14:paraId="6B88F16C" w14:textId="77777777" w:rsidR="00E63DFB" w:rsidRDefault="00EE0B45">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1t3h5sf">
            <w:r>
              <w:rPr>
                <w:color w:val="000000"/>
              </w:rPr>
              <w:t>b) Admisión del Recurso de Revisión.</w:t>
            </w:r>
            <w:r>
              <w:rPr>
                <w:color w:val="000000"/>
              </w:rPr>
              <w:tab/>
              <w:t>4</w:t>
            </w:r>
          </w:hyperlink>
        </w:p>
        <w:p w14:paraId="7FA2B8B0" w14:textId="77777777" w:rsidR="00E63DFB" w:rsidRDefault="00EE0B45">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4d34og8">
            <w:r>
              <w:rPr>
                <w:color w:val="000000"/>
              </w:rPr>
              <w:t>c) Informe Justificado o Manifestaciones.</w:t>
            </w:r>
            <w:r>
              <w:rPr>
                <w:color w:val="000000"/>
              </w:rPr>
              <w:tab/>
              <w:t>5</w:t>
            </w:r>
          </w:hyperlink>
        </w:p>
        <w:p w14:paraId="20942CE7" w14:textId="77777777" w:rsidR="00E63DFB" w:rsidRDefault="00EE0B45">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2s8eyo1">
            <w:r>
              <w:rPr>
                <w:color w:val="000000"/>
              </w:rPr>
              <w:t>d) Cierre de instrucción.</w:t>
            </w:r>
            <w:r>
              <w:rPr>
                <w:color w:val="000000"/>
              </w:rPr>
              <w:tab/>
              <w:t>5</w:t>
            </w:r>
          </w:hyperlink>
        </w:p>
        <w:p w14:paraId="6F8B6239" w14:textId="77777777" w:rsidR="00E63DFB" w:rsidRDefault="00EE0B45">
          <w:pPr>
            <w:pBdr>
              <w:top w:val="nil"/>
              <w:left w:val="nil"/>
              <w:bottom w:val="nil"/>
              <w:right w:val="nil"/>
              <w:between w:val="nil"/>
            </w:pBdr>
            <w:tabs>
              <w:tab w:val="right" w:pos="9072"/>
            </w:tabs>
            <w:spacing w:after="0" w:line="360" w:lineRule="auto"/>
            <w:rPr>
              <w:color w:val="000000"/>
              <w:sz w:val="24"/>
              <w:szCs w:val="24"/>
            </w:rPr>
          </w:pPr>
          <w:hyperlink w:anchor="_heading=h.17dp8vu">
            <w:r>
              <w:rPr>
                <w:color w:val="000000"/>
              </w:rPr>
              <w:t>C O N S I D E R A N D O S</w:t>
            </w:r>
            <w:r>
              <w:rPr>
                <w:color w:val="000000"/>
              </w:rPr>
              <w:tab/>
              <w:t>6</w:t>
            </w:r>
          </w:hyperlink>
        </w:p>
        <w:p w14:paraId="51440969" w14:textId="77777777" w:rsidR="00E63DFB" w:rsidRDefault="00EE0B45">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3rdcrjn">
            <w:r>
              <w:rPr>
                <w:color w:val="000000"/>
              </w:rPr>
              <w:t>PRIMERO. Competencia</w:t>
            </w:r>
            <w:r>
              <w:rPr>
                <w:color w:val="000000"/>
              </w:rPr>
              <w:tab/>
              <w:t>6</w:t>
            </w:r>
          </w:hyperlink>
        </w:p>
        <w:p w14:paraId="3A29DFC8" w14:textId="77777777" w:rsidR="00E63DFB" w:rsidRDefault="00EE0B45">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lnxbz9">
            <w:r>
              <w:rPr>
                <w:color w:val="000000"/>
              </w:rPr>
              <w:t>SEGUNDO. Causales de improcedencia y sobreseimiento</w:t>
            </w:r>
            <w:r>
              <w:rPr>
                <w:color w:val="000000"/>
              </w:rPr>
              <w:tab/>
              <w:t>6</w:t>
            </w:r>
          </w:hyperlink>
        </w:p>
        <w:p w14:paraId="737ABEF0" w14:textId="77777777" w:rsidR="00E63DFB" w:rsidRDefault="00EE0B45">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35nkun2">
            <w:r>
              <w:rPr>
                <w:color w:val="000000"/>
              </w:rPr>
              <w:t>TERCERO. Determinación de la Controversia</w:t>
            </w:r>
            <w:r>
              <w:rPr>
                <w:color w:val="000000"/>
              </w:rPr>
              <w:tab/>
              <w:t>8</w:t>
            </w:r>
          </w:hyperlink>
        </w:p>
        <w:p w14:paraId="46FC01BC" w14:textId="77777777" w:rsidR="00E63DFB" w:rsidRDefault="00EE0B45">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1ksv4uv">
            <w:r>
              <w:rPr>
                <w:color w:val="000000"/>
              </w:rPr>
              <w:t>CUARTO. Marco normativo aplicable en materia de transparencia y acceso a la información pública</w:t>
            </w:r>
            <w:r>
              <w:rPr>
                <w:color w:val="000000"/>
              </w:rPr>
              <w:tab/>
              <w:t>9</w:t>
            </w:r>
          </w:hyperlink>
        </w:p>
        <w:p w14:paraId="4CDB6F93" w14:textId="77777777" w:rsidR="00E63DFB" w:rsidRDefault="00EE0B45">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44sinio">
            <w:r>
              <w:rPr>
                <w:color w:val="000000"/>
              </w:rPr>
              <w:t>QUINTO. Estudio de Fondo</w:t>
            </w:r>
            <w:r>
              <w:rPr>
                <w:color w:val="000000"/>
              </w:rPr>
              <w:tab/>
              <w:t>10</w:t>
            </w:r>
          </w:hyperlink>
        </w:p>
        <w:p w14:paraId="195431EC" w14:textId="77777777" w:rsidR="00E63DFB" w:rsidRDefault="00EE0B45">
          <w:pPr>
            <w:pBdr>
              <w:top w:val="nil"/>
              <w:left w:val="nil"/>
              <w:bottom w:val="nil"/>
              <w:right w:val="nil"/>
              <w:between w:val="nil"/>
            </w:pBdr>
            <w:tabs>
              <w:tab w:val="right" w:pos="8921"/>
            </w:tabs>
            <w:spacing w:after="0" w:line="360" w:lineRule="auto"/>
            <w:ind w:left="200"/>
            <w:jc w:val="left"/>
            <w:rPr>
              <w:color w:val="000000"/>
              <w:sz w:val="24"/>
              <w:szCs w:val="24"/>
            </w:rPr>
          </w:pPr>
          <w:hyperlink w:anchor="_heading=h.2jxsxqh">
            <w:r>
              <w:rPr>
                <w:color w:val="000000"/>
              </w:rPr>
              <w:t>SEXTO. Decisión.</w:t>
            </w:r>
            <w:r>
              <w:rPr>
                <w:color w:val="000000"/>
              </w:rPr>
              <w:tab/>
              <w:t>17</w:t>
            </w:r>
          </w:hyperlink>
        </w:p>
        <w:p w14:paraId="4E0BE434" w14:textId="77777777" w:rsidR="00E63DFB" w:rsidRDefault="00EE0B45">
          <w:pPr>
            <w:pBdr>
              <w:top w:val="nil"/>
              <w:left w:val="nil"/>
              <w:bottom w:val="nil"/>
              <w:right w:val="nil"/>
              <w:between w:val="nil"/>
            </w:pBdr>
            <w:tabs>
              <w:tab w:val="right" w:pos="9072"/>
            </w:tabs>
            <w:spacing w:after="0" w:line="360" w:lineRule="auto"/>
            <w:rPr>
              <w:color w:val="000000"/>
              <w:sz w:val="24"/>
              <w:szCs w:val="24"/>
            </w:rPr>
          </w:pPr>
          <w:hyperlink w:anchor="_heading=h.z337ya">
            <w:r>
              <w:rPr>
                <w:color w:val="000000"/>
              </w:rPr>
              <w:t>R E S U E L V E:</w:t>
            </w:r>
            <w:r>
              <w:rPr>
                <w:color w:val="000000"/>
              </w:rPr>
              <w:tab/>
              <w:t>18</w:t>
            </w:r>
          </w:hyperlink>
        </w:p>
        <w:p w14:paraId="393E84F2" w14:textId="77777777" w:rsidR="00E63DFB" w:rsidRDefault="00EE0B45">
          <w:pPr>
            <w:spacing w:after="0" w:line="360" w:lineRule="auto"/>
          </w:pPr>
          <w:r>
            <w:fldChar w:fldCharType="end"/>
          </w:r>
        </w:p>
      </w:sdtContent>
    </w:sdt>
    <w:p w14:paraId="2E7EFA87" w14:textId="77777777" w:rsidR="00E63DFB" w:rsidRDefault="00E63DFB">
      <w:pPr>
        <w:tabs>
          <w:tab w:val="left" w:pos="8931"/>
        </w:tabs>
        <w:spacing w:after="0" w:line="360" w:lineRule="auto"/>
        <w:rPr>
          <w:color w:val="FF0000"/>
        </w:rPr>
      </w:pPr>
    </w:p>
    <w:p w14:paraId="585DD2E0" w14:textId="77777777" w:rsidR="00E63DFB" w:rsidRDefault="00E63DFB">
      <w:pPr>
        <w:tabs>
          <w:tab w:val="left" w:pos="8931"/>
        </w:tabs>
        <w:spacing w:after="0" w:line="360" w:lineRule="auto"/>
        <w:rPr>
          <w:color w:val="FF0000"/>
        </w:rPr>
      </w:pPr>
    </w:p>
    <w:p w14:paraId="226FC04E" w14:textId="77777777" w:rsidR="00E63DFB" w:rsidRDefault="00E63DFB">
      <w:pPr>
        <w:tabs>
          <w:tab w:val="left" w:pos="8931"/>
        </w:tabs>
        <w:spacing w:after="0" w:line="360" w:lineRule="auto"/>
        <w:rPr>
          <w:color w:val="000000"/>
        </w:rPr>
      </w:pPr>
    </w:p>
    <w:p w14:paraId="34313D83" w14:textId="77777777" w:rsidR="00E63DFB" w:rsidRDefault="00E63DFB">
      <w:pPr>
        <w:tabs>
          <w:tab w:val="left" w:pos="8931"/>
        </w:tabs>
        <w:spacing w:after="0" w:line="360" w:lineRule="auto"/>
        <w:rPr>
          <w:color w:val="000000"/>
        </w:rPr>
      </w:pPr>
    </w:p>
    <w:p w14:paraId="6011A7E0" w14:textId="77777777" w:rsidR="00E63DFB" w:rsidRDefault="00EE0B45">
      <w:pPr>
        <w:tabs>
          <w:tab w:val="left" w:pos="8931"/>
        </w:tabs>
        <w:spacing w:after="0" w:line="360" w:lineRule="auto"/>
        <w:rPr>
          <w:color w:val="000000"/>
        </w:rPr>
      </w:pPr>
      <w:r>
        <w:rPr>
          <w:color w:val="000000"/>
        </w:rPr>
        <w:lastRenderedPageBreak/>
        <w:t xml:space="preserve">Resolución del Pleno del Instituto de Transparencia, Acceso a la Información Pública y Protección de Datos Personales del Estado de México y Municipios, con domicilio en Metepec, Estado de México, de fecha diecinueve de febrero de dos mil veinticinco. </w:t>
      </w:r>
    </w:p>
    <w:p w14:paraId="20621BB0" w14:textId="77777777" w:rsidR="00E63DFB" w:rsidRDefault="00EE0B45">
      <w:pPr>
        <w:tabs>
          <w:tab w:val="left" w:pos="2340"/>
        </w:tabs>
        <w:spacing w:after="0" w:line="360" w:lineRule="auto"/>
        <w:rPr>
          <w:b/>
          <w:color w:val="FF0000"/>
        </w:rPr>
      </w:pPr>
      <w:r>
        <w:rPr>
          <w:b/>
          <w:color w:val="FF0000"/>
        </w:rPr>
        <w:tab/>
      </w:r>
    </w:p>
    <w:p w14:paraId="6ECCE436" w14:textId="3E8CFA29" w:rsidR="00E63DFB" w:rsidRDefault="00EE0B45">
      <w:pPr>
        <w:spacing w:after="0" w:line="360" w:lineRule="auto"/>
        <w:rPr>
          <w:color w:val="000000"/>
        </w:rPr>
      </w:pPr>
      <w:r>
        <w:rPr>
          <w:b/>
          <w:color w:val="000000"/>
        </w:rPr>
        <w:t xml:space="preserve">VISTO </w:t>
      </w:r>
      <w:r>
        <w:rPr>
          <w:color w:val="000000"/>
        </w:rPr>
        <w:t xml:space="preserve">el expediente electrónico conformado con motivo del Recurso de Revisión </w:t>
      </w:r>
      <w:r w:rsidRPr="009F0330">
        <w:rPr>
          <w:b/>
          <w:color w:val="000000"/>
        </w:rPr>
        <w:t>00476/INFOEM/IP/RR/2025</w:t>
      </w:r>
      <w:r>
        <w:rPr>
          <w:color w:val="000000"/>
        </w:rPr>
        <w:t xml:space="preserve">, interpuesto por </w:t>
      </w:r>
      <w:r w:rsidR="002262C4" w:rsidRPr="002262C4">
        <w:rPr>
          <w:highlight w:val="black"/>
        </w:rPr>
        <w:t>XXXXX</w:t>
      </w:r>
      <w:r w:rsidR="002262C4">
        <w:rPr>
          <w:highlight w:val="black"/>
        </w:rPr>
        <w:t>X</w:t>
      </w:r>
      <w:r w:rsidR="002262C4" w:rsidRPr="002262C4">
        <w:rPr>
          <w:highlight w:val="black"/>
        </w:rPr>
        <w:t>XX</w:t>
      </w:r>
      <w:r>
        <w:rPr>
          <w:color w:val="000000"/>
        </w:rPr>
        <w:t xml:space="preserve">, en contra de la respuesta del Sujeto Obligado, </w:t>
      </w:r>
      <w:r w:rsidRPr="009F0330">
        <w:rPr>
          <w:b/>
          <w:color w:val="000000"/>
        </w:rPr>
        <w:t>Ayuntamiento de la Paz</w:t>
      </w:r>
      <w:r>
        <w:rPr>
          <w:color w:val="000000"/>
        </w:rPr>
        <w:t>, a la solicitud de acceso a la información pública 00009/LAPAZ/IP/2025 se emite la presente Resolución, con base en los Antecedentes y Considerandos que se exponen a continuación:</w:t>
      </w:r>
    </w:p>
    <w:p w14:paraId="455BCB13" w14:textId="77777777" w:rsidR="00E63DFB" w:rsidRDefault="00EE0B45">
      <w:pPr>
        <w:tabs>
          <w:tab w:val="left" w:pos="1965"/>
        </w:tabs>
        <w:spacing w:after="0" w:line="360" w:lineRule="auto"/>
        <w:rPr>
          <w:b/>
          <w:color w:val="FF0000"/>
        </w:rPr>
      </w:pPr>
      <w:r>
        <w:rPr>
          <w:b/>
          <w:color w:val="FF0000"/>
        </w:rPr>
        <w:tab/>
      </w:r>
    </w:p>
    <w:p w14:paraId="6D8A81A0" w14:textId="77777777" w:rsidR="00E63DFB" w:rsidRDefault="00EE0B45">
      <w:pPr>
        <w:pStyle w:val="Ttulo1"/>
        <w:spacing w:before="0" w:line="360" w:lineRule="auto"/>
        <w:jc w:val="center"/>
        <w:rPr>
          <w:rFonts w:ascii="Palatino Linotype" w:eastAsia="Palatino Linotype" w:hAnsi="Palatino Linotype" w:cs="Palatino Linotype"/>
          <w:b/>
          <w:color w:val="000000"/>
          <w:sz w:val="22"/>
          <w:szCs w:val="22"/>
        </w:rPr>
      </w:pPr>
      <w:bookmarkStart w:id="0" w:name="_heading=h.gjdgxs" w:colFirst="0" w:colLast="0"/>
      <w:bookmarkEnd w:id="0"/>
      <w:r>
        <w:rPr>
          <w:rFonts w:ascii="Palatino Linotype" w:eastAsia="Palatino Linotype" w:hAnsi="Palatino Linotype" w:cs="Palatino Linotype"/>
          <w:b/>
          <w:color w:val="000000"/>
          <w:sz w:val="22"/>
          <w:szCs w:val="22"/>
        </w:rPr>
        <w:t>A N T E C E D E N T E S</w:t>
      </w:r>
    </w:p>
    <w:p w14:paraId="759BBC46" w14:textId="77777777" w:rsidR="00E63DFB" w:rsidRDefault="00E63DFB">
      <w:pPr>
        <w:spacing w:after="0" w:line="360" w:lineRule="auto"/>
        <w:jc w:val="center"/>
        <w:rPr>
          <w:b/>
          <w:color w:val="000000"/>
        </w:rPr>
      </w:pPr>
    </w:p>
    <w:p w14:paraId="7292D205" w14:textId="77777777" w:rsidR="00E63DFB" w:rsidRDefault="00EE0B45">
      <w:pPr>
        <w:pStyle w:val="Ttulo2"/>
        <w:spacing w:before="0" w:line="360" w:lineRule="auto"/>
        <w:rPr>
          <w:rFonts w:ascii="Palatino Linotype" w:eastAsia="Palatino Linotype" w:hAnsi="Palatino Linotype" w:cs="Palatino Linotype"/>
          <w:b/>
          <w:color w:val="000000"/>
          <w:sz w:val="22"/>
          <w:szCs w:val="22"/>
        </w:rPr>
      </w:pPr>
      <w:bookmarkStart w:id="1" w:name="_heading=h.30j0zll" w:colFirst="0" w:colLast="0"/>
      <w:bookmarkEnd w:id="1"/>
      <w:r>
        <w:rPr>
          <w:rFonts w:ascii="Palatino Linotype" w:eastAsia="Palatino Linotype" w:hAnsi="Palatino Linotype" w:cs="Palatino Linotype"/>
          <w:b/>
          <w:color w:val="000000"/>
          <w:sz w:val="22"/>
          <w:szCs w:val="22"/>
        </w:rPr>
        <w:t>I. Presentación de la solicitud de información</w:t>
      </w:r>
    </w:p>
    <w:p w14:paraId="05900F1E" w14:textId="77777777" w:rsidR="00E63DFB" w:rsidRDefault="00E63DFB">
      <w:pPr>
        <w:spacing w:after="0" w:line="360" w:lineRule="auto"/>
        <w:rPr>
          <w:b/>
          <w:color w:val="000000"/>
        </w:rPr>
      </w:pPr>
    </w:p>
    <w:p w14:paraId="02A0AAC6" w14:textId="77777777" w:rsidR="00E63DFB" w:rsidRDefault="00EE0B45">
      <w:pPr>
        <w:spacing w:after="0" w:line="360" w:lineRule="auto"/>
        <w:rPr>
          <w:color w:val="000000"/>
        </w:rPr>
      </w:pPr>
      <w:r>
        <w:rPr>
          <w:color w:val="000000"/>
        </w:rPr>
        <w:t>Con fecha trece de enero de dos mil veinticinco, la persona Solicitante presentó un requerimiento de acceso a la información, a través del Sistema de Acceso a la Información Mexiquense (SAIMEX), ante el Ayuntamiento de la Paz,</w:t>
      </w:r>
      <w:r>
        <w:rPr>
          <w:b/>
          <w:color w:val="000000"/>
        </w:rPr>
        <w:t xml:space="preserve"> </w:t>
      </w:r>
      <w:r>
        <w:rPr>
          <w:color w:val="000000"/>
        </w:rPr>
        <w:t>(ya que, si bien se registró el ocho de enero del mismo año, también es que fue inhábil)</w:t>
      </w:r>
      <w:r>
        <w:rPr>
          <w:b/>
          <w:color w:val="000000"/>
        </w:rPr>
        <w:t xml:space="preserve">, </w:t>
      </w:r>
      <w:r>
        <w:rPr>
          <w:color w:val="000000"/>
        </w:rPr>
        <w:t>en los siguientes términos:</w:t>
      </w:r>
    </w:p>
    <w:p w14:paraId="68C41C3C" w14:textId="77777777" w:rsidR="00E63DFB" w:rsidRDefault="00E63DFB">
      <w:pPr>
        <w:tabs>
          <w:tab w:val="left" w:pos="4667"/>
        </w:tabs>
        <w:spacing w:after="0" w:line="360" w:lineRule="auto"/>
        <w:ind w:right="567"/>
        <w:rPr>
          <w:b/>
          <w:i/>
          <w:color w:val="FF0000"/>
        </w:rPr>
      </w:pPr>
    </w:p>
    <w:p w14:paraId="467C0D61" w14:textId="77777777" w:rsidR="00E63DFB" w:rsidRDefault="00EE0B45">
      <w:pPr>
        <w:spacing w:after="0" w:line="360" w:lineRule="auto"/>
        <w:ind w:left="567" w:right="567"/>
        <w:rPr>
          <w:b/>
          <w:i/>
          <w:color w:val="000000"/>
          <w:sz w:val="20"/>
          <w:szCs w:val="20"/>
        </w:rPr>
      </w:pPr>
      <w:r>
        <w:rPr>
          <w:b/>
          <w:i/>
          <w:color w:val="000000"/>
          <w:sz w:val="20"/>
          <w:szCs w:val="20"/>
        </w:rPr>
        <w:t>“DESCRIPCIÓN CLARA Y PRECISA DE LA INFORMACIÓN SOLICITADA.</w:t>
      </w:r>
    </w:p>
    <w:p w14:paraId="201A1C14" w14:textId="77777777" w:rsidR="00E63DFB" w:rsidRDefault="00EE0B45">
      <w:pPr>
        <w:spacing w:after="0" w:line="360" w:lineRule="auto"/>
        <w:ind w:left="567" w:right="567"/>
        <w:rPr>
          <w:i/>
          <w:color w:val="000000"/>
          <w:sz w:val="20"/>
          <w:szCs w:val="20"/>
        </w:rPr>
      </w:pPr>
      <w:r>
        <w:rPr>
          <w:i/>
          <w:color w:val="000000"/>
          <w:sz w:val="20"/>
          <w:szCs w:val="20"/>
        </w:rPr>
        <w:t xml:space="preserve">QUIERO SABER CUANTAS UNIDADES O VEHICULOS TIENE A SU CARGO LA DIRECCION DE ECOLOGIA, ASI COMO SABER SI ESTAN EN FUNCIONAMIENTO O </w:t>
      </w:r>
      <w:proofErr w:type="gramStart"/>
      <w:r>
        <w:rPr>
          <w:i/>
          <w:color w:val="000000"/>
          <w:sz w:val="20"/>
          <w:szCs w:val="20"/>
        </w:rPr>
        <w:t>NO,,,</w:t>
      </w:r>
      <w:proofErr w:type="gramEnd"/>
      <w:r>
        <w:rPr>
          <w:i/>
          <w:color w:val="000000"/>
          <w:sz w:val="20"/>
          <w:szCs w:val="20"/>
        </w:rPr>
        <w:t xml:space="preserve">Y PARA QUE LAS OCUPAN.” (Sic) </w:t>
      </w:r>
    </w:p>
    <w:p w14:paraId="24B3FCF1" w14:textId="77777777" w:rsidR="00E63DFB" w:rsidRDefault="00E63DFB">
      <w:pPr>
        <w:spacing w:after="0" w:line="360" w:lineRule="auto"/>
        <w:ind w:right="567"/>
        <w:rPr>
          <w:i/>
          <w:color w:val="000000"/>
          <w:sz w:val="20"/>
          <w:szCs w:val="20"/>
        </w:rPr>
      </w:pPr>
    </w:p>
    <w:p w14:paraId="27FB5C94" w14:textId="77777777" w:rsidR="00E63DFB" w:rsidRDefault="00EE0B45">
      <w:pPr>
        <w:spacing w:after="0" w:line="360" w:lineRule="auto"/>
        <w:ind w:left="567" w:right="567"/>
        <w:rPr>
          <w:b/>
          <w:i/>
          <w:color w:val="000000"/>
          <w:sz w:val="20"/>
          <w:szCs w:val="20"/>
        </w:rPr>
      </w:pPr>
      <w:r>
        <w:rPr>
          <w:b/>
          <w:i/>
          <w:color w:val="000000"/>
          <w:sz w:val="20"/>
          <w:szCs w:val="20"/>
        </w:rPr>
        <w:t>“MODALIDAD DE ENTREGA</w:t>
      </w:r>
    </w:p>
    <w:p w14:paraId="711B67FD" w14:textId="77777777" w:rsidR="00E63DFB" w:rsidRDefault="00EE0B45">
      <w:pPr>
        <w:spacing w:after="0" w:line="360" w:lineRule="auto"/>
        <w:ind w:left="567" w:right="567"/>
        <w:rPr>
          <w:i/>
          <w:color w:val="000000"/>
          <w:sz w:val="20"/>
          <w:szCs w:val="20"/>
        </w:rPr>
      </w:pPr>
      <w:r>
        <w:rPr>
          <w:i/>
          <w:color w:val="000000"/>
          <w:sz w:val="20"/>
          <w:szCs w:val="20"/>
        </w:rPr>
        <w:t>A través del SAIMEX”</w:t>
      </w:r>
    </w:p>
    <w:p w14:paraId="43714707" w14:textId="77777777" w:rsidR="00E63DFB" w:rsidRDefault="00E63DFB">
      <w:pPr>
        <w:spacing w:after="0" w:line="360" w:lineRule="auto"/>
        <w:rPr>
          <w:b/>
          <w:color w:val="000000"/>
        </w:rPr>
      </w:pPr>
    </w:p>
    <w:p w14:paraId="6BBEA398" w14:textId="77777777" w:rsidR="00E63DFB" w:rsidRDefault="00EE0B45">
      <w:pPr>
        <w:pStyle w:val="Ttulo2"/>
        <w:spacing w:before="0" w:line="360" w:lineRule="auto"/>
        <w:rPr>
          <w:rFonts w:ascii="Palatino Linotype" w:eastAsia="Palatino Linotype" w:hAnsi="Palatino Linotype" w:cs="Palatino Linotype"/>
          <w:b/>
          <w:color w:val="000000"/>
          <w:sz w:val="22"/>
          <w:szCs w:val="22"/>
        </w:rPr>
      </w:pPr>
      <w:bookmarkStart w:id="2" w:name="_heading=h.1fob9te" w:colFirst="0" w:colLast="0"/>
      <w:bookmarkEnd w:id="2"/>
      <w:r>
        <w:rPr>
          <w:rFonts w:ascii="Palatino Linotype" w:eastAsia="Palatino Linotype" w:hAnsi="Palatino Linotype" w:cs="Palatino Linotype"/>
          <w:b/>
          <w:color w:val="000000"/>
          <w:sz w:val="22"/>
          <w:szCs w:val="22"/>
        </w:rPr>
        <w:lastRenderedPageBreak/>
        <w:t>II. Respuesta del Sujeto Obligado</w:t>
      </w:r>
    </w:p>
    <w:p w14:paraId="0B96E613" w14:textId="77777777" w:rsidR="00E63DFB" w:rsidRDefault="00E63DFB">
      <w:pPr>
        <w:spacing w:after="0" w:line="360" w:lineRule="auto"/>
        <w:rPr>
          <w:b/>
          <w:color w:val="FF0000"/>
        </w:rPr>
      </w:pPr>
    </w:p>
    <w:p w14:paraId="37051116" w14:textId="77777777" w:rsidR="00E63DFB" w:rsidRDefault="00EE0B45">
      <w:pPr>
        <w:spacing w:after="0" w:line="360" w:lineRule="auto"/>
        <w:rPr>
          <w:color w:val="000000"/>
        </w:rPr>
      </w:pPr>
      <w:bookmarkStart w:id="3" w:name="_heading=h.3znysh7" w:colFirst="0" w:colLast="0"/>
      <w:bookmarkEnd w:id="3"/>
      <w:r>
        <w:rPr>
          <w:color w:val="000000"/>
        </w:rPr>
        <w:t>Con fecha veinte de enero de dos mil veinticinco, el Ayuntamiento de la Paz, notificó la respuesta a la solicitud, a través del Sistema de Acceso a la Información Mexiquense (SAIMEX), mediante la digitalización de los siguientes documentos:</w:t>
      </w:r>
    </w:p>
    <w:p w14:paraId="586D5CF2" w14:textId="77777777" w:rsidR="00E63DFB" w:rsidRDefault="00E63DFB">
      <w:pPr>
        <w:spacing w:after="0" w:line="360" w:lineRule="auto"/>
        <w:rPr>
          <w:color w:val="FF0000"/>
        </w:rPr>
      </w:pPr>
    </w:p>
    <w:p w14:paraId="76939597" w14:textId="77777777" w:rsidR="00E63DFB" w:rsidRDefault="00EE0B45">
      <w:pPr>
        <w:spacing w:after="0" w:line="360" w:lineRule="auto"/>
        <w:rPr>
          <w:color w:val="000000"/>
        </w:rPr>
      </w:pPr>
      <w:r>
        <w:rPr>
          <w:color w:val="000000"/>
        </w:rPr>
        <w:t>i) Oficio sin número, de la misma fecha de recepción, suscrito por la Titular de la Coordinación de la Unidad de Transparencia, por medio del cual remitió la información del Servidor Público Habilitado.</w:t>
      </w:r>
    </w:p>
    <w:p w14:paraId="16DEAE5B" w14:textId="77777777" w:rsidR="00E63DFB" w:rsidRDefault="00E63DFB">
      <w:pPr>
        <w:spacing w:after="0" w:line="360" w:lineRule="auto"/>
        <w:rPr>
          <w:color w:val="000000"/>
        </w:rPr>
      </w:pPr>
    </w:p>
    <w:p w14:paraId="77D38D21" w14:textId="77777777" w:rsidR="00E63DFB" w:rsidRDefault="00EE0B45">
      <w:pPr>
        <w:spacing w:after="0" w:line="360" w:lineRule="auto"/>
        <w:rPr>
          <w:color w:val="000000"/>
        </w:rPr>
      </w:pPr>
      <w:r>
        <w:rPr>
          <w:color w:val="000000"/>
        </w:rPr>
        <w:t>ii) Oficio número LA PAZ/PM/</w:t>
      </w:r>
      <w:proofErr w:type="spellStart"/>
      <w:r>
        <w:rPr>
          <w:color w:val="000000"/>
        </w:rPr>
        <w:t>DEyMA</w:t>
      </w:r>
      <w:proofErr w:type="spellEnd"/>
      <w:r>
        <w:rPr>
          <w:color w:val="000000"/>
        </w:rPr>
        <w:t xml:space="preserve">/2025/004 de fecha dieciséis de enero de dos mil veinticinco, suscrito por la Directora de Ecología y Medio Ambiente y dirigido a la Titular de la Unidad de Transparencia, por medio del cual precisó lo siguiente: </w:t>
      </w:r>
    </w:p>
    <w:p w14:paraId="09DA3469" w14:textId="77777777" w:rsidR="00E63DFB" w:rsidRDefault="00E63DFB">
      <w:pPr>
        <w:spacing w:after="0" w:line="360" w:lineRule="auto"/>
        <w:rPr>
          <w:color w:val="000000"/>
        </w:rPr>
      </w:pPr>
    </w:p>
    <w:p w14:paraId="131958B8" w14:textId="77777777" w:rsidR="00E63DFB" w:rsidRDefault="00EE0B45">
      <w:pPr>
        <w:spacing w:after="0" w:line="360" w:lineRule="auto"/>
        <w:ind w:left="567" w:right="567"/>
        <w:rPr>
          <w:i/>
          <w:color w:val="000000"/>
          <w:sz w:val="20"/>
          <w:szCs w:val="20"/>
        </w:rPr>
      </w:pPr>
      <w:r>
        <w:rPr>
          <w:i/>
          <w:color w:val="000000"/>
          <w:sz w:val="20"/>
          <w:szCs w:val="20"/>
        </w:rPr>
        <w:t xml:space="preserve">“… se hace de su conocimiento que en esta Dirección de </w:t>
      </w:r>
      <w:proofErr w:type="spellStart"/>
      <w:r>
        <w:rPr>
          <w:i/>
          <w:color w:val="000000"/>
          <w:sz w:val="20"/>
          <w:szCs w:val="20"/>
        </w:rPr>
        <w:t>Ecologia</w:t>
      </w:r>
      <w:proofErr w:type="spellEnd"/>
      <w:r>
        <w:rPr>
          <w:i/>
          <w:color w:val="000000"/>
          <w:sz w:val="20"/>
          <w:szCs w:val="20"/>
        </w:rPr>
        <w:t xml:space="preserve"> y Medio Ambiente se encuentra adscrita una unidad con las siguientes características: Marca MITSUBISHI, Tipo de unidad PICK UP, Modelo: L200 DIESEL; Placas NWA2466, No. de serie MMBNL45K8KH042560, color Blanco. La cual no se entregó físicamente en la entrega a recepción, por lo cual se le dio de conocimiento a el Órgano Interno de Control (contraloría municipal), para dar el seguimiento correspondiente, se verifico la ubicación de la Unidad en un taller mecánico en el Municipio de Nezahualcóyotl, se dio de conocimiento a la Oficina de Gestión Vehicular de este H. Ayuntamiento </w:t>
      </w:r>
    </w:p>
    <w:p w14:paraId="4E6D43A4" w14:textId="77777777" w:rsidR="00E63DFB" w:rsidRDefault="00EE0B45">
      <w:pPr>
        <w:spacing w:after="0" w:line="360" w:lineRule="auto"/>
        <w:ind w:left="567" w:right="567"/>
        <w:rPr>
          <w:i/>
          <w:color w:val="000000"/>
          <w:sz w:val="20"/>
          <w:szCs w:val="20"/>
        </w:rPr>
      </w:pPr>
      <w:r>
        <w:rPr>
          <w:i/>
          <w:color w:val="000000"/>
          <w:sz w:val="20"/>
          <w:szCs w:val="20"/>
        </w:rPr>
        <w:t>…”</w:t>
      </w:r>
    </w:p>
    <w:p w14:paraId="50C8B847" w14:textId="77777777" w:rsidR="00E63DFB" w:rsidRDefault="00E63DFB">
      <w:pPr>
        <w:spacing w:after="0" w:line="360" w:lineRule="auto"/>
        <w:ind w:right="567"/>
        <w:rPr>
          <w:color w:val="FF0000"/>
        </w:rPr>
      </w:pPr>
    </w:p>
    <w:p w14:paraId="3F52637E" w14:textId="77777777" w:rsidR="00E63DFB" w:rsidRDefault="00EE0B45">
      <w:pPr>
        <w:spacing w:after="0" w:line="360" w:lineRule="auto"/>
      </w:pPr>
      <w:r>
        <w:t xml:space="preserve">iii) Análisis de la Unidad referida en el inciso anterior, al veinte de septiembre de dos mil veinticuatro. </w:t>
      </w:r>
    </w:p>
    <w:p w14:paraId="56BFC199" w14:textId="77777777" w:rsidR="00E63DFB" w:rsidRDefault="00E63DFB">
      <w:pPr>
        <w:spacing w:after="0" w:line="360" w:lineRule="auto"/>
        <w:ind w:right="567"/>
        <w:jc w:val="center"/>
      </w:pPr>
    </w:p>
    <w:p w14:paraId="1572E8D8" w14:textId="77777777" w:rsidR="00E63DFB" w:rsidRDefault="00E63DFB">
      <w:pPr>
        <w:spacing w:after="0" w:line="360" w:lineRule="auto"/>
        <w:ind w:right="567"/>
        <w:rPr>
          <w:color w:val="FF0000"/>
        </w:rPr>
      </w:pPr>
    </w:p>
    <w:p w14:paraId="745B6D46" w14:textId="77777777" w:rsidR="00E63DFB" w:rsidRDefault="00EE0B45">
      <w:pPr>
        <w:pStyle w:val="Ttulo2"/>
        <w:spacing w:before="0" w:line="360" w:lineRule="auto"/>
        <w:rPr>
          <w:rFonts w:ascii="Palatino Linotype" w:eastAsia="Palatino Linotype" w:hAnsi="Palatino Linotype" w:cs="Palatino Linotype"/>
          <w:b/>
          <w:color w:val="000000"/>
          <w:sz w:val="22"/>
          <w:szCs w:val="22"/>
        </w:rPr>
      </w:pPr>
      <w:bookmarkStart w:id="4" w:name="_heading=h.2et92p0" w:colFirst="0" w:colLast="0"/>
      <w:bookmarkEnd w:id="4"/>
      <w:r>
        <w:rPr>
          <w:rFonts w:ascii="Palatino Linotype" w:eastAsia="Palatino Linotype" w:hAnsi="Palatino Linotype" w:cs="Palatino Linotype"/>
          <w:b/>
          <w:color w:val="000000"/>
          <w:sz w:val="22"/>
          <w:szCs w:val="22"/>
        </w:rPr>
        <w:lastRenderedPageBreak/>
        <w:t>III. Interposición del Recurso de Revisión</w:t>
      </w:r>
    </w:p>
    <w:p w14:paraId="727C0938" w14:textId="77777777" w:rsidR="00E63DFB" w:rsidRDefault="00E63DFB">
      <w:pPr>
        <w:spacing w:after="0" w:line="360" w:lineRule="auto"/>
        <w:rPr>
          <w:color w:val="FF0000"/>
        </w:rPr>
      </w:pPr>
    </w:p>
    <w:p w14:paraId="1B7A8DAD" w14:textId="77777777" w:rsidR="00E63DFB" w:rsidRDefault="00EE0B45">
      <w:pPr>
        <w:widowControl w:val="0"/>
        <w:spacing w:after="0" w:line="360" w:lineRule="auto"/>
        <w:rPr>
          <w:color w:val="000000"/>
        </w:rPr>
      </w:pPr>
      <w:r>
        <w:rPr>
          <w:color w:val="000000"/>
        </w:rPr>
        <w:t>Con fecha cuatro de febrero de dos mil veinticinco, se recibió en este Instituto, a través del Sistema de Acceso a la Información Mexiquense (SAIMEX), el Recurso de Revisión interpuesto por la parte Recurrente, en contra de la respuesta del Sujeto Obligado, (ya que, si bien se registró el tres de febrero de dos mil veinticinco, también es que fue inhábil), en los siguientes términos:</w:t>
      </w:r>
    </w:p>
    <w:p w14:paraId="4799E1B7" w14:textId="77777777" w:rsidR="00E63DFB" w:rsidRDefault="00E63DFB">
      <w:pPr>
        <w:tabs>
          <w:tab w:val="left" w:pos="4667"/>
        </w:tabs>
        <w:spacing w:after="0" w:line="360" w:lineRule="auto"/>
        <w:ind w:left="567" w:right="567"/>
        <w:rPr>
          <w:b/>
          <w:i/>
          <w:color w:val="FF0000"/>
          <w:sz w:val="20"/>
          <w:szCs w:val="20"/>
        </w:rPr>
      </w:pPr>
    </w:p>
    <w:p w14:paraId="75750856" w14:textId="77777777" w:rsidR="00E63DFB" w:rsidRDefault="00EE0B45">
      <w:pPr>
        <w:tabs>
          <w:tab w:val="left" w:pos="4667"/>
        </w:tabs>
        <w:spacing w:after="0" w:line="360" w:lineRule="auto"/>
        <w:ind w:left="567" w:right="567"/>
        <w:rPr>
          <w:b/>
          <w:i/>
          <w:color w:val="000000"/>
          <w:sz w:val="20"/>
          <w:szCs w:val="20"/>
        </w:rPr>
      </w:pPr>
      <w:r>
        <w:rPr>
          <w:b/>
          <w:i/>
          <w:color w:val="000000"/>
          <w:sz w:val="20"/>
          <w:szCs w:val="20"/>
        </w:rPr>
        <w:t>“ACTO IMPUGNADO</w:t>
      </w:r>
    </w:p>
    <w:p w14:paraId="25CDC9CC" w14:textId="77777777" w:rsidR="00E63DFB" w:rsidRDefault="00EE0B45">
      <w:pPr>
        <w:tabs>
          <w:tab w:val="left" w:pos="4667"/>
        </w:tabs>
        <w:spacing w:after="0" w:line="360" w:lineRule="auto"/>
        <w:ind w:left="567" w:right="567"/>
        <w:rPr>
          <w:i/>
          <w:color w:val="000000"/>
          <w:sz w:val="20"/>
          <w:szCs w:val="20"/>
        </w:rPr>
      </w:pPr>
      <w:r>
        <w:rPr>
          <w:i/>
          <w:color w:val="000000"/>
          <w:sz w:val="20"/>
          <w:szCs w:val="20"/>
        </w:rPr>
        <w:t>SE ME ENTREGA LA INFORMACION INCOMPLETA....NO ESTOY CONFORME CON LO QUE SE ME ENTREGA” (Sic.)</w:t>
      </w:r>
    </w:p>
    <w:p w14:paraId="62C36901" w14:textId="77777777" w:rsidR="00E63DFB" w:rsidRDefault="00E63DFB">
      <w:pPr>
        <w:tabs>
          <w:tab w:val="left" w:pos="4667"/>
        </w:tabs>
        <w:spacing w:after="0" w:line="360" w:lineRule="auto"/>
        <w:ind w:left="567" w:right="567"/>
        <w:rPr>
          <w:i/>
          <w:color w:val="FF0000"/>
          <w:sz w:val="20"/>
          <w:szCs w:val="20"/>
        </w:rPr>
      </w:pPr>
    </w:p>
    <w:p w14:paraId="7DA039A7" w14:textId="77777777" w:rsidR="00E63DFB" w:rsidRDefault="00EE0B45">
      <w:pPr>
        <w:tabs>
          <w:tab w:val="left" w:pos="4667"/>
        </w:tabs>
        <w:spacing w:after="0" w:line="360" w:lineRule="auto"/>
        <w:ind w:left="567" w:right="567"/>
        <w:rPr>
          <w:b/>
          <w:i/>
          <w:color w:val="000000"/>
          <w:sz w:val="20"/>
          <w:szCs w:val="20"/>
        </w:rPr>
      </w:pPr>
      <w:r>
        <w:rPr>
          <w:b/>
          <w:i/>
          <w:color w:val="000000"/>
          <w:sz w:val="20"/>
          <w:szCs w:val="20"/>
        </w:rPr>
        <w:t>“RAZONES O MOTIVOS DE LA INCONFORMIDAD</w:t>
      </w:r>
    </w:p>
    <w:p w14:paraId="06D0CA43" w14:textId="77777777" w:rsidR="00E63DFB" w:rsidRDefault="00EE0B45">
      <w:pPr>
        <w:tabs>
          <w:tab w:val="left" w:pos="4667"/>
        </w:tabs>
        <w:spacing w:after="0" w:line="360" w:lineRule="auto"/>
        <w:ind w:left="567" w:right="567"/>
        <w:rPr>
          <w:i/>
          <w:color w:val="000000"/>
          <w:sz w:val="20"/>
          <w:szCs w:val="20"/>
        </w:rPr>
      </w:pPr>
      <w:r>
        <w:rPr>
          <w:i/>
          <w:color w:val="000000"/>
          <w:sz w:val="20"/>
          <w:szCs w:val="20"/>
        </w:rPr>
        <w:t>SE ME ENTREGA LA INFORMACION INCOMPLETA....NO ESTOY CONFORME CON LO QUE SE ME ENTREGA” (Sic.)</w:t>
      </w:r>
    </w:p>
    <w:p w14:paraId="12EC12EE" w14:textId="77777777" w:rsidR="00E63DFB" w:rsidRDefault="00E63DFB">
      <w:pPr>
        <w:tabs>
          <w:tab w:val="left" w:pos="4667"/>
        </w:tabs>
        <w:spacing w:after="0" w:line="360" w:lineRule="auto"/>
        <w:ind w:right="567"/>
        <w:rPr>
          <w:i/>
          <w:color w:val="000000"/>
          <w:sz w:val="20"/>
          <w:szCs w:val="20"/>
        </w:rPr>
      </w:pPr>
    </w:p>
    <w:p w14:paraId="059EFCD8" w14:textId="77777777" w:rsidR="00E63DFB" w:rsidRDefault="00EE0B45">
      <w:pPr>
        <w:pStyle w:val="Ttulo2"/>
        <w:spacing w:before="0" w:line="360" w:lineRule="auto"/>
        <w:rPr>
          <w:rFonts w:ascii="Palatino Linotype" w:eastAsia="Palatino Linotype" w:hAnsi="Palatino Linotype" w:cs="Palatino Linotype"/>
          <w:b/>
          <w:color w:val="000000"/>
          <w:sz w:val="22"/>
          <w:szCs w:val="22"/>
        </w:rPr>
      </w:pPr>
      <w:bookmarkStart w:id="5" w:name="_heading=h.tyjcwt" w:colFirst="0" w:colLast="0"/>
      <w:bookmarkEnd w:id="5"/>
      <w:r>
        <w:rPr>
          <w:rFonts w:ascii="Palatino Linotype" w:eastAsia="Palatino Linotype" w:hAnsi="Palatino Linotype" w:cs="Palatino Linotype"/>
          <w:b/>
          <w:color w:val="000000"/>
          <w:sz w:val="22"/>
          <w:szCs w:val="22"/>
        </w:rPr>
        <w:t>IV. Trámite del Recurso de Revisión ante este Instituto</w:t>
      </w:r>
    </w:p>
    <w:p w14:paraId="3F56AFC7" w14:textId="77777777" w:rsidR="00E63DFB" w:rsidRDefault="00E63DFB">
      <w:pPr>
        <w:spacing w:after="0" w:line="360" w:lineRule="auto"/>
        <w:rPr>
          <w:b/>
          <w:color w:val="FF0000"/>
        </w:rPr>
      </w:pPr>
    </w:p>
    <w:p w14:paraId="7BA23FCE" w14:textId="77777777" w:rsidR="00E63DFB" w:rsidRDefault="00EE0B45">
      <w:pPr>
        <w:spacing w:after="0" w:line="360" w:lineRule="auto"/>
        <w:rPr>
          <w:b/>
          <w:color w:val="000000"/>
        </w:rPr>
      </w:pPr>
      <w:bookmarkStart w:id="6" w:name="_heading=h.3dy6vkm" w:colFirst="0" w:colLast="0"/>
      <w:bookmarkEnd w:id="6"/>
      <w:r>
        <w:rPr>
          <w:b/>
          <w:color w:val="000000"/>
        </w:rPr>
        <w:t>a) Turno del Medio de Impugnación.</w:t>
      </w:r>
      <w:r>
        <w:rPr>
          <w:b/>
        </w:rPr>
        <w:t xml:space="preserve"> </w:t>
      </w:r>
      <w:r>
        <w:rPr>
          <w:color w:val="000000"/>
        </w:rPr>
        <w:t xml:space="preserve">El tres de febrero de dos mil veinticinco, el Sistema de Acceso a la Información Mexiquense (SAIMEX), asignó el número de expediente </w:t>
      </w:r>
      <w:r>
        <w:rPr>
          <w:b/>
          <w:color w:val="000000"/>
        </w:rPr>
        <w:t>00476/INFOEM/IP/RR/2025</w:t>
      </w:r>
      <w:r>
        <w:rPr>
          <w:color w:val="000000"/>
        </w:rPr>
        <w:t xml:space="preserve">, al Medio de Impugnación que nos ocupa, con base en el sistema aprobado por el Pleno de este Órgano Garante y lo turnó al </w:t>
      </w:r>
      <w:r>
        <w:rPr>
          <w:b/>
          <w:color w:val="000000"/>
        </w:rPr>
        <w:t>Comisionado Ponente Luis Gustavo Parra Noriega</w:t>
      </w:r>
      <w:r>
        <w:rPr>
          <w:color w:val="000000"/>
        </w:rPr>
        <w:t>, para los efectos del artículo 185, fracción I de la Ley de Transparencia y Acceso a la Información Pública del Estado de México y Municipios.</w:t>
      </w:r>
    </w:p>
    <w:p w14:paraId="1A76ABDD" w14:textId="77777777" w:rsidR="00E63DFB" w:rsidRDefault="00E63DFB">
      <w:pPr>
        <w:spacing w:after="0" w:line="360" w:lineRule="auto"/>
        <w:rPr>
          <w:color w:val="FF0000"/>
        </w:rPr>
      </w:pPr>
    </w:p>
    <w:p w14:paraId="55ABF1A9" w14:textId="77777777" w:rsidR="00E63DFB" w:rsidRDefault="00EE0B45">
      <w:pPr>
        <w:spacing w:after="0" w:line="360" w:lineRule="auto"/>
        <w:rPr>
          <w:color w:val="000000"/>
        </w:rPr>
      </w:pPr>
      <w:bookmarkStart w:id="7" w:name="_heading=h.1t3h5sf" w:colFirst="0" w:colLast="0"/>
      <w:bookmarkEnd w:id="7"/>
      <w:r>
        <w:rPr>
          <w:b/>
          <w:color w:val="000000"/>
        </w:rPr>
        <w:t>b) Admisión del Recurso de Revisión.</w:t>
      </w:r>
      <w:r>
        <w:rPr>
          <w:b/>
        </w:rPr>
        <w:t xml:space="preserve"> </w:t>
      </w:r>
      <w:r>
        <w:rPr>
          <w:color w:val="000000"/>
        </w:rPr>
        <w:t xml:space="preserve">El seis de febrero de dos mil veinticinco, se acordó la admisión del Recurso de Revisión interpuesto por el Recurrente en contra del Sujeto </w:t>
      </w:r>
      <w:r>
        <w:rPr>
          <w:color w:val="000000"/>
        </w:rPr>
        <w:lastRenderedPageBreak/>
        <w:t xml:space="preserve">Obligado, en términos del artículo 185, fracciones I y II de la Ley de Transparencia y Acceso a la Información Pública del Estado de México y Municipios, el cual fue debidamente notificado a las partes, el mismo día, a través del Sistema de Acceso a la Información Mexiquense (SAIMEX), en el que se les otorgó un plazo de siete días hábiles posteriores a la misma, para que manifestaran lo que a su derecho conviniera y formularan alegatos. </w:t>
      </w:r>
    </w:p>
    <w:p w14:paraId="4062B8F6" w14:textId="77777777" w:rsidR="00E63DFB" w:rsidRDefault="00E63DFB">
      <w:pPr>
        <w:spacing w:after="0" w:line="360" w:lineRule="auto"/>
        <w:rPr>
          <w:b/>
          <w:color w:val="000000"/>
        </w:rPr>
      </w:pPr>
    </w:p>
    <w:p w14:paraId="265E83AB" w14:textId="77777777" w:rsidR="00E63DFB" w:rsidRDefault="00EE0B45">
      <w:pPr>
        <w:tabs>
          <w:tab w:val="left" w:pos="3261"/>
        </w:tabs>
        <w:spacing w:after="0" w:line="360" w:lineRule="auto"/>
      </w:pPr>
      <w:bookmarkStart w:id="8" w:name="_heading=h.4d34og8" w:colFirst="0" w:colLast="0"/>
      <w:bookmarkEnd w:id="8"/>
      <w:r>
        <w:rPr>
          <w:b/>
          <w:color w:val="000000"/>
        </w:rPr>
        <w:t>c) Informe Justificado.</w:t>
      </w:r>
      <w:r>
        <w:t xml:space="preserve"> El diez de febrero de dos mil veinticinco, se recibió, a través de Sistema de Acceso a la Información Mexiquense (SAIMEX), el Informe Justificado del Sujeto Obligado, a través de los documentos descritos previamente en el Antecedente II, incisos ii) y iii). </w:t>
      </w:r>
    </w:p>
    <w:p w14:paraId="12EE09D8" w14:textId="77777777" w:rsidR="00E63DFB" w:rsidRDefault="00E63DFB">
      <w:pPr>
        <w:tabs>
          <w:tab w:val="left" w:pos="3261"/>
        </w:tabs>
        <w:spacing w:after="0" w:line="360" w:lineRule="auto"/>
      </w:pPr>
    </w:p>
    <w:p w14:paraId="50FC6B53" w14:textId="77777777" w:rsidR="00E63DFB" w:rsidRDefault="00EE0B45">
      <w:pPr>
        <w:tabs>
          <w:tab w:val="left" w:pos="3261"/>
        </w:tabs>
        <w:spacing w:after="0" w:line="360" w:lineRule="auto"/>
        <w:rPr>
          <w:color w:val="000000"/>
        </w:rPr>
      </w:pPr>
      <w:r>
        <w:rPr>
          <w:b/>
        </w:rPr>
        <w:t>d) Vista del Informe Justificado.</w:t>
      </w:r>
      <w:r>
        <w:t xml:space="preserve">  El  once de febrero de dos mil veinticinco, se dictó acuerdo por medio del cual se puso a la vista del Recurrente el Informe Justificado entregado por el Sujeto Obligado, el cual fue notificado a las partes, el mismo día, a través del Sistema de Acceso a la Información Mexiquense (SAIMEX). </w:t>
      </w:r>
    </w:p>
    <w:p w14:paraId="7EAE3068" w14:textId="77777777" w:rsidR="00E63DFB" w:rsidRDefault="00E63DFB">
      <w:pPr>
        <w:spacing w:after="0" w:line="360" w:lineRule="auto"/>
        <w:rPr>
          <w:b/>
          <w:color w:val="FF0000"/>
        </w:rPr>
      </w:pPr>
    </w:p>
    <w:p w14:paraId="7B83FD24" w14:textId="77777777" w:rsidR="00E63DFB" w:rsidRDefault="00EE0B45">
      <w:pPr>
        <w:spacing w:after="0" w:line="360" w:lineRule="auto"/>
        <w:ind w:right="-28"/>
        <w:rPr>
          <w:color w:val="000000"/>
        </w:rPr>
      </w:pPr>
      <w:bookmarkStart w:id="9" w:name="_heading=h.2s8eyo1" w:colFirst="0" w:colLast="0"/>
      <w:bookmarkEnd w:id="9"/>
      <w:r>
        <w:rPr>
          <w:b/>
          <w:color w:val="000000"/>
        </w:rPr>
        <w:t>e) Cierre de instrucción.</w:t>
      </w:r>
      <w:r>
        <w:rPr>
          <w:color w:val="000000"/>
        </w:rPr>
        <w:t xml:space="preserve"> El dieciocho de febrero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 </w:t>
      </w:r>
    </w:p>
    <w:p w14:paraId="1193358F" w14:textId="77777777" w:rsidR="00E63DFB" w:rsidRDefault="00E63DFB">
      <w:pPr>
        <w:spacing w:after="0" w:line="360" w:lineRule="auto"/>
        <w:ind w:right="-28"/>
        <w:rPr>
          <w:color w:val="000000"/>
          <w:highlight w:val="red"/>
        </w:rPr>
      </w:pPr>
    </w:p>
    <w:p w14:paraId="577A5C94" w14:textId="77777777" w:rsidR="00E63DFB" w:rsidRDefault="00EE0B45">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0C3E8B5C" w14:textId="77777777" w:rsidR="00E63DFB" w:rsidRDefault="00EE0B45">
      <w:pPr>
        <w:pStyle w:val="Ttulo1"/>
        <w:spacing w:before="0" w:line="360" w:lineRule="auto"/>
        <w:jc w:val="center"/>
        <w:rPr>
          <w:rFonts w:ascii="Palatino Linotype" w:eastAsia="Palatino Linotype" w:hAnsi="Palatino Linotype" w:cs="Palatino Linotype"/>
          <w:b/>
          <w:color w:val="000000"/>
          <w:sz w:val="22"/>
          <w:szCs w:val="22"/>
        </w:rPr>
      </w:pPr>
      <w:bookmarkStart w:id="10" w:name="_heading=h.17dp8vu" w:colFirst="0" w:colLast="0"/>
      <w:bookmarkEnd w:id="10"/>
      <w:r>
        <w:rPr>
          <w:rFonts w:ascii="Palatino Linotype" w:eastAsia="Palatino Linotype" w:hAnsi="Palatino Linotype" w:cs="Palatino Linotype"/>
          <w:b/>
          <w:color w:val="000000"/>
          <w:sz w:val="22"/>
          <w:szCs w:val="22"/>
        </w:rPr>
        <w:lastRenderedPageBreak/>
        <w:t>C O N S I D E R A N D O S</w:t>
      </w:r>
    </w:p>
    <w:p w14:paraId="567509FC" w14:textId="77777777" w:rsidR="00E63DFB" w:rsidRDefault="00E63DFB">
      <w:pPr>
        <w:spacing w:after="0" w:line="360" w:lineRule="auto"/>
        <w:jc w:val="center"/>
        <w:rPr>
          <w:b/>
          <w:color w:val="000000"/>
        </w:rPr>
      </w:pPr>
    </w:p>
    <w:p w14:paraId="630CDFE9" w14:textId="77777777" w:rsidR="00E63DFB" w:rsidRDefault="00EE0B45">
      <w:pPr>
        <w:pStyle w:val="Ttulo2"/>
        <w:spacing w:before="0" w:line="360" w:lineRule="auto"/>
        <w:rPr>
          <w:rFonts w:ascii="Palatino Linotype" w:eastAsia="Palatino Linotype" w:hAnsi="Palatino Linotype" w:cs="Palatino Linotype"/>
          <w:b/>
          <w:color w:val="000000"/>
          <w:sz w:val="22"/>
          <w:szCs w:val="22"/>
        </w:rPr>
      </w:pPr>
      <w:bookmarkStart w:id="11" w:name="_heading=h.3rdcrjn" w:colFirst="0" w:colLast="0"/>
      <w:bookmarkEnd w:id="11"/>
      <w:r>
        <w:rPr>
          <w:rFonts w:ascii="Palatino Linotype" w:eastAsia="Palatino Linotype" w:hAnsi="Palatino Linotype" w:cs="Palatino Linotype"/>
          <w:b/>
          <w:color w:val="000000"/>
          <w:sz w:val="22"/>
          <w:szCs w:val="22"/>
        </w:rPr>
        <w:t>PRIMERO. Competencia</w:t>
      </w:r>
    </w:p>
    <w:p w14:paraId="7FF6E5E7" w14:textId="77777777" w:rsidR="00E63DFB" w:rsidRDefault="00E63DFB">
      <w:pPr>
        <w:spacing w:after="0" w:line="360" w:lineRule="auto"/>
        <w:rPr>
          <w:b/>
          <w:color w:val="FF0000"/>
        </w:rPr>
      </w:pPr>
    </w:p>
    <w:p w14:paraId="3DDEBD36" w14:textId="77777777" w:rsidR="00E63DFB" w:rsidRDefault="00EE0B45">
      <w:pPr>
        <w:spacing w:after="0" w:line="360" w:lineRule="auto"/>
        <w:rPr>
          <w:color w:val="000000"/>
        </w:rPr>
      </w:pPr>
      <w:bookmarkStart w:id="12" w:name="_heading=h.26in1rg" w:colFirst="0" w:colLast="0"/>
      <w:bookmarkEnd w:id="12"/>
      <w:r>
        <w:rPr>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segundo, trigésimo tercero y trigésimo cuarto,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50DA8D8" w14:textId="77777777" w:rsidR="00E63DFB" w:rsidRDefault="00E63DFB">
      <w:pPr>
        <w:spacing w:after="0" w:line="360" w:lineRule="auto"/>
        <w:rPr>
          <w:b/>
          <w:color w:val="000000"/>
        </w:rPr>
      </w:pPr>
    </w:p>
    <w:p w14:paraId="18133359" w14:textId="77777777" w:rsidR="00E63DFB" w:rsidRDefault="00EE0B45">
      <w:pPr>
        <w:pStyle w:val="Ttulo2"/>
        <w:spacing w:before="0" w:line="360" w:lineRule="auto"/>
        <w:rPr>
          <w:rFonts w:ascii="Palatino Linotype" w:eastAsia="Palatino Linotype" w:hAnsi="Palatino Linotype" w:cs="Palatino Linotype"/>
          <w:b/>
          <w:color w:val="000000"/>
          <w:sz w:val="22"/>
          <w:szCs w:val="22"/>
        </w:rPr>
      </w:pPr>
      <w:bookmarkStart w:id="13" w:name="_heading=h.lnxbz9" w:colFirst="0" w:colLast="0"/>
      <w:bookmarkEnd w:id="13"/>
      <w:r>
        <w:rPr>
          <w:rFonts w:ascii="Palatino Linotype" w:eastAsia="Palatino Linotype" w:hAnsi="Palatino Linotype" w:cs="Palatino Linotype"/>
          <w:b/>
          <w:color w:val="000000"/>
          <w:sz w:val="22"/>
          <w:szCs w:val="22"/>
        </w:rPr>
        <w:t xml:space="preserve">SEGUNDO. Causales de improcedencia y sobreseimiento </w:t>
      </w:r>
    </w:p>
    <w:p w14:paraId="33A59EBF" w14:textId="77777777" w:rsidR="00E63DFB" w:rsidRDefault="00E63DFB">
      <w:pPr>
        <w:spacing w:after="0" w:line="360" w:lineRule="auto"/>
        <w:rPr>
          <w:color w:val="000000"/>
        </w:rPr>
      </w:pPr>
    </w:p>
    <w:p w14:paraId="73C7CED0" w14:textId="77777777" w:rsidR="00E63DFB" w:rsidRDefault="00EE0B45">
      <w:pPr>
        <w:spacing w:after="0" w:line="360" w:lineRule="auto"/>
        <w:rPr>
          <w:color w:val="000000"/>
        </w:rPr>
      </w:pPr>
      <w:r>
        <w:rPr>
          <w:color w:val="000000"/>
        </w:rPr>
        <w:t xml:space="preserve">De las constancias que forma parte del Recurso de Revisión que se analiza, se advierte que previo al estudio del fondo de la </w:t>
      </w:r>
      <w:r>
        <w:rPr>
          <w:i/>
          <w:color w:val="000000"/>
        </w:rPr>
        <w:t>litis</w:t>
      </w:r>
      <w:r>
        <w:rPr>
          <w:color w:val="000000"/>
        </w:rPr>
        <w:t>, es necesario estudiar las causales de improcedencia y sobreseimiento que se adviertan, para determinar lo que en Derecho proceda.</w:t>
      </w:r>
    </w:p>
    <w:p w14:paraId="53560210" w14:textId="77777777" w:rsidR="00E63DFB" w:rsidRDefault="00E63DFB">
      <w:pPr>
        <w:spacing w:after="0" w:line="360" w:lineRule="auto"/>
        <w:rPr>
          <w:b/>
          <w:color w:val="000000"/>
        </w:rPr>
      </w:pPr>
    </w:p>
    <w:p w14:paraId="259A0D6F" w14:textId="77777777" w:rsidR="00E63DFB" w:rsidRDefault="00EE0B45">
      <w:pPr>
        <w:spacing w:after="0" w:line="360" w:lineRule="auto"/>
        <w:rPr>
          <w:b/>
          <w:color w:val="000000"/>
        </w:rPr>
      </w:pPr>
      <w:r>
        <w:rPr>
          <w:b/>
          <w:color w:val="000000"/>
        </w:rPr>
        <w:t>Causales de improcedencia</w:t>
      </w:r>
    </w:p>
    <w:p w14:paraId="22022B33" w14:textId="77777777" w:rsidR="00E63DFB" w:rsidRDefault="00E63DFB">
      <w:pPr>
        <w:spacing w:after="0" w:line="360" w:lineRule="auto"/>
        <w:rPr>
          <w:color w:val="000000"/>
        </w:rPr>
      </w:pPr>
    </w:p>
    <w:p w14:paraId="48400F21" w14:textId="77777777" w:rsidR="00E63DFB" w:rsidRDefault="00EE0B45">
      <w:pPr>
        <w:spacing w:after="0" w:line="360" w:lineRule="auto"/>
        <w:rPr>
          <w:color w:val="000000"/>
        </w:rPr>
      </w:pPr>
      <w:r>
        <w:rPr>
          <w:color w:val="000000"/>
        </w:rPr>
        <w:t xml:space="preserve">Este Instituto realiza el estudio oficioso de las causales de improcedencia, por tratarse de una cuestión de orden público y de estudio preferente (acorde con el Criterio orientador en la </w:t>
      </w:r>
      <w:r>
        <w:rPr>
          <w:color w:val="000000"/>
        </w:rPr>
        <w:lastRenderedPageBreak/>
        <w:t>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C914964" w14:textId="77777777" w:rsidR="00E63DFB" w:rsidRDefault="00E63DFB">
      <w:pPr>
        <w:spacing w:after="0" w:line="360" w:lineRule="auto"/>
        <w:rPr>
          <w:color w:val="000000"/>
        </w:rPr>
      </w:pPr>
    </w:p>
    <w:p w14:paraId="4CB96A74" w14:textId="77777777" w:rsidR="00E63DFB" w:rsidRDefault="00EE0B45">
      <w:pPr>
        <w:spacing w:after="0" w:line="360" w:lineRule="auto"/>
        <w:rPr>
          <w:color w:val="000000"/>
        </w:rPr>
      </w:pPr>
      <w:r>
        <w:rPr>
          <w:color w:val="000000"/>
        </w:rPr>
        <w:t>En el presente caso, </w:t>
      </w:r>
      <w:r>
        <w:rPr>
          <w:b/>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0035B7EA" w14:textId="77777777" w:rsidR="00E63DFB" w:rsidRDefault="00E63DFB">
      <w:pPr>
        <w:spacing w:after="0" w:line="360" w:lineRule="auto"/>
        <w:rPr>
          <w:color w:val="000000"/>
        </w:rPr>
      </w:pPr>
    </w:p>
    <w:p w14:paraId="27DD4255" w14:textId="77777777" w:rsidR="00E63DFB" w:rsidRDefault="00EE0B45">
      <w:pPr>
        <w:spacing w:after="0" w:line="360" w:lineRule="auto"/>
        <w:rPr>
          <w:color w:val="000000"/>
        </w:rPr>
      </w:pPr>
      <w:r>
        <w:rPr>
          <w:color w:val="000000"/>
        </w:rPr>
        <w:t xml:space="preserve">Conforme a lo anterior, se actualiza la causal de procedencia señalada en el artículo 179, fracción V, de la Ley de la materia, toda vez que el Solicitante se inconformó con la entrega de información incompleta. </w:t>
      </w:r>
    </w:p>
    <w:p w14:paraId="6E4684CE" w14:textId="77777777" w:rsidR="00E63DFB" w:rsidRDefault="00E63DFB">
      <w:pPr>
        <w:spacing w:after="0" w:line="360" w:lineRule="auto"/>
        <w:rPr>
          <w:color w:val="000000"/>
        </w:rPr>
      </w:pPr>
    </w:p>
    <w:p w14:paraId="2261B777" w14:textId="77777777" w:rsidR="00E63DFB" w:rsidRDefault="00EE0B45">
      <w:pPr>
        <w:spacing w:after="0" w:line="360" w:lineRule="auto"/>
        <w:rPr>
          <w:color w:val="0D0D0D"/>
        </w:rPr>
      </w:pPr>
      <w:r>
        <w:rPr>
          <w:b/>
          <w:color w:val="0D0D0D"/>
        </w:rPr>
        <w:t>Causales de sobreseimiento</w:t>
      </w:r>
    </w:p>
    <w:p w14:paraId="19C827F9" w14:textId="77777777" w:rsidR="00E63DFB" w:rsidRDefault="00E63DFB">
      <w:pPr>
        <w:spacing w:after="0" w:line="360" w:lineRule="auto"/>
        <w:rPr>
          <w:color w:val="0D0D0D"/>
        </w:rPr>
      </w:pPr>
    </w:p>
    <w:p w14:paraId="2EB249D5" w14:textId="77777777" w:rsidR="00E63DFB" w:rsidRDefault="00EE0B45">
      <w:pPr>
        <w:spacing w:after="0" w:line="360" w:lineRule="auto"/>
        <w:rPr>
          <w:color w:val="0D0D0D"/>
        </w:rPr>
      </w:pPr>
      <w:r>
        <w:rPr>
          <w:color w:val="0D0D0D"/>
        </w:rPr>
        <w:t>Por ser de previo y especial pronunciamiento, este Instituto analiza si se actualiza alguna causal de sobreseimiento.</w:t>
      </w:r>
    </w:p>
    <w:p w14:paraId="08C74A12" w14:textId="77777777" w:rsidR="00E63DFB" w:rsidRDefault="00E63DFB">
      <w:pPr>
        <w:spacing w:after="0" w:line="360" w:lineRule="auto"/>
        <w:rPr>
          <w:color w:val="0D0D0D"/>
        </w:rPr>
      </w:pPr>
    </w:p>
    <w:p w14:paraId="60715846" w14:textId="77777777" w:rsidR="00E63DFB" w:rsidRDefault="00EE0B45">
      <w:pPr>
        <w:spacing w:after="0" w:line="360" w:lineRule="auto"/>
        <w:rPr>
          <w:color w:val="000000"/>
        </w:rPr>
      </w:pPr>
      <w:r>
        <w:rPr>
          <w:color w:val="0D0D0D"/>
        </w:rPr>
        <w:t>Sobre el tema, e</w:t>
      </w:r>
      <w:r>
        <w:rPr>
          <w:color w:val="000000"/>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Pr>
          <w:color w:val="000000"/>
        </w:rPr>
        <w:lastRenderedPageBreak/>
        <w:t>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7754570F" w14:textId="77777777" w:rsidR="00E63DFB" w:rsidRDefault="00E63DFB">
      <w:pPr>
        <w:spacing w:after="0" w:line="360" w:lineRule="auto"/>
        <w:rPr>
          <w:color w:val="000000"/>
        </w:rPr>
      </w:pPr>
    </w:p>
    <w:p w14:paraId="799CCE49" w14:textId="77777777" w:rsidR="00E63DFB" w:rsidRDefault="00EE0B45">
      <w:pPr>
        <w:spacing w:after="0" w:line="360" w:lineRule="auto"/>
        <w:rPr>
          <w:color w:val="0D0D0D"/>
        </w:rPr>
      </w:pPr>
      <w:r>
        <w:rPr>
          <w:color w:val="0D0D0D"/>
        </w:rPr>
        <w:t xml:space="preserve">Por tales motivos, se considera procedente entrar al fondo del presente asunto. </w:t>
      </w:r>
    </w:p>
    <w:p w14:paraId="0FA2BFD5" w14:textId="77777777" w:rsidR="00E63DFB" w:rsidRDefault="00E63DFB">
      <w:pPr>
        <w:spacing w:after="0" w:line="360" w:lineRule="auto"/>
        <w:rPr>
          <w:b/>
          <w:color w:val="000000"/>
        </w:rPr>
      </w:pPr>
    </w:p>
    <w:p w14:paraId="71A604D9" w14:textId="77777777" w:rsidR="00E63DFB" w:rsidRDefault="00EE0B45">
      <w:pPr>
        <w:pStyle w:val="Ttulo2"/>
        <w:spacing w:before="0" w:line="360" w:lineRule="auto"/>
        <w:rPr>
          <w:rFonts w:ascii="Palatino Linotype" w:eastAsia="Palatino Linotype" w:hAnsi="Palatino Linotype" w:cs="Palatino Linotype"/>
          <w:b/>
          <w:color w:val="000000"/>
          <w:sz w:val="22"/>
          <w:szCs w:val="22"/>
        </w:rPr>
      </w:pPr>
      <w:bookmarkStart w:id="14" w:name="_heading=h.35nkun2" w:colFirst="0" w:colLast="0"/>
      <w:bookmarkEnd w:id="14"/>
      <w:r>
        <w:rPr>
          <w:rFonts w:ascii="Palatino Linotype" w:eastAsia="Palatino Linotype" w:hAnsi="Palatino Linotype" w:cs="Palatino Linotype"/>
          <w:b/>
          <w:color w:val="000000"/>
          <w:sz w:val="22"/>
          <w:szCs w:val="22"/>
        </w:rPr>
        <w:t>TERCERO. Determinación de la Controversia</w:t>
      </w:r>
    </w:p>
    <w:p w14:paraId="0914FB10" w14:textId="77777777" w:rsidR="00E63DFB" w:rsidRDefault="00E63DFB">
      <w:pPr>
        <w:spacing w:after="0" w:line="360" w:lineRule="auto"/>
        <w:rPr>
          <w:color w:val="FF0000"/>
        </w:rPr>
      </w:pPr>
    </w:p>
    <w:p w14:paraId="04F03C9A" w14:textId="77777777" w:rsidR="00E63DFB" w:rsidRDefault="00EE0B45">
      <w:pPr>
        <w:spacing w:after="0" w:line="360" w:lineRule="auto"/>
        <w:rPr>
          <w:color w:val="000000"/>
        </w:rPr>
      </w:pPr>
      <w:r>
        <w:rPr>
          <w:color w:val="000000"/>
        </w:rPr>
        <w:t xml:space="preserve">Una vez realizado el estudio de las constancias que integran el expediente en que se actúa, se desprende que el Recurrente requirió saber el número de unidades o vehículos que tiene a cargo la Dirección de Ecología,  el uso y si se encuentran en funcionamiento. </w:t>
      </w:r>
    </w:p>
    <w:p w14:paraId="0F51A4BC" w14:textId="77777777" w:rsidR="00E63DFB" w:rsidRDefault="00E63DFB">
      <w:pPr>
        <w:spacing w:after="0" w:line="360" w:lineRule="auto"/>
        <w:rPr>
          <w:color w:val="000000"/>
        </w:rPr>
      </w:pPr>
    </w:p>
    <w:p w14:paraId="4A296A08" w14:textId="77777777" w:rsidR="00E63DFB" w:rsidRDefault="00EE0B45">
      <w:pPr>
        <w:spacing w:after="0" w:line="360" w:lineRule="auto"/>
        <w:ind w:right="-28"/>
        <w:rPr>
          <w:color w:val="000000"/>
        </w:rPr>
      </w:pPr>
      <w:r>
        <w:rPr>
          <w:color w:val="000000"/>
        </w:rPr>
        <w:t xml:space="preserve">En respuesta, el Sujeto Obligado, por medio de la Dirección de Ecología y Medio Ambiente precisó que cuenta con una unidad vehicular adscrita y proporcionó los datos de identificación como marca, tipo de unidad, modelo, placas, número de serie y color, además indicó que se encontraba en mantenimiento en un taller mecánico en el Municipio de Nezahualcóyotl; ante dicha circunstancia, el Particular se inconformó de la información incompleta, lo cual, actualiza la causal de procedencia prevista en la fracción V, del artículo 179 de la Ley de Transparencia y Acceso a la Información Pública del Estado de México y Municipios. Así las cosas, una vez admitido y notificado el Recurso de Revisión a las partes, el Sujeto Obligado ratificó su respuesta, cabe precisar que la persona Recurrente </w:t>
      </w:r>
      <w:proofErr w:type="spellStart"/>
      <w:r>
        <w:rPr>
          <w:color w:val="000000"/>
        </w:rPr>
        <w:t>fué</w:t>
      </w:r>
      <w:proofErr w:type="spellEnd"/>
      <w:r>
        <w:rPr>
          <w:color w:val="000000"/>
        </w:rPr>
        <w:t xml:space="preserve"> omisa en manifestarse. </w:t>
      </w:r>
    </w:p>
    <w:p w14:paraId="31D5956A" w14:textId="77777777" w:rsidR="00E63DFB" w:rsidRDefault="00E63DFB">
      <w:pPr>
        <w:spacing w:after="0" w:line="360" w:lineRule="auto"/>
        <w:ind w:right="-28"/>
        <w:rPr>
          <w:color w:val="000000"/>
        </w:rPr>
      </w:pPr>
    </w:p>
    <w:p w14:paraId="69D1DB8C" w14:textId="77777777" w:rsidR="00E63DFB" w:rsidRDefault="00EE0B45">
      <w:pPr>
        <w:tabs>
          <w:tab w:val="left" w:pos="4962"/>
        </w:tabs>
        <w:spacing w:after="0" w:line="360" w:lineRule="auto"/>
        <w:rPr>
          <w:color w:val="000000"/>
        </w:rPr>
      </w:pPr>
      <w:r>
        <w:rPr>
          <w:color w:val="000000"/>
        </w:rPr>
        <w:lastRenderedPageBreak/>
        <w:t>Lo anterior, se desprende de las documentales que obran en el expediente de referencia, materia de la presente resolución, consistente en: la solicitud de acceso a la información, la respuesta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32E0741C" w14:textId="77777777" w:rsidR="00E63DFB" w:rsidRDefault="00E63DFB">
      <w:pPr>
        <w:spacing w:after="0" w:line="360" w:lineRule="auto"/>
        <w:rPr>
          <w:b/>
          <w:color w:val="000000"/>
        </w:rPr>
      </w:pPr>
    </w:p>
    <w:p w14:paraId="67D31F60" w14:textId="77777777" w:rsidR="00E63DFB" w:rsidRDefault="00EE0B45">
      <w:pPr>
        <w:pStyle w:val="Ttulo2"/>
        <w:spacing w:before="0" w:line="360" w:lineRule="auto"/>
        <w:rPr>
          <w:rFonts w:ascii="Palatino Linotype" w:eastAsia="Palatino Linotype" w:hAnsi="Palatino Linotype" w:cs="Palatino Linotype"/>
          <w:b/>
          <w:color w:val="000000"/>
          <w:sz w:val="22"/>
          <w:szCs w:val="22"/>
        </w:rPr>
      </w:pPr>
      <w:bookmarkStart w:id="15" w:name="_heading=h.1ksv4uv" w:colFirst="0" w:colLast="0"/>
      <w:bookmarkEnd w:id="15"/>
      <w:r>
        <w:rPr>
          <w:rFonts w:ascii="Palatino Linotype" w:eastAsia="Palatino Linotype" w:hAnsi="Palatino Linotype" w:cs="Palatino Linotype"/>
          <w:b/>
          <w:color w:val="000000"/>
          <w:sz w:val="22"/>
          <w:szCs w:val="22"/>
        </w:rPr>
        <w:t>CUARTO. Marco normativo aplicable en materia de transparencia y acceso a la información pública</w:t>
      </w:r>
    </w:p>
    <w:p w14:paraId="29679179" w14:textId="77777777" w:rsidR="00E63DFB" w:rsidRDefault="00E63DFB">
      <w:pPr>
        <w:spacing w:after="0" w:line="360" w:lineRule="auto"/>
        <w:rPr>
          <w:color w:val="FF0000"/>
        </w:rPr>
      </w:pPr>
    </w:p>
    <w:p w14:paraId="0544A282" w14:textId="77777777" w:rsidR="00E63DFB" w:rsidRDefault="00EE0B45">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51AF6A5" w14:textId="77777777" w:rsidR="00E63DFB" w:rsidRDefault="00E63DFB">
      <w:pPr>
        <w:spacing w:after="0" w:line="360" w:lineRule="auto"/>
        <w:rPr>
          <w:color w:val="000000"/>
        </w:rPr>
      </w:pPr>
    </w:p>
    <w:p w14:paraId="6674F23A" w14:textId="77777777" w:rsidR="00E63DFB" w:rsidRDefault="00EE0B45">
      <w:pPr>
        <w:spacing w:after="0" w:line="360" w:lineRule="auto"/>
        <w:rPr>
          <w:color w:val="000000"/>
        </w:rPr>
      </w:pPr>
      <w:r>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2F7D968E" w14:textId="77777777" w:rsidR="00E63DFB" w:rsidRDefault="00E63DFB">
      <w:pPr>
        <w:spacing w:after="0" w:line="360" w:lineRule="auto"/>
        <w:rPr>
          <w:color w:val="000000"/>
        </w:rPr>
      </w:pPr>
    </w:p>
    <w:p w14:paraId="00058641" w14:textId="77777777" w:rsidR="00E63DFB" w:rsidRDefault="00EE0B45">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EFC15B8" w14:textId="77777777" w:rsidR="00E63DFB" w:rsidRDefault="00E63DFB">
      <w:pPr>
        <w:spacing w:after="0" w:line="360" w:lineRule="auto"/>
        <w:rPr>
          <w:color w:val="000000"/>
        </w:rPr>
      </w:pPr>
    </w:p>
    <w:p w14:paraId="57DA3731" w14:textId="77777777" w:rsidR="00E63DFB" w:rsidRDefault="00EE0B45">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69844A76" w14:textId="77777777" w:rsidR="00E63DFB" w:rsidRDefault="00E63DFB">
      <w:pPr>
        <w:spacing w:after="0" w:line="360" w:lineRule="auto"/>
        <w:rPr>
          <w:color w:val="000000"/>
        </w:rPr>
      </w:pPr>
    </w:p>
    <w:p w14:paraId="13296DC8" w14:textId="77777777" w:rsidR="00E63DFB" w:rsidRDefault="00EE0B45">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37654E20" w14:textId="77777777" w:rsidR="00E63DFB" w:rsidRDefault="00E63DFB">
      <w:pPr>
        <w:spacing w:after="0" w:line="360" w:lineRule="auto"/>
        <w:rPr>
          <w:color w:val="000000"/>
        </w:rPr>
      </w:pPr>
    </w:p>
    <w:p w14:paraId="4472EB81" w14:textId="77777777" w:rsidR="00E63DFB" w:rsidRDefault="00EE0B45">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7C19174" w14:textId="77777777" w:rsidR="00E63DFB" w:rsidRDefault="00E63DFB">
      <w:pPr>
        <w:spacing w:after="0" w:line="360" w:lineRule="auto"/>
        <w:rPr>
          <w:color w:val="000000"/>
        </w:rPr>
      </w:pPr>
    </w:p>
    <w:p w14:paraId="27F5BD99" w14:textId="77777777" w:rsidR="00E63DFB" w:rsidRDefault="00EE0B45">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97761BD" w14:textId="77777777" w:rsidR="00E63DFB" w:rsidRDefault="00E63DFB">
      <w:pPr>
        <w:spacing w:after="0" w:line="360" w:lineRule="auto"/>
        <w:rPr>
          <w:color w:val="FF0000"/>
        </w:rPr>
      </w:pPr>
    </w:p>
    <w:p w14:paraId="13ED4A42" w14:textId="77777777" w:rsidR="00E63DFB" w:rsidRDefault="00EE0B45">
      <w:pPr>
        <w:pStyle w:val="Ttulo2"/>
        <w:spacing w:before="0" w:line="360" w:lineRule="auto"/>
        <w:rPr>
          <w:rFonts w:ascii="Palatino Linotype" w:eastAsia="Palatino Linotype" w:hAnsi="Palatino Linotype" w:cs="Palatino Linotype"/>
          <w:b/>
          <w:color w:val="000000"/>
          <w:sz w:val="22"/>
          <w:szCs w:val="22"/>
        </w:rPr>
      </w:pPr>
      <w:bookmarkStart w:id="16" w:name="_heading=h.44sinio" w:colFirst="0" w:colLast="0"/>
      <w:bookmarkEnd w:id="16"/>
      <w:r>
        <w:rPr>
          <w:rFonts w:ascii="Palatino Linotype" w:eastAsia="Palatino Linotype" w:hAnsi="Palatino Linotype" w:cs="Palatino Linotype"/>
          <w:b/>
          <w:color w:val="000000"/>
          <w:sz w:val="22"/>
          <w:szCs w:val="22"/>
        </w:rPr>
        <w:t>QUINTO. Estudio de Fondo</w:t>
      </w:r>
    </w:p>
    <w:p w14:paraId="11467B1B" w14:textId="77777777" w:rsidR="00E63DFB" w:rsidRDefault="00E63DFB">
      <w:pPr>
        <w:spacing w:after="0" w:line="360" w:lineRule="auto"/>
        <w:rPr>
          <w:b/>
          <w:color w:val="000000"/>
        </w:rPr>
      </w:pPr>
    </w:p>
    <w:p w14:paraId="57ED65F7" w14:textId="77777777" w:rsidR="00E63DFB" w:rsidRDefault="00EE0B45">
      <w:pPr>
        <w:spacing w:after="0" w:line="360" w:lineRule="auto"/>
        <w:rPr>
          <w:color w:val="000000"/>
        </w:rPr>
      </w:pPr>
      <w:r>
        <w:rPr>
          <w:color w:val="000000"/>
        </w:rPr>
        <w:t xml:space="preserve">Expuestas las posturas de las partes, se procede al análisis del agravio hecho valer por el Recurrente, concerniente a la inexistencia de la información y que no corresponde con lo solicitado, para lo cual en principio resulta necesario contextualizar la solicitud de información. </w:t>
      </w:r>
    </w:p>
    <w:p w14:paraId="496DA68C" w14:textId="77777777" w:rsidR="00E63DFB" w:rsidRDefault="00E63DFB">
      <w:pPr>
        <w:spacing w:after="0" w:line="360" w:lineRule="auto"/>
        <w:rPr>
          <w:color w:val="000000"/>
        </w:rPr>
      </w:pPr>
    </w:p>
    <w:p w14:paraId="0E9B1F54" w14:textId="77777777" w:rsidR="00E63DFB" w:rsidRDefault="00EE0B45">
      <w:pPr>
        <w:spacing w:after="0" w:line="360" w:lineRule="auto"/>
        <w:rPr>
          <w:color w:val="000000"/>
        </w:rPr>
      </w:pPr>
      <w:r>
        <w:rPr>
          <w:color w:val="000000"/>
        </w:rPr>
        <w:t xml:space="preserve">Al respecto, los artículos 31 fracción XV, 48 fracción XI y artículo 53 fracción VII, de la Ley Orgánica Municipal del Estado de México, establece que el Ayuntamiento tendrá la atribución de aprobar en sesión de cabildo los movimientos registrados en el libro especial de bienes muebles e inmuebles, ahora bien, el Presidente Municipal deberá supervisar la administración, registro, control, uso, mantenimiento y conservación de los bienes del Municipio. </w:t>
      </w:r>
    </w:p>
    <w:p w14:paraId="700DA484" w14:textId="77777777" w:rsidR="00E63DFB" w:rsidRDefault="00EE0B45">
      <w:pPr>
        <w:spacing w:after="0" w:line="360" w:lineRule="auto"/>
        <w:rPr>
          <w:color w:val="000000"/>
        </w:rPr>
      </w:pPr>
      <w:r>
        <w:rPr>
          <w:color w:val="000000"/>
        </w:rPr>
        <w:lastRenderedPageBreak/>
        <w:t xml:space="preserve">En ese contexto, los artículos 53 fracción VII y 91 fracción XI de dicha Ley, establece que la  Secretaría del Ayuntamiento y los Síndicos elaborarán el inventario general de los bienes  muebles e inmuebles propiedad del Municipio, haciendo que se inscriban en el </w:t>
      </w:r>
      <w:r>
        <w:rPr>
          <w:b/>
          <w:color w:val="000000"/>
        </w:rPr>
        <w:t>libro especial</w:t>
      </w:r>
      <w:r>
        <w:rPr>
          <w:color w:val="000000"/>
        </w:rPr>
        <w:t xml:space="preserve">, con expresión de sus valores y todas las </w:t>
      </w:r>
      <w:r>
        <w:rPr>
          <w:b/>
          <w:color w:val="000000"/>
        </w:rPr>
        <w:t>características de identificación, así como el uso y  destino de los bienes muebles</w:t>
      </w:r>
      <w:r>
        <w:rPr>
          <w:color w:val="000000"/>
        </w:rPr>
        <w:t>, además, elaborarán la integración del sistema de información inmobiliaria, que contemple los bienes del dominio público y privado.</w:t>
      </w:r>
    </w:p>
    <w:p w14:paraId="566D5556" w14:textId="77777777" w:rsidR="00E63DFB" w:rsidRDefault="00EE0B45">
      <w:pPr>
        <w:spacing w:after="0" w:line="360" w:lineRule="auto"/>
        <w:rPr>
          <w:color w:val="000000"/>
        </w:rPr>
      </w:pPr>
      <w:r>
        <w:rPr>
          <w:color w:val="000000"/>
        </w:rPr>
        <w:t>Ahora bien, el Criterio de interpretación, con clave de control SO/008/2023, de la Tercera Época, emitido por el Pleno del Instituto Nacional de Transparencia, Acceso a la Información y Protección de Datos Personales, establece que 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w:t>
      </w:r>
    </w:p>
    <w:p w14:paraId="3B6FA7F9" w14:textId="77777777" w:rsidR="00E63DFB" w:rsidRDefault="00E63DFB">
      <w:pPr>
        <w:spacing w:after="0" w:line="360" w:lineRule="auto"/>
        <w:rPr>
          <w:color w:val="000000"/>
        </w:rPr>
      </w:pPr>
    </w:p>
    <w:p w14:paraId="458BCC3B" w14:textId="77777777" w:rsidR="00E63DFB" w:rsidRDefault="00EE0B45">
      <w:pPr>
        <w:spacing w:after="0" w:line="360" w:lineRule="auto"/>
        <w:rPr>
          <w:color w:val="000000"/>
        </w:rPr>
      </w:pPr>
      <w:r>
        <w:rPr>
          <w:color w:val="000000"/>
        </w:rPr>
        <w:t xml:space="preserve">Finalmente, de conformidad con el Reglamento Orgánico Municipal de la Paz 2025-2027, en sus artículos 12, fracciones I.XI y III.II.III, 21, fracción IX, 30, fracciones II y VI, y 52, fracciones I, II y III, establecen que el Ayuntamiento, se auxiliará de diversas unidades administrativas, entre las que se encuentra la Contraloría Interna Municipal, encargada de intervenir en la elaboración y actualización del Inventario de Bienes Patrimoniales, la Dirección de Ecología y Medio Ambiente, encargada de elaborar y dirigir la política municipal de información y difusión en materia ambiental bajo los principios  de sustentabilidad y sostenibilidad, así como,  preservar y conservar el equilibrio ecológico y proteger el medio ambiente dentro del municipio, y el Departamento de Parque Vehicular, encargado de elaborar y actualizar el parque vehicular propiedad del municipio, elaborar un expediente por cada uno de los vehículos,  la actualización de toda documentación oficial de los vehículos necesarios para </w:t>
      </w:r>
      <w:r>
        <w:rPr>
          <w:color w:val="000000"/>
        </w:rPr>
        <w:lastRenderedPageBreak/>
        <w:t xml:space="preserve">circular (placas, tenencias, seguros, verificaciones y resguardos) y supervisar la aplicación de las normas relativas al uso y cuidado de los vehículos asignados. </w:t>
      </w:r>
    </w:p>
    <w:p w14:paraId="1F26C5EF" w14:textId="77777777" w:rsidR="00E63DFB" w:rsidRDefault="00E63DFB">
      <w:pPr>
        <w:spacing w:after="0" w:line="360" w:lineRule="auto"/>
        <w:rPr>
          <w:color w:val="000000"/>
        </w:rPr>
      </w:pPr>
    </w:p>
    <w:p w14:paraId="2D8414C7" w14:textId="77777777" w:rsidR="00E63DFB" w:rsidRDefault="00EE0B45">
      <w:pPr>
        <w:spacing w:after="0" w:line="360" w:lineRule="auto"/>
        <w:rPr>
          <w:color w:val="000000"/>
        </w:rPr>
      </w:pPr>
      <w:r>
        <w:rPr>
          <w:color w:val="000000"/>
        </w:rPr>
        <w:t xml:space="preserve">Conforme a lo anterior, se logra vislumbrar que la pretensión del ahora Recurrente, es obtener los documentos que den cuenta del número de unidades vehiculares a cargo de la Dirección de Ecología y Medio Ambiente, el uso que se les da y si se encuentra en funcionamiento, al trece de enero de dos mil veinticinco. </w:t>
      </w:r>
    </w:p>
    <w:p w14:paraId="3F1DDD8D" w14:textId="77777777" w:rsidR="00E63DFB" w:rsidRDefault="00E63DFB">
      <w:pPr>
        <w:spacing w:after="0" w:line="360" w:lineRule="auto"/>
        <w:rPr>
          <w:color w:val="000000"/>
        </w:rPr>
      </w:pPr>
    </w:p>
    <w:p w14:paraId="77C93A18" w14:textId="77777777" w:rsidR="00E63DFB" w:rsidRDefault="00EE0B45">
      <w:pPr>
        <w:spacing w:after="0" w:line="360" w:lineRule="auto"/>
        <w:rPr>
          <w:color w:val="000000"/>
        </w:rPr>
      </w:pPr>
      <w:r>
        <w:rPr>
          <w:color w:val="000000"/>
        </w:rPr>
        <w:t>Establecida dicha circunstancia, se procede analizar la respuesta entregada, para lo cual, es de señalar que de las constancias que obran en el expediente, se logra vislumbrar que el Sujeto Obligado turno la solicitud de información a la Dirección de Ecología y Medio Ambiente;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7DC69CAE" w14:textId="77777777" w:rsidR="00E63DFB" w:rsidRDefault="00E63DFB">
      <w:pPr>
        <w:spacing w:after="0" w:line="360" w:lineRule="auto"/>
        <w:rPr>
          <w:color w:val="000000"/>
        </w:rPr>
      </w:pPr>
    </w:p>
    <w:p w14:paraId="4775CA0E" w14:textId="77777777" w:rsidR="00E63DFB" w:rsidRDefault="00EE0B45">
      <w:pPr>
        <w:spacing w:after="0" w:line="360" w:lineRule="auto"/>
        <w:rPr>
          <w:color w:val="000000"/>
        </w:rPr>
      </w:pPr>
      <w:r>
        <w:rPr>
          <w:color w:val="000000"/>
        </w:rPr>
        <w:t xml:space="preserve">Conforme a lo expuesto en párrafos anteriores, se advierte que el Sujeto Obligado, no cumplió con el procedimiento de búsqueda previsto en el artículo 162 de la Ley de Transparencia y Acceso a la Información Pública del Estado de México y Municipios, toda vez que no turnó la solicitud de información al Departamento de Parque Vehicular encargada de los expedientes de cada uno de los vehículos propiedad del municipio  y encargado de </w:t>
      </w:r>
      <w:r>
        <w:rPr>
          <w:color w:val="000000"/>
        </w:rPr>
        <w:lastRenderedPageBreak/>
        <w:t>supervisar la aplicación de las normas relativas al uso y cuidado de los vehículos asignados para el desarrollo de sus funciones en el ámbito de sus atribuciones.</w:t>
      </w:r>
    </w:p>
    <w:p w14:paraId="0CD544E5" w14:textId="77777777" w:rsidR="00E63DFB" w:rsidRDefault="00E63DFB">
      <w:pPr>
        <w:spacing w:after="0" w:line="360" w:lineRule="auto"/>
        <w:rPr>
          <w:color w:val="000000"/>
        </w:rPr>
      </w:pPr>
    </w:p>
    <w:p w14:paraId="6CC0B571" w14:textId="77777777" w:rsidR="00E63DFB" w:rsidRDefault="00EE0B45">
      <w:pPr>
        <w:spacing w:after="0" w:line="360" w:lineRule="auto"/>
        <w:rPr>
          <w:color w:val="000000"/>
        </w:rPr>
      </w:pPr>
      <w:r>
        <w:rPr>
          <w:color w:val="000000"/>
        </w:rPr>
        <w:t xml:space="preserve">Sin menoscabar lo anterior, la Dirección de Ecología y Medio Ambiente precisó que cuenta con una unidad vehicular  adscrita a dicha dirección, que se encontraba resguardada en el estacionamiento de la Presidencia Municipal debido a una falla en el </w:t>
      </w:r>
      <w:proofErr w:type="spellStart"/>
      <w:r>
        <w:rPr>
          <w:color w:val="000000"/>
        </w:rPr>
        <w:t>clutch</w:t>
      </w:r>
      <w:proofErr w:type="spellEnd"/>
      <w:r>
        <w:rPr>
          <w:color w:val="000000"/>
        </w:rPr>
        <w:t>, que impedía s</w:t>
      </w:r>
      <w:r>
        <w:t>u</w:t>
      </w:r>
      <w:r>
        <w:rPr>
          <w:color w:val="000000"/>
        </w:rPr>
        <w:t xml:space="preserve"> movilidad totalmente al veinte de septiembre de dos mil veinticuatro, sin embargo, al dieciséis de enero de dos mil veinticinco, se </w:t>
      </w:r>
      <w:r>
        <w:t>encontraba</w:t>
      </w:r>
      <w:r>
        <w:rPr>
          <w:color w:val="000000"/>
        </w:rPr>
        <w:t xml:space="preserve"> en mantenimiento en un taller mecánico ubicado en el Municipio de Nezahualcóyotl, mismo que se hizo del conocimiento a la Oficina de Gestión Vehicular, así mismo, proporcionó las características de la unidad vehicular tal como muestra a continuación: </w:t>
      </w:r>
    </w:p>
    <w:p w14:paraId="37FDAF5B" w14:textId="77777777" w:rsidR="00E63DFB" w:rsidRDefault="00E63DFB">
      <w:pPr>
        <w:spacing w:after="0" w:line="360" w:lineRule="auto"/>
        <w:rPr>
          <w:color w:val="000000"/>
        </w:rPr>
      </w:pPr>
    </w:p>
    <w:p w14:paraId="1A3D00EA" w14:textId="77777777" w:rsidR="00E63DFB" w:rsidRDefault="00EE0B45">
      <w:pPr>
        <w:spacing w:after="0" w:line="360" w:lineRule="auto"/>
        <w:jc w:val="center"/>
        <w:rPr>
          <w:color w:val="000000"/>
        </w:rPr>
      </w:pPr>
      <w:r>
        <w:rPr>
          <w:noProof/>
          <w:color w:val="000000"/>
        </w:rPr>
        <w:drawing>
          <wp:inline distT="0" distB="0" distL="0" distR="0" wp14:anchorId="24BAACCF" wp14:editId="288452A6">
            <wp:extent cx="3840856" cy="1609007"/>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31745" b="6655"/>
                    <a:stretch>
                      <a:fillRect/>
                    </a:stretch>
                  </pic:blipFill>
                  <pic:spPr>
                    <a:xfrm>
                      <a:off x="0" y="0"/>
                      <a:ext cx="3840856" cy="1609007"/>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77636EC9" wp14:editId="3C9E15F9">
                <wp:simplePos x="0" y="0"/>
                <wp:positionH relativeFrom="column">
                  <wp:posOffset>965200</wp:posOffset>
                </wp:positionH>
                <wp:positionV relativeFrom="paragraph">
                  <wp:posOffset>431800</wp:posOffset>
                </wp:positionV>
                <wp:extent cx="3639651" cy="535884"/>
                <wp:effectExtent l="0" t="0" r="0" b="0"/>
                <wp:wrapNone/>
                <wp:docPr id="13" name="Rectángulo 13"/>
                <wp:cNvGraphicFramePr/>
                <a:graphic xmlns:a="http://schemas.openxmlformats.org/drawingml/2006/main">
                  <a:graphicData uri="http://schemas.microsoft.com/office/word/2010/wordprocessingShape">
                    <wps:wsp>
                      <wps:cNvSpPr/>
                      <wps:spPr>
                        <a:xfrm>
                          <a:off x="3535700" y="3521583"/>
                          <a:ext cx="3620601" cy="516834"/>
                        </a:xfrm>
                        <a:prstGeom prst="rect">
                          <a:avLst/>
                        </a:prstGeom>
                        <a:noFill/>
                        <a:ln w="19050" cap="flat" cmpd="sng">
                          <a:solidFill>
                            <a:srgbClr val="FF0000"/>
                          </a:solidFill>
                          <a:prstDash val="solid"/>
                          <a:miter lim="800000"/>
                          <a:headEnd type="none" w="sm" len="sm"/>
                          <a:tailEnd type="none" w="sm" len="sm"/>
                        </a:ln>
                      </wps:spPr>
                      <wps:txbx>
                        <w:txbxContent>
                          <w:p w14:paraId="53467F7D" w14:textId="77777777" w:rsidR="00E63DFB" w:rsidRDefault="00E63DFB">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965200</wp:posOffset>
                </wp:positionH>
                <wp:positionV relativeFrom="paragraph">
                  <wp:posOffset>431800</wp:posOffset>
                </wp:positionV>
                <wp:extent cx="3639651" cy="535884"/>
                <wp:effectExtent b="0" l="0" r="0" t="0"/>
                <wp:wrapNone/>
                <wp:docPr id="13"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639651" cy="535884"/>
                        </a:xfrm>
                        <a:prstGeom prst="rect"/>
                        <a:ln/>
                      </pic:spPr>
                    </pic:pic>
                  </a:graphicData>
                </a:graphic>
              </wp:anchor>
            </w:drawing>
          </mc:Fallback>
        </mc:AlternateContent>
      </w:r>
    </w:p>
    <w:p w14:paraId="3158D618" w14:textId="77777777" w:rsidR="00E63DFB" w:rsidRDefault="00EE0B45">
      <w:pPr>
        <w:spacing w:after="0" w:line="360" w:lineRule="auto"/>
        <w:jc w:val="center"/>
        <w:rPr>
          <w:color w:val="000000"/>
        </w:rPr>
      </w:pPr>
      <w:r>
        <w:rPr>
          <w:noProof/>
          <w:color w:val="000000"/>
        </w:rPr>
        <w:lastRenderedPageBreak/>
        <w:drawing>
          <wp:inline distT="0" distB="0" distL="0" distR="0" wp14:anchorId="17BDBC2A" wp14:editId="64E84E67">
            <wp:extent cx="3536378" cy="2453275"/>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14193" b="16435"/>
                    <a:stretch>
                      <a:fillRect/>
                    </a:stretch>
                  </pic:blipFill>
                  <pic:spPr>
                    <a:xfrm>
                      <a:off x="0" y="0"/>
                      <a:ext cx="3536378" cy="2453275"/>
                    </a:xfrm>
                    <a:prstGeom prst="rect">
                      <a:avLst/>
                    </a:prstGeom>
                    <a:ln/>
                  </pic:spPr>
                </pic:pic>
              </a:graphicData>
            </a:graphic>
          </wp:inline>
        </w:drawing>
      </w:r>
    </w:p>
    <w:p w14:paraId="381A1C54" w14:textId="77777777" w:rsidR="00E63DFB" w:rsidRDefault="00EE0B45">
      <w:pPr>
        <w:spacing w:after="0" w:line="360" w:lineRule="auto"/>
        <w:rPr>
          <w:color w:val="000000"/>
        </w:rPr>
      </w:pPr>
      <w:r>
        <w:rPr>
          <w:color w:val="000000"/>
        </w:rPr>
        <w:t>Conforme a lo anterior, se logra vislumbrar que el Sujeto Obligado señaló los datos de las unidades vehiculares oficiales con las que contaba el área y aludió a que no estaba en funcionamiento, pues se localizaba en un taller mecánico, además que de la nota proporcionada, se advierte que tenía ciertas averías; sin embargo, omitió pronunciarse respecto al uso que se le daba a la unidad,  es decir no entregó la información completa; sobre el tema, el artículo 1.8, fracción XIII, del Código Administrativo del Estado de México, establece que para que tenga validez, todo acto administrativo deberá resolver todos los puntos propuestos por los interesados.</w:t>
      </w:r>
    </w:p>
    <w:p w14:paraId="5CBD928A" w14:textId="77777777" w:rsidR="00E63DFB" w:rsidRDefault="00E63DFB">
      <w:pPr>
        <w:spacing w:after="0" w:line="360" w:lineRule="auto"/>
        <w:rPr>
          <w:color w:val="000000"/>
        </w:rPr>
      </w:pPr>
    </w:p>
    <w:p w14:paraId="6FAB91AB" w14:textId="77777777" w:rsidR="00E63DFB" w:rsidRDefault="00EE0B45">
      <w:pPr>
        <w:spacing w:after="0" w:line="360" w:lineRule="auto"/>
        <w:rPr>
          <w:color w:val="000000"/>
        </w:rPr>
      </w:pPr>
      <w:r>
        <w:rPr>
          <w:color w:val="000000"/>
        </w:rPr>
        <w:t xml:space="preserve">Situación que se robustece, con el </w:t>
      </w:r>
      <w:proofErr w:type="spellStart"/>
      <w:r>
        <w:rPr>
          <w:color w:val="000000"/>
        </w:rPr>
        <w:t>el</w:t>
      </w:r>
      <w:proofErr w:type="spellEnd"/>
      <w:r>
        <w:rPr>
          <w:color w:val="000000"/>
        </w:rPr>
        <w:t xml:space="preserve"> Criterio de Interpretación, con clave de control SO/002/2017, de la Segunda Época, emitido por el Instituto Nacional de Transparencia, Acceso a la Información y Protección de Datos Personales, que establece que todo acto administrativo debe apegarse al </w:t>
      </w:r>
      <w:r>
        <w:rPr>
          <w:b/>
          <w:color w:val="000000"/>
        </w:rPr>
        <w:t>principio de exhaustividad</w:t>
      </w:r>
      <w:r>
        <w:rPr>
          <w:color w:val="000000"/>
        </w:rPr>
        <w:t xml:space="preserve">,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w:t>
      </w:r>
      <w:r>
        <w:rPr>
          <w:color w:val="000000"/>
        </w:rPr>
        <w:lastRenderedPageBreak/>
        <w:t>decidiendo –de marea íntegra- sobre todos los puntos requeridos, a fin de satisfacer la solicitud correspondiente.</w:t>
      </w:r>
    </w:p>
    <w:p w14:paraId="24004FA6" w14:textId="77777777" w:rsidR="00E63DFB" w:rsidRDefault="00E63DFB">
      <w:pPr>
        <w:spacing w:after="0" w:line="360" w:lineRule="auto"/>
        <w:rPr>
          <w:color w:val="000000"/>
        </w:rPr>
      </w:pPr>
    </w:p>
    <w:p w14:paraId="3AFC56F7" w14:textId="77777777" w:rsidR="00E63DFB" w:rsidRDefault="00EE0B45">
      <w:pPr>
        <w:spacing w:after="0" w:line="360" w:lineRule="auto"/>
        <w:rPr>
          <w:b/>
          <w:color w:val="000000"/>
        </w:rPr>
      </w:pPr>
      <w:r>
        <w:rPr>
          <w:color w:val="000000"/>
        </w:rPr>
        <w:t xml:space="preserve">En esa tesitura, se concluye que el Sujeto Obligado, no satisfizo el derecho de acceso a la información del Solicitante, al no dar atención al requerimiento de información de manera completa, pues omitió entregar el documento donde conste el uso del vehículo referido en respuesta por la Dirección de Ecología y Medio Ambiente, lo cual da como resultado que el agravio resulta </w:t>
      </w:r>
      <w:r>
        <w:rPr>
          <w:b/>
          <w:color w:val="000000"/>
        </w:rPr>
        <w:t>FUNDADO.</w:t>
      </w:r>
    </w:p>
    <w:p w14:paraId="7DA11C64" w14:textId="77777777" w:rsidR="00E63DFB" w:rsidRDefault="00E63DFB">
      <w:pPr>
        <w:spacing w:after="0" w:line="360" w:lineRule="auto"/>
        <w:rPr>
          <w:b/>
          <w:color w:val="000000"/>
        </w:rPr>
      </w:pPr>
    </w:p>
    <w:p w14:paraId="28CB204A" w14:textId="77777777" w:rsidR="00E63DFB" w:rsidRDefault="00EE0B45">
      <w:pPr>
        <w:spacing w:after="0" w:line="360" w:lineRule="auto"/>
        <w:rPr>
          <w:color w:val="000000"/>
        </w:rPr>
      </w:pPr>
      <w:r>
        <w:rPr>
          <w:color w:val="000000"/>
        </w:rPr>
        <w:t>Además, es de señalar que un bien mueble debe cumplir con un determinado uso o destino, pues es necesario para que un Sujeto Obligado pueda adquirirlo; por lo que, los Sujetos Obligados deben de asignarle un uso o destino específico a estos, en atención a las necesidades y requerimientos de las diferentes Unidades Administrativas.</w:t>
      </w:r>
    </w:p>
    <w:p w14:paraId="13A28962" w14:textId="77777777" w:rsidR="00E63DFB" w:rsidRDefault="00E63DFB">
      <w:pPr>
        <w:spacing w:after="0" w:line="360" w:lineRule="auto"/>
        <w:rPr>
          <w:color w:val="000000"/>
        </w:rPr>
      </w:pPr>
    </w:p>
    <w:p w14:paraId="5D7D278D" w14:textId="77777777" w:rsidR="00E63DFB" w:rsidRDefault="00EE0B45">
      <w:pPr>
        <w:spacing w:after="0" w:line="360" w:lineRule="auto"/>
        <w:rPr>
          <w:color w:val="000000"/>
        </w:rPr>
      </w:pPr>
      <w:r>
        <w:rPr>
          <w:color w:val="000000"/>
        </w:rPr>
        <w:t>En otras palabras, para que un área pueda tener un bien, debe de justificar la necesidad de este; lo cual se traduce en el presente caso, en el sentido de que la Dirección de Ecología y Medio Ambiente, al contar con una unidad móvil, independientemente que funcione o no, debe conocer el uso que se le da, como puede ser para brindar servicios públicos como poda de árboles, para atender determinadas situaciones o simplemente de traslado de personal.</w:t>
      </w:r>
    </w:p>
    <w:p w14:paraId="256339D8" w14:textId="77777777" w:rsidR="00E63DFB" w:rsidRDefault="00E63DFB">
      <w:pPr>
        <w:spacing w:after="0" w:line="360" w:lineRule="auto"/>
        <w:rPr>
          <w:color w:val="000000"/>
        </w:rPr>
      </w:pPr>
    </w:p>
    <w:p w14:paraId="6AAEE357" w14:textId="77777777" w:rsidR="00E63DFB" w:rsidRDefault="00EE0B45">
      <w:pPr>
        <w:spacing w:after="0" w:line="360" w:lineRule="auto"/>
        <w:rPr>
          <w:color w:val="000000"/>
        </w:rPr>
      </w:pPr>
      <w:r>
        <w:rPr>
          <w:color w:val="000000"/>
        </w:rPr>
        <w:t>De tal suerte, que si bien, a la fecha de la solicitud se encontraba en un taller mecánico el vehículo referido en respuesta, lo cierto es que, el área mencionada en el párrafo anterior, debe conocer respecto al uso y destino del automotor, pues debe usarlo para determinadas tareas.</w:t>
      </w:r>
    </w:p>
    <w:p w14:paraId="52547292" w14:textId="77777777" w:rsidR="00E63DFB" w:rsidRDefault="00E63DFB">
      <w:pPr>
        <w:spacing w:after="0" w:line="360" w:lineRule="auto"/>
        <w:rPr>
          <w:b/>
          <w:color w:val="000000"/>
        </w:rPr>
      </w:pPr>
    </w:p>
    <w:p w14:paraId="0CBC2F72" w14:textId="77777777" w:rsidR="00E63DFB" w:rsidRDefault="00EE0B45">
      <w:pPr>
        <w:spacing w:after="0" w:line="360" w:lineRule="auto"/>
        <w:rPr>
          <w:color w:val="000000"/>
        </w:rPr>
      </w:pPr>
      <w:r>
        <w:rPr>
          <w:color w:val="000000"/>
        </w:rPr>
        <w:lastRenderedPageBreak/>
        <w:t xml:space="preserve">Así, este Instituto considera que, para atender el requerimiento de información, el Sujeto Obligado deberá realizar una búsqueda exhaustiva y razonable en los archivos de la Dirección de Ecología y Medio Ambiente y el Departamento de Parque </w:t>
      </w:r>
      <w:proofErr w:type="spellStart"/>
      <w:r>
        <w:rPr>
          <w:color w:val="000000"/>
        </w:rPr>
        <w:t>Vehícular</w:t>
      </w:r>
      <w:proofErr w:type="spellEnd"/>
      <w:r>
        <w:rPr>
          <w:color w:val="000000"/>
        </w:rPr>
        <w:t xml:space="preserve">, a efecto de que proporcione el documento donde conste el uso del vehículo referido en respuesta por la dirección de Ecología y Medio Ambiente. </w:t>
      </w:r>
    </w:p>
    <w:p w14:paraId="2A74EB2D" w14:textId="77777777" w:rsidR="00E63DFB" w:rsidRDefault="00E63DFB">
      <w:pPr>
        <w:spacing w:after="0" w:line="360" w:lineRule="auto"/>
        <w:rPr>
          <w:color w:val="000000"/>
        </w:rPr>
      </w:pPr>
    </w:p>
    <w:p w14:paraId="626EF11E" w14:textId="77777777" w:rsidR="00E63DFB" w:rsidRDefault="00EE0B45">
      <w:pPr>
        <w:spacing w:after="0" w:line="360" w:lineRule="auto"/>
        <w:rPr>
          <w:color w:val="000000"/>
        </w:rPr>
      </w:pPr>
      <w:r>
        <w:rPr>
          <w:color w:val="000000"/>
        </w:rP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5524E895" w14:textId="77777777" w:rsidR="00E63DFB" w:rsidRDefault="00E63DFB">
      <w:pPr>
        <w:spacing w:after="0" w:line="360" w:lineRule="auto"/>
        <w:rPr>
          <w:color w:val="000000"/>
        </w:rPr>
      </w:pPr>
    </w:p>
    <w:p w14:paraId="03FB906C" w14:textId="77777777" w:rsidR="00E63DFB" w:rsidRDefault="00EE0B45">
      <w:pPr>
        <w:spacing w:after="0" w:line="360" w:lineRule="auto"/>
        <w:rPr>
          <w:color w:val="000000"/>
        </w:rPr>
      </w:pPr>
      <w:r>
        <w:rPr>
          <w:color w:val="000000"/>
        </w:rP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el documento que dé cuenta de lo requerido.</w:t>
      </w:r>
    </w:p>
    <w:p w14:paraId="64E02F1D" w14:textId="77777777" w:rsidR="00E63DFB" w:rsidRDefault="00E63DFB">
      <w:pPr>
        <w:spacing w:after="0" w:line="360" w:lineRule="auto"/>
      </w:pPr>
    </w:p>
    <w:p w14:paraId="077C4800" w14:textId="77777777" w:rsidR="00E63DFB" w:rsidRDefault="00EE0B45">
      <w:pPr>
        <w:spacing w:after="0" w:line="360" w:lineRule="auto"/>
        <w:rPr>
          <w:color w:val="000000"/>
        </w:rPr>
      </w:pPr>
      <w:r>
        <w:rPr>
          <w:color w:val="000000"/>
        </w:rPr>
        <w:t xml:space="preserve">Ahora bien, no pasa desapercibido para este Instituto que los documentos, pudieran contener datos o información clasificada; por lo que, en el supuesto, deberá elaborar la versión pública </w:t>
      </w:r>
      <w:r>
        <w:rPr>
          <w:color w:val="000000"/>
        </w:rPr>
        <w:lastRenderedPageBreak/>
        <w:t xml:space="preserve">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45E2E105" w14:textId="77777777" w:rsidR="00E63DFB" w:rsidRDefault="00E63DFB">
      <w:pPr>
        <w:spacing w:after="0" w:line="360" w:lineRule="auto"/>
        <w:rPr>
          <w:color w:val="000000"/>
        </w:rPr>
      </w:pPr>
    </w:p>
    <w:p w14:paraId="2BDF5F6C" w14:textId="77777777" w:rsidR="00E63DFB" w:rsidRDefault="00EE0B45">
      <w:pPr>
        <w:spacing w:after="0" w:line="360" w:lineRule="auto"/>
        <w:rPr>
          <w:color w:val="000000"/>
        </w:rPr>
      </w:pPr>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335C8D93" w14:textId="77777777" w:rsidR="00E63DFB" w:rsidRDefault="00E63DFB">
      <w:pPr>
        <w:spacing w:after="0" w:line="360" w:lineRule="auto"/>
      </w:pPr>
    </w:p>
    <w:p w14:paraId="00B003FE" w14:textId="77777777" w:rsidR="00E63DFB" w:rsidRDefault="00EE0B45">
      <w:pPr>
        <w:pStyle w:val="Ttulo2"/>
        <w:spacing w:before="0" w:line="360" w:lineRule="auto"/>
        <w:rPr>
          <w:rFonts w:ascii="Palatino Linotype" w:eastAsia="Palatino Linotype" w:hAnsi="Palatino Linotype" w:cs="Palatino Linotype"/>
          <w:b/>
          <w:color w:val="000000"/>
          <w:sz w:val="22"/>
          <w:szCs w:val="22"/>
        </w:rPr>
      </w:pPr>
      <w:bookmarkStart w:id="17" w:name="_heading=h.2jxsxqh" w:colFirst="0" w:colLast="0"/>
      <w:bookmarkEnd w:id="17"/>
      <w:r>
        <w:rPr>
          <w:rFonts w:ascii="Palatino Linotype" w:eastAsia="Palatino Linotype" w:hAnsi="Palatino Linotype" w:cs="Palatino Linotype"/>
          <w:b/>
          <w:color w:val="000000"/>
          <w:sz w:val="22"/>
          <w:szCs w:val="22"/>
        </w:rPr>
        <w:t xml:space="preserve">SEXTO. Decisión. </w:t>
      </w:r>
    </w:p>
    <w:p w14:paraId="7B95D49A" w14:textId="77777777" w:rsidR="00E63DFB" w:rsidRDefault="00E63DFB">
      <w:pPr>
        <w:spacing w:after="0" w:line="360" w:lineRule="auto"/>
        <w:rPr>
          <w:b/>
          <w:color w:val="000000"/>
        </w:rPr>
      </w:pPr>
    </w:p>
    <w:p w14:paraId="3E0A1407" w14:textId="77777777" w:rsidR="00E63DFB" w:rsidRDefault="00EE0B45">
      <w:pPr>
        <w:spacing w:after="0" w:line="360" w:lineRule="auto"/>
      </w:pPr>
      <w:r>
        <w:t xml:space="preserve">Con fundamento en el artículo 186, fracción III, de la Ley de Transparencia y Acceso a la Información Pública del Estado de México y Municipios, este Instituto considera procedente </w:t>
      </w:r>
      <w:r>
        <w:rPr>
          <w:b/>
        </w:rPr>
        <w:t>MODIFICAR</w:t>
      </w:r>
      <w:r>
        <w:t xml:space="preserve"> la respuesta otorgada por el Sujeto Obligado a la solicitud de información 00009/LAPAZ/IP/2025, a efecto de que entregue, en versión pública, la información solicitada.</w:t>
      </w:r>
    </w:p>
    <w:p w14:paraId="23AF2E21" w14:textId="77777777" w:rsidR="00E63DFB" w:rsidRDefault="00E63DFB">
      <w:pPr>
        <w:spacing w:after="0" w:line="360" w:lineRule="auto"/>
        <w:rPr>
          <w:color w:val="000000"/>
        </w:rPr>
      </w:pPr>
    </w:p>
    <w:p w14:paraId="12897CCF" w14:textId="77777777" w:rsidR="00E63DFB" w:rsidRDefault="00EE0B45">
      <w:pPr>
        <w:spacing w:after="0" w:line="360" w:lineRule="auto"/>
        <w:rPr>
          <w:b/>
          <w:color w:val="000000"/>
        </w:rPr>
      </w:pPr>
      <w:r>
        <w:rPr>
          <w:b/>
          <w:color w:val="000000"/>
        </w:rPr>
        <w:t>Términos de la Resolución para conocimiento del Particular.</w:t>
      </w:r>
    </w:p>
    <w:p w14:paraId="3F85DC5A" w14:textId="77777777" w:rsidR="00E63DFB" w:rsidRDefault="00E63DFB">
      <w:pPr>
        <w:spacing w:after="0" w:line="360" w:lineRule="auto"/>
        <w:rPr>
          <w:b/>
          <w:color w:val="000000"/>
        </w:rPr>
      </w:pPr>
    </w:p>
    <w:p w14:paraId="0D6349A8" w14:textId="77777777" w:rsidR="00E63DFB" w:rsidRDefault="00EE0B45">
      <w:pPr>
        <w:spacing w:after="0" w:line="360" w:lineRule="auto"/>
      </w:pPr>
      <w:r>
        <w:t xml:space="preserve">Se le hace del conocimiento a la persona Recurrente que, en el presente asunto, se le da la razón, pues el Ayuntamiento de la Paz no proporcionó la información completa. Por ello, usted debe recibir a través del Sistema de Acceso a la Información Mexiquense (SAIMEX) la información solicitada. </w:t>
      </w:r>
    </w:p>
    <w:p w14:paraId="350D6728" w14:textId="77777777" w:rsidR="00E63DFB" w:rsidRDefault="00E63DFB">
      <w:pPr>
        <w:spacing w:after="0" w:line="360" w:lineRule="auto"/>
      </w:pPr>
    </w:p>
    <w:p w14:paraId="5E3B3B0D" w14:textId="77777777" w:rsidR="00E63DFB" w:rsidRDefault="00EE0B45">
      <w:pPr>
        <w:widowControl w:val="0"/>
        <w:spacing w:after="0" w:line="360" w:lineRule="auto"/>
        <w:rPr>
          <w:color w:val="000000"/>
        </w:rPr>
      </w:pPr>
      <w:r>
        <w:rPr>
          <w:color w:val="000000"/>
        </w:rPr>
        <w:t>Finalmente, se le hace del conocimiento al Particular que la labor del Instituto de Transparencia, Acceso a la Información Pública y Protección de Datos Personales del Estado de México y Municipios, es apoyar a la población a acceder a la información pública y garantizar la protección de los datos personales.</w:t>
      </w:r>
    </w:p>
    <w:p w14:paraId="2155538A" w14:textId="77777777" w:rsidR="00E63DFB" w:rsidRDefault="00E63DFB">
      <w:pPr>
        <w:spacing w:after="0" w:line="360" w:lineRule="auto"/>
      </w:pPr>
    </w:p>
    <w:p w14:paraId="6172AB99" w14:textId="77777777" w:rsidR="00E63DFB" w:rsidRDefault="00EE0B45">
      <w:pPr>
        <w:spacing w:after="0" w:line="360" w:lineRule="auto"/>
        <w:rPr>
          <w:color w:val="000000"/>
        </w:rPr>
      </w:pPr>
      <w:r>
        <w:rPr>
          <w:color w:val="000000"/>
        </w:rPr>
        <w:t>Por lo expuesto y fundado, este Pleno:</w:t>
      </w:r>
    </w:p>
    <w:p w14:paraId="072DFDF4" w14:textId="77777777" w:rsidR="00E63DFB" w:rsidRDefault="00E63DFB">
      <w:pPr>
        <w:spacing w:after="0" w:line="360" w:lineRule="auto"/>
        <w:rPr>
          <w:color w:val="000000"/>
        </w:rPr>
      </w:pPr>
    </w:p>
    <w:p w14:paraId="0A74264D" w14:textId="77777777" w:rsidR="00E63DFB" w:rsidRDefault="00E63DFB">
      <w:pPr>
        <w:spacing w:after="0" w:line="360" w:lineRule="auto"/>
        <w:rPr>
          <w:color w:val="000000"/>
        </w:rPr>
      </w:pPr>
    </w:p>
    <w:p w14:paraId="24EE1557" w14:textId="77777777" w:rsidR="00E63DFB" w:rsidRDefault="00E63DFB">
      <w:pPr>
        <w:spacing w:after="0" w:line="360" w:lineRule="auto"/>
        <w:rPr>
          <w:color w:val="000000"/>
        </w:rPr>
      </w:pPr>
    </w:p>
    <w:p w14:paraId="5CB57B60" w14:textId="77777777" w:rsidR="00E63DFB" w:rsidRDefault="00EE0B45">
      <w:pPr>
        <w:pStyle w:val="Ttulo1"/>
        <w:spacing w:before="0" w:line="360" w:lineRule="auto"/>
        <w:jc w:val="center"/>
        <w:rPr>
          <w:rFonts w:ascii="Palatino Linotype" w:eastAsia="Palatino Linotype" w:hAnsi="Palatino Linotype" w:cs="Palatino Linotype"/>
          <w:b/>
          <w:color w:val="000000"/>
          <w:sz w:val="22"/>
          <w:szCs w:val="22"/>
        </w:rPr>
      </w:pPr>
      <w:bookmarkStart w:id="18" w:name="_heading=h.z337ya" w:colFirst="0" w:colLast="0"/>
      <w:bookmarkEnd w:id="18"/>
      <w:r>
        <w:rPr>
          <w:rFonts w:ascii="Palatino Linotype" w:eastAsia="Palatino Linotype" w:hAnsi="Palatino Linotype" w:cs="Palatino Linotype"/>
          <w:b/>
          <w:color w:val="000000"/>
          <w:sz w:val="22"/>
          <w:szCs w:val="22"/>
        </w:rPr>
        <w:t>R E S U E L V E:</w:t>
      </w:r>
    </w:p>
    <w:p w14:paraId="394B0ABC" w14:textId="77777777" w:rsidR="00E63DFB" w:rsidRDefault="00E63DFB">
      <w:pPr>
        <w:spacing w:after="0" w:line="360" w:lineRule="auto"/>
        <w:ind w:right="-91"/>
        <w:jc w:val="center"/>
        <w:rPr>
          <w:b/>
          <w:color w:val="000000"/>
        </w:rPr>
      </w:pPr>
    </w:p>
    <w:p w14:paraId="0EE7A79D" w14:textId="77777777" w:rsidR="00E63DFB" w:rsidRDefault="00EE0B45">
      <w:pPr>
        <w:spacing w:after="0" w:line="360" w:lineRule="auto"/>
      </w:pPr>
      <w:r>
        <w:rPr>
          <w:b/>
        </w:rPr>
        <w:t xml:space="preserve">PRIMERO. </w:t>
      </w:r>
      <w:r>
        <w:t xml:space="preserve">Se </w:t>
      </w:r>
      <w:r>
        <w:rPr>
          <w:b/>
        </w:rPr>
        <w:t xml:space="preserve">MODIFICA </w:t>
      </w:r>
      <w:r>
        <w:t>la respuesta entregada por el Ayuntamiento de la Paz, a la solicitud de información 00009/LAPAZ/IP/2025</w:t>
      </w:r>
      <w:r>
        <w:rPr>
          <w:color w:val="000000"/>
        </w:rPr>
        <w:t>,</w:t>
      </w:r>
      <w:r>
        <w:t xml:space="preserve"> por resultar </w:t>
      </w:r>
      <w:r>
        <w:rPr>
          <w:b/>
        </w:rPr>
        <w:t xml:space="preserve">FUNDADAS </w:t>
      </w:r>
      <w:r>
        <w:t>las razones o motivos de inconformidad hechos valer por la persona Recurrente, en términos de los considerandos QUINTO y SEXTO de la presente Resolución.</w:t>
      </w:r>
    </w:p>
    <w:p w14:paraId="6815F94A" w14:textId="77777777" w:rsidR="00E63DFB" w:rsidRDefault="00E63DFB">
      <w:pPr>
        <w:spacing w:after="0" w:line="360" w:lineRule="auto"/>
      </w:pPr>
    </w:p>
    <w:p w14:paraId="2E09821F" w14:textId="77777777" w:rsidR="00E63DFB" w:rsidRDefault="00EE0B45">
      <w:pPr>
        <w:spacing w:after="0" w:line="360" w:lineRule="auto"/>
        <w:rPr>
          <w:color w:val="000000"/>
        </w:rPr>
      </w:pPr>
      <w:r>
        <w:rPr>
          <w:b/>
        </w:rPr>
        <w:t xml:space="preserve">SEGUNDO. </w:t>
      </w:r>
      <w:r>
        <w:t xml:space="preserve">Se </w:t>
      </w:r>
      <w:r>
        <w:rPr>
          <w:b/>
        </w:rPr>
        <w:t>ORDENA</w:t>
      </w:r>
      <w:r>
        <w:t xml:space="preserve"> al Sujeto Obligado</w:t>
      </w:r>
      <w:r>
        <w:rPr>
          <w:b/>
        </w:rPr>
        <w:t xml:space="preserve">, </w:t>
      </w:r>
      <w:r>
        <w:t xml:space="preserve">a efecto de que previa búsqueda exhaustiva y razonable en los archivos de las unidades administrativas competentes, entregue a través del Sistema de Acceso a la Información Mexiquense (SAIMEX), en versión pública, los documentos con los que contara al trece de enero de dos mil veinticinco, donde conste </w:t>
      </w:r>
      <w:r>
        <w:rPr>
          <w:color w:val="000000"/>
        </w:rPr>
        <w:t>lo siguiente:</w:t>
      </w:r>
    </w:p>
    <w:p w14:paraId="3DD1AADD" w14:textId="77777777" w:rsidR="00E63DFB" w:rsidRDefault="00E63DFB">
      <w:pPr>
        <w:spacing w:after="0" w:line="360" w:lineRule="auto"/>
        <w:ind w:right="-30"/>
        <w:rPr>
          <w:color w:val="000000"/>
        </w:rPr>
      </w:pPr>
    </w:p>
    <w:p w14:paraId="2F94C4B1" w14:textId="77777777" w:rsidR="00E63DFB" w:rsidRDefault="00EE0B45">
      <w:pPr>
        <w:numPr>
          <w:ilvl w:val="0"/>
          <w:numId w:val="1"/>
        </w:numPr>
        <w:spacing w:after="0" w:line="360" w:lineRule="auto"/>
      </w:pPr>
      <w:r>
        <w:rPr>
          <w:color w:val="000000"/>
        </w:rPr>
        <w:t xml:space="preserve">El uso que se le daba a la unidad vehicular referida en respuesta. </w:t>
      </w:r>
    </w:p>
    <w:p w14:paraId="794A7D0F" w14:textId="77777777" w:rsidR="00E63DFB" w:rsidRDefault="00E63DFB">
      <w:pPr>
        <w:spacing w:after="0" w:line="360" w:lineRule="auto"/>
        <w:ind w:left="720" w:right="-28"/>
      </w:pPr>
    </w:p>
    <w:p w14:paraId="39ACA295" w14:textId="77777777" w:rsidR="00E63DFB" w:rsidRDefault="00EE0B45">
      <w:pPr>
        <w:spacing w:after="0" w:line="360" w:lineRule="auto"/>
      </w:pPr>
      <w:r>
        <w:lastRenderedPageBreak/>
        <w:t>Además, de ser necesario, deberá proporcionar el Acuerdo de Clasificación donde el Comité de Transparencia, confirme la eliminación de los datos confidenciales, en la versión pública, de conformidad con los artículos 49, fracciones II y VIII y 132, fracción II de la Ley de Transparencia y Acceso a la Información Pública del Estado de México y Municipios.</w:t>
      </w:r>
    </w:p>
    <w:p w14:paraId="2EE60AF7" w14:textId="77777777" w:rsidR="00E63DFB" w:rsidRDefault="00E63DFB">
      <w:pPr>
        <w:spacing w:after="0" w:line="360" w:lineRule="auto"/>
      </w:pPr>
    </w:p>
    <w:p w14:paraId="4A3F8198" w14:textId="77777777" w:rsidR="00E63DFB" w:rsidRDefault="00EE0B45">
      <w:pPr>
        <w:spacing w:after="0" w:line="360" w:lineRule="auto"/>
        <w:ind w:right="-28"/>
        <w:rPr>
          <w:b/>
        </w:rPr>
      </w:pPr>
      <w:r>
        <w:rPr>
          <w:b/>
        </w:rPr>
        <w:t xml:space="preserve">TERCERO. NOTIFÍQUESE POR SAIMEX </w:t>
      </w:r>
      <w: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015B7239" w14:textId="77777777" w:rsidR="00E63DFB" w:rsidRDefault="00E63DFB">
      <w:pPr>
        <w:spacing w:after="0" w:line="360" w:lineRule="auto"/>
        <w:ind w:right="-28"/>
        <w:rPr>
          <w:color w:val="000000"/>
        </w:rPr>
      </w:pPr>
    </w:p>
    <w:p w14:paraId="2C39AB8E" w14:textId="77777777" w:rsidR="00E63DFB" w:rsidRDefault="00EE0B45">
      <w:pPr>
        <w:spacing w:after="0" w:line="360" w:lineRule="auto"/>
        <w:rPr>
          <w:color w:val="000000"/>
        </w:rPr>
      </w:pPr>
      <w:r>
        <w:rPr>
          <w:color w:val="000000"/>
        </w:rPr>
        <w:t xml:space="preserve">De conformidad con el artículo 198 de la </w:t>
      </w:r>
      <w:r>
        <w:t>Ley de Transparencia y Acceso a la Información Pública del Estado de México y Municipios</w:t>
      </w:r>
      <w:r>
        <w:rPr>
          <w:color w:val="000000"/>
        </w:rPr>
        <w:t>, de considerarlo procedente, el Sujeto Obligado de manera fundada y motivada, podrá solicitar una ampliación de plazo para el cumplimiento de la presente resolución.</w:t>
      </w:r>
    </w:p>
    <w:p w14:paraId="3B773EEE" w14:textId="77777777" w:rsidR="00E63DFB" w:rsidRDefault="00E63DFB">
      <w:pPr>
        <w:spacing w:after="0" w:line="360" w:lineRule="auto"/>
        <w:rPr>
          <w:color w:val="000000"/>
        </w:rPr>
      </w:pPr>
    </w:p>
    <w:p w14:paraId="68B5F55B" w14:textId="77777777" w:rsidR="00E63DFB" w:rsidRDefault="00EE0B45">
      <w:pPr>
        <w:spacing w:after="0" w:line="360" w:lineRule="auto"/>
        <w:rPr>
          <w:color w:val="000000"/>
        </w:rPr>
      </w:pPr>
      <w:r>
        <w:rPr>
          <w:b/>
          <w:color w:val="000000"/>
        </w:rPr>
        <w:t xml:space="preserve">CUARTO. </w:t>
      </w:r>
      <w:r>
        <w:rPr>
          <w:b/>
        </w:rPr>
        <w:t>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279291C1" w14:textId="77777777" w:rsidR="00E63DFB" w:rsidRDefault="00E63DFB">
      <w:pPr>
        <w:spacing w:after="0" w:line="360" w:lineRule="auto"/>
      </w:pPr>
    </w:p>
    <w:p w14:paraId="3CEE6FF5" w14:textId="77777777" w:rsidR="00E63DFB" w:rsidRDefault="00EE0B45">
      <w:pPr>
        <w:spacing w:after="0" w:line="360" w:lineRule="auto"/>
      </w:pPr>
      <w:r>
        <w:lastRenderedPageBreak/>
        <w:t xml:space="preserve">ASÍ LO RESUELVE, POR </w:t>
      </w:r>
      <w:r w:rsidR="00087BFC">
        <w:rPr>
          <w:b/>
        </w:rPr>
        <w:t xml:space="preserve">MAYORÍA </w:t>
      </w:r>
      <w: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CON VOTO DISIDENTE, EN LA SEXTA SESIÓN ORDINARIA, CELEBRADA EL DIECINUEVE DE FEBRERO DE DOS MIL VEINTICINCO, ANTE EL SECRETARIO TÉCNICO DEL PLENO, ALEXIS TAPIA RAMÍREZ.</w:t>
      </w:r>
    </w:p>
    <w:p w14:paraId="2249D17D" w14:textId="77777777" w:rsidR="00E63DFB" w:rsidRDefault="00E63DFB">
      <w:pPr>
        <w:spacing w:after="0" w:line="360" w:lineRule="auto"/>
        <w:rPr>
          <w:color w:val="FF0000"/>
        </w:rPr>
      </w:pPr>
    </w:p>
    <w:p w14:paraId="04F666D4" w14:textId="77777777" w:rsidR="00E63DFB" w:rsidRDefault="00E63DFB">
      <w:pPr>
        <w:spacing w:after="0" w:line="360" w:lineRule="auto"/>
        <w:rPr>
          <w:color w:val="FF0000"/>
        </w:rPr>
      </w:pPr>
    </w:p>
    <w:p w14:paraId="7BD39240" w14:textId="77777777" w:rsidR="00E63DFB" w:rsidRDefault="00E63DFB">
      <w:pPr>
        <w:spacing w:after="0" w:line="360" w:lineRule="auto"/>
        <w:rPr>
          <w:color w:val="FF0000"/>
        </w:rPr>
      </w:pPr>
    </w:p>
    <w:p w14:paraId="7E9EAD23" w14:textId="77777777" w:rsidR="00E63DFB" w:rsidRDefault="00E63DFB">
      <w:pPr>
        <w:spacing w:after="0" w:line="360" w:lineRule="auto"/>
        <w:rPr>
          <w:color w:val="FF0000"/>
        </w:rPr>
      </w:pPr>
    </w:p>
    <w:p w14:paraId="28651CB7" w14:textId="77777777" w:rsidR="00E63DFB" w:rsidRDefault="00E63DFB">
      <w:pPr>
        <w:spacing w:after="0" w:line="360" w:lineRule="auto"/>
        <w:rPr>
          <w:color w:val="FF0000"/>
        </w:rPr>
      </w:pPr>
    </w:p>
    <w:p w14:paraId="4A0B5BD7" w14:textId="77777777" w:rsidR="00E63DFB" w:rsidRDefault="00E63DFB">
      <w:pPr>
        <w:spacing w:after="0" w:line="360" w:lineRule="auto"/>
        <w:rPr>
          <w:color w:val="FF0000"/>
        </w:rPr>
      </w:pPr>
    </w:p>
    <w:p w14:paraId="30CF2C43" w14:textId="77777777" w:rsidR="00E63DFB" w:rsidRDefault="00E63DFB">
      <w:pPr>
        <w:spacing w:after="0" w:line="360" w:lineRule="auto"/>
        <w:rPr>
          <w:color w:val="FF0000"/>
        </w:rPr>
      </w:pPr>
    </w:p>
    <w:p w14:paraId="16E1C20F" w14:textId="77777777" w:rsidR="00E63DFB" w:rsidRDefault="00E63DFB">
      <w:pPr>
        <w:spacing w:after="0" w:line="360" w:lineRule="auto"/>
        <w:rPr>
          <w:color w:val="FF0000"/>
        </w:rPr>
      </w:pPr>
    </w:p>
    <w:p w14:paraId="6DDE8A5F" w14:textId="77777777" w:rsidR="00467560" w:rsidRDefault="00467560">
      <w:pPr>
        <w:spacing w:after="0" w:line="360" w:lineRule="auto"/>
        <w:rPr>
          <w:color w:val="FF0000"/>
        </w:rPr>
      </w:pPr>
    </w:p>
    <w:p w14:paraId="0D6F3EF3" w14:textId="77777777" w:rsidR="00467560" w:rsidRDefault="00467560">
      <w:pPr>
        <w:spacing w:after="0" w:line="360" w:lineRule="auto"/>
        <w:rPr>
          <w:color w:val="FF0000"/>
        </w:rPr>
      </w:pPr>
    </w:p>
    <w:p w14:paraId="7FCE9B0F" w14:textId="77777777" w:rsidR="00467560" w:rsidRDefault="00467560">
      <w:pPr>
        <w:spacing w:after="0" w:line="360" w:lineRule="auto"/>
        <w:rPr>
          <w:color w:val="FF0000"/>
        </w:rPr>
      </w:pPr>
    </w:p>
    <w:p w14:paraId="341F83CA" w14:textId="77777777" w:rsidR="00467560" w:rsidRDefault="00467560">
      <w:pPr>
        <w:spacing w:after="0" w:line="360" w:lineRule="auto"/>
        <w:rPr>
          <w:color w:val="FF0000"/>
        </w:rPr>
      </w:pPr>
    </w:p>
    <w:p w14:paraId="380FA13E" w14:textId="77777777" w:rsidR="00467560" w:rsidRDefault="00467560">
      <w:pPr>
        <w:spacing w:after="0" w:line="360" w:lineRule="auto"/>
        <w:rPr>
          <w:color w:val="FF0000"/>
        </w:rPr>
      </w:pPr>
    </w:p>
    <w:p w14:paraId="4AA99E97" w14:textId="77777777" w:rsidR="00467560" w:rsidRDefault="00467560">
      <w:pPr>
        <w:spacing w:after="0" w:line="360" w:lineRule="auto"/>
        <w:rPr>
          <w:color w:val="FF0000"/>
        </w:rPr>
      </w:pPr>
    </w:p>
    <w:p w14:paraId="6835E33D" w14:textId="77777777" w:rsidR="00467560" w:rsidRDefault="00467560">
      <w:pPr>
        <w:spacing w:after="0" w:line="360" w:lineRule="auto"/>
        <w:rPr>
          <w:color w:val="FF0000"/>
        </w:rPr>
      </w:pPr>
    </w:p>
    <w:p w14:paraId="765B99F0" w14:textId="77777777" w:rsidR="00467560" w:rsidRDefault="00467560">
      <w:pPr>
        <w:spacing w:after="0" w:line="360" w:lineRule="auto"/>
        <w:rPr>
          <w:color w:val="FF0000"/>
        </w:rPr>
      </w:pPr>
    </w:p>
    <w:p w14:paraId="332D72EA" w14:textId="77777777" w:rsidR="00467560" w:rsidRDefault="00467560">
      <w:pPr>
        <w:spacing w:after="0" w:line="360" w:lineRule="auto"/>
        <w:rPr>
          <w:color w:val="FF0000"/>
        </w:rPr>
      </w:pPr>
    </w:p>
    <w:p w14:paraId="719E560B" w14:textId="77777777" w:rsidR="00467560" w:rsidRDefault="00467560">
      <w:pPr>
        <w:spacing w:after="0" w:line="360" w:lineRule="auto"/>
        <w:rPr>
          <w:color w:val="FF0000"/>
        </w:rPr>
      </w:pPr>
    </w:p>
    <w:p w14:paraId="6257D86F" w14:textId="77777777" w:rsidR="00E63DFB" w:rsidRDefault="00E63DFB">
      <w:pPr>
        <w:spacing w:after="0" w:line="360" w:lineRule="auto"/>
        <w:rPr>
          <w:color w:val="FF0000"/>
        </w:rPr>
      </w:pPr>
    </w:p>
    <w:p w14:paraId="5F16FEA7" w14:textId="77777777" w:rsidR="00E63DFB" w:rsidRDefault="00E63DFB">
      <w:pPr>
        <w:spacing w:after="0" w:line="360" w:lineRule="auto"/>
        <w:rPr>
          <w:color w:val="FF0000"/>
        </w:rPr>
      </w:pPr>
    </w:p>
    <w:p w14:paraId="10342ED4" w14:textId="77777777" w:rsidR="00E63DFB" w:rsidRDefault="00E63DFB">
      <w:pPr>
        <w:spacing w:after="0" w:line="360" w:lineRule="auto"/>
        <w:rPr>
          <w:color w:val="FF0000"/>
        </w:rPr>
      </w:pPr>
    </w:p>
    <w:p w14:paraId="3CF52C8B" w14:textId="77777777" w:rsidR="00E63DFB" w:rsidRDefault="00E63DFB">
      <w:pPr>
        <w:spacing w:after="0" w:line="360" w:lineRule="auto"/>
        <w:rPr>
          <w:color w:val="FF0000"/>
        </w:rPr>
      </w:pPr>
    </w:p>
    <w:sectPr w:rsidR="00E63DFB">
      <w:headerReference w:type="even" r:id="rId11"/>
      <w:headerReference w:type="default" r:id="rId12"/>
      <w:footerReference w:type="even" r:id="rId13"/>
      <w:footerReference w:type="default" r:id="rId14"/>
      <w:headerReference w:type="first" r:id="rId15"/>
      <w:footerReference w:type="first" r:id="rId16"/>
      <w:pgSz w:w="12240" w:h="15840"/>
      <w:pgMar w:top="2410" w:right="1608" w:bottom="1560" w:left="1701" w:header="993"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36374" w14:textId="77777777" w:rsidR="000F3EB3" w:rsidRDefault="000F3EB3">
      <w:pPr>
        <w:spacing w:after="0" w:line="240" w:lineRule="auto"/>
      </w:pPr>
      <w:r>
        <w:separator/>
      </w:r>
    </w:p>
  </w:endnote>
  <w:endnote w:type="continuationSeparator" w:id="0">
    <w:p w14:paraId="63D37BE2" w14:textId="77777777" w:rsidR="000F3EB3" w:rsidRDefault="000F3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A4577" w14:textId="77777777" w:rsidR="00E63DFB" w:rsidRDefault="00EE0B4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20967">
      <w:rPr>
        <w:b/>
        <w:noProof/>
        <w:color w:val="000000"/>
        <w:sz w:val="24"/>
        <w:szCs w:val="24"/>
      </w:rPr>
      <w:t>21</w:t>
    </w:r>
    <w:r>
      <w:rPr>
        <w:b/>
        <w:color w:val="000000"/>
        <w:sz w:val="24"/>
        <w:szCs w:val="24"/>
      </w:rPr>
      <w:fldChar w:fldCharType="end"/>
    </w:r>
  </w:p>
  <w:p w14:paraId="3EF7A672" w14:textId="77777777" w:rsidR="00E63DFB" w:rsidRDefault="00E63DF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42E67" w14:textId="77777777" w:rsidR="00E63DFB" w:rsidRDefault="00EE0B4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20967">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20967">
      <w:rPr>
        <w:b/>
        <w:noProof/>
        <w:color w:val="000000"/>
        <w:sz w:val="24"/>
        <w:szCs w:val="24"/>
      </w:rPr>
      <w:t>21</w:t>
    </w:r>
    <w:r>
      <w:rPr>
        <w:b/>
        <w:color w:val="000000"/>
        <w:sz w:val="24"/>
        <w:szCs w:val="24"/>
      </w:rPr>
      <w:fldChar w:fldCharType="end"/>
    </w:r>
  </w:p>
  <w:p w14:paraId="5DF4E69B" w14:textId="77777777" w:rsidR="00E63DFB" w:rsidRDefault="00E63DFB">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B9F2B" w14:textId="77777777" w:rsidR="00E63DFB" w:rsidRDefault="00EE0B4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20967">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20967">
      <w:rPr>
        <w:b/>
        <w:noProof/>
        <w:color w:val="000000"/>
        <w:sz w:val="24"/>
        <w:szCs w:val="24"/>
      </w:rPr>
      <w:t>21</w:t>
    </w:r>
    <w:r>
      <w:rPr>
        <w:b/>
        <w:color w:val="000000"/>
        <w:sz w:val="24"/>
        <w:szCs w:val="24"/>
      </w:rPr>
      <w:fldChar w:fldCharType="end"/>
    </w:r>
  </w:p>
  <w:p w14:paraId="185624A4" w14:textId="77777777" w:rsidR="00E63DFB" w:rsidRDefault="00E63DF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5AEA4" w14:textId="77777777" w:rsidR="000F3EB3" w:rsidRDefault="000F3EB3">
      <w:pPr>
        <w:spacing w:after="0" w:line="240" w:lineRule="auto"/>
      </w:pPr>
      <w:r>
        <w:separator/>
      </w:r>
    </w:p>
  </w:footnote>
  <w:footnote w:type="continuationSeparator" w:id="0">
    <w:p w14:paraId="159ABC8A" w14:textId="77777777" w:rsidR="000F3EB3" w:rsidRDefault="000F3E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4D923" w14:textId="77777777" w:rsidR="00E63DFB" w:rsidRDefault="00E63DFB">
    <w:pPr>
      <w:widowControl w:val="0"/>
      <w:pBdr>
        <w:top w:val="nil"/>
        <w:left w:val="nil"/>
        <w:bottom w:val="nil"/>
        <w:right w:val="nil"/>
        <w:between w:val="nil"/>
      </w:pBdr>
      <w:spacing w:after="0" w:line="276" w:lineRule="auto"/>
      <w:jc w:val="left"/>
      <w:rPr>
        <w:color w:val="FF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E63DFB" w14:paraId="45E741EC" w14:textId="77777777">
      <w:trPr>
        <w:trHeight w:val="132"/>
      </w:trPr>
      <w:tc>
        <w:tcPr>
          <w:tcW w:w="2691" w:type="dxa"/>
        </w:tcPr>
        <w:p w14:paraId="765AF545" w14:textId="77777777" w:rsidR="00E63DFB" w:rsidRDefault="00EE0B45">
          <w:pPr>
            <w:tabs>
              <w:tab w:val="right" w:pos="8838"/>
            </w:tabs>
            <w:ind w:right="-105"/>
            <w:rPr>
              <w:b/>
            </w:rPr>
          </w:pPr>
          <w:r>
            <w:rPr>
              <w:b/>
            </w:rPr>
            <w:t>Recurso de Revisión:</w:t>
          </w:r>
        </w:p>
      </w:tc>
      <w:tc>
        <w:tcPr>
          <w:tcW w:w="3405" w:type="dxa"/>
        </w:tcPr>
        <w:p w14:paraId="1A804517" w14:textId="77777777" w:rsidR="00E63DFB" w:rsidRDefault="00EE0B45">
          <w:pPr>
            <w:tabs>
              <w:tab w:val="right" w:pos="8838"/>
            </w:tabs>
            <w:ind w:left="-28" w:right="-32"/>
          </w:pPr>
          <w:r>
            <w:t>03846/INFOEM/IP/RR/2020</w:t>
          </w:r>
        </w:p>
      </w:tc>
    </w:tr>
    <w:tr w:rsidR="00E63DFB" w14:paraId="6C3513C4" w14:textId="77777777">
      <w:trPr>
        <w:trHeight w:val="261"/>
      </w:trPr>
      <w:tc>
        <w:tcPr>
          <w:tcW w:w="2691" w:type="dxa"/>
        </w:tcPr>
        <w:p w14:paraId="53D8C7E9" w14:textId="77777777" w:rsidR="00E63DFB" w:rsidRDefault="00EE0B45">
          <w:pPr>
            <w:tabs>
              <w:tab w:val="right" w:pos="8838"/>
            </w:tabs>
            <w:ind w:right="-105"/>
            <w:rPr>
              <w:b/>
            </w:rPr>
          </w:pPr>
          <w:r>
            <w:rPr>
              <w:b/>
            </w:rPr>
            <w:t>Sujeto Obligado:</w:t>
          </w:r>
        </w:p>
      </w:tc>
      <w:tc>
        <w:tcPr>
          <w:tcW w:w="3405" w:type="dxa"/>
        </w:tcPr>
        <w:p w14:paraId="3E7A12EE" w14:textId="77777777" w:rsidR="00E63DFB" w:rsidRDefault="00EE0B45">
          <w:pPr>
            <w:tabs>
              <w:tab w:val="right" w:pos="8838"/>
            </w:tabs>
            <w:ind w:right="-32"/>
          </w:pPr>
          <w:r>
            <w:t>Ayuntamiento de Temascalcingo</w:t>
          </w:r>
        </w:p>
      </w:tc>
    </w:tr>
    <w:tr w:rsidR="00E63DFB" w14:paraId="3C9F69C7" w14:textId="77777777">
      <w:trPr>
        <w:trHeight w:val="261"/>
      </w:trPr>
      <w:tc>
        <w:tcPr>
          <w:tcW w:w="2691" w:type="dxa"/>
        </w:tcPr>
        <w:p w14:paraId="4B444834" w14:textId="77777777" w:rsidR="00E63DFB" w:rsidRDefault="00EE0B45">
          <w:pPr>
            <w:tabs>
              <w:tab w:val="right" w:pos="8838"/>
            </w:tabs>
            <w:ind w:right="-105"/>
            <w:rPr>
              <w:b/>
            </w:rPr>
          </w:pPr>
          <w:r>
            <w:rPr>
              <w:b/>
            </w:rPr>
            <w:t>Comisionado Ponente:</w:t>
          </w:r>
        </w:p>
      </w:tc>
      <w:tc>
        <w:tcPr>
          <w:tcW w:w="3405" w:type="dxa"/>
        </w:tcPr>
        <w:p w14:paraId="1592D26D" w14:textId="77777777" w:rsidR="00E63DFB" w:rsidRDefault="00EE0B45">
          <w:pPr>
            <w:tabs>
              <w:tab w:val="right" w:pos="8838"/>
            </w:tabs>
            <w:ind w:right="-32"/>
            <w:rPr>
              <w:b/>
            </w:rPr>
          </w:pPr>
          <w:r>
            <w:t>Luis Gustavo Parra Noriega</w:t>
          </w:r>
        </w:p>
      </w:tc>
    </w:tr>
  </w:tbl>
  <w:p w14:paraId="4AA9CA63" w14:textId="77777777" w:rsidR="00E63DFB"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4EA66F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CA069" w14:textId="77777777" w:rsidR="00E63DFB" w:rsidRDefault="00EE0B45">
    <w:pPr>
      <w:tabs>
        <w:tab w:val="left" w:pos="3913"/>
      </w:tabs>
      <w:rPr>
        <w:sz w:val="2"/>
        <w:szCs w:val="2"/>
      </w:rPr>
    </w:pPr>
    <w:r>
      <w:tab/>
    </w:r>
  </w:p>
  <w:tbl>
    <w:tblPr>
      <w:tblStyle w:val="a0"/>
      <w:tblW w:w="6803"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2"/>
    </w:tblGrid>
    <w:tr w:rsidR="00E63DFB" w14:paraId="73966DCA" w14:textId="77777777">
      <w:trPr>
        <w:trHeight w:val="138"/>
      </w:trPr>
      <w:tc>
        <w:tcPr>
          <w:tcW w:w="2551" w:type="dxa"/>
          <w:vAlign w:val="center"/>
        </w:tcPr>
        <w:p w14:paraId="4512AF17" w14:textId="77777777" w:rsidR="00E63DFB" w:rsidRDefault="00EE0B45">
          <w:pPr>
            <w:tabs>
              <w:tab w:val="right" w:pos="8838"/>
            </w:tabs>
            <w:ind w:right="-105"/>
            <w:jc w:val="left"/>
            <w:rPr>
              <w:b/>
            </w:rPr>
          </w:pPr>
          <w:r>
            <w:rPr>
              <w:b/>
            </w:rPr>
            <w:t>Recurso de Revisión:</w:t>
          </w:r>
        </w:p>
      </w:tc>
      <w:tc>
        <w:tcPr>
          <w:tcW w:w="4252" w:type="dxa"/>
        </w:tcPr>
        <w:p w14:paraId="78D3E21D" w14:textId="77777777" w:rsidR="00E63DFB" w:rsidRDefault="00EE0B45">
          <w:pPr>
            <w:tabs>
              <w:tab w:val="right" w:pos="8838"/>
            </w:tabs>
            <w:ind w:left="-113" w:right="57"/>
          </w:pPr>
          <w:r>
            <w:t>00476/INFOEM/IP/RR/2025</w:t>
          </w:r>
        </w:p>
      </w:tc>
    </w:tr>
    <w:tr w:rsidR="00E63DFB" w14:paraId="2424BDBF" w14:textId="77777777">
      <w:trPr>
        <w:trHeight w:val="273"/>
      </w:trPr>
      <w:tc>
        <w:tcPr>
          <w:tcW w:w="2551" w:type="dxa"/>
        </w:tcPr>
        <w:p w14:paraId="6CFED6F1" w14:textId="77777777" w:rsidR="00E63DFB" w:rsidRDefault="00EE0B45">
          <w:pPr>
            <w:tabs>
              <w:tab w:val="right" w:pos="8838"/>
            </w:tabs>
            <w:ind w:right="-105"/>
            <w:rPr>
              <w:b/>
            </w:rPr>
          </w:pPr>
          <w:r>
            <w:rPr>
              <w:b/>
            </w:rPr>
            <w:t>Sujeto Obligado:</w:t>
          </w:r>
        </w:p>
      </w:tc>
      <w:tc>
        <w:tcPr>
          <w:tcW w:w="4252" w:type="dxa"/>
        </w:tcPr>
        <w:p w14:paraId="0788BF6F" w14:textId="77777777" w:rsidR="00E63DFB" w:rsidRDefault="00EE0B45">
          <w:pPr>
            <w:tabs>
              <w:tab w:val="left" w:pos="2728"/>
              <w:tab w:val="right" w:pos="8838"/>
            </w:tabs>
            <w:ind w:left="-113" w:right="-170"/>
          </w:pPr>
          <w:r>
            <w:t>Ayuntamiento de la Paz</w:t>
          </w:r>
        </w:p>
      </w:tc>
    </w:tr>
    <w:tr w:rsidR="00E63DFB" w14:paraId="01E8ACFE" w14:textId="77777777">
      <w:trPr>
        <w:trHeight w:val="273"/>
      </w:trPr>
      <w:tc>
        <w:tcPr>
          <w:tcW w:w="2551" w:type="dxa"/>
        </w:tcPr>
        <w:p w14:paraId="3090199C" w14:textId="77777777" w:rsidR="00E63DFB" w:rsidRDefault="00EE0B45">
          <w:pPr>
            <w:tabs>
              <w:tab w:val="right" w:pos="8838"/>
            </w:tabs>
            <w:ind w:right="-105"/>
            <w:rPr>
              <w:b/>
            </w:rPr>
          </w:pPr>
          <w:r>
            <w:rPr>
              <w:b/>
            </w:rPr>
            <w:t>Comisionado Ponente:</w:t>
          </w:r>
        </w:p>
      </w:tc>
      <w:tc>
        <w:tcPr>
          <w:tcW w:w="4252" w:type="dxa"/>
        </w:tcPr>
        <w:p w14:paraId="23334B9E" w14:textId="77777777" w:rsidR="00E63DFB" w:rsidRDefault="00EE0B45">
          <w:pPr>
            <w:tabs>
              <w:tab w:val="right" w:pos="8838"/>
            </w:tabs>
            <w:ind w:left="-113" w:right="-170"/>
            <w:rPr>
              <w:b/>
            </w:rPr>
          </w:pPr>
          <w:r>
            <w:t>Luis Gustavo Parra Noriega</w:t>
          </w:r>
        </w:p>
      </w:tc>
    </w:tr>
  </w:tbl>
  <w:p w14:paraId="56412F6A" w14:textId="77777777" w:rsidR="00E63DFB"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62209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49BAA" w14:textId="77777777" w:rsidR="00E63DFB" w:rsidRDefault="00E63DFB">
    <w:pPr>
      <w:widowControl w:val="0"/>
      <w:pBdr>
        <w:top w:val="nil"/>
        <w:left w:val="nil"/>
        <w:bottom w:val="nil"/>
        <w:right w:val="nil"/>
        <w:between w:val="nil"/>
      </w:pBdr>
      <w:spacing w:after="0" w:line="276" w:lineRule="auto"/>
      <w:jc w:val="left"/>
      <w:rPr>
        <w:color w:val="000000"/>
      </w:rPr>
    </w:pPr>
  </w:p>
  <w:tbl>
    <w:tblPr>
      <w:tblStyle w:val="a1"/>
      <w:tblW w:w="5528"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2977"/>
    </w:tblGrid>
    <w:tr w:rsidR="00E63DFB" w14:paraId="7A13A0C1" w14:textId="77777777">
      <w:trPr>
        <w:trHeight w:val="132"/>
      </w:trPr>
      <w:tc>
        <w:tcPr>
          <w:tcW w:w="2551" w:type="dxa"/>
        </w:tcPr>
        <w:p w14:paraId="51B4B52E" w14:textId="77777777" w:rsidR="00E63DFB" w:rsidRDefault="00EE0B45">
          <w:pPr>
            <w:tabs>
              <w:tab w:val="right" w:pos="8838"/>
            </w:tabs>
            <w:ind w:right="-105"/>
            <w:rPr>
              <w:b/>
            </w:rPr>
          </w:pPr>
          <w:r>
            <w:rPr>
              <w:b/>
            </w:rPr>
            <w:t>Recurso de Revisión:</w:t>
          </w:r>
        </w:p>
      </w:tc>
      <w:tc>
        <w:tcPr>
          <w:tcW w:w="2977" w:type="dxa"/>
        </w:tcPr>
        <w:p w14:paraId="1C977942" w14:textId="77777777" w:rsidR="00E63DFB" w:rsidRDefault="00EE0B45">
          <w:pPr>
            <w:tabs>
              <w:tab w:val="right" w:pos="8838"/>
            </w:tabs>
            <w:ind w:left="-113" w:right="-32"/>
          </w:pPr>
          <w:r>
            <w:t>00476/INFOEM/IP/RR/2025</w:t>
          </w:r>
        </w:p>
      </w:tc>
    </w:tr>
    <w:tr w:rsidR="00E63DFB" w14:paraId="2FB160B0" w14:textId="77777777">
      <w:trPr>
        <w:trHeight w:val="132"/>
      </w:trPr>
      <w:tc>
        <w:tcPr>
          <w:tcW w:w="2551" w:type="dxa"/>
          <w:shd w:val="clear" w:color="auto" w:fill="auto"/>
        </w:tcPr>
        <w:p w14:paraId="5E0B0CC3" w14:textId="77777777" w:rsidR="00E63DFB" w:rsidRDefault="00EE0B45">
          <w:pPr>
            <w:tabs>
              <w:tab w:val="left" w:pos="1875"/>
            </w:tabs>
            <w:ind w:right="-105"/>
            <w:rPr>
              <w:b/>
            </w:rPr>
          </w:pPr>
          <w:r>
            <w:rPr>
              <w:b/>
            </w:rPr>
            <w:t>Recurrente:</w:t>
          </w:r>
          <w:r>
            <w:rPr>
              <w:b/>
            </w:rPr>
            <w:tab/>
          </w:r>
        </w:p>
      </w:tc>
      <w:tc>
        <w:tcPr>
          <w:tcW w:w="2977" w:type="dxa"/>
          <w:shd w:val="clear" w:color="auto" w:fill="auto"/>
        </w:tcPr>
        <w:p w14:paraId="68F59065" w14:textId="4DD5F69B" w:rsidR="00E63DFB" w:rsidRDefault="002262C4">
          <w:pPr>
            <w:tabs>
              <w:tab w:val="right" w:pos="8838"/>
            </w:tabs>
            <w:ind w:left="-113"/>
          </w:pPr>
          <w:r w:rsidRPr="002262C4">
            <w:rPr>
              <w:highlight w:val="black"/>
            </w:rPr>
            <w:t>XXXXXXXX</w:t>
          </w:r>
        </w:p>
      </w:tc>
    </w:tr>
    <w:tr w:rsidR="00E63DFB" w14:paraId="33B640CD" w14:textId="77777777">
      <w:trPr>
        <w:trHeight w:val="261"/>
      </w:trPr>
      <w:tc>
        <w:tcPr>
          <w:tcW w:w="2551" w:type="dxa"/>
        </w:tcPr>
        <w:p w14:paraId="42D70C4A" w14:textId="77777777" w:rsidR="00E63DFB" w:rsidRDefault="00EE0B45">
          <w:pPr>
            <w:tabs>
              <w:tab w:val="right" w:pos="8838"/>
            </w:tabs>
            <w:ind w:right="-105"/>
            <w:rPr>
              <w:b/>
            </w:rPr>
          </w:pPr>
          <w:r>
            <w:rPr>
              <w:b/>
            </w:rPr>
            <w:t>Sujeto Obligado:</w:t>
          </w:r>
        </w:p>
      </w:tc>
      <w:tc>
        <w:tcPr>
          <w:tcW w:w="2977" w:type="dxa"/>
        </w:tcPr>
        <w:p w14:paraId="4EFF503E" w14:textId="77777777" w:rsidR="00E63DFB" w:rsidRDefault="00EE0B45">
          <w:pPr>
            <w:tabs>
              <w:tab w:val="right" w:pos="8838"/>
            </w:tabs>
            <w:ind w:left="-113" w:right="-32"/>
          </w:pPr>
          <w:r>
            <w:t>Ayuntamiento de la Paz</w:t>
          </w:r>
        </w:p>
      </w:tc>
    </w:tr>
    <w:tr w:rsidR="00E63DFB" w14:paraId="59C7EB26" w14:textId="77777777">
      <w:trPr>
        <w:trHeight w:val="261"/>
      </w:trPr>
      <w:tc>
        <w:tcPr>
          <w:tcW w:w="2551" w:type="dxa"/>
        </w:tcPr>
        <w:p w14:paraId="71E0CFFC" w14:textId="77777777" w:rsidR="00E63DFB" w:rsidRDefault="00EE0B45">
          <w:pPr>
            <w:tabs>
              <w:tab w:val="right" w:pos="8838"/>
            </w:tabs>
            <w:ind w:right="-105"/>
            <w:rPr>
              <w:b/>
            </w:rPr>
          </w:pPr>
          <w:r>
            <w:rPr>
              <w:b/>
            </w:rPr>
            <w:t>Comisionado Ponente:</w:t>
          </w:r>
        </w:p>
      </w:tc>
      <w:tc>
        <w:tcPr>
          <w:tcW w:w="2977" w:type="dxa"/>
        </w:tcPr>
        <w:p w14:paraId="5897FCBE" w14:textId="77777777" w:rsidR="00E63DFB" w:rsidRDefault="00EE0B45">
          <w:pPr>
            <w:tabs>
              <w:tab w:val="right" w:pos="8838"/>
            </w:tabs>
            <w:ind w:left="-113" w:right="-32"/>
            <w:rPr>
              <w:b/>
            </w:rPr>
          </w:pPr>
          <w:r>
            <w:t>Luis Gustavo Parra Noriega</w:t>
          </w:r>
        </w:p>
      </w:tc>
    </w:tr>
  </w:tbl>
  <w:p w14:paraId="659500BF" w14:textId="77777777" w:rsidR="00E63DFB"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18175C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3.5pt;width:663.5pt;height:12in;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4A4F16"/>
    <w:multiLevelType w:val="multilevel"/>
    <w:tmpl w:val="91B8E5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83927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DFB"/>
    <w:rsid w:val="00087BFC"/>
    <w:rsid w:val="000F3EB3"/>
    <w:rsid w:val="002262C4"/>
    <w:rsid w:val="00467560"/>
    <w:rsid w:val="00540366"/>
    <w:rsid w:val="008B383A"/>
    <w:rsid w:val="009F0330"/>
    <w:rsid w:val="00C20967"/>
    <w:rsid w:val="00E63DFB"/>
    <w:rsid w:val="00EE0B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8250D"/>
  <w15:docId w15:val="{B82DE783-3E34-4C9F-84B6-4D5F81F06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DC5"/>
    <w:rPr>
      <w:color w:val="000000" w:themeColor="text1"/>
    </w:rPr>
  </w:style>
  <w:style w:type="paragraph" w:styleId="Ttulo1">
    <w:name w:val="heading 1"/>
    <w:basedOn w:val="Normal"/>
    <w:next w:val="Normal"/>
    <w:link w:val="Ttulo1Car"/>
    <w:uiPriority w:val="9"/>
    <w:qFormat/>
    <w:rsid w:val="000766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766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76681"/>
    <w:rPr>
      <w:rFonts w:asciiTheme="majorHAnsi" w:eastAsiaTheme="majorEastAsia" w:hAnsiTheme="majorHAnsi" w:cstheme="majorBidi"/>
      <w:color w:val="2F5496" w:themeColor="accent1" w:themeShade="BF"/>
      <w:kern w:val="0"/>
      <w:sz w:val="32"/>
      <w:szCs w:val="32"/>
    </w:rPr>
  </w:style>
  <w:style w:type="paragraph" w:styleId="TtuloTDC">
    <w:name w:val="TOC Heading"/>
    <w:basedOn w:val="Ttulo1"/>
    <w:next w:val="Normal"/>
    <w:uiPriority w:val="39"/>
    <w:unhideWhenUsed/>
    <w:qFormat/>
    <w:rsid w:val="00076681"/>
    <w:pPr>
      <w:jc w:val="left"/>
      <w:outlineLvl w:val="9"/>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color w:val="auto"/>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color w:val="auto"/>
      <w:sz w:val="20"/>
      <w:szCs w:val="20"/>
      <w:lang w:eastAsia="es-ES"/>
    </w:rPr>
  </w:style>
  <w:style w:type="character" w:customStyle="1" w:styleId="Ttulo2Car">
    <w:name w:val="Título 2 Car"/>
    <w:basedOn w:val="Fuentedeprrafopredeter"/>
    <w:link w:val="Ttulo2"/>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9l9vtmz6/C8w3Y22m4Eu7nv09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yITFQdjFEX1pJQXZSZ1hmbk05WmtsMlRxOGhxc3p3RDN1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4618</Words>
  <Characters>25405</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DANIEL ORDONEZ</cp:lastModifiedBy>
  <cp:revision>4</cp:revision>
  <cp:lastPrinted>2025-02-21T00:07:00Z</cp:lastPrinted>
  <dcterms:created xsi:type="dcterms:W3CDTF">2025-02-21T00:07:00Z</dcterms:created>
  <dcterms:modified xsi:type="dcterms:W3CDTF">2025-02-25T18:11:00Z</dcterms:modified>
</cp:coreProperties>
</file>