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074238" w14:textId="77777777" w:rsidR="00D90E73" w:rsidRPr="005E518B" w:rsidRDefault="00645B47">
      <w:pPr>
        <w:spacing w:before="240" w:after="240" w:line="360" w:lineRule="auto"/>
        <w:jc w:val="both"/>
        <w:rPr>
          <w:rFonts w:ascii="Palatino Linotype" w:eastAsia="Palatino Linotype" w:hAnsi="Palatino Linotype" w:cs="Palatino Linotype"/>
        </w:rPr>
      </w:pPr>
      <w:bookmarkStart w:id="0" w:name="_heading=h.3rdcrjn" w:colFirst="0" w:colLast="0"/>
      <w:bookmarkEnd w:id="0"/>
      <w:r w:rsidRPr="005E518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dos de abril de dos mil veinticinco. </w:t>
      </w:r>
    </w:p>
    <w:p w14:paraId="6C844F7C" w14:textId="77777777" w:rsidR="00D90E73" w:rsidRPr="005E518B" w:rsidRDefault="00645B47">
      <w:pPr>
        <w:tabs>
          <w:tab w:val="left" w:pos="5812"/>
        </w:tabs>
        <w:spacing w:before="240" w:after="240" w:line="360" w:lineRule="auto"/>
        <w:jc w:val="both"/>
        <w:rPr>
          <w:rFonts w:ascii="Palatino Linotype" w:eastAsia="Palatino Linotype" w:hAnsi="Palatino Linotype" w:cs="Palatino Linotype"/>
        </w:rPr>
      </w:pPr>
      <w:bookmarkStart w:id="1" w:name="_heading=h.daj3j2xo6q66" w:colFirst="0" w:colLast="0"/>
      <w:bookmarkEnd w:id="1"/>
      <w:r w:rsidRPr="005E518B">
        <w:rPr>
          <w:rFonts w:ascii="Palatino Linotype" w:eastAsia="Palatino Linotype" w:hAnsi="Palatino Linotype" w:cs="Palatino Linotype"/>
          <w:b/>
        </w:rPr>
        <w:t>VISTO</w:t>
      </w:r>
      <w:r w:rsidRPr="005E518B">
        <w:rPr>
          <w:rFonts w:ascii="Palatino Linotype" w:eastAsia="Palatino Linotype" w:hAnsi="Palatino Linotype" w:cs="Palatino Linotype"/>
        </w:rPr>
        <w:t xml:space="preserve"> el expediente formado con motivo del recurso de revisión </w:t>
      </w:r>
      <w:r w:rsidRPr="005E518B">
        <w:rPr>
          <w:rFonts w:ascii="Palatino Linotype" w:eastAsia="Palatino Linotype" w:hAnsi="Palatino Linotype" w:cs="Palatino Linotype"/>
          <w:b/>
        </w:rPr>
        <w:t>01749/INFOEM/IP/RR/2025</w:t>
      </w:r>
      <w:r w:rsidRPr="005E518B">
        <w:rPr>
          <w:rFonts w:ascii="Palatino Linotype" w:eastAsia="Palatino Linotype" w:hAnsi="Palatino Linotype" w:cs="Palatino Linotype"/>
        </w:rPr>
        <w:t>, interpuesto por</w:t>
      </w:r>
      <w:r w:rsidRPr="005E518B">
        <w:rPr>
          <w:rFonts w:ascii="Palatino Linotype" w:eastAsia="Palatino Linotype" w:hAnsi="Palatino Linotype" w:cs="Palatino Linotype"/>
          <w:b/>
        </w:rPr>
        <w:t xml:space="preserve"> una persona que no proporcionó nombre o seudónimo,</w:t>
      </w:r>
      <w:r w:rsidRPr="005E518B">
        <w:rPr>
          <w:rFonts w:ascii="Palatino Linotype" w:eastAsia="Palatino Linotype" w:hAnsi="Palatino Linotype" w:cs="Palatino Linotype"/>
        </w:rPr>
        <w:t xml:space="preserve"> en lo sucesivo</w:t>
      </w:r>
      <w:r w:rsidRPr="005E518B">
        <w:rPr>
          <w:rFonts w:ascii="Palatino Linotype" w:eastAsia="Palatino Linotype" w:hAnsi="Palatino Linotype" w:cs="Palatino Linotype"/>
          <w:b/>
        </w:rPr>
        <w:t xml:space="preserve"> </w:t>
      </w:r>
      <w:r w:rsidRPr="005E518B">
        <w:rPr>
          <w:rFonts w:ascii="Palatino Linotype" w:eastAsia="Palatino Linotype" w:hAnsi="Palatino Linotype" w:cs="Palatino Linotype"/>
        </w:rPr>
        <w:t xml:space="preserve">la parte </w:t>
      </w:r>
      <w:r w:rsidRPr="005E518B">
        <w:rPr>
          <w:rFonts w:ascii="Palatino Linotype" w:eastAsia="Palatino Linotype" w:hAnsi="Palatino Linotype" w:cs="Palatino Linotype"/>
          <w:b/>
        </w:rPr>
        <w:t>Recurrente,</w:t>
      </w:r>
      <w:r w:rsidRPr="005E518B">
        <w:rPr>
          <w:rFonts w:ascii="Palatino Linotype" w:eastAsia="Palatino Linotype" w:hAnsi="Palatino Linotype" w:cs="Palatino Linotype"/>
        </w:rPr>
        <w:t xml:space="preserve"> en contra de la respuesta a la solicitud de información con número de folio</w:t>
      </w:r>
      <w:r w:rsidRPr="005E518B">
        <w:rPr>
          <w:rFonts w:ascii="Palatino Linotype" w:eastAsia="Palatino Linotype" w:hAnsi="Palatino Linotype" w:cs="Palatino Linotype"/>
          <w:b/>
        </w:rPr>
        <w:t xml:space="preserve"> 00051/TEOLOYU/IP/2025, </w:t>
      </w:r>
      <w:r w:rsidRPr="005E518B">
        <w:rPr>
          <w:rFonts w:ascii="Palatino Linotype" w:eastAsia="Palatino Linotype" w:hAnsi="Palatino Linotype" w:cs="Palatino Linotype"/>
        </w:rPr>
        <w:t xml:space="preserve">por parte del </w:t>
      </w:r>
      <w:r w:rsidRPr="005E518B">
        <w:rPr>
          <w:rFonts w:ascii="Palatino Linotype" w:eastAsia="Palatino Linotype" w:hAnsi="Palatino Linotype" w:cs="Palatino Linotype"/>
          <w:b/>
        </w:rPr>
        <w:t xml:space="preserve">Ayuntamiento de Teoloyucan, </w:t>
      </w:r>
      <w:r w:rsidRPr="005E518B">
        <w:rPr>
          <w:rFonts w:ascii="Palatino Linotype" w:eastAsia="Palatino Linotype" w:hAnsi="Palatino Linotype" w:cs="Palatino Linotype"/>
        </w:rPr>
        <w:t xml:space="preserve">en lo sucesivo 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 xml:space="preserve">se procede a dictar la presente resolución con base en los siguientes: </w:t>
      </w:r>
    </w:p>
    <w:p w14:paraId="2AEA2CAD" w14:textId="77777777" w:rsidR="00D90E73" w:rsidRPr="005E518B" w:rsidRDefault="00645B47">
      <w:pPr>
        <w:spacing w:before="240" w:after="240" w:line="360" w:lineRule="auto"/>
        <w:jc w:val="center"/>
        <w:rPr>
          <w:rFonts w:ascii="Palatino Linotype" w:eastAsia="Palatino Linotype" w:hAnsi="Palatino Linotype" w:cs="Palatino Linotype"/>
          <w:b/>
        </w:rPr>
      </w:pPr>
      <w:r w:rsidRPr="005E518B">
        <w:rPr>
          <w:rFonts w:ascii="Palatino Linotype" w:eastAsia="Palatino Linotype" w:hAnsi="Palatino Linotype" w:cs="Palatino Linotype"/>
          <w:b/>
        </w:rPr>
        <w:t>I. A N T E C E D E N T E S</w:t>
      </w:r>
    </w:p>
    <w:p w14:paraId="74C0C096" w14:textId="77777777" w:rsidR="00D90E73" w:rsidRPr="005E518B" w:rsidRDefault="00645B47">
      <w:pPr>
        <w:tabs>
          <w:tab w:val="left" w:pos="5071"/>
        </w:tabs>
        <w:spacing w:before="240" w:after="240" w:line="360" w:lineRule="auto"/>
        <w:jc w:val="both"/>
        <w:rPr>
          <w:rFonts w:ascii="Palatino Linotype" w:eastAsia="Palatino Linotype" w:hAnsi="Palatino Linotype" w:cs="Palatino Linotype"/>
        </w:rPr>
      </w:pPr>
      <w:bookmarkStart w:id="2" w:name="_heading=h.gjdgxs" w:colFirst="0" w:colLast="0"/>
      <w:bookmarkEnd w:id="2"/>
      <w:r w:rsidRPr="005E518B">
        <w:rPr>
          <w:rFonts w:ascii="Palatino Linotype" w:eastAsia="Palatino Linotype" w:hAnsi="Palatino Linotype" w:cs="Palatino Linotype"/>
          <w:b/>
        </w:rPr>
        <w:t xml:space="preserve">1. Solicitud de acceso a la información. </w:t>
      </w:r>
      <w:r w:rsidRPr="005E518B">
        <w:rPr>
          <w:rFonts w:ascii="Palatino Linotype" w:eastAsia="Palatino Linotype" w:hAnsi="Palatino Linotype" w:cs="Palatino Linotype"/>
        </w:rPr>
        <w:t xml:space="preserve">El </w:t>
      </w:r>
      <w:r w:rsidRPr="005E518B">
        <w:rPr>
          <w:rFonts w:ascii="Palatino Linotype" w:eastAsia="Palatino Linotype" w:hAnsi="Palatino Linotype" w:cs="Palatino Linotype"/>
          <w:b/>
        </w:rPr>
        <w:t>veintiséis de enero de dos mil veinticinco,</w:t>
      </w:r>
      <w:r w:rsidRPr="005E518B">
        <w:rPr>
          <w:rFonts w:ascii="Palatino Linotype" w:eastAsia="Palatino Linotype" w:hAnsi="Palatino Linotype" w:cs="Palatino Linotype"/>
        </w:rPr>
        <w:t xml:space="preserve"> la persona solicitante presentó la solicitud de acceso a la información pública ante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través del Sistema de Acceso a la Información Mexiquense, en lo subsecuente el </w:t>
      </w:r>
      <w:r w:rsidRPr="005E518B">
        <w:rPr>
          <w:rFonts w:ascii="Palatino Linotype" w:eastAsia="Palatino Linotype" w:hAnsi="Palatino Linotype" w:cs="Palatino Linotype"/>
          <w:b/>
        </w:rPr>
        <w:t>SAIMEX,</w:t>
      </w:r>
      <w:r w:rsidRPr="005E518B">
        <w:rPr>
          <w:rFonts w:ascii="Palatino Linotype" w:eastAsia="Palatino Linotype" w:hAnsi="Palatino Linotype" w:cs="Palatino Linotype"/>
        </w:rPr>
        <w:t xml:space="preserve"> sin embargo, al corresponder a un día inhábil se tuvo por presentada el día </w:t>
      </w:r>
      <w:r w:rsidRPr="005E518B">
        <w:rPr>
          <w:rFonts w:ascii="Palatino Linotype" w:eastAsia="Palatino Linotype" w:hAnsi="Palatino Linotype" w:cs="Palatino Linotype"/>
          <w:b/>
        </w:rPr>
        <w:t>veintisiete de enero de dos mil veinticinco;</w:t>
      </w:r>
      <w:r w:rsidRPr="005E518B">
        <w:rPr>
          <w:rFonts w:ascii="Palatino Linotype" w:eastAsia="Palatino Linotype" w:hAnsi="Palatino Linotype" w:cs="Palatino Linotype"/>
        </w:rPr>
        <w:t xml:space="preserve"> mediante la cual requirió lo siguiente:</w:t>
      </w:r>
    </w:p>
    <w:p w14:paraId="21A92F3C" w14:textId="77777777" w:rsidR="00D90E73" w:rsidRPr="005E518B" w:rsidRDefault="00645B47">
      <w:pPr>
        <w:spacing w:before="120" w:after="120"/>
        <w:ind w:left="851" w:right="902"/>
        <w:jc w:val="both"/>
        <w:rPr>
          <w:rFonts w:ascii="Palatino Linotype" w:eastAsia="Palatino Linotype" w:hAnsi="Palatino Linotype" w:cs="Palatino Linotype"/>
          <w:b/>
          <w:i/>
          <w:sz w:val="22"/>
          <w:szCs w:val="22"/>
        </w:rPr>
      </w:pPr>
      <w:r w:rsidRPr="005E518B">
        <w:rPr>
          <w:rFonts w:ascii="Palatino Linotype" w:eastAsia="Palatino Linotype" w:hAnsi="Palatino Linotype" w:cs="Palatino Linotype"/>
          <w:i/>
          <w:sz w:val="22"/>
          <w:szCs w:val="22"/>
        </w:rPr>
        <w:t xml:space="preserve">“Relación de parque </w:t>
      </w:r>
      <w:proofErr w:type="spellStart"/>
      <w:r w:rsidRPr="005E518B">
        <w:rPr>
          <w:rFonts w:ascii="Palatino Linotype" w:eastAsia="Palatino Linotype" w:hAnsi="Palatino Linotype" w:cs="Palatino Linotype"/>
          <w:i/>
          <w:sz w:val="22"/>
          <w:szCs w:val="22"/>
        </w:rPr>
        <w:t>vehícular</w:t>
      </w:r>
      <w:proofErr w:type="spellEnd"/>
      <w:r w:rsidRPr="005E518B">
        <w:rPr>
          <w:rFonts w:ascii="Palatino Linotype" w:eastAsia="Palatino Linotype" w:hAnsi="Palatino Linotype" w:cs="Palatino Linotype"/>
          <w:i/>
          <w:sz w:val="22"/>
          <w:szCs w:val="22"/>
        </w:rPr>
        <w:t>, a cargo de quien o a quien los tiene asignados y tarjetas de circulación</w:t>
      </w:r>
      <w:r w:rsidRPr="005E518B">
        <w:rPr>
          <w:rFonts w:ascii="Palatino Linotype" w:eastAsia="Palatino Linotype" w:hAnsi="Palatino Linotype" w:cs="Palatino Linotype"/>
          <w:b/>
          <w:i/>
          <w:sz w:val="22"/>
          <w:szCs w:val="22"/>
        </w:rPr>
        <w:t>”</w:t>
      </w:r>
      <w:r w:rsidRPr="005E518B">
        <w:rPr>
          <w:rFonts w:ascii="Palatino Linotype" w:eastAsia="Palatino Linotype" w:hAnsi="Palatino Linotype" w:cs="Palatino Linotype"/>
          <w:i/>
          <w:sz w:val="22"/>
          <w:szCs w:val="22"/>
        </w:rPr>
        <w:t xml:space="preserve"> (sic) </w:t>
      </w:r>
    </w:p>
    <w:p w14:paraId="7285C445" w14:textId="77777777" w:rsidR="00D90E73" w:rsidRPr="005E518B" w:rsidRDefault="00645B47">
      <w:pPr>
        <w:spacing w:before="240" w:after="240" w:line="360" w:lineRule="auto"/>
        <w:jc w:val="both"/>
        <w:rPr>
          <w:rFonts w:ascii="Palatino Linotype" w:eastAsia="Palatino Linotype" w:hAnsi="Palatino Linotype" w:cs="Palatino Linotype"/>
        </w:rPr>
      </w:pPr>
      <w:bookmarkStart w:id="3" w:name="_heading=h.3dy6vkm" w:colFirst="0" w:colLast="0"/>
      <w:bookmarkEnd w:id="3"/>
      <w:r w:rsidRPr="005E518B">
        <w:rPr>
          <w:rFonts w:ascii="Palatino Linotype" w:eastAsia="Palatino Linotype" w:hAnsi="Palatino Linotype" w:cs="Palatino Linotype"/>
          <w:b/>
        </w:rPr>
        <w:t>Modalidad de Entrega:</w:t>
      </w:r>
      <w:r w:rsidRPr="005E518B">
        <w:rPr>
          <w:rFonts w:ascii="Palatino Linotype" w:eastAsia="Palatino Linotype" w:hAnsi="Palatino Linotype" w:cs="Palatino Linotype"/>
        </w:rPr>
        <w:t xml:space="preserve"> a través del</w:t>
      </w:r>
      <w:r w:rsidRPr="005E518B">
        <w:rPr>
          <w:rFonts w:ascii="Palatino Linotype" w:eastAsia="Palatino Linotype" w:hAnsi="Palatino Linotype" w:cs="Palatino Linotype"/>
          <w:b/>
        </w:rPr>
        <w:t xml:space="preserve"> SAIMEX.</w:t>
      </w:r>
    </w:p>
    <w:p w14:paraId="10C7831B"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b/>
        </w:rPr>
        <w:lastRenderedPageBreak/>
        <w:t xml:space="preserve">2. Respuesta. </w:t>
      </w:r>
      <w:r w:rsidRPr="005E518B">
        <w:rPr>
          <w:rFonts w:ascii="Palatino Linotype" w:eastAsia="Palatino Linotype" w:hAnsi="Palatino Linotype" w:cs="Palatino Linotype"/>
        </w:rPr>
        <w:t xml:space="preserve">El </w:t>
      </w:r>
      <w:r w:rsidRPr="005E518B">
        <w:rPr>
          <w:rFonts w:ascii="Palatino Linotype" w:eastAsia="Palatino Linotype" w:hAnsi="Palatino Linotype" w:cs="Palatino Linotype"/>
          <w:b/>
        </w:rPr>
        <w:t>dieciocho de febrero de dos mil veinticinco,</w:t>
      </w:r>
      <w:r w:rsidRPr="005E518B">
        <w:rPr>
          <w:rFonts w:ascii="Palatino Linotype" w:eastAsia="Palatino Linotype" w:hAnsi="Palatino Linotype" w:cs="Palatino Linotype"/>
        </w:rPr>
        <w:t xml:space="preserve"> 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0FD55FC" w14:textId="77777777" w:rsidR="00D90E73" w:rsidRPr="005E518B" w:rsidRDefault="00645B47">
      <w:pPr>
        <w:spacing w:before="240" w:after="24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“…SE REMITE OFICIO DEL ÁREA...” (sic)</w:t>
      </w:r>
    </w:p>
    <w:p w14:paraId="21D880B6"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adjuntó el oficio número DA/OSS/232/2025, del trece de febrero de dos mil veinticinco, mediante el cual, el Director de Administración manifestó que la información solicitada es competencia de Control Patrimonial.</w:t>
      </w:r>
    </w:p>
    <w:p w14:paraId="09CE89A2"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b/>
        </w:rPr>
        <w:t xml:space="preserve">3. Interposición del recurso de revisión. </w:t>
      </w:r>
      <w:r w:rsidRPr="005E518B">
        <w:rPr>
          <w:rFonts w:ascii="Palatino Linotype" w:eastAsia="Palatino Linotype" w:hAnsi="Palatino Linotype" w:cs="Palatino Linotype"/>
        </w:rPr>
        <w:t xml:space="preserve">Inconforme con los términos de la respuesta emitida por parte del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el </w:t>
      </w:r>
      <w:r w:rsidRPr="005E518B">
        <w:rPr>
          <w:rFonts w:ascii="Palatino Linotype" w:eastAsia="Palatino Linotype" w:hAnsi="Palatino Linotype" w:cs="Palatino Linotype"/>
          <w:b/>
        </w:rPr>
        <w:t>veinte de febrero de dos mil veinticinco,</w:t>
      </w:r>
      <w:r w:rsidRPr="005E518B">
        <w:rPr>
          <w:rFonts w:ascii="Palatino Linotype" w:eastAsia="Palatino Linotype" w:hAnsi="Palatino Linotype" w:cs="Palatino Linotype"/>
        </w:rPr>
        <w:t xml:space="preserve"> la parte </w:t>
      </w:r>
      <w:r w:rsidRPr="005E518B">
        <w:rPr>
          <w:rFonts w:ascii="Palatino Linotype" w:eastAsia="Palatino Linotype" w:hAnsi="Palatino Linotype" w:cs="Palatino Linotype"/>
          <w:b/>
        </w:rPr>
        <w:t>Recurrente</w:t>
      </w:r>
      <w:r w:rsidRPr="005E518B">
        <w:rPr>
          <w:rFonts w:ascii="Palatino Linotype" w:eastAsia="Palatino Linotype" w:hAnsi="Palatino Linotype" w:cs="Palatino Linotype"/>
        </w:rPr>
        <w:t xml:space="preserve"> interpuso el recurso de revisión a través de </w:t>
      </w:r>
      <w:r w:rsidRPr="005E518B">
        <w:rPr>
          <w:rFonts w:ascii="Palatino Linotype" w:eastAsia="Palatino Linotype" w:hAnsi="Palatino Linotype" w:cs="Palatino Linotype"/>
          <w:b/>
        </w:rPr>
        <w:t xml:space="preserve">SAIMEX, </w:t>
      </w:r>
      <w:r w:rsidRPr="005E518B">
        <w:rPr>
          <w:rFonts w:ascii="Palatino Linotype" w:eastAsia="Palatino Linotype" w:hAnsi="Palatino Linotype" w:cs="Palatino Linotype"/>
        </w:rPr>
        <w:t>en donde se manifestó de la siguiente manera:</w:t>
      </w:r>
    </w:p>
    <w:p w14:paraId="5382B237" w14:textId="77777777" w:rsidR="00D90E73" w:rsidRPr="005E518B" w:rsidRDefault="00645B47">
      <w:pPr>
        <w:spacing w:before="240" w:after="240" w:line="360" w:lineRule="auto"/>
        <w:ind w:right="49"/>
        <w:jc w:val="both"/>
        <w:rPr>
          <w:rFonts w:ascii="Palatino Linotype" w:eastAsia="Palatino Linotype" w:hAnsi="Palatino Linotype" w:cs="Palatino Linotype"/>
          <w:b/>
        </w:rPr>
      </w:pPr>
      <w:r w:rsidRPr="005E518B">
        <w:rPr>
          <w:rFonts w:ascii="Palatino Linotype" w:eastAsia="Palatino Linotype" w:hAnsi="Palatino Linotype" w:cs="Palatino Linotype"/>
          <w:b/>
        </w:rPr>
        <w:t xml:space="preserve">Acto impugnado: </w:t>
      </w:r>
    </w:p>
    <w:p w14:paraId="57FBC1D1" w14:textId="77777777" w:rsidR="00D90E73" w:rsidRPr="005E518B" w:rsidRDefault="00645B47">
      <w:pPr>
        <w:tabs>
          <w:tab w:val="left" w:pos="2745"/>
        </w:tabs>
        <w:spacing w:before="240" w:after="240"/>
        <w:ind w:left="851"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“Respuesta” (sic)</w:t>
      </w:r>
    </w:p>
    <w:p w14:paraId="704766F5" w14:textId="77777777" w:rsidR="00D90E73" w:rsidRPr="005E518B" w:rsidRDefault="00645B47">
      <w:pPr>
        <w:spacing w:line="360" w:lineRule="auto"/>
        <w:jc w:val="both"/>
        <w:rPr>
          <w:rFonts w:ascii="Palatino Linotype" w:eastAsia="Palatino Linotype" w:hAnsi="Palatino Linotype" w:cs="Palatino Linotype"/>
        </w:rPr>
      </w:pPr>
      <w:bookmarkStart w:id="4" w:name="_heading=h.30j0zll" w:colFirst="0" w:colLast="0"/>
      <w:bookmarkEnd w:id="4"/>
      <w:r w:rsidRPr="005E518B">
        <w:rPr>
          <w:rFonts w:ascii="Palatino Linotype" w:eastAsia="Palatino Linotype" w:hAnsi="Palatino Linotype" w:cs="Palatino Linotype"/>
          <w:b/>
        </w:rPr>
        <w:t>Y, Razones o motivos de inconformidad</w:t>
      </w:r>
      <w:r w:rsidRPr="005E518B">
        <w:rPr>
          <w:rFonts w:ascii="Palatino Linotype" w:eastAsia="Palatino Linotype" w:hAnsi="Palatino Linotype" w:cs="Palatino Linotype"/>
        </w:rPr>
        <w:t>:</w:t>
      </w:r>
    </w:p>
    <w:p w14:paraId="7E45C4C1" w14:textId="77777777" w:rsidR="00D90E73" w:rsidRPr="005E518B" w:rsidRDefault="00645B47">
      <w:pPr>
        <w:tabs>
          <w:tab w:val="left" w:pos="2745"/>
        </w:tabs>
        <w:spacing w:before="240" w:after="240"/>
        <w:ind w:left="851"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 xml:space="preserve">“Es claro que solo </w:t>
      </w:r>
      <w:proofErr w:type="spellStart"/>
      <w:r w:rsidRPr="005E518B">
        <w:rPr>
          <w:rFonts w:ascii="Palatino Linotype" w:eastAsia="Palatino Linotype" w:hAnsi="Palatino Linotype" w:cs="Palatino Linotype"/>
          <w:i/>
          <w:sz w:val="22"/>
          <w:szCs w:val="22"/>
        </w:rPr>
        <w:t>estan</w:t>
      </w:r>
      <w:proofErr w:type="spellEnd"/>
      <w:r w:rsidRPr="005E518B">
        <w:rPr>
          <w:rFonts w:ascii="Palatino Linotype" w:eastAsia="Palatino Linotype" w:hAnsi="Palatino Linotype" w:cs="Palatino Linotype"/>
          <w:i/>
          <w:sz w:val="22"/>
          <w:szCs w:val="22"/>
        </w:rPr>
        <w:t xml:space="preserve"> perdiendo tiempo, al entregarme como respuesta la incompetencia de administración, se supone que se </w:t>
      </w:r>
      <w:proofErr w:type="spellStart"/>
      <w:r w:rsidRPr="005E518B">
        <w:rPr>
          <w:rFonts w:ascii="Palatino Linotype" w:eastAsia="Palatino Linotype" w:hAnsi="Palatino Linotype" w:cs="Palatino Linotype"/>
          <w:i/>
          <w:sz w:val="22"/>
          <w:szCs w:val="22"/>
        </w:rPr>
        <w:t>debio</w:t>
      </w:r>
      <w:proofErr w:type="spellEnd"/>
      <w:r w:rsidRPr="005E518B">
        <w:rPr>
          <w:rFonts w:ascii="Palatino Linotype" w:eastAsia="Palatino Linotype" w:hAnsi="Palatino Linotype" w:cs="Palatino Linotype"/>
          <w:i/>
          <w:sz w:val="22"/>
          <w:szCs w:val="22"/>
        </w:rPr>
        <w:t xml:space="preserve"> turnar a las </w:t>
      </w:r>
      <w:proofErr w:type="spellStart"/>
      <w:r w:rsidRPr="005E518B">
        <w:rPr>
          <w:rFonts w:ascii="Palatino Linotype" w:eastAsia="Palatino Linotype" w:hAnsi="Palatino Linotype" w:cs="Palatino Linotype"/>
          <w:i/>
          <w:sz w:val="22"/>
          <w:szCs w:val="22"/>
        </w:rPr>
        <w:t>areas</w:t>
      </w:r>
      <w:proofErr w:type="spellEnd"/>
      <w:r w:rsidRPr="005E518B">
        <w:rPr>
          <w:rFonts w:ascii="Palatino Linotype" w:eastAsia="Palatino Linotype" w:hAnsi="Palatino Linotype" w:cs="Palatino Linotype"/>
          <w:i/>
          <w:sz w:val="22"/>
          <w:szCs w:val="22"/>
        </w:rPr>
        <w:t xml:space="preserve"> competentes” (sic)</w:t>
      </w:r>
    </w:p>
    <w:p w14:paraId="559A14C7" w14:textId="77777777" w:rsidR="00D90E73" w:rsidRPr="005E518B" w:rsidRDefault="00645B47">
      <w:pPr>
        <w:spacing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b/>
        </w:rPr>
        <w:t xml:space="preserve">4. Turno. </w:t>
      </w:r>
      <w:r w:rsidRPr="005E518B">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5E518B">
        <w:rPr>
          <w:rFonts w:ascii="Palatino Linotype" w:eastAsia="Palatino Linotype" w:hAnsi="Palatino Linotype" w:cs="Palatino Linotype"/>
        </w:rPr>
        <w:lastRenderedPageBreak/>
        <w:t xml:space="preserve">del Estado de México y Municipios, a la Comisionada </w:t>
      </w:r>
      <w:r w:rsidRPr="005E518B">
        <w:rPr>
          <w:rFonts w:ascii="Palatino Linotype" w:eastAsia="Palatino Linotype" w:hAnsi="Palatino Linotype" w:cs="Palatino Linotype"/>
          <w:b/>
        </w:rPr>
        <w:t xml:space="preserve">Guadalupe Ramírez Peña, </w:t>
      </w:r>
      <w:r w:rsidRPr="005E518B">
        <w:rPr>
          <w:rFonts w:ascii="Palatino Linotype" w:eastAsia="Palatino Linotype" w:hAnsi="Palatino Linotype" w:cs="Palatino Linotype"/>
        </w:rPr>
        <w:t>a efecto de que analizara sobre su admisión o su desechamiento.</w:t>
      </w:r>
    </w:p>
    <w:p w14:paraId="131BE918" w14:textId="77777777" w:rsidR="00D90E73" w:rsidRPr="005E518B" w:rsidRDefault="00645B47">
      <w:pPr>
        <w:spacing w:before="240" w:after="240" w:line="360" w:lineRule="auto"/>
        <w:jc w:val="both"/>
        <w:rPr>
          <w:rFonts w:ascii="Palatino Linotype" w:eastAsia="Palatino Linotype" w:hAnsi="Palatino Linotype" w:cs="Palatino Linotype"/>
          <w:b/>
        </w:rPr>
      </w:pPr>
      <w:r w:rsidRPr="005E518B">
        <w:rPr>
          <w:rFonts w:ascii="Palatino Linotype" w:eastAsia="Palatino Linotype" w:hAnsi="Palatino Linotype" w:cs="Palatino Linotype"/>
          <w:b/>
        </w:rPr>
        <w:t>5. Admisión del Recurso de revisión.</w:t>
      </w:r>
      <w:r w:rsidRPr="005E518B">
        <w:rPr>
          <w:rFonts w:ascii="Palatino Linotype" w:eastAsia="Palatino Linotype" w:hAnsi="Palatino Linotype" w:cs="Palatino Linotype"/>
        </w:rPr>
        <w:t xml:space="preserve"> El</w:t>
      </w:r>
      <w:r w:rsidRPr="005E518B">
        <w:rPr>
          <w:rFonts w:ascii="Palatino Linotype" w:eastAsia="Palatino Linotype" w:hAnsi="Palatino Linotype" w:cs="Palatino Linotype"/>
          <w:b/>
        </w:rPr>
        <w:t xml:space="preserve"> veinticinco de febrero de dos mil veinticinco, </w:t>
      </w:r>
      <w:r w:rsidRPr="005E518B">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presentara su informe justificado.</w:t>
      </w:r>
    </w:p>
    <w:p w14:paraId="30C9E62E" w14:textId="77777777" w:rsidR="00D90E73" w:rsidRPr="005E518B" w:rsidRDefault="00645B47">
      <w:pPr>
        <w:spacing w:before="240" w:after="240" w:line="360" w:lineRule="auto"/>
        <w:jc w:val="both"/>
        <w:rPr>
          <w:rFonts w:ascii="Palatino Linotype" w:eastAsia="Palatino Linotype" w:hAnsi="Palatino Linotype" w:cs="Palatino Linotype"/>
        </w:rPr>
      </w:pPr>
      <w:bookmarkStart w:id="5" w:name="_heading=h.2s8eyo1" w:colFirst="0" w:colLast="0"/>
      <w:bookmarkEnd w:id="5"/>
      <w:r w:rsidRPr="005E518B">
        <w:rPr>
          <w:rFonts w:ascii="Palatino Linotype" w:eastAsia="Palatino Linotype" w:hAnsi="Palatino Linotype" w:cs="Palatino Linotype"/>
          <w:b/>
        </w:rPr>
        <w:t>6. Manifestaciones</w:t>
      </w:r>
      <w:r w:rsidRPr="005E518B">
        <w:rPr>
          <w:rFonts w:ascii="Palatino Linotype" w:eastAsia="Palatino Linotype" w:hAnsi="Palatino Linotype" w:cs="Palatino Linotype"/>
        </w:rPr>
        <w:t xml:space="preserve">. El </w:t>
      </w:r>
      <w:r w:rsidRPr="005E518B">
        <w:rPr>
          <w:rFonts w:ascii="Palatino Linotype" w:eastAsia="Palatino Linotype" w:hAnsi="Palatino Linotype" w:cs="Palatino Linotype"/>
          <w:b/>
        </w:rPr>
        <w:t>veintisiete de febrero dos mil veinticinco</w:t>
      </w:r>
      <w:r w:rsidRPr="005E518B">
        <w:rPr>
          <w:rFonts w:ascii="Palatino Linotype" w:eastAsia="Palatino Linotype" w:hAnsi="Palatino Linotype" w:cs="Palatino Linotype"/>
        </w:rPr>
        <w:t xml:space="preserve">,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remitió, a través de SAIMEX, lo siguiente:</w:t>
      </w:r>
    </w:p>
    <w:p w14:paraId="4C904FD9" w14:textId="4B7369C2"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rPr>
        <w:t>- Oficio número CP/NCM/025-02/2025, del veinticuatro de febrero de dos mil veinticinco, mediante el cual la Jefa de Patrimonio y la Secretar</w:t>
      </w:r>
      <w:r w:rsidR="00EC6E11" w:rsidRPr="005E518B">
        <w:rPr>
          <w:rFonts w:ascii="Palatino Linotype" w:eastAsia="Palatino Linotype" w:hAnsi="Palatino Linotype" w:cs="Palatino Linotype"/>
        </w:rPr>
        <w:t>i</w:t>
      </w:r>
      <w:r w:rsidRPr="005E518B">
        <w:rPr>
          <w:rFonts w:ascii="Palatino Linotype" w:eastAsia="Palatino Linotype" w:hAnsi="Palatino Linotype" w:cs="Palatino Linotype"/>
        </w:rPr>
        <w:t>a del Ayuntamiento, remitieron la relación del parque vehicular y las personas que los tienen bajo su resguardo, precisando que dicha información fue recabada del Sistema CREG Patrimonial, asimismo que las tarjetas de circulación no fueron entregadas en el proceso de entrega-recepción derivado del cambio de administración.</w:t>
      </w:r>
    </w:p>
    <w:p w14:paraId="57540934"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 Inventario General de Parque Vehicular, el cual contiene 26 registros, con los datos: número progresivo, nombre del resguardatario, nombre del mueble, marca, modelo, área responsable, observaciones. </w:t>
      </w:r>
    </w:p>
    <w:p w14:paraId="4DF1F3C5"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 xml:space="preserve">Una vez analizada la información, se determinó hacerla del conocimiento de la parte </w:t>
      </w:r>
      <w:r w:rsidRPr="005E518B">
        <w:rPr>
          <w:rFonts w:ascii="Palatino Linotype" w:eastAsia="Palatino Linotype" w:hAnsi="Palatino Linotype" w:cs="Palatino Linotype"/>
          <w:b/>
        </w:rPr>
        <w:t>Recurrente,</w:t>
      </w:r>
      <w:r w:rsidRPr="005E518B">
        <w:rPr>
          <w:rFonts w:ascii="Palatino Linotype" w:eastAsia="Palatino Linotype" w:hAnsi="Palatino Linotype" w:cs="Palatino Linotype"/>
        </w:rPr>
        <w:t xml:space="preserve"> con la finalidad de que manifestara lo que a su derecho estimara conveniente, sin embargo, fue omisa en ejercer dicha prerrogativa.</w:t>
      </w:r>
    </w:p>
    <w:p w14:paraId="5621AB46"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b/>
        </w:rPr>
        <w:t xml:space="preserve">7. Cierre de instrucción. </w:t>
      </w:r>
      <w:r w:rsidRPr="005E518B">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Pr="005E518B">
        <w:rPr>
          <w:rFonts w:ascii="Palatino Linotype" w:eastAsia="Palatino Linotype" w:hAnsi="Palatino Linotype" w:cs="Palatino Linotype"/>
          <w:b/>
        </w:rPr>
        <w:t>diez de marzo de dos mil veinticinco</w:t>
      </w:r>
      <w:r w:rsidRPr="005E518B">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4B48D0C"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7D93DF6B" w14:textId="77777777" w:rsidR="00D90E73" w:rsidRPr="005E518B" w:rsidRDefault="00645B47">
      <w:pPr>
        <w:widowControl w:val="0"/>
        <w:spacing w:before="240" w:after="240" w:line="360" w:lineRule="auto"/>
        <w:jc w:val="center"/>
        <w:rPr>
          <w:rFonts w:ascii="Palatino Linotype" w:eastAsia="Palatino Linotype" w:hAnsi="Palatino Linotype" w:cs="Palatino Linotype"/>
          <w:b/>
        </w:rPr>
      </w:pPr>
      <w:r w:rsidRPr="005E518B">
        <w:rPr>
          <w:rFonts w:ascii="Palatino Linotype" w:eastAsia="Palatino Linotype" w:hAnsi="Palatino Linotype" w:cs="Palatino Linotype"/>
          <w:b/>
        </w:rPr>
        <w:t>II. C O N S I D E R A N D O S</w:t>
      </w:r>
    </w:p>
    <w:p w14:paraId="2CEF18D0"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b/>
        </w:rPr>
        <w:t>Primero. Competencia.</w:t>
      </w:r>
      <w:r w:rsidRPr="005E518B">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B97B0A9" w14:textId="77777777" w:rsidR="00D90E73" w:rsidRPr="005E518B" w:rsidRDefault="00645B47">
      <w:pPr>
        <w:spacing w:before="240" w:after="240" w:line="360" w:lineRule="auto"/>
        <w:jc w:val="both"/>
        <w:rPr>
          <w:rFonts w:ascii="Palatino Linotype" w:eastAsia="Palatino Linotype" w:hAnsi="Palatino Linotype" w:cs="Palatino Linotype"/>
        </w:rPr>
      </w:pPr>
      <w:bookmarkStart w:id="6" w:name="_heading=h.tyjcwt" w:colFirst="0" w:colLast="0"/>
      <w:bookmarkEnd w:id="6"/>
      <w:r w:rsidRPr="005E518B">
        <w:rPr>
          <w:rFonts w:ascii="Palatino Linotype" w:eastAsia="Palatino Linotype" w:hAnsi="Palatino Linotype" w:cs="Palatino Linotype"/>
          <w:b/>
        </w:rPr>
        <w:lastRenderedPageBreak/>
        <w:t>Segundo. Oportunidad y Procedibilidad del Recurso de Revisión</w:t>
      </w:r>
      <w:r w:rsidRPr="005E518B">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5614014"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 xml:space="preserve">remitió la respuesta a la solicitud de información el día </w:t>
      </w:r>
      <w:r w:rsidRPr="005E518B">
        <w:rPr>
          <w:rFonts w:ascii="Palatino Linotype" w:eastAsia="Palatino Linotype" w:hAnsi="Palatino Linotype" w:cs="Palatino Linotype"/>
          <w:b/>
        </w:rPr>
        <w:t xml:space="preserve">dieciocho de febrero de dos mil veinticinco, </w:t>
      </w:r>
      <w:r w:rsidRPr="005E518B">
        <w:rPr>
          <w:rFonts w:ascii="Palatino Linotype" w:eastAsia="Palatino Linotype" w:hAnsi="Palatino Linotype" w:cs="Palatino Linotype"/>
        </w:rPr>
        <w:t xml:space="preserve">mientras que el recurso de revisión interpuesto por la parte </w:t>
      </w:r>
      <w:r w:rsidRPr="005E518B">
        <w:rPr>
          <w:rFonts w:ascii="Palatino Linotype" w:eastAsia="Palatino Linotype" w:hAnsi="Palatino Linotype" w:cs="Palatino Linotype"/>
          <w:b/>
        </w:rPr>
        <w:t xml:space="preserve">Recurrente, </w:t>
      </w:r>
      <w:r w:rsidRPr="005E518B">
        <w:rPr>
          <w:rFonts w:ascii="Palatino Linotype" w:eastAsia="Palatino Linotype" w:hAnsi="Palatino Linotype" w:cs="Palatino Linotype"/>
        </w:rPr>
        <w:t>se tuvo por presentado el día</w:t>
      </w:r>
      <w:r w:rsidRPr="005E518B">
        <w:rPr>
          <w:rFonts w:ascii="Palatino Linotype" w:eastAsia="Palatino Linotype" w:hAnsi="Palatino Linotype" w:cs="Palatino Linotype"/>
          <w:b/>
        </w:rPr>
        <w:t xml:space="preserve"> veinte de febrero de dos mil veinticinco, </w:t>
      </w:r>
      <w:r w:rsidRPr="005E518B">
        <w:rPr>
          <w:rFonts w:ascii="Palatino Linotype" w:eastAsia="Palatino Linotype" w:hAnsi="Palatino Linotype" w:cs="Palatino Linotype"/>
        </w:rPr>
        <w:t>esto es, al segundo día hábil posterior a aquel en el que tuvo conocimiento de la respuesta impugnada. En este sentido, se concluye que el presente recurso de revisión se encuentra dentro de los márgenes temporales previstos en las disposiciones legales referidas.</w:t>
      </w:r>
    </w:p>
    <w:p w14:paraId="6EE3FC54"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Además, por cuanto hace a la procedibilidad del recurso de revisión, es de suma importancia señalar que la parte</w:t>
      </w:r>
      <w:r w:rsidRPr="005E518B">
        <w:rPr>
          <w:rFonts w:ascii="Palatino Linotype" w:eastAsia="Palatino Linotype" w:hAnsi="Palatino Linotype" w:cs="Palatino Linotype"/>
          <w:b/>
        </w:rPr>
        <w:t xml:space="preserve"> Recurrente</w:t>
      </w:r>
      <w:r w:rsidRPr="005E518B">
        <w:rPr>
          <w:rFonts w:ascii="Palatino Linotype" w:eastAsia="Palatino Linotype" w:hAnsi="Palatino Linotype" w:cs="Palatino Linotype"/>
        </w:rPr>
        <w:t xml:space="preserve">, no señaló un </w:t>
      </w:r>
      <w:r w:rsidRPr="005E518B">
        <w:rPr>
          <w:rFonts w:ascii="Palatino Linotype" w:eastAsia="Palatino Linotype" w:hAnsi="Palatino Linotype" w:cs="Palatino Linotype"/>
          <w:b/>
        </w:rPr>
        <w:t>nombre</w:t>
      </w:r>
      <w:r w:rsidRPr="005E518B">
        <w:rPr>
          <w:rFonts w:ascii="Palatino Linotype" w:eastAsia="Palatino Linotype" w:hAnsi="Palatino Linotype" w:cs="Palatino Linotype"/>
        </w:rPr>
        <w:t xml:space="preserve"> con el cual desea ser identificado, como se advierte en el detalle de seguimiento del SAIMEX, no obstante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3B542424"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lastRenderedPageBreak/>
        <w:t>"</w:t>
      </w:r>
      <w:r w:rsidRPr="005E518B">
        <w:rPr>
          <w:rFonts w:ascii="Palatino Linotype" w:eastAsia="Palatino Linotype" w:hAnsi="Palatino Linotype" w:cs="Palatino Linotype"/>
          <w:b/>
          <w:i/>
          <w:sz w:val="22"/>
          <w:szCs w:val="22"/>
        </w:rPr>
        <w:t>Las solicitudes anónimas</w:t>
      </w:r>
      <w:r w:rsidRPr="005E518B">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25FB5C36" w14:textId="77777777" w:rsidR="00D90E73" w:rsidRPr="005E518B" w:rsidRDefault="00645B47">
      <w:pPr>
        <w:spacing w:before="240" w:after="240" w:line="360" w:lineRule="auto"/>
        <w:jc w:val="both"/>
        <w:rPr>
          <w:rFonts w:ascii="Palatino Linotype" w:eastAsia="Palatino Linotype" w:hAnsi="Palatino Linotype" w:cs="Palatino Linotype"/>
          <w:b/>
        </w:rPr>
      </w:pPr>
      <w:r w:rsidRPr="005E518B">
        <w:rPr>
          <w:rFonts w:ascii="Palatino Linotype" w:eastAsia="Palatino Linotype" w:hAnsi="Palatino Linotype" w:cs="Palatino Linotype"/>
        </w:rPr>
        <w:t>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en el</w:t>
      </w:r>
      <w:r w:rsidRPr="005E518B">
        <w:rPr>
          <w:rFonts w:ascii="Palatino Linotype" w:eastAsia="Palatino Linotype" w:hAnsi="Palatino Linotype" w:cs="Palatino Linotype"/>
          <w:b/>
        </w:rPr>
        <w:t xml:space="preserve"> SAIMEX.</w:t>
      </w:r>
    </w:p>
    <w:p w14:paraId="370D4302" w14:textId="77777777" w:rsidR="00D90E73" w:rsidRPr="005E518B" w:rsidRDefault="00645B47">
      <w:pPr>
        <w:spacing w:before="240" w:after="240" w:line="360" w:lineRule="auto"/>
        <w:jc w:val="both"/>
        <w:rPr>
          <w:rFonts w:ascii="Palatino Linotype" w:eastAsia="Palatino Linotype" w:hAnsi="Palatino Linotype" w:cs="Palatino Linotype"/>
        </w:rPr>
      </w:pPr>
      <w:bookmarkStart w:id="7" w:name="_heading=h.3znysh7" w:colFirst="0" w:colLast="0"/>
      <w:bookmarkEnd w:id="7"/>
      <w:r w:rsidRPr="005E518B">
        <w:rPr>
          <w:rFonts w:ascii="Palatino Linotype" w:eastAsia="Palatino Linotype" w:hAnsi="Palatino Linotype" w:cs="Palatino Linotype"/>
        </w:rPr>
        <w:t xml:space="preserve">Finalmente, se advierte que resulta procedente la interposición del recurso, según lo manifestado por la parte </w:t>
      </w:r>
      <w:r w:rsidRPr="005E518B">
        <w:rPr>
          <w:rFonts w:ascii="Palatino Linotype" w:eastAsia="Palatino Linotype" w:hAnsi="Palatino Linotype" w:cs="Palatino Linotype"/>
          <w:b/>
        </w:rPr>
        <w:t>Recurrente</w:t>
      </w:r>
      <w:r w:rsidRPr="005E518B">
        <w:rPr>
          <w:rFonts w:ascii="Palatino Linotype" w:eastAsia="Palatino Linotype" w:hAnsi="Palatino Linotype" w:cs="Palatino Linotype"/>
        </w:rPr>
        <w:t xml:space="preserve"> en sus motivos de inconformidad, de acuerdo al artículo 179, fracciones I y XI del ordenamiento legal citado, que a la letra dice: </w:t>
      </w:r>
    </w:p>
    <w:p w14:paraId="12D070D5" w14:textId="77777777" w:rsidR="00D90E73" w:rsidRPr="005E518B" w:rsidRDefault="00645B47">
      <w:pPr>
        <w:tabs>
          <w:tab w:val="left" w:pos="7938"/>
        </w:tabs>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r w:rsidRPr="005E518B">
        <w:rPr>
          <w:rFonts w:ascii="Palatino Linotype" w:eastAsia="Palatino Linotype" w:hAnsi="Palatino Linotype" w:cs="Palatino Linotype"/>
          <w:b/>
          <w:i/>
          <w:sz w:val="22"/>
          <w:szCs w:val="22"/>
        </w:rPr>
        <w:t>Artículo 179.</w:t>
      </w:r>
      <w:r w:rsidRPr="005E518B">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61854B55" w14:textId="77777777" w:rsidR="00D90E73" w:rsidRPr="005E518B" w:rsidRDefault="00645B47">
      <w:pPr>
        <w:tabs>
          <w:tab w:val="left" w:pos="7938"/>
        </w:tabs>
        <w:spacing w:before="120" w:after="120"/>
        <w:ind w:left="1134"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w:t>
      </w:r>
      <w:r w:rsidRPr="005E518B">
        <w:rPr>
          <w:rFonts w:ascii="Palatino Linotype" w:eastAsia="Palatino Linotype" w:hAnsi="Palatino Linotype" w:cs="Palatino Linotype"/>
          <w:i/>
          <w:sz w:val="22"/>
          <w:szCs w:val="22"/>
        </w:rPr>
        <w:t xml:space="preserve"> La negativa a la información solicitada</w:t>
      </w:r>
    </w:p>
    <w:p w14:paraId="51A7DF4F" w14:textId="77777777" w:rsidR="00D90E73" w:rsidRPr="005E518B" w:rsidRDefault="00645B47">
      <w:pPr>
        <w:tabs>
          <w:tab w:val="left" w:pos="7938"/>
        </w:tabs>
        <w:spacing w:before="120" w:after="120"/>
        <w:ind w:left="1134"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p>
    <w:p w14:paraId="302EB4F7" w14:textId="77777777" w:rsidR="00D90E73" w:rsidRPr="005E518B" w:rsidRDefault="00645B47">
      <w:pPr>
        <w:tabs>
          <w:tab w:val="left" w:pos="7938"/>
        </w:tabs>
        <w:spacing w:before="120" w:after="120"/>
        <w:ind w:left="1134"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XI.</w:t>
      </w:r>
      <w:r w:rsidRPr="005E518B">
        <w:rPr>
          <w:rFonts w:ascii="Palatino Linotype" w:eastAsia="Palatino Linotype" w:hAnsi="Palatino Linotype" w:cs="Palatino Linotype"/>
          <w:i/>
          <w:sz w:val="22"/>
          <w:szCs w:val="22"/>
        </w:rPr>
        <w:t xml:space="preserve"> La falta de trámite a una solicitud;</w:t>
      </w:r>
    </w:p>
    <w:p w14:paraId="0AE1245A" w14:textId="77777777" w:rsidR="00D90E73" w:rsidRPr="005E518B" w:rsidRDefault="00645B47">
      <w:pPr>
        <w:spacing w:before="240" w:after="240" w:line="360" w:lineRule="auto"/>
        <w:jc w:val="both"/>
        <w:rPr>
          <w:rFonts w:ascii="Palatino Linotype" w:eastAsia="Palatino Linotype" w:hAnsi="Palatino Linotype" w:cs="Palatino Linotype"/>
          <w:b/>
        </w:rPr>
      </w:pPr>
      <w:r w:rsidRPr="005E518B">
        <w:rPr>
          <w:rFonts w:ascii="Palatino Linotype" w:eastAsia="Palatino Linotype" w:hAnsi="Palatino Linotype" w:cs="Palatino Linotype"/>
          <w:b/>
        </w:rPr>
        <w:t xml:space="preserve">Tercero. Materia de la revisión. </w:t>
      </w:r>
      <w:r w:rsidRPr="005E518B">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5E518B">
        <w:rPr>
          <w:rFonts w:ascii="Palatino Linotype" w:eastAsia="Palatino Linotype" w:hAnsi="Palatino Linotype" w:cs="Palatino Linotype"/>
          <w:b/>
        </w:rPr>
        <w:t xml:space="preserve">verificar si la información proporcionada por el Sujeto Obligado es adecuada y suficiente para satisfacer el derecho de acceso a la información pública </w:t>
      </w:r>
      <w:r w:rsidRPr="005E518B">
        <w:rPr>
          <w:rFonts w:ascii="Palatino Linotype" w:eastAsia="Palatino Linotype" w:hAnsi="Palatino Linotype" w:cs="Palatino Linotype"/>
        </w:rPr>
        <w:t xml:space="preserve">de la parte </w:t>
      </w:r>
      <w:r w:rsidRPr="005E518B">
        <w:rPr>
          <w:rFonts w:ascii="Palatino Linotype" w:eastAsia="Palatino Linotype" w:hAnsi="Palatino Linotype" w:cs="Palatino Linotype"/>
          <w:b/>
        </w:rPr>
        <w:t>Recurrente</w:t>
      </w:r>
      <w:r w:rsidRPr="005E518B">
        <w:rPr>
          <w:rFonts w:ascii="Palatino Linotype" w:eastAsia="Palatino Linotype" w:hAnsi="Palatino Linotype" w:cs="Palatino Linotype"/>
        </w:rPr>
        <w:t>, o en su defecto, en caso de ser procedente, ordenar la entrega de información.</w:t>
      </w:r>
    </w:p>
    <w:p w14:paraId="7A3C4225" w14:textId="77777777" w:rsidR="00D90E73" w:rsidRPr="005E518B" w:rsidRDefault="00645B47">
      <w:pPr>
        <w:spacing w:before="240" w:after="240" w:line="360" w:lineRule="auto"/>
        <w:jc w:val="both"/>
        <w:rPr>
          <w:rFonts w:ascii="Palatino Linotype" w:eastAsia="Palatino Linotype" w:hAnsi="Palatino Linotype" w:cs="Palatino Linotype"/>
        </w:rPr>
      </w:pPr>
      <w:bookmarkStart w:id="8" w:name="_heading=h.2et92p0" w:colFirst="0" w:colLast="0"/>
      <w:bookmarkEnd w:id="8"/>
      <w:r w:rsidRPr="005E518B">
        <w:rPr>
          <w:rFonts w:ascii="Palatino Linotype" w:eastAsia="Palatino Linotype" w:hAnsi="Palatino Linotype" w:cs="Palatino Linotype"/>
          <w:b/>
        </w:rPr>
        <w:lastRenderedPageBreak/>
        <w:t xml:space="preserve">Cuarto. Estudio del asunto. </w:t>
      </w:r>
      <w:r w:rsidRPr="005E518B">
        <w:rPr>
          <w:rFonts w:ascii="Palatino Linotype" w:eastAsia="Palatino Linotype" w:hAnsi="Palatino Linotype" w:cs="Palatino Linotype"/>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74C28125"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r w:rsidRPr="005E518B">
        <w:rPr>
          <w:rFonts w:ascii="Palatino Linotype" w:eastAsia="Palatino Linotype" w:hAnsi="Palatino Linotype" w:cs="Palatino Linotype"/>
          <w:b/>
          <w:i/>
          <w:sz w:val="22"/>
          <w:szCs w:val="22"/>
        </w:rPr>
        <w:t>Artículo 4</w:t>
      </w:r>
      <w:r w:rsidRPr="005E518B">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4E16472"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E518B">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35D75AEE"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E518B">
        <w:rPr>
          <w:rFonts w:ascii="Palatino Linotype" w:eastAsia="Palatino Linotype" w:hAnsi="Palatino Linotype" w:cs="Palatino Linotype"/>
          <w:i/>
          <w:sz w:val="22"/>
          <w:szCs w:val="22"/>
        </w:rPr>
        <w:t>.”</w:t>
      </w:r>
    </w:p>
    <w:p w14:paraId="21C83D6C"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w:t>
      </w:r>
      <w:r w:rsidRPr="005E518B">
        <w:rPr>
          <w:rFonts w:ascii="Palatino Linotype" w:eastAsia="Palatino Linotype" w:hAnsi="Palatino Linotype" w:cs="Palatino Linotype"/>
        </w:rPr>
        <w:lastRenderedPageBreak/>
        <w:t>Transparencia y Acceso a la Información Pública del Estado de México y Municipios, que a la letra dice:</w:t>
      </w:r>
    </w:p>
    <w:p w14:paraId="19E90D5C"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“Artículo 12.-</w:t>
      </w:r>
      <w:r w:rsidRPr="005E518B">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1CB253F2"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E518B">
        <w:rPr>
          <w:rFonts w:ascii="Palatino Linotype" w:eastAsia="Palatino Linotype" w:hAnsi="Palatino Linotype" w:cs="Palatino Linotype"/>
          <w:i/>
          <w:sz w:val="22"/>
          <w:szCs w:val="22"/>
        </w:rPr>
        <w:t xml:space="preserve">. </w:t>
      </w:r>
      <w:r w:rsidRPr="005E518B">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004B365F" w14:textId="77777777" w:rsidR="00D90E73" w:rsidRPr="005E518B" w:rsidRDefault="00645B47">
      <w:pPr>
        <w:spacing w:before="240" w:after="240" w:line="360" w:lineRule="auto"/>
        <w:ind w:right="-93"/>
        <w:jc w:val="both"/>
        <w:rPr>
          <w:rFonts w:ascii="Palatino Linotype" w:eastAsia="Palatino Linotype" w:hAnsi="Palatino Linotype" w:cs="Palatino Linotype"/>
        </w:rPr>
      </w:pPr>
      <w:r w:rsidRPr="005E518B">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0718A9D" w14:textId="2AEB5B7A" w:rsidR="00D90E73" w:rsidRPr="005E518B" w:rsidRDefault="00645B47">
      <w:pPr>
        <w:spacing w:before="240" w:after="240" w:line="360" w:lineRule="auto"/>
        <w:jc w:val="both"/>
        <w:rPr>
          <w:rFonts w:ascii="Palatino Linotype" w:eastAsia="Palatino Linotype" w:hAnsi="Palatino Linotype" w:cs="Palatino Linotype"/>
          <w:b/>
        </w:rPr>
      </w:pPr>
      <w:r w:rsidRPr="005E518B">
        <w:rPr>
          <w:rFonts w:ascii="Palatino Linotype" w:eastAsia="Palatino Linotype" w:hAnsi="Palatino Linotype" w:cs="Palatino Linotype"/>
        </w:rPr>
        <w:t xml:space="preserve">Sirve de apoyo a lo anterior, el criterio </w:t>
      </w:r>
      <w:r w:rsidR="004C66A3" w:rsidRPr="005E518B">
        <w:rPr>
          <w:rFonts w:ascii="Palatino Linotype" w:eastAsia="Palatino Linotype" w:hAnsi="Palatino Linotype" w:cs="Palatino Linotype"/>
        </w:rPr>
        <w:t>orientador</w:t>
      </w:r>
      <w:r w:rsidRPr="005E518B">
        <w:rPr>
          <w:rFonts w:ascii="Palatino Linotype" w:eastAsia="Palatino Linotype" w:hAnsi="Palatino Linotype" w:cs="Palatino Linotype"/>
        </w:rPr>
        <w:t xml:space="preserve"> con clave de control SO/003/2017, emitido por el entonces Instituto Nacional de Transparencia, Acceso a la Información y Protección de Datos Personales, que por rubro y texto, dispone lo siguiente:</w:t>
      </w:r>
      <w:r w:rsidRPr="005E518B">
        <w:rPr>
          <w:rFonts w:ascii="Palatino Linotype" w:eastAsia="Palatino Linotype" w:hAnsi="Palatino Linotype" w:cs="Palatino Linotype"/>
          <w:b/>
        </w:rPr>
        <w:t xml:space="preserve"> </w:t>
      </w:r>
    </w:p>
    <w:p w14:paraId="7EDF9A66" w14:textId="77777777" w:rsidR="00D90E73" w:rsidRPr="005E518B" w:rsidRDefault="00645B47">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r w:rsidRPr="005E518B">
        <w:rPr>
          <w:rFonts w:ascii="Palatino Linotype" w:eastAsia="Palatino Linotype" w:hAnsi="Palatino Linotype" w:cs="Palatino Linotype"/>
          <w:b/>
          <w:i/>
          <w:sz w:val="22"/>
          <w:szCs w:val="22"/>
        </w:rPr>
        <w:t>No existe obligación de elaborar documentos ad hoc para atender las solicitudes de acceso a la información.</w:t>
      </w:r>
      <w:r w:rsidRPr="005E518B">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w:t>
      </w:r>
      <w:r w:rsidRPr="005E518B">
        <w:rPr>
          <w:rFonts w:ascii="Palatino Linotype" w:eastAsia="Palatino Linotype" w:hAnsi="Palatino Linotype" w:cs="Palatino Linotype"/>
          <w:i/>
          <w:sz w:val="22"/>
          <w:szCs w:val="22"/>
        </w:rPr>
        <w:lastRenderedPageBreak/>
        <w:t xml:space="preserve">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633342D3"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0977796" w14:textId="77777777" w:rsidR="00D90E73" w:rsidRPr="005E518B" w:rsidRDefault="00645B47">
      <w:pPr>
        <w:spacing w:before="120" w:after="12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DD394A8"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r w:rsidRPr="005E518B">
        <w:rPr>
          <w:rFonts w:ascii="Palatino Linotype" w:eastAsia="Palatino Linotype" w:hAnsi="Palatino Linotype" w:cs="Palatino Linotype"/>
          <w:b/>
          <w:i/>
          <w:sz w:val="22"/>
          <w:szCs w:val="22"/>
        </w:rPr>
        <w:t xml:space="preserve">Artículo 3. </w:t>
      </w:r>
      <w:r w:rsidRPr="005E518B">
        <w:rPr>
          <w:rFonts w:ascii="Palatino Linotype" w:eastAsia="Palatino Linotype" w:hAnsi="Palatino Linotype" w:cs="Palatino Linotype"/>
          <w:i/>
          <w:sz w:val="22"/>
          <w:szCs w:val="22"/>
        </w:rPr>
        <w:t>Para los efectos de la presente Ley se entenderá por:</w:t>
      </w:r>
    </w:p>
    <w:p w14:paraId="08FA985F" w14:textId="77777777" w:rsidR="00D90E73" w:rsidRPr="005E518B" w:rsidRDefault="00645B47">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p>
    <w:p w14:paraId="10B435DA" w14:textId="77777777" w:rsidR="00D90E73" w:rsidRPr="005E518B" w:rsidRDefault="00645B47">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XI. Documento:</w:t>
      </w:r>
      <w:r w:rsidRPr="005E518B">
        <w:rPr>
          <w:rFonts w:ascii="Palatino Linotype" w:eastAsia="Palatino Linotype" w:hAnsi="Palatino Linotype" w:cs="Palatino Linotype"/>
          <w:i/>
          <w:sz w:val="22"/>
          <w:szCs w:val="22"/>
        </w:rPr>
        <w:t xml:space="preserve"> Los expedientes, reportes, estudios, actas</w:t>
      </w:r>
      <w:r w:rsidRPr="005E518B">
        <w:rPr>
          <w:rFonts w:ascii="Palatino Linotype" w:eastAsia="Palatino Linotype" w:hAnsi="Palatino Linotype" w:cs="Palatino Linotype"/>
          <w:b/>
          <w:i/>
          <w:sz w:val="22"/>
          <w:szCs w:val="22"/>
        </w:rPr>
        <w:t>,</w:t>
      </w:r>
      <w:r w:rsidRPr="005E518B">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w:t>
      </w:r>
      <w:r w:rsidRPr="005E518B">
        <w:rPr>
          <w:rFonts w:ascii="Palatino Linotype" w:eastAsia="Palatino Linotype" w:hAnsi="Palatino Linotype" w:cs="Palatino Linotype"/>
          <w:i/>
          <w:sz w:val="22"/>
          <w:szCs w:val="22"/>
        </w:rPr>
        <w:lastRenderedPageBreak/>
        <w:t xml:space="preserve">y competencias de los sujetos obligados, sus servidores públicos e integrantes, sin importar su fuente o fecha de elaboración. Los documentos podrán estar en cualquier medio, sea escrito, impreso, sonoro, visual, electrónico, informático u holográfico…” </w:t>
      </w:r>
    </w:p>
    <w:p w14:paraId="6C82AEA8"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73414A"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sz w:val="22"/>
          <w:szCs w:val="22"/>
        </w:rPr>
        <w:t>“</w:t>
      </w:r>
      <w:r w:rsidRPr="005E518B">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E518B">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C9CA135"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FE12254" w14:textId="77777777" w:rsidR="00D90E73" w:rsidRPr="005E518B" w:rsidRDefault="00645B47">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AEED392" w14:textId="77777777" w:rsidR="00D90E73" w:rsidRPr="005E518B" w:rsidRDefault="00645B47">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773766D2" w14:textId="77777777" w:rsidR="00D90E73" w:rsidRPr="005E518B" w:rsidRDefault="00645B47">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3) Que se trate de información registrada en cualquier soporte documental, que en ejercicio de las atribuciones conferidas, se encuentre en posesión de los Sujetos Obligados.”</w:t>
      </w:r>
    </w:p>
    <w:p w14:paraId="23707DE0" w14:textId="77777777" w:rsidR="00D90E73" w:rsidRPr="005E518B" w:rsidRDefault="00645B47">
      <w:pPr>
        <w:spacing w:before="240" w:after="240" w:line="360" w:lineRule="auto"/>
        <w:ind w:right="51"/>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Lo anterior, siempre y cuando no se trate de información clasificada como reservada o confidencial, cuya difusión pueda lesionar el interés jurídicamente protegido por la Ley, producir un daño mayor que el interés de conocerse, o bien, generar un daño </w:t>
      </w:r>
      <w:r w:rsidRPr="005E518B">
        <w:rPr>
          <w:rFonts w:ascii="Palatino Linotype" w:eastAsia="Palatino Linotype" w:hAnsi="Palatino Linotype" w:cs="Palatino Linotype"/>
        </w:rPr>
        <w:lastRenderedPageBreak/>
        <w:t>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2D99D052"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00D99A62" w14:textId="77777777" w:rsidR="00D90E73" w:rsidRPr="005E518B" w:rsidRDefault="00645B47">
      <w:pPr>
        <w:spacing w:before="240" w:after="240" w:line="360" w:lineRule="auto"/>
        <w:ind w:right="51"/>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Ahora bien, del análisis de la solicitud de información, motivo del recurso de revisión que ahora se resuelve, se advierte que la parte </w:t>
      </w:r>
      <w:r w:rsidRPr="005E518B">
        <w:rPr>
          <w:rFonts w:ascii="Palatino Linotype" w:eastAsia="Palatino Linotype" w:hAnsi="Palatino Linotype" w:cs="Palatino Linotype"/>
          <w:b/>
        </w:rPr>
        <w:t>Recurrente</w:t>
      </w:r>
      <w:r w:rsidRPr="005E518B">
        <w:rPr>
          <w:rFonts w:ascii="Palatino Linotype" w:eastAsia="Palatino Linotype" w:hAnsi="Palatino Linotype" w:cs="Palatino Linotype"/>
        </w:rPr>
        <w:t xml:space="preserve"> requirió al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le proporcione, información consistente en lo siguiente:</w:t>
      </w:r>
    </w:p>
    <w:p w14:paraId="370444BE" w14:textId="77777777" w:rsidR="00D90E73" w:rsidRPr="005E518B" w:rsidRDefault="00645B47">
      <w:pPr>
        <w:numPr>
          <w:ilvl w:val="0"/>
          <w:numId w:val="1"/>
        </w:numPr>
        <w:pBdr>
          <w:top w:val="nil"/>
          <w:left w:val="nil"/>
          <w:bottom w:val="nil"/>
          <w:right w:val="nil"/>
          <w:between w:val="nil"/>
        </w:pBdr>
        <w:spacing w:before="240" w:line="360" w:lineRule="auto"/>
        <w:ind w:right="51" w:hanging="360"/>
        <w:jc w:val="both"/>
        <w:rPr>
          <w:rFonts w:ascii="Palatino Linotype" w:eastAsia="Palatino Linotype" w:hAnsi="Palatino Linotype" w:cs="Palatino Linotype"/>
        </w:rPr>
      </w:pPr>
      <w:r w:rsidRPr="005E518B">
        <w:rPr>
          <w:rFonts w:ascii="Palatino Linotype" w:eastAsia="Palatino Linotype" w:hAnsi="Palatino Linotype" w:cs="Palatino Linotype"/>
        </w:rPr>
        <w:t>Relación del parque vehicular.</w:t>
      </w:r>
    </w:p>
    <w:p w14:paraId="39CE0E22" w14:textId="77777777" w:rsidR="00D90E73" w:rsidRPr="005E518B" w:rsidRDefault="00645B47">
      <w:pPr>
        <w:numPr>
          <w:ilvl w:val="0"/>
          <w:numId w:val="1"/>
        </w:numPr>
        <w:pBdr>
          <w:top w:val="nil"/>
          <w:left w:val="nil"/>
          <w:bottom w:val="nil"/>
          <w:right w:val="nil"/>
          <w:between w:val="nil"/>
        </w:pBdr>
        <w:spacing w:line="360" w:lineRule="auto"/>
        <w:ind w:right="51" w:hanging="360"/>
        <w:jc w:val="both"/>
        <w:rPr>
          <w:rFonts w:ascii="Palatino Linotype" w:eastAsia="Palatino Linotype" w:hAnsi="Palatino Linotype" w:cs="Palatino Linotype"/>
        </w:rPr>
      </w:pPr>
      <w:r w:rsidRPr="005E518B">
        <w:rPr>
          <w:rFonts w:ascii="Palatino Linotype" w:eastAsia="Palatino Linotype" w:hAnsi="Palatino Linotype" w:cs="Palatino Linotype"/>
        </w:rPr>
        <w:t>Nombre de los servidores públicos que tienen asignados los vehículos oficiales.</w:t>
      </w:r>
    </w:p>
    <w:p w14:paraId="3100FCE1" w14:textId="77777777" w:rsidR="00D90E73" w:rsidRPr="005E518B" w:rsidRDefault="00645B47">
      <w:pPr>
        <w:numPr>
          <w:ilvl w:val="0"/>
          <w:numId w:val="1"/>
        </w:numPr>
        <w:pBdr>
          <w:top w:val="nil"/>
          <w:left w:val="nil"/>
          <w:bottom w:val="nil"/>
          <w:right w:val="nil"/>
          <w:between w:val="nil"/>
        </w:pBdr>
        <w:spacing w:after="240" w:line="360" w:lineRule="auto"/>
        <w:ind w:right="51" w:hanging="360"/>
        <w:jc w:val="both"/>
        <w:rPr>
          <w:rFonts w:ascii="Palatino Linotype" w:eastAsia="Palatino Linotype" w:hAnsi="Palatino Linotype" w:cs="Palatino Linotype"/>
        </w:rPr>
      </w:pPr>
      <w:r w:rsidRPr="005E518B">
        <w:rPr>
          <w:rFonts w:ascii="Palatino Linotype" w:eastAsia="Palatino Linotype" w:hAnsi="Palatino Linotype" w:cs="Palatino Linotype"/>
        </w:rPr>
        <w:t>Tarjetas de circulación de los vehículos oficiales.</w:t>
      </w:r>
    </w:p>
    <w:p w14:paraId="0DF20501"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 xml:space="preserve">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proporcionó respuesta a la solicitud por conducto del Director de Administración, quien manifestó que información solicitada es competencia de Control Patrimonial.</w:t>
      </w:r>
    </w:p>
    <w:p w14:paraId="18B6B2DC"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Derivado de lo anterior, la parte </w:t>
      </w:r>
      <w:r w:rsidRPr="005E518B">
        <w:rPr>
          <w:rFonts w:ascii="Palatino Linotype" w:eastAsia="Palatino Linotype" w:hAnsi="Palatino Linotype" w:cs="Palatino Linotype"/>
          <w:b/>
        </w:rPr>
        <w:t xml:space="preserve">Recurrente </w:t>
      </w:r>
      <w:r w:rsidRPr="005E518B">
        <w:rPr>
          <w:rFonts w:ascii="Palatino Linotype" w:eastAsia="Palatino Linotype" w:hAnsi="Palatino Linotype" w:cs="Palatino Linotype"/>
        </w:rPr>
        <w:t>presentó el recurso de revisión que se resuelve, donde se inconformó por la incompetencia alegada por el Director de Administración, argumentando que la solicitud se debió turnar a las áreas competentes.</w:t>
      </w:r>
    </w:p>
    <w:p w14:paraId="33F85DF1"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Durante el periodo de manifestaciones por conducto de la Jefa de Patrimonio y la Secretaria del Ayuntamiento 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proporcionó Inventario General de Parque Vehicular el cual fue recabado del Sistema CREG Patrimonial, y contiene 26 registros, con los datos: número progresivo, nombre del resguardatario, nombre del mueble, marca, modelo, área responsable, observaciones, como se ilustra a continuación para mejor referencia:</w:t>
      </w:r>
    </w:p>
    <w:p w14:paraId="5A38ACFB"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noProof/>
        </w:rPr>
        <w:drawing>
          <wp:inline distT="0" distB="0" distL="0" distR="0" wp14:anchorId="43C06F37" wp14:editId="48777AC7">
            <wp:extent cx="5612130" cy="1906270"/>
            <wp:effectExtent l="0" t="0" r="0" b="0"/>
            <wp:docPr id="20832964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612130" cy="1906270"/>
                    </a:xfrm>
                    <a:prstGeom prst="rect">
                      <a:avLst/>
                    </a:prstGeom>
                    <a:ln/>
                  </pic:spPr>
                </pic:pic>
              </a:graphicData>
            </a:graphic>
          </wp:inline>
        </w:drawing>
      </w:r>
    </w:p>
    <w:p w14:paraId="4B510F7F"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Y, por lo que se refiere a las tarjetas de circulación, manifestaron que no fueron entregadas en el proceso de entrega-recepción derivado del cambio de administración.</w:t>
      </w:r>
    </w:p>
    <w:p w14:paraId="7FCC4DB4"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Dicha información se hizo del conocimiento de la persona solicitante con la finalidad de que manifestara lo que a su derecho estimara conveniente, sin embargo fue omisa en ejercer dicha prerrogativa.</w:t>
      </w:r>
    </w:p>
    <w:p w14:paraId="5BCDF909" w14:textId="77777777" w:rsidR="00D90E73" w:rsidRPr="005E518B" w:rsidRDefault="00645B47">
      <w:pPr>
        <w:spacing w:before="280" w:after="28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Una vez establecidas las posturas de las partes, se procede al análisis de los requerimientos de información, así como la información proporcionada por 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 xml:space="preserve">en contraposición con el motivo de inconformidad alegado por la parte </w:t>
      </w:r>
      <w:r w:rsidRPr="005E518B">
        <w:rPr>
          <w:rFonts w:ascii="Palatino Linotype" w:eastAsia="Palatino Linotype" w:hAnsi="Palatino Linotype" w:cs="Palatino Linotype"/>
          <w:b/>
        </w:rPr>
        <w:t xml:space="preserve">Recurrente, </w:t>
      </w:r>
      <w:r w:rsidRPr="005E518B">
        <w:rPr>
          <w:rFonts w:ascii="Palatino Linotype" w:eastAsia="Palatino Linotype" w:hAnsi="Palatino Linotype" w:cs="Palatino Linotype"/>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7D7B7D9"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En este tenor, en principio es imprescindible mencionar que las Unidades de Transparencia, son el área responsable en cada Sujeto Obligado para dar atención a las solicitudes de información que se realicen al amparo de la Ley, el responsable de dicha área funge como enlace entre el Sujeto Obligado y los solicitantes, y tiene bajo su responsabilidad el tramitar internamente la solicitud de información.</w:t>
      </w:r>
    </w:p>
    <w:p w14:paraId="79B4B0AF"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De tal manera que, si bien el Titular de la Unidad de Transparencia no tiene bajo su resguardo el archivo que contiene la documentación en donde consta la información solicitada, esta puede obrar en las distintas áreas que conforman la estructura orgánica del Sujeto Obligado, es por ello que debe turnar la solicitud al servidor público habilitado que tiene bajo su resguardo la misma, de conformidad con los artículos 53, fracciones II y IV y 162 de la Ley de Transparencia y Acceso a la Información Pública del Estado de México y Municipios.</w:t>
      </w:r>
    </w:p>
    <w:p w14:paraId="23EB13E6" w14:textId="77777777" w:rsidR="00D90E73" w:rsidRPr="005E518B" w:rsidRDefault="00645B47">
      <w:pPr>
        <w:spacing w:before="240" w:after="240" w:line="360" w:lineRule="auto"/>
        <w:ind w:right="51"/>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Por su parte, los servidores públicos habilitados, quienes son designados por el titular de cada Sujeto Obligado derivado de la propuesta del responsable de la Unidad de Transparencia, son las personas encargadas dentro de las diversas unidades administrativas o áreas de los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teniendo como función buscar, localizar y en su caso entregar la información solicitada, así como integrar y presentar al responsable de la Unidad de Transparencia la propuesta de clasificación de información, la cual tendrá los fundamentos y argumentos en que se basa dicha propuesta y verificar, una vez analizado el contenido de la información, que no se encuentre en los supuestos de información clasificada, de conformidad con los artículos 3, fracción XXXIX, 58 y 59, de la Ley de Transparencia y Acceso a la Información Pública del Estado de México y Municipios.</w:t>
      </w:r>
    </w:p>
    <w:p w14:paraId="0C672ECE"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De lo manifestado con antelación se advierte que la persona Titular de la Unidad de Transparencia debe garantizar que las solicitudes se turnen a todas las áreas competentes que puedan contar con la información, con el objeto de que los servidores públicos habilitados realicen la búsqueda exhaustiva y razonable de la información solicitada, y que una vez localizada, la misma sea proporcionada a las personas solicitantes atendiendo a la naturaleza jurídica de la misma.</w:t>
      </w:r>
    </w:p>
    <w:p w14:paraId="6D7B5CEA"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Al respecto, es de suma importancia mencionar que, derivado del análisis de las constancias que obran en el expediente electrónico en el que se actúa, se advirtió que la Unidad de Transparencia, turnó la solicitud de información a la Dirección de </w:t>
      </w:r>
      <w:r w:rsidRPr="005E518B">
        <w:rPr>
          <w:rFonts w:ascii="Palatino Linotype" w:eastAsia="Palatino Linotype" w:hAnsi="Palatino Linotype" w:cs="Palatino Linotype"/>
        </w:rPr>
        <w:lastRenderedPageBreak/>
        <w:t>Administración para su atención, la cual, de conformidad con los artículos 135 y 136 del Reglamento Interior de la Administración Pública Municipal de Teoloyucan, Estado de México, la Dirección de Administración será la encargada de proporcionar soporte material, técnico, humano, administrativo, así como organizacional, que permita a los servidores públicos de la Administración Centralizada, atender las demandas y necesidades de la ciudadanía optimizando las funciones de la misma, entre cuyas funciones se encuentra la de vigilar que el control, mantenimiento y adquisición del parque vehicular oficial, así como el suministro de energéticos, se realice de forma oportuna, apegándose a las necesidades de las áreas y a la normatividad establecida.</w:t>
      </w:r>
    </w:p>
    <w:p w14:paraId="30A8732C"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Para el cumplimiento de sus atribuciones, la Dirección de Administración se auxilia se auxilia de la Subdirección de Recursos Materiales, cuyas atribuciones se encuentran establecidas en el artículo 142 del Reglamento Interior de la Administración Pública Municipal de Teoloyucan, entre las cuales se encuentran las siguientes en su parte conducente:</w:t>
      </w:r>
    </w:p>
    <w:p w14:paraId="495723B2"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Supervisar que las unidades del parque vehicular se encuentren en óptimas condiciones de operación.</w:t>
      </w:r>
    </w:p>
    <w:p w14:paraId="2F012CCC"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Supervisar las solicitudes sobre la reparación de las unidades del parque vehicular por conducto de la coordinación de servicios, previa solicitud por escrito de los titulares de las dependencias que las tengan asignadas.</w:t>
      </w:r>
    </w:p>
    <w:p w14:paraId="5B204C60"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Además, la Subdirección de Recursos Materiales, tiene bajo su adscripción a la Coordinación de Servicios Generales, área a la que se le confieren entre otras atribuciones, las siguientes:</w:t>
      </w:r>
    </w:p>
    <w:p w14:paraId="011ED68C"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 Atender peticiones de mantenimiento, limpieza y abasto de combustible del parque vehicular.</w:t>
      </w:r>
    </w:p>
    <w:p w14:paraId="171959E8"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Tramitar y autorizar la reparación de las unidades del parque vehicular previa solicitud por escrito de los titulares de las dependencias que las tengan asignadas.</w:t>
      </w:r>
    </w:p>
    <w:p w14:paraId="429AD0BB"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Realizar las acciones necesarias para controlar los gastos de mantenimiento del parque vehicular.</w:t>
      </w:r>
    </w:p>
    <w:p w14:paraId="484664CC"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 - Coordinarse con las Dependencias para la integración del plan anual de adquisiciones correspondientes al mantenimiento, reparación, refacciones y servicios para las unidades del parque vehicular.</w:t>
      </w:r>
    </w:p>
    <w:p w14:paraId="4F95B396"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Coordinarse con las Dependencias que tengan unidades del parque vehicular asignadas para que su uso sea adecuado, eficiente y racional.</w:t>
      </w:r>
    </w:p>
    <w:p w14:paraId="3D17544A"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Integrar y mantener actualizado el catálogo de precios de servicios y refacciones para el control y mantenimiento de las unidades del parque vehicular.</w:t>
      </w:r>
    </w:p>
    <w:p w14:paraId="430969B5"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Supervisar el adecuado funcionamiento del taller mecánico.</w:t>
      </w:r>
    </w:p>
    <w:p w14:paraId="5B2921E3"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Tramitar el pago de consumo de energéticos y arrendamientos empleados por las dependencias.</w:t>
      </w:r>
    </w:p>
    <w:p w14:paraId="5405F933"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De lo anterior se colige que la Dirección de Administración, a través de  la Coordinación de Servicios Generales de la Subdirección de Recursos Materiales, es responsable únicamente del mantenimiento y reparación de las unidades del parque vehicular, así como de la dotación de combustible correspondiente, previa solicitud por escrito del titular de las áreas que tengan asignadas las unidades </w:t>
      </w:r>
      <w:r w:rsidRPr="005E518B">
        <w:rPr>
          <w:rFonts w:ascii="Palatino Linotype" w:eastAsia="Palatino Linotype" w:hAnsi="Palatino Linotype" w:cs="Palatino Linotype"/>
        </w:rPr>
        <w:lastRenderedPageBreak/>
        <w:t xml:space="preserve">vehiculares, sin que se advierta que dicha dependencia cuente con competencia para generar, administrar y/o poseer el inventario del parque vehicular del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los resguardos de los vehículos, así como los expedientes de los vehículos, como lo manifestó el servidor público habilitado en atención a la solicitud.</w:t>
      </w:r>
    </w:p>
    <w:p w14:paraId="0435FD69" w14:textId="78D253D1"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No obstante, de manera posterior</w:t>
      </w:r>
      <w:r w:rsidR="00ED1AE6" w:rsidRPr="005E518B">
        <w:rPr>
          <w:rFonts w:ascii="Palatino Linotype" w:eastAsia="Palatino Linotype" w:hAnsi="Palatino Linotype" w:cs="Palatino Linotype"/>
        </w:rPr>
        <w:t>,</w:t>
      </w:r>
      <w:r w:rsidRPr="005E518B">
        <w:rPr>
          <w:rFonts w:ascii="Palatino Linotype" w:eastAsia="Palatino Linotype" w:hAnsi="Palatino Linotype" w:cs="Palatino Linotype"/>
        </w:rPr>
        <w:t xml:space="preserve"> el asunto que nos ocupa fue turnado para su atención a la Secretaría del Ayuntamiento, siendo dicha dependencia responsable de administrar la documentación relativa al archivo general del ayuntamiento, de elaborar, con la intervención del síndico, el inventario general de los bienes muebles e inmuebles municipales, asimismo, a través de la Jefatura de Patrimonio, se encarga de elaborar y mantener actualizados los resguardos correspondientes a los bienes muebles, de realizar periódicamente el levantamiento y revisión física del inventario de bienes muebles de las dependencias, coordinación y órganos desconcentrados de la administración pública municipal así como de crear y mantener actualizado el registro de los bienes muebles siniestrados, robados, extraviados o faltantes, de conformidad con los artículos 91, fracciones VI y XI de la Ley Orgánica Municipal del Estado de México, y 32, fracción XXI, y 38, fracciones II, XV, XVI, XVII,  del Reglamento Interior de la Administración Pública Municipal de Teoloyucan.</w:t>
      </w:r>
    </w:p>
    <w:p w14:paraId="26475D7E" w14:textId="7D6F6BB9"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En esta línea de pensamiento, se estima que en el presente asunto se atendió el procedimiento de búsqueda, el cual se constituye como la garantía primaria del derecho humano de acceso a la información pública, el cual se rige por los principios de simplicidad, rapidez, gratuidad del procedimiento, auxilio y orientación a las personas solicitantes con el fin de otorgar la protección más amplia de </w:t>
      </w:r>
      <w:r w:rsidR="00EC6E11" w:rsidRPr="005E518B">
        <w:rPr>
          <w:rFonts w:ascii="Palatino Linotype" w:eastAsia="Palatino Linotype" w:hAnsi="Palatino Linotype" w:cs="Palatino Linotype"/>
        </w:rPr>
        <w:t>e</w:t>
      </w:r>
      <w:r w:rsidRPr="005E518B">
        <w:rPr>
          <w:rFonts w:ascii="Palatino Linotype" w:eastAsia="Palatino Linotype" w:hAnsi="Palatino Linotype" w:cs="Palatino Linotype"/>
        </w:rPr>
        <w:t>ste derecho.</w:t>
      </w:r>
    </w:p>
    <w:p w14:paraId="1ADA7508"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Ahora bien, por lo que se refiere a la materia de la solicitud, la Jefa de Patrimonio remitió el Inventario General de Parque Vehicular, el cual contiene, el nombre del resguardatario, además del nombre del bien mueble, marca, modelo, el área responsable y las observaciones, el cual se obtuvo del sistema CREG patrimonial.</w:t>
      </w:r>
    </w:p>
    <w:p w14:paraId="49C8679B"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Cabe mencionar que el CREG patrimonial o Sistema de Control Patrimonial Municipal, es definido en los Lineamientos para el Registro y Control del Inventario y la Conciliación y Desincorporación de Bienes Muebles e Inmuebles para las Entidades Fiscalizables Municipales del Estado de México, como un sistema automatizado que integra y controla la información de las cuentas de Bienes muebles e inmuebles de las entidades fiscalizables, permitiendo la consolidación del expediente de cada bien, proporcionando información de manera ágil y oportuna para su consulta y fiscalización, a través de la emisión de los listados de inventarios en los diferentes reportes utilizados. Por lo que el CREG-patrimonial puede ser utilizado como una herramienta informática que permita a las entidades fiscalizables el control de sus Bienes muebles e inmuebles.</w:t>
      </w:r>
    </w:p>
    <w:p w14:paraId="283B8BE3" w14:textId="0613768B"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Y, si bien los Lineamientos en cita fueron abrogados mediante el acuerdo 05/2024 publicado en el Periódico Oficial “Gaceta del Gobierno” del Estado de México, el diez de junio de dos mil veinticuatro, al considerar el Órgano Superior de Fiscalización del Estado de México, que los mismos respondían a una realidad diferente al contexto actual, ante la existencia de normatividad que establece las disposiciones para el registro y control del inventario de bienes muebles e inmuebles que es de observancia obligatoria para los municipios, siendo esta la Ley General de Contabilidad Gubernamental, así como el Acuerdo por el que se emiten las Principales Reglas de Registro y Valoración del Patrimonio, los Lineamientos </w:t>
      </w:r>
      <w:r w:rsidRPr="005E518B">
        <w:rPr>
          <w:rFonts w:ascii="Palatino Linotype" w:eastAsia="Palatino Linotype" w:hAnsi="Palatino Linotype" w:cs="Palatino Linotype"/>
        </w:rPr>
        <w:lastRenderedPageBreak/>
        <w:t xml:space="preserve">dirigidos a asegurar que el Sistema de Contabilidad Gubernamental facilite el Registro y Control de los Inventarios de los Bienes Muebles e Inmuebles de los Entes Públicos, y el Acuerdo por el que se determina la norma para establecer la estructura del formato de la relación de bienes que componen el patrimonio del ente público, que integran en la Cuenta Pública, aprobados por el Consejo Nacional de Armonización Contable, CONAC; y la Ley de Bienes del Estado de México y de sus Municipios, entre otros ordenamientos, en los cuales se establece que </w:t>
      </w:r>
      <w:r w:rsidRPr="005E518B">
        <w:rPr>
          <w:rFonts w:ascii="Palatino Linotype" w:eastAsia="Palatino Linotype" w:hAnsi="Palatino Linotype" w:cs="Palatino Linotype"/>
          <w:b/>
        </w:rPr>
        <w:t>los entes públicos deberán sujetarse a un sistema de contabilidad gubernamental, en el que se registrará de manera armónica, delimitada y específica las operaciones presupuestarias y contables derivadas de la gestión pública</w:t>
      </w:r>
      <w:r w:rsidRPr="005E518B">
        <w:rPr>
          <w:rFonts w:ascii="Palatino Linotype" w:eastAsia="Palatino Linotype" w:hAnsi="Palatino Linotype" w:cs="Palatino Linotype"/>
        </w:rPr>
        <w:t xml:space="preserve">, así como otros flujos económicos. </w:t>
      </w:r>
      <w:r w:rsidR="00ED1AE6" w:rsidRPr="005E518B">
        <w:rPr>
          <w:rFonts w:ascii="Palatino Linotype" w:eastAsia="Palatino Linotype" w:hAnsi="Palatino Linotype" w:cs="Palatino Linotype"/>
        </w:rPr>
        <w:t>D</w:t>
      </w:r>
      <w:r w:rsidRPr="005E518B">
        <w:rPr>
          <w:rFonts w:ascii="Palatino Linotype" w:eastAsia="Palatino Linotype" w:hAnsi="Palatino Linotype" w:cs="Palatino Linotype"/>
        </w:rPr>
        <w:t>icho sistema generará estados financieros, confiables, oportunos, comprensibles, periódicos y comparables, los cuales serán expresados en términos monetarios.</w:t>
      </w:r>
    </w:p>
    <w:p w14:paraId="0F72507F" w14:textId="77777777" w:rsidR="00D90E73" w:rsidRPr="005E518B" w:rsidRDefault="00645B47">
      <w:pPr>
        <w:spacing w:before="240" w:after="240" w:line="360" w:lineRule="auto"/>
        <w:ind w:right="49"/>
        <w:jc w:val="both"/>
        <w:rPr>
          <w:rFonts w:ascii="Palatino Linotype" w:eastAsia="Palatino Linotype" w:hAnsi="Palatino Linotype" w:cs="Palatino Linotype"/>
          <w:b/>
          <w:u w:val="single"/>
        </w:rPr>
      </w:pPr>
      <w:r w:rsidRPr="005E518B">
        <w:rPr>
          <w:rFonts w:ascii="Palatino Linotype" w:eastAsia="Palatino Linotype" w:hAnsi="Palatino Linotype" w:cs="Palatino Linotype"/>
        </w:rPr>
        <w:t xml:space="preserve">En tal sentido, los artículos 18 y 19, fracción VII de la Ley General de Contabilidad Gubernamental dispone que el Sistema de Contabilidad Gubernamental que utilicen los entes públicos debe estar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 por lo que deben asegurarse que entre otros requisitos, </w:t>
      </w:r>
      <w:r w:rsidRPr="005E518B">
        <w:rPr>
          <w:rFonts w:ascii="Palatino Linotype" w:eastAsia="Palatino Linotype" w:hAnsi="Palatino Linotype" w:cs="Palatino Linotype"/>
          <w:b/>
          <w:u w:val="single"/>
        </w:rPr>
        <w:t>facilite el registro y control de los inventarios de los bienes muebles e inmuebles de los entes públicos.</w:t>
      </w:r>
    </w:p>
    <w:p w14:paraId="2F86C120"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En este orden de ideas, se menciona que el Sistema de Control Patrimonial Municipal o CREG patrimonial, es una herramienta de software que automatiza parte de los Lineamientos del Órgano Superior de Fiscalización, OSFEM, entre cuyas funciones se encuentran las siguientes:</w:t>
      </w:r>
    </w:p>
    <w:p w14:paraId="5FABA9D0"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 - Se carga el personal que tenga bienes a su resguardo, carga el catálogo de proveedores a los que se les ha adquirido algún activo fijo.</w:t>
      </w:r>
    </w:p>
    <w:p w14:paraId="579E6B73"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 Se carga todos los activos fijos clasificados por costo, cuentas contables, </w:t>
      </w:r>
      <w:proofErr w:type="spellStart"/>
      <w:r w:rsidRPr="005E518B">
        <w:rPr>
          <w:rFonts w:ascii="Palatino Linotype" w:eastAsia="Palatino Linotype" w:hAnsi="Palatino Linotype" w:cs="Palatino Linotype"/>
        </w:rPr>
        <w:t>resguardatarios</w:t>
      </w:r>
      <w:proofErr w:type="spellEnd"/>
      <w:r w:rsidRPr="005E518B">
        <w:rPr>
          <w:rFonts w:ascii="Palatino Linotype" w:eastAsia="Palatino Linotype" w:hAnsi="Palatino Linotype" w:cs="Palatino Linotype"/>
        </w:rPr>
        <w:t>, dependencias etc.</w:t>
      </w:r>
    </w:p>
    <w:p w14:paraId="738D0147"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Se generan Reportes, resguardos, por bien, por trabajador, por dependencia etc.</w:t>
      </w:r>
    </w:p>
    <w:p w14:paraId="0376ED38" w14:textId="77777777" w:rsidR="00D90E73" w:rsidRPr="005E518B" w:rsidRDefault="00645B47">
      <w:pPr>
        <w:spacing w:before="240" w:after="240" w:line="360" w:lineRule="auto"/>
        <w:ind w:left="284" w:right="49"/>
        <w:jc w:val="both"/>
        <w:rPr>
          <w:rFonts w:ascii="Palatino Linotype" w:eastAsia="Palatino Linotype" w:hAnsi="Palatino Linotype" w:cs="Palatino Linotype"/>
        </w:rPr>
      </w:pPr>
      <w:r w:rsidRPr="005E518B">
        <w:rPr>
          <w:rFonts w:ascii="Palatino Linotype" w:eastAsia="Palatino Linotype" w:hAnsi="Palatino Linotype" w:cs="Palatino Linotype"/>
        </w:rPr>
        <w:t>- Se registran las nuevas adquisiciones y se administran todos los bienes, cambios de área, cambios de resguardo, reparaciones, levantamientos de inventario, etc.</w:t>
      </w:r>
    </w:p>
    <w:p w14:paraId="315DFBC8" w14:textId="2FF5FD00" w:rsidR="00FF5CBC" w:rsidRPr="005E518B" w:rsidRDefault="0015596D" w:rsidP="0015596D">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No obstante, es de señalar que el soporte documental proporcionado por el servidor público habilitado, si bien contiene una relación de los vehículos oficiales con los que cuenta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así como el nombre de los servidores públicos que los tienen bajo su resguardo, información que coincide con lo requerido en los puntos 1 y 2 de la solicitud, es insuficiente para tener por atendidos dichos puntos, puesto que derivado del análisis efectuado, se advirtió que el Inventario General de Parque Vehicular remitido por la Jefatura de Patrimonio no contiene la información de la totalidad de los vehículos oficiales con los que cuenta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de manera enunciativa, más no limitativa, los vehículos asignados a la </w:t>
      </w:r>
      <w:r w:rsidR="00FF5CBC" w:rsidRPr="005E518B">
        <w:rPr>
          <w:rFonts w:ascii="Palatino Linotype" w:eastAsia="Palatino Linotype" w:hAnsi="Palatino Linotype" w:cs="Palatino Linotype"/>
        </w:rPr>
        <w:t xml:space="preserve">hoy </w:t>
      </w:r>
      <w:r w:rsidRPr="005E518B">
        <w:rPr>
          <w:rFonts w:ascii="Palatino Linotype" w:eastAsia="Palatino Linotype" w:hAnsi="Palatino Linotype" w:cs="Palatino Linotype"/>
        </w:rPr>
        <w:t>Comisaría de Seguridad Ciudadana</w:t>
      </w:r>
      <w:r w:rsidR="00FF5CBC" w:rsidRPr="005E518B">
        <w:rPr>
          <w:rFonts w:ascii="Palatino Linotype" w:eastAsia="Palatino Linotype" w:hAnsi="Palatino Linotype" w:cs="Palatino Linotype"/>
        </w:rPr>
        <w:t>.</w:t>
      </w:r>
    </w:p>
    <w:p w14:paraId="0136C78C" w14:textId="0FCA1455" w:rsidR="00FF5CBC" w:rsidRPr="005E518B" w:rsidRDefault="00FF5CBC" w:rsidP="0015596D">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 xml:space="preserve">Como sustento a lo anterior, se menciona que de conformidad con el Pan de Desarrollo Municipal 2022-2024 de Teoloyucan, la entonces Dirección de Seguridad Pública y Tránsito, tenía asignadas 16 patrullas y 14 motocicletas, siendo en total 30 vehículos a la fecha de reporte, como se lee </w:t>
      </w:r>
      <w:r w:rsidR="000905F7" w:rsidRPr="005E518B">
        <w:rPr>
          <w:rFonts w:ascii="Palatino Linotype" w:eastAsia="Palatino Linotype" w:hAnsi="Palatino Linotype" w:cs="Palatino Linotype"/>
        </w:rPr>
        <w:t>enseguida</w:t>
      </w:r>
      <w:r w:rsidRPr="005E518B">
        <w:rPr>
          <w:rFonts w:ascii="Palatino Linotype" w:eastAsia="Palatino Linotype" w:hAnsi="Palatino Linotype" w:cs="Palatino Linotype"/>
        </w:rPr>
        <w:t>:</w:t>
      </w:r>
    </w:p>
    <w:p w14:paraId="26F65033" w14:textId="1D38A173" w:rsidR="00FF5CBC" w:rsidRPr="005E518B" w:rsidRDefault="00FF5CBC" w:rsidP="00FF5CBC">
      <w:pPr>
        <w:spacing w:before="240" w:after="240" w:line="360" w:lineRule="auto"/>
        <w:ind w:right="49"/>
        <w:jc w:val="center"/>
        <w:rPr>
          <w:rFonts w:ascii="Palatino Linotype" w:eastAsia="Palatino Linotype" w:hAnsi="Palatino Linotype" w:cs="Palatino Linotype"/>
        </w:rPr>
      </w:pPr>
      <w:r w:rsidRPr="005E518B">
        <w:rPr>
          <w:rFonts w:ascii="Palatino Linotype" w:eastAsia="Palatino Linotype" w:hAnsi="Palatino Linotype" w:cs="Palatino Linotype"/>
          <w:noProof/>
        </w:rPr>
        <w:drawing>
          <wp:inline distT="0" distB="0" distL="0" distR="0" wp14:anchorId="20968548" wp14:editId="6DA2FBD7">
            <wp:extent cx="4500000" cy="42057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0000" cy="420570"/>
                    </a:xfrm>
                    <a:prstGeom prst="rect">
                      <a:avLst/>
                    </a:prstGeom>
                  </pic:spPr>
                </pic:pic>
              </a:graphicData>
            </a:graphic>
          </wp:inline>
        </w:drawing>
      </w:r>
    </w:p>
    <w:p w14:paraId="58405D11" w14:textId="58360F0A" w:rsidR="00FF5CBC" w:rsidRPr="005E518B" w:rsidRDefault="00FF5CBC" w:rsidP="0015596D">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Asimismo, no obsta mencionar que la información del parque vehicular </w:t>
      </w:r>
      <w:r w:rsidR="000905F7" w:rsidRPr="005E518B">
        <w:rPr>
          <w:rFonts w:ascii="Palatino Linotype" w:eastAsia="Palatino Linotype" w:hAnsi="Palatino Linotype" w:cs="Palatino Linotype"/>
        </w:rPr>
        <w:t xml:space="preserve">también se encuentra contenida en el Inventario de Bienes Muebles, que se entrega al Órgano Superior de Fiscalización del Estado de México, como parte de las obligaciones fiscales que debe cumplir el </w:t>
      </w:r>
      <w:r w:rsidR="000905F7" w:rsidRPr="005E518B">
        <w:rPr>
          <w:rFonts w:ascii="Palatino Linotype" w:eastAsia="Palatino Linotype" w:hAnsi="Palatino Linotype" w:cs="Palatino Linotype"/>
          <w:b/>
        </w:rPr>
        <w:t>Sujeto Obligado</w:t>
      </w:r>
      <w:r w:rsidR="000905F7" w:rsidRPr="005E518B">
        <w:rPr>
          <w:rFonts w:ascii="Palatino Linotype" w:eastAsia="Palatino Linotype" w:hAnsi="Palatino Linotype" w:cs="Palatino Linotype"/>
        </w:rPr>
        <w:t>, como se ilustra a continuación para mejor referencia:</w:t>
      </w:r>
    </w:p>
    <w:p w14:paraId="797263B8" w14:textId="0BBB4CFC" w:rsidR="0015596D" w:rsidRPr="005E518B" w:rsidRDefault="00FF5CBC">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noProof/>
        </w:rPr>
        <w:drawing>
          <wp:inline distT="0" distB="0" distL="0" distR="0" wp14:anchorId="2B850FBA" wp14:editId="02BB3C5D">
            <wp:extent cx="5612130" cy="101282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1012825"/>
                    </a:xfrm>
                    <a:prstGeom prst="rect">
                      <a:avLst/>
                    </a:prstGeom>
                  </pic:spPr>
                </pic:pic>
              </a:graphicData>
            </a:graphic>
          </wp:inline>
        </w:drawing>
      </w:r>
    </w:p>
    <w:p w14:paraId="2657E7D1" w14:textId="28D8EAE0" w:rsidR="000905F7"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C</w:t>
      </w:r>
      <w:r w:rsidR="000905F7" w:rsidRPr="005E518B">
        <w:rPr>
          <w:rFonts w:ascii="Palatino Linotype" w:eastAsia="Palatino Linotype" w:hAnsi="Palatino Linotype" w:cs="Palatino Linotype"/>
        </w:rPr>
        <w:t xml:space="preserve">on base en lo previo, se arriba a la conclusión de que la información proporcionada atiende de manera parcial los </w:t>
      </w:r>
      <w:r w:rsidRPr="005E518B">
        <w:rPr>
          <w:rFonts w:ascii="Palatino Linotype" w:eastAsia="Palatino Linotype" w:hAnsi="Palatino Linotype" w:cs="Palatino Linotype"/>
        </w:rPr>
        <w:t xml:space="preserve">puntos 1 y 2 de la solicitud, </w:t>
      </w:r>
      <w:r w:rsidR="000905F7" w:rsidRPr="005E518B">
        <w:rPr>
          <w:rFonts w:ascii="Palatino Linotype" w:eastAsia="Palatino Linotype" w:hAnsi="Palatino Linotype" w:cs="Palatino Linotype"/>
        </w:rPr>
        <w:t xml:space="preserve">toda vez que no se hizo entrega de la relación completa del parque vehicular con el que cuenta el </w:t>
      </w:r>
      <w:r w:rsidR="000905F7" w:rsidRPr="005E518B">
        <w:rPr>
          <w:rFonts w:ascii="Palatino Linotype" w:eastAsia="Palatino Linotype" w:hAnsi="Palatino Linotype" w:cs="Palatino Linotype"/>
          <w:b/>
        </w:rPr>
        <w:t xml:space="preserve">Sujeto Obligado, </w:t>
      </w:r>
      <w:r w:rsidR="000905F7" w:rsidRPr="005E518B">
        <w:rPr>
          <w:rFonts w:ascii="Palatino Linotype" w:eastAsia="Palatino Linotype" w:hAnsi="Palatino Linotype" w:cs="Palatino Linotype"/>
        </w:rPr>
        <w:t>y por consiguiente, se estima necesario ordenar que, previa búsqueda exhaustiva y razonable, haga entrega de la información faltante, con la que contara al veinti</w:t>
      </w:r>
      <w:r w:rsidR="00660E0A" w:rsidRPr="005E518B">
        <w:rPr>
          <w:rFonts w:ascii="Palatino Linotype" w:eastAsia="Palatino Linotype" w:hAnsi="Palatino Linotype" w:cs="Palatino Linotype"/>
        </w:rPr>
        <w:t xml:space="preserve">siete </w:t>
      </w:r>
      <w:r w:rsidR="000905F7" w:rsidRPr="005E518B">
        <w:rPr>
          <w:rFonts w:ascii="Palatino Linotype" w:eastAsia="Palatino Linotype" w:hAnsi="Palatino Linotype" w:cs="Palatino Linotype"/>
        </w:rPr>
        <w:t>de enero de dos mil veinticinco, en versión pública de ser procedente, de conformidad con el considerando siguiente.</w:t>
      </w:r>
    </w:p>
    <w:p w14:paraId="030C78B2" w14:textId="77777777" w:rsidR="000905F7" w:rsidRPr="005E518B" w:rsidRDefault="000905F7">
      <w:pPr>
        <w:spacing w:before="240" w:after="240" w:line="360" w:lineRule="auto"/>
        <w:ind w:right="49"/>
        <w:jc w:val="both"/>
        <w:rPr>
          <w:rFonts w:ascii="Palatino Linotype" w:eastAsia="Palatino Linotype" w:hAnsi="Palatino Linotype" w:cs="Palatino Linotype"/>
        </w:rPr>
      </w:pPr>
    </w:p>
    <w:p w14:paraId="2E082CF1" w14:textId="77777777"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Por otro lado, por lo que se refiere a las tarjetas de circulación, se menciona que el tránsito de todo tipo de vehículo, de conformidad con el artículo 8.11 del Código Administrativo del Estado de México, se condiciona al cumplimiento de los siguientes requisitos:</w:t>
      </w:r>
    </w:p>
    <w:p w14:paraId="0AB0EEAC"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b/>
        </w:rPr>
        <w:t>I</w:t>
      </w:r>
      <w:r w:rsidRPr="005E518B">
        <w:rPr>
          <w:rFonts w:ascii="Palatino Linotype" w:eastAsia="Palatino Linotype" w:hAnsi="Palatino Linotype" w:cs="Palatino Linotype"/>
        </w:rPr>
        <w:t xml:space="preserve">. </w:t>
      </w:r>
      <w:r w:rsidRPr="005E518B">
        <w:rPr>
          <w:rFonts w:ascii="Palatino Linotype" w:eastAsia="Palatino Linotype" w:hAnsi="Palatino Linotype" w:cs="Palatino Linotype"/>
          <w:b/>
        </w:rPr>
        <w:t>Que estén matriculados o registrados en la República Mexicana o el extranjero</w:t>
      </w:r>
      <w:r w:rsidRPr="005E518B">
        <w:rPr>
          <w:rFonts w:ascii="Palatino Linotype" w:eastAsia="Palatino Linotype" w:hAnsi="Palatino Linotype" w:cs="Palatino Linotype"/>
        </w:rPr>
        <w:t xml:space="preserve">; </w:t>
      </w:r>
    </w:p>
    <w:p w14:paraId="40C0FD26"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b/>
        </w:rPr>
        <w:t>II</w:t>
      </w:r>
      <w:r w:rsidRPr="005E518B">
        <w:rPr>
          <w:rFonts w:ascii="Palatino Linotype" w:eastAsia="Palatino Linotype" w:hAnsi="Palatino Linotype" w:cs="Palatino Linotype"/>
        </w:rPr>
        <w:t xml:space="preserve">. Que reúnan las especificaciones de seguridad y salubridad exigidas por las leyes y reglamentos; </w:t>
      </w:r>
    </w:p>
    <w:p w14:paraId="46BC6B47"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b/>
        </w:rPr>
        <w:t>III</w:t>
      </w:r>
      <w:r w:rsidRPr="005E518B">
        <w:rPr>
          <w:rFonts w:ascii="Palatino Linotype" w:eastAsia="Palatino Linotype" w:hAnsi="Palatino Linotype" w:cs="Palatino Linotype"/>
        </w:rPr>
        <w:t xml:space="preserve">. Que tengan el equipo y accesorios necesarios que señalen las normas correspondientes, de acuerdo con el tipo de vehículo de que se trate y el destino de su operación o fin; </w:t>
      </w:r>
    </w:p>
    <w:p w14:paraId="456C5FC7"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b/>
        </w:rPr>
        <w:t>IV</w:t>
      </w:r>
      <w:r w:rsidRPr="005E518B">
        <w:rPr>
          <w:rFonts w:ascii="Palatino Linotype" w:eastAsia="Palatino Linotype" w:hAnsi="Palatino Linotype" w:cs="Palatino Linotype"/>
        </w:rPr>
        <w:t xml:space="preserve">. </w:t>
      </w:r>
      <w:r w:rsidRPr="005E518B">
        <w:rPr>
          <w:rFonts w:ascii="Palatino Linotype" w:eastAsia="Palatino Linotype" w:hAnsi="Palatino Linotype" w:cs="Palatino Linotype"/>
          <w:b/>
        </w:rPr>
        <w:t>Que estén provistos de placas de matriculación o permisos vigentes</w:t>
      </w:r>
      <w:r w:rsidRPr="005E518B">
        <w:rPr>
          <w:rFonts w:ascii="Palatino Linotype" w:eastAsia="Palatino Linotype" w:hAnsi="Palatino Linotype" w:cs="Palatino Linotype"/>
        </w:rPr>
        <w:t>.</w:t>
      </w:r>
    </w:p>
    <w:p w14:paraId="69A33F17"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En este tenor, para obtener las placas matriculación es necesario dar de alta el vehículo correspondiente en el Registro Estatal de Vehículos el cual se encuentra a cargo de la  Secretaría de Finanzas, a través de los Trámites: Alta de vehículos de otra entidad, Alta de vehículos extranjeros importados definitivamente Alta de vehículos nuevos, o Alta de vehículos usados sin antecedente de registro, en los Centros de Servicios Fiscales de la Dirección General de Recaudación, mismos que permite a los  propietarios de vehículos, obtener: </w:t>
      </w:r>
    </w:p>
    <w:p w14:paraId="36B8417A"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1) Placa(s) </w:t>
      </w:r>
    </w:p>
    <w:p w14:paraId="55B4C348" w14:textId="77777777" w:rsidR="00D90E73" w:rsidRPr="005E518B" w:rsidRDefault="00645B47">
      <w:pPr>
        <w:spacing w:before="240" w:after="240" w:line="360" w:lineRule="auto"/>
        <w:ind w:left="284"/>
        <w:jc w:val="both"/>
        <w:rPr>
          <w:rFonts w:ascii="Palatino Linotype" w:eastAsia="Palatino Linotype" w:hAnsi="Palatino Linotype" w:cs="Palatino Linotype"/>
          <w:b/>
        </w:rPr>
      </w:pPr>
      <w:r w:rsidRPr="005E518B">
        <w:rPr>
          <w:rFonts w:ascii="Palatino Linotype" w:eastAsia="Palatino Linotype" w:hAnsi="Palatino Linotype" w:cs="Palatino Linotype"/>
          <w:b/>
        </w:rPr>
        <w:t xml:space="preserve">2) Tarjeta Circulación </w:t>
      </w:r>
    </w:p>
    <w:p w14:paraId="12B47275"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3) En su caso, calcomanía</w:t>
      </w:r>
    </w:p>
    <w:p w14:paraId="2F97A90E"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rPr>
        <w:t>4) Constancia de trámite vehicular, con excepción del Alta de vehículos nuevos.</w:t>
      </w:r>
    </w:p>
    <w:p w14:paraId="683D3A8D"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Los requisitos para Personas físicas, Personas jurídico colectivas </w:t>
      </w:r>
      <w:r w:rsidRPr="005E518B">
        <w:rPr>
          <w:rFonts w:ascii="Palatino Linotype" w:eastAsia="Palatino Linotype" w:hAnsi="Palatino Linotype" w:cs="Palatino Linotype"/>
          <w:b/>
          <w:u w:val="single"/>
        </w:rPr>
        <w:t>o Instituciones públicas</w:t>
      </w:r>
      <w:r w:rsidRPr="005E518B">
        <w:rPr>
          <w:rFonts w:ascii="Palatino Linotype" w:eastAsia="Palatino Linotype" w:hAnsi="Palatino Linotype" w:cs="Palatino Linotype"/>
        </w:rPr>
        <w:t>, se encuentran establecidos en el Registro Estatal de Trámites y Servicios del Gobierno del Estado de México.</w:t>
      </w:r>
    </w:p>
    <w:p w14:paraId="0FFC2378" w14:textId="275A407D"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A </w:t>
      </w:r>
      <w:r w:rsidR="00C85E28" w:rsidRPr="005E518B">
        <w:rPr>
          <w:rFonts w:ascii="Palatino Linotype" w:eastAsia="Palatino Linotype" w:hAnsi="Palatino Linotype" w:cs="Palatino Linotype"/>
        </w:rPr>
        <w:t>continuación,</w:t>
      </w:r>
      <w:r w:rsidRPr="005E518B">
        <w:rPr>
          <w:rFonts w:ascii="Palatino Linotype" w:eastAsia="Palatino Linotype" w:hAnsi="Palatino Linotype" w:cs="Palatino Linotype"/>
        </w:rPr>
        <w:t xml:space="preserve"> se insertan de manera ejemplificativa los requisitos necesarios para realizar el trámite de Alta de vehículos nuevos, para un mejor entendimiento:</w:t>
      </w:r>
    </w:p>
    <w:p w14:paraId="2B7D3AB2" w14:textId="26AE9889" w:rsidR="00E745FE" w:rsidRPr="005E518B" w:rsidRDefault="00645B47">
      <w:pPr>
        <w:spacing w:before="240" w:after="240" w:line="360" w:lineRule="auto"/>
        <w:jc w:val="center"/>
        <w:rPr>
          <w:rFonts w:ascii="Palatino Linotype" w:eastAsia="Palatino Linotype" w:hAnsi="Palatino Linotype" w:cs="Palatino Linotype"/>
        </w:rPr>
      </w:pPr>
      <w:r w:rsidRPr="005E518B">
        <w:rPr>
          <w:rFonts w:ascii="Palatino Linotype" w:eastAsia="Palatino Linotype" w:hAnsi="Palatino Linotype" w:cs="Palatino Linotype"/>
          <w:noProof/>
        </w:rPr>
        <w:drawing>
          <wp:inline distT="0" distB="0" distL="0" distR="0" wp14:anchorId="2AAE106B" wp14:editId="72B89077">
            <wp:extent cx="3960000" cy="3133770"/>
            <wp:effectExtent l="0" t="0" r="0" b="0"/>
            <wp:docPr id="20832964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60000" cy="3133770"/>
                    </a:xfrm>
                    <a:prstGeom prst="rect">
                      <a:avLst/>
                    </a:prstGeom>
                    <a:ln/>
                  </pic:spPr>
                </pic:pic>
              </a:graphicData>
            </a:graphic>
          </wp:inline>
        </w:drawing>
      </w:r>
      <w:r w:rsidR="00E745FE" w:rsidRPr="005E518B">
        <w:rPr>
          <w:rFonts w:ascii="Palatino Linotype" w:eastAsia="Palatino Linotype" w:hAnsi="Palatino Linotype" w:cs="Palatino Linotype"/>
          <w:noProof/>
        </w:rPr>
        <w:drawing>
          <wp:inline distT="0" distB="0" distL="0" distR="0" wp14:anchorId="469669E5" wp14:editId="15C44C44">
            <wp:extent cx="3959225" cy="981075"/>
            <wp:effectExtent l="0" t="0" r="3175" b="9525"/>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2"/>
                    <a:srcRect t="-1" b="69864"/>
                    <a:stretch/>
                  </pic:blipFill>
                  <pic:spPr bwMode="auto">
                    <a:xfrm>
                      <a:off x="0" y="0"/>
                      <a:ext cx="3960000" cy="981267"/>
                    </a:xfrm>
                    <a:prstGeom prst="rect">
                      <a:avLst/>
                    </a:prstGeom>
                    <a:ln>
                      <a:noFill/>
                    </a:ln>
                    <a:extLst>
                      <a:ext uri="{53640926-AAD7-44D8-BBD7-CCE9431645EC}">
                        <a14:shadowObscured xmlns:a14="http://schemas.microsoft.com/office/drawing/2010/main"/>
                      </a:ext>
                    </a:extLst>
                  </pic:spPr>
                </pic:pic>
              </a:graphicData>
            </a:graphic>
          </wp:inline>
        </w:drawing>
      </w:r>
    </w:p>
    <w:p w14:paraId="373FB829" w14:textId="77777777" w:rsidR="00E745FE" w:rsidRPr="005E518B" w:rsidRDefault="00E745FE">
      <w:pPr>
        <w:spacing w:before="240" w:after="240" w:line="360" w:lineRule="auto"/>
        <w:jc w:val="center"/>
        <w:rPr>
          <w:rFonts w:ascii="Palatino Linotype" w:eastAsia="Palatino Linotype" w:hAnsi="Palatino Linotype" w:cs="Palatino Linotype"/>
        </w:rPr>
      </w:pPr>
    </w:p>
    <w:p w14:paraId="56E969D1" w14:textId="05DEEA0B" w:rsidR="00D90E73" w:rsidRPr="005E518B" w:rsidRDefault="00645B47">
      <w:pPr>
        <w:spacing w:before="240" w:after="240" w:line="360" w:lineRule="auto"/>
        <w:jc w:val="center"/>
        <w:rPr>
          <w:rFonts w:ascii="Palatino Linotype" w:eastAsia="Palatino Linotype" w:hAnsi="Palatino Linotype" w:cs="Palatino Linotype"/>
        </w:rPr>
      </w:pPr>
      <w:r w:rsidRPr="005E518B">
        <w:rPr>
          <w:rFonts w:ascii="Palatino Linotype" w:eastAsia="Palatino Linotype" w:hAnsi="Palatino Linotype" w:cs="Palatino Linotype"/>
          <w:noProof/>
        </w:rPr>
        <w:lastRenderedPageBreak/>
        <w:drawing>
          <wp:inline distT="0" distB="0" distL="0" distR="0" wp14:anchorId="2D8B1CE4" wp14:editId="08BDFC9E">
            <wp:extent cx="3959735" cy="2235835"/>
            <wp:effectExtent l="0" t="0" r="3175" b="0"/>
            <wp:docPr id="20832964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12"/>
                    <a:srcRect t="31010" b="318"/>
                    <a:stretch/>
                  </pic:blipFill>
                  <pic:spPr bwMode="auto">
                    <a:xfrm>
                      <a:off x="0" y="0"/>
                      <a:ext cx="3960000" cy="2235984"/>
                    </a:xfrm>
                    <a:prstGeom prst="rect">
                      <a:avLst/>
                    </a:prstGeom>
                    <a:ln>
                      <a:noFill/>
                    </a:ln>
                    <a:extLst>
                      <a:ext uri="{53640926-AAD7-44D8-BBD7-CCE9431645EC}">
                        <a14:shadowObscured xmlns:a14="http://schemas.microsoft.com/office/drawing/2010/main"/>
                      </a:ext>
                    </a:extLst>
                  </pic:spPr>
                </pic:pic>
              </a:graphicData>
            </a:graphic>
          </wp:inline>
        </w:drawing>
      </w:r>
    </w:p>
    <w:p w14:paraId="538D4BBE" w14:textId="3C6F2AB0"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Con base en lo anterior se concluye que las instituciones públicas se encuentran obligadas a dar de alta</w:t>
      </w:r>
      <w:r w:rsidR="00E745FE" w:rsidRPr="005E518B">
        <w:rPr>
          <w:rFonts w:ascii="Palatino Linotype" w:eastAsia="Palatino Linotype" w:hAnsi="Palatino Linotype" w:cs="Palatino Linotype"/>
        </w:rPr>
        <w:t xml:space="preserve"> las unidades vehiculares oficiales que integren su patrimonio, </w:t>
      </w:r>
      <w:r w:rsidRPr="005E518B">
        <w:rPr>
          <w:rFonts w:ascii="Palatino Linotype" w:eastAsia="Palatino Linotype" w:hAnsi="Palatino Linotype" w:cs="Palatino Linotype"/>
        </w:rPr>
        <w:t xml:space="preserve">en el Registro Estatal de Vehículos, para poder transitar, y </w:t>
      </w:r>
      <w:r w:rsidRPr="005E518B">
        <w:rPr>
          <w:rFonts w:ascii="Palatino Linotype" w:eastAsia="Palatino Linotype" w:hAnsi="Palatino Linotype" w:cs="Palatino Linotype"/>
          <w:b/>
        </w:rPr>
        <w:t xml:space="preserve">como resultado de dicho trámite se obtienen las placas de matriculación así como </w:t>
      </w:r>
      <w:r w:rsidRPr="005E518B">
        <w:rPr>
          <w:rFonts w:ascii="Palatino Linotype" w:eastAsia="Palatino Linotype" w:hAnsi="Palatino Linotype" w:cs="Palatino Linotype"/>
          <w:b/>
          <w:u w:val="single"/>
        </w:rPr>
        <w:t>la tarjeta de circulación</w:t>
      </w:r>
      <w:r w:rsidRPr="005E518B">
        <w:rPr>
          <w:rFonts w:ascii="Palatino Linotype" w:eastAsia="Palatino Linotype" w:hAnsi="Palatino Linotype" w:cs="Palatino Linotype"/>
        </w:rPr>
        <w:t xml:space="preserve">, </w:t>
      </w:r>
      <w:r w:rsidR="00E745FE" w:rsidRPr="005E518B">
        <w:rPr>
          <w:rFonts w:ascii="Palatino Linotype" w:eastAsia="Palatino Linotype" w:hAnsi="Palatino Linotype" w:cs="Palatino Linotype"/>
        </w:rPr>
        <w:t>por lo tanto es</w:t>
      </w:r>
      <w:r w:rsidRPr="005E518B">
        <w:rPr>
          <w:rFonts w:ascii="Palatino Linotype" w:eastAsia="Palatino Linotype" w:hAnsi="Palatino Linotype" w:cs="Palatino Linotype"/>
        </w:rPr>
        <w:t xml:space="preserve"> evidente que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debe contar con la información que es del interés de la persona solicitante.</w:t>
      </w:r>
    </w:p>
    <w:p w14:paraId="6E9FA98A" w14:textId="3268CD0C" w:rsidR="00D90E73" w:rsidRPr="005E518B" w:rsidRDefault="00243245">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Sin embargo, </w:t>
      </w:r>
      <w:r w:rsidR="00645B47" w:rsidRPr="005E518B">
        <w:rPr>
          <w:rFonts w:ascii="Palatino Linotype" w:eastAsia="Palatino Linotype" w:hAnsi="Palatino Linotype" w:cs="Palatino Linotype"/>
        </w:rPr>
        <w:t xml:space="preserve">en el caso que nos ocupa, la Jefatura de Patrimonio, manifestó que NO contaba con las tarjetas de circulación de los vehículos reportados, al no haber sido entregadas en el proceso de entrega-recepción, derivado del cambio de administración. </w:t>
      </w:r>
    </w:p>
    <w:p w14:paraId="7E37F416" w14:textId="1E8486DE" w:rsidR="00D90E73" w:rsidRPr="005E518B" w:rsidRDefault="00645B47">
      <w:pPr>
        <w:spacing w:before="240" w:after="240" w:line="360" w:lineRule="auto"/>
        <w:ind w:right="51"/>
        <w:jc w:val="both"/>
        <w:rPr>
          <w:rFonts w:ascii="Palatino Linotype" w:eastAsia="Palatino Linotype" w:hAnsi="Palatino Linotype" w:cs="Palatino Linotype"/>
        </w:rPr>
      </w:pPr>
      <w:r w:rsidRPr="005E518B">
        <w:rPr>
          <w:rFonts w:ascii="Palatino Linotype" w:eastAsia="Palatino Linotype" w:hAnsi="Palatino Linotype" w:cs="Palatino Linotype"/>
        </w:rPr>
        <w:t>En tal sentido, se estima que para tener por satisfecho el derecho de acceso de la persona solicitante respecto del punto en análisis,</w:t>
      </w:r>
      <w:r w:rsidR="00243245" w:rsidRPr="005E518B">
        <w:rPr>
          <w:rFonts w:ascii="Palatino Linotype" w:eastAsia="Palatino Linotype" w:hAnsi="Palatino Linotype" w:cs="Palatino Linotype"/>
        </w:rPr>
        <w:t xml:space="preserve"> </w:t>
      </w:r>
      <w:r w:rsidR="00243245" w:rsidRPr="005E518B">
        <w:rPr>
          <w:rFonts w:ascii="Palatino Linotype" w:eastAsia="Palatino Linotype" w:hAnsi="Palatino Linotype" w:cs="Palatino Linotype"/>
          <w:b/>
          <w:u w:val="single"/>
        </w:rPr>
        <w:t>por lo que se refiere a los vehículos reportados en la etapa de manifestaciones,</w:t>
      </w:r>
      <w:r w:rsidR="00243245" w:rsidRPr="005E518B">
        <w:rPr>
          <w:rFonts w:ascii="Palatino Linotype" w:eastAsia="Palatino Linotype" w:hAnsi="Palatino Linotype" w:cs="Palatino Linotype"/>
        </w:rPr>
        <w:t xml:space="preserve"> </w:t>
      </w:r>
      <w:r w:rsidRPr="005E518B">
        <w:rPr>
          <w:rFonts w:ascii="Palatino Linotype" w:eastAsia="Palatino Linotype" w:hAnsi="Palatino Linotype" w:cs="Palatino Linotype"/>
        </w:rPr>
        <w:t xml:space="preserve">es necesario que 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 xml:space="preserve">emita formalmente la declaratoria de inexistencia, en términos de lo que </w:t>
      </w:r>
      <w:r w:rsidRPr="005E518B">
        <w:rPr>
          <w:rFonts w:ascii="Palatino Linotype" w:eastAsia="Palatino Linotype" w:hAnsi="Palatino Linotype" w:cs="Palatino Linotype"/>
        </w:rPr>
        <w:lastRenderedPageBreak/>
        <w:t>señala el artículo 19, último párrafo, de la Ley de Transparencia y Acceso a la Información Pública del Estado de México y Municipios, a saber:</w:t>
      </w:r>
    </w:p>
    <w:p w14:paraId="439BF1FE"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r w:rsidRPr="005E518B">
        <w:rPr>
          <w:rFonts w:ascii="Palatino Linotype" w:eastAsia="Palatino Linotype" w:hAnsi="Palatino Linotype" w:cs="Palatino Linotype"/>
          <w:b/>
          <w:i/>
          <w:sz w:val="22"/>
          <w:szCs w:val="22"/>
        </w:rPr>
        <w:t>Artículo 19.</w:t>
      </w:r>
      <w:r w:rsidRPr="005E518B">
        <w:rPr>
          <w:rFonts w:ascii="Palatino Linotype" w:eastAsia="Palatino Linotype" w:hAnsi="Palatino Linotype" w:cs="Palatino Linotype"/>
          <w:i/>
          <w:sz w:val="22"/>
          <w:szCs w:val="22"/>
        </w:rPr>
        <w:t xml:space="preserve"> (…)</w:t>
      </w:r>
    </w:p>
    <w:p w14:paraId="509F7CCE"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Si el sujeto obligado, en el ejercicio de sus atribuciones, debía generar, poseer o administrar la información, pero ésta no se encuentra, el Comité de transparencia deberá emitir un acuerdo de inexistencia</w:t>
      </w:r>
      <w:r w:rsidRPr="005E518B">
        <w:rPr>
          <w:rFonts w:ascii="Palatino Linotype" w:eastAsia="Palatino Linotype" w:hAnsi="Palatino Linotype" w:cs="Palatino Linotype"/>
          <w:i/>
          <w:sz w:val="22"/>
          <w:szCs w:val="22"/>
        </w:rPr>
        <w:t>, debidamente fundado y motivado, en el que detalle las razones del por qué no obra en sus archivos.”</w:t>
      </w:r>
    </w:p>
    <w:p w14:paraId="1183DB62" w14:textId="236F21BA" w:rsidR="00D90E73" w:rsidRPr="005E518B" w:rsidRDefault="00645B47">
      <w:pPr>
        <w:spacing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Al respecto, el criterio </w:t>
      </w:r>
      <w:r w:rsidR="004C66A3" w:rsidRPr="005E518B">
        <w:rPr>
          <w:rFonts w:ascii="Palatino Linotype" w:eastAsia="Palatino Linotype" w:hAnsi="Palatino Linotype" w:cs="Palatino Linotype"/>
        </w:rPr>
        <w:t>orientador</w:t>
      </w:r>
      <w:r w:rsidRPr="005E518B">
        <w:rPr>
          <w:rFonts w:ascii="Palatino Linotype" w:eastAsia="Palatino Linotype" w:hAnsi="Palatino Linotype" w:cs="Palatino Linotype"/>
        </w:rPr>
        <w:t xml:space="preserve">, con clave de control SO/004/2019, emitido por el entonces Instituto Nacional de Transparencia, Acceso a la Información y Protección de Datos Personales, establece lo siguiente: </w:t>
      </w:r>
    </w:p>
    <w:p w14:paraId="0A83EB56" w14:textId="77777777" w:rsidR="00D90E73" w:rsidRPr="005E518B" w:rsidRDefault="00645B47">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r w:rsidRPr="005E518B">
        <w:rPr>
          <w:rFonts w:ascii="Palatino Linotype" w:eastAsia="Palatino Linotype" w:hAnsi="Palatino Linotype" w:cs="Palatino Linotype"/>
          <w:b/>
          <w:i/>
          <w:sz w:val="22"/>
          <w:szCs w:val="22"/>
        </w:rPr>
        <w:t>Propósito de la declaración formal de inexistencia.</w:t>
      </w:r>
      <w:r w:rsidRPr="005E518B">
        <w:rPr>
          <w:rFonts w:ascii="Palatino Linotype" w:eastAsia="Palatino Linotype" w:hAnsi="Palatino Linotype" w:cs="Palatino Linotype"/>
          <w:i/>
          <w:sz w:val="22"/>
          <w:szCs w:val="22"/>
        </w:rPr>
        <w:t xml:space="preserve"> El propósito de que los Comités de Transparencia emitan una declaración que confirme la inexistencia de la información solicitada, es garantizar al solicitante que se realizaron las gestiones necesarias para la ubicación de la información de su interés; por lo cual, el acta en el que se haga constar esa declaración formal de inexistencia, debe contener los elementos suficientes para generar en los solicitantes la certeza del carácter exhaustivo de la búsqueda de lo solicitado.”</w:t>
      </w:r>
    </w:p>
    <w:p w14:paraId="01E80695"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De lo anterior se colige que las declaraciones de inexistencia de los Comités de Transparencia, deben de contener los elementos suficientes para generar en los solicitantes, certeza de que la información no obra en sus archivos, esto es, deben fundar y motivar las razones por las cuales, se buscó la información en determinadas unidades administrativas, los criterios de búsqueda y demás circunstancias tomadas en cuenta, con el fin de garantizar al solicitante que efectivamente se hicieron las gestiones necesarias para localizar la documentación de su interés.</w:t>
      </w:r>
    </w:p>
    <w:p w14:paraId="3D51286B" w14:textId="211F02C3" w:rsidR="00D90E73" w:rsidRPr="005E518B" w:rsidRDefault="00645B47">
      <w:pPr>
        <w:spacing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Asimismo, según Calero, Natalia (2016), en la “Ley General de Transparencia y Acceso a la Información Pública Comentada” (p. 419),</w:t>
      </w:r>
      <w:r w:rsidR="00E745FE" w:rsidRPr="005E518B">
        <w:rPr>
          <w:rFonts w:ascii="Palatino Linotype" w:eastAsia="Palatino Linotype" w:hAnsi="Palatino Linotype" w:cs="Palatino Linotype"/>
        </w:rPr>
        <w:t xml:space="preserve"> vigente a la fecha de </w:t>
      </w:r>
      <w:r w:rsidR="00E745FE" w:rsidRPr="005E518B">
        <w:rPr>
          <w:rFonts w:ascii="Palatino Linotype" w:eastAsia="Palatino Linotype" w:hAnsi="Palatino Linotype" w:cs="Palatino Linotype"/>
        </w:rPr>
        <w:lastRenderedPageBreak/>
        <w:t>presentación de la solicitud,</w:t>
      </w:r>
      <w:r w:rsidRPr="005E518B">
        <w:rPr>
          <w:rFonts w:ascii="Palatino Linotype" w:eastAsia="Palatino Linotype" w:hAnsi="Palatino Linotype" w:cs="Palatino Linotype"/>
        </w:rPr>
        <w:t xml:space="preserve"> las declaraciones de inexistencia, deben contener lo siguiente: </w:t>
      </w:r>
    </w:p>
    <w:p w14:paraId="6D8863BE" w14:textId="77777777" w:rsidR="00D90E73" w:rsidRPr="005E518B" w:rsidRDefault="00645B47">
      <w:pPr>
        <w:spacing w:before="120" w:after="12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b/>
        </w:rPr>
        <w:t>a) Los elementos que le permitan a los solicitantes tener certeza de que el Sujeto Obligado utilizó un criterio de búsqueda exhaustivo:</w:t>
      </w:r>
      <w:r w:rsidRPr="005E518B">
        <w:rPr>
          <w:rFonts w:ascii="Palatino Linotype" w:eastAsia="Palatino Linotype" w:hAnsi="Palatino Linotype" w:cs="Palatino Linotype"/>
        </w:rPr>
        <w:t xml:space="preserve"> Para atender dicho supuesto, se debe precisar en qué unidades administrativas buscó, así como en el tipo de archivos y la manera en que realizó la indagación; </w:t>
      </w:r>
    </w:p>
    <w:p w14:paraId="24675CD2" w14:textId="77777777" w:rsidR="00D90E73" w:rsidRPr="005E518B" w:rsidRDefault="00645B47">
      <w:pPr>
        <w:spacing w:before="120" w:after="12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b/>
        </w:rPr>
        <w:t>b) Las circunstancias de tiempo, modo y lugar que motiven las razones por las cuales la información es inexistente:</w:t>
      </w:r>
      <w:r w:rsidRPr="005E518B">
        <w:rPr>
          <w:rFonts w:ascii="Palatino Linotype" w:eastAsia="Palatino Linotype" w:hAnsi="Palatino Linotype" w:cs="Palatino Linotype"/>
        </w:rPr>
        <w:t xml:space="preserve"> Al respecto, los sujetos obligados para acreditar dicho punto, deberán proveer la mayor cantidad de elementos posibles que permitan evidencia las razones por las cuales la información requerida no existe, y </w:t>
      </w:r>
    </w:p>
    <w:p w14:paraId="2C60B43D" w14:textId="77777777" w:rsidR="00D90E73" w:rsidRPr="005E518B" w:rsidRDefault="00645B47">
      <w:pPr>
        <w:spacing w:before="120" w:after="12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b/>
        </w:rPr>
        <w:t>c) El servidor público responsable de contar con ésta:</w:t>
      </w:r>
      <w:r w:rsidRPr="005E518B">
        <w:rPr>
          <w:rFonts w:ascii="Palatino Linotype" w:eastAsia="Palatino Linotype" w:hAnsi="Palatino Linotype" w:cs="Palatino Linotype"/>
        </w:rPr>
        <w:t xml:space="preserve"> Es importante indicar, el cargo y las razones jurídicas por las cuales debió generar la información. </w:t>
      </w:r>
    </w:p>
    <w:p w14:paraId="14EF5ABC" w14:textId="1C182668"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Conforme a lo citado, se considera que es necesario que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por medio de su Comité de Transparencia,</w:t>
      </w:r>
      <w:r w:rsidR="00E745FE" w:rsidRPr="005E518B">
        <w:rPr>
          <w:rFonts w:ascii="Palatino Linotype" w:eastAsia="Palatino Linotype" w:hAnsi="Palatino Linotype" w:cs="Palatino Linotype"/>
        </w:rPr>
        <w:t xml:space="preserve"> declare</w:t>
      </w:r>
      <w:r w:rsidRPr="005E518B">
        <w:rPr>
          <w:rFonts w:ascii="Palatino Linotype" w:eastAsia="Palatino Linotype" w:hAnsi="Palatino Linotype" w:cs="Palatino Linotype"/>
        </w:rPr>
        <w:t xml:space="preserve"> la inexistencia de las tarjetas de circulación de los vehículos que integraban su parque vehicular, al veintisiete de enero de dos mil veinticinco, y para tal situación, deberá seguir el procedimiento establecido en el artículo 169 y 170 de la Ley de Transparencia y Acceso a la Información Pública del Estado de México y Municipios, que precisa que cuando la información no se encuentre en los archivos del Sujeto Obligado, el Comité de Transparencia deberá: </w:t>
      </w:r>
    </w:p>
    <w:p w14:paraId="3D789838"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rPr>
        <w:t>1. Analizar el caso y tomar las medidas necesarias para localizar la información;</w:t>
      </w:r>
    </w:p>
    <w:p w14:paraId="56745F7A"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 xml:space="preserve">2. Expedir una resolución que confirme la inexistencia de la información, que contenga los elementos mínimos que permitan al Solicitante tener la certeza de que se utilizó un criterio de búsqueda exhaustivo, así como, las circunstancias de modo, tiempo y lugar que generaron la inexistencia y el servidor público responsable de contar con la información; </w:t>
      </w:r>
    </w:p>
    <w:p w14:paraId="497FC1EE"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3. Ordenar, siempre que sea materialmente posible, que se genere o reponga la información en caso que ésta tuviera que existir o previa acreditación de la imposibilidad de su generación, exponga de forma fundada y motivada las razones de dicha situación, y </w:t>
      </w:r>
    </w:p>
    <w:p w14:paraId="453FB5E8" w14:textId="77777777" w:rsidR="00D90E73" w:rsidRPr="005E518B" w:rsidRDefault="00645B47">
      <w:pPr>
        <w:spacing w:before="240" w:after="240" w:line="360" w:lineRule="auto"/>
        <w:ind w:left="284"/>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4. Notificar al Órgano Interno de Control o equivalente, a efecto de que inicie el procedimiento de responsabilidad administrativa correspondiente. </w:t>
      </w:r>
    </w:p>
    <w:p w14:paraId="5D36C777" w14:textId="4363E62C" w:rsidR="00243245" w:rsidRPr="005E518B" w:rsidRDefault="00243245" w:rsidP="00243245">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Por otro lado, respecto a los vehículos </w:t>
      </w:r>
      <w:r w:rsidR="00285EC0" w:rsidRPr="005E518B">
        <w:rPr>
          <w:rFonts w:ascii="Palatino Linotype" w:eastAsia="Palatino Linotype" w:hAnsi="Palatino Linotype" w:cs="Palatino Linotype"/>
        </w:rPr>
        <w:t xml:space="preserve">oficiales </w:t>
      </w:r>
      <w:r w:rsidRPr="005E518B">
        <w:rPr>
          <w:rFonts w:ascii="Palatino Linotype" w:eastAsia="Palatino Linotype" w:hAnsi="Palatino Linotype" w:cs="Palatino Linotype"/>
        </w:rPr>
        <w:t xml:space="preserve">faltantes </w:t>
      </w:r>
      <w:r w:rsidR="0059299F" w:rsidRPr="005E518B">
        <w:rPr>
          <w:rFonts w:ascii="Palatino Linotype" w:eastAsia="Palatino Linotype" w:hAnsi="Palatino Linotype" w:cs="Palatino Linotype"/>
        </w:rPr>
        <w:t xml:space="preserve">al no haber pronunciamiento por parte del área competente, se estima dable ordenar que </w:t>
      </w:r>
      <w:r w:rsidR="003438CD" w:rsidRPr="005E518B">
        <w:rPr>
          <w:rFonts w:ascii="Palatino Linotype" w:eastAsia="Palatino Linotype" w:hAnsi="Palatino Linotype" w:cs="Palatino Linotype"/>
        </w:rPr>
        <w:t>previa búsqueda</w:t>
      </w:r>
      <w:r w:rsidRPr="005E518B">
        <w:rPr>
          <w:rFonts w:ascii="Palatino Linotype" w:eastAsia="Palatino Linotype" w:hAnsi="Palatino Linotype" w:cs="Palatino Linotype"/>
        </w:rPr>
        <w:t xml:space="preserve"> exhausti</w:t>
      </w:r>
      <w:r w:rsidR="003438CD" w:rsidRPr="005E518B">
        <w:rPr>
          <w:rFonts w:ascii="Palatino Linotype" w:eastAsia="Palatino Linotype" w:hAnsi="Palatino Linotype" w:cs="Palatino Linotype"/>
        </w:rPr>
        <w:t xml:space="preserve">va y razonable </w:t>
      </w:r>
      <w:r w:rsidR="0059299F" w:rsidRPr="005E518B">
        <w:rPr>
          <w:rFonts w:ascii="Palatino Linotype" w:eastAsia="Palatino Linotype" w:hAnsi="Palatino Linotype" w:cs="Palatino Linotype"/>
        </w:rPr>
        <w:t xml:space="preserve">se haga entrega de las tarjetas de circulación </w:t>
      </w:r>
      <w:r w:rsidR="00285EC0" w:rsidRPr="005E518B">
        <w:rPr>
          <w:rFonts w:ascii="Palatino Linotype" w:eastAsia="Palatino Linotype" w:hAnsi="Palatino Linotype" w:cs="Palatino Linotype"/>
        </w:rPr>
        <w:t>respectivas</w:t>
      </w:r>
      <w:r w:rsidR="00660E0A" w:rsidRPr="005E518B">
        <w:rPr>
          <w:rFonts w:ascii="Palatino Linotype" w:eastAsia="Palatino Linotype" w:hAnsi="Palatino Linotype" w:cs="Palatino Linotype"/>
        </w:rPr>
        <w:t>,</w:t>
      </w:r>
      <w:r w:rsidR="00285EC0" w:rsidRPr="005E518B">
        <w:rPr>
          <w:rFonts w:ascii="Palatino Linotype" w:eastAsia="Palatino Linotype" w:hAnsi="Palatino Linotype" w:cs="Palatino Linotype"/>
        </w:rPr>
        <w:t xml:space="preserve"> </w:t>
      </w:r>
      <w:r w:rsidR="00660E0A" w:rsidRPr="005E518B">
        <w:rPr>
          <w:rFonts w:ascii="Palatino Linotype" w:eastAsia="Palatino Linotype" w:hAnsi="Palatino Linotype" w:cs="Palatino Linotype"/>
        </w:rPr>
        <w:t>vigentes al veintisiete</w:t>
      </w:r>
      <w:r w:rsidR="0059299F" w:rsidRPr="005E518B">
        <w:rPr>
          <w:rFonts w:ascii="Palatino Linotype" w:eastAsia="Palatino Linotype" w:hAnsi="Palatino Linotype" w:cs="Palatino Linotype"/>
        </w:rPr>
        <w:t xml:space="preserve"> de enero de dos mil veinticinco, en versión pública de ser procedente.</w:t>
      </w:r>
    </w:p>
    <w:p w14:paraId="799D5852"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b/>
        </w:rPr>
        <w:t>Quinto. Versión Pública.</w:t>
      </w:r>
      <w:r w:rsidRPr="005E518B">
        <w:rPr>
          <w:rFonts w:ascii="Palatino Linotype" w:eastAsia="Palatino Linotype" w:hAnsi="Palatino Linotype" w:cs="Palatino Linotype"/>
          <w:sz w:val="28"/>
          <w:szCs w:val="28"/>
        </w:rPr>
        <w:t xml:space="preserve"> </w:t>
      </w:r>
      <w:r w:rsidRPr="005E518B">
        <w:rPr>
          <w:rFonts w:ascii="Palatino Linotype" w:eastAsia="Palatino Linotype" w:hAnsi="Palatino Linotype" w:cs="Palatino Linotype"/>
        </w:rPr>
        <w:t xml:space="preserve">Finalmente, debe señalarse que de ser el caso en que los documentos que vayan a ser entregados para dar cumplimiento a la presente resolución, contengan datos que deban ser clasificados, en los términos que la misma Ley de la Materia señala,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tendrá que elaborar la versión pública de tales documentos a fin de satisfacer el derecho de acceso a la información pública de la parte </w:t>
      </w:r>
      <w:r w:rsidRPr="005E518B">
        <w:rPr>
          <w:rFonts w:ascii="Palatino Linotype" w:eastAsia="Palatino Linotype" w:hAnsi="Palatino Linotype" w:cs="Palatino Linotype"/>
          <w:b/>
        </w:rPr>
        <w:t>Recurrente,</w:t>
      </w:r>
      <w:r w:rsidRPr="005E518B">
        <w:rPr>
          <w:rFonts w:ascii="Palatino Linotype" w:eastAsia="Palatino Linotype" w:hAnsi="Palatino Linotype" w:cs="Palatino Linotype"/>
        </w:rPr>
        <w:t xml:space="preserve"> sin menoscabar el derecho a la protección de los datos </w:t>
      </w:r>
      <w:r w:rsidRPr="005E518B">
        <w:rPr>
          <w:rFonts w:ascii="Palatino Linotype" w:eastAsia="Palatino Linotype" w:hAnsi="Palatino Linotype" w:cs="Palatino Linotype"/>
        </w:rPr>
        <w:lastRenderedPageBreak/>
        <w:t>personales de terceros, o el daño que pueda producirse interés jurídicamente protegido por la Ley, con su divulgación.</w:t>
      </w:r>
    </w:p>
    <w:p w14:paraId="2452334F" w14:textId="39AC7D16"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Lo anterior de conformidad con lo que señalan los artículos 3 fracciones IX, XX, XXI, XXIV, </w:t>
      </w:r>
      <w:r w:rsidRPr="005E518B">
        <w:rPr>
          <w:rFonts w:ascii="Palatino Linotype" w:hAnsi="Palatino Linotype"/>
        </w:rPr>
        <w:t>XXXIII</w:t>
      </w:r>
      <w:r w:rsidRPr="005E518B">
        <w:rPr>
          <w:rFonts w:ascii="Palatino Linotype" w:eastAsia="Palatino Linotype" w:hAnsi="Palatino Linotype" w:cs="Palatino Linotype"/>
        </w:rPr>
        <w:t xml:space="preserve"> y XLV, 91, 129, 132, 137, 140</w:t>
      </w:r>
      <w:r w:rsidR="00285EC0" w:rsidRPr="005E518B">
        <w:rPr>
          <w:rFonts w:ascii="Palatino Linotype" w:eastAsia="Palatino Linotype" w:hAnsi="Palatino Linotype" w:cs="Palatino Linotype"/>
        </w:rPr>
        <w:t xml:space="preserve">, fracciones </w:t>
      </w:r>
      <w:r w:rsidRPr="005E518B">
        <w:rPr>
          <w:rFonts w:ascii="Palatino Linotype" w:eastAsia="Palatino Linotype" w:hAnsi="Palatino Linotype" w:cs="Palatino Linotype"/>
        </w:rPr>
        <w:t>I</w:t>
      </w:r>
      <w:r w:rsidR="00285EC0" w:rsidRPr="005E518B">
        <w:rPr>
          <w:rFonts w:ascii="Palatino Linotype" w:eastAsia="Palatino Linotype" w:hAnsi="Palatino Linotype" w:cs="Palatino Linotype"/>
        </w:rPr>
        <w:t xml:space="preserve"> y IV</w:t>
      </w:r>
      <w:r w:rsidRPr="005E518B">
        <w:rPr>
          <w:rFonts w:ascii="Palatino Linotype" w:eastAsia="Palatino Linotype" w:hAnsi="Palatino Linotype" w:cs="Palatino Linotype"/>
        </w:rPr>
        <w:t xml:space="preserve"> y 143, fracción I de la Ley de Transparencia y Acceso a la Información Pública del Estado de México y Municipios que establecen:</w:t>
      </w:r>
    </w:p>
    <w:p w14:paraId="0087185F"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r w:rsidRPr="005E518B">
        <w:rPr>
          <w:rFonts w:ascii="Palatino Linotype" w:eastAsia="Palatino Linotype" w:hAnsi="Palatino Linotype" w:cs="Palatino Linotype"/>
          <w:b/>
          <w:i/>
          <w:sz w:val="22"/>
          <w:szCs w:val="22"/>
        </w:rPr>
        <w:t>Artículo 3</w:t>
      </w:r>
      <w:r w:rsidRPr="005E518B">
        <w:rPr>
          <w:rFonts w:ascii="Palatino Linotype" w:eastAsia="Palatino Linotype" w:hAnsi="Palatino Linotype" w:cs="Palatino Linotype"/>
          <w:i/>
          <w:sz w:val="22"/>
          <w:szCs w:val="22"/>
        </w:rPr>
        <w:t>. Para los efectos de la presente Ley se entenderá por:</w:t>
      </w:r>
    </w:p>
    <w:p w14:paraId="59BEB09A"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p>
    <w:p w14:paraId="0389F7B7"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IX. Datos personales</w:t>
      </w:r>
      <w:r w:rsidRPr="005E518B">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5EF0D868"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p>
    <w:p w14:paraId="58AAFF12"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XX. Información clasificada</w:t>
      </w:r>
      <w:r w:rsidRPr="005E518B">
        <w:rPr>
          <w:rFonts w:ascii="Palatino Linotype" w:eastAsia="Palatino Linotype" w:hAnsi="Palatino Linotype" w:cs="Palatino Linotype"/>
          <w:i/>
          <w:sz w:val="22"/>
          <w:szCs w:val="22"/>
        </w:rPr>
        <w:t>: Aquella considerada por la presente Ley como reservada o confidencial;</w:t>
      </w:r>
    </w:p>
    <w:p w14:paraId="330847F5"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 xml:space="preserve">XXI. Información confidencial: </w:t>
      </w:r>
      <w:r w:rsidRPr="005E518B">
        <w:rPr>
          <w:rFonts w:ascii="Palatino Linotype" w:eastAsia="Palatino Linotype" w:hAnsi="Palatino Linotype" w:cs="Palatino Linotype"/>
          <w:i/>
          <w:sz w:val="22"/>
          <w:szCs w:val="22"/>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FBD437D"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w:t>
      </w:r>
      <w:r w:rsidRPr="005E518B">
        <w:rPr>
          <w:rFonts w:ascii="Palatino Linotype" w:eastAsia="Palatino Linotype" w:hAnsi="Palatino Linotype" w:cs="Palatino Linotype"/>
          <w:i/>
          <w:sz w:val="22"/>
          <w:szCs w:val="22"/>
        </w:rPr>
        <w:t>..</w:t>
      </w:r>
    </w:p>
    <w:p w14:paraId="7AD3092B" w14:textId="77777777" w:rsidR="006C541E" w:rsidRPr="005E518B" w:rsidRDefault="006C541E" w:rsidP="006C541E">
      <w:pPr>
        <w:spacing w:before="120" w:after="120"/>
        <w:ind w:left="1134" w:right="902"/>
        <w:jc w:val="both"/>
        <w:rPr>
          <w:rFonts w:ascii="Palatino Linotype" w:hAnsi="Palatino Linotype"/>
          <w:i/>
          <w:sz w:val="22"/>
          <w:szCs w:val="22"/>
        </w:rPr>
      </w:pPr>
      <w:r w:rsidRPr="005E518B">
        <w:rPr>
          <w:rFonts w:ascii="Palatino Linotype" w:hAnsi="Palatino Linotype"/>
          <w:b/>
          <w:i/>
          <w:sz w:val="22"/>
          <w:szCs w:val="22"/>
        </w:rPr>
        <w:t>XXIV. Información reservada:</w:t>
      </w:r>
      <w:r w:rsidRPr="005E518B">
        <w:rPr>
          <w:rFonts w:ascii="Palatino Linotype" w:hAnsi="Palatino Linotype"/>
          <w:i/>
          <w:sz w:val="22"/>
          <w:szCs w:val="22"/>
        </w:rPr>
        <w:t xml:space="preserve"> La clasificada con este carácter de manera temporal por las disposiciones de esta Ley, cuya divulgación puede causar daño en términos de lo establecido por esta Ley;</w:t>
      </w:r>
    </w:p>
    <w:p w14:paraId="0D13B301"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p>
    <w:p w14:paraId="47C6F4EB"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hAnsi="Palatino Linotype"/>
          <w:b/>
          <w:i/>
          <w:sz w:val="22"/>
          <w:szCs w:val="22"/>
        </w:rPr>
        <w:t>XXXIII. Prueba de Daño</w:t>
      </w:r>
      <w:r w:rsidRPr="005E518B">
        <w:rPr>
          <w:rFonts w:ascii="Palatino Linotype" w:hAnsi="Palatino Linotype"/>
          <w:i/>
          <w:sz w:val="22"/>
          <w:szCs w:val="22"/>
        </w:rPr>
        <w:t>: Responsabilidad de los sujetos obligados de demostrar de manera fundada y motivada que la divulgación de información lesiona el interés jurídicamente protegido por la Ley, y que el menoscabo o daño que puede producirse con la publicidad de la información es mayor que el interés de conocerla y por consiguiente debe clasificarse como reservada;</w:t>
      </w:r>
    </w:p>
    <w:p w14:paraId="36AEC71E"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lastRenderedPageBreak/>
        <w:t>XLV. Versión pública:</w:t>
      </w:r>
      <w:r w:rsidRPr="005E518B">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6A19AB61"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p>
    <w:p w14:paraId="75D08E23"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Artículo 91.</w:t>
      </w:r>
      <w:r w:rsidRPr="005E518B">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CE9D61D" w14:textId="77777777" w:rsidR="006C541E" w:rsidRPr="005E518B" w:rsidRDefault="006C541E" w:rsidP="006C541E">
      <w:pPr>
        <w:spacing w:before="120" w:after="120"/>
        <w:ind w:left="851" w:right="902"/>
        <w:jc w:val="both"/>
        <w:rPr>
          <w:rFonts w:ascii="Palatino Linotype" w:eastAsia="Palatino Linotype" w:hAnsi="Palatino Linotype" w:cs="Palatino Linotype"/>
          <w:b/>
          <w:i/>
          <w:sz w:val="22"/>
          <w:szCs w:val="22"/>
        </w:rPr>
      </w:pPr>
      <w:r w:rsidRPr="005E518B">
        <w:rPr>
          <w:rFonts w:ascii="Palatino Linotype" w:eastAsia="Palatino Linotype" w:hAnsi="Palatino Linotype" w:cs="Palatino Linotype"/>
          <w:b/>
          <w:i/>
          <w:sz w:val="22"/>
          <w:szCs w:val="22"/>
        </w:rPr>
        <w:t>...</w:t>
      </w:r>
    </w:p>
    <w:p w14:paraId="11C80B0D" w14:textId="77777777" w:rsidR="006C541E" w:rsidRPr="005E518B" w:rsidRDefault="006C541E" w:rsidP="006C541E">
      <w:pPr>
        <w:spacing w:before="120" w:after="120"/>
        <w:ind w:left="851" w:right="902"/>
        <w:jc w:val="both"/>
        <w:rPr>
          <w:rFonts w:ascii="Palatino Linotype" w:hAnsi="Palatino Linotype"/>
          <w:i/>
          <w:sz w:val="22"/>
          <w:szCs w:val="22"/>
        </w:rPr>
      </w:pPr>
      <w:r w:rsidRPr="005E518B">
        <w:rPr>
          <w:rFonts w:ascii="Palatino Linotype" w:hAnsi="Palatino Linotype"/>
          <w:b/>
          <w:i/>
          <w:sz w:val="22"/>
          <w:szCs w:val="22"/>
        </w:rPr>
        <w:t>Artículo 129.</w:t>
      </w:r>
      <w:r w:rsidRPr="005E518B">
        <w:rPr>
          <w:rFonts w:ascii="Palatino Linotype" w:hAnsi="Palatino Linotype"/>
          <w:i/>
          <w:sz w:val="22"/>
          <w:szCs w:val="22"/>
        </w:rPr>
        <w:t xml:space="preserve"> En la aplicación de la prueba de daño, el sujeto obligado deberá precisar las razones objetivas por las que la apertura de la información generaría una afectación, justificando que:</w:t>
      </w:r>
    </w:p>
    <w:p w14:paraId="425CB682" w14:textId="77777777" w:rsidR="006C541E" w:rsidRPr="005E518B" w:rsidRDefault="006C541E" w:rsidP="006C541E">
      <w:pPr>
        <w:spacing w:before="120" w:after="120"/>
        <w:ind w:left="851" w:right="902"/>
        <w:jc w:val="both"/>
        <w:rPr>
          <w:rFonts w:ascii="Palatino Linotype" w:eastAsia="Palatino Linotype" w:hAnsi="Palatino Linotype" w:cs="Palatino Linotype"/>
          <w:b/>
          <w:i/>
          <w:sz w:val="22"/>
          <w:szCs w:val="22"/>
        </w:rPr>
      </w:pPr>
      <w:r w:rsidRPr="005E518B">
        <w:rPr>
          <w:rFonts w:ascii="Palatino Linotype" w:hAnsi="Palatino Linotype"/>
          <w:i/>
          <w:sz w:val="22"/>
          <w:szCs w:val="22"/>
        </w:rPr>
        <w:t>...</w:t>
      </w:r>
    </w:p>
    <w:p w14:paraId="79D26952"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Artículo 132.</w:t>
      </w:r>
      <w:r w:rsidRPr="005E518B">
        <w:rPr>
          <w:rFonts w:ascii="Palatino Linotype" w:eastAsia="Palatino Linotype" w:hAnsi="Palatino Linotype" w:cs="Palatino Linotype"/>
          <w:i/>
          <w:sz w:val="22"/>
          <w:szCs w:val="22"/>
        </w:rPr>
        <w:t xml:space="preserve"> La clasificación de la información se llevará a cabo en el momento en que:</w:t>
      </w:r>
    </w:p>
    <w:p w14:paraId="181F75AA"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w:t>
      </w:r>
      <w:r w:rsidRPr="005E518B">
        <w:rPr>
          <w:rFonts w:ascii="Palatino Linotype" w:eastAsia="Palatino Linotype" w:hAnsi="Palatino Linotype" w:cs="Palatino Linotype"/>
          <w:i/>
          <w:sz w:val="22"/>
          <w:szCs w:val="22"/>
        </w:rPr>
        <w:t>. Se reciba una solicitud de acceso a la información;</w:t>
      </w:r>
    </w:p>
    <w:p w14:paraId="09F1AC70"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II.</w:t>
      </w:r>
      <w:r w:rsidRPr="005E518B">
        <w:rPr>
          <w:rFonts w:ascii="Palatino Linotype" w:eastAsia="Palatino Linotype" w:hAnsi="Palatino Linotype" w:cs="Palatino Linotype"/>
          <w:i/>
          <w:sz w:val="22"/>
          <w:szCs w:val="22"/>
        </w:rPr>
        <w:t xml:space="preserve"> Se determine mediante resolución de autoridad competente; o</w:t>
      </w:r>
    </w:p>
    <w:p w14:paraId="17710893"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III.</w:t>
      </w:r>
      <w:r w:rsidRPr="005E518B">
        <w:rPr>
          <w:rFonts w:ascii="Palatino Linotype" w:eastAsia="Palatino Linotype" w:hAnsi="Palatino Linotype" w:cs="Palatino Linotype"/>
          <w:i/>
          <w:sz w:val="22"/>
          <w:szCs w:val="22"/>
        </w:rPr>
        <w:t xml:space="preserve"> Se generen versiones públicas para dar cumplimiento a las obligaciones de transparencia previstas en esta Ley.</w:t>
      </w:r>
    </w:p>
    <w:p w14:paraId="6662B89B"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p>
    <w:p w14:paraId="7450FDE7"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Artículo 137.</w:t>
      </w:r>
      <w:r w:rsidRPr="005E518B">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622980D3" w14:textId="77777777" w:rsidR="006C541E" w:rsidRPr="005E518B" w:rsidRDefault="006C541E" w:rsidP="006C541E">
      <w:pPr>
        <w:spacing w:before="120" w:after="120"/>
        <w:ind w:left="851" w:right="902"/>
        <w:jc w:val="both"/>
        <w:rPr>
          <w:rFonts w:ascii="Palatino Linotype" w:eastAsia="Palatino Linotype" w:hAnsi="Palatino Linotype" w:cs="Palatino Linotype"/>
          <w:b/>
          <w:i/>
          <w:sz w:val="22"/>
          <w:szCs w:val="22"/>
        </w:rPr>
      </w:pPr>
      <w:r w:rsidRPr="005E518B">
        <w:rPr>
          <w:rFonts w:ascii="Palatino Linotype" w:eastAsia="Palatino Linotype" w:hAnsi="Palatino Linotype" w:cs="Palatino Linotype"/>
          <w:b/>
          <w:i/>
          <w:sz w:val="22"/>
          <w:szCs w:val="22"/>
        </w:rPr>
        <w:t>…</w:t>
      </w:r>
    </w:p>
    <w:p w14:paraId="6D400CDF"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0"/>
          <w:szCs w:val="22"/>
        </w:rPr>
      </w:pPr>
      <w:r w:rsidRPr="005E518B">
        <w:rPr>
          <w:rFonts w:ascii="Palatino Linotype" w:hAnsi="Palatino Linotype"/>
          <w:b/>
          <w:i/>
          <w:sz w:val="22"/>
        </w:rPr>
        <w:t>Artículo 140</w:t>
      </w:r>
      <w:r w:rsidRPr="005E518B">
        <w:rPr>
          <w:rFonts w:ascii="Palatino Linotype" w:hAnsi="Palatino Linotype"/>
          <w:i/>
          <w:sz w:val="22"/>
        </w:rPr>
        <w:t>. El acceso a la información pública será restringido excepcionalmente, cuando por razones de interés público, ésta sea clasificada como reservada, conforme a los criterios siguientes:</w:t>
      </w:r>
    </w:p>
    <w:p w14:paraId="4D3AA845" w14:textId="77777777" w:rsidR="006C541E" w:rsidRPr="005E518B" w:rsidRDefault="006C541E" w:rsidP="006C541E">
      <w:pPr>
        <w:spacing w:before="120" w:after="120"/>
        <w:ind w:left="1134" w:right="902"/>
        <w:jc w:val="both"/>
        <w:rPr>
          <w:rFonts w:ascii="Palatino Linotype" w:hAnsi="Palatino Linotype"/>
          <w:i/>
          <w:sz w:val="22"/>
        </w:rPr>
      </w:pPr>
      <w:r w:rsidRPr="005E518B">
        <w:rPr>
          <w:rFonts w:ascii="Palatino Linotype" w:hAnsi="Palatino Linotype"/>
          <w:b/>
          <w:i/>
          <w:sz w:val="22"/>
        </w:rPr>
        <w:t>I</w:t>
      </w:r>
      <w:r w:rsidRPr="005E518B">
        <w:rPr>
          <w:rFonts w:ascii="Palatino Linotype" w:hAnsi="Palatino Linotype"/>
          <w:i/>
          <w:sz w:val="22"/>
        </w:rPr>
        <w:t>. Comprometa la seguridad pública y cuente con un propósito genuino y un efecto demostrable;</w:t>
      </w:r>
    </w:p>
    <w:p w14:paraId="1DA1FD78" w14:textId="15120796" w:rsidR="006C541E" w:rsidRPr="005E518B" w:rsidRDefault="006C541E" w:rsidP="006C541E">
      <w:pPr>
        <w:spacing w:before="120" w:after="120"/>
        <w:ind w:left="1134" w:right="902"/>
        <w:jc w:val="both"/>
        <w:rPr>
          <w:rFonts w:ascii="Palatino Linotype" w:eastAsia="Palatino Linotype" w:hAnsi="Palatino Linotype" w:cs="Palatino Linotype"/>
          <w:b/>
          <w:i/>
          <w:sz w:val="20"/>
          <w:szCs w:val="22"/>
        </w:rPr>
      </w:pPr>
      <w:r w:rsidRPr="005E518B">
        <w:rPr>
          <w:rFonts w:ascii="Palatino Linotype" w:eastAsia="Palatino Linotype" w:hAnsi="Palatino Linotype" w:cs="Palatino Linotype"/>
          <w:b/>
          <w:i/>
          <w:sz w:val="20"/>
          <w:szCs w:val="22"/>
        </w:rPr>
        <w:t>...</w:t>
      </w:r>
    </w:p>
    <w:p w14:paraId="6FB9AF3A" w14:textId="22D349AC" w:rsidR="006C541E" w:rsidRPr="005E518B" w:rsidRDefault="00285EC0" w:rsidP="00285EC0">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IV.</w:t>
      </w:r>
      <w:r w:rsidRPr="005E518B">
        <w:rPr>
          <w:rFonts w:ascii="Palatino Linotype" w:eastAsia="Palatino Linotype" w:hAnsi="Palatino Linotype" w:cs="Palatino Linotype"/>
          <w:i/>
          <w:sz w:val="22"/>
          <w:szCs w:val="22"/>
        </w:rPr>
        <w:t xml:space="preserve"> Ponga en riesgo la vida, la seguridad o la salud de una persona física;</w:t>
      </w:r>
    </w:p>
    <w:p w14:paraId="5E563036" w14:textId="77777777" w:rsidR="006C541E" w:rsidRPr="005E518B" w:rsidRDefault="006C541E" w:rsidP="006C541E">
      <w:pPr>
        <w:spacing w:before="120" w:after="120"/>
        <w:ind w:left="851" w:right="902"/>
        <w:jc w:val="both"/>
        <w:rPr>
          <w:rFonts w:ascii="Palatino Linotype" w:eastAsia="Palatino Linotype" w:hAnsi="Palatino Linotype" w:cs="Palatino Linotype"/>
          <w:b/>
          <w:i/>
          <w:sz w:val="22"/>
          <w:szCs w:val="22"/>
        </w:rPr>
      </w:pPr>
      <w:r w:rsidRPr="005E518B">
        <w:rPr>
          <w:rFonts w:ascii="Palatino Linotype" w:eastAsia="Palatino Linotype" w:hAnsi="Palatino Linotype" w:cs="Palatino Linotype"/>
          <w:b/>
          <w:i/>
          <w:sz w:val="22"/>
          <w:szCs w:val="22"/>
        </w:rPr>
        <w:t>...</w:t>
      </w:r>
    </w:p>
    <w:p w14:paraId="2B847CF5"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Artículo 143</w:t>
      </w:r>
      <w:r w:rsidRPr="005E518B">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4BA87B7" w14:textId="77777777" w:rsidR="006C541E" w:rsidRPr="005E518B" w:rsidRDefault="006C541E" w:rsidP="006C541E">
      <w:pP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lastRenderedPageBreak/>
        <w:t>I.</w:t>
      </w:r>
      <w:r w:rsidRPr="005E518B">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52F5409C" w14:textId="458B8C2E"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Igualmente, lo establecido en los Lineamientos Generales en Materia de Clasificación y Desclasificación de la Información, así como para la elaboración de Versiones Públicas, </w:t>
      </w:r>
      <w:r w:rsidR="004C66A3" w:rsidRPr="005E518B">
        <w:rPr>
          <w:rFonts w:ascii="Palatino Linotype" w:eastAsia="Palatino Linotype" w:hAnsi="Palatino Linotype" w:cs="Palatino Linotype"/>
        </w:rPr>
        <w:t>vigentes a la fecha de la solicitud</w:t>
      </w:r>
      <w:r w:rsidRPr="005E518B">
        <w:rPr>
          <w:rFonts w:ascii="Palatino Linotype" w:eastAsia="Palatino Linotype" w:hAnsi="Palatino Linotype" w:cs="Palatino Linotype"/>
        </w:rPr>
        <w:t>,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5BC854D" w14:textId="77777777" w:rsidR="006C541E" w:rsidRPr="005E518B" w:rsidRDefault="006C541E" w:rsidP="006C541E">
      <w:pPr>
        <w:spacing w:before="240" w:after="240" w:line="360" w:lineRule="auto"/>
        <w:jc w:val="both"/>
        <w:rPr>
          <w:rFonts w:ascii="Palatino Linotype" w:eastAsia="Palatino Linotype" w:hAnsi="Palatino Linotype" w:cs="Palatino Linotype"/>
          <w:b/>
        </w:rPr>
      </w:pPr>
      <w:r w:rsidRPr="005E518B">
        <w:rPr>
          <w:rFonts w:ascii="Palatino Linotype" w:eastAsia="Palatino Linotype" w:hAnsi="Palatino Linotype" w:cs="Palatino Linotype"/>
        </w:rPr>
        <w:t xml:space="preserve">De esta manera, la información que se ordena pudiera contener, de manera enunciativa, más no limitativa, información relacionada con </w:t>
      </w:r>
      <w:r w:rsidRPr="005E518B">
        <w:rPr>
          <w:rFonts w:ascii="Palatino Linotype" w:hAnsi="Palatino Linotype" w:cs="Arial"/>
        </w:rPr>
        <w:t xml:space="preserve">el equipamiento y características técnicas de patrullas, que de </w:t>
      </w:r>
      <w:r w:rsidRPr="005E518B">
        <w:rPr>
          <w:rFonts w:ascii="Palatino Linotype" w:eastAsia="Palatino Linotype" w:hAnsi="Palatino Linotype" w:cs="Palatino Linotype"/>
        </w:rPr>
        <w:t>proporcionarse podría comprometer la seguridad pública, al poner en peligro las funciones a cargo del Municipio, tendentes a preservar y resguardar la vida, la salud, la integridad y el ejercicio de los derechos de las personas, así como para el mantenimiento del orden público, toda vez que podría dar cuenta de las tecnologías, equipos y sistemas con los que cuenta la Dirección de Seguridad Pública o equivalente</w:t>
      </w:r>
      <w:r w:rsidRPr="005E518B">
        <w:rPr>
          <w:rFonts w:ascii="Palatino Linotype" w:eastAsia="Palatino Linotype" w:hAnsi="Palatino Linotype" w:cs="Palatino Linotype"/>
          <w:b/>
        </w:rPr>
        <w:t xml:space="preserve"> </w:t>
      </w:r>
      <w:r w:rsidRPr="005E518B">
        <w:rPr>
          <w:rFonts w:ascii="Palatino Linotype" w:eastAsia="Palatino Linotype" w:hAnsi="Palatino Linotype" w:cs="Palatino Linotype"/>
        </w:rPr>
        <w:t>y por lo tanto, acredita la causal de clasificación prevista en el artículo 140, fracción I de la Ley de Transparencia y Acceso a la Información Pública del Estado de México</w:t>
      </w:r>
      <w:r w:rsidRPr="005E518B">
        <w:rPr>
          <w:rFonts w:ascii="Palatino Linotype" w:eastAsia="Palatino Linotype" w:hAnsi="Palatino Linotype" w:cs="Palatino Linotype"/>
          <w:b/>
        </w:rPr>
        <w:t>.</w:t>
      </w:r>
    </w:p>
    <w:p w14:paraId="04F6DE17" w14:textId="52FF2BFB"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Asimismo, toda vez que se solicita información de los servidores públicos que tienen a su cargo las unidades vehiculares, pudiera existir información que ponga en riesgo los integrantes de las corporaciones policiacas, esto es así derivado de las funciones encomendadas en términos del artículo 21 párrafo noveno de la Constitución Política de los Estados Unidos Mexicanos, de las cuales comprende la prevención de </w:t>
      </w:r>
      <w:r w:rsidRPr="005E518B">
        <w:rPr>
          <w:rFonts w:ascii="Palatino Linotype" w:eastAsia="Palatino Linotype" w:hAnsi="Palatino Linotype" w:cs="Palatino Linotype"/>
        </w:rPr>
        <w:lastRenderedPageBreak/>
        <w:t>los delitos, investigación y persecución para hacerla efectiva, lo cual permite a</w:t>
      </w:r>
      <w:r w:rsidR="00762756" w:rsidRPr="005E518B">
        <w:rPr>
          <w:rFonts w:ascii="Palatino Linotype" w:eastAsia="Palatino Linotype" w:hAnsi="Palatino Linotype" w:cs="Palatino Linotype"/>
        </w:rPr>
        <w:t xml:space="preserve"> este Instituto</w:t>
      </w:r>
      <w:r w:rsidRPr="005E518B">
        <w:rPr>
          <w:rFonts w:ascii="Palatino Linotype" w:eastAsia="Palatino Linotype" w:hAnsi="Palatino Linotype" w:cs="Palatino Linotype"/>
        </w:rPr>
        <w:t xml:space="preserve"> proteger los datos de los servidores públicos de la Dirección de Seguridad Pública o equivalente, </w:t>
      </w:r>
      <w:r w:rsidRPr="005E518B">
        <w:rPr>
          <w:rFonts w:ascii="Palatino Linotype" w:eastAsia="Palatino Linotype" w:hAnsi="Palatino Linotype" w:cs="Palatino Linotype"/>
          <w:b/>
          <w:u w:val="single"/>
        </w:rPr>
        <w:t>sólo por cuanto hace al nombre</w:t>
      </w:r>
      <w:r w:rsidR="00762756" w:rsidRPr="005E518B">
        <w:rPr>
          <w:rFonts w:ascii="Palatino Linotype" w:eastAsia="Palatino Linotype" w:hAnsi="Palatino Linotype" w:cs="Palatino Linotype"/>
          <w:b/>
          <w:u w:val="single"/>
        </w:rPr>
        <w:t xml:space="preserve"> completo</w:t>
      </w:r>
      <w:r w:rsidRPr="005E518B">
        <w:rPr>
          <w:rFonts w:ascii="Palatino Linotype" w:eastAsia="Palatino Linotype" w:hAnsi="Palatino Linotype" w:cs="Palatino Linotype"/>
        </w:rPr>
        <w:t xml:space="preserve">; circunstancia que en nada afecta al derecho tutelado por este Organismo Garante sino por el contrario también reafirma su compromiso con la rendición de cuentas del Estado y la protección a grupos vulnerables de acuerdo al cargo de seguridad Municipal, por lo que deberá testarse de igual manera sólo el nombre de los servidores públicos de la Policía Municipal </w:t>
      </w:r>
      <w:r w:rsidRPr="005E518B">
        <w:rPr>
          <w:rFonts w:ascii="Palatino Linotype" w:eastAsia="Palatino Linotype" w:hAnsi="Palatino Linotype" w:cs="Palatino Linotype"/>
          <w:b/>
        </w:rPr>
        <w:t>que desempeñen funciones operativas</w:t>
      </w:r>
      <w:r w:rsidRPr="005E518B">
        <w:rPr>
          <w:rFonts w:ascii="Palatino Linotype" w:eastAsia="Palatino Linotype" w:hAnsi="Palatino Linotype" w:cs="Palatino Linotype"/>
        </w:rPr>
        <w:t>.</w:t>
      </w:r>
    </w:p>
    <w:p w14:paraId="0DB2BB33" w14:textId="788096FD"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Al respecto, la información </w:t>
      </w:r>
      <w:r w:rsidRPr="005E518B">
        <w:rPr>
          <w:rFonts w:ascii="Palatino Linotype" w:eastAsia="Palatino Linotype" w:hAnsi="Palatino Linotype" w:cs="Palatino Linotype"/>
          <w:b/>
        </w:rPr>
        <w:t xml:space="preserve">de los elementos que realizan </w:t>
      </w:r>
      <w:r w:rsidR="00762756" w:rsidRPr="005E518B">
        <w:rPr>
          <w:rFonts w:ascii="Palatino Linotype" w:eastAsia="Palatino Linotype" w:hAnsi="Palatino Linotype" w:cs="Palatino Linotype"/>
          <w:b/>
        </w:rPr>
        <w:t>funciones operativas, entre ella</w:t>
      </w:r>
      <w:r w:rsidRPr="005E518B">
        <w:rPr>
          <w:rFonts w:ascii="Palatino Linotype" w:eastAsia="Palatino Linotype" w:hAnsi="Palatino Linotype" w:cs="Palatino Linotype"/>
          <w:b/>
        </w:rPr>
        <w:t xml:space="preserve"> su nombre</w:t>
      </w:r>
      <w:r w:rsidR="00762756" w:rsidRPr="005E518B">
        <w:rPr>
          <w:rFonts w:ascii="Palatino Linotype" w:eastAsia="Palatino Linotype" w:hAnsi="Palatino Linotype" w:cs="Palatino Linotype"/>
          <w:b/>
        </w:rPr>
        <w:t xml:space="preserve"> completo</w:t>
      </w:r>
      <w:r w:rsidRPr="005E518B">
        <w:rPr>
          <w:rFonts w:ascii="Palatino Linotype" w:eastAsia="Palatino Linotype" w:hAnsi="Palatino Linotype" w:cs="Palatino Linotype"/>
          <w:b/>
        </w:rPr>
        <w:t>, debe</w:t>
      </w:r>
      <w:r w:rsidR="00762756" w:rsidRPr="005E518B">
        <w:rPr>
          <w:rFonts w:ascii="Palatino Linotype" w:eastAsia="Palatino Linotype" w:hAnsi="Palatino Linotype" w:cs="Palatino Linotype"/>
          <w:b/>
        </w:rPr>
        <w:t xml:space="preserve"> ser protegida </w:t>
      </w:r>
      <w:r w:rsidRPr="005E518B">
        <w:rPr>
          <w:rFonts w:ascii="Palatino Linotype" w:eastAsia="Palatino Linotype" w:hAnsi="Palatino Linotype" w:cs="Palatino Linotype"/>
        </w:rPr>
        <w:t>con la finalidad de evitar la identificación de las personas al amparo de la protección a la vida, salud y seguridad; porque los miembros de las instituciones policiales o que realizan actividades operativas en materia de seguridad pública, se encuentran en un régimen de excepción a diferencia de los servidores públicos con funciones administrativas, ello obedece a que el sólo ejercicio de las funciones que tienen encomendadas lleva implícito el riesgo a su integridad, toda vez que son responsables de procurar el orden, la estabilidad y la defensa de la sociedad a la que pertenecen, lo que se traduce en la prevención de delitos y combate a los delincuentes.</w:t>
      </w:r>
    </w:p>
    <w:p w14:paraId="1CC458C3" w14:textId="7324ACB9"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Es importante mencionar que la causal de reserva antes señalada, puede ubicarse en los supuestos previstos por los artículos 140 fracción IV de la Ley de Transparencia y  Acceso a la Información Pública del Estado de México y Municipios, que a su vez se vincula con los requisitos previstos por los numerales Vigésimo tercero y Trigésim</w:t>
      </w:r>
      <w:r w:rsidR="00762756" w:rsidRPr="005E518B">
        <w:rPr>
          <w:rFonts w:ascii="Palatino Linotype" w:eastAsia="Palatino Linotype" w:hAnsi="Palatino Linotype" w:cs="Palatino Linotype"/>
        </w:rPr>
        <w:t xml:space="preserve">o tercero, de los Lineamientos Generales en Materia de Clasificación y </w:t>
      </w:r>
      <w:r w:rsidR="00762756" w:rsidRPr="005E518B">
        <w:rPr>
          <w:rFonts w:ascii="Palatino Linotype" w:eastAsia="Palatino Linotype" w:hAnsi="Palatino Linotype" w:cs="Palatino Linotype"/>
        </w:rPr>
        <w:lastRenderedPageBreak/>
        <w:t>Desclasificación de la I</w:t>
      </w:r>
      <w:r w:rsidRPr="005E518B">
        <w:rPr>
          <w:rFonts w:ascii="Palatino Linotype" w:eastAsia="Palatino Linotype" w:hAnsi="Palatino Linotype" w:cs="Palatino Linotype"/>
        </w:rPr>
        <w:t xml:space="preserve">nformación, así como para la elaboración de </w:t>
      </w:r>
      <w:r w:rsidR="00762756" w:rsidRPr="005E518B">
        <w:rPr>
          <w:rFonts w:ascii="Palatino Linotype" w:eastAsia="Palatino Linotype" w:hAnsi="Palatino Linotype" w:cs="Palatino Linotype"/>
        </w:rPr>
        <w:t>Versiones P</w:t>
      </w:r>
      <w:r w:rsidR="004C66A3" w:rsidRPr="005E518B">
        <w:rPr>
          <w:rFonts w:ascii="Palatino Linotype" w:eastAsia="Palatino Linotype" w:hAnsi="Palatino Linotype" w:cs="Palatino Linotype"/>
        </w:rPr>
        <w:t>úblicas vigentes a la fecha de la solicitud,</w:t>
      </w:r>
      <w:r w:rsidRPr="005E518B">
        <w:rPr>
          <w:rFonts w:ascii="Palatino Linotype" w:eastAsia="Palatino Linotype" w:hAnsi="Palatino Linotype" w:cs="Palatino Linotype"/>
        </w:rPr>
        <w:t xml:space="preserve"> al aplicar la prueba de daño correspondiente.</w:t>
      </w:r>
    </w:p>
    <w:p w14:paraId="4C52B2A3" w14:textId="0F25F5DC"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Conforme a lo anterior, de ser el caso, se considera que el Ayuntamiento, deberá entregar el acuerdo de clasificación emitido por el Comité de Transparencia, en donde de manera fundada y motivada, a través de una prueba de daño, confirme la clasificación como reservada, en términos del artículo 140, fracci</w:t>
      </w:r>
      <w:r w:rsidR="00762756" w:rsidRPr="005E518B">
        <w:rPr>
          <w:rFonts w:ascii="Palatino Linotype" w:eastAsia="Palatino Linotype" w:hAnsi="Palatino Linotype" w:cs="Palatino Linotype"/>
        </w:rPr>
        <w:t>ones</w:t>
      </w:r>
      <w:r w:rsidRPr="005E518B">
        <w:rPr>
          <w:rFonts w:ascii="Palatino Linotype" w:eastAsia="Palatino Linotype" w:hAnsi="Palatino Linotype" w:cs="Palatino Linotype"/>
        </w:rPr>
        <w:t xml:space="preserve"> I</w:t>
      </w:r>
      <w:r w:rsidR="00762756" w:rsidRPr="005E518B">
        <w:rPr>
          <w:rFonts w:ascii="Palatino Linotype" w:eastAsia="Palatino Linotype" w:hAnsi="Palatino Linotype" w:cs="Palatino Linotype"/>
        </w:rPr>
        <w:t xml:space="preserve"> y IV</w:t>
      </w:r>
      <w:r w:rsidRPr="005E518B">
        <w:rPr>
          <w:rFonts w:ascii="Palatino Linotype" w:eastAsia="Palatino Linotype" w:hAnsi="Palatino Linotype" w:cs="Palatino Linotype"/>
        </w:rPr>
        <w:t xml:space="preserve"> de la Ley de Transparencia y Acceso a la Información Pública del Estado de México y Municipios, de </w:t>
      </w:r>
      <w:r w:rsidRPr="005E518B">
        <w:rPr>
          <w:rFonts w:ascii="Palatino Linotype" w:eastAsia="Palatino Linotype" w:hAnsi="Palatino Linotype"/>
        </w:rPr>
        <w:t xml:space="preserve">las </w:t>
      </w:r>
      <w:r w:rsidRPr="005E518B">
        <w:rPr>
          <w:rFonts w:ascii="Palatino Linotype" w:eastAsia="Palatino Linotype" w:hAnsi="Palatino Linotype" w:cs="Palatino Linotype"/>
        </w:rPr>
        <w:t>especificaciones técnicas y equipamiento de patrullas municipales,</w:t>
      </w:r>
      <w:r w:rsidR="00762756" w:rsidRPr="005E518B">
        <w:rPr>
          <w:rFonts w:ascii="Palatino Linotype" w:eastAsia="Palatino Linotype" w:hAnsi="Palatino Linotype" w:cs="Palatino Linotype"/>
        </w:rPr>
        <w:t xml:space="preserve"> y del nombre de los servidores públicos que desempeñen funciones operativas en la Dirección de Seguridad Pública</w:t>
      </w:r>
      <w:r w:rsidR="00762756" w:rsidRPr="005E518B">
        <w:rPr>
          <w:rFonts w:ascii="Palatino Linotype" w:eastAsia="Palatino Linotype" w:hAnsi="Palatino Linotype" w:cs="Palatino Linotype"/>
          <w:b/>
        </w:rPr>
        <w:t xml:space="preserve">  </w:t>
      </w:r>
      <w:r w:rsidR="00762756" w:rsidRPr="005E518B">
        <w:rPr>
          <w:rFonts w:ascii="Palatino Linotype" w:eastAsia="Palatino Linotype" w:hAnsi="Palatino Linotype"/>
        </w:rPr>
        <w:t>o equivalente que tengan patrullas a su cargo,</w:t>
      </w:r>
      <w:r w:rsidRPr="005E518B">
        <w:rPr>
          <w:rFonts w:ascii="Palatino Linotype" w:eastAsia="Palatino Linotype" w:hAnsi="Palatino Linotype" w:cs="Palatino Linotype"/>
        </w:rPr>
        <w:t xml:space="preserve"> a través de la versión pública que entregue.</w:t>
      </w:r>
    </w:p>
    <w:p w14:paraId="1B9C04FD"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Lo anterior, sin perder de vista que la Constitución Política de los Estados Unidos Mexicanos le otorga a todos los documentos en posesión de las autoridades la calidad de públicos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14:paraId="4B78155B"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Asimismo, es pertinente aclarar que, la información que se clasifica bajo la premisa de reservada, no pierde el carácter de pública, sino que se reserva temporalmente </w:t>
      </w:r>
      <w:r w:rsidRPr="005E518B">
        <w:rPr>
          <w:rFonts w:ascii="Palatino Linotype" w:eastAsia="Palatino Linotype" w:hAnsi="Palatino Linotype" w:cs="Palatino Linotype"/>
        </w:rPr>
        <w:lastRenderedPageBreak/>
        <w:t>del conocimiento público, es decir, que, por un tiempo determinado, se conservará y custodiará la información de manera especial, y una vez transcurrido el plazo de reserva, el documento podrá divulgarse.</w:t>
      </w:r>
    </w:p>
    <w:p w14:paraId="58D82DC8"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de Circuito, Libro 5, de fecha abril de 2014, pág. 1523, Registro, 2,006,299. I.1o.A.E.3 K (10a.), que literalmente señala:</w:t>
      </w:r>
    </w:p>
    <w:p w14:paraId="786136CE" w14:textId="77777777" w:rsidR="006C541E" w:rsidRPr="005E518B" w:rsidRDefault="006C541E" w:rsidP="006C541E">
      <w:pPr>
        <w:tabs>
          <w:tab w:val="left" w:pos="7938"/>
        </w:tabs>
        <w:ind w:left="851"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w:t>
      </w:r>
      <w:r w:rsidRPr="005E518B">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5E518B">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5E518B">
        <w:rPr>
          <w:rFonts w:ascii="Palatino Linotype" w:eastAsia="Palatino Linotype" w:hAnsi="Palatino Linotype" w:cs="Palatino Linotype"/>
          <w:i/>
          <w:sz w:val="22"/>
          <w:szCs w:val="22"/>
        </w:rPr>
        <w:t>officio</w:t>
      </w:r>
      <w:proofErr w:type="spellEnd"/>
      <w:r w:rsidRPr="005E518B">
        <w:rPr>
          <w:rFonts w:ascii="Palatino Linotype" w:eastAsia="Palatino Linotype" w:hAnsi="Palatino Linotype" w:cs="Palatino Linotype"/>
          <w:i/>
          <w:sz w:val="22"/>
          <w:szCs w:val="22"/>
        </w:rPr>
        <w:t>, con el propósito de obtener una versión que sea pública para la parte interesada.” (sic)</w:t>
      </w:r>
    </w:p>
    <w:p w14:paraId="1185EC28"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Por todo lo anterior, la reserva de la información implica una clasificación, la cual debe entenderse como el proceso mediante el cual el</w:t>
      </w:r>
      <w:r w:rsidRPr="005E518B">
        <w:rPr>
          <w:rFonts w:ascii="Palatino Linotype" w:eastAsia="Palatino Linotype" w:hAnsi="Palatino Linotype" w:cs="Palatino Linotype"/>
          <w:b/>
        </w:rPr>
        <w:t xml:space="preserve"> Sujeto Obligado</w:t>
      </w:r>
      <w:r w:rsidRPr="005E518B">
        <w:rPr>
          <w:rFonts w:ascii="Palatino Linotype" w:eastAsia="Palatino Linotype" w:hAnsi="Palatino Linotype" w:cs="Palatino Linotype"/>
        </w:rPr>
        <w:t xml:space="preserve"> determina </w:t>
      </w:r>
      <w:r w:rsidRPr="005E518B">
        <w:rPr>
          <w:rFonts w:ascii="Palatino Linotype" w:eastAsia="Palatino Linotype" w:hAnsi="Palatino Linotype" w:cs="Palatino Linotype"/>
        </w:rPr>
        <w:lastRenderedPageBreak/>
        <w:t xml:space="preserve">que la información en su poder </w:t>
      </w:r>
      <w:proofErr w:type="spellStart"/>
      <w:r w:rsidRPr="005E518B">
        <w:rPr>
          <w:rFonts w:ascii="Palatino Linotype" w:eastAsia="Palatino Linotype" w:hAnsi="Palatino Linotype" w:cs="Palatino Linotype"/>
        </w:rPr>
        <w:t>actualiza</w:t>
      </w:r>
      <w:proofErr w:type="spellEnd"/>
      <w:r w:rsidRPr="005E518B">
        <w:rPr>
          <w:rFonts w:ascii="Palatino Linotype" w:eastAsia="Palatino Linotype" w:hAnsi="Palatino Linotype" w:cs="Palatino Linotype"/>
        </w:rPr>
        <w:t xml:space="preserve"> alguno de los supuestos conforme a las normas aplicables.</w:t>
      </w:r>
    </w:p>
    <w:p w14:paraId="59C17B91"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información, por actualizarse alguno de los supuestos de clasificación, el Comité de Transparencia debe confirmar, modificar o revocar la decisión, que para motivar la clasificación de la información y la ampliación del plazo de reserva, se deberán de señalar las razones, motivos o circunstancias especiales que llevaron al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a concluir que el caso particular se ajusta al supuesto previsto por la norma legal invocada como fundamento; siendo que, además, el</w:t>
      </w:r>
      <w:r w:rsidRPr="005E518B">
        <w:rPr>
          <w:rFonts w:ascii="Palatino Linotype" w:eastAsia="Palatino Linotype" w:hAnsi="Palatino Linotype" w:cs="Palatino Linotype"/>
          <w:b/>
        </w:rPr>
        <w:t xml:space="preserve"> Sujeto Obligado</w:t>
      </w:r>
      <w:r w:rsidRPr="005E518B">
        <w:rPr>
          <w:rFonts w:ascii="Palatino Linotype" w:eastAsia="Palatino Linotype" w:hAnsi="Palatino Linotype" w:cs="Palatino Linotype"/>
        </w:rPr>
        <w:t xml:space="preserve"> debe, en todo momento, aplicar una prueba de daño.</w:t>
      </w:r>
    </w:p>
    <w:p w14:paraId="6EAE5CFD"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w:t>
      </w:r>
    </w:p>
    <w:p w14:paraId="323244A8"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De este modo, conforme al artículo 132 en correlación con el 49, fracción II de la Ley de Transparencia y Acceso a la Información Pública del Estado de México y Municipios, para clasificar la información se debe de atender a lo dispuesto por la normativa y aplicar, de manera estricta, las excepciones del derecho de acceso a la </w:t>
      </w:r>
      <w:r w:rsidRPr="005E518B">
        <w:rPr>
          <w:rFonts w:ascii="Palatino Linotype" w:eastAsia="Palatino Linotype" w:hAnsi="Palatino Linotype" w:cs="Palatino Linotype"/>
        </w:rPr>
        <w:lastRenderedPageBreak/>
        <w:t>información y sólo podrán invocarlas cuando acrediten su procedencia, debiendo clasificar la información en el momento en que:</w:t>
      </w:r>
    </w:p>
    <w:p w14:paraId="4D80A67D" w14:textId="77777777" w:rsidR="006C541E" w:rsidRPr="005E518B" w:rsidRDefault="006C541E" w:rsidP="006C541E">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rPr>
      </w:pPr>
      <w:r w:rsidRPr="005E518B">
        <w:rPr>
          <w:rFonts w:ascii="Palatino Linotype" w:eastAsia="Palatino Linotype" w:hAnsi="Palatino Linotype" w:cs="Palatino Linotype"/>
        </w:rPr>
        <w:t>Se reciba una solicitud de acceso a la información;</w:t>
      </w:r>
    </w:p>
    <w:p w14:paraId="5B7FF1DC" w14:textId="77777777" w:rsidR="006C541E" w:rsidRPr="005E518B" w:rsidRDefault="006C541E" w:rsidP="006C541E">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rPr>
      </w:pPr>
      <w:r w:rsidRPr="005E518B">
        <w:rPr>
          <w:rFonts w:ascii="Palatino Linotype" w:eastAsia="Palatino Linotype" w:hAnsi="Palatino Linotype" w:cs="Palatino Linotype"/>
        </w:rPr>
        <w:t>Se determine mediante resolución de autoridad competente; y/o</w:t>
      </w:r>
    </w:p>
    <w:p w14:paraId="566E66B4" w14:textId="77777777" w:rsidR="006C541E" w:rsidRPr="005E518B" w:rsidRDefault="006C541E" w:rsidP="006C541E">
      <w:pPr>
        <w:numPr>
          <w:ilvl w:val="0"/>
          <w:numId w:val="4"/>
        </w:numPr>
        <w:tabs>
          <w:tab w:val="left" w:pos="709"/>
          <w:tab w:val="left" w:pos="851"/>
        </w:tabs>
        <w:spacing w:before="240" w:after="240" w:line="360" w:lineRule="auto"/>
        <w:ind w:left="284" w:firstLine="0"/>
        <w:jc w:val="both"/>
        <w:rPr>
          <w:rFonts w:ascii="Palatino Linotype" w:eastAsia="Palatino Linotype" w:hAnsi="Palatino Linotype" w:cs="Palatino Linotype"/>
        </w:rPr>
      </w:pPr>
      <w:r w:rsidRPr="005E518B">
        <w:rPr>
          <w:rFonts w:ascii="Palatino Linotype" w:eastAsia="Palatino Linotype" w:hAnsi="Palatino Linotype" w:cs="Palatino Linotype"/>
        </w:rPr>
        <w:t>Se generen versiones públicas para dar cumplimiento a las obligaciones de transparencia previstas en la Ley.</w:t>
      </w:r>
    </w:p>
    <w:p w14:paraId="6466E2CD"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Situación que se robustece con el artículo 141 de la misma Ley, que señala que las causales de reserva previstas, se deberán fundar y motivar, a través de la aplicación de la prueba de daño.</w:t>
      </w:r>
    </w:p>
    <w:p w14:paraId="5A17C363"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5CAFA2E7" w14:textId="77777777" w:rsidR="006C541E" w:rsidRPr="005E518B" w:rsidRDefault="006C541E" w:rsidP="006C541E">
      <w:pPr>
        <w:numPr>
          <w:ilvl w:val="0"/>
          <w:numId w:val="3"/>
        </w:numPr>
        <w:spacing w:before="240" w:after="240" w:line="360" w:lineRule="auto"/>
        <w:ind w:left="284" w:firstLine="0"/>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La divulgación de la información representa un </w:t>
      </w:r>
      <w:r w:rsidRPr="005E518B">
        <w:rPr>
          <w:rFonts w:ascii="Palatino Linotype" w:eastAsia="Palatino Linotype" w:hAnsi="Palatino Linotype" w:cs="Palatino Linotype"/>
          <w:b/>
        </w:rPr>
        <w:t>riesgo real, demostrable e identificable del perjuicio significativo al interés público o a la seguridad pública</w:t>
      </w:r>
      <w:r w:rsidRPr="005E518B">
        <w:rPr>
          <w:rFonts w:ascii="Palatino Linotype" w:eastAsia="Palatino Linotype" w:hAnsi="Palatino Linotype" w:cs="Palatino Linotype"/>
        </w:rPr>
        <w:t>;</w:t>
      </w:r>
    </w:p>
    <w:p w14:paraId="59094E02" w14:textId="77777777" w:rsidR="006C541E" w:rsidRPr="005E518B" w:rsidRDefault="006C541E" w:rsidP="006C541E">
      <w:pPr>
        <w:numPr>
          <w:ilvl w:val="0"/>
          <w:numId w:val="3"/>
        </w:numPr>
        <w:spacing w:before="240" w:after="240" w:line="360" w:lineRule="auto"/>
        <w:ind w:left="284" w:firstLine="0"/>
        <w:jc w:val="both"/>
        <w:rPr>
          <w:rFonts w:ascii="Palatino Linotype" w:eastAsia="Palatino Linotype" w:hAnsi="Palatino Linotype" w:cs="Palatino Linotype"/>
        </w:rPr>
      </w:pPr>
      <w:r w:rsidRPr="005E518B">
        <w:rPr>
          <w:rFonts w:ascii="Palatino Linotype" w:eastAsia="Palatino Linotype" w:hAnsi="Palatino Linotype" w:cs="Palatino Linotype"/>
        </w:rPr>
        <w:t>El riesgo de perjuicio que supondría la divulgación supera el interés público general de que se difunda; y,</w:t>
      </w:r>
    </w:p>
    <w:p w14:paraId="5502979D" w14:textId="77777777" w:rsidR="006C541E" w:rsidRPr="005E518B" w:rsidRDefault="006C541E" w:rsidP="006C541E">
      <w:pPr>
        <w:numPr>
          <w:ilvl w:val="0"/>
          <w:numId w:val="3"/>
        </w:numPr>
        <w:spacing w:before="240" w:after="240" w:line="360" w:lineRule="auto"/>
        <w:ind w:left="284" w:firstLine="0"/>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La limitación se adecua al principio de proporcionalidad y representa el medio menos restrictivo disponible para evitar el perjuicio. </w:t>
      </w:r>
    </w:p>
    <w:p w14:paraId="5F7F49A9" w14:textId="77777777" w:rsidR="006C541E" w:rsidRPr="005E518B" w:rsidRDefault="006C541E" w:rsidP="006C541E">
      <w:pPr>
        <w:widowControl w:val="0"/>
        <w:tabs>
          <w:tab w:val="left" w:pos="1276"/>
          <w:tab w:val="left" w:pos="1701"/>
          <w:tab w:val="left" w:pos="1843"/>
        </w:tabs>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Atento a lo anterior, es necesario hacer hincapié que para el caso de que existan causas presentes que impiden la publicidad de la información durante cierto periodo de tiempo, debe clasificar la información como reservada, precisar las razones objetivas por las que la apertura de la información generaría una afectación, asimismo es claro que los mismos deben aplicar de manera restrictiva y limitada las hipótesis de clasificación y no hacerlas valer de manera general.</w:t>
      </w:r>
    </w:p>
    <w:p w14:paraId="3139BA41" w14:textId="77777777" w:rsidR="006C541E" w:rsidRPr="005E518B" w:rsidRDefault="006C541E" w:rsidP="006C541E">
      <w:pPr>
        <w:spacing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Ahora bien, respecto a la información que habrá de ser reservada, resulta necesario señalar que de conformidad con el artículo 3, fracciones XXIV de la Ley de Transparencia y Acceso a la Información Pública del Estado de México y Municipios, se define de la siguiente manera:</w:t>
      </w:r>
    </w:p>
    <w:p w14:paraId="0EAB0BA2" w14:textId="77777777" w:rsidR="006C541E" w:rsidRPr="005E518B" w:rsidRDefault="006C541E" w:rsidP="006C541E">
      <w:pPr>
        <w:spacing w:line="360" w:lineRule="auto"/>
        <w:jc w:val="both"/>
        <w:rPr>
          <w:rFonts w:ascii="Palatino Linotype" w:eastAsia="Palatino Linotype" w:hAnsi="Palatino Linotype" w:cs="Palatino Linotype"/>
          <w:sz w:val="14"/>
          <w:szCs w:val="14"/>
        </w:rPr>
      </w:pPr>
    </w:p>
    <w:p w14:paraId="52EA0C49" w14:textId="77777777" w:rsidR="006C541E" w:rsidRPr="005E518B" w:rsidRDefault="006C541E" w:rsidP="006C541E">
      <w:pPr>
        <w:ind w:left="851" w:right="567"/>
        <w:jc w:val="both"/>
        <w:rPr>
          <w:rFonts w:ascii="Palatino Linotype" w:eastAsia="Palatino Linotype" w:hAnsi="Palatino Linotype" w:cs="Palatino Linotype"/>
          <w:b/>
          <w:i/>
          <w:sz w:val="22"/>
          <w:szCs w:val="22"/>
        </w:rPr>
      </w:pPr>
      <w:r w:rsidRPr="005E518B">
        <w:rPr>
          <w:rFonts w:ascii="Palatino Linotype" w:eastAsia="Palatino Linotype" w:hAnsi="Palatino Linotype" w:cs="Palatino Linotype"/>
          <w:b/>
          <w:i/>
          <w:sz w:val="22"/>
          <w:szCs w:val="22"/>
        </w:rPr>
        <w:t>“…</w:t>
      </w:r>
    </w:p>
    <w:p w14:paraId="77E61C77" w14:textId="77777777" w:rsidR="006C541E" w:rsidRPr="005E518B" w:rsidRDefault="006C541E" w:rsidP="006C541E">
      <w:pPr>
        <w:ind w:left="851" w:right="567"/>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XXIV. Información reservada:</w:t>
      </w:r>
      <w:r w:rsidRPr="005E518B">
        <w:rPr>
          <w:rFonts w:ascii="Palatino Linotype" w:eastAsia="Palatino Linotype" w:hAnsi="Palatino Linotype" w:cs="Palatino Linotype"/>
          <w:i/>
          <w:sz w:val="22"/>
          <w:szCs w:val="22"/>
        </w:rPr>
        <w:t xml:space="preserve"> La clasificada con este carácter de manera temporal por las disposiciones de esta Ley, cuya divulgación puede causar daño en términos de lo establecido por esta Ley…”</w:t>
      </w:r>
    </w:p>
    <w:p w14:paraId="51DEFA2A"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En síntesis, se determina que, excepcionalmente la información pública podrá ser clasificada como reservada temporalmente por razones de interés público, en los términos de las causas legítimas y estrictamente necesarias previstas por la Ley de Transparencia, por lo que los Sujetos Obligados deben garantizar el derecho de acceso a la información pública, pero también tienen </w:t>
      </w:r>
      <w:r w:rsidRPr="005E518B">
        <w:rPr>
          <w:rFonts w:ascii="Palatino Linotype" w:eastAsia="Palatino Linotype" w:hAnsi="Palatino Linotype" w:cs="Palatino Linotype"/>
          <w:b/>
        </w:rPr>
        <w:t>la obligación de proteger los datos personales contenidos en la información en su poder</w:t>
      </w:r>
      <w:r w:rsidRPr="005E518B">
        <w:rPr>
          <w:rFonts w:ascii="Palatino Linotype" w:eastAsia="Palatino Linotype" w:hAnsi="Palatino Linotype" w:cs="Palatino Linotype"/>
        </w:rPr>
        <w:t xml:space="preserve">, así como </w:t>
      </w:r>
      <w:r w:rsidRPr="005E518B">
        <w:rPr>
          <w:rFonts w:ascii="Palatino Linotype" w:eastAsia="Palatino Linotype" w:hAnsi="Palatino Linotype" w:cs="Palatino Linotype"/>
          <w:b/>
        </w:rPr>
        <w:t>aquella que recaiga en alguna causal de reserva que señale la Ley</w:t>
      </w:r>
      <w:r w:rsidRPr="005E518B">
        <w:rPr>
          <w:rFonts w:ascii="Palatino Linotype" w:eastAsia="Palatino Linotype" w:hAnsi="Palatino Linotype" w:cs="Palatino Linotype"/>
        </w:rPr>
        <w:t>.</w:t>
      </w:r>
    </w:p>
    <w:p w14:paraId="722FFDB0"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Con base en lo expuesto, se insiste que en la versión pública de los documentos que se ordenan se deben testar aquellos elementos señalados en la presente resolución, </w:t>
      </w:r>
      <w:r w:rsidRPr="005E518B">
        <w:rPr>
          <w:rFonts w:ascii="Palatino Linotype" w:eastAsia="Palatino Linotype" w:hAnsi="Palatino Linotype" w:cs="Palatino Linotype"/>
        </w:rPr>
        <w:lastRenderedPageBreak/>
        <w:t>en el entendido de que debe ser pública toda la demás información relacionada que no encuadre en los conceptos anteriores.</w:t>
      </w:r>
    </w:p>
    <w:p w14:paraId="36244060"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Asimismo, se destaca que la versión pública que elabore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debe cumplir con las formalidades exigidas en la Ley, por lo que para tal efecto emitirá el Acuerdo del Comité de Transparencia en el que se expongan los fundamentos y razonamientos que le llevaron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5E518B">
        <w:rPr>
          <w:rFonts w:ascii="Palatino Linotype" w:eastAsia="Palatino Linotype" w:hAnsi="Palatino Linotype" w:cs="Palatino Linotype"/>
          <w:b/>
        </w:rPr>
        <w:t>Recurrente</w:t>
      </w:r>
      <w:r w:rsidRPr="005E518B">
        <w:rPr>
          <w:rFonts w:ascii="Palatino Linotype" w:eastAsia="Palatino Linotype" w:hAnsi="Palatino Linotype" w:cs="Palatino Linotype"/>
        </w:rPr>
        <w:t>.</w:t>
      </w:r>
    </w:p>
    <w:p w14:paraId="27C66B08" w14:textId="62539968"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De este modo, la versión pública que elabore 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debe acompañarse del</w:t>
      </w:r>
      <w:r w:rsidRPr="005E518B">
        <w:rPr>
          <w:rFonts w:ascii="Palatino Linotype" w:eastAsia="Palatino Linotype" w:hAnsi="Palatino Linotype" w:cs="Palatino Linotype"/>
          <w:b/>
        </w:rPr>
        <w:t xml:space="preserve"> </w:t>
      </w:r>
      <w:r w:rsidRPr="005E518B">
        <w:rPr>
          <w:rFonts w:ascii="Palatino Linotype" w:eastAsia="Palatino Linotype" w:hAnsi="Palatino Linotype" w:cs="Palatino Linotype"/>
        </w:rPr>
        <w:t xml:space="preserve">Acuerdo de Clasificación que emita el Comité de Transparencia, para lo cual se deberá observar lo dispuesto en la Ley de Transparencia y Acceso a la Información Pública del Estado de México y Municipios, y en los Lineamientos Generales en Materia de Clasificación y Desclasificación de la Información, así como para la elaboración de Versiones Públicas, </w:t>
      </w:r>
      <w:r w:rsidR="004C66A3" w:rsidRPr="005E518B">
        <w:rPr>
          <w:rFonts w:ascii="Palatino Linotype" w:eastAsia="Palatino Linotype" w:hAnsi="Palatino Linotype" w:cs="Palatino Linotype"/>
        </w:rPr>
        <w:t xml:space="preserve">vigentes a la fecha de la solicitud, </w:t>
      </w:r>
      <w:r w:rsidRPr="005E518B">
        <w:rPr>
          <w:rFonts w:ascii="Palatino Linotype" w:eastAsia="Palatino Linotype" w:hAnsi="Palatino Linotype" w:cs="Palatino Linotype"/>
        </w:rPr>
        <w:t xml:space="preserve">motivando la referida clasificación al señalar las </w:t>
      </w:r>
      <w:r w:rsidRPr="005E518B">
        <w:rPr>
          <w:rFonts w:ascii="Palatino Linotype" w:eastAsia="Palatino Linotype" w:hAnsi="Palatino Linotype" w:cs="Palatino Linotype"/>
          <w:b/>
          <w:u w:val="single"/>
        </w:rPr>
        <w:t>razones, motivos o circunstancias especiales</w:t>
      </w:r>
      <w:r w:rsidRPr="005E518B">
        <w:rPr>
          <w:rFonts w:ascii="Palatino Linotype" w:eastAsia="Palatino Linotype" w:hAnsi="Palatino Linotype" w:cs="Palatino Linotype"/>
        </w:rPr>
        <w:t xml:space="preserve"> que lo llevaron a concluir que el caso concreto, se ajustó a los supuestos previstos en la normatividad legal invocada como fundamento.</w:t>
      </w:r>
    </w:p>
    <w:p w14:paraId="0204E8AD" w14:textId="77777777" w:rsidR="006C541E" w:rsidRPr="005E518B" w:rsidRDefault="006C541E" w:rsidP="006C541E">
      <w:pPr>
        <w:spacing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lastRenderedPageBreak/>
        <w:t xml:space="preserve">Respecto a las formalidades que deberá llevar el acuerdo de clasificación que deberá emitir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a través de su Comité de Transparencia,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siendo estas las siguientes:</w:t>
      </w:r>
    </w:p>
    <w:p w14:paraId="115EF55D"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 xml:space="preserve"> “Quincuagésimo. </w:t>
      </w:r>
      <w:r w:rsidRPr="005E518B">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2F7B354" w14:textId="77777777" w:rsidR="006C541E" w:rsidRPr="005E518B" w:rsidRDefault="006C541E" w:rsidP="006C541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 xml:space="preserve">Quincuagésimo primero. </w:t>
      </w:r>
      <w:r w:rsidRPr="005E518B">
        <w:rPr>
          <w:rFonts w:ascii="Palatino Linotype" w:eastAsia="Palatino Linotype" w:hAnsi="Palatino Linotype" w:cs="Palatino Linotype"/>
          <w:i/>
          <w:sz w:val="22"/>
          <w:szCs w:val="22"/>
        </w:rPr>
        <w:t xml:space="preserve">Toda acta del Comité de Transparencia deberá contener: </w:t>
      </w:r>
    </w:p>
    <w:p w14:paraId="73A74D04" w14:textId="77777777" w:rsidR="006C541E" w:rsidRPr="005E518B" w:rsidRDefault="006C541E" w:rsidP="006C541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w:t>
      </w:r>
      <w:r w:rsidRPr="005E518B">
        <w:rPr>
          <w:rFonts w:ascii="Palatino Linotype" w:eastAsia="Palatino Linotype" w:hAnsi="Palatino Linotype" w:cs="Palatino Linotype"/>
          <w:i/>
          <w:sz w:val="22"/>
          <w:szCs w:val="22"/>
        </w:rPr>
        <w:t xml:space="preserve"> El número de sesión y fecha; </w:t>
      </w:r>
    </w:p>
    <w:p w14:paraId="744298CD" w14:textId="77777777" w:rsidR="006C541E" w:rsidRPr="005E518B" w:rsidRDefault="006C541E" w:rsidP="006C541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II</w:t>
      </w:r>
      <w:r w:rsidRPr="005E518B">
        <w:rPr>
          <w:rFonts w:ascii="Palatino Linotype" w:eastAsia="Palatino Linotype" w:hAnsi="Palatino Linotype" w:cs="Palatino Linotype"/>
          <w:i/>
          <w:sz w:val="22"/>
          <w:szCs w:val="22"/>
        </w:rPr>
        <w:t xml:space="preserve">. El nombre del área que solicitó la clasificación de información; </w:t>
      </w:r>
    </w:p>
    <w:p w14:paraId="39ECD51A" w14:textId="77777777" w:rsidR="006C541E" w:rsidRPr="005E518B" w:rsidRDefault="006C541E" w:rsidP="006C541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III</w:t>
      </w:r>
      <w:r w:rsidRPr="005E518B">
        <w:rPr>
          <w:rFonts w:ascii="Palatino Linotype" w:eastAsia="Palatino Linotype" w:hAnsi="Palatino Linotype" w:cs="Palatino Linotype"/>
          <w:i/>
          <w:sz w:val="22"/>
          <w:szCs w:val="22"/>
        </w:rPr>
        <w:t xml:space="preserve">. La fundamentación legal y motivación correspondiente; </w:t>
      </w:r>
    </w:p>
    <w:p w14:paraId="4DB81E30" w14:textId="77777777" w:rsidR="006C541E" w:rsidRPr="005E518B" w:rsidRDefault="006C541E" w:rsidP="006C541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IV</w:t>
      </w:r>
      <w:r w:rsidRPr="005E518B">
        <w:rPr>
          <w:rFonts w:ascii="Palatino Linotype" w:eastAsia="Palatino Linotype" w:hAnsi="Palatino Linotype" w:cs="Palatino Linotype"/>
          <w:i/>
          <w:sz w:val="22"/>
          <w:szCs w:val="22"/>
        </w:rPr>
        <w:t xml:space="preserve">. La resolución o resoluciones aprobadas; y </w:t>
      </w:r>
    </w:p>
    <w:p w14:paraId="2B6AE5D0" w14:textId="77777777" w:rsidR="006C541E" w:rsidRPr="005E518B" w:rsidRDefault="006C541E" w:rsidP="006C541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V</w:t>
      </w:r>
      <w:r w:rsidRPr="005E518B">
        <w:rPr>
          <w:rFonts w:ascii="Palatino Linotype" w:eastAsia="Palatino Linotype" w:hAnsi="Palatino Linotype" w:cs="Palatino Linotype"/>
          <w:i/>
          <w:sz w:val="22"/>
          <w:szCs w:val="22"/>
        </w:rPr>
        <w:t xml:space="preserve">. La rúbrica o firma digital de cada integrante del Comité de Transparencia. </w:t>
      </w:r>
    </w:p>
    <w:p w14:paraId="3EFF3641" w14:textId="77777777" w:rsidR="006C541E" w:rsidRPr="005E518B" w:rsidRDefault="006C541E" w:rsidP="006C541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5FD11F59" w14:textId="77777777" w:rsidR="006C541E" w:rsidRPr="005E518B" w:rsidRDefault="006C541E" w:rsidP="006C541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w:t>
      </w:r>
      <w:r w:rsidRPr="005E518B">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4AC7AF6" w14:textId="77777777" w:rsidR="006C541E" w:rsidRPr="005E518B" w:rsidRDefault="006C541E" w:rsidP="006C541E">
      <w:pPr>
        <w:pBdr>
          <w:top w:val="nil"/>
          <w:left w:val="nil"/>
          <w:bottom w:val="nil"/>
          <w:right w:val="nil"/>
          <w:between w:val="nil"/>
        </w:pBdr>
        <w:spacing w:before="120" w:after="120"/>
        <w:ind w:left="1134" w:right="902"/>
        <w:jc w:val="both"/>
        <w:rPr>
          <w:rFonts w:ascii="Palatino Linotype" w:eastAsia="Palatino Linotype" w:hAnsi="Palatino Linotype" w:cs="Palatino Linotype"/>
          <w:b/>
          <w:i/>
          <w:sz w:val="22"/>
          <w:szCs w:val="22"/>
        </w:rPr>
      </w:pPr>
      <w:r w:rsidRPr="005E518B">
        <w:rPr>
          <w:rFonts w:ascii="Palatino Linotype" w:eastAsia="Palatino Linotype" w:hAnsi="Palatino Linotype" w:cs="Palatino Linotype"/>
          <w:b/>
          <w:i/>
          <w:sz w:val="22"/>
          <w:szCs w:val="22"/>
        </w:rPr>
        <w:t>II</w:t>
      </w:r>
      <w:r w:rsidRPr="005E518B">
        <w:rPr>
          <w:rFonts w:ascii="Palatino Linotype" w:eastAsia="Palatino Linotype" w:hAnsi="Palatino Linotype" w:cs="Palatino Linotype"/>
          <w:i/>
          <w:sz w:val="22"/>
          <w:szCs w:val="22"/>
        </w:rPr>
        <w:t>. Descripción de las partes o secciones reservadas, en caso de clasificación parcial</w:t>
      </w:r>
      <w:r w:rsidRPr="005E518B">
        <w:rPr>
          <w:rFonts w:ascii="Palatino Linotype" w:eastAsia="Palatino Linotype" w:hAnsi="Palatino Linotype" w:cs="Palatino Linotype"/>
          <w:b/>
          <w:i/>
          <w:sz w:val="22"/>
          <w:szCs w:val="22"/>
        </w:rPr>
        <w:t xml:space="preserve">; </w:t>
      </w:r>
    </w:p>
    <w:p w14:paraId="17F62336" w14:textId="77777777" w:rsidR="006C541E" w:rsidRPr="005E518B" w:rsidRDefault="006C541E" w:rsidP="006C541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III.</w:t>
      </w:r>
      <w:r w:rsidRPr="005E518B">
        <w:rPr>
          <w:rFonts w:ascii="Palatino Linotype" w:eastAsia="Palatino Linotype" w:hAnsi="Palatino Linotype" w:cs="Palatino Linotype"/>
          <w:i/>
          <w:sz w:val="22"/>
          <w:szCs w:val="22"/>
        </w:rPr>
        <w:t xml:space="preserve"> El periodo por el que mantendrá su clasificación y fecha de expiración; y </w:t>
      </w:r>
    </w:p>
    <w:p w14:paraId="58B17B33" w14:textId="77777777" w:rsidR="006C541E" w:rsidRPr="005E518B" w:rsidRDefault="006C541E" w:rsidP="006C541E">
      <w:pPr>
        <w:pBdr>
          <w:top w:val="nil"/>
          <w:left w:val="nil"/>
          <w:bottom w:val="nil"/>
          <w:right w:val="nil"/>
          <w:between w:val="nil"/>
        </w:pBdr>
        <w:spacing w:before="120" w:after="120"/>
        <w:ind w:left="1134"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IV.</w:t>
      </w:r>
      <w:r w:rsidRPr="005E518B">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2BD0304A" w14:textId="77777777" w:rsidR="006C541E" w:rsidRPr="005E518B" w:rsidRDefault="006C541E" w:rsidP="006C541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6CD95BC6" w14:textId="77777777" w:rsidR="006C541E" w:rsidRPr="005E518B" w:rsidRDefault="006C541E" w:rsidP="006C541E">
      <w:pPr>
        <w:pBdr>
          <w:top w:val="nil"/>
          <w:left w:val="nil"/>
          <w:bottom w:val="nil"/>
          <w:right w:val="nil"/>
          <w:between w:val="nil"/>
        </w:pBdr>
        <w:spacing w:before="120" w:after="120"/>
        <w:ind w:left="851" w:right="902"/>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lastRenderedPageBreak/>
        <w:t>En los casos de resoluciones del Comité de Transparencia en las que se confirme la clasificación de información confidencial solo se deberán de identificar los tipos de datos protegidos, de conformidad con el lineamiento trigésimo octavo.</w:t>
      </w:r>
    </w:p>
    <w:p w14:paraId="69A2B36A" w14:textId="77777777" w:rsidR="006C541E" w:rsidRPr="005E518B" w:rsidRDefault="006C541E" w:rsidP="006C541E">
      <w:pPr>
        <w:spacing w:before="120" w:after="120"/>
        <w:ind w:left="851"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Quincuagésimo segundo</w:t>
      </w:r>
      <w:r w:rsidRPr="005E518B">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21C9C659" w14:textId="77777777" w:rsidR="006C541E" w:rsidRPr="005E518B" w:rsidRDefault="006C541E" w:rsidP="006C541E">
      <w:pPr>
        <w:spacing w:before="120" w:after="120"/>
        <w:ind w:left="851"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 xml:space="preserve">En el caso </w:t>
      </w:r>
      <w:proofErr w:type="spellStart"/>
      <w:r w:rsidRPr="005E518B">
        <w:rPr>
          <w:rFonts w:ascii="Palatino Linotype" w:eastAsia="Palatino Linotype" w:hAnsi="Palatino Linotype" w:cs="Palatino Linotype"/>
          <w:i/>
          <w:sz w:val="22"/>
          <w:szCs w:val="22"/>
        </w:rPr>
        <w:t>especifico</w:t>
      </w:r>
      <w:proofErr w:type="spellEnd"/>
      <w:r w:rsidRPr="005E518B">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54CAF9D4" w14:textId="77777777" w:rsidR="006C541E" w:rsidRPr="005E518B" w:rsidRDefault="006C541E" w:rsidP="006C541E">
      <w:pPr>
        <w:spacing w:before="120" w:after="120"/>
        <w:ind w:left="1134"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w:t>
      </w:r>
      <w:r w:rsidRPr="005E518B">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09DF2E62" w14:textId="77777777" w:rsidR="006C541E" w:rsidRPr="005E518B" w:rsidRDefault="006C541E" w:rsidP="006C541E">
      <w:pPr>
        <w:spacing w:before="120" w:after="120"/>
        <w:ind w:left="1134"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II.</w:t>
      </w:r>
      <w:r w:rsidRPr="005E518B">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52031C73" w14:textId="77777777" w:rsidR="006C541E" w:rsidRPr="005E518B" w:rsidRDefault="006C541E" w:rsidP="006C541E">
      <w:pPr>
        <w:spacing w:before="120" w:after="120"/>
        <w:ind w:left="1134"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b/>
          <w:i/>
          <w:sz w:val="22"/>
          <w:szCs w:val="22"/>
        </w:rPr>
        <w:t>III.</w:t>
      </w:r>
      <w:r w:rsidRPr="005E518B">
        <w:rPr>
          <w:rFonts w:ascii="Palatino Linotype" w:eastAsia="Palatino Linotype" w:hAnsi="Palatino Linotype" w:cs="Palatino Linotype"/>
          <w:i/>
          <w:sz w:val="22"/>
          <w:szCs w:val="22"/>
        </w:rPr>
        <w:t xml:space="preserve"> Señalar las personas o instancias autorizadas a acceder a la información clasificada.</w:t>
      </w:r>
    </w:p>
    <w:p w14:paraId="5C67401E" w14:textId="77777777" w:rsidR="006C541E" w:rsidRPr="005E518B" w:rsidRDefault="006C541E" w:rsidP="006C541E">
      <w:pPr>
        <w:spacing w:before="120" w:after="120"/>
        <w:ind w:left="851" w:right="900"/>
        <w:jc w:val="both"/>
        <w:rPr>
          <w:rFonts w:ascii="Palatino Linotype" w:eastAsia="Palatino Linotype" w:hAnsi="Palatino Linotype" w:cs="Palatino Linotype"/>
          <w:i/>
          <w:sz w:val="22"/>
          <w:szCs w:val="22"/>
        </w:rPr>
      </w:pPr>
      <w:r w:rsidRPr="005E518B">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00139EA9" w14:textId="77777777" w:rsidR="006C541E" w:rsidRPr="005E518B" w:rsidRDefault="006C541E" w:rsidP="006C541E">
      <w:pPr>
        <w:spacing w:before="240" w:after="240" w:line="360" w:lineRule="auto"/>
        <w:ind w:right="50"/>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En relación directa con ello deberá observar el Lineamiento Quincuagésimo tercero de los Lineamientos Generales en Materia de Clasificación y Desclasificación de la Información </w:t>
      </w:r>
      <w:proofErr w:type="spellStart"/>
      <w:r w:rsidRPr="005E518B">
        <w:rPr>
          <w:rFonts w:ascii="Palatino Linotype" w:eastAsia="Palatino Linotype" w:hAnsi="Palatino Linotype" w:cs="Palatino Linotype"/>
        </w:rPr>
        <w:t>supraindicados</w:t>
      </w:r>
      <w:proofErr w:type="spellEnd"/>
      <w:r w:rsidRPr="005E518B">
        <w:rPr>
          <w:rFonts w:ascii="Palatino Linotype" w:eastAsia="Palatino Linotype" w:hAnsi="Palatino Linotype" w:cs="Palatino Linotype"/>
        </w:rPr>
        <w:t xml:space="preserve">, que establece los formatos para la clasificación de los documentos, conforme a lo siguiente: </w:t>
      </w:r>
    </w:p>
    <w:p w14:paraId="0BBA721E" w14:textId="77777777" w:rsidR="006C541E" w:rsidRPr="005E518B" w:rsidRDefault="006C541E" w:rsidP="006C541E">
      <w:pPr>
        <w:ind w:left="851" w:right="900"/>
        <w:jc w:val="center"/>
        <w:rPr>
          <w:rFonts w:ascii="Palatino Linotype" w:eastAsia="Palatino Linotype" w:hAnsi="Palatino Linotype" w:cs="Palatino Linotype"/>
          <w:b/>
          <w:i/>
          <w:sz w:val="22"/>
        </w:rPr>
      </w:pPr>
      <w:r w:rsidRPr="005E518B">
        <w:rPr>
          <w:rFonts w:ascii="Palatino Linotype" w:eastAsia="Palatino Linotype" w:hAnsi="Palatino Linotype" w:cs="Palatino Linotype"/>
          <w:b/>
          <w:i/>
          <w:sz w:val="22"/>
        </w:rPr>
        <w:t>CAPÍTULO VIII</w:t>
      </w:r>
    </w:p>
    <w:p w14:paraId="0AB8AFA3" w14:textId="77777777" w:rsidR="006C541E" w:rsidRPr="005E518B" w:rsidRDefault="006C541E" w:rsidP="006C541E">
      <w:pPr>
        <w:ind w:left="851" w:right="900"/>
        <w:jc w:val="center"/>
        <w:rPr>
          <w:rFonts w:ascii="Palatino Linotype" w:eastAsia="Palatino Linotype" w:hAnsi="Palatino Linotype" w:cs="Palatino Linotype"/>
          <w:b/>
          <w:i/>
          <w:sz w:val="22"/>
        </w:rPr>
      </w:pPr>
      <w:r w:rsidRPr="005E518B">
        <w:rPr>
          <w:rFonts w:ascii="Palatino Linotype" w:eastAsia="Palatino Linotype" w:hAnsi="Palatino Linotype" w:cs="Palatino Linotype"/>
          <w:b/>
          <w:i/>
          <w:sz w:val="22"/>
        </w:rPr>
        <w:t xml:space="preserve">DE LOS ELEMENTOS PARA LA CLASIFICACIÓN </w:t>
      </w:r>
    </w:p>
    <w:p w14:paraId="6A36ACF7" w14:textId="77777777" w:rsidR="006C541E" w:rsidRPr="005E518B" w:rsidRDefault="006C541E" w:rsidP="006C541E">
      <w:pPr>
        <w:ind w:left="851" w:right="900"/>
        <w:rPr>
          <w:rFonts w:ascii="Palatino Linotype" w:eastAsia="Palatino Linotype" w:hAnsi="Palatino Linotype" w:cs="Palatino Linotype"/>
          <w:i/>
          <w:sz w:val="22"/>
        </w:rPr>
      </w:pPr>
      <w:r w:rsidRPr="005E518B">
        <w:rPr>
          <w:rFonts w:ascii="Palatino Linotype" w:eastAsia="Palatino Linotype" w:hAnsi="Palatino Linotype" w:cs="Palatino Linotype"/>
          <w:i/>
          <w:sz w:val="22"/>
        </w:rPr>
        <w:t>…</w:t>
      </w:r>
    </w:p>
    <w:p w14:paraId="4E966294"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rPr>
      </w:pPr>
      <w:r w:rsidRPr="005E518B">
        <w:rPr>
          <w:rFonts w:ascii="Palatino Linotype" w:eastAsia="Palatino Linotype" w:hAnsi="Palatino Linotype" w:cs="Palatino Linotype"/>
          <w:b/>
          <w:i/>
          <w:sz w:val="22"/>
        </w:rPr>
        <w:t xml:space="preserve">Quincuagésimo tercero. </w:t>
      </w:r>
      <w:r w:rsidRPr="005E518B">
        <w:rPr>
          <w:rFonts w:ascii="Palatino Linotype" w:eastAsia="Palatino Linotype" w:hAnsi="Palatino Linotype" w:cs="Palatino Linotype"/>
          <w:b/>
          <w:i/>
          <w:sz w:val="22"/>
          <w:u w:val="single"/>
        </w:rPr>
        <w:t>El formato para señalar la clasificación de un documento o expediente que contenga información reservada</w:t>
      </w:r>
      <w:r w:rsidRPr="005E518B">
        <w:rPr>
          <w:rFonts w:ascii="Palatino Linotype" w:eastAsia="Palatino Linotype" w:hAnsi="Palatino Linotype" w:cs="Palatino Linotype"/>
          <w:b/>
          <w:i/>
          <w:sz w:val="22"/>
        </w:rPr>
        <w:t xml:space="preserve">, </w:t>
      </w:r>
      <w:r w:rsidRPr="005E518B">
        <w:rPr>
          <w:rFonts w:ascii="Palatino Linotype" w:eastAsia="Palatino Linotype" w:hAnsi="Palatino Linotype" w:cs="Palatino Linotype"/>
          <w:i/>
          <w:sz w:val="22"/>
        </w:rPr>
        <w:t xml:space="preserve">es el siguiente: </w:t>
      </w:r>
    </w:p>
    <w:p w14:paraId="7A50B023" w14:textId="77777777" w:rsidR="006C541E" w:rsidRPr="005E518B" w:rsidRDefault="006C541E" w:rsidP="006C541E">
      <w:pPr>
        <w:spacing w:before="120" w:after="120"/>
        <w:ind w:left="851" w:right="902"/>
        <w:jc w:val="both"/>
        <w:rPr>
          <w:rFonts w:ascii="Palatino Linotype" w:eastAsia="Palatino Linotype" w:hAnsi="Palatino Linotype" w:cs="Palatino Linotype"/>
          <w:b/>
          <w:i/>
        </w:rPr>
      </w:pPr>
      <w:r w:rsidRPr="005E518B">
        <w:rPr>
          <w:rFonts w:ascii="Palatino Linotype" w:eastAsia="Palatino Linotype" w:hAnsi="Palatino Linotype" w:cs="Palatino Linotype"/>
          <w:b/>
          <w:i/>
          <w:noProof/>
        </w:rPr>
        <w:lastRenderedPageBreak/>
        <w:drawing>
          <wp:inline distT="0" distB="0" distL="0" distR="0" wp14:anchorId="59450134" wp14:editId="474C0B3F">
            <wp:extent cx="4295775" cy="2952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3">
                      <a:extLst>
                        <a:ext uri="{28A0092B-C50C-407E-A947-70E740481C1C}">
                          <a14:useLocalDpi xmlns:a14="http://schemas.microsoft.com/office/drawing/2010/main" val="0"/>
                        </a:ext>
                      </a:extLst>
                    </a:blip>
                    <a:srcRect b="95731"/>
                    <a:stretch>
                      <a:fillRect/>
                    </a:stretch>
                  </pic:blipFill>
                  <pic:spPr bwMode="auto">
                    <a:xfrm>
                      <a:off x="0" y="0"/>
                      <a:ext cx="4295775" cy="295275"/>
                    </a:xfrm>
                    <a:prstGeom prst="rect">
                      <a:avLst/>
                    </a:prstGeom>
                    <a:noFill/>
                    <a:ln>
                      <a:noFill/>
                    </a:ln>
                  </pic:spPr>
                </pic:pic>
              </a:graphicData>
            </a:graphic>
          </wp:inline>
        </w:drawing>
      </w:r>
    </w:p>
    <w:p w14:paraId="04822FE5" w14:textId="77777777" w:rsidR="006C541E" w:rsidRPr="005E518B" w:rsidRDefault="006C541E" w:rsidP="006C541E">
      <w:pPr>
        <w:spacing w:before="120" w:after="120"/>
        <w:ind w:left="851" w:right="902"/>
        <w:jc w:val="both"/>
        <w:rPr>
          <w:rFonts w:ascii="Palatino Linotype" w:eastAsia="Palatino Linotype" w:hAnsi="Palatino Linotype" w:cs="Palatino Linotype"/>
          <w:b/>
          <w:i/>
        </w:rPr>
      </w:pPr>
      <w:r w:rsidRPr="005E518B">
        <w:rPr>
          <w:rFonts w:ascii="Palatino Linotype" w:eastAsia="Palatino Linotype" w:hAnsi="Palatino Linotype" w:cs="Palatino Linotype"/>
          <w:b/>
          <w:i/>
          <w:noProof/>
        </w:rPr>
        <w:drawing>
          <wp:inline distT="0" distB="0" distL="0" distR="0" wp14:anchorId="4B58442E" wp14:editId="4F3F1FB7">
            <wp:extent cx="4333240" cy="469277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rotWithShape="1">
                    <a:blip r:embed="rId13">
                      <a:extLst>
                        <a:ext uri="{28A0092B-C50C-407E-A947-70E740481C1C}">
                          <a14:useLocalDpi xmlns:a14="http://schemas.microsoft.com/office/drawing/2010/main" val="0"/>
                        </a:ext>
                      </a:extLst>
                    </a:blip>
                    <a:srcRect t="30908" b="1139"/>
                    <a:stretch/>
                  </pic:blipFill>
                  <pic:spPr bwMode="auto">
                    <a:xfrm>
                      <a:off x="0" y="0"/>
                      <a:ext cx="4333875" cy="4693458"/>
                    </a:xfrm>
                    <a:prstGeom prst="rect">
                      <a:avLst/>
                    </a:prstGeom>
                    <a:noFill/>
                    <a:ln>
                      <a:noFill/>
                    </a:ln>
                    <a:extLst>
                      <a:ext uri="{53640926-AAD7-44D8-BBD7-CCE9431645EC}">
                        <a14:shadowObscured xmlns:a14="http://schemas.microsoft.com/office/drawing/2010/main"/>
                      </a:ext>
                    </a:extLst>
                  </pic:spPr>
                </pic:pic>
              </a:graphicData>
            </a:graphic>
          </wp:inline>
        </w:drawing>
      </w:r>
    </w:p>
    <w:p w14:paraId="11741D5D"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rPr>
      </w:pPr>
      <w:r w:rsidRPr="005E518B">
        <w:rPr>
          <w:rFonts w:ascii="Palatino Linotype" w:eastAsia="Palatino Linotype" w:hAnsi="Palatino Linotype" w:cs="Palatino Linotype"/>
          <w:i/>
          <w:sz w:val="22"/>
        </w:rPr>
        <w:t>Los documentos que integren un expediente reservado en su totalidad no deberán marcarse en lo individual.</w:t>
      </w:r>
    </w:p>
    <w:p w14:paraId="2E9742F7" w14:textId="77777777" w:rsidR="006C541E" w:rsidRPr="005E518B" w:rsidRDefault="006C541E" w:rsidP="006C541E">
      <w:pPr>
        <w:spacing w:before="120" w:after="120"/>
        <w:ind w:left="851" w:right="902"/>
        <w:jc w:val="both"/>
        <w:rPr>
          <w:rFonts w:ascii="Palatino Linotype" w:eastAsia="Palatino Linotype" w:hAnsi="Palatino Linotype" w:cs="Palatino Linotype"/>
          <w:i/>
          <w:sz w:val="22"/>
        </w:rPr>
      </w:pPr>
      <w:r w:rsidRPr="005E518B">
        <w:rPr>
          <w:rFonts w:ascii="Palatino Linotype" w:eastAsia="Palatino Linotype" w:hAnsi="Palatino Linotype" w:cs="Palatino Linotype"/>
          <w:i/>
          <w:sz w:val="22"/>
        </w:rPr>
        <w:t>Una vez desclasificados los expedientes, si existieren documentos que tuvieran el carácter de reservados deberán permanecer o ser marcados.”</w:t>
      </w:r>
    </w:p>
    <w:p w14:paraId="7BF0D0D3"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Asimismo, deberá observar los Lineamientos Quincuagésimo cuarto, Quincuagésimo quinto, Quincuagésimo sexto, Quincuagésimo séptimo y Quincuagésimo octavo, establecen lo siguiente:</w:t>
      </w:r>
    </w:p>
    <w:p w14:paraId="60881959" w14:textId="77777777" w:rsidR="006C541E" w:rsidRPr="005E518B" w:rsidRDefault="006C541E" w:rsidP="006C541E">
      <w:pPr>
        <w:pBdr>
          <w:top w:val="nil"/>
          <w:left w:val="nil"/>
          <w:bottom w:val="nil"/>
          <w:right w:val="nil"/>
          <w:between w:val="nil"/>
        </w:pBdr>
        <w:spacing w:before="120" w:after="120"/>
        <w:ind w:left="851" w:right="900"/>
        <w:jc w:val="both"/>
        <w:rPr>
          <w:rFonts w:ascii="Palatino Linotype" w:eastAsia="Palatino Linotype" w:hAnsi="Palatino Linotype" w:cs="Palatino Linotype"/>
          <w:b/>
          <w:i/>
          <w:sz w:val="22"/>
          <w:szCs w:val="22"/>
        </w:rPr>
      </w:pPr>
      <w:r w:rsidRPr="005E518B">
        <w:rPr>
          <w:rFonts w:ascii="Palatino Linotype" w:hAnsi="Palatino Linotype"/>
          <w:i/>
          <w:iCs/>
          <w:sz w:val="22"/>
          <w:szCs w:val="22"/>
        </w:rPr>
        <w:t>“</w:t>
      </w:r>
      <w:r w:rsidRPr="005E518B">
        <w:rPr>
          <w:rFonts w:ascii="Palatino Linotype" w:eastAsia="Palatino Linotype" w:hAnsi="Palatino Linotype" w:cs="Palatino Linotype"/>
          <w:b/>
          <w:i/>
          <w:sz w:val="22"/>
          <w:szCs w:val="22"/>
        </w:rPr>
        <w:t xml:space="preserve">Quincuagésimo cuarto. </w:t>
      </w:r>
      <w:r w:rsidRPr="005E518B">
        <w:rPr>
          <w:rFonts w:ascii="Palatino Linotype" w:eastAsia="Palatino Linotype" w:hAnsi="Palatino Linotype" w:cs="Palatino Linotype"/>
          <w:i/>
          <w:sz w:val="22"/>
          <w:szCs w:val="22"/>
        </w:rPr>
        <w:t xml:space="preserve">Cuando el Comité de Transparencia confirme la clasificación de documentos reservados y/o confidenciales, sea total o </w:t>
      </w:r>
      <w:r w:rsidRPr="005E518B">
        <w:rPr>
          <w:rFonts w:ascii="Palatino Linotype" w:eastAsia="Palatino Linotype" w:hAnsi="Palatino Linotype" w:cs="Palatino Linotype"/>
          <w:i/>
          <w:sz w:val="22"/>
          <w:szCs w:val="22"/>
        </w:rPr>
        <w:lastRenderedPageBreak/>
        <w:t>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E518B">
        <w:rPr>
          <w:rFonts w:ascii="Palatino Linotype" w:eastAsia="Palatino Linotype" w:hAnsi="Palatino Linotype" w:cs="Palatino Linotype"/>
          <w:b/>
          <w:i/>
          <w:sz w:val="22"/>
          <w:szCs w:val="22"/>
        </w:rPr>
        <w:t xml:space="preserve"> </w:t>
      </w:r>
    </w:p>
    <w:p w14:paraId="60415E58" w14:textId="77777777" w:rsidR="006C541E" w:rsidRPr="005E518B" w:rsidRDefault="006C541E" w:rsidP="006C541E">
      <w:pPr>
        <w:spacing w:before="120" w:after="120"/>
        <w:ind w:left="851" w:right="902"/>
        <w:jc w:val="both"/>
        <w:rPr>
          <w:rFonts w:ascii="Palatino Linotype" w:hAnsi="Palatino Linotype"/>
          <w:i/>
          <w:iCs/>
          <w:sz w:val="22"/>
          <w:szCs w:val="22"/>
        </w:rPr>
      </w:pPr>
      <w:r w:rsidRPr="005E518B">
        <w:rPr>
          <w:rFonts w:ascii="Palatino Linotype" w:eastAsia="Palatino Linotype" w:hAnsi="Palatino Linotype" w:cs="Palatino Linotype"/>
          <w:b/>
          <w:i/>
          <w:sz w:val="22"/>
          <w:szCs w:val="22"/>
        </w:rPr>
        <w:t xml:space="preserve">Quincuagésimo quinto. </w:t>
      </w:r>
      <w:r w:rsidRPr="005E518B">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E518B">
        <w:rPr>
          <w:rFonts w:ascii="Palatino Linotype" w:eastAsia="Palatino Linotype" w:hAnsi="Palatino Linotype" w:cs="Palatino Linotype"/>
          <w:i/>
          <w:sz w:val="22"/>
          <w:szCs w:val="22"/>
        </w:rPr>
        <w:t>testado</w:t>
      </w:r>
      <w:proofErr w:type="spellEnd"/>
      <w:r w:rsidRPr="005E518B">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6CD4F34" w14:textId="77777777" w:rsidR="006C541E" w:rsidRPr="005E518B" w:rsidRDefault="006C541E" w:rsidP="006C541E">
      <w:pPr>
        <w:spacing w:before="120" w:after="120"/>
        <w:ind w:left="851" w:right="902"/>
        <w:jc w:val="both"/>
        <w:rPr>
          <w:rFonts w:ascii="Palatino Linotype" w:hAnsi="Palatino Linotype"/>
          <w:b/>
          <w:i/>
          <w:iCs/>
          <w:sz w:val="22"/>
          <w:szCs w:val="22"/>
        </w:rPr>
      </w:pPr>
      <w:r w:rsidRPr="005E518B">
        <w:rPr>
          <w:rFonts w:ascii="Palatino Linotype" w:hAnsi="Palatino Linotype"/>
          <w:b/>
          <w:bCs/>
          <w:i/>
          <w:iCs/>
          <w:sz w:val="22"/>
          <w:szCs w:val="22"/>
        </w:rPr>
        <w:t>..</w:t>
      </w:r>
      <w:r w:rsidRPr="005E518B">
        <w:rPr>
          <w:rFonts w:ascii="Palatino Linotype" w:hAnsi="Palatino Linotype"/>
          <w:b/>
          <w:i/>
          <w:iCs/>
          <w:sz w:val="22"/>
          <w:szCs w:val="22"/>
        </w:rPr>
        <w:t>.</w:t>
      </w:r>
    </w:p>
    <w:p w14:paraId="4D6453AF" w14:textId="77777777" w:rsidR="006C541E" w:rsidRPr="005E518B" w:rsidRDefault="006C541E" w:rsidP="006C541E">
      <w:pPr>
        <w:spacing w:before="120" w:after="120"/>
        <w:ind w:left="851" w:right="902"/>
        <w:jc w:val="both"/>
        <w:rPr>
          <w:rFonts w:ascii="Palatino Linotype" w:hAnsi="Palatino Linotype"/>
          <w:i/>
          <w:iCs/>
          <w:sz w:val="22"/>
          <w:szCs w:val="22"/>
        </w:rPr>
      </w:pPr>
      <w:r w:rsidRPr="005E518B">
        <w:rPr>
          <w:rFonts w:ascii="Palatino Linotype" w:hAnsi="Palatino Linotype"/>
          <w:b/>
          <w:bCs/>
          <w:i/>
          <w:iCs/>
          <w:sz w:val="22"/>
          <w:szCs w:val="22"/>
        </w:rPr>
        <w:t>Quincuagésimo séptimo</w:t>
      </w:r>
      <w:r w:rsidRPr="005E518B">
        <w:rPr>
          <w:rFonts w:ascii="Palatino Linotype" w:hAnsi="Palatino Linotype"/>
          <w:i/>
          <w:iCs/>
          <w:sz w:val="22"/>
          <w:szCs w:val="22"/>
        </w:rPr>
        <w:t xml:space="preserve">. Se considera, en principio, como información pública y no podrá omitirse de las versiones públicas la siguiente: </w:t>
      </w:r>
    </w:p>
    <w:p w14:paraId="1CEB3997" w14:textId="77777777" w:rsidR="006C541E" w:rsidRPr="005E518B" w:rsidRDefault="006C541E" w:rsidP="006C541E">
      <w:pPr>
        <w:spacing w:before="120" w:after="120"/>
        <w:ind w:left="1134" w:right="902"/>
        <w:jc w:val="both"/>
        <w:rPr>
          <w:rFonts w:ascii="Palatino Linotype" w:hAnsi="Palatino Linotype"/>
          <w:i/>
          <w:iCs/>
          <w:sz w:val="22"/>
          <w:szCs w:val="22"/>
        </w:rPr>
      </w:pPr>
      <w:r w:rsidRPr="005E518B">
        <w:rPr>
          <w:rFonts w:ascii="Palatino Linotype" w:hAnsi="Palatino Linotype"/>
          <w:b/>
          <w:bCs/>
          <w:i/>
          <w:iCs/>
          <w:sz w:val="22"/>
          <w:szCs w:val="22"/>
        </w:rPr>
        <w:t>I</w:t>
      </w:r>
      <w:r w:rsidRPr="005E518B">
        <w:rPr>
          <w:rFonts w:ascii="Palatino Linotype" w:hAnsi="Palatino Linotype"/>
          <w:i/>
          <w:iCs/>
          <w:sz w:val="22"/>
          <w:szCs w:val="22"/>
        </w:rPr>
        <w:t xml:space="preserve">. La relativa a las Obligaciones de Transparencia que contempla el Título V de la Ley General y las demás disposiciones legales aplicables; </w:t>
      </w:r>
    </w:p>
    <w:p w14:paraId="070D279B" w14:textId="77777777" w:rsidR="006C541E" w:rsidRPr="005E518B" w:rsidRDefault="006C541E" w:rsidP="006C541E">
      <w:pPr>
        <w:spacing w:before="120" w:after="120"/>
        <w:ind w:left="1134" w:right="902"/>
        <w:jc w:val="both"/>
        <w:rPr>
          <w:rFonts w:ascii="Palatino Linotype" w:eastAsia="Palatino Linotype" w:hAnsi="Palatino Linotype" w:cs="Palatino Linotype"/>
          <w:i/>
          <w:iCs/>
          <w:sz w:val="22"/>
          <w:szCs w:val="22"/>
        </w:rPr>
      </w:pPr>
      <w:r w:rsidRPr="005E518B">
        <w:rPr>
          <w:rFonts w:ascii="Palatino Linotype" w:hAnsi="Palatino Linotype"/>
          <w:b/>
          <w:bCs/>
          <w:i/>
          <w:iCs/>
          <w:sz w:val="22"/>
          <w:szCs w:val="22"/>
        </w:rPr>
        <w:t>II.</w:t>
      </w:r>
      <w:r w:rsidRPr="005E518B">
        <w:rPr>
          <w:rFonts w:ascii="Palatino Linotype" w:hAnsi="Palatino Linotype"/>
          <w:i/>
          <w:iCs/>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1EB51F4E" w14:textId="77777777" w:rsidR="006C541E" w:rsidRPr="005E518B" w:rsidRDefault="006C541E" w:rsidP="006C541E">
      <w:pPr>
        <w:spacing w:before="120" w:after="120"/>
        <w:ind w:left="1134" w:right="902"/>
        <w:jc w:val="both"/>
        <w:rPr>
          <w:rFonts w:ascii="Palatino Linotype" w:hAnsi="Palatino Linotype"/>
          <w:i/>
          <w:iCs/>
          <w:sz w:val="22"/>
          <w:szCs w:val="22"/>
        </w:rPr>
      </w:pPr>
      <w:r w:rsidRPr="005E518B">
        <w:rPr>
          <w:rFonts w:ascii="Palatino Linotype" w:hAnsi="Palatino Linotype"/>
          <w:b/>
          <w:bCs/>
          <w:i/>
          <w:iCs/>
          <w:sz w:val="22"/>
          <w:szCs w:val="22"/>
        </w:rPr>
        <w:t>III</w:t>
      </w:r>
      <w:r w:rsidRPr="005E518B">
        <w:rPr>
          <w:rFonts w:ascii="Palatino Linotype" w:hAnsi="Palatino Linotype"/>
          <w:i/>
          <w:iCs/>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57EBD71" w14:textId="77777777" w:rsidR="006C541E" w:rsidRPr="005E518B" w:rsidRDefault="006C541E" w:rsidP="006C541E">
      <w:pPr>
        <w:spacing w:before="120" w:after="120"/>
        <w:ind w:left="851" w:right="902"/>
        <w:jc w:val="both"/>
        <w:rPr>
          <w:rFonts w:ascii="Palatino Linotype" w:eastAsia="Palatino Linotype" w:hAnsi="Palatino Linotype" w:cs="Palatino Linotype"/>
          <w:i/>
          <w:iCs/>
          <w:sz w:val="22"/>
          <w:szCs w:val="22"/>
        </w:rPr>
      </w:pPr>
      <w:r w:rsidRPr="005E518B">
        <w:rPr>
          <w:rFonts w:ascii="Palatino Linotype" w:hAnsi="Palatino Linotype"/>
          <w:i/>
          <w:iCs/>
          <w:sz w:val="22"/>
          <w:szCs w:val="22"/>
        </w:rPr>
        <w:t xml:space="preserve">Lo anterior, siempre y cuando no se acredite alguna causal de clasificación, prevista en las leyes o en los tratados internacionales suscritas por el Estado mexicano. </w:t>
      </w:r>
      <w:r w:rsidRPr="005E518B">
        <w:rPr>
          <w:rFonts w:ascii="Palatino Linotype" w:eastAsia="Palatino Linotype" w:hAnsi="Palatino Linotype" w:cs="Palatino Linotype"/>
          <w:i/>
          <w:iCs/>
          <w:sz w:val="22"/>
          <w:szCs w:val="22"/>
        </w:rPr>
        <w:t xml:space="preserve"> </w:t>
      </w:r>
    </w:p>
    <w:p w14:paraId="0A36642E" w14:textId="77777777" w:rsidR="006C541E" w:rsidRPr="005E518B" w:rsidRDefault="006C541E" w:rsidP="006C541E">
      <w:pPr>
        <w:spacing w:before="120" w:after="120"/>
        <w:ind w:left="851" w:right="902"/>
        <w:jc w:val="both"/>
        <w:rPr>
          <w:rFonts w:ascii="Palatino Linotype" w:eastAsia="Palatino Linotype" w:hAnsi="Palatino Linotype" w:cs="Palatino Linotype"/>
          <w:i/>
          <w:iCs/>
          <w:sz w:val="22"/>
          <w:szCs w:val="22"/>
        </w:rPr>
      </w:pPr>
      <w:r w:rsidRPr="005E518B">
        <w:rPr>
          <w:rFonts w:ascii="Palatino Linotype" w:hAnsi="Palatino Linotype"/>
          <w:b/>
          <w:bCs/>
          <w:i/>
          <w:iCs/>
          <w:sz w:val="22"/>
          <w:szCs w:val="22"/>
        </w:rPr>
        <w:t>Quincuagésimo octavo</w:t>
      </w:r>
      <w:r w:rsidRPr="005E518B">
        <w:rPr>
          <w:rFonts w:ascii="Palatino Linotype" w:hAnsi="Palatino Linotype"/>
          <w:i/>
          <w:iCs/>
          <w:sz w:val="22"/>
          <w:szCs w:val="22"/>
        </w:rPr>
        <w:t>. Los sujetos obligados garantizarán que los sistemas o medios empleados para eliminar la información en las versiones públicas sean irreversibles, de tal forma que no permitan su recuperación o la visualización de la misma.”</w:t>
      </w:r>
    </w:p>
    <w:p w14:paraId="63AE012A" w14:textId="77777777" w:rsidR="006C541E" w:rsidRPr="005E518B" w:rsidRDefault="006C541E" w:rsidP="006C541E">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a testar, suprimir o </w:t>
      </w:r>
      <w:r w:rsidRPr="005E518B">
        <w:rPr>
          <w:rFonts w:ascii="Palatino Linotype" w:eastAsia="Palatino Linotype" w:hAnsi="Palatino Linotype" w:cs="Palatino Linotype"/>
        </w:rPr>
        <w:lastRenderedPageBreak/>
        <w:t>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8325515" w14:textId="77777777" w:rsidR="00D90E73" w:rsidRPr="005E518B" w:rsidRDefault="00645B47">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De lo hasta aquí expuesto, se concluye que los motivos de inconformidad de la parte </w:t>
      </w:r>
      <w:r w:rsidRPr="005E518B">
        <w:rPr>
          <w:rFonts w:ascii="Palatino Linotype" w:eastAsia="Palatino Linotype" w:hAnsi="Palatino Linotype" w:cs="Palatino Linotype"/>
          <w:b/>
        </w:rPr>
        <w:t xml:space="preserve">Recurrente </w:t>
      </w:r>
      <w:r w:rsidRPr="005E518B">
        <w:rPr>
          <w:rFonts w:ascii="Palatino Linotype" w:eastAsia="Palatino Linotype" w:hAnsi="Palatino Linotype" w:cs="Palatino Linotype"/>
        </w:rPr>
        <w:t xml:space="preserve">devienen fundados, siendo procedente </w:t>
      </w:r>
      <w:r w:rsidRPr="005E518B">
        <w:rPr>
          <w:rFonts w:ascii="Palatino Linotype" w:eastAsia="Palatino Linotype" w:hAnsi="Palatino Linotype" w:cs="Palatino Linotype"/>
          <w:i/>
        </w:rPr>
        <w:t xml:space="preserve">Revocar </w:t>
      </w:r>
      <w:r w:rsidRPr="005E518B">
        <w:rPr>
          <w:rFonts w:ascii="Palatino Linotype" w:eastAsia="Palatino Linotype" w:hAnsi="Palatino Linotype" w:cs="Palatino Linotype"/>
        </w:rPr>
        <w:t xml:space="preserve">la respuesta proporcionada por el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7DF6CB43"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Así, con fundamento en lo prescrito en los artículos 5 párrafos trigésimo tercero, trigésimo cuarto y trigésimo quinto de la Constitución Política del Estado Libre y Soberano de México; 2, fracción II; 29, 36 fracciones I y II; 176, 178, 181, 185 y 186 fracción II de la Ley de Transparencia y Acceso a la Información Pública del Estado de México y Municipios, este Pleno:</w:t>
      </w:r>
    </w:p>
    <w:p w14:paraId="7FE0B1DC" w14:textId="77777777" w:rsidR="00D90E73" w:rsidRPr="005E518B" w:rsidRDefault="00645B47">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E518B">
        <w:rPr>
          <w:rFonts w:ascii="Palatino Linotype" w:eastAsia="Palatino Linotype" w:hAnsi="Palatino Linotype" w:cs="Palatino Linotype"/>
          <w:b/>
        </w:rPr>
        <w:t>III. R E S U E L V E</w:t>
      </w:r>
    </w:p>
    <w:p w14:paraId="6A14541C" w14:textId="77777777" w:rsidR="00D90E73" w:rsidRPr="005E518B" w:rsidRDefault="00645B47">
      <w:pPr>
        <w:spacing w:before="240" w:after="240" w:line="360" w:lineRule="auto"/>
        <w:jc w:val="both"/>
        <w:rPr>
          <w:rFonts w:ascii="Palatino Linotype" w:eastAsia="Palatino Linotype" w:hAnsi="Palatino Linotype" w:cs="Palatino Linotype"/>
        </w:rPr>
      </w:pPr>
      <w:bookmarkStart w:id="9" w:name="_heading=h.1t3h5sf" w:colFirst="0" w:colLast="0"/>
      <w:bookmarkEnd w:id="9"/>
      <w:r w:rsidRPr="005E518B">
        <w:rPr>
          <w:rFonts w:ascii="Palatino Linotype" w:eastAsia="Palatino Linotype" w:hAnsi="Palatino Linotype" w:cs="Palatino Linotype"/>
          <w:b/>
        </w:rPr>
        <w:t xml:space="preserve">Primero. </w:t>
      </w:r>
      <w:r w:rsidRPr="005E518B">
        <w:rPr>
          <w:rFonts w:ascii="Palatino Linotype" w:eastAsia="Palatino Linotype" w:hAnsi="Palatino Linotype" w:cs="Palatino Linotype"/>
        </w:rPr>
        <w:t>Resultan</w:t>
      </w:r>
      <w:r w:rsidRPr="005E518B">
        <w:rPr>
          <w:rFonts w:ascii="Palatino Linotype" w:eastAsia="Palatino Linotype" w:hAnsi="Palatino Linotype" w:cs="Palatino Linotype"/>
          <w:b/>
        </w:rPr>
        <w:t xml:space="preserve"> fundadas</w:t>
      </w:r>
      <w:r w:rsidRPr="005E518B">
        <w:rPr>
          <w:rFonts w:ascii="Palatino Linotype" w:eastAsia="Palatino Linotype" w:hAnsi="Palatino Linotype" w:cs="Palatino Linotype"/>
        </w:rPr>
        <w:t xml:space="preserve"> las razones o motivos de inconformidad hechos valer por la parte</w:t>
      </w:r>
      <w:r w:rsidRPr="005E518B">
        <w:rPr>
          <w:rFonts w:ascii="Palatino Linotype" w:eastAsia="Palatino Linotype" w:hAnsi="Palatino Linotype" w:cs="Palatino Linotype"/>
          <w:b/>
        </w:rPr>
        <w:t xml:space="preserve"> Recurrente</w:t>
      </w:r>
      <w:r w:rsidRPr="005E518B">
        <w:rPr>
          <w:rFonts w:ascii="Palatino Linotype" w:eastAsia="Palatino Linotype" w:hAnsi="Palatino Linotype" w:cs="Palatino Linotype"/>
        </w:rPr>
        <w:t xml:space="preserve"> en el recurso de revisión </w:t>
      </w:r>
      <w:r w:rsidRPr="005E518B">
        <w:rPr>
          <w:rFonts w:ascii="Palatino Linotype" w:eastAsia="Palatino Linotype" w:hAnsi="Palatino Linotype" w:cs="Palatino Linotype"/>
          <w:b/>
        </w:rPr>
        <w:t>01749/INFOEM/IP/RR/2025</w:t>
      </w:r>
      <w:r w:rsidRPr="005E518B">
        <w:rPr>
          <w:rFonts w:ascii="Palatino Linotype" w:eastAsia="Palatino Linotype" w:hAnsi="Palatino Linotype" w:cs="Palatino Linotype"/>
        </w:rPr>
        <w:t xml:space="preserve">; por lo que, en términos del </w:t>
      </w:r>
      <w:r w:rsidRPr="005E518B">
        <w:rPr>
          <w:rFonts w:ascii="Palatino Linotype" w:eastAsia="Palatino Linotype" w:hAnsi="Palatino Linotype" w:cs="Palatino Linotype"/>
          <w:b/>
        </w:rPr>
        <w:t>Considerando</w:t>
      </w:r>
      <w:r w:rsidRPr="005E518B">
        <w:rPr>
          <w:rFonts w:ascii="Palatino Linotype" w:eastAsia="Palatino Linotype" w:hAnsi="Palatino Linotype" w:cs="Palatino Linotype"/>
        </w:rPr>
        <w:t xml:space="preserve"> </w:t>
      </w:r>
      <w:r w:rsidRPr="005E518B">
        <w:rPr>
          <w:rFonts w:ascii="Palatino Linotype" w:eastAsia="Palatino Linotype" w:hAnsi="Palatino Linotype" w:cs="Palatino Linotype"/>
          <w:b/>
        </w:rPr>
        <w:t xml:space="preserve">Cuarto </w:t>
      </w:r>
      <w:r w:rsidRPr="005E518B">
        <w:rPr>
          <w:rFonts w:ascii="Palatino Linotype" w:eastAsia="Palatino Linotype" w:hAnsi="Palatino Linotype" w:cs="Palatino Linotype"/>
        </w:rPr>
        <w:t xml:space="preserve">de esta resolución, se </w:t>
      </w:r>
      <w:r w:rsidRPr="005E518B">
        <w:rPr>
          <w:rFonts w:ascii="Palatino Linotype" w:eastAsia="Palatino Linotype" w:hAnsi="Palatino Linotype" w:cs="Palatino Linotype"/>
          <w:b/>
        </w:rPr>
        <w:t>Revoca</w:t>
      </w:r>
      <w:r w:rsidRPr="005E518B">
        <w:rPr>
          <w:rFonts w:ascii="Palatino Linotype" w:eastAsia="Palatino Linotype" w:hAnsi="Palatino Linotype" w:cs="Palatino Linotype"/>
        </w:rPr>
        <w:t xml:space="preserve"> la respuesta emitida por el </w:t>
      </w:r>
      <w:r w:rsidRPr="005E518B">
        <w:rPr>
          <w:rFonts w:ascii="Palatino Linotype" w:eastAsia="Palatino Linotype" w:hAnsi="Palatino Linotype" w:cs="Palatino Linotype"/>
          <w:b/>
        </w:rPr>
        <w:t xml:space="preserve">Sujeto Obligado. </w:t>
      </w:r>
    </w:p>
    <w:p w14:paraId="28EB9482" w14:textId="0B4CF0DA" w:rsidR="00D90E73" w:rsidRPr="005E518B" w:rsidRDefault="00645B47">
      <w:pPr>
        <w:spacing w:before="240" w:after="240" w:line="360" w:lineRule="auto"/>
        <w:ind w:right="49"/>
        <w:jc w:val="both"/>
        <w:rPr>
          <w:rFonts w:ascii="Palatino Linotype" w:eastAsia="Palatino Linotype" w:hAnsi="Palatino Linotype" w:cs="Palatino Linotype"/>
        </w:rPr>
      </w:pPr>
      <w:r w:rsidRPr="005E518B">
        <w:rPr>
          <w:rFonts w:ascii="Palatino Linotype" w:eastAsia="Palatino Linotype" w:hAnsi="Palatino Linotype" w:cs="Palatino Linotype"/>
          <w:b/>
        </w:rPr>
        <w:lastRenderedPageBreak/>
        <w:t xml:space="preserve">Segundo. </w:t>
      </w:r>
      <w:r w:rsidRPr="005E518B">
        <w:rPr>
          <w:rFonts w:ascii="Palatino Linotype" w:eastAsia="Palatino Linotype" w:hAnsi="Palatino Linotype" w:cs="Palatino Linotype"/>
        </w:rPr>
        <w:t xml:space="preserve">Se </w:t>
      </w:r>
      <w:r w:rsidRPr="005E518B">
        <w:rPr>
          <w:rFonts w:ascii="Palatino Linotype" w:eastAsia="Palatino Linotype" w:hAnsi="Palatino Linotype" w:cs="Palatino Linotype"/>
          <w:b/>
        </w:rPr>
        <w:t xml:space="preserve">Ordena </w:t>
      </w:r>
      <w:r w:rsidRPr="005E518B">
        <w:rPr>
          <w:rFonts w:ascii="Palatino Linotype" w:eastAsia="Palatino Linotype" w:hAnsi="Palatino Linotype" w:cs="Palatino Linotype"/>
        </w:rPr>
        <w:t xml:space="preserve">al </w:t>
      </w:r>
      <w:r w:rsidRPr="005E518B">
        <w:rPr>
          <w:rFonts w:ascii="Palatino Linotype" w:eastAsia="Palatino Linotype" w:hAnsi="Palatino Linotype" w:cs="Palatino Linotype"/>
          <w:b/>
        </w:rPr>
        <w:t xml:space="preserve">Sujeto Obligado, </w:t>
      </w:r>
      <w:r w:rsidRPr="005E518B">
        <w:rPr>
          <w:rFonts w:ascii="Palatino Linotype" w:eastAsia="Palatino Linotype" w:hAnsi="Palatino Linotype" w:cs="Palatino Linotype"/>
        </w:rPr>
        <w:t>en términos de</w:t>
      </w:r>
      <w:r w:rsidR="00660E0A" w:rsidRPr="005E518B">
        <w:rPr>
          <w:rFonts w:ascii="Palatino Linotype" w:eastAsia="Palatino Linotype" w:hAnsi="Palatino Linotype" w:cs="Palatino Linotype"/>
        </w:rPr>
        <w:t xml:space="preserve"> </w:t>
      </w:r>
      <w:r w:rsidRPr="005E518B">
        <w:rPr>
          <w:rFonts w:ascii="Palatino Linotype" w:eastAsia="Palatino Linotype" w:hAnsi="Palatino Linotype" w:cs="Palatino Linotype"/>
        </w:rPr>
        <w:t>l</w:t>
      </w:r>
      <w:r w:rsidR="00660E0A" w:rsidRPr="005E518B">
        <w:rPr>
          <w:rFonts w:ascii="Palatino Linotype" w:eastAsia="Palatino Linotype" w:hAnsi="Palatino Linotype" w:cs="Palatino Linotype"/>
        </w:rPr>
        <w:t>os</w:t>
      </w:r>
      <w:r w:rsidRPr="005E518B">
        <w:rPr>
          <w:rFonts w:ascii="Palatino Linotype" w:eastAsia="Palatino Linotype" w:hAnsi="Palatino Linotype" w:cs="Palatino Linotype"/>
        </w:rPr>
        <w:t xml:space="preserve"> </w:t>
      </w:r>
      <w:r w:rsidRPr="005E518B">
        <w:rPr>
          <w:rFonts w:ascii="Palatino Linotype" w:eastAsia="Palatino Linotype" w:hAnsi="Palatino Linotype" w:cs="Palatino Linotype"/>
          <w:b/>
        </w:rPr>
        <w:t>Considerando</w:t>
      </w:r>
      <w:r w:rsidR="00660E0A" w:rsidRPr="005E518B">
        <w:rPr>
          <w:rFonts w:ascii="Palatino Linotype" w:eastAsia="Palatino Linotype" w:hAnsi="Palatino Linotype" w:cs="Palatino Linotype"/>
          <w:b/>
        </w:rPr>
        <w:t>s</w:t>
      </w:r>
      <w:r w:rsidRPr="005E518B">
        <w:rPr>
          <w:rFonts w:ascii="Palatino Linotype" w:eastAsia="Palatino Linotype" w:hAnsi="Palatino Linotype" w:cs="Palatino Linotype"/>
          <w:b/>
        </w:rPr>
        <w:t xml:space="preserve"> Cuarto</w:t>
      </w:r>
      <w:r w:rsidR="00660E0A" w:rsidRPr="005E518B">
        <w:rPr>
          <w:rFonts w:ascii="Palatino Linotype" w:eastAsia="Palatino Linotype" w:hAnsi="Palatino Linotype" w:cs="Palatino Linotype"/>
          <w:b/>
        </w:rPr>
        <w:t xml:space="preserve"> </w:t>
      </w:r>
      <w:r w:rsidR="00660E0A" w:rsidRPr="005E518B">
        <w:rPr>
          <w:rFonts w:ascii="Palatino Linotype" w:eastAsia="Palatino Linotype" w:hAnsi="Palatino Linotype" w:cs="Palatino Linotype"/>
        </w:rPr>
        <w:t xml:space="preserve">y </w:t>
      </w:r>
      <w:r w:rsidR="00660E0A" w:rsidRPr="005E518B">
        <w:rPr>
          <w:rFonts w:ascii="Palatino Linotype" w:eastAsia="Palatino Linotype" w:hAnsi="Palatino Linotype" w:cs="Palatino Linotype"/>
          <w:b/>
        </w:rPr>
        <w:t>Quinto</w:t>
      </w:r>
      <w:r w:rsidRPr="005E518B">
        <w:rPr>
          <w:rFonts w:ascii="Palatino Linotype" w:eastAsia="Palatino Linotype" w:hAnsi="Palatino Linotype" w:cs="Palatino Linotype"/>
          <w:b/>
        </w:rPr>
        <w:t xml:space="preserve"> </w:t>
      </w:r>
      <w:r w:rsidRPr="005E518B">
        <w:rPr>
          <w:rFonts w:ascii="Palatino Linotype" w:eastAsia="Palatino Linotype" w:hAnsi="Palatino Linotype" w:cs="Palatino Linotype"/>
        </w:rPr>
        <w:t xml:space="preserve">de esta resolución, haga entrega, vía </w:t>
      </w:r>
      <w:r w:rsidRPr="005E518B">
        <w:rPr>
          <w:rFonts w:ascii="Palatino Linotype" w:eastAsia="Palatino Linotype" w:hAnsi="Palatino Linotype" w:cs="Palatino Linotype"/>
          <w:b/>
        </w:rPr>
        <w:t>SAIMEX</w:t>
      </w:r>
      <w:r w:rsidRPr="005E518B">
        <w:rPr>
          <w:rFonts w:ascii="Palatino Linotype" w:eastAsia="Palatino Linotype" w:hAnsi="Palatino Linotype" w:cs="Palatino Linotype"/>
        </w:rPr>
        <w:t>,</w:t>
      </w:r>
      <w:r w:rsidR="00660E0A" w:rsidRPr="005E518B">
        <w:rPr>
          <w:rFonts w:ascii="Palatino Linotype" w:eastAsia="Palatino Linotype" w:hAnsi="Palatino Linotype" w:cs="Palatino Linotype"/>
        </w:rPr>
        <w:t xml:space="preserve"> previa búsqueda exhaustiva y razonable, en versión pública de ser procedente, </w:t>
      </w:r>
      <w:r w:rsidRPr="005E518B">
        <w:rPr>
          <w:rFonts w:ascii="Palatino Linotype" w:eastAsia="Palatino Linotype" w:hAnsi="Palatino Linotype" w:cs="Palatino Linotype"/>
        </w:rPr>
        <w:t>de lo siguiente:</w:t>
      </w:r>
    </w:p>
    <w:p w14:paraId="70AD0D00" w14:textId="0A9600EB" w:rsidR="00D90E73" w:rsidRPr="005E518B" w:rsidRDefault="00645B47">
      <w:pPr>
        <w:numPr>
          <w:ilvl w:val="0"/>
          <w:numId w:val="2"/>
        </w:numPr>
        <w:pBdr>
          <w:top w:val="nil"/>
          <w:left w:val="nil"/>
          <w:bottom w:val="nil"/>
          <w:right w:val="nil"/>
          <w:between w:val="nil"/>
        </w:pBdr>
        <w:spacing w:before="240" w:after="240" w:line="360" w:lineRule="auto"/>
        <w:ind w:left="426" w:right="51" w:firstLine="0"/>
        <w:jc w:val="both"/>
        <w:rPr>
          <w:rFonts w:ascii="Palatino Linotype" w:eastAsia="Palatino Linotype" w:hAnsi="Palatino Linotype" w:cs="Palatino Linotype"/>
        </w:rPr>
      </w:pPr>
      <w:bookmarkStart w:id="10" w:name="_heading=h.1fob9te" w:colFirst="0" w:colLast="0"/>
      <w:bookmarkEnd w:id="10"/>
      <w:r w:rsidRPr="005E518B">
        <w:rPr>
          <w:rFonts w:ascii="Palatino Linotype" w:eastAsia="Palatino Linotype" w:hAnsi="Palatino Linotype" w:cs="Palatino Linotype"/>
        </w:rPr>
        <w:t xml:space="preserve">Acuerdo de Inexistencia del Comité de Transparencia, en términos de los artículos 19, último párrafo, 49 fracciones II y XIII, 169 y 170 de Ley de Transparencia y Acceso a la Información Pública del Estado de México y Municipios, en el que se funden y motiven las razones por las cuales no cuenta con las tarjetas de circulación de los vehículos oficiales </w:t>
      </w:r>
      <w:r w:rsidR="006B02C0" w:rsidRPr="005E518B">
        <w:rPr>
          <w:rFonts w:ascii="Palatino Linotype" w:eastAsia="Palatino Linotype" w:hAnsi="Palatino Linotype" w:cs="Palatino Linotype"/>
        </w:rPr>
        <w:t>referidos en informe justificado.</w:t>
      </w:r>
      <w:r w:rsidR="00C85E28" w:rsidRPr="005E518B">
        <w:rPr>
          <w:rFonts w:ascii="Palatino Linotype" w:eastAsia="Palatino Linotype" w:hAnsi="Palatino Linotype" w:cs="Palatino Linotype"/>
        </w:rPr>
        <w:t xml:space="preserve"> </w:t>
      </w:r>
    </w:p>
    <w:p w14:paraId="61F15EB2" w14:textId="71B9F769" w:rsidR="00660E0A" w:rsidRPr="005E518B" w:rsidRDefault="006C541E" w:rsidP="00660E0A">
      <w:pPr>
        <w:numPr>
          <w:ilvl w:val="0"/>
          <w:numId w:val="2"/>
        </w:numPr>
        <w:pBdr>
          <w:top w:val="nil"/>
          <w:left w:val="nil"/>
          <w:bottom w:val="nil"/>
          <w:right w:val="nil"/>
          <w:between w:val="nil"/>
        </w:pBdr>
        <w:spacing w:before="240" w:after="240" w:line="360" w:lineRule="auto"/>
        <w:ind w:left="426" w:right="51" w:firstLine="0"/>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Relación del parque vehicular </w:t>
      </w:r>
      <w:r w:rsidR="00660E0A" w:rsidRPr="005E518B">
        <w:rPr>
          <w:rFonts w:ascii="Palatino Linotype" w:eastAsia="Palatino Linotype" w:hAnsi="Palatino Linotype" w:cs="Palatino Linotype"/>
        </w:rPr>
        <w:t xml:space="preserve">oficial </w:t>
      </w:r>
      <w:r w:rsidRPr="005E518B">
        <w:rPr>
          <w:rFonts w:ascii="Palatino Linotype" w:eastAsia="Palatino Linotype" w:hAnsi="Palatino Linotype" w:cs="Palatino Linotype"/>
        </w:rPr>
        <w:t xml:space="preserve">faltante </w:t>
      </w:r>
      <w:r w:rsidR="009F0433" w:rsidRPr="005E518B">
        <w:rPr>
          <w:rFonts w:ascii="Palatino Linotype" w:eastAsia="Palatino Linotype" w:hAnsi="Palatino Linotype" w:cs="Palatino Linotype"/>
        </w:rPr>
        <w:t xml:space="preserve">con sus respectivas </w:t>
      </w:r>
      <w:r w:rsidR="00660E0A" w:rsidRPr="005E518B">
        <w:rPr>
          <w:rFonts w:ascii="Palatino Linotype" w:eastAsia="Palatino Linotype" w:hAnsi="Palatino Linotype" w:cs="Palatino Linotype"/>
        </w:rPr>
        <w:t>tarjetas de circulación</w:t>
      </w:r>
      <w:r w:rsidR="009F0433" w:rsidRPr="005E518B">
        <w:rPr>
          <w:rFonts w:ascii="Palatino Linotype" w:eastAsia="Palatino Linotype" w:hAnsi="Palatino Linotype" w:cs="Palatino Linotype"/>
        </w:rPr>
        <w:t xml:space="preserve">, </w:t>
      </w:r>
      <w:r w:rsidR="00660E0A" w:rsidRPr="005E518B">
        <w:rPr>
          <w:rFonts w:ascii="Palatino Linotype" w:eastAsia="Palatino Linotype" w:hAnsi="Palatino Linotype" w:cs="Palatino Linotype"/>
        </w:rPr>
        <w:t>vigentes al veintisiete de enero de dos mil veinticinco.</w:t>
      </w:r>
    </w:p>
    <w:p w14:paraId="78B5F3E6" w14:textId="3D8F24BA" w:rsidR="00660E0A" w:rsidRPr="005E518B" w:rsidRDefault="00660E0A" w:rsidP="00660E0A">
      <w:pPr>
        <w:spacing w:before="240" w:after="240"/>
        <w:ind w:left="426"/>
        <w:jc w:val="both"/>
        <w:rPr>
          <w:rFonts w:ascii="Palatino Linotype" w:eastAsia="Palatino Linotype" w:hAnsi="Palatino Linotype" w:cs="Palatino Linotype"/>
          <w:i/>
          <w:sz w:val="22"/>
        </w:rPr>
      </w:pPr>
      <w:r w:rsidRPr="005E518B">
        <w:rPr>
          <w:rFonts w:ascii="Palatino Linotype" w:eastAsia="Palatino Linotype" w:hAnsi="Palatino Linotype" w:cs="Palatino Linotype"/>
          <w:i/>
          <w:sz w:val="22"/>
        </w:rPr>
        <w:t>Para la entrega en versión pública, se deberá entregar el Acuerdo del Comité de Transparencia en términos de la Ley de Transparencia y Acceso a la Información Pública del Estado de México y Municipios, en el que funde y motive las razones sobre los datos que se supriman o eliminen y se ponga a disposición de la parte Recurrente.</w:t>
      </w:r>
    </w:p>
    <w:p w14:paraId="39D8A7AB"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b/>
        </w:rPr>
        <w:t xml:space="preserve">Tercero. Notifíquese, </w:t>
      </w:r>
      <w:r w:rsidRPr="005E518B">
        <w:rPr>
          <w:rFonts w:ascii="Palatino Linotype" w:eastAsia="Palatino Linotype" w:hAnsi="Palatino Linotype" w:cs="Palatino Linotype"/>
        </w:rPr>
        <w:t xml:space="preserve">vía </w:t>
      </w:r>
      <w:r w:rsidRPr="005E518B">
        <w:rPr>
          <w:rFonts w:ascii="Palatino Linotype" w:eastAsia="Palatino Linotype" w:hAnsi="Palatino Linotype" w:cs="Palatino Linotype"/>
          <w:b/>
        </w:rPr>
        <w:t>SAIMEX</w:t>
      </w:r>
      <w:r w:rsidRPr="005E518B">
        <w:rPr>
          <w:rFonts w:ascii="Palatino Linotype" w:eastAsia="Palatino Linotype" w:hAnsi="Palatino Linotype" w:cs="Palatino Linotype"/>
        </w:rPr>
        <w:t xml:space="preserve">, al Titular de la Unidad de Transparencia del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w:t>
      </w:r>
      <w:r w:rsidRPr="005E518B">
        <w:rPr>
          <w:rFonts w:ascii="Palatino Linotype" w:eastAsia="Palatino Linotype" w:hAnsi="Palatino Linotype" w:cs="Palatino Linotype"/>
        </w:rPr>
        <w:lastRenderedPageBreak/>
        <w:t>previsto en los artículos 198, 200, fracción III; 214, 215 y 216 de la Ley  de Transparencia y Acceso a la Información Pública del Estado de México y Municipios.</w:t>
      </w:r>
    </w:p>
    <w:p w14:paraId="47A52FE6" w14:textId="77777777" w:rsidR="00D90E73" w:rsidRPr="005E518B" w:rsidRDefault="00645B47">
      <w:pPr>
        <w:spacing w:before="240" w:after="240" w:line="360" w:lineRule="auto"/>
        <w:jc w:val="both"/>
        <w:rPr>
          <w:rFonts w:ascii="Palatino Linotype" w:eastAsia="Palatino Linotype" w:hAnsi="Palatino Linotype" w:cs="Palatino Linotype"/>
        </w:rPr>
      </w:pPr>
      <w:r w:rsidRPr="005E518B">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5E518B">
        <w:rPr>
          <w:rFonts w:ascii="Palatino Linotype" w:eastAsia="Palatino Linotype" w:hAnsi="Palatino Linotype" w:cs="Palatino Linotype"/>
          <w:b/>
        </w:rPr>
        <w:t>Sujeto Obligado</w:t>
      </w:r>
      <w:r w:rsidRPr="005E518B">
        <w:rPr>
          <w:rFonts w:ascii="Palatino Linotype" w:eastAsia="Palatino Linotype" w:hAnsi="Palatino Linotype" w:cs="Palatino Linotype"/>
        </w:rPr>
        <w:t xml:space="preserve"> de manera fundada y motivada, podrá solicitar una ampliación de plazo para el cumplimiento de la presente resolución.</w:t>
      </w:r>
    </w:p>
    <w:p w14:paraId="272B7029" w14:textId="77777777" w:rsidR="00D90E73" w:rsidRPr="005E518B" w:rsidRDefault="00645B47">
      <w:pPr>
        <w:spacing w:before="240" w:after="240" w:line="360" w:lineRule="auto"/>
        <w:jc w:val="both"/>
        <w:rPr>
          <w:rFonts w:ascii="Palatino Linotype" w:eastAsia="Palatino Linotype" w:hAnsi="Palatino Linotype" w:cs="Palatino Linotype"/>
        </w:rPr>
      </w:pPr>
      <w:bookmarkStart w:id="11" w:name="_heading=h.ot3qq6vxa08f" w:colFirst="0" w:colLast="0"/>
      <w:bookmarkEnd w:id="11"/>
      <w:r w:rsidRPr="005E518B">
        <w:rPr>
          <w:rFonts w:ascii="Palatino Linotype" w:eastAsia="Palatino Linotype" w:hAnsi="Palatino Linotype" w:cs="Palatino Linotype"/>
          <w:b/>
        </w:rPr>
        <w:t xml:space="preserve">Cuarto.  Notifíquese, </w:t>
      </w:r>
      <w:r w:rsidRPr="005E518B">
        <w:rPr>
          <w:rFonts w:ascii="Palatino Linotype" w:eastAsia="Palatino Linotype" w:hAnsi="Palatino Linotype" w:cs="Palatino Linotype"/>
        </w:rPr>
        <w:t xml:space="preserve">vía </w:t>
      </w:r>
      <w:r w:rsidRPr="005E518B">
        <w:rPr>
          <w:rFonts w:ascii="Palatino Linotype" w:eastAsia="Palatino Linotype" w:hAnsi="Palatino Linotype" w:cs="Palatino Linotype"/>
          <w:b/>
        </w:rPr>
        <w:t>SAIMEX</w:t>
      </w:r>
      <w:r w:rsidRPr="005E518B">
        <w:rPr>
          <w:rFonts w:ascii="Palatino Linotype" w:eastAsia="Palatino Linotype" w:hAnsi="Palatino Linotype" w:cs="Palatino Linotype"/>
        </w:rPr>
        <w:t xml:space="preserve"> a la parte </w:t>
      </w:r>
      <w:r w:rsidRPr="005E518B">
        <w:rPr>
          <w:rFonts w:ascii="Palatino Linotype" w:eastAsia="Palatino Linotype" w:hAnsi="Palatino Linotype" w:cs="Palatino Linotype"/>
          <w:b/>
        </w:rPr>
        <w:t>Recurrente</w:t>
      </w:r>
      <w:r w:rsidRPr="005E518B">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487A940F" w14:textId="77777777" w:rsidR="00D90E73" w:rsidRPr="00822761" w:rsidRDefault="00645B47">
      <w:pPr>
        <w:tabs>
          <w:tab w:val="left" w:pos="8647"/>
        </w:tabs>
        <w:spacing w:before="240" w:after="240" w:line="360" w:lineRule="auto"/>
        <w:ind w:right="51"/>
        <w:jc w:val="both"/>
        <w:rPr>
          <w:rFonts w:ascii="Palatino Linotype" w:eastAsia="Palatino Linotype" w:hAnsi="Palatino Linotype" w:cs="Palatino Linotype"/>
        </w:rPr>
      </w:pPr>
      <w:bookmarkStart w:id="12" w:name="_heading=h.lnxbz9" w:colFirst="0" w:colLast="0"/>
      <w:bookmarkEnd w:id="12"/>
      <w:r w:rsidRPr="005E518B">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DOS DE ABRIL DE DOS MIL VEINTICINCO, ANTE EL SECRETARIO TÉCNICO DEL PLENO ALEXIS TAPIA RAMÍREZ.</w:t>
      </w:r>
    </w:p>
    <w:p w14:paraId="218EE203" w14:textId="77777777" w:rsidR="00D90E73" w:rsidRPr="00822761" w:rsidRDefault="00D90E73">
      <w:pPr>
        <w:spacing w:line="360" w:lineRule="auto"/>
        <w:jc w:val="both"/>
        <w:rPr>
          <w:rFonts w:ascii="Palatino Linotype" w:eastAsia="Palatino Linotype" w:hAnsi="Palatino Linotype" w:cs="Palatino Linotype"/>
        </w:rPr>
      </w:pPr>
    </w:p>
    <w:p w14:paraId="01814969" w14:textId="77777777" w:rsidR="00D90E73" w:rsidRPr="00822761" w:rsidRDefault="00D90E73">
      <w:pPr>
        <w:spacing w:line="360" w:lineRule="auto"/>
        <w:jc w:val="center"/>
        <w:rPr>
          <w:rFonts w:ascii="Palatino Linotype" w:eastAsia="Palatino Linotype" w:hAnsi="Palatino Linotype" w:cs="Palatino Linotype"/>
        </w:rPr>
      </w:pPr>
    </w:p>
    <w:p w14:paraId="57E9FD16" w14:textId="77777777" w:rsidR="00D90E73" w:rsidRPr="00822761" w:rsidRDefault="00D90E73">
      <w:pPr>
        <w:spacing w:line="360" w:lineRule="auto"/>
        <w:jc w:val="both"/>
        <w:rPr>
          <w:rFonts w:ascii="Palatino Linotype" w:eastAsia="Palatino Linotype" w:hAnsi="Palatino Linotype" w:cs="Palatino Linotype"/>
        </w:rPr>
      </w:pPr>
    </w:p>
    <w:p w14:paraId="469F1AD2" w14:textId="77777777" w:rsidR="00D90E73" w:rsidRPr="00822761" w:rsidRDefault="00D90E73">
      <w:pPr>
        <w:spacing w:line="360" w:lineRule="auto"/>
        <w:jc w:val="both"/>
        <w:rPr>
          <w:rFonts w:ascii="Palatino Linotype" w:eastAsia="Palatino Linotype" w:hAnsi="Palatino Linotype" w:cs="Palatino Linotype"/>
        </w:rPr>
      </w:pPr>
    </w:p>
    <w:p w14:paraId="60D4C9D2" w14:textId="77777777" w:rsidR="00D90E73" w:rsidRPr="00822761" w:rsidRDefault="00D90E73">
      <w:pPr>
        <w:spacing w:line="360" w:lineRule="auto"/>
        <w:jc w:val="both"/>
        <w:rPr>
          <w:rFonts w:ascii="Palatino Linotype" w:eastAsia="Palatino Linotype" w:hAnsi="Palatino Linotype" w:cs="Palatino Linotype"/>
        </w:rPr>
      </w:pPr>
    </w:p>
    <w:p w14:paraId="5E4F6DD4" w14:textId="77777777" w:rsidR="00D90E73" w:rsidRPr="00822761" w:rsidRDefault="00D90E73">
      <w:pPr>
        <w:spacing w:line="360" w:lineRule="auto"/>
        <w:jc w:val="both"/>
        <w:rPr>
          <w:rFonts w:ascii="Palatino Linotype" w:eastAsia="Palatino Linotype" w:hAnsi="Palatino Linotype" w:cs="Palatino Linotype"/>
        </w:rPr>
      </w:pPr>
    </w:p>
    <w:p w14:paraId="2835577A" w14:textId="77777777" w:rsidR="00D90E73" w:rsidRPr="00822761" w:rsidRDefault="00D90E73">
      <w:pPr>
        <w:spacing w:line="360" w:lineRule="auto"/>
        <w:jc w:val="both"/>
        <w:rPr>
          <w:rFonts w:ascii="Palatino Linotype" w:eastAsia="Palatino Linotype" w:hAnsi="Palatino Linotype" w:cs="Palatino Linotype"/>
        </w:rPr>
      </w:pPr>
    </w:p>
    <w:p w14:paraId="2169A7A8" w14:textId="77777777" w:rsidR="00D90E73" w:rsidRPr="00822761" w:rsidRDefault="00D90E73">
      <w:pPr>
        <w:spacing w:line="360" w:lineRule="auto"/>
        <w:jc w:val="both"/>
        <w:rPr>
          <w:rFonts w:ascii="Palatino Linotype" w:eastAsia="Palatino Linotype" w:hAnsi="Palatino Linotype" w:cs="Palatino Linotype"/>
        </w:rPr>
      </w:pPr>
    </w:p>
    <w:p w14:paraId="6D51A4AE" w14:textId="77777777" w:rsidR="00D90E73" w:rsidRPr="00822761" w:rsidRDefault="00D90E73">
      <w:pPr>
        <w:spacing w:line="360" w:lineRule="auto"/>
        <w:jc w:val="both"/>
        <w:rPr>
          <w:rFonts w:ascii="Palatino Linotype" w:eastAsia="Palatino Linotype" w:hAnsi="Palatino Linotype" w:cs="Palatino Linotype"/>
        </w:rPr>
      </w:pPr>
    </w:p>
    <w:p w14:paraId="7027A071" w14:textId="77777777" w:rsidR="00D90E73" w:rsidRPr="00822761" w:rsidRDefault="00D90E73">
      <w:pPr>
        <w:spacing w:line="360" w:lineRule="auto"/>
        <w:jc w:val="both"/>
        <w:rPr>
          <w:rFonts w:ascii="Palatino Linotype" w:eastAsia="Palatino Linotype" w:hAnsi="Palatino Linotype" w:cs="Palatino Linotype"/>
        </w:rPr>
      </w:pPr>
    </w:p>
    <w:p w14:paraId="3B430B5C" w14:textId="77777777" w:rsidR="00D90E73" w:rsidRPr="00822761" w:rsidRDefault="00D90E73">
      <w:pPr>
        <w:spacing w:line="360" w:lineRule="auto"/>
        <w:jc w:val="both"/>
        <w:rPr>
          <w:rFonts w:ascii="Palatino Linotype" w:eastAsia="Palatino Linotype" w:hAnsi="Palatino Linotype" w:cs="Palatino Linotype"/>
        </w:rPr>
      </w:pPr>
    </w:p>
    <w:p w14:paraId="16178916" w14:textId="77777777" w:rsidR="00D90E73" w:rsidRPr="00822761" w:rsidRDefault="00D90E73">
      <w:pPr>
        <w:spacing w:line="360" w:lineRule="auto"/>
        <w:jc w:val="both"/>
        <w:rPr>
          <w:rFonts w:ascii="Palatino Linotype" w:eastAsia="Palatino Linotype" w:hAnsi="Palatino Linotype" w:cs="Palatino Linotype"/>
        </w:rPr>
      </w:pPr>
    </w:p>
    <w:p w14:paraId="1FF2E178" w14:textId="77777777" w:rsidR="00D90E73" w:rsidRPr="00822761" w:rsidRDefault="00D90E73">
      <w:pPr>
        <w:spacing w:line="360" w:lineRule="auto"/>
        <w:jc w:val="both"/>
        <w:rPr>
          <w:rFonts w:ascii="Palatino Linotype" w:eastAsia="Palatino Linotype" w:hAnsi="Palatino Linotype" w:cs="Palatino Linotype"/>
        </w:rPr>
      </w:pPr>
    </w:p>
    <w:sectPr w:rsidR="00D90E73" w:rsidRPr="00822761">
      <w:headerReference w:type="default" r:id="rId14"/>
      <w:footerReference w:type="default" r:id="rId15"/>
      <w:headerReference w:type="first" r:id="rId16"/>
      <w:footerReference w:type="first" r:id="rId1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E2120" w14:textId="77777777" w:rsidR="00583147" w:rsidRDefault="00583147">
      <w:r>
        <w:separator/>
      </w:r>
    </w:p>
  </w:endnote>
  <w:endnote w:type="continuationSeparator" w:id="0">
    <w:p w14:paraId="1D9DB8E5" w14:textId="77777777" w:rsidR="00583147" w:rsidRDefault="00583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E21AF" w14:textId="77777777" w:rsidR="0059299F" w:rsidRDefault="0059299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E518B">
      <w:rPr>
        <w:rFonts w:ascii="Palatino Linotype" w:eastAsia="Palatino Linotype" w:hAnsi="Palatino Linotype" w:cs="Palatino Linotype"/>
        <w:b/>
        <w:noProof/>
        <w:color w:val="000000"/>
        <w:sz w:val="20"/>
        <w:szCs w:val="20"/>
      </w:rPr>
      <w:t>43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E518B">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10DF1104" w14:textId="77777777" w:rsidR="0059299F" w:rsidRDefault="0059299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B5667" w14:textId="77777777" w:rsidR="0059299F" w:rsidRDefault="0059299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E518B">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E518B">
      <w:rPr>
        <w:rFonts w:ascii="Palatino Linotype" w:eastAsia="Palatino Linotype" w:hAnsi="Palatino Linotype" w:cs="Palatino Linotype"/>
        <w:b/>
        <w:noProof/>
        <w:color w:val="000000"/>
        <w:sz w:val="20"/>
        <w:szCs w:val="20"/>
      </w:rPr>
      <w:t>45</w:t>
    </w:r>
    <w:r>
      <w:rPr>
        <w:rFonts w:ascii="Palatino Linotype" w:eastAsia="Palatino Linotype" w:hAnsi="Palatino Linotype" w:cs="Palatino Linotype"/>
        <w:b/>
        <w:color w:val="000000"/>
        <w:sz w:val="20"/>
        <w:szCs w:val="20"/>
      </w:rPr>
      <w:fldChar w:fldCharType="end"/>
    </w:r>
  </w:p>
  <w:p w14:paraId="3BEE9785" w14:textId="77777777" w:rsidR="0059299F" w:rsidRDefault="0059299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9C3C27" w14:textId="77777777" w:rsidR="00583147" w:rsidRDefault="00583147">
      <w:r>
        <w:separator/>
      </w:r>
    </w:p>
  </w:footnote>
  <w:footnote w:type="continuationSeparator" w:id="0">
    <w:p w14:paraId="30E2A1F5" w14:textId="77777777" w:rsidR="00583147" w:rsidRDefault="00583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0B1F3" w14:textId="77777777" w:rsidR="0059299F" w:rsidRDefault="0059299F">
    <w:pPr>
      <w:rPr>
        <w:rFonts w:ascii="Cambria" w:eastAsia="Cambria" w:hAnsi="Cambria" w:cs="Cambria"/>
        <w:color w:val="000000"/>
      </w:rPr>
    </w:pPr>
    <w:r>
      <w:rPr>
        <w:noProof/>
      </w:rPr>
      <w:drawing>
        <wp:anchor distT="0" distB="0" distL="0" distR="0" simplePos="0" relativeHeight="251658240" behindDoc="1" locked="0" layoutInCell="1" hidden="0" allowOverlap="1" wp14:anchorId="22ACB52A" wp14:editId="56AEC7AD">
          <wp:simplePos x="0" y="0"/>
          <wp:positionH relativeFrom="column">
            <wp:posOffset>-1080094</wp:posOffset>
          </wp:positionH>
          <wp:positionV relativeFrom="paragraph">
            <wp:posOffset>-488266</wp:posOffset>
          </wp:positionV>
          <wp:extent cx="7809865" cy="10165715"/>
          <wp:effectExtent l="0" t="0" r="0" b="0"/>
          <wp:wrapNone/>
          <wp:docPr id="208329645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4"/>
      <w:tblW w:w="5953" w:type="dxa"/>
      <w:tblInd w:w="3261" w:type="dxa"/>
      <w:tblLayout w:type="fixed"/>
      <w:tblLook w:val="0400" w:firstRow="0" w:lastRow="0" w:firstColumn="0" w:lastColumn="0" w:noHBand="0" w:noVBand="1"/>
    </w:tblPr>
    <w:tblGrid>
      <w:gridCol w:w="2489"/>
      <w:gridCol w:w="3464"/>
    </w:tblGrid>
    <w:tr w:rsidR="0059299F" w14:paraId="46D8E748" w14:textId="77777777">
      <w:tc>
        <w:tcPr>
          <w:tcW w:w="2489" w:type="dxa"/>
          <w:shd w:val="clear" w:color="auto" w:fill="auto"/>
        </w:tcPr>
        <w:p w14:paraId="39E7AC8A" w14:textId="77777777" w:rsidR="0059299F" w:rsidRDefault="005929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7D30E51" w14:textId="77777777" w:rsidR="0059299F" w:rsidRDefault="0059299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01749/INFOEM/IP/RR/2025</w:t>
          </w:r>
        </w:p>
      </w:tc>
    </w:tr>
    <w:tr w:rsidR="0059299F" w14:paraId="5087D4E7" w14:textId="77777777">
      <w:trPr>
        <w:trHeight w:val="228"/>
      </w:trPr>
      <w:tc>
        <w:tcPr>
          <w:tcW w:w="2489" w:type="dxa"/>
          <w:shd w:val="clear" w:color="auto" w:fill="auto"/>
          <w:vAlign w:val="center"/>
        </w:tcPr>
        <w:p w14:paraId="0A2D954B" w14:textId="77777777" w:rsidR="0059299F" w:rsidRDefault="005929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1C51373" w14:textId="77777777" w:rsidR="0059299F" w:rsidRDefault="0059299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59299F" w14:paraId="706C8F38" w14:textId="77777777">
      <w:tc>
        <w:tcPr>
          <w:tcW w:w="2489" w:type="dxa"/>
          <w:shd w:val="clear" w:color="auto" w:fill="auto"/>
          <w:vAlign w:val="center"/>
        </w:tcPr>
        <w:p w14:paraId="05FF8F9E" w14:textId="77777777" w:rsidR="0059299F" w:rsidRDefault="0059299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83550E1" w14:textId="77777777" w:rsidR="0059299F" w:rsidRDefault="0059299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FBF3C20" w14:textId="77777777" w:rsidR="0059299F" w:rsidRDefault="0059299F">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0013B" w14:textId="77777777" w:rsidR="0059299F" w:rsidRDefault="0059299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0A2F1344" wp14:editId="4B02BBE5">
          <wp:simplePos x="0" y="0"/>
          <wp:positionH relativeFrom="column">
            <wp:posOffset>-1080120</wp:posOffset>
          </wp:positionH>
          <wp:positionV relativeFrom="paragraph">
            <wp:posOffset>-369895</wp:posOffset>
          </wp:positionV>
          <wp:extent cx="7809865" cy="10165715"/>
          <wp:effectExtent l="0" t="0" r="0" b="0"/>
          <wp:wrapNone/>
          <wp:docPr id="20832964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5"/>
      <w:tblW w:w="5953" w:type="dxa"/>
      <w:tblInd w:w="3261" w:type="dxa"/>
      <w:tblLayout w:type="fixed"/>
      <w:tblLook w:val="0400" w:firstRow="0" w:lastRow="0" w:firstColumn="0" w:lastColumn="0" w:noHBand="0" w:noVBand="1"/>
    </w:tblPr>
    <w:tblGrid>
      <w:gridCol w:w="2489"/>
      <w:gridCol w:w="3464"/>
    </w:tblGrid>
    <w:tr w:rsidR="0059299F" w14:paraId="212A1664" w14:textId="77777777">
      <w:tc>
        <w:tcPr>
          <w:tcW w:w="2489" w:type="dxa"/>
          <w:shd w:val="clear" w:color="auto" w:fill="auto"/>
        </w:tcPr>
        <w:p w14:paraId="091BDF4C" w14:textId="77777777" w:rsidR="0059299F" w:rsidRDefault="005929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D521631" w14:textId="77777777" w:rsidR="0059299F" w:rsidRDefault="0059299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01749/INFOEM/IP/RR/2025</w:t>
          </w:r>
        </w:p>
      </w:tc>
    </w:tr>
    <w:tr w:rsidR="0059299F" w14:paraId="0DEEB579" w14:textId="77777777">
      <w:tc>
        <w:tcPr>
          <w:tcW w:w="2489" w:type="dxa"/>
          <w:shd w:val="clear" w:color="auto" w:fill="auto"/>
        </w:tcPr>
        <w:p w14:paraId="66A9C3D5" w14:textId="77777777" w:rsidR="0059299F" w:rsidRDefault="005929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64" w:type="dxa"/>
          <w:shd w:val="clear" w:color="auto" w:fill="auto"/>
          <w:vAlign w:val="center"/>
        </w:tcPr>
        <w:p w14:paraId="19CAA37D" w14:textId="77777777" w:rsidR="0059299F" w:rsidRDefault="0059299F">
          <w:pPr>
            <w:ind w:right="175"/>
            <w:jc w:val="both"/>
            <w:rPr>
              <w:rFonts w:ascii="Palatino Linotype" w:eastAsia="Palatino Linotype" w:hAnsi="Palatino Linotype" w:cs="Palatino Linotype"/>
              <w:b/>
              <w:sz w:val="22"/>
              <w:szCs w:val="22"/>
            </w:rPr>
          </w:pPr>
        </w:p>
      </w:tc>
    </w:tr>
    <w:tr w:rsidR="0059299F" w14:paraId="1989FB36" w14:textId="77777777">
      <w:trPr>
        <w:trHeight w:val="228"/>
      </w:trPr>
      <w:tc>
        <w:tcPr>
          <w:tcW w:w="2489" w:type="dxa"/>
          <w:shd w:val="clear" w:color="auto" w:fill="auto"/>
          <w:vAlign w:val="center"/>
        </w:tcPr>
        <w:p w14:paraId="19B4AC3D" w14:textId="77777777" w:rsidR="0059299F" w:rsidRDefault="0059299F">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3406C5D" w14:textId="77777777" w:rsidR="0059299F" w:rsidRDefault="0059299F">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Teoloyucan</w:t>
          </w:r>
        </w:p>
      </w:tc>
    </w:tr>
    <w:tr w:rsidR="0059299F" w14:paraId="02B4CB8B" w14:textId="77777777">
      <w:tc>
        <w:tcPr>
          <w:tcW w:w="2489" w:type="dxa"/>
          <w:shd w:val="clear" w:color="auto" w:fill="auto"/>
          <w:vAlign w:val="center"/>
        </w:tcPr>
        <w:p w14:paraId="5D770EC6" w14:textId="77777777" w:rsidR="0059299F" w:rsidRDefault="0059299F">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3B7E98B2" w14:textId="77777777" w:rsidR="0059299F" w:rsidRDefault="0059299F">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CF15608" w14:textId="77777777" w:rsidR="0059299F" w:rsidRDefault="005929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65543"/>
    <w:multiLevelType w:val="multilevel"/>
    <w:tmpl w:val="4188903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473D3C"/>
    <w:multiLevelType w:val="multilevel"/>
    <w:tmpl w:val="D9FC1E2E"/>
    <w:lvl w:ilvl="0">
      <w:start w:val="1"/>
      <w:numFmt w:val="decimal"/>
      <w:pStyle w:val="Listaconvietas3"/>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3CCA533E"/>
    <w:multiLevelType w:val="multilevel"/>
    <w:tmpl w:val="8E4203B2"/>
    <w:lvl w:ilvl="0">
      <w:start w:val="1"/>
      <w:numFmt w:val="decimal"/>
      <w:pStyle w:val="Listaconvietas"/>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 w15:restartNumberingAfterBreak="0">
    <w:nsid w:val="7BD4592D"/>
    <w:multiLevelType w:val="multilevel"/>
    <w:tmpl w:val="BB5AF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E73"/>
    <w:rsid w:val="000905F7"/>
    <w:rsid w:val="0015596D"/>
    <w:rsid w:val="00243245"/>
    <w:rsid w:val="0026396D"/>
    <w:rsid w:val="00285EC0"/>
    <w:rsid w:val="003438CD"/>
    <w:rsid w:val="00454EA4"/>
    <w:rsid w:val="004C66A3"/>
    <w:rsid w:val="00583147"/>
    <w:rsid w:val="0059299F"/>
    <w:rsid w:val="005B246B"/>
    <w:rsid w:val="005E518B"/>
    <w:rsid w:val="00645B47"/>
    <w:rsid w:val="00660E0A"/>
    <w:rsid w:val="00696E93"/>
    <w:rsid w:val="006B02C0"/>
    <w:rsid w:val="006C541E"/>
    <w:rsid w:val="00762756"/>
    <w:rsid w:val="00822761"/>
    <w:rsid w:val="00901BED"/>
    <w:rsid w:val="009F0433"/>
    <w:rsid w:val="00AF6C68"/>
    <w:rsid w:val="00C85E28"/>
    <w:rsid w:val="00CB1781"/>
    <w:rsid w:val="00D90E73"/>
    <w:rsid w:val="00E745FE"/>
    <w:rsid w:val="00EC6E11"/>
    <w:rsid w:val="00ED1AE6"/>
    <w:rsid w:val="00FF5CB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3CA84B"/>
  <w15:docId w15:val="{296202CE-5430-4CB5-97F5-5B35C57A4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6F1A"/>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e"/>
    <w:tblPr>
      <w:tblStyleRowBandSize w:val="1"/>
      <w:tblStyleColBandSize w:val="1"/>
      <w:tblCellMar>
        <w:left w:w="115" w:type="dxa"/>
        <w:right w:w="115" w:type="dxa"/>
      </w:tblCellMar>
    </w:tblPr>
  </w:style>
  <w:style w:type="table" w:customStyle="1" w:styleId="a0">
    <w:basedOn w:val="TableNormale"/>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334"/>
    <w:pPr>
      <w:ind w:left="720"/>
      <w:contextualSpacing/>
    </w:pPr>
  </w:style>
  <w:style w:type="paragraph" w:styleId="NormalWeb">
    <w:name w:val="Normal (Web)"/>
    <w:basedOn w:val="Normal"/>
    <w:uiPriority w:val="99"/>
    <w:semiHidden/>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e"/>
    <w:tblPr>
      <w:tblStyleRowBandSize w:val="1"/>
      <w:tblStyleColBandSize w:val="1"/>
      <w:tblCellMar>
        <w:left w:w="115" w:type="dxa"/>
        <w:right w:w="115" w:type="dxa"/>
      </w:tblCellMar>
    </w:tblPr>
  </w:style>
  <w:style w:type="table" w:customStyle="1" w:styleId="a2">
    <w:basedOn w:val="TableNormale"/>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d"/>
    <w:tblPr>
      <w:tblStyleRowBandSize w:val="1"/>
      <w:tblStyleColBandSize w:val="1"/>
      <w:tblCellMar>
        <w:left w:w="115" w:type="dxa"/>
        <w:right w:w="115" w:type="dxa"/>
      </w:tblCellMar>
    </w:tblPr>
  </w:style>
  <w:style w:type="table" w:customStyle="1" w:styleId="a4">
    <w:basedOn w:val="TableNormald"/>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c"/>
    <w:tblPr>
      <w:tblStyleRowBandSize w:val="1"/>
      <w:tblStyleColBandSize w:val="1"/>
      <w:tblCellMar>
        <w:left w:w="108" w:type="dxa"/>
        <w:right w:w="108" w:type="dxa"/>
      </w:tblCellMar>
    </w:tblPr>
  </w:style>
  <w:style w:type="table" w:customStyle="1" w:styleId="a6">
    <w:basedOn w:val="TableNormalc"/>
    <w:tblPr>
      <w:tblStyleRowBandSize w:val="1"/>
      <w:tblStyleColBandSize w:val="1"/>
      <w:tblCellMar>
        <w:left w:w="108" w:type="dxa"/>
        <w:right w:w="108" w:type="dxa"/>
      </w:tblCellMar>
    </w:tblPr>
  </w:style>
  <w:style w:type="table" w:customStyle="1" w:styleId="a7">
    <w:basedOn w:val="TableNormalc"/>
    <w:tblPr>
      <w:tblStyleRowBandSize w:val="1"/>
      <w:tblStyleColBandSize w:val="1"/>
      <w:tblCellMar>
        <w:left w:w="108" w:type="dxa"/>
        <w:right w:w="108" w:type="dxa"/>
      </w:tblCellMar>
    </w:tblPr>
  </w:style>
  <w:style w:type="table" w:customStyle="1" w:styleId="a8">
    <w:basedOn w:val="TableNormalc"/>
    <w:tblPr>
      <w:tblStyleRowBandSize w:val="1"/>
      <w:tblStyleColBandSize w:val="1"/>
      <w:tblCellMar>
        <w:left w:w="108" w:type="dxa"/>
        <w:right w:w="108" w:type="dxa"/>
      </w:tblCellMar>
    </w:tblPr>
  </w:style>
  <w:style w:type="table" w:customStyle="1" w:styleId="a9">
    <w:basedOn w:val="TableNormalc"/>
    <w:tblPr>
      <w:tblStyleRowBandSize w:val="1"/>
      <w:tblStyleColBandSize w:val="1"/>
      <w:tblCellMar>
        <w:left w:w="108" w:type="dxa"/>
        <w:right w:w="108" w:type="dxa"/>
      </w:tblCellMar>
    </w:tblPr>
  </w:style>
  <w:style w:type="table" w:customStyle="1" w:styleId="aa">
    <w:basedOn w:val="TableNormalc"/>
    <w:tblPr>
      <w:tblStyleRowBandSize w:val="1"/>
      <w:tblStyleColBandSize w:val="1"/>
      <w:tblCellMar>
        <w:left w:w="115" w:type="dxa"/>
        <w:right w:w="115" w:type="dxa"/>
      </w:tblCellMar>
    </w:tblPr>
  </w:style>
  <w:style w:type="table" w:customStyle="1" w:styleId="ab">
    <w:basedOn w:val="TableNormalc"/>
    <w:tblPr>
      <w:tblStyleRowBandSize w:val="1"/>
      <w:tblStyleColBandSize w:val="1"/>
      <w:tblCellMar>
        <w:left w:w="115" w:type="dxa"/>
        <w:right w:w="115" w:type="dxa"/>
      </w:tblCellMar>
    </w:tblPr>
  </w:style>
  <w:style w:type="table" w:customStyle="1" w:styleId="ac">
    <w:basedOn w:val="TableNormalb"/>
    <w:tblPr>
      <w:tblStyleRowBandSize w:val="1"/>
      <w:tblStyleColBandSize w:val="1"/>
      <w:tblCellMar>
        <w:left w:w="108" w:type="dxa"/>
        <w:right w:w="108" w:type="dxa"/>
      </w:tblCellMar>
    </w:tblPr>
  </w:style>
  <w:style w:type="table" w:customStyle="1" w:styleId="ad">
    <w:basedOn w:val="TableNormalb"/>
    <w:tblPr>
      <w:tblStyleRowBandSize w:val="1"/>
      <w:tblStyleColBandSize w:val="1"/>
      <w:tblCellMar>
        <w:left w:w="115" w:type="dxa"/>
        <w:right w:w="115" w:type="dxa"/>
      </w:tblCellMar>
    </w:tblPr>
  </w:style>
  <w:style w:type="table" w:customStyle="1" w:styleId="ae">
    <w:basedOn w:val="TableNormalb"/>
    <w:tblPr>
      <w:tblStyleRowBandSize w:val="1"/>
      <w:tblStyleColBandSize w:val="1"/>
      <w:tblCellMar>
        <w:left w:w="115" w:type="dxa"/>
        <w:right w:w="115" w:type="dxa"/>
      </w:tblCellMar>
    </w:tblPr>
  </w:style>
  <w:style w:type="table" w:customStyle="1" w:styleId="af">
    <w:basedOn w:val="TableNormala"/>
    <w:tblPr>
      <w:tblStyleRowBandSize w:val="1"/>
      <w:tblStyleColBandSize w:val="1"/>
      <w:tblCellMar>
        <w:left w:w="115" w:type="dxa"/>
        <w:right w:w="115" w:type="dxa"/>
      </w:tblCellMar>
    </w:tblPr>
  </w:style>
  <w:style w:type="table" w:customStyle="1" w:styleId="af0">
    <w:basedOn w:val="TableNormala"/>
    <w:tblPr>
      <w:tblStyleRowBandSize w:val="1"/>
      <w:tblStyleColBandSize w:val="1"/>
      <w:tblCellMar>
        <w:left w:w="115" w:type="dxa"/>
        <w:right w:w="115" w:type="dxa"/>
      </w:tblCellMar>
    </w:tblPr>
  </w:style>
  <w:style w:type="table" w:customStyle="1" w:styleId="af1">
    <w:basedOn w:val="TableNormala"/>
    <w:tblPr>
      <w:tblStyleRowBandSize w:val="1"/>
      <w:tblStyleColBandSize w:val="1"/>
      <w:tblCellMar>
        <w:left w:w="115" w:type="dxa"/>
        <w:right w:w="115" w:type="dxa"/>
      </w:tblCellMar>
    </w:tblPr>
  </w:style>
  <w:style w:type="table" w:customStyle="1" w:styleId="af2">
    <w:basedOn w:val="TableNormal9"/>
    <w:tblPr>
      <w:tblStyleRowBandSize w:val="1"/>
      <w:tblStyleColBandSize w:val="1"/>
      <w:tblCellMar>
        <w:left w:w="115" w:type="dxa"/>
        <w:right w:w="115" w:type="dxa"/>
      </w:tblCellMar>
    </w:tblPr>
  </w:style>
  <w:style w:type="table" w:customStyle="1" w:styleId="af3">
    <w:basedOn w:val="TableNormal9"/>
    <w:tblPr>
      <w:tblStyleRowBandSize w:val="1"/>
      <w:tblStyleColBandSize w:val="1"/>
      <w:tblCellMar>
        <w:left w:w="115" w:type="dxa"/>
        <w:right w:w="115" w:type="dxa"/>
      </w:tblCellMar>
    </w:tblPr>
  </w:style>
  <w:style w:type="table" w:customStyle="1" w:styleId="af4">
    <w:basedOn w:val="TableNormal8"/>
    <w:tblPr>
      <w:tblStyleRowBandSize w:val="1"/>
      <w:tblStyleColBandSize w:val="1"/>
      <w:tblCellMar>
        <w:left w:w="115" w:type="dxa"/>
        <w:right w:w="115" w:type="dxa"/>
      </w:tblCellMar>
    </w:tblPr>
  </w:style>
  <w:style w:type="table" w:customStyle="1" w:styleId="af5">
    <w:basedOn w:val="TableNormal8"/>
    <w:tblPr>
      <w:tblStyleRowBandSize w:val="1"/>
      <w:tblStyleColBandSize w:val="1"/>
      <w:tblCellMar>
        <w:left w:w="115" w:type="dxa"/>
        <w:right w:w="115" w:type="dxa"/>
      </w:tblCellMar>
    </w:tblPr>
  </w:style>
  <w:style w:type="table" w:customStyle="1" w:styleId="af6">
    <w:basedOn w:val="TableNormal7"/>
    <w:tblPr>
      <w:tblStyleRowBandSize w:val="1"/>
      <w:tblStyleColBandSize w:val="1"/>
      <w:tblCellMar>
        <w:left w:w="115" w:type="dxa"/>
        <w:right w:w="115" w:type="dxa"/>
      </w:tblCellMar>
    </w:tblPr>
  </w:style>
  <w:style w:type="table" w:customStyle="1" w:styleId="af7">
    <w:basedOn w:val="TableNormal7"/>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6"/>
    <w:tblPr>
      <w:tblStyleRowBandSize w:val="1"/>
      <w:tblStyleColBandSize w:val="1"/>
      <w:tblCellMar>
        <w:left w:w="115" w:type="dxa"/>
        <w:right w:w="115" w:type="dxa"/>
      </w:tblCellMar>
    </w:tblPr>
  </w:style>
  <w:style w:type="table" w:customStyle="1" w:styleId="af9">
    <w:basedOn w:val="TableNormal6"/>
    <w:tblPr>
      <w:tblStyleRowBandSize w:val="1"/>
      <w:tblStyleColBandSize w:val="1"/>
      <w:tblCellMar>
        <w:left w:w="115" w:type="dxa"/>
        <w:right w:w="115" w:type="dxa"/>
      </w:tblCellMar>
    </w:tblPr>
  </w:style>
  <w:style w:type="table" w:customStyle="1" w:styleId="afa">
    <w:basedOn w:val="TableNormal5"/>
    <w:tblPr>
      <w:tblStyleRowBandSize w:val="1"/>
      <w:tblStyleColBandSize w:val="1"/>
      <w:tblCellMar>
        <w:left w:w="115" w:type="dxa"/>
        <w:right w:w="115" w:type="dxa"/>
      </w:tblCellMar>
    </w:tblPr>
  </w:style>
  <w:style w:type="table" w:customStyle="1" w:styleId="afb">
    <w:basedOn w:val="TableNormal5"/>
    <w:tblPr>
      <w:tblStyleRowBandSize w:val="1"/>
      <w:tblStyleColBandSize w:val="1"/>
      <w:tblCellMar>
        <w:left w:w="115" w:type="dxa"/>
        <w:right w:w="115" w:type="dxa"/>
      </w:tblCellMar>
    </w:tblPr>
  </w:style>
  <w:style w:type="table" w:customStyle="1" w:styleId="afc">
    <w:basedOn w:val="TableNormal4"/>
    <w:tblPr>
      <w:tblStyleRowBandSize w:val="1"/>
      <w:tblStyleColBandSize w:val="1"/>
      <w:tblCellMar>
        <w:left w:w="115" w:type="dxa"/>
        <w:right w:w="115" w:type="dxa"/>
      </w:tblCellMar>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3"/>
    <w:tblPr>
      <w:tblStyleRowBandSize w:val="1"/>
      <w:tblStyleColBandSize w:val="1"/>
      <w:tblCellMar>
        <w:left w:w="115" w:type="dxa"/>
        <w:right w:w="115" w:type="dxa"/>
      </w:tblCellMar>
    </w:tblPr>
  </w:style>
  <w:style w:type="table" w:customStyle="1" w:styleId="aff">
    <w:basedOn w:val="TableNormal3"/>
    <w:tblPr>
      <w:tblStyleRowBandSize w:val="1"/>
      <w:tblStyleColBandSize w:val="1"/>
      <w:tblCellMar>
        <w:left w:w="115" w:type="dxa"/>
        <w:right w:w="115" w:type="dxa"/>
      </w:tblCellMar>
    </w:tblPr>
  </w:style>
  <w:style w:type="table" w:customStyle="1" w:styleId="aff0">
    <w:basedOn w:val="TableNormal2"/>
    <w:tblPr>
      <w:tblStyleRowBandSize w:val="1"/>
      <w:tblStyleColBandSize w:val="1"/>
      <w:tblCellMar>
        <w:left w:w="115" w:type="dxa"/>
        <w:right w:w="115" w:type="dxa"/>
      </w:tblCellMar>
    </w:tblPr>
  </w:style>
  <w:style w:type="table" w:customStyle="1" w:styleId="aff1">
    <w:basedOn w:val="TableNormal2"/>
    <w:tblPr>
      <w:tblStyleRowBandSize w:val="1"/>
      <w:tblStyleColBandSize w:val="1"/>
      <w:tblCellMar>
        <w:left w:w="115" w:type="dxa"/>
        <w:right w:w="115"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paragraph" w:styleId="Listaconvietas">
    <w:name w:val="List Bullet"/>
    <w:basedOn w:val="Normal"/>
    <w:uiPriority w:val="99"/>
    <w:unhideWhenUsed/>
    <w:rsid w:val="00E55BB0"/>
    <w:pPr>
      <w:numPr>
        <w:numId w:val="2"/>
      </w:numPr>
      <w:contextualSpacing/>
    </w:p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0JTRMlR+NbOpgYkSE+OwwccQxw==">CgMxLjAyCWguM3JkY3JqbjIOaC5kYWozajJ4bzZxNjYyCGguZ2pkZ3hzMgloLjNkeTZ2a20yCWguMzBqMHpsbDIJaC4yczhleW8xMghoLnR5amN3dDIJaC4zem55c2g3MgloLjJldDkycDAyCWguMXQzaDVzZjIJaC4xZm9iOXRlMg5oLm90M3FxNnZ4YTA4ZjIIaC5sbnhiejk4AHIhMTFpN1hCYVBUUldFbWpNeFlhQkxNWHZrQ3JsOUdpblJu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45</Pages>
  <Words>10938</Words>
  <Characters>60164</Characters>
  <Application>Microsoft Office Word</Application>
  <DocSecurity>0</DocSecurity>
  <Lines>501</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2025-04-04T17:03:00Z</cp:lastPrinted>
  <dcterms:created xsi:type="dcterms:W3CDTF">2025-05-06T19:44:00Z</dcterms:created>
  <dcterms:modified xsi:type="dcterms:W3CDTF">2025-05-06T19:44:00Z</dcterms:modified>
</cp:coreProperties>
</file>