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52" w:rsidRPr="00687729" w:rsidRDefault="007F1FB0"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87729">
        <w:rPr>
          <w:rFonts w:ascii="Palatino Linotype" w:eastAsia="Palatino Linotype" w:hAnsi="Palatino Linotype" w:cs="Palatino Linotype"/>
          <w:b/>
          <w:color w:val="000000" w:themeColor="text1"/>
        </w:rPr>
        <w:t xml:space="preserve">de fecha </w:t>
      </w:r>
      <w:r w:rsidR="002C2035" w:rsidRPr="00687729">
        <w:rPr>
          <w:rFonts w:ascii="Palatino Linotype" w:eastAsia="Palatino Linotype" w:hAnsi="Palatino Linotype" w:cs="Palatino Linotype"/>
          <w:b/>
          <w:color w:val="000000" w:themeColor="text1"/>
        </w:rPr>
        <w:t>dieciocho</w:t>
      </w:r>
      <w:r w:rsidR="00BB144B">
        <w:rPr>
          <w:rFonts w:ascii="Palatino Linotype" w:eastAsia="Palatino Linotype" w:hAnsi="Palatino Linotype" w:cs="Palatino Linotype"/>
          <w:b/>
          <w:color w:val="000000" w:themeColor="text1"/>
        </w:rPr>
        <w:t xml:space="preserve"> (18)</w:t>
      </w:r>
      <w:r w:rsidR="002C2035" w:rsidRPr="00687729">
        <w:rPr>
          <w:rFonts w:ascii="Palatino Linotype" w:eastAsia="Palatino Linotype" w:hAnsi="Palatino Linotype" w:cs="Palatino Linotype"/>
          <w:b/>
          <w:color w:val="000000" w:themeColor="text1"/>
        </w:rPr>
        <w:t xml:space="preserve"> </w:t>
      </w:r>
      <w:r w:rsidRPr="00687729">
        <w:rPr>
          <w:rFonts w:ascii="Palatino Linotype" w:eastAsia="Palatino Linotype" w:hAnsi="Palatino Linotype" w:cs="Palatino Linotype"/>
          <w:b/>
          <w:color w:val="000000" w:themeColor="text1"/>
        </w:rPr>
        <w:t>de junio de dos mil veinticinco</w:t>
      </w:r>
      <w:r w:rsidRPr="00687729">
        <w:rPr>
          <w:rFonts w:ascii="Palatino Linotype" w:eastAsia="Palatino Linotype" w:hAnsi="Palatino Linotype" w:cs="Palatino Linotype"/>
          <w:color w:val="000000" w:themeColor="text1"/>
        </w:rPr>
        <w:t>.</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687729">
        <w:rPr>
          <w:rFonts w:ascii="Palatino Linotype" w:eastAsia="Palatino Linotype" w:hAnsi="Palatino Linotype" w:cs="Palatino Linotype"/>
          <w:b/>
          <w:color w:val="000000" w:themeColor="text1"/>
        </w:rPr>
        <w:t>VISTO</w:t>
      </w:r>
      <w:r w:rsidRPr="00687729">
        <w:rPr>
          <w:rFonts w:ascii="Palatino Linotype" w:eastAsia="Palatino Linotype" w:hAnsi="Palatino Linotype" w:cs="Palatino Linotype"/>
          <w:color w:val="000000" w:themeColor="text1"/>
        </w:rPr>
        <w:t xml:space="preserve"> el expediente electrónico formado con motivo del Recurso de Revisión </w:t>
      </w:r>
      <w:r w:rsidRPr="00687729">
        <w:rPr>
          <w:rFonts w:ascii="Palatino Linotype" w:eastAsia="Palatino Linotype" w:hAnsi="Palatino Linotype" w:cs="Palatino Linotype"/>
          <w:b/>
          <w:color w:val="000000" w:themeColor="text1"/>
        </w:rPr>
        <w:t xml:space="preserve">04058/INFOEM/IP/RR/2025 </w:t>
      </w:r>
      <w:r w:rsidRPr="00687729">
        <w:rPr>
          <w:rFonts w:ascii="Palatino Linotype" w:eastAsia="Palatino Linotype" w:hAnsi="Palatino Linotype" w:cs="Palatino Linotype"/>
          <w:color w:val="000000" w:themeColor="text1"/>
        </w:rPr>
        <w:t xml:space="preserve">promovido por </w:t>
      </w:r>
      <w:r w:rsidR="00BB144B">
        <w:rPr>
          <w:rFonts w:ascii="Palatino Linotype" w:eastAsia="Palatino Linotype" w:hAnsi="Palatino Linotype" w:cs="Palatino Linotype"/>
          <w:b/>
          <w:color w:val="000000" w:themeColor="text1"/>
        </w:rPr>
        <w:t>XXXX</w:t>
      </w:r>
      <w:r w:rsidRPr="00687729">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687729">
        <w:rPr>
          <w:rFonts w:ascii="Palatino Linotype" w:eastAsia="Palatino Linotype" w:hAnsi="Palatino Linotype" w:cs="Palatino Linotype"/>
          <w:b/>
          <w:color w:val="000000" w:themeColor="text1"/>
        </w:rPr>
        <w:t>L</w:t>
      </w:r>
      <w:r w:rsidR="002C2035" w:rsidRPr="00687729">
        <w:rPr>
          <w:rFonts w:ascii="Palatino Linotype" w:eastAsia="Palatino Linotype" w:hAnsi="Palatino Linotype" w:cs="Palatino Linotype"/>
          <w:b/>
          <w:color w:val="000000" w:themeColor="text1"/>
        </w:rPr>
        <w:t>A</w:t>
      </w:r>
      <w:r w:rsidRPr="00687729">
        <w:rPr>
          <w:rFonts w:ascii="Palatino Linotype" w:eastAsia="Palatino Linotype" w:hAnsi="Palatino Linotype" w:cs="Palatino Linotype"/>
          <w:b/>
          <w:color w:val="000000" w:themeColor="text1"/>
        </w:rPr>
        <w:t xml:space="preserve"> RECURRENTE</w:t>
      </w:r>
      <w:r w:rsidRPr="00687729">
        <w:rPr>
          <w:rFonts w:ascii="Palatino Linotype" w:eastAsia="Palatino Linotype" w:hAnsi="Palatino Linotype" w:cs="Palatino Linotype"/>
          <w:color w:val="000000" w:themeColor="text1"/>
        </w:rPr>
        <w:t xml:space="preserve">, en contra de las respuestas del </w:t>
      </w:r>
      <w:r w:rsidRPr="00687729">
        <w:rPr>
          <w:rFonts w:ascii="Palatino Linotype" w:eastAsia="Palatino Linotype" w:hAnsi="Palatino Linotype" w:cs="Palatino Linotype"/>
          <w:b/>
          <w:color w:val="000000" w:themeColor="text1"/>
        </w:rPr>
        <w:t>Ayuntamiento de Ixtapaluca</w:t>
      </w:r>
      <w:r w:rsidRPr="00687729">
        <w:rPr>
          <w:rFonts w:ascii="Palatino Linotype" w:eastAsia="Palatino Linotype" w:hAnsi="Palatino Linotype" w:cs="Palatino Linotype"/>
          <w:color w:val="000000" w:themeColor="text1"/>
        </w:rPr>
        <w:t xml:space="preserve">, en adelante </w:t>
      </w:r>
      <w:r w:rsidRPr="00687729">
        <w:rPr>
          <w:rFonts w:ascii="Palatino Linotype" w:eastAsia="Palatino Linotype" w:hAnsi="Palatino Linotype" w:cs="Palatino Linotype"/>
          <w:b/>
          <w:color w:val="000000" w:themeColor="text1"/>
        </w:rPr>
        <w:t>EL SUJETO OBLIGADO</w:t>
      </w:r>
      <w:r w:rsidRPr="00687729">
        <w:rPr>
          <w:rFonts w:ascii="Palatino Linotype" w:eastAsia="Palatino Linotype" w:hAnsi="Palatino Linotype" w:cs="Palatino Linotype"/>
          <w:color w:val="000000" w:themeColor="text1"/>
        </w:rPr>
        <w:t>, se procede a dictar la presente resolución, con base en los siguientes:</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t>A N T E C E D E N T E S</w:t>
      </w:r>
    </w:p>
    <w:p w:rsidR="00251F52" w:rsidRPr="00687729" w:rsidRDefault="00251F52" w:rsidP="002C2035">
      <w:pPr>
        <w:spacing w:line="360" w:lineRule="auto"/>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w:t>
      </w:r>
      <w:r w:rsidRPr="00687729">
        <w:rPr>
          <w:rFonts w:ascii="Palatino Linotype" w:eastAsia="Palatino Linotype" w:hAnsi="Palatino Linotype" w:cs="Palatino Linotype"/>
          <w:b/>
          <w:color w:val="000000" w:themeColor="text1"/>
        </w:rPr>
        <w:t xml:space="preserve">doce de marzo de dos mil veinticinco, </w:t>
      </w:r>
      <w:r w:rsidRPr="00687729">
        <w:rPr>
          <w:rFonts w:ascii="Palatino Linotype" w:eastAsia="Palatino Linotype" w:hAnsi="Palatino Linotype" w:cs="Palatino Linotype"/>
          <w:color w:val="000000" w:themeColor="text1"/>
        </w:rPr>
        <w:t xml:space="preserve">el solicitante ingresó la solicitud de información, que quedó registrada con el número </w:t>
      </w:r>
      <w:r w:rsidRPr="00687729">
        <w:rPr>
          <w:rFonts w:ascii="Palatino Linotype" w:eastAsia="Palatino Linotype" w:hAnsi="Palatino Linotype" w:cs="Palatino Linotype"/>
          <w:b/>
          <w:color w:val="000000" w:themeColor="text1"/>
        </w:rPr>
        <w:t xml:space="preserve">00088/IXTAPALU/IP/2025, </w:t>
      </w:r>
      <w:r w:rsidRPr="00687729">
        <w:rPr>
          <w:rFonts w:ascii="Palatino Linotype" w:eastAsia="Palatino Linotype" w:hAnsi="Palatino Linotype" w:cs="Palatino Linotype"/>
          <w:color w:val="000000" w:themeColor="text1"/>
        </w:rPr>
        <w:t>en la que se solicitó la siguiente información:</w:t>
      </w:r>
    </w:p>
    <w:p w:rsidR="00251F52" w:rsidRPr="00687729" w:rsidRDefault="00251F52" w:rsidP="002C2035">
      <w:pPr>
        <w:ind w:right="-7"/>
        <w:jc w:val="both"/>
        <w:rPr>
          <w:rFonts w:ascii="Palatino Linotype" w:eastAsia="Palatino Linotype" w:hAnsi="Palatino Linotype" w:cs="Palatino Linotype"/>
          <w:i/>
          <w:color w:val="000000" w:themeColor="text1"/>
        </w:rPr>
      </w:pP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los contratos correspondientes, de conformidad al dispuesto en la Ley de Contratación Pública del Estado de México y Municipios, </w:t>
      </w:r>
      <w:r w:rsidRPr="00687729">
        <w:rPr>
          <w:rFonts w:ascii="Palatino Linotype" w:eastAsia="Palatino Linotype" w:hAnsi="Palatino Linotype" w:cs="Palatino Linotype"/>
          <w:i/>
          <w:color w:val="000000" w:themeColor="text1"/>
        </w:rPr>
        <w:lastRenderedPageBreak/>
        <w:t>Facturas, Pólizas de cheques y Expediente completo de las Adquisiciones de los de Vehículos adquiridos por la compra y/o arrendamiento por el Municipio en el periodo del 01 enero 2022 al 03 de diciembre 2024..”</w:t>
      </w:r>
    </w:p>
    <w:p w:rsidR="00251F52" w:rsidRPr="00687729" w:rsidRDefault="00251F52" w:rsidP="002C2035">
      <w:pPr>
        <w:pBdr>
          <w:top w:val="nil"/>
          <w:left w:val="nil"/>
          <w:bottom w:val="nil"/>
          <w:right w:val="nil"/>
          <w:between w:val="nil"/>
        </w:pBdr>
        <w:spacing w:line="360" w:lineRule="auto"/>
        <w:ind w:left="113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1"/>
        </w:numPr>
        <w:pBdr>
          <w:top w:val="nil"/>
          <w:left w:val="nil"/>
          <w:bottom w:val="nil"/>
          <w:right w:val="nil"/>
          <w:between w:val="nil"/>
        </w:pBdr>
        <w:spacing w:line="360" w:lineRule="auto"/>
        <w:ind w:left="709"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b/>
          <w:color w:val="000000" w:themeColor="text1"/>
        </w:rPr>
        <w:t>Modalidad de entrega</w:t>
      </w:r>
      <w:r w:rsidRPr="00687729">
        <w:rPr>
          <w:rFonts w:ascii="Palatino Linotype" w:eastAsia="Palatino Linotype" w:hAnsi="Palatino Linotype" w:cs="Palatino Linotype"/>
          <w:color w:val="000000" w:themeColor="text1"/>
        </w:rPr>
        <w:t>: Sistema de Acceso a la Información</w:t>
      </w:r>
    </w:p>
    <w:p w:rsidR="00251F52" w:rsidRPr="00687729" w:rsidRDefault="00251F52" w:rsidP="002C2035">
      <w:pPr>
        <w:pBdr>
          <w:top w:val="nil"/>
          <w:left w:val="nil"/>
          <w:bottom w:val="nil"/>
          <w:right w:val="nil"/>
          <w:between w:val="nil"/>
        </w:pBdr>
        <w:spacing w:line="360" w:lineRule="auto"/>
        <w:ind w:left="709"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w:t>
      </w:r>
      <w:r w:rsidRPr="00687729">
        <w:rPr>
          <w:rFonts w:ascii="Palatino Linotype" w:eastAsia="Palatino Linotype" w:hAnsi="Palatino Linotype" w:cs="Palatino Linotype"/>
          <w:b/>
          <w:color w:val="000000" w:themeColor="text1"/>
        </w:rPr>
        <w:t xml:space="preserve">trece de marzo de dos mil veinticinco, </w:t>
      </w:r>
      <w:r w:rsidRPr="00687729">
        <w:rPr>
          <w:rFonts w:ascii="Palatino Linotype" w:eastAsia="Palatino Linotype" w:hAnsi="Palatino Linotype" w:cs="Palatino Linotype"/>
          <w:color w:val="000000" w:themeColor="text1"/>
        </w:rPr>
        <w:t xml:space="preserve">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 xml:space="preserve">giró el requerimiento de información para que fuera atendida la solicitud de información </w:t>
      </w:r>
      <w:r w:rsidRPr="00687729">
        <w:rPr>
          <w:rFonts w:ascii="Palatino Linotype" w:eastAsia="Palatino Linotype" w:hAnsi="Palatino Linotype" w:cs="Palatino Linotype"/>
          <w:b/>
          <w:color w:val="000000" w:themeColor="text1"/>
        </w:rPr>
        <w:t xml:space="preserve">00088/IXTAPALU/IP/2025. </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w:t>
      </w:r>
      <w:r w:rsidRPr="00687729">
        <w:rPr>
          <w:rFonts w:ascii="Palatino Linotype" w:eastAsia="Palatino Linotype" w:hAnsi="Palatino Linotype" w:cs="Palatino Linotype"/>
          <w:b/>
          <w:color w:val="000000" w:themeColor="text1"/>
        </w:rPr>
        <w:t xml:space="preserve">dos de abril de dos mil veinticinco, </w:t>
      </w:r>
      <w:r w:rsidRPr="00687729">
        <w:rPr>
          <w:rFonts w:ascii="Palatino Linotype" w:eastAsia="Palatino Linotype" w:hAnsi="Palatino Linotype" w:cs="Palatino Linotype"/>
          <w:color w:val="000000" w:themeColor="text1"/>
        </w:rPr>
        <w:t xml:space="preserve">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 xml:space="preserve">dio respuesta por medio de un archivo electrónico en formato pdf, cuyo contenido grosso modo es el siguiente.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 xml:space="preserve">RESP SI 88 ADMINISTRACIÓN.pdf: </w:t>
      </w:r>
      <w:r w:rsidRPr="00687729">
        <w:rPr>
          <w:rFonts w:ascii="Palatino Linotype" w:eastAsia="Palatino Linotype" w:hAnsi="Palatino Linotype" w:cs="Palatino Linotype"/>
          <w:i/>
          <w:color w:val="000000" w:themeColor="text1"/>
        </w:rPr>
        <w:t xml:space="preserve">oficio de la Directora de Administración y Recursos Humanos, mediante la cual informa que se encuentran imposibilitados para otorgar dicha información toda vez que se cuenta con un aviso de privacidad que resguarda la información y fue firmado por las empresas. </w:t>
      </w:r>
    </w:p>
    <w:p w:rsidR="00251F52" w:rsidRPr="00687729" w:rsidRDefault="00251F52" w:rsidP="002C2035">
      <w:pPr>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w:t>
      </w:r>
      <w:r w:rsidRPr="00687729">
        <w:rPr>
          <w:rFonts w:ascii="Palatino Linotype" w:eastAsia="Palatino Linotype" w:hAnsi="Palatino Linotype" w:cs="Palatino Linotype"/>
          <w:b/>
          <w:color w:val="000000" w:themeColor="text1"/>
        </w:rPr>
        <w:t>siete de abril de dos mil veinticinco</w:t>
      </w:r>
      <w:r w:rsidRPr="00687729">
        <w:rPr>
          <w:rFonts w:ascii="Palatino Linotype" w:eastAsia="Palatino Linotype" w:hAnsi="Palatino Linotype" w:cs="Palatino Linotype"/>
          <w:color w:val="000000" w:themeColor="text1"/>
        </w:rPr>
        <w:t xml:space="preserve">, el solicitante interpuso recurso de revisión en contra de la respuesta emitida por el </w:t>
      </w:r>
      <w:r w:rsidRPr="00687729">
        <w:rPr>
          <w:rFonts w:ascii="Palatino Linotype" w:eastAsia="Palatino Linotype" w:hAnsi="Palatino Linotype" w:cs="Palatino Linotype"/>
          <w:b/>
          <w:color w:val="000000" w:themeColor="text1"/>
        </w:rPr>
        <w:t>SUJETO OBLIGADO</w:t>
      </w:r>
      <w:r w:rsidRPr="00687729">
        <w:rPr>
          <w:rFonts w:ascii="Palatino Linotype" w:eastAsia="Palatino Linotype" w:hAnsi="Palatino Linotype" w:cs="Palatino Linotype"/>
          <w:color w:val="000000" w:themeColor="text1"/>
        </w:rPr>
        <w:t>, señalando las siguientes razones o motivos de inconformidad:</w:t>
      </w:r>
    </w:p>
    <w:p w:rsidR="00251F52" w:rsidRPr="00687729" w:rsidRDefault="007F1FB0" w:rsidP="002C2035">
      <w:pPr>
        <w:numPr>
          <w:ilvl w:val="0"/>
          <w:numId w:val="12"/>
        </w:numPr>
        <w:pBdr>
          <w:top w:val="nil"/>
          <w:left w:val="nil"/>
          <w:bottom w:val="nil"/>
          <w:right w:val="nil"/>
          <w:between w:val="nil"/>
        </w:pBdr>
        <w:ind w:left="1134" w:right="-7" w:firstLine="0"/>
        <w:jc w:val="both"/>
        <w:rPr>
          <w:rFonts w:ascii="Palatino Linotype" w:eastAsia="Palatino Linotype" w:hAnsi="Palatino Linotype" w:cs="Palatino Linotype"/>
          <w:color w:val="000000" w:themeColor="text1"/>
        </w:rPr>
      </w:pPr>
      <w:bookmarkStart w:id="1" w:name="_heading=h.1fob9te" w:colFirst="0" w:colLast="0"/>
      <w:bookmarkEnd w:id="1"/>
      <w:r w:rsidRPr="00687729">
        <w:rPr>
          <w:rFonts w:ascii="Palatino Linotype" w:eastAsia="Palatino Linotype" w:hAnsi="Palatino Linotype" w:cs="Palatino Linotype"/>
          <w:b/>
          <w:color w:val="000000" w:themeColor="text1"/>
        </w:rPr>
        <w:t xml:space="preserve">Acto impugnado: </w:t>
      </w:r>
      <w:r w:rsidRPr="00687729">
        <w:rPr>
          <w:rFonts w:ascii="Palatino Linotype" w:eastAsia="Palatino Linotype" w:hAnsi="Palatino Linotype" w:cs="Palatino Linotype"/>
          <w:i/>
          <w:color w:val="000000" w:themeColor="text1"/>
        </w:rPr>
        <w:t>“Con fundamento en el artículo 176, 178 y 179 Fracciones I, II, III, IV y V de la Ley de Transparencia y Acceso a la Información Pública del Estado de México y Municipios, hago referencia la respuesta a mi solicitud que no cumple con lo solicitado, por la negativa a la entrega de la información solicitada por parte del Sujeto Obligado..”</w:t>
      </w:r>
    </w:p>
    <w:p w:rsidR="00251F52" w:rsidRPr="00687729" w:rsidRDefault="00251F52" w:rsidP="002C2035">
      <w:pPr>
        <w:pBdr>
          <w:top w:val="nil"/>
          <w:left w:val="nil"/>
          <w:bottom w:val="nil"/>
          <w:right w:val="nil"/>
          <w:between w:val="nil"/>
        </w:pBdr>
        <w:ind w:left="1134"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12"/>
        </w:numPr>
        <w:pBdr>
          <w:top w:val="nil"/>
          <w:left w:val="nil"/>
          <w:bottom w:val="nil"/>
          <w:right w:val="nil"/>
          <w:between w:val="nil"/>
        </w:pBdr>
        <w:ind w:left="1134" w:right="-7" w:firstLine="0"/>
        <w:jc w:val="both"/>
        <w:rPr>
          <w:rFonts w:ascii="Palatino Linotype" w:eastAsia="Palatino Linotype" w:hAnsi="Palatino Linotype" w:cs="Palatino Linotype"/>
          <w:color w:val="000000" w:themeColor="text1"/>
        </w:rPr>
      </w:pPr>
      <w:bookmarkStart w:id="2" w:name="_heading=h.3znysh7" w:colFirst="0" w:colLast="0"/>
      <w:bookmarkEnd w:id="2"/>
      <w:r w:rsidRPr="00687729">
        <w:rPr>
          <w:rFonts w:ascii="Palatino Linotype" w:eastAsia="Palatino Linotype" w:hAnsi="Palatino Linotype" w:cs="Palatino Linotype"/>
          <w:b/>
          <w:color w:val="000000" w:themeColor="text1"/>
        </w:rPr>
        <w:lastRenderedPageBreak/>
        <w:t xml:space="preserve">Razones o Motivos de inconformidad: </w:t>
      </w:r>
      <w:r w:rsidRPr="00687729">
        <w:rPr>
          <w:rFonts w:ascii="Palatino Linotype" w:eastAsia="Palatino Linotype" w:hAnsi="Palatino Linotype" w:cs="Palatino Linotype"/>
          <w:i/>
          <w:color w:val="000000" w:themeColor="text1"/>
        </w:rPr>
        <w:t>“Con fundamento en el artículo 176, 178 y 179 Fracciones I, II, III, IV y V de la Ley de Transparencia y Acceso a la Información Pública del Estado de México y Municipios, hago referencia la respuesta a mi solicitud que no cumple con lo solicitado, por la negativa a la entrega de la información solicitada por parte del Sujeto Obligado.”</w:t>
      </w:r>
    </w:p>
    <w:p w:rsidR="00251F52" w:rsidRPr="00687729" w:rsidRDefault="00251F52" w:rsidP="002C2035">
      <w:pPr>
        <w:ind w:right="-7"/>
        <w:jc w:val="both"/>
        <w:rPr>
          <w:rFonts w:ascii="Palatino Linotype" w:eastAsia="Palatino Linotype" w:hAnsi="Palatino Linotype" w:cs="Palatino Linotype"/>
          <w:b/>
          <w:i/>
          <w:color w:val="000000" w:themeColor="text1"/>
        </w:rPr>
      </w:pP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Consecutivamente</w:t>
      </w: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687729">
        <w:rPr>
          <w:rFonts w:ascii="Palatino Linotype" w:eastAsia="Palatino Linotype" w:hAnsi="Palatino Linotype" w:cs="Palatino Linotype"/>
          <w:b/>
          <w:color w:val="000000" w:themeColor="text1"/>
        </w:rPr>
        <w:t>Comisionada</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b/>
          <w:color w:val="000000" w:themeColor="text1"/>
        </w:rPr>
        <w:t>María del Rosario Mejía Ayala</w:t>
      </w:r>
      <w:r w:rsidRPr="00687729">
        <w:rPr>
          <w:rFonts w:ascii="Palatino Linotype" w:eastAsia="Palatino Linotype" w:hAnsi="Palatino Linotype" w:cs="Palatino Linotype"/>
          <w:color w:val="000000" w:themeColor="text1"/>
        </w:rPr>
        <w:t>,</w:t>
      </w:r>
      <w:r w:rsidRPr="00687729">
        <w:rPr>
          <w:rFonts w:ascii="Palatino Linotype" w:eastAsia="Palatino Linotype" w:hAnsi="Palatino Linotype" w:cs="Palatino Linotype"/>
          <w:b/>
          <w:color w:val="000000" w:themeColor="text1"/>
        </w:rPr>
        <w:t xml:space="preserve"> </w:t>
      </w:r>
      <w:r w:rsidR="00BB144B">
        <w:rPr>
          <w:rFonts w:ascii="Palatino Linotype" w:eastAsia="Palatino Linotype" w:hAnsi="Palatino Linotype" w:cs="Palatino Linotype"/>
          <w:color w:val="000000" w:themeColor="text1"/>
        </w:rPr>
        <w:t>para</w:t>
      </w:r>
      <w:r w:rsidRPr="00687729">
        <w:rPr>
          <w:rFonts w:ascii="Palatino Linotype" w:eastAsia="Palatino Linotype" w:hAnsi="Palatino Linotype" w:cs="Palatino Linotype"/>
          <w:color w:val="000000" w:themeColor="text1"/>
        </w:rPr>
        <w:t xml:space="preserve"> su análisis.</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687729">
        <w:rPr>
          <w:rFonts w:ascii="Palatino Linotype" w:eastAsia="Palatino Linotype" w:hAnsi="Palatino Linotype" w:cs="Palatino Linotype"/>
          <w:b/>
          <w:color w:val="000000" w:themeColor="text1"/>
        </w:rPr>
        <w:t xml:space="preserve">acuerdo de admisión </w:t>
      </w:r>
      <w:r w:rsidRPr="00687729">
        <w:rPr>
          <w:rFonts w:ascii="Palatino Linotype" w:eastAsia="Palatino Linotype" w:hAnsi="Palatino Linotype" w:cs="Palatino Linotype"/>
          <w:color w:val="000000" w:themeColor="text1"/>
        </w:rPr>
        <w:t xml:space="preserve">del </w:t>
      </w:r>
      <w:r w:rsidRPr="00687729">
        <w:rPr>
          <w:rFonts w:ascii="Palatino Linotype" w:eastAsia="Palatino Linotype" w:hAnsi="Palatino Linotype" w:cs="Palatino Linotype"/>
          <w:b/>
          <w:color w:val="000000" w:themeColor="text1"/>
        </w:rPr>
        <w:t xml:space="preserve">diez de abril de dos mil veinticinco, </w:t>
      </w:r>
      <w:r w:rsidRPr="00687729">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presentará el Informe Justificado procedente</w:t>
      </w:r>
      <w:r w:rsidRPr="00687729">
        <w:rPr>
          <w:rFonts w:ascii="Palatino Linotype" w:eastAsia="Palatino Linotype" w:hAnsi="Palatino Linotype" w:cs="Palatino Linotype"/>
          <w:i/>
          <w:color w:val="000000" w:themeColor="text1"/>
        </w:rPr>
        <w:t>.</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i/>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tal y como se observa en el expediente electrónico 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 xml:space="preserve">y el </w:t>
      </w:r>
      <w:r w:rsidRPr="00687729">
        <w:rPr>
          <w:rFonts w:ascii="Palatino Linotype" w:eastAsia="Palatino Linotype" w:hAnsi="Palatino Linotype" w:cs="Palatino Linotype"/>
          <w:b/>
          <w:color w:val="000000" w:themeColor="text1"/>
        </w:rPr>
        <w:t xml:space="preserve">RECURRENTE </w:t>
      </w:r>
      <w:r w:rsidRPr="00687729">
        <w:rPr>
          <w:rFonts w:ascii="Palatino Linotype" w:eastAsia="Palatino Linotype" w:hAnsi="Palatino Linotype" w:cs="Palatino Linotype"/>
          <w:color w:val="000000" w:themeColor="text1"/>
        </w:rPr>
        <w:t xml:space="preserve">fueron omisos en manifestar lo que a su derecho conviniera y asistiera, respectivamente.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ab/>
      </w: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3" w:name="_heading=h.2et92p0" w:colFirst="0" w:colLast="0"/>
      <w:bookmarkEnd w:id="3"/>
      <w:r w:rsidRPr="00687729">
        <w:rPr>
          <w:rFonts w:ascii="Palatino Linotype" w:eastAsia="Palatino Linotype" w:hAnsi="Palatino Linotype" w:cs="Palatino Linotype"/>
          <w:color w:val="000000" w:themeColor="text1"/>
        </w:rPr>
        <w:t xml:space="preserve">El </w:t>
      </w:r>
      <w:r w:rsidRPr="00687729">
        <w:rPr>
          <w:rFonts w:ascii="Palatino Linotype" w:eastAsia="Palatino Linotype" w:hAnsi="Palatino Linotype" w:cs="Palatino Linotype"/>
          <w:b/>
          <w:color w:val="000000" w:themeColor="text1"/>
        </w:rPr>
        <w:t>cuatro de junio de dos mil veinticinco</w:t>
      </w:r>
      <w:r w:rsidRPr="00687729">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párrafo </w:t>
      </w:r>
      <w:r w:rsidRPr="00687729">
        <w:rPr>
          <w:rFonts w:ascii="Palatino Linotype" w:eastAsia="Palatino Linotype" w:hAnsi="Palatino Linotype" w:cs="Palatino Linotype"/>
          <w:color w:val="000000" w:themeColor="text1"/>
        </w:rPr>
        <w:lastRenderedPageBreak/>
        <w:t>tercero de la Ley de Transparencia y Acceso a la Información Pública del</w:t>
      </w:r>
      <w:r w:rsidR="002C2035" w:rsidRPr="00687729">
        <w:rPr>
          <w:rFonts w:ascii="Palatino Linotype" w:eastAsia="Palatino Linotype" w:hAnsi="Palatino Linotype" w:cs="Palatino Linotype"/>
          <w:color w:val="000000" w:themeColor="text1"/>
        </w:rPr>
        <w:t xml:space="preserve"> Estado de México y Municipios.</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color w:val="000000" w:themeColor="text1"/>
        </w:rPr>
        <w:t>Finalmente, la Comisionada Ponente mediante acuerdo de fecha</w:t>
      </w:r>
      <w:r w:rsidRPr="00687729">
        <w:rPr>
          <w:rFonts w:ascii="Palatino Linotype" w:eastAsia="Palatino Linotype" w:hAnsi="Palatino Linotype" w:cs="Palatino Linotype"/>
          <w:b/>
          <w:color w:val="000000" w:themeColor="text1"/>
        </w:rPr>
        <w:t xml:space="preserve"> cuatro de junio de dos mil veinticinco</w:t>
      </w:r>
      <w:r w:rsidRPr="00687729">
        <w:rPr>
          <w:rFonts w:ascii="Palatino Linotype" w:eastAsia="Palatino Linotype" w:hAnsi="Palatino Linotype" w:cs="Palatino Linotype"/>
          <w:color w:val="000000" w:themeColor="text1"/>
        </w:rPr>
        <w:t>, decretó el cierre de instrucción de los expedientes, por lo que no ha</w:t>
      </w:r>
      <w:r w:rsidR="002C2035" w:rsidRPr="00687729">
        <w:rPr>
          <w:rFonts w:ascii="Palatino Linotype" w:eastAsia="Palatino Linotype" w:hAnsi="Palatino Linotype" w:cs="Palatino Linotype"/>
          <w:color w:val="000000" w:themeColor="text1"/>
        </w:rPr>
        <w:t xml:space="preserve">biendo más que hacer constar, y </w:t>
      </w:r>
    </w:p>
    <w:p w:rsidR="00251F52" w:rsidRPr="00687729" w:rsidRDefault="00251F52" w:rsidP="002C2035">
      <w:pPr>
        <w:spacing w:line="360" w:lineRule="auto"/>
        <w:ind w:right="-7"/>
        <w:rPr>
          <w:rFonts w:ascii="Palatino Linotype" w:eastAsia="Palatino Linotype" w:hAnsi="Palatino Linotype" w:cs="Palatino Linotype"/>
          <w:b/>
          <w:color w:val="000000" w:themeColor="text1"/>
        </w:rPr>
      </w:pPr>
      <w:bookmarkStart w:id="4" w:name="_heading=h.162m1m3fkzl6" w:colFirst="0" w:colLast="0"/>
      <w:bookmarkEnd w:id="4"/>
    </w:p>
    <w:p w:rsidR="00251F52" w:rsidRPr="00687729" w:rsidRDefault="007F1FB0" w:rsidP="002C2035">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t xml:space="preserve">C O N S I D E R A N D O </w:t>
      </w:r>
    </w:p>
    <w:p w:rsidR="002C2035" w:rsidRPr="00687729" w:rsidRDefault="002C2035" w:rsidP="002C2035">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251F52" w:rsidRPr="00687729" w:rsidRDefault="007F1FB0" w:rsidP="002C2035">
      <w:pPr>
        <w:pStyle w:val="Ttulo2"/>
        <w:spacing w:before="0" w:line="360" w:lineRule="auto"/>
        <w:ind w:right="-7"/>
        <w:rPr>
          <w:rFonts w:ascii="Palatino Linotype" w:eastAsia="Palatino Linotype" w:hAnsi="Palatino Linotype" w:cs="Palatino Linotype"/>
          <w:b/>
          <w:color w:val="000000" w:themeColor="text1"/>
          <w:sz w:val="24"/>
          <w:szCs w:val="24"/>
        </w:rPr>
      </w:pPr>
      <w:bookmarkStart w:id="5" w:name="_heading=h.tyjcwt" w:colFirst="0" w:colLast="0"/>
      <w:bookmarkEnd w:id="5"/>
      <w:r w:rsidRPr="00687729">
        <w:rPr>
          <w:rFonts w:ascii="Palatino Linotype" w:eastAsia="Palatino Linotype" w:hAnsi="Palatino Linotype" w:cs="Palatino Linotype"/>
          <w:b/>
          <w:color w:val="000000" w:themeColor="text1"/>
          <w:sz w:val="24"/>
          <w:szCs w:val="24"/>
        </w:rPr>
        <w:t>PRIMERO. De la competencia</w:t>
      </w: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B144B" w:rsidRDefault="00BB144B" w:rsidP="002C203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6" w:name="_heading=h.3dy6vkm" w:colFirst="0" w:colLast="0"/>
      <w:bookmarkStart w:id="7" w:name="_heading=h.1t3h5sf" w:colFirst="0" w:colLast="0"/>
      <w:bookmarkEnd w:id="6"/>
      <w:bookmarkEnd w:id="7"/>
    </w:p>
    <w:p w:rsidR="00BB144B" w:rsidRDefault="00BB144B" w:rsidP="002C203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rsidR="00BB144B" w:rsidRDefault="00BB144B" w:rsidP="002C203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rsidR="00251F52" w:rsidRPr="00687729" w:rsidRDefault="007F1FB0" w:rsidP="002C203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lastRenderedPageBreak/>
        <w:t>SEGUNDO. De la oportunidad y procedencia.</w:t>
      </w: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8" w:name="_heading=h.4d34og8" w:colFirst="0" w:colLast="0"/>
      <w:bookmarkEnd w:id="8"/>
      <w:r w:rsidRPr="00687729">
        <w:rPr>
          <w:rFonts w:ascii="Palatino Linotype" w:eastAsia="Palatino Linotype" w:hAnsi="Palatino Linotype" w:cs="Palatino Linotype"/>
          <w:color w:val="000000" w:themeColor="text1"/>
        </w:rPr>
        <w:t xml:space="preserve">Los medios de impugnación fueron presentados a través del </w:t>
      </w:r>
      <w:r w:rsidRPr="00687729">
        <w:rPr>
          <w:rFonts w:ascii="Palatino Linotype" w:eastAsia="Palatino Linotype" w:hAnsi="Palatino Linotype" w:cs="Palatino Linotype"/>
          <w:b/>
          <w:color w:val="000000" w:themeColor="text1"/>
        </w:rPr>
        <w:t>SAIMEX,</w:t>
      </w:r>
      <w:r w:rsidRPr="0068772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87729">
        <w:rPr>
          <w:rFonts w:ascii="Palatino Linotype" w:eastAsia="Palatino Linotype" w:hAnsi="Palatino Linotype" w:cs="Palatino Linotype"/>
          <w:b/>
          <w:color w:val="000000" w:themeColor="text1"/>
        </w:rPr>
        <w:t>SUJETO OBLIGADO</w:t>
      </w:r>
      <w:r w:rsidRPr="00687729">
        <w:rPr>
          <w:rFonts w:ascii="Palatino Linotype" w:eastAsia="Palatino Linotype" w:hAnsi="Palatino Linotype" w:cs="Palatino Linotype"/>
          <w:color w:val="000000" w:themeColor="text1"/>
        </w:rPr>
        <w:t xml:space="preserve"> entregó su respuesta el </w:t>
      </w:r>
      <w:r w:rsidRPr="00687729">
        <w:rPr>
          <w:rFonts w:ascii="Palatino Linotype" w:eastAsia="Palatino Linotype" w:hAnsi="Palatino Linotype" w:cs="Palatino Linotype"/>
          <w:b/>
          <w:color w:val="000000" w:themeColor="text1"/>
        </w:rPr>
        <w:t>dos de abril de dos mil veinticinco</w:t>
      </w:r>
      <w:r w:rsidRPr="00687729">
        <w:rPr>
          <w:rFonts w:ascii="Palatino Linotype" w:eastAsia="Palatino Linotype" w:hAnsi="Palatino Linotype" w:cs="Palatino Linotype"/>
          <w:color w:val="000000" w:themeColor="text1"/>
        </w:rPr>
        <w:t xml:space="preserve">, de tal forma que el plazo para interponer el recurso de revisión transcurrió del día </w:t>
      </w:r>
      <w:r w:rsidRPr="00687729">
        <w:rPr>
          <w:rFonts w:ascii="Palatino Linotype" w:eastAsia="Palatino Linotype" w:hAnsi="Palatino Linotype" w:cs="Palatino Linotype"/>
          <w:b/>
          <w:color w:val="000000" w:themeColor="text1"/>
        </w:rPr>
        <w:t>tres al treinta de abril de dos mil veinticinco</w:t>
      </w:r>
      <w:r w:rsidRPr="00687729">
        <w:rPr>
          <w:rFonts w:ascii="Palatino Linotype" w:eastAsia="Palatino Linotype" w:hAnsi="Palatino Linotype" w:cs="Palatino Linotype"/>
          <w:color w:val="000000" w:themeColor="text1"/>
        </w:rPr>
        <w:t xml:space="preserve">; en consecuencia, el ahora </w:t>
      </w:r>
      <w:r w:rsidRPr="00687729">
        <w:rPr>
          <w:rFonts w:ascii="Palatino Linotype" w:eastAsia="Palatino Linotype" w:hAnsi="Palatino Linotype" w:cs="Palatino Linotype"/>
          <w:b/>
          <w:color w:val="000000" w:themeColor="text1"/>
        </w:rPr>
        <w:t>RECURRENTE</w:t>
      </w:r>
      <w:r w:rsidRPr="00687729">
        <w:rPr>
          <w:rFonts w:ascii="Palatino Linotype" w:eastAsia="Palatino Linotype" w:hAnsi="Palatino Linotype" w:cs="Palatino Linotype"/>
          <w:color w:val="000000" w:themeColor="text1"/>
        </w:rPr>
        <w:t xml:space="preserve"> presentó su inconformidad el día </w:t>
      </w:r>
      <w:r w:rsidRPr="00687729">
        <w:rPr>
          <w:rFonts w:ascii="Palatino Linotype" w:eastAsia="Palatino Linotype" w:hAnsi="Palatino Linotype" w:cs="Palatino Linotype"/>
          <w:b/>
          <w:color w:val="000000" w:themeColor="text1"/>
        </w:rPr>
        <w:t>siete de abril de dos mil veinticinco</w:t>
      </w:r>
      <w:r w:rsidRPr="00687729">
        <w:rPr>
          <w:rFonts w:ascii="Palatino Linotype" w:eastAsia="Palatino Linotype" w:hAnsi="Palatino Linotype" w:cs="Palatino Linotype"/>
          <w:color w:val="000000" w:themeColor="text1"/>
        </w:rPr>
        <w:t>; es decir dentro del lapso legalmente establecido para tal efecto.</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r w:rsidRPr="00687729">
        <w:rPr>
          <w:rFonts w:ascii="Palatino Linotype" w:eastAsia="Palatino Linotype" w:hAnsi="Palatino Linotype" w:cs="Palatino Linotype"/>
          <w:b/>
          <w:i/>
          <w:color w:val="000000" w:themeColor="text1"/>
        </w:rPr>
        <w:t>Las solicitudes anónimas</w:t>
      </w:r>
      <w:r w:rsidRPr="00687729">
        <w:rPr>
          <w:rFonts w:ascii="Palatino Linotype" w:eastAsia="Palatino Linotype" w:hAnsi="Palatino Linotype" w:cs="Palatino Linotype"/>
          <w:i/>
          <w:color w:val="000000" w:themeColor="text1"/>
        </w:rPr>
        <w:t xml:space="preserve">, con nombre incompleto o seudónimo </w:t>
      </w:r>
      <w:r w:rsidRPr="00687729">
        <w:rPr>
          <w:rFonts w:ascii="Palatino Linotype" w:eastAsia="Palatino Linotype" w:hAnsi="Palatino Linotype" w:cs="Palatino Linotype"/>
          <w:b/>
          <w:i/>
          <w:color w:val="000000" w:themeColor="text1"/>
        </w:rPr>
        <w:t>serán procedentes para su trámite por parte del sujeto obligado ante quien se presente</w:t>
      </w:r>
      <w:r w:rsidRPr="00687729">
        <w:rPr>
          <w:rFonts w:ascii="Palatino Linotype" w:eastAsia="Palatino Linotype" w:hAnsi="Palatino Linotype" w:cs="Palatino Linotype"/>
          <w:i/>
          <w:color w:val="000000" w:themeColor="text1"/>
        </w:rPr>
        <w:t>. No podrá requerirse información adicional con motivo del nombre proporcionado por el solicitante."</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251F52" w:rsidRPr="00687729" w:rsidRDefault="00251F52" w:rsidP="002C2035">
      <w:pPr>
        <w:spacing w:line="360" w:lineRule="auto"/>
        <w:ind w:right="-7"/>
        <w:jc w:val="both"/>
        <w:rPr>
          <w:rFonts w:ascii="Palatino Linotype" w:eastAsia="Palatino Linotype" w:hAnsi="Palatino Linotype" w:cs="Palatino Linotype"/>
          <w:i/>
          <w:color w:val="000000" w:themeColor="text1"/>
        </w:rPr>
      </w:pP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w:t>
      </w:r>
      <w:r w:rsidRPr="00687729">
        <w:rPr>
          <w:rFonts w:ascii="Palatino Linotype" w:eastAsia="Palatino Linotype" w:hAnsi="Palatino Linotype" w:cs="Palatino Linotype"/>
          <w:b/>
          <w:i/>
          <w:color w:val="000000" w:themeColor="text1"/>
        </w:rPr>
        <w:t>Artículo 6.-</w:t>
      </w:r>
      <w:r w:rsidRPr="00687729">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Para efectos de lo dispuesto en el presente artículo se observará lo siguiente:</w:t>
      </w:r>
    </w:p>
    <w:p w:rsidR="00251F52" w:rsidRPr="00687729" w:rsidRDefault="00251F52" w:rsidP="002C2035">
      <w:pPr>
        <w:ind w:left="1134" w:right="-7"/>
        <w:jc w:val="both"/>
        <w:rPr>
          <w:rFonts w:ascii="Palatino Linotype" w:eastAsia="Palatino Linotype" w:hAnsi="Palatino Linotype" w:cs="Palatino Linotype"/>
          <w:i/>
          <w:color w:val="000000" w:themeColor="text1"/>
        </w:rPr>
      </w:pP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251F52" w:rsidRPr="00687729" w:rsidRDefault="00251F52" w:rsidP="002C2035">
      <w:pPr>
        <w:ind w:left="1134" w:right="-7"/>
        <w:jc w:val="both"/>
        <w:rPr>
          <w:rFonts w:ascii="Palatino Linotype" w:eastAsia="Palatino Linotype" w:hAnsi="Palatino Linotype" w:cs="Palatino Linotype"/>
          <w:i/>
          <w:color w:val="000000" w:themeColor="text1"/>
        </w:rPr>
      </w:pP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687729">
        <w:rPr>
          <w:rFonts w:ascii="Palatino Linotype" w:eastAsia="Palatino Linotype" w:hAnsi="Palatino Linotype" w:cs="Palatino Linotype"/>
          <w:color w:val="000000" w:themeColor="text1"/>
        </w:rPr>
        <w:t>(Sic)</w:t>
      </w:r>
    </w:p>
    <w:p w:rsidR="00251F52" w:rsidRPr="00687729" w:rsidRDefault="00251F52" w:rsidP="002C2035">
      <w:pPr>
        <w:ind w:left="113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r w:rsidRPr="00687729">
        <w:rPr>
          <w:rFonts w:ascii="Palatino Linotype" w:eastAsia="Palatino Linotype" w:hAnsi="Palatino Linotype" w:cs="Palatino Linotype"/>
          <w:b/>
          <w:i/>
          <w:color w:val="000000" w:themeColor="text1"/>
        </w:rPr>
        <w:t>Artículo 5.-</w:t>
      </w:r>
      <w:r w:rsidRPr="00687729">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687729">
        <w:rPr>
          <w:rFonts w:ascii="Palatino Linotype" w:eastAsia="Palatino Linotype" w:hAnsi="Palatino Linotype" w:cs="Palatino Linotype"/>
          <w:color w:val="000000" w:themeColor="text1"/>
        </w:rPr>
        <w:t>(Sic)</w:t>
      </w:r>
    </w:p>
    <w:p w:rsidR="00251F52" w:rsidRPr="00687729" w:rsidRDefault="00251F52" w:rsidP="002C2035">
      <w:pPr>
        <w:spacing w:line="360" w:lineRule="auto"/>
        <w:ind w:left="426"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r w:rsidRPr="00687729">
        <w:rPr>
          <w:rFonts w:ascii="Palatino Linotype" w:eastAsia="Palatino Linotype" w:hAnsi="Palatino Linotype" w:cs="Palatino Linotype"/>
          <w:b/>
          <w:i/>
          <w:color w:val="000000" w:themeColor="text1"/>
        </w:rPr>
        <w:t>Artículo 1</w:t>
      </w:r>
      <w:r w:rsidRPr="00687729">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251F52" w:rsidRPr="00687729" w:rsidRDefault="00251F52" w:rsidP="002C2035">
      <w:pPr>
        <w:spacing w:line="360" w:lineRule="auto"/>
        <w:ind w:left="426"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687729">
        <w:rPr>
          <w:rFonts w:ascii="Palatino Linotype" w:eastAsia="Palatino Linotype" w:hAnsi="Palatino Linotype" w:cs="Palatino Linotype"/>
          <w:i/>
          <w:color w:val="000000" w:themeColor="text1"/>
        </w:rPr>
        <w:t>derecho fundamental exime a quien lo ejerce</w:t>
      </w:r>
      <w:r w:rsidRPr="00687729">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687729">
        <w:rPr>
          <w:rFonts w:ascii="Palatino Linotype" w:eastAsia="Palatino Linotype" w:hAnsi="Palatino Linotype" w:cs="Palatino Linotype"/>
          <w:b/>
          <w:color w:val="000000" w:themeColor="text1"/>
        </w:rPr>
        <w:t>RECURRENTE</w:t>
      </w:r>
      <w:r w:rsidRPr="00687729">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Asimismo, los escritos contienen las formalidades previstas por el artículo 180 último párrafo de la Ley de la materia actual, por lo que es procedente que este Instituto </w:t>
      </w:r>
      <w:r w:rsidRPr="00687729">
        <w:rPr>
          <w:rFonts w:ascii="Palatino Linotype" w:eastAsia="Palatino Linotype" w:hAnsi="Palatino Linotype" w:cs="Palatino Linotype"/>
          <w:color w:val="000000" w:themeColor="text1"/>
        </w:rPr>
        <w:lastRenderedPageBreak/>
        <w:t>de Transparencia, Acceso a la Información Pública y Protección de Datos Personales del Estado de México y Municipios, conozca y resuelva el presente recurso.</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pStyle w:val="Ttulo1"/>
        <w:spacing w:before="0" w:line="360" w:lineRule="auto"/>
        <w:ind w:right="-7"/>
        <w:rPr>
          <w:rFonts w:ascii="Palatino Linotype" w:eastAsia="Palatino Linotype" w:hAnsi="Palatino Linotype" w:cs="Palatino Linotype"/>
          <w:b/>
          <w:color w:val="000000" w:themeColor="text1"/>
          <w:sz w:val="24"/>
          <w:szCs w:val="24"/>
        </w:rPr>
      </w:pPr>
      <w:bookmarkStart w:id="9" w:name="_heading=h.2s8eyo1" w:colFirst="0" w:colLast="0"/>
      <w:bookmarkEnd w:id="9"/>
      <w:r w:rsidRPr="00687729">
        <w:rPr>
          <w:rFonts w:ascii="Palatino Linotype" w:eastAsia="Palatino Linotype" w:hAnsi="Palatino Linotype" w:cs="Palatino Linotype"/>
          <w:b/>
          <w:color w:val="000000" w:themeColor="text1"/>
          <w:sz w:val="24"/>
          <w:szCs w:val="24"/>
        </w:rPr>
        <w:t xml:space="preserve">TERCERO. Del planteamiento de la </w:t>
      </w:r>
      <w:r w:rsidRPr="00687729">
        <w:rPr>
          <w:rFonts w:ascii="Palatino Linotype" w:eastAsia="Palatino Linotype" w:hAnsi="Palatino Linotype" w:cs="Palatino Linotype"/>
          <w:b/>
          <w:i/>
          <w:color w:val="000000" w:themeColor="text1"/>
          <w:sz w:val="24"/>
          <w:szCs w:val="24"/>
        </w:rPr>
        <w:t>Litis</w:t>
      </w:r>
      <w:r w:rsidRPr="00687729">
        <w:rPr>
          <w:rFonts w:ascii="Palatino Linotype" w:eastAsia="Palatino Linotype" w:hAnsi="Palatino Linotype" w:cs="Palatino Linotype"/>
          <w:b/>
          <w:color w:val="000000" w:themeColor="text1"/>
          <w:sz w:val="24"/>
          <w:szCs w:val="24"/>
        </w:rPr>
        <w:t>.</w:t>
      </w: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251F52" w:rsidRPr="00687729" w:rsidRDefault="007F1FB0" w:rsidP="002C2035">
      <w:pPr>
        <w:pBdr>
          <w:top w:val="nil"/>
          <w:left w:val="nil"/>
          <w:bottom w:val="nil"/>
          <w:right w:val="nil"/>
          <w:between w:val="nil"/>
        </w:pBdr>
        <w:spacing w:line="360" w:lineRule="auto"/>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De las adquisiciones de vehículos adquiridos por la compra y/o arrendamiento del  periodo del 01 enero 2022 al 03 de diciembre 2024.</w:t>
      </w:r>
    </w:p>
    <w:p w:rsidR="00251F52" w:rsidRPr="00687729" w:rsidRDefault="007F1FB0" w:rsidP="002C2035">
      <w:pPr>
        <w:pBdr>
          <w:top w:val="nil"/>
          <w:left w:val="nil"/>
          <w:bottom w:val="nil"/>
          <w:right w:val="nil"/>
          <w:between w:val="nil"/>
        </w:pBdr>
        <w:spacing w:line="360" w:lineRule="auto"/>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 Contratos </w:t>
      </w:r>
    </w:p>
    <w:p w:rsidR="00251F52" w:rsidRPr="00687729" w:rsidRDefault="007F1FB0" w:rsidP="002C2035">
      <w:pPr>
        <w:pBdr>
          <w:top w:val="nil"/>
          <w:left w:val="nil"/>
          <w:bottom w:val="nil"/>
          <w:right w:val="nil"/>
          <w:between w:val="nil"/>
        </w:pBdr>
        <w:spacing w:line="360" w:lineRule="auto"/>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2.- Facturas</w:t>
      </w:r>
    </w:p>
    <w:p w:rsidR="00251F52" w:rsidRPr="00687729" w:rsidRDefault="007F1FB0" w:rsidP="002C2035">
      <w:pPr>
        <w:pBdr>
          <w:top w:val="nil"/>
          <w:left w:val="nil"/>
          <w:bottom w:val="nil"/>
          <w:right w:val="nil"/>
          <w:between w:val="nil"/>
        </w:pBdr>
        <w:spacing w:line="360" w:lineRule="auto"/>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3.- Pólizas de cheques </w:t>
      </w:r>
    </w:p>
    <w:p w:rsidR="00251F52" w:rsidRPr="00687729" w:rsidRDefault="007F1FB0" w:rsidP="002C2035">
      <w:pPr>
        <w:pBdr>
          <w:top w:val="nil"/>
          <w:left w:val="nil"/>
          <w:bottom w:val="nil"/>
          <w:right w:val="nil"/>
          <w:between w:val="nil"/>
        </w:pBdr>
        <w:spacing w:line="360" w:lineRule="auto"/>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4.- Expediente completo </w:t>
      </w:r>
    </w:p>
    <w:p w:rsidR="00251F52" w:rsidRPr="00687729" w:rsidRDefault="00251F52" w:rsidP="002C2035">
      <w:pPr>
        <w:pBdr>
          <w:top w:val="nil"/>
          <w:left w:val="nil"/>
          <w:bottom w:val="nil"/>
          <w:right w:val="nil"/>
          <w:between w:val="nil"/>
        </w:pBdr>
        <w:spacing w:line="360" w:lineRule="auto"/>
        <w:ind w:left="113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color w:val="000000" w:themeColor="text1"/>
        </w:rPr>
        <w:t xml:space="preserve">En respuesta, 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 xml:space="preserve">por medio de la </w:t>
      </w:r>
      <w:r w:rsidRPr="00687729">
        <w:rPr>
          <w:rFonts w:ascii="Palatino Linotype" w:eastAsia="Palatino Linotype" w:hAnsi="Palatino Linotype" w:cs="Palatino Linotype"/>
          <w:i/>
          <w:color w:val="000000" w:themeColor="text1"/>
        </w:rPr>
        <w:t>Directora de Administración y Recursos Humanos, informó que no podía entregar la información toda vez que se encuentran imposibilitados para otorgar dicha información toda vez que se cuenta con un aviso de privacidad que resguarda la información y fue firmado por las empresas.</w:t>
      </w:r>
    </w:p>
    <w:p w:rsidR="00251F52" w:rsidRPr="00687729" w:rsidRDefault="007F1FB0" w:rsidP="002C2035">
      <w:pPr>
        <w:pBdr>
          <w:top w:val="nil"/>
          <w:left w:val="nil"/>
          <w:bottom w:val="nil"/>
          <w:right w:val="nil"/>
          <w:between w:val="nil"/>
        </w:pBdr>
        <w:spacing w:line="360" w:lineRule="auto"/>
        <w:ind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 </w:t>
      </w: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En dichas condiciones, la </w:t>
      </w:r>
      <w:r w:rsidRPr="00687729">
        <w:rPr>
          <w:rFonts w:ascii="Palatino Linotype" w:eastAsia="Palatino Linotype" w:hAnsi="Palatino Linotype" w:cs="Palatino Linotype"/>
          <w:i/>
          <w:color w:val="000000" w:themeColor="text1"/>
        </w:rPr>
        <w:t>Litis</w:t>
      </w:r>
      <w:r w:rsidRPr="00687729">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687729">
        <w:rPr>
          <w:rFonts w:ascii="Palatino Linotype" w:eastAsia="Palatino Linotype" w:hAnsi="Palatino Linotype" w:cs="Palatino Linotype"/>
          <w:b/>
          <w:color w:val="000000" w:themeColor="text1"/>
        </w:rPr>
        <w:t xml:space="preserve">fracción I </w:t>
      </w:r>
      <w:r w:rsidRPr="00687729">
        <w:rPr>
          <w:rFonts w:ascii="Palatino Linotype" w:eastAsia="Palatino Linotype" w:hAnsi="Palatino Linotype" w:cs="Palatino Linotype"/>
          <w:color w:val="000000" w:themeColor="text1"/>
        </w:rPr>
        <w:t>de la Ley</w:t>
      </w:r>
      <w:r w:rsidRPr="00687729">
        <w:rPr>
          <w:rFonts w:ascii="Palatino Linotype" w:eastAsia="Palatino Linotype" w:hAnsi="Palatino Linotype" w:cs="Palatino Linotype"/>
          <w:b/>
          <w:color w:val="000000" w:themeColor="text1"/>
        </w:rPr>
        <w:t xml:space="preserve"> de Transparencia y Acceso a la Información Pública del Estado de </w:t>
      </w:r>
      <w:r w:rsidRPr="00687729">
        <w:rPr>
          <w:rFonts w:ascii="Palatino Linotype" w:eastAsia="Palatino Linotype" w:hAnsi="Palatino Linotype" w:cs="Palatino Linotype"/>
          <w:color w:val="000000" w:themeColor="text1"/>
        </w:rPr>
        <w:t>México</w:t>
      </w:r>
      <w:r w:rsidRPr="00687729">
        <w:rPr>
          <w:rFonts w:ascii="Palatino Linotype" w:eastAsia="Palatino Linotype" w:hAnsi="Palatino Linotype" w:cs="Palatino Linotype"/>
          <w:b/>
          <w:color w:val="000000" w:themeColor="text1"/>
        </w:rPr>
        <w:t xml:space="preserve"> y Municipios</w:t>
      </w:r>
      <w:r w:rsidRPr="00687729">
        <w:rPr>
          <w:rFonts w:ascii="Palatino Linotype" w:eastAsia="Palatino Linotype" w:hAnsi="Palatino Linotype" w:cs="Palatino Linotype"/>
          <w:color w:val="000000" w:themeColor="text1"/>
        </w:rPr>
        <w:t xml:space="preserve">; fracción que determina la hipótesis jurídica relativa a la negativa </w:t>
      </w:r>
      <w:r w:rsidRPr="00687729">
        <w:rPr>
          <w:rFonts w:ascii="Palatino Linotype" w:eastAsia="Palatino Linotype" w:hAnsi="Palatino Linotype" w:cs="Palatino Linotype"/>
          <w:color w:val="000000" w:themeColor="text1"/>
        </w:rPr>
        <w:lastRenderedPageBreak/>
        <w:t xml:space="preserve">de la información solicitada; contexto del cual se dolió </w:t>
      </w:r>
      <w:r w:rsidRPr="00687729">
        <w:rPr>
          <w:rFonts w:ascii="Palatino Linotype" w:eastAsia="Palatino Linotype" w:hAnsi="Palatino Linotype" w:cs="Palatino Linotype"/>
          <w:b/>
          <w:color w:val="000000" w:themeColor="text1"/>
        </w:rPr>
        <w:t xml:space="preserve">EL RECURRENTE </w:t>
      </w:r>
      <w:r w:rsidRPr="00687729">
        <w:rPr>
          <w:rFonts w:ascii="Palatino Linotype" w:eastAsia="Palatino Linotype" w:hAnsi="Palatino Linotype" w:cs="Palatino Linotype"/>
          <w:color w:val="000000" w:themeColor="text1"/>
        </w:rPr>
        <w:t>al momento de interponer su inconformidad.</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modo tal que el presente recurso de revisión se abocara en determinar si el </w:t>
      </w:r>
      <w:r w:rsidRPr="00687729">
        <w:rPr>
          <w:rFonts w:ascii="Palatino Linotype" w:eastAsia="Palatino Linotype" w:hAnsi="Palatino Linotype" w:cs="Palatino Linotype"/>
          <w:b/>
          <w:color w:val="000000" w:themeColor="text1"/>
        </w:rPr>
        <w:t>SUJETO OBLIGADO</w:t>
      </w:r>
      <w:r w:rsidRPr="00687729">
        <w:rPr>
          <w:rFonts w:ascii="Palatino Linotype" w:eastAsia="Palatino Linotype" w:hAnsi="Palatino Linotype" w:cs="Palatino Linotype"/>
          <w:color w:val="000000" w:themeColor="text1"/>
        </w:rPr>
        <w:t xml:space="preserve"> con su respuesta ciertamente actualiza la causal de procedencia</w:t>
      </w:r>
      <w:r w:rsidRPr="00687729">
        <w:rPr>
          <w:rFonts w:ascii="Palatino Linotype" w:eastAsia="Palatino Linotype" w:hAnsi="Palatino Linotype" w:cs="Palatino Linotype"/>
          <w:b/>
          <w:color w:val="000000" w:themeColor="text1"/>
        </w:rPr>
        <w:t xml:space="preserve"> </w:t>
      </w:r>
      <w:r w:rsidRPr="00687729">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251F52" w:rsidRPr="00687729" w:rsidRDefault="00251F52" w:rsidP="002C2035">
      <w:pPr>
        <w:pBdr>
          <w:top w:val="nil"/>
          <w:left w:val="nil"/>
          <w:bottom w:val="nil"/>
          <w:right w:val="nil"/>
          <w:between w:val="nil"/>
        </w:pBdr>
        <w:spacing w:line="360" w:lineRule="auto"/>
        <w:ind w:left="709" w:right="-7"/>
        <w:rPr>
          <w:rFonts w:ascii="Palatino Linotype" w:eastAsia="Palatino Linotype" w:hAnsi="Palatino Linotype" w:cs="Palatino Linotype"/>
          <w:color w:val="000000" w:themeColor="text1"/>
        </w:rPr>
      </w:pPr>
    </w:p>
    <w:p w:rsidR="00251F52" w:rsidRPr="00687729" w:rsidRDefault="007F1FB0" w:rsidP="002C2035">
      <w:pPr>
        <w:keepNext/>
        <w:keepLines/>
        <w:spacing w:line="360" w:lineRule="auto"/>
        <w:ind w:right="-7"/>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t>CUARTO. Del estudio y resolución del estudio.</w:t>
      </w:r>
    </w:p>
    <w:p w:rsidR="00251F52" w:rsidRPr="00687729" w:rsidRDefault="007F1FB0" w:rsidP="002C2035">
      <w:pPr>
        <w:keepNext/>
        <w:keepLines/>
        <w:numPr>
          <w:ilvl w:val="0"/>
          <w:numId w:val="10"/>
        </w:numPr>
        <w:spacing w:after="240" w:line="360" w:lineRule="auto"/>
        <w:ind w:left="786" w:right="-7"/>
        <w:rPr>
          <w:rFonts w:ascii="Palatino Linotype" w:eastAsia="Palatino Linotype" w:hAnsi="Palatino Linotype" w:cs="Palatino Linotype"/>
          <w:b/>
          <w:color w:val="000000" w:themeColor="text1"/>
        </w:rPr>
      </w:pPr>
      <w:bookmarkStart w:id="10" w:name="_heading=h.17dp8vu" w:colFirst="0" w:colLast="0"/>
      <w:bookmarkEnd w:id="10"/>
      <w:r w:rsidRPr="00687729">
        <w:rPr>
          <w:rFonts w:ascii="Palatino Linotype" w:eastAsia="Palatino Linotype" w:hAnsi="Palatino Linotype" w:cs="Palatino Linotype"/>
          <w:b/>
          <w:color w:val="000000" w:themeColor="text1"/>
        </w:rPr>
        <w:t>Del derecho de acceso a la información.</w:t>
      </w: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251F52" w:rsidRPr="00687729" w:rsidRDefault="007F1FB0" w:rsidP="002C2035">
      <w:pPr>
        <w:numPr>
          <w:ilvl w:val="0"/>
          <w:numId w:val="7"/>
        </w:numPr>
        <w:spacing w:before="240"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Definiendo el Derecho de Acceso a la Información Pública como: </w:t>
      </w:r>
      <w:r w:rsidRPr="00687729">
        <w:rPr>
          <w:rFonts w:ascii="Palatino Linotype" w:eastAsia="Palatino Linotype" w:hAnsi="Palatino Linotype" w:cs="Palatino Linotype"/>
          <w:i/>
          <w:color w:val="000000" w:themeColor="text1"/>
        </w:rPr>
        <w:t>La igualdad de oportunidades para recibir, buscar e impartir información</w:t>
      </w:r>
      <w:r w:rsidRPr="00687729">
        <w:rPr>
          <w:rFonts w:ascii="Palatino Linotype" w:eastAsia="Palatino Linotype" w:hAnsi="Palatino Linotype" w:cs="Palatino Linotype"/>
          <w:i/>
          <w:color w:val="000000" w:themeColor="text1"/>
          <w:vertAlign w:val="superscript"/>
        </w:rPr>
        <w:footnoteReference w:id="1"/>
      </w:r>
      <w:r w:rsidRPr="00687729">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w:t>
      </w:r>
      <w:r w:rsidRPr="00687729">
        <w:rPr>
          <w:rFonts w:ascii="Palatino Linotype" w:eastAsia="Palatino Linotype" w:hAnsi="Palatino Linotype" w:cs="Palatino Linotype"/>
          <w:i/>
          <w:color w:val="000000" w:themeColor="text1"/>
        </w:rPr>
        <w:lastRenderedPageBreak/>
        <w:t>partidos políticos, fideicomisos y fondos públicos, así como de cualquier persona física, moral o sindicato que reciba y ejerza recursos públicos o realice actos de autoridad en el ámbito federal, estatal y municipal,</w:t>
      </w:r>
      <w:r w:rsidRPr="00687729">
        <w:rPr>
          <w:rFonts w:ascii="Palatino Linotype" w:eastAsia="Palatino Linotype" w:hAnsi="Palatino Linotype" w:cs="Palatino Linotype"/>
          <w:i/>
          <w:color w:val="000000" w:themeColor="text1"/>
          <w:vertAlign w:val="superscript"/>
        </w:rPr>
        <w:footnoteReference w:id="2"/>
      </w:r>
      <w:r w:rsidRPr="00687729">
        <w:rPr>
          <w:rFonts w:ascii="Palatino Linotype" w:eastAsia="Palatino Linotype" w:hAnsi="Palatino Linotype" w:cs="Palatino Linotype"/>
          <w:color w:val="000000" w:themeColor="text1"/>
        </w:rPr>
        <w:t>que se constituye como una herramienta fundamental para ejercer</w:t>
      </w:r>
      <w:r w:rsidRPr="00687729">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87729">
        <w:rPr>
          <w:rFonts w:ascii="Palatino Linotype" w:eastAsia="Palatino Linotype" w:hAnsi="Palatino Linotype" w:cs="Palatino Linotype"/>
          <w:i/>
          <w:color w:val="000000" w:themeColor="text1"/>
          <w:vertAlign w:val="superscript"/>
        </w:rPr>
        <w:footnoteReference w:id="3"/>
      </w:r>
      <w:r w:rsidRPr="00687729">
        <w:rPr>
          <w:rFonts w:ascii="Palatino Linotype" w:eastAsia="Palatino Linotype" w:hAnsi="Palatino Linotype" w:cs="Palatino Linotype"/>
          <w:color w:val="000000" w:themeColor="text1"/>
        </w:rPr>
        <w:t>fomentando</w:t>
      </w:r>
      <w:r w:rsidRPr="00687729">
        <w:rPr>
          <w:rFonts w:ascii="Palatino Linotype" w:eastAsia="Palatino Linotype" w:hAnsi="Palatino Linotype" w:cs="Palatino Linotype"/>
          <w:i/>
          <w:color w:val="000000" w:themeColor="text1"/>
        </w:rPr>
        <w:t xml:space="preserve"> la transparencia de las actividades estatales y </w:t>
      </w:r>
      <w:r w:rsidRPr="00687729">
        <w:rPr>
          <w:rFonts w:ascii="Palatino Linotype" w:eastAsia="Palatino Linotype" w:hAnsi="Palatino Linotype" w:cs="Palatino Linotype"/>
          <w:color w:val="000000" w:themeColor="text1"/>
        </w:rPr>
        <w:t>promoviendo</w:t>
      </w:r>
      <w:r w:rsidRPr="00687729">
        <w:rPr>
          <w:rFonts w:ascii="Palatino Linotype" w:eastAsia="Palatino Linotype" w:hAnsi="Palatino Linotype" w:cs="Palatino Linotype"/>
          <w:i/>
          <w:color w:val="000000" w:themeColor="text1"/>
        </w:rPr>
        <w:t xml:space="preserve"> la responsabilidad de los funcionarios sobre su gestión pública,</w:t>
      </w:r>
      <w:r w:rsidRPr="00687729">
        <w:rPr>
          <w:rFonts w:ascii="Palatino Linotype" w:eastAsia="Palatino Linotype" w:hAnsi="Palatino Linotype" w:cs="Palatino Linotype"/>
          <w:i/>
          <w:color w:val="000000" w:themeColor="text1"/>
          <w:vertAlign w:val="superscript"/>
        </w:rPr>
        <w:footnoteReference w:id="4"/>
      </w:r>
      <w:r w:rsidRPr="00687729">
        <w:rPr>
          <w:rFonts w:ascii="Palatino Linotype" w:eastAsia="Palatino Linotype" w:hAnsi="Palatino Linotype" w:cs="Palatino Linotype"/>
          <w:color w:val="000000" w:themeColor="text1"/>
        </w:rPr>
        <w:t>que permite</w:t>
      </w:r>
      <w:r w:rsidRPr="0068772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r w:rsidRPr="00687729">
        <w:rPr>
          <w:rFonts w:ascii="Palatino Linotype" w:eastAsia="Palatino Linotype" w:hAnsi="Palatino Linotype" w:cs="Palatino Linotype"/>
          <w:b/>
          <w:i/>
          <w:color w:val="000000" w:themeColor="text1"/>
        </w:rPr>
        <w:t>Artículo 1.-</w:t>
      </w:r>
      <w:r w:rsidRPr="00687729">
        <w:rPr>
          <w:rFonts w:ascii="Palatino Linotype" w:eastAsia="Palatino Linotype" w:hAnsi="Palatino Linotype" w:cs="Palatino Linotype"/>
          <w:i/>
          <w:color w:val="000000" w:themeColor="text1"/>
        </w:rPr>
        <w:t xml:space="preserve">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Todas las</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51F52" w:rsidRPr="00687729" w:rsidRDefault="007F1FB0" w:rsidP="002C2035">
      <w:pPr>
        <w:ind w:left="1134"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i/>
          <w:color w:val="000000" w:themeColor="text1"/>
        </w:rPr>
        <w:t>(…)</w:t>
      </w:r>
      <w:r w:rsidRPr="00687729">
        <w:rPr>
          <w:rFonts w:ascii="Palatino Linotype" w:eastAsia="Palatino Linotype" w:hAnsi="Palatino Linotype" w:cs="Palatino Linotype"/>
          <w:color w:val="000000" w:themeColor="text1"/>
        </w:rPr>
        <w:t>”.</w:t>
      </w:r>
    </w:p>
    <w:p w:rsidR="00251F52" w:rsidRPr="00687729" w:rsidRDefault="00251F52" w:rsidP="002C2035">
      <w:pPr>
        <w:ind w:right="-7"/>
        <w:jc w:val="both"/>
        <w:rPr>
          <w:rFonts w:ascii="Palatino Linotype" w:eastAsia="Palatino Linotype" w:hAnsi="Palatino Linotype" w:cs="Palatino Linotype"/>
          <w:b/>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w:t>
      </w:r>
      <w:r w:rsidRPr="00687729">
        <w:rPr>
          <w:rFonts w:ascii="Palatino Linotype" w:eastAsia="Palatino Linotype" w:hAnsi="Palatino Linotype" w:cs="Palatino Linotype"/>
          <w:color w:val="000000" w:themeColor="text1"/>
        </w:rPr>
        <w:lastRenderedPageBreak/>
        <w:t>Además del derecho, también se reconocen garantías para su protección, lo que vincula con el mandato del párrafo tercero del mismo artículo.</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251F52" w:rsidRPr="00687729" w:rsidRDefault="007F1FB0" w:rsidP="002C2035">
      <w:pPr>
        <w:spacing w:after="240"/>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Constitución Política de los Estados Unidos Mexicanos</w:t>
      </w:r>
    </w:p>
    <w:p w:rsidR="00251F52" w:rsidRPr="00687729" w:rsidRDefault="007F1FB0" w:rsidP="002C2035">
      <w:pPr>
        <w:spacing w:before="240" w:after="240"/>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“Artículo 6.</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Para efectos de lo dispuesto en el presente artículo se observará lo siguiente:</w:t>
      </w:r>
    </w:p>
    <w:p w:rsidR="00251F52" w:rsidRPr="00687729" w:rsidRDefault="007F1FB0" w:rsidP="002C2035">
      <w:pPr>
        <w:spacing w:before="240" w:after="240"/>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A</w:t>
      </w: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Para el ejercicio del derecho de acceso a la información</w:t>
      </w:r>
      <w:r w:rsidRPr="00687729">
        <w:rPr>
          <w:rFonts w:ascii="Palatino Linotype" w:eastAsia="Palatino Linotype" w:hAnsi="Palatino Linotype" w:cs="Palatino Linotype"/>
          <w:i/>
          <w:color w:val="000000" w:themeColor="text1"/>
        </w:rPr>
        <w:t xml:space="preserve">, la Federación y </w:t>
      </w:r>
      <w:r w:rsidRPr="00687729">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 xml:space="preserve">I. </w:t>
      </w:r>
      <w:r w:rsidRPr="00687729">
        <w:rPr>
          <w:rFonts w:ascii="Palatino Linotype" w:eastAsia="Palatino Linotype" w:hAnsi="Palatino Linotype" w:cs="Palatino Linotype"/>
          <w:b/>
          <w:i/>
          <w:color w:val="000000" w:themeColor="text1"/>
        </w:rPr>
        <w:tab/>
        <w:t>Toda la información en posesión de cualquier</w:t>
      </w: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autoridad</w:t>
      </w:r>
      <w:r w:rsidRPr="00687729">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7729">
        <w:rPr>
          <w:rFonts w:ascii="Palatino Linotype" w:eastAsia="Palatino Linotype" w:hAnsi="Palatino Linotype" w:cs="Palatino Linotype"/>
          <w:b/>
          <w:i/>
          <w:color w:val="000000" w:themeColor="text1"/>
        </w:rPr>
        <w:t>municipal</w:t>
      </w: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es pública</w:t>
      </w:r>
      <w:r w:rsidRPr="00687729">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87729">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8772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51F52" w:rsidRPr="00687729" w:rsidRDefault="007F1FB0" w:rsidP="002C2035">
      <w:pPr>
        <w:spacing w:before="240" w:after="240"/>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lastRenderedPageBreak/>
        <w:t>Constitución Política del Estado Libre y Soberano de México</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“Artículo 5</w:t>
      </w:r>
      <w:r w:rsidRPr="00687729">
        <w:rPr>
          <w:rFonts w:ascii="Palatino Linotype" w:eastAsia="Palatino Linotype" w:hAnsi="Palatino Linotype" w:cs="Palatino Linotype"/>
          <w:i/>
          <w:color w:val="000000" w:themeColor="text1"/>
        </w:rPr>
        <w:t xml:space="preserve">.- </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87729">
        <w:rPr>
          <w:rFonts w:ascii="Palatino Linotype" w:eastAsia="Palatino Linotype" w:hAnsi="Palatino Linotype" w:cs="Palatino Linotype"/>
          <w:i/>
          <w:color w:val="000000" w:themeColor="text1"/>
        </w:rPr>
        <w:t>.</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Este derecho se regirá por los principios y bases siguientes</w:t>
      </w:r>
      <w:r w:rsidRPr="00687729">
        <w:rPr>
          <w:rFonts w:ascii="Palatino Linotype" w:eastAsia="Palatino Linotype" w:hAnsi="Palatino Linotype" w:cs="Palatino Linotype"/>
          <w:i/>
          <w:color w:val="000000" w:themeColor="text1"/>
        </w:rPr>
        <w:t>:</w:t>
      </w:r>
    </w:p>
    <w:p w:rsidR="00251F52" w:rsidRPr="00687729" w:rsidRDefault="007F1FB0" w:rsidP="002C2035">
      <w:pPr>
        <w:spacing w:before="240" w:after="240"/>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I. Toda la información en posesión de cualquier autoridad, entidad, órgano y organismos de los</w:t>
      </w:r>
      <w:r w:rsidRPr="00687729">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87729">
        <w:rPr>
          <w:rFonts w:ascii="Palatino Linotype" w:eastAsia="Palatino Linotype" w:hAnsi="Palatino Linotype" w:cs="Palatino Linotype"/>
          <w:b/>
          <w:i/>
          <w:color w:val="000000" w:themeColor="text1"/>
        </w:rPr>
        <w:t>municipales</w:t>
      </w:r>
      <w:r w:rsidRPr="00687729">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7729">
        <w:rPr>
          <w:rFonts w:ascii="Palatino Linotype" w:eastAsia="Palatino Linotype" w:hAnsi="Palatino Linotype" w:cs="Palatino Linotype"/>
          <w:b/>
          <w:i/>
          <w:color w:val="000000" w:themeColor="text1"/>
        </w:rPr>
        <w:t>es pública</w:t>
      </w:r>
      <w:r w:rsidRPr="00687729">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87729">
        <w:rPr>
          <w:rFonts w:ascii="Palatino Linotype" w:eastAsia="Palatino Linotype" w:hAnsi="Palatino Linotype" w:cs="Palatino Linotype"/>
          <w:b/>
          <w:i/>
          <w:color w:val="000000" w:themeColor="text1"/>
        </w:rPr>
        <w:t>En la interpretación de este derecho deberá prevalecer el principio de máxima publicidad</w:t>
      </w: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8772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51F52" w:rsidRPr="00687729" w:rsidRDefault="00251F52" w:rsidP="002C2035">
      <w:pPr>
        <w:tabs>
          <w:tab w:val="left" w:pos="567"/>
        </w:tabs>
        <w:spacing w:before="240" w:after="240"/>
        <w:ind w:right="-7"/>
        <w:jc w:val="both"/>
        <w:rPr>
          <w:rFonts w:ascii="Palatino Linotype" w:eastAsia="Palatino Linotype" w:hAnsi="Palatino Linotype" w:cs="Palatino Linotype"/>
          <w:b/>
          <w:i/>
          <w:color w:val="000000" w:themeColor="text1"/>
        </w:rPr>
      </w:pPr>
    </w:p>
    <w:p w:rsidR="00251F52" w:rsidRPr="00687729" w:rsidRDefault="007F1FB0" w:rsidP="002C2035">
      <w:pPr>
        <w:numPr>
          <w:ilvl w:val="0"/>
          <w:numId w:val="7"/>
        </w:numPr>
        <w:spacing w:before="240"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87729">
        <w:rPr>
          <w:rFonts w:ascii="Palatino Linotype" w:eastAsia="Palatino Linotype" w:hAnsi="Palatino Linotype" w:cs="Palatino Linotype"/>
          <w:i/>
          <w:color w:val="000000" w:themeColor="text1"/>
        </w:rPr>
        <w:t xml:space="preserve">por los principios de simplicidad, rapidez gratuidad del procedimiento, auxilio y </w:t>
      </w:r>
      <w:r w:rsidRPr="00687729">
        <w:rPr>
          <w:rFonts w:ascii="Palatino Linotype" w:eastAsia="Palatino Linotype" w:hAnsi="Palatino Linotype" w:cs="Palatino Linotype"/>
          <w:i/>
          <w:color w:val="000000" w:themeColor="text1"/>
        </w:rPr>
        <w:lastRenderedPageBreak/>
        <w:t>orientación a los particulares</w:t>
      </w:r>
      <w:r w:rsidRPr="00687729">
        <w:rPr>
          <w:rFonts w:ascii="Palatino Linotype" w:eastAsia="Palatino Linotype" w:hAnsi="Palatino Linotype" w:cs="Palatino Linotype"/>
          <w:color w:val="000000" w:themeColor="text1"/>
        </w:rPr>
        <w:t>, contemplando el derecho de las personas con discapacidad y hablantes de lengua indígena.</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87729">
        <w:rPr>
          <w:rFonts w:ascii="Palatino Linotype" w:eastAsia="Palatino Linotype" w:hAnsi="Palatino Linotype" w:cs="Palatino Linotype"/>
          <w:i/>
          <w:color w:val="000000" w:themeColor="text1"/>
        </w:rPr>
        <w:t>solicitudes de acceso a la información</w:t>
      </w:r>
      <w:r w:rsidRPr="00687729">
        <w:rPr>
          <w:rFonts w:ascii="Palatino Linotype" w:eastAsia="Palatino Linotype" w:hAnsi="Palatino Linotype" w:cs="Palatino Linotype"/>
          <w:color w:val="000000" w:themeColor="text1"/>
        </w:rPr>
        <w:t>.</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11" w:name="_heading=h.3rdcrjn" w:colFirst="0" w:colLast="0"/>
      <w:bookmarkEnd w:id="11"/>
      <w:r w:rsidRPr="00687729">
        <w:rPr>
          <w:rFonts w:ascii="Palatino Linotype" w:eastAsia="Palatino Linotype" w:hAnsi="Palatino Linotype" w:cs="Palatino Linotype"/>
          <w:color w:val="000000" w:themeColor="text1"/>
        </w:rPr>
        <w:t xml:space="preserve">Así entonces, se procede analizar, en primer lugar, si el </w:t>
      </w:r>
      <w:r w:rsidRPr="00687729">
        <w:rPr>
          <w:rFonts w:ascii="Palatino Linotype" w:eastAsia="Palatino Linotype" w:hAnsi="Palatino Linotype" w:cs="Palatino Linotype"/>
          <w:b/>
          <w:color w:val="000000" w:themeColor="text1"/>
        </w:rPr>
        <w:t>SUJETO OBLIGADO</w:t>
      </w:r>
      <w:r w:rsidRPr="00687729">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2" w:name="_heading=h.26in1rg" w:colFirst="0" w:colLast="0"/>
      <w:bookmarkEnd w:id="12"/>
      <w:r w:rsidRPr="00687729">
        <w:rPr>
          <w:rFonts w:ascii="Palatino Linotype" w:eastAsia="Palatino Linotype" w:hAnsi="Palatino Linotype" w:cs="Palatino Linotype"/>
          <w:b/>
          <w:color w:val="000000" w:themeColor="text1"/>
          <w:sz w:val="24"/>
          <w:szCs w:val="24"/>
        </w:rPr>
        <w:t>II. De la información solicitada y la respuesta del SUJETO OBLIGADO</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Acotada la </w:t>
      </w:r>
      <w:r w:rsidRPr="00687729">
        <w:rPr>
          <w:rFonts w:ascii="Palatino Linotype" w:eastAsia="Palatino Linotype" w:hAnsi="Palatino Linotype" w:cs="Palatino Linotype"/>
          <w:i/>
          <w:color w:val="000000" w:themeColor="text1"/>
        </w:rPr>
        <w:t>Litis</w:t>
      </w:r>
      <w:r w:rsidRPr="00687729">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negativa de la información solicitada.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En ese sentido, es importante recordar la información que fue solicitada por el </w:t>
      </w:r>
      <w:r w:rsidRPr="00687729">
        <w:rPr>
          <w:rFonts w:ascii="Palatino Linotype" w:eastAsia="Palatino Linotype" w:hAnsi="Palatino Linotype" w:cs="Palatino Linotype"/>
          <w:b/>
          <w:color w:val="000000" w:themeColor="text1"/>
        </w:rPr>
        <w:t xml:space="preserve">RECURRENTE </w:t>
      </w:r>
      <w:r w:rsidRPr="00687729">
        <w:rPr>
          <w:rFonts w:ascii="Palatino Linotype" w:eastAsia="Palatino Linotype" w:hAnsi="Palatino Linotype" w:cs="Palatino Linotype"/>
          <w:color w:val="000000" w:themeColor="text1"/>
        </w:rPr>
        <w:t xml:space="preserve">así como la información proporcionada por el </w:t>
      </w:r>
      <w:r w:rsidRPr="00687729">
        <w:rPr>
          <w:rFonts w:ascii="Palatino Linotype" w:eastAsia="Palatino Linotype" w:hAnsi="Palatino Linotype" w:cs="Palatino Linotype"/>
          <w:b/>
          <w:color w:val="000000" w:themeColor="text1"/>
        </w:rPr>
        <w:t xml:space="preserve">SUJETO OBLIGADO. </w:t>
      </w:r>
    </w:p>
    <w:p w:rsidR="00251F52" w:rsidRPr="00687729" w:rsidRDefault="007F1FB0" w:rsidP="002C2035">
      <w:pPr>
        <w:pBdr>
          <w:top w:val="nil"/>
          <w:left w:val="nil"/>
          <w:bottom w:val="nil"/>
          <w:right w:val="nil"/>
          <w:between w:val="nil"/>
        </w:pBdr>
        <w:ind w:left="1134" w:right="-7"/>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De las adquisiciones de vehículos adquiridos por la compra y/o arrendamiento del  periodo del 01 enero 2022 al 03 de diciembre 2024.</w:t>
      </w:r>
    </w:p>
    <w:p w:rsidR="00251F52" w:rsidRPr="00687729" w:rsidRDefault="00251F52" w:rsidP="002C2035">
      <w:pPr>
        <w:pBdr>
          <w:top w:val="nil"/>
          <w:left w:val="nil"/>
          <w:bottom w:val="nil"/>
          <w:right w:val="nil"/>
          <w:between w:val="nil"/>
        </w:pBdr>
        <w:ind w:left="786" w:right="-7"/>
        <w:rPr>
          <w:rFonts w:ascii="Palatino Linotype" w:eastAsia="Palatino Linotype" w:hAnsi="Palatino Linotype" w:cs="Palatino Linotype"/>
          <w:b/>
          <w:i/>
          <w:color w:val="000000" w:themeColor="text1"/>
        </w:rPr>
      </w:pPr>
    </w:p>
    <w:tbl>
      <w:tblPr>
        <w:tblStyle w:val="a"/>
        <w:tblpPr w:leftFromText="141" w:rightFromText="141" w:vertAnchor="text" w:tblpX="628" w:tblpY="168"/>
        <w:tblW w:w="8205"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635"/>
        <w:gridCol w:w="1843"/>
        <w:gridCol w:w="1787"/>
        <w:gridCol w:w="1940"/>
      </w:tblGrid>
      <w:tr w:rsidR="002C2035" w:rsidRPr="00687729" w:rsidTr="00251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251F52" w:rsidRPr="00687729" w:rsidRDefault="007F1FB0" w:rsidP="002C2035">
            <w:pPr>
              <w:ind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Información solicitada</w:t>
            </w:r>
          </w:p>
        </w:tc>
        <w:tc>
          <w:tcPr>
            <w:tcW w:w="1843" w:type="dxa"/>
          </w:tcPr>
          <w:p w:rsidR="00251F52" w:rsidRPr="00687729" w:rsidRDefault="007F1FB0" w:rsidP="002C2035">
            <w:pPr>
              <w:ind w:right="-7"/>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Respuesta</w:t>
            </w:r>
          </w:p>
        </w:tc>
        <w:tc>
          <w:tcPr>
            <w:tcW w:w="1787" w:type="dxa"/>
          </w:tcPr>
          <w:p w:rsidR="00251F52" w:rsidRPr="00687729" w:rsidRDefault="007F1FB0" w:rsidP="002C2035">
            <w:pPr>
              <w:ind w:right="-7"/>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Informe justificado</w:t>
            </w:r>
          </w:p>
        </w:tc>
        <w:tc>
          <w:tcPr>
            <w:tcW w:w="1940" w:type="dxa"/>
          </w:tcPr>
          <w:p w:rsidR="00251F52" w:rsidRPr="00687729" w:rsidRDefault="007F1FB0" w:rsidP="002C2035">
            <w:pPr>
              <w:ind w:right="-7"/>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Colma </w:t>
            </w:r>
          </w:p>
        </w:tc>
      </w:tr>
      <w:tr w:rsidR="002C2035" w:rsidRPr="00687729" w:rsidTr="0025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Borders>
              <w:left w:val="single" w:sz="4" w:space="0" w:color="000000"/>
            </w:tcBorders>
          </w:tcPr>
          <w:p w:rsidR="00251F52" w:rsidRPr="00687729" w:rsidRDefault="007F1FB0" w:rsidP="002C2035">
            <w:pPr>
              <w:ind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 Contratos </w:t>
            </w:r>
          </w:p>
          <w:p w:rsidR="00251F52" w:rsidRPr="00687729" w:rsidRDefault="00251F52" w:rsidP="002C2035">
            <w:pPr>
              <w:ind w:right="-7"/>
              <w:rPr>
                <w:rFonts w:ascii="Palatino Linotype" w:eastAsia="Palatino Linotype" w:hAnsi="Palatino Linotype" w:cs="Palatino Linotype"/>
                <w:i/>
                <w:color w:val="000000" w:themeColor="text1"/>
              </w:rPr>
            </w:pPr>
          </w:p>
        </w:tc>
        <w:tc>
          <w:tcPr>
            <w:tcW w:w="1843" w:type="dxa"/>
          </w:tcPr>
          <w:p w:rsidR="00251F52" w:rsidRPr="00687729" w:rsidRDefault="007F1FB0" w:rsidP="002C2035">
            <w:pPr>
              <w:ind w:right="-7"/>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Oficio de la Directora de Administración y Recursos Humanos, informó que no podía entregar la información toda vez que se encuentran imposibilitados para otorgar dicha información toda vez que se cuenta con un aviso de privacidad que resguarda la información y fue firmado por las empresas</w:t>
            </w:r>
          </w:p>
        </w:tc>
        <w:tc>
          <w:tcPr>
            <w:tcW w:w="1787" w:type="dxa"/>
          </w:tcPr>
          <w:p w:rsidR="00251F52" w:rsidRPr="00687729" w:rsidRDefault="007F1FB0" w:rsidP="002C2035">
            <w:pPr>
              <w:ind w:right="-7"/>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No hay respuesta </w:t>
            </w:r>
          </w:p>
        </w:tc>
        <w:tc>
          <w:tcPr>
            <w:tcW w:w="1940" w:type="dxa"/>
          </w:tcPr>
          <w:p w:rsidR="00251F52" w:rsidRPr="00687729" w:rsidRDefault="007F1FB0" w:rsidP="002C2035">
            <w:pPr>
              <w:ind w:right="-7"/>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No colma, toda vez que la información solicitada de conformidad con la Ley de Transparencia y Acceso a la Información Pública del Estado de México y Municipios, forma parte de las obligaciones de transparencia común, situación será materia de análisis en los párrafos siguientes. </w:t>
            </w:r>
          </w:p>
        </w:tc>
      </w:tr>
      <w:tr w:rsidR="002C2035" w:rsidRPr="00687729" w:rsidTr="00251F52">
        <w:tc>
          <w:tcPr>
            <w:cnfStyle w:val="001000000000" w:firstRow="0" w:lastRow="0" w:firstColumn="1" w:lastColumn="0" w:oddVBand="0" w:evenVBand="0" w:oddHBand="0" w:evenHBand="0" w:firstRowFirstColumn="0" w:firstRowLastColumn="0" w:lastRowFirstColumn="0" w:lastRowLastColumn="0"/>
            <w:tcW w:w="2635" w:type="dxa"/>
            <w:tcBorders>
              <w:left w:val="single" w:sz="4" w:space="0" w:color="000000"/>
            </w:tcBorders>
          </w:tcPr>
          <w:p w:rsidR="00251F52" w:rsidRPr="00687729" w:rsidRDefault="007F1FB0" w:rsidP="002C2035">
            <w:pPr>
              <w:ind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2.- Facturas</w:t>
            </w:r>
          </w:p>
          <w:p w:rsidR="00251F52" w:rsidRPr="00687729" w:rsidRDefault="00251F52" w:rsidP="002C2035">
            <w:pPr>
              <w:ind w:right="-7"/>
              <w:rPr>
                <w:rFonts w:ascii="Palatino Linotype" w:eastAsia="Palatino Linotype" w:hAnsi="Palatino Linotype" w:cs="Palatino Linotype"/>
                <w:i/>
                <w:color w:val="000000" w:themeColor="text1"/>
              </w:rPr>
            </w:pPr>
          </w:p>
        </w:tc>
        <w:tc>
          <w:tcPr>
            <w:tcW w:w="1843" w:type="dxa"/>
          </w:tcPr>
          <w:p w:rsidR="00251F52" w:rsidRPr="00687729" w:rsidRDefault="007F1FB0" w:rsidP="002C2035">
            <w:pPr>
              <w:ind w:right="-7"/>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Oficio de la Directora de Administración y Recursos Humanos, informó que no podía entregar la información toda vez que se encuentran imposibilitados </w:t>
            </w:r>
            <w:r w:rsidRPr="00687729">
              <w:rPr>
                <w:rFonts w:ascii="Palatino Linotype" w:eastAsia="Palatino Linotype" w:hAnsi="Palatino Linotype" w:cs="Palatino Linotype"/>
                <w:i/>
                <w:color w:val="000000" w:themeColor="text1"/>
              </w:rPr>
              <w:lastRenderedPageBreak/>
              <w:t>para otorgar dicha información toda vez que se cuenta con un aviso de privacidad que resguarda la información y fue firmado por las empresas</w:t>
            </w:r>
          </w:p>
        </w:tc>
        <w:tc>
          <w:tcPr>
            <w:tcW w:w="1787" w:type="dxa"/>
          </w:tcPr>
          <w:p w:rsidR="00251F52" w:rsidRPr="00687729" w:rsidRDefault="007F1FB0" w:rsidP="002C2035">
            <w:pPr>
              <w:ind w:right="-7"/>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 xml:space="preserve">No hay respuesta </w:t>
            </w:r>
          </w:p>
        </w:tc>
        <w:tc>
          <w:tcPr>
            <w:tcW w:w="1940" w:type="dxa"/>
          </w:tcPr>
          <w:p w:rsidR="00251F52" w:rsidRPr="00687729" w:rsidRDefault="007F1FB0" w:rsidP="002C2035">
            <w:pPr>
              <w:ind w:right="-7"/>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No colma, toda vez que la información solicitada de conformidad con la Ley de Transparencia y Acceso a la Información Pública del Estado de México </w:t>
            </w:r>
            <w:r w:rsidRPr="00687729">
              <w:rPr>
                <w:rFonts w:ascii="Palatino Linotype" w:eastAsia="Palatino Linotype" w:hAnsi="Palatino Linotype" w:cs="Palatino Linotype"/>
                <w:i/>
                <w:color w:val="000000" w:themeColor="text1"/>
              </w:rPr>
              <w:lastRenderedPageBreak/>
              <w:t xml:space="preserve">y Municipios, forma parte de las obligaciones de transparencia común, situación será materia de análisis en los párrafos siguientes. </w:t>
            </w:r>
          </w:p>
        </w:tc>
      </w:tr>
      <w:tr w:rsidR="002C2035" w:rsidRPr="00687729" w:rsidTr="0025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Borders>
              <w:left w:val="single" w:sz="4" w:space="0" w:color="000000"/>
            </w:tcBorders>
          </w:tcPr>
          <w:p w:rsidR="00251F52" w:rsidRPr="00687729" w:rsidRDefault="007F1FB0" w:rsidP="002C2035">
            <w:pPr>
              <w:ind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 xml:space="preserve">3.- Pólizas de cheques </w:t>
            </w:r>
          </w:p>
          <w:p w:rsidR="00251F52" w:rsidRPr="00687729" w:rsidRDefault="00251F52" w:rsidP="002C2035">
            <w:pPr>
              <w:ind w:right="-7"/>
              <w:rPr>
                <w:rFonts w:ascii="Palatino Linotype" w:eastAsia="Palatino Linotype" w:hAnsi="Palatino Linotype" w:cs="Palatino Linotype"/>
                <w:i/>
                <w:color w:val="000000" w:themeColor="text1"/>
              </w:rPr>
            </w:pPr>
          </w:p>
        </w:tc>
        <w:tc>
          <w:tcPr>
            <w:tcW w:w="1843" w:type="dxa"/>
          </w:tcPr>
          <w:p w:rsidR="00251F52" w:rsidRPr="00687729" w:rsidRDefault="007F1FB0" w:rsidP="002C2035">
            <w:pPr>
              <w:ind w:right="-7"/>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Oficio de la Directora de Administración y Recursos Humanos, informó que no podía entregar la información toda vez que se encuentran imposibilitados para otorgar dicha información toda vez que se cuenta con un aviso de privacidad que resguarda la información y fue firmado por las empresas</w:t>
            </w:r>
          </w:p>
        </w:tc>
        <w:tc>
          <w:tcPr>
            <w:tcW w:w="1787" w:type="dxa"/>
          </w:tcPr>
          <w:p w:rsidR="00251F52" w:rsidRPr="00687729" w:rsidRDefault="007F1FB0" w:rsidP="002C2035">
            <w:pPr>
              <w:ind w:right="-7"/>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No hay respuesta </w:t>
            </w:r>
          </w:p>
        </w:tc>
        <w:tc>
          <w:tcPr>
            <w:tcW w:w="1940" w:type="dxa"/>
          </w:tcPr>
          <w:p w:rsidR="00251F52" w:rsidRPr="00687729" w:rsidRDefault="007F1FB0" w:rsidP="002C2035">
            <w:pPr>
              <w:ind w:right="-7"/>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No colma, toda vez que la información solicitada de conformidad con la Ley de Transparencia y Acceso a la Información Pública del Estado de México y Municipios, forma parte de las obligaciones de transparencia común, situación será materia de </w:t>
            </w:r>
            <w:r w:rsidR="002C2035" w:rsidRPr="00687729">
              <w:rPr>
                <w:rFonts w:ascii="Palatino Linotype" w:eastAsia="Palatino Linotype" w:hAnsi="Palatino Linotype" w:cs="Palatino Linotype"/>
                <w:i/>
                <w:color w:val="000000" w:themeColor="text1"/>
              </w:rPr>
              <w:t>análisis</w:t>
            </w:r>
            <w:r w:rsidRPr="00687729">
              <w:rPr>
                <w:rFonts w:ascii="Palatino Linotype" w:eastAsia="Palatino Linotype" w:hAnsi="Palatino Linotype" w:cs="Palatino Linotype"/>
                <w:i/>
                <w:color w:val="000000" w:themeColor="text1"/>
              </w:rPr>
              <w:t xml:space="preserve"> en los párrafos siguientes. </w:t>
            </w:r>
          </w:p>
        </w:tc>
      </w:tr>
      <w:tr w:rsidR="002C2035" w:rsidRPr="00687729" w:rsidTr="00251F52">
        <w:tc>
          <w:tcPr>
            <w:cnfStyle w:val="001000000000" w:firstRow="0" w:lastRow="0" w:firstColumn="1" w:lastColumn="0" w:oddVBand="0" w:evenVBand="0" w:oddHBand="0" w:evenHBand="0" w:firstRowFirstColumn="0" w:firstRowLastColumn="0" w:lastRowFirstColumn="0" w:lastRowLastColumn="0"/>
            <w:tcW w:w="2635" w:type="dxa"/>
            <w:tcBorders>
              <w:left w:val="single" w:sz="4" w:space="0" w:color="000000"/>
            </w:tcBorders>
          </w:tcPr>
          <w:p w:rsidR="00251F52" w:rsidRPr="00687729" w:rsidRDefault="007F1FB0" w:rsidP="002C2035">
            <w:pPr>
              <w:ind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4.- Expediente completo </w:t>
            </w:r>
          </w:p>
          <w:p w:rsidR="00251F52" w:rsidRPr="00687729" w:rsidRDefault="00251F52" w:rsidP="002C2035">
            <w:pPr>
              <w:ind w:right="-7"/>
              <w:rPr>
                <w:rFonts w:ascii="Palatino Linotype" w:eastAsia="Palatino Linotype" w:hAnsi="Palatino Linotype" w:cs="Palatino Linotype"/>
                <w:i/>
                <w:color w:val="000000" w:themeColor="text1"/>
              </w:rPr>
            </w:pPr>
          </w:p>
        </w:tc>
        <w:tc>
          <w:tcPr>
            <w:tcW w:w="1843" w:type="dxa"/>
          </w:tcPr>
          <w:p w:rsidR="00251F52" w:rsidRPr="00687729" w:rsidRDefault="007F1FB0" w:rsidP="002C2035">
            <w:pPr>
              <w:ind w:right="-7"/>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Oficio de la Directora de Administración y Recursos </w:t>
            </w:r>
            <w:r w:rsidRPr="00687729">
              <w:rPr>
                <w:rFonts w:ascii="Palatino Linotype" w:eastAsia="Palatino Linotype" w:hAnsi="Palatino Linotype" w:cs="Palatino Linotype"/>
                <w:i/>
                <w:color w:val="000000" w:themeColor="text1"/>
              </w:rPr>
              <w:lastRenderedPageBreak/>
              <w:t>Humanos, informó que no podía entregar la información toda vez que se encuentran imposibilitados para otorgar dicha información toda vez que se cuenta con un aviso de privacidad que resguarda la información y fue firmado por las empresas</w:t>
            </w:r>
          </w:p>
        </w:tc>
        <w:tc>
          <w:tcPr>
            <w:tcW w:w="1787" w:type="dxa"/>
          </w:tcPr>
          <w:p w:rsidR="00251F52" w:rsidRPr="00687729" w:rsidRDefault="007F1FB0" w:rsidP="002C2035">
            <w:pPr>
              <w:ind w:right="-7"/>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 xml:space="preserve">No hay respuesta </w:t>
            </w:r>
          </w:p>
        </w:tc>
        <w:tc>
          <w:tcPr>
            <w:tcW w:w="1940" w:type="dxa"/>
          </w:tcPr>
          <w:p w:rsidR="00251F52" w:rsidRPr="00687729" w:rsidRDefault="007F1FB0" w:rsidP="002C2035">
            <w:pPr>
              <w:ind w:right="-7"/>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No colma, toda vez que la información solicitada de </w:t>
            </w:r>
            <w:r w:rsidRPr="00687729">
              <w:rPr>
                <w:rFonts w:ascii="Palatino Linotype" w:eastAsia="Palatino Linotype" w:hAnsi="Palatino Linotype" w:cs="Palatino Linotype"/>
                <w:i/>
                <w:color w:val="000000" w:themeColor="text1"/>
              </w:rPr>
              <w:lastRenderedPageBreak/>
              <w:t xml:space="preserve">conformidad con la Ley de Transparencia y Acceso a la Información Pública del Estado de México y Municipios, forma parte de las obligaciones de transparencia común, situación será materia de </w:t>
            </w:r>
            <w:r w:rsidR="002C2035" w:rsidRPr="00687729">
              <w:rPr>
                <w:rFonts w:ascii="Palatino Linotype" w:eastAsia="Palatino Linotype" w:hAnsi="Palatino Linotype" w:cs="Palatino Linotype"/>
                <w:i/>
                <w:color w:val="000000" w:themeColor="text1"/>
              </w:rPr>
              <w:t>análisis</w:t>
            </w:r>
            <w:r w:rsidRPr="00687729">
              <w:rPr>
                <w:rFonts w:ascii="Palatino Linotype" w:eastAsia="Palatino Linotype" w:hAnsi="Palatino Linotype" w:cs="Palatino Linotype"/>
                <w:i/>
                <w:color w:val="000000" w:themeColor="text1"/>
              </w:rPr>
              <w:t xml:space="preserve"> en los párrafos siguientes. </w:t>
            </w:r>
          </w:p>
        </w:tc>
      </w:tr>
    </w:tbl>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BB144B" w:rsidRDefault="00BB144B" w:rsidP="00BB144B">
      <w:pPr>
        <w:spacing w:line="360" w:lineRule="auto"/>
        <w:ind w:right="-7"/>
        <w:jc w:val="both"/>
        <w:rPr>
          <w:rFonts w:ascii="Palatino Linotype" w:eastAsia="Palatino Linotype" w:hAnsi="Palatino Linotype" w:cs="Palatino Linotype"/>
          <w:color w:val="000000" w:themeColor="text1"/>
        </w:rPr>
      </w:pPr>
    </w:p>
    <w:p w:rsidR="00BB144B" w:rsidRDefault="00BB144B" w:rsidP="00BB144B">
      <w:pPr>
        <w:spacing w:line="360" w:lineRule="auto"/>
        <w:ind w:right="-7"/>
        <w:jc w:val="both"/>
        <w:rPr>
          <w:rFonts w:ascii="Palatino Linotype" w:eastAsia="Palatino Linotype" w:hAnsi="Palatino Linotype" w:cs="Palatino Linotype"/>
          <w:color w:val="000000" w:themeColor="text1"/>
        </w:rPr>
      </w:pPr>
    </w:p>
    <w:p w:rsidR="00BB144B" w:rsidRDefault="00BB144B" w:rsidP="00BB144B">
      <w:pPr>
        <w:spacing w:line="360" w:lineRule="auto"/>
        <w:ind w:right="-7"/>
        <w:jc w:val="both"/>
        <w:rPr>
          <w:rFonts w:ascii="Palatino Linotype" w:eastAsia="Palatino Linotype" w:hAnsi="Palatino Linotype" w:cs="Palatino Linotype"/>
          <w:color w:val="000000" w:themeColor="text1"/>
        </w:rPr>
      </w:pPr>
    </w:p>
    <w:p w:rsidR="00BB144B" w:rsidRDefault="00BB144B" w:rsidP="00BB144B">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se debe de establecer que  el </w:t>
      </w:r>
      <w:r w:rsidRPr="00687729">
        <w:rPr>
          <w:rFonts w:ascii="Palatino Linotype" w:eastAsia="Palatino Linotype" w:hAnsi="Palatino Linotype" w:cs="Palatino Linotype"/>
          <w:b/>
          <w:color w:val="000000" w:themeColor="text1"/>
        </w:rPr>
        <w:t xml:space="preserve">RECURRENTE </w:t>
      </w:r>
      <w:r w:rsidRPr="00687729">
        <w:rPr>
          <w:rFonts w:ascii="Palatino Linotype" w:eastAsia="Palatino Linotype" w:hAnsi="Palatino Linotype" w:cs="Palatino Linotype"/>
          <w:color w:val="000000" w:themeColor="text1"/>
        </w:rPr>
        <w:t xml:space="preserve">al momento de interponer el recurso de revisión no refuto el punto número uno situación por la cual se debe de tener como acto consentido de acuerdo con lo siguiente. </w:t>
      </w:r>
    </w:p>
    <w:p w:rsidR="00251F52" w:rsidRPr="00687729" w:rsidRDefault="00251F52" w:rsidP="002C2035">
      <w:pPr>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En esa línea, se debe de establecer que de la respuesta de la Dirección de Administración y Recursos Humanos, se entiende que acepta contar con la información al referir que no se puede ser entregada, toda vez que cuenta con avisos de privacidad entre las empresas.</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se debe de precisar que la información solicitada guarda relación con los procedimientos de adquisiciones, mismo que se analizan a continuación. </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 xml:space="preserve">Ahora bien, como la información de solicitud de información recae en temas de adquisiciones de bienes es que se analiza lo siguiente. </w:t>
      </w:r>
    </w:p>
    <w:p w:rsidR="00251F52" w:rsidRPr="00687729" w:rsidRDefault="00251F52" w:rsidP="002C2035">
      <w:pPr>
        <w:pBdr>
          <w:top w:val="nil"/>
          <w:left w:val="nil"/>
          <w:bottom w:val="nil"/>
          <w:right w:val="nil"/>
          <w:between w:val="nil"/>
        </w:pBdr>
        <w:ind w:left="708"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Una vez que se señaló la fuente obligacional y los hechos notorios del porque 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debe de contar con la información solicitada, también se debe de referir  que lo solicitado tiene carácter de información pública de oficio de acuerdo con el artículo 92 de la Ley de Transparencia y Acceso a la Información Pública del</w:t>
      </w:r>
      <w:r w:rsidR="002C2035" w:rsidRPr="00687729">
        <w:rPr>
          <w:rFonts w:ascii="Palatino Linotype" w:eastAsia="Palatino Linotype" w:hAnsi="Palatino Linotype" w:cs="Palatino Linotype"/>
          <w:color w:val="000000" w:themeColor="text1"/>
        </w:rPr>
        <w:t xml:space="preserve"> Estado de México y Municipios:</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 a) De licitaciones públicas o procedimientos de invitación restringida: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 La convocatoria o invitación emitida, así como los fundamentos legales aplicados para llevarla a cabo;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2) Los nombres de los participantes o invitados;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3) El nombre del ganador y las razones que lo justifican;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4) El área solicitante y la responsable de su ejecución;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5) Las convocatorias e invitaciones emitidas;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6) Los dictámenes y fallo de adjudicación;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7) El contrato y, en su caso, sus anexos;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8) Los mecanismos de vigilancia y supervisión, incluyendo en su caso, los estudios de impacto urbano y ambiental, según corresponda;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9) La partida presupuestal, de conformidad con el clasificador por objeto del gasto, en el caso de ser aplicable;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 xml:space="preserve">10) Origen de los recursos especificando si son federales, estatales o municipales, así como el tipo de fondo de participación o aportación respectiva; 11) Los convenios modificatorios que, en su caso, sean firmados, precisando el objeto y la fecha de celebración;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12) Los informes de avance físico y financiero sobre las obras o servicios contratados;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13) El convenio de terminación; y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14) El finiquito.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b) De las adjudicaciones directas</w:t>
      </w:r>
      <w:r w:rsidRPr="00687729">
        <w:rPr>
          <w:rFonts w:ascii="Palatino Linotype" w:eastAsia="Palatino Linotype" w:hAnsi="Palatino Linotype" w:cs="Palatino Linotype"/>
          <w:i/>
          <w:color w:val="000000" w:themeColor="text1"/>
        </w:rPr>
        <w:t xml:space="preserve">: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 La propuesta enviada por el participante;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2) Los motivos y fundamentos legales aplicados para llevarla a cabo;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3) La autorización del ejercicio de la opción;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4) En su caso, las cotizaciones consideradas, especificando los nombres de los proveedores y sus montos;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5) El nombre de la persona física o jurídica colectiva adjudicada;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6) La unidad administrativa solicitante y la responsable de su ejecución;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7) El número, fecha, el monto del contrato y el plazo de entrega o de ejecución de los servicios u obra</w:t>
      </w:r>
      <w:r w:rsidRPr="00687729">
        <w:rPr>
          <w:rFonts w:ascii="Palatino Linotype" w:eastAsia="Palatino Linotype" w:hAnsi="Palatino Linotype" w:cs="Palatino Linotype"/>
          <w:i/>
          <w:color w:val="000000" w:themeColor="text1"/>
        </w:rPr>
        <w:t xml:space="preserve">;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8) Los mecanismos de vigilancia y supervisión, incluyendo, en su caso, los estudios de impacto urbano y ambiental, según corresponda;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9) Los informes de avance sobre las obras o servicios contratados;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10) El convenio de terminación; y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11) El finiquito.</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XXXIV. Las estadísticas que generen en cumplimiento de sus facultades, competencias o funciones con la mayor desagregación posible;</w:t>
      </w: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 </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se establece la razón por la cual no se puede tener por validada la respuesta del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 xml:space="preserve">por medio de la Dirección de Administración y Recursos Humanos, al referir que están imposibilitados por los avisos de privacidad firmados con las empresas.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 xml:space="preserve">En esa línea de estudio, es necesario analizar que los procedimientos de adquisiciones pueden realizarse por medio de adquisiciones y licitaciones mismas que se analizan a continuación. </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En ese sentido, la Ley de la  Contratación Pública del Estado de México y Municipios, tiene por objeto regular los actos relativos a la planeación, programación, presupuestación, ejecución y control de las obras públicas de los  Ayuntamientos del Estado; los cuales </w:t>
      </w:r>
      <w:r w:rsidRPr="00687729">
        <w:rPr>
          <w:rFonts w:ascii="Palatino Linotype" w:eastAsia="Palatino Linotype" w:hAnsi="Palatino Linotype" w:cs="Palatino Linotype"/>
          <w:b/>
          <w:color w:val="000000" w:themeColor="text1"/>
        </w:rPr>
        <w:t>se adjudicará a través de licitaciones públicas, invitación restringida o adjudicación directa</w:t>
      </w:r>
      <w:r w:rsidRPr="00687729">
        <w:rPr>
          <w:rFonts w:ascii="Palatino Linotype" w:eastAsia="Palatino Linotype" w:hAnsi="Palatino Linotype" w:cs="Palatino Linotype"/>
          <w:color w:val="000000" w:themeColor="text1"/>
        </w:rPr>
        <w:t>, mediante convocatoria pública, tal y como lo establecen los artículos 4, 26 y 27 de dicha Ley, los cuales son del tenor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r w:rsidRPr="00687729">
        <w:rPr>
          <w:rFonts w:ascii="Palatino Linotype" w:eastAsia="Palatino Linotype" w:hAnsi="Palatino Linotype" w:cs="Palatino Linotype"/>
          <w:b/>
          <w:i/>
          <w:color w:val="000000" w:themeColor="text1"/>
        </w:rPr>
        <w:t>Artículo 4.-</w:t>
      </w:r>
      <w:r w:rsidRPr="00687729">
        <w:rPr>
          <w:rFonts w:ascii="Palatino Linotype" w:eastAsia="Palatino Linotype" w:hAnsi="Palatino Linotype" w:cs="Palatino Linotype"/>
          <w:i/>
          <w:color w:val="000000" w:themeColor="text1"/>
        </w:rPr>
        <w:t xml:space="preserve"> Para los efectos de esta Ley, en las adquisiciones, enajenaciones, arrendamientos y servicios, quedan comprendidos: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 La adquisición de bienes muebles.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 La adquisición de bienes inmuebles, a través de compraventa.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III. La enajenación de bienes muebles e inmuebles.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IV. El arrendamiento de bienes muebles e inmuebles.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 La contratación de los servicios, relacionados con bienes muebles que se encuentran incorporados o adheridos a bienes inmuebles, cuya instalación o mantenimiento no implique modificación al bien inmueble. </w:t>
      </w:r>
    </w:p>
    <w:p w:rsidR="00251F52" w:rsidRPr="00687729" w:rsidRDefault="007F1FB0" w:rsidP="002C2035">
      <w:pPr>
        <w:ind w:left="1134" w:right="-7"/>
        <w:jc w:val="both"/>
        <w:rPr>
          <w:rFonts w:ascii="Palatino Linotype" w:eastAsia="Palatino Linotype" w:hAnsi="Palatino Linotype" w:cs="Palatino Linotype"/>
          <w:b/>
          <w:i/>
          <w:color w:val="000000" w:themeColor="text1"/>
          <w:u w:val="single"/>
        </w:rPr>
      </w:pPr>
      <w:r w:rsidRPr="00687729">
        <w:rPr>
          <w:rFonts w:ascii="Palatino Linotype" w:eastAsia="Palatino Linotype" w:hAnsi="Palatino Linotype" w:cs="Palatino Linotype"/>
          <w:b/>
          <w:i/>
          <w:color w:val="000000" w:themeColor="text1"/>
          <w:u w:val="single"/>
        </w:rPr>
        <w:t xml:space="preserve">VI. La contratación de los servicios de reconstrucción y mantenimiento de bienes muebles.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u w:val="single"/>
        </w:rPr>
        <w:t xml:space="preserve">VII. La contratación de los servicios </w:t>
      </w:r>
      <w:r w:rsidRPr="00687729">
        <w:rPr>
          <w:rFonts w:ascii="Palatino Linotype" w:eastAsia="Palatino Linotype" w:hAnsi="Palatino Linotype" w:cs="Palatino Linotype"/>
          <w:i/>
          <w:color w:val="000000" w:themeColor="text1"/>
        </w:rPr>
        <w:t>de maquila, seguros y transportación, así como de los de limpieza y vigilancia de bienes inmuebles</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VIII. La prestación de servicios profesionales, la contratación de consultorías, asesorías y estudios e investigaciones, excepto la contratación de servicios personales de personas físicas bajo el régimen de honorarios. </w:t>
      </w:r>
    </w:p>
    <w:p w:rsidR="00251F52" w:rsidRPr="00687729" w:rsidRDefault="007F1FB0" w:rsidP="002C2035">
      <w:pPr>
        <w:ind w:left="1134" w:right="-7"/>
        <w:jc w:val="both"/>
        <w:rPr>
          <w:rFonts w:ascii="Palatino Linotype" w:eastAsia="Palatino Linotype" w:hAnsi="Palatino Linotype" w:cs="Palatino Linotype"/>
          <w:b/>
          <w:i/>
          <w:color w:val="000000" w:themeColor="text1"/>
          <w:u w:val="single"/>
        </w:rPr>
      </w:pPr>
      <w:r w:rsidRPr="00687729">
        <w:rPr>
          <w:rFonts w:ascii="Palatino Linotype" w:eastAsia="Palatino Linotype" w:hAnsi="Palatino Linotype" w:cs="Palatino Linotype"/>
          <w:b/>
          <w:i/>
          <w:color w:val="000000" w:themeColor="text1"/>
          <w:u w:val="single"/>
        </w:rPr>
        <w:t>En general, otros actos que impliquen la contratación de servicios de cualquier naturaleza.</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Artículo 26.- Las adquisiciones, arrendamientos y servicios se adjudicarán a través de licitaciones públicas, mediante convocatoria pública.</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lastRenderedPageBreak/>
        <w:t xml:space="preserve">Artículo 27.- </w:t>
      </w:r>
      <w:r w:rsidRPr="00687729">
        <w:rPr>
          <w:rFonts w:ascii="Palatino Linotype" w:eastAsia="Palatino Linotype" w:hAnsi="Palatino Linotype" w:cs="Palatino Linotype"/>
          <w:i/>
          <w:color w:val="000000" w:themeColor="text1"/>
        </w:rPr>
        <w:t>La Oficialía Mayor, las entidades, los tribunales administrativos y los ayuntamientos podrán adjudicar adquisiciones, arrendamientos y servicios, mediante las excepciones al procedimiento de licitación que a continuación se señalan:</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I. Invitación restringida. </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II. Adjudicación directa.”</w:t>
      </w:r>
    </w:p>
    <w:p w:rsidR="00251F52" w:rsidRPr="00687729" w:rsidRDefault="007F1FB0" w:rsidP="002C2035">
      <w:pPr>
        <w:ind w:left="1134"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(Énfasis añadido)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Ahora bien, el artículo 48 de la Ley de Contratación Pública del Estado de México y Municipios, contempla las siguientes etapas para la </w:t>
      </w:r>
      <w:r w:rsidRPr="00687729">
        <w:rPr>
          <w:rFonts w:ascii="Palatino Linotype" w:eastAsia="Palatino Linotype" w:hAnsi="Palatino Linotype" w:cs="Palatino Linotype"/>
          <w:b/>
          <w:color w:val="000000" w:themeColor="text1"/>
        </w:rPr>
        <w:t xml:space="preserve">adjudicación directa. </w:t>
      </w:r>
    </w:p>
    <w:p w:rsidR="00251F52" w:rsidRPr="00687729" w:rsidRDefault="007F1FB0" w:rsidP="002C2035">
      <w:pP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Artículo 48.-</w:t>
      </w:r>
      <w:r w:rsidRPr="00687729">
        <w:rPr>
          <w:rFonts w:ascii="Palatino Linotype" w:eastAsia="Palatino Linotype" w:hAnsi="Palatino Linotype" w:cs="Palatino Linotype"/>
          <w:i/>
          <w:color w:val="000000" w:themeColor="text1"/>
        </w:rPr>
        <w:t xml:space="preserve"> La Oficialía Mayor, las entidades, los tribunales administrativos y </w:t>
      </w:r>
      <w:r w:rsidRPr="00687729">
        <w:rPr>
          <w:rFonts w:ascii="Palatino Linotype" w:eastAsia="Palatino Linotype" w:hAnsi="Palatino Linotype" w:cs="Palatino Linotype"/>
          <w:b/>
          <w:i/>
          <w:color w:val="000000" w:themeColor="text1"/>
        </w:rPr>
        <w:t>los ayuntamientos</w:t>
      </w:r>
      <w:r w:rsidRPr="00687729">
        <w:rPr>
          <w:rFonts w:ascii="Palatino Linotype" w:eastAsia="Palatino Linotype" w:hAnsi="Palatino Linotype" w:cs="Palatino Linotype"/>
          <w:i/>
          <w:color w:val="000000" w:themeColor="text1"/>
        </w:rPr>
        <w:t xml:space="preserve"> podrán adquirir bienes, arrendar bienes muebles e inmuebles y contratar servicios, mediante adjudicación directa, cuando: </w:t>
      </w:r>
    </w:p>
    <w:p w:rsidR="00251F52" w:rsidRPr="00687729" w:rsidRDefault="007F1FB0" w:rsidP="002C2035">
      <w:pPr>
        <w:numPr>
          <w:ilvl w:val="1"/>
          <w:numId w:val="4"/>
        </w:numPr>
        <w:pBdr>
          <w:top w:val="nil"/>
          <w:left w:val="nil"/>
          <w:bottom w:val="nil"/>
          <w:right w:val="nil"/>
          <w:between w:val="nil"/>
        </w:pBdr>
        <w:tabs>
          <w:tab w:val="left" w:pos="284"/>
        </w:tabs>
        <w:ind w:left="1134" w:right="-7" w:firstLine="0"/>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La adquisición o el servicio sólo puedan realizarse con una determinada persona, por tratarse de obras de arte, titularidad de patentes, registros, marcas específicas, derechos de autor u otros derechos exclusivos.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 Existan circunstancias que puedan provocar pérdidas o costos adicionales importantes al erario.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VI. Pueda comprometerse información de naturaleza confidencial para el Estado o municipios, por razones de seguridad pública.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 xml:space="preserve">VII. Existan circunstancias extraordinarias o imprevisibles derivadas de riesgo o desastre. En este supuesto, la adquisición, arrendamiento y servicio deberá limitarse a lo estrictamente necesario para enfrentar tal eventualidad.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VIII. Se hubiere rescindido un contrato, por causas imputables al proveedor o que la persona que habiendo resultado ganadora en una licitación, no concurra a la suscripción del contrato dentro del plazo establecido en esta Ley. En estos supuestos, la Oficialía Mayor,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IX. Se hubiere declarado desierto un procedimiento de invitación restringida.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X. Cuando se aseguren condiciones financieras que permitan al Estado o a los municipios cumplir con la obligación de pago de manera diferida, sin que ello implique un costo financiero adicional o que habiéndolo, sea inferior al del mercado, o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w:t>
      </w:r>
    </w:p>
    <w:p w:rsidR="00251F52" w:rsidRPr="00687729" w:rsidRDefault="007F1FB0" w:rsidP="002C2035">
      <w:pPr>
        <w:pBdr>
          <w:top w:val="nil"/>
          <w:left w:val="nil"/>
          <w:bottom w:val="nil"/>
          <w:right w:val="nil"/>
          <w:between w:val="nil"/>
        </w:pBdr>
        <w:tabs>
          <w:tab w:val="left" w:pos="284"/>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Artículo 49.-</w:t>
      </w:r>
      <w:r w:rsidRPr="00687729">
        <w:rPr>
          <w:rFonts w:ascii="Palatino Linotype" w:eastAsia="Palatino Linotype" w:hAnsi="Palatino Linotype" w:cs="Palatino Linotype"/>
          <w:i/>
          <w:color w:val="000000" w:themeColor="text1"/>
        </w:rPr>
        <w:t xml:space="preserve"> El procedimiento de adjudicación directa se substanciará con arreglo a el reglamento de esta Ley. </w:t>
      </w:r>
    </w:p>
    <w:p w:rsidR="00251F52" w:rsidRPr="00687729" w:rsidRDefault="00251F52" w:rsidP="002C2035">
      <w:pPr>
        <w:tabs>
          <w:tab w:val="left" w:pos="284"/>
        </w:tabs>
        <w:ind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En esa línea de estudio, de conformidad con el Reglamento de la Ley de Contratación Pública del Estado de México y Municipios, regula que por Adjudicación Di</w:t>
      </w:r>
      <w:r w:rsidR="009745D3" w:rsidRPr="00687729">
        <w:rPr>
          <w:rFonts w:ascii="Palatino Linotype" w:eastAsia="Palatino Linotype" w:hAnsi="Palatino Linotype" w:cs="Palatino Linotype"/>
          <w:color w:val="000000" w:themeColor="text1"/>
        </w:rPr>
        <w:t>recta se entiende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 xml:space="preserve">Artículo 2.- Para los efectos de este Reglamento, se entenderá por: </w:t>
      </w:r>
    </w:p>
    <w:p w:rsidR="00251F52" w:rsidRPr="00687729" w:rsidRDefault="007F1FB0" w:rsidP="002C2035">
      <w:pPr>
        <w:numPr>
          <w:ilvl w:val="0"/>
          <w:numId w:val="5"/>
        </w:numPr>
        <w:pBdr>
          <w:top w:val="nil"/>
          <w:left w:val="nil"/>
          <w:bottom w:val="nil"/>
          <w:right w:val="nil"/>
          <w:between w:val="nil"/>
        </w:pBdr>
        <w:ind w:left="1134" w:right="-7" w:firstLine="0"/>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Adjudicación directa:</w:t>
      </w:r>
      <w:r w:rsidRPr="00687729">
        <w:rPr>
          <w:rFonts w:ascii="Palatino Linotype" w:eastAsia="Palatino Linotype" w:hAnsi="Palatino Linotype" w:cs="Palatino Linotype"/>
          <w:i/>
          <w:color w:val="000000" w:themeColor="text1"/>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rsidR="00251F52" w:rsidRPr="00687729" w:rsidRDefault="00251F52" w:rsidP="002C2035">
      <w:pPr>
        <w:pBdr>
          <w:top w:val="nil"/>
          <w:left w:val="nil"/>
          <w:bottom w:val="nil"/>
          <w:right w:val="nil"/>
          <w:between w:val="nil"/>
        </w:pBdr>
        <w:ind w:left="185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se colige que el área convocante es quien designa al proveedor de bienes, arrendador, comprador o prestador del servicio con base en las mejores condiciones en cuanto a precio, calidad y financiamiento.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Seguidamente el artículo 93 del Reglamento de la Ley de Contratación Pública del Estado de México y Municipios, regula que los municipios solicitarán al Comité de Adquisiciones el dictamen de procedencia del procedimiento de adjudicación, en el que se acredite previamente lo siguiente.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 xml:space="preserve">Artículo 93.- </w:t>
      </w:r>
      <w:r w:rsidRPr="00687729">
        <w:rPr>
          <w:rFonts w:ascii="Palatino Linotype" w:eastAsia="Palatino Linotype" w:hAnsi="Palatino Linotype" w:cs="Palatino Linotype"/>
          <w:i/>
          <w:color w:val="000000" w:themeColor="text1"/>
        </w:rPr>
        <w:t xml:space="preserve">La Secretaría, organismos auxiliares, tribunales administrativos y municipios, solicitarán al comité el dictamen de procedencia del procedimiento de adjudicación directa, acreditando previamente: </w:t>
      </w:r>
    </w:p>
    <w:p w:rsidR="00251F52" w:rsidRPr="00687729" w:rsidRDefault="007F1FB0" w:rsidP="002C2035">
      <w:pPr>
        <w:numPr>
          <w:ilvl w:val="0"/>
          <w:numId w:val="6"/>
        </w:numPr>
        <w:pBdr>
          <w:top w:val="nil"/>
          <w:left w:val="nil"/>
          <w:bottom w:val="nil"/>
          <w:right w:val="nil"/>
          <w:between w:val="nil"/>
        </w:pBdr>
        <w:ind w:left="1134" w:right="-7" w:firstLine="0"/>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La descripción general de los bienes a adquirir o el servicio a contratar;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 La justificación o conveniencia de llevar a cabo la adjudicación directa; y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III. Certificación de suficiencia presupuestaria. </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i/>
          <w:color w:val="000000" w:themeColor="text1"/>
        </w:rPr>
        <w:t xml:space="preserve">El oficio justificatorio a que se refiere la fracción II, </w:t>
      </w:r>
      <w:r w:rsidRPr="00687729">
        <w:rPr>
          <w:rFonts w:ascii="Palatino Linotype" w:eastAsia="Palatino Linotype" w:hAnsi="Palatino Linotype" w:cs="Palatino Linotype"/>
          <w:b/>
          <w:i/>
          <w:color w:val="000000" w:themeColor="text1"/>
        </w:rPr>
        <w:t xml:space="preserve">deberá formularse por el titular de la unidad administrativa interesada en la adquisición de los bienes, la contratación de servicios o el arrendamiento. </w:t>
      </w:r>
    </w:p>
    <w:p w:rsidR="00251F52" w:rsidRPr="00687729" w:rsidRDefault="00251F52" w:rsidP="002C2035">
      <w:pPr>
        <w:ind w:left="1134" w:right="-7"/>
        <w:jc w:val="both"/>
        <w:rPr>
          <w:rFonts w:ascii="Palatino Linotype" w:eastAsia="Palatino Linotype" w:hAnsi="Palatino Linotype" w:cs="Palatino Linotype"/>
          <w:i/>
          <w:color w:val="000000" w:themeColor="text1"/>
        </w:rPr>
      </w:pPr>
    </w:p>
    <w:p w:rsidR="009745D3" w:rsidRPr="00687729" w:rsidRDefault="009745D3" w:rsidP="002C2035">
      <w:pPr>
        <w:ind w:left="113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se contempla que dentro de la información que se encuentra en el expediente aperturado por el procedimiento de adjudicación directa se encuentra las descripción general de los </w:t>
      </w:r>
      <w:r w:rsidRPr="00687729">
        <w:rPr>
          <w:rFonts w:ascii="Palatino Linotype" w:eastAsia="Palatino Linotype" w:hAnsi="Palatino Linotype" w:cs="Palatino Linotype"/>
          <w:b/>
          <w:color w:val="000000" w:themeColor="text1"/>
        </w:rPr>
        <w:t>bienes a adquirir o servicios a contratar</w:t>
      </w:r>
      <w:r w:rsidRPr="00687729">
        <w:rPr>
          <w:rFonts w:ascii="Palatino Linotype" w:eastAsia="Palatino Linotype" w:hAnsi="Palatino Linotype" w:cs="Palatino Linotype"/>
          <w:color w:val="000000" w:themeColor="text1"/>
        </w:rPr>
        <w:t xml:space="preserve">, la justificación o </w:t>
      </w:r>
      <w:r w:rsidRPr="00687729">
        <w:rPr>
          <w:rFonts w:ascii="Palatino Linotype" w:eastAsia="Palatino Linotype" w:hAnsi="Palatino Linotype" w:cs="Palatino Linotype"/>
          <w:color w:val="000000" w:themeColor="text1"/>
        </w:rPr>
        <w:lastRenderedPageBreak/>
        <w:t xml:space="preserve">conveniencia de llevar a cabo la adjudicación directa, la certificación de suficiencia presupuestaria y el oficio justificatorio que debe de formular el titular de la unidad administrativa interesada en la adquisiciones de los bienes, de servicios o arrendamientos.  </w:t>
      </w:r>
    </w:p>
    <w:p w:rsidR="00251F52" w:rsidRPr="00687729" w:rsidRDefault="00251F52" w:rsidP="002C2035">
      <w:pPr>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Seguidamente tal y como se precisó en párrafos anteriores  la información solicitada es considerada información pública que debe encontrarse en la página del IPOMEX del </w:t>
      </w:r>
      <w:r w:rsidRPr="00687729">
        <w:rPr>
          <w:rFonts w:ascii="Palatino Linotype" w:eastAsia="Palatino Linotype" w:hAnsi="Palatino Linotype" w:cs="Palatino Linotype"/>
          <w:b/>
          <w:color w:val="000000" w:themeColor="text1"/>
        </w:rPr>
        <w:t>SUJETO OBLIGADO, situación por la cual se señala en particular que de acuerdo con la Ley De Transparencia y Acceso a la Información Pública del Estado de México y Municipios los documentos que integran al procedimiento de adjudicac</w:t>
      </w:r>
      <w:r w:rsidR="009745D3" w:rsidRPr="00687729">
        <w:rPr>
          <w:rFonts w:ascii="Palatino Linotype" w:eastAsia="Palatino Linotype" w:hAnsi="Palatino Linotype" w:cs="Palatino Linotype"/>
          <w:b/>
          <w:color w:val="000000" w:themeColor="text1"/>
        </w:rPr>
        <w:t>ión directa son los siguientes:</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Artículo 92.</w:t>
      </w:r>
      <w:r w:rsidRPr="00687729">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b) De las adjudicaciones directas: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1) La propuesta enviada por el participante;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2) Los motivos y fundamentos legales aplicados para llevarla a cabo;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3) La autorización del ejercicio de la opción;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4) En su caso, las cotizaciones consideradas, especificando los nombres de los proveedores y sus montos;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5) El nombre de la persona física o jurídica colectiva adjudicada;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6) La unidad administrativa solicitante y la responsable de su ejecución;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7) El número, fecha, el monto del contrato y el plazo de entrega o de ejecución de los servicios u obra;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8) Los mecanismos de vigilancia y supervisión, incluyendo, en su caso, los estudios de impacto urbano y ambiental, según corresponda;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9) Los informes de avance sobre las obras o servicios contratados;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10) El convenio de terminación; y </w:t>
      </w:r>
    </w:p>
    <w:p w:rsidR="00251F52" w:rsidRPr="00687729" w:rsidRDefault="007F1FB0" w:rsidP="002C2035">
      <w:pPr>
        <w:pBdr>
          <w:top w:val="nil"/>
          <w:left w:val="nil"/>
          <w:bottom w:val="nil"/>
          <w:right w:val="nil"/>
          <w:between w:val="nil"/>
        </w:pBd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11) El finiquito.</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 xml:space="preserve">Ahora bien, respecto al procedimiento de </w:t>
      </w:r>
      <w:r w:rsidRPr="00687729">
        <w:rPr>
          <w:rFonts w:ascii="Palatino Linotype" w:eastAsia="Palatino Linotype" w:hAnsi="Palatino Linotype" w:cs="Palatino Linotype"/>
          <w:b/>
          <w:i/>
          <w:color w:val="000000" w:themeColor="text1"/>
          <w:u w:val="single"/>
        </w:rPr>
        <w:t>licitación pública</w:t>
      </w:r>
      <w:r w:rsidRPr="00687729">
        <w:rPr>
          <w:rFonts w:ascii="Palatino Linotype" w:eastAsia="Palatino Linotype" w:hAnsi="Palatino Linotype" w:cs="Palatino Linotype"/>
          <w:color w:val="000000" w:themeColor="text1"/>
        </w:rPr>
        <w:t xml:space="preserve">, es de mencionar que de acuerdo con el Banco Interamericano de Desarrollo, la licitación es un procedimiento formal y competitivo de adquisiciones, mediante el cual se solicitan, reciben y evalúan ofertas para la adquisición de </w:t>
      </w:r>
      <w:r w:rsidRPr="00687729">
        <w:rPr>
          <w:rFonts w:ascii="Palatino Linotype" w:eastAsia="Palatino Linotype" w:hAnsi="Palatino Linotype" w:cs="Palatino Linotype"/>
          <w:b/>
          <w:i/>
          <w:color w:val="000000" w:themeColor="text1"/>
          <w:u w:val="single"/>
        </w:rPr>
        <w:t>bienes</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b/>
          <w:i/>
          <w:color w:val="000000" w:themeColor="text1"/>
          <w:u w:val="single"/>
        </w:rPr>
        <w:t>obras o servicios</w:t>
      </w:r>
      <w:r w:rsidRPr="00687729">
        <w:rPr>
          <w:rFonts w:ascii="Palatino Linotype" w:eastAsia="Palatino Linotype" w:hAnsi="Palatino Linotype" w:cs="Palatino Linotype"/>
          <w:color w:val="000000" w:themeColor="text1"/>
        </w:rPr>
        <w:t xml:space="preserve"> y se adjudica el contrato correspondiente al licitador que ofrezca la propuesta más ventajosa. (Desarrollo, 1995)</w:t>
      </w:r>
    </w:p>
    <w:p w:rsidR="00251F52" w:rsidRPr="00687729" w:rsidRDefault="00251F52" w:rsidP="002C2035">
      <w:pP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artículo 23 de la Ley de Contratación Pública del Estado de México y Municipios, establece que los Comités de Adquisiciones y Servicios, tendrán las siguientes funciones.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Artículo 23.- Los comités de adquisiciones y de servicios tendrán las funciones siguientes: </w:t>
      </w:r>
    </w:p>
    <w:p w:rsidR="00251F52" w:rsidRPr="00687729" w:rsidRDefault="007F1FB0" w:rsidP="002C2035">
      <w:pPr>
        <w:numPr>
          <w:ilvl w:val="0"/>
          <w:numId w:val="8"/>
        </w:numPr>
        <w:ind w:left="1134" w:right="-7" w:firstLine="0"/>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Dictaminar sobre la procedencia de los casos de excepción al procedimiento de licitación pública. </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II. Participar en los procedimientos de licitación, invitación restringida y adjudicación directa, hasta dejarlos en estado de dictar el fallo correspondiente, incluidos los que tengan que desahogarse bajo la modalidad de subasta inversa.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III. Emitir los dictámenes de adjudicación.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IV. Las demás que establezca el reglamento de esta Ley.</w:t>
      </w:r>
    </w:p>
    <w:p w:rsidR="00251F52" w:rsidRPr="00687729" w:rsidRDefault="00251F52" w:rsidP="002C2035">
      <w:pPr>
        <w:ind w:left="113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En esa línea de estudio, el artículo 35 de la Ley de Contratación Pública del Estado de México y Municipios, establece que el procedimiento que sigue la lici</w:t>
      </w:r>
      <w:r w:rsidR="009745D3" w:rsidRPr="00687729">
        <w:rPr>
          <w:rFonts w:ascii="Palatino Linotype" w:eastAsia="Palatino Linotype" w:hAnsi="Palatino Linotype" w:cs="Palatino Linotype"/>
          <w:color w:val="000000" w:themeColor="text1"/>
        </w:rPr>
        <w:t>tación pública es el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Artículo 35.-</w:t>
      </w:r>
      <w:r w:rsidRPr="00687729">
        <w:rPr>
          <w:rFonts w:ascii="Palatino Linotype" w:eastAsia="Palatino Linotype" w:hAnsi="Palatino Linotype" w:cs="Palatino Linotype"/>
          <w:i/>
          <w:color w:val="000000" w:themeColor="text1"/>
        </w:rPr>
        <w:t xml:space="preserve"> En los procedimientos de licitación pública se observará lo siguiente: </w:t>
      </w:r>
    </w:p>
    <w:p w:rsidR="00251F52" w:rsidRPr="00687729" w:rsidRDefault="007F1FB0" w:rsidP="002C2035">
      <w:pPr>
        <w:numPr>
          <w:ilvl w:val="0"/>
          <w:numId w:val="2"/>
        </w:numPr>
        <w:ind w:left="1134" w:right="-7" w:firstLine="0"/>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El acto de presentación y apertura de propuestas se llevará a cabo por el servidor público que designe la convocante, conforme al procedimiento que se establezca en el reglamento de esta Ley.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 xml:space="preserve">II. El comité de adquisiciones y servicios evaluará y analizará las propuestas técnicas y económicas presentadas por los licitantes en el ámbito de las respectivas competencias de sus integrantes, y emitirá el dictamen de adjudicación.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III. Las bases de licitación se pondrán a la venta a partir de la fecha de publicación de la convocatoria y hasta el día hábil anterior a la fecha de celebración de la junta de aclaraciones o, en su defecto, del acto de presentación y apertura de propuestas.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IV. Las convocantes podrán modificar los plazos y términos establecidos en la convocatoria o en las bases de licitación, hasta cinco días hábiles anteriores a la fecha de la celebración del acto de presentación y apertura de propuestas.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 Las modificaciones no podrán limitar el número de licitantes, sustituir o variar sustancialmente los bienes o servicios convocados originalmente, ni adicionar otros distintos.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VI. Las modificaciones a la convocatoria o a las bases se harán del conocimiento de los interesados hasta tres días hábiles antes de la fecha señalada para el acto de presentación y apertura de propuestas.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VII. Se emitirá el fallo dentro de los 15 días hábiles siguientes a la publicación de la convocatoria.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VIII. Los licitantes se podrán registrar hasta el día y la hora fijados para el acto de presentación y apertura de propuestas.</w:t>
      </w:r>
    </w:p>
    <w:p w:rsidR="00251F52" w:rsidRPr="00687729" w:rsidRDefault="00251F52" w:rsidP="002C2035">
      <w:pPr>
        <w:spacing w:line="360" w:lineRule="auto"/>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Seguidamente el artículo 39 de la Ley de Contratación Pública del Estado de México y Municipios, regula que cada uno de los actos del procedimiento adquisitivo se levantará el acta respectiva, la cual será firmada por los participantes. </w:t>
      </w:r>
    </w:p>
    <w:p w:rsidR="00251F52" w:rsidRPr="00687729" w:rsidRDefault="00251F52" w:rsidP="002C2035">
      <w:pPr>
        <w:spacing w:line="360" w:lineRule="auto"/>
        <w:ind w:right="-7"/>
        <w:jc w:val="center"/>
        <w:rPr>
          <w:rFonts w:ascii="Palatino Linotype" w:eastAsia="Palatino Linotype" w:hAnsi="Palatino Linotype" w:cs="Palatino Linotype"/>
          <w:color w:val="000000" w:themeColor="text1"/>
        </w:rPr>
      </w:pPr>
    </w:p>
    <w:p w:rsidR="009745D3"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Ahora bien, como se mencionó en párrafos anteriores la información solicitada por el </w:t>
      </w:r>
      <w:r w:rsidRPr="00687729">
        <w:rPr>
          <w:rFonts w:ascii="Palatino Linotype" w:eastAsia="Palatino Linotype" w:hAnsi="Palatino Linotype" w:cs="Palatino Linotype"/>
          <w:b/>
          <w:color w:val="000000" w:themeColor="text1"/>
        </w:rPr>
        <w:t xml:space="preserve">RECURRENTE </w:t>
      </w:r>
      <w:r w:rsidRPr="00687729">
        <w:rPr>
          <w:rFonts w:ascii="Palatino Linotype" w:eastAsia="Palatino Linotype" w:hAnsi="Palatino Linotype" w:cs="Palatino Linotype"/>
          <w:color w:val="000000" w:themeColor="text1"/>
        </w:rPr>
        <w:t>forma parte de las obligaciones de transparencia común, situación por la cual de conformidad con el artículo 92 de la Ley de Transparencia y Acceso a la Información Pública del Estado de México,  establece que los documentos de consulta de las licitaciones públicas e invitación</w:t>
      </w:r>
      <w:r w:rsidR="009745D3" w:rsidRPr="00687729">
        <w:rPr>
          <w:rFonts w:ascii="Palatino Linotype" w:eastAsia="Palatino Linotype" w:hAnsi="Palatino Linotype" w:cs="Palatino Linotype"/>
          <w:color w:val="000000" w:themeColor="text1"/>
        </w:rPr>
        <w:t xml:space="preserve"> restringida son los siguientes:</w:t>
      </w:r>
    </w:p>
    <w:p w:rsidR="00251F52" w:rsidRPr="00687729" w:rsidRDefault="007F1FB0" w:rsidP="009745D3">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 </w:t>
      </w:r>
    </w:p>
    <w:p w:rsidR="00251F52" w:rsidRPr="00687729" w:rsidRDefault="007F1FB0" w:rsidP="002C2035">
      <w:pPr>
        <w:ind w:left="1134"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i/>
          <w:color w:val="000000" w:themeColor="text1"/>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687729">
        <w:rPr>
          <w:rFonts w:ascii="Palatino Linotype" w:eastAsia="Palatino Linotype" w:hAnsi="Palatino Linotype" w:cs="Palatino Linotype"/>
          <w:color w:val="000000" w:themeColor="text1"/>
        </w:rPr>
        <w:t xml:space="preserve">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XXIX. La </w:t>
      </w:r>
      <w:r w:rsidRPr="00687729">
        <w:rPr>
          <w:rFonts w:ascii="Palatino Linotype" w:eastAsia="Palatino Linotype" w:hAnsi="Palatino Linotype" w:cs="Palatino Linotype"/>
          <w:b/>
          <w:i/>
          <w:color w:val="000000" w:themeColor="text1"/>
        </w:rPr>
        <w:t>información sobre los procesos y resultados sobre procedimientos de adjudicación directa, invitación restringida y licitación de cualquier naturaleza</w:t>
      </w:r>
      <w:r w:rsidRPr="00687729">
        <w:rPr>
          <w:rFonts w:ascii="Palatino Linotype" w:eastAsia="Palatino Linotype" w:hAnsi="Palatino Linotype" w:cs="Palatino Linotype"/>
          <w:i/>
          <w:color w:val="000000" w:themeColor="text1"/>
        </w:rPr>
        <w:t xml:space="preserve">, incluyendo la versión pública del expediente respectivo y de los contratos celebrados, que deberán contener, por los menos, lo siguiente: </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a) De licitaciones públicas o procedimientos de invitación restringida:</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 1) La convocatoria o invitación emitida, así como los fundamentos legales aplicados para llevarla a cabo;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2) Los nombres de los participantes o invitados;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3) El nombre del ganador y las razones que lo justifican;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4) El área solicitante y la responsable de su ejecución;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5) Las convocatorias e invitaciones emitidas;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6) Los dictámenes y fallo de adjudicación; 7</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 El contrato y, en su caso, sus anexos;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8) Los mecanismos de vigilancia y supervisión, incluyendo en su caso, los estudios de impacto urbano y ambiental, según corresponda;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9) La partida presupuestal, de conformidad con el clasificador por objeto del gasto, en el caso de ser aplicable;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10) Origen de los recursos especificando si son federales, estatales o municipales, así como el tipo de fondo de participación o aportación respectiva;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11) Los convenios modificatorios que, en su caso, sean firmados, precisando el objeto y la fecha de celebración;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12) Los informes de avance físico y financiero sobre las obras o servicios contratados;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13) El convenio de terminación; y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14) El finiquito. </w:t>
      </w:r>
    </w:p>
    <w:p w:rsidR="00251F52" w:rsidRPr="00687729" w:rsidRDefault="00251F52" w:rsidP="002C2035">
      <w:pPr>
        <w:spacing w:line="360" w:lineRule="auto"/>
        <w:ind w:left="113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Siguiendo esa línea de estudio, la Ley de Contratación Pública del Estado de México y Municipios, establece que las licitaciones podrán ser de la siguiente manera. </w:t>
      </w:r>
    </w:p>
    <w:p w:rsidR="00251F52" w:rsidRPr="00687729" w:rsidRDefault="007F1FB0" w:rsidP="002C2035">
      <w:pPr>
        <w:tabs>
          <w:tab w:val="left" w:pos="284"/>
        </w:tabs>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lastRenderedPageBreak/>
        <w:t>Artículo 29.-</w:t>
      </w:r>
      <w:r w:rsidRPr="00687729">
        <w:rPr>
          <w:rFonts w:ascii="Palatino Linotype" w:eastAsia="Palatino Linotype" w:hAnsi="Palatino Linotype" w:cs="Palatino Linotype"/>
          <w:i/>
          <w:color w:val="000000" w:themeColor="text1"/>
        </w:rPr>
        <w:t xml:space="preserve"> En el procedimiento de licitación pública deberán establecerse los mismos requisitos y condiciones para todos los licitantes. Todo licitante que satisfaga los requisitos de la convocatoria y de las bases de la licitación tendrá derecho a presentar su propuesta. Las entidades, los tribunales administrativos y </w:t>
      </w:r>
      <w:r w:rsidRPr="00687729">
        <w:rPr>
          <w:rFonts w:ascii="Palatino Linotype" w:eastAsia="Palatino Linotype" w:hAnsi="Palatino Linotype" w:cs="Palatino Linotype"/>
          <w:b/>
          <w:i/>
          <w:color w:val="000000" w:themeColor="text1"/>
        </w:rPr>
        <w:t>los ayuntamientos proporcionarán a los interesados igual acceso a la información relacionada con la licitación, a fin de evitar favorecer a algún participante.</w:t>
      </w:r>
    </w:p>
    <w:p w:rsidR="00251F52" w:rsidRPr="00687729" w:rsidRDefault="007F1FB0" w:rsidP="002C2035">
      <w:pPr>
        <w:tabs>
          <w:tab w:val="left" w:pos="284"/>
        </w:tabs>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i/>
          <w:color w:val="000000" w:themeColor="text1"/>
        </w:rPr>
        <w:t xml:space="preserve">Artículo 30.- </w:t>
      </w:r>
      <w:r w:rsidRPr="00687729">
        <w:rPr>
          <w:rFonts w:ascii="Palatino Linotype" w:eastAsia="Palatino Linotype" w:hAnsi="Palatino Linotype" w:cs="Palatino Linotype"/>
          <w:b/>
          <w:i/>
          <w:color w:val="000000" w:themeColor="text1"/>
        </w:rPr>
        <w:t xml:space="preserve">Las licitaciones públicas podrán ser: </w:t>
      </w:r>
    </w:p>
    <w:p w:rsidR="00251F52" w:rsidRPr="00687729" w:rsidRDefault="007F1FB0" w:rsidP="002C2035">
      <w:pPr>
        <w:numPr>
          <w:ilvl w:val="0"/>
          <w:numId w:val="3"/>
        </w:numPr>
        <w:pBdr>
          <w:top w:val="nil"/>
          <w:left w:val="nil"/>
          <w:bottom w:val="nil"/>
          <w:right w:val="nil"/>
          <w:between w:val="nil"/>
        </w:pBdr>
        <w:tabs>
          <w:tab w:val="left" w:pos="284"/>
        </w:tabs>
        <w:ind w:left="1134" w:right="-7" w:firstLine="0"/>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Nacionales, cuando únicamente puedan participar personas de nacionalidad mexicana. </w:t>
      </w:r>
    </w:p>
    <w:p w:rsidR="00251F52" w:rsidRPr="00687729" w:rsidRDefault="007F1FB0" w:rsidP="002C2035">
      <w:pPr>
        <w:numPr>
          <w:ilvl w:val="0"/>
          <w:numId w:val="3"/>
        </w:numPr>
        <w:pBdr>
          <w:top w:val="nil"/>
          <w:left w:val="nil"/>
          <w:bottom w:val="nil"/>
          <w:right w:val="nil"/>
          <w:between w:val="nil"/>
        </w:pBdr>
        <w:tabs>
          <w:tab w:val="left" w:pos="284"/>
        </w:tabs>
        <w:ind w:left="1134" w:right="-7" w:firstLine="0"/>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Internacionales, cuando puedan participar tanto personas de nacionalidad mexicana como extranjera.</w:t>
      </w:r>
    </w:p>
    <w:p w:rsidR="00251F52" w:rsidRPr="00687729" w:rsidRDefault="00251F52" w:rsidP="002C2035">
      <w:pPr>
        <w:pBdr>
          <w:top w:val="nil"/>
          <w:left w:val="nil"/>
          <w:bottom w:val="nil"/>
          <w:right w:val="nil"/>
          <w:between w:val="nil"/>
        </w:pBdr>
        <w:ind w:left="708"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se refiere que la información solicitada de los contratos, facturas y el expediente en su totalidad, es información que se encuentra en los archivos del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y que al ser información que forma parte de las obligaciones de transparencia común es que procede su entrega en versión pública</w:t>
      </w:r>
      <w:r w:rsidRPr="00687729">
        <w:rPr>
          <w:rFonts w:ascii="Palatino Linotype" w:eastAsia="Palatino Linotype" w:hAnsi="Palatino Linotype" w:cs="Palatino Linotype"/>
          <w:b/>
          <w:color w:val="000000" w:themeColor="text1"/>
        </w:rPr>
        <w:t xml:space="preserve">.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Ahora bien, respecto de los c</w:t>
      </w:r>
      <w:r w:rsidRPr="00687729">
        <w:rPr>
          <w:rFonts w:ascii="Palatino Linotype" w:eastAsia="Palatino Linotype" w:hAnsi="Palatino Linotype" w:cs="Palatino Linotype"/>
          <w:b/>
          <w:color w:val="000000" w:themeColor="text1"/>
        </w:rPr>
        <w:t>ontratos</w:t>
      </w:r>
      <w:r w:rsidRPr="00687729">
        <w:rPr>
          <w:rFonts w:ascii="Palatino Linotype" w:eastAsia="Palatino Linotype" w:hAnsi="Palatino Linotype" w:cs="Palatino Linotype"/>
          <w:color w:val="000000" w:themeColor="text1"/>
        </w:rPr>
        <w:t xml:space="preserve"> se tiene que, es un acto jurídico bilateral que se constituye por el acuerdo de voluntades de dos o más personas y que produce ciertas consecuencias jurídicas (creación o transmisión de derechos y obligaciones), debido al reconocimiento de una norma de derecho</w:t>
      </w:r>
    </w:p>
    <w:p w:rsidR="00251F52" w:rsidRPr="00687729" w:rsidRDefault="00251F52" w:rsidP="002C2035">
      <w:pPr>
        <w:spacing w:before="240" w:after="160"/>
        <w:ind w:left="113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Dentro de los mismos, pueden obrar datos personales susceptibles de clasificarse como lo son, la clave de elector, teléfono particular, correo electrónico personal Clave Única de Registro de Población (CURP), número de pasaporte, cuenta bancaria del proveedor, banco y sucursal del proveedor, clave interbancaria del proveedor, es así </w:t>
      </w:r>
      <w:r w:rsidRPr="00687729">
        <w:rPr>
          <w:rFonts w:ascii="Palatino Linotype" w:eastAsia="Palatino Linotype" w:hAnsi="Palatino Linotype" w:cs="Palatino Linotype"/>
          <w:color w:val="000000" w:themeColor="text1"/>
        </w:rPr>
        <w:lastRenderedPageBreak/>
        <w:t xml:space="preserve">que, por lo que hace </w:t>
      </w:r>
      <w:r w:rsidRPr="00687729">
        <w:rPr>
          <w:rFonts w:ascii="Palatino Linotype" w:eastAsia="Palatino Linotype" w:hAnsi="Palatino Linotype" w:cs="Palatino Linotype"/>
          <w:b/>
          <w:color w:val="000000" w:themeColor="text1"/>
        </w:rPr>
        <w:t xml:space="preserve">al nombre del servidor público, nombre, denominación o razón social del proveedor, nombre del apoderado o representante legal, domicilio fiscal, teléfono empresarial o institucional, firmas, y RFC se consideran datos personales públicos. </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Cobra sustento lo anterior, con el criterio 01/19 reiterado vigente del INAI, que refiere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Datos de identificación del representante o apoderado legal.</w:t>
      </w: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 xml:space="preserve">Naturaleza jurídica. </w:t>
      </w:r>
      <w:r w:rsidRPr="00687729">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251F52" w:rsidRPr="00687729" w:rsidRDefault="00251F52" w:rsidP="002C2035">
      <w:pPr>
        <w:ind w:left="1134" w:right="-7"/>
        <w:jc w:val="both"/>
        <w:rPr>
          <w:rFonts w:ascii="Palatino Linotype" w:eastAsia="Palatino Linotype" w:hAnsi="Palatino Linotype" w:cs="Palatino Linotype"/>
          <w:i/>
          <w:color w:val="000000" w:themeColor="text1"/>
        </w:rPr>
      </w:pP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Precedentes:</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i/>
          <w:color w:val="000000" w:themeColor="text1"/>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251F52" w:rsidRPr="00687729" w:rsidRDefault="007F1FB0" w:rsidP="002C2035">
      <w:pPr>
        <w:tabs>
          <w:tab w:val="left" w:pos="7371"/>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251F52" w:rsidRPr="00687729" w:rsidRDefault="00251F52" w:rsidP="002C2035">
      <w:pPr>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Seguidamente, como se solicita la información de las facturas es que se debe de precisar lo siguiente.</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 xml:space="preserve">Ahora bien, de las </w:t>
      </w:r>
      <w:r w:rsidRPr="00687729">
        <w:rPr>
          <w:rFonts w:ascii="Palatino Linotype" w:eastAsia="Palatino Linotype" w:hAnsi="Palatino Linotype" w:cs="Palatino Linotype"/>
          <w:b/>
          <w:color w:val="000000" w:themeColor="text1"/>
        </w:rPr>
        <w:t>facturas</w:t>
      </w:r>
      <w:r w:rsidRPr="00687729">
        <w:rPr>
          <w:rFonts w:ascii="Palatino Linotype" w:eastAsia="Palatino Linotype" w:hAnsi="Palatino Linotype" w:cs="Palatino Linotype"/>
          <w:color w:val="000000" w:themeColor="text1"/>
        </w:rPr>
        <w:t xml:space="preserve"> resulta oportuno traer a contexto, la información publicada por la Secretaría de Hacienda y Crédito Público, referente al Servicio de Administración Tributaria (SAT), en donde se advierte los requisitos que deben reunir las facturas emitidas, consultable en la dirección electrónica </w:t>
      </w:r>
      <w:hyperlink r:id="rId8">
        <w:r w:rsidRPr="00687729">
          <w:rPr>
            <w:rFonts w:ascii="Palatino Linotype" w:eastAsia="Palatino Linotype" w:hAnsi="Palatino Linotype" w:cs="Palatino Linotype"/>
            <w:color w:val="000000" w:themeColor="text1"/>
          </w:rPr>
          <w:t>http://omawww.sat.gob.mx/ /Paginas/solicita_requisitos.htm</w:t>
        </w:r>
      </w:hyperlink>
      <w:r w:rsidRPr="00687729">
        <w:rPr>
          <w:rFonts w:ascii="Palatino Linotype" w:eastAsia="Palatino Linotype" w:hAnsi="Palatino Linotype" w:cs="Palatino Linotype"/>
          <w:color w:val="000000" w:themeColor="text1"/>
        </w:rPr>
        <w:t>, de conformidad con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Requisitos que deben reunir las facturas que recibas</w:t>
      </w:r>
      <w:r w:rsidRPr="00687729">
        <w:rPr>
          <w:rFonts w:ascii="Palatino Linotype" w:eastAsia="Palatino Linotype" w:hAnsi="Palatino Linotype" w:cs="Palatino Linotype"/>
          <w:i/>
          <w:color w:val="000000" w:themeColor="text1"/>
        </w:rPr>
        <w: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u w:val="single"/>
        </w:rPr>
        <w:t>Clave del Registro Federal de Contribuyentes de quien los expida</w:t>
      </w:r>
      <w:r w:rsidRPr="00687729">
        <w:rPr>
          <w:rFonts w:ascii="Palatino Linotype" w:eastAsia="Palatino Linotype" w:hAnsi="Palatino Linotype" w:cs="Palatino Linotype"/>
          <w:i/>
          <w:color w:val="000000" w:themeColor="text1"/>
        </w:rPr>
        <w: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Régimen Fiscal en que tributen conforme a la Ley del ISR.</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Sí se tiene más de un local o establecimiento, se deberá señalar el domicilio del local o establecimiento en el que se expidan las Facturas.</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Contener el número de folio asignado por el SAT y el sello digital del SAT.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u w:val="single"/>
        </w:rPr>
        <w:t>Sello digital del contribuyente que lo expide</w:t>
      </w:r>
      <w:r w:rsidRPr="00687729">
        <w:rPr>
          <w:rFonts w:ascii="Palatino Linotype" w:eastAsia="Palatino Linotype" w:hAnsi="Palatino Linotype" w:cs="Palatino Linotype"/>
          <w:i/>
          <w:color w:val="000000" w:themeColor="text1"/>
        </w:rPr>
        <w: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Lugar y fecha de expedición.</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Clave del Registro Federal de Contribuyentes de la persona a favor de quien se expida.</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Cantidad, unidad de medida y clase de los bienes, mercancías o descripción del servicio o del uso o goce que amparen.</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Valor unitario consignado en número.</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Importe total señalado en número o en letra.</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Señalamiento expreso cuando la prestación se pague en una sola exhibición o en parcialidades.</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Cuando proceda, se indicará el monto de los impuestos trasladados, desglosados por tasa de impuesto y, en su caso, el monto de los impuestos retenidos.</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Forma en que se realizó el pago (efectivo, transferencia electrónica de fondos, cheque nominativos o tarjeta de débito, de crédito, de servicio o la denominada monedero electrónico que autorice el Servicio de Administración Tributaria).</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Número y fecha del documento aduanero, tratándose de ventas de primera mano de mercancías de importación.</w:t>
      </w:r>
    </w:p>
    <w:p w:rsidR="00251F52" w:rsidRPr="00687729" w:rsidRDefault="007F1FB0" w:rsidP="002C2035">
      <w:pPr>
        <w:ind w:left="1134"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br/>
      </w:r>
      <w:r w:rsidRPr="00687729">
        <w:rPr>
          <w:rFonts w:ascii="Palatino Linotype" w:eastAsia="Palatino Linotype" w:hAnsi="Palatino Linotype" w:cs="Palatino Linotype"/>
          <w:b/>
          <w:i/>
          <w:color w:val="000000" w:themeColor="text1"/>
        </w:rPr>
        <w:t>Además, debe contener los siguientes datos:</w:t>
      </w:r>
      <w:r w:rsidRPr="00687729">
        <w:rPr>
          <w:rFonts w:ascii="Palatino Linotype" w:eastAsia="Palatino Linotype" w:hAnsi="Palatino Linotype" w:cs="Palatino Linotype"/>
          <w:b/>
          <w:i/>
          <w:color w:val="000000" w:themeColor="text1"/>
        </w:rPr>
        <w:br/>
        <w:t>a) Fecha y hora de certificación.</w:t>
      </w:r>
      <w:r w:rsidRPr="00687729">
        <w:rPr>
          <w:rFonts w:ascii="Palatino Linotype" w:eastAsia="Palatino Linotype" w:hAnsi="Palatino Linotype" w:cs="Palatino Linotype"/>
          <w:b/>
          <w:i/>
          <w:color w:val="000000" w:themeColor="text1"/>
        </w:rPr>
        <w:br/>
      </w:r>
      <w:r w:rsidRPr="00687729">
        <w:rPr>
          <w:rFonts w:ascii="Palatino Linotype" w:eastAsia="Palatino Linotype" w:hAnsi="Palatino Linotype" w:cs="Palatino Linotype"/>
          <w:b/>
          <w:i/>
          <w:color w:val="000000" w:themeColor="text1"/>
        </w:rPr>
        <w:lastRenderedPageBreak/>
        <w:t>b) Número de serie del certificado digital del SAT con el que se realizó el sellado</w:t>
      </w:r>
      <w:r w:rsidRPr="00687729">
        <w:rPr>
          <w:rFonts w:ascii="Palatino Linotype" w:eastAsia="Palatino Linotype" w:hAnsi="Palatino Linotype" w:cs="Palatino Linotype"/>
          <w:i/>
          <w:color w:val="000000" w:themeColor="text1"/>
        </w:rPr>
        <w:t>.</w:t>
      </w:r>
    </w:p>
    <w:p w:rsidR="00251F52" w:rsidRPr="00687729" w:rsidRDefault="00251F52" w:rsidP="002C2035">
      <w:pPr>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Ahora bien, se debe de referir que de los datos de las facturas pueden obrar datos personales susceptibles de clasificarse como lo son, la clave de elector, </w:t>
      </w:r>
      <w:r w:rsidRPr="00687729">
        <w:rPr>
          <w:rFonts w:ascii="Palatino Linotype" w:eastAsia="Palatino Linotype" w:hAnsi="Palatino Linotype" w:cs="Palatino Linotype"/>
          <w:b/>
          <w:color w:val="000000" w:themeColor="text1"/>
        </w:rPr>
        <w:t>teléfono particular</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b/>
          <w:color w:val="000000" w:themeColor="text1"/>
        </w:rPr>
        <w:t xml:space="preserve">correo electrónico personal, </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b/>
          <w:color w:val="000000" w:themeColor="text1"/>
        </w:rPr>
        <w:t>Clave Única de Registro de Población (CURP</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b/>
          <w:color w:val="000000" w:themeColor="text1"/>
        </w:rPr>
        <w:t>número de pasaporte</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b/>
          <w:color w:val="000000" w:themeColor="text1"/>
        </w:rPr>
        <w:t>cuenta bancaria del proveedor</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b/>
          <w:color w:val="000000" w:themeColor="text1"/>
        </w:rPr>
        <w:t>banco y sucursal del proveedor</w:t>
      </w:r>
      <w:r w:rsidRPr="00687729">
        <w:rPr>
          <w:rFonts w:ascii="Palatino Linotype" w:eastAsia="Palatino Linotype" w:hAnsi="Palatino Linotype" w:cs="Palatino Linotype"/>
          <w:color w:val="000000" w:themeColor="text1"/>
        </w:rPr>
        <w:t xml:space="preserve">, </w:t>
      </w:r>
      <w:r w:rsidRPr="00687729">
        <w:rPr>
          <w:rFonts w:ascii="Palatino Linotype" w:eastAsia="Palatino Linotype" w:hAnsi="Palatino Linotype" w:cs="Palatino Linotype"/>
          <w:b/>
          <w:color w:val="000000" w:themeColor="text1"/>
        </w:rPr>
        <w:t>clave interbancaria del proveedor</w:t>
      </w:r>
      <w:r w:rsidRPr="00687729">
        <w:rPr>
          <w:rFonts w:ascii="Palatino Linotype" w:eastAsia="Palatino Linotype" w:hAnsi="Palatino Linotype" w:cs="Palatino Linotype"/>
          <w:color w:val="000000" w:themeColor="text1"/>
        </w:rPr>
        <w:t xml:space="preserve">, es así que, por lo que hace al nombre del servidor público, nombre, denominación o razón social del proveedor, nombre del apoderado o representante legal, domicilio fiscal, </w:t>
      </w:r>
      <w:r w:rsidRPr="00687729">
        <w:rPr>
          <w:rFonts w:ascii="Palatino Linotype" w:eastAsia="Palatino Linotype" w:hAnsi="Palatino Linotype" w:cs="Palatino Linotype"/>
          <w:b/>
          <w:color w:val="000000" w:themeColor="text1"/>
        </w:rPr>
        <w:t>teléfono empresarial o institucional,</w:t>
      </w:r>
      <w:r w:rsidRPr="00687729">
        <w:rPr>
          <w:rFonts w:ascii="Palatino Linotype" w:eastAsia="Palatino Linotype" w:hAnsi="Palatino Linotype" w:cs="Palatino Linotype"/>
          <w:color w:val="000000" w:themeColor="text1"/>
        </w:rPr>
        <w:t xml:space="preserve"> firmas, y RFC se consideran datos personales públicos. </w:t>
      </w:r>
    </w:p>
    <w:p w:rsidR="00251F52" w:rsidRPr="00687729" w:rsidRDefault="00251F52" w:rsidP="002C2035">
      <w:pP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Cobra sustento lo anterior, con el criterio 01/19 reiterado vigente del INAI, que refiere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Datos de identificación del representante o apoderado legal.</w:t>
      </w: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 xml:space="preserve">Naturaleza jurídica. </w:t>
      </w:r>
      <w:r w:rsidRPr="00687729">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251F52" w:rsidRPr="00687729" w:rsidRDefault="00251F52" w:rsidP="002C2035">
      <w:pPr>
        <w:ind w:left="1134" w:right="-7"/>
        <w:jc w:val="both"/>
        <w:rPr>
          <w:rFonts w:ascii="Palatino Linotype" w:eastAsia="Palatino Linotype" w:hAnsi="Palatino Linotype" w:cs="Palatino Linotype"/>
          <w:i/>
          <w:color w:val="000000" w:themeColor="text1"/>
        </w:rPr>
      </w:pP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Precedentes:</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i/>
          <w:color w:val="000000" w:themeColor="text1"/>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251F52" w:rsidRPr="00687729" w:rsidRDefault="007F1FB0" w:rsidP="002C2035">
      <w:pPr>
        <w:tabs>
          <w:tab w:val="left" w:pos="7371"/>
        </w:tabs>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251F52" w:rsidRPr="00687729" w:rsidRDefault="00251F52" w:rsidP="002C2035">
      <w:pPr>
        <w:tabs>
          <w:tab w:val="left" w:pos="7371"/>
        </w:tabs>
        <w:ind w:left="1134" w:right="-7"/>
        <w:jc w:val="both"/>
        <w:rPr>
          <w:rFonts w:ascii="Palatino Linotype" w:eastAsia="Palatino Linotype" w:hAnsi="Palatino Linotype" w:cs="Palatino Linotype"/>
          <w:i/>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Del Folio fiscal, Número de serie CSD del emisor, Sello digital del contribuyente emisor, Número de serie del CSD del SAT, Sello digital del SA y Cadena original de complemento de certificación digital SAT. </w:t>
      </w:r>
    </w:p>
    <w:p w:rsidR="00251F52" w:rsidRPr="00687729" w:rsidRDefault="00251F52" w:rsidP="002C2035">
      <w:pPr>
        <w:spacing w:line="360" w:lineRule="auto"/>
        <w:ind w:right="-7"/>
        <w:jc w:val="both"/>
        <w:rPr>
          <w:rFonts w:ascii="Palatino Linotype" w:eastAsia="Palatino Linotype" w:hAnsi="Palatino Linotype" w:cs="Palatino Linotype"/>
          <w:b/>
          <w:i/>
          <w:color w:val="000000" w:themeColor="text1"/>
          <w:u w:val="single"/>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13" w:name="_heading=h.2z9jwqn7dp2n" w:colFirst="0" w:colLast="0"/>
      <w:bookmarkEnd w:id="13"/>
      <w:r w:rsidRPr="00687729">
        <w:rPr>
          <w:rFonts w:ascii="Palatino Linotype" w:eastAsia="Palatino Linotype" w:hAnsi="Palatino Linotype" w:cs="Palatino Linotype"/>
          <w:color w:val="000000" w:themeColor="text1"/>
        </w:rPr>
        <w:t xml:space="preserve">De conformidad con la regla 2.7.1.7 de Resolución Miscelánea Fiscal para 2019, para los efectos del artículo 29 segundo párrafo fracción V del Código Fiscal de la Federación, las representaciones impresas del Comprobante Fiscal Digital por Internet o CFDI, deben cumplir con los requisitos señalados en el artículo 29-A del Código Fiscal de la Federación, y contener lo siguiente: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14" w:name="_heading=h.jn7wityzmbc9" w:colFirst="0" w:colLast="0"/>
      <w:bookmarkEnd w:id="14"/>
      <w:r w:rsidRPr="00687729">
        <w:rPr>
          <w:rFonts w:ascii="Palatino Linotype" w:eastAsia="Palatino Linotype" w:hAnsi="Palatino Linotype" w:cs="Palatino Linotype"/>
          <w:i/>
          <w:color w:val="000000" w:themeColor="text1"/>
        </w:rPr>
        <w:t>“I. Código de barras generado conforme a la especificación técnica que se establece en el rubro I.D del Anexo 20 o el número de folio fiscal del comprobante.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15" w:name="_heading=h.t35j6so4838j" w:colFirst="0" w:colLast="0"/>
      <w:bookmarkEnd w:id="15"/>
      <w:r w:rsidRPr="00687729">
        <w:rPr>
          <w:rFonts w:ascii="Palatino Linotype" w:eastAsia="Palatino Linotype" w:hAnsi="Palatino Linotype" w:cs="Palatino Linotype"/>
          <w:i/>
          <w:color w:val="000000" w:themeColor="text1"/>
        </w:rPr>
        <w:t xml:space="preserve">II. Número de serie del CSD del emisor y del SAT, que establecen los rubros I.A y III.B del Anexo 20.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16" w:name="_heading=h.ofsgmw2ltcti" w:colFirst="0" w:colLast="0"/>
      <w:bookmarkEnd w:id="16"/>
      <w:r w:rsidRPr="00687729">
        <w:rPr>
          <w:rFonts w:ascii="Palatino Linotype" w:eastAsia="Palatino Linotype" w:hAnsi="Palatino Linotype" w:cs="Palatino Linotype"/>
          <w:i/>
          <w:color w:val="000000" w:themeColor="text1"/>
        </w:rPr>
        <w:t xml:space="preserve">III. La leyenda: “Este documento es una representación impresa de un CFDI”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17" w:name="_heading=h.6md85qnj95ht" w:colFirst="0" w:colLast="0"/>
      <w:bookmarkEnd w:id="17"/>
      <w:r w:rsidRPr="00687729">
        <w:rPr>
          <w:rFonts w:ascii="Palatino Linotype" w:eastAsia="Palatino Linotype" w:hAnsi="Palatino Linotype" w:cs="Palatino Linotype"/>
          <w:i/>
          <w:color w:val="000000" w:themeColor="text1"/>
        </w:rPr>
        <w:t xml:space="preserve">IV. Fecha y hora de emisión y de certificación del CFDI en adición a lo señalado en el artículo 29- A, fracción III del CFF.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18" w:name="_heading=h.gkcdl3o797mw" w:colFirst="0" w:colLast="0"/>
      <w:bookmarkEnd w:id="18"/>
      <w:r w:rsidRPr="00687729">
        <w:rPr>
          <w:rFonts w:ascii="Palatino Linotype" w:eastAsia="Palatino Linotype" w:hAnsi="Palatino Linotype" w:cs="Palatino Linotype"/>
          <w:i/>
          <w:color w:val="000000" w:themeColor="text1"/>
        </w:rPr>
        <w:t xml:space="preserve">V. Cadena original del complemento de certificación digital del SAT.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19" w:name="_heading=h.obomck3iidb7" w:colFirst="0" w:colLast="0"/>
      <w:bookmarkEnd w:id="19"/>
      <w:r w:rsidRPr="00687729">
        <w:rPr>
          <w:rFonts w:ascii="Palatino Linotype" w:eastAsia="Palatino Linotype" w:hAnsi="Palatino Linotype" w:cs="Palatino Linotype"/>
          <w:i/>
          <w:color w:val="000000" w:themeColor="text1"/>
        </w:rPr>
        <w:t xml:space="preserve">VI. Tratándose de las representaciones impresas del CFDI que amparen retenciones e información de pagos emitidos conforme a lo dispuesto en la regla 2.7.5.4., adicional a lo anteriormente señalado deberán incluir: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20" w:name="_heading=h.n6ygx4z7u7iu" w:colFirst="0" w:colLast="0"/>
      <w:bookmarkEnd w:id="20"/>
      <w:r w:rsidRPr="00687729">
        <w:rPr>
          <w:rFonts w:ascii="Palatino Linotype" w:eastAsia="Palatino Linotype" w:hAnsi="Palatino Linotype" w:cs="Palatino Linotype"/>
          <w:i/>
          <w:color w:val="000000" w:themeColor="text1"/>
        </w:rPr>
        <w:t xml:space="preserve">a) Los datos que establece el Anexo 20, apartado II.A., así como los correspondientes a los complementos que incorpore.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21" w:name="_heading=h.htfse3mfod91" w:colFirst="0" w:colLast="0"/>
      <w:bookmarkEnd w:id="21"/>
      <w:r w:rsidRPr="00687729">
        <w:rPr>
          <w:rFonts w:ascii="Palatino Linotype" w:eastAsia="Palatino Linotype" w:hAnsi="Palatino Linotype" w:cs="Palatino Linotype"/>
          <w:i/>
          <w:color w:val="000000" w:themeColor="text1"/>
        </w:rPr>
        <w:t xml:space="preserve">b) El código de barras generado conforme a la especificación técnica establecida en el Anexo 20, rubro II.D.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22" w:name="_heading=h.18yejeg468ga" w:colFirst="0" w:colLast="0"/>
      <w:bookmarkEnd w:id="22"/>
      <w:r w:rsidRPr="00687729">
        <w:rPr>
          <w:rFonts w:ascii="Palatino Linotype" w:eastAsia="Palatino Linotype" w:hAnsi="Palatino Linotype" w:cs="Palatino Linotype"/>
          <w:i/>
          <w:color w:val="000000" w:themeColor="text1"/>
        </w:rPr>
        <w:lastRenderedPageBreak/>
        <w:t xml:space="preserve">VII. Tratándose de las representaciones impresas de un CFDI emitidas conforme a lo dispuesto en la regla 2.7.2.14., y la Sección 2.7.3., se deberá estar a lo siguiente: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23" w:name="_heading=h.5bnr4t7cvb3w" w:colFirst="0" w:colLast="0"/>
      <w:bookmarkEnd w:id="23"/>
      <w:r w:rsidRPr="00687729">
        <w:rPr>
          <w:rFonts w:ascii="Palatino Linotype" w:eastAsia="Palatino Linotype" w:hAnsi="Palatino Linotype" w:cs="Palatino Linotype"/>
          <w:i/>
          <w:color w:val="000000" w:themeColor="text1"/>
        </w:rPr>
        <w:t xml:space="preserve">a) Espacio para registrar la firma autógrafa de la persona que emite el CFDI.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24" w:name="_heading=h.dn2nmuiczm76" w:colFirst="0" w:colLast="0"/>
      <w:bookmarkEnd w:id="24"/>
      <w:r w:rsidRPr="00687729">
        <w:rPr>
          <w:rFonts w:ascii="Palatino Linotype" w:eastAsia="Palatino Linotype" w:hAnsi="Palatino Linotype" w:cs="Palatino Linotype"/>
          <w:i/>
          <w:color w:val="000000" w:themeColor="text1"/>
        </w:rPr>
        <w:t xml:space="preserve">b) Respecto a lo señalado en la fracción II de esta regla, se incluirá el número de serie de CESD del proveedor de certificación de CFDI o del SAT según corresponda en sustitución del número de CSD del emisor. </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25" w:name="_heading=h.f44lrhhpmkjn" w:colFirst="0" w:colLast="0"/>
      <w:bookmarkEnd w:id="25"/>
      <w:r w:rsidRPr="00687729">
        <w:rPr>
          <w:rFonts w:ascii="Palatino Linotype" w:eastAsia="Palatino Linotype" w:hAnsi="Palatino Linotype" w:cs="Palatino Linotype"/>
          <w:i/>
          <w:color w:val="000000" w:themeColor="text1"/>
        </w:rPr>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rsidR="00251F52" w:rsidRPr="00687729" w:rsidRDefault="007F1FB0" w:rsidP="002C2035">
      <w:pPr>
        <w:ind w:left="1134" w:right="-7"/>
        <w:jc w:val="both"/>
        <w:rPr>
          <w:rFonts w:ascii="Palatino Linotype" w:eastAsia="Palatino Linotype" w:hAnsi="Palatino Linotype" w:cs="Palatino Linotype"/>
          <w:color w:val="000000" w:themeColor="text1"/>
        </w:rPr>
      </w:pPr>
      <w:bookmarkStart w:id="26" w:name="_heading=h.oo2mmabwdpzm" w:colFirst="0" w:colLast="0"/>
      <w:bookmarkEnd w:id="26"/>
      <w:r w:rsidRPr="00687729">
        <w:rPr>
          <w:rFonts w:ascii="Palatino Linotype" w:eastAsia="Palatino Linotype" w:hAnsi="Palatino Linotype" w:cs="Palatino Linotype"/>
          <w:i/>
          <w:color w:val="000000" w:themeColor="text1"/>
        </w:rPr>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687729">
        <w:rPr>
          <w:rFonts w:ascii="Palatino Linotype" w:eastAsia="Palatino Linotype" w:hAnsi="Palatino Linotype" w:cs="Palatino Linotype"/>
          <w:color w:val="000000" w:themeColor="text1"/>
        </w:rPr>
        <w:t>.</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bookmarkStart w:id="27" w:name="_heading=h.t1mp8qivtptx" w:colFirst="0" w:colLast="0"/>
      <w:bookmarkEnd w:id="27"/>
      <w:r w:rsidRPr="00687729">
        <w:rPr>
          <w:rFonts w:ascii="Palatino Linotype" w:eastAsia="Palatino Linotype" w:hAnsi="Palatino Linotype" w:cs="Palatino Linotype"/>
          <w:i/>
          <w:color w:val="000000" w:themeColor="text1"/>
        </w:rPr>
        <w:t>(Énfasis añadido)</w:t>
      </w:r>
    </w:p>
    <w:p w:rsidR="00251F52" w:rsidRPr="00687729" w:rsidRDefault="00251F52" w:rsidP="002C2035">
      <w:pPr>
        <w:ind w:left="1134" w:right="-7"/>
        <w:jc w:val="both"/>
        <w:rPr>
          <w:rFonts w:ascii="Palatino Linotype" w:eastAsia="Palatino Linotype" w:hAnsi="Palatino Linotype" w:cs="Palatino Linotype"/>
          <w:color w:val="000000" w:themeColor="text1"/>
        </w:rPr>
      </w:pPr>
      <w:bookmarkStart w:id="28" w:name="_heading=h.8sifv2td4no" w:colFirst="0" w:colLast="0"/>
      <w:bookmarkEnd w:id="28"/>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29" w:name="_heading=h.oh2brxaow78o" w:colFirst="0" w:colLast="0"/>
      <w:bookmarkEnd w:id="29"/>
      <w:r w:rsidRPr="00687729">
        <w:rPr>
          <w:rFonts w:ascii="Palatino Linotype" w:eastAsia="Palatino Linotype" w:hAnsi="Palatino Linotype" w:cs="Palatino Linotype"/>
          <w:color w:val="000000" w:themeColor="text1"/>
        </w:rPr>
        <w:t>Asimismo, de conformidad con el Anexo 20 de la Segunda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bookmarkStart w:id="30" w:name="_heading=h.987we07n3kwj" w:colFirst="0" w:colLast="0"/>
      <w:bookmarkEnd w:id="30"/>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31" w:name="_heading=h.e4w0o6ue8sc6" w:colFirst="0" w:colLast="0"/>
      <w:bookmarkEnd w:id="31"/>
      <w:r w:rsidRPr="00687729">
        <w:rPr>
          <w:rFonts w:ascii="Palatino Linotype" w:eastAsia="Palatino Linotype" w:hAnsi="Palatino Linotype" w:cs="Palatino Linotype"/>
          <w:color w:val="000000" w:themeColor="text1"/>
        </w:rPr>
        <w:t xml:space="preserve">Para la generación de sellos digitales se utiliza </w:t>
      </w:r>
      <w:r w:rsidRPr="00687729">
        <w:rPr>
          <w:rFonts w:ascii="Palatino Linotype" w:eastAsia="Palatino Linotype" w:hAnsi="Palatino Linotype" w:cs="Palatino Linotype"/>
          <w:b/>
          <w:color w:val="000000" w:themeColor="text1"/>
        </w:rPr>
        <w:t>criptografía</w:t>
      </w:r>
      <w:r w:rsidRPr="00687729">
        <w:rPr>
          <w:rFonts w:ascii="Palatino Linotype" w:eastAsia="Palatino Linotype" w:hAnsi="Palatino Linotype" w:cs="Palatino Linotype"/>
          <w:color w:val="000000" w:themeColor="text1"/>
        </w:rPr>
        <w:t xml:space="preserve"> de clave pública aplicada a una cadena original, que se basa en la generación de una pareja de números muy grandes relacionados entre sí, de tal manera que una operación de inscripción sobre un mensaje tomando como clave de inscripción a uno de los dos números, produce un mensaje alterado en su significado que sólo puede ser devuelto a su estado </w:t>
      </w:r>
      <w:r w:rsidRPr="00687729">
        <w:rPr>
          <w:rFonts w:ascii="Palatino Linotype" w:eastAsia="Palatino Linotype" w:hAnsi="Palatino Linotype" w:cs="Palatino Linotype"/>
          <w:color w:val="000000" w:themeColor="text1"/>
        </w:rPr>
        <w:lastRenderedPageBreak/>
        <w:t xml:space="preserve">original mediante la operación de desencripción correspondiente tomando como clave de desencripción al otro número de la pareja.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bookmarkStart w:id="32" w:name="_heading=h.rtb9e44i85ua" w:colFirst="0" w:colLast="0"/>
      <w:bookmarkEnd w:id="32"/>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33" w:name="_heading=h.mt7q496zmklq" w:colFirst="0" w:colLast="0"/>
      <w:bookmarkEnd w:id="33"/>
      <w:r w:rsidRPr="00687729">
        <w:rPr>
          <w:rFonts w:ascii="Palatino Linotype" w:eastAsia="Palatino Linotype" w:hAnsi="Palatino Linotype" w:cs="Palatino Linotype"/>
          <w:color w:val="000000" w:themeColor="text1"/>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rsidR="00251F52" w:rsidRPr="00687729" w:rsidRDefault="00251F52" w:rsidP="002C203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34" w:name="_heading=h.n30l5xfevj1m" w:colFirst="0" w:colLast="0"/>
      <w:bookmarkEnd w:id="34"/>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35" w:name="_heading=h.xyl92zx2yn72" w:colFirst="0" w:colLast="0"/>
      <w:bookmarkEnd w:id="35"/>
      <w:r w:rsidRPr="00687729">
        <w:rPr>
          <w:rFonts w:ascii="Palatino Linotype" w:eastAsia="Palatino Linotype" w:hAnsi="Palatino Linotype" w:cs="Palatino Linotype"/>
          <w:color w:val="000000" w:themeColor="text1"/>
        </w:rPr>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 </w:t>
      </w:r>
    </w:p>
    <w:p w:rsidR="00251F52" w:rsidRPr="00687729" w:rsidRDefault="007F1FB0" w:rsidP="002C2035">
      <w:pPr>
        <w:spacing w:line="360" w:lineRule="auto"/>
        <w:ind w:left="720" w:right="-7"/>
        <w:jc w:val="both"/>
        <w:rPr>
          <w:rFonts w:ascii="Palatino Linotype" w:eastAsia="Palatino Linotype" w:hAnsi="Palatino Linotype" w:cs="Palatino Linotype"/>
          <w:color w:val="000000" w:themeColor="text1"/>
        </w:rPr>
      </w:pPr>
      <w:bookmarkStart w:id="36" w:name="_heading=h.dnnzpvh7eleo" w:colFirst="0" w:colLast="0"/>
      <w:bookmarkEnd w:id="36"/>
      <w:r w:rsidRPr="00687729">
        <w:rPr>
          <w:rFonts w:ascii="Palatino Linotype" w:eastAsia="Palatino Linotype" w:hAnsi="Palatino Linotype" w:cs="Palatino Linotype"/>
          <w:color w:val="000000" w:themeColor="text1"/>
        </w:rPr>
        <w:t xml:space="preserve">• La integridad (facilidad para detectar si un mensaje firmado ha sido alterado), </w:t>
      </w:r>
    </w:p>
    <w:p w:rsidR="00251F52" w:rsidRPr="00687729" w:rsidRDefault="007F1FB0" w:rsidP="002C2035">
      <w:pPr>
        <w:spacing w:line="360" w:lineRule="auto"/>
        <w:ind w:left="720" w:right="-7"/>
        <w:jc w:val="both"/>
        <w:rPr>
          <w:rFonts w:ascii="Palatino Linotype" w:eastAsia="Palatino Linotype" w:hAnsi="Palatino Linotype" w:cs="Palatino Linotype"/>
          <w:color w:val="000000" w:themeColor="text1"/>
        </w:rPr>
      </w:pPr>
      <w:bookmarkStart w:id="37" w:name="_heading=h.7nd46camfpd3" w:colFirst="0" w:colLast="0"/>
      <w:bookmarkEnd w:id="37"/>
      <w:r w:rsidRPr="00687729">
        <w:rPr>
          <w:rFonts w:ascii="Palatino Linotype" w:eastAsia="Palatino Linotype" w:hAnsi="Palatino Linotype" w:cs="Palatino Linotype"/>
          <w:color w:val="000000" w:themeColor="text1"/>
        </w:rPr>
        <w:t xml:space="preserve">• La autenticidad, </w:t>
      </w:r>
    </w:p>
    <w:p w:rsidR="00251F52" w:rsidRPr="00687729" w:rsidRDefault="007F1FB0" w:rsidP="002C2035">
      <w:pPr>
        <w:spacing w:line="360" w:lineRule="auto"/>
        <w:ind w:left="720" w:right="-7"/>
        <w:jc w:val="both"/>
        <w:rPr>
          <w:rFonts w:ascii="Palatino Linotype" w:eastAsia="Palatino Linotype" w:hAnsi="Palatino Linotype" w:cs="Palatino Linotype"/>
          <w:color w:val="000000" w:themeColor="text1"/>
        </w:rPr>
      </w:pPr>
      <w:bookmarkStart w:id="38" w:name="_heading=h.ioxfoskdka44" w:colFirst="0" w:colLast="0"/>
      <w:bookmarkEnd w:id="38"/>
      <w:r w:rsidRPr="00687729">
        <w:rPr>
          <w:rFonts w:ascii="Palatino Linotype" w:eastAsia="Palatino Linotype" w:hAnsi="Palatino Linotype" w:cs="Palatino Linotype"/>
          <w:color w:val="000000" w:themeColor="text1"/>
        </w:rPr>
        <w:t xml:space="preserve">• Certidumbre de origen (facilidad para determinar qué persona es el autor de la firma que valida el contenido del mensaje) y </w:t>
      </w:r>
    </w:p>
    <w:p w:rsidR="00251F52" w:rsidRPr="00687729" w:rsidRDefault="007F1FB0" w:rsidP="002C2035">
      <w:pPr>
        <w:spacing w:line="360" w:lineRule="auto"/>
        <w:ind w:left="720" w:right="-7"/>
        <w:jc w:val="both"/>
        <w:rPr>
          <w:rFonts w:ascii="Palatino Linotype" w:eastAsia="Palatino Linotype" w:hAnsi="Palatino Linotype" w:cs="Palatino Linotype"/>
          <w:color w:val="000000" w:themeColor="text1"/>
        </w:rPr>
      </w:pPr>
      <w:bookmarkStart w:id="39" w:name="_heading=h.71wzdzlnc3xt" w:colFirst="0" w:colLast="0"/>
      <w:bookmarkEnd w:id="39"/>
      <w:r w:rsidRPr="00687729">
        <w:rPr>
          <w:rFonts w:ascii="Palatino Linotype" w:eastAsia="Palatino Linotype" w:hAnsi="Palatino Linotype" w:cs="Palatino Linotype"/>
          <w:color w:val="000000" w:themeColor="text1"/>
        </w:rPr>
        <w:t xml:space="preserve">• No repudiación del mensaje firmado (capacidad de impedir que el autor de la firma niegue haber firmado el mensaje).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bookmarkStart w:id="40" w:name="_heading=h.ynzdidt3os8l" w:colFirst="0" w:colLast="0"/>
      <w:bookmarkEnd w:id="40"/>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41" w:name="_heading=h.qdfdf3outred" w:colFirst="0" w:colLast="0"/>
      <w:bookmarkEnd w:id="41"/>
      <w:r w:rsidRPr="00687729">
        <w:rPr>
          <w:rFonts w:ascii="Palatino Linotype" w:eastAsia="Palatino Linotype" w:hAnsi="Palatino Linotype" w:cs="Palatino Linotype"/>
          <w:color w:val="000000" w:themeColor="text1"/>
        </w:rPr>
        <w:lastRenderedPageBreak/>
        <w:t xml:space="preserve">Estos servicios de seguridad proporcionan las siguientes características a un mensaje con firma electrónica avanzada: </w:t>
      </w:r>
    </w:p>
    <w:p w:rsidR="00251F52" w:rsidRPr="00687729" w:rsidRDefault="007F1FB0" w:rsidP="002C2035">
      <w:pPr>
        <w:spacing w:line="360" w:lineRule="auto"/>
        <w:ind w:left="720" w:right="-7"/>
        <w:jc w:val="both"/>
        <w:rPr>
          <w:rFonts w:ascii="Palatino Linotype" w:eastAsia="Palatino Linotype" w:hAnsi="Palatino Linotype" w:cs="Palatino Linotype"/>
          <w:color w:val="000000" w:themeColor="text1"/>
        </w:rPr>
      </w:pPr>
      <w:bookmarkStart w:id="42" w:name="_heading=h.xp0jh26h3b7o" w:colFirst="0" w:colLast="0"/>
      <w:bookmarkEnd w:id="42"/>
      <w:r w:rsidRPr="00687729">
        <w:rPr>
          <w:rFonts w:ascii="Palatino Linotype" w:eastAsia="Palatino Linotype" w:hAnsi="Palatino Linotype" w:cs="Palatino Linotype"/>
          <w:color w:val="000000" w:themeColor="text1"/>
        </w:rPr>
        <w:t xml:space="preserve">• Es infalsificable. </w:t>
      </w:r>
    </w:p>
    <w:p w:rsidR="00251F52" w:rsidRPr="00687729" w:rsidRDefault="007F1FB0" w:rsidP="002C2035">
      <w:pPr>
        <w:spacing w:line="360" w:lineRule="auto"/>
        <w:ind w:left="720" w:right="-7"/>
        <w:jc w:val="both"/>
        <w:rPr>
          <w:rFonts w:ascii="Palatino Linotype" w:eastAsia="Palatino Linotype" w:hAnsi="Palatino Linotype" w:cs="Palatino Linotype"/>
          <w:color w:val="000000" w:themeColor="text1"/>
        </w:rPr>
      </w:pPr>
      <w:bookmarkStart w:id="43" w:name="_heading=h.d7sfqbwj4lax" w:colFirst="0" w:colLast="0"/>
      <w:bookmarkEnd w:id="43"/>
      <w:r w:rsidRPr="00687729">
        <w:rPr>
          <w:rFonts w:ascii="Palatino Linotype" w:eastAsia="Palatino Linotype" w:hAnsi="Palatino Linotype" w:cs="Palatino Linotype"/>
          <w:color w:val="000000" w:themeColor="text1"/>
        </w:rPr>
        <w:t xml:space="preserve">• La firma electrónica avanzada no es reciclable (es única por mensaje). </w:t>
      </w:r>
    </w:p>
    <w:p w:rsidR="00251F52" w:rsidRPr="00687729" w:rsidRDefault="007F1FB0" w:rsidP="002C2035">
      <w:pPr>
        <w:spacing w:line="360" w:lineRule="auto"/>
        <w:ind w:left="720" w:right="-7"/>
        <w:jc w:val="both"/>
        <w:rPr>
          <w:rFonts w:ascii="Palatino Linotype" w:eastAsia="Palatino Linotype" w:hAnsi="Palatino Linotype" w:cs="Palatino Linotype"/>
          <w:color w:val="000000" w:themeColor="text1"/>
        </w:rPr>
      </w:pPr>
      <w:bookmarkStart w:id="44" w:name="_heading=h.4umuus4we8wo" w:colFirst="0" w:colLast="0"/>
      <w:bookmarkEnd w:id="44"/>
      <w:r w:rsidRPr="00687729">
        <w:rPr>
          <w:rFonts w:ascii="Palatino Linotype" w:eastAsia="Palatino Linotype" w:hAnsi="Palatino Linotype" w:cs="Palatino Linotype"/>
          <w:color w:val="000000" w:themeColor="text1"/>
        </w:rPr>
        <w:t xml:space="preserve">• Un mensaje con firma electrónica avanzada alterado, es detectable. </w:t>
      </w:r>
    </w:p>
    <w:p w:rsidR="00251F52" w:rsidRPr="00687729" w:rsidRDefault="007F1FB0" w:rsidP="002C2035">
      <w:pPr>
        <w:spacing w:line="360" w:lineRule="auto"/>
        <w:ind w:left="720" w:right="-7"/>
        <w:jc w:val="both"/>
        <w:rPr>
          <w:rFonts w:ascii="Palatino Linotype" w:eastAsia="Palatino Linotype" w:hAnsi="Palatino Linotype" w:cs="Palatino Linotype"/>
          <w:color w:val="000000" w:themeColor="text1"/>
        </w:rPr>
      </w:pPr>
      <w:bookmarkStart w:id="45" w:name="_heading=h.bhowd0rv38c7" w:colFirst="0" w:colLast="0"/>
      <w:bookmarkEnd w:id="45"/>
      <w:r w:rsidRPr="00687729">
        <w:rPr>
          <w:rFonts w:ascii="Palatino Linotype" w:eastAsia="Palatino Linotype" w:hAnsi="Palatino Linotype" w:cs="Palatino Linotype"/>
          <w:color w:val="000000" w:themeColor="text1"/>
        </w:rPr>
        <w:t xml:space="preserve">• Un mensaje con firma electrónica avanzada, no puede ser repudiado.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bookmarkStart w:id="46" w:name="_heading=h.ejn2v55f60s6" w:colFirst="0" w:colLast="0"/>
      <w:bookmarkEnd w:id="46"/>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47" w:name="_heading=h.msnldj4dqkon" w:colFirst="0" w:colLast="0"/>
      <w:bookmarkEnd w:id="47"/>
      <w:r w:rsidRPr="00687729">
        <w:rPr>
          <w:rFonts w:ascii="Palatino Linotype" w:eastAsia="Palatino Linotype" w:hAnsi="Palatino Linotype" w:cs="Palatino Linotype"/>
          <w:color w:val="000000" w:themeColor="text1"/>
        </w:rPr>
        <w:t>Los certificados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digital del emisor.</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bookmarkStart w:id="48" w:name="_heading=h.d2rygb40n1qi" w:colFirst="0" w:colLast="0"/>
      <w:bookmarkEnd w:id="48"/>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bookmarkStart w:id="49" w:name="_heading=h.gssdfypy39it" w:colFirst="0" w:colLast="0"/>
      <w:bookmarkEnd w:id="49"/>
      <w:r w:rsidRPr="00687729">
        <w:rPr>
          <w:rFonts w:ascii="Palatino Linotype" w:eastAsia="Palatino Linotype" w:hAnsi="Palatino Linotype" w:cs="Palatino Linotype"/>
          <w:color w:val="000000" w:themeColor="text1"/>
        </w:rPr>
        <w:t xml:space="preserve">Asimismo,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w:t>
      </w:r>
      <w:r w:rsidRPr="00687729">
        <w:rPr>
          <w:rFonts w:ascii="Palatino Linotype" w:eastAsia="Palatino Linotype" w:hAnsi="Palatino Linotype" w:cs="Palatino Linotype"/>
          <w:color w:val="000000" w:themeColor="text1"/>
        </w:rPr>
        <w:lastRenderedPageBreak/>
        <w:t xml:space="preserve">contener el sello digital del Timbre Fiscal Digital, que debe ser expresado como una cadena de texto en formato Base 64, y finalmente la cadena original, es la secuencia de datos formulada con la información contenida dentro del timbre fiscal digital del SAT.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Así bien, con base en lo expuesto, no todos los datos señalados pueden ser considerados como confidenciales, en virtud de que el Folio fiscal, Número de serie CSD del emisor, Sello digital del contribuyente emisor, Número de serie del CSD del SAT, Sello digital del SAT y Cadena original de complemento de certificación digital SAT, así como el número de empleado cuando no se relacione con el uso de diversos servicios, no tienen el carácter de confidenciales. </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Por cuanto hace a las pólizas de cheques es oportuno traer a colación el Instructivo del Módulo 1 del 2022, 2023 2024 del Órgano Superior de Fiscalización del Estado de México (OSFEM) en su apartado denominado “Pólizas de Egresos con Documentos comprobatorios” siendo aquella póliza que refleja cualquier operación contable en la que se produzca una salida de efectivo o erogaciones, a través de transferencias bancarias electrónicas. </w:t>
      </w:r>
      <w:r w:rsidRPr="00687729">
        <w:rPr>
          <w:rFonts w:ascii="Palatino Linotype" w:eastAsia="Palatino Linotype" w:hAnsi="Palatino Linotype" w:cs="Palatino Linotype"/>
          <w:color w:val="000000" w:themeColor="text1"/>
          <w:u w:val="single"/>
        </w:rPr>
        <w:t>No obstante, si dicha erogación se realiza a través de un cheque bancario, la póliza contable será una póliza de cheque</w:t>
      </w:r>
      <w:r w:rsidRPr="00687729">
        <w:rPr>
          <w:rFonts w:ascii="Palatino Linotype" w:eastAsia="Palatino Linotype" w:hAnsi="Palatino Linotype" w:cs="Palatino Linotype"/>
          <w:color w:val="000000" w:themeColor="text1"/>
        </w:rPr>
        <w:t xml:space="preserve">. </w:t>
      </w:r>
    </w:p>
    <w:p w:rsidR="00251F52" w:rsidRPr="00687729" w:rsidRDefault="00251F52" w:rsidP="002C2035">
      <w:pPr>
        <w:pBdr>
          <w:top w:val="nil"/>
          <w:left w:val="nil"/>
          <w:bottom w:val="nil"/>
          <w:right w:val="nil"/>
          <w:between w:val="nil"/>
        </w:pBdr>
        <w:spacing w:line="259" w:lineRule="auto"/>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la Póliza de Cheque es un tipo de póliza que se utiliza en caso de erogaciones realizadas a través de un cheque, la cual debe tener el formato siguiente; </w:t>
      </w:r>
    </w:p>
    <w:p w:rsidR="00251F52" w:rsidRPr="00687729" w:rsidRDefault="007F1FB0" w:rsidP="002C2035">
      <w:pPr>
        <w:pBdr>
          <w:top w:val="nil"/>
          <w:left w:val="nil"/>
          <w:bottom w:val="nil"/>
          <w:right w:val="nil"/>
          <w:between w:val="nil"/>
        </w:pBdr>
        <w:spacing w:line="259" w:lineRule="auto"/>
        <w:ind w:right="-7"/>
        <w:jc w:val="center"/>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noProof/>
          <w:color w:val="000000" w:themeColor="text1"/>
        </w:rPr>
        <w:lastRenderedPageBreak/>
        <w:drawing>
          <wp:inline distT="0" distB="0" distL="0" distR="0">
            <wp:extent cx="4748924" cy="2494277"/>
            <wp:effectExtent l="0" t="0" r="0" b="0"/>
            <wp:docPr id="1038990139" name="image2.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10;&#10;Descripción generada automáticamente"/>
                    <pic:cNvPicPr preferRelativeResize="0"/>
                  </pic:nvPicPr>
                  <pic:blipFill>
                    <a:blip r:embed="rId9"/>
                    <a:srcRect/>
                    <a:stretch>
                      <a:fillRect/>
                    </a:stretch>
                  </pic:blipFill>
                  <pic:spPr>
                    <a:xfrm>
                      <a:off x="0" y="0"/>
                      <a:ext cx="4748924" cy="2494277"/>
                    </a:xfrm>
                    <a:prstGeom prst="rect">
                      <a:avLst/>
                    </a:prstGeom>
                    <a:ln/>
                  </pic:spPr>
                </pic:pic>
              </a:graphicData>
            </a:graphic>
          </wp:inline>
        </w:drawing>
      </w:r>
    </w:p>
    <w:p w:rsidR="00251F52" w:rsidRPr="00687729" w:rsidRDefault="00251F52" w:rsidP="002C2035">
      <w:pPr>
        <w:pBdr>
          <w:top w:val="nil"/>
          <w:left w:val="nil"/>
          <w:bottom w:val="nil"/>
          <w:right w:val="nil"/>
          <w:between w:val="nil"/>
        </w:pBdr>
        <w:spacing w:line="259" w:lineRule="auto"/>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Las “Pólizas de Cheques con los documentos comprobatorios” se deben de presentar en formato TIFF considerando las siguientes especificaciones: </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NP</w:t>
      </w:r>
      <w:r w:rsidRPr="00687729">
        <w:rPr>
          <w:rFonts w:ascii="Palatino Linotype" w:eastAsia="Palatino Linotype" w:hAnsi="Palatino Linotype" w:cs="Palatino Linotype"/>
          <w:i/>
          <w:color w:val="000000" w:themeColor="text1"/>
        </w:rPr>
        <w:t xml:space="preserve">: Número progresivo de los movimientos contables. </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Cta</w:t>
      </w:r>
      <w:r w:rsidRPr="00687729">
        <w:rPr>
          <w:rFonts w:ascii="Palatino Linotype" w:eastAsia="Palatino Linotype" w:hAnsi="Palatino Linotype" w:cs="Palatino Linotype"/>
          <w:i/>
          <w:color w:val="000000" w:themeColor="text1"/>
        </w:rPr>
        <w:t>: Cuenta contable al primer nivel de acuerdo a la Lista de Cuentas Específico Municipal del Manual Único de Contabilidad Gubernamental para las Dependencias y Entidades Públicas del Gobierno y Municipios del Estado de México.</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Scta</w:t>
      </w:r>
      <w:r w:rsidRPr="00687729">
        <w:rPr>
          <w:rFonts w:ascii="Palatino Linotype" w:eastAsia="Palatino Linotype" w:hAnsi="Palatino Linotype" w:cs="Palatino Linotype"/>
          <w:i/>
          <w:color w:val="000000" w:themeColor="text1"/>
        </w:rPr>
        <w:t>: Cuenta contable al segundo nivel de acuerdo a la Lista de Cuentas Específico Municipal del Manual Único de Contabilidad Gubernamental para las Dependencias y Entidades Públicas del Gobierno y Municipios del Estado de México.</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Sscta:</w:t>
      </w:r>
      <w:r w:rsidRPr="00687729">
        <w:rPr>
          <w:rFonts w:ascii="Palatino Linotype" w:eastAsia="Palatino Linotype" w:hAnsi="Palatino Linotype" w:cs="Palatino Linotype"/>
          <w:i/>
          <w:color w:val="000000" w:themeColor="text1"/>
        </w:rPr>
        <w:t xml:space="preserve"> Cuenta contable al tercer nivel de acuerdo a la Lista de Cuentas Específico Municipal del Manual Único de Contabilidad Gubernamental para las Dependencias y Entidades Públicas del Gobierno y Municipios del Estado de México. </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i/>
          <w:color w:val="000000" w:themeColor="text1"/>
        </w:rPr>
      </w:pP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lastRenderedPageBreak/>
        <w:t xml:space="preserve"> </w:t>
      </w:r>
      <w:r w:rsidRPr="00687729">
        <w:rPr>
          <w:rFonts w:ascii="Palatino Linotype" w:eastAsia="Palatino Linotype" w:hAnsi="Palatino Linotype" w:cs="Palatino Linotype"/>
          <w:b/>
          <w:i/>
          <w:color w:val="000000" w:themeColor="text1"/>
        </w:rPr>
        <w:t>Ssscta</w:t>
      </w:r>
      <w:r w:rsidRPr="00687729">
        <w:rPr>
          <w:rFonts w:ascii="Palatino Linotype" w:eastAsia="Palatino Linotype" w:hAnsi="Palatino Linotype" w:cs="Palatino Linotype"/>
          <w:i/>
          <w:color w:val="000000" w:themeColor="text1"/>
        </w:rPr>
        <w:t xml:space="preserve">: Cuenta contable al cuarto nivel de acuerdo a la Lista de Cuentas Específico Municipal del Manual Único de Contabilidad Gubernamental para las Dependencias y Entidades Públicas del Gobierno y Municipios del Estado de México. </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Sssscta:</w:t>
      </w:r>
      <w:r w:rsidRPr="00687729">
        <w:rPr>
          <w:rFonts w:ascii="Palatino Linotype" w:eastAsia="Palatino Linotype" w:hAnsi="Palatino Linotype" w:cs="Palatino Linotype"/>
          <w:i/>
          <w:color w:val="000000" w:themeColor="text1"/>
        </w:rPr>
        <w:t xml:space="preserve"> Cuenta contable al quinto nivel de acuerdo a la Lista de Cuentas Específico Municipal del Manual Único de Contabilidad Gubernamental para las Dependencias y Entidades Públicas del Gobierno y Municipios del Estado de México. </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Ref</w:t>
      </w:r>
      <w:r w:rsidRPr="00687729">
        <w:rPr>
          <w:rFonts w:ascii="Palatino Linotype" w:eastAsia="Palatino Linotype" w:hAnsi="Palatino Linotype" w:cs="Palatino Linotype"/>
          <w:i/>
          <w:color w:val="000000" w:themeColor="text1"/>
        </w:rPr>
        <w:t xml:space="preserve">: Las pólizas hacen referencia al documento en el que se registran las distintas operaciones contables, por ejemplo: CH-12. </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Concepto</w:t>
      </w:r>
      <w:r w:rsidRPr="00687729">
        <w:rPr>
          <w:rFonts w:ascii="Palatino Linotype" w:eastAsia="Palatino Linotype" w:hAnsi="Palatino Linotype" w:cs="Palatino Linotype"/>
          <w:i/>
          <w:color w:val="000000" w:themeColor="text1"/>
        </w:rPr>
        <w:t>: Anotar de acuerdo al Manual Único de Contabilidad Gubernamental para las Dependencias y Entidades Públicas del Gobierno y Municipios del Estado de México, a su registro contable y presupuestal: el nombre del concepto del clasificador por objeto del gasto y el nombre del beneficiario o proveedor completo, el nombre de la descripción de la lista de cuentas y el nombre del concepto de la lista de Lista de Cuentas Específico Municipal, nombre de la institución bancaria, número de cuenta bancaria, número de cheque y fondo.</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Debe:</w:t>
      </w:r>
      <w:r w:rsidRPr="00687729">
        <w:rPr>
          <w:rFonts w:ascii="Palatino Linotype" w:eastAsia="Palatino Linotype" w:hAnsi="Palatino Linotype" w:cs="Palatino Linotype"/>
          <w:i/>
          <w:color w:val="000000" w:themeColor="text1"/>
        </w:rPr>
        <w:t xml:space="preserve"> Importe total de los cargos contables correspondientes de cada una de las cuentas contables. </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Haber</w:t>
      </w:r>
      <w:r w:rsidRPr="00687729">
        <w:rPr>
          <w:rFonts w:ascii="Palatino Linotype" w:eastAsia="Palatino Linotype" w:hAnsi="Palatino Linotype" w:cs="Palatino Linotype"/>
          <w:i/>
          <w:color w:val="000000" w:themeColor="text1"/>
        </w:rPr>
        <w:t xml:space="preserve">: Importe total de los abonos contables correspondientes de cada una de las cuentas contables. </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 </w:t>
      </w:r>
      <w:r w:rsidRPr="00687729">
        <w:rPr>
          <w:rFonts w:ascii="Palatino Linotype" w:eastAsia="Palatino Linotype" w:hAnsi="Palatino Linotype" w:cs="Palatino Linotype"/>
          <w:b/>
          <w:i/>
          <w:color w:val="000000" w:themeColor="text1"/>
        </w:rPr>
        <w:t>Saldo Total de la Póliza</w:t>
      </w:r>
      <w:r w:rsidRPr="00687729">
        <w:rPr>
          <w:rFonts w:ascii="Palatino Linotype" w:eastAsia="Palatino Linotype" w:hAnsi="Palatino Linotype" w:cs="Palatino Linotype"/>
          <w:i/>
          <w:color w:val="000000" w:themeColor="text1"/>
        </w:rPr>
        <w:t xml:space="preserve">: Suma de los importes registrados en cada una de las columnas del debe y haber. </w:t>
      </w:r>
    </w:p>
    <w:p w:rsidR="00251F52" w:rsidRPr="00687729" w:rsidRDefault="007F1FB0" w:rsidP="002C2035">
      <w:pPr>
        <w:numPr>
          <w:ilvl w:val="0"/>
          <w:numId w:val="9"/>
        </w:num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lastRenderedPageBreak/>
        <w:t>Descripción</w:t>
      </w:r>
      <w:r w:rsidRPr="00687729">
        <w:rPr>
          <w:rFonts w:ascii="Palatino Linotype" w:eastAsia="Palatino Linotype" w:hAnsi="Palatino Linotype" w:cs="Palatino Linotype"/>
          <w:i/>
          <w:color w:val="000000" w:themeColor="text1"/>
        </w:rPr>
        <w:t xml:space="preserve">: De manera breve y específica anotar el hecho que generó el asiento contable. </w:t>
      </w:r>
    </w:p>
    <w:p w:rsidR="00251F52" w:rsidRPr="00687729" w:rsidRDefault="007F1FB0" w:rsidP="002C2035">
      <w:pPr>
        <w:pBdr>
          <w:top w:val="nil"/>
          <w:left w:val="nil"/>
          <w:bottom w:val="nil"/>
          <w:right w:val="nil"/>
          <w:between w:val="nil"/>
        </w:pBdr>
        <w:spacing w:line="259" w:lineRule="auto"/>
        <w:ind w:left="708" w:right="-7"/>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 xml:space="preserve">La información de pólizas se presenta de manera física a través de CD junto con el Oficio de Presentación, el CD debe de tener la etiqueta con los datos de identificación de la Entidad, especificando la información que se presenta y la certificación correspondiente </w:t>
      </w:r>
    </w:p>
    <w:p w:rsidR="00251F52" w:rsidRPr="00687729" w:rsidRDefault="00251F52" w:rsidP="002C2035">
      <w:pPr>
        <w:pBdr>
          <w:top w:val="nil"/>
          <w:left w:val="nil"/>
          <w:bottom w:val="nil"/>
          <w:right w:val="nil"/>
          <w:between w:val="nil"/>
        </w:pBdr>
        <w:spacing w:line="259" w:lineRule="auto"/>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Como se puedo observar, el documento referido resulta el idóneo para colmar la pretensión del Recurrente, pues contiene la información solicitada; no obstante, este formato se genera de manera mensual, como lo dispone los lineamientos para la integración, presentación y envío de los informes trimestrales municipales del ejercicio fiscal 2022, 2023 y 2024, como se observa a continuación,</w:t>
      </w:r>
    </w:p>
    <w:p w:rsidR="00251F52" w:rsidRPr="00687729" w:rsidRDefault="00251F52" w:rsidP="002C2035">
      <w:pPr>
        <w:pBdr>
          <w:top w:val="nil"/>
          <w:left w:val="nil"/>
          <w:bottom w:val="nil"/>
          <w:right w:val="nil"/>
          <w:between w:val="nil"/>
        </w:pBdr>
        <w:spacing w:line="259" w:lineRule="auto"/>
        <w:ind w:right="-7"/>
        <w:rPr>
          <w:rFonts w:ascii="Palatino Linotype" w:eastAsia="Palatino Linotype" w:hAnsi="Palatino Linotype" w:cs="Palatino Linotype"/>
          <w:color w:val="000000" w:themeColor="text1"/>
        </w:rPr>
      </w:pPr>
    </w:p>
    <w:p w:rsidR="00251F52" w:rsidRPr="00687729" w:rsidRDefault="007F1FB0" w:rsidP="002C2035">
      <w:pPr>
        <w:pBdr>
          <w:top w:val="nil"/>
          <w:left w:val="nil"/>
          <w:bottom w:val="nil"/>
          <w:right w:val="nil"/>
          <w:between w:val="nil"/>
        </w:pBdr>
        <w:spacing w:line="259" w:lineRule="auto"/>
        <w:ind w:right="-7"/>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noProof/>
          <w:color w:val="000000" w:themeColor="text1"/>
        </w:rPr>
        <w:drawing>
          <wp:inline distT="0" distB="0" distL="0" distR="0">
            <wp:extent cx="5451861" cy="1636385"/>
            <wp:effectExtent l="0" t="0" r="0" b="0"/>
            <wp:docPr id="1038990140" name="image3.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Aplicación&#10;&#10;Descripción generada automáticamente"/>
                    <pic:cNvPicPr preferRelativeResize="0"/>
                  </pic:nvPicPr>
                  <pic:blipFill>
                    <a:blip r:embed="rId10"/>
                    <a:srcRect/>
                    <a:stretch>
                      <a:fillRect/>
                    </a:stretch>
                  </pic:blipFill>
                  <pic:spPr>
                    <a:xfrm>
                      <a:off x="0" y="0"/>
                      <a:ext cx="5451861" cy="1636385"/>
                    </a:xfrm>
                    <a:prstGeom prst="rect">
                      <a:avLst/>
                    </a:prstGeom>
                    <a:ln/>
                  </pic:spPr>
                </pic:pic>
              </a:graphicData>
            </a:graphic>
          </wp:inline>
        </w:drawing>
      </w:r>
    </w:p>
    <w:p w:rsidR="009745D3" w:rsidRPr="00687729" w:rsidRDefault="009745D3" w:rsidP="002C2035">
      <w:pPr>
        <w:pBdr>
          <w:top w:val="nil"/>
          <w:left w:val="nil"/>
          <w:bottom w:val="nil"/>
          <w:right w:val="nil"/>
          <w:between w:val="nil"/>
        </w:pBdr>
        <w:spacing w:line="259" w:lineRule="auto"/>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y cómo podemos apreciar se colige que la información solicitada debe de administrarse y poseerse en los archivos del </w:t>
      </w:r>
      <w:r w:rsidRPr="00687729">
        <w:rPr>
          <w:rFonts w:ascii="Palatino Linotype" w:eastAsia="Palatino Linotype" w:hAnsi="Palatino Linotype" w:cs="Palatino Linotype"/>
          <w:b/>
          <w:color w:val="000000" w:themeColor="text1"/>
        </w:rPr>
        <w:t>SUJETO OBLIGADO</w:t>
      </w:r>
    </w:p>
    <w:p w:rsidR="00251F52" w:rsidRPr="00687729" w:rsidRDefault="00251F52" w:rsidP="002C2035">
      <w:pPr>
        <w:spacing w:line="259" w:lineRule="auto"/>
        <w:ind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Por lo anterior, es viable ordenar al Sujeto Obligado que haga entrega de las pólizas de cheques  que se hubieran por la compra o arrendamientos de vehículos. </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Ahora bien, se debe de referir que de acuerdo con los documentos a entregar se pueden encontrar datos que deban de ser clasificados como confidenciales, los cuales de manera enunciativa más no limitativa son los siguientes.</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b/>
          <w:color w:val="000000" w:themeColor="text1"/>
        </w:rPr>
        <w:t>Registro Federal de Contribuyentes</w:t>
      </w:r>
      <w:r w:rsidRPr="00687729">
        <w:rPr>
          <w:rFonts w:ascii="Palatino Linotype" w:eastAsia="Palatino Linotype" w:hAnsi="Palatino Linotype" w:cs="Palatino Linotype"/>
          <w:color w:val="000000" w:themeColor="text1"/>
        </w:rPr>
        <w:t xml:space="preserve"> (RFC)</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i/>
          <w:color w:val="000000" w:themeColor="text1"/>
        </w:rPr>
        <w:t>“</w:t>
      </w:r>
      <w:r w:rsidRPr="00687729">
        <w:rPr>
          <w:rFonts w:ascii="Palatino Linotype" w:eastAsia="Palatino Linotype" w:hAnsi="Palatino Linotype" w:cs="Palatino Linotype"/>
          <w:b/>
          <w:i/>
          <w:color w:val="000000" w:themeColor="text1"/>
        </w:rPr>
        <w:t>Registro Federal de Contribuyentes (RFC) de personas físicas</w:t>
      </w:r>
      <w:r w:rsidRPr="00687729">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251F52" w:rsidRDefault="00251F52" w:rsidP="002C2035">
      <w:pPr>
        <w:ind w:left="1134" w:right="-7"/>
        <w:jc w:val="both"/>
        <w:rPr>
          <w:rFonts w:ascii="Palatino Linotype" w:eastAsia="Palatino Linotype" w:hAnsi="Palatino Linotype" w:cs="Palatino Linotype"/>
          <w:color w:val="000000" w:themeColor="text1"/>
        </w:rPr>
      </w:pPr>
    </w:p>
    <w:p w:rsidR="00BB144B" w:rsidRPr="00687729" w:rsidRDefault="00BB144B" w:rsidP="002C2035">
      <w:pPr>
        <w:ind w:left="1134"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t>Clave única de Registro de Población –CURP-.</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251F52" w:rsidRPr="00687729" w:rsidRDefault="00251F52" w:rsidP="002C2035">
      <w:pPr>
        <w:spacing w:line="360" w:lineRule="auto"/>
        <w:ind w:right="-7"/>
        <w:jc w:val="both"/>
        <w:rPr>
          <w:rFonts w:ascii="Palatino Linotype" w:eastAsia="Palatino Linotype" w:hAnsi="Palatino Linotype" w:cs="Palatino Linotype"/>
          <w:b/>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11">
        <w:r w:rsidRPr="00687729">
          <w:rPr>
            <w:rFonts w:ascii="Palatino Linotype" w:eastAsia="Palatino Linotype" w:hAnsi="Palatino Linotype" w:cs="Palatino Linotype"/>
            <w:color w:val="000000" w:themeColor="text1"/>
            <w:u w:val="single"/>
          </w:rPr>
          <w:t>https://consultas.curp.gob.mx/CurpSP/html/informacionecurpPS.html</w:t>
        </w:r>
      </w:hyperlink>
      <w:r w:rsidRPr="00687729">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87729">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687729">
        <w:rPr>
          <w:rFonts w:ascii="Palatino Linotype" w:eastAsia="Palatino Linotype" w:hAnsi="Palatino Linotype" w:cs="Palatino Linotype"/>
          <w:color w:val="000000" w:themeColor="text1"/>
        </w:rPr>
        <w:t>(acta de nacimiento, carta de naturalización o documento migratorio) de la siguiente forma:</w:t>
      </w: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 • El primero y segundo apellidos, así como al nombre de pila.</w:t>
      </w: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 • La fecha de nacimiento.</w:t>
      </w: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 • El sexo.</w:t>
      </w: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 • La entidad federativa de nacimiento.</w:t>
      </w: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Los dos últimos elementos de la CURP evitan la duplicidad de la Clave y garantizan su correcta integración.</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Resulta aplicable en la especie, como argumento orientador, el Criterio 3/10, emitido por el INAI.</w:t>
      </w:r>
    </w:p>
    <w:p w:rsidR="00251F52" w:rsidRPr="00687729" w:rsidRDefault="007F1FB0" w:rsidP="002C2035">
      <w:pPr>
        <w:ind w:left="1134" w:right="-7"/>
        <w:jc w:val="both"/>
        <w:rPr>
          <w:rFonts w:ascii="Palatino Linotype" w:eastAsia="Palatino Linotype" w:hAnsi="Palatino Linotype" w:cs="Palatino Linotype"/>
          <w:i/>
          <w:color w:val="000000" w:themeColor="text1"/>
        </w:rPr>
      </w:pPr>
      <w:r w:rsidRPr="00687729">
        <w:rPr>
          <w:rFonts w:ascii="Palatino Linotype" w:eastAsia="Palatino Linotype" w:hAnsi="Palatino Linotype" w:cs="Palatino Linotype"/>
          <w:b/>
          <w:i/>
          <w:color w:val="000000" w:themeColor="text1"/>
        </w:rPr>
        <w:t xml:space="preserve">Clave Única de Registro de Población (CURP) es un dato personal confidencial. </w:t>
      </w:r>
      <w:r w:rsidRPr="00687729">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251F52" w:rsidRPr="00687729" w:rsidRDefault="00251F52" w:rsidP="002C2035">
      <w:pPr>
        <w:ind w:left="1134"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lastRenderedPageBreak/>
        <w:t>Nombre de persona física, Domicilio</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87729">
        <w:rPr>
          <w:rFonts w:ascii="Palatino Linotype" w:eastAsia="Palatino Linotype" w:hAnsi="Palatino Linotype" w:cs="Palatino Linotype"/>
          <w:i/>
          <w:color w:val="000000" w:themeColor="text1"/>
        </w:rPr>
        <w:t>perse</w:t>
      </w:r>
      <w:r w:rsidRPr="00687729">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251F52" w:rsidRPr="00687729" w:rsidRDefault="00251F52" w:rsidP="002C2035">
      <w:pPr>
        <w:spacing w:line="360" w:lineRule="auto"/>
        <w:ind w:right="-7"/>
        <w:jc w:val="both"/>
        <w:rPr>
          <w:rFonts w:ascii="Palatino Linotype" w:eastAsia="Palatino Linotype" w:hAnsi="Palatino Linotype" w:cs="Palatino Linotype"/>
          <w:b/>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687729">
        <w:rPr>
          <w:rFonts w:ascii="Palatino Linotype" w:eastAsia="Palatino Linotype" w:hAnsi="Palatino Linotype" w:cs="Palatino Linotype"/>
          <w:b/>
          <w:color w:val="000000" w:themeColor="text1"/>
        </w:rPr>
        <w:t>el domicilio particular</w:t>
      </w:r>
      <w:r w:rsidRPr="00687729">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t>Estado civil.</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estado civil es un atributo de la personalidad, de acuerdo al artículo 2.3 del Código Civil del Estado de México, e indica si las personas son solteras o casadas y sólo </w:t>
      </w:r>
      <w:r w:rsidRPr="00687729">
        <w:rPr>
          <w:rFonts w:ascii="Palatino Linotype" w:eastAsia="Palatino Linotype" w:hAnsi="Palatino Linotype" w:cs="Palatino Linotype"/>
          <w:color w:val="000000" w:themeColor="text1"/>
        </w:rPr>
        <w:lastRenderedPageBreak/>
        <w:t>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b/>
          <w:color w:val="000000" w:themeColor="text1"/>
        </w:rPr>
        <w:t>Teléfono y celular particular.</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251F52" w:rsidRPr="00687729" w:rsidRDefault="007F1FB0" w:rsidP="002C2035">
      <w:pPr>
        <w:keepNext/>
        <w:keepLines/>
        <w:spacing w:after="160" w:line="360" w:lineRule="auto"/>
        <w:ind w:right="-7"/>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lastRenderedPageBreak/>
        <w:t>QUINTO. De la versión pública.</w:t>
      </w:r>
    </w:p>
    <w:p w:rsidR="00251F52" w:rsidRPr="00687729" w:rsidRDefault="007F1FB0" w:rsidP="002C2035">
      <w:pPr>
        <w:keepNext/>
        <w:keepLines/>
        <w:numPr>
          <w:ilvl w:val="0"/>
          <w:numId w:val="11"/>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t xml:space="preserve">Nociones generales. </w:t>
      </w: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Debe destacarse, que debido a la información solicitada por el </w:t>
      </w:r>
      <w:r w:rsidRPr="00687729">
        <w:rPr>
          <w:rFonts w:ascii="Palatino Linotype" w:eastAsia="Palatino Linotype" w:hAnsi="Palatino Linotype" w:cs="Palatino Linotype"/>
          <w:b/>
          <w:color w:val="000000" w:themeColor="text1"/>
        </w:rPr>
        <w:t xml:space="preserve">RECURRENTE, pueden obrar </w:t>
      </w:r>
      <w:r w:rsidRPr="00687729">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687729">
        <w:rPr>
          <w:rFonts w:ascii="Palatino Linotype" w:eastAsia="Palatino Linotype" w:hAnsi="Palatino Linotype" w:cs="Palatino Linotype"/>
          <w:b/>
          <w:color w:val="000000" w:themeColor="text1"/>
        </w:rPr>
        <w:t xml:space="preserve">SUJETO OBLIGADO </w:t>
      </w:r>
      <w:r w:rsidRPr="0068772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251F52" w:rsidRPr="00687729" w:rsidRDefault="00251F52" w:rsidP="002C2035">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No pasa desapercibido para este Órgano Garante que los sujetos obligados</w:t>
      </w:r>
      <w:r w:rsidRPr="00687729">
        <w:rPr>
          <w:rFonts w:ascii="Palatino Linotype" w:eastAsia="Palatino Linotype" w:hAnsi="Palatino Linotype" w:cs="Palatino Linotype"/>
          <w:b/>
          <w:color w:val="000000" w:themeColor="text1"/>
        </w:rPr>
        <w:t xml:space="preserve"> </w:t>
      </w:r>
      <w:r w:rsidRPr="00687729">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51F52" w:rsidRPr="00687729" w:rsidRDefault="00251F52" w:rsidP="002C2035">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Style w:val="a0"/>
        <w:tblW w:w="961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2C2035" w:rsidRPr="00687729">
        <w:tc>
          <w:tcPr>
            <w:tcW w:w="2805" w:type="dxa"/>
          </w:tcPr>
          <w:p w:rsidR="00251F52" w:rsidRPr="00687729" w:rsidRDefault="007F1FB0" w:rsidP="002C2035">
            <w:pPr>
              <w:tabs>
                <w:tab w:val="left" w:pos="284"/>
              </w:tabs>
              <w:spacing w:line="360" w:lineRule="auto"/>
              <w:ind w:right="-7"/>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a) Requisitos previos.</w:t>
            </w:r>
          </w:p>
        </w:tc>
        <w:tc>
          <w:tcPr>
            <w:tcW w:w="6810" w:type="dxa"/>
          </w:tcPr>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68772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68772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2C2035" w:rsidRPr="00687729">
        <w:tc>
          <w:tcPr>
            <w:tcW w:w="2805" w:type="dxa"/>
          </w:tcPr>
          <w:p w:rsidR="00251F52" w:rsidRPr="00687729" w:rsidRDefault="007F1FB0" w:rsidP="002C2035">
            <w:pPr>
              <w:tabs>
                <w:tab w:val="left" w:pos="284"/>
              </w:tabs>
              <w:spacing w:line="360" w:lineRule="auto"/>
              <w:ind w:right="-7"/>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b) Supuestos de clasificación.</w:t>
            </w:r>
          </w:p>
        </w:tc>
        <w:tc>
          <w:tcPr>
            <w:tcW w:w="6810" w:type="dxa"/>
          </w:tcPr>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w:t>
            </w:r>
            <w:r w:rsidRPr="00687729">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w:t>
            </w:r>
            <w:r w:rsidRPr="00687729">
              <w:rPr>
                <w:rFonts w:ascii="Palatino Linotype" w:eastAsia="Palatino Linotype" w:hAnsi="Palatino Linotype" w:cs="Palatino Linotype"/>
                <w:b/>
                <w:color w:val="000000" w:themeColor="text1"/>
              </w:rPr>
              <w:t>Sujeto Obligado</w:t>
            </w:r>
            <w:r w:rsidRPr="0068772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C2035" w:rsidRPr="00687729">
        <w:tc>
          <w:tcPr>
            <w:tcW w:w="2805" w:type="dxa"/>
          </w:tcPr>
          <w:p w:rsidR="00251F52" w:rsidRPr="00687729" w:rsidRDefault="007F1FB0" w:rsidP="002C2035">
            <w:pPr>
              <w:tabs>
                <w:tab w:val="left" w:pos="284"/>
              </w:tabs>
              <w:spacing w:line="360" w:lineRule="auto"/>
              <w:ind w:right="-7"/>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Es necesario que </w:t>
            </w:r>
            <w:r w:rsidRPr="00687729">
              <w:rPr>
                <w:rFonts w:ascii="Palatino Linotype" w:eastAsia="Palatino Linotype" w:hAnsi="Palatino Linotype" w:cs="Palatino Linotype"/>
                <w:b/>
                <w:color w:val="000000" w:themeColor="text1"/>
                <w:u w:val="single"/>
              </w:rPr>
              <w:t>el acto reúna con los requisitos elementales</w:t>
            </w:r>
            <w:r w:rsidRPr="00687729">
              <w:rPr>
                <w:rFonts w:ascii="Palatino Linotype" w:eastAsia="Palatino Linotype" w:hAnsi="Palatino Linotype" w:cs="Palatino Linotype"/>
                <w:color w:val="000000" w:themeColor="text1"/>
              </w:rPr>
              <w:t>, entre ellos, que la autoridad que va a emitir el acto de autoridad sea la legalmente facultada para ello.</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w:t>
            </w:r>
            <w:r w:rsidRPr="00687729">
              <w:rPr>
                <w:rFonts w:ascii="Palatino Linotype" w:eastAsia="Palatino Linotype" w:hAnsi="Palatino Linotype" w:cs="Palatino Linotype"/>
                <w:color w:val="000000" w:themeColor="text1"/>
              </w:rPr>
              <w:lastRenderedPageBreak/>
              <w:t>titulares de áreas y que son sujetas a control, en primera instancia, por el Comité de Transparencia.</w:t>
            </w:r>
          </w:p>
        </w:tc>
      </w:tr>
      <w:tr w:rsidR="002C2035" w:rsidRPr="00687729">
        <w:tc>
          <w:tcPr>
            <w:tcW w:w="2805" w:type="dxa"/>
          </w:tcPr>
          <w:p w:rsidR="00251F52" w:rsidRPr="00687729" w:rsidRDefault="00251F52" w:rsidP="002C2035">
            <w:pPr>
              <w:tabs>
                <w:tab w:val="left" w:pos="284"/>
              </w:tabs>
              <w:spacing w:line="360" w:lineRule="auto"/>
              <w:ind w:right="-7"/>
              <w:rPr>
                <w:rFonts w:ascii="Palatino Linotype" w:eastAsia="Palatino Linotype" w:hAnsi="Palatino Linotype" w:cs="Palatino Linotype"/>
                <w:color w:val="000000" w:themeColor="text1"/>
              </w:rPr>
            </w:pP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7729">
              <w:rPr>
                <w:rFonts w:ascii="Palatino Linotype" w:eastAsia="Palatino Linotype" w:hAnsi="Palatino Linotype" w:cs="Palatino Linotype"/>
                <w:b/>
                <w:color w:val="000000" w:themeColor="text1"/>
              </w:rPr>
              <w:t>Sujetos Obligados</w:t>
            </w:r>
            <w:r w:rsidRPr="00687729">
              <w:rPr>
                <w:rFonts w:ascii="Palatino Linotype" w:eastAsia="Palatino Linotype" w:hAnsi="Palatino Linotype" w:cs="Palatino Linotype"/>
                <w:color w:val="000000" w:themeColor="text1"/>
              </w:rPr>
              <w:t xml:space="preserve">, por lo que deberán fundar y motivar debidamente la clasificación. </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De lo anterior, se desprende que para una correcta </w:t>
            </w:r>
            <w:r w:rsidRPr="00687729">
              <w:rPr>
                <w:rFonts w:ascii="Palatino Linotype" w:eastAsia="Palatino Linotype" w:hAnsi="Palatino Linotype" w:cs="Palatino Linotype"/>
                <w:b/>
                <w:color w:val="000000" w:themeColor="text1"/>
              </w:rPr>
              <w:t>clasificación total o parcial</w:t>
            </w:r>
            <w:r w:rsidRPr="0068772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687729">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Ahora bien, </w:t>
            </w:r>
            <w:r w:rsidRPr="00687729">
              <w:rPr>
                <w:rFonts w:ascii="Palatino Linotype" w:eastAsia="Palatino Linotype" w:hAnsi="Palatino Linotype" w:cs="Palatino Linotype"/>
                <w:b/>
                <w:color w:val="000000" w:themeColor="text1"/>
                <w:u w:val="single"/>
              </w:rPr>
              <w:t>para cada caso además de fundar y motivar</w:t>
            </w:r>
            <w:r w:rsidRPr="00687729">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51F52" w:rsidRPr="00687729">
        <w:tc>
          <w:tcPr>
            <w:tcW w:w="2805" w:type="dxa"/>
          </w:tcPr>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6810" w:type="dxa"/>
          </w:tcPr>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251F52" w:rsidRPr="00687729" w:rsidRDefault="007F1FB0" w:rsidP="002C2035">
            <w:pPr>
              <w:tabs>
                <w:tab w:val="left" w:pos="284"/>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687729">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251F52" w:rsidRPr="00687729" w:rsidRDefault="007F1FB0" w:rsidP="002C2035">
            <w:pPr>
              <w:tabs>
                <w:tab w:val="left" w:pos="284"/>
              </w:tabs>
              <w:spacing w:line="360" w:lineRule="auto"/>
              <w:ind w:right="-7"/>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51F52" w:rsidRPr="00687729" w:rsidRDefault="00251F52" w:rsidP="002C2035">
      <w:pPr>
        <w:tabs>
          <w:tab w:val="left" w:pos="284"/>
        </w:tabs>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numPr>
          <w:ilvl w:val="0"/>
          <w:numId w:val="7"/>
        </w:numPr>
        <w:spacing w:line="360" w:lineRule="auto"/>
        <w:ind w:left="0" w:right="-7" w:firstLine="0"/>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687729">
        <w:rPr>
          <w:rFonts w:ascii="Palatino Linotype" w:eastAsia="Palatino Linotype" w:hAnsi="Palatino Linotype" w:cs="Palatino Linotype"/>
          <w:b/>
          <w:color w:val="000000" w:themeColor="text1"/>
        </w:rPr>
        <w:t xml:space="preserve"> RECURRENTE</w:t>
      </w:r>
      <w:r w:rsidRPr="00687729">
        <w:rPr>
          <w:rFonts w:ascii="Palatino Linotype" w:eastAsia="Palatino Linotype" w:hAnsi="Palatino Linotype" w:cs="Palatino Linotype"/>
          <w:color w:val="000000" w:themeColor="text1"/>
        </w:rPr>
        <w:t xml:space="preserve">, determinando </w:t>
      </w:r>
      <w:r w:rsidRPr="00687729">
        <w:rPr>
          <w:rFonts w:ascii="Palatino Linotype" w:eastAsia="Palatino Linotype" w:hAnsi="Palatino Linotype" w:cs="Palatino Linotype"/>
          <w:b/>
          <w:smallCaps/>
          <w:color w:val="000000" w:themeColor="text1"/>
        </w:rPr>
        <w:t xml:space="preserve">REVOCAR </w:t>
      </w:r>
      <w:r w:rsidRPr="00687729">
        <w:rPr>
          <w:rFonts w:ascii="Palatino Linotype" w:eastAsia="Palatino Linotype" w:hAnsi="Palatino Linotype" w:cs="Palatino Linotype"/>
          <w:color w:val="000000" w:themeColor="text1"/>
        </w:rPr>
        <w:t xml:space="preserve">la respuesta del </w:t>
      </w:r>
      <w:r w:rsidRPr="00687729">
        <w:rPr>
          <w:rFonts w:ascii="Palatino Linotype" w:eastAsia="Palatino Linotype" w:hAnsi="Palatino Linotype" w:cs="Palatino Linotype"/>
          <w:b/>
          <w:color w:val="000000" w:themeColor="text1"/>
        </w:rPr>
        <w:t>SUJETO OBLIGADO</w:t>
      </w:r>
      <w:r w:rsidRPr="00687729">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687729">
        <w:rPr>
          <w:rFonts w:ascii="Palatino Linotype" w:eastAsia="Palatino Linotype" w:hAnsi="Palatino Linotype" w:cs="Palatino Linotype"/>
          <w:b/>
          <w:color w:val="000000" w:themeColor="text1"/>
        </w:rPr>
        <w:t>ÓRGANO GARANTE</w:t>
      </w:r>
      <w:r w:rsidRPr="00687729">
        <w:rPr>
          <w:rFonts w:ascii="Palatino Linotype" w:eastAsia="Palatino Linotype" w:hAnsi="Palatino Linotype" w:cs="Palatino Linotype"/>
          <w:color w:val="000000" w:themeColor="text1"/>
        </w:rPr>
        <w:t xml:space="preserve"> emite los siguientes.</w:t>
      </w:r>
      <w:r w:rsidR="00BB144B">
        <w:rPr>
          <w:rFonts w:ascii="Palatino Linotype" w:eastAsia="Palatino Linotype" w:hAnsi="Palatino Linotype" w:cs="Palatino Linotype"/>
          <w:color w:val="000000" w:themeColor="text1"/>
        </w:rPr>
        <w:t>---------------------------------------------------</w:t>
      </w:r>
    </w:p>
    <w:p w:rsidR="00251F52" w:rsidRPr="00687729" w:rsidRDefault="00251F52" w:rsidP="002C2035">
      <w:pPr>
        <w:pBdr>
          <w:top w:val="nil"/>
          <w:left w:val="nil"/>
          <w:bottom w:val="nil"/>
          <w:right w:val="nil"/>
          <w:between w:val="nil"/>
        </w:pBdr>
        <w:ind w:left="720" w:right="-7"/>
        <w:rPr>
          <w:rFonts w:ascii="Palatino Linotype" w:eastAsia="Palatino Linotype" w:hAnsi="Palatino Linotype" w:cs="Palatino Linotype"/>
          <w:color w:val="000000" w:themeColor="text1"/>
        </w:rPr>
      </w:pPr>
    </w:p>
    <w:p w:rsidR="00251F52" w:rsidRPr="00687729" w:rsidRDefault="00251F52" w:rsidP="002C203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687729">
        <w:rPr>
          <w:rFonts w:ascii="Palatino Linotype" w:eastAsia="Palatino Linotype" w:hAnsi="Palatino Linotype" w:cs="Palatino Linotype"/>
          <w:b/>
          <w:color w:val="000000" w:themeColor="text1"/>
          <w:sz w:val="24"/>
          <w:szCs w:val="24"/>
        </w:rPr>
        <w:lastRenderedPageBreak/>
        <w:t>R E S O L U T I V O S</w:t>
      </w:r>
    </w:p>
    <w:p w:rsidR="00251F52" w:rsidRPr="00687729" w:rsidRDefault="00251F52" w:rsidP="002C2035">
      <w:pPr>
        <w:spacing w:line="360" w:lineRule="auto"/>
        <w:ind w:right="-7"/>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b/>
          <w:color w:val="000000" w:themeColor="text1"/>
        </w:rPr>
        <w:t>PRIMERO</w:t>
      </w:r>
      <w:r w:rsidRPr="00687729">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687729">
        <w:rPr>
          <w:rFonts w:ascii="Palatino Linotype" w:eastAsia="Palatino Linotype" w:hAnsi="Palatino Linotype" w:cs="Palatino Linotype"/>
          <w:b/>
          <w:color w:val="000000" w:themeColor="text1"/>
        </w:rPr>
        <w:t xml:space="preserve">04058/INFOEM/IP/RR/2025, </w:t>
      </w:r>
      <w:r w:rsidRPr="00687729">
        <w:rPr>
          <w:rFonts w:ascii="Palatino Linotype" w:eastAsia="Palatino Linotype" w:hAnsi="Palatino Linotype" w:cs="Palatino Linotype"/>
          <w:color w:val="000000" w:themeColor="text1"/>
        </w:rPr>
        <w:t xml:space="preserve">en términos del Considerando </w:t>
      </w:r>
      <w:r w:rsidRPr="00687729">
        <w:rPr>
          <w:rFonts w:ascii="Palatino Linotype" w:eastAsia="Palatino Linotype" w:hAnsi="Palatino Linotype" w:cs="Palatino Linotype"/>
          <w:b/>
          <w:color w:val="000000" w:themeColor="text1"/>
        </w:rPr>
        <w:t xml:space="preserve">Cuarto y Quinto </w:t>
      </w:r>
      <w:r w:rsidRPr="00687729">
        <w:rPr>
          <w:rFonts w:ascii="Palatino Linotype" w:eastAsia="Palatino Linotype" w:hAnsi="Palatino Linotype" w:cs="Palatino Linotype"/>
          <w:color w:val="000000" w:themeColor="text1"/>
        </w:rPr>
        <w:t xml:space="preserve">de la presente resolución. </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bookmarkStart w:id="50" w:name="_heading=h.1ksv4uv" w:colFirst="0" w:colLast="0"/>
      <w:bookmarkEnd w:id="50"/>
      <w:r w:rsidRPr="00687729">
        <w:rPr>
          <w:rFonts w:ascii="Palatino Linotype" w:eastAsia="Palatino Linotype" w:hAnsi="Palatino Linotype" w:cs="Palatino Linotype"/>
          <w:b/>
          <w:color w:val="000000" w:themeColor="text1"/>
        </w:rPr>
        <w:t xml:space="preserve">SEGUNDO. </w:t>
      </w:r>
      <w:r w:rsidRPr="00687729">
        <w:rPr>
          <w:rFonts w:ascii="Palatino Linotype" w:eastAsia="Palatino Linotype" w:hAnsi="Palatino Linotype" w:cs="Palatino Linotype"/>
          <w:color w:val="000000" w:themeColor="text1"/>
        </w:rPr>
        <w:t xml:space="preserve">Se </w:t>
      </w:r>
      <w:r w:rsidRPr="00687729">
        <w:rPr>
          <w:rFonts w:ascii="Palatino Linotype" w:eastAsia="Palatino Linotype" w:hAnsi="Palatino Linotype" w:cs="Palatino Linotype"/>
          <w:b/>
          <w:color w:val="000000" w:themeColor="text1"/>
        </w:rPr>
        <w:t xml:space="preserve">REVOCA </w:t>
      </w:r>
      <w:r w:rsidRPr="00687729">
        <w:rPr>
          <w:rFonts w:ascii="Palatino Linotype" w:eastAsia="Palatino Linotype" w:hAnsi="Palatino Linotype" w:cs="Palatino Linotype"/>
          <w:color w:val="000000" w:themeColor="text1"/>
        </w:rPr>
        <w:t xml:space="preserve">la respuesta emitida por el </w:t>
      </w:r>
      <w:r w:rsidRPr="00687729">
        <w:rPr>
          <w:rFonts w:ascii="Palatino Linotype" w:eastAsia="Palatino Linotype" w:hAnsi="Palatino Linotype" w:cs="Palatino Linotype"/>
          <w:b/>
          <w:color w:val="000000" w:themeColor="text1"/>
        </w:rPr>
        <w:t xml:space="preserve">Ayuntamiento de Ixtapaluca </w:t>
      </w:r>
      <w:r w:rsidRPr="00687729">
        <w:rPr>
          <w:rFonts w:ascii="Palatino Linotype" w:eastAsia="Palatino Linotype" w:hAnsi="Palatino Linotype" w:cs="Palatino Linotype"/>
          <w:color w:val="000000" w:themeColor="text1"/>
        </w:rPr>
        <w:t xml:space="preserve">y se </w:t>
      </w:r>
      <w:r w:rsidRPr="00687729">
        <w:rPr>
          <w:rFonts w:ascii="Palatino Linotype" w:eastAsia="Palatino Linotype" w:hAnsi="Palatino Linotype" w:cs="Palatino Linotype"/>
          <w:b/>
          <w:color w:val="000000" w:themeColor="text1"/>
        </w:rPr>
        <w:t>ORDENA</w:t>
      </w:r>
      <w:r w:rsidRPr="00687729">
        <w:rPr>
          <w:rFonts w:ascii="Palatino Linotype" w:eastAsia="Palatino Linotype" w:hAnsi="Palatino Linotype" w:cs="Palatino Linotype"/>
          <w:color w:val="000000" w:themeColor="text1"/>
        </w:rPr>
        <w:t xml:space="preserve"> entregar vía Sistema de Acceso a la Información, en versión pública, lo siguiente: </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De las adquisiciones de vehículos por la compra y/o arrendamiento del  periodo del 01 enero 2022 al 03 de diciembre 2024.</w:t>
      </w:r>
    </w:p>
    <w:p w:rsidR="00E9700F" w:rsidRPr="00687729" w:rsidRDefault="00E9700F" w:rsidP="002C2035">
      <w:pPr>
        <w:ind w:left="1134" w:right="-7"/>
        <w:jc w:val="both"/>
        <w:rPr>
          <w:rFonts w:ascii="Palatino Linotype" w:eastAsia="Palatino Linotype" w:hAnsi="Palatino Linotype" w:cs="Palatino Linotype"/>
          <w:b/>
          <w:i/>
          <w:color w:val="000000" w:themeColor="text1"/>
        </w:rPr>
      </w:pPr>
    </w:p>
    <w:p w:rsidR="00E9700F" w:rsidRPr="00687729" w:rsidRDefault="00E9700F" w:rsidP="002C2035">
      <w:pPr>
        <w:ind w:left="1134" w:right="-7"/>
        <w:jc w:val="both"/>
        <w:rPr>
          <w:rFonts w:ascii="Palatino Linotype" w:eastAsia="Palatino Linotype" w:hAnsi="Palatino Linotype" w:cs="Palatino Linotype"/>
          <w:b/>
          <w:i/>
          <w:color w:val="000000" w:themeColor="text1"/>
        </w:rPr>
      </w:pP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1.- Contratos </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2.- Facturas</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3.- Pólizas de cheques </w:t>
      </w:r>
    </w:p>
    <w:p w:rsidR="00251F52" w:rsidRPr="00687729" w:rsidRDefault="007F1FB0" w:rsidP="002C2035">
      <w:pPr>
        <w:ind w:left="1134" w:right="-7"/>
        <w:jc w:val="both"/>
        <w:rPr>
          <w:rFonts w:ascii="Palatino Linotype" w:eastAsia="Palatino Linotype" w:hAnsi="Palatino Linotype" w:cs="Palatino Linotype"/>
          <w:b/>
          <w:i/>
          <w:color w:val="000000" w:themeColor="text1"/>
        </w:rPr>
      </w:pPr>
      <w:r w:rsidRPr="00687729">
        <w:rPr>
          <w:rFonts w:ascii="Palatino Linotype" w:eastAsia="Palatino Linotype" w:hAnsi="Palatino Linotype" w:cs="Palatino Linotype"/>
          <w:b/>
          <w:i/>
          <w:color w:val="000000" w:themeColor="text1"/>
        </w:rPr>
        <w:t xml:space="preserve">4.- Expediente completo </w:t>
      </w:r>
    </w:p>
    <w:p w:rsidR="00251F52" w:rsidRPr="00687729" w:rsidRDefault="00251F52" w:rsidP="002C2035">
      <w:pPr>
        <w:ind w:left="1134" w:right="-7"/>
        <w:jc w:val="both"/>
        <w:rPr>
          <w:rFonts w:ascii="Palatino Linotype" w:eastAsia="Palatino Linotype" w:hAnsi="Palatino Linotype" w:cs="Palatino Linotype"/>
          <w:b/>
          <w:color w:val="000000" w:themeColor="text1"/>
        </w:rPr>
      </w:pPr>
    </w:p>
    <w:p w:rsidR="00251F52" w:rsidRPr="00687729" w:rsidRDefault="007F1FB0" w:rsidP="002C2035">
      <w:pPr>
        <w:tabs>
          <w:tab w:val="left" w:pos="8080"/>
        </w:tabs>
        <w:spacing w:line="360" w:lineRule="auto"/>
        <w:ind w:right="-7"/>
        <w:jc w:val="both"/>
        <w:rPr>
          <w:rFonts w:ascii="Palatino Linotype" w:eastAsia="Palatino Linotype" w:hAnsi="Palatino Linotype" w:cs="Palatino Linotype"/>
          <w:b/>
          <w:color w:val="000000" w:themeColor="text1"/>
        </w:rPr>
      </w:pPr>
      <w:r w:rsidRPr="0068772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87729">
        <w:rPr>
          <w:rFonts w:ascii="Palatino Linotype" w:eastAsia="Palatino Linotype" w:hAnsi="Palatino Linotype" w:cs="Palatino Linotype"/>
          <w:b/>
          <w:color w:val="000000" w:themeColor="text1"/>
        </w:rPr>
        <w:t>RECURRENTE.</w:t>
      </w:r>
    </w:p>
    <w:p w:rsidR="00251F52" w:rsidRPr="00687729" w:rsidRDefault="00251F52" w:rsidP="002C2035">
      <w:pPr>
        <w:tabs>
          <w:tab w:val="left" w:pos="8080"/>
        </w:tabs>
        <w:spacing w:line="360" w:lineRule="auto"/>
        <w:ind w:right="-7"/>
        <w:jc w:val="both"/>
        <w:rPr>
          <w:rFonts w:ascii="Palatino Linotype" w:eastAsia="Palatino Linotype" w:hAnsi="Palatino Linotype" w:cs="Palatino Linotype"/>
          <w:b/>
          <w:color w:val="000000" w:themeColor="text1"/>
        </w:rPr>
      </w:pPr>
    </w:p>
    <w:p w:rsidR="00251F52" w:rsidRPr="00687729" w:rsidRDefault="00251F52" w:rsidP="002C2035">
      <w:pPr>
        <w:tabs>
          <w:tab w:val="left" w:pos="8080"/>
        </w:tabs>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tabs>
          <w:tab w:val="left" w:pos="8080"/>
        </w:tabs>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b/>
          <w:color w:val="000000" w:themeColor="text1"/>
        </w:rPr>
        <w:lastRenderedPageBreak/>
        <w:t>TERCERO. NOTIFÍQUESE</w:t>
      </w:r>
      <w:r w:rsidRPr="00687729">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87729">
        <w:rPr>
          <w:rFonts w:ascii="Palatino Linotype" w:eastAsia="Palatino Linotype" w:hAnsi="Palatino Linotype" w:cs="Palatino Linotype"/>
          <w:b/>
          <w:color w:val="000000" w:themeColor="text1"/>
        </w:rPr>
        <w:t xml:space="preserve">dé cumplimiento a lo ordenado dentro del plazo de diez días hábiles, </w:t>
      </w:r>
      <w:r w:rsidRPr="00687729">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251F52" w:rsidRPr="00687729" w:rsidRDefault="00251F52" w:rsidP="002C2035">
      <w:pPr>
        <w:tabs>
          <w:tab w:val="left" w:pos="8080"/>
        </w:tabs>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b/>
          <w:color w:val="000000" w:themeColor="text1"/>
        </w:rPr>
        <w:t xml:space="preserve">CUARTO. </w:t>
      </w:r>
      <w:r w:rsidRPr="0068772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687729">
        <w:rPr>
          <w:rFonts w:ascii="Palatino Linotype" w:eastAsia="Palatino Linotype" w:hAnsi="Palatino Linotype" w:cs="Palatino Linotype"/>
          <w:b/>
          <w:color w:val="000000" w:themeColor="text1"/>
        </w:rPr>
        <w:t>SUJETO OBLIGADO</w:t>
      </w:r>
      <w:r w:rsidRPr="0068772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251F52" w:rsidRPr="00687729"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bookmarkStart w:id="51" w:name="_heading=h.2jxsxqh" w:colFirst="0" w:colLast="0"/>
      <w:bookmarkEnd w:id="51"/>
      <w:r w:rsidRPr="00687729">
        <w:rPr>
          <w:rFonts w:ascii="Palatino Linotype" w:eastAsia="Palatino Linotype" w:hAnsi="Palatino Linotype" w:cs="Palatino Linotype"/>
          <w:b/>
          <w:color w:val="000000" w:themeColor="text1"/>
        </w:rPr>
        <w:t xml:space="preserve">QUINTO. </w:t>
      </w:r>
      <w:r w:rsidRPr="00687729">
        <w:rPr>
          <w:rFonts w:ascii="Palatino Linotype" w:eastAsia="Palatino Linotype" w:hAnsi="Palatino Linotype" w:cs="Palatino Linotype"/>
          <w:color w:val="000000" w:themeColor="text1"/>
        </w:rPr>
        <w:t xml:space="preserve">Notifíquese a </w:t>
      </w:r>
      <w:r w:rsidRPr="00687729">
        <w:rPr>
          <w:rFonts w:ascii="Palatino Linotype" w:eastAsia="Palatino Linotype" w:hAnsi="Palatino Linotype" w:cs="Palatino Linotype"/>
          <w:b/>
          <w:color w:val="000000" w:themeColor="text1"/>
        </w:rPr>
        <w:t>EL RECURRENTE</w:t>
      </w:r>
      <w:r w:rsidRPr="00687729">
        <w:rPr>
          <w:rFonts w:ascii="Palatino Linotype" w:eastAsia="Palatino Linotype" w:hAnsi="Palatino Linotype" w:cs="Palatino Linotype"/>
          <w:color w:val="000000" w:themeColor="text1"/>
        </w:rPr>
        <w:t xml:space="preserve"> la presente resolución, vía SAIMEX.</w:t>
      </w:r>
    </w:p>
    <w:p w:rsidR="00251F52" w:rsidRPr="00687729" w:rsidRDefault="00251F52" w:rsidP="002C2035">
      <w:pPr>
        <w:shd w:val="clear" w:color="auto" w:fill="FFFFFF"/>
        <w:spacing w:line="360" w:lineRule="auto"/>
        <w:ind w:right="-7"/>
        <w:jc w:val="both"/>
        <w:rPr>
          <w:rFonts w:ascii="Palatino Linotype" w:eastAsia="Palatino Linotype" w:hAnsi="Palatino Linotype" w:cs="Palatino Linotype"/>
          <w:b/>
          <w:color w:val="000000" w:themeColor="text1"/>
        </w:rPr>
      </w:pPr>
    </w:p>
    <w:p w:rsidR="00251F52" w:rsidRPr="00687729" w:rsidRDefault="007F1FB0" w:rsidP="002C2035">
      <w:pPr>
        <w:spacing w:line="360" w:lineRule="auto"/>
        <w:ind w:right="-7"/>
        <w:jc w:val="both"/>
        <w:rPr>
          <w:rFonts w:ascii="Palatino Linotype" w:eastAsia="Palatino Linotype" w:hAnsi="Palatino Linotype" w:cs="Palatino Linotype"/>
          <w:color w:val="000000" w:themeColor="text1"/>
        </w:rPr>
      </w:pPr>
      <w:r w:rsidRPr="00687729">
        <w:rPr>
          <w:rFonts w:ascii="Palatino Linotype" w:eastAsia="Palatino Linotype" w:hAnsi="Palatino Linotype" w:cs="Palatino Linotype"/>
          <w:b/>
          <w:color w:val="000000" w:themeColor="text1"/>
        </w:rPr>
        <w:t xml:space="preserve">SEXTO. </w:t>
      </w:r>
      <w:r w:rsidRPr="00687729">
        <w:rPr>
          <w:rFonts w:ascii="Palatino Linotype" w:eastAsia="Palatino Linotype" w:hAnsi="Palatino Linotype" w:cs="Palatino Linotype"/>
          <w:color w:val="000000" w:themeColor="text1"/>
        </w:rPr>
        <w:t xml:space="preserve">Se hace del conocimiento del </w:t>
      </w:r>
      <w:r w:rsidRPr="00687729">
        <w:rPr>
          <w:rFonts w:ascii="Palatino Linotype" w:eastAsia="Palatino Linotype" w:hAnsi="Palatino Linotype" w:cs="Palatino Linotype"/>
          <w:b/>
          <w:color w:val="000000" w:themeColor="text1"/>
        </w:rPr>
        <w:t>RECURRENTE</w:t>
      </w:r>
      <w:r w:rsidRPr="0068772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Start w:id="52" w:name="_GoBack"/>
      <w:bookmarkEnd w:id="52"/>
    </w:p>
    <w:p w:rsidR="00251F52" w:rsidRPr="002C2035" w:rsidRDefault="009745D3" w:rsidP="002C2035">
      <w:pPr>
        <w:spacing w:before="240" w:after="240" w:line="360" w:lineRule="auto"/>
        <w:ind w:right="-7"/>
        <w:jc w:val="both"/>
        <w:rPr>
          <w:rFonts w:ascii="Palatino Linotype" w:eastAsia="Palatino Linotype" w:hAnsi="Palatino Linotype" w:cs="Palatino Linotype"/>
          <w:color w:val="000000" w:themeColor="text1"/>
        </w:rPr>
      </w:pPr>
      <w:bookmarkStart w:id="53" w:name="_heading=h.s0fpwmbn0r0h" w:colFirst="0" w:colLast="0"/>
      <w:bookmarkEnd w:id="53"/>
      <w:r w:rsidRPr="00687729">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251F52" w:rsidRPr="002C2035" w:rsidRDefault="00251F52" w:rsidP="002C2035">
      <w:pPr>
        <w:spacing w:before="240" w:after="240" w:line="360" w:lineRule="auto"/>
        <w:ind w:right="-7"/>
        <w:jc w:val="both"/>
        <w:rPr>
          <w:rFonts w:ascii="Palatino Linotype" w:eastAsia="Palatino Linotype" w:hAnsi="Palatino Linotype" w:cs="Palatino Linotype"/>
          <w:color w:val="000000" w:themeColor="text1"/>
        </w:rPr>
      </w:pPr>
    </w:p>
    <w:p w:rsidR="00251F52" w:rsidRPr="002C2035" w:rsidRDefault="00251F52" w:rsidP="002C2035">
      <w:pPr>
        <w:spacing w:before="240" w:after="240" w:line="360" w:lineRule="auto"/>
        <w:ind w:right="-7"/>
        <w:jc w:val="both"/>
        <w:rPr>
          <w:rFonts w:ascii="Palatino Linotype" w:eastAsia="Palatino Linotype" w:hAnsi="Palatino Linotype" w:cs="Palatino Linotype"/>
          <w:color w:val="000000" w:themeColor="text1"/>
        </w:rPr>
      </w:pPr>
    </w:p>
    <w:p w:rsidR="00251F52" w:rsidRPr="002C2035" w:rsidRDefault="00251F52" w:rsidP="002C2035">
      <w:pPr>
        <w:spacing w:before="240" w:after="240" w:line="360" w:lineRule="auto"/>
        <w:ind w:right="-7"/>
        <w:jc w:val="both"/>
        <w:rPr>
          <w:rFonts w:ascii="Palatino Linotype" w:eastAsia="Palatino Linotype" w:hAnsi="Palatino Linotype" w:cs="Palatino Linotype"/>
          <w:color w:val="000000" w:themeColor="text1"/>
        </w:rPr>
      </w:pPr>
    </w:p>
    <w:p w:rsidR="00251F52" w:rsidRPr="002C2035" w:rsidRDefault="00251F52" w:rsidP="002C2035">
      <w:pPr>
        <w:spacing w:before="240" w:after="240" w:line="360" w:lineRule="auto"/>
        <w:ind w:right="-7"/>
        <w:jc w:val="both"/>
        <w:rPr>
          <w:rFonts w:ascii="Palatino Linotype" w:eastAsia="Palatino Linotype" w:hAnsi="Palatino Linotype" w:cs="Palatino Linotype"/>
          <w:color w:val="000000" w:themeColor="text1"/>
        </w:rPr>
      </w:pPr>
    </w:p>
    <w:p w:rsidR="00251F52" w:rsidRPr="002C2035" w:rsidRDefault="00251F52" w:rsidP="002C2035">
      <w:pPr>
        <w:spacing w:line="360" w:lineRule="auto"/>
        <w:ind w:right="-7"/>
        <w:jc w:val="both"/>
        <w:rPr>
          <w:rFonts w:ascii="Palatino Linotype" w:eastAsia="Palatino Linotype" w:hAnsi="Palatino Linotype" w:cs="Palatino Linotype"/>
          <w:color w:val="000000" w:themeColor="text1"/>
        </w:rPr>
      </w:pPr>
    </w:p>
    <w:p w:rsidR="00251F52" w:rsidRPr="002C2035" w:rsidRDefault="00251F52" w:rsidP="002C2035">
      <w:pPr>
        <w:keepNext/>
        <w:keepLines/>
        <w:spacing w:after="240" w:line="360" w:lineRule="auto"/>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p w:rsidR="00251F52" w:rsidRPr="002C2035" w:rsidRDefault="00251F52" w:rsidP="002C2035">
      <w:pPr>
        <w:ind w:right="-7"/>
        <w:rPr>
          <w:rFonts w:ascii="Palatino Linotype" w:eastAsia="Palatino Linotype" w:hAnsi="Palatino Linotype" w:cs="Palatino Linotype"/>
          <w:color w:val="000000" w:themeColor="text1"/>
        </w:rPr>
      </w:pPr>
    </w:p>
    <w:sectPr w:rsidR="00251F52" w:rsidRPr="002C2035" w:rsidSect="002C2035">
      <w:headerReference w:type="default" r:id="rId12"/>
      <w:footerReference w:type="default" r:id="rId13"/>
      <w:headerReference w:type="first" r:id="rId14"/>
      <w:footerReference w:type="first" r:id="rId15"/>
      <w:pgSz w:w="12240" w:h="15840"/>
      <w:pgMar w:top="2410" w:right="1325"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0E8" w:rsidRDefault="005150E8">
      <w:r>
        <w:separator/>
      </w:r>
    </w:p>
  </w:endnote>
  <w:endnote w:type="continuationSeparator" w:id="0">
    <w:p w:rsidR="005150E8" w:rsidRDefault="0051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35" w:rsidRDefault="002C203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144B">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B144B">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rsidR="002C2035" w:rsidRDefault="002C2035">
    <w:pPr>
      <w:pBdr>
        <w:top w:val="nil"/>
        <w:left w:val="nil"/>
        <w:bottom w:val="nil"/>
        <w:right w:val="nil"/>
        <w:between w:val="nil"/>
      </w:pBdr>
      <w:tabs>
        <w:tab w:val="center" w:pos="4252"/>
        <w:tab w:val="right" w:pos="8504"/>
      </w:tabs>
      <w:rPr>
        <w:color w:val="000000"/>
      </w:rPr>
    </w:pPr>
  </w:p>
  <w:p w:rsidR="002C2035" w:rsidRDefault="002C203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35" w:rsidRDefault="002C203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144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B144B">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rsidR="002C2035" w:rsidRDefault="002C203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0E8" w:rsidRDefault="005150E8">
      <w:r>
        <w:separator/>
      </w:r>
    </w:p>
  </w:footnote>
  <w:footnote w:type="continuationSeparator" w:id="0">
    <w:p w:rsidR="005150E8" w:rsidRDefault="005150E8">
      <w:r>
        <w:continuationSeparator/>
      </w:r>
    </w:p>
  </w:footnote>
  <w:footnote w:id="1">
    <w:p w:rsidR="002C2035" w:rsidRDefault="002C20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C2035" w:rsidRDefault="002C20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C2035" w:rsidRDefault="002C20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C2035" w:rsidRDefault="002C20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427" w:type="dxa"/>
      <w:tblInd w:w="2552" w:type="dxa"/>
      <w:tblLayout w:type="fixed"/>
      <w:tblLook w:val="0400" w:firstRow="0" w:lastRow="0" w:firstColumn="0" w:lastColumn="0" w:noHBand="0" w:noVBand="1"/>
    </w:tblPr>
    <w:tblGrid>
      <w:gridCol w:w="3466"/>
      <w:gridCol w:w="4961"/>
    </w:tblGrid>
    <w:tr w:rsidR="002C2035" w:rsidRPr="002C2035" w:rsidTr="00BB144B">
      <w:tc>
        <w:tcPr>
          <w:tcW w:w="3466" w:type="dxa"/>
          <w:vAlign w:val="center"/>
        </w:tcPr>
        <w:p w:rsidR="002C2035" w:rsidRPr="002C2035" w:rsidRDefault="002C2035" w:rsidP="002C2035">
          <w:pPr>
            <w:ind w:right="-115"/>
            <w:jc w:val="right"/>
            <w:rPr>
              <w:rFonts w:ascii="Palatino Linotype" w:eastAsia="Palatino Linotype" w:hAnsi="Palatino Linotype" w:cs="Palatino Linotype"/>
              <w:b/>
            </w:rPr>
          </w:pPr>
          <w:r w:rsidRPr="002C2035">
            <w:rPr>
              <w:rFonts w:ascii="Palatino Linotype" w:eastAsia="Palatino Linotype" w:hAnsi="Palatino Linotype" w:cs="Palatino Linotype"/>
              <w:b/>
            </w:rPr>
            <w:t>Recurso de Revisión:</w:t>
          </w:r>
        </w:p>
      </w:tc>
      <w:tc>
        <w:tcPr>
          <w:tcW w:w="4961" w:type="dxa"/>
          <w:vAlign w:val="center"/>
        </w:tcPr>
        <w:p w:rsidR="002C2035" w:rsidRPr="002C2035" w:rsidRDefault="002C2035" w:rsidP="002C2035">
          <w:pPr>
            <w:ind w:right="27"/>
            <w:jc w:val="both"/>
            <w:rPr>
              <w:rFonts w:ascii="Palatino Linotype" w:eastAsia="Palatino Linotype" w:hAnsi="Palatino Linotype" w:cs="Palatino Linotype"/>
            </w:rPr>
          </w:pPr>
          <w:r w:rsidRPr="002C2035">
            <w:rPr>
              <w:rFonts w:ascii="Palatino Linotype" w:eastAsia="Palatino Linotype" w:hAnsi="Palatino Linotype" w:cs="Palatino Linotype"/>
            </w:rPr>
            <w:t xml:space="preserve">04058/INFOEM/IP/RR/2025 </w:t>
          </w:r>
        </w:p>
      </w:tc>
    </w:tr>
    <w:tr w:rsidR="002C2035" w:rsidRPr="002C2035" w:rsidTr="00BB144B">
      <w:trPr>
        <w:trHeight w:val="228"/>
      </w:trPr>
      <w:tc>
        <w:tcPr>
          <w:tcW w:w="3466" w:type="dxa"/>
          <w:vAlign w:val="center"/>
        </w:tcPr>
        <w:p w:rsidR="002C2035" w:rsidRPr="002C2035" w:rsidRDefault="002C2035" w:rsidP="002C2035">
          <w:pPr>
            <w:ind w:right="-115"/>
            <w:jc w:val="right"/>
            <w:rPr>
              <w:rFonts w:ascii="Palatino Linotype" w:eastAsia="Palatino Linotype" w:hAnsi="Palatino Linotype" w:cs="Palatino Linotype"/>
              <w:b/>
            </w:rPr>
          </w:pPr>
          <w:r w:rsidRPr="002C2035">
            <w:rPr>
              <w:rFonts w:ascii="Palatino Linotype" w:eastAsia="Palatino Linotype" w:hAnsi="Palatino Linotype" w:cs="Palatino Linotype"/>
              <w:b/>
            </w:rPr>
            <w:t>Sujeto Obligado:</w:t>
          </w:r>
        </w:p>
      </w:tc>
      <w:tc>
        <w:tcPr>
          <w:tcW w:w="4961" w:type="dxa"/>
          <w:shd w:val="clear" w:color="auto" w:fill="auto"/>
          <w:vAlign w:val="center"/>
        </w:tcPr>
        <w:p w:rsidR="002C2035" w:rsidRPr="002C2035" w:rsidRDefault="002C2035" w:rsidP="002C2035">
          <w:pPr>
            <w:ind w:right="27"/>
            <w:rPr>
              <w:rFonts w:ascii="Palatino Linotype" w:eastAsia="Palatino Linotype" w:hAnsi="Palatino Linotype" w:cs="Palatino Linotype"/>
              <w:color w:val="000000"/>
            </w:rPr>
          </w:pPr>
          <w:r w:rsidRPr="002C2035">
            <w:rPr>
              <w:rFonts w:ascii="Palatino Linotype" w:eastAsia="Palatino Linotype" w:hAnsi="Palatino Linotype" w:cs="Palatino Linotype"/>
              <w:color w:val="000000"/>
            </w:rPr>
            <w:t>Ayuntamiento de Ixtapaluca</w:t>
          </w:r>
        </w:p>
      </w:tc>
    </w:tr>
    <w:tr w:rsidR="002C2035" w:rsidRPr="002C2035" w:rsidTr="00BB144B">
      <w:tc>
        <w:tcPr>
          <w:tcW w:w="3466" w:type="dxa"/>
          <w:vAlign w:val="center"/>
        </w:tcPr>
        <w:p w:rsidR="002C2035" w:rsidRPr="002C2035" w:rsidRDefault="002C2035" w:rsidP="002C2035">
          <w:pPr>
            <w:ind w:right="-115"/>
            <w:jc w:val="right"/>
            <w:rPr>
              <w:rFonts w:ascii="Palatino Linotype" w:eastAsia="Palatino Linotype" w:hAnsi="Palatino Linotype" w:cs="Palatino Linotype"/>
              <w:b/>
            </w:rPr>
          </w:pPr>
          <w:r w:rsidRPr="002C2035">
            <w:rPr>
              <w:rFonts w:ascii="Palatino Linotype" w:eastAsia="Palatino Linotype" w:hAnsi="Palatino Linotype" w:cs="Palatino Linotype"/>
              <w:b/>
            </w:rPr>
            <w:t>Comisionada Ponente:</w:t>
          </w:r>
        </w:p>
      </w:tc>
      <w:tc>
        <w:tcPr>
          <w:tcW w:w="4961" w:type="dxa"/>
          <w:vAlign w:val="center"/>
        </w:tcPr>
        <w:p w:rsidR="002C2035" w:rsidRPr="002C2035" w:rsidRDefault="002C2035" w:rsidP="002C2035">
          <w:pPr>
            <w:ind w:right="27"/>
            <w:jc w:val="both"/>
            <w:rPr>
              <w:rFonts w:ascii="Palatino Linotype" w:eastAsia="Palatino Linotype" w:hAnsi="Palatino Linotype" w:cs="Palatino Linotype"/>
            </w:rPr>
          </w:pPr>
          <w:r w:rsidRPr="002C2035">
            <w:rPr>
              <w:rFonts w:ascii="Palatino Linotype" w:eastAsia="Palatino Linotype" w:hAnsi="Palatino Linotype" w:cs="Palatino Linotype"/>
            </w:rPr>
            <w:t>María del Rosario Mejía Ayala</w:t>
          </w:r>
        </w:p>
      </w:tc>
    </w:tr>
  </w:tbl>
  <w:p w:rsidR="002C2035" w:rsidRDefault="00BB144B">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column">
            <wp:posOffset>-968375</wp:posOffset>
          </wp:positionH>
          <wp:positionV relativeFrom="paragraph">
            <wp:posOffset>-1073401</wp:posOffset>
          </wp:positionV>
          <wp:extent cx="7813085" cy="1017000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2C2035">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711" w:type="dxa"/>
      <w:tblInd w:w="2835" w:type="dxa"/>
      <w:tblLayout w:type="fixed"/>
      <w:tblLook w:val="0400" w:firstRow="0" w:lastRow="0" w:firstColumn="0" w:lastColumn="0" w:noHBand="0" w:noVBand="1"/>
    </w:tblPr>
    <w:tblGrid>
      <w:gridCol w:w="2977"/>
      <w:gridCol w:w="3734"/>
    </w:tblGrid>
    <w:tr w:rsidR="002C2035" w:rsidRPr="002C2035" w:rsidTr="00BB144B">
      <w:trPr>
        <w:trHeight w:val="227"/>
      </w:trPr>
      <w:tc>
        <w:tcPr>
          <w:tcW w:w="2977" w:type="dxa"/>
          <w:vAlign w:val="center"/>
        </w:tcPr>
        <w:p w:rsidR="002C2035" w:rsidRPr="002C2035" w:rsidRDefault="002C2035" w:rsidP="00BB144B">
          <w:pPr>
            <w:ind w:left="-916"/>
            <w:jc w:val="right"/>
            <w:rPr>
              <w:rFonts w:ascii="Palatino Linotype" w:eastAsia="Palatino Linotype" w:hAnsi="Palatino Linotype" w:cs="Palatino Linotype"/>
              <w:b/>
            </w:rPr>
          </w:pPr>
          <w:r>
            <w:rPr>
              <w:rFonts w:ascii="Calibri" w:eastAsia="Calibri" w:hAnsi="Calibri" w:cs="Calibri"/>
              <w:color w:val="000000"/>
            </w:rPr>
            <w:t xml:space="preserve">   </w:t>
          </w:r>
          <w:r w:rsidR="00BB144B">
            <w:rPr>
              <w:rFonts w:ascii="Calibri" w:eastAsia="Calibri" w:hAnsi="Calibri" w:cs="Calibri"/>
              <w:color w:val="000000"/>
            </w:rPr>
            <w:t xml:space="preserve">          </w:t>
          </w:r>
          <w:r w:rsidRPr="002C2035">
            <w:rPr>
              <w:rFonts w:ascii="Palatino Linotype" w:eastAsia="Palatino Linotype" w:hAnsi="Palatino Linotype" w:cs="Palatino Linotype"/>
              <w:b/>
            </w:rPr>
            <w:t>Recurso de Revisión:</w:t>
          </w:r>
        </w:p>
      </w:tc>
      <w:tc>
        <w:tcPr>
          <w:tcW w:w="3734" w:type="dxa"/>
          <w:vAlign w:val="center"/>
        </w:tcPr>
        <w:p w:rsidR="002C2035" w:rsidRPr="002C2035" w:rsidRDefault="002C203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C2035">
            <w:rPr>
              <w:rFonts w:ascii="Palatino Linotype" w:eastAsia="Palatino Linotype" w:hAnsi="Palatino Linotype" w:cs="Palatino Linotype"/>
              <w:color w:val="000000"/>
            </w:rPr>
            <w:t>04058/INFOEM/IP/RR/2025</w:t>
          </w:r>
        </w:p>
      </w:tc>
    </w:tr>
    <w:tr w:rsidR="002C2035" w:rsidRPr="002C2035" w:rsidTr="00BB144B">
      <w:trPr>
        <w:trHeight w:val="242"/>
      </w:trPr>
      <w:tc>
        <w:tcPr>
          <w:tcW w:w="2977" w:type="dxa"/>
          <w:vAlign w:val="center"/>
        </w:tcPr>
        <w:p w:rsidR="002C2035" w:rsidRPr="002C2035" w:rsidRDefault="002C2035">
          <w:pPr>
            <w:jc w:val="right"/>
            <w:rPr>
              <w:rFonts w:ascii="Palatino Linotype" w:eastAsia="Palatino Linotype" w:hAnsi="Palatino Linotype" w:cs="Palatino Linotype"/>
              <w:b/>
            </w:rPr>
          </w:pPr>
          <w:r w:rsidRPr="002C2035">
            <w:rPr>
              <w:rFonts w:ascii="Palatino Linotype" w:eastAsia="Palatino Linotype" w:hAnsi="Palatino Linotype" w:cs="Palatino Linotype"/>
              <w:b/>
            </w:rPr>
            <w:t>Recurrente:</w:t>
          </w:r>
        </w:p>
      </w:tc>
      <w:tc>
        <w:tcPr>
          <w:tcW w:w="3734" w:type="dxa"/>
        </w:tcPr>
        <w:p w:rsidR="002C2035" w:rsidRPr="002C2035" w:rsidRDefault="002C2035" w:rsidP="00BB144B">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sidRPr="002C2035">
            <w:rPr>
              <w:rFonts w:ascii="Palatino Linotype" w:eastAsia="Palatino Linotype" w:hAnsi="Palatino Linotype" w:cs="Palatino Linotype"/>
            </w:rPr>
            <w:t> </w:t>
          </w:r>
          <w:r w:rsidR="00BB144B">
            <w:rPr>
              <w:rFonts w:ascii="Palatino Linotype" w:eastAsia="Palatino Linotype" w:hAnsi="Palatino Linotype" w:cs="Palatino Linotype"/>
            </w:rPr>
            <w:t>XXXX</w:t>
          </w:r>
        </w:p>
      </w:tc>
    </w:tr>
    <w:tr w:rsidR="002C2035" w:rsidRPr="002C2035" w:rsidTr="00BB144B">
      <w:trPr>
        <w:trHeight w:val="342"/>
      </w:trPr>
      <w:tc>
        <w:tcPr>
          <w:tcW w:w="2977" w:type="dxa"/>
          <w:vAlign w:val="center"/>
        </w:tcPr>
        <w:p w:rsidR="002C2035" w:rsidRPr="002C2035" w:rsidRDefault="002C2035">
          <w:pPr>
            <w:jc w:val="right"/>
            <w:rPr>
              <w:rFonts w:ascii="Palatino Linotype" w:eastAsia="Palatino Linotype" w:hAnsi="Palatino Linotype" w:cs="Palatino Linotype"/>
              <w:b/>
            </w:rPr>
          </w:pPr>
          <w:r w:rsidRPr="002C2035">
            <w:rPr>
              <w:rFonts w:ascii="Palatino Linotype" w:eastAsia="Palatino Linotype" w:hAnsi="Palatino Linotype" w:cs="Palatino Linotype"/>
              <w:b/>
            </w:rPr>
            <w:t>Sujeto Obligado:</w:t>
          </w:r>
        </w:p>
      </w:tc>
      <w:tc>
        <w:tcPr>
          <w:tcW w:w="3734" w:type="dxa"/>
          <w:vAlign w:val="center"/>
        </w:tcPr>
        <w:p w:rsidR="002C2035" w:rsidRPr="002C2035" w:rsidRDefault="002C203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C2035">
            <w:rPr>
              <w:rFonts w:ascii="Palatino Linotype" w:eastAsia="Palatino Linotype" w:hAnsi="Palatino Linotype" w:cs="Palatino Linotype"/>
              <w:color w:val="000000"/>
            </w:rPr>
            <w:t>Ayuntamiento de Ixtapaluca</w:t>
          </w:r>
        </w:p>
      </w:tc>
    </w:tr>
    <w:tr w:rsidR="002C2035" w:rsidRPr="002C2035" w:rsidTr="00BB144B">
      <w:trPr>
        <w:trHeight w:val="342"/>
      </w:trPr>
      <w:tc>
        <w:tcPr>
          <w:tcW w:w="2977" w:type="dxa"/>
          <w:vAlign w:val="center"/>
        </w:tcPr>
        <w:p w:rsidR="002C2035" w:rsidRPr="002C2035" w:rsidRDefault="002C2035">
          <w:pPr>
            <w:jc w:val="right"/>
            <w:rPr>
              <w:rFonts w:ascii="Palatino Linotype" w:eastAsia="Palatino Linotype" w:hAnsi="Palatino Linotype" w:cs="Palatino Linotype"/>
              <w:b/>
            </w:rPr>
          </w:pPr>
          <w:r w:rsidRPr="002C2035">
            <w:rPr>
              <w:rFonts w:ascii="Palatino Linotype" w:eastAsia="Palatino Linotype" w:hAnsi="Palatino Linotype" w:cs="Palatino Linotype"/>
              <w:b/>
            </w:rPr>
            <w:t>Comisionada Ponente:</w:t>
          </w:r>
        </w:p>
      </w:tc>
      <w:tc>
        <w:tcPr>
          <w:tcW w:w="3734" w:type="dxa"/>
          <w:vAlign w:val="center"/>
        </w:tcPr>
        <w:p w:rsidR="002C2035" w:rsidRPr="002C2035" w:rsidRDefault="002C203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C2035">
            <w:rPr>
              <w:rFonts w:ascii="Palatino Linotype" w:eastAsia="Palatino Linotype" w:hAnsi="Palatino Linotype" w:cs="Palatino Linotype"/>
              <w:color w:val="000000"/>
            </w:rPr>
            <w:t>María del Rosario Mejía Ayala</w:t>
          </w:r>
        </w:p>
      </w:tc>
    </w:tr>
  </w:tbl>
  <w:p w:rsidR="002C2035" w:rsidRDefault="00BB144B">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column">
            <wp:posOffset>-1019594</wp:posOffset>
          </wp:positionH>
          <wp:positionV relativeFrom="paragraph">
            <wp:posOffset>-1358014</wp:posOffset>
          </wp:positionV>
          <wp:extent cx="7813085" cy="101700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3CF2"/>
    <w:multiLevelType w:val="multilevel"/>
    <w:tmpl w:val="A092A074"/>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A4A79C7"/>
    <w:multiLevelType w:val="multilevel"/>
    <w:tmpl w:val="0DC49D08"/>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A8412C3"/>
    <w:multiLevelType w:val="multilevel"/>
    <w:tmpl w:val="CCD81244"/>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B8181A"/>
    <w:multiLevelType w:val="multilevel"/>
    <w:tmpl w:val="A7AE3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7172FD"/>
    <w:multiLevelType w:val="multilevel"/>
    <w:tmpl w:val="575279B8"/>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6EE515F"/>
    <w:multiLevelType w:val="multilevel"/>
    <w:tmpl w:val="D2A8F3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B0681C"/>
    <w:multiLevelType w:val="multilevel"/>
    <w:tmpl w:val="7E6EBC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3A5AAA"/>
    <w:multiLevelType w:val="multilevel"/>
    <w:tmpl w:val="05829A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5FA33262"/>
    <w:multiLevelType w:val="multilevel"/>
    <w:tmpl w:val="537E809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645A2D85"/>
    <w:multiLevelType w:val="multilevel"/>
    <w:tmpl w:val="E9C81E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6BAB440C"/>
    <w:multiLevelType w:val="multilevel"/>
    <w:tmpl w:val="8E42049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 w15:restartNumberingAfterBreak="0">
    <w:nsid w:val="767F4AF5"/>
    <w:multiLevelType w:val="multilevel"/>
    <w:tmpl w:val="D944808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9"/>
  </w:num>
  <w:num w:numId="2">
    <w:abstractNumId w:val="7"/>
  </w:num>
  <w:num w:numId="3">
    <w:abstractNumId w:val="0"/>
  </w:num>
  <w:num w:numId="4">
    <w:abstractNumId w:val="2"/>
  </w:num>
  <w:num w:numId="5">
    <w:abstractNumId w:val="1"/>
  </w:num>
  <w:num w:numId="6">
    <w:abstractNumId w:val="8"/>
  </w:num>
  <w:num w:numId="7">
    <w:abstractNumId w:val="6"/>
  </w:num>
  <w:num w:numId="8">
    <w:abstractNumId w:val="4"/>
  </w:num>
  <w:num w:numId="9">
    <w:abstractNumId w:val="11"/>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52"/>
    <w:rsid w:val="00152CA6"/>
    <w:rsid w:val="001B53D6"/>
    <w:rsid w:val="00251F52"/>
    <w:rsid w:val="002C2035"/>
    <w:rsid w:val="005150E8"/>
    <w:rsid w:val="00515A4A"/>
    <w:rsid w:val="00687729"/>
    <w:rsid w:val="007F1FB0"/>
    <w:rsid w:val="009745D3"/>
    <w:rsid w:val="009840B6"/>
    <w:rsid w:val="00A738BC"/>
    <w:rsid w:val="00BB144B"/>
    <w:rsid w:val="00E97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360A4F-C17B-4360-87BC-A7801493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DEF"/>
  </w:style>
  <w:style w:type="paragraph" w:styleId="Ttulo1">
    <w:name w:val="heading 1"/>
    <w:basedOn w:val="Normal"/>
    <w:next w:val="Normal"/>
    <w:link w:val="Ttulo1Car"/>
    <w:uiPriority w:val="9"/>
    <w:qFormat/>
    <w:rsid w:val="00815DEF"/>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815DEF"/>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815DE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815DEF"/>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15DE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15DEF"/>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815D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815DEF"/>
    <w:pPr>
      <w:tabs>
        <w:tab w:val="center" w:pos="4419"/>
        <w:tab w:val="right" w:pos="8838"/>
      </w:tabs>
    </w:pPr>
  </w:style>
  <w:style w:type="character" w:customStyle="1" w:styleId="EncabezadoCar">
    <w:name w:val="Encabezado Car"/>
    <w:basedOn w:val="Fuentedeprrafopredeter"/>
    <w:link w:val="Encabezado"/>
    <w:uiPriority w:val="99"/>
    <w:rsid w:val="00815DE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15DEF"/>
    <w:pPr>
      <w:tabs>
        <w:tab w:val="center" w:pos="4419"/>
        <w:tab w:val="right" w:pos="8838"/>
      </w:tabs>
    </w:pPr>
  </w:style>
  <w:style w:type="character" w:customStyle="1" w:styleId="PiedepginaCar">
    <w:name w:val="Pie de página Car"/>
    <w:basedOn w:val="Fuentedeprrafopredeter"/>
    <w:link w:val="Piedepgina"/>
    <w:uiPriority w:val="99"/>
    <w:rsid w:val="00815DEF"/>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mawww.sat.gob.mx/factura/Paginas/solicita_requisito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Movy9n9zk2tZeIyLE1fcxYRjw==">CgMxLjAyCGguZ2pkZ3hzMgloLjFmb2I5dGUyCWguM3pueXNoNzIJaC4yZXQ5MnAwMg5oLjE2Mm0xbTNma3psNjIIaC50eWpjd3QyCWguM2R5NnZrbTIJaC4xdDNoNXNmMgloLjRkMzRvZzgyCWguMnM4ZXlvMTIJaC4xN2RwOHZ1MgloLjNyZGNyam4yCWguMjZpbjFyZzIOaC4yejlqd3FuN2RwMm4yDmguam43d2l0eXptYmM5Mg5oLnQzNWo2c280ODM4ajIOaC5vZnNnbXcybHRjdGkyDmguNm1kODVxbmo5NWh0Mg5oLmdrY2RsM283OTdtdzIOaC5vYm9tY2szaWlkYjcyDmgubjZ5Z3g0ejd1N2l1Mg5oLmh0ZnNlM21mb2Q5MTIOaC4xOHllamVnNDY4Z2EyDmguNWJucjR0N2N2YjN3Mg5oLmRuMm5tdWljem03NjIOaC5mNDRscmhocG1ram4yDmgub28ybW1hYndkcHptMg5oLnQxbXA4cWl2dHB0eDINaC44c2lmdjJ0ZDRubzIOaC5vaDJicnhhb3c3OG8yDmguOTg3d2UwN24za3dqMg5oLmU0dzBvNnVlOHNjNjIOaC5ydGI5ZTQ0aTg1dWEyDmgubXQ3cTQ5Nnpta2xxMg5oLm4zMGw1eGZldmoxbTIOaC54eWw5Mnp4MnluNzIyDmguZG5uenB2aDdlbGVvMg5oLjduZDQ2Y2FtZnBkMzIOaC5pb3hmb3NrZGthNDQyDmguNzF3emR6bG5jM3h0Mg5oLnluemRpZHQzb3M4bDIOaC5xZGZkZjNvdXRyZWQyDmgueHAwamgyNmgzYjdvMg5oLmQ3c2ZxYndqNGxheDIOaC40dW11dXM0d2U4d28yDmguYmhvd2QwcnYzOGM3Mg5oLmVqbjJ2NTVmNjBzNjIOaC5tc25sZGo0ZHFrb24yDmguZDJyeWdiNDBuMXFpMg5oLmdzc2RmeXB5MzlpdDIJaC4xa3N2NHV2MgloLjJqeHN4cWgyDmguczBmcHdtYm4wcjBoOAByITFHZlhDemF2TUwzREY3XzZmZXhmTjhveG5iWjdOYWM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55</Pages>
  <Words>12911</Words>
  <Characters>71015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2025-06-20T16:55:00Z</cp:lastPrinted>
  <dcterms:created xsi:type="dcterms:W3CDTF">2025-06-16T17:34:00Z</dcterms:created>
  <dcterms:modified xsi:type="dcterms:W3CDTF">2025-06-24T19:54:00Z</dcterms:modified>
</cp:coreProperties>
</file>